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2B6A2" w14:textId="3EC276D0" w:rsidR="00002FBF" w:rsidRPr="0091289D" w:rsidRDefault="00786867" w:rsidP="0091289D">
      <w:pPr>
        <w:pStyle w:val="Heading1"/>
      </w:pPr>
      <w:r w:rsidRPr="0091289D">
        <w:t xml:space="preserve">The Department of Foreign Affairs and Trade </w:t>
      </w:r>
      <w:r w:rsidR="00D278A5" w:rsidRPr="0091289D">
        <w:t xml:space="preserve">response to the </w:t>
      </w:r>
      <w:r w:rsidR="00D358C4" w:rsidRPr="0091289D">
        <w:t xml:space="preserve">Mid-Cycle </w:t>
      </w:r>
      <w:r w:rsidR="00D278A5" w:rsidRPr="0091289D">
        <w:t>Evaluation</w:t>
      </w:r>
      <w:r w:rsidR="00D358C4" w:rsidRPr="0091289D">
        <w:t xml:space="preserve"> of Investing in Women Phase 2</w:t>
      </w:r>
      <w:r w:rsidR="00002FBF" w:rsidRPr="0091289D">
        <w:t xml:space="preserve"> (2023-2027</w:t>
      </w:r>
      <w:r w:rsidR="00A709FA" w:rsidRPr="0091289D">
        <w:t>)</w:t>
      </w:r>
      <w:r w:rsidRPr="0091289D">
        <w:t>,</w:t>
      </w:r>
      <w:r w:rsidR="00A709FA" w:rsidRPr="0091289D">
        <w:t xml:space="preserve"> </w:t>
      </w:r>
      <w:r w:rsidR="00F15ED4" w:rsidRPr="0091289D">
        <w:t>June 2026</w:t>
      </w:r>
    </w:p>
    <w:p w14:paraId="7DA5045B" w14:textId="38DB5B4A" w:rsidR="00584A0E" w:rsidRDefault="5E1B30E2" w:rsidP="000369E2">
      <w:pPr>
        <w:rPr>
          <w:rFonts w:eastAsia="Calibri" w:cs="Calibri"/>
          <w:kern w:val="0"/>
          <w14:ligatures w14:val="none"/>
        </w:rPr>
      </w:pPr>
      <w:r>
        <w:rPr>
          <w:rFonts w:eastAsia="Calibri" w:cs="Calibri"/>
          <w:kern w:val="0"/>
          <w14:ligatures w14:val="none"/>
        </w:rPr>
        <w:t xml:space="preserve">In </w:t>
      </w:r>
      <w:r w:rsidR="29FCC5FC">
        <w:rPr>
          <w:rFonts w:eastAsia="Calibri" w:cs="Calibri"/>
          <w:kern w:val="0"/>
          <w14:ligatures w14:val="none"/>
        </w:rPr>
        <w:t xml:space="preserve">October </w:t>
      </w:r>
      <w:r w:rsidR="556EA9BE">
        <w:rPr>
          <w:rFonts w:eastAsia="Calibri" w:cs="Calibri"/>
          <w:kern w:val="0"/>
          <w14:ligatures w14:val="none"/>
        </w:rPr>
        <w:t>2025</w:t>
      </w:r>
      <w:r>
        <w:rPr>
          <w:rFonts w:eastAsia="Calibri" w:cs="Calibri"/>
          <w:kern w:val="0"/>
          <w14:ligatures w14:val="none"/>
        </w:rPr>
        <w:t xml:space="preserve">, </w:t>
      </w:r>
      <w:r w:rsidR="762240E4">
        <w:rPr>
          <w:rFonts w:eastAsia="Calibri" w:cs="Calibri"/>
          <w:kern w:val="0"/>
          <w14:ligatures w14:val="none"/>
        </w:rPr>
        <w:t xml:space="preserve">the </w:t>
      </w:r>
      <w:r w:rsidR="762240E4" w:rsidRPr="00786867">
        <w:rPr>
          <w:rFonts w:eastAsia="Calibri" w:cs="Calibri"/>
          <w:kern w:val="0"/>
          <w14:ligatures w14:val="none"/>
        </w:rPr>
        <w:t>Department of Foreign Affairs and Trade (</w:t>
      </w:r>
      <w:r>
        <w:rPr>
          <w:rFonts w:eastAsia="Calibri" w:cs="Calibri"/>
          <w:kern w:val="0"/>
          <w14:ligatures w14:val="none"/>
        </w:rPr>
        <w:t>DFAT</w:t>
      </w:r>
      <w:r w:rsidR="762240E4">
        <w:rPr>
          <w:rFonts w:eastAsia="Calibri" w:cs="Calibri"/>
          <w:kern w:val="0"/>
          <w14:ligatures w14:val="none"/>
        </w:rPr>
        <w:t>)</w:t>
      </w:r>
      <w:r>
        <w:rPr>
          <w:rFonts w:eastAsia="Calibri" w:cs="Calibri"/>
          <w:kern w:val="0"/>
          <w14:ligatures w14:val="none"/>
        </w:rPr>
        <w:t xml:space="preserve"> commissioned </w:t>
      </w:r>
      <w:r w:rsidR="762240E4">
        <w:rPr>
          <w:rFonts w:eastAsia="Calibri" w:cs="Calibri"/>
          <w:kern w:val="0"/>
          <w14:ligatures w14:val="none"/>
        </w:rPr>
        <w:t xml:space="preserve">Sustineo to undertake </w:t>
      </w:r>
      <w:r w:rsidR="797C71F7">
        <w:rPr>
          <w:rFonts w:eastAsia="Calibri" w:cs="Calibri"/>
          <w:kern w:val="0"/>
          <w14:ligatures w14:val="none"/>
        </w:rPr>
        <w:t xml:space="preserve">an independent mid-cycle evaluation of the Investing in Women </w:t>
      </w:r>
      <w:r w:rsidR="7C2FBC87">
        <w:rPr>
          <w:rFonts w:eastAsia="Calibri" w:cs="Calibri"/>
          <w:kern w:val="0"/>
          <w14:ligatures w14:val="none"/>
        </w:rPr>
        <w:t xml:space="preserve">(IW) </w:t>
      </w:r>
      <w:r w:rsidR="797C71F7">
        <w:rPr>
          <w:rFonts w:eastAsia="Calibri" w:cs="Calibri"/>
          <w:kern w:val="0"/>
          <w14:ligatures w14:val="none"/>
        </w:rPr>
        <w:t xml:space="preserve">Phase 2 program to </w:t>
      </w:r>
      <w:r w:rsidR="4AC57F18" w:rsidRPr="00584A0E">
        <w:rPr>
          <w:rFonts w:eastAsia="Calibri" w:cs="Calibri"/>
          <w:kern w:val="0"/>
          <w14:ligatures w14:val="none"/>
        </w:rPr>
        <w:t>examine the effectiveness of the investment and achievement</w:t>
      </w:r>
      <w:r w:rsidR="4AC57F18">
        <w:rPr>
          <w:rFonts w:eastAsia="Calibri" w:cs="Calibri"/>
          <w:kern w:val="0"/>
          <w14:ligatures w14:val="none"/>
        </w:rPr>
        <w:t xml:space="preserve">s towards </w:t>
      </w:r>
      <w:r w:rsidR="4AC57F18" w:rsidRPr="00584A0E">
        <w:rPr>
          <w:rFonts w:eastAsia="Calibri" w:cs="Calibri"/>
          <w:kern w:val="0"/>
          <w14:ligatures w14:val="none"/>
        </w:rPr>
        <w:t>outcomes; its efficiency and value for money; and its relevance.</w:t>
      </w:r>
      <w:r w:rsidR="797C71F7">
        <w:rPr>
          <w:rFonts w:eastAsia="Calibri" w:cs="Calibri"/>
          <w:kern w:val="0"/>
          <w14:ligatures w14:val="none"/>
        </w:rPr>
        <w:t xml:space="preserve"> </w:t>
      </w:r>
      <w:r w:rsidR="4AC57F18">
        <w:rPr>
          <w:rFonts w:eastAsia="Calibri" w:cs="Calibri"/>
          <w:kern w:val="0"/>
          <w14:ligatures w14:val="none"/>
        </w:rPr>
        <w:t>Th</w:t>
      </w:r>
      <w:r w:rsidR="65FEF676">
        <w:rPr>
          <w:rFonts w:eastAsia="Calibri" w:cs="Calibri"/>
          <w:kern w:val="0"/>
          <w14:ligatures w14:val="none"/>
        </w:rPr>
        <w:t>e</w:t>
      </w:r>
      <w:r w:rsidR="4AC57F18">
        <w:rPr>
          <w:rFonts w:eastAsia="Calibri" w:cs="Calibri"/>
          <w:kern w:val="0"/>
          <w14:ligatures w14:val="none"/>
        </w:rPr>
        <w:t xml:space="preserve"> mid-cycle evaluation was </w:t>
      </w:r>
      <w:r w:rsidR="556EA9BE">
        <w:rPr>
          <w:rFonts w:eastAsia="Calibri" w:cs="Calibri"/>
          <w:kern w:val="0"/>
          <w14:ligatures w14:val="none"/>
        </w:rPr>
        <w:t>c</w:t>
      </w:r>
      <w:r w:rsidR="4AC57F18">
        <w:rPr>
          <w:rFonts w:eastAsia="Calibri" w:cs="Calibri"/>
          <w:kern w:val="0"/>
          <w14:ligatures w14:val="none"/>
        </w:rPr>
        <w:t>ompleted in April 2026</w:t>
      </w:r>
      <w:r w:rsidR="65FEF676">
        <w:rPr>
          <w:rFonts w:eastAsia="Calibri" w:cs="Calibri"/>
          <w:kern w:val="0"/>
          <w14:ligatures w14:val="none"/>
        </w:rPr>
        <w:t xml:space="preserve"> and </w:t>
      </w:r>
      <w:r w:rsidR="65FEF676" w:rsidRPr="00705A48">
        <w:rPr>
          <w:rFonts w:eastAsia="Calibri" w:cs="Calibri"/>
          <w:kern w:val="0"/>
          <w14:ligatures w14:val="none"/>
        </w:rPr>
        <w:t xml:space="preserve">includes useful findings and recommendations to inform the </w:t>
      </w:r>
      <w:r w:rsidR="005ACD31" w:rsidRPr="00705A48">
        <w:rPr>
          <w:rFonts w:eastAsia="Calibri" w:cs="Calibri"/>
          <w:kern w:val="0"/>
          <w14:ligatures w14:val="none"/>
        </w:rPr>
        <w:t>final year</w:t>
      </w:r>
      <w:r w:rsidR="65FEF676" w:rsidRPr="00705A48">
        <w:rPr>
          <w:rFonts w:eastAsia="Calibri" w:cs="Calibri"/>
          <w:kern w:val="0"/>
          <w14:ligatures w14:val="none"/>
        </w:rPr>
        <w:t xml:space="preserve"> of implementation</w:t>
      </w:r>
      <w:r w:rsidR="7ED94B66" w:rsidRPr="00705A48">
        <w:rPr>
          <w:rFonts w:eastAsia="Calibri" w:cs="Calibri"/>
          <w:kern w:val="0"/>
          <w14:ligatures w14:val="none"/>
        </w:rPr>
        <w:t xml:space="preserve"> </w:t>
      </w:r>
      <w:r w:rsidR="34EC090F" w:rsidRPr="00705A48">
        <w:rPr>
          <w:rFonts w:eastAsia="Calibri" w:cs="Calibri"/>
          <w:kern w:val="0"/>
          <w14:ligatures w14:val="none"/>
        </w:rPr>
        <w:t xml:space="preserve">under current arrangements </w:t>
      </w:r>
      <w:r w:rsidR="6A1641C4">
        <w:rPr>
          <w:rFonts w:eastAsia="Calibri" w:cs="Calibri"/>
          <w:kern w:val="0"/>
          <w14:ligatures w14:val="none"/>
        </w:rPr>
        <w:t>(2026-27)</w:t>
      </w:r>
      <w:r w:rsidR="65FEF676" w:rsidRPr="00705A48">
        <w:rPr>
          <w:rFonts w:eastAsia="Calibri" w:cs="Calibri"/>
          <w:kern w:val="0"/>
          <w14:ligatures w14:val="none"/>
        </w:rPr>
        <w:t xml:space="preserve">, as well as any potential </w:t>
      </w:r>
      <w:r w:rsidR="7F25634B">
        <w:rPr>
          <w:rFonts w:eastAsia="Calibri" w:cs="Calibri"/>
        </w:rPr>
        <w:t>program</w:t>
      </w:r>
      <w:r w:rsidR="2DDC8DB1" w:rsidRPr="027A70F2">
        <w:rPr>
          <w:rFonts w:eastAsia="Calibri" w:cs="Calibri"/>
        </w:rPr>
        <w:t xml:space="preserve"> extension</w:t>
      </w:r>
      <w:r w:rsidR="4AC57F18">
        <w:rPr>
          <w:rFonts w:eastAsia="Calibri" w:cs="Calibri"/>
          <w:kern w:val="0"/>
          <w14:ligatures w14:val="none"/>
        </w:rPr>
        <w:t xml:space="preserve">. </w:t>
      </w:r>
      <w:r w:rsidR="556EA9BE" w:rsidRPr="00786867">
        <w:rPr>
          <w:rFonts w:eastAsia="Calibri" w:cs="Calibri"/>
          <w:kern w:val="0"/>
          <w14:ligatures w14:val="none"/>
        </w:rPr>
        <w:t xml:space="preserve">DFAT thanks </w:t>
      </w:r>
      <w:r w:rsidR="762240E4">
        <w:rPr>
          <w:rFonts w:eastAsia="Calibri" w:cs="Calibri"/>
          <w:kern w:val="0"/>
          <w14:ligatures w14:val="none"/>
        </w:rPr>
        <w:t xml:space="preserve">Sustineo as well as </w:t>
      </w:r>
      <w:r w:rsidR="556EA9BE" w:rsidRPr="00786867">
        <w:rPr>
          <w:rFonts w:eastAsia="Calibri" w:cs="Calibri"/>
          <w:kern w:val="0"/>
          <w14:ligatures w14:val="none"/>
        </w:rPr>
        <w:t xml:space="preserve">those who participated in the mid-term </w:t>
      </w:r>
      <w:r w:rsidR="762240E4">
        <w:rPr>
          <w:rFonts w:eastAsia="Calibri" w:cs="Calibri"/>
          <w:kern w:val="0"/>
          <w14:ligatures w14:val="none"/>
        </w:rPr>
        <w:t xml:space="preserve">evaluation.  </w:t>
      </w:r>
    </w:p>
    <w:p w14:paraId="2A5348A8" w14:textId="2542DC1E" w:rsidR="00D278A5" w:rsidRDefault="227B1DFA" w:rsidP="000369E2">
      <w:pPr>
        <w:rPr>
          <w:rFonts w:eastAsia="Calibri" w:cs="Calibri"/>
          <w:kern w:val="0"/>
          <w14:ligatures w14:val="none"/>
        </w:rPr>
      </w:pPr>
      <w:r w:rsidRPr="00373AE1">
        <w:rPr>
          <w:rFonts w:eastAsia="Calibri" w:cs="Calibri"/>
          <w:kern w:val="0"/>
          <w14:ligatures w14:val="none"/>
        </w:rPr>
        <w:t>DFAT agrees with</w:t>
      </w:r>
      <w:r w:rsidR="2FE5E5F3" w:rsidRPr="00373AE1">
        <w:rPr>
          <w:rFonts w:eastAsia="Calibri" w:cs="Calibri"/>
          <w:kern w:val="0"/>
          <w14:ligatures w14:val="none"/>
        </w:rPr>
        <w:t xml:space="preserve"> </w:t>
      </w:r>
      <w:r w:rsidR="6E2243BA" w:rsidRPr="00FA5AAA">
        <w:rPr>
          <w:rFonts w:eastAsia="Calibri" w:cs="Calibri"/>
          <w:kern w:val="0"/>
          <w14:ligatures w14:val="none"/>
        </w:rPr>
        <w:t>eight</w:t>
      </w:r>
      <w:r w:rsidR="4E730B2D" w:rsidRPr="00FA5AAA">
        <w:rPr>
          <w:rFonts w:eastAsia="Calibri" w:cs="Calibri"/>
          <w:kern w:val="0"/>
          <w14:ligatures w14:val="none"/>
        </w:rPr>
        <w:t xml:space="preserve"> </w:t>
      </w:r>
      <w:r w:rsidR="413F314A" w:rsidRPr="00373AE1">
        <w:rPr>
          <w:rFonts w:eastAsia="Calibri" w:cs="Calibri"/>
          <w:kern w:val="0"/>
          <w14:ligatures w14:val="none"/>
        </w:rPr>
        <w:t xml:space="preserve">of the </w:t>
      </w:r>
      <w:r w:rsidR="1A5ECCAD" w:rsidRPr="00E86049">
        <w:rPr>
          <w:rFonts w:eastAsia="Calibri" w:cs="Calibri"/>
          <w:kern w:val="0"/>
          <w14:ligatures w14:val="none"/>
        </w:rPr>
        <w:t>18</w:t>
      </w:r>
      <w:r w:rsidR="4E730B2D" w:rsidRPr="00E86049">
        <w:rPr>
          <w:rFonts w:eastAsia="Calibri" w:cs="Calibri"/>
          <w:kern w:val="0"/>
          <w14:ligatures w14:val="none"/>
        </w:rPr>
        <w:t xml:space="preserve"> </w:t>
      </w:r>
      <w:r w:rsidR="413F314A" w:rsidRPr="00373AE1">
        <w:rPr>
          <w:rFonts w:eastAsia="Calibri" w:cs="Calibri"/>
          <w:kern w:val="0"/>
          <w14:ligatures w14:val="none"/>
        </w:rPr>
        <w:t>recommendations</w:t>
      </w:r>
      <w:r w:rsidR="55FBEFE7" w:rsidRPr="00373AE1">
        <w:rPr>
          <w:rFonts w:eastAsia="Calibri" w:cs="Calibri"/>
          <w:kern w:val="0"/>
          <w14:ligatures w14:val="none"/>
        </w:rPr>
        <w:t xml:space="preserve"> and</w:t>
      </w:r>
      <w:r w:rsidR="7E1D1C51">
        <w:rPr>
          <w:rFonts w:eastAsia="Calibri" w:cs="Calibri"/>
          <w:kern w:val="0"/>
          <w14:ligatures w14:val="none"/>
        </w:rPr>
        <w:t xml:space="preserve"> </w:t>
      </w:r>
      <w:r w:rsidR="4CEBBC6A" w:rsidRPr="027A70F2">
        <w:rPr>
          <w:rFonts w:eastAsia="Calibri" w:cs="Calibri"/>
        </w:rPr>
        <w:t>agrees in</w:t>
      </w:r>
      <w:r w:rsidR="154ABF2B">
        <w:rPr>
          <w:rFonts w:eastAsia="Calibri" w:cs="Calibri"/>
        </w:rPr>
        <w:t>-</w:t>
      </w:r>
      <w:r w:rsidR="4CEBBC6A" w:rsidRPr="027A70F2">
        <w:rPr>
          <w:rFonts w:eastAsia="Calibri" w:cs="Calibri"/>
        </w:rPr>
        <w:t xml:space="preserve">principle </w:t>
      </w:r>
      <w:r w:rsidR="00C53FBC">
        <w:rPr>
          <w:rFonts w:eastAsia="Calibri" w:cs="Calibri"/>
        </w:rPr>
        <w:t xml:space="preserve">with </w:t>
      </w:r>
      <w:r w:rsidR="7CA564A2" w:rsidRPr="00E86049">
        <w:rPr>
          <w:rFonts w:eastAsia="Calibri" w:cs="Calibri"/>
          <w:kern w:val="0"/>
          <w14:ligatures w14:val="none"/>
        </w:rPr>
        <w:t>10</w:t>
      </w:r>
      <w:r w:rsidR="6FF032DB" w:rsidRPr="00E86049">
        <w:rPr>
          <w:rFonts w:eastAsia="Calibri" w:cs="Calibri"/>
          <w:kern w:val="0"/>
          <w14:ligatures w14:val="none"/>
        </w:rPr>
        <w:t xml:space="preserve"> </w:t>
      </w:r>
      <w:r w:rsidR="413F314A" w:rsidRPr="00373AE1">
        <w:rPr>
          <w:rFonts w:eastAsia="Calibri" w:cs="Calibri"/>
          <w:kern w:val="0"/>
          <w14:ligatures w14:val="none"/>
        </w:rPr>
        <w:t>recommendations</w:t>
      </w:r>
      <w:r w:rsidR="664C4B70">
        <w:rPr>
          <w:rFonts w:eastAsia="Calibri" w:cs="Calibri"/>
          <w:kern w:val="0"/>
          <w14:ligatures w14:val="none"/>
        </w:rPr>
        <w:t xml:space="preserve">. DFAT notes </w:t>
      </w:r>
      <w:r w:rsidR="0B2D49AE" w:rsidRPr="00876792">
        <w:rPr>
          <w:rFonts w:eastAsia="Calibri" w:cs="Calibri"/>
          <w:kern w:val="0"/>
          <w14:ligatures w14:val="none"/>
        </w:rPr>
        <w:t>that no decision has yet been made on the design or scope of a future program</w:t>
      </w:r>
      <w:r w:rsidR="787807AB">
        <w:rPr>
          <w:rFonts w:eastAsia="Calibri" w:cs="Calibri"/>
          <w:kern w:val="0"/>
          <w14:ligatures w14:val="none"/>
        </w:rPr>
        <w:t xml:space="preserve"> </w:t>
      </w:r>
      <w:r w:rsidR="787807AB" w:rsidRPr="00705A48">
        <w:rPr>
          <w:rFonts w:eastAsia="Calibri" w:cs="Calibri"/>
          <w:kern w:val="0"/>
          <w14:ligatures w14:val="none"/>
        </w:rPr>
        <w:t>to operate after June 2027</w:t>
      </w:r>
      <w:r w:rsidR="0B2D49AE" w:rsidRPr="00876792">
        <w:rPr>
          <w:rFonts w:eastAsia="Calibri" w:cs="Calibri"/>
          <w:kern w:val="0"/>
          <w14:ligatures w14:val="none"/>
        </w:rPr>
        <w:t>.</w:t>
      </w:r>
      <w:r w:rsidR="7E1D1C51">
        <w:rPr>
          <w:rFonts w:eastAsia="Calibri" w:cs="Calibri"/>
          <w:kern w:val="0"/>
          <w14:ligatures w14:val="none"/>
        </w:rPr>
        <w:t xml:space="preserve"> </w:t>
      </w:r>
      <w:r w:rsidR="05C10A37" w:rsidRPr="00373AE1">
        <w:rPr>
          <w:rFonts w:eastAsia="Calibri" w:cs="Calibri"/>
          <w:kern w:val="0"/>
          <w14:ligatures w14:val="none"/>
        </w:rPr>
        <w:t xml:space="preserve">DFAT will </w:t>
      </w:r>
      <w:r w:rsidR="1FB561F5" w:rsidRPr="00373AE1">
        <w:rPr>
          <w:rFonts w:eastAsia="Calibri" w:cs="Calibri"/>
          <w:kern w:val="0"/>
          <w14:ligatures w14:val="none"/>
        </w:rPr>
        <w:t xml:space="preserve">draw on the evaluation’s recommendations to inform </w:t>
      </w:r>
      <w:r w:rsidR="4ADD9EFB">
        <w:rPr>
          <w:rFonts w:eastAsia="Calibri" w:cs="Calibri"/>
          <w:kern w:val="0"/>
          <w14:ligatures w14:val="none"/>
        </w:rPr>
        <w:t>consultations and</w:t>
      </w:r>
      <w:r w:rsidR="0908BFBC">
        <w:rPr>
          <w:rFonts w:eastAsia="Calibri" w:cs="Calibri"/>
          <w:kern w:val="0"/>
          <w14:ligatures w14:val="none"/>
        </w:rPr>
        <w:t xml:space="preserve">, if an extension to Phase 2 is agreed, </w:t>
      </w:r>
      <w:r w:rsidR="4A79AF57">
        <w:rPr>
          <w:rFonts w:eastAsia="Calibri" w:cs="Calibri"/>
          <w:kern w:val="0"/>
          <w14:ligatures w14:val="none"/>
        </w:rPr>
        <w:t>design work for</w:t>
      </w:r>
      <w:r w:rsidR="38C34F8F">
        <w:rPr>
          <w:rFonts w:eastAsia="Calibri" w:cs="Calibri"/>
          <w:kern w:val="0"/>
          <w14:ligatures w14:val="none"/>
        </w:rPr>
        <w:t xml:space="preserve"> any future Phase 2 extension</w:t>
      </w:r>
      <w:r w:rsidR="7FD0857F">
        <w:rPr>
          <w:rFonts w:eastAsia="Calibri" w:cs="Calibri"/>
          <w:kern w:val="0"/>
          <w14:ligatures w14:val="none"/>
        </w:rPr>
        <w:t>.</w:t>
      </w:r>
    </w:p>
    <w:p w14:paraId="0A92F6DD" w14:textId="1F90ABF4" w:rsidR="006E1A69" w:rsidRPr="0091289D" w:rsidRDefault="006E1A69" w:rsidP="0091289D">
      <w:pPr>
        <w:pStyle w:val="Heading2"/>
      </w:pPr>
      <w:r w:rsidRPr="0091289D">
        <w:t>Relevance</w:t>
      </w:r>
    </w:p>
    <w:tbl>
      <w:tblPr>
        <w:tblStyle w:val="TableGrid"/>
        <w:tblW w:w="14575" w:type="dxa"/>
        <w:tblInd w:w="-147" w:type="dxa"/>
        <w:tblLook w:val="04A0" w:firstRow="1" w:lastRow="0" w:firstColumn="1" w:lastColumn="0" w:noHBand="0" w:noVBand="1"/>
        <w:tblDescription w:val="Table summarising DFAT's response to the recommendations of the evaluation."/>
      </w:tblPr>
      <w:tblGrid>
        <w:gridCol w:w="4514"/>
        <w:gridCol w:w="1669"/>
        <w:gridCol w:w="3433"/>
        <w:gridCol w:w="3225"/>
        <w:gridCol w:w="1734"/>
      </w:tblGrid>
      <w:tr w:rsidR="00B45E72" w:rsidRPr="00443033" w14:paraId="428A6E97" w14:textId="77777777" w:rsidTr="0010402E">
        <w:trPr>
          <w:trHeight w:val="300"/>
          <w:tblHeader/>
        </w:trPr>
        <w:tc>
          <w:tcPr>
            <w:tcW w:w="4514" w:type="dxa"/>
            <w:shd w:val="clear" w:color="auto" w:fill="F1A983" w:themeFill="accent2" w:themeFillTint="99"/>
          </w:tcPr>
          <w:p w14:paraId="6DFE6B8F" w14:textId="77777777" w:rsidR="006B1DB9" w:rsidRPr="00443033" w:rsidRDefault="006B1DB9" w:rsidP="00443033">
            <w:pPr>
              <w:spacing w:after="160" w:line="259" w:lineRule="auto"/>
              <w:rPr>
                <w:b/>
                <w:bCs/>
              </w:rPr>
            </w:pPr>
            <w:r w:rsidRPr="00443033">
              <w:rPr>
                <w:b/>
                <w:bCs/>
              </w:rPr>
              <w:t>Recommendation</w:t>
            </w:r>
          </w:p>
        </w:tc>
        <w:tc>
          <w:tcPr>
            <w:tcW w:w="1669" w:type="dxa"/>
            <w:shd w:val="clear" w:color="auto" w:fill="F1A983" w:themeFill="accent2" w:themeFillTint="99"/>
          </w:tcPr>
          <w:p w14:paraId="54713B2B" w14:textId="77777777" w:rsidR="006B1DB9" w:rsidRPr="00443033" w:rsidRDefault="006B1DB9" w:rsidP="00443033">
            <w:pPr>
              <w:spacing w:after="160" w:line="259" w:lineRule="auto"/>
              <w:rPr>
                <w:b/>
                <w:bCs/>
              </w:rPr>
            </w:pPr>
            <w:r w:rsidRPr="00443033">
              <w:rPr>
                <w:b/>
                <w:bCs/>
              </w:rPr>
              <w:t>Response</w:t>
            </w:r>
          </w:p>
        </w:tc>
        <w:tc>
          <w:tcPr>
            <w:tcW w:w="3433" w:type="dxa"/>
            <w:shd w:val="clear" w:color="auto" w:fill="F1A983" w:themeFill="accent2" w:themeFillTint="99"/>
          </w:tcPr>
          <w:p w14:paraId="16F7C1F5" w14:textId="41942562" w:rsidR="006B1DB9" w:rsidRPr="00443033" w:rsidRDefault="006B1DB9" w:rsidP="00443033">
            <w:pPr>
              <w:spacing w:after="160" w:line="259" w:lineRule="auto"/>
              <w:rPr>
                <w:b/>
                <w:bCs/>
              </w:rPr>
            </w:pPr>
            <w:r>
              <w:rPr>
                <w:b/>
                <w:bCs/>
              </w:rPr>
              <w:t xml:space="preserve">Explanation </w:t>
            </w:r>
          </w:p>
        </w:tc>
        <w:tc>
          <w:tcPr>
            <w:tcW w:w="3225" w:type="dxa"/>
            <w:shd w:val="clear" w:color="auto" w:fill="F1A983" w:themeFill="accent2" w:themeFillTint="99"/>
          </w:tcPr>
          <w:p w14:paraId="2567DF1A" w14:textId="07F14A2D" w:rsidR="006B1DB9" w:rsidRPr="00443033" w:rsidRDefault="006B1DB9" w:rsidP="00443033">
            <w:pPr>
              <w:rPr>
                <w:b/>
                <w:bCs/>
              </w:rPr>
            </w:pPr>
            <w:r w:rsidRPr="00443033">
              <w:rPr>
                <w:b/>
                <w:bCs/>
              </w:rPr>
              <w:t>Action Plan</w:t>
            </w:r>
          </w:p>
        </w:tc>
        <w:tc>
          <w:tcPr>
            <w:tcW w:w="1734" w:type="dxa"/>
            <w:shd w:val="clear" w:color="auto" w:fill="F1A983" w:themeFill="accent2" w:themeFillTint="99"/>
          </w:tcPr>
          <w:p w14:paraId="39D8859B" w14:textId="5E380014" w:rsidR="006B1DB9" w:rsidRPr="00443033" w:rsidRDefault="25DB6E0C" w:rsidP="00443033">
            <w:pPr>
              <w:spacing w:after="160" w:line="259" w:lineRule="auto"/>
              <w:rPr>
                <w:b/>
                <w:bCs/>
              </w:rPr>
            </w:pPr>
            <w:r w:rsidRPr="027A70F2">
              <w:rPr>
                <w:b/>
                <w:bCs/>
              </w:rPr>
              <w:t>Timefram</w:t>
            </w:r>
            <w:r w:rsidR="006B1DB9" w:rsidRPr="027A70F2">
              <w:rPr>
                <w:b/>
                <w:bCs/>
              </w:rPr>
              <w:t>e</w:t>
            </w:r>
          </w:p>
        </w:tc>
      </w:tr>
      <w:tr w:rsidR="00B45E72" w:rsidRPr="00443033" w14:paraId="3F848C94" w14:textId="77777777" w:rsidTr="0010402E">
        <w:trPr>
          <w:trHeight w:val="300"/>
        </w:trPr>
        <w:tc>
          <w:tcPr>
            <w:tcW w:w="4514" w:type="dxa"/>
            <w:tcBorders>
              <w:top w:val="single" w:sz="4" w:space="0" w:color="auto"/>
            </w:tcBorders>
          </w:tcPr>
          <w:p w14:paraId="6A2469D1" w14:textId="28BC65F3" w:rsidR="006B1DB9" w:rsidRPr="006F70B7" w:rsidRDefault="006B1DB9" w:rsidP="004A12E8">
            <w:pPr>
              <w:pStyle w:val="ListParagraph"/>
              <w:numPr>
                <w:ilvl w:val="0"/>
                <w:numId w:val="3"/>
              </w:numPr>
            </w:pPr>
            <w:r w:rsidRPr="006F70B7">
              <w:rPr>
                <w:rFonts w:eastAsiaTheme="minorEastAsia"/>
              </w:rPr>
              <w:t xml:space="preserve">By December 2026, formally extend the program under the existing contractor for four years, with an option to extend for an additional two years based on the outcomes of a mid-cycle review. </w:t>
            </w:r>
            <w:r w:rsidR="000503B4" w:rsidRPr="000503B4">
              <w:rPr>
                <w:rFonts w:eastAsiaTheme="minorEastAsia"/>
                <w:b/>
                <w:bCs/>
                <w:color w:val="156082" w:themeColor="accent1"/>
              </w:rPr>
              <w:t>Current phas</w:t>
            </w:r>
            <w:r w:rsidR="00A9679F">
              <w:rPr>
                <w:rFonts w:eastAsiaTheme="minorEastAsia"/>
                <w:b/>
                <w:bCs/>
                <w:color w:val="156082" w:themeColor="accent1"/>
              </w:rPr>
              <w:t>e</w:t>
            </w:r>
            <w:r w:rsidRPr="006F70B7">
              <w:rPr>
                <w:rFonts w:eastAsiaTheme="minorEastAsia"/>
                <w:b/>
                <w:bCs/>
                <w:color w:val="156082" w:themeColor="accent1"/>
              </w:rPr>
              <w:t xml:space="preserve"> </w:t>
            </w:r>
            <w:r w:rsidRPr="006F70B7">
              <w:rPr>
                <w:b/>
                <w:bCs/>
                <w:color w:val="EE0000"/>
              </w:rPr>
              <w:t>[high]</w:t>
            </w:r>
            <w:r w:rsidRPr="006F70B7">
              <w:t>.</w:t>
            </w:r>
          </w:p>
        </w:tc>
        <w:tc>
          <w:tcPr>
            <w:tcW w:w="1669" w:type="dxa"/>
            <w:tcBorders>
              <w:top w:val="single" w:sz="4" w:space="0" w:color="auto"/>
            </w:tcBorders>
          </w:tcPr>
          <w:p w14:paraId="11FC6719" w14:textId="21DD7ED7" w:rsidR="006B1DB9" w:rsidRPr="006F70B7" w:rsidRDefault="0C30D348" w:rsidP="63B2FAA2">
            <w:pPr>
              <w:spacing w:after="160" w:line="259" w:lineRule="auto"/>
            </w:pPr>
            <w:r>
              <w:t>Agree in-principle</w:t>
            </w:r>
          </w:p>
        </w:tc>
        <w:tc>
          <w:tcPr>
            <w:tcW w:w="3433" w:type="dxa"/>
            <w:tcBorders>
              <w:top w:val="single" w:sz="4" w:space="0" w:color="auto"/>
            </w:tcBorders>
          </w:tcPr>
          <w:p w14:paraId="67954BDA" w14:textId="69EB0556" w:rsidR="006B1DB9" w:rsidRPr="006F70B7" w:rsidRDefault="61BE8A28" w:rsidP="00443033">
            <w:pPr>
              <w:spacing w:after="160" w:line="259" w:lineRule="auto"/>
            </w:pPr>
            <w:r>
              <w:t xml:space="preserve">DFAT remains committed to </w:t>
            </w:r>
            <w:r w:rsidR="31485AF6">
              <w:t xml:space="preserve">building on the </w:t>
            </w:r>
            <w:r w:rsidR="51FF620C">
              <w:t xml:space="preserve">foundational work of </w:t>
            </w:r>
            <w:r w:rsidR="717BE898">
              <w:t xml:space="preserve">IW </w:t>
            </w:r>
            <w:r w:rsidR="51FF620C">
              <w:t xml:space="preserve">over 10 years to </w:t>
            </w:r>
            <w:r>
              <w:t xml:space="preserve">support </w:t>
            </w:r>
            <w:r w:rsidR="05C20F1F">
              <w:t xml:space="preserve">women’s economic empowerment </w:t>
            </w:r>
            <w:r w:rsidR="12A9F25B">
              <w:t>in targeted countries in Southeast Asia</w:t>
            </w:r>
            <w:r w:rsidR="4753D88E">
              <w:t xml:space="preserve">, consistent with the </w:t>
            </w:r>
            <w:r w:rsidR="4753D88E" w:rsidRPr="0008499B">
              <w:rPr>
                <w:i/>
                <w:iCs/>
              </w:rPr>
              <w:t>International Development Policy</w:t>
            </w:r>
            <w:r w:rsidR="4753D88E">
              <w:t xml:space="preserve"> and </w:t>
            </w:r>
            <w:r w:rsidR="4753D88E" w:rsidRPr="0008499B">
              <w:rPr>
                <w:i/>
                <w:iCs/>
              </w:rPr>
              <w:t>Invested 2040</w:t>
            </w:r>
            <w:r w:rsidR="00A529E2" w:rsidRPr="00A529E2">
              <w:t xml:space="preserve">. </w:t>
            </w:r>
          </w:p>
        </w:tc>
        <w:tc>
          <w:tcPr>
            <w:tcW w:w="3225" w:type="dxa"/>
            <w:tcBorders>
              <w:top w:val="single" w:sz="4" w:space="0" w:color="auto"/>
            </w:tcBorders>
          </w:tcPr>
          <w:p w14:paraId="73403682" w14:textId="11C74B8F" w:rsidR="006B1DB9" w:rsidRPr="006F70B7" w:rsidRDefault="25DB6E0C" w:rsidP="00443033">
            <w:r>
              <w:t>DFAT will consult internal geographic</w:t>
            </w:r>
            <w:r w:rsidR="172127F7">
              <w:t>,</w:t>
            </w:r>
            <w:r>
              <w:t xml:space="preserve"> thematic</w:t>
            </w:r>
            <w:r w:rsidR="2E64564A">
              <w:t xml:space="preserve"> and program enabling</w:t>
            </w:r>
            <w:r>
              <w:t xml:space="preserve"> areas regarding extension of the program</w:t>
            </w:r>
            <w:r w:rsidR="18FA9042">
              <w:t xml:space="preserve"> under the current contract</w:t>
            </w:r>
            <w:r>
              <w:t xml:space="preserve">, with </w:t>
            </w:r>
            <w:r w:rsidR="491A3338">
              <w:t xml:space="preserve">funding, </w:t>
            </w:r>
            <w:r>
              <w:t>scope and timeframes to be determined.</w:t>
            </w:r>
          </w:p>
        </w:tc>
        <w:tc>
          <w:tcPr>
            <w:tcW w:w="1734" w:type="dxa"/>
            <w:tcBorders>
              <w:top w:val="single" w:sz="4" w:space="0" w:color="auto"/>
            </w:tcBorders>
          </w:tcPr>
          <w:p w14:paraId="658BCEAC" w14:textId="4DDA8F8E" w:rsidR="006B1DB9" w:rsidRPr="006F70B7" w:rsidRDefault="26732FFF" w:rsidP="63B2FAA2">
            <w:pPr>
              <w:spacing w:after="160" w:line="259" w:lineRule="auto"/>
            </w:pPr>
            <w:r>
              <w:t xml:space="preserve">By </w:t>
            </w:r>
            <w:r w:rsidR="00CF611D">
              <w:t>August</w:t>
            </w:r>
            <w:r>
              <w:t xml:space="preserve"> 2026</w:t>
            </w:r>
          </w:p>
        </w:tc>
      </w:tr>
      <w:tr w:rsidR="00B45E72" w:rsidRPr="00443033" w14:paraId="0FB03913" w14:textId="77777777" w:rsidTr="0010402E">
        <w:trPr>
          <w:trHeight w:val="300"/>
        </w:trPr>
        <w:tc>
          <w:tcPr>
            <w:tcW w:w="4514" w:type="dxa"/>
          </w:tcPr>
          <w:p w14:paraId="3C89FECC" w14:textId="11C962F0" w:rsidR="006B1DB9" w:rsidRPr="006F70B7" w:rsidRDefault="006B1DB9" w:rsidP="004A12E8">
            <w:pPr>
              <w:pStyle w:val="ListParagraph"/>
              <w:numPr>
                <w:ilvl w:val="0"/>
                <w:numId w:val="3"/>
              </w:numPr>
            </w:pPr>
            <w:r w:rsidRPr="006F70B7">
              <w:t xml:space="preserve">Commencing in the second half of 2026, conduct an independent design process to recalibrate IW against DFAT's regional and bilateral priorities while considering options for expansion where relevant </w:t>
            </w:r>
            <w:r w:rsidRPr="006F70B7">
              <w:lastRenderedPageBreak/>
              <w:t xml:space="preserve">demand is clear. This design process should ensure that country specific program strategies are developed in close alignment with Post DPPs and bilateral priorities, while preserving the cross-country coherence and synergies that underpin IW's overarching Theory of Change. </w:t>
            </w:r>
            <w:r w:rsidR="00A9679F" w:rsidRPr="00A9679F">
              <w:rPr>
                <w:rFonts w:eastAsiaTheme="minorEastAsia"/>
                <w:b/>
                <w:bCs/>
                <w:color w:val="156082" w:themeColor="accent1"/>
              </w:rPr>
              <w:t>Current phas</w:t>
            </w:r>
            <w:r w:rsidR="00A9679F">
              <w:rPr>
                <w:rFonts w:eastAsiaTheme="minorEastAsia"/>
                <w:b/>
                <w:bCs/>
                <w:color w:val="156082" w:themeColor="accent1"/>
              </w:rPr>
              <w:t>e</w:t>
            </w:r>
            <w:r w:rsidRPr="006F70B7">
              <w:rPr>
                <w:b/>
                <w:bCs/>
                <w:color w:val="EE0000"/>
              </w:rPr>
              <w:t xml:space="preserve"> [high]</w:t>
            </w:r>
          </w:p>
        </w:tc>
        <w:tc>
          <w:tcPr>
            <w:tcW w:w="1669" w:type="dxa"/>
          </w:tcPr>
          <w:p w14:paraId="1500AA75" w14:textId="7EDA0543" w:rsidR="006B1DB9" w:rsidRPr="006F70B7" w:rsidRDefault="66AD12A7" w:rsidP="00AD3A7C">
            <w:pPr>
              <w:spacing w:after="160" w:line="259" w:lineRule="auto"/>
            </w:pPr>
            <w:r>
              <w:lastRenderedPageBreak/>
              <w:t xml:space="preserve"> Agree in-principle</w:t>
            </w:r>
          </w:p>
        </w:tc>
        <w:tc>
          <w:tcPr>
            <w:tcW w:w="3433" w:type="dxa"/>
          </w:tcPr>
          <w:p w14:paraId="559815E1" w14:textId="3E82E306" w:rsidR="006B1DB9" w:rsidRPr="006F70B7" w:rsidRDefault="3E554F1C" w:rsidP="00AD3A7C">
            <w:r w:rsidRPr="45235594">
              <w:rPr>
                <w:lang w:val="en-US"/>
              </w:rPr>
              <w:t xml:space="preserve">Subject to a decision in response to Recommendation 1, </w:t>
            </w:r>
            <w:r w:rsidR="757AAF82" w:rsidRPr="45235594">
              <w:rPr>
                <w:lang w:val="en-US"/>
              </w:rPr>
              <w:t xml:space="preserve">DFAT supports </w:t>
            </w:r>
            <w:r w:rsidR="49B4CC56" w:rsidRPr="6D644328">
              <w:rPr>
                <w:lang w:val="en-US"/>
              </w:rPr>
              <w:t>further</w:t>
            </w:r>
            <w:r w:rsidR="757AAF82" w:rsidRPr="45235594">
              <w:rPr>
                <w:lang w:val="en-US"/>
              </w:rPr>
              <w:t xml:space="preserve"> strengthen</w:t>
            </w:r>
            <w:r w:rsidR="084E485D" w:rsidRPr="45235594">
              <w:rPr>
                <w:lang w:val="en-US"/>
              </w:rPr>
              <w:t>ing</w:t>
            </w:r>
            <w:r w:rsidR="757AAF82" w:rsidRPr="45235594">
              <w:rPr>
                <w:lang w:val="en-US"/>
              </w:rPr>
              <w:t xml:space="preserve"> alignment with regional and bilateral priorities and </w:t>
            </w:r>
            <w:proofErr w:type="gramStart"/>
            <w:r w:rsidR="757AAF82" w:rsidRPr="45235594">
              <w:rPr>
                <w:lang w:val="en-US"/>
              </w:rPr>
              <w:t>ensure</w:t>
            </w:r>
            <w:proofErr w:type="gramEnd"/>
            <w:r w:rsidR="757AAF82" w:rsidRPr="45235594">
              <w:rPr>
                <w:lang w:val="en-US"/>
              </w:rPr>
              <w:t xml:space="preserve"> </w:t>
            </w:r>
            <w:r w:rsidR="757AAF82" w:rsidRPr="45235594">
              <w:rPr>
                <w:lang w:val="en-US"/>
              </w:rPr>
              <w:lastRenderedPageBreak/>
              <w:t>country strategies align with DPPs</w:t>
            </w:r>
            <w:r w:rsidR="230DE3FE" w:rsidRPr="45235594">
              <w:rPr>
                <w:lang w:val="en-US"/>
              </w:rPr>
              <w:t>,</w:t>
            </w:r>
            <w:r w:rsidR="757AAF82" w:rsidRPr="45235594">
              <w:rPr>
                <w:lang w:val="en-US"/>
              </w:rPr>
              <w:t xml:space="preserve"> while maintaining cross-country coherence.</w:t>
            </w:r>
          </w:p>
        </w:tc>
        <w:tc>
          <w:tcPr>
            <w:tcW w:w="3225" w:type="dxa"/>
          </w:tcPr>
          <w:p w14:paraId="457F3701" w14:textId="04091622" w:rsidR="006B1DB9" w:rsidRPr="006F70B7" w:rsidRDefault="0048028A" w:rsidP="00443033">
            <w:r>
              <w:rPr>
                <w:lang w:val="en-US"/>
              </w:rPr>
              <w:lastRenderedPageBreak/>
              <w:t>S</w:t>
            </w:r>
            <w:r w:rsidRPr="027A70F2">
              <w:rPr>
                <w:lang w:val="en-US"/>
              </w:rPr>
              <w:t xml:space="preserve">ubject to the outcome of </w:t>
            </w:r>
            <w:r w:rsidRPr="00DF51E9">
              <w:rPr>
                <w:lang w:val="en-US"/>
              </w:rPr>
              <w:t>Recommendation 1, f</w:t>
            </w:r>
            <w:r w:rsidR="690AFD92" w:rsidRPr="00DF51E9">
              <w:rPr>
                <w:lang w:val="en-US"/>
              </w:rPr>
              <w:t>rom the second half of 2026, DFAT will</w:t>
            </w:r>
            <w:r w:rsidR="00741392" w:rsidRPr="00DF51E9">
              <w:rPr>
                <w:lang w:val="en-US"/>
              </w:rPr>
              <w:t xml:space="preserve"> </w:t>
            </w:r>
            <w:r w:rsidR="0068666A" w:rsidRPr="00DF51E9">
              <w:rPr>
                <w:lang w:val="en-US"/>
              </w:rPr>
              <w:t xml:space="preserve">undertake </w:t>
            </w:r>
            <w:r w:rsidR="00F46E41" w:rsidRPr="00DF51E9">
              <w:rPr>
                <w:lang w:val="en-US"/>
              </w:rPr>
              <w:t xml:space="preserve">an extension update process </w:t>
            </w:r>
            <w:r w:rsidR="0068666A" w:rsidRPr="00DF51E9">
              <w:rPr>
                <w:lang w:val="en-US"/>
              </w:rPr>
              <w:t xml:space="preserve">and will </w:t>
            </w:r>
            <w:r w:rsidR="00741392" w:rsidRPr="00DF51E9">
              <w:rPr>
                <w:lang w:val="en-US"/>
              </w:rPr>
              <w:t xml:space="preserve">integrate </w:t>
            </w:r>
            <w:r w:rsidR="00741392" w:rsidRPr="00DF51E9">
              <w:rPr>
                <w:lang w:val="en-US"/>
              </w:rPr>
              <w:lastRenderedPageBreak/>
              <w:t>country specific plans into the implementation of the extension.</w:t>
            </w:r>
            <w:r w:rsidR="00741392">
              <w:rPr>
                <w:lang w:val="en-US"/>
              </w:rPr>
              <w:t xml:space="preserve">  </w:t>
            </w:r>
            <w:r w:rsidR="690AFD92" w:rsidRPr="027A70F2">
              <w:rPr>
                <w:lang w:val="en-US"/>
              </w:rPr>
              <w:t xml:space="preserve"> </w:t>
            </w:r>
          </w:p>
        </w:tc>
        <w:tc>
          <w:tcPr>
            <w:tcW w:w="1734" w:type="dxa"/>
          </w:tcPr>
          <w:p w14:paraId="468C4E9A" w14:textId="59523386" w:rsidR="006B1DB9" w:rsidRPr="006F70B7" w:rsidRDefault="007662AE" w:rsidP="00443033">
            <w:r>
              <w:lastRenderedPageBreak/>
              <w:t>Design completed b</w:t>
            </w:r>
            <w:r w:rsidR="006B1DB9" w:rsidRPr="006F70B7">
              <w:t>y November 2026</w:t>
            </w:r>
          </w:p>
        </w:tc>
      </w:tr>
      <w:tr w:rsidR="00B45E72" w:rsidRPr="00443033" w14:paraId="5C5DC63F" w14:textId="77777777" w:rsidTr="0010402E">
        <w:trPr>
          <w:trHeight w:val="4065"/>
        </w:trPr>
        <w:tc>
          <w:tcPr>
            <w:tcW w:w="4514" w:type="dxa"/>
            <w:tcBorders>
              <w:bottom w:val="single" w:sz="4" w:space="0" w:color="auto"/>
            </w:tcBorders>
          </w:tcPr>
          <w:p w14:paraId="768A3A2F" w14:textId="035DD507" w:rsidR="006B1DB9" w:rsidRPr="006F70B7" w:rsidRDefault="006B1DB9" w:rsidP="004A12E8">
            <w:pPr>
              <w:pStyle w:val="ListParagraph"/>
              <w:numPr>
                <w:ilvl w:val="0"/>
                <w:numId w:val="3"/>
              </w:numPr>
            </w:pPr>
            <w:r w:rsidRPr="006F70B7">
              <w:rPr>
                <w:rFonts w:eastAsiaTheme="minorEastAsia"/>
              </w:rPr>
              <w:t>During the remainder of this phase, IW should take a more deliberate and opportunistic approach to regional engagement, leveraging existing work including research outputs, SNAPS findings and MERL products to contribute to relevant regional forums and showcase country-level results through ASEAN, APEC and the Invested 2040 channels. A more substantive regional focus beyond multi-country, with dedicated resourcing and an explicit regional strategy should be embedded into the next phase's design and Theory of Change. </w:t>
            </w:r>
            <w:r w:rsidR="00A9679F" w:rsidRPr="00A9679F">
              <w:rPr>
                <w:rFonts w:eastAsiaTheme="minorEastAsia"/>
                <w:b/>
                <w:bCs/>
                <w:color w:val="156082" w:themeColor="accent1"/>
              </w:rPr>
              <w:t>Current phas</w:t>
            </w:r>
            <w:r w:rsidR="00A9679F">
              <w:rPr>
                <w:rFonts w:eastAsiaTheme="minorEastAsia"/>
                <w:b/>
                <w:bCs/>
                <w:color w:val="156082" w:themeColor="accent1"/>
              </w:rPr>
              <w:t>e</w:t>
            </w:r>
          </w:p>
        </w:tc>
        <w:tc>
          <w:tcPr>
            <w:tcW w:w="1669" w:type="dxa"/>
            <w:tcBorders>
              <w:bottom w:val="single" w:sz="4" w:space="0" w:color="auto"/>
            </w:tcBorders>
          </w:tcPr>
          <w:p w14:paraId="2FE70454" w14:textId="416BE97C" w:rsidR="006B1DB9" w:rsidRPr="006F70B7" w:rsidRDefault="24E3E43C" w:rsidP="00443033">
            <w:r>
              <w:t xml:space="preserve"> Agree</w:t>
            </w:r>
          </w:p>
        </w:tc>
        <w:tc>
          <w:tcPr>
            <w:tcW w:w="3433" w:type="dxa"/>
            <w:tcBorders>
              <w:bottom w:val="single" w:sz="4" w:space="0" w:color="auto"/>
            </w:tcBorders>
          </w:tcPr>
          <w:p w14:paraId="4C9DC9AE" w14:textId="3404598C" w:rsidR="006B1DB9" w:rsidRPr="006F70B7" w:rsidRDefault="757AAF82" w:rsidP="00AD3A7C">
            <w:r w:rsidRPr="45235594">
              <w:rPr>
                <w:lang w:val="en-US"/>
              </w:rPr>
              <w:t xml:space="preserve">DFAT supports increased regional engagement </w:t>
            </w:r>
            <w:r w:rsidR="433A700C" w:rsidRPr="45235594">
              <w:rPr>
                <w:lang w:val="en-US"/>
              </w:rPr>
              <w:t xml:space="preserve">commencing </w:t>
            </w:r>
            <w:r w:rsidRPr="45235594">
              <w:rPr>
                <w:lang w:val="en-US"/>
              </w:rPr>
              <w:t xml:space="preserve">during the remainder of the current phase, </w:t>
            </w:r>
            <w:r w:rsidR="06C8D014" w:rsidRPr="45235594">
              <w:rPr>
                <w:lang w:val="en-US"/>
              </w:rPr>
              <w:t>with</w:t>
            </w:r>
            <w:r w:rsidR="223E2525" w:rsidRPr="45235594">
              <w:rPr>
                <w:lang w:val="en-US"/>
              </w:rPr>
              <w:t>in the scope of</w:t>
            </w:r>
            <w:r w:rsidR="06C8D014" w:rsidRPr="45235594">
              <w:rPr>
                <w:lang w:val="en-US"/>
              </w:rPr>
              <w:t xml:space="preserve"> existing resources. Regional focus for any Phase 2 extension to be considered in the Phase 2 extension </w:t>
            </w:r>
            <w:r w:rsidR="004F0DDA" w:rsidRPr="45235594">
              <w:rPr>
                <w:lang w:val="en-US"/>
              </w:rPr>
              <w:t xml:space="preserve">design </w:t>
            </w:r>
            <w:r w:rsidR="06C8D014" w:rsidRPr="45235594">
              <w:rPr>
                <w:lang w:val="en-US"/>
              </w:rPr>
              <w:t>(Recommendation 2)</w:t>
            </w:r>
            <w:r w:rsidR="48DB9AE1" w:rsidRPr="45235594">
              <w:rPr>
                <w:lang w:val="en-US"/>
              </w:rPr>
              <w:t xml:space="preserve">, including in </w:t>
            </w:r>
            <w:r w:rsidR="43CF6F60" w:rsidRPr="45235594">
              <w:rPr>
                <w:lang w:val="en-US"/>
              </w:rPr>
              <w:t>Terms of Reference</w:t>
            </w:r>
            <w:r w:rsidR="7E699714" w:rsidRPr="45235594">
              <w:rPr>
                <w:lang w:val="en-US"/>
              </w:rPr>
              <w:t xml:space="preserve"> for the design</w:t>
            </w:r>
            <w:r w:rsidR="06C8D014" w:rsidRPr="45235594">
              <w:rPr>
                <w:lang w:val="en-US"/>
              </w:rPr>
              <w:t>.</w:t>
            </w:r>
            <w:r w:rsidR="08AEF950" w:rsidRPr="45235594">
              <w:rPr>
                <w:lang w:val="en-US"/>
              </w:rPr>
              <w:t xml:space="preserve"> </w:t>
            </w:r>
          </w:p>
        </w:tc>
        <w:tc>
          <w:tcPr>
            <w:tcW w:w="3225" w:type="dxa"/>
            <w:tcBorders>
              <w:bottom w:val="single" w:sz="4" w:space="0" w:color="auto"/>
            </w:tcBorders>
          </w:tcPr>
          <w:p w14:paraId="3573A752" w14:textId="6D1C8DBE" w:rsidR="006B1DB9" w:rsidRPr="006F70B7" w:rsidRDefault="009824E4" w:rsidP="00443033">
            <w:r>
              <w:t xml:space="preserve">To be reflected in </w:t>
            </w:r>
            <w:r w:rsidR="00E01D60">
              <w:t>IW Annual Plan 2026-27</w:t>
            </w:r>
            <w:r w:rsidR="003360FC">
              <w:t>.</w:t>
            </w:r>
          </w:p>
        </w:tc>
        <w:tc>
          <w:tcPr>
            <w:tcW w:w="1734" w:type="dxa"/>
            <w:tcBorders>
              <w:bottom w:val="single" w:sz="4" w:space="0" w:color="auto"/>
            </w:tcBorders>
          </w:tcPr>
          <w:p w14:paraId="5C4EF6C5" w14:textId="135518AB" w:rsidR="006B1DB9" w:rsidRPr="006F70B7" w:rsidRDefault="3ACFBC7B" w:rsidP="008C5831">
            <w:r>
              <w:t xml:space="preserve">Action Plan by </w:t>
            </w:r>
            <w:r w:rsidR="5E8FE785">
              <w:t>July</w:t>
            </w:r>
            <w:r>
              <w:t xml:space="preserve"> 2026. </w:t>
            </w:r>
            <w:r w:rsidR="008C5831">
              <w:br/>
            </w:r>
            <w:r w:rsidR="008C5831">
              <w:br/>
            </w:r>
            <w:r w:rsidR="61695AFF">
              <w:t>Implement</w:t>
            </w:r>
            <w:r w:rsidR="002B78A0">
              <w:t>ation</w:t>
            </w:r>
            <w:r w:rsidR="61695AFF">
              <w:t xml:space="preserve"> in FY</w:t>
            </w:r>
            <w:r w:rsidR="00EE174E">
              <w:t xml:space="preserve"> </w:t>
            </w:r>
            <w:r w:rsidR="61695AFF">
              <w:t xml:space="preserve">2026-27. </w:t>
            </w:r>
          </w:p>
        </w:tc>
      </w:tr>
    </w:tbl>
    <w:p w14:paraId="6EC57B62" w14:textId="77777777" w:rsidR="00FD12E2" w:rsidRDefault="00FD12E2">
      <w:pPr>
        <w:rPr>
          <w:sz w:val="2"/>
          <w:szCs w:val="2"/>
        </w:rPr>
      </w:pPr>
    </w:p>
    <w:p w14:paraId="069788D1" w14:textId="3F86379A" w:rsidR="006E1A69" w:rsidRPr="006E1A69" w:rsidRDefault="006E1A69" w:rsidP="0091289D">
      <w:pPr>
        <w:pStyle w:val="Heading2"/>
      </w:pPr>
      <w:r>
        <w:t>Coherence</w:t>
      </w:r>
    </w:p>
    <w:tbl>
      <w:tblPr>
        <w:tblStyle w:val="TableGrid"/>
        <w:tblW w:w="14575" w:type="dxa"/>
        <w:tblInd w:w="-147" w:type="dxa"/>
        <w:tblLook w:val="04A0" w:firstRow="1" w:lastRow="0" w:firstColumn="1" w:lastColumn="0" w:noHBand="0" w:noVBand="1"/>
        <w:tblDescription w:val="Table summarising DFAT's response to the recommendations of the evaluation."/>
      </w:tblPr>
      <w:tblGrid>
        <w:gridCol w:w="4514"/>
        <w:gridCol w:w="1669"/>
        <w:gridCol w:w="3433"/>
        <w:gridCol w:w="3225"/>
        <w:gridCol w:w="1734"/>
      </w:tblGrid>
      <w:tr w:rsidR="006E1A69" w:rsidRPr="00443033" w14:paraId="050F36A1" w14:textId="77777777">
        <w:trPr>
          <w:trHeight w:val="300"/>
          <w:tblHeader/>
        </w:trPr>
        <w:tc>
          <w:tcPr>
            <w:tcW w:w="4514" w:type="dxa"/>
            <w:shd w:val="clear" w:color="auto" w:fill="F1A983" w:themeFill="accent2" w:themeFillTint="99"/>
          </w:tcPr>
          <w:p w14:paraId="7F3E3BE9" w14:textId="77777777" w:rsidR="006E1A69" w:rsidRPr="00443033" w:rsidRDefault="006E1A69">
            <w:pPr>
              <w:spacing w:after="160" w:line="259" w:lineRule="auto"/>
              <w:rPr>
                <w:b/>
                <w:bCs/>
              </w:rPr>
            </w:pPr>
            <w:r w:rsidRPr="00443033">
              <w:rPr>
                <w:b/>
                <w:bCs/>
              </w:rPr>
              <w:t>Recommendation</w:t>
            </w:r>
          </w:p>
        </w:tc>
        <w:tc>
          <w:tcPr>
            <w:tcW w:w="1669" w:type="dxa"/>
            <w:shd w:val="clear" w:color="auto" w:fill="F1A983" w:themeFill="accent2" w:themeFillTint="99"/>
          </w:tcPr>
          <w:p w14:paraId="118D4339" w14:textId="77777777" w:rsidR="006E1A69" w:rsidRPr="00443033" w:rsidRDefault="006E1A69">
            <w:pPr>
              <w:spacing w:after="160" w:line="259" w:lineRule="auto"/>
              <w:rPr>
                <w:b/>
                <w:bCs/>
              </w:rPr>
            </w:pPr>
            <w:r w:rsidRPr="00443033">
              <w:rPr>
                <w:b/>
                <w:bCs/>
              </w:rPr>
              <w:t>Response</w:t>
            </w:r>
          </w:p>
        </w:tc>
        <w:tc>
          <w:tcPr>
            <w:tcW w:w="3433" w:type="dxa"/>
            <w:shd w:val="clear" w:color="auto" w:fill="F1A983" w:themeFill="accent2" w:themeFillTint="99"/>
          </w:tcPr>
          <w:p w14:paraId="735892A2" w14:textId="77777777" w:rsidR="006E1A69" w:rsidRPr="00443033" w:rsidRDefault="006E1A69">
            <w:pPr>
              <w:spacing w:after="160" w:line="259" w:lineRule="auto"/>
              <w:rPr>
                <w:b/>
                <w:bCs/>
              </w:rPr>
            </w:pPr>
            <w:r>
              <w:rPr>
                <w:b/>
                <w:bCs/>
              </w:rPr>
              <w:t xml:space="preserve">Explanation </w:t>
            </w:r>
          </w:p>
        </w:tc>
        <w:tc>
          <w:tcPr>
            <w:tcW w:w="3225" w:type="dxa"/>
            <w:shd w:val="clear" w:color="auto" w:fill="F1A983" w:themeFill="accent2" w:themeFillTint="99"/>
          </w:tcPr>
          <w:p w14:paraId="27FE4225" w14:textId="77777777" w:rsidR="006E1A69" w:rsidRPr="00443033" w:rsidRDefault="006E1A69">
            <w:pPr>
              <w:rPr>
                <w:b/>
                <w:bCs/>
              </w:rPr>
            </w:pPr>
            <w:r w:rsidRPr="00443033">
              <w:rPr>
                <w:b/>
                <w:bCs/>
              </w:rPr>
              <w:t>Action Plan</w:t>
            </w:r>
          </w:p>
        </w:tc>
        <w:tc>
          <w:tcPr>
            <w:tcW w:w="1734" w:type="dxa"/>
            <w:shd w:val="clear" w:color="auto" w:fill="F1A983" w:themeFill="accent2" w:themeFillTint="99"/>
          </w:tcPr>
          <w:p w14:paraId="603C517E" w14:textId="77777777" w:rsidR="006E1A69" w:rsidRPr="00443033" w:rsidRDefault="006E1A69">
            <w:pPr>
              <w:spacing w:after="160" w:line="259" w:lineRule="auto"/>
              <w:rPr>
                <w:b/>
                <w:bCs/>
              </w:rPr>
            </w:pPr>
            <w:r w:rsidRPr="027A70F2">
              <w:rPr>
                <w:b/>
                <w:bCs/>
              </w:rPr>
              <w:t>Timeframe</w:t>
            </w:r>
          </w:p>
        </w:tc>
      </w:tr>
      <w:tr w:rsidR="00B45E72" w:rsidRPr="00443033" w14:paraId="5121D08E" w14:textId="77777777" w:rsidTr="0010402E">
        <w:trPr>
          <w:trHeight w:val="300"/>
        </w:trPr>
        <w:tc>
          <w:tcPr>
            <w:tcW w:w="4514" w:type="dxa"/>
            <w:tcBorders>
              <w:top w:val="single" w:sz="4" w:space="0" w:color="auto"/>
            </w:tcBorders>
          </w:tcPr>
          <w:p w14:paraId="3B0F853F" w14:textId="1189E05C" w:rsidR="006B1DB9" w:rsidRPr="006F70B7" w:rsidRDefault="006B1DB9" w:rsidP="004A12E8">
            <w:pPr>
              <w:pStyle w:val="ListParagraph"/>
              <w:numPr>
                <w:ilvl w:val="0"/>
                <w:numId w:val="3"/>
              </w:numPr>
            </w:pPr>
            <w:r w:rsidRPr="006F70B7">
              <w:rPr>
                <w:rFonts w:eastAsiaTheme="minorEastAsia"/>
              </w:rPr>
              <w:t xml:space="preserve">A future phase should embed joint strategy development as a structural feature of program design, bringing workstream leads together at the outset </w:t>
            </w:r>
            <w:r w:rsidRPr="006F70B7">
              <w:rPr>
                <w:rFonts w:eastAsiaTheme="minorEastAsia"/>
              </w:rPr>
              <w:lastRenderedPageBreak/>
              <w:t>to identify shared objectives, audiences, complementary entry points and partner relationships that can serve more than one workstream. Coherence should be designed in from the start rather than coordinated during delivery to maximise program-wide effectiveness and reinforce mutually reinforcing pathways to impact. </w:t>
            </w:r>
            <w:r w:rsidR="007D765B" w:rsidRPr="007D765B">
              <w:rPr>
                <w:b/>
                <w:bCs/>
                <w:color w:val="9C2400"/>
              </w:rPr>
              <w:t>Option period</w:t>
            </w:r>
          </w:p>
        </w:tc>
        <w:tc>
          <w:tcPr>
            <w:tcW w:w="1669" w:type="dxa"/>
            <w:tcBorders>
              <w:top w:val="single" w:sz="4" w:space="0" w:color="auto"/>
            </w:tcBorders>
          </w:tcPr>
          <w:p w14:paraId="5D7799A0" w14:textId="4C105AB2" w:rsidR="006B1DB9" w:rsidRPr="00DA332F" w:rsidRDefault="25DB6E0C" w:rsidP="00443033">
            <w:r>
              <w:lastRenderedPageBreak/>
              <w:t>Agree</w:t>
            </w:r>
            <w:r w:rsidR="657D00DD">
              <w:t xml:space="preserve"> in-principle</w:t>
            </w:r>
          </w:p>
        </w:tc>
        <w:tc>
          <w:tcPr>
            <w:tcW w:w="3433" w:type="dxa"/>
            <w:tcBorders>
              <w:top w:val="single" w:sz="4" w:space="0" w:color="auto"/>
            </w:tcBorders>
          </w:tcPr>
          <w:p w14:paraId="504D83DD" w14:textId="68C0D388" w:rsidR="006B1DB9" w:rsidRPr="006F70B7" w:rsidRDefault="006D6683" w:rsidP="001E7FEB">
            <w:r w:rsidRPr="006D6683">
              <w:t>DFAT supports greater coherence being established at the design phase, should a Phase 2 extension proceed.</w:t>
            </w:r>
          </w:p>
        </w:tc>
        <w:tc>
          <w:tcPr>
            <w:tcW w:w="3225" w:type="dxa"/>
            <w:tcBorders>
              <w:top w:val="single" w:sz="4" w:space="0" w:color="auto"/>
            </w:tcBorders>
          </w:tcPr>
          <w:p w14:paraId="59C03803" w14:textId="60ACB6CD" w:rsidR="0047298D" w:rsidRDefault="0047298D" w:rsidP="00443033">
            <w:r w:rsidRPr="00DF51E9">
              <w:t xml:space="preserve">DFAT will consider embedding joint strategy development </w:t>
            </w:r>
            <w:r w:rsidR="006D6683">
              <w:t xml:space="preserve">in any </w:t>
            </w:r>
            <w:r w:rsidRPr="00DF51E9">
              <w:t>Phase 2 extension</w:t>
            </w:r>
            <w:r w:rsidR="00887D23">
              <w:t xml:space="preserve">, through </w:t>
            </w:r>
            <w:r w:rsidR="00887D23">
              <w:lastRenderedPageBreak/>
              <w:t>the design process</w:t>
            </w:r>
            <w:r w:rsidRPr="00DF51E9">
              <w:t xml:space="preserve"> and IW Annual Plans.</w:t>
            </w:r>
          </w:p>
        </w:tc>
        <w:tc>
          <w:tcPr>
            <w:tcW w:w="1734" w:type="dxa"/>
            <w:tcBorders>
              <w:top w:val="single" w:sz="4" w:space="0" w:color="auto"/>
            </w:tcBorders>
          </w:tcPr>
          <w:p w14:paraId="48C88EF9" w14:textId="55FFAEBB" w:rsidR="006B1DB9" w:rsidRPr="006F70B7" w:rsidRDefault="693D35BB" w:rsidP="00443033">
            <w:r>
              <w:lastRenderedPageBreak/>
              <w:t xml:space="preserve">By November 2026 </w:t>
            </w:r>
          </w:p>
        </w:tc>
      </w:tr>
      <w:tr w:rsidR="00B45E72" w:rsidRPr="00443033" w14:paraId="21298210" w14:textId="77777777" w:rsidTr="0010402E">
        <w:trPr>
          <w:trHeight w:val="300"/>
        </w:trPr>
        <w:tc>
          <w:tcPr>
            <w:tcW w:w="4514" w:type="dxa"/>
          </w:tcPr>
          <w:p w14:paraId="194AB938" w14:textId="623F480B" w:rsidR="006B1DB9" w:rsidRPr="006F70B7" w:rsidRDefault="006B1DB9" w:rsidP="004A12E8">
            <w:pPr>
              <w:pStyle w:val="ListParagraph"/>
              <w:numPr>
                <w:ilvl w:val="0"/>
                <w:numId w:val="3"/>
              </w:numPr>
            </w:pPr>
            <w:r w:rsidRPr="006F70B7">
              <w:rPr>
                <w:rFonts w:eastAsiaTheme="minorEastAsia"/>
              </w:rPr>
              <w:t>For the remainder of the current phase, IW should identify and prioritise the specific cross-workstream connections most likely to generate compounding impact, particularly the W3/W1 normative-to-workplace pathway, the W4/W1 investment pipeline opportunity, and the W2/W4 care economy and GLI alignment in Vietnam and dedicate explicit coordination capacity to realising these synergies.</w:t>
            </w:r>
            <w:r w:rsidRPr="006F70B7">
              <w:rPr>
                <w:rFonts w:eastAsiaTheme="minorEastAsia" w:hint="eastAsia"/>
              </w:rPr>
              <w:t> </w:t>
            </w:r>
            <w:r w:rsidR="00B72EF1" w:rsidRPr="00B72EF1">
              <w:rPr>
                <w:b/>
                <w:bCs/>
                <w:color w:val="3A7C22" w:themeColor="accent6" w:themeShade="BF"/>
              </w:rPr>
              <w:t>Both phases</w:t>
            </w:r>
          </w:p>
        </w:tc>
        <w:tc>
          <w:tcPr>
            <w:tcW w:w="1669" w:type="dxa"/>
          </w:tcPr>
          <w:p w14:paraId="62B066D1" w14:textId="4524E612" w:rsidR="006B1DB9" w:rsidRPr="00BE1C6A" w:rsidRDefault="119D0F86" w:rsidP="00443033">
            <w:r>
              <w:t>Agree</w:t>
            </w:r>
          </w:p>
        </w:tc>
        <w:tc>
          <w:tcPr>
            <w:tcW w:w="3433" w:type="dxa"/>
          </w:tcPr>
          <w:p w14:paraId="24655916" w14:textId="65A79A86" w:rsidR="006B1DB9" w:rsidRPr="006F70B7" w:rsidRDefault="25DB6E0C" w:rsidP="00AD3A7C">
            <w:r w:rsidRPr="027A70F2">
              <w:rPr>
                <w:lang w:val="en-US"/>
              </w:rPr>
              <w:t xml:space="preserve">DFAT </w:t>
            </w:r>
            <w:proofErr w:type="spellStart"/>
            <w:r w:rsidRPr="027A70F2">
              <w:rPr>
                <w:lang w:val="en-US"/>
              </w:rPr>
              <w:t>recognises</w:t>
            </w:r>
            <w:proofErr w:type="spellEnd"/>
            <w:r w:rsidRPr="027A70F2">
              <w:rPr>
                <w:lang w:val="en-US"/>
              </w:rPr>
              <w:t xml:space="preserve"> the value of strengthening cross-workstream linkages </w:t>
            </w:r>
            <w:r w:rsidR="0BA573D7" w:rsidRPr="027A70F2">
              <w:rPr>
                <w:lang w:val="en-US"/>
              </w:rPr>
              <w:t xml:space="preserve">in 2026-27 </w:t>
            </w:r>
            <w:r w:rsidRPr="027A70F2">
              <w:rPr>
                <w:lang w:val="en-US"/>
              </w:rPr>
              <w:t>where these are practical and likely to deliver added impact</w:t>
            </w:r>
            <w:r w:rsidR="014F4757" w:rsidRPr="027A70F2">
              <w:rPr>
                <w:lang w:val="en-US"/>
              </w:rPr>
              <w:t xml:space="preserve"> with existing resources</w:t>
            </w:r>
            <w:r w:rsidR="26B6B5E3" w:rsidRPr="027A70F2">
              <w:rPr>
                <w:lang w:val="en-US"/>
              </w:rPr>
              <w:t>, with more resource intensive integration to be considered in a</w:t>
            </w:r>
            <w:r w:rsidR="4D6374DB" w:rsidRPr="027A70F2">
              <w:rPr>
                <w:lang w:val="en-US"/>
              </w:rPr>
              <w:t>ny</w:t>
            </w:r>
            <w:r w:rsidR="26B6B5E3" w:rsidRPr="027A70F2">
              <w:rPr>
                <w:lang w:val="en-US"/>
              </w:rPr>
              <w:t xml:space="preserve"> </w:t>
            </w:r>
            <w:r w:rsidR="3B1FB2FC" w:rsidRPr="027A70F2">
              <w:rPr>
                <w:lang w:val="en-US"/>
              </w:rPr>
              <w:t>extension</w:t>
            </w:r>
            <w:r w:rsidR="4D290FF2" w:rsidRPr="027A70F2">
              <w:rPr>
                <w:lang w:val="en-US"/>
              </w:rPr>
              <w:t xml:space="preserve"> t</w:t>
            </w:r>
            <w:r w:rsidR="60C474E5" w:rsidRPr="027A70F2">
              <w:rPr>
                <w:lang w:val="en-US"/>
              </w:rPr>
              <w:t>o</w:t>
            </w:r>
            <w:r w:rsidR="4D290FF2" w:rsidRPr="027A70F2">
              <w:rPr>
                <w:lang w:val="en-US"/>
              </w:rPr>
              <w:t xml:space="preserve"> Phase 2</w:t>
            </w:r>
            <w:r w:rsidRPr="027A70F2">
              <w:rPr>
                <w:lang w:val="en-US"/>
              </w:rPr>
              <w:t>.</w:t>
            </w:r>
          </w:p>
        </w:tc>
        <w:tc>
          <w:tcPr>
            <w:tcW w:w="3225" w:type="dxa"/>
          </w:tcPr>
          <w:p w14:paraId="2222F6EC" w14:textId="7A3A4F6A" w:rsidR="006B1DB9" w:rsidRPr="006F70B7" w:rsidRDefault="7D839220" w:rsidP="008C5831">
            <w:r w:rsidRPr="027A70F2">
              <w:rPr>
                <w:lang w:val="en-US"/>
              </w:rPr>
              <w:t xml:space="preserve">DFAT will support </w:t>
            </w:r>
            <w:r w:rsidR="6C0EF3DF" w:rsidRPr="027A70F2">
              <w:rPr>
                <w:lang w:val="en-US"/>
              </w:rPr>
              <w:t xml:space="preserve">IW </w:t>
            </w:r>
            <w:r w:rsidRPr="027A70F2">
              <w:rPr>
                <w:lang w:val="en-US"/>
              </w:rPr>
              <w:t xml:space="preserve">to </w:t>
            </w:r>
            <w:proofErr w:type="spellStart"/>
            <w:r w:rsidR="6C0EF3DF" w:rsidRPr="027A70F2">
              <w:rPr>
                <w:lang w:val="en-US"/>
              </w:rPr>
              <w:t>prioritise</w:t>
            </w:r>
            <w:proofErr w:type="spellEnd"/>
            <w:r w:rsidR="6C0EF3DF" w:rsidRPr="027A70F2">
              <w:rPr>
                <w:lang w:val="en-US"/>
              </w:rPr>
              <w:t xml:space="preserve"> targeted, high-value cross-workstream collaboration </w:t>
            </w:r>
            <w:r w:rsidR="39BA624B" w:rsidRPr="027A70F2">
              <w:rPr>
                <w:lang w:val="en-US"/>
              </w:rPr>
              <w:t>in the 2026-27 Annual Plan.</w:t>
            </w:r>
            <w:r w:rsidR="008C5831">
              <w:rPr>
                <w:lang w:val="en-US"/>
              </w:rPr>
              <w:br/>
            </w:r>
            <w:r w:rsidR="008C5831">
              <w:rPr>
                <w:lang w:val="en-US"/>
              </w:rPr>
              <w:br/>
            </w:r>
            <w:r w:rsidR="6C0EF3DF" w:rsidRPr="027A70F2">
              <w:rPr>
                <w:lang w:val="en-US"/>
              </w:rPr>
              <w:t>Broader or more resource-</w:t>
            </w:r>
            <w:r w:rsidR="6C0EF3DF" w:rsidRPr="00DF51E9">
              <w:rPr>
                <w:lang w:val="en-US"/>
              </w:rPr>
              <w:t xml:space="preserve">intensive integration will be considered in </w:t>
            </w:r>
            <w:r w:rsidR="001F7E1F" w:rsidRPr="00DF51E9">
              <w:rPr>
                <w:lang w:val="en-US"/>
              </w:rPr>
              <w:t>the</w:t>
            </w:r>
            <w:r w:rsidR="6C0EF3DF" w:rsidRPr="00DF51E9">
              <w:rPr>
                <w:lang w:val="en-US"/>
              </w:rPr>
              <w:t xml:space="preserve"> </w:t>
            </w:r>
            <w:r w:rsidR="35A79588" w:rsidRPr="00DF51E9">
              <w:rPr>
                <w:lang w:val="en-US"/>
              </w:rPr>
              <w:t>Phase 2 extension.</w:t>
            </w:r>
            <w:r w:rsidR="35A79588" w:rsidRPr="027A70F2">
              <w:rPr>
                <w:lang w:val="en-US"/>
              </w:rPr>
              <w:t xml:space="preserve"> </w:t>
            </w:r>
          </w:p>
        </w:tc>
        <w:tc>
          <w:tcPr>
            <w:tcW w:w="1734" w:type="dxa"/>
          </w:tcPr>
          <w:p w14:paraId="5F176FD1" w14:textId="18B5C22C" w:rsidR="006B1DB9" w:rsidRPr="006F70B7" w:rsidRDefault="006B1DB9" w:rsidP="008C5831">
            <w:r w:rsidRPr="006F70B7">
              <w:t>Ongoing</w:t>
            </w:r>
          </w:p>
        </w:tc>
      </w:tr>
      <w:tr w:rsidR="00B45E72" w:rsidRPr="00443033" w14:paraId="0CF5C284" w14:textId="77777777" w:rsidTr="0010402E">
        <w:trPr>
          <w:trHeight w:val="300"/>
        </w:trPr>
        <w:tc>
          <w:tcPr>
            <w:tcW w:w="4514" w:type="dxa"/>
          </w:tcPr>
          <w:p w14:paraId="09F70DD9" w14:textId="6D3D48D0" w:rsidR="006B1DB9" w:rsidRPr="006F70B7" w:rsidRDefault="006B1DB9" w:rsidP="004A12E8">
            <w:pPr>
              <w:pStyle w:val="ListParagraph"/>
              <w:numPr>
                <w:ilvl w:val="0"/>
                <w:numId w:val="3"/>
              </w:numPr>
            </w:pPr>
            <w:bookmarkStart w:id="0" w:name="_Hlk204096025"/>
            <w:r w:rsidRPr="006F70B7">
              <w:rPr>
                <w:rFonts w:eastAsiaTheme="minorEastAsia"/>
              </w:rPr>
              <w:t xml:space="preserve">W3 should continue to focus on its chosen demographic for the remainder of this phase, with endline SNAPS results informing whether continued focus is warranted in any next phase. Consideration should also be given to repositioning W3 as a cross cutting normative change function embedded within each workstream, with targeted interventions designed to reflect each </w:t>
            </w:r>
            <w:r w:rsidRPr="006F70B7">
              <w:rPr>
                <w:rFonts w:eastAsiaTheme="minorEastAsia"/>
              </w:rPr>
              <w:lastRenderedPageBreak/>
              <w:t>country's context and operating environment. </w:t>
            </w:r>
            <w:r w:rsidR="00134DA2" w:rsidRPr="00134DA2">
              <w:rPr>
                <w:b/>
                <w:bCs/>
                <w:color w:val="3A7C22" w:themeColor="accent6" w:themeShade="BF"/>
              </w:rPr>
              <w:t>Both phases</w:t>
            </w:r>
          </w:p>
        </w:tc>
        <w:tc>
          <w:tcPr>
            <w:tcW w:w="1669" w:type="dxa"/>
          </w:tcPr>
          <w:p w14:paraId="65DB0623" w14:textId="3F7C5D34" w:rsidR="006B1DB9" w:rsidRPr="00BE1C6A" w:rsidRDefault="67360332" w:rsidP="00443033">
            <w:r>
              <w:lastRenderedPageBreak/>
              <w:t>Agree</w:t>
            </w:r>
            <w:r w:rsidR="3144FBCA">
              <w:t xml:space="preserve"> in-principle</w:t>
            </w:r>
          </w:p>
        </w:tc>
        <w:tc>
          <w:tcPr>
            <w:tcW w:w="3433" w:type="dxa"/>
          </w:tcPr>
          <w:p w14:paraId="1E87516C" w14:textId="32968A18" w:rsidR="006B1DB9" w:rsidRPr="006F70B7" w:rsidRDefault="00644CF5" w:rsidP="00443033">
            <w:r w:rsidRPr="00644CF5">
              <w:rPr>
                <w:lang w:val="en-US"/>
              </w:rPr>
              <w:t xml:space="preserve">DFAT supports endline SNAPS results informing future direction, should a Phase 2 extension proceed. </w:t>
            </w:r>
          </w:p>
        </w:tc>
        <w:tc>
          <w:tcPr>
            <w:tcW w:w="3225" w:type="dxa"/>
          </w:tcPr>
          <w:p w14:paraId="7E60A8C7" w14:textId="0146653F" w:rsidR="006B1DB9" w:rsidRPr="006F70B7" w:rsidRDefault="4AE5EE31" w:rsidP="008C5831">
            <w:pPr>
              <w:rPr>
                <w:lang w:val="en-US"/>
              </w:rPr>
            </w:pPr>
            <w:r w:rsidRPr="027A70F2">
              <w:rPr>
                <w:lang w:val="en-US"/>
              </w:rPr>
              <w:t xml:space="preserve">Future </w:t>
            </w:r>
            <w:r w:rsidR="00B83572">
              <w:rPr>
                <w:lang w:val="en-US"/>
              </w:rPr>
              <w:t xml:space="preserve">repositioning </w:t>
            </w:r>
            <w:r w:rsidRPr="027A70F2">
              <w:rPr>
                <w:lang w:val="en-US"/>
              </w:rPr>
              <w:t xml:space="preserve">of W3 to be considered in any Phase 2 </w:t>
            </w:r>
            <w:r w:rsidRPr="000F03DA">
              <w:rPr>
                <w:lang w:val="en-US"/>
              </w:rPr>
              <w:t>extension design</w:t>
            </w:r>
            <w:r w:rsidR="008C2F4E" w:rsidRPr="000F03DA">
              <w:rPr>
                <w:lang w:val="en-US"/>
              </w:rPr>
              <w:t>,</w:t>
            </w:r>
            <w:r w:rsidR="008C2F4E">
              <w:rPr>
                <w:lang w:val="en-US"/>
              </w:rPr>
              <w:t xml:space="preserve"> </w:t>
            </w:r>
            <w:r w:rsidR="008C2F4E" w:rsidRPr="008C2F4E">
              <w:rPr>
                <w:lang w:val="en-US"/>
              </w:rPr>
              <w:t>including consideration of a twin-track (standalone and integrated) approach to social norm change</w:t>
            </w:r>
            <w:r w:rsidRPr="027A70F2">
              <w:rPr>
                <w:lang w:val="en-US"/>
              </w:rPr>
              <w:t xml:space="preserve">. </w:t>
            </w:r>
            <w:r w:rsidR="008C5831">
              <w:rPr>
                <w:lang w:val="en-US"/>
              </w:rPr>
              <w:br/>
            </w:r>
            <w:r w:rsidR="008C5831">
              <w:rPr>
                <w:lang w:val="en-US"/>
              </w:rPr>
              <w:br/>
            </w:r>
            <w:r w:rsidR="631F7669" w:rsidRPr="000D3C95">
              <w:rPr>
                <w:lang w:val="en-US"/>
              </w:rPr>
              <w:t>Specifically</w:t>
            </w:r>
            <w:r w:rsidR="631F7669" w:rsidRPr="027A70F2">
              <w:rPr>
                <w:lang w:val="en-US"/>
              </w:rPr>
              <w:t>,</w:t>
            </w:r>
            <w:r w:rsidR="5B7AF5A7" w:rsidRPr="027A70F2">
              <w:rPr>
                <w:lang w:val="en-US"/>
              </w:rPr>
              <w:t xml:space="preserve"> delivery of </w:t>
            </w:r>
            <w:r w:rsidR="375E45E7" w:rsidRPr="027A70F2">
              <w:rPr>
                <w:lang w:val="en-US"/>
              </w:rPr>
              <w:t xml:space="preserve">W3 </w:t>
            </w:r>
            <w:r w:rsidR="4CC63883" w:rsidRPr="027A70F2">
              <w:rPr>
                <w:lang w:val="en-US"/>
              </w:rPr>
              <w:t>in</w:t>
            </w:r>
            <w:r w:rsidR="375E45E7" w:rsidRPr="027A70F2">
              <w:rPr>
                <w:lang w:val="en-US"/>
              </w:rPr>
              <w:t xml:space="preserve"> Myanmar </w:t>
            </w:r>
            <w:r w:rsidR="612307A7" w:rsidRPr="027A70F2">
              <w:rPr>
                <w:lang w:val="en-US"/>
              </w:rPr>
              <w:t>could</w:t>
            </w:r>
            <w:r w:rsidR="375E45E7" w:rsidRPr="027A70F2">
              <w:rPr>
                <w:lang w:val="en-US"/>
              </w:rPr>
              <w:t xml:space="preserve"> be considered </w:t>
            </w:r>
            <w:r w:rsidR="26F8CEAC" w:rsidRPr="027A70F2">
              <w:rPr>
                <w:lang w:val="en-US"/>
              </w:rPr>
              <w:t>in design.</w:t>
            </w:r>
          </w:p>
        </w:tc>
        <w:tc>
          <w:tcPr>
            <w:tcW w:w="1734" w:type="dxa"/>
          </w:tcPr>
          <w:p w14:paraId="484B5481" w14:textId="444761F7" w:rsidR="006B1DB9" w:rsidRPr="006F70B7" w:rsidRDefault="00CC0374" w:rsidP="00CC0374">
            <w:r>
              <w:t xml:space="preserve">By </w:t>
            </w:r>
            <w:r w:rsidR="7A99C4F4">
              <w:t>November 2026</w:t>
            </w:r>
          </w:p>
        </w:tc>
      </w:tr>
      <w:bookmarkEnd w:id="0"/>
      <w:tr w:rsidR="00B45E72" w:rsidRPr="00443033" w14:paraId="22AFBB0E" w14:textId="77777777" w:rsidTr="0010402E">
        <w:trPr>
          <w:trHeight w:val="300"/>
        </w:trPr>
        <w:tc>
          <w:tcPr>
            <w:tcW w:w="4514" w:type="dxa"/>
          </w:tcPr>
          <w:p w14:paraId="4B33F9C6" w14:textId="47CDB959" w:rsidR="006B1DB9" w:rsidRPr="006F70B7" w:rsidRDefault="006B1DB9" w:rsidP="004A12E8">
            <w:pPr>
              <w:pStyle w:val="ListParagraph"/>
              <w:numPr>
                <w:ilvl w:val="0"/>
                <w:numId w:val="3"/>
              </w:numPr>
            </w:pPr>
            <w:r w:rsidRPr="006F70B7">
              <w:rPr>
                <w:rFonts w:eastAsiaTheme="minorEastAsia"/>
              </w:rPr>
              <w:t>W4 implementation partners should strengthen structural arrangements to support more integrated delivery, explicitly positioning the Innovation Window, the IW Fund and market building activities as components of a single coordinated system. Governed by the W4 Director, this should include a shared strategy in which learnings, due diligence processes and market building approaches are deliberately connected, Innovation Window partners have a clear pathway into the IW Fund and feedback loops between all three sub-streams are formalised.  </w:t>
            </w:r>
            <w:r w:rsidR="007D765B" w:rsidRPr="007D765B">
              <w:rPr>
                <w:b/>
                <w:bCs/>
                <w:color w:val="0B769F" w:themeColor="accent4" w:themeShade="BF"/>
              </w:rPr>
              <w:t>Option period</w:t>
            </w:r>
          </w:p>
        </w:tc>
        <w:tc>
          <w:tcPr>
            <w:tcW w:w="1669" w:type="dxa"/>
          </w:tcPr>
          <w:p w14:paraId="24020722" w14:textId="3955703E" w:rsidR="006B1DB9" w:rsidRPr="006F14AA" w:rsidRDefault="56714E11" w:rsidP="00AD3A7C">
            <w:r>
              <w:t>Agree</w:t>
            </w:r>
          </w:p>
        </w:tc>
        <w:tc>
          <w:tcPr>
            <w:tcW w:w="3433" w:type="dxa"/>
          </w:tcPr>
          <w:p w14:paraId="7CD873E5" w14:textId="09708758" w:rsidR="006B1DB9" w:rsidRPr="006F14AA" w:rsidRDefault="17F2B157" w:rsidP="00AD3A7C">
            <w:r w:rsidRPr="45235594">
              <w:rPr>
                <w:lang w:val="en-US"/>
              </w:rPr>
              <w:t xml:space="preserve">DFAT supports exploring opportunities to </w:t>
            </w:r>
            <w:r w:rsidR="207996E0" w:rsidRPr="45235594">
              <w:rPr>
                <w:lang w:val="en-US"/>
              </w:rPr>
              <w:t xml:space="preserve">further </w:t>
            </w:r>
            <w:r w:rsidRPr="45235594">
              <w:rPr>
                <w:lang w:val="en-US"/>
              </w:rPr>
              <w:t>strengthen coordination across W4 components and better connect learning, market engagement and investment pathways</w:t>
            </w:r>
            <w:r w:rsidR="4E89ACAB" w:rsidRPr="45235594">
              <w:rPr>
                <w:lang w:val="en-US"/>
              </w:rPr>
              <w:t xml:space="preserve"> in any extension to Phase 2</w:t>
            </w:r>
            <w:r w:rsidRPr="45235594">
              <w:rPr>
                <w:lang w:val="en-US"/>
              </w:rPr>
              <w:t>.</w:t>
            </w:r>
          </w:p>
        </w:tc>
        <w:tc>
          <w:tcPr>
            <w:tcW w:w="3225" w:type="dxa"/>
          </w:tcPr>
          <w:p w14:paraId="779F58C8" w14:textId="2AE42715" w:rsidR="006B1DB9" w:rsidRPr="006F70B7" w:rsidRDefault="51AA4163" w:rsidP="00443033">
            <w:pPr>
              <w:rPr>
                <w:lang w:val="en-US"/>
              </w:rPr>
            </w:pPr>
            <w:r w:rsidRPr="00DF51E9">
              <w:rPr>
                <w:lang w:val="en-US"/>
              </w:rPr>
              <w:t xml:space="preserve">More comprehensive integration </w:t>
            </w:r>
            <w:r w:rsidR="00903E0F" w:rsidRPr="00DF51E9">
              <w:rPr>
                <w:lang w:val="en-US"/>
              </w:rPr>
              <w:t xml:space="preserve">will </w:t>
            </w:r>
            <w:r w:rsidRPr="00DF51E9">
              <w:rPr>
                <w:lang w:val="en-US"/>
              </w:rPr>
              <w:t xml:space="preserve">be considered in the </w:t>
            </w:r>
            <w:r w:rsidR="00467B6B" w:rsidRPr="00DF51E9">
              <w:rPr>
                <w:lang w:val="en-US"/>
              </w:rPr>
              <w:t>Phase 2 extension, work</w:t>
            </w:r>
            <w:r w:rsidR="000F03DA" w:rsidRPr="00DF51E9">
              <w:rPr>
                <w:lang w:val="en-US"/>
              </w:rPr>
              <w:t xml:space="preserve"> </w:t>
            </w:r>
            <w:r w:rsidR="00467B6B" w:rsidRPr="00DF51E9">
              <w:rPr>
                <w:lang w:val="en-US"/>
              </w:rPr>
              <w:t>planning and</w:t>
            </w:r>
            <w:r w:rsidR="004F0DDA" w:rsidRPr="00DF51E9">
              <w:rPr>
                <w:lang w:val="en-US"/>
              </w:rPr>
              <w:t xml:space="preserve"> </w:t>
            </w:r>
            <w:r w:rsidR="392D43C1" w:rsidRPr="00DF51E9">
              <w:rPr>
                <w:lang w:val="en-US"/>
              </w:rPr>
              <w:t>future planning for Australian Development Investments.</w:t>
            </w:r>
          </w:p>
        </w:tc>
        <w:tc>
          <w:tcPr>
            <w:tcW w:w="1734" w:type="dxa"/>
          </w:tcPr>
          <w:p w14:paraId="16E32283" w14:textId="5C61B8C5" w:rsidR="006B1DB9" w:rsidRPr="006F70B7" w:rsidRDefault="005E6ADB" w:rsidP="00443033">
            <w:r>
              <w:t>By November 2026</w:t>
            </w:r>
          </w:p>
        </w:tc>
      </w:tr>
    </w:tbl>
    <w:p w14:paraId="291B5537" w14:textId="77777777" w:rsidR="00FD12E2" w:rsidRDefault="00FD12E2">
      <w:pPr>
        <w:rPr>
          <w:sz w:val="2"/>
          <w:szCs w:val="2"/>
        </w:rPr>
      </w:pPr>
    </w:p>
    <w:p w14:paraId="33E41F61" w14:textId="1B0FD215" w:rsidR="006E1A69" w:rsidRPr="004712DA" w:rsidRDefault="006E1A69" w:rsidP="0091289D">
      <w:pPr>
        <w:pStyle w:val="Heading2"/>
        <w:rPr>
          <w:sz w:val="2"/>
          <w:szCs w:val="2"/>
        </w:rPr>
      </w:pPr>
      <w:r>
        <w:t xml:space="preserve">Effectiveness </w:t>
      </w:r>
    </w:p>
    <w:tbl>
      <w:tblPr>
        <w:tblStyle w:val="TableGrid"/>
        <w:tblW w:w="14575" w:type="dxa"/>
        <w:tblInd w:w="-147" w:type="dxa"/>
        <w:tblLook w:val="04A0" w:firstRow="1" w:lastRow="0" w:firstColumn="1" w:lastColumn="0" w:noHBand="0" w:noVBand="1"/>
        <w:tblDescription w:val="Table summarising DFAT's response to the recommendations of the evaluation."/>
      </w:tblPr>
      <w:tblGrid>
        <w:gridCol w:w="4514"/>
        <w:gridCol w:w="1669"/>
        <w:gridCol w:w="3433"/>
        <w:gridCol w:w="3225"/>
        <w:gridCol w:w="1734"/>
      </w:tblGrid>
      <w:tr w:rsidR="006E1A69" w:rsidRPr="00443033" w14:paraId="477BE9C3" w14:textId="77777777" w:rsidTr="002A3DE7">
        <w:trPr>
          <w:trHeight w:val="300"/>
          <w:tblHeader/>
        </w:trPr>
        <w:tc>
          <w:tcPr>
            <w:tcW w:w="4514" w:type="dxa"/>
            <w:shd w:val="clear" w:color="auto" w:fill="F1A983" w:themeFill="accent2" w:themeFillTint="99"/>
          </w:tcPr>
          <w:p w14:paraId="66F5A7C5" w14:textId="77777777" w:rsidR="006E1A69" w:rsidRPr="00443033" w:rsidRDefault="006E1A69">
            <w:pPr>
              <w:spacing w:after="160" w:line="259" w:lineRule="auto"/>
              <w:rPr>
                <w:b/>
                <w:bCs/>
              </w:rPr>
            </w:pPr>
            <w:r w:rsidRPr="00443033">
              <w:rPr>
                <w:b/>
                <w:bCs/>
              </w:rPr>
              <w:t>Recommendation</w:t>
            </w:r>
          </w:p>
        </w:tc>
        <w:tc>
          <w:tcPr>
            <w:tcW w:w="1669" w:type="dxa"/>
            <w:shd w:val="clear" w:color="auto" w:fill="F1A983" w:themeFill="accent2" w:themeFillTint="99"/>
          </w:tcPr>
          <w:p w14:paraId="793220B2" w14:textId="77777777" w:rsidR="006E1A69" w:rsidRPr="00443033" w:rsidRDefault="006E1A69">
            <w:pPr>
              <w:spacing w:after="160" w:line="259" w:lineRule="auto"/>
              <w:rPr>
                <w:b/>
                <w:bCs/>
              </w:rPr>
            </w:pPr>
            <w:r w:rsidRPr="00443033">
              <w:rPr>
                <w:b/>
                <w:bCs/>
              </w:rPr>
              <w:t>Response</w:t>
            </w:r>
          </w:p>
        </w:tc>
        <w:tc>
          <w:tcPr>
            <w:tcW w:w="3433" w:type="dxa"/>
            <w:shd w:val="clear" w:color="auto" w:fill="F1A983" w:themeFill="accent2" w:themeFillTint="99"/>
          </w:tcPr>
          <w:p w14:paraId="131D3305" w14:textId="77777777" w:rsidR="006E1A69" w:rsidRPr="00443033" w:rsidRDefault="006E1A69">
            <w:pPr>
              <w:spacing w:after="160" w:line="259" w:lineRule="auto"/>
              <w:rPr>
                <w:b/>
                <w:bCs/>
              </w:rPr>
            </w:pPr>
            <w:r>
              <w:rPr>
                <w:b/>
                <w:bCs/>
              </w:rPr>
              <w:t xml:space="preserve">Explanation </w:t>
            </w:r>
          </w:p>
        </w:tc>
        <w:tc>
          <w:tcPr>
            <w:tcW w:w="3225" w:type="dxa"/>
            <w:shd w:val="clear" w:color="auto" w:fill="F1A983" w:themeFill="accent2" w:themeFillTint="99"/>
          </w:tcPr>
          <w:p w14:paraId="623AFF16" w14:textId="77777777" w:rsidR="006E1A69" w:rsidRPr="00443033" w:rsidRDefault="006E1A69">
            <w:pPr>
              <w:rPr>
                <w:b/>
                <w:bCs/>
              </w:rPr>
            </w:pPr>
            <w:r w:rsidRPr="00443033">
              <w:rPr>
                <w:b/>
                <w:bCs/>
              </w:rPr>
              <w:t>Action Plan</w:t>
            </w:r>
          </w:p>
        </w:tc>
        <w:tc>
          <w:tcPr>
            <w:tcW w:w="1734" w:type="dxa"/>
            <w:shd w:val="clear" w:color="auto" w:fill="F1A983" w:themeFill="accent2" w:themeFillTint="99"/>
          </w:tcPr>
          <w:p w14:paraId="0C58D8A5" w14:textId="77777777" w:rsidR="006E1A69" w:rsidRPr="00443033" w:rsidRDefault="006E1A69">
            <w:pPr>
              <w:spacing w:after="160" w:line="259" w:lineRule="auto"/>
              <w:rPr>
                <w:b/>
                <w:bCs/>
              </w:rPr>
            </w:pPr>
            <w:r w:rsidRPr="027A70F2">
              <w:rPr>
                <w:b/>
                <w:bCs/>
              </w:rPr>
              <w:t>Timeframe</w:t>
            </w:r>
          </w:p>
        </w:tc>
      </w:tr>
      <w:tr w:rsidR="00B45E72" w:rsidRPr="00934EEF" w14:paraId="53E9DAF7" w14:textId="77777777" w:rsidTr="00AA6768">
        <w:trPr>
          <w:trHeight w:val="300"/>
        </w:trPr>
        <w:tc>
          <w:tcPr>
            <w:tcW w:w="4514" w:type="dxa"/>
            <w:tcBorders>
              <w:top w:val="single" w:sz="4" w:space="0" w:color="auto"/>
            </w:tcBorders>
          </w:tcPr>
          <w:p w14:paraId="53D33416" w14:textId="12EC5CD8" w:rsidR="006B1DB9" w:rsidRPr="00934EEF" w:rsidRDefault="006B1DB9" w:rsidP="63B2FAA2">
            <w:pPr>
              <w:pStyle w:val="TableText"/>
              <w:numPr>
                <w:ilvl w:val="0"/>
                <w:numId w:val="3"/>
              </w:numPr>
              <w:rPr>
                <w:rFonts w:eastAsiaTheme="minorEastAsia"/>
                <w:sz w:val="22"/>
                <w:szCs w:val="22"/>
              </w:rPr>
            </w:pPr>
            <w:r w:rsidRPr="63B2FAA2">
              <w:rPr>
                <w:rFonts w:eastAsiaTheme="minorEastAsia"/>
                <w:sz w:val="22"/>
                <w:szCs w:val="22"/>
              </w:rPr>
              <w:t>To strengthen W1 effectiveness and sustainability, IW should pursue the following complementary actions: </w:t>
            </w:r>
          </w:p>
          <w:p w14:paraId="68821452" w14:textId="0080377E" w:rsidR="006B1DB9" w:rsidRPr="00934EEF" w:rsidRDefault="006B1DB9" w:rsidP="63B2FAA2">
            <w:pPr>
              <w:pStyle w:val="TableText"/>
              <w:numPr>
                <w:ilvl w:val="0"/>
                <w:numId w:val="1"/>
              </w:numPr>
              <w:suppressAutoHyphens/>
              <w:rPr>
                <w:rFonts w:eastAsiaTheme="minorEastAsia"/>
                <w:sz w:val="22"/>
                <w:szCs w:val="22"/>
              </w:rPr>
            </w:pPr>
            <w:r w:rsidRPr="63B2FAA2">
              <w:rPr>
                <w:rFonts w:eastAsiaTheme="minorEastAsia"/>
                <w:sz w:val="22"/>
                <w:szCs w:val="22"/>
              </w:rPr>
              <w:t>explore more intentional sector targeting in the remaining program period, working toward depth in two or three priority sectors to generate demonstration effects and peer influence.  </w:t>
            </w:r>
            <w:r w:rsidR="00134DA2" w:rsidRPr="00134DA2">
              <w:rPr>
                <w:b/>
                <w:bCs/>
                <w:color w:val="3A7C22" w:themeColor="accent6" w:themeShade="BF"/>
                <w:sz w:val="22"/>
                <w:szCs w:val="22"/>
              </w:rPr>
              <w:t>Both phases</w:t>
            </w:r>
          </w:p>
          <w:p w14:paraId="61526FF2" w14:textId="03A31146" w:rsidR="006B1DB9" w:rsidRPr="00934EEF" w:rsidRDefault="006B1DB9" w:rsidP="63B2FAA2">
            <w:pPr>
              <w:pStyle w:val="TableText"/>
              <w:numPr>
                <w:ilvl w:val="0"/>
                <w:numId w:val="1"/>
              </w:numPr>
              <w:suppressAutoHyphens/>
              <w:rPr>
                <w:rFonts w:eastAsiaTheme="minorEastAsia"/>
                <w:sz w:val="22"/>
                <w:szCs w:val="22"/>
              </w:rPr>
            </w:pPr>
            <w:r w:rsidRPr="63B2FAA2">
              <w:rPr>
                <w:rFonts w:eastAsiaTheme="minorEastAsia"/>
                <w:sz w:val="22"/>
                <w:szCs w:val="22"/>
              </w:rPr>
              <w:lastRenderedPageBreak/>
              <w:t xml:space="preserve">provide greater flexibility for BCs to operate beyond a predominantly membership-based structure, with alternative models such as the GEARS-first consultancy approach considered as viable pathways for delivering WGE services at scale </w:t>
            </w:r>
            <w:r w:rsidR="007D765B" w:rsidRPr="007D765B">
              <w:rPr>
                <w:b/>
                <w:bCs/>
                <w:color w:val="0B769F" w:themeColor="accent4" w:themeShade="BF"/>
                <w:sz w:val="22"/>
                <w:szCs w:val="22"/>
              </w:rPr>
              <w:t>Option period</w:t>
            </w:r>
          </w:p>
          <w:p w14:paraId="1D5743C5" w14:textId="5B142A75" w:rsidR="006B1DB9" w:rsidRPr="00934EEF" w:rsidRDefault="006B1DB9" w:rsidP="63B2FAA2">
            <w:pPr>
              <w:pStyle w:val="ListParagraph"/>
              <w:numPr>
                <w:ilvl w:val="0"/>
                <w:numId w:val="1"/>
              </w:numPr>
              <w:rPr>
                <w:b/>
                <w:bCs/>
                <w:color w:val="0B769F" w:themeColor="accent4" w:themeShade="BF"/>
              </w:rPr>
            </w:pPr>
            <w:r w:rsidRPr="63B2FAA2">
              <w:rPr>
                <w:rFonts w:eastAsiaTheme="minorEastAsia"/>
              </w:rPr>
              <w:t xml:space="preserve">ensure a next phase design considers expanding the range of delivery partners engaged in promoting WGE beyond BCs, including chambers of commerce, sector associations and regulatory compliance platforms </w:t>
            </w:r>
            <w:r w:rsidR="007D765B" w:rsidRPr="007D765B">
              <w:rPr>
                <w:b/>
                <w:bCs/>
                <w:color w:val="0B769F" w:themeColor="accent4" w:themeShade="BF"/>
              </w:rPr>
              <w:t>Option period</w:t>
            </w:r>
          </w:p>
        </w:tc>
        <w:tc>
          <w:tcPr>
            <w:tcW w:w="1669" w:type="dxa"/>
            <w:tcBorders>
              <w:top w:val="single" w:sz="4" w:space="0" w:color="auto"/>
            </w:tcBorders>
          </w:tcPr>
          <w:p w14:paraId="37CFA46C" w14:textId="7BD306CD" w:rsidR="006B1DB9" w:rsidRPr="00DE73A2" w:rsidRDefault="067DFF12" w:rsidP="00AD3A7C">
            <w:pPr>
              <w:spacing w:after="160" w:line="259" w:lineRule="auto"/>
            </w:pPr>
            <w:r>
              <w:lastRenderedPageBreak/>
              <w:t>Agree in-principle</w:t>
            </w:r>
          </w:p>
        </w:tc>
        <w:tc>
          <w:tcPr>
            <w:tcW w:w="3433" w:type="dxa"/>
            <w:tcBorders>
              <w:top w:val="single" w:sz="4" w:space="0" w:color="auto"/>
            </w:tcBorders>
          </w:tcPr>
          <w:p w14:paraId="33E3A47E" w14:textId="785DD7F5" w:rsidR="006B1DB9" w:rsidRPr="00934EEF" w:rsidRDefault="20B94A61" w:rsidP="00AD3A7C">
            <w:r w:rsidRPr="1C0202B2">
              <w:rPr>
                <w:lang w:val="en-US"/>
              </w:rPr>
              <w:t>DFAT supports more intentional sector targeting and flexibility in delivery approaches to strengthen W1 effectiveness and scale</w:t>
            </w:r>
            <w:r w:rsidR="6BFE7282" w:rsidRPr="1C0202B2">
              <w:rPr>
                <w:lang w:val="en-US"/>
              </w:rPr>
              <w:t>.</w:t>
            </w:r>
            <w:r w:rsidRPr="1C0202B2">
              <w:rPr>
                <w:lang w:val="en-US"/>
              </w:rPr>
              <w:t xml:space="preserve"> </w:t>
            </w:r>
            <w:r w:rsidR="040A5CBD" w:rsidRPr="1C0202B2">
              <w:rPr>
                <w:lang w:val="en-US"/>
              </w:rPr>
              <w:t xml:space="preserve">DFAT notes this </w:t>
            </w:r>
            <w:r w:rsidR="5EB00E03" w:rsidRPr="1C0202B2">
              <w:rPr>
                <w:lang w:val="en-US"/>
              </w:rPr>
              <w:t xml:space="preserve">would commence in the current </w:t>
            </w:r>
            <w:r w:rsidR="7F926C14" w:rsidRPr="1C0202B2">
              <w:rPr>
                <w:lang w:val="en-US"/>
              </w:rPr>
              <w:t>program period</w:t>
            </w:r>
            <w:r w:rsidR="5EB00E03" w:rsidRPr="1C0202B2">
              <w:rPr>
                <w:lang w:val="en-US"/>
              </w:rPr>
              <w:t xml:space="preserve">, but </w:t>
            </w:r>
            <w:r w:rsidR="08CC52EA" w:rsidRPr="1C0202B2">
              <w:rPr>
                <w:lang w:val="en-US"/>
              </w:rPr>
              <w:t>implementation would largely be during any Phase 2 extension. DFAT also</w:t>
            </w:r>
            <w:r w:rsidR="5EB00E03" w:rsidRPr="1C0202B2">
              <w:rPr>
                <w:lang w:val="en-US"/>
              </w:rPr>
              <w:t xml:space="preserve"> </w:t>
            </w:r>
            <w:r w:rsidRPr="1C0202B2">
              <w:rPr>
                <w:lang w:val="en-US"/>
              </w:rPr>
              <w:t>not</w:t>
            </w:r>
            <w:r w:rsidR="75B01029" w:rsidRPr="1C0202B2">
              <w:rPr>
                <w:lang w:val="en-US"/>
              </w:rPr>
              <w:t>es</w:t>
            </w:r>
            <w:r w:rsidRPr="1C0202B2">
              <w:rPr>
                <w:lang w:val="en-US"/>
              </w:rPr>
              <w:t xml:space="preserve"> that it is important that Business </w:t>
            </w:r>
            <w:r w:rsidRPr="1C0202B2">
              <w:rPr>
                <w:lang w:val="en-US"/>
              </w:rPr>
              <w:lastRenderedPageBreak/>
              <w:t>Coalitions (BCs) remain central and member-led, ensuring they continue to represent and respond to the needs of their memberships</w:t>
            </w:r>
            <w:r w:rsidR="0AEAE554" w:rsidRPr="1C0202B2">
              <w:rPr>
                <w:lang w:val="en-US"/>
              </w:rPr>
              <w:t>, and provid</w:t>
            </w:r>
            <w:r w:rsidR="28FF1126" w:rsidRPr="1C0202B2">
              <w:rPr>
                <w:lang w:val="en-US"/>
              </w:rPr>
              <w:t>e</w:t>
            </w:r>
            <w:r w:rsidR="0AEAE554" w:rsidRPr="1C0202B2">
              <w:rPr>
                <w:lang w:val="en-US"/>
              </w:rPr>
              <w:t xml:space="preserve"> opportunities for peer learning and support,</w:t>
            </w:r>
            <w:r w:rsidRPr="1C0202B2">
              <w:rPr>
                <w:lang w:val="en-US"/>
              </w:rPr>
              <w:t xml:space="preserve"> rather than operating primarily as consultancy providers. </w:t>
            </w:r>
          </w:p>
        </w:tc>
        <w:tc>
          <w:tcPr>
            <w:tcW w:w="3225" w:type="dxa"/>
            <w:tcBorders>
              <w:top w:val="single" w:sz="4" w:space="0" w:color="auto"/>
            </w:tcBorders>
          </w:tcPr>
          <w:p w14:paraId="331662D5" w14:textId="03E55F96" w:rsidR="006B1DB9" w:rsidRDefault="6C0EF3DF" w:rsidP="008C5831">
            <w:r w:rsidRPr="027A70F2">
              <w:rPr>
                <w:lang w:val="en-US"/>
              </w:rPr>
              <w:lastRenderedPageBreak/>
              <w:t>DFAT will support IW to pursue targeted and flexible approaches within the current phase</w:t>
            </w:r>
            <w:r w:rsidR="7CCB62F6" w:rsidRPr="027A70F2">
              <w:rPr>
                <w:lang w:val="en-US"/>
              </w:rPr>
              <w:t xml:space="preserve"> through the 2026-27 Annual Plan</w:t>
            </w:r>
            <w:r w:rsidRPr="027A70F2">
              <w:rPr>
                <w:lang w:val="en-US"/>
              </w:rPr>
              <w:t xml:space="preserve">, while maintaining the representative role of BCs. </w:t>
            </w:r>
            <w:r w:rsidR="008C5831">
              <w:rPr>
                <w:lang w:val="en-US"/>
              </w:rPr>
              <w:br/>
            </w:r>
            <w:r w:rsidR="008C5831">
              <w:rPr>
                <w:lang w:val="en-US"/>
              </w:rPr>
              <w:br/>
            </w:r>
            <w:r w:rsidRPr="027A70F2">
              <w:rPr>
                <w:lang w:val="en-US"/>
              </w:rPr>
              <w:t xml:space="preserve">DFAT will also consider a broader mix of partners to </w:t>
            </w:r>
            <w:r w:rsidRPr="027A70F2">
              <w:rPr>
                <w:lang w:val="en-US"/>
              </w:rPr>
              <w:lastRenderedPageBreak/>
              <w:t>complement BC-led delivery</w:t>
            </w:r>
            <w:r w:rsidR="5C0A6458" w:rsidRPr="027A70F2">
              <w:rPr>
                <w:lang w:val="en-US"/>
              </w:rPr>
              <w:t xml:space="preserve"> in </w:t>
            </w:r>
            <w:r w:rsidR="00BA67A7">
              <w:rPr>
                <w:lang w:val="en-US"/>
              </w:rPr>
              <w:t>the</w:t>
            </w:r>
            <w:r w:rsidR="00BA67A7" w:rsidRPr="027A70F2">
              <w:rPr>
                <w:lang w:val="en-US"/>
              </w:rPr>
              <w:t xml:space="preserve"> </w:t>
            </w:r>
            <w:r w:rsidR="5C0A6458" w:rsidRPr="027A70F2">
              <w:rPr>
                <w:lang w:val="en-US"/>
              </w:rPr>
              <w:t xml:space="preserve">Phase 2 extension. </w:t>
            </w:r>
          </w:p>
        </w:tc>
        <w:tc>
          <w:tcPr>
            <w:tcW w:w="1734" w:type="dxa"/>
            <w:tcBorders>
              <w:top w:val="single" w:sz="4" w:space="0" w:color="auto"/>
            </w:tcBorders>
          </w:tcPr>
          <w:p w14:paraId="3F2A46C5" w14:textId="6A2ACEEF" w:rsidR="006B1DB9" w:rsidRPr="00934EEF" w:rsidRDefault="00380D77" w:rsidP="00443033">
            <w:r>
              <w:lastRenderedPageBreak/>
              <w:t>By November 2026</w:t>
            </w:r>
          </w:p>
        </w:tc>
      </w:tr>
      <w:tr w:rsidR="00B45E72" w:rsidRPr="00934EEF" w14:paraId="39ACA629" w14:textId="77777777" w:rsidTr="0010402E">
        <w:trPr>
          <w:trHeight w:val="300"/>
        </w:trPr>
        <w:tc>
          <w:tcPr>
            <w:tcW w:w="4514" w:type="dxa"/>
          </w:tcPr>
          <w:p w14:paraId="74A4CC59" w14:textId="253D457D" w:rsidR="006B1DB9" w:rsidRPr="00934EEF" w:rsidRDefault="006B1DB9" w:rsidP="004A12E8">
            <w:pPr>
              <w:pStyle w:val="ListParagraph"/>
              <w:numPr>
                <w:ilvl w:val="0"/>
                <w:numId w:val="3"/>
              </w:numPr>
            </w:pPr>
            <w:r w:rsidRPr="00934EEF">
              <w:rPr>
                <w:rFonts w:eastAsiaTheme="minorEastAsia"/>
              </w:rPr>
              <w:t xml:space="preserve">IW should adopt a more deliberate research-to-influence strategy that identifies priority audiences, including investors, business leaders and policymakers, and tailor dissemination formats to those audiences by linking research outputs more directly to engagement activities such as investor roundtables, coalition advocacy and policy dialogue. Given IW's ten years of programming, existing publications and MERL outputs should be actively developed into products suitable for regional and national dissemination.  </w:t>
            </w:r>
            <w:r w:rsidR="00134DA2" w:rsidRPr="00134DA2">
              <w:rPr>
                <w:b/>
                <w:bCs/>
                <w:color w:val="3A7C22" w:themeColor="accent6" w:themeShade="BF"/>
              </w:rPr>
              <w:t>Both phases</w:t>
            </w:r>
          </w:p>
        </w:tc>
        <w:tc>
          <w:tcPr>
            <w:tcW w:w="1669" w:type="dxa"/>
          </w:tcPr>
          <w:p w14:paraId="7140735B" w14:textId="74B27197" w:rsidR="006B1DB9" w:rsidRPr="00DE73A2" w:rsidRDefault="44D8E716">
            <w:r>
              <w:t>Agree</w:t>
            </w:r>
          </w:p>
        </w:tc>
        <w:tc>
          <w:tcPr>
            <w:tcW w:w="3433" w:type="dxa"/>
          </w:tcPr>
          <w:p w14:paraId="5096622B" w14:textId="5F033668" w:rsidR="006B1DB9" w:rsidRPr="00934EEF" w:rsidRDefault="25DB6E0C" w:rsidP="00AD3A7C">
            <w:r w:rsidRPr="027A70F2">
              <w:rPr>
                <w:lang w:val="en-US"/>
              </w:rPr>
              <w:t>DFAT notes that IW is already strengthening its research-to-influence approach</w:t>
            </w:r>
            <w:r w:rsidR="00AF6403">
              <w:rPr>
                <w:lang w:val="en-US"/>
              </w:rPr>
              <w:t>.</w:t>
            </w:r>
          </w:p>
        </w:tc>
        <w:tc>
          <w:tcPr>
            <w:tcW w:w="3225" w:type="dxa"/>
          </w:tcPr>
          <w:p w14:paraId="420ADC86" w14:textId="3A91BCF0" w:rsidR="006B1DB9" w:rsidRDefault="0007746A" w:rsidP="00443033">
            <w:r>
              <w:t>To be reflected in IW Annual Plan 2026-27</w:t>
            </w:r>
            <w:r w:rsidR="008565C8">
              <w:t xml:space="preserve"> and </w:t>
            </w:r>
            <w:r w:rsidR="008565C8" w:rsidRPr="027A70F2">
              <w:rPr>
                <w:lang w:val="en-US"/>
              </w:rPr>
              <w:t xml:space="preserve">in any Phase 2 extension design. </w:t>
            </w:r>
            <w:r w:rsidR="6337720C" w:rsidRPr="027A70F2">
              <w:rPr>
                <w:lang w:val="en-US"/>
              </w:rPr>
              <w:t xml:space="preserve"> </w:t>
            </w:r>
          </w:p>
        </w:tc>
        <w:tc>
          <w:tcPr>
            <w:tcW w:w="1734" w:type="dxa"/>
          </w:tcPr>
          <w:p w14:paraId="3440EC0E" w14:textId="762D80BD" w:rsidR="006B1DB9" w:rsidRPr="00934EEF" w:rsidRDefault="00FD3032" w:rsidP="00443033">
            <w:r>
              <w:t>July 2026</w:t>
            </w:r>
          </w:p>
        </w:tc>
      </w:tr>
      <w:tr w:rsidR="00B45E72" w:rsidRPr="00934EEF" w14:paraId="76C702EC" w14:textId="77777777" w:rsidTr="0010402E">
        <w:trPr>
          <w:trHeight w:val="300"/>
        </w:trPr>
        <w:tc>
          <w:tcPr>
            <w:tcW w:w="4514" w:type="dxa"/>
          </w:tcPr>
          <w:p w14:paraId="0E095E5D" w14:textId="4E85397B" w:rsidR="006B1DB9" w:rsidRPr="00934EEF" w:rsidRDefault="25DB6E0C">
            <w:pPr>
              <w:pStyle w:val="ListParagraph"/>
              <w:numPr>
                <w:ilvl w:val="0"/>
                <w:numId w:val="3"/>
              </w:numPr>
              <w:rPr>
                <w:rFonts w:eastAsiaTheme="minorEastAsia"/>
                <w:b/>
                <w:bCs/>
                <w:color w:val="156082" w:themeColor="accent1"/>
              </w:rPr>
            </w:pPr>
            <w:r w:rsidRPr="027A70F2">
              <w:rPr>
                <w:rFonts w:eastAsiaTheme="minorEastAsia"/>
              </w:rPr>
              <w:lastRenderedPageBreak/>
              <w:t xml:space="preserve">Given the relatively small scale of the IW Fund and Innovation Window, their influence will depend heavily on their signalling and demonstration value. The program should take a consolidated approach to capturing and communicating evidence of commercial viability, investor behaviour changes and investee outcomes, including data from Phase 1 to build a cumulative and compelling case for the GLI agenda across Southeast Asia.  </w:t>
            </w:r>
            <w:r w:rsidR="00A9679F" w:rsidRPr="00A9679F">
              <w:rPr>
                <w:rFonts w:eastAsiaTheme="minorEastAsia"/>
                <w:b/>
                <w:bCs/>
                <w:color w:val="156082" w:themeColor="accent1"/>
              </w:rPr>
              <w:t>Current phas</w:t>
            </w:r>
            <w:r w:rsidR="00A9679F">
              <w:rPr>
                <w:rFonts w:eastAsiaTheme="minorEastAsia"/>
                <w:b/>
                <w:bCs/>
                <w:color w:val="156082" w:themeColor="accent1"/>
              </w:rPr>
              <w:t>e</w:t>
            </w:r>
          </w:p>
        </w:tc>
        <w:tc>
          <w:tcPr>
            <w:tcW w:w="1669" w:type="dxa"/>
          </w:tcPr>
          <w:p w14:paraId="1875DB52" w14:textId="6DC8AA2E" w:rsidR="006B1DB9" w:rsidRPr="006A4998" w:rsidRDefault="006B1DB9" w:rsidP="00443033">
            <w:r w:rsidRPr="006A4998">
              <w:t>Agree</w:t>
            </w:r>
          </w:p>
        </w:tc>
        <w:tc>
          <w:tcPr>
            <w:tcW w:w="3433" w:type="dxa"/>
          </w:tcPr>
          <w:p w14:paraId="7C6BA1D7" w14:textId="5E4D7FE5" w:rsidR="006B1DB9" w:rsidRPr="00934EEF" w:rsidRDefault="007906C0" w:rsidP="001E7FEB">
            <w:r w:rsidRPr="005D4EA5">
              <w:rPr>
                <w:lang w:val="en-US"/>
              </w:rPr>
              <w:t xml:space="preserve">DFAT </w:t>
            </w:r>
            <w:r w:rsidR="00644CF5" w:rsidRPr="005D4EA5">
              <w:rPr>
                <w:lang w:val="en-US"/>
              </w:rPr>
              <w:t>agrees</w:t>
            </w:r>
            <w:r w:rsidRPr="005D4EA5">
              <w:rPr>
                <w:lang w:val="en-US"/>
              </w:rPr>
              <w:t xml:space="preserve"> the importance of a consolidated approach to building a strong evidence base to inform effective approaches to GLI across Southeast Asia.</w:t>
            </w:r>
          </w:p>
        </w:tc>
        <w:tc>
          <w:tcPr>
            <w:tcW w:w="3225" w:type="dxa"/>
          </w:tcPr>
          <w:p w14:paraId="4BA061B5" w14:textId="0019E478" w:rsidR="006B1DB9" w:rsidRDefault="44F7020C" w:rsidP="00AD3A7C">
            <w:r w:rsidRPr="1C0202B2">
              <w:rPr>
                <w:lang w:val="en-US"/>
              </w:rPr>
              <w:t>DFAT</w:t>
            </w:r>
            <w:r w:rsidR="00644CF5">
              <w:rPr>
                <w:lang w:val="en-US"/>
              </w:rPr>
              <w:t>,</w:t>
            </w:r>
            <w:r w:rsidR="7944EC2C" w:rsidRPr="1C0202B2">
              <w:rPr>
                <w:lang w:val="en-US"/>
              </w:rPr>
              <w:t xml:space="preserve"> </w:t>
            </w:r>
            <w:r w:rsidR="44CBEC5A" w:rsidRPr="1C0202B2">
              <w:rPr>
                <w:lang w:val="en-US"/>
              </w:rPr>
              <w:t>together with</w:t>
            </w:r>
            <w:r w:rsidRPr="1C0202B2">
              <w:rPr>
                <w:lang w:val="en-US"/>
              </w:rPr>
              <w:t xml:space="preserve"> IW</w:t>
            </w:r>
            <w:r w:rsidR="00644CF5">
              <w:rPr>
                <w:lang w:val="en-US"/>
              </w:rPr>
              <w:t>,</w:t>
            </w:r>
            <w:r w:rsidRPr="1C0202B2">
              <w:rPr>
                <w:lang w:val="en-US"/>
              </w:rPr>
              <w:t xml:space="preserve"> </w:t>
            </w:r>
            <w:r w:rsidR="6A564D9C" w:rsidRPr="1C0202B2">
              <w:rPr>
                <w:lang w:val="en-US"/>
              </w:rPr>
              <w:t xml:space="preserve">will </w:t>
            </w:r>
            <w:r w:rsidR="3441447C" w:rsidRPr="1C0202B2">
              <w:rPr>
                <w:lang w:val="en-US"/>
              </w:rPr>
              <w:t xml:space="preserve">build on existing efforts to communicate </w:t>
            </w:r>
            <w:r w:rsidR="1B1473F4" w:rsidRPr="1C0202B2">
              <w:rPr>
                <w:lang w:val="en-US"/>
              </w:rPr>
              <w:t>the value of GLI investments across Southeast Asia</w:t>
            </w:r>
            <w:r w:rsidR="55F9B03F" w:rsidRPr="1C0202B2">
              <w:rPr>
                <w:lang w:val="en-US"/>
              </w:rPr>
              <w:t>,</w:t>
            </w:r>
            <w:r w:rsidR="1B1473F4" w:rsidRPr="1C0202B2">
              <w:rPr>
                <w:lang w:val="en-US"/>
              </w:rPr>
              <w:t xml:space="preserve"> </w:t>
            </w:r>
            <w:r w:rsidR="69AD121D" w:rsidRPr="1C0202B2">
              <w:rPr>
                <w:lang w:val="en-US"/>
              </w:rPr>
              <w:t>drawing on</w:t>
            </w:r>
            <w:r w:rsidR="1B1473F4" w:rsidRPr="1C0202B2">
              <w:rPr>
                <w:lang w:val="en-US"/>
              </w:rPr>
              <w:t xml:space="preserve"> </w:t>
            </w:r>
            <w:r w:rsidR="3441447C" w:rsidRPr="1C0202B2">
              <w:rPr>
                <w:lang w:val="en-US"/>
              </w:rPr>
              <w:t>a consolidated</w:t>
            </w:r>
            <w:r w:rsidR="7944EC2C" w:rsidRPr="1C0202B2">
              <w:rPr>
                <w:lang w:val="en-US"/>
              </w:rPr>
              <w:t xml:space="preserve"> </w:t>
            </w:r>
            <w:r w:rsidR="3441447C" w:rsidRPr="1C0202B2">
              <w:rPr>
                <w:lang w:val="en-US"/>
              </w:rPr>
              <w:t>evidence base</w:t>
            </w:r>
            <w:r w:rsidR="7950291D" w:rsidRPr="1C0202B2">
              <w:rPr>
                <w:lang w:val="en-US"/>
              </w:rPr>
              <w:t>.</w:t>
            </w:r>
            <w:r w:rsidR="3441447C" w:rsidRPr="1C0202B2">
              <w:rPr>
                <w:lang w:val="en-US"/>
              </w:rPr>
              <w:t xml:space="preserve"> </w:t>
            </w:r>
          </w:p>
        </w:tc>
        <w:tc>
          <w:tcPr>
            <w:tcW w:w="1734" w:type="dxa"/>
          </w:tcPr>
          <w:p w14:paraId="482CB921" w14:textId="524C13CC" w:rsidR="006B1DB9" w:rsidRPr="00934EEF" w:rsidRDefault="67360332" w:rsidP="1C0202B2">
            <w:r w:rsidRPr="00907449">
              <w:t>Ongoing</w:t>
            </w:r>
          </w:p>
        </w:tc>
      </w:tr>
      <w:tr w:rsidR="00B45E72" w:rsidRPr="00934EEF" w14:paraId="340D535A" w14:textId="77777777" w:rsidTr="0010402E">
        <w:trPr>
          <w:trHeight w:val="300"/>
        </w:trPr>
        <w:tc>
          <w:tcPr>
            <w:tcW w:w="4514" w:type="dxa"/>
          </w:tcPr>
          <w:p w14:paraId="4E135B0E" w14:textId="5E4653E2" w:rsidR="006B1DB9" w:rsidRPr="00934EEF" w:rsidRDefault="006B1DB9" w:rsidP="004A12E8">
            <w:pPr>
              <w:pStyle w:val="ListParagraph"/>
              <w:numPr>
                <w:ilvl w:val="0"/>
                <w:numId w:val="3"/>
              </w:numPr>
            </w:pPr>
            <w:r w:rsidRPr="00934EEF">
              <w:t>A future phase should consider larger capital allocations or blended finance mechanisms capable of supporting a greater number of transactions and attracting co-investors. The design should place greater emphasis on investee support and technical assistance relative to capital deployment, with mechanisms such as the Innovation Window calibrated accordingly.  The feasibility of any larger capital allocation will need to be assessed against the availability of an investment-ready pipeline</w:t>
            </w:r>
            <w:r w:rsidRPr="00934EEF">
              <w:rPr>
                <w:rFonts w:eastAsiaTheme="minorEastAsia"/>
              </w:rPr>
              <w:t>.</w:t>
            </w:r>
            <w:r w:rsidRPr="00934EEF">
              <w:rPr>
                <w:rFonts w:eastAsiaTheme="minorEastAsia"/>
                <w:color w:val="0E2841" w:themeColor="text2"/>
              </w:rPr>
              <w:t> </w:t>
            </w:r>
            <w:r w:rsidR="007D765B" w:rsidRPr="007D765B">
              <w:rPr>
                <w:b/>
                <w:bCs/>
                <w:color w:val="0B769F" w:themeColor="accent4" w:themeShade="BF"/>
              </w:rPr>
              <w:t>Option period</w:t>
            </w:r>
          </w:p>
        </w:tc>
        <w:tc>
          <w:tcPr>
            <w:tcW w:w="1669" w:type="dxa"/>
          </w:tcPr>
          <w:p w14:paraId="57991003" w14:textId="483648F2" w:rsidR="006B1DB9" w:rsidRPr="00DE73A2" w:rsidRDefault="25DB6E0C" w:rsidP="00443033">
            <w:r>
              <w:t>Agree</w:t>
            </w:r>
            <w:r w:rsidR="18A745F2">
              <w:t xml:space="preserve"> in-principle</w:t>
            </w:r>
          </w:p>
        </w:tc>
        <w:tc>
          <w:tcPr>
            <w:tcW w:w="3433" w:type="dxa"/>
          </w:tcPr>
          <w:p w14:paraId="26081A75" w14:textId="4B7B6213" w:rsidR="006B1DB9" w:rsidRPr="00934EEF" w:rsidRDefault="0BAED778" w:rsidP="00AD3A7C">
            <w:r w:rsidRPr="1C0202B2">
              <w:rPr>
                <w:lang w:val="en-US"/>
              </w:rPr>
              <w:t xml:space="preserve">DFAT </w:t>
            </w:r>
            <w:r w:rsidR="11DFBB7C" w:rsidRPr="1C0202B2">
              <w:rPr>
                <w:lang w:val="en-US"/>
              </w:rPr>
              <w:t xml:space="preserve">notes </w:t>
            </w:r>
            <w:r w:rsidRPr="1C0202B2">
              <w:rPr>
                <w:lang w:val="en-US"/>
              </w:rPr>
              <w:t xml:space="preserve">the </w:t>
            </w:r>
            <w:r w:rsidR="11DFBB7C" w:rsidRPr="1C0202B2">
              <w:rPr>
                <w:lang w:val="en-US"/>
              </w:rPr>
              <w:t xml:space="preserve">opportunity </w:t>
            </w:r>
            <w:r w:rsidRPr="1C0202B2">
              <w:rPr>
                <w:lang w:val="en-US"/>
              </w:rPr>
              <w:t xml:space="preserve">to strengthen the scale and impact of </w:t>
            </w:r>
            <w:r w:rsidR="27243391" w:rsidRPr="1C0202B2">
              <w:rPr>
                <w:lang w:val="en-US"/>
              </w:rPr>
              <w:t xml:space="preserve">gender lens </w:t>
            </w:r>
            <w:r w:rsidRPr="1C0202B2">
              <w:rPr>
                <w:lang w:val="en-US"/>
              </w:rPr>
              <w:t>investments</w:t>
            </w:r>
            <w:r w:rsidR="11DFBB7C" w:rsidRPr="1C0202B2">
              <w:rPr>
                <w:lang w:val="en-US"/>
              </w:rPr>
              <w:t xml:space="preserve"> in any extension of Phase 2</w:t>
            </w:r>
            <w:r w:rsidRPr="1C0202B2">
              <w:rPr>
                <w:lang w:val="en-US"/>
              </w:rPr>
              <w:t xml:space="preserve">, including through </w:t>
            </w:r>
            <w:r w:rsidR="3EBA56CF" w:rsidRPr="1C0202B2">
              <w:rPr>
                <w:lang w:val="en-US"/>
              </w:rPr>
              <w:t xml:space="preserve">potentially </w:t>
            </w:r>
            <w:r w:rsidRPr="1C0202B2">
              <w:rPr>
                <w:lang w:val="en-US"/>
              </w:rPr>
              <w:t xml:space="preserve">larger capital allocations or </w:t>
            </w:r>
            <w:r w:rsidR="22469EA8" w:rsidRPr="1C0202B2">
              <w:rPr>
                <w:lang w:val="en-US"/>
              </w:rPr>
              <w:t>other innovative</w:t>
            </w:r>
            <w:r w:rsidRPr="1C0202B2">
              <w:rPr>
                <w:lang w:val="en-US"/>
              </w:rPr>
              <w:t xml:space="preserve"> financ</w:t>
            </w:r>
            <w:r w:rsidR="78C1057D" w:rsidRPr="1C0202B2">
              <w:rPr>
                <w:lang w:val="en-US"/>
              </w:rPr>
              <w:t>ing</w:t>
            </w:r>
            <w:r w:rsidRPr="1C0202B2">
              <w:rPr>
                <w:lang w:val="en-US"/>
              </w:rPr>
              <w:t xml:space="preserve"> approaches, alongside a stronger focus on investee support and technical assistance.</w:t>
            </w:r>
          </w:p>
        </w:tc>
        <w:tc>
          <w:tcPr>
            <w:tcW w:w="3225" w:type="dxa"/>
          </w:tcPr>
          <w:p w14:paraId="193D87C8" w14:textId="24752FF0" w:rsidR="006B1DB9" w:rsidRPr="00044358" w:rsidRDefault="7893C60F" w:rsidP="00AD3A7C">
            <w:pPr>
              <w:rPr>
                <w:highlight w:val="yellow"/>
              </w:rPr>
            </w:pPr>
            <w:r w:rsidRPr="1C0202B2">
              <w:rPr>
                <w:lang w:val="en-US"/>
              </w:rPr>
              <w:t xml:space="preserve">DFAT will </w:t>
            </w:r>
            <w:r w:rsidR="6EBDCEDC" w:rsidRPr="1C0202B2">
              <w:rPr>
                <w:lang w:val="en-US"/>
              </w:rPr>
              <w:t xml:space="preserve">consider </w:t>
            </w:r>
            <w:r w:rsidRPr="1C0202B2">
              <w:rPr>
                <w:lang w:val="en-US"/>
              </w:rPr>
              <w:t xml:space="preserve">options for scaling capital and enhancing technical </w:t>
            </w:r>
            <w:r w:rsidRPr="00DF51E9">
              <w:rPr>
                <w:lang w:val="en-US"/>
              </w:rPr>
              <w:t xml:space="preserve">assistance in </w:t>
            </w:r>
            <w:r w:rsidR="00FA24E9" w:rsidRPr="00DF51E9">
              <w:rPr>
                <w:lang w:val="en-US"/>
              </w:rPr>
              <w:t xml:space="preserve">the </w:t>
            </w:r>
            <w:r w:rsidR="46CA48C0" w:rsidRPr="00DF51E9">
              <w:rPr>
                <w:lang w:val="en-US"/>
              </w:rPr>
              <w:t xml:space="preserve">Phase 2 extension </w:t>
            </w:r>
            <w:r w:rsidR="00FA24E9" w:rsidRPr="00DF51E9">
              <w:rPr>
                <w:lang w:val="en-US"/>
              </w:rPr>
              <w:t>budget</w:t>
            </w:r>
            <w:r w:rsidR="4EE9F2D2" w:rsidRPr="00DF51E9">
              <w:rPr>
                <w:lang w:val="en-US"/>
              </w:rPr>
              <w:t>, as well as in the context of any future expansion of Australian</w:t>
            </w:r>
            <w:r w:rsidR="4EE9F2D2" w:rsidRPr="1C0202B2">
              <w:rPr>
                <w:lang w:val="en-US"/>
              </w:rPr>
              <w:t xml:space="preserve"> Development Investments</w:t>
            </w:r>
            <w:r w:rsidR="46CA48C0" w:rsidRPr="1C0202B2">
              <w:rPr>
                <w:lang w:val="en-US"/>
              </w:rPr>
              <w:t>.</w:t>
            </w:r>
          </w:p>
        </w:tc>
        <w:tc>
          <w:tcPr>
            <w:tcW w:w="1734" w:type="dxa"/>
          </w:tcPr>
          <w:p w14:paraId="1FEBCC67" w14:textId="7617E6C6" w:rsidR="006B1DB9" w:rsidRPr="00934EEF" w:rsidRDefault="25DB6E0C" w:rsidP="00443033">
            <w:r w:rsidRPr="00C659E4">
              <w:t xml:space="preserve">By </w:t>
            </w:r>
            <w:r w:rsidR="1EA186CC" w:rsidRPr="00C659E4">
              <w:t>November 2026 for any IW Phase 2 extension design</w:t>
            </w:r>
          </w:p>
        </w:tc>
      </w:tr>
    </w:tbl>
    <w:p w14:paraId="3CAAA0E4" w14:textId="77777777" w:rsidR="0091289D" w:rsidRDefault="0091289D">
      <w:pPr>
        <w:rPr>
          <w:rFonts w:eastAsia="Calibri" w:cs="Calibri"/>
          <w:b/>
          <w:bCs/>
          <w:kern w:val="0"/>
          <w:sz w:val="28"/>
          <w:szCs w:val="28"/>
          <w14:ligatures w14:val="none"/>
        </w:rPr>
      </w:pPr>
      <w:r>
        <w:br w:type="page"/>
      </w:r>
    </w:p>
    <w:p w14:paraId="2431FE27" w14:textId="2D554E53" w:rsidR="0013686C" w:rsidRPr="004712DA" w:rsidRDefault="0013686C" w:rsidP="0091289D">
      <w:pPr>
        <w:pStyle w:val="Heading2"/>
        <w:rPr>
          <w:sz w:val="2"/>
          <w:szCs w:val="2"/>
        </w:rPr>
      </w:pPr>
      <w:r>
        <w:lastRenderedPageBreak/>
        <w:t xml:space="preserve">Efficiency </w:t>
      </w:r>
    </w:p>
    <w:tbl>
      <w:tblPr>
        <w:tblStyle w:val="TableGrid"/>
        <w:tblW w:w="14575" w:type="dxa"/>
        <w:tblInd w:w="-147" w:type="dxa"/>
        <w:tblLook w:val="04A0" w:firstRow="1" w:lastRow="0" w:firstColumn="1" w:lastColumn="0" w:noHBand="0" w:noVBand="1"/>
        <w:tblDescription w:val="Table summarising DFAT's response to the recommendations of the evaluation."/>
      </w:tblPr>
      <w:tblGrid>
        <w:gridCol w:w="4514"/>
        <w:gridCol w:w="1669"/>
        <w:gridCol w:w="3433"/>
        <w:gridCol w:w="3225"/>
        <w:gridCol w:w="1734"/>
      </w:tblGrid>
      <w:tr w:rsidR="0013686C" w:rsidRPr="00443033" w14:paraId="014F84A1" w14:textId="77777777" w:rsidTr="0A228626">
        <w:trPr>
          <w:trHeight w:val="300"/>
          <w:tblHeader/>
        </w:trPr>
        <w:tc>
          <w:tcPr>
            <w:tcW w:w="4514" w:type="dxa"/>
            <w:shd w:val="clear" w:color="auto" w:fill="F1A983" w:themeFill="accent2" w:themeFillTint="99"/>
          </w:tcPr>
          <w:p w14:paraId="04DEF6B4" w14:textId="77777777" w:rsidR="0013686C" w:rsidRPr="00443033" w:rsidRDefault="0013686C">
            <w:pPr>
              <w:spacing w:after="160" w:line="259" w:lineRule="auto"/>
              <w:rPr>
                <w:b/>
                <w:bCs/>
              </w:rPr>
            </w:pPr>
            <w:r w:rsidRPr="00443033">
              <w:rPr>
                <w:b/>
                <w:bCs/>
              </w:rPr>
              <w:t>Recommendation</w:t>
            </w:r>
          </w:p>
        </w:tc>
        <w:tc>
          <w:tcPr>
            <w:tcW w:w="1669" w:type="dxa"/>
            <w:shd w:val="clear" w:color="auto" w:fill="F1A983" w:themeFill="accent2" w:themeFillTint="99"/>
          </w:tcPr>
          <w:p w14:paraId="78AB1222" w14:textId="77777777" w:rsidR="0013686C" w:rsidRPr="00443033" w:rsidRDefault="0013686C">
            <w:pPr>
              <w:spacing w:after="160" w:line="259" w:lineRule="auto"/>
              <w:rPr>
                <w:b/>
                <w:bCs/>
              </w:rPr>
            </w:pPr>
            <w:r w:rsidRPr="00443033">
              <w:rPr>
                <w:b/>
                <w:bCs/>
              </w:rPr>
              <w:t>Response</w:t>
            </w:r>
          </w:p>
        </w:tc>
        <w:tc>
          <w:tcPr>
            <w:tcW w:w="3433" w:type="dxa"/>
            <w:shd w:val="clear" w:color="auto" w:fill="F1A983" w:themeFill="accent2" w:themeFillTint="99"/>
          </w:tcPr>
          <w:p w14:paraId="55E38BC6" w14:textId="77777777" w:rsidR="0013686C" w:rsidRPr="00443033" w:rsidRDefault="0013686C">
            <w:pPr>
              <w:spacing w:after="160" w:line="259" w:lineRule="auto"/>
              <w:rPr>
                <w:b/>
                <w:bCs/>
              </w:rPr>
            </w:pPr>
            <w:r>
              <w:rPr>
                <w:b/>
                <w:bCs/>
              </w:rPr>
              <w:t xml:space="preserve">Explanation </w:t>
            </w:r>
          </w:p>
        </w:tc>
        <w:tc>
          <w:tcPr>
            <w:tcW w:w="3225" w:type="dxa"/>
            <w:shd w:val="clear" w:color="auto" w:fill="F1A983" w:themeFill="accent2" w:themeFillTint="99"/>
          </w:tcPr>
          <w:p w14:paraId="15761AA7" w14:textId="77777777" w:rsidR="0013686C" w:rsidRPr="00443033" w:rsidRDefault="0013686C">
            <w:pPr>
              <w:rPr>
                <w:b/>
                <w:bCs/>
              </w:rPr>
            </w:pPr>
            <w:r w:rsidRPr="00443033">
              <w:rPr>
                <w:b/>
                <w:bCs/>
              </w:rPr>
              <w:t>Action Plan</w:t>
            </w:r>
          </w:p>
        </w:tc>
        <w:tc>
          <w:tcPr>
            <w:tcW w:w="1734" w:type="dxa"/>
            <w:shd w:val="clear" w:color="auto" w:fill="F1A983" w:themeFill="accent2" w:themeFillTint="99"/>
          </w:tcPr>
          <w:p w14:paraId="6EE92579" w14:textId="77777777" w:rsidR="0013686C" w:rsidRPr="00443033" w:rsidRDefault="0013686C">
            <w:pPr>
              <w:spacing w:after="160" w:line="259" w:lineRule="auto"/>
              <w:rPr>
                <w:b/>
                <w:bCs/>
              </w:rPr>
            </w:pPr>
            <w:r w:rsidRPr="027A70F2">
              <w:rPr>
                <w:b/>
                <w:bCs/>
              </w:rPr>
              <w:t>Timeframe</w:t>
            </w:r>
          </w:p>
        </w:tc>
      </w:tr>
      <w:tr w:rsidR="00B45E72" w:rsidRPr="00934EEF" w14:paraId="4E79D392" w14:textId="77777777" w:rsidTr="0A228626">
        <w:trPr>
          <w:trHeight w:val="300"/>
        </w:trPr>
        <w:tc>
          <w:tcPr>
            <w:tcW w:w="4514" w:type="dxa"/>
            <w:tcBorders>
              <w:top w:val="single" w:sz="4" w:space="0" w:color="auto"/>
            </w:tcBorders>
          </w:tcPr>
          <w:p w14:paraId="3E12681F" w14:textId="57811620" w:rsidR="006B1DB9" w:rsidRPr="00934EEF" w:rsidRDefault="006B1DB9" w:rsidP="004A12E8">
            <w:pPr>
              <w:pStyle w:val="ListParagraph"/>
              <w:numPr>
                <w:ilvl w:val="0"/>
                <w:numId w:val="3"/>
              </w:numPr>
            </w:pPr>
            <w:r w:rsidRPr="00934EEF">
              <w:t>A critical review of program deliverables and reporting outputs should be conducted with the objective of reducing administrative burden without compromising oversight, accountability or coordination. This should include consolidating reporting into two substantive annual products and developing greater clarity on what requires formal DFAT approval, active input or notification only. </w:t>
            </w:r>
            <w:r w:rsidRPr="00934EEF">
              <w:rPr>
                <w:rFonts w:eastAsiaTheme="minorEastAsia"/>
                <w:color w:val="0E2841" w:themeColor="text2"/>
              </w:rPr>
              <w:t> </w:t>
            </w:r>
            <w:r w:rsidR="007D765B" w:rsidRPr="007D765B">
              <w:rPr>
                <w:b/>
                <w:bCs/>
                <w:color w:val="0B769F" w:themeColor="accent4" w:themeShade="BF"/>
              </w:rPr>
              <w:t>Option period</w:t>
            </w:r>
          </w:p>
        </w:tc>
        <w:tc>
          <w:tcPr>
            <w:tcW w:w="1669" w:type="dxa"/>
            <w:tcBorders>
              <w:top w:val="single" w:sz="4" w:space="0" w:color="auto"/>
            </w:tcBorders>
          </w:tcPr>
          <w:p w14:paraId="63313112" w14:textId="3424887D" w:rsidR="006B1DB9" w:rsidRPr="0006467F" w:rsidRDefault="006B1DB9" w:rsidP="00443033">
            <w:r w:rsidRPr="0006467F">
              <w:t>Agree</w:t>
            </w:r>
          </w:p>
        </w:tc>
        <w:tc>
          <w:tcPr>
            <w:tcW w:w="3433" w:type="dxa"/>
            <w:tcBorders>
              <w:top w:val="single" w:sz="4" w:space="0" w:color="auto"/>
            </w:tcBorders>
          </w:tcPr>
          <w:p w14:paraId="71346823" w14:textId="0B21296B" w:rsidR="006B1DB9" w:rsidRPr="00934EEF" w:rsidRDefault="0041513F" w:rsidP="0A228626">
            <w:r w:rsidRPr="0041513F">
              <w:rPr>
                <w:lang w:val="en-US"/>
              </w:rPr>
              <w:t>DFAT agrees there are opportunities to streamline deliverables and reporting, including in any Phase 2 extension.</w:t>
            </w:r>
          </w:p>
        </w:tc>
        <w:tc>
          <w:tcPr>
            <w:tcW w:w="3225" w:type="dxa"/>
            <w:tcBorders>
              <w:top w:val="single" w:sz="4" w:space="0" w:color="auto"/>
            </w:tcBorders>
          </w:tcPr>
          <w:p w14:paraId="3502FE30" w14:textId="3F789FB0" w:rsidR="006B1DB9" w:rsidRPr="00044358" w:rsidRDefault="196359C0" w:rsidP="00AD3A7C">
            <w:pPr>
              <w:rPr>
                <w:highlight w:val="yellow"/>
              </w:rPr>
            </w:pPr>
            <w:r w:rsidRPr="1C0202B2">
              <w:rPr>
                <w:lang w:val="en-US"/>
              </w:rPr>
              <w:t xml:space="preserve">DFAT will review IW deliverables and </w:t>
            </w:r>
            <w:r w:rsidRPr="00DF51E9">
              <w:rPr>
                <w:lang w:val="en-US"/>
              </w:rPr>
              <w:t xml:space="preserve">reporting requirements </w:t>
            </w:r>
            <w:r w:rsidR="00B75E9A" w:rsidRPr="00DF51E9">
              <w:rPr>
                <w:lang w:val="en-US"/>
              </w:rPr>
              <w:t xml:space="preserve">as part of </w:t>
            </w:r>
            <w:r w:rsidR="00FA24E9" w:rsidRPr="00DF51E9">
              <w:rPr>
                <w:lang w:val="en-US"/>
              </w:rPr>
              <w:t>contract</w:t>
            </w:r>
            <w:r w:rsidR="003C0D02" w:rsidRPr="00DF51E9">
              <w:rPr>
                <w:lang w:val="en-US"/>
              </w:rPr>
              <w:t xml:space="preserve"> extension </w:t>
            </w:r>
            <w:r w:rsidR="00E55257" w:rsidRPr="00DF51E9">
              <w:rPr>
                <w:lang w:val="en-US"/>
              </w:rPr>
              <w:t>and IW annual plan</w:t>
            </w:r>
            <w:r w:rsidR="2338E394" w:rsidRPr="00DF51E9">
              <w:rPr>
                <w:lang w:val="en-US"/>
              </w:rPr>
              <w:t xml:space="preserve">. The aim will </w:t>
            </w:r>
            <w:r w:rsidR="3ECD7156" w:rsidRPr="00DF51E9">
              <w:rPr>
                <w:lang w:val="en-US"/>
              </w:rPr>
              <w:t>be</w:t>
            </w:r>
            <w:r w:rsidRPr="00DF51E9" w:rsidDel="00B75E9A">
              <w:rPr>
                <w:lang w:val="en-US"/>
              </w:rPr>
              <w:t xml:space="preserve"> </w:t>
            </w:r>
            <w:r w:rsidRPr="00DF51E9">
              <w:rPr>
                <w:lang w:val="en-US"/>
              </w:rPr>
              <w:t>to streamline processes</w:t>
            </w:r>
            <w:r w:rsidRPr="1C0202B2">
              <w:rPr>
                <w:lang w:val="en-US"/>
              </w:rPr>
              <w:t xml:space="preserve">, reduce administrative </w:t>
            </w:r>
            <w:r w:rsidR="101413CB" w:rsidRPr="1C0202B2">
              <w:rPr>
                <w:lang w:val="en-US"/>
              </w:rPr>
              <w:t>burden,</w:t>
            </w:r>
            <w:r w:rsidRPr="1C0202B2">
              <w:rPr>
                <w:lang w:val="en-US"/>
              </w:rPr>
              <w:t xml:space="preserve"> and improve clarity on approval pathways. This will include exploring consolidation into fewer, higher-value reporting products and clearer delineation of DFAT roles (approval, input, notification), while maintaining accountability and oversight.</w:t>
            </w:r>
          </w:p>
        </w:tc>
        <w:tc>
          <w:tcPr>
            <w:tcW w:w="1734" w:type="dxa"/>
            <w:tcBorders>
              <w:top w:val="single" w:sz="4" w:space="0" w:color="auto"/>
            </w:tcBorders>
          </w:tcPr>
          <w:p w14:paraId="028BF670" w14:textId="752B116A" w:rsidR="006B1DB9" w:rsidRPr="00934EEF" w:rsidRDefault="67360332" w:rsidP="00443033">
            <w:r>
              <w:t xml:space="preserve">By </w:t>
            </w:r>
            <w:r w:rsidR="56F80A8E">
              <w:t>July 2027</w:t>
            </w:r>
          </w:p>
        </w:tc>
      </w:tr>
      <w:tr w:rsidR="00B45E72" w:rsidRPr="00934EEF" w14:paraId="390EE6BF" w14:textId="77777777" w:rsidTr="0A228626">
        <w:trPr>
          <w:trHeight w:val="300"/>
        </w:trPr>
        <w:tc>
          <w:tcPr>
            <w:tcW w:w="4514" w:type="dxa"/>
          </w:tcPr>
          <w:p w14:paraId="5BC7F11D" w14:textId="02548634" w:rsidR="006B1DB9" w:rsidRPr="00934EEF" w:rsidRDefault="006B1DB9" w:rsidP="004A12E8">
            <w:pPr>
              <w:pStyle w:val="ListParagraph"/>
              <w:numPr>
                <w:ilvl w:val="0"/>
                <w:numId w:val="3"/>
              </w:numPr>
            </w:pPr>
            <w:r w:rsidRPr="00934EEF">
              <w:t xml:space="preserve">IW governance should be supported by an independent QTAG reporting directly to the SAB. Recruited by end 2026, this would be a lean body of independent technical experts that provides DFAT with a standing capability to commission advice and explore emerging technical questions whether at the program level, within a specific country context or within a particular workstream. This body will provide advice to the independent design team and guidance for its implementation. </w:t>
            </w:r>
            <w:r w:rsidR="00134DA2" w:rsidRPr="00134DA2">
              <w:rPr>
                <w:b/>
                <w:bCs/>
                <w:color w:val="3A7C22" w:themeColor="accent6" w:themeShade="BF"/>
              </w:rPr>
              <w:t xml:space="preserve">Both </w:t>
            </w:r>
            <w:proofErr w:type="gramStart"/>
            <w:r w:rsidR="00134DA2" w:rsidRPr="00134DA2">
              <w:rPr>
                <w:b/>
                <w:bCs/>
                <w:color w:val="3A7C22" w:themeColor="accent6" w:themeShade="BF"/>
              </w:rPr>
              <w:t>phases</w:t>
            </w:r>
            <w:proofErr w:type="gramEnd"/>
            <w:r w:rsidRPr="00934EEF">
              <w:rPr>
                <w:b/>
                <w:bCs/>
                <w:color w:val="3A7C22" w:themeColor="accent6" w:themeShade="BF"/>
              </w:rPr>
              <w:t xml:space="preserve"> </w:t>
            </w:r>
            <w:r w:rsidRPr="00934EEF">
              <w:rPr>
                <w:b/>
                <w:bCs/>
                <w:color w:val="EE0000"/>
              </w:rPr>
              <w:t>[high]</w:t>
            </w:r>
          </w:p>
        </w:tc>
        <w:tc>
          <w:tcPr>
            <w:tcW w:w="1669" w:type="dxa"/>
          </w:tcPr>
          <w:p w14:paraId="2079C49F" w14:textId="5AE1A3C9" w:rsidR="006B1DB9" w:rsidRPr="0020344E" w:rsidRDefault="0177B221" w:rsidP="00AD3A7C">
            <w:pPr>
              <w:spacing w:after="160" w:line="259" w:lineRule="auto"/>
              <w:rPr>
                <w:highlight w:val="yellow"/>
              </w:rPr>
            </w:pPr>
            <w:r>
              <w:t xml:space="preserve"> Agree in-principle</w:t>
            </w:r>
          </w:p>
        </w:tc>
        <w:tc>
          <w:tcPr>
            <w:tcW w:w="3433" w:type="dxa"/>
          </w:tcPr>
          <w:p w14:paraId="7A78CE7E" w14:textId="48E19DA1" w:rsidR="006B1DB9" w:rsidRPr="00934EEF" w:rsidRDefault="20B94A61" w:rsidP="007B01DD">
            <w:r w:rsidRPr="1C0202B2">
              <w:rPr>
                <w:lang w:val="en-US"/>
              </w:rPr>
              <w:t>DFAT notes that</w:t>
            </w:r>
            <w:r w:rsidR="5985DE48" w:rsidRPr="1C0202B2">
              <w:rPr>
                <w:lang w:val="en-US"/>
              </w:rPr>
              <w:t xml:space="preserve"> IW is a mature program with</w:t>
            </w:r>
            <w:r w:rsidRPr="1C0202B2">
              <w:rPr>
                <w:lang w:val="en-US"/>
              </w:rPr>
              <w:t xml:space="preserve"> </w:t>
            </w:r>
            <w:r w:rsidR="000251E4">
              <w:rPr>
                <w:lang w:val="en-US"/>
              </w:rPr>
              <w:t xml:space="preserve">strong </w:t>
            </w:r>
            <w:r w:rsidRPr="1C0202B2">
              <w:rPr>
                <w:lang w:val="en-US"/>
              </w:rPr>
              <w:t xml:space="preserve">oversight and technical input mechanisms already in place, including access to external advisers and close engagement with thematic </w:t>
            </w:r>
            <w:r w:rsidR="000251E4">
              <w:rPr>
                <w:lang w:val="en-US"/>
              </w:rPr>
              <w:t xml:space="preserve">and </w:t>
            </w:r>
            <w:r w:rsidR="00DC15EB">
              <w:rPr>
                <w:lang w:val="en-US"/>
              </w:rPr>
              <w:t xml:space="preserve">technical </w:t>
            </w:r>
            <w:r w:rsidRPr="1C0202B2">
              <w:rPr>
                <w:lang w:val="en-US"/>
              </w:rPr>
              <w:t xml:space="preserve">expertise across DFAT. </w:t>
            </w:r>
            <w:r w:rsidR="00296483">
              <w:rPr>
                <w:lang w:val="en-US"/>
              </w:rPr>
              <w:t xml:space="preserve">Consideration of </w:t>
            </w:r>
            <w:r w:rsidR="006271A8">
              <w:rPr>
                <w:lang w:val="en-US"/>
              </w:rPr>
              <w:t xml:space="preserve">an </w:t>
            </w:r>
            <w:r w:rsidR="00296483">
              <w:rPr>
                <w:lang w:val="en-US"/>
              </w:rPr>
              <w:t xml:space="preserve">additional </w:t>
            </w:r>
            <w:r w:rsidR="006271A8">
              <w:rPr>
                <w:lang w:val="en-US"/>
              </w:rPr>
              <w:t>mechanism</w:t>
            </w:r>
            <w:r w:rsidR="00714D8E">
              <w:rPr>
                <w:lang w:val="en-US"/>
              </w:rPr>
              <w:t xml:space="preserve"> </w:t>
            </w:r>
            <w:r w:rsidR="06ED2C54" w:rsidRPr="43B8C5C9">
              <w:rPr>
                <w:lang w:val="en-US"/>
              </w:rPr>
              <w:t xml:space="preserve">to support </w:t>
            </w:r>
            <w:r w:rsidR="06ED2C54" w:rsidRPr="4E4E769F">
              <w:rPr>
                <w:lang w:val="en-US"/>
              </w:rPr>
              <w:t>program governance</w:t>
            </w:r>
            <w:r w:rsidR="06ED2C54" w:rsidRPr="491F0B7A">
              <w:rPr>
                <w:lang w:val="en-US"/>
              </w:rPr>
              <w:t xml:space="preserve"> </w:t>
            </w:r>
            <w:r w:rsidR="00714D8E">
              <w:rPr>
                <w:lang w:val="en-US"/>
              </w:rPr>
              <w:t>will be explored, noting that it</w:t>
            </w:r>
            <w:r w:rsidR="006271A8">
              <w:rPr>
                <w:lang w:val="en-US"/>
              </w:rPr>
              <w:t xml:space="preserve"> </w:t>
            </w:r>
            <w:r w:rsidR="1C95F54C" w:rsidRPr="1C0202B2">
              <w:rPr>
                <w:lang w:val="en-US"/>
              </w:rPr>
              <w:t xml:space="preserve">would require resourcing </w:t>
            </w:r>
            <w:r w:rsidR="57F6FC1D" w:rsidRPr="1C0202B2">
              <w:rPr>
                <w:lang w:val="en-US"/>
              </w:rPr>
              <w:t>(with a trade-off of resources available for program implementation)</w:t>
            </w:r>
            <w:r w:rsidRPr="1C0202B2">
              <w:rPr>
                <w:lang w:val="en-US"/>
              </w:rPr>
              <w:t>.</w:t>
            </w:r>
            <w:r w:rsidR="5CE66664" w:rsidRPr="1C0202B2">
              <w:rPr>
                <w:lang w:val="en-US"/>
              </w:rPr>
              <w:t xml:space="preserve"> </w:t>
            </w:r>
          </w:p>
        </w:tc>
        <w:tc>
          <w:tcPr>
            <w:tcW w:w="3225" w:type="dxa"/>
          </w:tcPr>
          <w:p w14:paraId="47F238F0" w14:textId="4D7B1D00" w:rsidR="006B1DB9" w:rsidRPr="00934EEF" w:rsidRDefault="2D65E742" w:rsidP="00AD3A7C">
            <w:r w:rsidRPr="1C0202B2">
              <w:rPr>
                <w:lang w:val="en-US"/>
              </w:rPr>
              <w:t>DFAT</w:t>
            </w:r>
            <w:r w:rsidR="196359C0" w:rsidRPr="1C0202B2">
              <w:rPr>
                <w:lang w:val="en-US"/>
              </w:rPr>
              <w:t xml:space="preserve"> </w:t>
            </w:r>
            <w:r w:rsidRPr="1C0202B2">
              <w:rPr>
                <w:lang w:val="en-US"/>
              </w:rPr>
              <w:t xml:space="preserve">will </w:t>
            </w:r>
            <w:r w:rsidR="5CE66664" w:rsidRPr="1C0202B2">
              <w:rPr>
                <w:lang w:val="en-US"/>
              </w:rPr>
              <w:t xml:space="preserve">consider </w:t>
            </w:r>
            <w:r w:rsidR="5CE66664" w:rsidRPr="00DF51E9">
              <w:rPr>
                <w:lang w:val="en-US"/>
              </w:rPr>
              <w:t xml:space="preserve">opportunities to strengthen </w:t>
            </w:r>
            <w:r w:rsidR="2A77F556" w:rsidRPr="00DF51E9">
              <w:rPr>
                <w:lang w:val="en-US"/>
              </w:rPr>
              <w:t xml:space="preserve">technical advice </w:t>
            </w:r>
            <w:r w:rsidR="702FAEA1" w:rsidRPr="00DF51E9">
              <w:rPr>
                <w:lang w:val="en-US"/>
              </w:rPr>
              <w:t>in any Phase 2 extension.</w:t>
            </w:r>
          </w:p>
        </w:tc>
        <w:tc>
          <w:tcPr>
            <w:tcW w:w="1734" w:type="dxa"/>
          </w:tcPr>
          <w:p w14:paraId="0796A399" w14:textId="6D9B9331" w:rsidR="006B1DB9" w:rsidRPr="00934EEF" w:rsidRDefault="00C91687" w:rsidP="00443033">
            <w:r>
              <w:t>By November 2026</w:t>
            </w:r>
          </w:p>
        </w:tc>
      </w:tr>
      <w:tr w:rsidR="00B45E72" w:rsidRPr="00934EEF" w14:paraId="79D4492E" w14:textId="77777777" w:rsidTr="0A228626">
        <w:trPr>
          <w:trHeight w:val="300"/>
        </w:trPr>
        <w:tc>
          <w:tcPr>
            <w:tcW w:w="4514" w:type="dxa"/>
          </w:tcPr>
          <w:p w14:paraId="2E42388E" w14:textId="6387B426" w:rsidR="006B1DB9" w:rsidRPr="00934EEF" w:rsidRDefault="006B1DB9" w:rsidP="004A12E8">
            <w:pPr>
              <w:pStyle w:val="ListParagraph"/>
              <w:numPr>
                <w:ilvl w:val="0"/>
                <w:numId w:val="3"/>
              </w:numPr>
            </w:pPr>
            <w:r w:rsidRPr="00934EEF">
              <w:lastRenderedPageBreak/>
              <w:t>Consideration should be given to structurally separating workstream director positions from country management roles to ensure both functions receive sufficient dedicated attention, recognising that combining these responsibilities risks diluting strategic workstream leadership or constrain the depth of country level engagement. </w:t>
            </w:r>
            <w:r w:rsidR="007D765B" w:rsidRPr="007D765B">
              <w:rPr>
                <w:b/>
                <w:bCs/>
                <w:color w:val="0B769F" w:themeColor="accent4" w:themeShade="BF"/>
              </w:rPr>
              <w:t>Option period</w:t>
            </w:r>
          </w:p>
        </w:tc>
        <w:tc>
          <w:tcPr>
            <w:tcW w:w="1669" w:type="dxa"/>
          </w:tcPr>
          <w:p w14:paraId="3D806FFC" w14:textId="6023243C" w:rsidR="006B1DB9" w:rsidRPr="00C83FAF" w:rsidRDefault="7934A782" w:rsidP="00AD3A7C">
            <w:pPr>
              <w:spacing w:after="160" w:line="259" w:lineRule="auto"/>
            </w:pPr>
            <w:r>
              <w:t>Agree in-principle</w:t>
            </w:r>
          </w:p>
        </w:tc>
        <w:tc>
          <w:tcPr>
            <w:tcW w:w="3433" w:type="dxa"/>
          </w:tcPr>
          <w:p w14:paraId="0354EC92" w14:textId="591B47D2" w:rsidR="006B1DB9" w:rsidRPr="00934EEF" w:rsidRDefault="25DB6E0C">
            <w:r w:rsidRPr="027A70F2">
              <w:rPr>
                <w:lang w:val="en-US"/>
              </w:rPr>
              <w:t xml:space="preserve">DFAT </w:t>
            </w:r>
            <w:proofErr w:type="spellStart"/>
            <w:r w:rsidRPr="027A70F2">
              <w:rPr>
                <w:lang w:val="en-US"/>
              </w:rPr>
              <w:t>recognises</w:t>
            </w:r>
            <w:proofErr w:type="spellEnd"/>
            <w:r w:rsidRPr="027A70F2">
              <w:rPr>
                <w:lang w:val="en-US"/>
              </w:rPr>
              <w:t xml:space="preserve"> there are benefits to separating workstream leadership and country management roles,</w:t>
            </w:r>
            <w:r w:rsidR="00297713">
              <w:rPr>
                <w:lang w:val="en-US"/>
              </w:rPr>
              <w:t xml:space="preserve"> </w:t>
            </w:r>
            <w:r w:rsidR="117CB66A" w:rsidRPr="027A70F2">
              <w:rPr>
                <w:lang w:val="en-US"/>
              </w:rPr>
              <w:t xml:space="preserve">while </w:t>
            </w:r>
            <w:r w:rsidRPr="027A70F2">
              <w:rPr>
                <w:lang w:val="en-US"/>
              </w:rPr>
              <w:t xml:space="preserve">noting that there are also advantages to the current integrated model, including </w:t>
            </w:r>
            <w:r w:rsidR="73C6C0FA" w:rsidRPr="027A70F2">
              <w:rPr>
                <w:lang w:val="en-US"/>
              </w:rPr>
              <w:t>cost-</w:t>
            </w:r>
            <w:r w:rsidRPr="027A70F2">
              <w:rPr>
                <w:lang w:val="en-US"/>
              </w:rPr>
              <w:t>efficiency, coherence and strong links between strategic and operational delivery.</w:t>
            </w:r>
          </w:p>
        </w:tc>
        <w:tc>
          <w:tcPr>
            <w:tcW w:w="3225" w:type="dxa"/>
          </w:tcPr>
          <w:p w14:paraId="24C6A6C4" w14:textId="644627E7" w:rsidR="006B1DB9" w:rsidRPr="00934EEF" w:rsidRDefault="7893C60F" w:rsidP="00AD3A7C">
            <w:r w:rsidRPr="1C0202B2">
              <w:rPr>
                <w:lang w:val="en-US"/>
              </w:rPr>
              <w:t xml:space="preserve">DFAT will maintain current arrangements in the </w:t>
            </w:r>
            <w:r w:rsidR="6165176F" w:rsidRPr="1C0202B2">
              <w:rPr>
                <w:lang w:val="en-US"/>
              </w:rPr>
              <w:t>current program period</w:t>
            </w:r>
            <w:r w:rsidRPr="1C0202B2">
              <w:rPr>
                <w:lang w:val="en-US"/>
              </w:rPr>
              <w:t xml:space="preserve">, while monitoring effectiveness. Options for structural separation, including associated trade-offs, will be reassessed as part of </w:t>
            </w:r>
            <w:r w:rsidR="11EBC843" w:rsidRPr="1C0202B2">
              <w:rPr>
                <w:lang w:val="en-US"/>
              </w:rPr>
              <w:t>any</w:t>
            </w:r>
            <w:r w:rsidRPr="1C0202B2">
              <w:rPr>
                <w:lang w:val="en-US"/>
              </w:rPr>
              <w:t xml:space="preserve"> </w:t>
            </w:r>
            <w:r w:rsidR="00E53D08">
              <w:rPr>
                <w:lang w:val="en-US"/>
              </w:rPr>
              <w:t xml:space="preserve">Phase 2 </w:t>
            </w:r>
            <w:r w:rsidR="003C0D02">
              <w:rPr>
                <w:lang w:val="en-US"/>
              </w:rPr>
              <w:t>extension</w:t>
            </w:r>
            <w:r w:rsidRPr="1C0202B2">
              <w:rPr>
                <w:lang w:val="en-US"/>
              </w:rPr>
              <w:t>.</w:t>
            </w:r>
          </w:p>
        </w:tc>
        <w:tc>
          <w:tcPr>
            <w:tcW w:w="1734" w:type="dxa"/>
          </w:tcPr>
          <w:p w14:paraId="7657B21F" w14:textId="0692D982" w:rsidR="006B1DB9" w:rsidRPr="00934EEF" w:rsidRDefault="2DD11386" w:rsidP="00443033">
            <w:r w:rsidRPr="00C3052D">
              <w:t>By</w:t>
            </w:r>
            <w:r w:rsidR="33C962AF" w:rsidRPr="00C3052D">
              <w:t xml:space="preserve"> </w:t>
            </w:r>
            <w:r w:rsidR="3CD1C234" w:rsidRPr="00C3052D">
              <w:t>November</w:t>
            </w:r>
            <w:r w:rsidR="33C962AF" w:rsidRPr="00C3052D">
              <w:t xml:space="preserve"> 202</w:t>
            </w:r>
            <w:r w:rsidR="684B0A4E" w:rsidRPr="00C3052D">
              <w:t>6</w:t>
            </w:r>
          </w:p>
          <w:p w14:paraId="6C043E3B" w14:textId="34975923" w:rsidR="006B1DB9" w:rsidRPr="00934EEF" w:rsidRDefault="006B1DB9" w:rsidP="00443033"/>
        </w:tc>
      </w:tr>
    </w:tbl>
    <w:p w14:paraId="043BE183" w14:textId="10AB4266" w:rsidR="0013686C" w:rsidRPr="0091289D" w:rsidRDefault="0013686C" w:rsidP="0091289D">
      <w:pPr>
        <w:pStyle w:val="Heading2"/>
      </w:pPr>
      <w:r w:rsidRPr="0091289D">
        <w:t>Sustainability</w:t>
      </w:r>
    </w:p>
    <w:tbl>
      <w:tblPr>
        <w:tblStyle w:val="TableGrid"/>
        <w:tblW w:w="14575" w:type="dxa"/>
        <w:tblInd w:w="-147" w:type="dxa"/>
        <w:tblLook w:val="04A0" w:firstRow="1" w:lastRow="0" w:firstColumn="1" w:lastColumn="0" w:noHBand="0" w:noVBand="1"/>
        <w:tblDescription w:val="Table summarising DFAT's response to the recommendations of the evaluation."/>
      </w:tblPr>
      <w:tblGrid>
        <w:gridCol w:w="4514"/>
        <w:gridCol w:w="1669"/>
        <w:gridCol w:w="3433"/>
        <w:gridCol w:w="3225"/>
        <w:gridCol w:w="1734"/>
      </w:tblGrid>
      <w:tr w:rsidR="0013686C" w:rsidRPr="00443033" w14:paraId="40928D12" w14:textId="77777777" w:rsidTr="0A228626">
        <w:trPr>
          <w:trHeight w:val="300"/>
          <w:tblHeader/>
        </w:trPr>
        <w:tc>
          <w:tcPr>
            <w:tcW w:w="4514" w:type="dxa"/>
            <w:shd w:val="clear" w:color="auto" w:fill="F1A983" w:themeFill="accent2" w:themeFillTint="99"/>
          </w:tcPr>
          <w:p w14:paraId="46EE90A7" w14:textId="77777777" w:rsidR="0013686C" w:rsidRPr="00443033" w:rsidRDefault="0013686C">
            <w:pPr>
              <w:spacing w:after="160" w:line="259" w:lineRule="auto"/>
              <w:rPr>
                <w:b/>
                <w:bCs/>
              </w:rPr>
            </w:pPr>
            <w:r w:rsidRPr="00443033">
              <w:rPr>
                <w:b/>
                <w:bCs/>
              </w:rPr>
              <w:t>Recommendation</w:t>
            </w:r>
          </w:p>
        </w:tc>
        <w:tc>
          <w:tcPr>
            <w:tcW w:w="1669" w:type="dxa"/>
            <w:shd w:val="clear" w:color="auto" w:fill="F1A983" w:themeFill="accent2" w:themeFillTint="99"/>
          </w:tcPr>
          <w:p w14:paraId="493041D1" w14:textId="77777777" w:rsidR="0013686C" w:rsidRPr="00443033" w:rsidRDefault="0013686C">
            <w:pPr>
              <w:spacing w:after="160" w:line="259" w:lineRule="auto"/>
              <w:rPr>
                <w:b/>
                <w:bCs/>
              </w:rPr>
            </w:pPr>
            <w:r w:rsidRPr="00443033">
              <w:rPr>
                <w:b/>
                <w:bCs/>
              </w:rPr>
              <w:t>Response</w:t>
            </w:r>
          </w:p>
        </w:tc>
        <w:tc>
          <w:tcPr>
            <w:tcW w:w="3433" w:type="dxa"/>
            <w:shd w:val="clear" w:color="auto" w:fill="F1A983" w:themeFill="accent2" w:themeFillTint="99"/>
          </w:tcPr>
          <w:p w14:paraId="5B59BF06" w14:textId="77777777" w:rsidR="0013686C" w:rsidRPr="00443033" w:rsidRDefault="0013686C">
            <w:pPr>
              <w:spacing w:after="160" w:line="259" w:lineRule="auto"/>
              <w:rPr>
                <w:b/>
                <w:bCs/>
              </w:rPr>
            </w:pPr>
            <w:r>
              <w:rPr>
                <w:b/>
                <w:bCs/>
              </w:rPr>
              <w:t xml:space="preserve">Explanation </w:t>
            </w:r>
          </w:p>
        </w:tc>
        <w:tc>
          <w:tcPr>
            <w:tcW w:w="3225" w:type="dxa"/>
            <w:shd w:val="clear" w:color="auto" w:fill="F1A983" w:themeFill="accent2" w:themeFillTint="99"/>
          </w:tcPr>
          <w:p w14:paraId="1D0229B1" w14:textId="77777777" w:rsidR="0013686C" w:rsidRPr="00443033" w:rsidRDefault="0013686C">
            <w:pPr>
              <w:rPr>
                <w:b/>
                <w:bCs/>
              </w:rPr>
            </w:pPr>
            <w:r w:rsidRPr="00443033">
              <w:rPr>
                <w:b/>
                <w:bCs/>
              </w:rPr>
              <w:t>Action Plan</w:t>
            </w:r>
          </w:p>
        </w:tc>
        <w:tc>
          <w:tcPr>
            <w:tcW w:w="1734" w:type="dxa"/>
            <w:shd w:val="clear" w:color="auto" w:fill="F1A983" w:themeFill="accent2" w:themeFillTint="99"/>
          </w:tcPr>
          <w:p w14:paraId="77061CFA" w14:textId="77777777" w:rsidR="0013686C" w:rsidRPr="00443033" w:rsidRDefault="0013686C">
            <w:pPr>
              <w:spacing w:after="160" w:line="259" w:lineRule="auto"/>
              <w:rPr>
                <w:b/>
                <w:bCs/>
              </w:rPr>
            </w:pPr>
            <w:r w:rsidRPr="027A70F2">
              <w:rPr>
                <w:b/>
                <w:bCs/>
              </w:rPr>
              <w:t>Timeframe</w:t>
            </w:r>
          </w:p>
        </w:tc>
      </w:tr>
      <w:tr w:rsidR="00B45E72" w:rsidRPr="00934EEF" w14:paraId="195F5807" w14:textId="77777777" w:rsidTr="0A228626">
        <w:trPr>
          <w:trHeight w:val="300"/>
        </w:trPr>
        <w:tc>
          <w:tcPr>
            <w:tcW w:w="4514" w:type="dxa"/>
            <w:tcBorders>
              <w:top w:val="single" w:sz="4" w:space="0" w:color="auto"/>
            </w:tcBorders>
          </w:tcPr>
          <w:p w14:paraId="6B466D4D" w14:textId="781D716B" w:rsidR="006B1DB9" w:rsidRPr="00934EEF" w:rsidRDefault="006B1DB9" w:rsidP="004A12E8">
            <w:pPr>
              <w:pStyle w:val="ListParagraph"/>
              <w:numPr>
                <w:ilvl w:val="0"/>
                <w:numId w:val="3"/>
              </w:numPr>
            </w:pPr>
            <w:r w:rsidRPr="00934EEF">
              <w:t xml:space="preserve">Across all countries, BCs should continue to be appropriately resourced as they transition toward financial sustainability, with a concurrent and meaningful reduction in administration and reporting requirements. By program end, each BC should be able to demonstrate progress against a credible transition pathway - including reduced reliance on DFAT funding, intentional revenue diversification and a post-program operating plan led by its CEO and board. Success for BCs should be assessed against this broader picture of organisational and programmatic health, encompassing networks, capability, tools, legitimacy and embedded roles in </w:t>
            </w:r>
            <w:r w:rsidRPr="00934EEF">
              <w:lastRenderedPageBreak/>
              <w:t>policy and market systems, rather than membership numbers, GEARS metrics or financial sustainability alone.</w:t>
            </w:r>
            <w:r w:rsidRPr="00934EEF">
              <w:rPr>
                <w:rFonts w:eastAsiaTheme="minorEastAsia"/>
              </w:rPr>
              <w:t xml:space="preserve"> Where IW has undertaken financial sustainability modelling, this should be drawn on to inform realistic expectations and planning for the remainder of the phase.  </w:t>
            </w:r>
            <w:r w:rsidR="00134DA2" w:rsidRPr="00134DA2">
              <w:rPr>
                <w:b/>
                <w:bCs/>
                <w:color w:val="3A7C22" w:themeColor="accent6" w:themeShade="BF"/>
              </w:rPr>
              <w:t>Both phases</w:t>
            </w:r>
          </w:p>
        </w:tc>
        <w:tc>
          <w:tcPr>
            <w:tcW w:w="1669" w:type="dxa"/>
            <w:tcBorders>
              <w:top w:val="single" w:sz="4" w:space="0" w:color="auto"/>
            </w:tcBorders>
          </w:tcPr>
          <w:p w14:paraId="07DC098E" w14:textId="179AD802" w:rsidR="006B1DB9" w:rsidRPr="009E0617" w:rsidRDefault="006B1DB9" w:rsidP="00443033">
            <w:r w:rsidRPr="009E0617">
              <w:lastRenderedPageBreak/>
              <w:t>Agree</w:t>
            </w:r>
          </w:p>
        </w:tc>
        <w:tc>
          <w:tcPr>
            <w:tcW w:w="3433" w:type="dxa"/>
            <w:tcBorders>
              <w:top w:val="single" w:sz="4" w:space="0" w:color="auto"/>
            </w:tcBorders>
          </w:tcPr>
          <w:p w14:paraId="55E6872A" w14:textId="64B9D5D1" w:rsidR="00876A43" w:rsidRDefault="00876A43" w:rsidP="00876A43">
            <w:pPr>
              <w:rPr>
                <w:lang w:val="en-US"/>
              </w:rPr>
            </w:pPr>
            <w:r w:rsidRPr="0041513F">
              <w:rPr>
                <w:lang w:val="en-US"/>
              </w:rPr>
              <w:t xml:space="preserve">DFAT </w:t>
            </w:r>
            <w:proofErr w:type="spellStart"/>
            <w:r w:rsidRPr="0041513F">
              <w:rPr>
                <w:lang w:val="en-US"/>
              </w:rPr>
              <w:t>recognises</w:t>
            </w:r>
            <w:proofErr w:type="spellEnd"/>
            <w:r w:rsidRPr="0041513F">
              <w:rPr>
                <w:lang w:val="en-US"/>
              </w:rPr>
              <w:t xml:space="preserve"> the importance of </w:t>
            </w:r>
            <w:r w:rsidR="00CF726F" w:rsidRPr="0041513F">
              <w:rPr>
                <w:lang w:val="en-US"/>
              </w:rPr>
              <w:t xml:space="preserve">supporting </w:t>
            </w:r>
            <w:r w:rsidRPr="0041513F">
              <w:rPr>
                <w:lang w:val="en-US"/>
              </w:rPr>
              <w:t>BCs to transition toward financial sustainability in a way that reflects their broader organisational strengths and long-term role in market systems.</w:t>
            </w:r>
            <w:r w:rsidRPr="00513F71">
              <w:rPr>
                <w:lang w:val="en-US"/>
              </w:rPr>
              <w:t xml:space="preserve"> </w:t>
            </w:r>
          </w:p>
          <w:p w14:paraId="1F673354" w14:textId="28BC2BBC" w:rsidR="006B1DB9" w:rsidRPr="00934EEF" w:rsidRDefault="006B1DB9" w:rsidP="0A228626"/>
        </w:tc>
        <w:tc>
          <w:tcPr>
            <w:tcW w:w="3225" w:type="dxa"/>
            <w:tcBorders>
              <w:top w:val="single" w:sz="4" w:space="0" w:color="auto"/>
            </w:tcBorders>
          </w:tcPr>
          <w:p w14:paraId="3027311A" w14:textId="72424E03" w:rsidR="006B1DB9" w:rsidRPr="00283D48" w:rsidRDefault="5FA3920F" w:rsidP="00935371">
            <w:r w:rsidRPr="00283D48">
              <w:rPr>
                <w:lang w:val="en-US"/>
              </w:rPr>
              <w:t>DFAT will support IW to embed these priorities in the 2026–27</w:t>
            </w:r>
            <w:r w:rsidR="649AAB6A" w:rsidRPr="00283D48">
              <w:rPr>
                <w:lang w:val="en-US"/>
              </w:rPr>
              <w:t xml:space="preserve"> Annual Plan.</w:t>
            </w:r>
            <w:r w:rsidRPr="00283D48">
              <w:rPr>
                <w:lang w:val="en-US"/>
              </w:rPr>
              <w:t xml:space="preserve">  IW will actively drive transition planning, including revenue diversification and CEO- and board-led operating plans, and will track</w:t>
            </w:r>
            <w:r w:rsidR="47B02CEA" w:rsidRPr="00283D48">
              <w:rPr>
                <w:lang w:val="en-US"/>
              </w:rPr>
              <w:t xml:space="preserve"> and report</w:t>
            </w:r>
            <w:r w:rsidRPr="00283D48">
              <w:rPr>
                <w:lang w:val="en-US"/>
              </w:rPr>
              <w:t xml:space="preserve"> progress</w:t>
            </w:r>
            <w:r w:rsidR="2718A60A" w:rsidRPr="00283D48">
              <w:rPr>
                <w:lang w:val="en-US"/>
              </w:rPr>
              <w:t>.</w:t>
            </w:r>
            <w:r w:rsidRPr="00283D48">
              <w:rPr>
                <w:lang w:val="en-US"/>
              </w:rPr>
              <w:t xml:space="preserve"> </w:t>
            </w:r>
            <w:r w:rsidR="00935371">
              <w:rPr>
                <w:lang w:val="en-US"/>
              </w:rPr>
              <w:br/>
            </w:r>
            <w:r w:rsidR="00935371">
              <w:br/>
            </w:r>
            <w:r w:rsidR="351E883E" w:rsidRPr="00283D48">
              <w:t xml:space="preserve">BC sustainability should also be addressed in any Phase 2 </w:t>
            </w:r>
            <w:r w:rsidR="00283D48" w:rsidRPr="00283D48">
              <w:t xml:space="preserve">extension </w:t>
            </w:r>
            <w:r w:rsidR="351E883E" w:rsidRPr="00283D48">
              <w:t xml:space="preserve">design. </w:t>
            </w:r>
          </w:p>
        </w:tc>
        <w:tc>
          <w:tcPr>
            <w:tcW w:w="1734" w:type="dxa"/>
            <w:tcBorders>
              <w:top w:val="single" w:sz="4" w:space="0" w:color="auto"/>
            </w:tcBorders>
          </w:tcPr>
          <w:p w14:paraId="5528CD78" w14:textId="7239183C" w:rsidR="006B1DB9" w:rsidRPr="00283D48" w:rsidRDefault="597F692C" w:rsidP="00935371">
            <w:r>
              <w:t>July</w:t>
            </w:r>
            <w:r w:rsidR="1AE17173">
              <w:t xml:space="preserve"> 2026</w:t>
            </w:r>
            <w:r w:rsidR="00935371">
              <w:br/>
            </w:r>
            <w:r w:rsidR="00935371">
              <w:br/>
            </w:r>
            <w:r w:rsidR="00935371">
              <w:br/>
            </w:r>
            <w:r w:rsidR="00935371">
              <w:br/>
            </w:r>
            <w:r w:rsidR="00935371">
              <w:br/>
            </w:r>
            <w:r w:rsidR="00935371">
              <w:br/>
            </w:r>
            <w:r w:rsidR="00935371">
              <w:br/>
            </w:r>
            <w:r w:rsidR="00935371">
              <w:br/>
            </w:r>
            <w:r w:rsidR="00935371">
              <w:br/>
            </w:r>
            <w:r w:rsidR="00283D48">
              <w:t xml:space="preserve">By </w:t>
            </w:r>
            <w:r w:rsidR="34B7712E" w:rsidRPr="00283D48">
              <w:t>November 2026</w:t>
            </w:r>
          </w:p>
        </w:tc>
      </w:tr>
      <w:tr w:rsidR="00B45E72" w:rsidRPr="00934EEF" w14:paraId="30E632AE" w14:textId="77777777" w:rsidTr="0A228626">
        <w:trPr>
          <w:trHeight w:val="300"/>
        </w:trPr>
        <w:tc>
          <w:tcPr>
            <w:tcW w:w="4514" w:type="dxa"/>
          </w:tcPr>
          <w:p w14:paraId="780DD38D" w14:textId="52D2C46A" w:rsidR="006B1DB9" w:rsidRPr="00934EEF" w:rsidRDefault="25DB6E0C" w:rsidP="004A12E8">
            <w:pPr>
              <w:pStyle w:val="ListParagraph"/>
              <w:numPr>
                <w:ilvl w:val="0"/>
                <w:numId w:val="3"/>
              </w:numPr>
            </w:pPr>
            <w:r>
              <w:t>IW should actively implement the approved priorities of the GEARS Roadmap in the remaining program period, with particular attention to the transfer of intellectual property to BCs. This will ensure that the tool's quality, relevance and market credibility can be maintained and governed independently of DFAT funding beyond the life of the program, ensuring BCs have agency and ownership over their core product offering. </w:t>
            </w:r>
            <w:r w:rsidR="00A9679F" w:rsidRPr="00A9679F">
              <w:rPr>
                <w:rFonts w:eastAsiaTheme="minorEastAsia"/>
                <w:b/>
                <w:bCs/>
                <w:color w:val="156082" w:themeColor="accent1"/>
              </w:rPr>
              <w:t>Current phas</w:t>
            </w:r>
            <w:r w:rsidR="00A9679F">
              <w:rPr>
                <w:rFonts w:eastAsiaTheme="minorEastAsia"/>
                <w:b/>
                <w:bCs/>
                <w:color w:val="156082" w:themeColor="accent1"/>
              </w:rPr>
              <w:t>e</w:t>
            </w:r>
          </w:p>
        </w:tc>
        <w:tc>
          <w:tcPr>
            <w:tcW w:w="1669" w:type="dxa"/>
          </w:tcPr>
          <w:p w14:paraId="4579AEF3" w14:textId="2FD514AC" w:rsidR="006B1DB9" w:rsidRPr="00A21D65" w:rsidRDefault="0D3DA40A" w:rsidP="00935371">
            <w:pPr>
              <w:spacing w:after="160" w:line="259" w:lineRule="auto"/>
            </w:pPr>
            <w:r>
              <w:t xml:space="preserve"> Agree in-principle</w:t>
            </w:r>
          </w:p>
        </w:tc>
        <w:tc>
          <w:tcPr>
            <w:tcW w:w="3433" w:type="dxa"/>
          </w:tcPr>
          <w:p w14:paraId="68397B50" w14:textId="06F75350" w:rsidR="006B1DB9" w:rsidRPr="00B40A40" w:rsidRDefault="00786AA0" w:rsidP="00935371">
            <w:r w:rsidRPr="00786AA0">
              <w:rPr>
                <w:lang w:val="en-US"/>
              </w:rPr>
              <w:t xml:space="preserve">DFAT </w:t>
            </w:r>
            <w:proofErr w:type="spellStart"/>
            <w:r w:rsidRPr="00786AA0">
              <w:rPr>
                <w:lang w:val="en-US"/>
              </w:rPr>
              <w:t>recognises</w:t>
            </w:r>
            <w:proofErr w:type="spellEnd"/>
            <w:r w:rsidRPr="00786AA0">
              <w:rPr>
                <w:lang w:val="en-US"/>
              </w:rPr>
              <w:t xml:space="preserve"> the importance of </w:t>
            </w:r>
            <w:r>
              <w:rPr>
                <w:lang w:val="en-US"/>
              </w:rPr>
              <w:t xml:space="preserve">ensuring </w:t>
            </w:r>
            <w:r w:rsidRPr="00786AA0">
              <w:rPr>
                <w:lang w:val="en-US"/>
              </w:rPr>
              <w:t xml:space="preserve">the GEARS </w:t>
            </w:r>
            <w:r>
              <w:rPr>
                <w:lang w:val="en-US"/>
              </w:rPr>
              <w:t xml:space="preserve">tools and resources </w:t>
            </w:r>
            <w:r w:rsidRPr="00786AA0">
              <w:rPr>
                <w:lang w:val="en-US"/>
              </w:rPr>
              <w:t xml:space="preserve">remain high-quality, credible and sustainable beyond DFAT funding. </w:t>
            </w:r>
            <w:r w:rsidR="00935371">
              <w:rPr>
                <w:lang w:val="en-US"/>
              </w:rPr>
              <w:br/>
            </w:r>
            <w:r w:rsidR="00935371">
              <w:rPr>
                <w:lang w:val="en-US"/>
              </w:rPr>
              <w:br/>
            </w:r>
            <w:r w:rsidR="14D92BE9" w:rsidRPr="1C0202B2">
              <w:rPr>
                <w:lang w:val="en-US"/>
              </w:rPr>
              <w:t>This includes</w:t>
            </w:r>
            <w:r w:rsidR="6EADD42F" w:rsidRPr="1C0202B2">
              <w:rPr>
                <w:lang w:val="en-US"/>
              </w:rPr>
              <w:t xml:space="preserve">, as part of any future </w:t>
            </w:r>
            <w:r w:rsidR="003C0D02">
              <w:rPr>
                <w:lang w:val="en-US"/>
              </w:rPr>
              <w:t>extension</w:t>
            </w:r>
            <w:r w:rsidR="003C0D02" w:rsidRPr="1C0202B2">
              <w:rPr>
                <w:lang w:val="en-US"/>
              </w:rPr>
              <w:t xml:space="preserve"> </w:t>
            </w:r>
            <w:r w:rsidR="6EADD42F" w:rsidRPr="1C0202B2">
              <w:rPr>
                <w:lang w:val="en-US"/>
              </w:rPr>
              <w:t>design,</w:t>
            </w:r>
            <w:r w:rsidR="14D92BE9" w:rsidRPr="1C0202B2">
              <w:rPr>
                <w:lang w:val="en-US"/>
              </w:rPr>
              <w:t xml:space="preserve"> </w:t>
            </w:r>
            <w:r w:rsidR="04D4AB0D" w:rsidRPr="1C0202B2">
              <w:rPr>
                <w:lang w:val="en-US"/>
              </w:rPr>
              <w:t xml:space="preserve">exploring options to </w:t>
            </w:r>
            <w:r w:rsidR="005801D9" w:rsidRPr="1C0202B2">
              <w:rPr>
                <w:lang w:val="en-US"/>
              </w:rPr>
              <w:t>transfer intellectual</w:t>
            </w:r>
            <w:r w:rsidR="14D92BE9" w:rsidRPr="1C0202B2">
              <w:rPr>
                <w:lang w:val="en-US"/>
              </w:rPr>
              <w:t xml:space="preserve"> property to BCs while ensuring the framework for GEARS is current, market-relevant and supports BC ownership and independent governance.</w:t>
            </w:r>
          </w:p>
        </w:tc>
        <w:tc>
          <w:tcPr>
            <w:tcW w:w="3225" w:type="dxa"/>
          </w:tcPr>
          <w:p w14:paraId="4E1C029C" w14:textId="05CD0C16" w:rsidR="006B1DB9" w:rsidRPr="00527504" w:rsidRDefault="7893C60F" w:rsidP="00935371">
            <w:pPr>
              <w:rPr>
                <w:highlight w:val="yellow"/>
              </w:rPr>
            </w:pPr>
            <w:r w:rsidRPr="1C0202B2">
              <w:rPr>
                <w:lang w:val="en-US"/>
              </w:rPr>
              <w:t xml:space="preserve">DFAT will support IW to implement GEARS Roadmap priorities and to review and refresh the </w:t>
            </w:r>
            <w:proofErr w:type="gramStart"/>
            <w:r w:rsidRPr="1C0202B2">
              <w:rPr>
                <w:lang w:val="en-US"/>
              </w:rPr>
              <w:t>Roadmap</w:t>
            </w:r>
            <w:proofErr w:type="gramEnd"/>
            <w:r w:rsidRPr="1C0202B2">
              <w:rPr>
                <w:lang w:val="en-US"/>
              </w:rPr>
              <w:t xml:space="preserve"> within the current phase</w:t>
            </w:r>
            <w:r w:rsidR="60FCE009" w:rsidRPr="1C0202B2">
              <w:rPr>
                <w:lang w:val="en-US"/>
              </w:rPr>
              <w:t>.</w:t>
            </w:r>
            <w:r w:rsidR="3BEC82BA" w:rsidRPr="1C0202B2">
              <w:rPr>
                <w:lang w:val="en-US"/>
              </w:rPr>
              <w:t xml:space="preserve"> </w:t>
            </w:r>
            <w:r w:rsidR="00935371">
              <w:rPr>
                <w:lang w:val="en-US"/>
              </w:rPr>
              <w:br/>
            </w:r>
            <w:r w:rsidR="00935371">
              <w:rPr>
                <w:lang w:val="en-US"/>
              </w:rPr>
              <w:br/>
            </w:r>
            <w:r w:rsidR="3BEC82BA" w:rsidRPr="1C0202B2">
              <w:rPr>
                <w:lang w:val="en-US"/>
              </w:rPr>
              <w:t xml:space="preserve">DFAT will explore options for transfer of intellectual property as </w:t>
            </w:r>
            <w:r w:rsidR="0B95B55D" w:rsidRPr="1C0202B2">
              <w:rPr>
                <w:lang w:val="en-US"/>
              </w:rPr>
              <w:t>part of</w:t>
            </w:r>
            <w:r w:rsidR="3BEC82BA" w:rsidRPr="1C0202B2">
              <w:rPr>
                <w:lang w:val="en-US"/>
              </w:rPr>
              <w:t xml:space="preserve"> </w:t>
            </w:r>
            <w:r w:rsidR="77D9E50A">
              <w:t>any Phase 2 extension design.</w:t>
            </w:r>
          </w:p>
        </w:tc>
        <w:tc>
          <w:tcPr>
            <w:tcW w:w="1734" w:type="dxa"/>
          </w:tcPr>
          <w:p w14:paraId="003CA081" w14:textId="6C27EA46" w:rsidR="006B1DB9" w:rsidRPr="00934EEF" w:rsidRDefault="2217A6FD" w:rsidP="00935371">
            <w:r>
              <w:t>By July 2027</w:t>
            </w:r>
            <w:r w:rsidR="00935371">
              <w:br/>
            </w:r>
            <w:r w:rsidR="00935371">
              <w:br/>
            </w:r>
            <w:r w:rsidR="00935371">
              <w:br/>
            </w:r>
            <w:r w:rsidR="00935371">
              <w:br/>
            </w:r>
            <w:r w:rsidR="00935371">
              <w:br/>
            </w:r>
            <w:r w:rsidR="00935371">
              <w:br/>
            </w:r>
            <w:r w:rsidR="37F2FB14">
              <w:t xml:space="preserve">By November 2026. </w:t>
            </w:r>
          </w:p>
        </w:tc>
      </w:tr>
      <w:tr w:rsidR="00B45E72" w:rsidRPr="00AD3E47" w14:paraId="5BF9B8F7" w14:textId="77777777" w:rsidTr="0A228626">
        <w:trPr>
          <w:trHeight w:val="300"/>
        </w:trPr>
        <w:tc>
          <w:tcPr>
            <w:tcW w:w="4514" w:type="dxa"/>
          </w:tcPr>
          <w:p w14:paraId="716E3061" w14:textId="09006649" w:rsidR="006B1DB9" w:rsidRPr="00AD3E47" w:rsidRDefault="006B1DB9" w:rsidP="004A12E8">
            <w:pPr>
              <w:pStyle w:val="ListParagraph"/>
              <w:numPr>
                <w:ilvl w:val="0"/>
                <w:numId w:val="3"/>
              </w:numPr>
            </w:pPr>
            <w:r w:rsidRPr="00AD3E47">
              <w:t xml:space="preserve">DFAT should explore options for sustaining and scaling the IW Fund in a next phase, including the feasibility of a co-contribution model, whereby ADI draws on capital reflows from the existing recycling mechanism and participating Posts consider complementary bilateral contributions. This would increase the fund's investable capital without </w:t>
            </w:r>
            <w:r w:rsidRPr="00AD3E47">
              <w:lastRenderedPageBreak/>
              <w:t>requiring proportional increases in central program funding, while strengthening Post ownership of GLI outcomes and deepening coherence between IW's regional investment strategy and the objectives of Invested 2040. Any such model should be assessed carefully against Post programming priorities, bilateral pipeline potential and ADI's mandate to maintain a regionally coherent and sector-agnostic investment strategy and should not be pursued in ways that fragment or complicate the fund's investment logic.  </w:t>
            </w:r>
            <w:r w:rsidR="007D765B" w:rsidRPr="007D765B">
              <w:rPr>
                <w:b/>
                <w:bCs/>
                <w:color w:val="0B769F" w:themeColor="accent4" w:themeShade="BF"/>
              </w:rPr>
              <w:t>Option period</w:t>
            </w:r>
          </w:p>
        </w:tc>
        <w:tc>
          <w:tcPr>
            <w:tcW w:w="1669" w:type="dxa"/>
          </w:tcPr>
          <w:p w14:paraId="2B42E895" w14:textId="0BCB3A7C" w:rsidR="006B1DB9" w:rsidRPr="00AD3E47" w:rsidRDefault="25DB6E0C" w:rsidP="00935371">
            <w:r w:rsidRPr="00AD3E47">
              <w:lastRenderedPageBreak/>
              <w:t>Agree</w:t>
            </w:r>
            <w:r w:rsidR="6E9D3859" w:rsidRPr="00AD3E47">
              <w:t xml:space="preserve"> in-principle</w:t>
            </w:r>
          </w:p>
        </w:tc>
        <w:tc>
          <w:tcPr>
            <w:tcW w:w="3433" w:type="dxa"/>
          </w:tcPr>
          <w:p w14:paraId="40E172F9" w14:textId="113D2B18" w:rsidR="006B1DB9" w:rsidRPr="00AD3E47" w:rsidRDefault="4EF33FD8" w:rsidP="00935371">
            <w:r w:rsidRPr="1C0202B2">
              <w:rPr>
                <w:rFonts w:ascii="Aptos" w:eastAsia="Aptos" w:hAnsi="Aptos" w:cs="Arial"/>
                <w:lang w:val="en-US"/>
              </w:rPr>
              <w:t xml:space="preserve">DFAT notes the opportunity to scale </w:t>
            </w:r>
            <w:r w:rsidR="1CCD3A24" w:rsidRPr="1C0202B2">
              <w:rPr>
                <w:rFonts w:ascii="Aptos" w:eastAsia="Aptos" w:hAnsi="Aptos" w:cs="Arial"/>
                <w:lang w:val="en-US"/>
              </w:rPr>
              <w:t xml:space="preserve">gender lens </w:t>
            </w:r>
            <w:r w:rsidRPr="1C0202B2">
              <w:rPr>
                <w:rFonts w:ascii="Aptos" w:eastAsia="Aptos" w:hAnsi="Aptos" w:cs="Arial"/>
                <w:lang w:val="en-US"/>
              </w:rPr>
              <w:t xml:space="preserve">investments in any extension of Phase </w:t>
            </w:r>
            <w:r w:rsidR="7C2FA55E" w:rsidRPr="1C0202B2">
              <w:rPr>
                <w:rFonts w:ascii="Aptos" w:eastAsia="Aptos" w:hAnsi="Aptos" w:cs="Arial"/>
                <w:lang w:val="en-US"/>
              </w:rPr>
              <w:t>2</w:t>
            </w:r>
            <w:r w:rsidRPr="1C0202B2">
              <w:rPr>
                <w:rFonts w:ascii="Aptos" w:eastAsia="Aptos" w:hAnsi="Aptos" w:cs="Arial"/>
                <w:lang w:val="en-US"/>
              </w:rPr>
              <w:t>.</w:t>
            </w:r>
            <w:r w:rsidRPr="1C0202B2">
              <w:rPr>
                <w:lang w:val="en-US"/>
              </w:rPr>
              <w:t xml:space="preserve"> </w:t>
            </w:r>
            <w:r w:rsidR="00935371">
              <w:rPr>
                <w:lang w:val="en-US"/>
              </w:rPr>
              <w:br/>
            </w:r>
            <w:r w:rsidR="008C5831">
              <w:rPr>
                <w:lang w:val="en-US"/>
              </w:rPr>
              <w:br/>
            </w:r>
            <w:r w:rsidR="757AAF82" w:rsidRPr="45235594">
              <w:rPr>
                <w:lang w:val="en-US"/>
              </w:rPr>
              <w:t xml:space="preserve">The feasibility of a co-contribution model will depend on further consultation with Posts and </w:t>
            </w:r>
            <w:r w:rsidR="124625FF" w:rsidRPr="45235594">
              <w:rPr>
                <w:lang w:val="en-US"/>
              </w:rPr>
              <w:t>key DFAT line areas</w:t>
            </w:r>
            <w:r w:rsidR="757AAF82" w:rsidRPr="45235594">
              <w:rPr>
                <w:lang w:val="en-US"/>
              </w:rPr>
              <w:t xml:space="preserve">, as well as budgetary considerations and </w:t>
            </w:r>
            <w:r w:rsidR="757AAF82" w:rsidRPr="45235594">
              <w:rPr>
                <w:lang w:val="en-US"/>
              </w:rPr>
              <w:lastRenderedPageBreak/>
              <w:t>alignment with bilateral priorities and ADI’s mandate.</w:t>
            </w:r>
          </w:p>
        </w:tc>
        <w:tc>
          <w:tcPr>
            <w:tcW w:w="3225" w:type="dxa"/>
          </w:tcPr>
          <w:p w14:paraId="013E8457" w14:textId="34B5543F" w:rsidR="006B1DB9" w:rsidRPr="00AD3E47" w:rsidRDefault="7893C60F" w:rsidP="008C5831">
            <w:r w:rsidRPr="1C0202B2">
              <w:rPr>
                <w:lang w:val="en-US"/>
              </w:rPr>
              <w:lastRenderedPageBreak/>
              <w:t>DFAT will explore options for scaling the IW Fund</w:t>
            </w:r>
            <w:r w:rsidR="5C60585E" w:rsidRPr="1C0202B2">
              <w:rPr>
                <w:lang w:val="en-US"/>
              </w:rPr>
              <w:t xml:space="preserve"> in </w:t>
            </w:r>
            <w:r w:rsidR="00D12AC7">
              <w:rPr>
                <w:lang w:val="en-US"/>
              </w:rPr>
              <w:t>the Phase 2 extension</w:t>
            </w:r>
            <w:r w:rsidR="5C60585E" w:rsidRPr="1C0202B2">
              <w:rPr>
                <w:lang w:val="en-US"/>
              </w:rPr>
              <w:t>,</w:t>
            </w:r>
            <w:r w:rsidRPr="1C0202B2">
              <w:rPr>
                <w:lang w:val="en-US"/>
              </w:rPr>
              <w:t xml:space="preserve"> including</w:t>
            </w:r>
            <w:r w:rsidR="6F5D3DF2" w:rsidRPr="1C0202B2">
              <w:rPr>
                <w:lang w:val="en-US"/>
              </w:rPr>
              <w:t xml:space="preserve"> in the context of any future expansion of Australian Development Investments.</w:t>
            </w:r>
          </w:p>
        </w:tc>
        <w:tc>
          <w:tcPr>
            <w:tcW w:w="1734" w:type="dxa"/>
          </w:tcPr>
          <w:p w14:paraId="240481F1" w14:textId="06D979D0" w:rsidR="006B1DB9" w:rsidRPr="00685BFE" w:rsidRDefault="20B94A61" w:rsidP="1C0202B2">
            <w:r w:rsidRPr="00685BFE">
              <w:t>By</w:t>
            </w:r>
            <w:r w:rsidR="4B38071D" w:rsidRPr="00685BFE">
              <w:t xml:space="preserve"> </w:t>
            </w:r>
            <w:r w:rsidR="6C156490" w:rsidRPr="00685BFE">
              <w:t>November</w:t>
            </w:r>
            <w:r w:rsidR="67360332" w:rsidRPr="00685BFE">
              <w:t xml:space="preserve"> </w:t>
            </w:r>
            <w:r w:rsidR="4B38071D" w:rsidRPr="00685BFE">
              <w:t>2027</w:t>
            </w:r>
          </w:p>
        </w:tc>
      </w:tr>
    </w:tbl>
    <w:p w14:paraId="58FAA755" w14:textId="77777777" w:rsidR="008C1313" w:rsidRPr="00934EEF" w:rsidRDefault="006669B3" w:rsidP="008C1313">
      <w:pPr>
        <w:pStyle w:val="Heading2"/>
      </w:pPr>
      <w:r w:rsidRPr="0091289D">
        <w:t>Crosscutting</w:t>
      </w:r>
    </w:p>
    <w:tbl>
      <w:tblPr>
        <w:tblStyle w:val="TableGrid"/>
        <w:tblW w:w="14575" w:type="dxa"/>
        <w:tblInd w:w="-147" w:type="dxa"/>
        <w:tblLook w:val="04A0" w:firstRow="1" w:lastRow="0" w:firstColumn="1" w:lastColumn="0" w:noHBand="0" w:noVBand="1"/>
      </w:tblPr>
      <w:tblGrid>
        <w:gridCol w:w="4514"/>
        <w:gridCol w:w="1669"/>
        <w:gridCol w:w="3433"/>
        <w:gridCol w:w="3225"/>
        <w:gridCol w:w="1734"/>
      </w:tblGrid>
      <w:tr w:rsidR="008C1313" w:rsidRPr="00443033" w14:paraId="77A55483" w14:textId="77777777" w:rsidTr="008820D4">
        <w:trPr>
          <w:trHeight w:val="300"/>
          <w:tblHeader/>
        </w:trPr>
        <w:tc>
          <w:tcPr>
            <w:tcW w:w="4514" w:type="dxa"/>
            <w:shd w:val="clear" w:color="auto" w:fill="F1A983" w:themeFill="accent2" w:themeFillTint="99"/>
          </w:tcPr>
          <w:p w14:paraId="22F2519B" w14:textId="77777777" w:rsidR="008C1313" w:rsidRPr="00443033" w:rsidRDefault="008C1313" w:rsidP="008820D4">
            <w:pPr>
              <w:spacing w:after="160" w:line="259" w:lineRule="auto"/>
              <w:rPr>
                <w:b/>
                <w:bCs/>
              </w:rPr>
            </w:pPr>
            <w:r w:rsidRPr="00443033">
              <w:rPr>
                <w:b/>
                <w:bCs/>
              </w:rPr>
              <w:t>Recommendation</w:t>
            </w:r>
          </w:p>
        </w:tc>
        <w:tc>
          <w:tcPr>
            <w:tcW w:w="1669" w:type="dxa"/>
            <w:shd w:val="clear" w:color="auto" w:fill="F1A983" w:themeFill="accent2" w:themeFillTint="99"/>
          </w:tcPr>
          <w:p w14:paraId="45316619" w14:textId="77777777" w:rsidR="008C1313" w:rsidRPr="00443033" w:rsidRDefault="008C1313" w:rsidP="008820D4">
            <w:pPr>
              <w:spacing w:after="160" w:line="259" w:lineRule="auto"/>
              <w:rPr>
                <w:b/>
                <w:bCs/>
              </w:rPr>
            </w:pPr>
            <w:r w:rsidRPr="00443033">
              <w:rPr>
                <w:b/>
                <w:bCs/>
              </w:rPr>
              <w:t>Response</w:t>
            </w:r>
          </w:p>
        </w:tc>
        <w:tc>
          <w:tcPr>
            <w:tcW w:w="3433" w:type="dxa"/>
            <w:shd w:val="clear" w:color="auto" w:fill="F1A983" w:themeFill="accent2" w:themeFillTint="99"/>
          </w:tcPr>
          <w:p w14:paraId="1326AF2B" w14:textId="77777777" w:rsidR="008C1313" w:rsidRPr="00443033" w:rsidRDefault="008C1313" w:rsidP="008820D4">
            <w:pPr>
              <w:spacing w:after="160" w:line="259" w:lineRule="auto"/>
              <w:rPr>
                <w:b/>
                <w:bCs/>
              </w:rPr>
            </w:pPr>
            <w:r>
              <w:rPr>
                <w:b/>
                <w:bCs/>
              </w:rPr>
              <w:t xml:space="preserve">Explanation </w:t>
            </w:r>
          </w:p>
        </w:tc>
        <w:tc>
          <w:tcPr>
            <w:tcW w:w="3225" w:type="dxa"/>
            <w:shd w:val="clear" w:color="auto" w:fill="F1A983" w:themeFill="accent2" w:themeFillTint="99"/>
          </w:tcPr>
          <w:p w14:paraId="4E1AAF2E" w14:textId="77777777" w:rsidR="008C1313" w:rsidRPr="00443033" w:rsidRDefault="008C1313" w:rsidP="008820D4">
            <w:pPr>
              <w:rPr>
                <w:b/>
                <w:bCs/>
              </w:rPr>
            </w:pPr>
            <w:r w:rsidRPr="00443033">
              <w:rPr>
                <w:b/>
                <w:bCs/>
              </w:rPr>
              <w:t>Action Plan</w:t>
            </w:r>
          </w:p>
        </w:tc>
        <w:tc>
          <w:tcPr>
            <w:tcW w:w="1734" w:type="dxa"/>
            <w:shd w:val="clear" w:color="auto" w:fill="F1A983" w:themeFill="accent2" w:themeFillTint="99"/>
          </w:tcPr>
          <w:p w14:paraId="70BF5824" w14:textId="77777777" w:rsidR="008C1313" w:rsidRPr="00443033" w:rsidRDefault="008C1313" w:rsidP="008820D4">
            <w:pPr>
              <w:spacing w:after="160" w:line="259" w:lineRule="auto"/>
              <w:rPr>
                <w:b/>
                <w:bCs/>
              </w:rPr>
            </w:pPr>
            <w:r w:rsidRPr="027A70F2">
              <w:rPr>
                <w:b/>
                <w:bCs/>
              </w:rPr>
              <w:t>Timeframe</w:t>
            </w:r>
          </w:p>
        </w:tc>
      </w:tr>
      <w:tr w:rsidR="008C1313" w:rsidRPr="00934EEF" w14:paraId="438ED1D2" w14:textId="77777777" w:rsidTr="008820D4">
        <w:trPr>
          <w:trHeight w:val="300"/>
        </w:trPr>
        <w:tc>
          <w:tcPr>
            <w:tcW w:w="4514" w:type="dxa"/>
            <w:tcBorders>
              <w:top w:val="single" w:sz="4" w:space="0" w:color="auto"/>
            </w:tcBorders>
          </w:tcPr>
          <w:p w14:paraId="1CA8141D" w14:textId="77777777" w:rsidR="008C1313" w:rsidRPr="00934EEF" w:rsidRDefault="008C1313" w:rsidP="008820D4">
            <w:pPr>
              <w:pStyle w:val="ListParagraph"/>
              <w:numPr>
                <w:ilvl w:val="0"/>
                <w:numId w:val="3"/>
              </w:numPr>
            </w:pPr>
            <w:r w:rsidRPr="027A70F2">
              <w:rPr>
                <w:rFonts w:ascii="Aptos" w:eastAsiaTheme="minorEastAsia" w:hAnsi="Aptos"/>
              </w:rPr>
              <w:t>During the next phase, the intersectionality framework should be redesigned to provide concise and actionable strategies for disability inclusion, localisation and climate integration across all workstreams, embedded into IW’s theory of change. This framework should be grounded in how intersectionality is understood and valued from a private sector perspective rather than remaining academic in framing</w:t>
            </w:r>
            <w:r w:rsidRPr="027A70F2">
              <w:rPr>
                <w:rFonts w:ascii="Aptos" w:eastAsiaTheme="minorEastAsia" w:hAnsi="Aptos"/>
                <w:color w:val="0E2841" w:themeColor="text2"/>
              </w:rPr>
              <w:t xml:space="preserve">. </w:t>
            </w:r>
            <w:r w:rsidRPr="007D765B">
              <w:rPr>
                <w:b/>
                <w:bCs/>
                <w:color w:val="0B769F" w:themeColor="accent4" w:themeShade="BF"/>
              </w:rPr>
              <w:t>Option period</w:t>
            </w:r>
          </w:p>
        </w:tc>
        <w:tc>
          <w:tcPr>
            <w:tcW w:w="1669" w:type="dxa"/>
            <w:tcBorders>
              <w:top w:val="single" w:sz="4" w:space="0" w:color="auto"/>
            </w:tcBorders>
          </w:tcPr>
          <w:p w14:paraId="77184D03" w14:textId="77777777" w:rsidR="008C1313" w:rsidRPr="00F00D60" w:rsidRDefault="008C1313" w:rsidP="008820D4">
            <w:r>
              <w:t>Agree</w:t>
            </w:r>
          </w:p>
        </w:tc>
        <w:tc>
          <w:tcPr>
            <w:tcW w:w="3433" w:type="dxa"/>
            <w:tcBorders>
              <w:top w:val="single" w:sz="4" w:space="0" w:color="auto"/>
            </w:tcBorders>
          </w:tcPr>
          <w:p w14:paraId="7A4F59EE" w14:textId="77777777" w:rsidR="008C1313" w:rsidRDefault="008C1313" w:rsidP="008820D4">
            <w:pPr>
              <w:rPr>
                <w:lang w:val="en-US"/>
              </w:rPr>
            </w:pPr>
            <w:r w:rsidRPr="0041513F">
              <w:rPr>
                <w:lang w:val="en-US"/>
              </w:rPr>
              <w:t xml:space="preserve">DFAT notes the importance of the intersectionality framework as a lens to understand how women’s experiences are shaped by </w:t>
            </w:r>
            <w:proofErr w:type="gramStart"/>
            <w:r w:rsidRPr="0041513F">
              <w:rPr>
                <w:lang w:val="en-US"/>
              </w:rPr>
              <w:t>interacting</w:t>
            </w:r>
            <w:proofErr w:type="gramEnd"/>
            <w:r w:rsidRPr="0041513F">
              <w:rPr>
                <w:lang w:val="en-US"/>
              </w:rPr>
              <w:t xml:space="preserve"> social, economic and structural factors that influence power and opportunity.</w:t>
            </w:r>
            <w:r w:rsidRPr="00426C38">
              <w:rPr>
                <w:lang w:val="en-US"/>
              </w:rPr>
              <w:t xml:space="preserve"> </w:t>
            </w:r>
          </w:p>
          <w:p w14:paraId="513A0AC0" w14:textId="77777777" w:rsidR="008C1313" w:rsidRPr="00934EEF" w:rsidRDefault="008C1313" w:rsidP="008820D4"/>
        </w:tc>
        <w:tc>
          <w:tcPr>
            <w:tcW w:w="3225" w:type="dxa"/>
            <w:tcBorders>
              <w:top w:val="single" w:sz="4" w:space="0" w:color="auto"/>
            </w:tcBorders>
          </w:tcPr>
          <w:p w14:paraId="3ABB5B5D" w14:textId="77777777" w:rsidR="008C1313" w:rsidRPr="00C878C5" w:rsidRDefault="008C1313" w:rsidP="008820D4">
            <w:pPr>
              <w:rPr>
                <w:lang w:val="en-US"/>
              </w:rPr>
            </w:pPr>
            <w:r w:rsidRPr="027A70F2">
              <w:rPr>
                <w:lang w:val="en-US"/>
              </w:rPr>
              <w:t>DFAT will task IW to review and strengthen IW’s frameworks – including the intersectionality framework – in any extension of Phase 2.</w:t>
            </w:r>
          </w:p>
        </w:tc>
        <w:tc>
          <w:tcPr>
            <w:tcW w:w="1734" w:type="dxa"/>
            <w:tcBorders>
              <w:top w:val="single" w:sz="4" w:space="0" w:color="auto"/>
            </w:tcBorders>
          </w:tcPr>
          <w:p w14:paraId="40ACE30A" w14:textId="77777777" w:rsidR="008C1313" w:rsidRPr="00934EEF" w:rsidRDefault="008C1313" w:rsidP="008820D4">
            <w:r w:rsidRPr="007D2A46">
              <w:t xml:space="preserve">By </w:t>
            </w:r>
            <w:r>
              <w:t>July 2027</w:t>
            </w:r>
          </w:p>
        </w:tc>
      </w:tr>
    </w:tbl>
    <w:p w14:paraId="6292100D" w14:textId="79269A4E" w:rsidR="005567D5" w:rsidRPr="00934EEF" w:rsidRDefault="005567D5" w:rsidP="008C1313">
      <w:pPr>
        <w:pStyle w:val="Heading2"/>
      </w:pPr>
    </w:p>
    <w:sectPr w:rsidR="005567D5" w:rsidRPr="00934EEF" w:rsidSect="005D61B5">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592D" w14:textId="77777777" w:rsidR="0017050F" w:rsidRDefault="0017050F" w:rsidP="00443033">
      <w:pPr>
        <w:spacing w:after="0" w:line="240" w:lineRule="auto"/>
      </w:pPr>
      <w:r>
        <w:separator/>
      </w:r>
    </w:p>
  </w:endnote>
  <w:endnote w:type="continuationSeparator" w:id="0">
    <w:p w14:paraId="3F9EFE2E" w14:textId="77777777" w:rsidR="0017050F" w:rsidRDefault="0017050F" w:rsidP="0044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Times New Roman (Body CS)">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EED3" w14:textId="3F5FA30B" w:rsidR="00FA470A" w:rsidRDefault="00FA470A">
    <w:pPr>
      <w:pStyle w:val="Footer"/>
    </w:pPr>
    <w:r>
      <w:rPr>
        <w:noProof/>
      </w:rPr>
      <mc:AlternateContent>
        <mc:Choice Requires="wps">
          <w:drawing>
            <wp:anchor distT="0" distB="0" distL="0" distR="0" simplePos="0" relativeHeight="251658244" behindDoc="0" locked="0" layoutInCell="1" allowOverlap="1" wp14:anchorId="52FEA2C1" wp14:editId="2DF83CF7">
              <wp:simplePos x="635" y="635"/>
              <wp:positionH relativeFrom="page">
                <wp:align>center</wp:align>
              </wp:positionH>
              <wp:positionV relativeFrom="page">
                <wp:align>bottom</wp:align>
              </wp:positionV>
              <wp:extent cx="622300" cy="391160"/>
              <wp:effectExtent l="0" t="0" r="6350" b="0"/>
              <wp:wrapNone/>
              <wp:docPr id="183127435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A7C0770" w14:textId="43363685"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EA2C1" id="_x0000_t202" coordsize="21600,21600" o:spt="202" path="m,l,21600r21600,l21600,xe">
              <v:stroke joinstyle="miter"/>
              <v:path gradientshapeok="t" o:connecttype="rect"/>
            </v:shapetype>
            <v:shape id="Text Box 5" o:spid="_x0000_s1028" type="#_x0000_t202" alt="OFFICIAL"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3A7C0770" w14:textId="43363685"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592734"/>
      <w:docPartObj>
        <w:docPartGallery w:val="Page Numbers (Bottom of Page)"/>
        <w:docPartUnique/>
      </w:docPartObj>
    </w:sdtPr>
    <w:sdtEndPr>
      <w:rPr>
        <w:noProof/>
      </w:rPr>
    </w:sdtEndPr>
    <w:sdtContent>
      <w:p w14:paraId="614EEAA6" w14:textId="6FEFDCAE" w:rsidR="004934FD" w:rsidRDefault="004934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2D674" w14:textId="3BD479BC" w:rsidR="00FA470A" w:rsidRDefault="00FA4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BB20" w14:textId="7D3A4D7F" w:rsidR="00FA470A" w:rsidRDefault="00FA470A">
    <w:pPr>
      <w:pStyle w:val="Footer"/>
    </w:pPr>
    <w:r>
      <w:rPr>
        <w:noProof/>
      </w:rPr>
      <mc:AlternateContent>
        <mc:Choice Requires="wps">
          <w:drawing>
            <wp:anchor distT="0" distB="0" distL="0" distR="0" simplePos="0" relativeHeight="251658243" behindDoc="0" locked="0" layoutInCell="1" allowOverlap="1" wp14:anchorId="40BBF128" wp14:editId="6C361FAB">
              <wp:simplePos x="635" y="635"/>
              <wp:positionH relativeFrom="page">
                <wp:align>center</wp:align>
              </wp:positionH>
              <wp:positionV relativeFrom="page">
                <wp:align>bottom</wp:align>
              </wp:positionV>
              <wp:extent cx="622300" cy="391160"/>
              <wp:effectExtent l="0" t="0" r="6350" b="0"/>
              <wp:wrapNone/>
              <wp:docPr id="5917319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7CF864" w14:textId="0852003B"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BBF128" id="_x0000_t202" coordsize="21600,21600" o:spt="202" path="m,l,21600r21600,l21600,xe">
              <v:stroke joinstyle="miter"/>
              <v:path gradientshapeok="t" o:connecttype="rect"/>
            </v:shapetype>
            <v:shape id="Text Box 4" o:spid="_x0000_s1030" type="#_x0000_t202" alt="OFFICIAL"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DUj1jeDgIAABwE&#10;AAAOAAAAAAAAAAAAAAAAAC4CAABkcnMvZTJvRG9jLnhtbFBLAQItABQABgAIAAAAIQCCUZTX2gAA&#10;AAMBAAAPAAAAAAAAAAAAAAAAAGgEAABkcnMvZG93bnJldi54bWxQSwUGAAAAAAQABADzAAAAbwUA&#10;AAAA&#10;" filled="f" stroked="f">
              <v:textbox style="mso-fit-shape-to-text:t" inset="0,0,0,15pt">
                <w:txbxContent>
                  <w:p w14:paraId="4F7CF864" w14:textId="0852003B"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CEFA" w14:textId="77777777" w:rsidR="0017050F" w:rsidRDefault="0017050F" w:rsidP="00443033">
      <w:pPr>
        <w:spacing w:after="0" w:line="240" w:lineRule="auto"/>
      </w:pPr>
      <w:r>
        <w:separator/>
      </w:r>
    </w:p>
  </w:footnote>
  <w:footnote w:type="continuationSeparator" w:id="0">
    <w:p w14:paraId="66F26622" w14:textId="77777777" w:rsidR="0017050F" w:rsidRDefault="0017050F" w:rsidP="0044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28643" w14:textId="763E5F32" w:rsidR="00FA470A" w:rsidRDefault="00FA470A">
    <w:pPr>
      <w:pStyle w:val="Header"/>
    </w:pPr>
    <w:r>
      <w:rPr>
        <w:noProof/>
      </w:rPr>
      <mc:AlternateContent>
        <mc:Choice Requires="wps">
          <w:drawing>
            <wp:anchor distT="0" distB="0" distL="0" distR="0" simplePos="0" relativeHeight="251658241" behindDoc="0" locked="0" layoutInCell="1" allowOverlap="1" wp14:anchorId="51D70A35" wp14:editId="1042EAE9">
              <wp:simplePos x="635" y="635"/>
              <wp:positionH relativeFrom="page">
                <wp:align>center</wp:align>
              </wp:positionH>
              <wp:positionV relativeFrom="page">
                <wp:align>top</wp:align>
              </wp:positionV>
              <wp:extent cx="622300" cy="391160"/>
              <wp:effectExtent l="0" t="0" r="6350" b="8890"/>
              <wp:wrapNone/>
              <wp:docPr id="5907858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45F1440" w14:textId="2E98D430"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D70A35"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645F1440" w14:textId="2E98D430"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CDD6" w14:textId="2598A8FA" w:rsidR="00FA470A" w:rsidRDefault="00FA470A">
    <w:pPr>
      <w:pStyle w:val="Header"/>
    </w:pPr>
    <w:r>
      <w:rPr>
        <w:noProof/>
      </w:rPr>
      <mc:AlternateContent>
        <mc:Choice Requires="wps">
          <w:drawing>
            <wp:anchor distT="0" distB="0" distL="0" distR="0" simplePos="0" relativeHeight="251658242" behindDoc="0" locked="0" layoutInCell="1" allowOverlap="1" wp14:anchorId="2A6BD481" wp14:editId="7711D756">
              <wp:simplePos x="914400" y="447675"/>
              <wp:positionH relativeFrom="page">
                <wp:align>center</wp:align>
              </wp:positionH>
              <wp:positionV relativeFrom="page">
                <wp:align>top</wp:align>
              </wp:positionV>
              <wp:extent cx="622300" cy="391160"/>
              <wp:effectExtent l="0" t="0" r="6350" b="8890"/>
              <wp:wrapNone/>
              <wp:docPr id="11043427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8E94F6C" w14:textId="1998BCAD"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6BD481"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28E94F6C" w14:textId="1998BCAD"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5258" w14:textId="6D59A9E0" w:rsidR="00FA470A" w:rsidRDefault="00FA470A">
    <w:pPr>
      <w:pStyle w:val="Header"/>
    </w:pPr>
    <w:r>
      <w:rPr>
        <w:noProof/>
      </w:rPr>
      <mc:AlternateContent>
        <mc:Choice Requires="wps">
          <w:drawing>
            <wp:anchor distT="0" distB="0" distL="0" distR="0" simplePos="0" relativeHeight="251658240" behindDoc="0" locked="0" layoutInCell="1" allowOverlap="1" wp14:anchorId="23D6E353" wp14:editId="4380C851">
              <wp:simplePos x="635" y="635"/>
              <wp:positionH relativeFrom="page">
                <wp:align>center</wp:align>
              </wp:positionH>
              <wp:positionV relativeFrom="page">
                <wp:align>top</wp:align>
              </wp:positionV>
              <wp:extent cx="622300" cy="391160"/>
              <wp:effectExtent l="0" t="0" r="6350" b="8890"/>
              <wp:wrapNone/>
              <wp:docPr id="5321984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EFFC2A" w14:textId="3BA9941A"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D6E353" id="_x0000_t202" coordsize="21600,21600" o:spt="202" path="m,l,21600r21600,l21600,xe">
              <v:stroke joinstyle="miter"/>
              <v:path gradientshapeok="t" o:connecttype="rect"/>
            </v:shapetype>
            <v:shape id="Text Box 1" o:spid="_x0000_s1029" type="#_x0000_t202" alt="OFFICIAL"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tT83H6LdRHWsrDie/g5Kql1msR8Fl4IpimJdHi&#10;Ex3aQF9xOFucNeB//s0f8wl3inLWk2AqbknRnJnvlviI2kpGcZt/jmD40b0dDbvv7oFkWNCLcDKZ&#10;MQ/NaGoP3SvJeRkbUUhYSe0qjqN5jyfl0nOQarlMSSQjJ3BtN07G0hGuiOXL8Cq8OwOOxNQjjGoS&#10;5TvcT7nxZnDLPRL6iZQI7QnIM+IkwcTV+blEjb/9T1nXR734BQ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El0FNoMAgAAHAQAAA4A&#10;AAAAAAAAAAAAAAAALgIAAGRycy9lMm9Eb2MueG1sUEsBAi0AFAAGAAgAAAAhAGGiSGjYAAAAAwEA&#10;AA8AAAAAAAAAAAAAAAAAZgQAAGRycy9kb3ducmV2LnhtbFBLBQYAAAAABAAEAPMAAABrBQAAAAA=&#10;" filled="f" stroked="f">
              <v:textbox style="mso-fit-shape-to-text:t" inset="0,15pt,0,0">
                <w:txbxContent>
                  <w:p w14:paraId="32EFFC2A" w14:textId="3BA9941A" w:rsidR="00FA470A" w:rsidRPr="00FA470A" w:rsidRDefault="00FA470A" w:rsidP="00FA470A">
                    <w:pPr>
                      <w:spacing w:after="0"/>
                      <w:rPr>
                        <w:rFonts w:ascii="Aptos" w:eastAsia="Aptos" w:hAnsi="Aptos" w:cs="Aptos"/>
                        <w:noProof/>
                        <w:color w:val="FF0000"/>
                        <w:sz w:val="24"/>
                        <w:szCs w:val="24"/>
                      </w:rPr>
                    </w:pPr>
                    <w:r w:rsidRPr="00FA470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F3D5"/>
    <w:multiLevelType w:val="hybridMultilevel"/>
    <w:tmpl w:val="66F8C5A8"/>
    <w:lvl w:ilvl="0" w:tplc="4366EE18">
      <w:start w:val="1"/>
      <w:numFmt w:val="lowerLetter"/>
      <w:lvlText w:val="%1."/>
      <w:lvlJc w:val="left"/>
      <w:pPr>
        <w:ind w:left="720" w:hanging="360"/>
      </w:pPr>
    </w:lvl>
    <w:lvl w:ilvl="1" w:tplc="CB2251DC">
      <w:start w:val="1"/>
      <w:numFmt w:val="lowerLetter"/>
      <w:lvlText w:val="%2."/>
      <w:lvlJc w:val="left"/>
      <w:pPr>
        <w:ind w:left="1440" w:hanging="360"/>
      </w:pPr>
    </w:lvl>
    <w:lvl w:ilvl="2" w:tplc="F24850AA">
      <w:start w:val="1"/>
      <w:numFmt w:val="lowerRoman"/>
      <w:lvlText w:val="%3."/>
      <w:lvlJc w:val="right"/>
      <w:pPr>
        <w:ind w:left="2160" w:hanging="180"/>
      </w:pPr>
    </w:lvl>
    <w:lvl w:ilvl="3" w:tplc="FCA6FA8C">
      <w:start w:val="1"/>
      <w:numFmt w:val="decimal"/>
      <w:lvlText w:val="%4."/>
      <w:lvlJc w:val="left"/>
      <w:pPr>
        <w:ind w:left="2880" w:hanging="360"/>
      </w:pPr>
    </w:lvl>
    <w:lvl w:ilvl="4" w:tplc="6F2A1774">
      <w:start w:val="1"/>
      <w:numFmt w:val="lowerLetter"/>
      <w:lvlText w:val="%5."/>
      <w:lvlJc w:val="left"/>
      <w:pPr>
        <w:ind w:left="3600" w:hanging="360"/>
      </w:pPr>
    </w:lvl>
    <w:lvl w:ilvl="5" w:tplc="1EDE9CDE">
      <w:start w:val="1"/>
      <w:numFmt w:val="lowerRoman"/>
      <w:lvlText w:val="%6."/>
      <w:lvlJc w:val="right"/>
      <w:pPr>
        <w:ind w:left="4320" w:hanging="180"/>
      </w:pPr>
    </w:lvl>
    <w:lvl w:ilvl="6" w:tplc="6DE8F198">
      <w:start w:val="1"/>
      <w:numFmt w:val="decimal"/>
      <w:lvlText w:val="%7."/>
      <w:lvlJc w:val="left"/>
      <w:pPr>
        <w:ind w:left="5040" w:hanging="360"/>
      </w:pPr>
    </w:lvl>
    <w:lvl w:ilvl="7" w:tplc="FDA09ED2">
      <w:start w:val="1"/>
      <w:numFmt w:val="lowerLetter"/>
      <w:lvlText w:val="%8."/>
      <w:lvlJc w:val="left"/>
      <w:pPr>
        <w:ind w:left="5760" w:hanging="360"/>
      </w:pPr>
    </w:lvl>
    <w:lvl w:ilvl="8" w:tplc="4F54BA7C">
      <w:start w:val="1"/>
      <w:numFmt w:val="lowerRoman"/>
      <w:lvlText w:val="%9."/>
      <w:lvlJc w:val="right"/>
      <w:pPr>
        <w:ind w:left="6480" w:hanging="180"/>
      </w:pPr>
    </w:lvl>
  </w:abstractNum>
  <w:abstractNum w:abstractNumId="1" w15:restartNumberingAfterBreak="0">
    <w:nsid w:val="73596096"/>
    <w:multiLevelType w:val="hybridMultilevel"/>
    <w:tmpl w:val="9E383E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70E13EA"/>
    <w:multiLevelType w:val="multilevel"/>
    <w:tmpl w:val="79CCF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84E2DCA"/>
    <w:multiLevelType w:val="hybridMultilevel"/>
    <w:tmpl w:val="796EFF9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4966118">
    <w:abstractNumId w:val="0"/>
  </w:num>
  <w:num w:numId="2" w16cid:durableId="2021278403">
    <w:abstractNumId w:val="2"/>
  </w:num>
  <w:num w:numId="3" w16cid:durableId="541282770">
    <w:abstractNumId w:val="3"/>
  </w:num>
  <w:num w:numId="4" w16cid:durableId="856623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33"/>
    <w:rsid w:val="000012C6"/>
    <w:rsid w:val="00002FBF"/>
    <w:rsid w:val="00004EE4"/>
    <w:rsid w:val="00005580"/>
    <w:rsid w:val="00005CE6"/>
    <w:rsid w:val="00010A23"/>
    <w:rsid w:val="00011E88"/>
    <w:rsid w:val="00021C51"/>
    <w:rsid w:val="00022CCA"/>
    <w:rsid w:val="00022F93"/>
    <w:rsid w:val="000235A2"/>
    <w:rsid w:val="000251E4"/>
    <w:rsid w:val="000334F9"/>
    <w:rsid w:val="000364CA"/>
    <w:rsid w:val="000369E2"/>
    <w:rsid w:val="00044358"/>
    <w:rsid w:val="00046F6F"/>
    <w:rsid w:val="00047E63"/>
    <w:rsid w:val="000503B4"/>
    <w:rsid w:val="00052A79"/>
    <w:rsid w:val="00055FC0"/>
    <w:rsid w:val="00056F25"/>
    <w:rsid w:val="000571B9"/>
    <w:rsid w:val="00063BD7"/>
    <w:rsid w:val="0006438A"/>
    <w:rsid w:val="0006467F"/>
    <w:rsid w:val="00065589"/>
    <w:rsid w:val="0007043A"/>
    <w:rsid w:val="000715FB"/>
    <w:rsid w:val="00075473"/>
    <w:rsid w:val="0007746A"/>
    <w:rsid w:val="0008499B"/>
    <w:rsid w:val="000860FF"/>
    <w:rsid w:val="00086EC3"/>
    <w:rsid w:val="00090E78"/>
    <w:rsid w:val="00091077"/>
    <w:rsid w:val="00094E49"/>
    <w:rsid w:val="0009589C"/>
    <w:rsid w:val="000A1925"/>
    <w:rsid w:val="000A311C"/>
    <w:rsid w:val="000A547B"/>
    <w:rsid w:val="000A5F37"/>
    <w:rsid w:val="000B0810"/>
    <w:rsid w:val="000B29EA"/>
    <w:rsid w:val="000B426A"/>
    <w:rsid w:val="000C3721"/>
    <w:rsid w:val="000C38E7"/>
    <w:rsid w:val="000C3A3A"/>
    <w:rsid w:val="000C658B"/>
    <w:rsid w:val="000C7261"/>
    <w:rsid w:val="000D3C95"/>
    <w:rsid w:val="000E5EB1"/>
    <w:rsid w:val="000E662E"/>
    <w:rsid w:val="000F03DA"/>
    <w:rsid w:val="000F0B7D"/>
    <w:rsid w:val="000F31AF"/>
    <w:rsid w:val="000F4A86"/>
    <w:rsid w:val="000F6C97"/>
    <w:rsid w:val="00100997"/>
    <w:rsid w:val="00100F10"/>
    <w:rsid w:val="0010402E"/>
    <w:rsid w:val="00105B6E"/>
    <w:rsid w:val="001112CF"/>
    <w:rsid w:val="00114B6F"/>
    <w:rsid w:val="00116688"/>
    <w:rsid w:val="00120275"/>
    <w:rsid w:val="00123BC7"/>
    <w:rsid w:val="00126B42"/>
    <w:rsid w:val="001301EC"/>
    <w:rsid w:val="0013084A"/>
    <w:rsid w:val="00131913"/>
    <w:rsid w:val="00134DA2"/>
    <w:rsid w:val="0013686C"/>
    <w:rsid w:val="00137225"/>
    <w:rsid w:val="001375BF"/>
    <w:rsid w:val="00141775"/>
    <w:rsid w:val="00141D56"/>
    <w:rsid w:val="001422D6"/>
    <w:rsid w:val="0014429B"/>
    <w:rsid w:val="001450B2"/>
    <w:rsid w:val="00145C20"/>
    <w:rsid w:val="00147FBC"/>
    <w:rsid w:val="0015179D"/>
    <w:rsid w:val="00151B18"/>
    <w:rsid w:val="00155B5C"/>
    <w:rsid w:val="00160E78"/>
    <w:rsid w:val="00162752"/>
    <w:rsid w:val="00162982"/>
    <w:rsid w:val="001630FD"/>
    <w:rsid w:val="0016325C"/>
    <w:rsid w:val="0017050F"/>
    <w:rsid w:val="00171367"/>
    <w:rsid w:val="001734FD"/>
    <w:rsid w:val="00175BAF"/>
    <w:rsid w:val="00175D48"/>
    <w:rsid w:val="001819C3"/>
    <w:rsid w:val="00185531"/>
    <w:rsid w:val="00191A1B"/>
    <w:rsid w:val="00192906"/>
    <w:rsid w:val="00195169"/>
    <w:rsid w:val="00196373"/>
    <w:rsid w:val="00196A1E"/>
    <w:rsid w:val="001A30F5"/>
    <w:rsid w:val="001A4E10"/>
    <w:rsid w:val="001A60D2"/>
    <w:rsid w:val="001A6514"/>
    <w:rsid w:val="001A7216"/>
    <w:rsid w:val="001A7226"/>
    <w:rsid w:val="001A7473"/>
    <w:rsid w:val="001ABC7B"/>
    <w:rsid w:val="001B210D"/>
    <w:rsid w:val="001B2169"/>
    <w:rsid w:val="001C2EC2"/>
    <w:rsid w:val="001D13B1"/>
    <w:rsid w:val="001D157C"/>
    <w:rsid w:val="001D241F"/>
    <w:rsid w:val="001E010F"/>
    <w:rsid w:val="001E15E0"/>
    <w:rsid w:val="001E7EC0"/>
    <w:rsid w:val="001E7FEB"/>
    <w:rsid w:val="001F0232"/>
    <w:rsid w:val="001F08E5"/>
    <w:rsid w:val="001F0A3C"/>
    <w:rsid w:val="001F128A"/>
    <w:rsid w:val="001F287D"/>
    <w:rsid w:val="001F4DA6"/>
    <w:rsid w:val="001F626D"/>
    <w:rsid w:val="001F7E1F"/>
    <w:rsid w:val="0020344E"/>
    <w:rsid w:val="00215B4C"/>
    <w:rsid w:val="00216285"/>
    <w:rsid w:val="0022243E"/>
    <w:rsid w:val="00223D74"/>
    <w:rsid w:val="00223F14"/>
    <w:rsid w:val="00223FC1"/>
    <w:rsid w:val="00224F0F"/>
    <w:rsid w:val="00225939"/>
    <w:rsid w:val="00225E25"/>
    <w:rsid w:val="0022606C"/>
    <w:rsid w:val="00227F37"/>
    <w:rsid w:val="00232B03"/>
    <w:rsid w:val="0023374C"/>
    <w:rsid w:val="00234E76"/>
    <w:rsid w:val="00235440"/>
    <w:rsid w:val="00235904"/>
    <w:rsid w:val="00235AD0"/>
    <w:rsid w:val="00240051"/>
    <w:rsid w:val="00241FE7"/>
    <w:rsid w:val="0024411D"/>
    <w:rsid w:val="0024446A"/>
    <w:rsid w:val="00252EC3"/>
    <w:rsid w:val="00256ADC"/>
    <w:rsid w:val="00257375"/>
    <w:rsid w:val="002633A8"/>
    <w:rsid w:val="0026660D"/>
    <w:rsid w:val="00271B99"/>
    <w:rsid w:val="00271FFA"/>
    <w:rsid w:val="00274675"/>
    <w:rsid w:val="0027525D"/>
    <w:rsid w:val="00275BCE"/>
    <w:rsid w:val="00283D48"/>
    <w:rsid w:val="002911EF"/>
    <w:rsid w:val="00291D98"/>
    <w:rsid w:val="00293995"/>
    <w:rsid w:val="00295AE7"/>
    <w:rsid w:val="00295CF0"/>
    <w:rsid w:val="00296483"/>
    <w:rsid w:val="002973A0"/>
    <w:rsid w:val="00297713"/>
    <w:rsid w:val="002A17C8"/>
    <w:rsid w:val="002A2DE3"/>
    <w:rsid w:val="002A3353"/>
    <w:rsid w:val="002A3DE7"/>
    <w:rsid w:val="002A5438"/>
    <w:rsid w:val="002A6B3A"/>
    <w:rsid w:val="002B3980"/>
    <w:rsid w:val="002B78A0"/>
    <w:rsid w:val="002C3E6A"/>
    <w:rsid w:val="002C66BB"/>
    <w:rsid w:val="002C69A3"/>
    <w:rsid w:val="002C6F01"/>
    <w:rsid w:val="002C7870"/>
    <w:rsid w:val="002D1DCD"/>
    <w:rsid w:val="002D2F48"/>
    <w:rsid w:val="002D48EC"/>
    <w:rsid w:val="002D61ED"/>
    <w:rsid w:val="002D76A4"/>
    <w:rsid w:val="002E1110"/>
    <w:rsid w:val="002E1462"/>
    <w:rsid w:val="002E329C"/>
    <w:rsid w:val="002E3CBB"/>
    <w:rsid w:val="002E6EF2"/>
    <w:rsid w:val="002E7FE9"/>
    <w:rsid w:val="002F04AB"/>
    <w:rsid w:val="00301D76"/>
    <w:rsid w:val="003020E1"/>
    <w:rsid w:val="0030432F"/>
    <w:rsid w:val="003070D0"/>
    <w:rsid w:val="003074A1"/>
    <w:rsid w:val="00307E92"/>
    <w:rsid w:val="003114DF"/>
    <w:rsid w:val="00311F73"/>
    <w:rsid w:val="003159E9"/>
    <w:rsid w:val="00321DF5"/>
    <w:rsid w:val="003238FC"/>
    <w:rsid w:val="00324E31"/>
    <w:rsid w:val="00324FE6"/>
    <w:rsid w:val="00325EBE"/>
    <w:rsid w:val="00327A8A"/>
    <w:rsid w:val="00327F68"/>
    <w:rsid w:val="003308F2"/>
    <w:rsid w:val="003309E6"/>
    <w:rsid w:val="0033282E"/>
    <w:rsid w:val="00332835"/>
    <w:rsid w:val="00333B28"/>
    <w:rsid w:val="003346CD"/>
    <w:rsid w:val="003360FC"/>
    <w:rsid w:val="00336D20"/>
    <w:rsid w:val="003413B5"/>
    <w:rsid w:val="003417E0"/>
    <w:rsid w:val="00341CF5"/>
    <w:rsid w:val="0034306D"/>
    <w:rsid w:val="00343A03"/>
    <w:rsid w:val="00346268"/>
    <w:rsid w:val="0035065E"/>
    <w:rsid w:val="00351256"/>
    <w:rsid w:val="00355912"/>
    <w:rsid w:val="00355BF7"/>
    <w:rsid w:val="0036061A"/>
    <w:rsid w:val="00363097"/>
    <w:rsid w:val="003665CB"/>
    <w:rsid w:val="00367111"/>
    <w:rsid w:val="0036723E"/>
    <w:rsid w:val="00370D14"/>
    <w:rsid w:val="00373AE1"/>
    <w:rsid w:val="00380D77"/>
    <w:rsid w:val="00387A28"/>
    <w:rsid w:val="00387B05"/>
    <w:rsid w:val="0039091B"/>
    <w:rsid w:val="00395B47"/>
    <w:rsid w:val="003A0CF3"/>
    <w:rsid w:val="003A110E"/>
    <w:rsid w:val="003A13EE"/>
    <w:rsid w:val="003A2D00"/>
    <w:rsid w:val="003A3327"/>
    <w:rsid w:val="003B2263"/>
    <w:rsid w:val="003B3CD7"/>
    <w:rsid w:val="003B435F"/>
    <w:rsid w:val="003B67A5"/>
    <w:rsid w:val="003C0422"/>
    <w:rsid w:val="003C0C75"/>
    <w:rsid w:val="003C0D02"/>
    <w:rsid w:val="003C3914"/>
    <w:rsid w:val="003C3D7C"/>
    <w:rsid w:val="003C52C2"/>
    <w:rsid w:val="003C6281"/>
    <w:rsid w:val="003D2F6F"/>
    <w:rsid w:val="003D4814"/>
    <w:rsid w:val="003E03A9"/>
    <w:rsid w:val="003E05A8"/>
    <w:rsid w:val="003E1667"/>
    <w:rsid w:val="003E3DCE"/>
    <w:rsid w:val="003E6146"/>
    <w:rsid w:val="003E6814"/>
    <w:rsid w:val="003E76B1"/>
    <w:rsid w:val="003F0975"/>
    <w:rsid w:val="003F594C"/>
    <w:rsid w:val="004017EB"/>
    <w:rsid w:val="00401A8D"/>
    <w:rsid w:val="004023D8"/>
    <w:rsid w:val="004046F7"/>
    <w:rsid w:val="00404EBB"/>
    <w:rsid w:val="004068B6"/>
    <w:rsid w:val="00411C4D"/>
    <w:rsid w:val="004147A8"/>
    <w:rsid w:val="004149C5"/>
    <w:rsid w:val="0041513F"/>
    <w:rsid w:val="00417A63"/>
    <w:rsid w:val="004229CB"/>
    <w:rsid w:val="00426C38"/>
    <w:rsid w:val="004303B1"/>
    <w:rsid w:val="00434411"/>
    <w:rsid w:val="00437310"/>
    <w:rsid w:val="00443033"/>
    <w:rsid w:val="00444123"/>
    <w:rsid w:val="00445365"/>
    <w:rsid w:val="00445C11"/>
    <w:rsid w:val="00451ECC"/>
    <w:rsid w:val="00455156"/>
    <w:rsid w:val="00456055"/>
    <w:rsid w:val="00456449"/>
    <w:rsid w:val="00457377"/>
    <w:rsid w:val="004579EB"/>
    <w:rsid w:val="00457EE8"/>
    <w:rsid w:val="00465E2B"/>
    <w:rsid w:val="004673BA"/>
    <w:rsid w:val="00467B6B"/>
    <w:rsid w:val="004712DA"/>
    <w:rsid w:val="0047160E"/>
    <w:rsid w:val="00471711"/>
    <w:rsid w:val="0047298D"/>
    <w:rsid w:val="0047315E"/>
    <w:rsid w:val="00475D97"/>
    <w:rsid w:val="0048028A"/>
    <w:rsid w:val="00484456"/>
    <w:rsid w:val="004846A4"/>
    <w:rsid w:val="004934FD"/>
    <w:rsid w:val="00494B45"/>
    <w:rsid w:val="00494D7B"/>
    <w:rsid w:val="004A0E4E"/>
    <w:rsid w:val="004A12E8"/>
    <w:rsid w:val="004A2299"/>
    <w:rsid w:val="004A62CB"/>
    <w:rsid w:val="004B1DCD"/>
    <w:rsid w:val="004B1EB2"/>
    <w:rsid w:val="004B56B4"/>
    <w:rsid w:val="004B6F27"/>
    <w:rsid w:val="004C2B5A"/>
    <w:rsid w:val="004C7B28"/>
    <w:rsid w:val="004D1106"/>
    <w:rsid w:val="004D5291"/>
    <w:rsid w:val="004E6E8E"/>
    <w:rsid w:val="004F0DDA"/>
    <w:rsid w:val="004F22F2"/>
    <w:rsid w:val="004F3118"/>
    <w:rsid w:val="004F56E0"/>
    <w:rsid w:val="004F58DB"/>
    <w:rsid w:val="004F5F97"/>
    <w:rsid w:val="00500637"/>
    <w:rsid w:val="005013AD"/>
    <w:rsid w:val="00503950"/>
    <w:rsid w:val="00506FE0"/>
    <w:rsid w:val="00511363"/>
    <w:rsid w:val="005122DF"/>
    <w:rsid w:val="005139FF"/>
    <w:rsid w:val="00513F71"/>
    <w:rsid w:val="005155D2"/>
    <w:rsid w:val="00517A13"/>
    <w:rsid w:val="00520586"/>
    <w:rsid w:val="005209D2"/>
    <w:rsid w:val="0052299E"/>
    <w:rsid w:val="005242F6"/>
    <w:rsid w:val="005260BD"/>
    <w:rsid w:val="0052643F"/>
    <w:rsid w:val="00527504"/>
    <w:rsid w:val="005278B9"/>
    <w:rsid w:val="005323CA"/>
    <w:rsid w:val="005327F0"/>
    <w:rsid w:val="00533262"/>
    <w:rsid w:val="00534144"/>
    <w:rsid w:val="005347C1"/>
    <w:rsid w:val="00545661"/>
    <w:rsid w:val="005500C9"/>
    <w:rsid w:val="00552E33"/>
    <w:rsid w:val="00553788"/>
    <w:rsid w:val="005567D5"/>
    <w:rsid w:val="005576C3"/>
    <w:rsid w:val="00560A64"/>
    <w:rsid w:val="00562DF8"/>
    <w:rsid w:val="005726B8"/>
    <w:rsid w:val="00572FAD"/>
    <w:rsid w:val="005742A5"/>
    <w:rsid w:val="005801D9"/>
    <w:rsid w:val="005835EE"/>
    <w:rsid w:val="0058362E"/>
    <w:rsid w:val="00584911"/>
    <w:rsid w:val="00584A0E"/>
    <w:rsid w:val="00585D16"/>
    <w:rsid w:val="0059287D"/>
    <w:rsid w:val="005930DA"/>
    <w:rsid w:val="00596647"/>
    <w:rsid w:val="0059737E"/>
    <w:rsid w:val="00597407"/>
    <w:rsid w:val="00597952"/>
    <w:rsid w:val="005A33A6"/>
    <w:rsid w:val="005A4EE0"/>
    <w:rsid w:val="005A5536"/>
    <w:rsid w:val="005A64CE"/>
    <w:rsid w:val="005ACD31"/>
    <w:rsid w:val="005B0E6D"/>
    <w:rsid w:val="005B0ED6"/>
    <w:rsid w:val="005B178B"/>
    <w:rsid w:val="005B3ED7"/>
    <w:rsid w:val="005B563C"/>
    <w:rsid w:val="005C02BA"/>
    <w:rsid w:val="005C21C7"/>
    <w:rsid w:val="005C5A49"/>
    <w:rsid w:val="005C6899"/>
    <w:rsid w:val="005D1711"/>
    <w:rsid w:val="005D4EA5"/>
    <w:rsid w:val="005D6107"/>
    <w:rsid w:val="005D61B5"/>
    <w:rsid w:val="005E09FB"/>
    <w:rsid w:val="005E0DEC"/>
    <w:rsid w:val="005E227F"/>
    <w:rsid w:val="005E256F"/>
    <w:rsid w:val="005E5973"/>
    <w:rsid w:val="005E6ADB"/>
    <w:rsid w:val="005F1A76"/>
    <w:rsid w:val="005F58E5"/>
    <w:rsid w:val="005F6C16"/>
    <w:rsid w:val="00602204"/>
    <w:rsid w:val="006049CE"/>
    <w:rsid w:val="00606FB0"/>
    <w:rsid w:val="00607DA0"/>
    <w:rsid w:val="006145F0"/>
    <w:rsid w:val="00614F56"/>
    <w:rsid w:val="00615FBB"/>
    <w:rsid w:val="00622FD0"/>
    <w:rsid w:val="00623250"/>
    <w:rsid w:val="006248F7"/>
    <w:rsid w:val="00624A99"/>
    <w:rsid w:val="006257F2"/>
    <w:rsid w:val="006271A8"/>
    <w:rsid w:val="00631C96"/>
    <w:rsid w:val="006334BE"/>
    <w:rsid w:val="00633607"/>
    <w:rsid w:val="00634F42"/>
    <w:rsid w:val="006417FF"/>
    <w:rsid w:val="00644BB6"/>
    <w:rsid w:val="00644CF5"/>
    <w:rsid w:val="00647CF3"/>
    <w:rsid w:val="00652A20"/>
    <w:rsid w:val="0065544D"/>
    <w:rsid w:val="00662A60"/>
    <w:rsid w:val="00663630"/>
    <w:rsid w:val="00663FFA"/>
    <w:rsid w:val="006669B3"/>
    <w:rsid w:val="0067412B"/>
    <w:rsid w:val="00674AA7"/>
    <w:rsid w:val="0067528C"/>
    <w:rsid w:val="00676CA5"/>
    <w:rsid w:val="00676EA1"/>
    <w:rsid w:val="00677178"/>
    <w:rsid w:val="00680B9B"/>
    <w:rsid w:val="00682213"/>
    <w:rsid w:val="00685BFE"/>
    <w:rsid w:val="0068666A"/>
    <w:rsid w:val="00687F0C"/>
    <w:rsid w:val="00690126"/>
    <w:rsid w:val="00690726"/>
    <w:rsid w:val="006910DF"/>
    <w:rsid w:val="006950B8"/>
    <w:rsid w:val="006A0339"/>
    <w:rsid w:val="006A15DC"/>
    <w:rsid w:val="006A1BA9"/>
    <w:rsid w:val="006A341D"/>
    <w:rsid w:val="006A45DB"/>
    <w:rsid w:val="006A4998"/>
    <w:rsid w:val="006B04F5"/>
    <w:rsid w:val="006B1DB9"/>
    <w:rsid w:val="006B3DDE"/>
    <w:rsid w:val="006C4DC3"/>
    <w:rsid w:val="006D0C09"/>
    <w:rsid w:val="006D64A1"/>
    <w:rsid w:val="006D658D"/>
    <w:rsid w:val="006D6683"/>
    <w:rsid w:val="006D7F97"/>
    <w:rsid w:val="006E123D"/>
    <w:rsid w:val="006E1A69"/>
    <w:rsid w:val="006E4D5A"/>
    <w:rsid w:val="006E6EA9"/>
    <w:rsid w:val="006E79F3"/>
    <w:rsid w:val="006F10F6"/>
    <w:rsid w:val="006F14AA"/>
    <w:rsid w:val="006F70B7"/>
    <w:rsid w:val="006F753F"/>
    <w:rsid w:val="007027B9"/>
    <w:rsid w:val="00702994"/>
    <w:rsid w:val="00705A48"/>
    <w:rsid w:val="00705E5D"/>
    <w:rsid w:val="00705F3C"/>
    <w:rsid w:val="00706138"/>
    <w:rsid w:val="00714D8E"/>
    <w:rsid w:val="00717276"/>
    <w:rsid w:val="00723AFC"/>
    <w:rsid w:val="00723C22"/>
    <w:rsid w:val="00723CB4"/>
    <w:rsid w:val="00730B3D"/>
    <w:rsid w:val="00736709"/>
    <w:rsid w:val="00741392"/>
    <w:rsid w:val="00742ED9"/>
    <w:rsid w:val="00746FBC"/>
    <w:rsid w:val="00750BC2"/>
    <w:rsid w:val="00751285"/>
    <w:rsid w:val="00751916"/>
    <w:rsid w:val="00752561"/>
    <w:rsid w:val="00752CDE"/>
    <w:rsid w:val="007544CB"/>
    <w:rsid w:val="0075614C"/>
    <w:rsid w:val="00756897"/>
    <w:rsid w:val="0076036F"/>
    <w:rsid w:val="007608F4"/>
    <w:rsid w:val="00765BD7"/>
    <w:rsid w:val="007662AE"/>
    <w:rsid w:val="00766607"/>
    <w:rsid w:val="00767F44"/>
    <w:rsid w:val="0077271A"/>
    <w:rsid w:val="00773A5D"/>
    <w:rsid w:val="0077444D"/>
    <w:rsid w:val="007756C6"/>
    <w:rsid w:val="007810C0"/>
    <w:rsid w:val="00784469"/>
    <w:rsid w:val="007855CD"/>
    <w:rsid w:val="00785736"/>
    <w:rsid w:val="00785739"/>
    <w:rsid w:val="0078611D"/>
    <w:rsid w:val="00786867"/>
    <w:rsid w:val="00786AA0"/>
    <w:rsid w:val="00787220"/>
    <w:rsid w:val="0079069E"/>
    <w:rsid w:val="007906C0"/>
    <w:rsid w:val="00790E6D"/>
    <w:rsid w:val="007920E1"/>
    <w:rsid w:val="007959C5"/>
    <w:rsid w:val="007966D0"/>
    <w:rsid w:val="007A19CE"/>
    <w:rsid w:val="007A3C5E"/>
    <w:rsid w:val="007B01DD"/>
    <w:rsid w:val="007B2129"/>
    <w:rsid w:val="007B4098"/>
    <w:rsid w:val="007B4243"/>
    <w:rsid w:val="007C0463"/>
    <w:rsid w:val="007C12E7"/>
    <w:rsid w:val="007C438B"/>
    <w:rsid w:val="007C6232"/>
    <w:rsid w:val="007D2A46"/>
    <w:rsid w:val="007D417B"/>
    <w:rsid w:val="007D56D3"/>
    <w:rsid w:val="007D6647"/>
    <w:rsid w:val="007D765B"/>
    <w:rsid w:val="007D7A05"/>
    <w:rsid w:val="007E57ED"/>
    <w:rsid w:val="007F4AC2"/>
    <w:rsid w:val="007F6636"/>
    <w:rsid w:val="007F674A"/>
    <w:rsid w:val="00802CCD"/>
    <w:rsid w:val="00803502"/>
    <w:rsid w:val="00803D63"/>
    <w:rsid w:val="008045A2"/>
    <w:rsid w:val="00806A08"/>
    <w:rsid w:val="00820141"/>
    <w:rsid w:val="00820549"/>
    <w:rsid w:val="00825226"/>
    <w:rsid w:val="008310A3"/>
    <w:rsid w:val="00831C9C"/>
    <w:rsid w:val="00832E84"/>
    <w:rsid w:val="00834599"/>
    <w:rsid w:val="008346E6"/>
    <w:rsid w:val="00835975"/>
    <w:rsid w:val="008363A3"/>
    <w:rsid w:val="00843034"/>
    <w:rsid w:val="008437D2"/>
    <w:rsid w:val="008536E0"/>
    <w:rsid w:val="00854AAC"/>
    <w:rsid w:val="00854F16"/>
    <w:rsid w:val="008565C8"/>
    <w:rsid w:val="00866090"/>
    <w:rsid w:val="00870D39"/>
    <w:rsid w:val="00870D7F"/>
    <w:rsid w:val="0087512B"/>
    <w:rsid w:val="00876792"/>
    <w:rsid w:val="00876A43"/>
    <w:rsid w:val="00884B37"/>
    <w:rsid w:val="00885118"/>
    <w:rsid w:val="00885297"/>
    <w:rsid w:val="008864B1"/>
    <w:rsid w:val="00887D23"/>
    <w:rsid w:val="00895BB2"/>
    <w:rsid w:val="008A3D3F"/>
    <w:rsid w:val="008A4475"/>
    <w:rsid w:val="008A6500"/>
    <w:rsid w:val="008A762F"/>
    <w:rsid w:val="008B1BE3"/>
    <w:rsid w:val="008B2D9D"/>
    <w:rsid w:val="008B32DD"/>
    <w:rsid w:val="008B386C"/>
    <w:rsid w:val="008C04EF"/>
    <w:rsid w:val="008C0C32"/>
    <w:rsid w:val="008C1313"/>
    <w:rsid w:val="008C2F4E"/>
    <w:rsid w:val="008C5831"/>
    <w:rsid w:val="008C6787"/>
    <w:rsid w:val="008D65C2"/>
    <w:rsid w:val="008D6E1C"/>
    <w:rsid w:val="008D7D48"/>
    <w:rsid w:val="008E1C87"/>
    <w:rsid w:val="008E551A"/>
    <w:rsid w:val="008F2AD3"/>
    <w:rsid w:val="008F2FAF"/>
    <w:rsid w:val="008F35A5"/>
    <w:rsid w:val="00902930"/>
    <w:rsid w:val="00903E0F"/>
    <w:rsid w:val="009069C0"/>
    <w:rsid w:val="00907449"/>
    <w:rsid w:val="0091289D"/>
    <w:rsid w:val="009134C9"/>
    <w:rsid w:val="009138F7"/>
    <w:rsid w:val="00914499"/>
    <w:rsid w:val="00914C81"/>
    <w:rsid w:val="0091661F"/>
    <w:rsid w:val="00917307"/>
    <w:rsid w:val="00921C16"/>
    <w:rsid w:val="00926FC7"/>
    <w:rsid w:val="0092796E"/>
    <w:rsid w:val="00932119"/>
    <w:rsid w:val="009339E4"/>
    <w:rsid w:val="00934EEF"/>
    <w:rsid w:val="0093517F"/>
    <w:rsid w:val="00935371"/>
    <w:rsid w:val="00935D51"/>
    <w:rsid w:val="009360AC"/>
    <w:rsid w:val="00950B1C"/>
    <w:rsid w:val="00954443"/>
    <w:rsid w:val="00954E61"/>
    <w:rsid w:val="009551B7"/>
    <w:rsid w:val="00955B2A"/>
    <w:rsid w:val="00955DD4"/>
    <w:rsid w:val="0096035C"/>
    <w:rsid w:val="009603BC"/>
    <w:rsid w:val="00961EC5"/>
    <w:rsid w:val="00962BE4"/>
    <w:rsid w:val="0096415A"/>
    <w:rsid w:val="00965AEF"/>
    <w:rsid w:val="00972B56"/>
    <w:rsid w:val="00972FC9"/>
    <w:rsid w:val="00976A08"/>
    <w:rsid w:val="00981EB6"/>
    <w:rsid w:val="009824E4"/>
    <w:rsid w:val="00984BC5"/>
    <w:rsid w:val="0098600D"/>
    <w:rsid w:val="0098755E"/>
    <w:rsid w:val="00994835"/>
    <w:rsid w:val="00997531"/>
    <w:rsid w:val="009A003F"/>
    <w:rsid w:val="009A1F12"/>
    <w:rsid w:val="009A38E6"/>
    <w:rsid w:val="009A3EF5"/>
    <w:rsid w:val="009A701D"/>
    <w:rsid w:val="009B1154"/>
    <w:rsid w:val="009B1434"/>
    <w:rsid w:val="009B2066"/>
    <w:rsid w:val="009B4EB1"/>
    <w:rsid w:val="009B5AD9"/>
    <w:rsid w:val="009B6A1E"/>
    <w:rsid w:val="009B7568"/>
    <w:rsid w:val="009B7B3E"/>
    <w:rsid w:val="009C1BA2"/>
    <w:rsid w:val="009C3CDA"/>
    <w:rsid w:val="009C5459"/>
    <w:rsid w:val="009C5E81"/>
    <w:rsid w:val="009C60B6"/>
    <w:rsid w:val="009C638D"/>
    <w:rsid w:val="009D137D"/>
    <w:rsid w:val="009D14BE"/>
    <w:rsid w:val="009D5089"/>
    <w:rsid w:val="009D663E"/>
    <w:rsid w:val="009D667A"/>
    <w:rsid w:val="009E0617"/>
    <w:rsid w:val="009E231F"/>
    <w:rsid w:val="009E5691"/>
    <w:rsid w:val="009E5C64"/>
    <w:rsid w:val="009F0FF1"/>
    <w:rsid w:val="009F6FAB"/>
    <w:rsid w:val="009F7473"/>
    <w:rsid w:val="009F786C"/>
    <w:rsid w:val="00A008E2"/>
    <w:rsid w:val="00A05D6A"/>
    <w:rsid w:val="00A07E9F"/>
    <w:rsid w:val="00A10357"/>
    <w:rsid w:val="00A106B5"/>
    <w:rsid w:val="00A12E33"/>
    <w:rsid w:val="00A13F7E"/>
    <w:rsid w:val="00A14402"/>
    <w:rsid w:val="00A1747A"/>
    <w:rsid w:val="00A17BB6"/>
    <w:rsid w:val="00A20E00"/>
    <w:rsid w:val="00A21D65"/>
    <w:rsid w:val="00A23D02"/>
    <w:rsid w:val="00A268C5"/>
    <w:rsid w:val="00A31013"/>
    <w:rsid w:val="00A3314F"/>
    <w:rsid w:val="00A35FD3"/>
    <w:rsid w:val="00A37663"/>
    <w:rsid w:val="00A378C8"/>
    <w:rsid w:val="00A40C75"/>
    <w:rsid w:val="00A449D8"/>
    <w:rsid w:val="00A45490"/>
    <w:rsid w:val="00A500AD"/>
    <w:rsid w:val="00A529E2"/>
    <w:rsid w:val="00A54E80"/>
    <w:rsid w:val="00A5520A"/>
    <w:rsid w:val="00A56FF1"/>
    <w:rsid w:val="00A60A71"/>
    <w:rsid w:val="00A61A81"/>
    <w:rsid w:val="00A62B34"/>
    <w:rsid w:val="00A6344F"/>
    <w:rsid w:val="00A64CA4"/>
    <w:rsid w:val="00A660A0"/>
    <w:rsid w:val="00A66B09"/>
    <w:rsid w:val="00A66F81"/>
    <w:rsid w:val="00A709FA"/>
    <w:rsid w:val="00A73158"/>
    <w:rsid w:val="00A7315F"/>
    <w:rsid w:val="00A76D35"/>
    <w:rsid w:val="00A86930"/>
    <w:rsid w:val="00A95E97"/>
    <w:rsid w:val="00A9679F"/>
    <w:rsid w:val="00A97312"/>
    <w:rsid w:val="00AA0A0D"/>
    <w:rsid w:val="00AA1F57"/>
    <w:rsid w:val="00AA454B"/>
    <w:rsid w:val="00AA6768"/>
    <w:rsid w:val="00AB06C7"/>
    <w:rsid w:val="00AB788E"/>
    <w:rsid w:val="00AC0A2A"/>
    <w:rsid w:val="00AC2AE2"/>
    <w:rsid w:val="00AC3B8E"/>
    <w:rsid w:val="00AC65FA"/>
    <w:rsid w:val="00AD1720"/>
    <w:rsid w:val="00AD308C"/>
    <w:rsid w:val="00AD3A7C"/>
    <w:rsid w:val="00AD3E47"/>
    <w:rsid w:val="00AD65FD"/>
    <w:rsid w:val="00AD66B4"/>
    <w:rsid w:val="00AE03AC"/>
    <w:rsid w:val="00AE0D75"/>
    <w:rsid w:val="00AE48BF"/>
    <w:rsid w:val="00AE64EE"/>
    <w:rsid w:val="00AE7B53"/>
    <w:rsid w:val="00AF038C"/>
    <w:rsid w:val="00AF0E0E"/>
    <w:rsid w:val="00AF0E48"/>
    <w:rsid w:val="00AF1954"/>
    <w:rsid w:val="00AF3375"/>
    <w:rsid w:val="00AF6403"/>
    <w:rsid w:val="00B00154"/>
    <w:rsid w:val="00B0096F"/>
    <w:rsid w:val="00B01A06"/>
    <w:rsid w:val="00B02E3D"/>
    <w:rsid w:val="00B03459"/>
    <w:rsid w:val="00B104C8"/>
    <w:rsid w:val="00B117BE"/>
    <w:rsid w:val="00B14DB9"/>
    <w:rsid w:val="00B14FBA"/>
    <w:rsid w:val="00B155AA"/>
    <w:rsid w:val="00B16FC2"/>
    <w:rsid w:val="00B21B5E"/>
    <w:rsid w:val="00B24C51"/>
    <w:rsid w:val="00B250BD"/>
    <w:rsid w:val="00B25FD4"/>
    <w:rsid w:val="00B2798C"/>
    <w:rsid w:val="00B30B5C"/>
    <w:rsid w:val="00B3164A"/>
    <w:rsid w:val="00B333AA"/>
    <w:rsid w:val="00B40A40"/>
    <w:rsid w:val="00B41FB4"/>
    <w:rsid w:val="00B427D4"/>
    <w:rsid w:val="00B43291"/>
    <w:rsid w:val="00B45E72"/>
    <w:rsid w:val="00B464EF"/>
    <w:rsid w:val="00B46B65"/>
    <w:rsid w:val="00B51B90"/>
    <w:rsid w:val="00B51C00"/>
    <w:rsid w:val="00B52688"/>
    <w:rsid w:val="00B57019"/>
    <w:rsid w:val="00B60B8F"/>
    <w:rsid w:val="00B62BE2"/>
    <w:rsid w:val="00B62FCC"/>
    <w:rsid w:val="00B63DBC"/>
    <w:rsid w:val="00B66C60"/>
    <w:rsid w:val="00B67578"/>
    <w:rsid w:val="00B67FF1"/>
    <w:rsid w:val="00B71DC6"/>
    <w:rsid w:val="00B72EF1"/>
    <w:rsid w:val="00B739C4"/>
    <w:rsid w:val="00B75E9A"/>
    <w:rsid w:val="00B828CD"/>
    <w:rsid w:val="00B83572"/>
    <w:rsid w:val="00B854C9"/>
    <w:rsid w:val="00B87824"/>
    <w:rsid w:val="00B90393"/>
    <w:rsid w:val="00B904C2"/>
    <w:rsid w:val="00B94DD0"/>
    <w:rsid w:val="00BA52B3"/>
    <w:rsid w:val="00BA67A7"/>
    <w:rsid w:val="00BB42D7"/>
    <w:rsid w:val="00BB4595"/>
    <w:rsid w:val="00BB5264"/>
    <w:rsid w:val="00BC3D4B"/>
    <w:rsid w:val="00BC589A"/>
    <w:rsid w:val="00BD100C"/>
    <w:rsid w:val="00BE01D1"/>
    <w:rsid w:val="00BE07B0"/>
    <w:rsid w:val="00BE0926"/>
    <w:rsid w:val="00BE19C0"/>
    <w:rsid w:val="00BE1C6A"/>
    <w:rsid w:val="00BE37D6"/>
    <w:rsid w:val="00BF002A"/>
    <w:rsid w:val="00BF00ED"/>
    <w:rsid w:val="00BF4CE2"/>
    <w:rsid w:val="00BF4F24"/>
    <w:rsid w:val="00C05F4A"/>
    <w:rsid w:val="00C06DDE"/>
    <w:rsid w:val="00C07D30"/>
    <w:rsid w:val="00C07DB8"/>
    <w:rsid w:val="00C07E77"/>
    <w:rsid w:val="00C11D22"/>
    <w:rsid w:val="00C15366"/>
    <w:rsid w:val="00C1548A"/>
    <w:rsid w:val="00C17C0C"/>
    <w:rsid w:val="00C208CF"/>
    <w:rsid w:val="00C20D89"/>
    <w:rsid w:val="00C20FDC"/>
    <w:rsid w:val="00C2202A"/>
    <w:rsid w:val="00C22BFD"/>
    <w:rsid w:val="00C2769F"/>
    <w:rsid w:val="00C27911"/>
    <w:rsid w:val="00C3052D"/>
    <w:rsid w:val="00C30994"/>
    <w:rsid w:val="00C31D9F"/>
    <w:rsid w:val="00C3273A"/>
    <w:rsid w:val="00C37FB0"/>
    <w:rsid w:val="00C40D35"/>
    <w:rsid w:val="00C42D19"/>
    <w:rsid w:val="00C44947"/>
    <w:rsid w:val="00C515DC"/>
    <w:rsid w:val="00C51F8C"/>
    <w:rsid w:val="00C53FBC"/>
    <w:rsid w:val="00C5598E"/>
    <w:rsid w:val="00C55CC4"/>
    <w:rsid w:val="00C5666D"/>
    <w:rsid w:val="00C63FB6"/>
    <w:rsid w:val="00C64C58"/>
    <w:rsid w:val="00C659E4"/>
    <w:rsid w:val="00C67143"/>
    <w:rsid w:val="00C70C3A"/>
    <w:rsid w:val="00C70CF1"/>
    <w:rsid w:val="00C73A16"/>
    <w:rsid w:val="00C744F2"/>
    <w:rsid w:val="00C83FAF"/>
    <w:rsid w:val="00C878C5"/>
    <w:rsid w:val="00C9150A"/>
    <w:rsid w:val="00C91687"/>
    <w:rsid w:val="00C9179D"/>
    <w:rsid w:val="00C93AD1"/>
    <w:rsid w:val="00CA2101"/>
    <w:rsid w:val="00CA2136"/>
    <w:rsid w:val="00CA6B70"/>
    <w:rsid w:val="00CA6E44"/>
    <w:rsid w:val="00CB2EB9"/>
    <w:rsid w:val="00CB398B"/>
    <w:rsid w:val="00CB3F89"/>
    <w:rsid w:val="00CB7D41"/>
    <w:rsid w:val="00CC0374"/>
    <w:rsid w:val="00CC26AE"/>
    <w:rsid w:val="00CC35F4"/>
    <w:rsid w:val="00CC4FD5"/>
    <w:rsid w:val="00CD40DE"/>
    <w:rsid w:val="00CD5333"/>
    <w:rsid w:val="00CE2DDC"/>
    <w:rsid w:val="00CF611D"/>
    <w:rsid w:val="00CF6955"/>
    <w:rsid w:val="00CF726F"/>
    <w:rsid w:val="00D003F9"/>
    <w:rsid w:val="00D00B78"/>
    <w:rsid w:val="00D036DE"/>
    <w:rsid w:val="00D04A7A"/>
    <w:rsid w:val="00D1219E"/>
    <w:rsid w:val="00D12AC7"/>
    <w:rsid w:val="00D14530"/>
    <w:rsid w:val="00D25651"/>
    <w:rsid w:val="00D2568A"/>
    <w:rsid w:val="00D278A5"/>
    <w:rsid w:val="00D33AB0"/>
    <w:rsid w:val="00D3477E"/>
    <w:rsid w:val="00D357D7"/>
    <w:rsid w:val="00D358C4"/>
    <w:rsid w:val="00D359C4"/>
    <w:rsid w:val="00D3788E"/>
    <w:rsid w:val="00D400F4"/>
    <w:rsid w:val="00D4102C"/>
    <w:rsid w:val="00D4200F"/>
    <w:rsid w:val="00D443B1"/>
    <w:rsid w:val="00D4598E"/>
    <w:rsid w:val="00D45BF7"/>
    <w:rsid w:val="00D45ED5"/>
    <w:rsid w:val="00D47254"/>
    <w:rsid w:val="00D47435"/>
    <w:rsid w:val="00D5077A"/>
    <w:rsid w:val="00D54DF8"/>
    <w:rsid w:val="00D55B90"/>
    <w:rsid w:val="00D653A7"/>
    <w:rsid w:val="00D65EEB"/>
    <w:rsid w:val="00D6649A"/>
    <w:rsid w:val="00D70868"/>
    <w:rsid w:val="00D71ABF"/>
    <w:rsid w:val="00D72551"/>
    <w:rsid w:val="00D76F1E"/>
    <w:rsid w:val="00D81B68"/>
    <w:rsid w:val="00D9216D"/>
    <w:rsid w:val="00D94ACD"/>
    <w:rsid w:val="00D95676"/>
    <w:rsid w:val="00D96F7A"/>
    <w:rsid w:val="00DA0646"/>
    <w:rsid w:val="00DA332F"/>
    <w:rsid w:val="00DA7148"/>
    <w:rsid w:val="00DB0035"/>
    <w:rsid w:val="00DB057B"/>
    <w:rsid w:val="00DB1E01"/>
    <w:rsid w:val="00DB2068"/>
    <w:rsid w:val="00DB2775"/>
    <w:rsid w:val="00DB42EB"/>
    <w:rsid w:val="00DC00C8"/>
    <w:rsid w:val="00DC15EB"/>
    <w:rsid w:val="00DC2033"/>
    <w:rsid w:val="00DC46B0"/>
    <w:rsid w:val="00DC7C85"/>
    <w:rsid w:val="00DD1498"/>
    <w:rsid w:val="00DD4948"/>
    <w:rsid w:val="00DD4DE2"/>
    <w:rsid w:val="00DD571A"/>
    <w:rsid w:val="00DE1F3A"/>
    <w:rsid w:val="00DE2176"/>
    <w:rsid w:val="00DE3C42"/>
    <w:rsid w:val="00DE4975"/>
    <w:rsid w:val="00DE73A2"/>
    <w:rsid w:val="00DF05CE"/>
    <w:rsid w:val="00DF0D9D"/>
    <w:rsid w:val="00DF22B5"/>
    <w:rsid w:val="00DF2C02"/>
    <w:rsid w:val="00DF3B6D"/>
    <w:rsid w:val="00DF51E9"/>
    <w:rsid w:val="00DF79F7"/>
    <w:rsid w:val="00DF7A24"/>
    <w:rsid w:val="00E00941"/>
    <w:rsid w:val="00E01D60"/>
    <w:rsid w:val="00E02291"/>
    <w:rsid w:val="00E04501"/>
    <w:rsid w:val="00E05BD6"/>
    <w:rsid w:val="00E06406"/>
    <w:rsid w:val="00E11D63"/>
    <w:rsid w:val="00E166EE"/>
    <w:rsid w:val="00E244DC"/>
    <w:rsid w:val="00E35CF2"/>
    <w:rsid w:val="00E35D26"/>
    <w:rsid w:val="00E369B1"/>
    <w:rsid w:val="00E36FA4"/>
    <w:rsid w:val="00E413B3"/>
    <w:rsid w:val="00E41AE2"/>
    <w:rsid w:val="00E41E31"/>
    <w:rsid w:val="00E42C8E"/>
    <w:rsid w:val="00E42F1B"/>
    <w:rsid w:val="00E53D08"/>
    <w:rsid w:val="00E53E18"/>
    <w:rsid w:val="00E55257"/>
    <w:rsid w:val="00E6100C"/>
    <w:rsid w:val="00E6130C"/>
    <w:rsid w:val="00E613ED"/>
    <w:rsid w:val="00E626B3"/>
    <w:rsid w:val="00E66A57"/>
    <w:rsid w:val="00E66BCA"/>
    <w:rsid w:val="00E71A5A"/>
    <w:rsid w:val="00E731E9"/>
    <w:rsid w:val="00E744AD"/>
    <w:rsid w:val="00E76565"/>
    <w:rsid w:val="00E77D76"/>
    <w:rsid w:val="00E808C0"/>
    <w:rsid w:val="00E80F84"/>
    <w:rsid w:val="00E811E6"/>
    <w:rsid w:val="00E85368"/>
    <w:rsid w:val="00E86049"/>
    <w:rsid w:val="00E9153C"/>
    <w:rsid w:val="00E91B89"/>
    <w:rsid w:val="00E9719E"/>
    <w:rsid w:val="00E97B8A"/>
    <w:rsid w:val="00EA1C96"/>
    <w:rsid w:val="00EA52B5"/>
    <w:rsid w:val="00EA7192"/>
    <w:rsid w:val="00EA77A7"/>
    <w:rsid w:val="00EB0219"/>
    <w:rsid w:val="00EB0EE4"/>
    <w:rsid w:val="00EB1FC0"/>
    <w:rsid w:val="00EB45B9"/>
    <w:rsid w:val="00EB77A3"/>
    <w:rsid w:val="00EC1B8F"/>
    <w:rsid w:val="00EC62AB"/>
    <w:rsid w:val="00EC7D29"/>
    <w:rsid w:val="00ED03E5"/>
    <w:rsid w:val="00ED0C92"/>
    <w:rsid w:val="00ED32F2"/>
    <w:rsid w:val="00ED435C"/>
    <w:rsid w:val="00ED601C"/>
    <w:rsid w:val="00EE0F45"/>
    <w:rsid w:val="00EE174E"/>
    <w:rsid w:val="00EE4906"/>
    <w:rsid w:val="00EE6347"/>
    <w:rsid w:val="00EE780D"/>
    <w:rsid w:val="00EF470A"/>
    <w:rsid w:val="00EF48A8"/>
    <w:rsid w:val="00EF5817"/>
    <w:rsid w:val="00EF5B7C"/>
    <w:rsid w:val="00F006E6"/>
    <w:rsid w:val="00F00D60"/>
    <w:rsid w:val="00F00E08"/>
    <w:rsid w:val="00F02DDF"/>
    <w:rsid w:val="00F055DA"/>
    <w:rsid w:val="00F128E4"/>
    <w:rsid w:val="00F12AD7"/>
    <w:rsid w:val="00F15ED4"/>
    <w:rsid w:val="00F16541"/>
    <w:rsid w:val="00F21179"/>
    <w:rsid w:val="00F2152A"/>
    <w:rsid w:val="00F25025"/>
    <w:rsid w:val="00F264E8"/>
    <w:rsid w:val="00F27372"/>
    <w:rsid w:val="00F31686"/>
    <w:rsid w:val="00F347D6"/>
    <w:rsid w:val="00F4053D"/>
    <w:rsid w:val="00F41A06"/>
    <w:rsid w:val="00F4422E"/>
    <w:rsid w:val="00F4558F"/>
    <w:rsid w:val="00F46E41"/>
    <w:rsid w:val="00F47303"/>
    <w:rsid w:val="00F47B0F"/>
    <w:rsid w:val="00F47DC1"/>
    <w:rsid w:val="00F5287A"/>
    <w:rsid w:val="00F53A73"/>
    <w:rsid w:val="00F56883"/>
    <w:rsid w:val="00F57FD6"/>
    <w:rsid w:val="00F64F28"/>
    <w:rsid w:val="00F6601B"/>
    <w:rsid w:val="00F70F8F"/>
    <w:rsid w:val="00F7473D"/>
    <w:rsid w:val="00F92689"/>
    <w:rsid w:val="00F96EDC"/>
    <w:rsid w:val="00F976E2"/>
    <w:rsid w:val="00FA1DB1"/>
    <w:rsid w:val="00FA24E9"/>
    <w:rsid w:val="00FA462F"/>
    <w:rsid w:val="00FA470A"/>
    <w:rsid w:val="00FA5936"/>
    <w:rsid w:val="00FA5AAA"/>
    <w:rsid w:val="00FA5C25"/>
    <w:rsid w:val="00FA5E99"/>
    <w:rsid w:val="00FA62F6"/>
    <w:rsid w:val="00FB0183"/>
    <w:rsid w:val="00FB0FCA"/>
    <w:rsid w:val="00FB5BC1"/>
    <w:rsid w:val="00FB5D9A"/>
    <w:rsid w:val="00FB6A14"/>
    <w:rsid w:val="00FC6128"/>
    <w:rsid w:val="00FC709E"/>
    <w:rsid w:val="00FD106A"/>
    <w:rsid w:val="00FD1250"/>
    <w:rsid w:val="00FD12E2"/>
    <w:rsid w:val="00FD2472"/>
    <w:rsid w:val="00FD28F4"/>
    <w:rsid w:val="00FD2DF0"/>
    <w:rsid w:val="00FD3032"/>
    <w:rsid w:val="00FD5A0F"/>
    <w:rsid w:val="00FD67F2"/>
    <w:rsid w:val="00FE091D"/>
    <w:rsid w:val="00FE2524"/>
    <w:rsid w:val="00FF1C87"/>
    <w:rsid w:val="00FF3663"/>
    <w:rsid w:val="00FF61C6"/>
    <w:rsid w:val="00FF733A"/>
    <w:rsid w:val="014F4757"/>
    <w:rsid w:val="0177B221"/>
    <w:rsid w:val="017F5301"/>
    <w:rsid w:val="01CEF4C3"/>
    <w:rsid w:val="01E4ABAA"/>
    <w:rsid w:val="02196431"/>
    <w:rsid w:val="022C4C20"/>
    <w:rsid w:val="027A70F2"/>
    <w:rsid w:val="029BC39B"/>
    <w:rsid w:val="02B08C5A"/>
    <w:rsid w:val="02BCA792"/>
    <w:rsid w:val="02C19F51"/>
    <w:rsid w:val="0337C7D4"/>
    <w:rsid w:val="038DD3BC"/>
    <w:rsid w:val="03904B48"/>
    <w:rsid w:val="03DF3D34"/>
    <w:rsid w:val="03EE1572"/>
    <w:rsid w:val="040A5CBD"/>
    <w:rsid w:val="04185245"/>
    <w:rsid w:val="0432232F"/>
    <w:rsid w:val="0436906C"/>
    <w:rsid w:val="043FE09F"/>
    <w:rsid w:val="046EEC6D"/>
    <w:rsid w:val="04755F60"/>
    <w:rsid w:val="04B1EAFE"/>
    <w:rsid w:val="04D4AB0D"/>
    <w:rsid w:val="050AB411"/>
    <w:rsid w:val="05B2D115"/>
    <w:rsid w:val="05C10A37"/>
    <w:rsid w:val="05C20F1F"/>
    <w:rsid w:val="05F1C965"/>
    <w:rsid w:val="0616D8F1"/>
    <w:rsid w:val="0622BF59"/>
    <w:rsid w:val="062EFA1B"/>
    <w:rsid w:val="06304D93"/>
    <w:rsid w:val="064D7CFB"/>
    <w:rsid w:val="067A64B5"/>
    <w:rsid w:val="067DFF12"/>
    <w:rsid w:val="0694F036"/>
    <w:rsid w:val="06BB2148"/>
    <w:rsid w:val="06C76F51"/>
    <w:rsid w:val="06C8D014"/>
    <w:rsid w:val="06ED2C54"/>
    <w:rsid w:val="0709CB9E"/>
    <w:rsid w:val="071C7582"/>
    <w:rsid w:val="07715268"/>
    <w:rsid w:val="07E5F1D4"/>
    <w:rsid w:val="084E485D"/>
    <w:rsid w:val="087D999E"/>
    <w:rsid w:val="08929935"/>
    <w:rsid w:val="08AEF950"/>
    <w:rsid w:val="08CC52EA"/>
    <w:rsid w:val="0908BFBC"/>
    <w:rsid w:val="0943A92E"/>
    <w:rsid w:val="09771220"/>
    <w:rsid w:val="09ACD705"/>
    <w:rsid w:val="09C7E16E"/>
    <w:rsid w:val="09CC6C43"/>
    <w:rsid w:val="09CF1962"/>
    <w:rsid w:val="0A150FE0"/>
    <w:rsid w:val="0A1CAF31"/>
    <w:rsid w:val="0A228626"/>
    <w:rsid w:val="0A3DD387"/>
    <w:rsid w:val="0A43FD31"/>
    <w:rsid w:val="0A6E228C"/>
    <w:rsid w:val="0A8DB1E1"/>
    <w:rsid w:val="0AEAE554"/>
    <w:rsid w:val="0B2D49AE"/>
    <w:rsid w:val="0B39A0E5"/>
    <w:rsid w:val="0B7E32FF"/>
    <w:rsid w:val="0B95B55D"/>
    <w:rsid w:val="0BA573D7"/>
    <w:rsid w:val="0BAED778"/>
    <w:rsid w:val="0BC56A72"/>
    <w:rsid w:val="0BE60E3B"/>
    <w:rsid w:val="0C30D348"/>
    <w:rsid w:val="0C6B25A0"/>
    <w:rsid w:val="0C7BA18D"/>
    <w:rsid w:val="0CA2A510"/>
    <w:rsid w:val="0D3DA40A"/>
    <w:rsid w:val="0D4A2470"/>
    <w:rsid w:val="0D843EDD"/>
    <w:rsid w:val="0D8F366A"/>
    <w:rsid w:val="0DF6AECF"/>
    <w:rsid w:val="0E4393A2"/>
    <w:rsid w:val="0E510102"/>
    <w:rsid w:val="0E9D0BE7"/>
    <w:rsid w:val="0F2D402A"/>
    <w:rsid w:val="0F48B5EE"/>
    <w:rsid w:val="101413CB"/>
    <w:rsid w:val="1057763C"/>
    <w:rsid w:val="108D6428"/>
    <w:rsid w:val="10FE1E0B"/>
    <w:rsid w:val="1103FF78"/>
    <w:rsid w:val="110FA92B"/>
    <w:rsid w:val="115CA765"/>
    <w:rsid w:val="117CB66A"/>
    <w:rsid w:val="119D0F86"/>
    <w:rsid w:val="11CBB408"/>
    <w:rsid w:val="11DFBB7C"/>
    <w:rsid w:val="11EBC843"/>
    <w:rsid w:val="122E5E55"/>
    <w:rsid w:val="12377537"/>
    <w:rsid w:val="124625FF"/>
    <w:rsid w:val="1259940F"/>
    <w:rsid w:val="1260932D"/>
    <w:rsid w:val="129884BA"/>
    <w:rsid w:val="12A9F25B"/>
    <w:rsid w:val="12F6492C"/>
    <w:rsid w:val="1309502F"/>
    <w:rsid w:val="1372CDF2"/>
    <w:rsid w:val="13D44184"/>
    <w:rsid w:val="13FF6546"/>
    <w:rsid w:val="143AC919"/>
    <w:rsid w:val="1444C450"/>
    <w:rsid w:val="1456ED21"/>
    <w:rsid w:val="14D14009"/>
    <w:rsid w:val="14D92BE9"/>
    <w:rsid w:val="14F10EBD"/>
    <w:rsid w:val="1540A724"/>
    <w:rsid w:val="154ABF2B"/>
    <w:rsid w:val="1645004E"/>
    <w:rsid w:val="16E0F0F4"/>
    <w:rsid w:val="16FCCC64"/>
    <w:rsid w:val="1713DEFF"/>
    <w:rsid w:val="172127F7"/>
    <w:rsid w:val="17F2B157"/>
    <w:rsid w:val="18055D37"/>
    <w:rsid w:val="1841D3FE"/>
    <w:rsid w:val="18876385"/>
    <w:rsid w:val="18A745F2"/>
    <w:rsid w:val="18BBBDAC"/>
    <w:rsid w:val="18FA9042"/>
    <w:rsid w:val="19072052"/>
    <w:rsid w:val="1932DB63"/>
    <w:rsid w:val="196359C0"/>
    <w:rsid w:val="1969A7D1"/>
    <w:rsid w:val="1980E304"/>
    <w:rsid w:val="19F857AF"/>
    <w:rsid w:val="1A023D8E"/>
    <w:rsid w:val="1A0A485A"/>
    <w:rsid w:val="1A4C6A4E"/>
    <w:rsid w:val="1A5ECCAD"/>
    <w:rsid w:val="1A8DBA29"/>
    <w:rsid w:val="1ACA25E7"/>
    <w:rsid w:val="1AE17173"/>
    <w:rsid w:val="1B0B5177"/>
    <w:rsid w:val="1B1473F4"/>
    <w:rsid w:val="1B5BA206"/>
    <w:rsid w:val="1B617C7F"/>
    <w:rsid w:val="1B754114"/>
    <w:rsid w:val="1B9AE758"/>
    <w:rsid w:val="1BC1318A"/>
    <w:rsid w:val="1BD9A63A"/>
    <w:rsid w:val="1C0202B2"/>
    <w:rsid w:val="1C0BFDC5"/>
    <w:rsid w:val="1C487395"/>
    <w:rsid w:val="1C95F54C"/>
    <w:rsid w:val="1CCD3A24"/>
    <w:rsid w:val="1CCFE86D"/>
    <w:rsid w:val="1CF1BBD7"/>
    <w:rsid w:val="1D9682CF"/>
    <w:rsid w:val="1DD9E418"/>
    <w:rsid w:val="1E064838"/>
    <w:rsid w:val="1E46BE02"/>
    <w:rsid w:val="1EA186CC"/>
    <w:rsid w:val="1ED098CC"/>
    <w:rsid w:val="1ED56363"/>
    <w:rsid w:val="1F59D25A"/>
    <w:rsid w:val="1FB561F5"/>
    <w:rsid w:val="1FED5516"/>
    <w:rsid w:val="207996E0"/>
    <w:rsid w:val="208035BF"/>
    <w:rsid w:val="20B94A61"/>
    <w:rsid w:val="20F35C15"/>
    <w:rsid w:val="213AB4F3"/>
    <w:rsid w:val="21843F49"/>
    <w:rsid w:val="21BEF8D8"/>
    <w:rsid w:val="22171E52"/>
    <w:rsid w:val="2217A6FD"/>
    <w:rsid w:val="223E2525"/>
    <w:rsid w:val="22469EA8"/>
    <w:rsid w:val="22504C6E"/>
    <w:rsid w:val="227B1DFA"/>
    <w:rsid w:val="22D90847"/>
    <w:rsid w:val="230DE3FE"/>
    <w:rsid w:val="23170F30"/>
    <w:rsid w:val="2338E394"/>
    <w:rsid w:val="235CD337"/>
    <w:rsid w:val="236C9ADE"/>
    <w:rsid w:val="2396203E"/>
    <w:rsid w:val="23A5F967"/>
    <w:rsid w:val="23BC2776"/>
    <w:rsid w:val="23F85BB2"/>
    <w:rsid w:val="24005434"/>
    <w:rsid w:val="244E514F"/>
    <w:rsid w:val="244F6348"/>
    <w:rsid w:val="24741709"/>
    <w:rsid w:val="2492816A"/>
    <w:rsid w:val="2499E4DC"/>
    <w:rsid w:val="24E3E43C"/>
    <w:rsid w:val="24F8FA96"/>
    <w:rsid w:val="256D816D"/>
    <w:rsid w:val="257A1C3E"/>
    <w:rsid w:val="25907A07"/>
    <w:rsid w:val="25BA02D6"/>
    <w:rsid w:val="25DB6E0C"/>
    <w:rsid w:val="263BA30C"/>
    <w:rsid w:val="26732FFF"/>
    <w:rsid w:val="26B6B5E3"/>
    <w:rsid w:val="26C37FE2"/>
    <w:rsid w:val="26E850DA"/>
    <w:rsid w:val="26F8CEAC"/>
    <w:rsid w:val="27044CE3"/>
    <w:rsid w:val="2718A60A"/>
    <w:rsid w:val="27243391"/>
    <w:rsid w:val="27622CD3"/>
    <w:rsid w:val="27A8C00D"/>
    <w:rsid w:val="27D19C22"/>
    <w:rsid w:val="2826CB00"/>
    <w:rsid w:val="28773154"/>
    <w:rsid w:val="28A98C74"/>
    <w:rsid w:val="28FF1126"/>
    <w:rsid w:val="29FCC5FC"/>
    <w:rsid w:val="2A18E475"/>
    <w:rsid w:val="2A2797AB"/>
    <w:rsid w:val="2A40DDB3"/>
    <w:rsid w:val="2A77F556"/>
    <w:rsid w:val="2A9B6EF8"/>
    <w:rsid w:val="2ACF13DA"/>
    <w:rsid w:val="2B477709"/>
    <w:rsid w:val="2B8ABF16"/>
    <w:rsid w:val="2C0B6E60"/>
    <w:rsid w:val="2C33716F"/>
    <w:rsid w:val="2C541CAC"/>
    <w:rsid w:val="2D2C2460"/>
    <w:rsid w:val="2D59B9D5"/>
    <w:rsid w:val="2D65E742"/>
    <w:rsid w:val="2D966C93"/>
    <w:rsid w:val="2DA3D6DF"/>
    <w:rsid w:val="2DD11386"/>
    <w:rsid w:val="2DDC8DB1"/>
    <w:rsid w:val="2E06502B"/>
    <w:rsid w:val="2E0F12A1"/>
    <w:rsid w:val="2E1BBEC2"/>
    <w:rsid w:val="2E64564A"/>
    <w:rsid w:val="2EE3623F"/>
    <w:rsid w:val="2EEA7169"/>
    <w:rsid w:val="2EEE1FCA"/>
    <w:rsid w:val="2F25B726"/>
    <w:rsid w:val="2F9FF1B9"/>
    <w:rsid w:val="2FA8DEFD"/>
    <w:rsid w:val="2FAD4D7B"/>
    <w:rsid w:val="2FB322A7"/>
    <w:rsid w:val="2FE5E5F3"/>
    <w:rsid w:val="2FF154D8"/>
    <w:rsid w:val="3065657D"/>
    <w:rsid w:val="30819227"/>
    <w:rsid w:val="3096A4D6"/>
    <w:rsid w:val="30D0848C"/>
    <w:rsid w:val="30DDB1B8"/>
    <w:rsid w:val="310B1ECF"/>
    <w:rsid w:val="312257B2"/>
    <w:rsid w:val="3144FBCA"/>
    <w:rsid w:val="31485AF6"/>
    <w:rsid w:val="3154C30E"/>
    <w:rsid w:val="316B4A23"/>
    <w:rsid w:val="31737943"/>
    <w:rsid w:val="31BE7183"/>
    <w:rsid w:val="31CF5588"/>
    <w:rsid w:val="31CFEBE6"/>
    <w:rsid w:val="31E69E59"/>
    <w:rsid w:val="31FD4CF2"/>
    <w:rsid w:val="3230FFDA"/>
    <w:rsid w:val="325AEA92"/>
    <w:rsid w:val="32AB2A18"/>
    <w:rsid w:val="32CB6B2B"/>
    <w:rsid w:val="32D12E10"/>
    <w:rsid w:val="3305AD84"/>
    <w:rsid w:val="3355EBC9"/>
    <w:rsid w:val="33872108"/>
    <w:rsid w:val="33B43BBC"/>
    <w:rsid w:val="33C962AF"/>
    <w:rsid w:val="3441447C"/>
    <w:rsid w:val="3453407C"/>
    <w:rsid w:val="3492A230"/>
    <w:rsid w:val="34A3F614"/>
    <w:rsid w:val="34B7712E"/>
    <w:rsid w:val="34D1C7E8"/>
    <w:rsid w:val="34E5873F"/>
    <w:rsid w:val="34EC090F"/>
    <w:rsid w:val="34F27186"/>
    <w:rsid w:val="34F9E2FF"/>
    <w:rsid w:val="34FB8DF3"/>
    <w:rsid w:val="351E883E"/>
    <w:rsid w:val="3555108F"/>
    <w:rsid w:val="3563619A"/>
    <w:rsid w:val="35A79588"/>
    <w:rsid w:val="35E085C9"/>
    <w:rsid w:val="35EE8DB5"/>
    <w:rsid w:val="362E951C"/>
    <w:rsid w:val="3668DDA4"/>
    <w:rsid w:val="375E45E7"/>
    <w:rsid w:val="377F3C23"/>
    <w:rsid w:val="37A69FB0"/>
    <w:rsid w:val="37F2FB14"/>
    <w:rsid w:val="37FB4A83"/>
    <w:rsid w:val="3817AE16"/>
    <w:rsid w:val="382E092C"/>
    <w:rsid w:val="383720C7"/>
    <w:rsid w:val="385A9D83"/>
    <w:rsid w:val="385EC0BC"/>
    <w:rsid w:val="388B0839"/>
    <w:rsid w:val="38C34F8F"/>
    <w:rsid w:val="38C41157"/>
    <w:rsid w:val="392D43C1"/>
    <w:rsid w:val="39431547"/>
    <w:rsid w:val="394867AD"/>
    <w:rsid w:val="3973C921"/>
    <w:rsid w:val="39BA624B"/>
    <w:rsid w:val="39C5DFCB"/>
    <w:rsid w:val="3A402523"/>
    <w:rsid w:val="3AA664FE"/>
    <w:rsid w:val="3ACFBC7B"/>
    <w:rsid w:val="3B19D987"/>
    <w:rsid w:val="3B1E1A64"/>
    <w:rsid w:val="3B1FB2FC"/>
    <w:rsid w:val="3B4634D0"/>
    <w:rsid w:val="3B46EC91"/>
    <w:rsid w:val="3B5AE603"/>
    <w:rsid w:val="3B5BFFC1"/>
    <w:rsid w:val="3B687693"/>
    <w:rsid w:val="3B771A08"/>
    <w:rsid w:val="3B82282E"/>
    <w:rsid w:val="3B978446"/>
    <w:rsid w:val="3BC92358"/>
    <w:rsid w:val="3BDDCEE8"/>
    <w:rsid w:val="3BEC82BA"/>
    <w:rsid w:val="3BF8EC91"/>
    <w:rsid w:val="3C5F0D25"/>
    <w:rsid w:val="3CCB8B06"/>
    <w:rsid w:val="3CD1C234"/>
    <w:rsid w:val="3CE65BE8"/>
    <w:rsid w:val="3CF3E162"/>
    <w:rsid w:val="3D518C54"/>
    <w:rsid w:val="3D9CD87C"/>
    <w:rsid w:val="3DC91360"/>
    <w:rsid w:val="3DCE3B3D"/>
    <w:rsid w:val="3DF8140F"/>
    <w:rsid w:val="3E554F1C"/>
    <w:rsid w:val="3E885B90"/>
    <w:rsid w:val="3EBA56CF"/>
    <w:rsid w:val="3ECD7156"/>
    <w:rsid w:val="3EF14916"/>
    <w:rsid w:val="3FFE0860"/>
    <w:rsid w:val="40192D34"/>
    <w:rsid w:val="406CE824"/>
    <w:rsid w:val="40770AAA"/>
    <w:rsid w:val="408DBC5A"/>
    <w:rsid w:val="413F314A"/>
    <w:rsid w:val="4183644D"/>
    <w:rsid w:val="41AB2F91"/>
    <w:rsid w:val="41BDA8C1"/>
    <w:rsid w:val="424E7237"/>
    <w:rsid w:val="42517E8B"/>
    <w:rsid w:val="429521FE"/>
    <w:rsid w:val="42EF74B0"/>
    <w:rsid w:val="433A700C"/>
    <w:rsid w:val="43B8C5C9"/>
    <w:rsid w:val="43CF6F60"/>
    <w:rsid w:val="43D17C50"/>
    <w:rsid w:val="43E05D99"/>
    <w:rsid w:val="43F266EF"/>
    <w:rsid w:val="446ABBD1"/>
    <w:rsid w:val="44CBEC5A"/>
    <w:rsid w:val="44D8E716"/>
    <w:rsid w:val="44F7020C"/>
    <w:rsid w:val="44F8AB75"/>
    <w:rsid w:val="45235594"/>
    <w:rsid w:val="454AB893"/>
    <w:rsid w:val="45610630"/>
    <w:rsid w:val="4603DCAD"/>
    <w:rsid w:val="46056DEB"/>
    <w:rsid w:val="463011D8"/>
    <w:rsid w:val="466EC022"/>
    <w:rsid w:val="46CA48C0"/>
    <w:rsid w:val="4753D88E"/>
    <w:rsid w:val="4779CC3D"/>
    <w:rsid w:val="479E80D7"/>
    <w:rsid w:val="47B02CEA"/>
    <w:rsid w:val="47B3211E"/>
    <w:rsid w:val="47D053C3"/>
    <w:rsid w:val="47F09141"/>
    <w:rsid w:val="47F3D9D3"/>
    <w:rsid w:val="4810E44B"/>
    <w:rsid w:val="4830C2BA"/>
    <w:rsid w:val="48698D11"/>
    <w:rsid w:val="48860D03"/>
    <w:rsid w:val="48978D5A"/>
    <w:rsid w:val="48DB9AE1"/>
    <w:rsid w:val="48E960C9"/>
    <w:rsid w:val="491A3338"/>
    <w:rsid w:val="491F0B7A"/>
    <w:rsid w:val="49B4CC56"/>
    <w:rsid w:val="49FDF379"/>
    <w:rsid w:val="4A30A9B1"/>
    <w:rsid w:val="4A378121"/>
    <w:rsid w:val="4A4C274D"/>
    <w:rsid w:val="4A69F0D5"/>
    <w:rsid w:val="4A79AF57"/>
    <w:rsid w:val="4AC57F18"/>
    <w:rsid w:val="4ADD9EFB"/>
    <w:rsid w:val="4AE5EE31"/>
    <w:rsid w:val="4B38071D"/>
    <w:rsid w:val="4BD2673C"/>
    <w:rsid w:val="4C47E094"/>
    <w:rsid w:val="4C7BC7E8"/>
    <w:rsid w:val="4C8D7241"/>
    <w:rsid w:val="4CB004C2"/>
    <w:rsid w:val="4CC63883"/>
    <w:rsid w:val="4CEBBC6A"/>
    <w:rsid w:val="4D290FF2"/>
    <w:rsid w:val="4D2C06FA"/>
    <w:rsid w:val="4D605E06"/>
    <w:rsid w:val="4D6374DB"/>
    <w:rsid w:val="4DABF4E4"/>
    <w:rsid w:val="4DD03508"/>
    <w:rsid w:val="4DD1EAC5"/>
    <w:rsid w:val="4DFE8458"/>
    <w:rsid w:val="4E0F7F90"/>
    <w:rsid w:val="4E1FEA12"/>
    <w:rsid w:val="4E4E769F"/>
    <w:rsid w:val="4E5D7935"/>
    <w:rsid w:val="4E60AB00"/>
    <w:rsid w:val="4E730B2D"/>
    <w:rsid w:val="4E89ACAB"/>
    <w:rsid w:val="4E8A2C71"/>
    <w:rsid w:val="4ED4523D"/>
    <w:rsid w:val="4ED738AA"/>
    <w:rsid w:val="4EE9F2D2"/>
    <w:rsid w:val="4EF33FD8"/>
    <w:rsid w:val="4EF5D898"/>
    <w:rsid w:val="4EF5FADE"/>
    <w:rsid w:val="4F2B3586"/>
    <w:rsid w:val="4F5F2FC5"/>
    <w:rsid w:val="4F71ACBA"/>
    <w:rsid w:val="4F7C0B74"/>
    <w:rsid w:val="4F7D39D8"/>
    <w:rsid w:val="4FABD2D2"/>
    <w:rsid w:val="4FD1DA6E"/>
    <w:rsid w:val="4FF9039C"/>
    <w:rsid w:val="5050348A"/>
    <w:rsid w:val="5060D573"/>
    <w:rsid w:val="506FCEE6"/>
    <w:rsid w:val="50AFB7F2"/>
    <w:rsid w:val="50F03E65"/>
    <w:rsid w:val="50F1CE49"/>
    <w:rsid w:val="5101EC16"/>
    <w:rsid w:val="51484D2D"/>
    <w:rsid w:val="515531D6"/>
    <w:rsid w:val="51A69F8B"/>
    <w:rsid w:val="51AA4163"/>
    <w:rsid w:val="51DDF3C9"/>
    <w:rsid w:val="51FF620C"/>
    <w:rsid w:val="521CFFFB"/>
    <w:rsid w:val="5228FD72"/>
    <w:rsid w:val="5242E7D4"/>
    <w:rsid w:val="5372F6A7"/>
    <w:rsid w:val="539020EE"/>
    <w:rsid w:val="53B1E372"/>
    <w:rsid w:val="53BAE7EE"/>
    <w:rsid w:val="53C1A424"/>
    <w:rsid w:val="542CDBE5"/>
    <w:rsid w:val="542F5396"/>
    <w:rsid w:val="543B3EC8"/>
    <w:rsid w:val="545AB764"/>
    <w:rsid w:val="54B3CBEC"/>
    <w:rsid w:val="55069AB9"/>
    <w:rsid w:val="556EA9BE"/>
    <w:rsid w:val="55773940"/>
    <w:rsid w:val="557748DC"/>
    <w:rsid w:val="559CA82B"/>
    <w:rsid w:val="55F9B03F"/>
    <w:rsid w:val="55FBEFE7"/>
    <w:rsid w:val="560B8780"/>
    <w:rsid w:val="561D429B"/>
    <w:rsid w:val="56464954"/>
    <w:rsid w:val="56714E11"/>
    <w:rsid w:val="5678FA10"/>
    <w:rsid w:val="567B9234"/>
    <w:rsid w:val="56ACDEB5"/>
    <w:rsid w:val="56DD0308"/>
    <w:rsid w:val="56E3D949"/>
    <w:rsid w:val="56F80A8E"/>
    <w:rsid w:val="571BB9CE"/>
    <w:rsid w:val="572CC6DE"/>
    <w:rsid w:val="574DA907"/>
    <w:rsid w:val="57A2C54D"/>
    <w:rsid w:val="57B30BCB"/>
    <w:rsid w:val="57F6FC1D"/>
    <w:rsid w:val="58215C56"/>
    <w:rsid w:val="582DBBE9"/>
    <w:rsid w:val="588B2D48"/>
    <w:rsid w:val="59469C8F"/>
    <w:rsid w:val="5977B88D"/>
    <w:rsid w:val="597F692C"/>
    <w:rsid w:val="5985DE48"/>
    <w:rsid w:val="5A65608E"/>
    <w:rsid w:val="5A729383"/>
    <w:rsid w:val="5A8567C3"/>
    <w:rsid w:val="5A86692B"/>
    <w:rsid w:val="5A89F680"/>
    <w:rsid w:val="5AAAC482"/>
    <w:rsid w:val="5AC4F183"/>
    <w:rsid w:val="5ACB7526"/>
    <w:rsid w:val="5AF530A0"/>
    <w:rsid w:val="5B7AF5A7"/>
    <w:rsid w:val="5C0A6458"/>
    <w:rsid w:val="5C21436D"/>
    <w:rsid w:val="5C60585E"/>
    <w:rsid w:val="5C881F56"/>
    <w:rsid w:val="5C9FA637"/>
    <w:rsid w:val="5C9FCEEB"/>
    <w:rsid w:val="5CBEED8F"/>
    <w:rsid w:val="5CE66664"/>
    <w:rsid w:val="5CED5048"/>
    <w:rsid w:val="5D01E736"/>
    <w:rsid w:val="5D1381AC"/>
    <w:rsid w:val="5D23AE5E"/>
    <w:rsid w:val="5D6CFACB"/>
    <w:rsid w:val="5E00F3A1"/>
    <w:rsid w:val="5E1B30E2"/>
    <w:rsid w:val="5E80969F"/>
    <w:rsid w:val="5E872C8E"/>
    <w:rsid w:val="5E8FE785"/>
    <w:rsid w:val="5EB00E03"/>
    <w:rsid w:val="5F2A7773"/>
    <w:rsid w:val="5F95F2BE"/>
    <w:rsid w:val="5F9DDD0B"/>
    <w:rsid w:val="5FA3920F"/>
    <w:rsid w:val="5FA4A437"/>
    <w:rsid w:val="5FB5C8C7"/>
    <w:rsid w:val="5FB82F95"/>
    <w:rsid w:val="5FE0BA20"/>
    <w:rsid w:val="601F8E3D"/>
    <w:rsid w:val="607F8299"/>
    <w:rsid w:val="60C474E5"/>
    <w:rsid w:val="60FCE009"/>
    <w:rsid w:val="61142470"/>
    <w:rsid w:val="612307A7"/>
    <w:rsid w:val="6137B2A5"/>
    <w:rsid w:val="61469F32"/>
    <w:rsid w:val="6165176F"/>
    <w:rsid w:val="61695AFF"/>
    <w:rsid w:val="61BE8A28"/>
    <w:rsid w:val="62ADEF87"/>
    <w:rsid w:val="62B0C8CE"/>
    <w:rsid w:val="62E621E8"/>
    <w:rsid w:val="631F7669"/>
    <w:rsid w:val="63205397"/>
    <w:rsid w:val="6337720C"/>
    <w:rsid w:val="636C1396"/>
    <w:rsid w:val="63755935"/>
    <w:rsid w:val="63A1E3B5"/>
    <w:rsid w:val="63B2FAA2"/>
    <w:rsid w:val="63BC59A3"/>
    <w:rsid w:val="63E79E11"/>
    <w:rsid w:val="63ECF7C5"/>
    <w:rsid w:val="640672B0"/>
    <w:rsid w:val="6470E7FA"/>
    <w:rsid w:val="649AAB6A"/>
    <w:rsid w:val="64A22AAA"/>
    <w:rsid w:val="64C7F4C7"/>
    <w:rsid w:val="64D67D63"/>
    <w:rsid w:val="64E2A575"/>
    <w:rsid w:val="64EE5531"/>
    <w:rsid w:val="6532E2BD"/>
    <w:rsid w:val="654D6544"/>
    <w:rsid w:val="655FB162"/>
    <w:rsid w:val="657D00DD"/>
    <w:rsid w:val="658465A6"/>
    <w:rsid w:val="659BFAF5"/>
    <w:rsid w:val="65FEF676"/>
    <w:rsid w:val="660541A7"/>
    <w:rsid w:val="664C4B70"/>
    <w:rsid w:val="66AD12A7"/>
    <w:rsid w:val="66BB090B"/>
    <w:rsid w:val="6718DFF9"/>
    <w:rsid w:val="67360332"/>
    <w:rsid w:val="67701D23"/>
    <w:rsid w:val="677096CD"/>
    <w:rsid w:val="6779B950"/>
    <w:rsid w:val="680B7955"/>
    <w:rsid w:val="681B816B"/>
    <w:rsid w:val="682BC058"/>
    <w:rsid w:val="683B6B6B"/>
    <w:rsid w:val="683F0B0D"/>
    <w:rsid w:val="684B0A4E"/>
    <w:rsid w:val="68ACAAD4"/>
    <w:rsid w:val="68C5428A"/>
    <w:rsid w:val="68CFF567"/>
    <w:rsid w:val="690AFD92"/>
    <w:rsid w:val="6913515C"/>
    <w:rsid w:val="693D35BB"/>
    <w:rsid w:val="69AD121D"/>
    <w:rsid w:val="69C2F981"/>
    <w:rsid w:val="69EB6945"/>
    <w:rsid w:val="6A0390D3"/>
    <w:rsid w:val="6A1641C4"/>
    <w:rsid w:val="6A564D9C"/>
    <w:rsid w:val="6A7A8E2D"/>
    <w:rsid w:val="6A8B7792"/>
    <w:rsid w:val="6A9440DC"/>
    <w:rsid w:val="6AEDF483"/>
    <w:rsid w:val="6B15AD3C"/>
    <w:rsid w:val="6B440F8A"/>
    <w:rsid w:val="6B4FAA91"/>
    <w:rsid w:val="6BFE7282"/>
    <w:rsid w:val="6C0EF3DF"/>
    <w:rsid w:val="6C156490"/>
    <w:rsid w:val="6C48EB18"/>
    <w:rsid w:val="6C8C58B6"/>
    <w:rsid w:val="6CA02ADA"/>
    <w:rsid w:val="6CCF2C5F"/>
    <w:rsid w:val="6CF0A127"/>
    <w:rsid w:val="6D644328"/>
    <w:rsid w:val="6D7C2A60"/>
    <w:rsid w:val="6DE3D965"/>
    <w:rsid w:val="6E2243BA"/>
    <w:rsid w:val="6E4BBA55"/>
    <w:rsid w:val="6E66E47A"/>
    <w:rsid w:val="6E9D3859"/>
    <w:rsid w:val="6EADD42F"/>
    <w:rsid w:val="6EBDCEDC"/>
    <w:rsid w:val="6EE23337"/>
    <w:rsid w:val="6F21C680"/>
    <w:rsid w:val="6F5D3DF2"/>
    <w:rsid w:val="6F6943B8"/>
    <w:rsid w:val="6F8CF605"/>
    <w:rsid w:val="6FC0E97E"/>
    <w:rsid w:val="6FF032DB"/>
    <w:rsid w:val="7004939F"/>
    <w:rsid w:val="700CA280"/>
    <w:rsid w:val="702FAEA1"/>
    <w:rsid w:val="704FD10F"/>
    <w:rsid w:val="7056F26E"/>
    <w:rsid w:val="70BD9C24"/>
    <w:rsid w:val="70EA66EF"/>
    <w:rsid w:val="71656F26"/>
    <w:rsid w:val="717BE898"/>
    <w:rsid w:val="7200F7D5"/>
    <w:rsid w:val="7275527B"/>
    <w:rsid w:val="7316B788"/>
    <w:rsid w:val="73818E53"/>
    <w:rsid w:val="73C6C0FA"/>
    <w:rsid w:val="73DCC2DD"/>
    <w:rsid w:val="73F7E60B"/>
    <w:rsid w:val="747C48A0"/>
    <w:rsid w:val="74C8A958"/>
    <w:rsid w:val="7516CEAB"/>
    <w:rsid w:val="756617B5"/>
    <w:rsid w:val="757AAF82"/>
    <w:rsid w:val="757EBFD9"/>
    <w:rsid w:val="758AF66C"/>
    <w:rsid w:val="75B01029"/>
    <w:rsid w:val="75EFAF76"/>
    <w:rsid w:val="762240E4"/>
    <w:rsid w:val="7631BD85"/>
    <w:rsid w:val="766B38A8"/>
    <w:rsid w:val="76982E4D"/>
    <w:rsid w:val="76B51A9B"/>
    <w:rsid w:val="770D11A4"/>
    <w:rsid w:val="77609BCB"/>
    <w:rsid w:val="776D2A94"/>
    <w:rsid w:val="779AD4B6"/>
    <w:rsid w:val="77D9E50A"/>
    <w:rsid w:val="78209126"/>
    <w:rsid w:val="782DEFDE"/>
    <w:rsid w:val="78361682"/>
    <w:rsid w:val="787807AB"/>
    <w:rsid w:val="7893C60F"/>
    <w:rsid w:val="78B982A0"/>
    <w:rsid w:val="78C1057D"/>
    <w:rsid w:val="78CE93BD"/>
    <w:rsid w:val="78F29EB6"/>
    <w:rsid w:val="79004248"/>
    <w:rsid w:val="7905EFC4"/>
    <w:rsid w:val="79107D76"/>
    <w:rsid w:val="791426A9"/>
    <w:rsid w:val="7934A782"/>
    <w:rsid w:val="7944EC2C"/>
    <w:rsid w:val="7950291D"/>
    <w:rsid w:val="79650D42"/>
    <w:rsid w:val="797C71F7"/>
    <w:rsid w:val="79884F23"/>
    <w:rsid w:val="7988A6AE"/>
    <w:rsid w:val="79A850E4"/>
    <w:rsid w:val="79C935C8"/>
    <w:rsid w:val="79E44299"/>
    <w:rsid w:val="79EFEC1D"/>
    <w:rsid w:val="7A023D6E"/>
    <w:rsid w:val="7A1E89C2"/>
    <w:rsid w:val="7A97E0BE"/>
    <w:rsid w:val="7A99C4F4"/>
    <w:rsid w:val="7AD2EF5D"/>
    <w:rsid w:val="7B1FB6C9"/>
    <w:rsid w:val="7B28045C"/>
    <w:rsid w:val="7B3D94A6"/>
    <w:rsid w:val="7BC9ED2A"/>
    <w:rsid w:val="7C182D63"/>
    <w:rsid w:val="7C2FA55E"/>
    <w:rsid w:val="7C2FBC87"/>
    <w:rsid w:val="7C98106E"/>
    <w:rsid w:val="7CA564A2"/>
    <w:rsid w:val="7CB89046"/>
    <w:rsid w:val="7CCB62F6"/>
    <w:rsid w:val="7CE30DC8"/>
    <w:rsid w:val="7D0990FE"/>
    <w:rsid w:val="7D3555E2"/>
    <w:rsid w:val="7D44ECB7"/>
    <w:rsid w:val="7D7AD108"/>
    <w:rsid w:val="7D831CEC"/>
    <w:rsid w:val="7D839220"/>
    <w:rsid w:val="7DA6B949"/>
    <w:rsid w:val="7DDCA9F1"/>
    <w:rsid w:val="7E1D1C51"/>
    <w:rsid w:val="7E306AD1"/>
    <w:rsid w:val="7E5A4546"/>
    <w:rsid w:val="7E699714"/>
    <w:rsid w:val="7EAE1946"/>
    <w:rsid w:val="7ED94B66"/>
    <w:rsid w:val="7EEEBA92"/>
    <w:rsid w:val="7F0FDF66"/>
    <w:rsid w:val="7F25634B"/>
    <w:rsid w:val="7F545DEB"/>
    <w:rsid w:val="7F546F83"/>
    <w:rsid w:val="7F5A5107"/>
    <w:rsid w:val="7F5B6C4E"/>
    <w:rsid w:val="7F7CBCD2"/>
    <w:rsid w:val="7F85F466"/>
    <w:rsid w:val="7F926C14"/>
    <w:rsid w:val="7FCD0C88"/>
    <w:rsid w:val="7FD085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F7CC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91289D"/>
    <w:pPr>
      <w:outlineLvl w:val="0"/>
    </w:pPr>
  </w:style>
  <w:style w:type="paragraph" w:styleId="Heading2">
    <w:name w:val="heading 2"/>
    <w:basedOn w:val="Normal"/>
    <w:next w:val="Normal"/>
    <w:link w:val="Heading2Char"/>
    <w:uiPriority w:val="9"/>
    <w:unhideWhenUsed/>
    <w:qFormat/>
    <w:rsid w:val="0091289D"/>
    <w:pPr>
      <w:spacing w:before="160"/>
      <w:outlineLvl w:val="1"/>
    </w:pPr>
    <w:rPr>
      <w:rFonts w:eastAsia="Calibri" w:cs="Calibri"/>
      <w:b/>
      <w:bCs/>
      <w:kern w:val="0"/>
      <w:sz w:val="28"/>
      <w:szCs w:val="28"/>
      <w14:ligatures w14:val="none"/>
    </w:rPr>
  </w:style>
  <w:style w:type="paragraph" w:styleId="Heading3">
    <w:name w:val="heading 3"/>
    <w:basedOn w:val="Normal"/>
    <w:next w:val="Normal"/>
    <w:link w:val="Heading3Char"/>
    <w:uiPriority w:val="9"/>
    <w:semiHidden/>
    <w:unhideWhenUsed/>
    <w:qFormat/>
    <w:rsid w:val="00443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89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91289D"/>
    <w:rPr>
      <w:rFonts w:eastAsia="Calibri" w:cs="Calibri"/>
      <w:b/>
      <w:bCs/>
      <w:kern w:val="0"/>
      <w:sz w:val="28"/>
      <w:szCs w:val="28"/>
      <w14:ligatures w14:val="none"/>
    </w:rPr>
  </w:style>
  <w:style w:type="character" w:customStyle="1" w:styleId="Heading3Char">
    <w:name w:val="Heading 3 Char"/>
    <w:basedOn w:val="DefaultParagraphFont"/>
    <w:link w:val="Heading3"/>
    <w:uiPriority w:val="9"/>
    <w:semiHidden/>
    <w:rsid w:val="00443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033"/>
    <w:rPr>
      <w:rFonts w:eastAsiaTheme="majorEastAsia" w:cstheme="majorBidi"/>
      <w:color w:val="272727" w:themeColor="text1" w:themeTint="D8"/>
    </w:rPr>
  </w:style>
  <w:style w:type="paragraph" w:styleId="Title">
    <w:name w:val="Title"/>
    <w:basedOn w:val="Normal"/>
    <w:next w:val="Normal"/>
    <w:link w:val="TitleChar"/>
    <w:uiPriority w:val="10"/>
    <w:qFormat/>
    <w:rsid w:val="00443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033"/>
    <w:pPr>
      <w:spacing w:before="160"/>
      <w:jc w:val="center"/>
    </w:pPr>
    <w:rPr>
      <w:i/>
      <w:iCs/>
      <w:color w:val="404040" w:themeColor="text1" w:themeTint="BF"/>
    </w:rPr>
  </w:style>
  <w:style w:type="character" w:customStyle="1" w:styleId="QuoteChar">
    <w:name w:val="Quote Char"/>
    <w:basedOn w:val="DefaultParagraphFont"/>
    <w:link w:val="Quote"/>
    <w:uiPriority w:val="29"/>
    <w:rsid w:val="00443033"/>
    <w:rPr>
      <w:i/>
      <w:iCs/>
      <w:color w:val="404040" w:themeColor="text1" w:themeTint="BF"/>
    </w:rPr>
  </w:style>
  <w:style w:type="paragraph" w:styleId="ListParagraph">
    <w:name w:val="List Paragraph"/>
    <w:basedOn w:val="Normal"/>
    <w:uiPriority w:val="34"/>
    <w:qFormat/>
    <w:rsid w:val="00443033"/>
    <w:pPr>
      <w:ind w:left="720"/>
      <w:contextualSpacing/>
    </w:pPr>
  </w:style>
  <w:style w:type="character" w:styleId="IntenseEmphasis">
    <w:name w:val="Intense Emphasis"/>
    <w:basedOn w:val="DefaultParagraphFont"/>
    <w:uiPriority w:val="21"/>
    <w:qFormat/>
    <w:rsid w:val="00443033"/>
    <w:rPr>
      <w:i/>
      <w:iCs/>
      <w:color w:val="0F4761" w:themeColor="accent1" w:themeShade="BF"/>
    </w:rPr>
  </w:style>
  <w:style w:type="paragraph" w:styleId="IntenseQuote">
    <w:name w:val="Intense Quote"/>
    <w:basedOn w:val="Normal"/>
    <w:next w:val="Normal"/>
    <w:link w:val="IntenseQuoteChar"/>
    <w:uiPriority w:val="30"/>
    <w:qFormat/>
    <w:rsid w:val="00443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033"/>
    <w:rPr>
      <w:i/>
      <w:iCs/>
      <w:color w:val="0F4761" w:themeColor="accent1" w:themeShade="BF"/>
    </w:rPr>
  </w:style>
  <w:style w:type="character" w:styleId="IntenseReference">
    <w:name w:val="Intense Reference"/>
    <w:basedOn w:val="DefaultParagraphFont"/>
    <w:uiPriority w:val="32"/>
    <w:qFormat/>
    <w:rsid w:val="00443033"/>
    <w:rPr>
      <w:b/>
      <w:bCs/>
      <w:smallCaps/>
      <w:color w:val="0F4761" w:themeColor="accent1" w:themeShade="BF"/>
      <w:spacing w:val="5"/>
    </w:rPr>
  </w:style>
  <w:style w:type="table" w:styleId="TableGrid">
    <w:name w:val="Table Grid"/>
    <w:basedOn w:val="TableNormal"/>
    <w:uiPriority w:val="39"/>
    <w:rsid w:val="00443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5651"/>
    <w:pPr>
      <w:spacing w:after="0" w:line="240" w:lineRule="auto"/>
    </w:pPr>
  </w:style>
  <w:style w:type="character" w:styleId="CommentReference">
    <w:name w:val="annotation reference"/>
    <w:basedOn w:val="DefaultParagraphFont"/>
    <w:uiPriority w:val="99"/>
    <w:semiHidden/>
    <w:unhideWhenUsed/>
    <w:rsid w:val="00D25651"/>
    <w:rPr>
      <w:sz w:val="16"/>
      <w:szCs w:val="16"/>
    </w:rPr>
  </w:style>
  <w:style w:type="paragraph" w:styleId="CommentText">
    <w:name w:val="annotation text"/>
    <w:basedOn w:val="Normal"/>
    <w:link w:val="CommentTextChar"/>
    <w:uiPriority w:val="99"/>
    <w:unhideWhenUsed/>
    <w:rsid w:val="00D25651"/>
    <w:pPr>
      <w:spacing w:line="240" w:lineRule="auto"/>
    </w:pPr>
    <w:rPr>
      <w:sz w:val="20"/>
      <w:szCs w:val="20"/>
    </w:rPr>
  </w:style>
  <w:style w:type="character" w:customStyle="1" w:styleId="CommentTextChar">
    <w:name w:val="Comment Text Char"/>
    <w:basedOn w:val="DefaultParagraphFont"/>
    <w:link w:val="CommentText"/>
    <w:uiPriority w:val="99"/>
    <w:rsid w:val="00D25651"/>
    <w:rPr>
      <w:sz w:val="20"/>
      <w:szCs w:val="20"/>
    </w:rPr>
  </w:style>
  <w:style w:type="paragraph" w:styleId="CommentSubject">
    <w:name w:val="annotation subject"/>
    <w:basedOn w:val="CommentText"/>
    <w:next w:val="CommentText"/>
    <w:link w:val="CommentSubjectChar"/>
    <w:uiPriority w:val="99"/>
    <w:semiHidden/>
    <w:unhideWhenUsed/>
    <w:rsid w:val="00D25651"/>
    <w:rPr>
      <w:b/>
      <w:bCs/>
    </w:rPr>
  </w:style>
  <w:style w:type="character" w:customStyle="1" w:styleId="CommentSubjectChar">
    <w:name w:val="Comment Subject Char"/>
    <w:basedOn w:val="CommentTextChar"/>
    <w:link w:val="CommentSubject"/>
    <w:uiPriority w:val="99"/>
    <w:semiHidden/>
    <w:rsid w:val="00D25651"/>
    <w:rPr>
      <w:b/>
      <w:bCs/>
      <w:sz w:val="20"/>
      <w:szCs w:val="20"/>
    </w:rPr>
  </w:style>
  <w:style w:type="character" w:styleId="Hyperlink">
    <w:name w:val="Hyperlink"/>
    <w:basedOn w:val="DefaultParagraphFont"/>
    <w:uiPriority w:val="99"/>
    <w:unhideWhenUsed/>
    <w:rsid w:val="005347C1"/>
    <w:rPr>
      <w:color w:val="467886" w:themeColor="hyperlink"/>
      <w:u w:val="single"/>
    </w:rPr>
  </w:style>
  <w:style w:type="character" w:styleId="UnresolvedMention">
    <w:name w:val="Unresolved Mention"/>
    <w:basedOn w:val="DefaultParagraphFont"/>
    <w:uiPriority w:val="99"/>
    <w:semiHidden/>
    <w:unhideWhenUsed/>
    <w:rsid w:val="005347C1"/>
    <w:rPr>
      <w:color w:val="605E5C"/>
      <w:shd w:val="clear" w:color="auto" w:fill="E1DFDD"/>
    </w:rPr>
  </w:style>
  <w:style w:type="character" w:styleId="FollowedHyperlink">
    <w:name w:val="FollowedHyperlink"/>
    <w:basedOn w:val="DefaultParagraphFont"/>
    <w:uiPriority w:val="99"/>
    <w:semiHidden/>
    <w:unhideWhenUsed/>
    <w:rsid w:val="0092796E"/>
    <w:rPr>
      <w:color w:val="96607D" w:themeColor="followedHyperlink"/>
      <w:u w:val="single"/>
    </w:rPr>
  </w:style>
  <w:style w:type="character" w:styleId="Mention">
    <w:name w:val="Mention"/>
    <w:basedOn w:val="DefaultParagraphFont"/>
    <w:uiPriority w:val="99"/>
    <w:unhideWhenUsed/>
    <w:rsid w:val="00F2152A"/>
    <w:rPr>
      <w:color w:val="2B579A"/>
      <w:shd w:val="clear" w:color="auto" w:fill="E1DFDD"/>
    </w:rPr>
  </w:style>
  <w:style w:type="paragraph" w:styleId="Header">
    <w:name w:val="header"/>
    <w:basedOn w:val="Normal"/>
    <w:link w:val="HeaderChar"/>
    <w:uiPriority w:val="99"/>
    <w:unhideWhenUsed/>
    <w:rsid w:val="003462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268"/>
  </w:style>
  <w:style w:type="paragraph" w:styleId="Footer">
    <w:name w:val="footer"/>
    <w:basedOn w:val="Normal"/>
    <w:link w:val="FooterChar"/>
    <w:uiPriority w:val="99"/>
    <w:unhideWhenUsed/>
    <w:rsid w:val="003462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268"/>
  </w:style>
  <w:style w:type="table" w:customStyle="1" w:styleId="SustineoTables">
    <w:name w:val="SustineoTables"/>
    <w:basedOn w:val="TableNormal"/>
    <w:uiPriority w:val="99"/>
    <w:rsid w:val="005567D5"/>
    <w:pPr>
      <w:suppressAutoHyphens/>
      <w:spacing w:after="0" w:line="240" w:lineRule="auto"/>
    </w:pPr>
    <w:rPr>
      <w:rFonts w:cs="Times New Roman (Body CS)"/>
      <w:sz w:val="20"/>
      <w:szCs w:val="24"/>
      <w:lang w:eastAsia="en-GB"/>
    </w:rPr>
    <w:tblPr>
      <w:tblStyleRowBandSize w:val="1"/>
      <w:tblStyleColBandSize w:val="1"/>
      <w:tblBorders>
        <w:top w:val="single" w:sz="4" w:space="0" w:color="196B24" w:themeColor="accent3"/>
        <w:bottom w:val="single" w:sz="4" w:space="0" w:color="196B24" w:themeColor="accent3"/>
        <w:insideH w:val="single" w:sz="4" w:space="0" w:color="196B24" w:themeColor="accent3"/>
      </w:tblBorders>
    </w:tblPr>
    <w:tcPr>
      <w:shd w:val="clear" w:color="auto" w:fill="auto"/>
    </w:tcPr>
    <w:tblStylePr w:type="firstRow">
      <w:pPr>
        <w:jc w:val="left"/>
      </w:pPr>
      <w:rPr>
        <w:b/>
      </w:rPr>
      <w:tblPr/>
      <w:trPr>
        <w:tblHeader/>
      </w:trPr>
      <w:tcPr>
        <w:tcBorders>
          <w:top w:val="single" w:sz="4" w:space="0" w:color="196B24" w:themeColor="accent3"/>
          <w:left w:val="nil"/>
          <w:bottom w:val="single" w:sz="12" w:space="0" w:color="196B24" w:themeColor="accent3"/>
          <w:right w:val="nil"/>
          <w:insideH w:val="single" w:sz="4" w:space="0" w:color="196B24" w:themeColor="accent3"/>
          <w:insideV w:val="nil"/>
        </w:tcBorders>
        <w:vAlign w:val="bottom"/>
      </w:tcPr>
    </w:tblStylePr>
    <w:tblStylePr w:type="lastRow">
      <w:rPr>
        <w:b/>
      </w:rPr>
      <w:tblPr/>
      <w:tcPr>
        <w:tcBorders>
          <w:top w:val="double" w:sz="4" w:space="0" w:color="196B24" w:themeColor="accent3"/>
          <w:bottom w:val="single" w:sz="4" w:space="0" w:color="196B24" w:themeColor="accent3"/>
        </w:tcBorders>
        <w:shd w:val="clear" w:color="auto" w:fill="auto"/>
      </w:tcPr>
    </w:tblStylePr>
    <w:tblStylePr w:type="firstCol">
      <w:rPr>
        <w:b/>
      </w:rPr>
    </w:tblStylePr>
    <w:tblStylePr w:type="lastCol">
      <w:rPr>
        <w:b/>
      </w:rPr>
    </w:tblStylePr>
    <w:tblStylePr w:type="band1Vert">
      <w:tblPr/>
      <w:tcPr>
        <w:shd w:val="clear" w:color="auto" w:fill="F2F2F2" w:themeFill="background1" w:themeFillShade="F2"/>
      </w:tcPr>
    </w:tblStylePr>
    <w:tblStylePr w:type="band1Horz">
      <w:tblPr/>
      <w:tcPr>
        <w:tcBorders>
          <w:top w:val="nil"/>
          <w:left w:val="nil"/>
          <w:bottom w:val="nil"/>
          <w:right w:val="nil"/>
          <w:insideH w:val="nil"/>
          <w:insideV w:val="nil"/>
          <w:tl2br w:val="nil"/>
          <w:tr2bl w:val="nil"/>
        </w:tcBorders>
        <w:shd w:val="clear" w:color="auto" w:fill="F2F2F2" w:themeFill="background1" w:themeFillShade="F2"/>
      </w:tcPr>
    </w:tblStylePr>
    <w:tblStylePr w:type="band2Horz">
      <w:tblPr/>
      <w:tcPr>
        <w:tcBorders>
          <w:top w:val="nil"/>
          <w:left w:val="nil"/>
          <w:bottom w:val="nil"/>
          <w:right w:val="nil"/>
          <w:insideH w:val="nil"/>
          <w:insideV w:val="nil"/>
          <w:tl2br w:val="nil"/>
          <w:tr2bl w:val="nil"/>
        </w:tcBorders>
        <w:shd w:val="clear" w:color="auto" w:fill="auto"/>
      </w:tcPr>
    </w:tblStylePr>
  </w:style>
  <w:style w:type="character" w:customStyle="1" w:styleId="normaltextrun">
    <w:name w:val="normaltextrun"/>
    <w:basedOn w:val="DefaultParagraphFont"/>
    <w:rsid w:val="005567D5"/>
  </w:style>
  <w:style w:type="paragraph" w:customStyle="1" w:styleId="TableText">
    <w:name w:val="Table Text"/>
    <w:link w:val="TableTextChar"/>
    <w:qFormat/>
    <w:rsid w:val="005567D5"/>
    <w:pPr>
      <w:spacing w:before="60" w:after="60" w:line="240" w:lineRule="auto"/>
    </w:pPr>
    <w:rPr>
      <w:rFonts w:eastAsia="Calibri" w:cs="Times New Roman"/>
      <w:kern w:val="10"/>
      <w:sz w:val="20"/>
      <w:szCs w:val="20"/>
      <w14:ligatures w14:val="none"/>
    </w:rPr>
  </w:style>
  <w:style w:type="character" w:customStyle="1" w:styleId="TableTextChar">
    <w:name w:val="Table Text Char"/>
    <w:basedOn w:val="DefaultParagraphFont"/>
    <w:link w:val="TableText"/>
    <w:locked/>
    <w:rsid w:val="005567D5"/>
    <w:rPr>
      <w:rFonts w:eastAsia="Calibri" w:cs="Times New Roman"/>
      <w:kern w:val="1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067652-e594-4683-81e3-2cbf4d08314b}" enabled="1" method="Standard" siteId="{dd4b51f9-ee38-4f0d-87d3-0fcc190484cf}" removed="0"/>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2770</Words>
  <Characters>16593</Characters>
  <Application>Microsoft Office Word</Application>
  <DocSecurity>0</DocSecurity>
  <Lines>691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Department of Foreign Affairs and Trade response to the Mid-Cycle Evaluation of Investing in Women Phase 2 (2023-2027)</dc:title>
  <dc:subject/>
  <dc:creator/>
  <cp:keywords/>
  <dc:description/>
  <cp:lastModifiedBy/>
  <cp:revision>1</cp:revision>
  <dcterms:created xsi:type="dcterms:W3CDTF">2026-06-22T23:27:00Z</dcterms:created>
  <dcterms:modified xsi:type="dcterms:W3CDTF">2026-06-23T00:26:00Z</dcterms:modified>
  <cp:category/>
</cp:coreProperties>
</file>