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5CC8" w14:textId="63EA006B" w:rsidR="003D60F5" w:rsidRPr="002E4785" w:rsidRDefault="007B2A6E" w:rsidP="002E4785">
      <w:pPr>
        <w:pStyle w:val="Heading1"/>
      </w:pPr>
      <w:bookmarkStart w:id="0" w:name="_Hlk161907626"/>
      <w:r w:rsidRPr="002E4785">
        <w:t xml:space="preserve">Management Response to the </w:t>
      </w:r>
      <w:r w:rsidR="00D47A03" w:rsidRPr="002E4785">
        <w:t xml:space="preserve">Evaluation of </w:t>
      </w:r>
      <w:r w:rsidR="0005210B" w:rsidRPr="002E4785">
        <w:t>t</w:t>
      </w:r>
      <w:r w:rsidR="00D47A03" w:rsidRPr="002E4785">
        <w:t>he Pacific Community (SPC) Public Health Division (PHD) Investments</w:t>
      </w:r>
      <w:bookmarkEnd w:id="0"/>
      <w:r w:rsidR="00D47A03" w:rsidRPr="002E4785">
        <w:t xml:space="preserve"> </w:t>
      </w:r>
      <w:r w:rsidR="00C9011E" w:rsidRPr="002E4785">
        <w:t>2019</w:t>
      </w:r>
      <w:r w:rsidR="003D60F5" w:rsidRPr="002E4785">
        <w:t>-202</w:t>
      </w:r>
      <w:r w:rsidR="001F1F7E" w:rsidRPr="002E4785">
        <w:t>4</w:t>
      </w:r>
    </w:p>
    <w:p w14:paraId="3BCB3BB9" w14:textId="757AB59F" w:rsidR="003D60F5" w:rsidRPr="001C1B82" w:rsidRDefault="0011367C" w:rsidP="002E4785">
      <w:pPr>
        <w:pStyle w:val="Heading2"/>
        <w:jc w:val="center"/>
      </w:pPr>
      <w:r>
        <w:t xml:space="preserve">Evaluation </w:t>
      </w:r>
      <w:r w:rsidR="00807F68">
        <w:t>overview</w:t>
      </w:r>
    </w:p>
    <w:p w14:paraId="77DFA989" w14:textId="4301982D" w:rsidR="00620323" w:rsidRDefault="00620323" w:rsidP="00524657">
      <w:pPr>
        <w:jc w:val="both"/>
      </w:pPr>
      <w:r>
        <w:t xml:space="preserve">The Pacific Community (SPC) is the principal scientific and technical organisation supporting development in the Pacific region. The Public Health Division (PHD) </w:t>
      </w:r>
      <w:r w:rsidR="00CF30BB">
        <w:t xml:space="preserve">coordinates the Pacific region’s health </w:t>
      </w:r>
      <w:r w:rsidR="00520F22">
        <w:t xml:space="preserve">architecture and </w:t>
      </w:r>
      <w:r>
        <w:t>pr</w:t>
      </w:r>
      <w:r w:rsidR="00EF3609">
        <w:t>o</w:t>
      </w:r>
      <w:r w:rsidR="00520F22">
        <w:t>vides technical and capacity building assistance to countries in non- communicable diseases (NCDs)</w:t>
      </w:r>
      <w:r>
        <w:t xml:space="preserve">; strengthening health security </w:t>
      </w:r>
      <w:r w:rsidR="00EF3609">
        <w:t xml:space="preserve">preparedness, </w:t>
      </w:r>
      <w:proofErr w:type="gramStart"/>
      <w:r>
        <w:t>surveillance</w:t>
      </w:r>
      <w:proofErr w:type="gramEnd"/>
      <w:r w:rsidR="00EF3609">
        <w:t xml:space="preserve"> and response</w:t>
      </w:r>
      <w:r>
        <w:t xml:space="preserve">; strengthening laboratory capacity and public health surveillance; </w:t>
      </w:r>
      <w:r w:rsidR="00A45126">
        <w:t xml:space="preserve">and </w:t>
      </w:r>
      <w:r>
        <w:t>strengthening clinical services including nursing, infection prevention, and control (IPC), and health information systems</w:t>
      </w:r>
      <w:r w:rsidR="00520F22">
        <w:t xml:space="preserve"> according to the SPC PHD Business Plan</w:t>
      </w:r>
      <w:r>
        <w:t xml:space="preserve">.  </w:t>
      </w:r>
    </w:p>
    <w:p w14:paraId="061E0EA9" w14:textId="38CB7590" w:rsidR="00373495" w:rsidRDefault="00373495" w:rsidP="00524657">
      <w:pPr>
        <w:shd w:val="clear" w:color="auto" w:fill="FFFFFF"/>
        <w:jc w:val="both"/>
        <w:rPr>
          <w:rFonts w:eastAsia="Calibri" w:cstheme="minorHAnsi"/>
        </w:rPr>
      </w:pPr>
      <w:r>
        <w:rPr>
          <w:rFonts w:eastAsia="Calibri" w:cstheme="minorHAnsi"/>
        </w:rPr>
        <w:t>Between 2019-</w:t>
      </w:r>
      <w:r w:rsidR="00EF3609">
        <w:rPr>
          <w:rFonts w:eastAsia="Calibri" w:cstheme="minorHAnsi"/>
        </w:rPr>
        <w:t>2</w:t>
      </w:r>
      <w:r w:rsidR="00CF33BB">
        <w:rPr>
          <w:rFonts w:eastAsia="Calibri" w:cstheme="minorHAnsi"/>
        </w:rPr>
        <w:t>4</w:t>
      </w:r>
      <w:r>
        <w:rPr>
          <w:rFonts w:eastAsia="Calibri" w:cstheme="minorHAnsi"/>
        </w:rPr>
        <w:t xml:space="preserve">, DFAT provided AUD21.3 million in grant funding to SPC across three programs, supported by </w:t>
      </w:r>
      <w:r w:rsidR="00933F35">
        <w:rPr>
          <w:rFonts w:eastAsia="Calibri" w:cstheme="minorHAnsi"/>
        </w:rPr>
        <w:t>Regional Health Program,</w:t>
      </w:r>
      <w:r>
        <w:rPr>
          <w:rFonts w:eastAsia="Calibri" w:cstheme="minorHAnsi"/>
        </w:rPr>
        <w:t xml:space="preserve"> </w:t>
      </w:r>
      <w:r w:rsidR="00A76D49">
        <w:rPr>
          <w:rFonts w:eastAsia="Calibri" w:cstheme="minorHAnsi"/>
        </w:rPr>
        <w:t xml:space="preserve">Health Security Initiative </w:t>
      </w:r>
      <w:r w:rsidR="00BD12A6">
        <w:rPr>
          <w:rFonts w:eastAsia="Calibri" w:cstheme="minorHAnsi"/>
        </w:rPr>
        <w:t xml:space="preserve">(HSI) </w:t>
      </w:r>
      <w:r w:rsidR="00A76D49">
        <w:rPr>
          <w:rFonts w:eastAsia="Calibri" w:cstheme="minorHAnsi"/>
        </w:rPr>
        <w:t>and Vaccine Access and Health Security Initiative (</w:t>
      </w:r>
      <w:r>
        <w:rPr>
          <w:rFonts w:eastAsia="Calibri" w:cstheme="minorHAnsi"/>
        </w:rPr>
        <w:t>VAHSI</w:t>
      </w:r>
      <w:r w:rsidR="00A76D49">
        <w:rPr>
          <w:rFonts w:eastAsia="Calibri" w:cstheme="minorHAnsi"/>
        </w:rPr>
        <w:t>)</w:t>
      </w:r>
      <w:r>
        <w:rPr>
          <w:rFonts w:eastAsia="Calibri" w:cstheme="minorHAnsi"/>
        </w:rPr>
        <w:t xml:space="preserve"> funding:</w:t>
      </w:r>
    </w:p>
    <w:p w14:paraId="4A250D36" w14:textId="1AAD4D35" w:rsidR="00373495" w:rsidRPr="003E7764" w:rsidRDefault="00373495" w:rsidP="00524657">
      <w:pPr>
        <w:pStyle w:val="ListParagraph"/>
        <w:numPr>
          <w:ilvl w:val="0"/>
          <w:numId w:val="18"/>
        </w:numPr>
        <w:spacing w:after="0"/>
        <w:jc w:val="both"/>
        <w:rPr>
          <w:rFonts w:eastAsia="Calibri" w:cstheme="minorHAnsi"/>
        </w:rPr>
      </w:pPr>
      <w:r w:rsidRPr="003E7764">
        <w:rPr>
          <w:rFonts w:eastAsia="Calibri" w:cstheme="minorHAnsi"/>
        </w:rPr>
        <w:t>SPC PHD Public Health Business Plan (AUD17 million) including HSI funds (AUD3.5 million) and VAHSI funds (AUD1.9 million)</w:t>
      </w:r>
      <w:r w:rsidR="00503FA8">
        <w:rPr>
          <w:rFonts w:eastAsia="Calibri" w:cstheme="minorHAnsi"/>
        </w:rPr>
        <w:t xml:space="preserve"> – ceased </w:t>
      </w:r>
      <w:r w:rsidR="000E4F5E" w:rsidRPr="003E7764">
        <w:rPr>
          <w:rFonts w:eastAsia="Calibri" w:cstheme="minorHAnsi"/>
        </w:rPr>
        <w:t>June 2024</w:t>
      </w:r>
    </w:p>
    <w:p w14:paraId="0A78A3B7" w14:textId="5E44B069" w:rsidR="00373495" w:rsidRPr="003E7764" w:rsidRDefault="00373495" w:rsidP="00524657">
      <w:pPr>
        <w:pStyle w:val="ListParagraph"/>
        <w:numPr>
          <w:ilvl w:val="0"/>
          <w:numId w:val="18"/>
        </w:numPr>
        <w:spacing w:after="0"/>
        <w:jc w:val="both"/>
        <w:rPr>
          <w:rFonts w:eastAsia="Calibri" w:cstheme="minorHAnsi"/>
        </w:rPr>
      </w:pPr>
      <w:r w:rsidRPr="003E7764">
        <w:rPr>
          <w:rFonts w:eastAsia="Calibri" w:cstheme="minorHAnsi"/>
        </w:rPr>
        <w:t>Specialist advisers project funding from HSI (AUD1.3 million)</w:t>
      </w:r>
      <w:r w:rsidR="00524657">
        <w:rPr>
          <w:rFonts w:eastAsia="Calibri" w:cstheme="minorHAnsi"/>
        </w:rPr>
        <w:t xml:space="preserve"> – ceased </w:t>
      </w:r>
      <w:r w:rsidR="000E4F5E" w:rsidRPr="003E7764">
        <w:rPr>
          <w:rFonts w:eastAsia="Calibri" w:cstheme="minorHAnsi"/>
        </w:rPr>
        <w:t>December 2023</w:t>
      </w:r>
    </w:p>
    <w:p w14:paraId="35E4AB58" w14:textId="72E0D037" w:rsidR="006F4136" w:rsidRPr="003E7764" w:rsidRDefault="00373495" w:rsidP="00524657">
      <w:pPr>
        <w:pStyle w:val="ListParagraph"/>
        <w:numPr>
          <w:ilvl w:val="0"/>
          <w:numId w:val="18"/>
        </w:numPr>
        <w:spacing w:after="0"/>
        <w:jc w:val="both"/>
        <w:rPr>
          <w:rFonts w:eastAsia="Calibri" w:cstheme="minorHAnsi"/>
        </w:rPr>
      </w:pPr>
      <w:r w:rsidRPr="003E7764">
        <w:rPr>
          <w:rFonts w:eastAsia="Calibri" w:cstheme="minorHAnsi"/>
        </w:rPr>
        <w:t>Pacific Evidence Informed Policy and Programs (</w:t>
      </w:r>
      <w:proofErr w:type="spellStart"/>
      <w:r w:rsidRPr="003E7764">
        <w:rPr>
          <w:rFonts w:eastAsia="Calibri" w:cstheme="minorHAnsi"/>
        </w:rPr>
        <w:t>PacEVIPP</w:t>
      </w:r>
      <w:proofErr w:type="spellEnd"/>
      <w:r w:rsidRPr="003E7764">
        <w:rPr>
          <w:rFonts w:eastAsia="Calibri" w:cstheme="minorHAnsi"/>
        </w:rPr>
        <w:t>) project (AUD3.0 million)</w:t>
      </w:r>
      <w:r w:rsidR="00F034C9" w:rsidRPr="003E7764">
        <w:rPr>
          <w:rFonts w:eastAsia="Calibri" w:cstheme="minorHAnsi"/>
        </w:rPr>
        <w:t xml:space="preserve"> </w:t>
      </w:r>
      <w:r w:rsidR="00524657">
        <w:rPr>
          <w:rFonts w:eastAsia="Calibri" w:cstheme="minorHAnsi"/>
        </w:rPr>
        <w:t xml:space="preserve">– </w:t>
      </w:r>
      <w:r w:rsidR="00430701">
        <w:rPr>
          <w:rFonts w:eastAsia="Calibri" w:cstheme="minorHAnsi"/>
        </w:rPr>
        <w:t xml:space="preserve">due </w:t>
      </w:r>
      <w:r w:rsidR="00430701" w:rsidRPr="003E7764">
        <w:rPr>
          <w:rFonts w:eastAsia="Calibri" w:cstheme="minorHAnsi"/>
        </w:rPr>
        <w:t>to</w:t>
      </w:r>
      <w:r w:rsidR="000E4F5E" w:rsidRPr="003E7764">
        <w:rPr>
          <w:rFonts w:eastAsia="Calibri" w:cstheme="minorHAnsi"/>
        </w:rPr>
        <w:t xml:space="preserve"> cease in </w:t>
      </w:r>
      <w:r w:rsidR="000159AA">
        <w:rPr>
          <w:rFonts w:eastAsia="Calibri" w:cstheme="minorHAnsi"/>
        </w:rPr>
        <w:t>December</w:t>
      </w:r>
      <w:r w:rsidR="000159AA" w:rsidRPr="003E7764">
        <w:rPr>
          <w:rFonts w:eastAsia="Calibri" w:cstheme="minorHAnsi"/>
        </w:rPr>
        <w:t xml:space="preserve"> </w:t>
      </w:r>
      <w:r w:rsidR="000E4F5E" w:rsidRPr="003E7764">
        <w:rPr>
          <w:rFonts w:eastAsia="Calibri" w:cstheme="minorHAnsi"/>
        </w:rPr>
        <w:t>2024</w:t>
      </w:r>
    </w:p>
    <w:p w14:paraId="0B9211CB" w14:textId="1779C07A" w:rsidR="00256CD2" w:rsidRDefault="00256CD2" w:rsidP="003816B0">
      <w:pPr>
        <w:shd w:val="clear" w:color="auto" w:fill="FFFFFF"/>
        <w:spacing w:before="240" w:after="100" w:afterAutospacing="1"/>
        <w:jc w:val="both"/>
        <w:rPr>
          <w:rFonts w:eastAsia="Calibri" w:cstheme="minorHAnsi"/>
        </w:rPr>
      </w:pPr>
      <w:r>
        <w:rPr>
          <w:rFonts w:eastAsia="Calibri" w:cstheme="minorHAnsi"/>
        </w:rPr>
        <w:t xml:space="preserve">DFAT’s support directly to SPC PHD </w:t>
      </w:r>
      <w:r w:rsidR="00383ED9">
        <w:rPr>
          <w:rFonts w:eastAsia="Calibri" w:cstheme="minorHAnsi"/>
        </w:rPr>
        <w:t>constitutes</w:t>
      </w:r>
      <w:r>
        <w:rPr>
          <w:rFonts w:eastAsia="Calibri" w:cstheme="minorHAnsi"/>
        </w:rPr>
        <w:t xml:space="preserve"> approximately 60-70% of the operating budget each year and is therefore critical to the success of </w:t>
      </w:r>
      <w:proofErr w:type="gramStart"/>
      <w:r>
        <w:rPr>
          <w:rFonts w:eastAsia="Calibri" w:cstheme="minorHAnsi"/>
        </w:rPr>
        <w:t>all of</w:t>
      </w:r>
      <w:proofErr w:type="gramEnd"/>
      <w:r>
        <w:rPr>
          <w:rFonts w:eastAsia="Calibri" w:cstheme="minorHAnsi"/>
        </w:rPr>
        <w:t xml:space="preserve"> SPC PHD’s work.</w:t>
      </w:r>
    </w:p>
    <w:p w14:paraId="56811D17" w14:textId="25684019" w:rsidR="008152E5" w:rsidRDefault="008152E5" w:rsidP="00524657">
      <w:pPr>
        <w:shd w:val="clear" w:color="auto" w:fill="FFFFFF"/>
        <w:spacing w:after="100" w:afterAutospacing="1"/>
        <w:jc w:val="both"/>
        <w:rPr>
          <w:rFonts w:eastAsia="Calibri" w:cstheme="minorHAnsi"/>
        </w:rPr>
      </w:pPr>
      <w:r>
        <w:rPr>
          <w:rFonts w:eastAsia="Calibri" w:cstheme="minorHAnsi"/>
        </w:rPr>
        <w:t>In November 2023, DFAT</w:t>
      </w:r>
      <w:r w:rsidR="007C484B">
        <w:rPr>
          <w:rFonts w:eastAsia="Calibri" w:cstheme="minorHAnsi"/>
        </w:rPr>
        <w:t xml:space="preserve"> commissioned an independent evaluation of the</w:t>
      </w:r>
      <w:r w:rsidR="00A915A1">
        <w:rPr>
          <w:rFonts w:eastAsia="Calibri" w:cstheme="minorHAnsi"/>
        </w:rPr>
        <w:t>se</w:t>
      </w:r>
      <w:r w:rsidR="007C484B">
        <w:rPr>
          <w:rFonts w:eastAsia="Calibri" w:cstheme="minorHAnsi"/>
        </w:rPr>
        <w:t xml:space="preserve"> </w:t>
      </w:r>
      <w:r w:rsidR="00A915A1">
        <w:t xml:space="preserve">Pacific Community (SPC) Public Health Division (PHD) </w:t>
      </w:r>
      <w:r w:rsidR="000F367C">
        <w:t>i</w:t>
      </w:r>
      <w:r w:rsidR="00A915A1">
        <w:t>nvestments</w:t>
      </w:r>
      <w:r w:rsidR="00834131">
        <w:t xml:space="preserve"> </w:t>
      </w:r>
      <w:r w:rsidR="00834131">
        <w:rPr>
          <w:rFonts w:cstheme="minorHAnsi"/>
        </w:rPr>
        <w:t>through the Specialist Health Service (SHS)</w:t>
      </w:r>
      <w:r w:rsidR="00A915A1">
        <w:t xml:space="preserve"> to:</w:t>
      </w:r>
    </w:p>
    <w:p w14:paraId="0065B79A" w14:textId="7B15BC18" w:rsidR="008152E5" w:rsidRPr="00807F68" w:rsidRDefault="008152E5" w:rsidP="00524657">
      <w:pPr>
        <w:pStyle w:val="ListParagraph"/>
        <w:numPr>
          <w:ilvl w:val="0"/>
          <w:numId w:val="18"/>
        </w:numPr>
        <w:spacing w:after="0"/>
        <w:jc w:val="both"/>
        <w:rPr>
          <w:rFonts w:eastAsia="Calibri" w:cstheme="minorHAnsi"/>
        </w:rPr>
      </w:pPr>
      <w:r w:rsidRPr="00807F68">
        <w:rPr>
          <w:rFonts w:eastAsia="Calibri" w:cstheme="minorHAnsi"/>
        </w:rPr>
        <w:t>Assess the extent to which SPC PHD’s DFAT</w:t>
      </w:r>
      <w:r w:rsidR="000F367C">
        <w:rPr>
          <w:rFonts w:eastAsia="Calibri" w:cstheme="minorHAnsi"/>
        </w:rPr>
        <w:t>-</w:t>
      </w:r>
      <w:r w:rsidRPr="00807F68">
        <w:rPr>
          <w:rFonts w:eastAsia="Calibri" w:cstheme="minorHAnsi"/>
        </w:rPr>
        <w:t>funded programs are contributing to the overall goal and vision of Pacific Islanders reaching their full potential and living long and healthy lives</w:t>
      </w:r>
      <w:r w:rsidR="00383ED9" w:rsidRPr="00807F68">
        <w:rPr>
          <w:rFonts w:eastAsia="Calibri" w:cstheme="minorHAnsi"/>
        </w:rPr>
        <w:t>.</w:t>
      </w:r>
    </w:p>
    <w:p w14:paraId="594150CE" w14:textId="5A1BF30D" w:rsidR="008152E5" w:rsidRPr="00807F68" w:rsidRDefault="008152E5" w:rsidP="00524657">
      <w:pPr>
        <w:pStyle w:val="ListParagraph"/>
        <w:numPr>
          <w:ilvl w:val="0"/>
          <w:numId w:val="18"/>
        </w:numPr>
        <w:spacing w:after="0"/>
        <w:jc w:val="both"/>
        <w:rPr>
          <w:rFonts w:eastAsia="Calibri" w:cstheme="minorHAnsi"/>
        </w:rPr>
      </w:pPr>
      <w:r w:rsidRPr="00807F68">
        <w:rPr>
          <w:rFonts w:eastAsia="Calibri" w:cstheme="minorHAnsi"/>
        </w:rPr>
        <w:t>Provide recommendations to DFAT about whether to continue funding SPC PHD’s Business Plan from June 2024 onwards</w:t>
      </w:r>
      <w:r w:rsidR="00383ED9" w:rsidRPr="00807F68">
        <w:rPr>
          <w:rFonts w:eastAsia="Calibri" w:cstheme="minorHAnsi"/>
        </w:rPr>
        <w:t>.</w:t>
      </w:r>
    </w:p>
    <w:p w14:paraId="39C5E214" w14:textId="77777777" w:rsidR="008152E5" w:rsidRPr="00807F68" w:rsidRDefault="008152E5" w:rsidP="00524657">
      <w:pPr>
        <w:pStyle w:val="ListParagraph"/>
        <w:numPr>
          <w:ilvl w:val="0"/>
          <w:numId w:val="18"/>
        </w:numPr>
        <w:spacing w:after="0"/>
        <w:jc w:val="both"/>
        <w:rPr>
          <w:rFonts w:eastAsia="Calibri" w:cstheme="minorHAnsi"/>
        </w:rPr>
      </w:pPr>
      <w:r w:rsidRPr="00807F68">
        <w:rPr>
          <w:rFonts w:eastAsia="Calibri" w:cstheme="minorHAnsi"/>
        </w:rPr>
        <w:t>Provide recommendations to strengthen delivery of programs and assistance into the future.</w:t>
      </w:r>
    </w:p>
    <w:p w14:paraId="42E417F5" w14:textId="1A369A6F" w:rsidR="008152E5" w:rsidRDefault="00A915A1" w:rsidP="003816B0">
      <w:pPr>
        <w:spacing w:before="240" w:after="0"/>
        <w:jc w:val="both"/>
        <w:rPr>
          <w:rFonts w:cstheme="minorHAnsi"/>
        </w:rPr>
      </w:pPr>
      <w:r>
        <w:rPr>
          <w:rFonts w:cstheme="minorHAnsi"/>
        </w:rPr>
        <w:t xml:space="preserve">The </w:t>
      </w:r>
      <w:r w:rsidR="008152E5" w:rsidRPr="008152E5">
        <w:rPr>
          <w:rFonts w:cstheme="minorHAnsi"/>
        </w:rPr>
        <w:t>three</w:t>
      </w:r>
      <w:r w:rsidR="006F4136">
        <w:rPr>
          <w:rFonts w:cstheme="minorHAnsi"/>
        </w:rPr>
        <w:t>-</w:t>
      </w:r>
      <w:r w:rsidR="008152E5" w:rsidRPr="008152E5">
        <w:rPr>
          <w:rFonts w:cstheme="minorHAnsi"/>
        </w:rPr>
        <w:t>person evaluation team of consultants</w:t>
      </w:r>
      <w:r w:rsidR="00315A57">
        <w:rPr>
          <w:rFonts w:cstheme="minorHAnsi"/>
        </w:rPr>
        <w:t xml:space="preserve"> – </w:t>
      </w:r>
      <w:r w:rsidR="00520D1A">
        <w:rPr>
          <w:rFonts w:cstheme="minorHAnsi"/>
        </w:rPr>
        <w:t xml:space="preserve">a </w:t>
      </w:r>
      <w:r w:rsidR="00315A57">
        <w:rPr>
          <w:rFonts w:cstheme="minorHAnsi"/>
        </w:rPr>
        <w:t xml:space="preserve">team </w:t>
      </w:r>
      <w:r w:rsidR="00834131">
        <w:rPr>
          <w:rFonts w:cstheme="minorHAnsi"/>
        </w:rPr>
        <w:t>leader,</w:t>
      </w:r>
      <w:r w:rsidR="00520D1A">
        <w:rPr>
          <w:rFonts w:cstheme="minorHAnsi"/>
        </w:rPr>
        <w:t xml:space="preserve"> a </w:t>
      </w:r>
      <w:r w:rsidR="00834131">
        <w:rPr>
          <w:rFonts w:cstheme="minorHAnsi"/>
        </w:rPr>
        <w:t>gender equ</w:t>
      </w:r>
      <w:r w:rsidR="000C1DAF">
        <w:rPr>
          <w:rFonts w:cstheme="minorHAnsi"/>
        </w:rPr>
        <w:t>ali</w:t>
      </w:r>
      <w:r w:rsidR="00834131">
        <w:rPr>
          <w:rFonts w:cstheme="minorHAnsi"/>
        </w:rPr>
        <w:t xml:space="preserve">ty, </w:t>
      </w:r>
      <w:proofErr w:type="gramStart"/>
      <w:r w:rsidR="00834131">
        <w:rPr>
          <w:rFonts w:cstheme="minorHAnsi"/>
        </w:rPr>
        <w:t>disability</w:t>
      </w:r>
      <w:proofErr w:type="gramEnd"/>
      <w:r w:rsidR="00834131">
        <w:rPr>
          <w:rFonts w:cstheme="minorHAnsi"/>
        </w:rPr>
        <w:t xml:space="preserve"> and social inclusion</w:t>
      </w:r>
      <w:r w:rsidR="00315A57">
        <w:rPr>
          <w:rFonts w:cstheme="minorHAnsi"/>
        </w:rPr>
        <w:t xml:space="preserve"> (GEDSI) expert, and</w:t>
      </w:r>
      <w:r w:rsidR="00834131">
        <w:rPr>
          <w:rFonts w:cstheme="minorHAnsi"/>
        </w:rPr>
        <w:t xml:space="preserve"> a Pacific </w:t>
      </w:r>
      <w:r w:rsidR="000C1DAF">
        <w:rPr>
          <w:rFonts w:cstheme="minorHAnsi"/>
        </w:rPr>
        <w:t>h</w:t>
      </w:r>
      <w:r w:rsidR="00834131">
        <w:rPr>
          <w:rFonts w:cstheme="minorHAnsi"/>
        </w:rPr>
        <w:t xml:space="preserve">ealth </w:t>
      </w:r>
      <w:r w:rsidR="006F4136">
        <w:rPr>
          <w:rFonts w:cstheme="minorHAnsi"/>
        </w:rPr>
        <w:t>e</w:t>
      </w:r>
      <w:r w:rsidR="00834131">
        <w:rPr>
          <w:rFonts w:cstheme="minorHAnsi"/>
        </w:rPr>
        <w:t>xpert</w:t>
      </w:r>
      <w:r w:rsidR="00315A57">
        <w:rPr>
          <w:rFonts w:cstheme="minorHAnsi"/>
        </w:rPr>
        <w:t xml:space="preserve"> – co</w:t>
      </w:r>
      <w:r w:rsidR="001E719D">
        <w:rPr>
          <w:rFonts w:cstheme="minorHAnsi"/>
        </w:rPr>
        <w:t>nducted a</w:t>
      </w:r>
      <w:r w:rsidR="008152E5" w:rsidRPr="008152E5">
        <w:rPr>
          <w:rFonts w:cstheme="minorHAnsi"/>
        </w:rPr>
        <w:t xml:space="preserve"> rapid review of documents</w:t>
      </w:r>
      <w:r w:rsidR="000C1DAF">
        <w:rPr>
          <w:rFonts w:cstheme="minorHAnsi"/>
        </w:rPr>
        <w:t xml:space="preserve"> and </w:t>
      </w:r>
      <w:r w:rsidR="008152E5" w:rsidRPr="008152E5">
        <w:rPr>
          <w:rFonts w:cstheme="minorHAnsi"/>
        </w:rPr>
        <w:t>in</w:t>
      </w:r>
      <w:r w:rsidR="000C1DAF">
        <w:rPr>
          <w:rFonts w:cstheme="minorHAnsi"/>
        </w:rPr>
        <w:t>-</w:t>
      </w:r>
      <w:r w:rsidR="008152E5" w:rsidRPr="008152E5">
        <w:rPr>
          <w:rFonts w:cstheme="minorHAnsi"/>
        </w:rPr>
        <w:t xml:space="preserve">country and remote interviews </w:t>
      </w:r>
      <w:r w:rsidR="00A90402">
        <w:rPr>
          <w:rFonts w:cstheme="minorHAnsi"/>
        </w:rPr>
        <w:t xml:space="preserve">with </w:t>
      </w:r>
      <w:r w:rsidR="00983D2B">
        <w:rPr>
          <w:rFonts w:cstheme="minorHAnsi"/>
        </w:rPr>
        <w:t>Ministry of Health</w:t>
      </w:r>
      <w:r w:rsidR="00C04A8A">
        <w:rPr>
          <w:rFonts w:cstheme="minorHAnsi"/>
        </w:rPr>
        <w:t xml:space="preserve"> personnel, stakeholders in Tonga, Fiji and Solomon Islands, </w:t>
      </w:r>
      <w:r w:rsidR="00DC4E94">
        <w:rPr>
          <w:rFonts w:cstheme="minorHAnsi"/>
        </w:rPr>
        <w:t>DFAT and SPC PHD</w:t>
      </w:r>
      <w:r w:rsidR="004241D8">
        <w:rPr>
          <w:rFonts w:cstheme="minorHAnsi"/>
        </w:rPr>
        <w:t xml:space="preserve">. </w:t>
      </w:r>
      <w:r w:rsidR="00C24BA4">
        <w:rPr>
          <w:rFonts w:cstheme="minorHAnsi"/>
        </w:rPr>
        <w:t>The evaluation team conducted s</w:t>
      </w:r>
      <w:r w:rsidR="008152E5" w:rsidRPr="008152E5">
        <w:rPr>
          <w:rFonts w:cstheme="minorHAnsi"/>
        </w:rPr>
        <w:t>upplementary interviews</w:t>
      </w:r>
      <w:r w:rsidR="00A90402">
        <w:rPr>
          <w:rFonts w:cstheme="minorHAnsi"/>
        </w:rPr>
        <w:t xml:space="preserve"> with SPC PHD</w:t>
      </w:r>
      <w:r w:rsidR="008152E5" w:rsidRPr="008152E5">
        <w:rPr>
          <w:rFonts w:cstheme="minorHAnsi"/>
        </w:rPr>
        <w:t xml:space="preserve"> in June 2024 to strengthen</w:t>
      </w:r>
      <w:r w:rsidR="002C593C">
        <w:rPr>
          <w:rFonts w:cstheme="minorHAnsi"/>
        </w:rPr>
        <w:t xml:space="preserve"> the evidence for</w:t>
      </w:r>
      <w:r w:rsidR="008152E5" w:rsidRPr="008152E5">
        <w:rPr>
          <w:rFonts w:cstheme="minorHAnsi"/>
        </w:rPr>
        <w:t xml:space="preserve"> some areas of the </w:t>
      </w:r>
      <w:proofErr w:type="gramStart"/>
      <w:r w:rsidR="008152E5" w:rsidRPr="008152E5">
        <w:rPr>
          <w:rFonts w:cstheme="minorHAnsi"/>
        </w:rPr>
        <w:t>report</w:t>
      </w:r>
      <w:r w:rsidR="002C593C">
        <w:rPr>
          <w:rFonts w:cstheme="minorHAnsi"/>
        </w:rPr>
        <w:t>, and</w:t>
      </w:r>
      <w:proofErr w:type="gramEnd"/>
      <w:r w:rsidR="002C593C">
        <w:rPr>
          <w:rFonts w:cstheme="minorHAnsi"/>
        </w:rPr>
        <w:t xml:space="preserve"> provided a final report in July 2024.</w:t>
      </w:r>
    </w:p>
    <w:p w14:paraId="08F26A3D" w14:textId="56E26463" w:rsidR="00503AD4" w:rsidRDefault="00503AD4" w:rsidP="00524657">
      <w:pPr>
        <w:jc w:val="both"/>
        <w:rPr>
          <w:rFonts w:cstheme="minorHAnsi"/>
        </w:rPr>
      </w:pPr>
      <w:r>
        <w:rPr>
          <w:rFonts w:cstheme="minorHAnsi"/>
        </w:rPr>
        <w:br w:type="page"/>
      </w:r>
    </w:p>
    <w:p w14:paraId="1F36C9F1" w14:textId="2C1961FA" w:rsidR="003D60F5" w:rsidRPr="001C1B82" w:rsidRDefault="00503AD4" w:rsidP="002E4785">
      <w:pPr>
        <w:pStyle w:val="Heading2"/>
        <w:jc w:val="center"/>
      </w:pPr>
      <w:r>
        <w:lastRenderedPageBreak/>
        <w:t>Key findings</w:t>
      </w:r>
    </w:p>
    <w:p w14:paraId="59AE89C7" w14:textId="7A37B8CA" w:rsidR="006A481D" w:rsidRPr="000574CD" w:rsidRDefault="006A481D" w:rsidP="00430701">
      <w:pPr>
        <w:pStyle w:val="Tabletextnormal"/>
        <w:rPr>
          <w:rFonts w:eastAsiaTheme="minorHAnsi"/>
          <w:b/>
          <w:i/>
        </w:rPr>
      </w:pPr>
      <w:r w:rsidRPr="000574CD">
        <w:rPr>
          <w:rFonts w:eastAsiaTheme="minorHAnsi"/>
        </w:rPr>
        <w:t>The evaluation team conclude</w:t>
      </w:r>
      <w:r w:rsidR="001531B9">
        <w:rPr>
          <w:rFonts w:eastAsiaTheme="minorHAnsi"/>
        </w:rPr>
        <w:t>d</w:t>
      </w:r>
      <w:r w:rsidRPr="000574CD">
        <w:rPr>
          <w:rFonts w:eastAsiaTheme="minorHAnsi"/>
        </w:rPr>
        <w:t xml:space="preserve"> there is evidence to confirm the following ratings of DFAT’s investments into the SPC PH</w:t>
      </w:r>
      <w:r w:rsidR="00DB10FC">
        <w:rPr>
          <w:rFonts w:eastAsiaTheme="minorHAnsi"/>
        </w:rPr>
        <w:t>D:</w:t>
      </w:r>
    </w:p>
    <w:p w14:paraId="6B211485" w14:textId="6A8A60C0" w:rsidR="00035693" w:rsidRDefault="00035693" w:rsidP="00430701">
      <w:pPr>
        <w:pStyle w:val="Tabletextnormal"/>
      </w:pPr>
      <w:r w:rsidRPr="000777C4">
        <w:rPr>
          <w:rStyle w:val="Heading4SHSChar"/>
          <w:szCs w:val="36"/>
        </w:rPr>
        <w:t>Table 1</w:t>
      </w:r>
      <w:r w:rsidRPr="000777C4">
        <w:t xml:space="preserve">. Rating of SPC PHD delivery of programs against four agreed criteria </w:t>
      </w:r>
    </w:p>
    <w:tbl>
      <w:tblPr>
        <w:tblStyle w:val="SHSReportTable1"/>
        <w:tblW w:w="7937" w:type="dxa"/>
        <w:tblInd w:w="-5" w:type="dxa"/>
        <w:tblLook w:val="0620" w:firstRow="1" w:lastRow="0" w:firstColumn="0" w:lastColumn="0" w:noHBand="1" w:noVBand="1"/>
      </w:tblPr>
      <w:tblGrid>
        <w:gridCol w:w="3402"/>
        <w:gridCol w:w="4535"/>
      </w:tblGrid>
      <w:tr w:rsidR="003816B0" w14:paraId="13BE9B97" w14:textId="77777777" w:rsidTr="003816B0">
        <w:trPr>
          <w:cnfStyle w:val="100000000000" w:firstRow="1" w:lastRow="0" w:firstColumn="0" w:lastColumn="0" w:oddVBand="0" w:evenVBand="0" w:oddHBand="0" w:evenHBand="0" w:firstRowFirstColumn="0" w:firstRowLastColumn="0" w:lastRowFirstColumn="0" w:lastRowLastColumn="0"/>
        </w:trPr>
        <w:tc>
          <w:tcPr>
            <w:tcW w:w="3402" w:type="dxa"/>
            <w:tcBorders>
              <w:top w:val="single" w:sz="4" w:space="0" w:color="auto"/>
              <w:left w:val="single" w:sz="4" w:space="0" w:color="auto"/>
              <w:bottom w:val="single" w:sz="4" w:space="0" w:color="auto"/>
            </w:tcBorders>
            <w:shd w:val="clear" w:color="auto" w:fill="4472C4" w:themeFill="accent1"/>
          </w:tcPr>
          <w:p w14:paraId="4E00DFB1" w14:textId="77777777" w:rsidR="003816B0" w:rsidRPr="00E95DF3" w:rsidRDefault="003816B0" w:rsidP="00600ED6">
            <w:pPr>
              <w:rPr>
                <w:i/>
                <w:iCs/>
                <w:szCs w:val="22"/>
              </w:rPr>
            </w:pPr>
            <w:r w:rsidRPr="00E95DF3">
              <w:rPr>
                <w:i/>
                <w:iCs/>
                <w:szCs w:val="22"/>
              </w:rPr>
              <w:t>Key Criteria</w:t>
            </w:r>
          </w:p>
        </w:tc>
        <w:tc>
          <w:tcPr>
            <w:tcW w:w="4535" w:type="dxa"/>
            <w:tcBorders>
              <w:top w:val="single" w:sz="4" w:space="0" w:color="auto"/>
              <w:bottom w:val="single" w:sz="4" w:space="0" w:color="auto"/>
              <w:right w:val="single" w:sz="4" w:space="0" w:color="auto"/>
            </w:tcBorders>
            <w:shd w:val="clear" w:color="auto" w:fill="4472C4" w:themeFill="accent1"/>
          </w:tcPr>
          <w:p w14:paraId="12925B20" w14:textId="77777777" w:rsidR="003816B0" w:rsidRPr="00E95DF3" w:rsidRDefault="003816B0" w:rsidP="00600ED6">
            <w:pPr>
              <w:rPr>
                <w:i/>
                <w:iCs/>
                <w:szCs w:val="22"/>
              </w:rPr>
            </w:pPr>
            <w:r w:rsidRPr="00E95DF3">
              <w:rPr>
                <w:i/>
                <w:iCs/>
                <w:szCs w:val="22"/>
              </w:rPr>
              <w:t>Rating</w:t>
            </w:r>
          </w:p>
        </w:tc>
      </w:tr>
      <w:tr w:rsidR="003816B0" w14:paraId="4100B69B" w14:textId="77777777" w:rsidTr="003816B0">
        <w:tc>
          <w:tcPr>
            <w:tcW w:w="3402" w:type="dxa"/>
            <w:tcBorders>
              <w:top w:val="single" w:sz="4" w:space="0" w:color="auto"/>
              <w:left w:val="single" w:sz="4" w:space="0" w:color="auto"/>
              <w:bottom w:val="single" w:sz="4" w:space="0" w:color="auto"/>
              <w:right w:val="single" w:sz="4" w:space="0" w:color="auto"/>
            </w:tcBorders>
          </w:tcPr>
          <w:p w14:paraId="1263B5D7" w14:textId="77777777" w:rsidR="003816B0" w:rsidRPr="00E95DF3" w:rsidRDefault="003816B0" w:rsidP="00600ED6">
            <w:pPr>
              <w:rPr>
                <w:b/>
                <w:bCs/>
                <w:sz w:val="22"/>
                <w:szCs w:val="22"/>
              </w:rPr>
            </w:pPr>
            <w:r w:rsidRPr="00E95DF3">
              <w:rPr>
                <w:b/>
                <w:bCs/>
                <w:sz w:val="22"/>
                <w:szCs w:val="22"/>
              </w:rPr>
              <w:t>Effectiveness</w:t>
            </w:r>
          </w:p>
        </w:tc>
        <w:tc>
          <w:tcPr>
            <w:tcW w:w="4535" w:type="dxa"/>
            <w:tcBorders>
              <w:top w:val="single" w:sz="4" w:space="0" w:color="auto"/>
              <w:left w:val="single" w:sz="4" w:space="0" w:color="auto"/>
              <w:bottom w:val="single" w:sz="4" w:space="0" w:color="auto"/>
              <w:right w:val="single" w:sz="4" w:space="0" w:color="auto"/>
            </w:tcBorders>
            <w:shd w:val="clear" w:color="auto" w:fill="00B050"/>
          </w:tcPr>
          <w:p w14:paraId="1643C59C" w14:textId="77777777" w:rsidR="003816B0" w:rsidRPr="00E95DF3" w:rsidRDefault="003816B0" w:rsidP="00600ED6">
            <w:pPr>
              <w:rPr>
                <w:b/>
                <w:bCs/>
                <w:sz w:val="22"/>
                <w:szCs w:val="22"/>
              </w:rPr>
            </w:pPr>
            <w:r w:rsidRPr="00E95DF3">
              <w:rPr>
                <w:b/>
                <w:bCs/>
                <w:sz w:val="22"/>
                <w:szCs w:val="22"/>
              </w:rPr>
              <w:t>Very Good</w:t>
            </w:r>
          </w:p>
        </w:tc>
      </w:tr>
      <w:tr w:rsidR="003816B0" w14:paraId="02FD2497" w14:textId="77777777" w:rsidTr="003816B0">
        <w:tc>
          <w:tcPr>
            <w:tcW w:w="3402" w:type="dxa"/>
            <w:tcBorders>
              <w:top w:val="single" w:sz="4" w:space="0" w:color="auto"/>
              <w:left w:val="single" w:sz="4" w:space="0" w:color="auto"/>
              <w:bottom w:val="single" w:sz="4" w:space="0" w:color="auto"/>
              <w:right w:val="single" w:sz="4" w:space="0" w:color="auto"/>
            </w:tcBorders>
          </w:tcPr>
          <w:p w14:paraId="536A3658" w14:textId="77777777" w:rsidR="003816B0" w:rsidRPr="00E95DF3" w:rsidRDefault="003816B0" w:rsidP="00600ED6">
            <w:pPr>
              <w:rPr>
                <w:b/>
                <w:bCs/>
                <w:sz w:val="22"/>
                <w:szCs w:val="22"/>
              </w:rPr>
            </w:pPr>
            <w:r w:rsidRPr="00E95DF3">
              <w:rPr>
                <w:b/>
                <w:bCs/>
                <w:sz w:val="22"/>
                <w:szCs w:val="22"/>
              </w:rPr>
              <w:t>Efficiency</w:t>
            </w:r>
          </w:p>
        </w:tc>
        <w:tc>
          <w:tcPr>
            <w:tcW w:w="4535" w:type="dxa"/>
            <w:tcBorders>
              <w:top w:val="single" w:sz="4" w:space="0" w:color="auto"/>
              <w:left w:val="single" w:sz="4" w:space="0" w:color="auto"/>
              <w:bottom w:val="single" w:sz="4" w:space="0" w:color="auto"/>
              <w:right w:val="single" w:sz="4" w:space="0" w:color="auto"/>
            </w:tcBorders>
            <w:shd w:val="clear" w:color="auto" w:fill="92D050"/>
          </w:tcPr>
          <w:p w14:paraId="2CB3A63C" w14:textId="77777777" w:rsidR="003816B0" w:rsidRPr="00E95DF3" w:rsidRDefault="003816B0" w:rsidP="00600ED6">
            <w:pPr>
              <w:rPr>
                <w:b/>
                <w:bCs/>
                <w:sz w:val="22"/>
                <w:szCs w:val="22"/>
              </w:rPr>
            </w:pPr>
            <w:r w:rsidRPr="00E95DF3">
              <w:rPr>
                <w:b/>
                <w:bCs/>
                <w:sz w:val="22"/>
                <w:szCs w:val="22"/>
              </w:rPr>
              <w:t>Good</w:t>
            </w:r>
          </w:p>
        </w:tc>
      </w:tr>
      <w:tr w:rsidR="003816B0" w14:paraId="25B303F3" w14:textId="77777777" w:rsidTr="003816B0">
        <w:tc>
          <w:tcPr>
            <w:tcW w:w="3402" w:type="dxa"/>
            <w:tcBorders>
              <w:top w:val="single" w:sz="4" w:space="0" w:color="auto"/>
              <w:left w:val="single" w:sz="4" w:space="0" w:color="auto"/>
              <w:bottom w:val="single" w:sz="4" w:space="0" w:color="auto"/>
              <w:right w:val="single" w:sz="4" w:space="0" w:color="auto"/>
            </w:tcBorders>
          </w:tcPr>
          <w:p w14:paraId="447171B3" w14:textId="77777777" w:rsidR="003816B0" w:rsidRPr="00E95DF3" w:rsidRDefault="003816B0" w:rsidP="00600ED6">
            <w:pPr>
              <w:rPr>
                <w:b/>
                <w:bCs/>
                <w:sz w:val="22"/>
                <w:szCs w:val="22"/>
              </w:rPr>
            </w:pPr>
            <w:r w:rsidRPr="00E95DF3">
              <w:rPr>
                <w:b/>
                <w:bCs/>
                <w:sz w:val="22"/>
                <w:szCs w:val="22"/>
              </w:rPr>
              <w:t>GEDSI</w:t>
            </w:r>
          </w:p>
        </w:tc>
        <w:tc>
          <w:tcPr>
            <w:tcW w:w="4535" w:type="dxa"/>
            <w:tcBorders>
              <w:top w:val="single" w:sz="4" w:space="0" w:color="auto"/>
              <w:left w:val="single" w:sz="4" w:space="0" w:color="auto"/>
              <w:bottom w:val="single" w:sz="4" w:space="0" w:color="auto"/>
              <w:right w:val="single" w:sz="4" w:space="0" w:color="auto"/>
            </w:tcBorders>
            <w:shd w:val="clear" w:color="auto" w:fill="92D050"/>
            <w:vAlign w:val="center"/>
          </w:tcPr>
          <w:p w14:paraId="4F23A663" w14:textId="77777777" w:rsidR="003816B0" w:rsidRPr="00E95DF3" w:rsidRDefault="003816B0" w:rsidP="00600ED6">
            <w:pPr>
              <w:jc w:val="both"/>
              <w:rPr>
                <w:b/>
                <w:bCs/>
                <w:sz w:val="22"/>
                <w:szCs w:val="22"/>
              </w:rPr>
            </w:pPr>
            <w:r w:rsidRPr="00E95DF3">
              <w:rPr>
                <w:b/>
                <w:bCs/>
                <w:sz w:val="22"/>
                <w:szCs w:val="22"/>
              </w:rPr>
              <w:t>Adequate</w:t>
            </w:r>
          </w:p>
        </w:tc>
      </w:tr>
      <w:tr w:rsidR="003816B0" w14:paraId="5030D140" w14:textId="77777777" w:rsidTr="003816B0">
        <w:tc>
          <w:tcPr>
            <w:tcW w:w="3402" w:type="dxa"/>
            <w:tcBorders>
              <w:top w:val="single" w:sz="4" w:space="0" w:color="auto"/>
              <w:left w:val="single" w:sz="4" w:space="0" w:color="auto"/>
              <w:bottom w:val="single" w:sz="4" w:space="0" w:color="auto"/>
              <w:right w:val="single" w:sz="4" w:space="0" w:color="auto"/>
            </w:tcBorders>
          </w:tcPr>
          <w:p w14:paraId="5FAB4EE7" w14:textId="77777777" w:rsidR="003816B0" w:rsidRPr="00E95DF3" w:rsidRDefault="003816B0" w:rsidP="00600ED6">
            <w:pPr>
              <w:rPr>
                <w:b/>
                <w:bCs/>
                <w:sz w:val="22"/>
                <w:szCs w:val="22"/>
              </w:rPr>
            </w:pPr>
            <w:r w:rsidRPr="00E95DF3">
              <w:rPr>
                <w:b/>
                <w:bCs/>
                <w:sz w:val="22"/>
                <w:szCs w:val="22"/>
              </w:rPr>
              <w:t>Monitoring &amp; Evaluation</w:t>
            </w:r>
          </w:p>
        </w:tc>
        <w:tc>
          <w:tcPr>
            <w:tcW w:w="4535" w:type="dxa"/>
            <w:tcBorders>
              <w:top w:val="single" w:sz="4" w:space="0" w:color="auto"/>
              <w:left w:val="single" w:sz="4" w:space="0" w:color="auto"/>
              <w:bottom w:val="single" w:sz="4" w:space="0" w:color="auto"/>
              <w:right w:val="single" w:sz="4" w:space="0" w:color="auto"/>
            </w:tcBorders>
            <w:shd w:val="clear" w:color="auto" w:fill="FFFF00"/>
            <w:vAlign w:val="center"/>
          </w:tcPr>
          <w:p w14:paraId="49FED4A6" w14:textId="77777777" w:rsidR="003816B0" w:rsidRPr="00E95DF3" w:rsidRDefault="003816B0" w:rsidP="00600ED6">
            <w:pPr>
              <w:rPr>
                <w:b/>
                <w:bCs/>
                <w:sz w:val="22"/>
                <w:szCs w:val="22"/>
              </w:rPr>
            </w:pPr>
            <w:r w:rsidRPr="00E95DF3">
              <w:rPr>
                <w:b/>
                <w:bCs/>
                <w:sz w:val="22"/>
                <w:szCs w:val="22"/>
              </w:rPr>
              <w:t>Less than adequate</w:t>
            </w:r>
          </w:p>
        </w:tc>
      </w:tr>
    </w:tbl>
    <w:p w14:paraId="69BF3C72" w14:textId="382BF7FB" w:rsidR="00C1396D" w:rsidRDefault="00256CD2" w:rsidP="003816B0">
      <w:pPr>
        <w:spacing w:before="360" w:after="80" w:line="250" w:lineRule="atLeast"/>
        <w:jc w:val="both"/>
        <w:rPr>
          <w:rFonts w:eastAsia="Calibri" w:cstheme="minorHAnsi"/>
          <w:kern w:val="2"/>
          <w:szCs w:val="20"/>
          <w:lang w:val="en-ID"/>
          <w14:ligatures w14:val="standardContextual"/>
        </w:rPr>
      </w:pPr>
      <w:r>
        <w:rPr>
          <w:rFonts w:eastAsia="Calibri" w:cstheme="minorHAnsi"/>
          <w:kern w:val="2"/>
          <w:szCs w:val="20"/>
          <w:lang w:val="en-ID"/>
          <w14:ligatures w14:val="standardContextual"/>
        </w:rPr>
        <w:t>The review found evidence that</w:t>
      </w:r>
      <w:r w:rsidR="000E28F5">
        <w:rPr>
          <w:rFonts w:eastAsia="Calibri" w:cstheme="minorHAnsi"/>
          <w:kern w:val="2"/>
          <w:szCs w:val="20"/>
          <w:lang w:val="en-ID"/>
          <w14:ligatures w14:val="standardContextual"/>
        </w:rPr>
        <w:t>,</w:t>
      </w:r>
      <w:r>
        <w:rPr>
          <w:rFonts w:eastAsia="Calibri" w:cstheme="minorHAnsi"/>
          <w:kern w:val="2"/>
          <w:szCs w:val="20"/>
          <w:lang w:val="en-ID"/>
          <w14:ligatures w14:val="standardContextual"/>
        </w:rPr>
        <w:t xml:space="preserve"> through DFAT’s support</w:t>
      </w:r>
      <w:r w:rsidR="00D21900">
        <w:rPr>
          <w:rFonts w:eastAsia="Calibri" w:cstheme="minorHAnsi"/>
          <w:kern w:val="2"/>
          <w:szCs w:val="20"/>
          <w:lang w:val="en-ID"/>
          <w14:ligatures w14:val="standardContextual"/>
        </w:rPr>
        <w:t xml:space="preserve"> during the period,</w:t>
      </w:r>
      <w:r w:rsidR="00BC245A" w:rsidRPr="00A96273">
        <w:rPr>
          <w:rFonts w:eastAsia="Calibri" w:cstheme="minorHAnsi"/>
          <w:kern w:val="2"/>
          <w:szCs w:val="20"/>
          <w:lang w:val="en-ID"/>
          <w14:ligatures w14:val="standardContextual"/>
        </w:rPr>
        <w:t xml:space="preserve"> </w:t>
      </w:r>
      <w:r w:rsidR="00CF1F9F">
        <w:rPr>
          <w:rFonts w:eastAsia="Calibri" w:cstheme="minorHAnsi"/>
          <w:kern w:val="2"/>
          <w:szCs w:val="20"/>
          <w:lang w:val="en-ID"/>
          <w14:ligatures w14:val="standardContextual"/>
        </w:rPr>
        <w:t>SPC PHD</w:t>
      </w:r>
      <w:r w:rsidR="00D21900">
        <w:rPr>
          <w:rFonts w:eastAsia="Calibri" w:cstheme="minorHAnsi"/>
          <w:kern w:val="2"/>
          <w:szCs w:val="20"/>
          <w:lang w:val="en-ID"/>
          <w14:ligatures w14:val="standardContextual"/>
        </w:rPr>
        <w:t xml:space="preserve"> </w:t>
      </w:r>
      <w:r w:rsidR="00CF1F9F">
        <w:rPr>
          <w:rFonts w:eastAsia="Calibri" w:cstheme="minorHAnsi"/>
          <w:kern w:val="2"/>
          <w:szCs w:val="20"/>
          <w:lang w:val="en-ID"/>
          <w14:ligatures w14:val="standardContextual"/>
        </w:rPr>
        <w:t>had</w:t>
      </w:r>
      <w:r w:rsidR="00C1396D">
        <w:rPr>
          <w:rFonts w:eastAsia="Calibri" w:cstheme="minorHAnsi"/>
          <w:kern w:val="2"/>
          <w:szCs w:val="20"/>
          <w:lang w:val="en-ID"/>
          <w14:ligatures w14:val="standardContextual"/>
        </w:rPr>
        <w:t>:</w:t>
      </w:r>
    </w:p>
    <w:p w14:paraId="1BFE4416" w14:textId="77777777" w:rsidR="00C1396D" w:rsidRPr="00C1396D" w:rsidRDefault="00D21900" w:rsidP="00524657">
      <w:pPr>
        <w:pStyle w:val="ListParagraph"/>
        <w:numPr>
          <w:ilvl w:val="0"/>
          <w:numId w:val="8"/>
        </w:numPr>
        <w:spacing w:before="80" w:after="80" w:line="250" w:lineRule="atLeast"/>
        <w:jc w:val="both"/>
        <w:rPr>
          <w:rFonts w:cstheme="minorHAnsi"/>
        </w:rPr>
      </w:pPr>
      <w:r w:rsidRPr="00C1396D">
        <w:rPr>
          <w:rFonts w:eastAsia="Calibri" w:cstheme="minorHAnsi"/>
          <w:kern w:val="2"/>
          <w:szCs w:val="20"/>
          <w:lang w:val="en-ID"/>
          <w14:ligatures w14:val="standardContextual"/>
        </w:rPr>
        <w:t xml:space="preserve">strengthened </w:t>
      </w:r>
      <w:r>
        <w:t>health political leadership and governance</w:t>
      </w:r>
      <w:r w:rsidR="000B7A2D">
        <w:t xml:space="preserve">, </w:t>
      </w:r>
    </w:p>
    <w:p w14:paraId="41B650B4" w14:textId="77777777" w:rsidR="00C1396D" w:rsidRPr="00C1396D" w:rsidRDefault="000B7A2D" w:rsidP="00524657">
      <w:pPr>
        <w:pStyle w:val="ListParagraph"/>
        <w:numPr>
          <w:ilvl w:val="0"/>
          <w:numId w:val="8"/>
        </w:numPr>
        <w:spacing w:before="80" w:after="80" w:line="250" w:lineRule="atLeast"/>
        <w:jc w:val="both"/>
        <w:rPr>
          <w:rFonts w:cstheme="minorHAnsi"/>
        </w:rPr>
      </w:pPr>
      <w:r>
        <w:t xml:space="preserve">strengthened health policy and legislation, </w:t>
      </w:r>
    </w:p>
    <w:p w14:paraId="41F21E83" w14:textId="2511A3D2" w:rsidR="00256CD2" w:rsidRPr="00C1396D" w:rsidRDefault="002E643D" w:rsidP="00524657">
      <w:pPr>
        <w:pStyle w:val="ListParagraph"/>
        <w:numPr>
          <w:ilvl w:val="0"/>
          <w:numId w:val="8"/>
        </w:numPr>
        <w:spacing w:before="80" w:after="80" w:line="250" w:lineRule="atLeast"/>
        <w:jc w:val="both"/>
        <w:rPr>
          <w:rFonts w:cstheme="minorHAnsi"/>
        </w:rPr>
      </w:pPr>
      <w:r>
        <w:t>e</w:t>
      </w:r>
      <w:r w:rsidR="000B7A2D">
        <w:t>nhanced multi-sectorial engagement to improve consultation, collaboration, and understanding of community health needs</w:t>
      </w:r>
      <w:r>
        <w:t>, and</w:t>
      </w:r>
    </w:p>
    <w:p w14:paraId="3C1CB10C" w14:textId="0B57CB21" w:rsidR="004A0346" w:rsidRPr="006A481D" w:rsidRDefault="002E643D" w:rsidP="00524657">
      <w:pPr>
        <w:pStyle w:val="ListParagraph"/>
        <w:numPr>
          <w:ilvl w:val="0"/>
          <w:numId w:val="8"/>
        </w:numPr>
        <w:spacing w:before="80" w:after="80" w:line="250" w:lineRule="atLeast"/>
        <w:jc w:val="both"/>
        <w:rPr>
          <w:rFonts w:cstheme="minorHAnsi"/>
        </w:rPr>
      </w:pPr>
      <w:r>
        <w:t>s</w:t>
      </w:r>
      <w:r w:rsidR="00C1396D">
        <w:t>trengthened knowledge and skills in evidence-based decision making</w:t>
      </w:r>
      <w:r>
        <w:t>.</w:t>
      </w:r>
    </w:p>
    <w:p w14:paraId="0B30895C" w14:textId="14DD0739" w:rsidR="004A0346" w:rsidRPr="004A0346" w:rsidRDefault="004A0346" w:rsidP="00524657">
      <w:pPr>
        <w:spacing w:before="80" w:after="80" w:line="250" w:lineRule="atLeast"/>
        <w:jc w:val="both"/>
        <w:rPr>
          <w:rFonts w:cstheme="minorHAnsi"/>
        </w:rPr>
      </w:pPr>
      <w:r>
        <w:rPr>
          <w:rFonts w:cstheme="minorHAnsi"/>
        </w:rPr>
        <w:t xml:space="preserve">However, the review found that assessing the overall effectiveness of </w:t>
      </w:r>
      <w:r w:rsidR="00BA48BA">
        <w:rPr>
          <w:rFonts w:cstheme="minorHAnsi"/>
        </w:rPr>
        <w:t>SPC PHD’s work was hampered by weaknesses in monitoring evaluation and learning,</w:t>
      </w:r>
      <w:r w:rsidR="00821E52">
        <w:rPr>
          <w:rFonts w:cstheme="minorHAnsi"/>
        </w:rPr>
        <w:t xml:space="preserve"> particularly the lack of a baseline, end of program outcomes</w:t>
      </w:r>
      <w:r w:rsidR="00810759">
        <w:rPr>
          <w:rFonts w:cstheme="minorHAnsi"/>
        </w:rPr>
        <w:t>,</w:t>
      </w:r>
      <w:r w:rsidR="00821E52">
        <w:rPr>
          <w:rFonts w:cstheme="minorHAnsi"/>
        </w:rPr>
        <w:t xml:space="preserve"> and intermediate outcomes (EOPOs and IOs).</w:t>
      </w:r>
    </w:p>
    <w:p w14:paraId="439677B0" w14:textId="729417D9" w:rsidR="00C01B6B" w:rsidRPr="00A96273" w:rsidRDefault="003D60F5" w:rsidP="00524657">
      <w:pPr>
        <w:spacing w:line="240" w:lineRule="auto"/>
        <w:jc w:val="both"/>
        <w:rPr>
          <w:rFonts w:ascii="Calibri" w:hAnsi="Calibri" w:cs="Calibri"/>
          <w:lang w:val="en-ID"/>
        </w:rPr>
      </w:pPr>
      <w:r w:rsidRPr="00A96273">
        <w:rPr>
          <w:rFonts w:ascii="Calibri" w:hAnsi="Calibri" w:cs="Calibri"/>
          <w:lang w:val="en-ID"/>
        </w:rPr>
        <w:t>Detailed responses and the action plan against each of the recommendations from the evaluation is provided in the table on the next page.</w:t>
      </w:r>
    </w:p>
    <w:p w14:paraId="609799BB" w14:textId="4CE6111A" w:rsidR="00F1253F" w:rsidRPr="00F1253F" w:rsidRDefault="00F1253F" w:rsidP="00F1253F">
      <w:pPr>
        <w:rPr>
          <w:rFonts w:asciiTheme="majorHAnsi" w:hAnsiTheme="majorHAnsi" w:cstheme="majorHAnsi"/>
          <w:lang w:val="en-ID"/>
        </w:rPr>
        <w:sectPr w:rsidR="00F1253F" w:rsidRPr="00F1253F" w:rsidSect="0036151A">
          <w:headerReference w:type="default" r:id="rId8"/>
          <w:footerReference w:type="default" r:id="rId9"/>
          <w:pgSz w:w="12240" w:h="15840"/>
          <w:pgMar w:top="1440" w:right="1440" w:bottom="720" w:left="1440" w:header="720" w:footer="720" w:gutter="0"/>
          <w:cols w:space="720"/>
          <w:docGrid w:linePitch="360"/>
        </w:sectPr>
      </w:pPr>
    </w:p>
    <w:p w14:paraId="20975D36" w14:textId="15609AD1" w:rsidR="003D60F5" w:rsidRPr="001C1B82" w:rsidRDefault="003D60F5" w:rsidP="002E4785">
      <w:pPr>
        <w:pStyle w:val="Heading2"/>
      </w:pPr>
      <w:r w:rsidRPr="002E4785">
        <w:lastRenderedPageBreak/>
        <w:t>Individual</w:t>
      </w:r>
      <w:r w:rsidRPr="001C1B82">
        <w:t xml:space="preserve"> management response to the summary of recommendations</w:t>
      </w:r>
    </w:p>
    <w:tbl>
      <w:tblPr>
        <w:tblStyle w:val="TableGrid"/>
        <w:tblW w:w="14305" w:type="dxa"/>
        <w:tblLook w:val="04A0" w:firstRow="1" w:lastRow="0" w:firstColumn="1" w:lastColumn="0" w:noHBand="0" w:noVBand="1"/>
      </w:tblPr>
      <w:tblGrid>
        <w:gridCol w:w="1841"/>
        <w:gridCol w:w="4108"/>
        <w:gridCol w:w="1134"/>
        <w:gridCol w:w="5974"/>
        <w:gridCol w:w="1248"/>
      </w:tblGrid>
      <w:tr w:rsidR="00B7075E" w:rsidRPr="00225182" w14:paraId="3F807A7E" w14:textId="77777777" w:rsidTr="00720F06">
        <w:trPr>
          <w:tblHeader/>
        </w:trPr>
        <w:tc>
          <w:tcPr>
            <w:tcW w:w="1841" w:type="dxa"/>
            <w:shd w:val="clear" w:color="auto" w:fill="D0CECE" w:themeFill="background2" w:themeFillShade="E6"/>
          </w:tcPr>
          <w:p w14:paraId="64F1BBE3" w14:textId="7D6DF8D2" w:rsidR="003D60F5" w:rsidRPr="00DB50C7" w:rsidRDefault="003D60F5" w:rsidP="003D60F5">
            <w:pPr>
              <w:rPr>
                <w:rFonts w:cstheme="minorHAnsi"/>
              </w:rPr>
            </w:pPr>
            <w:r w:rsidRPr="00DB50C7">
              <w:rPr>
                <w:rFonts w:cstheme="minorHAnsi"/>
                <w:b/>
                <w:bCs/>
                <w:lang w:val="en-US"/>
              </w:rPr>
              <w:t>Recommendation</w:t>
            </w:r>
          </w:p>
        </w:tc>
        <w:tc>
          <w:tcPr>
            <w:tcW w:w="4108" w:type="dxa"/>
            <w:shd w:val="clear" w:color="auto" w:fill="D0CECE" w:themeFill="background2" w:themeFillShade="E6"/>
          </w:tcPr>
          <w:p w14:paraId="28C1D53F" w14:textId="7EEF8121" w:rsidR="003D60F5" w:rsidRPr="00DB50C7" w:rsidRDefault="003D60F5" w:rsidP="003D60F5">
            <w:pPr>
              <w:rPr>
                <w:rFonts w:cstheme="minorHAnsi"/>
              </w:rPr>
            </w:pPr>
            <w:r w:rsidRPr="00DB50C7">
              <w:rPr>
                <w:rFonts w:cstheme="minorHAnsi"/>
                <w:b/>
                <w:bCs/>
                <w:lang w:val="en-US"/>
              </w:rPr>
              <w:t>Summary</w:t>
            </w:r>
          </w:p>
        </w:tc>
        <w:tc>
          <w:tcPr>
            <w:tcW w:w="1134" w:type="dxa"/>
            <w:shd w:val="clear" w:color="auto" w:fill="D0CECE" w:themeFill="background2" w:themeFillShade="E6"/>
          </w:tcPr>
          <w:p w14:paraId="2F1EAD4D" w14:textId="4539BE1B" w:rsidR="003D60F5" w:rsidRPr="00DB50C7" w:rsidRDefault="003D60F5" w:rsidP="003D60F5">
            <w:pPr>
              <w:rPr>
                <w:rFonts w:cstheme="minorHAnsi"/>
              </w:rPr>
            </w:pPr>
            <w:r w:rsidRPr="00DB50C7">
              <w:rPr>
                <w:rFonts w:cstheme="minorHAnsi"/>
                <w:b/>
                <w:bCs/>
                <w:lang w:val="en-US"/>
              </w:rPr>
              <w:t>Response</w:t>
            </w:r>
          </w:p>
        </w:tc>
        <w:tc>
          <w:tcPr>
            <w:tcW w:w="5974" w:type="dxa"/>
            <w:shd w:val="clear" w:color="auto" w:fill="D0CECE" w:themeFill="background2" w:themeFillShade="E6"/>
          </w:tcPr>
          <w:p w14:paraId="46EB2D87" w14:textId="533EFA08" w:rsidR="003D60F5" w:rsidRPr="00DB50C7" w:rsidRDefault="003D60F5" w:rsidP="003D60F5">
            <w:pPr>
              <w:rPr>
                <w:rFonts w:cstheme="minorHAnsi"/>
              </w:rPr>
            </w:pPr>
            <w:r w:rsidRPr="00DB50C7">
              <w:rPr>
                <w:rFonts w:cstheme="minorHAnsi"/>
                <w:b/>
                <w:bCs/>
                <w:lang w:val="en-US"/>
              </w:rPr>
              <w:t>Action Plan</w:t>
            </w:r>
          </w:p>
        </w:tc>
        <w:tc>
          <w:tcPr>
            <w:tcW w:w="1248" w:type="dxa"/>
            <w:shd w:val="clear" w:color="auto" w:fill="D0CECE" w:themeFill="background2" w:themeFillShade="E6"/>
          </w:tcPr>
          <w:p w14:paraId="473E639E" w14:textId="320AF826" w:rsidR="003D60F5" w:rsidRPr="00DB50C7" w:rsidRDefault="003D60F5" w:rsidP="003D60F5">
            <w:pPr>
              <w:rPr>
                <w:rFonts w:cstheme="minorHAnsi"/>
              </w:rPr>
            </w:pPr>
            <w:r w:rsidRPr="00DB50C7">
              <w:rPr>
                <w:rFonts w:cstheme="minorHAnsi"/>
                <w:b/>
                <w:bCs/>
                <w:lang w:val="en-US"/>
              </w:rPr>
              <w:t>Timeframe</w:t>
            </w:r>
          </w:p>
        </w:tc>
      </w:tr>
      <w:tr w:rsidR="00B7075E" w:rsidRPr="00225182" w14:paraId="6D94647A" w14:textId="77777777" w:rsidTr="00720F06">
        <w:tc>
          <w:tcPr>
            <w:tcW w:w="1841" w:type="dxa"/>
            <w:shd w:val="clear" w:color="auto" w:fill="F2F2F2" w:themeFill="background1" w:themeFillShade="F2"/>
          </w:tcPr>
          <w:p w14:paraId="3EE8024C" w14:textId="20D501F1" w:rsidR="003D60F5" w:rsidRPr="00DB50C7" w:rsidRDefault="00B579D3" w:rsidP="003D60F5">
            <w:pPr>
              <w:rPr>
                <w:rFonts w:cstheme="minorHAnsi"/>
              </w:rPr>
            </w:pPr>
            <w:r w:rsidRPr="00DB50C7">
              <w:rPr>
                <w:rFonts w:cstheme="minorHAnsi"/>
                <w:b/>
                <w:bCs/>
                <w:lang w:val="en-US"/>
              </w:rPr>
              <w:t>Effectiveness</w:t>
            </w:r>
          </w:p>
        </w:tc>
        <w:tc>
          <w:tcPr>
            <w:tcW w:w="4108" w:type="dxa"/>
            <w:shd w:val="clear" w:color="auto" w:fill="F2F2F2" w:themeFill="background1" w:themeFillShade="F2"/>
          </w:tcPr>
          <w:p w14:paraId="64486A00" w14:textId="77777777" w:rsidR="006E3A6E" w:rsidRPr="00DB50C7" w:rsidRDefault="006E3A6E" w:rsidP="00090A67">
            <w:pPr>
              <w:pStyle w:val="bullet"/>
              <w:numPr>
                <w:ilvl w:val="0"/>
                <w:numId w:val="0"/>
              </w:numPr>
              <w:spacing w:after="160" w:line="259" w:lineRule="auto"/>
              <w:contextualSpacing/>
              <w:rPr>
                <w:rFonts w:cstheme="minorHAnsi"/>
                <w:szCs w:val="22"/>
              </w:rPr>
            </w:pPr>
            <w:r w:rsidRPr="00DB50C7">
              <w:rPr>
                <w:rFonts w:cstheme="minorHAnsi"/>
                <w:szCs w:val="22"/>
              </w:rPr>
              <w:t xml:space="preserve">DFAT to continue supporting PHD, through flexible funding arrangements, including additional technical health experts, however future investments should clearly identify reporting requirements, IOs and EOPOs relevant to the funding arrangement with clearly articulated indicators and baselines for cumulative reporting and trend analysis over time. </w:t>
            </w:r>
          </w:p>
          <w:p w14:paraId="65AD053C" w14:textId="6B3ED398" w:rsidR="003D60F5" w:rsidRPr="00DB50C7" w:rsidRDefault="003D60F5" w:rsidP="00090A67">
            <w:pPr>
              <w:spacing w:before="60" w:after="60" w:line="259" w:lineRule="auto"/>
              <w:contextualSpacing/>
              <w:rPr>
                <w:rFonts w:eastAsia="Calibri" w:cstheme="minorHAnsi"/>
                <w:kern w:val="2"/>
                <w:lang w:val="en-ID"/>
                <w14:ligatures w14:val="standardContextual"/>
              </w:rPr>
            </w:pPr>
          </w:p>
        </w:tc>
        <w:tc>
          <w:tcPr>
            <w:tcW w:w="1134" w:type="dxa"/>
            <w:shd w:val="clear" w:color="auto" w:fill="A8D08D" w:themeFill="accent6" w:themeFillTint="99"/>
          </w:tcPr>
          <w:p w14:paraId="39AEB0A7" w14:textId="413033B9" w:rsidR="003D60F5" w:rsidRPr="00DB50C7" w:rsidRDefault="003D60F5" w:rsidP="003D60F5">
            <w:pPr>
              <w:rPr>
                <w:rFonts w:cstheme="minorHAnsi"/>
              </w:rPr>
            </w:pPr>
            <w:r w:rsidRPr="00DB50C7">
              <w:rPr>
                <w:rFonts w:cstheme="minorHAnsi"/>
                <w:lang w:val="en-US"/>
              </w:rPr>
              <w:t>Agree</w:t>
            </w:r>
          </w:p>
        </w:tc>
        <w:tc>
          <w:tcPr>
            <w:tcW w:w="5974" w:type="dxa"/>
            <w:shd w:val="clear" w:color="auto" w:fill="F2F2F2" w:themeFill="background1" w:themeFillShade="F2"/>
          </w:tcPr>
          <w:p w14:paraId="11AAAD18" w14:textId="2F729D6E" w:rsidR="003D60F5" w:rsidRPr="00CF5DEC" w:rsidRDefault="004C4D57" w:rsidP="00E31539">
            <w:pPr>
              <w:spacing w:after="160"/>
              <w:rPr>
                <w:rFonts w:eastAsiaTheme="minorEastAsia" w:cstheme="minorHAnsi"/>
                <w:lang w:val="en-US"/>
              </w:rPr>
            </w:pPr>
            <w:r>
              <w:rPr>
                <w:rFonts w:eastAsiaTheme="minorEastAsia" w:cstheme="minorHAnsi"/>
                <w:lang w:val="en-US"/>
              </w:rPr>
              <w:t>DFAT will provide a</w:t>
            </w:r>
            <w:r w:rsidR="00223A5B" w:rsidRPr="00CF5DEC">
              <w:rPr>
                <w:rFonts w:eastAsiaTheme="minorEastAsia" w:cstheme="minorHAnsi"/>
                <w:lang w:val="en-US"/>
              </w:rPr>
              <w:t xml:space="preserve">dditional funding for </w:t>
            </w:r>
            <w:r w:rsidR="005C133D">
              <w:rPr>
                <w:rFonts w:eastAsiaTheme="minorEastAsia" w:cstheme="minorHAnsi"/>
                <w:lang w:val="en-US"/>
              </w:rPr>
              <w:t>PHD</w:t>
            </w:r>
            <w:r w:rsidR="00223A5B" w:rsidRPr="00CF5DEC">
              <w:rPr>
                <w:rFonts w:eastAsiaTheme="minorEastAsia" w:cstheme="minorHAnsi"/>
                <w:lang w:val="en-US"/>
              </w:rPr>
              <w:t xml:space="preserve"> to cover Business Plan activities, including the critical coordination of regional governance mechanisms </w:t>
            </w:r>
            <w:r w:rsidR="00C509CB" w:rsidRPr="00CF5DEC">
              <w:rPr>
                <w:rFonts w:eastAsiaTheme="minorEastAsia" w:cstheme="minorHAnsi"/>
                <w:lang w:val="en-US"/>
              </w:rPr>
              <w:t>(previously under 69292/62</w:t>
            </w:r>
            <w:r w:rsidR="007A0DDE" w:rsidRPr="00CF5DEC">
              <w:rPr>
                <w:rFonts w:eastAsiaTheme="minorEastAsia" w:cstheme="minorHAnsi"/>
                <w:lang w:val="en-US"/>
              </w:rPr>
              <w:t>, ended June 2024</w:t>
            </w:r>
            <w:r w:rsidR="00C509CB" w:rsidRPr="00CF5DEC">
              <w:rPr>
                <w:rFonts w:eastAsiaTheme="minorEastAsia" w:cstheme="minorHAnsi"/>
                <w:lang w:val="en-US"/>
              </w:rPr>
              <w:t>)</w:t>
            </w:r>
            <w:r w:rsidR="001C2980">
              <w:rPr>
                <w:rFonts w:eastAsiaTheme="minorEastAsia" w:cstheme="minorHAnsi"/>
                <w:lang w:val="en-US"/>
              </w:rPr>
              <w:t xml:space="preserve"> and incorporating </w:t>
            </w:r>
            <w:r w:rsidR="00B960F4">
              <w:rPr>
                <w:rFonts w:eastAsiaTheme="minorEastAsia" w:cstheme="minorHAnsi"/>
                <w:lang w:val="en-US"/>
              </w:rPr>
              <w:t>this</w:t>
            </w:r>
            <w:r w:rsidR="00223A5B" w:rsidRPr="00CF5DEC">
              <w:rPr>
                <w:rFonts w:eastAsiaTheme="minorEastAsia" w:cstheme="minorHAnsi"/>
                <w:lang w:val="en-US"/>
              </w:rPr>
              <w:t xml:space="preserve"> into </w:t>
            </w:r>
            <w:r w:rsidR="00FC7069">
              <w:rPr>
                <w:rFonts w:eastAsiaTheme="minorEastAsia" w:cstheme="minorHAnsi"/>
                <w:lang w:val="en-US"/>
              </w:rPr>
              <w:t xml:space="preserve">the </w:t>
            </w:r>
            <w:r w:rsidR="00F05C2A" w:rsidRPr="00CF5DEC">
              <w:rPr>
                <w:rFonts w:eastAsiaTheme="minorEastAsia" w:cstheme="minorHAnsi"/>
                <w:lang w:val="en-US"/>
              </w:rPr>
              <w:t>existing flexible funding arrangement on technical support</w:t>
            </w:r>
            <w:r w:rsidR="00D34C22" w:rsidRPr="00CF5DEC">
              <w:rPr>
                <w:rFonts w:eastAsiaTheme="minorEastAsia" w:cstheme="minorHAnsi"/>
                <w:lang w:val="en-US"/>
              </w:rPr>
              <w:t xml:space="preserve"> and extending in-country delivery approaches</w:t>
            </w:r>
            <w:r w:rsidR="00C364AE" w:rsidRPr="00CF5DEC">
              <w:rPr>
                <w:rFonts w:eastAsiaTheme="minorEastAsia" w:cstheme="minorHAnsi"/>
                <w:lang w:val="en-US"/>
              </w:rPr>
              <w:t xml:space="preserve"> </w:t>
            </w:r>
            <w:r w:rsidR="00C509CB" w:rsidRPr="00CF5DEC">
              <w:rPr>
                <w:rFonts w:eastAsiaTheme="minorEastAsia" w:cstheme="minorHAnsi"/>
                <w:lang w:val="en-US"/>
              </w:rPr>
              <w:t>(69294/7</w:t>
            </w:r>
            <w:r w:rsidR="00EE4564" w:rsidRPr="00CF5DEC">
              <w:rPr>
                <w:rFonts w:eastAsiaTheme="minorEastAsia" w:cstheme="minorHAnsi"/>
                <w:lang w:val="en-US"/>
              </w:rPr>
              <w:t>7)</w:t>
            </w:r>
            <w:r w:rsidR="00D34C22" w:rsidRPr="00CF5DEC">
              <w:rPr>
                <w:rFonts w:eastAsiaTheme="minorEastAsia" w:cstheme="minorHAnsi"/>
                <w:lang w:val="en-US"/>
              </w:rPr>
              <w:t xml:space="preserve">. </w:t>
            </w:r>
          </w:p>
          <w:p w14:paraId="77517D52" w14:textId="64EAA0E3" w:rsidR="003F2884" w:rsidRPr="00DB50C7" w:rsidRDefault="002A578C" w:rsidP="00E31539">
            <w:pPr>
              <w:spacing w:after="160"/>
              <w:rPr>
                <w:rFonts w:eastAsiaTheme="minorEastAsia" w:cstheme="minorHAnsi"/>
                <w:lang w:val="en-US"/>
              </w:rPr>
            </w:pPr>
            <w:r>
              <w:rPr>
                <w:rFonts w:eastAsiaTheme="minorEastAsia" w:cstheme="minorHAnsi"/>
                <w:lang w:val="en-US"/>
              </w:rPr>
              <w:t>DFAT will ensure t</w:t>
            </w:r>
            <w:r w:rsidR="003F2884" w:rsidRPr="00DB50C7">
              <w:rPr>
                <w:rFonts w:eastAsiaTheme="minorEastAsia" w:cstheme="minorHAnsi"/>
                <w:lang w:val="en-US"/>
              </w:rPr>
              <w:t>he refreshed design include</w:t>
            </w:r>
            <w:r>
              <w:rPr>
                <w:rFonts w:eastAsiaTheme="minorEastAsia" w:cstheme="minorHAnsi"/>
                <w:lang w:val="en-US"/>
              </w:rPr>
              <w:t>s</w:t>
            </w:r>
            <w:r w:rsidR="003F2884" w:rsidRPr="00DB50C7">
              <w:rPr>
                <w:rFonts w:eastAsiaTheme="minorEastAsia" w:cstheme="minorHAnsi"/>
                <w:lang w:val="en-US"/>
              </w:rPr>
              <w:t xml:space="preserve"> clearly identified reporting requirements, I</w:t>
            </w:r>
            <w:r w:rsidR="004F4880">
              <w:rPr>
                <w:rFonts w:eastAsiaTheme="minorEastAsia" w:cstheme="minorHAnsi"/>
                <w:lang w:val="en-US"/>
              </w:rPr>
              <w:t>O</w:t>
            </w:r>
            <w:r w:rsidR="003F2884" w:rsidRPr="00DB50C7">
              <w:rPr>
                <w:rFonts w:eastAsiaTheme="minorEastAsia" w:cstheme="minorHAnsi"/>
                <w:lang w:val="en-US"/>
              </w:rPr>
              <w:t>s and EOPOs, and the requirement for SPC</w:t>
            </w:r>
            <w:r w:rsidR="00B7075E" w:rsidRPr="00DB50C7">
              <w:rPr>
                <w:rFonts w:eastAsiaTheme="minorEastAsia" w:cstheme="minorHAnsi"/>
                <w:lang w:val="en-US"/>
              </w:rPr>
              <w:t xml:space="preserve"> PHD to provide a baseline.</w:t>
            </w:r>
          </w:p>
          <w:p w14:paraId="7DBBD90C" w14:textId="70984AAA" w:rsidR="00D34C22" w:rsidRPr="00DB50C7" w:rsidRDefault="00F40943" w:rsidP="00F40943">
            <w:pPr>
              <w:spacing w:after="160"/>
              <w:rPr>
                <w:rFonts w:cstheme="minorHAnsi"/>
                <w:lang w:val="en-ID"/>
              </w:rPr>
            </w:pPr>
            <w:r w:rsidRPr="00DB50C7">
              <w:rPr>
                <w:rFonts w:eastAsiaTheme="minorEastAsia" w:cstheme="minorHAnsi"/>
                <w:lang w:val="en-US"/>
              </w:rPr>
              <w:t>C</w:t>
            </w:r>
            <w:r w:rsidR="00D34C22" w:rsidRPr="00DB50C7">
              <w:rPr>
                <w:rFonts w:eastAsiaTheme="minorEastAsia" w:cstheme="minorHAnsi"/>
                <w:lang w:val="en-US"/>
              </w:rPr>
              <w:t>ombining these two program</w:t>
            </w:r>
            <w:r w:rsidR="004E5039" w:rsidRPr="00DB50C7">
              <w:rPr>
                <w:rFonts w:eastAsiaTheme="minorEastAsia" w:cstheme="minorHAnsi"/>
                <w:lang w:val="en-US"/>
              </w:rPr>
              <w:t xml:space="preserve"> agreements will consolidate most of SPC PHD’s activities under a single </w:t>
            </w:r>
            <w:r w:rsidR="007D4E76">
              <w:rPr>
                <w:rFonts w:eastAsiaTheme="minorEastAsia" w:cstheme="minorHAnsi"/>
                <w:lang w:val="en-US"/>
              </w:rPr>
              <w:t xml:space="preserve">program </w:t>
            </w:r>
            <w:r w:rsidR="004E5039" w:rsidRPr="00DB50C7">
              <w:rPr>
                <w:rFonts w:eastAsiaTheme="minorEastAsia" w:cstheme="minorHAnsi"/>
                <w:lang w:val="en-US"/>
              </w:rPr>
              <w:t>funding agreement at the regional level, with all small project agreements to lapse by December 2024, except the one providing</w:t>
            </w:r>
            <w:r w:rsidR="006B6687" w:rsidRPr="00DB50C7">
              <w:rPr>
                <w:rFonts w:eastAsiaTheme="minorEastAsia" w:cstheme="minorHAnsi"/>
                <w:lang w:val="en-US"/>
              </w:rPr>
              <w:t xml:space="preserve"> </w:t>
            </w:r>
            <w:r w:rsidRPr="00DB50C7">
              <w:rPr>
                <w:rFonts w:eastAsiaTheme="minorEastAsia" w:cstheme="minorHAnsi"/>
                <w:lang w:val="en-US"/>
              </w:rPr>
              <w:t>support to the Pacific Clinical Services and Health Workforce Improvement Program (PCSHWIP) Phase 2.</w:t>
            </w:r>
            <w:r w:rsidR="00B141D4">
              <w:rPr>
                <w:rFonts w:eastAsiaTheme="minorEastAsia" w:cstheme="minorHAnsi"/>
                <w:lang w:val="en-US"/>
              </w:rPr>
              <w:t xml:space="preserve"> </w:t>
            </w:r>
          </w:p>
        </w:tc>
        <w:tc>
          <w:tcPr>
            <w:tcW w:w="1248" w:type="dxa"/>
            <w:shd w:val="clear" w:color="auto" w:fill="F2F2F2" w:themeFill="background1" w:themeFillShade="F2"/>
          </w:tcPr>
          <w:p w14:paraId="2A828E28" w14:textId="19D69B17" w:rsidR="003D60F5" w:rsidRPr="00DB50C7" w:rsidRDefault="003D60F5" w:rsidP="003D60F5">
            <w:pPr>
              <w:rPr>
                <w:rFonts w:cstheme="minorHAnsi"/>
              </w:rPr>
            </w:pPr>
            <w:r w:rsidRPr="00DB50C7">
              <w:rPr>
                <w:rFonts w:cstheme="minorHAnsi"/>
                <w:lang w:val="en-US"/>
              </w:rPr>
              <w:t xml:space="preserve">By </w:t>
            </w:r>
            <w:r w:rsidR="00223A5B" w:rsidRPr="00DB50C7">
              <w:rPr>
                <w:rFonts w:cstheme="minorHAnsi"/>
                <w:lang w:val="en-US"/>
              </w:rPr>
              <w:t xml:space="preserve">September </w:t>
            </w:r>
            <w:r w:rsidRPr="00DB50C7">
              <w:rPr>
                <w:rFonts w:cstheme="minorHAnsi"/>
                <w:lang w:val="en-US"/>
              </w:rPr>
              <w:t>2024</w:t>
            </w:r>
          </w:p>
        </w:tc>
      </w:tr>
      <w:tr w:rsidR="00B7075E" w:rsidRPr="00225182" w14:paraId="1E34EA14" w14:textId="77777777" w:rsidTr="00720F06">
        <w:tc>
          <w:tcPr>
            <w:tcW w:w="1841" w:type="dxa"/>
            <w:shd w:val="clear" w:color="auto" w:fill="F2F2F2" w:themeFill="background1" w:themeFillShade="F2"/>
          </w:tcPr>
          <w:p w14:paraId="70DF9540" w14:textId="681C1293" w:rsidR="003D60F5" w:rsidRPr="00DB50C7" w:rsidRDefault="00B579D3" w:rsidP="003D60F5">
            <w:pPr>
              <w:rPr>
                <w:rFonts w:cstheme="minorHAnsi"/>
              </w:rPr>
            </w:pPr>
            <w:r w:rsidRPr="00DB50C7">
              <w:rPr>
                <w:rFonts w:cstheme="minorHAnsi"/>
                <w:b/>
                <w:bCs/>
                <w:lang w:val="en-US"/>
              </w:rPr>
              <w:t>Effectiveness</w:t>
            </w:r>
          </w:p>
        </w:tc>
        <w:tc>
          <w:tcPr>
            <w:tcW w:w="4108" w:type="dxa"/>
            <w:shd w:val="clear" w:color="auto" w:fill="F2F2F2" w:themeFill="background1" w:themeFillShade="F2"/>
          </w:tcPr>
          <w:p w14:paraId="4588EA44" w14:textId="6E504694" w:rsidR="0082712B" w:rsidRPr="00DB50C7" w:rsidRDefault="0082712B" w:rsidP="00090A67">
            <w:pPr>
              <w:pStyle w:val="bullet"/>
              <w:numPr>
                <w:ilvl w:val="0"/>
                <w:numId w:val="0"/>
              </w:numPr>
              <w:spacing w:after="160" w:line="259" w:lineRule="auto"/>
              <w:contextualSpacing/>
              <w:rPr>
                <w:rFonts w:cstheme="minorHAnsi"/>
                <w:szCs w:val="22"/>
              </w:rPr>
            </w:pPr>
            <w:r w:rsidRPr="00DB50C7">
              <w:rPr>
                <w:rFonts w:cstheme="minorHAnsi"/>
                <w:szCs w:val="22"/>
              </w:rPr>
              <w:t xml:space="preserve">SPC PHD to strengthen collaboration with the Human Rights and Social Development Division, particularly regarding the implementation of GEDSI requirements </w:t>
            </w:r>
            <w:r w:rsidR="002A4A15">
              <w:rPr>
                <w:rFonts w:cstheme="minorHAnsi"/>
                <w:szCs w:val="22"/>
              </w:rPr>
              <w:t>a</w:t>
            </w:r>
            <w:r w:rsidR="002A578C">
              <w:rPr>
                <w:rFonts w:cstheme="minorHAnsi"/>
                <w:color w:val="1F1F1F"/>
                <w:szCs w:val="22"/>
              </w:rPr>
              <w:t>s recommended in the 2019 Gender Review of the SPC’s PHD Business Plan 2019-2020 (review undertaken by SPC PHD</w:t>
            </w:r>
            <w:r w:rsidR="002B0B10">
              <w:rPr>
                <w:rFonts w:cstheme="minorHAnsi"/>
                <w:color w:val="1F1F1F"/>
                <w:szCs w:val="22"/>
              </w:rPr>
              <w:t xml:space="preserve"> and</w:t>
            </w:r>
            <w:r w:rsidR="002A578C">
              <w:rPr>
                <w:rFonts w:cstheme="minorHAnsi"/>
                <w:color w:val="1F1F1F"/>
                <w:szCs w:val="22"/>
              </w:rPr>
              <w:t xml:space="preserve"> supported by DFAT)</w:t>
            </w:r>
          </w:p>
          <w:p w14:paraId="4C6DBF0C" w14:textId="5B6ED25C" w:rsidR="003D60F5" w:rsidRPr="00DB50C7" w:rsidRDefault="003D60F5" w:rsidP="00090A67">
            <w:pPr>
              <w:rPr>
                <w:rFonts w:cstheme="minorHAnsi"/>
              </w:rPr>
            </w:pPr>
          </w:p>
        </w:tc>
        <w:tc>
          <w:tcPr>
            <w:tcW w:w="1134" w:type="dxa"/>
            <w:shd w:val="clear" w:color="auto" w:fill="A8D08D" w:themeFill="accent6" w:themeFillTint="99"/>
          </w:tcPr>
          <w:p w14:paraId="29470082" w14:textId="63BD003B" w:rsidR="003D60F5" w:rsidRPr="00DB50C7" w:rsidRDefault="003D60F5" w:rsidP="003D60F5">
            <w:pPr>
              <w:rPr>
                <w:rFonts w:cstheme="minorHAnsi"/>
              </w:rPr>
            </w:pPr>
            <w:r w:rsidRPr="00DB50C7">
              <w:rPr>
                <w:rFonts w:cstheme="minorHAnsi"/>
                <w:lang w:val="en-US"/>
              </w:rPr>
              <w:t>Agree</w:t>
            </w:r>
          </w:p>
        </w:tc>
        <w:tc>
          <w:tcPr>
            <w:tcW w:w="5974" w:type="dxa"/>
            <w:shd w:val="clear" w:color="auto" w:fill="F2F2F2" w:themeFill="background1" w:themeFillShade="F2"/>
          </w:tcPr>
          <w:p w14:paraId="7F395376" w14:textId="3FC01069" w:rsidR="00337F3C" w:rsidRPr="00DB50C7" w:rsidRDefault="00327A00" w:rsidP="00CC2410">
            <w:pPr>
              <w:rPr>
                <w:rFonts w:cstheme="minorHAnsi"/>
              </w:rPr>
            </w:pPr>
            <w:r w:rsidRPr="00DB50C7">
              <w:rPr>
                <w:rFonts w:cstheme="minorHAnsi"/>
              </w:rPr>
              <w:t xml:space="preserve">The recommendations of the 2019 </w:t>
            </w:r>
            <w:r w:rsidR="00887306">
              <w:rPr>
                <w:rFonts w:cstheme="minorHAnsi"/>
              </w:rPr>
              <w:t>Gender R</w:t>
            </w:r>
            <w:r w:rsidRPr="00DB50C7">
              <w:rPr>
                <w:rFonts w:cstheme="minorHAnsi"/>
              </w:rPr>
              <w:t xml:space="preserve">eview </w:t>
            </w:r>
            <w:r w:rsidR="00337F3C" w:rsidRPr="00DB50C7">
              <w:rPr>
                <w:rFonts w:cstheme="minorHAnsi"/>
              </w:rPr>
              <w:t>were</w:t>
            </w:r>
            <w:r w:rsidR="00FE0630" w:rsidRPr="00DB50C7">
              <w:rPr>
                <w:rFonts w:cstheme="minorHAnsi"/>
              </w:rPr>
              <w:t xml:space="preserve">, </w:t>
            </w:r>
            <w:r w:rsidR="00337F3C" w:rsidRPr="00DB50C7">
              <w:rPr>
                <w:rFonts w:cstheme="minorHAnsi"/>
              </w:rPr>
              <w:t>in summary:</w:t>
            </w:r>
          </w:p>
          <w:p w14:paraId="14C5E218" w14:textId="0BA6EFA4" w:rsidR="00AE6BB7" w:rsidRPr="00DB50C7" w:rsidRDefault="004E740B" w:rsidP="00FE0630">
            <w:pPr>
              <w:pStyle w:val="ListParagraph"/>
              <w:numPr>
                <w:ilvl w:val="0"/>
                <w:numId w:val="8"/>
              </w:numPr>
              <w:spacing w:before="80" w:after="80" w:line="250" w:lineRule="atLeast"/>
              <w:jc w:val="both"/>
              <w:rPr>
                <w:rFonts w:cstheme="minorHAnsi"/>
              </w:rPr>
            </w:pPr>
            <w:r w:rsidRPr="00DB50C7">
              <w:rPr>
                <w:rFonts w:cstheme="minorHAnsi"/>
              </w:rPr>
              <w:t xml:space="preserve">DFAT </w:t>
            </w:r>
            <w:r w:rsidR="0092685C">
              <w:rPr>
                <w:rFonts w:cstheme="minorHAnsi"/>
              </w:rPr>
              <w:t xml:space="preserve">should </w:t>
            </w:r>
            <w:r w:rsidRPr="00DB50C7">
              <w:rPr>
                <w:rFonts w:cstheme="minorHAnsi"/>
              </w:rPr>
              <w:t xml:space="preserve">provide additional funding to PHD to support GESI mainstreaming, through which SPC can </w:t>
            </w:r>
            <w:r w:rsidR="00AE6BB7" w:rsidRPr="00DB50C7">
              <w:rPr>
                <w:rFonts w:cstheme="minorHAnsi"/>
              </w:rPr>
              <w:t xml:space="preserve">set regional agendas and policies and influence national </w:t>
            </w:r>
            <w:proofErr w:type="gramStart"/>
            <w:r w:rsidR="00AE6BB7" w:rsidRPr="00DB50C7">
              <w:rPr>
                <w:rFonts w:cstheme="minorHAnsi"/>
              </w:rPr>
              <w:t>responses</w:t>
            </w:r>
            <w:proofErr w:type="gramEnd"/>
          </w:p>
          <w:p w14:paraId="4B9A60C0" w14:textId="276A60E4" w:rsidR="00BD6674" w:rsidRPr="00DB50C7" w:rsidRDefault="00EE0AB3" w:rsidP="00FE0630">
            <w:pPr>
              <w:pStyle w:val="ListParagraph"/>
              <w:numPr>
                <w:ilvl w:val="0"/>
                <w:numId w:val="8"/>
              </w:numPr>
              <w:spacing w:before="80" w:after="80" w:line="250" w:lineRule="atLeast"/>
              <w:jc w:val="both"/>
              <w:rPr>
                <w:rFonts w:cstheme="minorHAnsi"/>
              </w:rPr>
            </w:pPr>
            <w:r w:rsidRPr="00DB50C7">
              <w:rPr>
                <w:rFonts w:cstheme="minorHAnsi"/>
              </w:rPr>
              <w:t xml:space="preserve">A full-time GESI adviser dedicated to work with the PHD team should report to the Director, </w:t>
            </w:r>
            <w:r w:rsidR="00E6089D" w:rsidRPr="00DB50C7">
              <w:rPr>
                <w:rFonts w:cstheme="minorHAnsi"/>
              </w:rPr>
              <w:t>with a small operational budget</w:t>
            </w:r>
            <w:r w:rsidR="00A30D05">
              <w:rPr>
                <w:rFonts w:cstheme="minorHAnsi"/>
              </w:rPr>
              <w:t xml:space="preserve">, </w:t>
            </w:r>
            <w:r w:rsidR="00E6089D" w:rsidRPr="00DB50C7">
              <w:rPr>
                <w:rFonts w:cstheme="minorHAnsi"/>
              </w:rPr>
              <w:t>and should:</w:t>
            </w:r>
          </w:p>
          <w:p w14:paraId="32E0CEE1" w14:textId="5EDAF173" w:rsidR="00BD6674" w:rsidRPr="00DB50C7" w:rsidRDefault="00BD6674" w:rsidP="00373DFD">
            <w:pPr>
              <w:pStyle w:val="ListParagraph"/>
              <w:numPr>
                <w:ilvl w:val="1"/>
                <w:numId w:val="8"/>
              </w:numPr>
              <w:spacing w:before="80" w:after="80" w:line="250" w:lineRule="atLeast"/>
              <w:rPr>
                <w:rFonts w:cstheme="minorHAnsi"/>
              </w:rPr>
            </w:pPr>
            <w:r w:rsidRPr="00DB50C7">
              <w:rPr>
                <w:rFonts w:cstheme="minorHAnsi"/>
              </w:rPr>
              <w:t xml:space="preserve">Provide technical assistance to </w:t>
            </w:r>
            <w:r w:rsidR="00E6089D" w:rsidRPr="00DB50C7">
              <w:rPr>
                <w:rFonts w:cstheme="minorHAnsi"/>
              </w:rPr>
              <w:t xml:space="preserve">SPC PHD teams </w:t>
            </w:r>
            <w:r w:rsidRPr="00DB50C7">
              <w:rPr>
                <w:rFonts w:cstheme="minorHAnsi"/>
              </w:rPr>
              <w:t>to support integration of GESI actions</w:t>
            </w:r>
            <w:r w:rsidR="00FF72D0" w:rsidRPr="00DB50C7">
              <w:rPr>
                <w:rFonts w:cstheme="minorHAnsi"/>
              </w:rPr>
              <w:t>.</w:t>
            </w:r>
          </w:p>
          <w:p w14:paraId="756D57EA" w14:textId="07B58E77" w:rsidR="00BD6674" w:rsidRPr="00DB50C7" w:rsidRDefault="00BD6674" w:rsidP="00373DFD">
            <w:pPr>
              <w:pStyle w:val="ListParagraph"/>
              <w:numPr>
                <w:ilvl w:val="1"/>
                <w:numId w:val="8"/>
              </w:numPr>
              <w:spacing w:before="80" w:after="80" w:line="250" w:lineRule="atLeast"/>
              <w:rPr>
                <w:rFonts w:cstheme="minorHAnsi"/>
              </w:rPr>
            </w:pPr>
            <w:r w:rsidRPr="00DB50C7">
              <w:rPr>
                <w:rFonts w:cstheme="minorHAnsi"/>
              </w:rPr>
              <w:t xml:space="preserve">Support the Office of the Director </w:t>
            </w:r>
            <w:proofErr w:type="spellStart"/>
            <w:r w:rsidRPr="00DB50C7">
              <w:rPr>
                <w:rFonts w:cstheme="minorHAnsi"/>
              </w:rPr>
              <w:t>strategi</w:t>
            </w:r>
            <w:r w:rsidR="00E6089D" w:rsidRPr="00DB50C7">
              <w:rPr>
                <w:rFonts w:cstheme="minorHAnsi"/>
              </w:rPr>
              <w:t>s</w:t>
            </w:r>
            <w:r w:rsidRPr="00DB50C7">
              <w:rPr>
                <w:rFonts w:cstheme="minorHAnsi"/>
              </w:rPr>
              <w:t>e</w:t>
            </w:r>
            <w:proofErr w:type="spellEnd"/>
            <w:r w:rsidRPr="00DB50C7">
              <w:rPr>
                <w:rFonts w:cstheme="minorHAnsi"/>
              </w:rPr>
              <w:t xml:space="preserve"> on the positioning of GESI at the highest levels in the regional governance architecture.  </w:t>
            </w:r>
          </w:p>
          <w:p w14:paraId="7ED2A577" w14:textId="106DA0F9" w:rsidR="00BD6674" w:rsidRPr="00DB50C7" w:rsidRDefault="00BD6674" w:rsidP="00373DFD">
            <w:pPr>
              <w:pStyle w:val="ListParagraph"/>
              <w:numPr>
                <w:ilvl w:val="1"/>
                <w:numId w:val="8"/>
              </w:numPr>
              <w:spacing w:before="80" w:after="80" w:line="250" w:lineRule="atLeast"/>
              <w:rPr>
                <w:rFonts w:cstheme="minorHAnsi"/>
              </w:rPr>
            </w:pPr>
            <w:r w:rsidRPr="00DB50C7">
              <w:rPr>
                <w:rFonts w:cstheme="minorHAnsi"/>
              </w:rPr>
              <w:lastRenderedPageBreak/>
              <w:t xml:space="preserve">Provide technical assistance to </w:t>
            </w:r>
            <w:r w:rsidR="00FD070C" w:rsidRPr="00DB50C7">
              <w:rPr>
                <w:rFonts w:cstheme="minorHAnsi"/>
              </w:rPr>
              <w:t>program designs</w:t>
            </w:r>
            <w:r w:rsidR="00FF72D0" w:rsidRPr="00DB50C7">
              <w:rPr>
                <w:rFonts w:cstheme="minorHAnsi"/>
              </w:rPr>
              <w:t>.</w:t>
            </w:r>
          </w:p>
          <w:p w14:paraId="7222B100" w14:textId="07312193" w:rsidR="00BD6674" w:rsidRPr="00DB50C7" w:rsidRDefault="00BD6674" w:rsidP="00373DFD">
            <w:pPr>
              <w:pStyle w:val="ListParagraph"/>
              <w:numPr>
                <w:ilvl w:val="1"/>
                <w:numId w:val="8"/>
              </w:numPr>
              <w:spacing w:before="80" w:after="80" w:line="250" w:lineRule="atLeast"/>
              <w:rPr>
                <w:rFonts w:cstheme="minorHAnsi"/>
              </w:rPr>
            </w:pPr>
            <w:r w:rsidRPr="00DB50C7">
              <w:rPr>
                <w:rFonts w:cstheme="minorHAnsi"/>
              </w:rPr>
              <w:t>Work with the MEL adviser on integration of GESI into the planning system and processes</w:t>
            </w:r>
            <w:r w:rsidR="00FF72D0" w:rsidRPr="00DB50C7">
              <w:rPr>
                <w:rFonts w:cstheme="minorHAnsi"/>
              </w:rPr>
              <w:t>.</w:t>
            </w:r>
          </w:p>
          <w:p w14:paraId="37ED470F" w14:textId="77777777" w:rsidR="00BD6674" w:rsidRPr="00DB50C7" w:rsidRDefault="00BD6674" w:rsidP="00373DFD">
            <w:pPr>
              <w:pStyle w:val="ListParagraph"/>
              <w:numPr>
                <w:ilvl w:val="1"/>
                <w:numId w:val="8"/>
              </w:numPr>
              <w:spacing w:before="80" w:after="80" w:line="250" w:lineRule="atLeast"/>
              <w:rPr>
                <w:rFonts w:cstheme="minorHAnsi"/>
              </w:rPr>
            </w:pPr>
            <w:r w:rsidRPr="00DB50C7">
              <w:rPr>
                <w:rFonts w:cstheme="minorHAnsi"/>
              </w:rPr>
              <w:t xml:space="preserve">Facilitate the capacity building of PHD staff to achieve a set of agreed GESI mainstreaming skills. </w:t>
            </w:r>
          </w:p>
          <w:p w14:paraId="24CBE03E" w14:textId="77777777" w:rsidR="00BD6674" w:rsidRPr="00DB50C7" w:rsidRDefault="00BD6674" w:rsidP="00373DFD">
            <w:pPr>
              <w:pStyle w:val="ListParagraph"/>
              <w:numPr>
                <w:ilvl w:val="1"/>
                <w:numId w:val="8"/>
              </w:numPr>
              <w:spacing w:before="80" w:after="80" w:line="250" w:lineRule="atLeast"/>
              <w:rPr>
                <w:rFonts w:cstheme="minorHAnsi"/>
              </w:rPr>
            </w:pPr>
            <w:r w:rsidRPr="00DB50C7">
              <w:rPr>
                <w:rFonts w:cstheme="minorHAnsi"/>
              </w:rPr>
              <w:t xml:space="preserve">Develop a toolkit of GESI tools and resources for PHD.  </w:t>
            </w:r>
          </w:p>
          <w:p w14:paraId="3C66838A" w14:textId="62897F74" w:rsidR="00BD6674" w:rsidRPr="00DB50C7" w:rsidRDefault="00BD6674" w:rsidP="00373DFD">
            <w:pPr>
              <w:pStyle w:val="ListParagraph"/>
              <w:numPr>
                <w:ilvl w:val="1"/>
                <w:numId w:val="8"/>
              </w:numPr>
              <w:spacing w:before="80" w:after="80" w:line="250" w:lineRule="atLeast"/>
              <w:rPr>
                <w:rFonts w:cstheme="minorHAnsi"/>
              </w:rPr>
            </w:pPr>
            <w:r w:rsidRPr="00DB50C7">
              <w:rPr>
                <w:rFonts w:cstheme="minorHAnsi"/>
              </w:rPr>
              <w:t>Participate in regular meetings with</w:t>
            </w:r>
            <w:r w:rsidR="0007690E" w:rsidRPr="00DB50C7">
              <w:rPr>
                <w:rFonts w:cstheme="minorHAnsi"/>
              </w:rPr>
              <w:t xml:space="preserve"> the Social Development Program (</w:t>
            </w:r>
            <w:r w:rsidRPr="00DB50C7">
              <w:rPr>
                <w:rFonts w:cstheme="minorHAnsi"/>
              </w:rPr>
              <w:t>SDP</w:t>
            </w:r>
            <w:r w:rsidR="0007690E" w:rsidRPr="00DB50C7">
              <w:rPr>
                <w:rFonts w:cstheme="minorHAnsi"/>
              </w:rPr>
              <w:t>)</w:t>
            </w:r>
            <w:r w:rsidRPr="00DB50C7">
              <w:rPr>
                <w:rFonts w:cstheme="minorHAnsi"/>
              </w:rPr>
              <w:t xml:space="preserve"> as the lead agency for gender mainstreaming in SPC.</w:t>
            </w:r>
          </w:p>
          <w:p w14:paraId="43D116E1" w14:textId="4C3E60DE" w:rsidR="00BD6674" w:rsidRPr="00DB50C7" w:rsidRDefault="00BD6674" w:rsidP="00373DFD">
            <w:pPr>
              <w:pStyle w:val="ListParagraph"/>
              <w:numPr>
                <w:ilvl w:val="1"/>
                <w:numId w:val="8"/>
              </w:numPr>
              <w:spacing w:before="80" w:after="80" w:line="250" w:lineRule="atLeast"/>
              <w:rPr>
                <w:rFonts w:cstheme="minorHAnsi"/>
              </w:rPr>
            </w:pPr>
            <w:r w:rsidRPr="00DB50C7">
              <w:rPr>
                <w:rFonts w:cstheme="minorHAnsi"/>
              </w:rPr>
              <w:t xml:space="preserve">Coordinate and participate in the roll-out of the </w:t>
            </w:r>
            <w:r w:rsidR="001A109A" w:rsidRPr="00DB50C7">
              <w:rPr>
                <w:rFonts w:cstheme="minorHAnsi"/>
              </w:rPr>
              <w:t xml:space="preserve">People Centred Approach </w:t>
            </w:r>
            <w:r w:rsidR="009D4A74" w:rsidRPr="00DB50C7">
              <w:rPr>
                <w:rFonts w:cstheme="minorHAnsi"/>
              </w:rPr>
              <w:t>(</w:t>
            </w:r>
            <w:r w:rsidRPr="00DB50C7">
              <w:rPr>
                <w:rFonts w:cstheme="minorHAnsi"/>
              </w:rPr>
              <w:t>PCA</w:t>
            </w:r>
            <w:r w:rsidR="009D4A74" w:rsidRPr="00DB50C7">
              <w:rPr>
                <w:rFonts w:cstheme="minorHAnsi"/>
              </w:rPr>
              <w:t>)</w:t>
            </w:r>
            <w:r w:rsidRPr="00DB50C7">
              <w:rPr>
                <w:rFonts w:cstheme="minorHAnsi"/>
              </w:rPr>
              <w:t xml:space="preserve"> Strategy on behalf of PHD and socialise PHD on what PCA means for them. Participate in the PCA adviser’s community of practice.</w:t>
            </w:r>
          </w:p>
          <w:p w14:paraId="47679619" w14:textId="40E3EF19" w:rsidR="00BD6674" w:rsidRPr="00DB50C7" w:rsidRDefault="00BD6674" w:rsidP="00373DFD">
            <w:pPr>
              <w:pStyle w:val="ListParagraph"/>
              <w:numPr>
                <w:ilvl w:val="1"/>
                <w:numId w:val="8"/>
              </w:numPr>
              <w:spacing w:before="80" w:after="80" w:line="250" w:lineRule="atLeast"/>
              <w:rPr>
                <w:rFonts w:cstheme="minorHAnsi"/>
              </w:rPr>
            </w:pPr>
            <w:r w:rsidRPr="00DB50C7">
              <w:rPr>
                <w:rFonts w:cstheme="minorHAnsi"/>
              </w:rPr>
              <w:t>Maintain an overview of progress on GESI and health in the Pacific through participation in regional events and through professional and academic networks and resources.</w:t>
            </w:r>
          </w:p>
          <w:p w14:paraId="0537B0EA" w14:textId="51811F2B" w:rsidR="00AE6BB7" w:rsidRPr="00DB50C7" w:rsidRDefault="00A94EFA" w:rsidP="00720F06">
            <w:pPr>
              <w:spacing w:before="240"/>
              <w:rPr>
                <w:rFonts w:cstheme="minorHAnsi"/>
                <w:u w:val="single"/>
              </w:rPr>
            </w:pPr>
            <w:r w:rsidRPr="00DB50C7">
              <w:rPr>
                <w:rFonts w:cstheme="minorHAnsi"/>
                <w:u w:val="single"/>
              </w:rPr>
              <w:t>Implementation progress and remaining gaps</w:t>
            </w:r>
          </w:p>
          <w:p w14:paraId="559FB27D" w14:textId="3C1E9266" w:rsidR="00D13403" w:rsidRPr="00DB50C7" w:rsidRDefault="00C46615" w:rsidP="00720F06">
            <w:pPr>
              <w:spacing w:before="240"/>
              <w:rPr>
                <w:rFonts w:cstheme="minorHAnsi"/>
              </w:rPr>
            </w:pPr>
            <w:r w:rsidRPr="00DB50C7">
              <w:rPr>
                <w:rFonts w:cstheme="minorHAnsi"/>
              </w:rPr>
              <w:t xml:space="preserve">Most of these recommendations still make sense in 2024 </w:t>
            </w:r>
            <w:r w:rsidR="00E938B8" w:rsidRPr="00DB50C7">
              <w:rPr>
                <w:rFonts w:cstheme="minorHAnsi"/>
              </w:rPr>
              <w:t xml:space="preserve">and should be implemented. </w:t>
            </w:r>
            <w:r w:rsidR="00CD428B">
              <w:rPr>
                <w:rFonts w:cstheme="minorHAnsi"/>
              </w:rPr>
              <w:t>PHD will recruit a</w:t>
            </w:r>
            <w:r w:rsidR="00CC2410" w:rsidRPr="00DB50C7">
              <w:rPr>
                <w:rFonts w:cstheme="minorHAnsi"/>
              </w:rPr>
              <w:t xml:space="preserve"> full</w:t>
            </w:r>
            <w:r w:rsidR="00C10CAA">
              <w:rPr>
                <w:rFonts w:cstheme="minorHAnsi"/>
              </w:rPr>
              <w:t>-</w:t>
            </w:r>
            <w:r w:rsidR="00CC2410" w:rsidRPr="00DB50C7">
              <w:rPr>
                <w:rFonts w:cstheme="minorHAnsi"/>
              </w:rPr>
              <w:t>time GE</w:t>
            </w:r>
            <w:r w:rsidR="00C66BDC" w:rsidRPr="00DB50C7">
              <w:rPr>
                <w:rFonts w:cstheme="minorHAnsi"/>
              </w:rPr>
              <w:t>D</w:t>
            </w:r>
            <w:r w:rsidR="00CC2410" w:rsidRPr="00DB50C7">
              <w:rPr>
                <w:rFonts w:cstheme="minorHAnsi"/>
              </w:rPr>
              <w:t>SI and Health adviser</w:t>
            </w:r>
            <w:r w:rsidR="00D870CF" w:rsidRPr="00DB50C7">
              <w:rPr>
                <w:rFonts w:cstheme="minorHAnsi"/>
              </w:rPr>
              <w:t>,</w:t>
            </w:r>
            <w:r w:rsidR="00CC2410" w:rsidRPr="00DB50C7">
              <w:rPr>
                <w:rFonts w:cstheme="minorHAnsi"/>
              </w:rPr>
              <w:t xml:space="preserve"> funded by </w:t>
            </w:r>
            <w:r w:rsidR="00AD3B14" w:rsidRPr="00DB50C7">
              <w:rPr>
                <w:rFonts w:cstheme="minorHAnsi"/>
              </w:rPr>
              <w:t>Human Rights and Social Development (</w:t>
            </w:r>
            <w:r w:rsidR="00CC2410" w:rsidRPr="00DB50C7">
              <w:rPr>
                <w:rFonts w:cstheme="minorHAnsi"/>
              </w:rPr>
              <w:t>HRSD</w:t>
            </w:r>
            <w:r w:rsidR="00AD3B14" w:rsidRPr="00DB50C7">
              <w:rPr>
                <w:rFonts w:cstheme="minorHAnsi"/>
              </w:rPr>
              <w:t>)</w:t>
            </w:r>
            <w:r w:rsidR="00CC2410" w:rsidRPr="00DB50C7">
              <w:rPr>
                <w:rFonts w:cstheme="minorHAnsi"/>
              </w:rPr>
              <w:t xml:space="preserve"> and core SPC funds. </w:t>
            </w:r>
            <w:r w:rsidR="00AD3B14" w:rsidRPr="00DB50C7">
              <w:rPr>
                <w:rFonts w:cstheme="minorHAnsi"/>
              </w:rPr>
              <w:t>The terms of reference for the</w:t>
            </w:r>
            <w:r w:rsidR="00CC2410" w:rsidRPr="00DB50C7">
              <w:rPr>
                <w:rFonts w:cstheme="minorHAnsi"/>
              </w:rPr>
              <w:t xml:space="preserve"> adviser </w:t>
            </w:r>
            <w:r w:rsidR="00D13403" w:rsidRPr="00DB50C7">
              <w:rPr>
                <w:rFonts w:cstheme="minorHAnsi"/>
              </w:rPr>
              <w:t xml:space="preserve">respond to the recommendations above. They </w:t>
            </w:r>
            <w:r w:rsidR="00CC2410" w:rsidRPr="00DB50C7">
              <w:rPr>
                <w:rFonts w:cstheme="minorHAnsi"/>
              </w:rPr>
              <w:t>will</w:t>
            </w:r>
            <w:r w:rsidR="00D13403" w:rsidRPr="00DB50C7">
              <w:rPr>
                <w:rFonts w:cstheme="minorHAnsi"/>
              </w:rPr>
              <w:t>:</w:t>
            </w:r>
          </w:p>
          <w:p w14:paraId="48A6B47A" w14:textId="09A527EA" w:rsidR="00D13403" w:rsidRPr="00DB50C7" w:rsidRDefault="00042930" w:rsidP="00042930">
            <w:pPr>
              <w:pStyle w:val="ListParagraph"/>
              <w:numPr>
                <w:ilvl w:val="0"/>
                <w:numId w:val="8"/>
              </w:numPr>
              <w:spacing w:before="80" w:after="80" w:line="250" w:lineRule="atLeast"/>
              <w:rPr>
                <w:rFonts w:cstheme="minorHAnsi"/>
              </w:rPr>
            </w:pPr>
            <w:r w:rsidRPr="00DB50C7">
              <w:rPr>
                <w:rFonts w:cstheme="minorHAnsi"/>
              </w:rPr>
              <w:t>A</w:t>
            </w:r>
            <w:r w:rsidR="00CC2410" w:rsidRPr="00DB50C7">
              <w:rPr>
                <w:rFonts w:cstheme="minorHAnsi"/>
              </w:rPr>
              <w:t>ssist technical program staff with GE</w:t>
            </w:r>
            <w:r w:rsidR="00C66BDC" w:rsidRPr="00DB50C7">
              <w:rPr>
                <w:rFonts w:cstheme="minorHAnsi"/>
              </w:rPr>
              <w:t>D</w:t>
            </w:r>
            <w:r w:rsidR="00CC2410" w:rsidRPr="00DB50C7">
              <w:rPr>
                <w:rFonts w:cstheme="minorHAnsi"/>
              </w:rPr>
              <w:t xml:space="preserve">SI mainstreaming </w:t>
            </w:r>
            <w:proofErr w:type="gramStart"/>
            <w:r w:rsidR="00CC2410" w:rsidRPr="00DB50C7">
              <w:rPr>
                <w:rFonts w:cstheme="minorHAnsi"/>
              </w:rPr>
              <w:t>activities;</w:t>
            </w:r>
            <w:proofErr w:type="gramEnd"/>
          </w:p>
          <w:p w14:paraId="49BB8FE6" w14:textId="50B4E265" w:rsidR="00D13403" w:rsidRPr="00DB50C7" w:rsidRDefault="00042930" w:rsidP="00042930">
            <w:pPr>
              <w:pStyle w:val="ListParagraph"/>
              <w:numPr>
                <w:ilvl w:val="0"/>
                <w:numId w:val="8"/>
              </w:numPr>
              <w:spacing w:before="80" w:after="80" w:line="250" w:lineRule="atLeast"/>
              <w:rPr>
                <w:rFonts w:cstheme="minorHAnsi"/>
              </w:rPr>
            </w:pPr>
            <w:r w:rsidRPr="00DB50C7">
              <w:rPr>
                <w:rFonts w:cstheme="minorHAnsi"/>
              </w:rPr>
              <w:lastRenderedPageBreak/>
              <w:t>S</w:t>
            </w:r>
            <w:r w:rsidR="00CC2410" w:rsidRPr="00DB50C7">
              <w:rPr>
                <w:rFonts w:cstheme="minorHAnsi"/>
              </w:rPr>
              <w:t xml:space="preserve">upport the Office of the Director </w:t>
            </w:r>
            <w:proofErr w:type="spellStart"/>
            <w:r w:rsidR="00CC2410" w:rsidRPr="00DB50C7">
              <w:rPr>
                <w:rFonts w:cstheme="minorHAnsi"/>
              </w:rPr>
              <w:t>strategi</w:t>
            </w:r>
            <w:r w:rsidR="00DE6EC2">
              <w:rPr>
                <w:rFonts w:cstheme="minorHAnsi"/>
              </w:rPr>
              <w:t>s</w:t>
            </w:r>
            <w:r w:rsidR="00CC2410" w:rsidRPr="00DB50C7">
              <w:rPr>
                <w:rFonts w:cstheme="minorHAnsi"/>
              </w:rPr>
              <w:t>e</w:t>
            </w:r>
            <w:proofErr w:type="spellEnd"/>
            <w:r w:rsidR="00CC2410" w:rsidRPr="00DB50C7">
              <w:rPr>
                <w:rFonts w:cstheme="minorHAnsi"/>
              </w:rPr>
              <w:t xml:space="preserve"> on the positioning of GE</w:t>
            </w:r>
            <w:r w:rsidR="00C66BDC" w:rsidRPr="00DB50C7">
              <w:rPr>
                <w:rFonts w:cstheme="minorHAnsi"/>
              </w:rPr>
              <w:t>D</w:t>
            </w:r>
            <w:r w:rsidR="00CC2410" w:rsidRPr="00DB50C7">
              <w:rPr>
                <w:rFonts w:cstheme="minorHAnsi"/>
              </w:rPr>
              <w:t xml:space="preserve">SI at the highest levels in the regional governance </w:t>
            </w:r>
            <w:proofErr w:type="gramStart"/>
            <w:r w:rsidR="00CC2410" w:rsidRPr="00DB50C7">
              <w:rPr>
                <w:rFonts w:cstheme="minorHAnsi"/>
              </w:rPr>
              <w:t>architecture;</w:t>
            </w:r>
            <w:proofErr w:type="gramEnd"/>
            <w:r w:rsidR="00CC2410" w:rsidRPr="00DB50C7">
              <w:rPr>
                <w:rFonts w:cstheme="minorHAnsi"/>
              </w:rPr>
              <w:t xml:space="preserve"> </w:t>
            </w:r>
          </w:p>
          <w:p w14:paraId="7F70CF02" w14:textId="17258837" w:rsidR="00D13403" w:rsidRPr="00DB50C7" w:rsidRDefault="00042930" w:rsidP="00042930">
            <w:pPr>
              <w:pStyle w:val="ListParagraph"/>
              <w:numPr>
                <w:ilvl w:val="0"/>
                <w:numId w:val="8"/>
              </w:numPr>
              <w:spacing w:before="80" w:after="80" w:line="250" w:lineRule="atLeast"/>
              <w:rPr>
                <w:rFonts w:cstheme="minorHAnsi"/>
              </w:rPr>
            </w:pPr>
            <w:r w:rsidRPr="00DB50C7">
              <w:rPr>
                <w:rFonts w:cstheme="minorHAnsi"/>
              </w:rPr>
              <w:t>S</w:t>
            </w:r>
            <w:r w:rsidR="00CC2410" w:rsidRPr="00DB50C7">
              <w:rPr>
                <w:rFonts w:cstheme="minorHAnsi"/>
              </w:rPr>
              <w:t>upport the integration of GE</w:t>
            </w:r>
            <w:r w:rsidR="00C66BDC" w:rsidRPr="00DB50C7">
              <w:rPr>
                <w:rFonts w:cstheme="minorHAnsi"/>
              </w:rPr>
              <w:t>D</w:t>
            </w:r>
            <w:r w:rsidR="00CC2410" w:rsidRPr="00DB50C7">
              <w:rPr>
                <w:rFonts w:cstheme="minorHAnsi"/>
              </w:rPr>
              <w:t xml:space="preserve">SI into new programs and PHD planning and management </w:t>
            </w:r>
            <w:proofErr w:type="gramStart"/>
            <w:r w:rsidR="00CC2410" w:rsidRPr="00DB50C7">
              <w:rPr>
                <w:rFonts w:cstheme="minorHAnsi"/>
              </w:rPr>
              <w:t>systems;</w:t>
            </w:r>
            <w:proofErr w:type="gramEnd"/>
            <w:r w:rsidR="00CC2410" w:rsidRPr="00DB50C7">
              <w:rPr>
                <w:rFonts w:cstheme="minorHAnsi"/>
              </w:rPr>
              <w:t xml:space="preserve"> </w:t>
            </w:r>
          </w:p>
          <w:p w14:paraId="20B14955" w14:textId="675FAF2C" w:rsidR="00D13403" w:rsidRPr="00DB50C7" w:rsidRDefault="00042930" w:rsidP="00042930">
            <w:pPr>
              <w:pStyle w:val="ListParagraph"/>
              <w:numPr>
                <w:ilvl w:val="0"/>
                <w:numId w:val="8"/>
              </w:numPr>
              <w:spacing w:before="80" w:after="80" w:line="250" w:lineRule="atLeast"/>
              <w:rPr>
                <w:rFonts w:cstheme="minorHAnsi"/>
              </w:rPr>
            </w:pPr>
            <w:r w:rsidRPr="00DB50C7">
              <w:rPr>
                <w:rFonts w:cstheme="minorHAnsi"/>
              </w:rPr>
              <w:t>S</w:t>
            </w:r>
            <w:r w:rsidR="00CC2410" w:rsidRPr="00DB50C7">
              <w:rPr>
                <w:rFonts w:cstheme="minorHAnsi"/>
              </w:rPr>
              <w:t>upport staff to develop a defined set of GE</w:t>
            </w:r>
            <w:r w:rsidR="00C66BDC" w:rsidRPr="00DB50C7">
              <w:rPr>
                <w:rFonts w:cstheme="minorHAnsi"/>
              </w:rPr>
              <w:t>D</w:t>
            </w:r>
            <w:r w:rsidR="00CC2410" w:rsidRPr="00DB50C7">
              <w:rPr>
                <w:rFonts w:cstheme="minorHAnsi"/>
              </w:rPr>
              <w:t xml:space="preserve">SI </w:t>
            </w:r>
            <w:proofErr w:type="gramStart"/>
            <w:r w:rsidR="00CC2410" w:rsidRPr="00DB50C7">
              <w:rPr>
                <w:rFonts w:cstheme="minorHAnsi"/>
              </w:rPr>
              <w:t>skills;</w:t>
            </w:r>
            <w:proofErr w:type="gramEnd"/>
            <w:r w:rsidR="00CC2410" w:rsidRPr="00DB50C7">
              <w:rPr>
                <w:rFonts w:cstheme="minorHAnsi"/>
              </w:rPr>
              <w:t xml:space="preserve"> </w:t>
            </w:r>
          </w:p>
          <w:p w14:paraId="6A733817" w14:textId="78526A37" w:rsidR="00CC2410" w:rsidRPr="00DB50C7" w:rsidRDefault="00042930" w:rsidP="00042930">
            <w:pPr>
              <w:pStyle w:val="ListParagraph"/>
              <w:numPr>
                <w:ilvl w:val="0"/>
                <w:numId w:val="8"/>
              </w:numPr>
              <w:spacing w:before="80" w:after="80" w:line="250" w:lineRule="atLeast"/>
              <w:rPr>
                <w:rFonts w:cstheme="minorHAnsi"/>
              </w:rPr>
            </w:pPr>
            <w:r w:rsidRPr="00DB50C7">
              <w:rPr>
                <w:rFonts w:cstheme="minorHAnsi"/>
              </w:rPr>
              <w:t>D</w:t>
            </w:r>
            <w:r w:rsidR="00CC2410" w:rsidRPr="00DB50C7">
              <w:rPr>
                <w:rFonts w:cstheme="minorHAnsi"/>
              </w:rPr>
              <w:t>evelop GE</w:t>
            </w:r>
            <w:r w:rsidR="00C66BDC" w:rsidRPr="00DB50C7">
              <w:rPr>
                <w:rFonts w:cstheme="minorHAnsi"/>
              </w:rPr>
              <w:t>D</w:t>
            </w:r>
            <w:r w:rsidR="00CC2410" w:rsidRPr="00DB50C7">
              <w:rPr>
                <w:rFonts w:cstheme="minorHAnsi"/>
              </w:rPr>
              <w:t>SI and health toolkits including checklists, guidelines, templates, links to resource materials, case studies and good practice examples of GE</w:t>
            </w:r>
            <w:r w:rsidR="00C66BDC" w:rsidRPr="00DB50C7">
              <w:rPr>
                <w:rFonts w:cstheme="minorHAnsi"/>
              </w:rPr>
              <w:t>D</w:t>
            </w:r>
            <w:r w:rsidR="00CC2410" w:rsidRPr="00DB50C7">
              <w:rPr>
                <w:rFonts w:cstheme="minorHAnsi"/>
              </w:rPr>
              <w:t>SI and health.</w:t>
            </w:r>
          </w:p>
          <w:p w14:paraId="364D6E9A" w14:textId="5F9E0905" w:rsidR="00D13403" w:rsidRPr="00DB50C7" w:rsidRDefault="00D13403" w:rsidP="00720F06">
            <w:pPr>
              <w:spacing w:before="240"/>
              <w:rPr>
                <w:rFonts w:cstheme="minorHAnsi"/>
              </w:rPr>
            </w:pPr>
            <w:r w:rsidRPr="00DB50C7">
              <w:rPr>
                <w:rFonts w:cstheme="minorHAnsi"/>
              </w:rPr>
              <w:t xml:space="preserve">The </w:t>
            </w:r>
            <w:r w:rsidR="00C46615" w:rsidRPr="00DB50C7">
              <w:rPr>
                <w:rFonts w:cstheme="minorHAnsi"/>
              </w:rPr>
              <w:t xml:space="preserve">engagement of this adviser is key for SPC PHD making progress in this area and </w:t>
            </w:r>
            <w:r w:rsidR="00DC1237" w:rsidRPr="00DB50C7">
              <w:rPr>
                <w:rFonts w:cstheme="minorHAnsi"/>
              </w:rPr>
              <w:t xml:space="preserve">DFAT </w:t>
            </w:r>
            <w:r w:rsidR="00723425" w:rsidRPr="00DB50C7">
              <w:rPr>
                <w:rFonts w:cstheme="minorHAnsi"/>
              </w:rPr>
              <w:t>will</w:t>
            </w:r>
            <w:r w:rsidR="00DC1237" w:rsidRPr="00DB50C7">
              <w:rPr>
                <w:rFonts w:cstheme="minorHAnsi"/>
              </w:rPr>
              <w:t xml:space="preserve"> monitor and follow-up through Program Coordination Meetings</w:t>
            </w:r>
            <w:r w:rsidR="00723425" w:rsidRPr="00DB50C7">
              <w:rPr>
                <w:rFonts w:cstheme="minorHAnsi"/>
              </w:rPr>
              <w:t>.</w:t>
            </w:r>
          </w:p>
          <w:p w14:paraId="41CAB9C7" w14:textId="5C2BAA05" w:rsidR="00636BC5" w:rsidRPr="00DB50C7" w:rsidRDefault="00636BC5" w:rsidP="00720F06">
            <w:pPr>
              <w:spacing w:before="240"/>
              <w:rPr>
                <w:rFonts w:cstheme="minorHAnsi"/>
              </w:rPr>
            </w:pPr>
            <w:r w:rsidRPr="00DB50C7">
              <w:rPr>
                <w:rFonts w:cstheme="minorHAnsi"/>
              </w:rPr>
              <w:t>However, SPC PHD has made significant progress towards implementation, even without a focused ad</w:t>
            </w:r>
            <w:r w:rsidR="000D6A43" w:rsidRPr="00DB50C7">
              <w:rPr>
                <w:rFonts w:cstheme="minorHAnsi"/>
              </w:rPr>
              <w:t>viser</w:t>
            </w:r>
            <w:r w:rsidR="00DA482D" w:rsidRPr="00DB50C7">
              <w:rPr>
                <w:rFonts w:cstheme="minorHAnsi"/>
              </w:rPr>
              <w:t xml:space="preserve">. DFAT will encourage SPC to continue that focus and progress and consider opportunities to strengthen GEDSI approaches for the design refresh to incorporate </w:t>
            </w:r>
            <w:r w:rsidR="00BA349F" w:rsidRPr="00DB50C7">
              <w:rPr>
                <w:rFonts w:cstheme="minorHAnsi"/>
              </w:rPr>
              <w:t>Business Plan activities into the current Partnerships for a Healthy Region initiative agreement.</w:t>
            </w:r>
          </w:p>
          <w:p w14:paraId="23EB4A34" w14:textId="65ECB021" w:rsidR="00CC2410" w:rsidRPr="00DB50C7" w:rsidRDefault="00CC2410" w:rsidP="003D60F5">
            <w:pPr>
              <w:rPr>
                <w:rFonts w:cstheme="minorHAnsi"/>
                <w:i/>
                <w:iCs/>
              </w:rPr>
            </w:pPr>
          </w:p>
        </w:tc>
        <w:tc>
          <w:tcPr>
            <w:tcW w:w="1248" w:type="dxa"/>
            <w:shd w:val="clear" w:color="auto" w:fill="F2F2F2" w:themeFill="background1" w:themeFillShade="F2"/>
          </w:tcPr>
          <w:p w14:paraId="148A719A" w14:textId="4FDEB082" w:rsidR="003D60F5" w:rsidRPr="00DB50C7" w:rsidRDefault="003D60F5" w:rsidP="003D60F5">
            <w:pPr>
              <w:rPr>
                <w:rFonts w:cstheme="minorHAnsi"/>
              </w:rPr>
            </w:pPr>
            <w:r w:rsidRPr="00DB50C7">
              <w:rPr>
                <w:rFonts w:cstheme="minorHAnsi"/>
                <w:lang w:val="en-US"/>
              </w:rPr>
              <w:lastRenderedPageBreak/>
              <w:t>Ongoing</w:t>
            </w:r>
          </w:p>
        </w:tc>
      </w:tr>
      <w:tr w:rsidR="00B7075E" w:rsidRPr="00225182" w14:paraId="70B513D5" w14:textId="77777777" w:rsidTr="00720F06">
        <w:tc>
          <w:tcPr>
            <w:tcW w:w="1841" w:type="dxa"/>
            <w:shd w:val="clear" w:color="auto" w:fill="F2F2F2" w:themeFill="background1" w:themeFillShade="F2"/>
          </w:tcPr>
          <w:p w14:paraId="6F04BF87" w14:textId="0555D614" w:rsidR="003D60F5" w:rsidRPr="00DB50C7" w:rsidRDefault="00B579D3" w:rsidP="003D60F5">
            <w:pPr>
              <w:rPr>
                <w:rFonts w:cstheme="minorHAnsi"/>
              </w:rPr>
            </w:pPr>
            <w:r w:rsidRPr="00DB50C7">
              <w:rPr>
                <w:rFonts w:cstheme="minorHAnsi"/>
                <w:b/>
                <w:bCs/>
                <w:lang w:val="en-US"/>
              </w:rPr>
              <w:lastRenderedPageBreak/>
              <w:t>Effectiveness</w:t>
            </w:r>
          </w:p>
        </w:tc>
        <w:tc>
          <w:tcPr>
            <w:tcW w:w="4108" w:type="dxa"/>
            <w:shd w:val="clear" w:color="auto" w:fill="F2F2F2" w:themeFill="background1" w:themeFillShade="F2"/>
          </w:tcPr>
          <w:p w14:paraId="24349C13" w14:textId="3BA18A50" w:rsidR="003D60F5" w:rsidRPr="00DB50C7" w:rsidRDefault="00B579D3" w:rsidP="00BB7247">
            <w:pPr>
              <w:pStyle w:val="bullet"/>
              <w:numPr>
                <w:ilvl w:val="0"/>
                <w:numId w:val="0"/>
              </w:numPr>
              <w:spacing w:after="160" w:line="259" w:lineRule="auto"/>
              <w:contextualSpacing/>
              <w:rPr>
                <w:rFonts w:cstheme="minorHAnsi"/>
              </w:rPr>
            </w:pPr>
            <w:r w:rsidRPr="00DB50C7">
              <w:rPr>
                <w:rFonts w:cstheme="minorHAnsi"/>
                <w:szCs w:val="22"/>
              </w:rPr>
              <w:t>SPC PHD to continue working with FNU on the maintenance of a data repository and knowledge hub where IP can be placed and FNU can provide access to regional chief investigators and function as custodian for PICTs.</w:t>
            </w:r>
          </w:p>
        </w:tc>
        <w:tc>
          <w:tcPr>
            <w:tcW w:w="1134" w:type="dxa"/>
            <w:shd w:val="clear" w:color="auto" w:fill="A8D08D" w:themeFill="accent6" w:themeFillTint="99"/>
          </w:tcPr>
          <w:p w14:paraId="11544C76" w14:textId="50BBCCCF" w:rsidR="003D60F5" w:rsidRPr="00720F06" w:rsidRDefault="00CF33BB" w:rsidP="00720F06">
            <w:pPr>
              <w:spacing w:after="160" w:line="259" w:lineRule="auto"/>
              <w:rPr>
                <w:rFonts w:cstheme="minorHAnsi"/>
                <w:lang w:val="en-US"/>
              </w:rPr>
            </w:pPr>
            <w:r w:rsidRPr="00DB50C7">
              <w:rPr>
                <w:rFonts w:cstheme="minorHAnsi"/>
                <w:lang w:val="en-US"/>
              </w:rPr>
              <w:t>A</w:t>
            </w:r>
            <w:r w:rsidR="00BD172B" w:rsidRPr="00DB50C7">
              <w:rPr>
                <w:rFonts w:cstheme="minorHAnsi"/>
                <w:lang w:val="en-US"/>
              </w:rPr>
              <w:t>gree</w:t>
            </w:r>
          </w:p>
        </w:tc>
        <w:tc>
          <w:tcPr>
            <w:tcW w:w="5974" w:type="dxa"/>
            <w:shd w:val="clear" w:color="auto" w:fill="F2F2F2" w:themeFill="background1" w:themeFillShade="F2"/>
          </w:tcPr>
          <w:p w14:paraId="6A061040" w14:textId="5F230E4B" w:rsidR="003D60F5" w:rsidRPr="00DB50C7" w:rsidRDefault="00BD172B" w:rsidP="003D60F5">
            <w:pPr>
              <w:rPr>
                <w:rFonts w:cstheme="minorHAnsi"/>
              </w:rPr>
            </w:pPr>
            <w:r w:rsidRPr="00DB50C7">
              <w:rPr>
                <w:rFonts w:cstheme="minorHAnsi"/>
              </w:rPr>
              <w:t xml:space="preserve">SPC PHD will consider the sustainability of the </w:t>
            </w:r>
            <w:r w:rsidR="00726BCD" w:rsidRPr="00DB50C7">
              <w:rPr>
                <w:rFonts w:cstheme="minorHAnsi"/>
              </w:rPr>
              <w:t xml:space="preserve">FNU Repository, and how it should be funded. DFAT will not include a requirement that the work should be continued </w:t>
            </w:r>
            <w:r w:rsidR="000F287A" w:rsidRPr="00DB50C7">
              <w:rPr>
                <w:rFonts w:cstheme="minorHAnsi"/>
              </w:rPr>
              <w:t xml:space="preserve">in </w:t>
            </w:r>
            <w:r w:rsidR="00AD3BBB" w:rsidRPr="00DB50C7">
              <w:rPr>
                <w:rFonts w:cstheme="minorHAnsi"/>
              </w:rPr>
              <w:t>its</w:t>
            </w:r>
            <w:r w:rsidR="000F287A" w:rsidRPr="00DB50C7">
              <w:rPr>
                <w:rFonts w:cstheme="minorHAnsi"/>
              </w:rPr>
              <w:t xml:space="preserve"> current form.</w:t>
            </w:r>
          </w:p>
        </w:tc>
        <w:tc>
          <w:tcPr>
            <w:tcW w:w="1248" w:type="dxa"/>
            <w:shd w:val="clear" w:color="auto" w:fill="F2F2F2" w:themeFill="background1" w:themeFillShade="F2"/>
          </w:tcPr>
          <w:p w14:paraId="05AA48BC" w14:textId="4886E76E" w:rsidR="003D60F5" w:rsidRPr="00DB50C7" w:rsidRDefault="003D60F5" w:rsidP="003D60F5">
            <w:pPr>
              <w:rPr>
                <w:rFonts w:cstheme="minorHAnsi"/>
              </w:rPr>
            </w:pPr>
            <w:r w:rsidRPr="00DB50C7">
              <w:rPr>
                <w:rFonts w:cstheme="minorHAnsi"/>
                <w:lang w:val="en-US"/>
              </w:rPr>
              <w:t>Ongoing</w:t>
            </w:r>
          </w:p>
        </w:tc>
      </w:tr>
      <w:tr w:rsidR="00B7075E" w:rsidRPr="00225182" w14:paraId="75F0150F" w14:textId="77777777" w:rsidTr="00720F06">
        <w:tc>
          <w:tcPr>
            <w:tcW w:w="1841" w:type="dxa"/>
            <w:shd w:val="clear" w:color="auto" w:fill="F2F2F2" w:themeFill="background1" w:themeFillShade="F2"/>
          </w:tcPr>
          <w:p w14:paraId="6DC6D3C7" w14:textId="2E3B2386" w:rsidR="003D60F5" w:rsidRPr="00DB50C7" w:rsidRDefault="00B51F0E" w:rsidP="003D60F5">
            <w:pPr>
              <w:rPr>
                <w:rFonts w:cstheme="minorHAnsi"/>
              </w:rPr>
            </w:pPr>
            <w:r w:rsidRPr="00DB50C7">
              <w:rPr>
                <w:rFonts w:cstheme="minorHAnsi"/>
                <w:b/>
                <w:bCs/>
                <w:lang w:val="en-US"/>
              </w:rPr>
              <w:t>Effectiveness</w:t>
            </w:r>
          </w:p>
        </w:tc>
        <w:tc>
          <w:tcPr>
            <w:tcW w:w="4108" w:type="dxa"/>
            <w:shd w:val="clear" w:color="auto" w:fill="F2F2F2" w:themeFill="background1" w:themeFillShade="F2"/>
          </w:tcPr>
          <w:p w14:paraId="7FB76DCE" w14:textId="4CF35DB5" w:rsidR="003D60F5" w:rsidRPr="00DB50C7" w:rsidRDefault="00B51F0E" w:rsidP="00BB7247">
            <w:pPr>
              <w:pStyle w:val="bullet"/>
              <w:numPr>
                <w:ilvl w:val="0"/>
                <w:numId w:val="0"/>
              </w:numPr>
              <w:spacing w:after="160" w:line="259" w:lineRule="auto"/>
              <w:contextualSpacing/>
              <w:rPr>
                <w:rFonts w:cstheme="minorHAnsi"/>
              </w:rPr>
            </w:pPr>
            <w:r w:rsidRPr="00DB50C7">
              <w:rPr>
                <w:rFonts w:cstheme="minorHAnsi"/>
                <w:szCs w:val="22"/>
              </w:rPr>
              <w:t xml:space="preserve">DFAT and SPC to consider a sustainability strategy to support continued </w:t>
            </w:r>
            <w:r w:rsidRPr="00DB50C7">
              <w:rPr>
                <w:rFonts w:cstheme="minorHAnsi"/>
                <w:szCs w:val="22"/>
              </w:rPr>
              <w:lastRenderedPageBreak/>
              <w:t>effectiveness of activities and impacts beyond DFAT funding term.</w:t>
            </w:r>
            <w:bookmarkStart w:id="1" w:name="_Toc162206024"/>
            <w:bookmarkEnd w:id="1"/>
          </w:p>
        </w:tc>
        <w:tc>
          <w:tcPr>
            <w:tcW w:w="1134" w:type="dxa"/>
            <w:shd w:val="clear" w:color="auto" w:fill="A8D08D" w:themeFill="accent6" w:themeFillTint="99"/>
          </w:tcPr>
          <w:p w14:paraId="3AFC630F" w14:textId="3C818CAC" w:rsidR="003D60F5" w:rsidRPr="00DB50C7" w:rsidRDefault="003D60F5" w:rsidP="003D60F5">
            <w:pPr>
              <w:rPr>
                <w:rFonts w:cstheme="minorHAnsi"/>
              </w:rPr>
            </w:pPr>
            <w:r w:rsidRPr="00DB50C7">
              <w:rPr>
                <w:rFonts w:cstheme="minorHAnsi"/>
                <w:lang w:val="en-US"/>
              </w:rPr>
              <w:lastRenderedPageBreak/>
              <w:t>Agree</w:t>
            </w:r>
          </w:p>
        </w:tc>
        <w:tc>
          <w:tcPr>
            <w:tcW w:w="5974" w:type="dxa"/>
            <w:shd w:val="clear" w:color="auto" w:fill="F2F2F2" w:themeFill="background1" w:themeFillShade="F2"/>
          </w:tcPr>
          <w:p w14:paraId="7F710D96" w14:textId="5710FC8C" w:rsidR="003F5411" w:rsidRPr="00DB50C7" w:rsidRDefault="006920B0" w:rsidP="00E31539">
            <w:pPr>
              <w:rPr>
                <w:rFonts w:cstheme="minorHAnsi"/>
                <w:lang w:val="en-US"/>
              </w:rPr>
            </w:pPr>
            <w:r w:rsidRPr="00DB50C7">
              <w:rPr>
                <w:rFonts w:cstheme="minorHAnsi"/>
                <w:lang w:val="en-US"/>
              </w:rPr>
              <w:t>The refreshed design will outline a sustainability</w:t>
            </w:r>
            <w:r w:rsidR="003D60F5" w:rsidRPr="00DB50C7">
              <w:rPr>
                <w:rFonts w:cstheme="minorHAnsi"/>
                <w:lang w:val="en-US"/>
              </w:rPr>
              <w:t xml:space="preserve"> </w:t>
            </w:r>
            <w:r w:rsidRPr="00DB50C7">
              <w:rPr>
                <w:rFonts w:cstheme="minorHAnsi"/>
                <w:lang w:val="en-US"/>
              </w:rPr>
              <w:t>strategy at a high level and SPC and DFAT will agree through the design on what further work is required.</w:t>
            </w:r>
          </w:p>
        </w:tc>
        <w:tc>
          <w:tcPr>
            <w:tcW w:w="1248" w:type="dxa"/>
            <w:shd w:val="clear" w:color="auto" w:fill="F2F2F2" w:themeFill="background1" w:themeFillShade="F2"/>
          </w:tcPr>
          <w:p w14:paraId="2F233D36" w14:textId="4CE8F9DA" w:rsidR="003D60F5" w:rsidRPr="00DB50C7" w:rsidRDefault="003D60F5" w:rsidP="003D60F5">
            <w:pPr>
              <w:rPr>
                <w:rFonts w:cstheme="minorHAnsi"/>
              </w:rPr>
            </w:pPr>
            <w:r w:rsidRPr="00DB50C7">
              <w:rPr>
                <w:rFonts w:cstheme="minorHAnsi"/>
                <w:lang w:val="en-US"/>
              </w:rPr>
              <w:t>Ongoing</w:t>
            </w:r>
          </w:p>
        </w:tc>
      </w:tr>
      <w:tr w:rsidR="00B7075E" w:rsidRPr="00225182" w14:paraId="2FF9514A" w14:textId="77777777" w:rsidTr="00720F06">
        <w:tc>
          <w:tcPr>
            <w:tcW w:w="1841" w:type="dxa"/>
            <w:shd w:val="clear" w:color="auto" w:fill="F2F2F2" w:themeFill="background1" w:themeFillShade="F2"/>
          </w:tcPr>
          <w:p w14:paraId="1664D57D" w14:textId="2307A296" w:rsidR="003D60F5" w:rsidRPr="00DB50C7" w:rsidRDefault="006B6EB1" w:rsidP="003D60F5">
            <w:pPr>
              <w:rPr>
                <w:rFonts w:cstheme="minorHAnsi"/>
              </w:rPr>
            </w:pPr>
            <w:r w:rsidRPr="00DB50C7">
              <w:rPr>
                <w:rFonts w:cstheme="minorHAnsi"/>
                <w:b/>
                <w:bCs/>
                <w:lang w:val="en-US"/>
              </w:rPr>
              <w:t>Efficiency</w:t>
            </w:r>
          </w:p>
        </w:tc>
        <w:tc>
          <w:tcPr>
            <w:tcW w:w="4108" w:type="dxa"/>
            <w:shd w:val="clear" w:color="auto" w:fill="F2F2F2" w:themeFill="background1" w:themeFillShade="F2"/>
          </w:tcPr>
          <w:p w14:paraId="355EEBC3" w14:textId="11A20F82" w:rsidR="003D60F5" w:rsidRPr="00DB50C7" w:rsidRDefault="006B6EB1" w:rsidP="00090A67">
            <w:pPr>
              <w:pStyle w:val="bullet"/>
              <w:numPr>
                <w:ilvl w:val="0"/>
                <w:numId w:val="0"/>
              </w:numPr>
              <w:spacing w:after="160" w:line="259" w:lineRule="auto"/>
              <w:contextualSpacing/>
              <w:rPr>
                <w:rFonts w:cstheme="minorHAnsi"/>
                <w:szCs w:val="22"/>
              </w:rPr>
            </w:pPr>
            <w:r w:rsidRPr="00DB50C7">
              <w:rPr>
                <w:rFonts w:cstheme="minorHAnsi"/>
                <w:szCs w:val="22"/>
              </w:rPr>
              <w:t xml:space="preserve">DFAT </w:t>
            </w:r>
            <w:r w:rsidR="00E12511">
              <w:rPr>
                <w:rFonts w:cstheme="minorHAnsi"/>
                <w:szCs w:val="22"/>
              </w:rPr>
              <w:t xml:space="preserve">to </w:t>
            </w:r>
            <w:r w:rsidRPr="00DB50C7">
              <w:rPr>
                <w:rFonts w:cstheme="minorHAnsi"/>
                <w:szCs w:val="22"/>
              </w:rPr>
              <w:t>consider a single funding arrangement for streamlined management of the investment.</w:t>
            </w:r>
          </w:p>
        </w:tc>
        <w:tc>
          <w:tcPr>
            <w:tcW w:w="1134" w:type="dxa"/>
            <w:shd w:val="clear" w:color="auto" w:fill="A8D08D" w:themeFill="accent6" w:themeFillTint="99"/>
          </w:tcPr>
          <w:p w14:paraId="15875908" w14:textId="378EF625" w:rsidR="003D60F5" w:rsidRPr="00DB50C7" w:rsidRDefault="003D60F5" w:rsidP="003D60F5">
            <w:pPr>
              <w:rPr>
                <w:rFonts w:cstheme="minorHAnsi"/>
              </w:rPr>
            </w:pPr>
            <w:r w:rsidRPr="00DB50C7">
              <w:rPr>
                <w:rFonts w:cstheme="minorHAnsi"/>
                <w:lang w:val="en-US"/>
              </w:rPr>
              <w:t>Agree</w:t>
            </w:r>
          </w:p>
        </w:tc>
        <w:tc>
          <w:tcPr>
            <w:tcW w:w="5974" w:type="dxa"/>
            <w:shd w:val="clear" w:color="auto" w:fill="F2F2F2" w:themeFill="background1" w:themeFillShade="F2"/>
          </w:tcPr>
          <w:p w14:paraId="3DCC1E0A" w14:textId="5680F3C1" w:rsidR="006E73A2" w:rsidRPr="001F40AB" w:rsidRDefault="002D6005" w:rsidP="003D60F5">
            <w:pPr>
              <w:rPr>
                <w:rFonts w:cstheme="minorHAnsi"/>
                <w:lang w:val="en-ID"/>
              </w:rPr>
            </w:pPr>
            <w:r w:rsidRPr="001F40AB">
              <w:rPr>
                <w:rFonts w:cstheme="minorHAnsi"/>
                <w:lang w:val="en-ID"/>
              </w:rPr>
              <w:t>Over the next six months, e</w:t>
            </w:r>
            <w:r w:rsidR="006E73A2" w:rsidRPr="001F40AB">
              <w:rPr>
                <w:rFonts w:cstheme="minorHAnsi"/>
                <w:lang w:val="en-ID"/>
              </w:rPr>
              <w:t>xisting agreement</w:t>
            </w:r>
            <w:r w:rsidR="008049E9" w:rsidRPr="001F40AB">
              <w:rPr>
                <w:rFonts w:cstheme="minorHAnsi"/>
                <w:lang w:val="en-ID"/>
              </w:rPr>
              <w:t>s</w:t>
            </w:r>
            <w:r w:rsidR="00B3456A" w:rsidRPr="001F40AB">
              <w:rPr>
                <w:rFonts w:cstheme="minorHAnsi"/>
                <w:lang w:val="en-ID"/>
              </w:rPr>
              <w:t xml:space="preserve"> for regional activities</w:t>
            </w:r>
            <w:r w:rsidR="006E73A2" w:rsidRPr="001F40AB">
              <w:rPr>
                <w:rFonts w:cstheme="minorHAnsi"/>
                <w:lang w:val="en-ID"/>
              </w:rPr>
              <w:t xml:space="preserve"> will be consolidated </w:t>
            </w:r>
            <w:r w:rsidRPr="001F40AB">
              <w:rPr>
                <w:rFonts w:cstheme="minorHAnsi"/>
                <w:lang w:val="en-ID"/>
              </w:rPr>
              <w:t xml:space="preserve">into </w:t>
            </w:r>
            <w:r w:rsidR="00B3456A" w:rsidRPr="001F40AB">
              <w:rPr>
                <w:rFonts w:cstheme="minorHAnsi"/>
                <w:lang w:val="en-ID"/>
              </w:rPr>
              <w:t xml:space="preserve">a single </w:t>
            </w:r>
            <w:r w:rsidR="0058056D" w:rsidRPr="001F40AB">
              <w:rPr>
                <w:rFonts w:cstheme="minorHAnsi"/>
                <w:lang w:val="en-ID"/>
              </w:rPr>
              <w:t>program funding arrangement</w:t>
            </w:r>
            <w:r w:rsidR="00AC6DDB" w:rsidRPr="001F40AB">
              <w:rPr>
                <w:rFonts w:cstheme="minorHAnsi"/>
                <w:lang w:val="en-ID"/>
              </w:rPr>
              <w:t xml:space="preserve">, </w:t>
            </w:r>
            <w:proofErr w:type="gramStart"/>
            <w:r w:rsidR="00B3456A" w:rsidRPr="001F40AB">
              <w:rPr>
                <w:rFonts w:cstheme="minorHAnsi"/>
                <w:lang w:val="en-ID"/>
              </w:rPr>
              <w:t>with the exception of</w:t>
            </w:r>
            <w:proofErr w:type="gramEnd"/>
            <w:r w:rsidR="00B3456A" w:rsidRPr="001F40AB">
              <w:rPr>
                <w:rFonts w:cstheme="minorHAnsi"/>
                <w:lang w:val="en-ID"/>
              </w:rPr>
              <w:t xml:space="preserve"> the</w:t>
            </w:r>
            <w:r w:rsidR="0059132C" w:rsidRPr="001F40AB">
              <w:rPr>
                <w:rFonts w:cstheme="minorHAnsi"/>
                <w:lang w:val="en-ID"/>
              </w:rPr>
              <w:t xml:space="preserve"> PSCHWIP Phase 2 project funding arrangement</w:t>
            </w:r>
            <w:r w:rsidR="0088397E" w:rsidRPr="001F40AB">
              <w:rPr>
                <w:rFonts w:cstheme="minorHAnsi"/>
                <w:lang w:val="en-ID"/>
              </w:rPr>
              <w:t>,</w:t>
            </w:r>
            <w:r w:rsidR="0059132C" w:rsidRPr="001F40AB">
              <w:rPr>
                <w:rFonts w:cstheme="minorHAnsi"/>
                <w:lang w:val="en-ID"/>
              </w:rPr>
              <w:t xml:space="preserve"> </w:t>
            </w:r>
            <w:r w:rsidR="00462A63" w:rsidRPr="001F40AB">
              <w:rPr>
                <w:rFonts w:cstheme="minorHAnsi"/>
                <w:lang w:val="en-ID"/>
              </w:rPr>
              <w:t>which</w:t>
            </w:r>
            <w:r w:rsidR="0088397E" w:rsidRPr="001F40AB">
              <w:rPr>
                <w:rFonts w:cstheme="minorHAnsi"/>
                <w:lang w:val="en-ID"/>
              </w:rPr>
              <w:t xml:space="preserve"> for practical reasons</w:t>
            </w:r>
            <w:r w:rsidR="00462A63" w:rsidRPr="001F40AB">
              <w:rPr>
                <w:rFonts w:cstheme="minorHAnsi"/>
                <w:lang w:val="en-ID"/>
              </w:rPr>
              <w:t xml:space="preserve"> will remain separate until its expiry in </w:t>
            </w:r>
            <w:r w:rsidR="00C76DCB" w:rsidRPr="001F40AB">
              <w:rPr>
                <w:rFonts w:cstheme="minorHAnsi"/>
                <w:lang w:val="en-ID"/>
              </w:rPr>
              <w:t>2026</w:t>
            </w:r>
            <w:r w:rsidR="0088397E" w:rsidRPr="001F40AB">
              <w:rPr>
                <w:rFonts w:cstheme="minorHAnsi"/>
                <w:lang w:val="en-ID"/>
              </w:rPr>
              <w:t>.</w:t>
            </w:r>
          </w:p>
          <w:p w14:paraId="452BE82D" w14:textId="730168A7" w:rsidR="005B2E89" w:rsidRPr="001F40AB" w:rsidRDefault="003D45BD" w:rsidP="00720F06">
            <w:pPr>
              <w:spacing w:before="240"/>
              <w:rPr>
                <w:rFonts w:cstheme="minorHAnsi"/>
                <w:lang w:val="en-ID"/>
              </w:rPr>
            </w:pPr>
            <w:r w:rsidRPr="001F40AB">
              <w:rPr>
                <w:rFonts w:cstheme="minorHAnsi"/>
                <w:lang w:val="en-ID"/>
              </w:rPr>
              <w:t xml:space="preserve">There may be additional bilateral agreements </w:t>
            </w:r>
            <w:r w:rsidR="00332C41" w:rsidRPr="001F40AB">
              <w:rPr>
                <w:rFonts w:cstheme="minorHAnsi"/>
                <w:lang w:val="en-ID"/>
              </w:rPr>
              <w:t>for more specific projects, as needed</w:t>
            </w:r>
            <w:r w:rsidR="00E71AFE" w:rsidRPr="001F40AB">
              <w:rPr>
                <w:rFonts w:cstheme="minorHAnsi"/>
                <w:lang w:val="en-ID"/>
              </w:rPr>
              <w:t xml:space="preserve"> (noting there is currently only one bilateral agreement).</w:t>
            </w:r>
          </w:p>
          <w:p w14:paraId="046F3C6F" w14:textId="151CA229" w:rsidR="00E71AFE" w:rsidRPr="00E90CC5" w:rsidRDefault="00E71AFE" w:rsidP="00332C41">
            <w:pPr>
              <w:rPr>
                <w:rFonts w:cstheme="minorHAnsi"/>
                <w:lang w:val="en-ID"/>
              </w:rPr>
            </w:pPr>
          </w:p>
        </w:tc>
        <w:tc>
          <w:tcPr>
            <w:tcW w:w="1248" w:type="dxa"/>
            <w:shd w:val="clear" w:color="auto" w:fill="F2F2F2" w:themeFill="background1" w:themeFillShade="F2"/>
          </w:tcPr>
          <w:p w14:paraId="3A6E2E77" w14:textId="70B1B9A8" w:rsidR="003D60F5" w:rsidRPr="00DB50C7" w:rsidRDefault="00F77C00" w:rsidP="003D60F5">
            <w:pPr>
              <w:rPr>
                <w:rFonts w:cstheme="minorHAnsi"/>
              </w:rPr>
            </w:pPr>
            <w:r w:rsidRPr="00DB50C7">
              <w:rPr>
                <w:rFonts w:cstheme="minorHAnsi"/>
                <w:lang w:val="en-US"/>
              </w:rPr>
              <w:t>By December 2024</w:t>
            </w:r>
          </w:p>
        </w:tc>
      </w:tr>
      <w:tr w:rsidR="00B7075E" w:rsidRPr="00225182" w14:paraId="6A405E39" w14:textId="77777777" w:rsidTr="00720F06">
        <w:tc>
          <w:tcPr>
            <w:tcW w:w="1841" w:type="dxa"/>
            <w:shd w:val="clear" w:color="auto" w:fill="F2F2F2" w:themeFill="background1" w:themeFillShade="F2"/>
          </w:tcPr>
          <w:p w14:paraId="0AB0575B" w14:textId="107E8112" w:rsidR="003D60F5" w:rsidRPr="00DB50C7" w:rsidRDefault="006B6EB1" w:rsidP="003D60F5">
            <w:pPr>
              <w:rPr>
                <w:rFonts w:cstheme="minorHAnsi"/>
              </w:rPr>
            </w:pPr>
            <w:r w:rsidRPr="00DB50C7">
              <w:rPr>
                <w:rFonts w:cstheme="minorHAnsi"/>
                <w:b/>
                <w:bCs/>
                <w:lang w:val="en-US"/>
              </w:rPr>
              <w:t>Efficiency</w:t>
            </w:r>
          </w:p>
        </w:tc>
        <w:tc>
          <w:tcPr>
            <w:tcW w:w="4108" w:type="dxa"/>
            <w:shd w:val="clear" w:color="auto" w:fill="F2F2F2" w:themeFill="background1" w:themeFillShade="F2"/>
          </w:tcPr>
          <w:p w14:paraId="2A13FEE0" w14:textId="23A2E0E8" w:rsidR="003D60F5" w:rsidRPr="00DB50C7" w:rsidRDefault="006B6EB1" w:rsidP="00090A67">
            <w:pPr>
              <w:pStyle w:val="bullet"/>
              <w:numPr>
                <w:ilvl w:val="0"/>
                <w:numId w:val="0"/>
              </w:numPr>
              <w:spacing w:after="160" w:line="259" w:lineRule="auto"/>
              <w:contextualSpacing/>
              <w:rPr>
                <w:rFonts w:cstheme="minorHAnsi"/>
                <w:szCs w:val="22"/>
              </w:rPr>
            </w:pPr>
            <w:r w:rsidRPr="00DB50C7">
              <w:rPr>
                <w:rFonts w:cstheme="minorHAnsi"/>
                <w:szCs w:val="22"/>
              </w:rPr>
              <w:t>DFAT and SPC to collaborate and determine the most appropriate reporting and documentation for future funding arrangements.</w:t>
            </w:r>
          </w:p>
        </w:tc>
        <w:tc>
          <w:tcPr>
            <w:tcW w:w="1134" w:type="dxa"/>
            <w:shd w:val="clear" w:color="auto" w:fill="A8D08D" w:themeFill="accent6" w:themeFillTint="99"/>
          </w:tcPr>
          <w:p w14:paraId="5C258F6C" w14:textId="619C8149" w:rsidR="003D60F5" w:rsidRPr="00DB50C7" w:rsidRDefault="003D60F5" w:rsidP="003D60F5">
            <w:pPr>
              <w:rPr>
                <w:rFonts w:cstheme="minorHAnsi"/>
              </w:rPr>
            </w:pPr>
            <w:r w:rsidRPr="00DB50C7">
              <w:rPr>
                <w:rFonts w:cstheme="minorHAnsi"/>
                <w:lang w:val="en-US"/>
              </w:rPr>
              <w:t>Agree</w:t>
            </w:r>
          </w:p>
        </w:tc>
        <w:tc>
          <w:tcPr>
            <w:tcW w:w="5974" w:type="dxa"/>
            <w:shd w:val="clear" w:color="auto" w:fill="F2F2F2" w:themeFill="background1" w:themeFillShade="F2"/>
          </w:tcPr>
          <w:p w14:paraId="27FBF6FB" w14:textId="1CB8FC94" w:rsidR="008654BA" w:rsidRPr="00DB50C7" w:rsidRDefault="002A1CBA" w:rsidP="003D60F5">
            <w:pPr>
              <w:rPr>
                <w:rFonts w:cstheme="minorHAnsi"/>
              </w:rPr>
            </w:pPr>
            <w:r>
              <w:rPr>
                <w:rFonts w:cstheme="minorHAnsi"/>
              </w:rPr>
              <w:t>SPC and DFAT will negotiate and agree on a</w:t>
            </w:r>
            <w:r w:rsidR="0067331A">
              <w:rPr>
                <w:rFonts w:cstheme="minorHAnsi"/>
              </w:rPr>
              <w:t xml:space="preserve"> new template for reporting</w:t>
            </w:r>
            <w:r>
              <w:rPr>
                <w:rFonts w:cstheme="minorHAnsi"/>
              </w:rPr>
              <w:t xml:space="preserve"> in the refreshed design, based on PHR templates.</w:t>
            </w:r>
          </w:p>
        </w:tc>
        <w:tc>
          <w:tcPr>
            <w:tcW w:w="1248" w:type="dxa"/>
            <w:shd w:val="clear" w:color="auto" w:fill="F2F2F2" w:themeFill="background1" w:themeFillShade="F2"/>
          </w:tcPr>
          <w:p w14:paraId="083EBF5F" w14:textId="6B743F17" w:rsidR="003D60F5" w:rsidRPr="00DB50C7" w:rsidRDefault="003D60F5" w:rsidP="003D60F5">
            <w:pPr>
              <w:rPr>
                <w:rFonts w:cstheme="minorHAnsi"/>
              </w:rPr>
            </w:pPr>
            <w:r w:rsidRPr="00DB50C7">
              <w:rPr>
                <w:rFonts w:cstheme="minorHAnsi"/>
                <w:lang w:val="en-US"/>
              </w:rPr>
              <w:t>Ongoing</w:t>
            </w:r>
          </w:p>
        </w:tc>
      </w:tr>
      <w:tr w:rsidR="00B7075E" w:rsidRPr="00225182" w14:paraId="27224A1F" w14:textId="77777777" w:rsidTr="00720F06">
        <w:tc>
          <w:tcPr>
            <w:tcW w:w="1841" w:type="dxa"/>
            <w:shd w:val="clear" w:color="auto" w:fill="F2F2F2" w:themeFill="background1" w:themeFillShade="F2"/>
          </w:tcPr>
          <w:p w14:paraId="426BB22F" w14:textId="389163C4" w:rsidR="003D60F5" w:rsidRPr="00DB50C7" w:rsidRDefault="006B6EB1" w:rsidP="003D60F5">
            <w:pPr>
              <w:rPr>
                <w:rFonts w:cstheme="minorHAnsi"/>
              </w:rPr>
            </w:pPr>
            <w:r w:rsidRPr="00DB50C7">
              <w:rPr>
                <w:rFonts w:cstheme="minorHAnsi"/>
                <w:b/>
                <w:bCs/>
                <w:lang w:val="en-US"/>
              </w:rPr>
              <w:t>Efficiency</w:t>
            </w:r>
          </w:p>
        </w:tc>
        <w:tc>
          <w:tcPr>
            <w:tcW w:w="4108" w:type="dxa"/>
            <w:shd w:val="clear" w:color="auto" w:fill="F2F2F2" w:themeFill="background1" w:themeFillShade="F2"/>
          </w:tcPr>
          <w:p w14:paraId="389F8A1E" w14:textId="6063A979" w:rsidR="003D60F5" w:rsidRPr="00DB50C7" w:rsidRDefault="006B6EB1" w:rsidP="00090A67">
            <w:pPr>
              <w:pStyle w:val="bullet"/>
              <w:numPr>
                <w:ilvl w:val="0"/>
                <w:numId w:val="0"/>
              </w:numPr>
              <w:spacing w:after="160" w:line="259" w:lineRule="auto"/>
              <w:contextualSpacing/>
              <w:rPr>
                <w:rFonts w:cstheme="minorHAnsi"/>
                <w:szCs w:val="22"/>
              </w:rPr>
            </w:pPr>
            <w:r w:rsidRPr="00DB50C7">
              <w:rPr>
                <w:rFonts w:cstheme="minorHAnsi"/>
                <w:szCs w:val="22"/>
              </w:rPr>
              <w:t xml:space="preserve">DFAT and SPC PHD to identify ways to further </w:t>
            </w:r>
            <w:proofErr w:type="spellStart"/>
            <w:r w:rsidRPr="00DB50C7">
              <w:rPr>
                <w:rFonts w:cstheme="minorHAnsi"/>
                <w:szCs w:val="22"/>
              </w:rPr>
              <w:t>harmonise</w:t>
            </w:r>
            <w:proofErr w:type="spellEnd"/>
            <w:r w:rsidRPr="00DB50C7">
              <w:rPr>
                <w:rFonts w:cstheme="minorHAnsi"/>
                <w:szCs w:val="22"/>
              </w:rPr>
              <w:t xml:space="preserve">/align with other Australian investments such as the bilateral health programs in each country and Pacific Women Lead. </w:t>
            </w:r>
          </w:p>
        </w:tc>
        <w:tc>
          <w:tcPr>
            <w:tcW w:w="1134" w:type="dxa"/>
            <w:shd w:val="clear" w:color="auto" w:fill="A8D08D" w:themeFill="accent6" w:themeFillTint="99"/>
          </w:tcPr>
          <w:p w14:paraId="5B8280F5" w14:textId="5B9250AA" w:rsidR="003D60F5" w:rsidRPr="00DB50C7" w:rsidRDefault="003D60F5" w:rsidP="003D60F5">
            <w:pPr>
              <w:rPr>
                <w:rFonts w:cstheme="minorHAnsi"/>
              </w:rPr>
            </w:pPr>
            <w:r w:rsidRPr="00DB50C7">
              <w:rPr>
                <w:rFonts w:cstheme="minorHAnsi"/>
                <w:lang w:val="en-US"/>
              </w:rPr>
              <w:t>Agree</w:t>
            </w:r>
          </w:p>
        </w:tc>
        <w:tc>
          <w:tcPr>
            <w:tcW w:w="5974" w:type="dxa"/>
            <w:shd w:val="clear" w:color="auto" w:fill="F2F2F2" w:themeFill="background1" w:themeFillShade="F2"/>
          </w:tcPr>
          <w:p w14:paraId="03BF16AD" w14:textId="6EAD37FB" w:rsidR="00F76D7F" w:rsidRDefault="001E0206" w:rsidP="00C11E4A">
            <w:pPr>
              <w:spacing w:after="160"/>
              <w:rPr>
                <w:rFonts w:cstheme="minorHAnsi"/>
                <w:lang w:val="en-ID"/>
              </w:rPr>
            </w:pPr>
            <w:r w:rsidRPr="00DB50C7">
              <w:rPr>
                <w:rFonts w:cstheme="minorHAnsi"/>
                <w:lang w:val="en-ID"/>
              </w:rPr>
              <w:t>SPC PHD has agreed to provide country level reporting to DFAT six-monthly, including</w:t>
            </w:r>
            <w:r w:rsidR="00E212C3" w:rsidRPr="00DB50C7">
              <w:rPr>
                <w:rFonts w:cstheme="minorHAnsi"/>
                <w:lang w:val="en-ID"/>
              </w:rPr>
              <w:t xml:space="preserve"> activities and attributable amounts.</w:t>
            </w:r>
          </w:p>
          <w:p w14:paraId="389A0B99" w14:textId="196EBD54" w:rsidR="00F76D7F" w:rsidRPr="00DB50C7" w:rsidRDefault="00F76D7F" w:rsidP="00C11E4A">
            <w:pPr>
              <w:spacing w:after="160"/>
              <w:rPr>
                <w:rFonts w:cstheme="minorHAnsi"/>
              </w:rPr>
            </w:pPr>
            <w:r>
              <w:rPr>
                <w:rFonts w:cstheme="minorHAnsi"/>
                <w:lang w:val="en-ID"/>
              </w:rPr>
              <w:t>SPC is fully participating in PHR-led country level coordination activities, such as partner meetings</w:t>
            </w:r>
            <w:r w:rsidR="00B4721E">
              <w:rPr>
                <w:rFonts w:cstheme="minorHAnsi"/>
                <w:lang w:val="en-ID"/>
              </w:rPr>
              <w:t xml:space="preserve">. Information about SPC’s programs is included in </w:t>
            </w:r>
            <w:r w:rsidR="001A6853">
              <w:rPr>
                <w:rFonts w:cstheme="minorHAnsi"/>
                <w:lang w:val="en-ID"/>
              </w:rPr>
              <w:t>c</w:t>
            </w:r>
            <w:r w:rsidR="00B4721E">
              <w:rPr>
                <w:rFonts w:cstheme="minorHAnsi"/>
                <w:lang w:val="en-ID"/>
              </w:rPr>
              <w:t xml:space="preserve">ountry fact sheets, </w:t>
            </w:r>
            <w:proofErr w:type="gramStart"/>
            <w:r w:rsidR="00B4721E">
              <w:rPr>
                <w:rFonts w:cstheme="minorHAnsi"/>
                <w:lang w:val="en-ID"/>
              </w:rPr>
              <w:t>placemats</w:t>
            </w:r>
            <w:proofErr w:type="gramEnd"/>
            <w:r w:rsidR="00B4721E">
              <w:rPr>
                <w:rFonts w:cstheme="minorHAnsi"/>
                <w:lang w:val="en-ID"/>
              </w:rPr>
              <w:t xml:space="preserve"> and summaries, to enable coordination and </w:t>
            </w:r>
            <w:r w:rsidR="0097701F">
              <w:rPr>
                <w:rFonts w:cstheme="minorHAnsi"/>
                <w:lang w:val="en-ID"/>
              </w:rPr>
              <w:t>avoid conflict</w:t>
            </w:r>
            <w:r w:rsidR="009448EA">
              <w:rPr>
                <w:rFonts w:cstheme="minorHAnsi"/>
                <w:lang w:val="en-ID"/>
              </w:rPr>
              <w:t xml:space="preserve"> with bilateral programs.</w:t>
            </w:r>
          </w:p>
        </w:tc>
        <w:tc>
          <w:tcPr>
            <w:tcW w:w="1248" w:type="dxa"/>
            <w:shd w:val="clear" w:color="auto" w:fill="F2F2F2" w:themeFill="background1" w:themeFillShade="F2"/>
          </w:tcPr>
          <w:p w14:paraId="08BBC932" w14:textId="69F16494" w:rsidR="003D60F5" w:rsidRPr="00DB50C7" w:rsidRDefault="001E0206" w:rsidP="003D60F5">
            <w:pPr>
              <w:rPr>
                <w:rFonts w:cstheme="minorHAnsi"/>
              </w:rPr>
            </w:pPr>
            <w:r w:rsidRPr="00DB50C7">
              <w:rPr>
                <w:rFonts w:cstheme="minorHAnsi"/>
                <w:lang w:val="en-US"/>
              </w:rPr>
              <w:t>Ongoing</w:t>
            </w:r>
          </w:p>
        </w:tc>
      </w:tr>
      <w:tr w:rsidR="00B7075E" w:rsidRPr="00225182" w14:paraId="3757EBD4" w14:textId="77777777" w:rsidTr="00720F06">
        <w:tc>
          <w:tcPr>
            <w:tcW w:w="1841" w:type="dxa"/>
            <w:shd w:val="clear" w:color="auto" w:fill="F2F2F2" w:themeFill="background1" w:themeFillShade="F2"/>
          </w:tcPr>
          <w:p w14:paraId="7086E4DD" w14:textId="387DF43B" w:rsidR="003D60F5" w:rsidRPr="00DB50C7" w:rsidRDefault="00B331B1" w:rsidP="003D60F5">
            <w:pPr>
              <w:rPr>
                <w:rFonts w:cstheme="minorHAnsi"/>
              </w:rPr>
            </w:pPr>
            <w:r w:rsidRPr="00DB50C7">
              <w:rPr>
                <w:rFonts w:cstheme="minorHAnsi"/>
                <w:b/>
                <w:bCs/>
                <w:lang w:val="en-US"/>
              </w:rPr>
              <w:t>Gender Equity Disability and Social Inclusion (GEDSI)</w:t>
            </w:r>
          </w:p>
        </w:tc>
        <w:tc>
          <w:tcPr>
            <w:tcW w:w="4108" w:type="dxa"/>
            <w:shd w:val="clear" w:color="auto" w:fill="F2F2F2" w:themeFill="background1" w:themeFillShade="F2"/>
          </w:tcPr>
          <w:p w14:paraId="0206E501" w14:textId="3BE89C61" w:rsidR="003D60F5" w:rsidRPr="00DB50C7" w:rsidRDefault="00B331B1" w:rsidP="00090A67">
            <w:pPr>
              <w:pStyle w:val="bullet"/>
              <w:numPr>
                <w:ilvl w:val="0"/>
                <w:numId w:val="0"/>
              </w:numPr>
              <w:spacing w:after="160" w:line="259" w:lineRule="auto"/>
              <w:contextualSpacing/>
              <w:rPr>
                <w:rFonts w:cstheme="minorHAnsi"/>
                <w:szCs w:val="22"/>
              </w:rPr>
            </w:pPr>
            <w:r w:rsidRPr="00DB50C7">
              <w:rPr>
                <w:rFonts w:cstheme="minorHAnsi"/>
                <w:szCs w:val="22"/>
              </w:rPr>
              <w:t xml:space="preserve">DFAT should explicitly integrate GEDSI requirements in any future extension and funding arrangements. This should be completed in a coordinated and negotiated manner with SPC PHD. </w:t>
            </w:r>
          </w:p>
        </w:tc>
        <w:tc>
          <w:tcPr>
            <w:tcW w:w="1134" w:type="dxa"/>
            <w:shd w:val="clear" w:color="auto" w:fill="A8D08D" w:themeFill="accent6" w:themeFillTint="99"/>
          </w:tcPr>
          <w:p w14:paraId="5D8C0E6F" w14:textId="731BEE89" w:rsidR="003D60F5" w:rsidRPr="00DB50C7" w:rsidRDefault="003D60F5" w:rsidP="003D60F5">
            <w:pPr>
              <w:rPr>
                <w:rFonts w:cstheme="minorHAnsi"/>
              </w:rPr>
            </w:pPr>
            <w:r w:rsidRPr="00DB50C7">
              <w:rPr>
                <w:rFonts w:cstheme="minorHAnsi"/>
                <w:lang w:val="en-US"/>
              </w:rPr>
              <w:t>Agree</w:t>
            </w:r>
          </w:p>
        </w:tc>
        <w:tc>
          <w:tcPr>
            <w:tcW w:w="5974" w:type="dxa"/>
            <w:shd w:val="clear" w:color="auto" w:fill="F2F2F2" w:themeFill="background1" w:themeFillShade="F2"/>
          </w:tcPr>
          <w:p w14:paraId="6112A592" w14:textId="0AB0BFB5" w:rsidR="003D60F5" w:rsidRPr="00DB50C7" w:rsidRDefault="003D60F5" w:rsidP="003D60F5">
            <w:pPr>
              <w:rPr>
                <w:rFonts w:cstheme="minorHAnsi"/>
              </w:rPr>
            </w:pPr>
            <w:r w:rsidRPr="00DB50C7">
              <w:rPr>
                <w:rFonts w:cstheme="minorHAnsi"/>
                <w:lang w:val="en-ID"/>
              </w:rPr>
              <w:t xml:space="preserve">This </w:t>
            </w:r>
            <w:r w:rsidR="00E212C3" w:rsidRPr="00DB50C7">
              <w:rPr>
                <w:rFonts w:cstheme="minorHAnsi"/>
                <w:lang w:val="en-ID"/>
              </w:rPr>
              <w:t>detail will be included in the refreshed design</w:t>
            </w:r>
            <w:r w:rsidR="007501B7" w:rsidRPr="00DB50C7">
              <w:rPr>
                <w:rFonts w:cstheme="minorHAnsi"/>
                <w:lang w:val="en-ID"/>
              </w:rPr>
              <w:t>.</w:t>
            </w:r>
          </w:p>
        </w:tc>
        <w:tc>
          <w:tcPr>
            <w:tcW w:w="1248" w:type="dxa"/>
            <w:shd w:val="clear" w:color="auto" w:fill="F2F2F2" w:themeFill="background1" w:themeFillShade="F2"/>
          </w:tcPr>
          <w:p w14:paraId="2366BC70" w14:textId="27536AAF" w:rsidR="003D60F5" w:rsidRPr="00DB50C7" w:rsidRDefault="00E212C3" w:rsidP="003D60F5">
            <w:pPr>
              <w:rPr>
                <w:rFonts w:cstheme="minorHAnsi"/>
              </w:rPr>
            </w:pPr>
            <w:r w:rsidRPr="00DB50C7">
              <w:rPr>
                <w:rFonts w:cstheme="minorHAnsi"/>
                <w:lang w:val="en-US"/>
              </w:rPr>
              <w:t>September 2024</w:t>
            </w:r>
          </w:p>
        </w:tc>
      </w:tr>
      <w:tr w:rsidR="00070EED" w:rsidRPr="00225182" w14:paraId="7E6A9E1C" w14:textId="77777777" w:rsidTr="00720F06">
        <w:tc>
          <w:tcPr>
            <w:tcW w:w="1841" w:type="dxa"/>
            <w:shd w:val="clear" w:color="auto" w:fill="F2F2F2" w:themeFill="background1" w:themeFillShade="F2"/>
          </w:tcPr>
          <w:p w14:paraId="29A79CDB" w14:textId="0CBD61D3" w:rsidR="00070EED" w:rsidRPr="00DB50C7" w:rsidRDefault="00070EED" w:rsidP="00070EED">
            <w:pPr>
              <w:rPr>
                <w:rFonts w:cstheme="minorHAnsi"/>
                <w:b/>
                <w:bCs/>
                <w:lang w:val="en-US"/>
              </w:rPr>
            </w:pPr>
            <w:r w:rsidRPr="00DB50C7">
              <w:rPr>
                <w:rFonts w:cstheme="minorHAnsi"/>
                <w:b/>
                <w:bCs/>
                <w:lang w:val="en-US"/>
              </w:rPr>
              <w:lastRenderedPageBreak/>
              <w:t>Gender Equity Disability and Social Inclusion (GEDSI)</w:t>
            </w:r>
          </w:p>
        </w:tc>
        <w:tc>
          <w:tcPr>
            <w:tcW w:w="4108" w:type="dxa"/>
            <w:shd w:val="clear" w:color="auto" w:fill="F2F2F2" w:themeFill="background1" w:themeFillShade="F2"/>
          </w:tcPr>
          <w:p w14:paraId="1E394BA3" w14:textId="5E50E4E8" w:rsidR="00070EED" w:rsidRPr="00DB50C7" w:rsidRDefault="00070EED" w:rsidP="00070EED">
            <w:pPr>
              <w:pStyle w:val="bullet"/>
              <w:numPr>
                <w:ilvl w:val="0"/>
                <w:numId w:val="0"/>
              </w:numPr>
              <w:spacing w:after="160" w:line="259" w:lineRule="auto"/>
              <w:contextualSpacing/>
              <w:rPr>
                <w:rFonts w:cstheme="minorHAnsi"/>
                <w:szCs w:val="22"/>
              </w:rPr>
            </w:pPr>
            <w:r w:rsidRPr="00DB50C7">
              <w:rPr>
                <w:rFonts w:cstheme="minorHAnsi"/>
                <w:szCs w:val="22"/>
              </w:rPr>
              <w:t>If the two-year extension period is exercised, SPC PHD should be required to implement the 2019 Gender Review recommendations as a priority.</w:t>
            </w:r>
          </w:p>
        </w:tc>
        <w:tc>
          <w:tcPr>
            <w:tcW w:w="1134" w:type="dxa"/>
            <w:shd w:val="clear" w:color="auto" w:fill="A8D08D" w:themeFill="accent6" w:themeFillTint="99"/>
          </w:tcPr>
          <w:p w14:paraId="17176A09" w14:textId="56A5FF37" w:rsidR="00070EED" w:rsidRPr="00DB50C7" w:rsidRDefault="00070EED" w:rsidP="00070EED">
            <w:pPr>
              <w:rPr>
                <w:rFonts w:cstheme="minorHAnsi"/>
                <w:lang w:val="en-US"/>
              </w:rPr>
            </w:pPr>
            <w:r w:rsidRPr="00DB50C7">
              <w:rPr>
                <w:rFonts w:cstheme="minorHAnsi"/>
                <w:lang w:val="en-US"/>
              </w:rPr>
              <w:t>Agree</w:t>
            </w:r>
          </w:p>
        </w:tc>
        <w:tc>
          <w:tcPr>
            <w:tcW w:w="5974" w:type="dxa"/>
            <w:shd w:val="clear" w:color="auto" w:fill="F2F2F2" w:themeFill="background1" w:themeFillShade="F2"/>
          </w:tcPr>
          <w:p w14:paraId="784B891F" w14:textId="6C0C711B" w:rsidR="00C66BDC" w:rsidRPr="00DB50C7" w:rsidRDefault="003B4C75" w:rsidP="00720F06">
            <w:pPr>
              <w:rPr>
                <w:rFonts w:cstheme="minorHAnsi"/>
                <w:i/>
                <w:iCs/>
                <w:lang w:val="en-ID"/>
              </w:rPr>
            </w:pPr>
            <w:r w:rsidRPr="00DB50C7">
              <w:rPr>
                <w:rFonts w:cstheme="minorHAnsi"/>
              </w:rPr>
              <w:t xml:space="preserve">As above – see response under </w:t>
            </w:r>
            <w:r w:rsidRPr="00DB50C7">
              <w:rPr>
                <w:rFonts w:cstheme="minorHAnsi"/>
                <w:b/>
                <w:bCs/>
              </w:rPr>
              <w:t>Effectiveness</w:t>
            </w:r>
            <w:r w:rsidR="00B74A94" w:rsidRPr="00DB50C7">
              <w:rPr>
                <w:rFonts w:cstheme="minorHAnsi"/>
              </w:rPr>
              <w:t>.</w:t>
            </w:r>
          </w:p>
        </w:tc>
        <w:tc>
          <w:tcPr>
            <w:tcW w:w="1248" w:type="dxa"/>
            <w:shd w:val="clear" w:color="auto" w:fill="F2F2F2" w:themeFill="background1" w:themeFillShade="F2"/>
          </w:tcPr>
          <w:p w14:paraId="04D870C3" w14:textId="13BCB328" w:rsidR="00070EED" w:rsidRPr="00DB50C7" w:rsidRDefault="00070EED" w:rsidP="00070EED">
            <w:pPr>
              <w:rPr>
                <w:rFonts w:cstheme="minorHAnsi"/>
                <w:lang w:val="en-US"/>
              </w:rPr>
            </w:pPr>
            <w:r w:rsidRPr="00DB50C7">
              <w:rPr>
                <w:rFonts w:cstheme="minorHAnsi"/>
                <w:lang w:val="en-US"/>
              </w:rPr>
              <w:t>Ongoing</w:t>
            </w:r>
          </w:p>
        </w:tc>
      </w:tr>
      <w:tr w:rsidR="00B331B1" w:rsidRPr="00225182" w14:paraId="70F49E48" w14:textId="77777777" w:rsidTr="00720F06">
        <w:tc>
          <w:tcPr>
            <w:tcW w:w="1841" w:type="dxa"/>
            <w:shd w:val="clear" w:color="auto" w:fill="F2F2F2" w:themeFill="background1" w:themeFillShade="F2"/>
          </w:tcPr>
          <w:p w14:paraId="7C86CE99" w14:textId="585E83D0" w:rsidR="00B331B1" w:rsidRPr="00DB50C7" w:rsidRDefault="00B331B1" w:rsidP="003D60F5">
            <w:pPr>
              <w:rPr>
                <w:rFonts w:cstheme="minorHAnsi"/>
                <w:b/>
                <w:bCs/>
                <w:lang w:val="en-US"/>
              </w:rPr>
            </w:pPr>
            <w:r w:rsidRPr="00DB50C7">
              <w:rPr>
                <w:rFonts w:cstheme="minorHAnsi"/>
                <w:b/>
                <w:bCs/>
                <w:lang w:val="en-US"/>
              </w:rPr>
              <w:t>Gender Equity Disability and Social Inclusion (GEDSI)</w:t>
            </w:r>
          </w:p>
        </w:tc>
        <w:tc>
          <w:tcPr>
            <w:tcW w:w="4108" w:type="dxa"/>
            <w:shd w:val="clear" w:color="auto" w:fill="F2F2F2" w:themeFill="background1" w:themeFillShade="F2"/>
          </w:tcPr>
          <w:p w14:paraId="5AB0C67B" w14:textId="35C4EA46" w:rsidR="00B331B1" w:rsidRPr="00DB50C7" w:rsidRDefault="00B331B1" w:rsidP="00090A67">
            <w:pPr>
              <w:pStyle w:val="bullet"/>
              <w:numPr>
                <w:ilvl w:val="0"/>
                <w:numId w:val="0"/>
              </w:numPr>
              <w:spacing w:after="160" w:line="259" w:lineRule="auto"/>
              <w:contextualSpacing/>
              <w:rPr>
                <w:rFonts w:cstheme="minorHAnsi"/>
                <w:szCs w:val="22"/>
              </w:rPr>
            </w:pPr>
            <w:r w:rsidRPr="00DB50C7">
              <w:rPr>
                <w:rFonts w:cstheme="minorHAnsi"/>
                <w:szCs w:val="22"/>
              </w:rPr>
              <w:t xml:space="preserve">Any future DFAT investment should support collaboration and engagement on GEDSI with relevant CSOs, Disability Support </w:t>
            </w:r>
            <w:proofErr w:type="spellStart"/>
            <w:r w:rsidRPr="00DB50C7">
              <w:rPr>
                <w:rFonts w:cstheme="minorHAnsi"/>
                <w:szCs w:val="22"/>
              </w:rPr>
              <w:t>Organisation</w:t>
            </w:r>
            <w:proofErr w:type="spellEnd"/>
            <w:r w:rsidRPr="00DB50C7">
              <w:rPr>
                <w:rFonts w:cstheme="minorHAnsi"/>
                <w:szCs w:val="22"/>
              </w:rPr>
              <w:t xml:space="preserve"> and bilateral and regional programs including Pacific Women Lead.</w:t>
            </w:r>
          </w:p>
        </w:tc>
        <w:tc>
          <w:tcPr>
            <w:tcW w:w="1134" w:type="dxa"/>
            <w:shd w:val="clear" w:color="auto" w:fill="A8D08D" w:themeFill="accent6" w:themeFillTint="99"/>
          </w:tcPr>
          <w:p w14:paraId="4ABB431C" w14:textId="34ABC4C8" w:rsidR="00B331B1" w:rsidRPr="00DB50C7" w:rsidRDefault="00070EED" w:rsidP="003D60F5">
            <w:pPr>
              <w:rPr>
                <w:rFonts w:cstheme="minorHAnsi"/>
                <w:lang w:val="en-US"/>
              </w:rPr>
            </w:pPr>
            <w:r w:rsidRPr="00DB50C7">
              <w:rPr>
                <w:rFonts w:cstheme="minorHAnsi"/>
                <w:lang w:val="en-US"/>
              </w:rPr>
              <w:t>Agree</w:t>
            </w:r>
          </w:p>
        </w:tc>
        <w:tc>
          <w:tcPr>
            <w:tcW w:w="5974" w:type="dxa"/>
            <w:shd w:val="clear" w:color="auto" w:fill="F2F2F2" w:themeFill="background1" w:themeFillShade="F2"/>
          </w:tcPr>
          <w:p w14:paraId="0D0A6EA1" w14:textId="432C3631" w:rsidR="00640C1B" w:rsidRPr="00DB50C7" w:rsidRDefault="00B74A94" w:rsidP="00720F06">
            <w:pPr>
              <w:rPr>
                <w:rFonts w:cstheme="minorHAnsi"/>
                <w:lang w:val="en-ID"/>
              </w:rPr>
            </w:pPr>
            <w:r w:rsidRPr="00DB50C7">
              <w:rPr>
                <w:rFonts w:cstheme="minorHAnsi"/>
              </w:rPr>
              <w:t xml:space="preserve">As above – see response under </w:t>
            </w:r>
            <w:r w:rsidRPr="00DB50C7">
              <w:rPr>
                <w:rFonts w:cstheme="minorHAnsi"/>
                <w:b/>
                <w:bCs/>
              </w:rPr>
              <w:t>Effectiveness</w:t>
            </w:r>
            <w:r w:rsidRPr="00DB50C7">
              <w:rPr>
                <w:rFonts w:cstheme="minorHAnsi"/>
              </w:rPr>
              <w:t>.</w:t>
            </w:r>
          </w:p>
        </w:tc>
        <w:tc>
          <w:tcPr>
            <w:tcW w:w="1248" w:type="dxa"/>
            <w:shd w:val="clear" w:color="auto" w:fill="F2F2F2" w:themeFill="background1" w:themeFillShade="F2"/>
          </w:tcPr>
          <w:p w14:paraId="6442C7B7" w14:textId="4EBB10B4" w:rsidR="00B331B1" w:rsidRPr="00DB50C7" w:rsidRDefault="00BD745A" w:rsidP="003D60F5">
            <w:pPr>
              <w:rPr>
                <w:rFonts w:cstheme="minorHAnsi"/>
                <w:lang w:val="en-US"/>
              </w:rPr>
            </w:pPr>
            <w:r w:rsidRPr="00DB50C7">
              <w:rPr>
                <w:rFonts w:cstheme="minorHAnsi"/>
                <w:lang w:val="en-US"/>
              </w:rPr>
              <w:t>Ongoing</w:t>
            </w:r>
          </w:p>
        </w:tc>
      </w:tr>
      <w:tr w:rsidR="00B331B1" w:rsidRPr="00225182" w14:paraId="2B2C5B65" w14:textId="77777777" w:rsidTr="00720F06">
        <w:tc>
          <w:tcPr>
            <w:tcW w:w="1841" w:type="dxa"/>
            <w:shd w:val="clear" w:color="auto" w:fill="F2F2F2" w:themeFill="background1" w:themeFillShade="F2"/>
          </w:tcPr>
          <w:p w14:paraId="1E87FC1E" w14:textId="41365BF1" w:rsidR="00B331B1" w:rsidRPr="00DB50C7" w:rsidRDefault="00B331B1" w:rsidP="003D60F5">
            <w:pPr>
              <w:rPr>
                <w:rFonts w:cstheme="minorHAnsi"/>
                <w:b/>
                <w:bCs/>
                <w:lang w:val="en-US"/>
              </w:rPr>
            </w:pPr>
            <w:r w:rsidRPr="00DB50C7">
              <w:rPr>
                <w:rFonts w:cstheme="minorHAnsi"/>
                <w:b/>
                <w:bCs/>
                <w:lang w:val="en-US"/>
              </w:rPr>
              <w:t>Monitoring Evaluation and Learning (MEL)</w:t>
            </w:r>
          </w:p>
        </w:tc>
        <w:tc>
          <w:tcPr>
            <w:tcW w:w="4108" w:type="dxa"/>
            <w:shd w:val="clear" w:color="auto" w:fill="F2F2F2" w:themeFill="background1" w:themeFillShade="F2"/>
          </w:tcPr>
          <w:p w14:paraId="61DFC318" w14:textId="34F9A2C8" w:rsidR="00B331B1" w:rsidRPr="00DB50C7" w:rsidRDefault="00090A67" w:rsidP="00090A67">
            <w:pPr>
              <w:pStyle w:val="bullet"/>
              <w:numPr>
                <w:ilvl w:val="0"/>
                <w:numId w:val="0"/>
              </w:numPr>
              <w:spacing w:after="160" w:line="259" w:lineRule="auto"/>
              <w:contextualSpacing/>
              <w:rPr>
                <w:rFonts w:cstheme="minorHAnsi"/>
                <w:szCs w:val="22"/>
              </w:rPr>
            </w:pPr>
            <w:r w:rsidRPr="00DB50C7">
              <w:rPr>
                <w:rFonts w:cstheme="minorHAnsi"/>
                <w:szCs w:val="22"/>
              </w:rPr>
              <w:t>SPC and DFAT should invest in strengthening MEL to ensure adequate and timely reporting against an agreed results framework with indicators to measure progress against IOs, EOPOs and impact. SPC and DFAT should agree a streamlined approach to reporting to provide DFAT with evidence to support future health investment.</w:t>
            </w:r>
          </w:p>
        </w:tc>
        <w:tc>
          <w:tcPr>
            <w:tcW w:w="1134" w:type="dxa"/>
            <w:shd w:val="clear" w:color="auto" w:fill="A8D08D" w:themeFill="accent6" w:themeFillTint="99"/>
          </w:tcPr>
          <w:p w14:paraId="604C5266" w14:textId="0F26D43D" w:rsidR="00B331B1" w:rsidRPr="00DB50C7" w:rsidRDefault="00F132F9" w:rsidP="003D60F5">
            <w:pPr>
              <w:rPr>
                <w:rFonts w:cstheme="minorHAnsi"/>
                <w:lang w:val="en-US"/>
              </w:rPr>
            </w:pPr>
            <w:r w:rsidRPr="00DB50C7">
              <w:rPr>
                <w:rFonts w:cstheme="minorHAnsi"/>
                <w:lang w:val="en-US"/>
              </w:rPr>
              <w:t>Agree</w:t>
            </w:r>
          </w:p>
        </w:tc>
        <w:tc>
          <w:tcPr>
            <w:tcW w:w="5974" w:type="dxa"/>
            <w:shd w:val="clear" w:color="auto" w:fill="F2F2F2" w:themeFill="background1" w:themeFillShade="F2"/>
          </w:tcPr>
          <w:p w14:paraId="6B01F55C" w14:textId="5A1BFCEC" w:rsidR="00B331B1" w:rsidRPr="00DB50C7" w:rsidRDefault="00F132F9" w:rsidP="003D60F5">
            <w:pPr>
              <w:rPr>
                <w:rFonts w:cstheme="minorHAnsi"/>
                <w:lang w:val="en-ID"/>
              </w:rPr>
            </w:pPr>
            <w:r w:rsidRPr="00DB50C7">
              <w:rPr>
                <w:rFonts w:cstheme="minorHAnsi"/>
                <w:lang w:val="en-ID"/>
              </w:rPr>
              <w:t>MEL will be detailed in the refreshed design</w:t>
            </w:r>
            <w:r w:rsidR="00D403D6" w:rsidRPr="00DB50C7">
              <w:rPr>
                <w:rFonts w:cstheme="minorHAnsi"/>
                <w:lang w:val="en-ID"/>
              </w:rPr>
              <w:t>.</w:t>
            </w:r>
          </w:p>
        </w:tc>
        <w:tc>
          <w:tcPr>
            <w:tcW w:w="1248" w:type="dxa"/>
            <w:shd w:val="clear" w:color="auto" w:fill="F2F2F2" w:themeFill="background1" w:themeFillShade="F2"/>
          </w:tcPr>
          <w:p w14:paraId="452EB040" w14:textId="39A51371" w:rsidR="00B331B1" w:rsidRPr="00DB50C7" w:rsidRDefault="00F132F9" w:rsidP="003D60F5">
            <w:pPr>
              <w:rPr>
                <w:rFonts w:cstheme="minorHAnsi"/>
                <w:lang w:val="en-US"/>
              </w:rPr>
            </w:pPr>
            <w:r w:rsidRPr="00DB50C7">
              <w:rPr>
                <w:rFonts w:cstheme="minorHAnsi"/>
                <w:lang w:val="en-US"/>
              </w:rPr>
              <w:t>September 2024</w:t>
            </w:r>
          </w:p>
        </w:tc>
      </w:tr>
      <w:tr w:rsidR="00090A67" w:rsidRPr="00225182" w14:paraId="74D1E2B0" w14:textId="77777777" w:rsidTr="00720F06">
        <w:tc>
          <w:tcPr>
            <w:tcW w:w="1841" w:type="dxa"/>
            <w:shd w:val="clear" w:color="auto" w:fill="F2F2F2" w:themeFill="background1" w:themeFillShade="F2"/>
          </w:tcPr>
          <w:p w14:paraId="71DE3484" w14:textId="7BB59E09" w:rsidR="00090A67" w:rsidRPr="00DB50C7" w:rsidRDefault="00090A67" w:rsidP="003D60F5">
            <w:pPr>
              <w:rPr>
                <w:rFonts w:cstheme="minorHAnsi"/>
                <w:b/>
                <w:bCs/>
                <w:lang w:val="en-US"/>
              </w:rPr>
            </w:pPr>
            <w:r w:rsidRPr="00DB50C7">
              <w:rPr>
                <w:rFonts w:cstheme="minorHAnsi"/>
                <w:b/>
                <w:bCs/>
                <w:lang w:val="en-US"/>
              </w:rPr>
              <w:t>Monitoring Evaluation and Learning (MEL)</w:t>
            </w:r>
          </w:p>
        </w:tc>
        <w:tc>
          <w:tcPr>
            <w:tcW w:w="4108" w:type="dxa"/>
            <w:shd w:val="clear" w:color="auto" w:fill="F2F2F2" w:themeFill="background1" w:themeFillShade="F2"/>
          </w:tcPr>
          <w:p w14:paraId="7491B13F" w14:textId="66BEA47F" w:rsidR="00090A67" w:rsidRPr="00DB50C7" w:rsidRDefault="00090A67" w:rsidP="00090A67">
            <w:pPr>
              <w:pStyle w:val="bullet"/>
              <w:numPr>
                <w:ilvl w:val="0"/>
                <w:numId w:val="0"/>
              </w:numPr>
              <w:spacing w:after="160" w:line="259" w:lineRule="auto"/>
              <w:contextualSpacing/>
              <w:rPr>
                <w:rFonts w:cstheme="minorHAnsi"/>
                <w:szCs w:val="22"/>
              </w:rPr>
            </w:pPr>
            <w:r w:rsidRPr="00DB50C7">
              <w:rPr>
                <w:rFonts w:cstheme="minorHAnsi"/>
                <w:szCs w:val="22"/>
              </w:rPr>
              <w:t xml:space="preserve">SPC and DFAT to consider how relevant indicators can be incorporated into </w:t>
            </w:r>
            <w:proofErr w:type="spellStart"/>
            <w:r w:rsidRPr="00DB50C7">
              <w:rPr>
                <w:rFonts w:cstheme="minorHAnsi"/>
                <w:szCs w:val="22"/>
              </w:rPr>
              <w:t>PowerBI</w:t>
            </w:r>
            <w:proofErr w:type="spellEnd"/>
            <w:r w:rsidRPr="00DB50C7">
              <w:rPr>
                <w:rFonts w:cstheme="minorHAnsi"/>
                <w:szCs w:val="22"/>
              </w:rPr>
              <w:t xml:space="preserve"> for streamlined reporting and mapping progress throughout the life of program funding and beyond.</w:t>
            </w:r>
          </w:p>
        </w:tc>
        <w:tc>
          <w:tcPr>
            <w:tcW w:w="1134" w:type="dxa"/>
            <w:shd w:val="clear" w:color="auto" w:fill="A8D08D" w:themeFill="accent6" w:themeFillTint="99"/>
          </w:tcPr>
          <w:p w14:paraId="1449C37D" w14:textId="37AF56CF" w:rsidR="00090A67" w:rsidRPr="00DB50C7" w:rsidRDefault="00781433" w:rsidP="003D60F5">
            <w:pPr>
              <w:rPr>
                <w:rFonts w:cstheme="minorHAnsi"/>
                <w:lang w:val="en-US"/>
              </w:rPr>
            </w:pPr>
            <w:r w:rsidRPr="00DB50C7">
              <w:rPr>
                <w:rFonts w:cstheme="minorHAnsi"/>
                <w:lang w:val="en-US"/>
              </w:rPr>
              <w:t>Agree</w:t>
            </w:r>
          </w:p>
        </w:tc>
        <w:tc>
          <w:tcPr>
            <w:tcW w:w="5974" w:type="dxa"/>
            <w:shd w:val="clear" w:color="auto" w:fill="F2F2F2" w:themeFill="background1" w:themeFillShade="F2"/>
          </w:tcPr>
          <w:p w14:paraId="6CDD40CA" w14:textId="5C934F2F" w:rsidR="00090A67" w:rsidRPr="00DB50C7" w:rsidRDefault="0005031D" w:rsidP="003D60F5">
            <w:pPr>
              <w:rPr>
                <w:rFonts w:cstheme="minorHAnsi"/>
                <w:lang w:val="en-ID"/>
              </w:rPr>
            </w:pPr>
            <w:r w:rsidRPr="00DB50C7">
              <w:rPr>
                <w:rFonts w:cstheme="minorHAnsi"/>
                <w:lang w:val="en-ID"/>
              </w:rPr>
              <w:t xml:space="preserve">SPC PHD </w:t>
            </w:r>
            <w:r w:rsidR="00005A74">
              <w:rPr>
                <w:rFonts w:cstheme="minorHAnsi"/>
                <w:lang w:val="en-ID"/>
              </w:rPr>
              <w:t>will</w:t>
            </w:r>
            <w:r w:rsidRPr="00DB50C7">
              <w:rPr>
                <w:rFonts w:cstheme="minorHAnsi"/>
                <w:lang w:val="en-ID"/>
              </w:rPr>
              <w:t xml:space="preserve"> provide DFAT with six monthly narrative reports </w:t>
            </w:r>
            <w:r w:rsidR="0026204F">
              <w:rPr>
                <w:rFonts w:cstheme="minorHAnsi"/>
                <w:lang w:val="en-ID"/>
              </w:rPr>
              <w:t>one</w:t>
            </w:r>
            <w:r w:rsidRPr="00DB50C7">
              <w:rPr>
                <w:rFonts w:cstheme="minorHAnsi"/>
                <w:lang w:val="en-ID"/>
              </w:rPr>
              <w:t xml:space="preserve"> week after their Reflections </w:t>
            </w:r>
            <w:proofErr w:type="gramStart"/>
            <w:r w:rsidRPr="00DB50C7">
              <w:rPr>
                <w:rFonts w:cstheme="minorHAnsi"/>
                <w:lang w:val="en-ID"/>
              </w:rPr>
              <w:t>meetings</w:t>
            </w:r>
            <w:r w:rsidR="00A03248" w:rsidRPr="00DB50C7">
              <w:rPr>
                <w:rFonts w:cstheme="minorHAnsi"/>
                <w:lang w:val="en-ID"/>
              </w:rPr>
              <w:t>, and</w:t>
            </w:r>
            <w:proofErr w:type="gramEnd"/>
            <w:r w:rsidR="00A03248" w:rsidRPr="00DB50C7">
              <w:rPr>
                <w:rFonts w:cstheme="minorHAnsi"/>
                <w:lang w:val="en-ID"/>
              </w:rPr>
              <w:t xml:space="preserve"> provide</w:t>
            </w:r>
            <w:r w:rsidR="00526851" w:rsidRPr="00DB50C7">
              <w:rPr>
                <w:rFonts w:cstheme="minorHAnsi"/>
                <w:lang w:val="en-ID"/>
              </w:rPr>
              <w:t xml:space="preserve"> updates on</w:t>
            </w:r>
            <w:r w:rsidRPr="00DB50C7">
              <w:rPr>
                <w:rFonts w:cstheme="minorHAnsi"/>
                <w:lang w:val="en-ID"/>
              </w:rPr>
              <w:t xml:space="preserve"> progress towards the agreed indicators as outlined in </w:t>
            </w:r>
            <w:proofErr w:type="spellStart"/>
            <w:r w:rsidRPr="00DB50C7">
              <w:rPr>
                <w:rFonts w:cstheme="minorHAnsi"/>
                <w:lang w:val="en-ID"/>
              </w:rPr>
              <w:t>Power</w:t>
            </w:r>
            <w:r w:rsidR="00D403D6" w:rsidRPr="00DB50C7">
              <w:rPr>
                <w:rFonts w:cstheme="minorHAnsi"/>
                <w:lang w:val="en-ID"/>
              </w:rPr>
              <w:t>BI</w:t>
            </w:r>
            <w:proofErr w:type="spellEnd"/>
            <w:r w:rsidR="00D403D6" w:rsidRPr="00DB50C7">
              <w:rPr>
                <w:rFonts w:cstheme="minorHAnsi"/>
                <w:lang w:val="en-ID"/>
              </w:rPr>
              <w:t xml:space="preserve"> </w:t>
            </w:r>
            <w:r w:rsidRPr="00DB50C7">
              <w:rPr>
                <w:rFonts w:cstheme="minorHAnsi"/>
                <w:lang w:val="en-ID"/>
              </w:rPr>
              <w:t>format, including by country focus.</w:t>
            </w:r>
          </w:p>
        </w:tc>
        <w:tc>
          <w:tcPr>
            <w:tcW w:w="1248" w:type="dxa"/>
            <w:shd w:val="clear" w:color="auto" w:fill="F2F2F2" w:themeFill="background1" w:themeFillShade="F2"/>
          </w:tcPr>
          <w:p w14:paraId="7F0B6FED" w14:textId="732D6E77" w:rsidR="00090A67" w:rsidRPr="00DB50C7" w:rsidRDefault="00781433" w:rsidP="003D60F5">
            <w:pPr>
              <w:rPr>
                <w:rFonts w:cstheme="minorHAnsi"/>
                <w:lang w:val="en-US"/>
              </w:rPr>
            </w:pPr>
            <w:r w:rsidRPr="00DB50C7">
              <w:rPr>
                <w:rFonts w:cstheme="minorHAnsi"/>
                <w:lang w:val="en-US"/>
              </w:rPr>
              <w:t>Ongoing</w:t>
            </w:r>
          </w:p>
        </w:tc>
      </w:tr>
    </w:tbl>
    <w:p w14:paraId="3E37D4D5" w14:textId="22882DFB" w:rsidR="00686291" w:rsidRDefault="00686291" w:rsidP="003F5411"/>
    <w:sectPr w:rsidR="00686291" w:rsidSect="0036151A">
      <w:pgSz w:w="15840" w:h="12240" w:orient="landscape"/>
      <w:pgMar w:top="310" w:right="1440" w:bottom="1170" w:left="72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88C8" w14:textId="77777777" w:rsidR="00624DCF" w:rsidRDefault="00624DCF" w:rsidP="00F1253F">
      <w:pPr>
        <w:spacing w:after="0" w:line="240" w:lineRule="auto"/>
      </w:pPr>
      <w:r>
        <w:separator/>
      </w:r>
    </w:p>
  </w:endnote>
  <w:endnote w:type="continuationSeparator" w:id="0">
    <w:p w14:paraId="18B709EE" w14:textId="77777777" w:rsidR="00624DCF" w:rsidRDefault="00624DCF" w:rsidP="00F1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1976213184"/>
      <w:docPartObj>
        <w:docPartGallery w:val="Page Numbers (Bottom of Page)"/>
        <w:docPartUnique/>
      </w:docPartObj>
    </w:sdtPr>
    <w:sdtEndPr/>
    <w:sdtContent>
      <w:p w14:paraId="7066484A" w14:textId="46E5A63B" w:rsidR="00F1253F" w:rsidRPr="00F1253F" w:rsidRDefault="00F1253F">
        <w:pPr>
          <w:pStyle w:val="Footer"/>
          <w:jc w:val="right"/>
          <w:rPr>
            <w:rFonts w:asciiTheme="majorHAnsi" w:hAnsiTheme="majorHAnsi" w:cstheme="majorHAnsi"/>
            <w:sz w:val="20"/>
            <w:szCs w:val="20"/>
          </w:rPr>
        </w:pPr>
        <w:r w:rsidRPr="00F1253F">
          <w:rPr>
            <w:rFonts w:asciiTheme="majorHAnsi" w:hAnsiTheme="majorHAnsi" w:cstheme="majorHAnsi"/>
            <w:sz w:val="20"/>
            <w:szCs w:val="20"/>
          </w:rPr>
          <w:t xml:space="preserve">Page | </w:t>
        </w:r>
        <w:r w:rsidRPr="00F1253F">
          <w:rPr>
            <w:rFonts w:asciiTheme="majorHAnsi" w:hAnsiTheme="majorHAnsi" w:cstheme="majorHAnsi"/>
            <w:sz w:val="20"/>
            <w:szCs w:val="20"/>
          </w:rPr>
          <w:fldChar w:fldCharType="begin"/>
        </w:r>
        <w:r w:rsidRPr="00F1253F">
          <w:rPr>
            <w:rFonts w:asciiTheme="majorHAnsi" w:hAnsiTheme="majorHAnsi" w:cstheme="majorHAnsi"/>
            <w:sz w:val="20"/>
            <w:szCs w:val="20"/>
          </w:rPr>
          <w:instrText xml:space="preserve"> PAGE   \* MERGEFORMAT </w:instrText>
        </w:r>
        <w:r w:rsidRPr="00F1253F">
          <w:rPr>
            <w:rFonts w:asciiTheme="majorHAnsi" w:hAnsiTheme="majorHAnsi" w:cstheme="majorHAnsi"/>
            <w:sz w:val="20"/>
            <w:szCs w:val="20"/>
          </w:rPr>
          <w:fldChar w:fldCharType="separate"/>
        </w:r>
        <w:r w:rsidRPr="00F1253F">
          <w:rPr>
            <w:rFonts w:asciiTheme="majorHAnsi" w:hAnsiTheme="majorHAnsi" w:cstheme="majorHAnsi"/>
            <w:noProof/>
            <w:sz w:val="20"/>
            <w:szCs w:val="20"/>
          </w:rPr>
          <w:t>2</w:t>
        </w:r>
        <w:r w:rsidRPr="00F1253F">
          <w:rPr>
            <w:rFonts w:asciiTheme="majorHAnsi" w:hAnsiTheme="majorHAnsi" w:cstheme="majorHAnsi"/>
            <w:noProof/>
            <w:sz w:val="20"/>
            <w:szCs w:val="20"/>
          </w:rPr>
          <w:fldChar w:fldCharType="end"/>
        </w:r>
        <w:r w:rsidRPr="00F1253F">
          <w:rPr>
            <w:rFonts w:asciiTheme="majorHAnsi" w:hAnsiTheme="majorHAnsi" w:cstheme="majorHAnsi"/>
            <w:sz w:val="20"/>
            <w:szCs w:val="20"/>
          </w:rPr>
          <w:t xml:space="preserve"> </w:t>
        </w:r>
      </w:p>
    </w:sdtContent>
  </w:sdt>
  <w:p w14:paraId="023B44E6" w14:textId="77777777" w:rsidR="00F1253F" w:rsidRDefault="00F1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85DC" w14:textId="77777777" w:rsidR="00624DCF" w:rsidRDefault="00624DCF" w:rsidP="00F1253F">
      <w:pPr>
        <w:spacing w:after="0" w:line="240" w:lineRule="auto"/>
      </w:pPr>
      <w:r>
        <w:separator/>
      </w:r>
    </w:p>
  </w:footnote>
  <w:footnote w:type="continuationSeparator" w:id="0">
    <w:p w14:paraId="78F8DFDA" w14:textId="77777777" w:rsidR="00624DCF" w:rsidRDefault="00624DCF" w:rsidP="00F12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B346" w14:textId="77777777" w:rsidR="007B3B41" w:rsidRDefault="007B3B41" w:rsidP="003A2F04">
    <w:pPr>
      <w:pStyle w:val="Coverpagereport"/>
    </w:pPr>
  </w:p>
  <w:p w14:paraId="720D28BD" w14:textId="38CA6A06" w:rsidR="00F1253F" w:rsidRPr="00F1253F" w:rsidRDefault="007B3B41" w:rsidP="007B3B41">
    <w:pPr>
      <w:pStyle w:val="Header"/>
      <w:pBdr>
        <w:bottom w:val="single" w:sz="4" w:space="1" w:color="auto"/>
      </w:pBdr>
      <w:jc w:val="right"/>
      <w:rPr>
        <w:sz w:val="18"/>
        <w:szCs w:val="18"/>
      </w:rPr>
    </w:pPr>
    <w:r>
      <w:rPr>
        <w:sz w:val="18"/>
        <w:szCs w:val="18"/>
      </w:rPr>
      <w:t xml:space="preserve">Management Response </w:t>
    </w:r>
    <w:r w:rsidRPr="007B3B41">
      <w:rPr>
        <w:sz w:val="18"/>
        <w:szCs w:val="18"/>
      </w:rPr>
      <w:t>to the Evaluation of the Pacific Community Public Health Division DFAT Investments 2019-2024</w:t>
    </w:r>
  </w:p>
  <w:p w14:paraId="2D5967A4" w14:textId="77777777" w:rsidR="00725E74" w:rsidRDefault="00725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237"/>
    <w:multiLevelType w:val="hybridMultilevel"/>
    <w:tmpl w:val="53D0A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75638"/>
    <w:multiLevelType w:val="hybridMultilevel"/>
    <w:tmpl w:val="BA26B518"/>
    <w:lvl w:ilvl="0" w:tplc="0C090003">
      <w:start w:val="1"/>
      <w:numFmt w:val="bullet"/>
      <w:lvlText w:val="o"/>
      <w:lvlJc w:val="left"/>
      <w:pPr>
        <w:ind w:left="76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0AD5FA0"/>
    <w:multiLevelType w:val="hybridMultilevel"/>
    <w:tmpl w:val="AC6C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92E28"/>
    <w:multiLevelType w:val="hybridMultilevel"/>
    <w:tmpl w:val="AA60B0DA"/>
    <w:lvl w:ilvl="0" w:tplc="22BC0F6A">
      <w:numFmt w:val="bullet"/>
      <w:lvlText w:val=""/>
      <w:lvlJc w:val="left"/>
      <w:pPr>
        <w:ind w:left="410" w:hanging="360"/>
      </w:pPr>
      <w:rPr>
        <w:rFonts w:ascii="Symbol" w:eastAsiaTheme="minorHAnsi" w:hAnsi="Symbol" w:cs="Open Sans Light" w:hint="default"/>
      </w:rPr>
    </w:lvl>
    <w:lvl w:ilvl="1" w:tplc="38090003" w:tentative="1">
      <w:start w:val="1"/>
      <w:numFmt w:val="bullet"/>
      <w:lvlText w:val="o"/>
      <w:lvlJc w:val="left"/>
      <w:pPr>
        <w:ind w:left="1130" w:hanging="360"/>
      </w:pPr>
      <w:rPr>
        <w:rFonts w:ascii="Courier New" w:hAnsi="Courier New" w:cs="Courier New" w:hint="default"/>
      </w:rPr>
    </w:lvl>
    <w:lvl w:ilvl="2" w:tplc="38090005" w:tentative="1">
      <w:start w:val="1"/>
      <w:numFmt w:val="bullet"/>
      <w:lvlText w:val=""/>
      <w:lvlJc w:val="left"/>
      <w:pPr>
        <w:ind w:left="1850" w:hanging="360"/>
      </w:pPr>
      <w:rPr>
        <w:rFonts w:ascii="Wingdings" w:hAnsi="Wingdings" w:hint="default"/>
      </w:rPr>
    </w:lvl>
    <w:lvl w:ilvl="3" w:tplc="38090001" w:tentative="1">
      <w:start w:val="1"/>
      <w:numFmt w:val="bullet"/>
      <w:lvlText w:val=""/>
      <w:lvlJc w:val="left"/>
      <w:pPr>
        <w:ind w:left="2570" w:hanging="360"/>
      </w:pPr>
      <w:rPr>
        <w:rFonts w:ascii="Symbol" w:hAnsi="Symbol" w:hint="default"/>
      </w:rPr>
    </w:lvl>
    <w:lvl w:ilvl="4" w:tplc="38090003" w:tentative="1">
      <w:start w:val="1"/>
      <w:numFmt w:val="bullet"/>
      <w:lvlText w:val="o"/>
      <w:lvlJc w:val="left"/>
      <w:pPr>
        <w:ind w:left="3290" w:hanging="360"/>
      </w:pPr>
      <w:rPr>
        <w:rFonts w:ascii="Courier New" w:hAnsi="Courier New" w:cs="Courier New" w:hint="default"/>
      </w:rPr>
    </w:lvl>
    <w:lvl w:ilvl="5" w:tplc="38090005" w:tentative="1">
      <w:start w:val="1"/>
      <w:numFmt w:val="bullet"/>
      <w:lvlText w:val=""/>
      <w:lvlJc w:val="left"/>
      <w:pPr>
        <w:ind w:left="4010" w:hanging="360"/>
      </w:pPr>
      <w:rPr>
        <w:rFonts w:ascii="Wingdings" w:hAnsi="Wingdings" w:hint="default"/>
      </w:rPr>
    </w:lvl>
    <w:lvl w:ilvl="6" w:tplc="38090001" w:tentative="1">
      <w:start w:val="1"/>
      <w:numFmt w:val="bullet"/>
      <w:lvlText w:val=""/>
      <w:lvlJc w:val="left"/>
      <w:pPr>
        <w:ind w:left="4730" w:hanging="360"/>
      </w:pPr>
      <w:rPr>
        <w:rFonts w:ascii="Symbol" w:hAnsi="Symbol" w:hint="default"/>
      </w:rPr>
    </w:lvl>
    <w:lvl w:ilvl="7" w:tplc="38090003" w:tentative="1">
      <w:start w:val="1"/>
      <w:numFmt w:val="bullet"/>
      <w:lvlText w:val="o"/>
      <w:lvlJc w:val="left"/>
      <w:pPr>
        <w:ind w:left="5450" w:hanging="360"/>
      </w:pPr>
      <w:rPr>
        <w:rFonts w:ascii="Courier New" w:hAnsi="Courier New" w:cs="Courier New" w:hint="default"/>
      </w:rPr>
    </w:lvl>
    <w:lvl w:ilvl="8" w:tplc="38090005" w:tentative="1">
      <w:start w:val="1"/>
      <w:numFmt w:val="bullet"/>
      <w:lvlText w:val=""/>
      <w:lvlJc w:val="left"/>
      <w:pPr>
        <w:ind w:left="6170" w:hanging="360"/>
      </w:pPr>
      <w:rPr>
        <w:rFonts w:ascii="Wingdings" w:hAnsi="Wingdings" w:hint="default"/>
      </w:rPr>
    </w:lvl>
  </w:abstractNum>
  <w:abstractNum w:abstractNumId="4" w15:restartNumberingAfterBreak="0">
    <w:nsid w:val="22391955"/>
    <w:multiLevelType w:val="hybridMultilevel"/>
    <w:tmpl w:val="FD30D7B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230B0618"/>
    <w:multiLevelType w:val="hybridMultilevel"/>
    <w:tmpl w:val="C432584E"/>
    <w:lvl w:ilvl="0" w:tplc="0C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7326BE"/>
    <w:multiLevelType w:val="hybridMultilevel"/>
    <w:tmpl w:val="6A6E732C"/>
    <w:lvl w:ilvl="0" w:tplc="72F46B5E">
      <w:start w:val="1"/>
      <w:numFmt w:val="bullet"/>
      <w:pStyle w:val="bullet"/>
      <w:lvlText w:val=""/>
      <w:lvlJc w:val="left"/>
      <w:pPr>
        <w:ind w:left="717" w:hanging="360"/>
      </w:pPr>
      <w:rPr>
        <w:rFonts w:ascii="Symbol" w:hAnsi="Symbol" w:hint="default"/>
        <w:color w:val="DA291C"/>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956432"/>
    <w:multiLevelType w:val="hybridMultilevel"/>
    <w:tmpl w:val="19CCE8D6"/>
    <w:lvl w:ilvl="0" w:tplc="0C090003">
      <w:start w:val="1"/>
      <w:numFmt w:val="bullet"/>
      <w:lvlText w:val="o"/>
      <w:lvlJc w:val="left"/>
      <w:pPr>
        <w:ind w:left="1080" w:hanging="360"/>
      </w:pPr>
      <w:rPr>
        <w:rFonts w:ascii="Courier New" w:hAnsi="Courier New" w:cs="Courier New" w:hint="default"/>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5EA529B0"/>
    <w:multiLevelType w:val="hybridMultilevel"/>
    <w:tmpl w:val="B9AA1FD4"/>
    <w:lvl w:ilvl="0" w:tplc="681C7B7E">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E7011F"/>
    <w:multiLevelType w:val="multilevel"/>
    <w:tmpl w:val="62E7011F"/>
    <w:lvl w:ilvl="0">
      <w:start w:val="1"/>
      <w:numFmt w:val="bullet"/>
      <w:lvlText w:val=""/>
      <w:lvlJc w:val="left"/>
      <w:pPr>
        <w:ind w:left="720" w:hanging="360"/>
      </w:pPr>
      <w:rPr>
        <w:rFonts w:ascii="Symbol" w:hAnsi="Symbol" w:hint="default"/>
        <w:color w:val="4472C4"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A059DA"/>
    <w:multiLevelType w:val="hybridMultilevel"/>
    <w:tmpl w:val="98FEDF74"/>
    <w:lvl w:ilvl="0" w:tplc="27A2D6E4">
      <w:start w:val="1"/>
      <w:numFmt w:val="bullet"/>
      <w:lvlText w:val="•"/>
      <w:lvlJc w:val="left"/>
      <w:pPr>
        <w:tabs>
          <w:tab w:val="num" w:pos="720"/>
        </w:tabs>
        <w:ind w:left="720" w:hanging="360"/>
      </w:pPr>
      <w:rPr>
        <w:rFonts w:ascii="Arial" w:hAnsi="Arial" w:hint="default"/>
      </w:rPr>
    </w:lvl>
    <w:lvl w:ilvl="1" w:tplc="659CA720" w:tentative="1">
      <w:start w:val="1"/>
      <w:numFmt w:val="bullet"/>
      <w:lvlText w:val="•"/>
      <w:lvlJc w:val="left"/>
      <w:pPr>
        <w:tabs>
          <w:tab w:val="num" w:pos="1440"/>
        </w:tabs>
        <w:ind w:left="1440" w:hanging="360"/>
      </w:pPr>
      <w:rPr>
        <w:rFonts w:ascii="Arial" w:hAnsi="Arial" w:hint="default"/>
      </w:rPr>
    </w:lvl>
    <w:lvl w:ilvl="2" w:tplc="FA7E63E6" w:tentative="1">
      <w:start w:val="1"/>
      <w:numFmt w:val="bullet"/>
      <w:lvlText w:val="•"/>
      <w:lvlJc w:val="left"/>
      <w:pPr>
        <w:tabs>
          <w:tab w:val="num" w:pos="2160"/>
        </w:tabs>
        <w:ind w:left="2160" w:hanging="360"/>
      </w:pPr>
      <w:rPr>
        <w:rFonts w:ascii="Arial" w:hAnsi="Arial" w:hint="default"/>
      </w:rPr>
    </w:lvl>
    <w:lvl w:ilvl="3" w:tplc="C610C692" w:tentative="1">
      <w:start w:val="1"/>
      <w:numFmt w:val="bullet"/>
      <w:lvlText w:val="•"/>
      <w:lvlJc w:val="left"/>
      <w:pPr>
        <w:tabs>
          <w:tab w:val="num" w:pos="2880"/>
        </w:tabs>
        <w:ind w:left="2880" w:hanging="360"/>
      </w:pPr>
      <w:rPr>
        <w:rFonts w:ascii="Arial" w:hAnsi="Arial" w:hint="default"/>
      </w:rPr>
    </w:lvl>
    <w:lvl w:ilvl="4" w:tplc="83220DCE" w:tentative="1">
      <w:start w:val="1"/>
      <w:numFmt w:val="bullet"/>
      <w:lvlText w:val="•"/>
      <w:lvlJc w:val="left"/>
      <w:pPr>
        <w:tabs>
          <w:tab w:val="num" w:pos="3600"/>
        </w:tabs>
        <w:ind w:left="3600" w:hanging="360"/>
      </w:pPr>
      <w:rPr>
        <w:rFonts w:ascii="Arial" w:hAnsi="Arial" w:hint="default"/>
      </w:rPr>
    </w:lvl>
    <w:lvl w:ilvl="5" w:tplc="D3F8475A" w:tentative="1">
      <w:start w:val="1"/>
      <w:numFmt w:val="bullet"/>
      <w:lvlText w:val="•"/>
      <w:lvlJc w:val="left"/>
      <w:pPr>
        <w:tabs>
          <w:tab w:val="num" w:pos="4320"/>
        </w:tabs>
        <w:ind w:left="4320" w:hanging="360"/>
      </w:pPr>
      <w:rPr>
        <w:rFonts w:ascii="Arial" w:hAnsi="Arial" w:hint="default"/>
      </w:rPr>
    </w:lvl>
    <w:lvl w:ilvl="6" w:tplc="C6C4CDEE" w:tentative="1">
      <w:start w:val="1"/>
      <w:numFmt w:val="bullet"/>
      <w:lvlText w:val="•"/>
      <w:lvlJc w:val="left"/>
      <w:pPr>
        <w:tabs>
          <w:tab w:val="num" w:pos="5040"/>
        </w:tabs>
        <w:ind w:left="5040" w:hanging="360"/>
      </w:pPr>
      <w:rPr>
        <w:rFonts w:ascii="Arial" w:hAnsi="Arial" w:hint="default"/>
      </w:rPr>
    </w:lvl>
    <w:lvl w:ilvl="7" w:tplc="B0D8FCC8" w:tentative="1">
      <w:start w:val="1"/>
      <w:numFmt w:val="bullet"/>
      <w:lvlText w:val="•"/>
      <w:lvlJc w:val="left"/>
      <w:pPr>
        <w:tabs>
          <w:tab w:val="num" w:pos="5760"/>
        </w:tabs>
        <w:ind w:left="5760" w:hanging="360"/>
      </w:pPr>
      <w:rPr>
        <w:rFonts w:ascii="Arial" w:hAnsi="Arial" w:hint="default"/>
      </w:rPr>
    </w:lvl>
    <w:lvl w:ilvl="8" w:tplc="47D40D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9B0093"/>
    <w:multiLevelType w:val="hybridMultilevel"/>
    <w:tmpl w:val="7D4095C4"/>
    <w:lvl w:ilvl="0" w:tplc="E36C5DBE">
      <w:start w:val="1"/>
      <w:numFmt w:val="bullet"/>
      <w:lvlText w:val=""/>
      <w:lvlJc w:val="left"/>
      <w:pPr>
        <w:tabs>
          <w:tab w:val="num" w:pos="720"/>
        </w:tabs>
        <w:ind w:left="720" w:hanging="360"/>
      </w:pPr>
      <w:rPr>
        <w:rFonts w:ascii="Symbol" w:hAnsi="Symbol" w:hint="default"/>
      </w:rPr>
    </w:lvl>
    <w:lvl w:ilvl="1" w:tplc="AE1E2578" w:tentative="1">
      <w:start w:val="1"/>
      <w:numFmt w:val="bullet"/>
      <w:lvlText w:val=""/>
      <w:lvlJc w:val="left"/>
      <w:pPr>
        <w:tabs>
          <w:tab w:val="num" w:pos="1440"/>
        </w:tabs>
        <w:ind w:left="1440" w:hanging="360"/>
      </w:pPr>
      <w:rPr>
        <w:rFonts w:ascii="Symbol" w:hAnsi="Symbol" w:hint="default"/>
      </w:rPr>
    </w:lvl>
    <w:lvl w:ilvl="2" w:tplc="B192A1D6" w:tentative="1">
      <w:start w:val="1"/>
      <w:numFmt w:val="bullet"/>
      <w:lvlText w:val=""/>
      <w:lvlJc w:val="left"/>
      <w:pPr>
        <w:tabs>
          <w:tab w:val="num" w:pos="2160"/>
        </w:tabs>
        <w:ind w:left="2160" w:hanging="360"/>
      </w:pPr>
      <w:rPr>
        <w:rFonts w:ascii="Symbol" w:hAnsi="Symbol" w:hint="default"/>
      </w:rPr>
    </w:lvl>
    <w:lvl w:ilvl="3" w:tplc="0C2E992E" w:tentative="1">
      <w:start w:val="1"/>
      <w:numFmt w:val="bullet"/>
      <w:lvlText w:val=""/>
      <w:lvlJc w:val="left"/>
      <w:pPr>
        <w:tabs>
          <w:tab w:val="num" w:pos="2880"/>
        </w:tabs>
        <w:ind w:left="2880" w:hanging="360"/>
      </w:pPr>
      <w:rPr>
        <w:rFonts w:ascii="Symbol" w:hAnsi="Symbol" w:hint="default"/>
      </w:rPr>
    </w:lvl>
    <w:lvl w:ilvl="4" w:tplc="24EA90D2" w:tentative="1">
      <w:start w:val="1"/>
      <w:numFmt w:val="bullet"/>
      <w:lvlText w:val=""/>
      <w:lvlJc w:val="left"/>
      <w:pPr>
        <w:tabs>
          <w:tab w:val="num" w:pos="3600"/>
        </w:tabs>
        <w:ind w:left="3600" w:hanging="360"/>
      </w:pPr>
      <w:rPr>
        <w:rFonts w:ascii="Symbol" w:hAnsi="Symbol" w:hint="default"/>
      </w:rPr>
    </w:lvl>
    <w:lvl w:ilvl="5" w:tplc="481838F4" w:tentative="1">
      <w:start w:val="1"/>
      <w:numFmt w:val="bullet"/>
      <w:lvlText w:val=""/>
      <w:lvlJc w:val="left"/>
      <w:pPr>
        <w:tabs>
          <w:tab w:val="num" w:pos="4320"/>
        </w:tabs>
        <w:ind w:left="4320" w:hanging="360"/>
      </w:pPr>
      <w:rPr>
        <w:rFonts w:ascii="Symbol" w:hAnsi="Symbol" w:hint="default"/>
      </w:rPr>
    </w:lvl>
    <w:lvl w:ilvl="6" w:tplc="3878A536" w:tentative="1">
      <w:start w:val="1"/>
      <w:numFmt w:val="bullet"/>
      <w:lvlText w:val=""/>
      <w:lvlJc w:val="left"/>
      <w:pPr>
        <w:tabs>
          <w:tab w:val="num" w:pos="5040"/>
        </w:tabs>
        <w:ind w:left="5040" w:hanging="360"/>
      </w:pPr>
      <w:rPr>
        <w:rFonts w:ascii="Symbol" w:hAnsi="Symbol" w:hint="default"/>
      </w:rPr>
    </w:lvl>
    <w:lvl w:ilvl="7" w:tplc="A1C6AFE2" w:tentative="1">
      <w:start w:val="1"/>
      <w:numFmt w:val="bullet"/>
      <w:lvlText w:val=""/>
      <w:lvlJc w:val="left"/>
      <w:pPr>
        <w:tabs>
          <w:tab w:val="num" w:pos="5760"/>
        </w:tabs>
        <w:ind w:left="5760" w:hanging="360"/>
      </w:pPr>
      <w:rPr>
        <w:rFonts w:ascii="Symbol" w:hAnsi="Symbol" w:hint="default"/>
      </w:rPr>
    </w:lvl>
    <w:lvl w:ilvl="8" w:tplc="25BC11F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E3F2D77"/>
    <w:multiLevelType w:val="hybridMultilevel"/>
    <w:tmpl w:val="D9F877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A057D2"/>
    <w:multiLevelType w:val="hybridMultilevel"/>
    <w:tmpl w:val="E1343B3A"/>
    <w:lvl w:ilvl="0" w:tplc="1009001B">
      <w:start w:val="1"/>
      <w:numFmt w:val="lowerRoman"/>
      <w:lvlText w:val="%1."/>
      <w:lvlJc w:val="righ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3484F8E"/>
    <w:multiLevelType w:val="hybridMultilevel"/>
    <w:tmpl w:val="8BD28B28"/>
    <w:lvl w:ilvl="0" w:tplc="E5C0B062">
      <w:start w:val="1"/>
      <w:numFmt w:val="bullet"/>
      <w:lvlText w:val=""/>
      <w:lvlJc w:val="left"/>
      <w:pPr>
        <w:tabs>
          <w:tab w:val="num" w:pos="720"/>
        </w:tabs>
        <w:ind w:left="720" w:hanging="360"/>
      </w:pPr>
      <w:rPr>
        <w:rFonts w:ascii="Symbol" w:hAnsi="Symbol" w:hint="default"/>
      </w:rPr>
    </w:lvl>
    <w:lvl w:ilvl="1" w:tplc="2D7696B0" w:tentative="1">
      <w:start w:val="1"/>
      <w:numFmt w:val="bullet"/>
      <w:lvlText w:val=""/>
      <w:lvlJc w:val="left"/>
      <w:pPr>
        <w:tabs>
          <w:tab w:val="num" w:pos="1440"/>
        </w:tabs>
        <w:ind w:left="1440" w:hanging="360"/>
      </w:pPr>
      <w:rPr>
        <w:rFonts w:ascii="Symbol" w:hAnsi="Symbol" w:hint="default"/>
      </w:rPr>
    </w:lvl>
    <w:lvl w:ilvl="2" w:tplc="61A6809A" w:tentative="1">
      <w:start w:val="1"/>
      <w:numFmt w:val="bullet"/>
      <w:lvlText w:val=""/>
      <w:lvlJc w:val="left"/>
      <w:pPr>
        <w:tabs>
          <w:tab w:val="num" w:pos="2160"/>
        </w:tabs>
        <w:ind w:left="2160" w:hanging="360"/>
      </w:pPr>
      <w:rPr>
        <w:rFonts w:ascii="Symbol" w:hAnsi="Symbol" w:hint="default"/>
      </w:rPr>
    </w:lvl>
    <w:lvl w:ilvl="3" w:tplc="08167A26" w:tentative="1">
      <w:start w:val="1"/>
      <w:numFmt w:val="bullet"/>
      <w:lvlText w:val=""/>
      <w:lvlJc w:val="left"/>
      <w:pPr>
        <w:tabs>
          <w:tab w:val="num" w:pos="2880"/>
        </w:tabs>
        <w:ind w:left="2880" w:hanging="360"/>
      </w:pPr>
      <w:rPr>
        <w:rFonts w:ascii="Symbol" w:hAnsi="Symbol" w:hint="default"/>
      </w:rPr>
    </w:lvl>
    <w:lvl w:ilvl="4" w:tplc="900A6F96" w:tentative="1">
      <w:start w:val="1"/>
      <w:numFmt w:val="bullet"/>
      <w:lvlText w:val=""/>
      <w:lvlJc w:val="left"/>
      <w:pPr>
        <w:tabs>
          <w:tab w:val="num" w:pos="3600"/>
        </w:tabs>
        <w:ind w:left="3600" w:hanging="360"/>
      </w:pPr>
      <w:rPr>
        <w:rFonts w:ascii="Symbol" w:hAnsi="Symbol" w:hint="default"/>
      </w:rPr>
    </w:lvl>
    <w:lvl w:ilvl="5" w:tplc="475AC6E8" w:tentative="1">
      <w:start w:val="1"/>
      <w:numFmt w:val="bullet"/>
      <w:lvlText w:val=""/>
      <w:lvlJc w:val="left"/>
      <w:pPr>
        <w:tabs>
          <w:tab w:val="num" w:pos="4320"/>
        </w:tabs>
        <w:ind w:left="4320" w:hanging="360"/>
      </w:pPr>
      <w:rPr>
        <w:rFonts w:ascii="Symbol" w:hAnsi="Symbol" w:hint="default"/>
      </w:rPr>
    </w:lvl>
    <w:lvl w:ilvl="6" w:tplc="2E42E73A" w:tentative="1">
      <w:start w:val="1"/>
      <w:numFmt w:val="bullet"/>
      <w:lvlText w:val=""/>
      <w:lvlJc w:val="left"/>
      <w:pPr>
        <w:tabs>
          <w:tab w:val="num" w:pos="5040"/>
        </w:tabs>
        <w:ind w:left="5040" w:hanging="360"/>
      </w:pPr>
      <w:rPr>
        <w:rFonts w:ascii="Symbol" w:hAnsi="Symbol" w:hint="default"/>
      </w:rPr>
    </w:lvl>
    <w:lvl w:ilvl="7" w:tplc="21F4EF62" w:tentative="1">
      <w:start w:val="1"/>
      <w:numFmt w:val="bullet"/>
      <w:lvlText w:val=""/>
      <w:lvlJc w:val="left"/>
      <w:pPr>
        <w:tabs>
          <w:tab w:val="num" w:pos="5760"/>
        </w:tabs>
        <w:ind w:left="5760" w:hanging="360"/>
      </w:pPr>
      <w:rPr>
        <w:rFonts w:ascii="Symbol" w:hAnsi="Symbol" w:hint="default"/>
      </w:rPr>
    </w:lvl>
    <w:lvl w:ilvl="8" w:tplc="404625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AFD1A13"/>
    <w:multiLevelType w:val="hybridMultilevel"/>
    <w:tmpl w:val="E29AC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8533D"/>
    <w:multiLevelType w:val="hybridMultilevel"/>
    <w:tmpl w:val="C468500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7735685">
    <w:abstractNumId w:val="16"/>
  </w:num>
  <w:num w:numId="2" w16cid:durableId="607858859">
    <w:abstractNumId w:val="4"/>
  </w:num>
  <w:num w:numId="3" w16cid:durableId="1250307113">
    <w:abstractNumId w:val="8"/>
  </w:num>
  <w:num w:numId="4" w16cid:durableId="479079529">
    <w:abstractNumId w:val="3"/>
  </w:num>
  <w:num w:numId="5" w16cid:durableId="14187728">
    <w:abstractNumId w:val="9"/>
  </w:num>
  <w:num w:numId="6" w16cid:durableId="1279681420">
    <w:abstractNumId w:val="11"/>
  </w:num>
  <w:num w:numId="7" w16cid:durableId="1402413501">
    <w:abstractNumId w:val="14"/>
  </w:num>
  <w:num w:numId="8" w16cid:durableId="2096054635">
    <w:abstractNumId w:val="12"/>
  </w:num>
  <w:num w:numId="9" w16cid:durableId="1070688460">
    <w:abstractNumId w:val="10"/>
  </w:num>
  <w:num w:numId="10" w16cid:durableId="558133758">
    <w:abstractNumId w:val="6"/>
  </w:num>
  <w:num w:numId="11" w16cid:durableId="549682978">
    <w:abstractNumId w:val="2"/>
  </w:num>
  <w:num w:numId="12" w16cid:durableId="7219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832062">
    <w:abstractNumId w:val="0"/>
  </w:num>
  <w:num w:numId="14" w16cid:durableId="1660959874">
    <w:abstractNumId w:val="13"/>
  </w:num>
  <w:num w:numId="15" w16cid:durableId="2013948313">
    <w:abstractNumId w:val="5"/>
  </w:num>
  <w:num w:numId="16" w16cid:durableId="320815692">
    <w:abstractNumId w:val="7"/>
  </w:num>
  <w:num w:numId="17" w16cid:durableId="415244836">
    <w:abstractNumId w:val="1"/>
  </w:num>
  <w:num w:numId="18" w16cid:durableId="2214511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F5"/>
    <w:rsid w:val="00003D58"/>
    <w:rsid w:val="00005A74"/>
    <w:rsid w:val="00013BAD"/>
    <w:rsid w:val="00013D43"/>
    <w:rsid w:val="000159AA"/>
    <w:rsid w:val="00024933"/>
    <w:rsid w:val="00035693"/>
    <w:rsid w:val="00042930"/>
    <w:rsid w:val="0005031D"/>
    <w:rsid w:val="0005210B"/>
    <w:rsid w:val="000574CD"/>
    <w:rsid w:val="00062664"/>
    <w:rsid w:val="00070EED"/>
    <w:rsid w:val="0007538B"/>
    <w:rsid w:val="000760EC"/>
    <w:rsid w:val="0007690E"/>
    <w:rsid w:val="000777C4"/>
    <w:rsid w:val="00090A67"/>
    <w:rsid w:val="000913B2"/>
    <w:rsid w:val="00091B96"/>
    <w:rsid w:val="000B7A2D"/>
    <w:rsid w:val="000C1DAF"/>
    <w:rsid w:val="000D6A43"/>
    <w:rsid w:val="000D7EBD"/>
    <w:rsid w:val="000E02EB"/>
    <w:rsid w:val="000E28F5"/>
    <w:rsid w:val="000E4F5E"/>
    <w:rsid w:val="000E5CBC"/>
    <w:rsid w:val="000F287A"/>
    <w:rsid w:val="000F367C"/>
    <w:rsid w:val="00100EF2"/>
    <w:rsid w:val="00105000"/>
    <w:rsid w:val="001072E3"/>
    <w:rsid w:val="0011367C"/>
    <w:rsid w:val="00147C78"/>
    <w:rsid w:val="001531B9"/>
    <w:rsid w:val="00176CC8"/>
    <w:rsid w:val="00192082"/>
    <w:rsid w:val="00197C72"/>
    <w:rsid w:val="001A109A"/>
    <w:rsid w:val="001A6853"/>
    <w:rsid w:val="001C1B82"/>
    <w:rsid w:val="001C2980"/>
    <w:rsid w:val="001D3A3D"/>
    <w:rsid w:val="001E0206"/>
    <w:rsid w:val="001E719D"/>
    <w:rsid w:val="001F1F7E"/>
    <w:rsid w:val="001F40AB"/>
    <w:rsid w:val="00206809"/>
    <w:rsid w:val="002201D9"/>
    <w:rsid w:val="00223A5B"/>
    <w:rsid w:val="00225182"/>
    <w:rsid w:val="002252A8"/>
    <w:rsid w:val="00227B52"/>
    <w:rsid w:val="00256CD2"/>
    <w:rsid w:val="0026204F"/>
    <w:rsid w:val="00272B02"/>
    <w:rsid w:val="00274B73"/>
    <w:rsid w:val="00277506"/>
    <w:rsid w:val="0028280A"/>
    <w:rsid w:val="002840E4"/>
    <w:rsid w:val="002A1CBA"/>
    <w:rsid w:val="002A4A15"/>
    <w:rsid w:val="002A578C"/>
    <w:rsid w:val="002B0B10"/>
    <w:rsid w:val="002C593C"/>
    <w:rsid w:val="002D444A"/>
    <w:rsid w:val="002D6005"/>
    <w:rsid w:val="002E4785"/>
    <w:rsid w:val="002E643D"/>
    <w:rsid w:val="00302492"/>
    <w:rsid w:val="00315A57"/>
    <w:rsid w:val="0032384B"/>
    <w:rsid w:val="003249B3"/>
    <w:rsid w:val="0032652B"/>
    <w:rsid w:val="00327A00"/>
    <w:rsid w:val="00331D67"/>
    <w:rsid w:val="00332C41"/>
    <w:rsid w:val="00332F5D"/>
    <w:rsid w:val="00337F3C"/>
    <w:rsid w:val="0036151A"/>
    <w:rsid w:val="00371B4A"/>
    <w:rsid w:val="00373495"/>
    <w:rsid w:val="00373DFD"/>
    <w:rsid w:val="003816B0"/>
    <w:rsid w:val="00383ED9"/>
    <w:rsid w:val="00392489"/>
    <w:rsid w:val="003A2F04"/>
    <w:rsid w:val="003B4C75"/>
    <w:rsid w:val="003C403D"/>
    <w:rsid w:val="003C4E62"/>
    <w:rsid w:val="003C6B72"/>
    <w:rsid w:val="003C7F48"/>
    <w:rsid w:val="003D45BD"/>
    <w:rsid w:val="003D60F5"/>
    <w:rsid w:val="003E0110"/>
    <w:rsid w:val="003E5FA2"/>
    <w:rsid w:val="003E7764"/>
    <w:rsid w:val="003F2884"/>
    <w:rsid w:val="003F5411"/>
    <w:rsid w:val="004241D8"/>
    <w:rsid w:val="00430701"/>
    <w:rsid w:val="00440C8E"/>
    <w:rsid w:val="004442D9"/>
    <w:rsid w:val="004457D1"/>
    <w:rsid w:val="00452CBD"/>
    <w:rsid w:val="00462A63"/>
    <w:rsid w:val="0046639B"/>
    <w:rsid w:val="004A0346"/>
    <w:rsid w:val="004C1B2A"/>
    <w:rsid w:val="004C221B"/>
    <w:rsid w:val="004C4D57"/>
    <w:rsid w:val="004C6560"/>
    <w:rsid w:val="004E5039"/>
    <w:rsid w:val="004E740B"/>
    <w:rsid w:val="004F0124"/>
    <w:rsid w:val="004F4880"/>
    <w:rsid w:val="00503AD4"/>
    <w:rsid w:val="00503FA8"/>
    <w:rsid w:val="00520D1A"/>
    <w:rsid w:val="00520F22"/>
    <w:rsid w:val="00524657"/>
    <w:rsid w:val="00526851"/>
    <w:rsid w:val="005335B8"/>
    <w:rsid w:val="00541798"/>
    <w:rsid w:val="005430C3"/>
    <w:rsid w:val="00561391"/>
    <w:rsid w:val="0058056D"/>
    <w:rsid w:val="005826E0"/>
    <w:rsid w:val="0059132C"/>
    <w:rsid w:val="005A22BE"/>
    <w:rsid w:val="005B2E89"/>
    <w:rsid w:val="005B4071"/>
    <w:rsid w:val="005C133D"/>
    <w:rsid w:val="005C4DD0"/>
    <w:rsid w:val="005D0638"/>
    <w:rsid w:val="005E0DF4"/>
    <w:rsid w:val="005E2E83"/>
    <w:rsid w:val="005E54B4"/>
    <w:rsid w:val="00620323"/>
    <w:rsid w:val="006222F6"/>
    <w:rsid w:val="00624DCF"/>
    <w:rsid w:val="006361C9"/>
    <w:rsid w:val="00636BC5"/>
    <w:rsid w:val="00640C1B"/>
    <w:rsid w:val="006553FF"/>
    <w:rsid w:val="00665865"/>
    <w:rsid w:val="0067331A"/>
    <w:rsid w:val="006772D9"/>
    <w:rsid w:val="0067746A"/>
    <w:rsid w:val="006845B4"/>
    <w:rsid w:val="00686291"/>
    <w:rsid w:val="006920B0"/>
    <w:rsid w:val="006A0252"/>
    <w:rsid w:val="006A481D"/>
    <w:rsid w:val="006B6687"/>
    <w:rsid w:val="006B6EB1"/>
    <w:rsid w:val="006C3CF2"/>
    <w:rsid w:val="006E3A6E"/>
    <w:rsid w:val="006E73A2"/>
    <w:rsid w:val="006F4136"/>
    <w:rsid w:val="00710394"/>
    <w:rsid w:val="00720F06"/>
    <w:rsid w:val="00723425"/>
    <w:rsid w:val="00725E74"/>
    <w:rsid w:val="00726BCD"/>
    <w:rsid w:val="007461E7"/>
    <w:rsid w:val="007501B7"/>
    <w:rsid w:val="007554F8"/>
    <w:rsid w:val="0076064B"/>
    <w:rsid w:val="00763252"/>
    <w:rsid w:val="00764989"/>
    <w:rsid w:val="00781433"/>
    <w:rsid w:val="007A0DDE"/>
    <w:rsid w:val="007B2A6E"/>
    <w:rsid w:val="007B3B41"/>
    <w:rsid w:val="007C0012"/>
    <w:rsid w:val="007C484B"/>
    <w:rsid w:val="007D4E76"/>
    <w:rsid w:val="007E6FAB"/>
    <w:rsid w:val="00802134"/>
    <w:rsid w:val="008049E9"/>
    <w:rsid w:val="00807F68"/>
    <w:rsid w:val="00810759"/>
    <w:rsid w:val="008152E5"/>
    <w:rsid w:val="00821E52"/>
    <w:rsid w:val="0082712B"/>
    <w:rsid w:val="00834131"/>
    <w:rsid w:val="008654BA"/>
    <w:rsid w:val="00880A69"/>
    <w:rsid w:val="0088397E"/>
    <w:rsid w:val="00887306"/>
    <w:rsid w:val="008B10AD"/>
    <w:rsid w:val="008B30DE"/>
    <w:rsid w:val="008B463C"/>
    <w:rsid w:val="008D5944"/>
    <w:rsid w:val="008E3DE3"/>
    <w:rsid w:val="0092685C"/>
    <w:rsid w:val="00933F35"/>
    <w:rsid w:val="00934EC8"/>
    <w:rsid w:val="009448EA"/>
    <w:rsid w:val="0097701F"/>
    <w:rsid w:val="00983D2B"/>
    <w:rsid w:val="00994DEA"/>
    <w:rsid w:val="00996F1B"/>
    <w:rsid w:val="009B7F8F"/>
    <w:rsid w:val="009C46F8"/>
    <w:rsid w:val="009D4A74"/>
    <w:rsid w:val="009E0F25"/>
    <w:rsid w:val="00A03248"/>
    <w:rsid w:val="00A105F4"/>
    <w:rsid w:val="00A30D05"/>
    <w:rsid w:val="00A34F3E"/>
    <w:rsid w:val="00A45126"/>
    <w:rsid w:val="00A53795"/>
    <w:rsid w:val="00A61AB4"/>
    <w:rsid w:val="00A665C1"/>
    <w:rsid w:val="00A73DAA"/>
    <w:rsid w:val="00A76D49"/>
    <w:rsid w:val="00A84171"/>
    <w:rsid w:val="00A90402"/>
    <w:rsid w:val="00A915A1"/>
    <w:rsid w:val="00A94EFA"/>
    <w:rsid w:val="00A96273"/>
    <w:rsid w:val="00AA4A2E"/>
    <w:rsid w:val="00AC6DDB"/>
    <w:rsid w:val="00AD3B14"/>
    <w:rsid w:val="00AD3BBB"/>
    <w:rsid w:val="00AE6BB7"/>
    <w:rsid w:val="00AF514A"/>
    <w:rsid w:val="00B141D4"/>
    <w:rsid w:val="00B15583"/>
    <w:rsid w:val="00B1680A"/>
    <w:rsid w:val="00B27EBE"/>
    <w:rsid w:val="00B331B1"/>
    <w:rsid w:val="00B3456A"/>
    <w:rsid w:val="00B368F7"/>
    <w:rsid w:val="00B4721E"/>
    <w:rsid w:val="00B51F0E"/>
    <w:rsid w:val="00B579D3"/>
    <w:rsid w:val="00B606B4"/>
    <w:rsid w:val="00B7067A"/>
    <w:rsid w:val="00B7075E"/>
    <w:rsid w:val="00B74A94"/>
    <w:rsid w:val="00B905E9"/>
    <w:rsid w:val="00B960F4"/>
    <w:rsid w:val="00BA349F"/>
    <w:rsid w:val="00BA48BA"/>
    <w:rsid w:val="00BB7247"/>
    <w:rsid w:val="00BC245A"/>
    <w:rsid w:val="00BC29C6"/>
    <w:rsid w:val="00BD12A6"/>
    <w:rsid w:val="00BD172B"/>
    <w:rsid w:val="00BD6674"/>
    <w:rsid w:val="00BD745A"/>
    <w:rsid w:val="00BF7BBB"/>
    <w:rsid w:val="00BF7C53"/>
    <w:rsid w:val="00C01B6B"/>
    <w:rsid w:val="00C04A8A"/>
    <w:rsid w:val="00C10CAA"/>
    <w:rsid w:val="00C11E4A"/>
    <w:rsid w:val="00C1396D"/>
    <w:rsid w:val="00C142B4"/>
    <w:rsid w:val="00C20DE1"/>
    <w:rsid w:val="00C24BA4"/>
    <w:rsid w:val="00C364AE"/>
    <w:rsid w:val="00C36AD8"/>
    <w:rsid w:val="00C46615"/>
    <w:rsid w:val="00C509CB"/>
    <w:rsid w:val="00C66BDC"/>
    <w:rsid w:val="00C7510B"/>
    <w:rsid w:val="00C76DCB"/>
    <w:rsid w:val="00C81BE6"/>
    <w:rsid w:val="00C82CF6"/>
    <w:rsid w:val="00C847FD"/>
    <w:rsid w:val="00C9011E"/>
    <w:rsid w:val="00CB2410"/>
    <w:rsid w:val="00CC2410"/>
    <w:rsid w:val="00CD428B"/>
    <w:rsid w:val="00CF1F9F"/>
    <w:rsid w:val="00CF30BB"/>
    <w:rsid w:val="00CF33BB"/>
    <w:rsid w:val="00CF5DEC"/>
    <w:rsid w:val="00D04D44"/>
    <w:rsid w:val="00D0725B"/>
    <w:rsid w:val="00D13403"/>
    <w:rsid w:val="00D21900"/>
    <w:rsid w:val="00D240E6"/>
    <w:rsid w:val="00D34C22"/>
    <w:rsid w:val="00D403D6"/>
    <w:rsid w:val="00D47A03"/>
    <w:rsid w:val="00D47DAA"/>
    <w:rsid w:val="00D50245"/>
    <w:rsid w:val="00D54378"/>
    <w:rsid w:val="00D54BC1"/>
    <w:rsid w:val="00D56E97"/>
    <w:rsid w:val="00D660C4"/>
    <w:rsid w:val="00D713B5"/>
    <w:rsid w:val="00D77369"/>
    <w:rsid w:val="00D870CF"/>
    <w:rsid w:val="00D90C10"/>
    <w:rsid w:val="00DA482D"/>
    <w:rsid w:val="00DB10FC"/>
    <w:rsid w:val="00DB50C7"/>
    <w:rsid w:val="00DB5935"/>
    <w:rsid w:val="00DC1237"/>
    <w:rsid w:val="00DC4E94"/>
    <w:rsid w:val="00DD3ACE"/>
    <w:rsid w:val="00DE194A"/>
    <w:rsid w:val="00DE69CF"/>
    <w:rsid w:val="00DE6EC2"/>
    <w:rsid w:val="00E01BAD"/>
    <w:rsid w:val="00E12511"/>
    <w:rsid w:val="00E212C3"/>
    <w:rsid w:val="00E25FA5"/>
    <w:rsid w:val="00E30940"/>
    <w:rsid w:val="00E31539"/>
    <w:rsid w:val="00E367B6"/>
    <w:rsid w:val="00E42CA3"/>
    <w:rsid w:val="00E53D98"/>
    <w:rsid w:val="00E54FFF"/>
    <w:rsid w:val="00E6089D"/>
    <w:rsid w:val="00E71AFE"/>
    <w:rsid w:val="00E773FF"/>
    <w:rsid w:val="00E90CC5"/>
    <w:rsid w:val="00E938B8"/>
    <w:rsid w:val="00E95DF3"/>
    <w:rsid w:val="00E9699B"/>
    <w:rsid w:val="00EC12FC"/>
    <w:rsid w:val="00EE0AB3"/>
    <w:rsid w:val="00EE4564"/>
    <w:rsid w:val="00EF078A"/>
    <w:rsid w:val="00EF3609"/>
    <w:rsid w:val="00F034C9"/>
    <w:rsid w:val="00F05C2A"/>
    <w:rsid w:val="00F1253F"/>
    <w:rsid w:val="00F132F9"/>
    <w:rsid w:val="00F20D5E"/>
    <w:rsid w:val="00F40943"/>
    <w:rsid w:val="00F47B53"/>
    <w:rsid w:val="00F76D7F"/>
    <w:rsid w:val="00F7778D"/>
    <w:rsid w:val="00F77C00"/>
    <w:rsid w:val="00F84C35"/>
    <w:rsid w:val="00FA2E6E"/>
    <w:rsid w:val="00FC7069"/>
    <w:rsid w:val="00FD070C"/>
    <w:rsid w:val="00FE0630"/>
    <w:rsid w:val="00FF129E"/>
    <w:rsid w:val="00FF71EA"/>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428D"/>
  <w15:chartTrackingRefBased/>
  <w15:docId w15:val="{1CA245FE-7C6C-4AAF-B80D-A8075A27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F5"/>
    <w:rPr>
      <w:lang w:val="en-AU"/>
    </w:rPr>
  </w:style>
  <w:style w:type="paragraph" w:styleId="Heading1">
    <w:name w:val="heading 1"/>
    <w:basedOn w:val="Heading2"/>
    <w:next w:val="Normal"/>
    <w:link w:val="Heading1Char"/>
    <w:uiPriority w:val="9"/>
    <w:qFormat/>
    <w:rsid w:val="002E4785"/>
    <w:pPr>
      <w:jc w:val="center"/>
      <w:outlineLvl w:val="0"/>
    </w:pPr>
    <w:rPr>
      <w:caps/>
    </w:rPr>
  </w:style>
  <w:style w:type="paragraph" w:styleId="Heading2">
    <w:name w:val="heading 2"/>
    <w:basedOn w:val="Normal"/>
    <w:next w:val="Normal"/>
    <w:link w:val="Heading2Char"/>
    <w:uiPriority w:val="9"/>
    <w:unhideWhenUsed/>
    <w:qFormat/>
    <w:rsid w:val="002E4785"/>
    <w:pPr>
      <w:suppressAutoHyphens/>
      <w:spacing w:line="260" w:lineRule="atLeast"/>
      <w:outlineLvl w:val="1"/>
    </w:pPr>
    <w:rPr>
      <w:rFonts w:cstheme="minorHAnsi"/>
      <w:b/>
      <w:bCs/>
      <w:color w:val="44546A"/>
      <w:sz w:val="28"/>
      <w:szCs w:val="28"/>
      <w:lang w:val="en-GB"/>
    </w:rPr>
  </w:style>
  <w:style w:type="paragraph" w:styleId="Heading3">
    <w:name w:val="heading 3"/>
    <w:basedOn w:val="Normal"/>
    <w:next w:val="Normal"/>
    <w:link w:val="Heading3Char"/>
    <w:uiPriority w:val="9"/>
    <w:unhideWhenUsed/>
    <w:qFormat/>
    <w:rsid w:val="001C1B82"/>
    <w:pPr>
      <w:tabs>
        <w:tab w:val="left" w:pos="3660"/>
      </w:tabs>
      <w:ind w:right="-1210"/>
      <w:jc w:val="center"/>
      <w:outlineLvl w:val="2"/>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785"/>
    <w:rPr>
      <w:rFonts w:cstheme="minorHAnsi"/>
      <w:b/>
      <w:bCs/>
      <w:caps/>
      <w:color w:val="44546A"/>
      <w:sz w:val="28"/>
      <w:szCs w:val="28"/>
      <w:lang w:val="en-GB"/>
    </w:rPr>
  </w:style>
  <w:style w:type="character" w:customStyle="1" w:styleId="Heading2Char">
    <w:name w:val="Heading 2 Char"/>
    <w:basedOn w:val="DefaultParagraphFont"/>
    <w:link w:val="Heading2"/>
    <w:uiPriority w:val="9"/>
    <w:rsid w:val="002E4785"/>
    <w:rPr>
      <w:rFonts w:cstheme="minorHAnsi"/>
      <w:b/>
      <w:bCs/>
      <w:color w:val="44546A"/>
      <w:sz w:val="28"/>
      <w:szCs w:val="28"/>
      <w:lang w:val="en-GB"/>
    </w:rPr>
  </w:style>
  <w:style w:type="table" w:styleId="TableGrid">
    <w:name w:val="Table Grid"/>
    <w:basedOn w:val="TableNormal"/>
    <w:uiPriority w:val="39"/>
    <w:rsid w:val="003D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60F5"/>
    <w:pPr>
      <w:spacing w:after="0" w:line="240" w:lineRule="auto"/>
    </w:pPr>
    <w:rPr>
      <w:lang w:val="en-AU"/>
    </w:rPr>
  </w:style>
  <w:style w:type="paragraph" w:styleId="Header">
    <w:name w:val="header"/>
    <w:basedOn w:val="Normal"/>
    <w:link w:val="HeaderChar"/>
    <w:uiPriority w:val="99"/>
    <w:unhideWhenUsed/>
    <w:rsid w:val="00F12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3F"/>
    <w:rPr>
      <w:lang w:val="en-AU"/>
    </w:rPr>
  </w:style>
  <w:style w:type="paragraph" w:styleId="Footer">
    <w:name w:val="footer"/>
    <w:basedOn w:val="Normal"/>
    <w:link w:val="FooterChar"/>
    <w:uiPriority w:val="99"/>
    <w:unhideWhenUsed/>
    <w:rsid w:val="00F12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3F"/>
    <w:rPr>
      <w:lang w:val="en-AU"/>
    </w:rPr>
  </w:style>
  <w:style w:type="paragraph" w:styleId="Revision">
    <w:name w:val="Revision"/>
    <w:hidden/>
    <w:uiPriority w:val="99"/>
    <w:semiHidden/>
    <w:rsid w:val="00B606B4"/>
    <w:pPr>
      <w:spacing w:after="0" w:line="240" w:lineRule="auto"/>
    </w:pPr>
    <w:rPr>
      <w:lang w:val="en-AU"/>
    </w:rPr>
  </w:style>
  <w:style w:type="character" w:styleId="FootnoteReference">
    <w:name w:val="footnote reference"/>
    <w:basedOn w:val="DefaultParagraphFont"/>
    <w:semiHidden/>
    <w:rsid w:val="005826E0"/>
    <w:rPr>
      <w:vertAlign w:val="superscript"/>
    </w:rPr>
  </w:style>
  <w:style w:type="paragraph" w:styleId="FootnoteText">
    <w:name w:val="footnote text"/>
    <w:basedOn w:val="Normal"/>
    <w:link w:val="FootnoteTextChar"/>
    <w:semiHidden/>
    <w:rsid w:val="005826E0"/>
    <w:pPr>
      <w:spacing w:before="40" w:after="12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826E0"/>
    <w:rPr>
      <w:rFonts w:ascii="Times New Roman" w:eastAsia="Times New Roman" w:hAnsi="Times New Roman" w:cs="Times New Roman"/>
      <w:sz w:val="20"/>
      <w:szCs w:val="20"/>
      <w:lang w:val="en-AU"/>
    </w:rPr>
  </w:style>
  <w:style w:type="character" w:customStyle="1" w:styleId="cf01">
    <w:name w:val="cf01"/>
    <w:basedOn w:val="DefaultParagraphFont"/>
    <w:rsid w:val="005826E0"/>
    <w:rPr>
      <w:rFonts w:ascii="Segoe UI" w:hAnsi="Segoe UI" w:cs="Segoe UI" w:hint="default"/>
      <w:sz w:val="18"/>
      <w:szCs w:val="18"/>
    </w:rPr>
  </w:style>
  <w:style w:type="paragraph" w:styleId="NormalWeb">
    <w:name w:val="Normal (Web)"/>
    <w:basedOn w:val="Normal"/>
    <w:uiPriority w:val="99"/>
    <w:semiHidden/>
    <w:unhideWhenUsed/>
    <w:rsid w:val="00440C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s or bullet,List Paragraph1,List Paragraph11,L,Recommendation,CV text,Table text,Colorful List - Accent 11,COOP,Primary Bullet List,List Paragraph (numbered (a)),MCHIP_list paragraph,Bullet List,FooterText,F5 List Paragraph,Dot pt"/>
    <w:basedOn w:val="Normal"/>
    <w:link w:val="ListParagraphChar"/>
    <w:uiPriority w:val="34"/>
    <w:qFormat/>
    <w:rsid w:val="00BC245A"/>
    <w:pPr>
      <w:ind w:left="720"/>
      <w:contextualSpacing/>
    </w:pPr>
  </w:style>
  <w:style w:type="character" w:customStyle="1" w:styleId="Heading3Char">
    <w:name w:val="Heading 3 Char"/>
    <w:basedOn w:val="DefaultParagraphFont"/>
    <w:link w:val="Heading3"/>
    <w:uiPriority w:val="9"/>
    <w:rsid w:val="001C1B82"/>
    <w:rPr>
      <w:rFonts w:cstheme="minorHAnsi"/>
      <w:b/>
      <w:bCs/>
      <w:sz w:val="24"/>
      <w:szCs w:val="24"/>
      <w:lang w:val="en-AU"/>
    </w:rPr>
  </w:style>
  <w:style w:type="paragraph" w:customStyle="1" w:styleId="Coverpagereport">
    <w:name w:val="Cover page report"/>
    <w:basedOn w:val="Normal"/>
    <w:autoRedefine/>
    <w:qFormat/>
    <w:rsid w:val="003A2F04"/>
    <w:pPr>
      <w:spacing w:after="0" w:line="276" w:lineRule="auto"/>
      <w:jc w:val="right"/>
    </w:pPr>
    <w:rPr>
      <w:rFonts w:cstheme="minorHAnsi"/>
      <w:color w:val="44546A"/>
      <w:sz w:val="18"/>
      <w:szCs w:val="18"/>
      <w:lang w:val="en-GB"/>
    </w:rPr>
  </w:style>
  <w:style w:type="character" w:customStyle="1" w:styleId="ListParagraphChar">
    <w:name w:val="List Paragraph Char"/>
    <w:aliases w:val="Lists or bullet Char,List Paragraph1 Char,List Paragraph11 Char,L Char,Recommendation Char,CV text Char,Table text Char,Colorful List - Accent 11 Char,COOP Char,Primary Bullet List Char,List Paragraph (numbered (a)) Char,Dot pt Char"/>
    <w:basedOn w:val="DefaultParagraphFont"/>
    <w:link w:val="ListParagraph"/>
    <w:autoRedefine/>
    <w:uiPriority w:val="34"/>
    <w:qFormat/>
    <w:rsid w:val="00373495"/>
    <w:rPr>
      <w:lang w:val="en-AU"/>
    </w:rPr>
  </w:style>
  <w:style w:type="paragraph" w:customStyle="1" w:styleId="Heading4SHS">
    <w:name w:val="Heading 4 SHS"/>
    <w:basedOn w:val="Normal"/>
    <w:next w:val="Normal"/>
    <w:link w:val="Heading4SHSChar"/>
    <w:autoRedefine/>
    <w:qFormat/>
    <w:rsid w:val="00035693"/>
    <w:pPr>
      <w:keepNext/>
      <w:keepLines/>
      <w:spacing w:before="120" w:after="60" w:line="276" w:lineRule="auto"/>
      <w:ind w:left="431" w:hanging="431"/>
      <w:outlineLvl w:val="3"/>
    </w:pPr>
    <w:rPr>
      <w:rFonts w:eastAsiaTheme="majorEastAsia" w:cs="Arial"/>
      <w:b/>
      <w:i/>
      <w:szCs w:val="32"/>
      <w:lang w:eastAsia="ja-JP"/>
    </w:rPr>
  </w:style>
  <w:style w:type="character" w:customStyle="1" w:styleId="Heading4SHSChar">
    <w:name w:val="Heading 4 SHS Char"/>
    <w:basedOn w:val="DefaultParagraphFont"/>
    <w:link w:val="Heading4SHS"/>
    <w:autoRedefine/>
    <w:qFormat/>
    <w:rsid w:val="00035693"/>
    <w:rPr>
      <w:rFonts w:eastAsiaTheme="majorEastAsia" w:cs="Arial"/>
      <w:b/>
      <w:i/>
      <w:szCs w:val="32"/>
      <w:lang w:val="en-AU" w:eastAsia="ja-JP"/>
    </w:rPr>
  </w:style>
  <w:style w:type="paragraph" w:customStyle="1" w:styleId="Tabletextnormal">
    <w:name w:val="Table text normal"/>
    <w:basedOn w:val="Normal"/>
    <w:link w:val="TabletextnormalChar"/>
    <w:autoRedefine/>
    <w:qFormat/>
    <w:rsid w:val="00430701"/>
    <w:pPr>
      <w:spacing w:after="120" w:line="276" w:lineRule="auto"/>
      <w:jc w:val="both"/>
    </w:pPr>
    <w:rPr>
      <w:rFonts w:eastAsiaTheme="minorEastAsia" w:cs="Mangal"/>
      <w:szCs w:val="36"/>
      <w:lang w:val="en-US" w:eastAsia="en-AU" w:bidi="hi-IN"/>
    </w:rPr>
  </w:style>
  <w:style w:type="character" w:customStyle="1" w:styleId="TabletextnormalChar">
    <w:name w:val="Table text normal Char"/>
    <w:basedOn w:val="DefaultParagraphFont"/>
    <w:link w:val="Tabletextnormal"/>
    <w:autoRedefine/>
    <w:qFormat/>
    <w:rsid w:val="00430701"/>
    <w:rPr>
      <w:rFonts w:eastAsiaTheme="minorEastAsia" w:cs="Mangal"/>
      <w:szCs w:val="36"/>
      <w:lang w:eastAsia="en-AU" w:bidi="hi-IN"/>
    </w:rPr>
  </w:style>
  <w:style w:type="table" w:customStyle="1" w:styleId="SHSReportTable1">
    <w:name w:val="SHS Report Table1"/>
    <w:basedOn w:val="TableNormal"/>
    <w:autoRedefine/>
    <w:uiPriority w:val="99"/>
    <w:qFormat/>
    <w:rsid w:val="00035693"/>
    <w:pPr>
      <w:spacing w:after="0" w:line="240" w:lineRule="auto"/>
      <w:contextualSpacing/>
    </w:pPr>
    <w:rPr>
      <w:sz w:val="20"/>
      <w:szCs w:val="20"/>
      <w:lang w:val="en-AU" w:eastAsia="en-A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pPr>
        <w:wordWrap/>
        <w:spacing w:beforeLines="0" w:before="0" w:beforeAutospacing="0" w:afterLines="0" w:after="0" w:afterAutospacing="0" w:line="276" w:lineRule="auto"/>
        <w:contextualSpacing w:val="0"/>
      </w:pPr>
      <w:rPr>
        <w:rFonts w:ascii="Calibri" w:hAnsi="Calibri"/>
        <w:b/>
        <w:color w:val="FFFFFF"/>
        <w:sz w:val="22"/>
      </w:rPr>
      <w:tblPr/>
      <w:tcPr>
        <w:shd w:val="clear" w:color="auto" w:fill="DA2926"/>
      </w:tcPr>
    </w:tblStylePr>
    <w:tblStylePr w:type="firstCol">
      <w:rPr>
        <w:rFonts w:ascii="Calibri" w:hAnsi="Calibri"/>
        <w:b w:val="0"/>
        <w:sz w:val="20"/>
      </w:rPr>
    </w:tblStylePr>
    <w:tblStylePr w:type="band1Horz">
      <w:tblPr/>
      <w:tcPr>
        <w:shd w:val="clear" w:color="auto" w:fill="F2F2F2"/>
      </w:tcPr>
    </w:tblStylePr>
  </w:style>
  <w:style w:type="paragraph" w:styleId="TOC1">
    <w:name w:val="toc 1"/>
    <w:basedOn w:val="Normal"/>
    <w:next w:val="Normal"/>
    <w:autoRedefine/>
    <w:uiPriority w:val="39"/>
    <w:qFormat/>
    <w:rsid w:val="006A481D"/>
    <w:pPr>
      <w:tabs>
        <w:tab w:val="right" w:leader="dot" w:pos="9016"/>
      </w:tabs>
      <w:spacing w:after="120" w:line="276" w:lineRule="auto"/>
    </w:pPr>
    <w:rPr>
      <w:rFonts w:eastAsia="Times New Roman" w:cs="Mangal"/>
      <w:b/>
      <w:szCs w:val="24"/>
      <w:lang w:eastAsia="ja-JP" w:bidi="hi-IN"/>
    </w:rPr>
  </w:style>
  <w:style w:type="paragraph" w:customStyle="1" w:styleId="bullet">
    <w:name w:val="bullet"/>
    <w:basedOn w:val="ListParagraph"/>
    <w:qFormat/>
    <w:rsid w:val="006E3A6E"/>
    <w:pPr>
      <w:numPr>
        <w:numId w:val="10"/>
      </w:numPr>
      <w:spacing w:after="60" w:line="276" w:lineRule="auto"/>
      <w:contextualSpacing w:val="0"/>
    </w:pPr>
    <w:rPr>
      <w:rFonts w:eastAsiaTheme="minorEastAsia"/>
      <w:szCs w:val="24"/>
      <w:lang w:val="en-US"/>
    </w:rPr>
  </w:style>
  <w:style w:type="character" w:styleId="CommentReference">
    <w:name w:val="annotation reference"/>
    <w:basedOn w:val="DefaultParagraphFont"/>
    <w:uiPriority w:val="99"/>
    <w:semiHidden/>
    <w:unhideWhenUsed/>
    <w:rsid w:val="00AD3BBB"/>
    <w:rPr>
      <w:sz w:val="16"/>
      <w:szCs w:val="16"/>
    </w:rPr>
  </w:style>
  <w:style w:type="paragraph" w:styleId="CommentText">
    <w:name w:val="annotation text"/>
    <w:basedOn w:val="Normal"/>
    <w:link w:val="CommentTextChar"/>
    <w:uiPriority w:val="99"/>
    <w:unhideWhenUsed/>
    <w:rsid w:val="00AD3BBB"/>
    <w:pPr>
      <w:spacing w:line="240" w:lineRule="auto"/>
    </w:pPr>
    <w:rPr>
      <w:sz w:val="20"/>
      <w:szCs w:val="20"/>
    </w:rPr>
  </w:style>
  <w:style w:type="character" w:customStyle="1" w:styleId="CommentTextChar">
    <w:name w:val="Comment Text Char"/>
    <w:basedOn w:val="DefaultParagraphFont"/>
    <w:link w:val="CommentText"/>
    <w:uiPriority w:val="99"/>
    <w:rsid w:val="00AD3BBB"/>
    <w:rPr>
      <w:sz w:val="20"/>
      <w:szCs w:val="20"/>
      <w:lang w:val="en-AU"/>
    </w:rPr>
  </w:style>
  <w:style w:type="paragraph" w:styleId="CommentSubject">
    <w:name w:val="annotation subject"/>
    <w:basedOn w:val="CommentText"/>
    <w:next w:val="CommentText"/>
    <w:link w:val="CommentSubjectChar"/>
    <w:uiPriority w:val="99"/>
    <w:semiHidden/>
    <w:unhideWhenUsed/>
    <w:rsid w:val="00AD3BBB"/>
    <w:rPr>
      <w:b/>
      <w:bCs/>
    </w:rPr>
  </w:style>
  <w:style w:type="character" w:customStyle="1" w:styleId="CommentSubjectChar">
    <w:name w:val="Comment Subject Char"/>
    <w:basedOn w:val="CommentTextChar"/>
    <w:link w:val="CommentSubject"/>
    <w:uiPriority w:val="99"/>
    <w:semiHidden/>
    <w:rsid w:val="00AD3BBB"/>
    <w:rPr>
      <w:b/>
      <w:bCs/>
      <w:sz w:val="20"/>
      <w:szCs w:val="20"/>
      <w:lang w:val="en-AU"/>
    </w:rPr>
  </w:style>
  <w:style w:type="character" w:styleId="Emphasis">
    <w:name w:val="Emphasis"/>
    <w:basedOn w:val="DefaultParagraphFont"/>
    <w:uiPriority w:val="20"/>
    <w:qFormat/>
    <w:rsid w:val="006B6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7139">
      <w:bodyDiv w:val="1"/>
      <w:marLeft w:val="0"/>
      <w:marRight w:val="0"/>
      <w:marTop w:val="0"/>
      <w:marBottom w:val="0"/>
      <w:divBdr>
        <w:top w:val="none" w:sz="0" w:space="0" w:color="auto"/>
        <w:left w:val="none" w:sz="0" w:space="0" w:color="auto"/>
        <w:bottom w:val="none" w:sz="0" w:space="0" w:color="auto"/>
        <w:right w:val="none" w:sz="0" w:space="0" w:color="auto"/>
      </w:divBdr>
      <w:divsChild>
        <w:div w:id="1900509027">
          <w:marLeft w:val="360"/>
          <w:marRight w:val="0"/>
          <w:marTop w:val="200"/>
          <w:marBottom w:val="120"/>
          <w:divBdr>
            <w:top w:val="none" w:sz="0" w:space="0" w:color="auto"/>
            <w:left w:val="none" w:sz="0" w:space="0" w:color="auto"/>
            <w:bottom w:val="none" w:sz="0" w:space="0" w:color="auto"/>
            <w:right w:val="none" w:sz="0" w:space="0" w:color="auto"/>
          </w:divBdr>
        </w:div>
        <w:div w:id="1778058220">
          <w:marLeft w:val="360"/>
          <w:marRight w:val="0"/>
          <w:marTop w:val="200"/>
          <w:marBottom w:val="120"/>
          <w:divBdr>
            <w:top w:val="none" w:sz="0" w:space="0" w:color="auto"/>
            <w:left w:val="none" w:sz="0" w:space="0" w:color="auto"/>
            <w:bottom w:val="none" w:sz="0" w:space="0" w:color="auto"/>
            <w:right w:val="none" w:sz="0" w:space="0" w:color="auto"/>
          </w:divBdr>
        </w:div>
        <w:div w:id="1041784436">
          <w:marLeft w:val="360"/>
          <w:marRight w:val="0"/>
          <w:marTop w:val="200"/>
          <w:marBottom w:val="120"/>
          <w:divBdr>
            <w:top w:val="none" w:sz="0" w:space="0" w:color="auto"/>
            <w:left w:val="none" w:sz="0" w:space="0" w:color="auto"/>
            <w:bottom w:val="none" w:sz="0" w:space="0" w:color="auto"/>
            <w:right w:val="none" w:sz="0" w:space="0" w:color="auto"/>
          </w:divBdr>
        </w:div>
        <w:div w:id="1887327098">
          <w:marLeft w:val="360"/>
          <w:marRight w:val="0"/>
          <w:marTop w:val="200"/>
          <w:marBottom w:val="120"/>
          <w:divBdr>
            <w:top w:val="none" w:sz="0" w:space="0" w:color="auto"/>
            <w:left w:val="none" w:sz="0" w:space="0" w:color="auto"/>
            <w:bottom w:val="none" w:sz="0" w:space="0" w:color="auto"/>
            <w:right w:val="none" w:sz="0" w:space="0" w:color="auto"/>
          </w:divBdr>
        </w:div>
      </w:divsChild>
    </w:div>
    <w:div w:id="370883329">
      <w:bodyDiv w:val="1"/>
      <w:marLeft w:val="0"/>
      <w:marRight w:val="0"/>
      <w:marTop w:val="0"/>
      <w:marBottom w:val="0"/>
      <w:divBdr>
        <w:top w:val="none" w:sz="0" w:space="0" w:color="auto"/>
        <w:left w:val="none" w:sz="0" w:space="0" w:color="auto"/>
        <w:bottom w:val="none" w:sz="0" w:space="0" w:color="auto"/>
        <w:right w:val="none" w:sz="0" w:space="0" w:color="auto"/>
      </w:divBdr>
      <w:divsChild>
        <w:div w:id="2079550732">
          <w:marLeft w:val="547"/>
          <w:marRight w:val="0"/>
          <w:marTop w:val="200"/>
          <w:marBottom w:val="0"/>
          <w:divBdr>
            <w:top w:val="none" w:sz="0" w:space="0" w:color="auto"/>
            <w:left w:val="none" w:sz="0" w:space="0" w:color="auto"/>
            <w:bottom w:val="none" w:sz="0" w:space="0" w:color="auto"/>
            <w:right w:val="none" w:sz="0" w:space="0" w:color="auto"/>
          </w:divBdr>
        </w:div>
        <w:div w:id="997926704">
          <w:marLeft w:val="547"/>
          <w:marRight w:val="0"/>
          <w:marTop w:val="200"/>
          <w:marBottom w:val="0"/>
          <w:divBdr>
            <w:top w:val="none" w:sz="0" w:space="0" w:color="auto"/>
            <w:left w:val="none" w:sz="0" w:space="0" w:color="auto"/>
            <w:bottom w:val="none" w:sz="0" w:space="0" w:color="auto"/>
            <w:right w:val="none" w:sz="0" w:space="0" w:color="auto"/>
          </w:divBdr>
        </w:div>
        <w:div w:id="22751158">
          <w:marLeft w:val="547"/>
          <w:marRight w:val="0"/>
          <w:marTop w:val="200"/>
          <w:marBottom w:val="0"/>
          <w:divBdr>
            <w:top w:val="none" w:sz="0" w:space="0" w:color="auto"/>
            <w:left w:val="none" w:sz="0" w:space="0" w:color="auto"/>
            <w:bottom w:val="none" w:sz="0" w:space="0" w:color="auto"/>
            <w:right w:val="none" w:sz="0" w:space="0" w:color="auto"/>
          </w:divBdr>
        </w:div>
        <w:div w:id="1823959812">
          <w:marLeft w:val="547"/>
          <w:marRight w:val="0"/>
          <w:marTop w:val="200"/>
          <w:marBottom w:val="160"/>
          <w:divBdr>
            <w:top w:val="none" w:sz="0" w:space="0" w:color="auto"/>
            <w:left w:val="none" w:sz="0" w:space="0" w:color="auto"/>
            <w:bottom w:val="none" w:sz="0" w:space="0" w:color="auto"/>
            <w:right w:val="none" w:sz="0" w:space="0" w:color="auto"/>
          </w:divBdr>
        </w:div>
        <w:div w:id="1816995767">
          <w:marLeft w:val="547"/>
          <w:marRight w:val="0"/>
          <w:marTop w:val="200"/>
          <w:marBottom w:val="160"/>
          <w:divBdr>
            <w:top w:val="none" w:sz="0" w:space="0" w:color="auto"/>
            <w:left w:val="none" w:sz="0" w:space="0" w:color="auto"/>
            <w:bottom w:val="none" w:sz="0" w:space="0" w:color="auto"/>
            <w:right w:val="none" w:sz="0" w:space="0" w:color="auto"/>
          </w:divBdr>
        </w:div>
        <w:div w:id="1834180432">
          <w:marLeft w:val="547"/>
          <w:marRight w:val="0"/>
          <w:marTop w:val="200"/>
          <w:marBottom w:val="160"/>
          <w:divBdr>
            <w:top w:val="none" w:sz="0" w:space="0" w:color="auto"/>
            <w:left w:val="none" w:sz="0" w:space="0" w:color="auto"/>
            <w:bottom w:val="none" w:sz="0" w:space="0" w:color="auto"/>
            <w:right w:val="none" w:sz="0" w:space="0" w:color="auto"/>
          </w:divBdr>
        </w:div>
      </w:divsChild>
    </w:div>
    <w:div w:id="968898685">
      <w:bodyDiv w:val="1"/>
      <w:marLeft w:val="0"/>
      <w:marRight w:val="0"/>
      <w:marTop w:val="0"/>
      <w:marBottom w:val="0"/>
      <w:divBdr>
        <w:top w:val="none" w:sz="0" w:space="0" w:color="auto"/>
        <w:left w:val="none" w:sz="0" w:space="0" w:color="auto"/>
        <w:bottom w:val="none" w:sz="0" w:space="0" w:color="auto"/>
        <w:right w:val="none" w:sz="0" w:space="0" w:color="auto"/>
      </w:divBdr>
    </w:div>
    <w:div w:id="98389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CDFB9-ABA8-4DF3-AB19-C6B41BEA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1764</Words>
  <Characters>10309</Characters>
  <Application>Microsoft Office Word</Application>
  <DocSecurity>0</DocSecurity>
  <Lines>302</Lines>
  <Paragraphs>123</Paragraphs>
  <ScaleCrop>false</ScaleCrop>
  <HeadingPairs>
    <vt:vector size="2" baseType="variant">
      <vt:variant>
        <vt:lpstr>Title</vt:lpstr>
      </vt:variant>
      <vt:variant>
        <vt:i4>1</vt:i4>
      </vt:variant>
    </vt:vector>
  </HeadingPairs>
  <TitlesOfParts>
    <vt:vector size="1" baseType="lpstr">
      <vt:lpstr>•	DFAT Management Response to the Evaluation of SPC PHD Investments 2019-2024</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Evaluation of SPC PHD Investments 2019-2024</dc:title>
  <dc:subject/>
  <dc:creator>Australian Government Department of Foreign Affairs and Trade</dc:creator>
  <cp:keywords>[SEC=OFFICIAL]</cp:keywords>
  <dc:description/>
  <cp:lastModifiedBy>Patrick Baggoley</cp:lastModifiedBy>
  <cp:revision>67</cp:revision>
  <dcterms:created xsi:type="dcterms:W3CDTF">2024-10-08T03:09:00Z</dcterms:created>
  <dcterms:modified xsi:type="dcterms:W3CDTF">2024-10-28T00:57:00Z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v=2022.1;a=SHA256;h=175FDE500EF8D98F556894C7F313EE62AC2642A50449D0A15F22133CA168AACA</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2024-02-07T00:50:25Z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E5329D78ADFF18985C404F3A4015F7B7C209C4C5</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B2458923D4764F56B5328D1FDEAFC727</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C427463A240001568B1E728057080C091949066E05DD342FA6B5B9F6FF33F8D6</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D6C8A3ECC76C5F47BEDAEB31499A296E</vt:lpwstr>
  </property>
  <property fmtid="{D5CDD505-2E9C-101B-9397-08002B2CF9AE}" pid="24" name="PM_Hash_Salt">
    <vt:lpwstr>4AB4EE9906CDD7D458A04D414230D7D8</vt:lpwstr>
  </property>
  <property fmtid="{D5CDD505-2E9C-101B-9397-08002B2CF9AE}" pid="25" name="PM_Hash_SHA1">
    <vt:lpwstr>35D5B47BC7752E377D523C45503DF4E4C6F9DCDC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