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5FA1" w14:textId="6A27802B" w:rsidR="005E183B" w:rsidRPr="00CB0FAB" w:rsidRDefault="003265D8" w:rsidP="00CB0FAB">
      <w:pPr>
        <w:pStyle w:val="Heading1"/>
        <w:jc w:val="center"/>
      </w:pPr>
      <w:r w:rsidRPr="00CB0FAB">
        <w:t xml:space="preserve">DFAT Management Response to </w:t>
      </w:r>
      <w:r w:rsidR="00013539" w:rsidRPr="00CB0FAB">
        <w:t xml:space="preserve">the </w:t>
      </w:r>
      <w:r w:rsidRPr="00CB0FAB">
        <w:t>Independent Review of the Pacific Security College (PSC)</w:t>
      </w:r>
    </w:p>
    <w:p w14:paraId="542934DF" w14:textId="39B73ACF" w:rsidR="006D5B8B" w:rsidRDefault="00013539" w:rsidP="2830D578">
      <w:pPr>
        <w:spacing w:before="240"/>
        <w:rPr>
          <w:rFonts w:asciiTheme="majorHAnsi" w:hAnsiTheme="majorHAnsi" w:cstheme="majorBidi"/>
        </w:rPr>
      </w:pPr>
      <w:r>
        <w:rPr>
          <w:rFonts w:asciiTheme="majorHAnsi" w:hAnsiTheme="majorHAnsi" w:cstheme="majorBidi"/>
        </w:rPr>
        <w:t>The</w:t>
      </w:r>
      <w:r w:rsidR="006D5B8B" w:rsidRPr="74BF413B">
        <w:rPr>
          <w:rFonts w:asciiTheme="majorHAnsi" w:hAnsiTheme="majorHAnsi" w:cstheme="majorBidi"/>
        </w:rPr>
        <w:t xml:space="preserve"> Independent Review of the Pacific Security College (the College) was commissioned by DFAT and conducted between July and October 2025. DFAT acknowledges the findings and recommendations of the review and provides the following </w:t>
      </w:r>
      <w:r w:rsidR="05AE08E7" w:rsidRPr="0A17F870">
        <w:rPr>
          <w:rFonts w:asciiTheme="majorHAnsi" w:hAnsiTheme="majorHAnsi" w:cstheme="majorBidi"/>
        </w:rPr>
        <w:t>M</w:t>
      </w:r>
      <w:r w:rsidR="006D5B8B" w:rsidRPr="0A17F870">
        <w:rPr>
          <w:rFonts w:asciiTheme="majorHAnsi" w:hAnsiTheme="majorHAnsi" w:cstheme="majorBidi"/>
        </w:rPr>
        <w:t xml:space="preserve">anagement </w:t>
      </w:r>
      <w:r w:rsidR="02A598FD" w:rsidRPr="0A17F870">
        <w:rPr>
          <w:rFonts w:asciiTheme="majorHAnsi" w:hAnsiTheme="majorHAnsi" w:cstheme="majorBidi"/>
        </w:rPr>
        <w:t>R</w:t>
      </w:r>
      <w:r w:rsidR="006D5B8B" w:rsidRPr="0A17F870">
        <w:rPr>
          <w:rFonts w:asciiTheme="majorHAnsi" w:hAnsiTheme="majorHAnsi" w:cstheme="majorBidi"/>
        </w:rPr>
        <w:t>esponse</w:t>
      </w:r>
      <w:r w:rsidR="006D5B8B" w:rsidRPr="74BF413B">
        <w:rPr>
          <w:rFonts w:asciiTheme="majorHAnsi" w:hAnsiTheme="majorHAnsi" w:cstheme="majorBidi"/>
        </w:rPr>
        <w:t>.</w:t>
      </w:r>
    </w:p>
    <w:p w14:paraId="54D86859" w14:textId="76610AFB" w:rsidR="006D5B8B" w:rsidRPr="006D5B8B" w:rsidRDefault="006D5B8B" w:rsidP="2830D578">
      <w:pPr>
        <w:spacing w:before="240"/>
        <w:rPr>
          <w:rFonts w:asciiTheme="majorHAnsi" w:hAnsiTheme="majorHAnsi" w:cstheme="majorBidi"/>
          <w:lang w:val="en-AU"/>
        </w:rPr>
      </w:pPr>
      <w:r w:rsidRPr="00CB0FAB">
        <w:rPr>
          <w:rStyle w:val="Heading2Char"/>
        </w:rPr>
        <w:t>Executive Summary</w:t>
      </w:r>
      <w:r>
        <w:br/>
      </w:r>
      <w:r w:rsidRPr="74BF413B">
        <w:rPr>
          <w:rFonts w:asciiTheme="majorHAnsi" w:hAnsiTheme="majorHAnsi" w:cstheme="majorBidi"/>
          <w:lang w:val="en-AU"/>
        </w:rPr>
        <w:t xml:space="preserve">This DFAT Management Response addresses the findings and recommendations from the </w:t>
      </w:r>
      <w:r w:rsidR="6F869068" w:rsidRPr="74BF413B">
        <w:rPr>
          <w:rFonts w:asciiTheme="majorHAnsi" w:hAnsiTheme="majorHAnsi" w:cstheme="majorBidi"/>
          <w:lang w:val="en-AU"/>
        </w:rPr>
        <w:t xml:space="preserve">2025 </w:t>
      </w:r>
      <w:r w:rsidRPr="74BF413B">
        <w:rPr>
          <w:rFonts w:asciiTheme="majorHAnsi" w:hAnsiTheme="majorHAnsi" w:cstheme="majorBidi"/>
          <w:lang w:val="en-AU"/>
        </w:rPr>
        <w:t xml:space="preserve">Independent Review of the Pacific Security College (the College). The review assessed the College's relevance, effectiveness, efficiency, impact, and sustainability in supporting regional security in the Pacific. </w:t>
      </w:r>
      <w:r w:rsidR="00B356A3">
        <w:rPr>
          <w:rFonts w:asciiTheme="majorHAnsi" w:hAnsiTheme="majorHAnsi" w:cstheme="majorBidi"/>
          <w:lang w:val="en-AU"/>
        </w:rPr>
        <w:t>The review</w:t>
      </w:r>
      <w:r w:rsidRPr="74BF413B">
        <w:rPr>
          <w:rFonts w:asciiTheme="majorHAnsi" w:hAnsiTheme="majorHAnsi" w:cstheme="majorBidi"/>
          <w:lang w:val="en-AU"/>
        </w:rPr>
        <w:t xml:space="preserve"> found the College has made commendable progress in establishing itself as a key </w:t>
      </w:r>
      <w:r w:rsidRPr="0A17F870">
        <w:rPr>
          <w:rFonts w:asciiTheme="majorHAnsi" w:hAnsiTheme="majorHAnsi" w:cstheme="majorBidi"/>
          <w:lang w:val="en-AU"/>
        </w:rPr>
        <w:t>p</w:t>
      </w:r>
      <w:r w:rsidR="6A104DB6" w:rsidRPr="0A17F870">
        <w:rPr>
          <w:rFonts w:asciiTheme="majorHAnsi" w:hAnsiTheme="majorHAnsi" w:cstheme="majorBidi"/>
          <w:lang w:val="en-AU"/>
        </w:rPr>
        <w:t>art of</w:t>
      </w:r>
      <w:r w:rsidRPr="74BF413B">
        <w:rPr>
          <w:rFonts w:asciiTheme="majorHAnsi" w:hAnsiTheme="majorHAnsi" w:cstheme="majorBidi"/>
          <w:lang w:val="en-AU"/>
        </w:rPr>
        <w:t xml:space="preserve"> the Pacific security ecosystem, particularly through its support for </w:t>
      </w:r>
      <w:r w:rsidR="6A80A034" w:rsidRPr="0A17F870">
        <w:rPr>
          <w:rFonts w:asciiTheme="majorHAnsi" w:hAnsiTheme="majorHAnsi" w:cstheme="majorBidi"/>
          <w:lang w:val="en-AU"/>
        </w:rPr>
        <w:t>n</w:t>
      </w:r>
      <w:r w:rsidRPr="0A17F870">
        <w:rPr>
          <w:rFonts w:asciiTheme="majorHAnsi" w:hAnsiTheme="majorHAnsi" w:cstheme="majorBidi"/>
          <w:lang w:val="en-AU"/>
        </w:rPr>
        <w:t xml:space="preserve">ational </w:t>
      </w:r>
      <w:r w:rsidR="345F4F5F" w:rsidRPr="0A17F870">
        <w:rPr>
          <w:rFonts w:asciiTheme="majorHAnsi" w:hAnsiTheme="majorHAnsi" w:cstheme="majorBidi"/>
          <w:lang w:val="en-AU"/>
        </w:rPr>
        <w:t>s</w:t>
      </w:r>
      <w:r w:rsidRPr="0A17F870">
        <w:rPr>
          <w:rFonts w:asciiTheme="majorHAnsi" w:hAnsiTheme="majorHAnsi" w:cstheme="majorBidi"/>
          <w:lang w:val="en-AU"/>
        </w:rPr>
        <w:t xml:space="preserve">ecurity </w:t>
      </w:r>
      <w:r w:rsidR="668CBFA0" w:rsidRPr="0A17F870">
        <w:rPr>
          <w:rFonts w:asciiTheme="majorHAnsi" w:hAnsiTheme="majorHAnsi" w:cstheme="majorBidi"/>
          <w:lang w:val="en-AU"/>
        </w:rPr>
        <w:t>s</w:t>
      </w:r>
      <w:r w:rsidRPr="0A17F870">
        <w:rPr>
          <w:rFonts w:asciiTheme="majorHAnsi" w:hAnsiTheme="majorHAnsi" w:cstheme="majorBidi"/>
          <w:lang w:val="en-AU"/>
        </w:rPr>
        <w:t>trategies</w:t>
      </w:r>
      <w:r w:rsidRPr="74BF413B">
        <w:rPr>
          <w:rFonts w:asciiTheme="majorHAnsi" w:hAnsiTheme="majorHAnsi" w:cstheme="majorBidi"/>
          <w:lang w:val="en-AU"/>
        </w:rPr>
        <w:t>, capacity building, and convening the Pacific Regional and National Security Conference</w:t>
      </w:r>
      <w:r w:rsidR="4F596D0F" w:rsidRPr="74BF413B">
        <w:rPr>
          <w:rFonts w:asciiTheme="majorHAnsi" w:hAnsiTheme="majorHAnsi" w:cstheme="majorBidi"/>
          <w:lang w:val="en-AU"/>
        </w:rPr>
        <w:t xml:space="preserve"> (PRNSC)</w:t>
      </w:r>
      <w:r w:rsidRPr="74BF413B">
        <w:rPr>
          <w:rFonts w:asciiTheme="majorHAnsi" w:hAnsiTheme="majorHAnsi" w:cstheme="majorBidi"/>
          <w:lang w:val="en-AU"/>
        </w:rPr>
        <w:t xml:space="preserve">. The review also identified areas for improvement, including enhancing gender and disability inclusion, strengthening partnerships, and evolving the College's offerings to meet changing regional needs. This response outlines DFAT's position on the review's recommendations and provides a plan to guide future implementation and </w:t>
      </w:r>
      <w:r w:rsidR="28436C2C" w:rsidRPr="0A17F870">
        <w:rPr>
          <w:rFonts w:asciiTheme="majorHAnsi" w:hAnsiTheme="majorHAnsi" w:cstheme="majorBidi"/>
          <w:lang w:val="en-AU"/>
        </w:rPr>
        <w:t xml:space="preserve">a </w:t>
      </w:r>
      <w:r w:rsidRPr="74BF413B">
        <w:rPr>
          <w:rFonts w:asciiTheme="majorHAnsi" w:hAnsiTheme="majorHAnsi" w:cstheme="majorBidi"/>
          <w:lang w:val="en-AU"/>
        </w:rPr>
        <w:t>design refresh of the College.</w:t>
      </w:r>
    </w:p>
    <w:tbl>
      <w:tblPr>
        <w:tblStyle w:val="TableGrid"/>
        <w:tblW w:w="12230" w:type="dxa"/>
        <w:tblLook w:val="04A0" w:firstRow="1" w:lastRow="0" w:firstColumn="1" w:lastColumn="0" w:noHBand="0" w:noVBand="1"/>
      </w:tblPr>
      <w:tblGrid>
        <w:gridCol w:w="1200"/>
        <w:gridCol w:w="2697"/>
        <w:gridCol w:w="1500"/>
        <w:gridCol w:w="3200"/>
        <w:gridCol w:w="1709"/>
        <w:gridCol w:w="1924"/>
      </w:tblGrid>
      <w:tr w:rsidR="00F1705B" w:rsidRPr="006D5B8B" w14:paraId="511D2157" w14:textId="6C87903C" w:rsidTr="228E7CB1">
        <w:tc>
          <w:tcPr>
            <w:tcW w:w="1200" w:type="dxa"/>
            <w:shd w:val="clear" w:color="auto" w:fill="92CDDC" w:themeFill="accent5" w:themeFillTint="99"/>
          </w:tcPr>
          <w:p w14:paraId="77385ABB" w14:textId="77DC8805" w:rsidR="00FA19B0" w:rsidRPr="006B796F" w:rsidRDefault="00FA19B0" w:rsidP="00A467DA">
            <w:pPr>
              <w:pStyle w:val="Heading1"/>
              <w:spacing w:before="0"/>
              <w:jc w:val="center"/>
            </w:pPr>
            <w:r w:rsidRPr="006B796F">
              <w:t>Number</w:t>
            </w:r>
          </w:p>
        </w:tc>
        <w:tc>
          <w:tcPr>
            <w:tcW w:w="2697" w:type="dxa"/>
            <w:shd w:val="clear" w:color="auto" w:fill="92CDDC" w:themeFill="accent5" w:themeFillTint="99"/>
          </w:tcPr>
          <w:p w14:paraId="2AB4AEE1" w14:textId="0D14EF98" w:rsidR="00FA19B0" w:rsidRPr="006B796F" w:rsidRDefault="00FA19B0" w:rsidP="00A467DA">
            <w:pPr>
              <w:pStyle w:val="Heading1"/>
              <w:spacing w:before="0"/>
              <w:jc w:val="center"/>
            </w:pPr>
            <w:r w:rsidRPr="006B796F">
              <w:t>Recommendation</w:t>
            </w:r>
          </w:p>
        </w:tc>
        <w:tc>
          <w:tcPr>
            <w:tcW w:w="1500" w:type="dxa"/>
            <w:shd w:val="clear" w:color="auto" w:fill="92CDDC" w:themeFill="accent5" w:themeFillTint="99"/>
          </w:tcPr>
          <w:p w14:paraId="70A5A9FA" w14:textId="77777777" w:rsidR="00FA19B0" w:rsidRPr="006B796F" w:rsidRDefault="00FA19B0" w:rsidP="00A467DA">
            <w:pPr>
              <w:pStyle w:val="Heading1"/>
              <w:spacing w:before="0"/>
              <w:jc w:val="center"/>
            </w:pPr>
            <w:r w:rsidRPr="006B796F">
              <w:t>DFAT Response</w:t>
            </w:r>
          </w:p>
        </w:tc>
        <w:tc>
          <w:tcPr>
            <w:tcW w:w="3200" w:type="dxa"/>
            <w:shd w:val="clear" w:color="auto" w:fill="92CDDC" w:themeFill="accent5" w:themeFillTint="99"/>
          </w:tcPr>
          <w:p w14:paraId="6CCBBE9D" w14:textId="3FBAFDD4" w:rsidR="00FA19B0" w:rsidRPr="006B796F" w:rsidRDefault="00FA19B0" w:rsidP="00A467DA">
            <w:pPr>
              <w:pStyle w:val="Heading1"/>
              <w:spacing w:before="0"/>
              <w:jc w:val="center"/>
            </w:pPr>
            <w:r w:rsidRPr="006B796F">
              <w:t>Explanation</w:t>
            </w:r>
          </w:p>
        </w:tc>
        <w:tc>
          <w:tcPr>
            <w:tcW w:w="1709" w:type="dxa"/>
            <w:shd w:val="clear" w:color="auto" w:fill="92CDDC" w:themeFill="accent5" w:themeFillTint="99"/>
          </w:tcPr>
          <w:p w14:paraId="1E76DD86" w14:textId="6B841309" w:rsidR="00FA19B0" w:rsidRPr="006B796F" w:rsidRDefault="00FA19B0" w:rsidP="00A467DA">
            <w:pPr>
              <w:pStyle w:val="Heading1"/>
              <w:spacing w:before="0"/>
              <w:jc w:val="center"/>
            </w:pPr>
            <w:r w:rsidRPr="006B796F">
              <w:t>Action Plan</w:t>
            </w:r>
          </w:p>
        </w:tc>
        <w:tc>
          <w:tcPr>
            <w:tcW w:w="1924" w:type="dxa"/>
            <w:shd w:val="clear" w:color="auto" w:fill="92CDDC" w:themeFill="accent5" w:themeFillTint="99"/>
          </w:tcPr>
          <w:p w14:paraId="27B54A2E" w14:textId="7AE0D339" w:rsidR="00FA19B0" w:rsidRPr="006B796F" w:rsidRDefault="00C5527D" w:rsidP="00A467DA">
            <w:pPr>
              <w:pStyle w:val="Heading1"/>
              <w:spacing w:before="0"/>
              <w:jc w:val="center"/>
            </w:pPr>
            <w:r w:rsidRPr="006B796F">
              <w:t>Timeframe</w:t>
            </w:r>
          </w:p>
        </w:tc>
      </w:tr>
      <w:tr w:rsidR="00F1705B" w:rsidRPr="006D5B8B" w14:paraId="1BAC200F" w14:textId="6373C768" w:rsidTr="228E7CB1">
        <w:trPr>
          <w:trHeight w:val="557"/>
        </w:trPr>
        <w:tc>
          <w:tcPr>
            <w:tcW w:w="1200" w:type="dxa"/>
          </w:tcPr>
          <w:p w14:paraId="680FF09B" w14:textId="625B2133" w:rsidR="00FA19B0" w:rsidRPr="006D5B8B" w:rsidRDefault="00FA19B0">
            <w:pPr>
              <w:rPr>
                <w:rFonts w:asciiTheme="majorHAnsi" w:hAnsiTheme="majorHAnsi" w:cstheme="majorHAnsi"/>
              </w:rPr>
            </w:pPr>
            <w:r w:rsidRPr="006D5B8B">
              <w:rPr>
                <w:rFonts w:asciiTheme="majorHAnsi" w:hAnsiTheme="majorHAnsi" w:cstheme="majorHAnsi"/>
              </w:rPr>
              <w:t>1</w:t>
            </w:r>
          </w:p>
        </w:tc>
        <w:tc>
          <w:tcPr>
            <w:tcW w:w="2697" w:type="dxa"/>
          </w:tcPr>
          <w:p w14:paraId="6594E144" w14:textId="590E531C" w:rsidR="00FA19B0" w:rsidRPr="006D5B8B" w:rsidRDefault="00FA19B0" w:rsidP="74BF413B">
            <w:pPr>
              <w:rPr>
                <w:rFonts w:asciiTheme="majorHAnsi" w:hAnsiTheme="majorHAnsi" w:cstheme="majorBidi"/>
              </w:rPr>
            </w:pPr>
            <w:r w:rsidRPr="74BF413B">
              <w:rPr>
                <w:rFonts w:asciiTheme="majorHAnsi" w:hAnsiTheme="majorHAnsi" w:cstheme="majorBidi"/>
              </w:rPr>
              <w:t>The College should enter negotiations with a suitable academic institution in the region with a view to co-locating staff and undertaking joint activities in the short term, and in the medium-to-long-term, developing a shared ownership model of the College.</w:t>
            </w:r>
          </w:p>
        </w:tc>
        <w:tc>
          <w:tcPr>
            <w:tcW w:w="1500" w:type="dxa"/>
          </w:tcPr>
          <w:p w14:paraId="1B92E5AA" w14:textId="0A219526" w:rsidR="00FA19B0" w:rsidRPr="006D5B8B" w:rsidRDefault="00FA19B0" w:rsidP="2830D578">
            <w:pPr>
              <w:rPr>
                <w:rFonts w:asciiTheme="majorHAnsi" w:hAnsiTheme="majorHAnsi" w:cstheme="majorBidi"/>
              </w:rPr>
            </w:pPr>
            <w:r w:rsidRPr="74BF413B">
              <w:rPr>
                <w:rFonts w:asciiTheme="majorHAnsi" w:hAnsiTheme="majorHAnsi" w:cstheme="majorBidi"/>
              </w:rPr>
              <w:t>Partially agree.</w:t>
            </w:r>
          </w:p>
        </w:tc>
        <w:tc>
          <w:tcPr>
            <w:tcW w:w="3200" w:type="dxa"/>
          </w:tcPr>
          <w:p w14:paraId="7D49E767" w14:textId="3B29210E" w:rsidR="00FA19B0" w:rsidRPr="006D5B8B" w:rsidRDefault="00FA19B0" w:rsidP="2830D578">
            <w:pPr>
              <w:rPr>
                <w:rFonts w:asciiTheme="majorHAnsi" w:hAnsiTheme="majorHAnsi" w:cstheme="majorBidi"/>
              </w:rPr>
            </w:pPr>
            <w:r w:rsidRPr="74BF413B">
              <w:rPr>
                <w:rFonts w:asciiTheme="majorHAnsi" w:hAnsiTheme="majorHAnsi" w:cstheme="majorBidi"/>
              </w:rPr>
              <w:t>DFAT supports the College exploring regional partnerships to strengthen Pacific ownership and presence. The extent to which shared ownership and management of the College could be successful would depend on the availability and capacity of one or more suitable academic institutions in the region to undertake such a role.</w:t>
            </w:r>
            <w:r w:rsidR="00245E70">
              <w:rPr>
                <w:rFonts w:asciiTheme="majorHAnsi" w:hAnsiTheme="majorHAnsi" w:cstheme="majorBidi"/>
              </w:rPr>
              <w:t xml:space="preserve"> </w:t>
            </w:r>
          </w:p>
        </w:tc>
        <w:tc>
          <w:tcPr>
            <w:tcW w:w="1709" w:type="dxa"/>
          </w:tcPr>
          <w:p w14:paraId="6D817D2D" w14:textId="7E359284" w:rsidR="00FA19B0" w:rsidRPr="006D5B8B" w:rsidRDefault="00FA19B0" w:rsidP="00637912">
            <w:pPr>
              <w:rPr>
                <w:rFonts w:asciiTheme="majorHAnsi" w:hAnsiTheme="majorHAnsi" w:cstheme="majorBidi"/>
              </w:rPr>
            </w:pPr>
            <w:r w:rsidRPr="74BF413B">
              <w:rPr>
                <w:rFonts w:asciiTheme="majorHAnsi" w:hAnsiTheme="majorHAnsi" w:cstheme="majorBidi"/>
              </w:rPr>
              <w:t xml:space="preserve">The College </w:t>
            </w:r>
            <w:r>
              <w:rPr>
                <w:rFonts w:asciiTheme="majorHAnsi" w:hAnsiTheme="majorHAnsi" w:cstheme="majorBidi"/>
              </w:rPr>
              <w:t xml:space="preserve">(supported by DFAT) </w:t>
            </w:r>
            <w:proofErr w:type="gramStart"/>
            <w:r>
              <w:rPr>
                <w:rFonts w:asciiTheme="majorHAnsi" w:hAnsiTheme="majorHAnsi" w:cstheme="majorBidi"/>
              </w:rPr>
              <w:t>to initiate</w:t>
            </w:r>
            <w:proofErr w:type="gramEnd"/>
            <w:r>
              <w:rPr>
                <w:rFonts w:asciiTheme="majorHAnsi" w:hAnsiTheme="majorHAnsi" w:cstheme="majorBidi"/>
              </w:rPr>
              <w:t xml:space="preserve"> discussion with </w:t>
            </w:r>
            <w:r w:rsidRPr="002E255F">
              <w:rPr>
                <w:rFonts w:asciiTheme="majorHAnsi" w:hAnsiTheme="majorHAnsi" w:cstheme="majorBidi"/>
                <w:lang w:val="en-AU"/>
              </w:rPr>
              <w:t>the University of the South Pacific and</w:t>
            </w:r>
            <w:r>
              <w:rPr>
                <w:rFonts w:asciiTheme="majorHAnsi" w:hAnsiTheme="majorHAnsi" w:cstheme="majorBidi"/>
                <w:lang w:val="en-AU"/>
              </w:rPr>
              <w:t>/or</w:t>
            </w:r>
            <w:r w:rsidRPr="002E255F">
              <w:rPr>
                <w:rFonts w:asciiTheme="majorHAnsi" w:hAnsiTheme="majorHAnsi" w:cstheme="majorBidi"/>
                <w:lang w:val="en-AU"/>
              </w:rPr>
              <w:t xml:space="preserve"> other Pacific academic institutions </w:t>
            </w:r>
            <w:r>
              <w:rPr>
                <w:rFonts w:asciiTheme="majorHAnsi" w:hAnsiTheme="majorHAnsi" w:cstheme="majorBidi"/>
                <w:lang w:val="en-AU"/>
              </w:rPr>
              <w:t>on possible joint activities</w:t>
            </w:r>
            <w:r w:rsidR="001C4716">
              <w:rPr>
                <w:rFonts w:asciiTheme="majorHAnsi" w:hAnsiTheme="majorHAnsi" w:cstheme="majorBidi"/>
                <w:lang w:val="en-AU"/>
              </w:rPr>
              <w:t>.</w:t>
            </w:r>
          </w:p>
        </w:tc>
        <w:tc>
          <w:tcPr>
            <w:tcW w:w="1924" w:type="dxa"/>
          </w:tcPr>
          <w:p w14:paraId="6BB5D49E" w14:textId="0F84CFE6" w:rsidR="00FA19B0" w:rsidRPr="74BF413B" w:rsidRDefault="003E38D1" w:rsidP="00637912">
            <w:pPr>
              <w:rPr>
                <w:rFonts w:asciiTheme="majorHAnsi" w:hAnsiTheme="majorHAnsi" w:cstheme="majorBidi"/>
              </w:rPr>
            </w:pPr>
            <w:r>
              <w:rPr>
                <w:rFonts w:asciiTheme="majorHAnsi" w:hAnsiTheme="majorHAnsi" w:cstheme="majorBidi"/>
                <w:lang w:val="en-AU"/>
              </w:rPr>
              <w:t xml:space="preserve">Target </w:t>
            </w:r>
            <w:r w:rsidR="0087572E" w:rsidRPr="002E255F">
              <w:rPr>
                <w:rFonts w:asciiTheme="majorHAnsi" w:hAnsiTheme="majorHAnsi" w:cstheme="majorBidi"/>
                <w:lang w:val="en-AU"/>
              </w:rPr>
              <w:t>Q2 2026</w:t>
            </w:r>
            <w:r w:rsidR="008238F2">
              <w:rPr>
                <w:rFonts w:asciiTheme="majorHAnsi" w:hAnsiTheme="majorHAnsi" w:cstheme="majorBidi"/>
                <w:lang w:val="en-AU"/>
              </w:rPr>
              <w:t xml:space="preserve"> </w:t>
            </w:r>
            <w:r>
              <w:rPr>
                <w:rFonts w:asciiTheme="majorHAnsi" w:hAnsiTheme="majorHAnsi" w:cstheme="majorBidi"/>
                <w:lang w:val="en-AU"/>
              </w:rPr>
              <w:t>commencement.</w:t>
            </w:r>
          </w:p>
        </w:tc>
      </w:tr>
      <w:tr w:rsidR="00F1705B" w:rsidRPr="006D5B8B" w14:paraId="5862831D" w14:textId="2806AEF0" w:rsidTr="228E7CB1">
        <w:tc>
          <w:tcPr>
            <w:tcW w:w="1200" w:type="dxa"/>
          </w:tcPr>
          <w:p w14:paraId="5D20BD39" w14:textId="5D158541" w:rsidR="00FA19B0" w:rsidRPr="006D5B8B" w:rsidRDefault="00FA19B0">
            <w:pPr>
              <w:rPr>
                <w:rFonts w:asciiTheme="majorHAnsi" w:hAnsiTheme="majorHAnsi" w:cstheme="majorHAnsi"/>
              </w:rPr>
            </w:pPr>
            <w:r w:rsidRPr="006D5B8B">
              <w:rPr>
                <w:rFonts w:asciiTheme="majorHAnsi" w:hAnsiTheme="majorHAnsi" w:cstheme="majorHAnsi"/>
              </w:rPr>
              <w:t>2</w:t>
            </w:r>
          </w:p>
        </w:tc>
        <w:tc>
          <w:tcPr>
            <w:tcW w:w="2697" w:type="dxa"/>
          </w:tcPr>
          <w:p w14:paraId="3556AAE7" w14:textId="2822159D" w:rsidR="00FA19B0" w:rsidRPr="006D5B8B" w:rsidRDefault="00FA19B0" w:rsidP="3F9F88CB">
            <w:pPr>
              <w:rPr>
                <w:rFonts w:asciiTheme="majorHAnsi" w:hAnsiTheme="majorHAnsi" w:cstheme="majorBidi"/>
              </w:rPr>
            </w:pPr>
            <w:r w:rsidRPr="3F9F88CB">
              <w:rPr>
                <w:rFonts w:asciiTheme="majorHAnsi" w:hAnsiTheme="majorHAnsi" w:cstheme="majorBidi"/>
              </w:rPr>
              <w:t xml:space="preserve">The College transitions its alumni and professional networks into a broader Pacific Community of Practice with a view to creating a more inclusive, </w:t>
            </w:r>
            <w:proofErr w:type="spellStart"/>
            <w:r w:rsidRPr="055E8F95">
              <w:rPr>
                <w:rFonts w:asciiTheme="majorHAnsi" w:hAnsiTheme="majorHAnsi" w:cstheme="majorBidi"/>
              </w:rPr>
              <w:t>decentralised</w:t>
            </w:r>
            <w:proofErr w:type="spellEnd"/>
            <w:r w:rsidRPr="3F9F88CB">
              <w:rPr>
                <w:rFonts w:asciiTheme="majorHAnsi" w:hAnsiTheme="majorHAnsi" w:cstheme="majorBidi"/>
              </w:rPr>
              <w:t xml:space="preserve"> resource network.</w:t>
            </w:r>
          </w:p>
        </w:tc>
        <w:tc>
          <w:tcPr>
            <w:tcW w:w="1500" w:type="dxa"/>
          </w:tcPr>
          <w:p w14:paraId="58E73662" w14:textId="4DF1BF02" w:rsidR="00FA19B0" w:rsidRPr="006D5B8B" w:rsidRDefault="00FA19B0" w:rsidP="3F9F88CB">
            <w:pPr>
              <w:rPr>
                <w:rFonts w:asciiTheme="majorHAnsi" w:hAnsiTheme="majorHAnsi" w:cstheme="majorBidi"/>
              </w:rPr>
            </w:pPr>
            <w:r w:rsidRPr="3F9F88CB">
              <w:rPr>
                <w:rFonts w:asciiTheme="majorHAnsi" w:hAnsiTheme="majorHAnsi" w:cstheme="majorBidi"/>
              </w:rPr>
              <w:t xml:space="preserve">Partially agree. </w:t>
            </w:r>
          </w:p>
        </w:tc>
        <w:tc>
          <w:tcPr>
            <w:tcW w:w="3200" w:type="dxa"/>
          </w:tcPr>
          <w:p w14:paraId="742B3B71" w14:textId="3FD4EE9C" w:rsidR="00FA19B0" w:rsidRPr="006D5B8B" w:rsidRDefault="00FA19B0" w:rsidP="2830D578">
            <w:pPr>
              <w:rPr>
                <w:rFonts w:asciiTheme="majorHAnsi" w:hAnsiTheme="majorHAnsi" w:cstheme="majorBidi"/>
              </w:rPr>
            </w:pPr>
            <w:r w:rsidRPr="74BF413B">
              <w:rPr>
                <w:rFonts w:asciiTheme="majorHAnsi" w:hAnsiTheme="majorHAnsi" w:cstheme="majorBidi"/>
              </w:rPr>
              <w:t xml:space="preserve">DFAT agrees that more can be done to enhance engagement with </w:t>
            </w:r>
            <w:proofErr w:type="gramStart"/>
            <w:r w:rsidRPr="74BF413B">
              <w:rPr>
                <w:rFonts w:asciiTheme="majorHAnsi" w:hAnsiTheme="majorHAnsi" w:cstheme="majorBidi"/>
              </w:rPr>
              <w:t>College</w:t>
            </w:r>
            <w:proofErr w:type="gramEnd"/>
            <w:r w:rsidRPr="74BF413B">
              <w:rPr>
                <w:rFonts w:asciiTheme="majorHAnsi" w:hAnsiTheme="majorHAnsi" w:cstheme="majorBidi"/>
              </w:rPr>
              <w:t xml:space="preserve"> alumni and to extend its networks across the region. Further work is needed to define how such a network could be designed and managed. </w:t>
            </w:r>
          </w:p>
        </w:tc>
        <w:tc>
          <w:tcPr>
            <w:tcW w:w="1709" w:type="dxa"/>
          </w:tcPr>
          <w:p w14:paraId="391E3EF8" w14:textId="4CB3C6AA" w:rsidR="00FA19B0" w:rsidRPr="006D5B8B" w:rsidRDefault="00FA19B0" w:rsidP="009F0959">
            <w:pPr>
              <w:rPr>
                <w:rFonts w:asciiTheme="majorHAnsi" w:hAnsiTheme="majorHAnsi" w:cstheme="majorBidi"/>
                <w:lang w:val="en-AU"/>
              </w:rPr>
            </w:pPr>
            <w:r w:rsidRPr="74BF413B">
              <w:rPr>
                <w:rFonts w:asciiTheme="majorHAnsi" w:hAnsiTheme="majorHAnsi" w:cstheme="majorBidi"/>
              </w:rPr>
              <w:t xml:space="preserve">The College design </w:t>
            </w:r>
            <w:r>
              <w:rPr>
                <w:rFonts w:asciiTheme="majorHAnsi" w:hAnsiTheme="majorHAnsi" w:cstheme="majorBidi"/>
              </w:rPr>
              <w:t xml:space="preserve">update </w:t>
            </w:r>
            <w:r w:rsidRPr="74BF413B">
              <w:rPr>
                <w:rFonts w:asciiTheme="majorHAnsi" w:hAnsiTheme="majorHAnsi" w:cstheme="majorBidi"/>
              </w:rPr>
              <w:t>should include a detailed Alumni</w:t>
            </w:r>
            <w:r>
              <w:rPr>
                <w:rFonts w:asciiTheme="majorHAnsi" w:hAnsiTheme="majorHAnsi" w:cstheme="majorBidi"/>
              </w:rPr>
              <w:t xml:space="preserve"> engagement strategy</w:t>
            </w:r>
            <w:r w:rsidRPr="74BF413B">
              <w:rPr>
                <w:rFonts w:asciiTheme="majorHAnsi" w:hAnsiTheme="majorHAnsi" w:cstheme="majorBidi"/>
              </w:rPr>
              <w:t xml:space="preserve"> </w:t>
            </w:r>
            <w:r>
              <w:rPr>
                <w:rFonts w:asciiTheme="majorHAnsi" w:hAnsiTheme="majorHAnsi" w:cstheme="majorBidi"/>
              </w:rPr>
              <w:t>i</w:t>
            </w:r>
            <w:r w:rsidRPr="74BF413B">
              <w:rPr>
                <w:rFonts w:asciiTheme="majorHAnsi" w:hAnsiTheme="majorHAnsi" w:cstheme="majorBidi"/>
              </w:rPr>
              <w:t xml:space="preserve">.e. </w:t>
            </w:r>
            <w:r>
              <w:rPr>
                <w:rFonts w:asciiTheme="majorHAnsi" w:hAnsiTheme="majorHAnsi" w:cstheme="majorBidi"/>
              </w:rPr>
              <w:t xml:space="preserve">laying out how </w:t>
            </w:r>
            <w:r w:rsidRPr="74BF413B">
              <w:rPr>
                <w:rFonts w:asciiTheme="majorHAnsi" w:hAnsiTheme="majorHAnsi" w:cstheme="majorBidi"/>
              </w:rPr>
              <w:t xml:space="preserve">a network could be designed and managed </w:t>
            </w:r>
            <w:r>
              <w:rPr>
                <w:rFonts w:asciiTheme="majorHAnsi" w:hAnsiTheme="majorHAnsi" w:cstheme="majorBidi"/>
              </w:rPr>
              <w:t xml:space="preserve">with a </w:t>
            </w:r>
            <w:r w:rsidRPr="00880908">
              <w:rPr>
                <w:rFonts w:asciiTheme="majorHAnsi" w:hAnsiTheme="majorHAnsi" w:cstheme="majorBidi"/>
                <w:lang w:val="en-AU"/>
              </w:rPr>
              <w:t>roadmap for implementation</w:t>
            </w:r>
            <w:r w:rsidRPr="009F0959">
              <w:rPr>
                <w:rFonts w:asciiTheme="majorHAnsi" w:hAnsiTheme="majorHAnsi" w:cstheme="majorBidi"/>
              </w:rPr>
              <w:t>.</w:t>
            </w:r>
          </w:p>
        </w:tc>
        <w:tc>
          <w:tcPr>
            <w:tcW w:w="1924" w:type="dxa"/>
          </w:tcPr>
          <w:p w14:paraId="2371FA71" w14:textId="087120AC" w:rsidR="00FA19B0" w:rsidRPr="74BF413B" w:rsidRDefault="00BE01F7" w:rsidP="009F0959">
            <w:pPr>
              <w:rPr>
                <w:rFonts w:asciiTheme="majorHAnsi" w:hAnsiTheme="majorHAnsi" w:cstheme="majorBidi"/>
              </w:rPr>
            </w:pPr>
            <w:r>
              <w:rPr>
                <w:rFonts w:asciiTheme="majorHAnsi" w:hAnsiTheme="majorHAnsi" w:cstheme="majorBidi"/>
                <w:lang w:val="en-AU"/>
              </w:rPr>
              <w:t xml:space="preserve">Design update due </w:t>
            </w:r>
            <w:r w:rsidR="00A426AB">
              <w:rPr>
                <w:rFonts w:asciiTheme="majorHAnsi" w:hAnsiTheme="majorHAnsi" w:cstheme="majorBidi"/>
                <w:lang w:val="en-AU"/>
              </w:rPr>
              <w:t xml:space="preserve">30 January 2026. Implementation due by </w:t>
            </w:r>
            <w:r w:rsidR="00AB638C">
              <w:rPr>
                <w:rFonts w:asciiTheme="majorHAnsi" w:hAnsiTheme="majorHAnsi" w:cstheme="majorBidi"/>
                <w:lang w:val="en-AU"/>
              </w:rPr>
              <w:t>end of current investment period (</w:t>
            </w:r>
            <w:r w:rsidR="00A372D3">
              <w:rPr>
                <w:rFonts w:asciiTheme="majorHAnsi" w:hAnsiTheme="majorHAnsi" w:cstheme="majorBidi"/>
                <w:lang w:val="en-AU"/>
              </w:rPr>
              <w:t xml:space="preserve">30 </w:t>
            </w:r>
            <w:r w:rsidR="00A372D3" w:rsidRPr="00880908">
              <w:rPr>
                <w:rFonts w:asciiTheme="majorHAnsi" w:hAnsiTheme="majorHAnsi" w:cstheme="majorBidi"/>
                <w:lang w:val="en-AU"/>
              </w:rPr>
              <w:t>September 2026</w:t>
            </w:r>
            <w:r w:rsidR="00AB638C">
              <w:rPr>
                <w:rFonts w:asciiTheme="majorHAnsi" w:hAnsiTheme="majorHAnsi" w:cstheme="majorBidi"/>
                <w:lang w:val="en-AU"/>
              </w:rPr>
              <w:t>).</w:t>
            </w:r>
          </w:p>
        </w:tc>
      </w:tr>
      <w:tr w:rsidR="00F1705B" w:rsidRPr="006D5B8B" w14:paraId="3079853E" w14:textId="119534AD" w:rsidTr="228E7CB1">
        <w:tc>
          <w:tcPr>
            <w:tcW w:w="1200" w:type="dxa"/>
          </w:tcPr>
          <w:p w14:paraId="6D07D980" w14:textId="1DA605C0" w:rsidR="00B64795" w:rsidRPr="006D5B8B" w:rsidRDefault="00B64795" w:rsidP="00B64795">
            <w:pPr>
              <w:rPr>
                <w:rFonts w:asciiTheme="majorHAnsi" w:hAnsiTheme="majorHAnsi" w:cstheme="majorHAnsi"/>
              </w:rPr>
            </w:pPr>
            <w:r w:rsidRPr="006D5B8B">
              <w:rPr>
                <w:rFonts w:asciiTheme="majorHAnsi" w:hAnsiTheme="majorHAnsi" w:cstheme="majorHAnsi"/>
              </w:rPr>
              <w:t>3</w:t>
            </w:r>
          </w:p>
        </w:tc>
        <w:tc>
          <w:tcPr>
            <w:tcW w:w="2697" w:type="dxa"/>
          </w:tcPr>
          <w:p w14:paraId="564CD344" w14:textId="4C081484" w:rsidR="00B64795" w:rsidRPr="006D5B8B" w:rsidRDefault="00B64795" w:rsidP="00B64795">
            <w:pPr>
              <w:rPr>
                <w:rFonts w:asciiTheme="majorHAnsi" w:hAnsiTheme="majorHAnsi" w:cstheme="majorHAnsi"/>
              </w:rPr>
            </w:pPr>
            <w:r w:rsidRPr="006D5B8B">
              <w:rPr>
                <w:rFonts w:asciiTheme="majorHAnsi" w:hAnsiTheme="majorHAnsi" w:cstheme="majorHAnsi"/>
              </w:rPr>
              <w:t>DFAT should consider increasing funding to the College in the order of $1-2 million per year to support its efforts in building a partnership with a Pacific-based co-host and to establish and maintain a security-focused community of practice.</w:t>
            </w:r>
          </w:p>
        </w:tc>
        <w:tc>
          <w:tcPr>
            <w:tcW w:w="1500" w:type="dxa"/>
          </w:tcPr>
          <w:p w14:paraId="5C51A879" w14:textId="34458A04" w:rsidR="00B64795" w:rsidRPr="006D5B8B" w:rsidRDefault="00B64795" w:rsidP="00B64795">
            <w:pPr>
              <w:rPr>
                <w:rFonts w:asciiTheme="majorHAnsi" w:hAnsiTheme="majorHAnsi" w:cstheme="majorHAnsi"/>
              </w:rPr>
            </w:pPr>
            <w:r w:rsidRPr="006D5B8B">
              <w:rPr>
                <w:rFonts w:asciiTheme="majorHAnsi" w:hAnsiTheme="majorHAnsi" w:cstheme="majorHAnsi"/>
              </w:rPr>
              <w:t xml:space="preserve">Partially agree. </w:t>
            </w:r>
          </w:p>
        </w:tc>
        <w:tc>
          <w:tcPr>
            <w:tcW w:w="3200" w:type="dxa"/>
          </w:tcPr>
          <w:p w14:paraId="08058293" w14:textId="164B8D28" w:rsidR="00B64795" w:rsidRPr="006D5B8B" w:rsidRDefault="00B64795" w:rsidP="00B64795">
            <w:pPr>
              <w:rPr>
                <w:rFonts w:asciiTheme="majorHAnsi" w:hAnsiTheme="majorHAnsi" w:cstheme="majorBidi"/>
              </w:rPr>
            </w:pPr>
            <w:r w:rsidRPr="74BF413B">
              <w:rPr>
                <w:rFonts w:asciiTheme="majorHAnsi" w:hAnsiTheme="majorHAnsi" w:cstheme="majorBidi"/>
              </w:rPr>
              <w:t xml:space="preserve">DFAT will assess funding as part of the next design phase.   </w:t>
            </w:r>
          </w:p>
        </w:tc>
        <w:tc>
          <w:tcPr>
            <w:tcW w:w="1709" w:type="dxa"/>
          </w:tcPr>
          <w:p w14:paraId="43B922D1" w14:textId="4F0092F5" w:rsidR="00B64795" w:rsidRPr="006D5B8B" w:rsidRDefault="00B64795" w:rsidP="00B64795">
            <w:pPr>
              <w:rPr>
                <w:rFonts w:asciiTheme="majorHAnsi" w:hAnsiTheme="majorHAnsi" w:cstheme="majorBidi"/>
              </w:rPr>
            </w:pPr>
            <w:r w:rsidRPr="74BF413B">
              <w:rPr>
                <w:rFonts w:asciiTheme="majorHAnsi" w:hAnsiTheme="majorHAnsi" w:cstheme="majorBidi"/>
              </w:rPr>
              <w:t xml:space="preserve">Funding requirements to be considered during the 2026 design </w:t>
            </w:r>
            <w:r w:rsidR="004F07C8">
              <w:rPr>
                <w:rFonts w:asciiTheme="majorHAnsi" w:hAnsiTheme="majorHAnsi" w:cstheme="majorBidi"/>
              </w:rPr>
              <w:t>update</w:t>
            </w:r>
            <w:r w:rsidRPr="74BF413B">
              <w:rPr>
                <w:rFonts w:asciiTheme="majorHAnsi" w:hAnsiTheme="majorHAnsi" w:cstheme="majorBidi"/>
              </w:rPr>
              <w:t>.</w:t>
            </w:r>
          </w:p>
        </w:tc>
        <w:tc>
          <w:tcPr>
            <w:tcW w:w="1924" w:type="dxa"/>
          </w:tcPr>
          <w:p w14:paraId="2412866C" w14:textId="7B2F5C14" w:rsidR="00B64795" w:rsidRPr="74BF413B" w:rsidRDefault="00B64795" w:rsidP="00B64795">
            <w:pPr>
              <w:rPr>
                <w:rFonts w:asciiTheme="majorHAnsi" w:hAnsiTheme="majorHAnsi" w:cstheme="majorBidi"/>
              </w:rPr>
            </w:pPr>
            <w:r>
              <w:rPr>
                <w:rFonts w:asciiTheme="majorHAnsi" w:hAnsiTheme="majorHAnsi" w:cstheme="majorBidi"/>
                <w:lang w:val="en-AU"/>
              </w:rPr>
              <w:t xml:space="preserve">Design update due 30 January 2026. </w:t>
            </w:r>
          </w:p>
        </w:tc>
      </w:tr>
      <w:tr w:rsidR="00F1705B" w:rsidRPr="006D5B8B" w14:paraId="64767C21" w14:textId="52AC6EF9" w:rsidTr="228E7CB1">
        <w:tc>
          <w:tcPr>
            <w:tcW w:w="1200" w:type="dxa"/>
          </w:tcPr>
          <w:p w14:paraId="0A080258" w14:textId="05376940" w:rsidR="00B64795" w:rsidRPr="006D5B8B" w:rsidRDefault="00B64795" w:rsidP="00B64795">
            <w:pPr>
              <w:rPr>
                <w:rFonts w:asciiTheme="majorHAnsi" w:hAnsiTheme="majorHAnsi" w:cstheme="majorHAnsi"/>
              </w:rPr>
            </w:pPr>
            <w:r w:rsidRPr="006D5B8B">
              <w:rPr>
                <w:rFonts w:asciiTheme="majorHAnsi" w:hAnsiTheme="majorHAnsi" w:cstheme="majorHAnsi"/>
              </w:rPr>
              <w:t>4</w:t>
            </w:r>
          </w:p>
        </w:tc>
        <w:tc>
          <w:tcPr>
            <w:tcW w:w="2697" w:type="dxa"/>
          </w:tcPr>
          <w:p w14:paraId="40F962C8" w14:textId="614A5F4C" w:rsidR="00B64795" w:rsidRPr="006D5B8B" w:rsidRDefault="00B64795" w:rsidP="00B64795">
            <w:pPr>
              <w:rPr>
                <w:rFonts w:asciiTheme="majorHAnsi" w:hAnsiTheme="majorHAnsi" w:cstheme="majorHAnsi"/>
              </w:rPr>
            </w:pPr>
            <w:r w:rsidRPr="006D5B8B">
              <w:rPr>
                <w:rFonts w:asciiTheme="majorHAnsi" w:hAnsiTheme="majorHAnsi" w:cstheme="majorHAnsi"/>
              </w:rPr>
              <w:t xml:space="preserve">DFAT should facilitate a partnership between the College and the Australia Awards program for several scholarships to be used to target participants in a </w:t>
            </w:r>
            <w:proofErr w:type="gramStart"/>
            <w:r w:rsidRPr="006D5B8B">
              <w:rPr>
                <w:rFonts w:asciiTheme="majorHAnsi" w:hAnsiTheme="majorHAnsi" w:cstheme="majorHAnsi"/>
              </w:rPr>
              <w:t>College</w:t>
            </w:r>
            <w:proofErr w:type="gramEnd"/>
            <w:r w:rsidRPr="006D5B8B">
              <w:rPr>
                <w:rFonts w:asciiTheme="majorHAnsi" w:hAnsiTheme="majorHAnsi" w:cstheme="majorHAnsi"/>
              </w:rPr>
              <w:t xml:space="preserve"> course who wish to pursue further post graduate study at ANU.</w:t>
            </w:r>
          </w:p>
        </w:tc>
        <w:tc>
          <w:tcPr>
            <w:tcW w:w="1500" w:type="dxa"/>
          </w:tcPr>
          <w:p w14:paraId="3A4F6288" w14:textId="1B58CEE2" w:rsidR="00B64795" w:rsidRPr="006D5B8B" w:rsidRDefault="00B64795" w:rsidP="00B64795">
            <w:pPr>
              <w:rPr>
                <w:rFonts w:asciiTheme="majorHAnsi" w:hAnsiTheme="majorHAnsi" w:cstheme="majorHAnsi"/>
              </w:rPr>
            </w:pPr>
            <w:r w:rsidRPr="006D5B8B">
              <w:rPr>
                <w:rFonts w:asciiTheme="majorHAnsi" w:hAnsiTheme="majorHAnsi" w:cstheme="majorHAnsi"/>
              </w:rPr>
              <w:t xml:space="preserve">Agree. </w:t>
            </w:r>
          </w:p>
        </w:tc>
        <w:tc>
          <w:tcPr>
            <w:tcW w:w="3200" w:type="dxa"/>
          </w:tcPr>
          <w:p w14:paraId="78CC57E2" w14:textId="4E52464F" w:rsidR="00B64795" w:rsidRPr="006D5B8B" w:rsidRDefault="00B64795" w:rsidP="00B64795">
            <w:pPr>
              <w:rPr>
                <w:rFonts w:asciiTheme="majorHAnsi" w:hAnsiTheme="majorHAnsi" w:cstheme="majorBidi"/>
              </w:rPr>
            </w:pPr>
            <w:r w:rsidRPr="74BF413B">
              <w:rPr>
                <w:rFonts w:asciiTheme="majorHAnsi" w:hAnsiTheme="majorHAnsi" w:cstheme="majorBidi"/>
              </w:rPr>
              <w:t>DFAT supports leveraging Australia Awards to strengthen Pacific capacity-building and is considering partnership options for the Australia Awards program.</w:t>
            </w:r>
          </w:p>
        </w:tc>
        <w:tc>
          <w:tcPr>
            <w:tcW w:w="1709" w:type="dxa"/>
          </w:tcPr>
          <w:p w14:paraId="1283C703" w14:textId="231B620B" w:rsidR="00B64795" w:rsidRPr="006D5B8B" w:rsidRDefault="00B64795" w:rsidP="00B64795">
            <w:pPr>
              <w:rPr>
                <w:rFonts w:asciiTheme="majorHAnsi" w:hAnsiTheme="majorHAnsi" w:cstheme="majorBidi"/>
              </w:rPr>
            </w:pPr>
            <w:r w:rsidRPr="0A17F870">
              <w:rPr>
                <w:rFonts w:asciiTheme="majorHAnsi" w:hAnsiTheme="majorHAnsi" w:cstheme="majorBidi"/>
              </w:rPr>
              <w:t>The</w:t>
            </w:r>
            <w:r w:rsidRPr="74BF413B">
              <w:rPr>
                <w:rFonts w:asciiTheme="majorHAnsi" w:hAnsiTheme="majorHAnsi" w:cstheme="majorBidi"/>
              </w:rPr>
              <w:t xml:space="preserve"> Office of the Pacific and the College to continue engagement with DFAT’s Australia Awards team. Further scholarship options to be considered in the design process for the next phase of the College.</w:t>
            </w:r>
          </w:p>
        </w:tc>
        <w:tc>
          <w:tcPr>
            <w:tcW w:w="1924" w:type="dxa"/>
          </w:tcPr>
          <w:p w14:paraId="3C2A29AA" w14:textId="13BFEDED" w:rsidR="00B64795" w:rsidRPr="0A17F870" w:rsidRDefault="00EA4516" w:rsidP="00B64795">
            <w:pPr>
              <w:rPr>
                <w:rFonts w:asciiTheme="majorHAnsi" w:hAnsiTheme="majorHAnsi" w:cstheme="majorBidi"/>
              </w:rPr>
            </w:pPr>
            <w:r>
              <w:rPr>
                <w:rFonts w:asciiTheme="majorHAnsi" w:hAnsiTheme="majorHAnsi" w:cstheme="majorBidi"/>
                <w:lang w:val="en-AU"/>
              </w:rPr>
              <w:t>Design update due 30 January 2026.</w:t>
            </w:r>
          </w:p>
        </w:tc>
      </w:tr>
      <w:tr w:rsidR="00F1705B" w:rsidRPr="006D5B8B" w14:paraId="05EEFC2F" w14:textId="3722666E" w:rsidTr="228E7CB1">
        <w:tc>
          <w:tcPr>
            <w:tcW w:w="1200" w:type="dxa"/>
          </w:tcPr>
          <w:p w14:paraId="159E71B2" w14:textId="39CD6F34" w:rsidR="00B64795" w:rsidRPr="006D5B8B" w:rsidRDefault="00B64795" w:rsidP="00B64795">
            <w:pPr>
              <w:rPr>
                <w:rFonts w:asciiTheme="majorHAnsi" w:hAnsiTheme="majorHAnsi" w:cstheme="majorHAnsi"/>
              </w:rPr>
            </w:pPr>
            <w:r w:rsidRPr="006D5B8B">
              <w:rPr>
                <w:rFonts w:asciiTheme="majorHAnsi" w:hAnsiTheme="majorHAnsi" w:cstheme="majorHAnsi"/>
              </w:rPr>
              <w:t>5</w:t>
            </w:r>
          </w:p>
        </w:tc>
        <w:tc>
          <w:tcPr>
            <w:tcW w:w="2697" w:type="dxa"/>
          </w:tcPr>
          <w:p w14:paraId="3084E71D" w14:textId="31C8BE74" w:rsidR="00B64795" w:rsidRPr="006D5B8B" w:rsidRDefault="00B64795" w:rsidP="00B64795">
            <w:pPr>
              <w:rPr>
                <w:rFonts w:asciiTheme="majorHAnsi" w:hAnsiTheme="majorHAnsi" w:cstheme="majorHAnsi"/>
              </w:rPr>
            </w:pPr>
            <w:r w:rsidRPr="006D5B8B">
              <w:rPr>
                <w:rFonts w:asciiTheme="majorHAnsi" w:hAnsiTheme="majorHAnsi" w:cstheme="majorHAnsi"/>
              </w:rPr>
              <w:t>The Technical Assistance Register should cease operating and not be included in the planned design refresh.</w:t>
            </w:r>
          </w:p>
        </w:tc>
        <w:tc>
          <w:tcPr>
            <w:tcW w:w="1500" w:type="dxa"/>
          </w:tcPr>
          <w:p w14:paraId="75A3174D" w14:textId="48CB0CB5" w:rsidR="00B64795" w:rsidRPr="006D5B8B" w:rsidRDefault="00B64795" w:rsidP="00B64795">
            <w:pPr>
              <w:rPr>
                <w:rFonts w:asciiTheme="majorHAnsi" w:hAnsiTheme="majorHAnsi" w:cstheme="majorHAnsi"/>
              </w:rPr>
            </w:pPr>
            <w:r w:rsidRPr="006D5B8B">
              <w:rPr>
                <w:rFonts w:asciiTheme="majorHAnsi" w:hAnsiTheme="majorHAnsi" w:cstheme="majorHAnsi"/>
              </w:rPr>
              <w:t xml:space="preserve">Agree. </w:t>
            </w:r>
          </w:p>
        </w:tc>
        <w:tc>
          <w:tcPr>
            <w:tcW w:w="3200" w:type="dxa"/>
          </w:tcPr>
          <w:p w14:paraId="0BF56B93" w14:textId="30B35B97" w:rsidR="00B64795" w:rsidRPr="006D5B8B" w:rsidRDefault="00B64795" w:rsidP="00B64795">
            <w:pPr>
              <w:rPr>
                <w:rFonts w:asciiTheme="majorHAnsi" w:hAnsiTheme="majorHAnsi" w:cstheme="majorHAnsi"/>
              </w:rPr>
            </w:pPr>
            <w:r w:rsidRPr="006D5B8B">
              <w:rPr>
                <w:rFonts w:asciiTheme="majorHAnsi" w:hAnsiTheme="majorHAnsi" w:cstheme="majorHAnsi"/>
              </w:rPr>
              <w:t>DFAT supports removing the register due to limited use and operational inefficiencies.</w:t>
            </w:r>
          </w:p>
        </w:tc>
        <w:tc>
          <w:tcPr>
            <w:tcW w:w="1709" w:type="dxa"/>
          </w:tcPr>
          <w:p w14:paraId="0CC1E807" w14:textId="3A7250C9" w:rsidR="00B64795" w:rsidRPr="006D5B8B" w:rsidRDefault="00B64795" w:rsidP="00B64795">
            <w:pPr>
              <w:rPr>
                <w:rFonts w:asciiTheme="majorHAnsi" w:hAnsiTheme="majorHAnsi" w:cstheme="majorBidi"/>
              </w:rPr>
            </w:pPr>
            <w:r w:rsidRPr="0A17F870">
              <w:rPr>
                <w:rFonts w:asciiTheme="majorHAnsi" w:hAnsiTheme="majorHAnsi" w:cstheme="majorBidi"/>
              </w:rPr>
              <w:t>The College to phase out the register.</w:t>
            </w:r>
          </w:p>
        </w:tc>
        <w:tc>
          <w:tcPr>
            <w:tcW w:w="1924" w:type="dxa"/>
          </w:tcPr>
          <w:p w14:paraId="3DC069DF" w14:textId="4517603C" w:rsidR="00B64795" w:rsidRPr="0A17F870" w:rsidRDefault="00B64795" w:rsidP="00B64795">
            <w:pPr>
              <w:rPr>
                <w:rFonts w:asciiTheme="majorHAnsi" w:hAnsiTheme="majorHAnsi" w:cstheme="majorBidi"/>
              </w:rPr>
            </w:pPr>
            <w:r w:rsidRPr="0A17F870">
              <w:rPr>
                <w:rFonts w:asciiTheme="majorHAnsi" w:hAnsiTheme="majorHAnsi" w:cstheme="majorBidi"/>
              </w:rPr>
              <w:t>Q1 2026</w:t>
            </w:r>
          </w:p>
        </w:tc>
      </w:tr>
      <w:tr w:rsidR="00F1705B" w:rsidRPr="006D5B8B" w14:paraId="088EF1A2" w14:textId="4203B707" w:rsidTr="228E7CB1">
        <w:tc>
          <w:tcPr>
            <w:tcW w:w="1200" w:type="dxa"/>
          </w:tcPr>
          <w:p w14:paraId="16BDDE5A" w14:textId="192FE526" w:rsidR="00B64795" w:rsidRPr="006D5B8B" w:rsidRDefault="00B64795" w:rsidP="00B64795">
            <w:pPr>
              <w:rPr>
                <w:rFonts w:asciiTheme="majorHAnsi" w:hAnsiTheme="majorHAnsi" w:cstheme="majorHAnsi"/>
              </w:rPr>
            </w:pPr>
            <w:r w:rsidRPr="006D5B8B">
              <w:rPr>
                <w:rFonts w:asciiTheme="majorHAnsi" w:hAnsiTheme="majorHAnsi" w:cstheme="majorHAnsi"/>
              </w:rPr>
              <w:t>6</w:t>
            </w:r>
          </w:p>
        </w:tc>
        <w:tc>
          <w:tcPr>
            <w:tcW w:w="2697" w:type="dxa"/>
          </w:tcPr>
          <w:p w14:paraId="3C4D4DEC" w14:textId="70BA71FD" w:rsidR="00B64795" w:rsidRPr="006D5B8B" w:rsidRDefault="00B64795" w:rsidP="00B64795">
            <w:pPr>
              <w:rPr>
                <w:rFonts w:asciiTheme="majorHAnsi" w:hAnsiTheme="majorHAnsi" w:cstheme="majorHAnsi"/>
              </w:rPr>
            </w:pPr>
            <w:r w:rsidRPr="006D5B8B">
              <w:rPr>
                <w:rFonts w:asciiTheme="majorHAnsi" w:hAnsiTheme="majorHAnsi" w:cstheme="majorHAnsi"/>
              </w:rPr>
              <w:t xml:space="preserve">The College should co-create a contemporary annual agenda for every </w:t>
            </w:r>
            <w:proofErr w:type="gramStart"/>
            <w:r w:rsidRPr="006D5B8B">
              <w:rPr>
                <w:rFonts w:asciiTheme="majorHAnsi" w:hAnsiTheme="majorHAnsi" w:cstheme="majorHAnsi"/>
              </w:rPr>
              <w:t>PRNSC</w:t>
            </w:r>
            <w:proofErr w:type="gramEnd"/>
            <w:r w:rsidRPr="006D5B8B">
              <w:rPr>
                <w:rFonts w:asciiTheme="majorHAnsi" w:hAnsiTheme="majorHAnsi" w:cstheme="majorHAnsi"/>
              </w:rPr>
              <w:t xml:space="preserve"> </w:t>
            </w:r>
            <w:r w:rsidR="00A13429" w:rsidRPr="00A13429">
              <w:rPr>
                <w:rFonts w:asciiTheme="majorHAnsi" w:hAnsiTheme="majorHAnsi" w:cstheme="majorHAnsi"/>
              </w:rPr>
              <w:t xml:space="preserve">ensuring that all aspects of the expanded definition of security under the Boe Declaration are regularly included. </w:t>
            </w:r>
          </w:p>
        </w:tc>
        <w:tc>
          <w:tcPr>
            <w:tcW w:w="1500" w:type="dxa"/>
          </w:tcPr>
          <w:p w14:paraId="7CB32F12" w14:textId="377C4EA5" w:rsidR="00B64795" w:rsidRPr="006D5B8B" w:rsidRDefault="00B64795" w:rsidP="00B64795">
            <w:pPr>
              <w:rPr>
                <w:rFonts w:asciiTheme="majorHAnsi" w:hAnsiTheme="majorHAnsi" w:cstheme="majorHAnsi"/>
              </w:rPr>
            </w:pPr>
            <w:r w:rsidRPr="006D5B8B">
              <w:rPr>
                <w:rFonts w:asciiTheme="majorHAnsi" w:hAnsiTheme="majorHAnsi" w:cstheme="majorHAnsi"/>
              </w:rPr>
              <w:t xml:space="preserve">Agree. </w:t>
            </w:r>
          </w:p>
        </w:tc>
        <w:tc>
          <w:tcPr>
            <w:tcW w:w="3200" w:type="dxa"/>
          </w:tcPr>
          <w:p w14:paraId="077CB9E3" w14:textId="3ECCE0F3" w:rsidR="00B64795" w:rsidRPr="006D5B8B" w:rsidRDefault="00B64795" w:rsidP="00B64795">
            <w:pPr>
              <w:rPr>
                <w:rFonts w:asciiTheme="majorHAnsi" w:hAnsiTheme="majorHAnsi" w:cstheme="majorBidi"/>
              </w:rPr>
            </w:pPr>
            <w:r w:rsidRPr="74BF413B">
              <w:rPr>
                <w:rFonts w:asciiTheme="majorHAnsi" w:hAnsiTheme="majorHAnsi" w:cstheme="majorBidi"/>
              </w:rPr>
              <w:t>DFAT supports inclusive and dynamic program development for the PRNSC, including input from Pacific Islands Forum members</w:t>
            </w:r>
            <w:r w:rsidR="000F434F">
              <w:rPr>
                <w:rFonts w:asciiTheme="majorHAnsi" w:hAnsiTheme="majorHAnsi" w:cstheme="majorBidi"/>
              </w:rPr>
              <w:t xml:space="preserve"> and </w:t>
            </w:r>
            <w:r w:rsidR="000A255A">
              <w:rPr>
                <w:rFonts w:asciiTheme="majorHAnsi" w:hAnsiTheme="majorHAnsi" w:cstheme="majorBidi"/>
              </w:rPr>
              <w:t>coverage of the</w:t>
            </w:r>
            <w:r w:rsidR="000F434F">
              <w:rPr>
                <w:rFonts w:asciiTheme="majorHAnsi" w:hAnsiTheme="majorHAnsi" w:cstheme="majorBidi"/>
              </w:rPr>
              <w:t xml:space="preserve"> </w:t>
            </w:r>
            <w:r w:rsidR="00D271AA">
              <w:rPr>
                <w:rFonts w:asciiTheme="majorHAnsi" w:hAnsiTheme="majorHAnsi" w:cstheme="majorBidi"/>
              </w:rPr>
              <w:t xml:space="preserve">full </w:t>
            </w:r>
            <w:r w:rsidR="000A255A">
              <w:rPr>
                <w:rFonts w:asciiTheme="majorHAnsi" w:hAnsiTheme="majorHAnsi" w:cstheme="majorBidi"/>
              </w:rPr>
              <w:t xml:space="preserve">range of </w:t>
            </w:r>
            <w:r w:rsidR="002A3D87">
              <w:rPr>
                <w:rFonts w:asciiTheme="majorHAnsi" w:hAnsiTheme="majorHAnsi" w:cstheme="majorBidi"/>
              </w:rPr>
              <w:t>security topics</w:t>
            </w:r>
            <w:r w:rsidR="000A255A">
              <w:rPr>
                <w:rFonts w:asciiTheme="majorHAnsi" w:hAnsiTheme="majorHAnsi" w:cstheme="majorBidi"/>
              </w:rPr>
              <w:t xml:space="preserve"> included</w:t>
            </w:r>
            <w:r w:rsidR="002A3D87">
              <w:rPr>
                <w:rFonts w:asciiTheme="majorHAnsi" w:hAnsiTheme="majorHAnsi" w:cstheme="majorBidi"/>
              </w:rPr>
              <w:t xml:space="preserve"> under the Boe Declaration</w:t>
            </w:r>
            <w:r w:rsidRPr="74BF413B">
              <w:rPr>
                <w:rFonts w:asciiTheme="majorHAnsi" w:hAnsiTheme="majorHAnsi" w:cstheme="majorBidi"/>
              </w:rPr>
              <w:t xml:space="preserve">. </w:t>
            </w:r>
          </w:p>
        </w:tc>
        <w:tc>
          <w:tcPr>
            <w:tcW w:w="1709" w:type="dxa"/>
          </w:tcPr>
          <w:p w14:paraId="0121CBAA" w14:textId="0BF7DDC1" w:rsidR="00B64795" w:rsidRPr="006D5B8B" w:rsidRDefault="00B64795" w:rsidP="00B64795">
            <w:pPr>
              <w:rPr>
                <w:rFonts w:asciiTheme="majorHAnsi" w:hAnsiTheme="majorHAnsi" w:cstheme="majorBidi"/>
              </w:rPr>
            </w:pPr>
            <w:r w:rsidRPr="74BF413B">
              <w:rPr>
                <w:rFonts w:asciiTheme="majorHAnsi" w:hAnsiTheme="majorHAnsi" w:cstheme="majorBidi"/>
              </w:rPr>
              <w:t>The College to further consult PIF members and relevant stakeholders to develop the 2026 PRNSC agenda</w:t>
            </w:r>
            <w:r>
              <w:rPr>
                <w:rFonts w:asciiTheme="majorHAnsi" w:hAnsiTheme="majorHAnsi" w:cstheme="majorBidi"/>
              </w:rPr>
              <w:t>.</w:t>
            </w:r>
          </w:p>
        </w:tc>
        <w:tc>
          <w:tcPr>
            <w:tcW w:w="1924" w:type="dxa"/>
          </w:tcPr>
          <w:p w14:paraId="239168F4" w14:textId="2F95563D" w:rsidR="00B64795" w:rsidRPr="74BF413B" w:rsidRDefault="00B64795" w:rsidP="00B64795">
            <w:pPr>
              <w:rPr>
                <w:rFonts w:asciiTheme="majorHAnsi" w:hAnsiTheme="majorHAnsi" w:cstheme="majorBidi"/>
              </w:rPr>
            </w:pPr>
            <w:r w:rsidRPr="74BF413B">
              <w:rPr>
                <w:rFonts w:asciiTheme="majorHAnsi" w:hAnsiTheme="majorHAnsi" w:cstheme="majorBidi"/>
              </w:rPr>
              <w:t>Q1</w:t>
            </w:r>
            <w:r w:rsidR="00113701">
              <w:rPr>
                <w:rFonts w:asciiTheme="majorHAnsi" w:hAnsiTheme="majorHAnsi" w:cstheme="majorBidi"/>
              </w:rPr>
              <w:t xml:space="preserve"> &amp; Q2</w:t>
            </w:r>
            <w:r w:rsidRPr="74BF413B">
              <w:rPr>
                <w:rFonts w:asciiTheme="majorHAnsi" w:hAnsiTheme="majorHAnsi" w:cstheme="majorBidi"/>
              </w:rPr>
              <w:t xml:space="preserve"> 2026</w:t>
            </w:r>
          </w:p>
        </w:tc>
      </w:tr>
      <w:tr w:rsidR="00F1705B" w:rsidRPr="006D5B8B" w14:paraId="6008B046" w14:textId="44FA56FE" w:rsidTr="228E7CB1">
        <w:tc>
          <w:tcPr>
            <w:tcW w:w="1200" w:type="dxa"/>
          </w:tcPr>
          <w:p w14:paraId="006B2AC4" w14:textId="5D76B2AD" w:rsidR="00B64795" w:rsidRPr="006D5B8B" w:rsidRDefault="00B64795" w:rsidP="00B64795">
            <w:pPr>
              <w:rPr>
                <w:rFonts w:asciiTheme="majorHAnsi" w:hAnsiTheme="majorHAnsi" w:cstheme="majorHAnsi"/>
              </w:rPr>
            </w:pPr>
            <w:r w:rsidRPr="006D5B8B">
              <w:rPr>
                <w:rFonts w:asciiTheme="majorHAnsi" w:hAnsiTheme="majorHAnsi" w:cstheme="majorHAnsi"/>
              </w:rPr>
              <w:t>7</w:t>
            </w:r>
          </w:p>
        </w:tc>
        <w:tc>
          <w:tcPr>
            <w:tcW w:w="2697" w:type="dxa"/>
          </w:tcPr>
          <w:p w14:paraId="6ED88228" w14:textId="0D07D460" w:rsidR="00B64795" w:rsidRPr="006D5B8B" w:rsidRDefault="00B64795" w:rsidP="00B64795">
            <w:pPr>
              <w:rPr>
                <w:rFonts w:asciiTheme="majorHAnsi" w:hAnsiTheme="majorHAnsi" w:cstheme="majorHAnsi"/>
              </w:rPr>
            </w:pPr>
            <w:r w:rsidRPr="006D5B8B">
              <w:rPr>
                <w:rFonts w:asciiTheme="majorHAnsi" w:hAnsiTheme="majorHAnsi" w:cstheme="majorHAnsi"/>
              </w:rPr>
              <w:t>The College should draw speakers from a wider variety of sources, including community representatives and people with lived experience.</w:t>
            </w:r>
          </w:p>
        </w:tc>
        <w:tc>
          <w:tcPr>
            <w:tcW w:w="1500" w:type="dxa"/>
          </w:tcPr>
          <w:p w14:paraId="0306279E" w14:textId="5ABAB23C" w:rsidR="00B64795" w:rsidRPr="006D5B8B" w:rsidRDefault="00B64795" w:rsidP="00B64795">
            <w:pPr>
              <w:rPr>
                <w:rFonts w:asciiTheme="majorHAnsi" w:hAnsiTheme="majorHAnsi" w:cstheme="majorHAnsi"/>
              </w:rPr>
            </w:pPr>
            <w:r w:rsidRPr="006D5B8B">
              <w:rPr>
                <w:rFonts w:asciiTheme="majorHAnsi" w:hAnsiTheme="majorHAnsi" w:cstheme="majorHAnsi"/>
              </w:rPr>
              <w:t xml:space="preserve">Agree. </w:t>
            </w:r>
          </w:p>
        </w:tc>
        <w:tc>
          <w:tcPr>
            <w:tcW w:w="3200" w:type="dxa"/>
          </w:tcPr>
          <w:p w14:paraId="6825FC17" w14:textId="11F8E226" w:rsidR="00B64795" w:rsidRPr="006D5B8B" w:rsidRDefault="00B64795" w:rsidP="00B64795">
            <w:pPr>
              <w:rPr>
                <w:rFonts w:asciiTheme="majorHAnsi" w:hAnsiTheme="majorHAnsi" w:cstheme="majorBidi"/>
              </w:rPr>
            </w:pPr>
            <w:r w:rsidRPr="3F9F88CB">
              <w:rPr>
                <w:rFonts w:asciiTheme="majorHAnsi" w:hAnsiTheme="majorHAnsi" w:cstheme="majorBidi"/>
              </w:rPr>
              <w:t>DFAT supports broadening speaker representation.</w:t>
            </w:r>
          </w:p>
        </w:tc>
        <w:tc>
          <w:tcPr>
            <w:tcW w:w="1709" w:type="dxa"/>
          </w:tcPr>
          <w:p w14:paraId="1E2A83A2" w14:textId="4ACCFCF9" w:rsidR="00B64795" w:rsidRPr="006D5B8B" w:rsidRDefault="00B64795" w:rsidP="00B64795">
            <w:pPr>
              <w:rPr>
                <w:rFonts w:asciiTheme="majorHAnsi" w:hAnsiTheme="majorHAnsi" w:cstheme="majorBidi"/>
              </w:rPr>
            </w:pPr>
            <w:r w:rsidRPr="74BF413B">
              <w:rPr>
                <w:rFonts w:asciiTheme="majorHAnsi" w:hAnsiTheme="majorHAnsi" w:cstheme="majorBidi"/>
              </w:rPr>
              <w:t>The College to update speaker selection guidelines for 2026 PRNSC.</w:t>
            </w:r>
          </w:p>
        </w:tc>
        <w:tc>
          <w:tcPr>
            <w:tcW w:w="1924" w:type="dxa"/>
          </w:tcPr>
          <w:p w14:paraId="52E835F9" w14:textId="7A3F5259" w:rsidR="00B64795" w:rsidRPr="74BF413B" w:rsidRDefault="00DB7EAD" w:rsidP="00B64795">
            <w:pPr>
              <w:rPr>
                <w:rFonts w:asciiTheme="majorHAnsi" w:hAnsiTheme="majorHAnsi" w:cstheme="majorBidi"/>
              </w:rPr>
            </w:pPr>
            <w:r>
              <w:rPr>
                <w:rFonts w:asciiTheme="majorHAnsi" w:hAnsiTheme="majorHAnsi" w:cstheme="majorBidi"/>
              </w:rPr>
              <w:t>Q1 2026</w:t>
            </w:r>
          </w:p>
        </w:tc>
      </w:tr>
      <w:tr w:rsidR="00F1705B" w:rsidRPr="006D5B8B" w14:paraId="544B61EB" w14:textId="2219A1AE" w:rsidTr="228E7CB1">
        <w:tc>
          <w:tcPr>
            <w:tcW w:w="1200" w:type="dxa"/>
          </w:tcPr>
          <w:p w14:paraId="7DC34597" w14:textId="2DB188D1" w:rsidR="00B64795" w:rsidRPr="006D5B8B" w:rsidRDefault="00B64795" w:rsidP="00B64795">
            <w:pPr>
              <w:rPr>
                <w:rFonts w:asciiTheme="majorHAnsi" w:hAnsiTheme="majorHAnsi" w:cstheme="majorHAnsi"/>
              </w:rPr>
            </w:pPr>
            <w:r w:rsidRPr="006D5B8B">
              <w:rPr>
                <w:rFonts w:asciiTheme="majorHAnsi" w:hAnsiTheme="majorHAnsi" w:cstheme="majorHAnsi"/>
              </w:rPr>
              <w:t>8</w:t>
            </w:r>
          </w:p>
        </w:tc>
        <w:tc>
          <w:tcPr>
            <w:tcW w:w="2697" w:type="dxa"/>
          </w:tcPr>
          <w:p w14:paraId="485F56C7" w14:textId="7C3F9D3B" w:rsidR="00B64795" w:rsidRPr="006D5B8B" w:rsidRDefault="0069146E" w:rsidP="00B64795">
            <w:pPr>
              <w:rPr>
                <w:rFonts w:asciiTheme="majorHAnsi" w:hAnsiTheme="majorHAnsi" w:cstheme="majorHAnsi"/>
              </w:rPr>
            </w:pPr>
            <w:r w:rsidRPr="000977F4">
              <w:rPr>
                <w:rFonts w:asciiTheme="majorHAnsi" w:hAnsiTheme="majorHAnsi" w:cstheme="majorHAnsi"/>
              </w:rPr>
              <w:t xml:space="preserve">The </w:t>
            </w:r>
            <w:r w:rsidR="005631C4">
              <w:rPr>
                <w:rFonts w:asciiTheme="majorHAnsi" w:hAnsiTheme="majorHAnsi" w:cstheme="majorHAnsi"/>
              </w:rPr>
              <w:t xml:space="preserve">Pacific Security </w:t>
            </w:r>
            <w:r w:rsidR="005631C4" w:rsidRPr="000977F4">
              <w:rPr>
                <w:rFonts w:asciiTheme="majorHAnsi" w:hAnsiTheme="majorHAnsi" w:cstheme="majorHAnsi"/>
              </w:rPr>
              <w:t xml:space="preserve">College </w:t>
            </w:r>
            <w:r w:rsidRPr="000977F4">
              <w:rPr>
                <w:rFonts w:asciiTheme="majorHAnsi" w:hAnsiTheme="majorHAnsi" w:cstheme="majorHAnsi"/>
              </w:rPr>
              <w:t xml:space="preserve">Advisory Board should develop guidelines establishing the range of experiences and geographic and cultural diversity it seeks to maintain on the Board. This should be agreed with DFAT and new members recruited accordingly. </w:t>
            </w:r>
            <w:r w:rsidR="004A6A6F" w:rsidRPr="000977F4">
              <w:rPr>
                <w:rFonts w:asciiTheme="majorHAnsi" w:hAnsiTheme="majorHAnsi" w:cstheme="majorHAnsi"/>
              </w:rPr>
              <w:t>The size of the Board should balance the need for a range of views to be aired during substantive discussions, with all members afforded an opportunity to contribute, while also keeping costs at a reasonable level.</w:t>
            </w:r>
            <w:r w:rsidR="004F6086">
              <w:rPr>
                <w:rFonts w:asciiTheme="majorHAnsi" w:hAnsiTheme="majorHAnsi" w:cstheme="majorHAnsi"/>
              </w:rPr>
              <w:t xml:space="preserve"> </w:t>
            </w:r>
          </w:p>
        </w:tc>
        <w:tc>
          <w:tcPr>
            <w:tcW w:w="1500" w:type="dxa"/>
          </w:tcPr>
          <w:p w14:paraId="0C90F8F9" w14:textId="2409A6F4" w:rsidR="00B64795" w:rsidRPr="006D5B8B" w:rsidRDefault="005E5F79" w:rsidP="00B64795">
            <w:pPr>
              <w:rPr>
                <w:rFonts w:asciiTheme="majorHAnsi" w:hAnsiTheme="majorHAnsi" w:cstheme="majorBidi"/>
              </w:rPr>
            </w:pPr>
            <w:r>
              <w:rPr>
                <w:rFonts w:asciiTheme="majorHAnsi" w:hAnsiTheme="majorHAnsi" w:cstheme="majorBidi"/>
              </w:rPr>
              <w:t>Partially a</w:t>
            </w:r>
            <w:r w:rsidR="00B64795" w:rsidRPr="74BF413B">
              <w:rPr>
                <w:rFonts w:asciiTheme="majorHAnsi" w:hAnsiTheme="majorHAnsi" w:cstheme="majorBidi"/>
              </w:rPr>
              <w:t xml:space="preserve">gree. </w:t>
            </w:r>
          </w:p>
        </w:tc>
        <w:tc>
          <w:tcPr>
            <w:tcW w:w="3200" w:type="dxa"/>
          </w:tcPr>
          <w:p w14:paraId="3290CC08" w14:textId="65E46D28" w:rsidR="00B64795" w:rsidRPr="006D5B8B" w:rsidRDefault="00B64795" w:rsidP="00B64795">
            <w:pPr>
              <w:rPr>
                <w:rFonts w:asciiTheme="majorHAnsi" w:hAnsiTheme="majorHAnsi" w:cstheme="majorBidi"/>
              </w:rPr>
            </w:pPr>
            <w:r w:rsidRPr="2830D578">
              <w:rPr>
                <w:rFonts w:asciiTheme="majorHAnsi" w:hAnsiTheme="majorHAnsi" w:cstheme="majorBidi"/>
              </w:rPr>
              <w:t xml:space="preserve">DFAT </w:t>
            </w:r>
            <w:r w:rsidR="005E5F79">
              <w:rPr>
                <w:rFonts w:asciiTheme="majorHAnsi" w:hAnsiTheme="majorHAnsi" w:cstheme="majorBidi"/>
              </w:rPr>
              <w:t>should</w:t>
            </w:r>
            <w:r w:rsidR="00B45263">
              <w:rPr>
                <w:rFonts w:asciiTheme="majorHAnsi" w:hAnsiTheme="majorHAnsi" w:cstheme="majorBidi"/>
              </w:rPr>
              <w:t xml:space="preserve"> work with the College and the Advisory Board to </w:t>
            </w:r>
            <w:r w:rsidR="001C4931">
              <w:rPr>
                <w:rFonts w:asciiTheme="majorHAnsi" w:hAnsiTheme="majorHAnsi" w:cstheme="majorBidi"/>
              </w:rPr>
              <w:t xml:space="preserve">further </w:t>
            </w:r>
            <w:r w:rsidR="00B45263">
              <w:rPr>
                <w:rFonts w:asciiTheme="majorHAnsi" w:hAnsiTheme="majorHAnsi" w:cstheme="majorBidi"/>
              </w:rPr>
              <w:t>develop guidelines</w:t>
            </w:r>
            <w:r w:rsidR="001C4931">
              <w:rPr>
                <w:rFonts w:asciiTheme="majorHAnsi" w:hAnsiTheme="majorHAnsi" w:cstheme="majorBidi"/>
              </w:rPr>
              <w:t xml:space="preserve"> for the appointment of future new board members</w:t>
            </w:r>
            <w:r w:rsidR="00B45263">
              <w:rPr>
                <w:rFonts w:asciiTheme="majorHAnsi" w:hAnsiTheme="majorHAnsi" w:cstheme="majorBidi"/>
              </w:rPr>
              <w:t xml:space="preserve">, based on the existing </w:t>
            </w:r>
            <w:r w:rsidR="001C4931">
              <w:rPr>
                <w:rFonts w:asciiTheme="majorHAnsi" w:hAnsiTheme="majorHAnsi" w:cstheme="majorBidi"/>
              </w:rPr>
              <w:t xml:space="preserve">Advisory Board </w:t>
            </w:r>
            <w:r w:rsidR="00B45263">
              <w:rPr>
                <w:rFonts w:asciiTheme="majorHAnsi" w:hAnsiTheme="majorHAnsi" w:cstheme="majorBidi"/>
              </w:rPr>
              <w:t>Charter</w:t>
            </w:r>
            <w:r w:rsidR="001C4931">
              <w:rPr>
                <w:rFonts w:asciiTheme="majorHAnsi" w:hAnsiTheme="majorHAnsi" w:cstheme="majorBidi"/>
              </w:rPr>
              <w:t xml:space="preserve"> guidelines</w:t>
            </w:r>
            <w:r w:rsidR="00B45263">
              <w:rPr>
                <w:rFonts w:asciiTheme="majorHAnsi" w:hAnsiTheme="majorHAnsi" w:cstheme="majorBidi"/>
              </w:rPr>
              <w:t xml:space="preserve">. </w:t>
            </w:r>
            <w:r w:rsidR="00F1705B">
              <w:rPr>
                <w:rFonts w:asciiTheme="majorHAnsi" w:hAnsiTheme="majorHAnsi" w:cstheme="majorBidi"/>
              </w:rPr>
              <w:t xml:space="preserve">DFAT </w:t>
            </w:r>
            <w:r>
              <w:rPr>
                <w:rFonts w:asciiTheme="majorHAnsi" w:hAnsiTheme="majorHAnsi" w:cstheme="majorBidi"/>
              </w:rPr>
              <w:t xml:space="preserve">values an </w:t>
            </w:r>
            <w:r w:rsidRPr="2830D578">
              <w:rPr>
                <w:rFonts w:asciiTheme="majorHAnsi" w:hAnsiTheme="majorHAnsi" w:cstheme="majorBidi"/>
              </w:rPr>
              <w:t xml:space="preserve">efficient Board structure, while balancing this with a need to ensure the </w:t>
            </w:r>
            <w:r>
              <w:rPr>
                <w:rFonts w:asciiTheme="majorHAnsi" w:hAnsiTheme="majorHAnsi" w:cstheme="majorBidi"/>
              </w:rPr>
              <w:t>B</w:t>
            </w:r>
            <w:r w:rsidRPr="2830D578">
              <w:rPr>
                <w:rFonts w:asciiTheme="majorHAnsi" w:hAnsiTheme="majorHAnsi" w:cstheme="majorBidi"/>
              </w:rPr>
              <w:t>oard has broad gender, geographic, and skill-set representation.</w:t>
            </w:r>
          </w:p>
        </w:tc>
        <w:tc>
          <w:tcPr>
            <w:tcW w:w="1709" w:type="dxa"/>
          </w:tcPr>
          <w:p w14:paraId="30AC126B" w14:textId="45E708FD" w:rsidR="00B64795" w:rsidRPr="006D5B8B" w:rsidRDefault="00B64795" w:rsidP="00B64795">
            <w:pPr>
              <w:rPr>
                <w:rFonts w:asciiTheme="majorHAnsi" w:hAnsiTheme="majorHAnsi" w:cstheme="majorBidi"/>
              </w:rPr>
            </w:pPr>
            <w:r w:rsidRPr="74BF413B">
              <w:rPr>
                <w:rFonts w:asciiTheme="majorHAnsi" w:hAnsiTheme="majorHAnsi" w:cstheme="majorBidi"/>
              </w:rPr>
              <w:t xml:space="preserve">DFAT will undertake a review of Board </w:t>
            </w:r>
            <w:r w:rsidR="00DB068E" w:rsidRPr="74BF413B">
              <w:rPr>
                <w:rFonts w:asciiTheme="majorHAnsi" w:hAnsiTheme="majorHAnsi" w:cstheme="majorBidi"/>
              </w:rPr>
              <w:t xml:space="preserve">membership </w:t>
            </w:r>
            <w:r w:rsidR="00DB068E">
              <w:rPr>
                <w:rFonts w:asciiTheme="majorHAnsi" w:hAnsiTheme="majorHAnsi" w:cstheme="majorBidi"/>
              </w:rPr>
              <w:t>and</w:t>
            </w:r>
            <w:r w:rsidR="00F1705B">
              <w:rPr>
                <w:rFonts w:asciiTheme="majorHAnsi" w:hAnsiTheme="majorHAnsi" w:cstheme="majorBidi"/>
              </w:rPr>
              <w:t xml:space="preserve"> guidelines </w:t>
            </w:r>
            <w:r w:rsidRPr="74BF413B">
              <w:rPr>
                <w:rFonts w:asciiTheme="majorHAnsi" w:hAnsiTheme="majorHAnsi" w:cstheme="majorBidi"/>
              </w:rPr>
              <w:t>alongside the current design process for the next phase of the College.</w:t>
            </w:r>
          </w:p>
        </w:tc>
        <w:tc>
          <w:tcPr>
            <w:tcW w:w="1924" w:type="dxa"/>
          </w:tcPr>
          <w:p w14:paraId="4C5C5CA4" w14:textId="73CEC93A" w:rsidR="00B64795" w:rsidRPr="74BF413B" w:rsidRDefault="006D21E2" w:rsidP="00B64795">
            <w:pPr>
              <w:rPr>
                <w:rFonts w:asciiTheme="majorHAnsi" w:hAnsiTheme="majorHAnsi" w:cstheme="majorBidi"/>
              </w:rPr>
            </w:pPr>
            <w:r>
              <w:rPr>
                <w:rFonts w:asciiTheme="majorHAnsi" w:hAnsiTheme="majorHAnsi" w:cstheme="majorBidi"/>
              </w:rPr>
              <w:t>Q1 2026</w:t>
            </w:r>
          </w:p>
        </w:tc>
      </w:tr>
      <w:tr w:rsidR="000977F4" w:rsidRPr="006D5B8B" w14:paraId="170925C0" w14:textId="77777777" w:rsidTr="228E7CB1">
        <w:tc>
          <w:tcPr>
            <w:tcW w:w="1200" w:type="dxa"/>
          </w:tcPr>
          <w:p w14:paraId="4417A7A5" w14:textId="54F9E235" w:rsidR="000977F4" w:rsidRPr="006D5B8B" w:rsidRDefault="000977F4" w:rsidP="00B64795">
            <w:pPr>
              <w:rPr>
                <w:rFonts w:asciiTheme="majorHAnsi" w:hAnsiTheme="majorHAnsi" w:cstheme="majorHAnsi"/>
              </w:rPr>
            </w:pPr>
            <w:r>
              <w:rPr>
                <w:rFonts w:asciiTheme="majorHAnsi" w:hAnsiTheme="majorHAnsi" w:cstheme="majorHAnsi"/>
              </w:rPr>
              <w:t>9</w:t>
            </w:r>
          </w:p>
        </w:tc>
        <w:tc>
          <w:tcPr>
            <w:tcW w:w="2697" w:type="dxa"/>
          </w:tcPr>
          <w:p w14:paraId="5A873B1C" w14:textId="3FD43030" w:rsidR="000977F4" w:rsidRPr="006D5B8B" w:rsidRDefault="0069146E" w:rsidP="00B64795">
            <w:pPr>
              <w:rPr>
                <w:rFonts w:asciiTheme="majorHAnsi" w:hAnsiTheme="majorHAnsi" w:cstheme="majorHAnsi"/>
              </w:rPr>
            </w:pPr>
            <w:r w:rsidRPr="0069146E">
              <w:rPr>
                <w:rFonts w:asciiTheme="majorHAnsi" w:hAnsiTheme="majorHAnsi" w:cstheme="majorHAnsi"/>
              </w:rPr>
              <w:t xml:space="preserve">DFAT should clarify the role of the Advisory Board, and who it reports to, to </w:t>
            </w:r>
            <w:proofErr w:type="spellStart"/>
            <w:r w:rsidRPr="0069146E">
              <w:rPr>
                <w:rFonts w:asciiTheme="majorHAnsi" w:hAnsiTheme="majorHAnsi" w:cstheme="majorHAnsi"/>
              </w:rPr>
              <w:t>maximise</w:t>
            </w:r>
            <w:proofErr w:type="spellEnd"/>
            <w:r w:rsidRPr="0069146E">
              <w:rPr>
                <w:rFonts w:asciiTheme="majorHAnsi" w:hAnsiTheme="majorHAnsi" w:cstheme="majorHAnsi"/>
              </w:rPr>
              <w:t xml:space="preserve"> its value to the College and DFAT </w:t>
            </w:r>
            <w:r>
              <w:rPr>
                <w:rFonts w:asciiTheme="majorHAnsi" w:hAnsiTheme="majorHAnsi" w:cstheme="majorHAnsi"/>
              </w:rPr>
              <w:t>a</w:t>
            </w:r>
            <w:r w:rsidRPr="0069146E">
              <w:rPr>
                <w:rFonts w:asciiTheme="majorHAnsi" w:hAnsiTheme="majorHAnsi" w:cstheme="majorHAnsi"/>
              </w:rPr>
              <w:t>s part of the next design of the College</w:t>
            </w:r>
            <w:r>
              <w:rPr>
                <w:rFonts w:asciiTheme="majorHAnsi" w:hAnsiTheme="majorHAnsi" w:cstheme="majorHAnsi"/>
              </w:rPr>
              <w:t>.</w:t>
            </w:r>
          </w:p>
        </w:tc>
        <w:tc>
          <w:tcPr>
            <w:tcW w:w="1500" w:type="dxa"/>
          </w:tcPr>
          <w:p w14:paraId="10F376AB" w14:textId="6FF2D319" w:rsidR="000977F4" w:rsidRPr="74BF413B" w:rsidRDefault="00B75D9F" w:rsidP="00B64795">
            <w:pPr>
              <w:rPr>
                <w:rFonts w:asciiTheme="majorHAnsi" w:hAnsiTheme="majorHAnsi" w:cstheme="majorBidi"/>
              </w:rPr>
            </w:pPr>
            <w:r>
              <w:rPr>
                <w:rFonts w:asciiTheme="majorHAnsi" w:hAnsiTheme="majorHAnsi" w:cstheme="majorBidi"/>
              </w:rPr>
              <w:t>Agree.</w:t>
            </w:r>
          </w:p>
        </w:tc>
        <w:tc>
          <w:tcPr>
            <w:tcW w:w="3200" w:type="dxa"/>
          </w:tcPr>
          <w:p w14:paraId="671C3B43" w14:textId="72F2E968" w:rsidR="000977F4" w:rsidRPr="2830D578" w:rsidRDefault="00A752ED" w:rsidP="00B64795">
            <w:pPr>
              <w:rPr>
                <w:rFonts w:asciiTheme="majorHAnsi" w:hAnsiTheme="majorHAnsi" w:cstheme="majorBidi"/>
              </w:rPr>
            </w:pPr>
            <w:r>
              <w:rPr>
                <w:rFonts w:asciiTheme="majorHAnsi" w:hAnsiTheme="majorHAnsi" w:cstheme="majorBidi"/>
              </w:rPr>
              <w:t>There is scope for DFAT to play a greater role in meetings with the Advisory Board</w:t>
            </w:r>
            <w:r w:rsidR="00222B87">
              <w:rPr>
                <w:rFonts w:asciiTheme="majorHAnsi" w:hAnsiTheme="majorHAnsi" w:cstheme="majorBidi"/>
              </w:rPr>
              <w:t xml:space="preserve">. </w:t>
            </w:r>
          </w:p>
        </w:tc>
        <w:tc>
          <w:tcPr>
            <w:tcW w:w="1709" w:type="dxa"/>
          </w:tcPr>
          <w:p w14:paraId="411A5B92" w14:textId="71AFFA4B" w:rsidR="000977F4" w:rsidRPr="74BF413B" w:rsidRDefault="00222B87" w:rsidP="00B64795">
            <w:pPr>
              <w:rPr>
                <w:rFonts w:asciiTheme="majorHAnsi" w:hAnsiTheme="majorHAnsi" w:cstheme="majorBidi"/>
              </w:rPr>
            </w:pPr>
            <w:r>
              <w:rPr>
                <w:rFonts w:asciiTheme="majorHAnsi" w:hAnsiTheme="majorHAnsi" w:cstheme="majorBidi"/>
              </w:rPr>
              <w:t xml:space="preserve">DFAT to </w:t>
            </w:r>
            <w:r w:rsidR="0033738F">
              <w:rPr>
                <w:rFonts w:asciiTheme="majorHAnsi" w:hAnsiTheme="majorHAnsi" w:cstheme="majorBidi"/>
              </w:rPr>
              <w:t xml:space="preserve">take up </w:t>
            </w:r>
            <w:r>
              <w:rPr>
                <w:rFonts w:asciiTheme="majorHAnsi" w:hAnsiTheme="majorHAnsi" w:cstheme="majorBidi"/>
              </w:rPr>
              <w:t xml:space="preserve">official notetaking </w:t>
            </w:r>
            <w:r w:rsidR="0033738F">
              <w:rPr>
                <w:rFonts w:asciiTheme="majorHAnsi" w:hAnsiTheme="majorHAnsi" w:cstheme="majorBidi"/>
              </w:rPr>
              <w:t xml:space="preserve">duties </w:t>
            </w:r>
            <w:r>
              <w:rPr>
                <w:rFonts w:asciiTheme="majorHAnsi" w:hAnsiTheme="majorHAnsi" w:cstheme="majorBidi"/>
              </w:rPr>
              <w:t>for Board meetings</w:t>
            </w:r>
            <w:r w:rsidR="00AE5C52">
              <w:rPr>
                <w:rFonts w:asciiTheme="majorHAnsi" w:hAnsiTheme="majorHAnsi" w:cstheme="majorBidi"/>
              </w:rPr>
              <w:t xml:space="preserve"> and explore what further value DFAT </w:t>
            </w:r>
            <w:r w:rsidR="7DA05D18" w:rsidRPr="228E7CB1">
              <w:rPr>
                <w:rFonts w:asciiTheme="majorHAnsi" w:hAnsiTheme="majorHAnsi" w:cstheme="majorBidi"/>
              </w:rPr>
              <w:t xml:space="preserve">and the College </w:t>
            </w:r>
            <w:r w:rsidR="00AE5C52">
              <w:rPr>
                <w:rFonts w:asciiTheme="majorHAnsi" w:hAnsiTheme="majorHAnsi" w:cstheme="majorBidi"/>
              </w:rPr>
              <w:t>can gain from engagement with the Board</w:t>
            </w:r>
            <w:r>
              <w:rPr>
                <w:rFonts w:asciiTheme="majorHAnsi" w:hAnsiTheme="majorHAnsi" w:cstheme="majorBidi"/>
              </w:rPr>
              <w:t>.</w:t>
            </w:r>
          </w:p>
        </w:tc>
        <w:tc>
          <w:tcPr>
            <w:tcW w:w="1924" w:type="dxa"/>
          </w:tcPr>
          <w:p w14:paraId="2B37CEE6" w14:textId="0BD56FA7" w:rsidR="000977F4" w:rsidRPr="74BF413B" w:rsidRDefault="00222B87" w:rsidP="00B64795">
            <w:pPr>
              <w:rPr>
                <w:rFonts w:asciiTheme="majorHAnsi" w:hAnsiTheme="majorHAnsi" w:cstheme="majorBidi"/>
              </w:rPr>
            </w:pPr>
            <w:r>
              <w:rPr>
                <w:rFonts w:asciiTheme="majorHAnsi" w:hAnsiTheme="majorHAnsi" w:cstheme="majorBidi"/>
              </w:rPr>
              <w:t>Q1 2026</w:t>
            </w:r>
          </w:p>
        </w:tc>
      </w:tr>
      <w:tr w:rsidR="00F1705B" w:rsidRPr="006D5B8B" w14:paraId="11EF0406" w14:textId="7BA15DFD" w:rsidTr="228E7CB1">
        <w:tc>
          <w:tcPr>
            <w:tcW w:w="1200" w:type="dxa"/>
          </w:tcPr>
          <w:p w14:paraId="24F0823F" w14:textId="792B0363" w:rsidR="00B64795" w:rsidRPr="006D5B8B" w:rsidRDefault="000977F4" w:rsidP="00B64795">
            <w:pPr>
              <w:rPr>
                <w:rFonts w:asciiTheme="majorHAnsi" w:hAnsiTheme="majorHAnsi" w:cstheme="majorHAnsi"/>
              </w:rPr>
            </w:pPr>
            <w:r>
              <w:rPr>
                <w:rFonts w:asciiTheme="majorHAnsi" w:hAnsiTheme="majorHAnsi" w:cstheme="majorHAnsi"/>
              </w:rPr>
              <w:t>10</w:t>
            </w:r>
          </w:p>
        </w:tc>
        <w:tc>
          <w:tcPr>
            <w:tcW w:w="2697" w:type="dxa"/>
          </w:tcPr>
          <w:p w14:paraId="6AF86669" w14:textId="4751B744" w:rsidR="00B64795" w:rsidRPr="006D5B8B" w:rsidRDefault="00B64795" w:rsidP="00B64795">
            <w:pPr>
              <w:rPr>
                <w:rFonts w:asciiTheme="majorHAnsi" w:hAnsiTheme="majorHAnsi" w:cstheme="majorHAnsi"/>
              </w:rPr>
            </w:pPr>
            <w:r w:rsidRPr="006D5B8B">
              <w:rPr>
                <w:rFonts w:asciiTheme="majorHAnsi" w:hAnsiTheme="majorHAnsi" w:cstheme="majorHAnsi"/>
              </w:rPr>
              <w:t>The College should push for equality of opportunity for women, men and gender diverse people in terms of access to training and speaking opportunities.</w:t>
            </w:r>
          </w:p>
        </w:tc>
        <w:tc>
          <w:tcPr>
            <w:tcW w:w="1500" w:type="dxa"/>
          </w:tcPr>
          <w:p w14:paraId="567DB584" w14:textId="05F9E27E" w:rsidR="00B64795" w:rsidRPr="006D5B8B" w:rsidRDefault="00B64795" w:rsidP="00B64795">
            <w:pPr>
              <w:rPr>
                <w:rFonts w:asciiTheme="majorHAnsi" w:hAnsiTheme="majorHAnsi" w:cstheme="majorHAnsi"/>
              </w:rPr>
            </w:pPr>
            <w:r w:rsidRPr="006D5B8B">
              <w:rPr>
                <w:rFonts w:asciiTheme="majorHAnsi" w:hAnsiTheme="majorHAnsi" w:cstheme="majorHAnsi"/>
              </w:rPr>
              <w:t xml:space="preserve">Agree. </w:t>
            </w:r>
          </w:p>
        </w:tc>
        <w:tc>
          <w:tcPr>
            <w:tcW w:w="3200" w:type="dxa"/>
          </w:tcPr>
          <w:p w14:paraId="52B9E02C" w14:textId="5E72B518" w:rsidR="00B64795" w:rsidRPr="006D5B8B" w:rsidRDefault="00B64795" w:rsidP="00B64795">
            <w:pPr>
              <w:rPr>
                <w:rFonts w:asciiTheme="majorHAnsi" w:hAnsiTheme="majorHAnsi" w:cstheme="majorHAnsi"/>
              </w:rPr>
            </w:pPr>
            <w:r w:rsidRPr="006D5B8B">
              <w:rPr>
                <w:rFonts w:asciiTheme="majorHAnsi" w:hAnsiTheme="majorHAnsi" w:cstheme="majorHAnsi"/>
              </w:rPr>
              <w:t>DFAT supports implementation of the College’s Gender Action Plan.</w:t>
            </w:r>
          </w:p>
        </w:tc>
        <w:tc>
          <w:tcPr>
            <w:tcW w:w="1709" w:type="dxa"/>
          </w:tcPr>
          <w:p w14:paraId="2FA96E08" w14:textId="341B435F" w:rsidR="00B64795" w:rsidRPr="006D5B8B" w:rsidRDefault="00B64795" w:rsidP="00B64795">
            <w:pPr>
              <w:rPr>
                <w:rFonts w:asciiTheme="majorHAnsi" w:hAnsiTheme="majorHAnsi" w:cstheme="majorBidi"/>
              </w:rPr>
            </w:pPr>
            <w:r w:rsidRPr="0A17F870">
              <w:rPr>
                <w:rFonts w:asciiTheme="majorHAnsi" w:hAnsiTheme="majorHAnsi" w:cstheme="majorBidi"/>
              </w:rPr>
              <w:t xml:space="preserve">The College monitors and reports on participation metrics annually </w:t>
            </w:r>
            <w:r>
              <w:rPr>
                <w:rFonts w:asciiTheme="majorHAnsi" w:hAnsiTheme="majorHAnsi" w:cstheme="majorBidi"/>
              </w:rPr>
              <w:t>(including establishing baseline data). T</w:t>
            </w:r>
            <w:r w:rsidRPr="0A17F870">
              <w:rPr>
                <w:rFonts w:asciiTheme="majorHAnsi" w:hAnsiTheme="majorHAnsi" w:cstheme="majorBidi"/>
              </w:rPr>
              <w:t xml:space="preserve">he Design Update will </w:t>
            </w:r>
            <w:r>
              <w:rPr>
                <w:rFonts w:asciiTheme="majorHAnsi" w:hAnsiTheme="majorHAnsi" w:cstheme="majorBidi"/>
              </w:rPr>
              <w:t xml:space="preserve">propose </w:t>
            </w:r>
            <w:r w:rsidRPr="0A17F870">
              <w:rPr>
                <w:rFonts w:asciiTheme="majorHAnsi" w:hAnsiTheme="majorHAnsi" w:cstheme="majorBidi"/>
              </w:rPr>
              <w:t xml:space="preserve">opportunities for enhancing the College’s promotion of gender equality. </w:t>
            </w:r>
          </w:p>
        </w:tc>
        <w:tc>
          <w:tcPr>
            <w:tcW w:w="1924" w:type="dxa"/>
          </w:tcPr>
          <w:p w14:paraId="789FB582" w14:textId="77777777" w:rsidR="00B64795" w:rsidRPr="0A17F870" w:rsidRDefault="00B64795" w:rsidP="00B64795">
            <w:pPr>
              <w:rPr>
                <w:rFonts w:asciiTheme="majorHAnsi" w:hAnsiTheme="majorHAnsi" w:cstheme="majorBidi"/>
              </w:rPr>
            </w:pPr>
          </w:p>
        </w:tc>
      </w:tr>
      <w:tr w:rsidR="00F1705B" w:rsidRPr="006D5B8B" w14:paraId="7E9EB2FA" w14:textId="49F4B36B" w:rsidTr="228E7CB1">
        <w:trPr>
          <w:trHeight w:val="540"/>
        </w:trPr>
        <w:tc>
          <w:tcPr>
            <w:tcW w:w="1200" w:type="dxa"/>
          </w:tcPr>
          <w:p w14:paraId="4EDFD2D2" w14:textId="385A8C13" w:rsidR="00B64795" w:rsidRPr="006D5B8B" w:rsidRDefault="00B64795" w:rsidP="00B64795">
            <w:pPr>
              <w:rPr>
                <w:rFonts w:asciiTheme="majorHAnsi" w:hAnsiTheme="majorHAnsi" w:cstheme="majorHAnsi"/>
              </w:rPr>
            </w:pPr>
            <w:r w:rsidRPr="006D5B8B">
              <w:rPr>
                <w:rFonts w:asciiTheme="majorHAnsi" w:hAnsiTheme="majorHAnsi" w:cstheme="majorHAnsi"/>
              </w:rPr>
              <w:t>1</w:t>
            </w:r>
            <w:r w:rsidR="000977F4">
              <w:rPr>
                <w:rFonts w:asciiTheme="majorHAnsi" w:hAnsiTheme="majorHAnsi" w:cstheme="majorHAnsi"/>
              </w:rPr>
              <w:t>1</w:t>
            </w:r>
          </w:p>
        </w:tc>
        <w:tc>
          <w:tcPr>
            <w:tcW w:w="2697" w:type="dxa"/>
          </w:tcPr>
          <w:p w14:paraId="197A08DD" w14:textId="39C17CDC" w:rsidR="00B64795" w:rsidRPr="006D5B8B" w:rsidRDefault="00B64795" w:rsidP="00B64795">
            <w:pPr>
              <w:rPr>
                <w:rFonts w:asciiTheme="majorHAnsi" w:hAnsiTheme="majorHAnsi" w:cstheme="majorHAnsi"/>
              </w:rPr>
            </w:pPr>
            <w:r w:rsidRPr="006D5B8B">
              <w:rPr>
                <w:rFonts w:asciiTheme="majorHAnsi" w:hAnsiTheme="majorHAnsi" w:cstheme="majorHAnsi"/>
              </w:rPr>
              <w:t>DFAT should reconsider the reporting requirements for the College and ensure that they are fit for purpose.</w:t>
            </w:r>
          </w:p>
        </w:tc>
        <w:tc>
          <w:tcPr>
            <w:tcW w:w="1500" w:type="dxa"/>
          </w:tcPr>
          <w:p w14:paraId="79B2BFFA" w14:textId="5C260B34" w:rsidR="00B64795" w:rsidRPr="006D5B8B" w:rsidRDefault="00B64795" w:rsidP="00B64795">
            <w:pPr>
              <w:rPr>
                <w:rFonts w:asciiTheme="majorHAnsi" w:hAnsiTheme="majorHAnsi" w:cstheme="majorBidi"/>
              </w:rPr>
            </w:pPr>
            <w:r w:rsidRPr="74BF413B">
              <w:rPr>
                <w:rFonts w:asciiTheme="majorHAnsi" w:hAnsiTheme="majorHAnsi" w:cstheme="majorBidi"/>
              </w:rPr>
              <w:t xml:space="preserve">Partially agree. </w:t>
            </w:r>
          </w:p>
        </w:tc>
        <w:tc>
          <w:tcPr>
            <w:tcW w:w="3200" w:type="dxa"/>
          </w:tcPr>
          <w:p w14:paraId="21BDE40D" w14:textId="242EAB72" w:rsidR="00B64795" w:rsidRPr="006D5B8B" w:rsidRDefault="00B64795" w:rsidP="00B64795">
            <w:pPr>
              <w:rPr>
                <w:rFonts w:asciiTheme="majorHAnsi" w:hAnsiTheme="majorHAnsi" w:cstheme="majorBidi"/>
              </w:rPr>
            </w:pPr>
            <w:r w:rsidRPr="74BF413B">
              <w:rPr>
                <w:rFonts w:asciiTheme="majorHAnsi" w:hAnsiTheme="majorHAnsi" w:cstheme="majorBidi"/>
              </w:rPr>
              <w:t>DFAT supports streamlining reporting to reduce administrative burden. However, DFAT reserves the right to request additional reporting to ensure adequate oversight of this high value Australian investment.</w:t>
            </w:r>
          </w:p>
        </w:tc>
        <w:tc>
          <w:tcPr>
            <w:tcW w:w="1709" w:type="dxa"/>
          </w:tcPr>
          <w:p w14:paraId="597BD4C7" w14:textId="6B76BB87" w:rsidR="00B64795" w:rsidRPr="006D5B8B" w:rsidRDefault="00B64795" w:rsidP="00B64795">
            <w:pPr>
              <w:rPr>
                <w:rFonts w:asciiTheme="majorHAnsi" w:hAnsiTheme="majorHAnsi" w:cstheme="majorBidi"/>
              </w:rPr>
            </w:pPr>
            <w:r w:rsidRPr="2830D578">
              <w:rPr>
                <w:rFonts w:asciiTheme="majorHAnsi" w:hAnsiTheme="majorHAnsi" w:cstheme="majorBidi"/>
              </w:rPr>
              <w:t xml:space="preserve">DFAT to revise </w:t>
            </w:r>
            <w:r w:rsidRPr="0A17F870">
              <w:rPr>
                <w:rFonts w:asciiTheme="majorHAnsi" w:hAnsiTheme="majorHAnsi" w:cstheme="majorBidi"/>
              </w:rPr>
              <w:t xml:space="preserve">mandated </w:t>
            </w:r>
            <w:r w:rsidRPr="2830D578">
              <w:rPr>
                <w:rFonts w:asciiTheme="majorHAnsi" w:hAnsiTheme="majorHAnsi" w:cstheme="majorBidi"/>
              </w:rPr>
              <w:t>reporting schedule to bi-annual, while ensuring continued regular engagement between DFAT and the College’s management.</w:t>
            </w:r>
          </w:p>
        </w:tc>
        <w:tc>
          <w:tcPr>
            <w:tcW w:w="1924" w:type="dxa"/>
          </w:tcPr>
          <w:p w14:paraId="4B93DA6D" w14:textId="3B89BF55" w:rsidR="00B64795" w:rsidRPr="2830D578" w:rsidRDefault="00B64795" w:rsidP="00B64795">
            <w:pPr>
              <w:rPr>
                <w:rFonts w:asciiTheme="majorHAnsi" w:hAnsiTheme="majorHAnsi" w:cstheme="majorBidi"/>
              </w:rPr>
            </w:pPr>
            <w:r w:rsidRPr="2830D578">
              <w:rPr>
                <w:rFonts w:asciiTheme="majorHAnsi" w:hAnsiTheme="majorHAnsi" w:cstheme="majorBidi"/>
              </w:rPr>
              <w:t>Q2 2026</w:t>
            </w:r>
          </w:p>
        </w:tc>
      </w:tr>
    </w:tbl>
    <w:p w14:paraId="2945151C" w14:textId="77777777" w:rsidR="001F22CF" w:rsidRPr="006D5B8B" w:rsidRDefault="001F22CF" w:rsidP="009F1472">
      <w:pPr>
        <w:rPr>
          <w:rFonts w:asciiTheme="majorHAnsi" w:hAnsiTheme="majorHAnsi" w:cstheme="majorHAnsi"/>
        </w:rPr>
      </w:pPr>
    </w:p>
    <w:sectPr w:rsidR="001F22CF" w:rsidRPr="006D5B8B" w:rsidSect="009F1472">
      <w:headerReference w:type="default" r:id="rId8"/>
      <w:footerReference w:type="default" r:id="rId9"/>
      <w:pgSz w:w="15840" w:h="12240" w:orient="landscape"/>
      <w:pgMar w:top="1440" w:right="1800" w:bottom="1440" w:left="1800"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591B" w14:textId="77777777" w:rsidR="00D60C9B" w:rsidRDefault="00D60C9B" w:rsidP="006D5B8B">
      <w:pPr>
        <w:spacing w:after="0" w:line="240" w:lineRule="auto"/>
      </w:pPr>
      <w:r>
        <w:separator/>
      </w:r>
    </w:p>
  </w:endnote>
  <w:endnote w:type="continuationSeparator" w:id="0">
    <w:p w14:paraId="4AF8FBF5" w14:textId="77777777" w:rsidR="00D60C9B" w:rsidRDefault="00D60C9B" w:rsidP="006D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080"/>
      <w:gridCol w:w="4080"/>
      <w:gridCol w:w="4080"/>
    </w:tblGrid>
    <w:tr w:rsidR="0ADC4155" w14:paraId="690262A4" w14:textId="77777777" w:rsidTr="0ADC4155">
      <w:trPr>
        <w:trHeight w:val="300"/>
      </w:trPr>
      <w:tc>
        <w:tcPr>
          <w:tcW w:w="4080" w:type="dxa"/>
        </w:tcPr>
        <w:p w14:paraId="7A8ADFF7" w14:textId="4B0ABAB1" w:rsidR="0ADC4155" w:rsidRDefault="0ADC4155" w:rsidP="0ADC4155">
          <w:pPr>
            <w:pStyle w:val="Header"/>
            <w:ind w:left="-115"/>
          </w:pPr>
        </w:p>
      </w:tc>
      <w:tc>
        <w:tcPr>
          <w:tcW w:w="4080" w:type="dxa"/>
        </w:tcPr>
        <w:p w14:paraId="35D29DD4" w14:textId="7BF476B2" w:rsidR="0ADC4155" w:rsidRDefault="0ADC4155" w:rsidP="0ADC4155">
          <w:pPr>
            <w:pStyle w:val="Header"/>
            <w:jc w:val="center"/>
          </w:pPr>
        </w:p>
      </w:tc>
      <w:tc>
        <w:tcPr>
          <w:tcW w:w="4080" w:type="dxa"/>
        </w:tcPr>
        <w:p w14:paraId="79D7A25C" w14:textId="1CB5FD93" w:rsidR="0ADC4155" w:rsidRDefault="0ADC4155" w:rsidP="0ADC4155">
          <w:pPr>
            <w:pStyle w:val="Header"/>
            <w:ind w:right="-115"/>
            <w:jc w:val="right"/>
          </w:pPr>
        </w:p>
      </w:tc>
    </w:tr>
  </w:tbl>
  <w:p w14:paraId="3DB71940" w14:textId="474952F8" w:rsidR="00E6760B" w:rsidRDefault="00E67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FF93" w14:textId="77777777" w:rsidR="00D60C9B" w:rsidRDefault="00D60C9B" w:rsidP="006D5B8B">
      <w:pPr>
        <w:spacing w:after="0" w:line="240" w:lineRule="auto"/>
      </w:pPr>
      <w:r>
        <w:separator/>
      </w:r>
    </w:p>
  </w:footnote>
  <w:footnote w:type="continuationSeparator" w:id="0">
    <w:p w14:paraId="2B4FD51C" w14:textId="77777777" w:rsidR="00D60C9B" w:rsidRDefault="00D60C9B" w:rsidP="006D5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6BF7" w14:textId="45F00B8C" w:rsidR="006D5B8B" w:rsidRPr="006D5B8B" w:rsidRDefault="00D720C0" w:rsidP="07A9427C">
    <w:pPr>
      <w:pStyle w:val="Header"/>
      <w:tabs>
        <w:tab w:val="center" w:pos="6120"/>
        <w:tab w:val="right" w:pos="12240"/>
      </w:tabs>
      <w:jc w:val="right"/>
      <w:rPr>
        <w:rFonts w:asciiTheme="majorHAnsi" w:hAnsiTheme="majorHAnsi" w:cstheme="majorBidi"/>
        <w:sz w:val="24"/>
        <w:szCs w:val="24"/>
        <w:lang w:val="en-AU"/>
      </w:rPr>
    </w:pPr>
    <w:r>
      <w:rPr>
        <w:rFonts w:asciiTheme="majorHAnsi" w:hAnsiTheme="majorHAnsi" w:cstheme="majorBidi"/>
        <w:sz w:val="24"/>
        <w:szCs w:val="24"/>
        <w:lang w:val="en-AU"/>
      </w:rPr>
      <w:t>January</w:t>
    </w:r>
    <w:r w:rsidR="006D5B8B" w:rsidRPr="07A9427C">
      <w:rPr>
        <w:rFonts w:asciiTheme="majorHAnsi" w:hAnsiTheme="majorHAnsi" w:cstheme="majorBidi"/>
        <w:sz w:val="24"/>
        <w:szCs w:val="24"/>
        <w:lang w:val="en-AU"/>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3971462">
    <w:abstractNumId w:val="8"/>
  </w:num>
  <w:num w:numId="2" w16cid:durableId="410782856">
    <w:abstractNumId w:val="6"/>
  </w:num>
  <w:num w:numId="3" w16cid:durableId="1285503044">
    <w:abstractNumId w:val="5"/>
  </w:num>
  <w:num w:numId="4" w16cid:durableId="580257027">
    <w:abstractNumId w:val="4"/>
  </w:num>
  <w:num w:numId="5" w16cid:durableId="878929200">
    <w:abstractNumId w:val="7"/>
  </w:num>
  <w:num w:numId="6" w16cid:durableId="600725289">
    <w:abstractNumId w:val="3"/>
  </w:num>
  <w:num w:numId="7" w16cid:durableId="1480346181">
    <w:abstractNumId w:val="2"/>
  </w:num>
  <w:num w:numId="8" w16cid:durableId="466944225">
    <w:abstractNumId w:val="1"/>
  </w:num>
  <w:num w:numId="9" w16cid:durableId="131533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E2"/>
    <w:rsid w:val="00013539"/>
    <w:rsid w:val="00013D96"/>
    <w:rsid w:val="000234AC"/>
    <w:rsid w:val="0003451C"/>
    <w:rsid w:val="00034616"/>
    <w:rsid w:val="000363E0"/>
    <w:rsid w:val="00054ED0"/>
    <w:rsid w:val="0006063C"/>
    <w:rsid w:val="000642CF"/>
    <w:rsid w:val="00080038"/>
    <w:rsid w:val="000977F4"/>
    <w:rsid w:val="000A255A"/>
    <w:rsid w:val="000B0968"/>
    <w:rsid w:val="000B4906"/>
    <w:rsid w:val="000B6ECF"/>
    <w:rsid w:val="000E045C"/>
    <w:rsid w:val="000F434F"/>
    <w:rsid w:val="0010640A"/>
    <w:rsid w:val="001134AD"/>
    <w:rsid w:val="00113701"/>
    <w:rsid w:val="0015074B"/>
    <w:rsid w:val="001634DF"/>
    <w:rsid w:val="00173169"/>
    <w:rsid w:val="001921ED"/>
    <w:rsid w:val="001B54AA"/>
    <w:rsid w:val="001B5AA5"/>
    <w:rsid w:val="001C4716"/>
    <w:rsid w:val="001C4931"/>
    <w:rsid w:val="001C6E76"/>
    <w:rsid w:val="001D6148"/>
    <w:rsid w:val="001E6BAA"/>
    <w:rsid w:val="001F1B08"/>
    <w:rsid w:val="001F22CF"/>
    <w:rsid w:val="00202283"/>
    <w:rsid w:val="0020637D"/>
    <w:rsid w:val="00222B87"/>
    <w:rsid w:val="00224421"/>
    <w:rsid w:val="00230CAE"/>
    <w:rsid w:val="002314D2"/>
    <w:rsid w:val="00245E70"/>
    <w:rsid w:val="0025455C"/>
    <w:rsid w:val="0029639D"/>
    <w:rsid w:val="002A3D87"/>
    <w:rsid w:val="002B044D"/>
    <w:rsid w:val="002B5BB2"/>
    <w:rsid w:val="002C226C"/>
    <w:rsid w:val="002C2CA3"/>
    <w:rsid w:val="002E255F"/>
    <w:rsid w:val="002F4B1E"/>
    <w:rsid w:val="002F51C3"/>
    <w:rsid w:val="00315A92"/>
    <w:rsid w:val="00322B9A"/>
    <w:rsid w:val="003265D8"/>
    <w:rsid w:val="00326F90"/>
    <w:rsid w:val="0033738F"/>
    <w:rsid w:val="0034540A"/>
    <w:rsid w:val="0035156A"/>
    <w:rsid w:val="00352B75"/>
    <w:rsid w:val="00375394"/>
    <w:rsid w:val="003877E6"/>
    <w:rsid w:val="003B3600"/>
    <w:rsid w:val="003B3E25"/>
    <w:rsid w:val="003B77DB"/>
    <w:rsid w:val="003C1199"/>
    <w:rsid w:val="003D02FF"/>
    <w:rsid w:val="003E38D1"/>
    <w:rsid w:val="003E4604"/>
    <w:rsid w:val="003F471B"/>
    <w:rsid w:val="004100DF"/>
    <w:rsid w:val="004117B8"/>
    <w:rsid w:val="004150F7"/>
    <w:rsid w:val="0041618F"/>
    <w:rsid w:val="004249D3"/>
    <w:rsid w:val="00436075"/>
    <w:rsid w:val="004417CC"/>
    <w:rsid w:val="0044319D"/>
    <w:rsid w:val="004437BE"/>
    <w:rsid w:val="00462F89"/>
    <w:rsid w:val="004A6A6F"/>
    <w:rsid w:val="004A7A05"/>
    <w:rsid w:val="004C7324"/>
    <w:rsid w:val="004D47D0"/>
    <w:rsid w:val="004F07C8"/>
    <w:rsid w:val="004F6086"/>
    <w:rsid w:val="005124B5"/>
    <w:rsid w:val="005160A7"/>
    <w:rsid w:val="00524492"/>
    <w:rsid w:val="00526419"/>
    <w:rsid w:val="00530F93"/>
    <w:rsid w:val="0053190B"/>
    <w:rsid w:val="00556C08"/>
    <w:rsid w:val="005631C4"/>
    <w:rsid w:val="00567703"/>
    <w:rsid w:val="00570A74"/>
    <w:rsid w:val="00581D88"/>
    <w:rsid w:val="00595D99"/>
    <w:rsid w:val="005B3153"/>
    <w:rsid w:val="005B6C68"/>
    <w:rsid w:val="005B7593"/>
    <w:rsid w:val="005D05EB"/>
    <w:rsid w:val="005E183B"/>
    <w:rsid w:val="005E5F79"/>
    <w:rsid w:val="005E669E"/>
    <w:rsid w:val="005E7A8A"/>
    <w:rsid w:val="005E7D32"/>
    <w:rsid w:val="005F5BB2"/>
    <w:rsid w:val="005F701F"/>
    <w:rsid w:val="0060396E"/>
    <w:rsid w:val="00617A96"/>
    <w:rsid w:val="006263F2"/>
    <w:rsid w:val="00637912"/>
    <w:rsid w:val="00654A57"/>
    <w:rsid w:val="006801FC"/>
    <w:rsid w:val="0069146E"/>
    <w:rsid w:val="006A2E7D"/>
    <w:rsid w:val="006A6B9C"/>
    <w:rsid w:val="006B2CBB"/>
    <w:rsid w:val="006B796F"/>
    <w:rsid w:val="006C3CB1"/>
    <w:rsid w:val="006D21E2"/>
    <w:rsid w:val="006D5B8B"/>
    <w:rsid w:val="006E31F2"/>
    <w:rsid w:val="006E77A1"/>
    <w:rsid w:val="006E7DC1"/>
    <w:rsid w:val="006F2F57"/>
    <w:rsid w:val="006F5273"/>
    <w:rsid w:val="0070014E"/>
    <w:rsid w:val="00723258"/>
    <w:rsid w:val="00726740"/>
    <w:rsid w:val="00726C30"/>
    <w:rsid w:val="0076518A"/>
    <w:rsid w:val="00770B38"/>
    <w:rsid w:val="00771780"/>
    <w:rsid w:val="007D189C"/>
    <w:rsid w:val="007D46D8"/>
    <w:rsid w:val="007D73E8"/>
    <w:rsid w:val="00817F31"/>
    <w:rsid w:val="008238F2"/>
    <w:rsid w:val="0082537D"/>
    <w:rsid w:val="00835A26"/>
    <w:rsid w:val="00845229"/>
    <w:rsid w:val="008462FE"/>
    <w:rsid w:val="0087572E"/>
    <w:rsid w:val="008801BC"/>
    <w:rsid w:val="00880908"/>
    <w:rsid w:val="008A6013"/>
    <w:rsid w:val="008A6606"/>
    <w:rsid w:val="008C41F8"/>
    <w:rsid w:val="008D66AA"/>
    <w:rsid w:val="0092184D"/>
    <w:rsid w:val="00923F0B"/>
    <w:rsid w:val="00935E99"/>
    <w:rsid w:val="00942E28"/>
    <w:rsid w:val="00952AE4"/>
    <w:rsid w:val="00954078"/>
    <w:rsid w:val="00954A7F"/>
    <w:rsid w:val="0097730A"/>
    <w:rsid w:val="0099162E"/>
    <w:rsid w:val="009C0621"/>
    <w:rsid w:val="009D6318"/>
    <w:rsid w:val="009D78E5"/>
    <w:rsid w:val="009F0959"/>
    <w:rsid w:val="009F0C3A"/>
    <w:rsid w:val="009F1472"/>
    <w:rsid w:val="00A11A54"/>
    <w:rsid w:val="00A13429"/>
    <w:rsid w:val="00A22ED8"/>
    <w:rsid w:val="00A34076"/>
    <w:rsid w:val="00A372D3"/>
    <w:rsid w:val="00A426AB"/>
    <w:rsid w:val="00A467DA"/>
    <w:rsid w:val="00A54321"/>
    <w:rsid w:val="00A752ED"/>
    <w:rsid w:val="00A8060F"/>
    <w:rsid w:val="00A814D5"/>
    <w:rsid w:val="00A9263D"/>
    <w:rsid w:val="00AA1D8D"/>
    <w:rsid w:val="00AA3342"/>
    <w:rsid w:val="00AA57EF"/>
    <w:rsid w:val="00AB638C"/>
    <w:rsid w:val="00AC55D4"/>
    <w:rsid w:val="00AC66D5"/>
    <w:rsid w:val="00AE5C52"/>
    <w:rsid w:val="00B356A3"/>
    <w:rsid w:val="00B45263"/>
    <w:rsid w:val="00B47730"/>
    <w:rsid w:val="00B6416A"/>
    <w:rsid w:val="00B64795"/>
    <w:rsid w:val="00B74E59"/>
    <w:rsid w:val="00B75D9F"/>
    <w:rsid w:val="00B75E6D"/>
    <w:rsid w:val="00B83E2A"/>
    <w:rsid w:val="00B91829"/>
    <w:rsid w:val="00BA12FE"/>
    <w:rsid w:val="00BB70AD"/>
    <w:rsid w:val="00BC70DC"/>
    <w:rsid w:val="00BE01F7"/>
    <w:rsid w:val="00BF2F98"/>
    <w:rsid w:val="00C12326"/>
    <w:rsid w:val="00C303B8"/>
    <w:rsid w:val="00C401CB"/>
    <w:rsid w:val="00C51191"/>
    <w:rsid w:val="00C5358B"/>
    <w:rsid w:val="00C53960"/>
    <w:rsid w:val="00C5527D"/>
    <w:rsid w:val="00C65B50"/>
    <w:rsid w:val="00C808CB"/>
    <w:rsid w:val="00C83B41"/>
    <w:rsid w:val="00C8677F"/>
    <w:rsid w:val="00C8DA41"/>
    <w:rsid w:val="00CB0664"/>
    <w:rsid w:val="00CB0FAB"/>
    <w:rsid w:val="00CC7A3F"/>
    <w:rsid w:val="00CE60B1"/>
    <w:rsid w:val="00CF01CC"/>
    <w:rsid w:val="00D074AC"/>
    <w:rsid w:val="00D07D7A"/>
    <w:rsid w:val="00D271AA"/>
    <w:rsid w:val="00D40E6C"/>
    <w:rsid w:val="00D60C9B"/>
    <w:rsid w:val="00D720C0"/>
    <w:rsid w:val="00DB068E"/>
    <w:rsid w:val="00DB7EAD"/>
    <w:rsid w:val="00DC0A40"/>
    <w:rsid w:val="00E62F42"/>
    <w:rsid w:val="00E6760B"/>
    <w:rsid w:val="00E85477"/>
    <w:rsid w:val="00E92FF2"/>
    <w:rsid w:val="00EA00AC"/>
    <w:rsid w:val="00EA4516"/>
    <w:rsid w:val="00EA4BD0"/>
    <w:rsid w:val="00EC22F5"/>
    <w:rsid w:val="00ED57B2"/>
    <w:rsid w:val="00F1705B"/>
    <w:rsid w:val="00F2186A"/>
    <w:rsid w:val="00F237DC"/>
    <w:rsid w:val="00F36D65"/>
    <w:rsid w:val="00F52630"/>
    <w:rsid w:val="00F575BC"/>
    <w:rsid w:val="00F737C6"/>
    <w:rsid w:val="00F9564F"/>
    <w:rsid w:val="00FA19B0"/>
    <w:rsid w:val="00FA5B22"/>
    <w:rsid w:val="00FB511F"/>
    <w:rsid w:val="00FC1CFD"/>
    <w:rsid w:val="00FC4537"/>
    <w:rsid w:val="00FC693F"/>
    <w:rsid w:val="00FD4D12"/>
    <w:rsid w:val="00FD74FB"/>
    <w:rsid w:val="012CB25B"/>
    <w:rsid w:val="01BC3807"/>
    <w:rsid w:val="02A598FD"/>
    <w:rsid w:val="03D9BF7F"/>
    <w:rsid w:val="03EC92FA"/>
    <w:rsid w:val="03FE05D7"/>
    <w:rsid w:val="04495683"/>
    <w:rsid w:val="04D28DE2"/>
    <w:rsid w:val="055E8F95"/>
    <w:rsid w:val="05AE08E7"/>
    <w:rsid w:val="069A8470"/>
    <w:rsid w:val="069C671C"/>
    <w:rsid w:val="06C9B251"/>
    <w:rsid w:val="074007F5"/>
    <w:rsid w:val="075F1139"/>
    <w:rsid w:val="07631625"/>
    <w:rsid w:val="07A9427C"/>
    <w:rsid w:val="07BD14FE"/>
    <w:rsid w:val="07C122DE"/>
    <w:rsid w:val="084C3224"/>
    <w:rsid w:val="093106E9"/>
    <w:rsid w:val="095C4E8F"/>
    <w:rsid w:val="09A187D6"/>
    <w:rsid w:val="0A17F870"/>
    <w:rsid w:val="0A7BEC61"/>
    <w:rsid w:val="0AB3B87E"/>
    <w:rsid w:val="0ADC4155"/>
    <w:rsid w:val="0B278C16"/>
    <w:rsid w:val="0B7DC712"/>
    <w:rsid w:val="0BA32BB8"/>
    <w:rsid w:val="0C089C60"/>
    <w:rsid w:val="0C242BEB"/>
    <w:rsid w:val="0CE86992"/>
    <w:rsid w:val="0D8781A8"/>
    <w:rsid w:val="0E456A49"/>
    <w:rsid w:val="0E731B62"/>
    <w:rsid w:val="0EABFB0A"/>
    <w:rsid w:val="0F0ED6E5"/>
    <w:rsid w:val="0F1FF558"/>
    <w:rsid w:val="0F3015C3"/>
    <w:rsid w:val="0FC65142"/>
    <w:rsid w:val="0FE64BF8"/>
    <w:rsid w:val="10356608"/>
    <w:rsid w:val="10778F64"/>
    <w:rsid w:val="11086388"/>
    <w:rsid w:val="11198ADA"/>
    <w:rsid w:val="1218283A"/>
    <w:rsid w:val="126746B7"/>
    <w:rsid w:val="126E6DF3"/>
    <w:rsid w:val="131BE601"/>
    <w:rsid w:val="1399E953"/>
    <w:rsid w:val="13FB2844"/>
    <w:rsid w:val="14257452"/>
    <w:rsid w:val="1487F541"/>
    <w:rsid w:val="14C289E4"/>
    <w:rsid w:val="1541D9CE"/>
    <w:rsid w:val="154331B4"/>
    <w:rsid w:val="17343477"/>
    <w:rsid w:val="173CD406"/>
    <w:rsid w:val="1791A9EE"/>
    <w:rsid w:val="17FD4DD4"/>
    <w:rsid w:val="18594422"/>
    <w:rsid w:val="188656D4"/>
    <w:rsid w:val="18D55E86"/>
    <w:rsid w:val="18D8DB56"/>
    <w:rsid w:val="198AEA64"/>
    <w:rsid w:val="19CB8A0B"/>
    <w:rsid w:val="1A2A5ED0"/>
    <w:rsid w:val="1AC8C21B"/>
    <w:rsid w:val="1B6A6DA3"/>
    <w:rsid w:val="1B6FBE0A"/>
    <w:rsid w:val="1BCDA31A"/>
    <w:rsid w:val="1BF0E9D2"/>
    <w:rsid w:val="1C3A1C6D"/>
    <w:rsid w:val="1CA18A72"/>
    <w:rsid w:val="1CCC73AD"/>
    <w:rsid w:val="1CDE0A70"/>
    <w:rsid w:val="1D62CFA1"/>
    <w:rsid w:val="1D8617D6"/>
    <w:rsid w:val="1DB4E282"/>
    <w:rsid w:val="1E0E20BD"/>
    <w:rsid w:val="1EF2D270"/>
    <w:rsid w:val="1F1EE1B8"/>
    <w:rsid w:val="1F541D41"/>
    <w:rsid w:val="1FC26C97"/>
    <w:rsid w:val="20368AC0"/>
    <w:rsid w:val="210D26AF"/>
    <w:rsid w:val="228E7CB1"/>
    <w:rsid w:val="2459F3A3"/>
    <w:rsid w:val="24A7ABF9"/>
    <w:rsid w:val="254C3404"/>
    <w:rsid w:val="2581A028"/>
    <w:rsid w:val="259EE7C9"/>
    <w:rsid w:val="25BA57D3"/>
    <w:rsid w:val="25D10D13"/>
    <w:rsid w:val="267B2B6B"/>
    <w:rsid w:val="26EB271F"/>
    <w:rsid w:val="2830D578"/>
    <w:rsid w:val="28436C2C"/>
    <w:rsid w:val="28F293D9"/>
    <w:rsid w:val="29562E63"/>
    <w:rsid w:val="29F1AC86"/>
    <w:rsid w:val="2A5738FB"/>
    <w:rsid w:val="2AD7DF9D"/>
    <w:rsid w:val="2B4398E0"/>
    <w:rsid w:val="2B91F9F7"/>
    <w:rsid w:val="2C32A0DA"/>
    <w:rsid w:val="2C601514"/>
    <w:rsid w:val="2C6790EB"/>
    <w:rsid w:val="2CE777C6"/>
    <w:rsid w:val="2DF0B9D1"/>
    <w:rsid w:val="2F84D29B"/>
    <w:rsid w:val="301DDB1B"/>
    <w:rsid w:val="30DC1E3D"/>
    <w:rsid w:val="30DEF0B0"/>
    <w:rsid w:val="30EC7628"/>
    <w:rsid w:val="323D9A76"/>
    <w:rsid w:val="32EC15B9"/>
    <w:rsid w:val="32F53094"/>
    <w:rsid w:val="32F60926"/>
    <w:rsid w:val="3453D8E3"/>
    <w:rsid w:val="345F4F5F"/>
    <w:rsid w:val="3504D6D7"/>
    <w:rsid w:val="35236D74"/>
    <w:rsid w:val="35C3C4A6"/>
    <w:rsid w:val="361AB2B7"/>
    <w:rsid w:val="363A91DE"/>
    <w:rsid w:val="363F7AE1"/>
    <w:rsid w:val="36BB25CA"/>
    <w:rsid w:val="36D07EAC"/>
    <w:rsid w:val="372511E9"/>
    <w:rsid w:val="37533501"/>
    <w:rsid w:val="37C04A28"/>
    <w:rsid w:val="37EF5B0C"/>
    <w:rsid w:val="380DB8A5"/>
    <w:rsid w:val="38A9696B"/>
    <w:rsid w:val="38ED141A"/>
    <w:rsid w:val="39B28DC9"/>
    <w:rsid w:val="39F11F06"/>
    <w:rsid w:val="39F71B0E"/>
    <w:rsid w:val="3B11923E"/>
    <w:rsid w:val="3B25E29F"/>
    <w:rsid w:val="3B5B9B3B"/>
    <w:rsid w:val="3BBDC31A"/>
    <w:rsid w:val="3BE0298E"/>
    <w:rsid w:val="3D6F7298"/>
    <w:rsid w:val="3E5A716A"/>
    <w:rsid w:val="3E75D4AB"/>
    <w:rsid w:val="3E80633C"/>
    <w:rsid w:val="3F9F88CB"/>
    <w:rsid w:val="4016A7C0"/>
    <w:rsid w:val="4119AA79"/>
    <w:rsid w:val="418E38EA"/>
    <w:rsid w:val="42B6CC60"/>
    <w:rsid w:val="43104046"/>
    <w:rsid w:val="440F1F3C"/>
    <w:rsid w:val="442188DC"/>
    <w:rsid w:val="44248EAB"/>
    <w:rsid w:val="44366C55"/>
    <w:rsid w:val="44750B86"/>
    <w:rsid w:val="449C4559"/>
    <w:rsid w:val="44AA0F12"/>
    <w:rsid w:val="44B30E33"/>
    <w:rsid w:val="44DDC8FB"/>
    <w:rsid w:val="453E324A"/>
    <w:rsid w:val="45E2A8CF"/>
    <w:rsid w:val="45F1C11F"/>
    <w:rsid w:val="4633134C"/>
    <w:rsid w:val="466A5DF5"/>
    <w:rsid w:val="46E89A91"/>
    <w:rsid w:val="471F3513"/>
    <w:rsid w:val="4769F98D"/>
    <w:rsid w:val="47897F8C"/>
    <w:rsid w:val="47B03FD6"/>
    <w:rsid w:val="4838364E"/>
    <w:rsid w:val="48A0BA3A"/>
    <w:rsid w:val="48CE2C35"/>
    <w:rsid w:val="48E71AF9"/>
    <w:rsid w:val="49D15ED9"/>
    <w:rsid w:val="4A69E733"/>
    <w:rsid w:val="4A851BA8"/>
    <w:rsid w:val="4B615A5C"/>
    <w:rsid w:val="4C5744BD"/>
    <w:rsid w:val="4CDD3718"/>
    <w:rsid w:val="4D3E13FB"/>
    <w:rsid w:val="4D72AFE5"/>
    <w:rsid w:val="4DC0C5AD"/>
    <w:rsid w:val="4DD26AE8"/>
    <w:rsid w:val="4DD773CC"/>
    <w:rsid w:val="4DFA9661"/>
    <w:rsid w:val="4F1FB4F3"/>
    <w:rsid w:val="4F596D0F"/>
    <w:rsid w:val="51936821"/>
    <w:rsid w:val="520CFA51"/>
    <w:rsid w:val="52584B1C"/>
    <w:rsid w:val="52884A72"/>
    <w:rsid w:val="529B5B72"/>
    <w:rsid w:val="52D3028A"/>
    <w:rsid w:val="52E4B384"/>
    <w:rsid w:val="53B477E2"/>
    <w:rsid w:val="53DE32B3"/>
    <w:rsid w:val="53F0E2F6"/>
    <w:rsid w:val="555CCB78"/>
    <w:rsid w:val="55669B8F"/>
    <w:rsid w:val="55E11120"/>
    <w:rsid w:val="5673F5F8"/>
    <w:rsid w:val="56B9D754"/>
    <w:rsid w:val="56E5CBAA"/>
    <w:rsid w:val="57319CF0"/>
    <w:rsid w:val="577E40E8"/>
    <w:rsid w:val="58F18EDE"/>
    <w:rsid w:val="590979B2"/>
    <w:rsid w:val="59B204BF"/>
    <w:rsid w:val="5A729F3B"/>
    <w:rsid w:val="5A75DB65"/>
    <w:rsid w:val="5C5C6901"/>
    <w:rsid w:val="5C7E23EE"/>
    <w:rsid w:val="5D167F0D"/>
    <w:rsid w:val="5DB47BE4"/>
    <w:rsid w:val="5E8DEFB0"/>
    <w:rsid w:val="5ECA8FC8"/>
    <w:rsid w:val="5F1EE041"/>
    <w:rsid w:val="604B0950"/>
    <w:rsid w:val="60D64C29"/>
    <w:rsid w:val="61612649"/>
    <w:rsid w:val="61D6A565"/>
    <w:rsid w:val="61D72E40"/>
    <w:rsid w:val="629D8B1B"/>
    <w:rsid w:val="62AC2F18"/>
    <w:rsid w:val="62B8E3A0"/>
    <w:rsid w:val="638C15B7"/>
    <w:rsid w:val="63CD5EF2"/>
    <w:rsid w:val="64B25EC7"/>
    <w:rsid w:val="65358951"/>
    <w:rsid w:val="6548AF57"/>
    <w:rsid w:val="663374F2"/>
    <w:rsid w:val="668CBFA0"/>
    <w:rsid w:val="6702FE67"/>
    <w:rsid w:val="6736736C"/>
    <w:rsid w:val="67973CB5"/>
    <w:rsid w:val="67D7E3AF"/>
    <w:rsid w:val="67F9B285"/>
    <w:rsid w:val="692C9FBF"/>
    <w:rsid w:val="698E0FD4"/>
    <w:rsid w:val="69F262D2"/>
    <w:rsid w:val="6A104DB6"/>
    <w:rsid w:val="6A80A034"/>
    <w:rsid w:val="6AD30144"/>
    <w:rsid w:val="6B2060AA"/>
    <w:rsid w:val="6B7EB3B0"/>
    <w:rsid w:val="6BBF62E1"/>
    <w:rsid w:val="6C8EF4A0"/>
    <w:rsid w:val="6CBAFC11"/>
    <w:rsid w:val="6CECEEF7"/>
    <w:rsid w:val="6D452F9E"/>
    <w:rsid w:val="6D7791F7"/>
    <w:rsid w:val="6D80EAB5"/>
    <w:rsid w:val="6DCF9D7C"/>
    <w:rsid w:val="6DF499E2"/>
    <w:rsid w:val="6E98ADB6"/>
    <w:rsid w:val="6ED0E1F3"/>
    <w:rsid w:val="6EEC8E93"/>
    <w:rsid w:val="6F497E49"/>
    <w:rsid w:val="6F869068"/>
    <w:rsid w:val="707A1FFF"/>
    <w:rsid w:val="71613077"/>
    <w:rsid w:val="71EAA62D"/>
    <w:rsid w:val="73A50BAD"/>
    <w:rsid w:val="73E51DB7"/>
    <w:rsid w:val="74BF413B"/>
    <w:rsid w:val="74E0A744"/>
    <w:rsid w:val="755F9EF6"/>
    <w:rsid w:val="758D5576"/>
    <w:rsid w:val="75AB9CDD"/>
    <w:rsid w:val="75B0F439"/>
    <w:rsid w:val="75BF634B"/>
    <w:rsid w:val="75C99796"/>
    <w:rsid w:val="76031492"/>
    <w:rsid w:val="76B864F5"/>
    <w:rsid w:val="76BCCF71"/>
    <w:rsid w:val="772FDD9E"/>
    <w:rsid w:val="77F25F07"/>
    <w:rsid w:val="782EA913"/>
    <w:rsid w:val="785BB010"/>
    <w:rsid w:val="78C419DF"/>
    <w:rsid w:val="78EF5A96"/>
    <w:rsid w:val="7A71A4B6"/>
    <w:rsid w:val="7CE6D9B8"/>
    <w:rsid w:val="7D674D2E"/>
    <w:rsid w:val="7DA05D18"/>
    <w:rsid w:val="7EAB40B2"/>
    <w:rsid w:val="7FFEDA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89EA1"/>
  <w14:defaultImageDpi w14:val="300"/>
  <w15:docId w15:val="{8984DB9D-8985-4404-AC0C-BEF24D39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B75E6D"/>
    <w:pPr>
      <w:spacing w:after="0" w:line="240" w:lineRule="auto"/>
    </w:pPr>
  </w:style>
  <w:style w:type="character" w:styleId="CommentReference">
    <w:name w:val="annotation reference"/>
    <w:basedOn w:val="DefaultParagraphFont"/>
    <w:uiPriority w:val="99"/>
    <w:semiHidden/>
    <w:unhideWhenUsed/>
    <w:rsid w:val="00A22ED8"/>
    <w:rPr>
      <w:sz w:val="16"/>
      <w:szCs w:val="16"/>
    </w:rPr>
  </w:style>
  <w:style w:type="paragraph" w:styleId="CommentText">
    <w:name w:val="annotation text"/>
    <w:basedOn w:val="Normal"/>
    <w:link w:val="CommentTextChar"/>
    <w:uiPriority w:val="99"/>
    <w:unhideWhenUsed/>
    <w:rsid w:val="00A22ED8"/>
    <w:pPr>
      <w:spacing w:line="240" w:lineRule="auto"/>
    </w:pPr>
    <w:rPr>
      <w:sz w:val="20"/>
      <w:szCs w:val="20"/>
    </w:rPr>
  </w:style>
  <w:style w:type="character" w:customStyle="1" w:styleId="CommentTextChar">
    <w:name w:val="Comment Text Char"/>
    <w:basedOn w:val="DefaultParagraphFont"/>
    <w:link w:val="CommentText"/>
    <w:uiPriority w:val="99"/>
    <w:rsid w:val="00A22ED8"/>
    <w:rPr>
      <w:sz w:val="20"/>
      <w:szCs w:val="20"/>
    </w:rPr>
  </w:style>
  <w:style w:type="paragraph" w:styleId="CommentSubject">
    <w:name w:val="annotation subject"/>
    <w:basedOn w:val="CommentText"/>
    <w:next w:val="CommentText"/>
    <w:link w:val="CommentSubjectChar"/>
    <w:uiPriority w:val="99"/>
    <w:semiHidden/>
    <w:unhideWhenUsed/>
    <w:rsid w:val="00A22ED8"/>
    <w:rPr>
      <w:b/>
      <w:bCs/>
    </w:rPr>
  </w:style>
  <w:style w:type="character" w:customStyle="1" w:styleId="CommentSubjectChar">
    <w:name w:val="Comment Subject Char"/>
    <w:basedOn w:val="CommentTextChar"/>
    <w:link w:val="CommentSubject"/>
    <w:uiPriority w:val="99"/>
    <w:semiHidden/>
    <w:rsid w:val="00A22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9762">
      <w:bodyDiv w:val="1"/>
      <w:marLeft w:val="0"/>
      <w:marRight w:val="0"/>
      <w:marTop w:val="0"/>
      <w:marBottom w:val="0"/>
      <w:divBdr>
        <w:top w:val="none" w:sz="0" w:space="0" w:color="auto"/>
        <w:left w:val="none" w:sz="0" w:space="0" w:color="auto"/>
        <w:bottom w:val="none" w:sz="0" w:space="0" w:color="auto"/>
        <w:right w:val="none" w:sz="0" w:space="0" w:color="auto"/>
      </w:divBdr>
    </w:div>
    <w:div w:id="624624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6047</TotalTime>
  <Pages>1</Pages>
  <Words>1092</Words>
  <Characters>6226</Characters>
  <Application>Microsoft Office Word</Application>
  <DocSecurity>4</DocSecurity>
  <Lines>51</Lines>
  <Paragraphs>14</Paragraphs>
  <ScaleCrop>false</ScaleCrop>
  <Manager/>
  <Company/>
  <LinksUpToDate>false</LinksUpToDate>
  <CharactersWithSpaces>7304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dc:description>generated by python-docx</dc:description>
  <cp:lastModifiedBy>Joy Clements</cp:lastModifiedBy>
  <cp:revision>145</cp:revision>
  <dcterms:created xsi:type="dcterms:W3CDTF">2025-10-29T04:31:00Z</dcterms:created>
  <dcterms:modified xsi:type="dcterms:W3CDTF">2026-02-02T23:58:00Z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v=2022.1;a=SHA256;h=82790162C4459B166D26B58F0D653D10F91475E7911B10416AE36FCA51882426</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2025-10-26T22:31:20Z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588C22C17E49FBC17169C2D11408F02A9CF71F63</vt:lpwstr>
  </property>
  <property fmtid="{D5CDD505-2E9C-101B-9397-08002B2CF9AE}" pid="17" name="PM_Originating_FileId">
    <vt:lpwstr>BBF6B74F420E4B3CBE959BC0CAD47A28</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54D1726D064B555643539880D83DB24D86DDF64C4BE06C418D8273B113A4306C</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F5CD1F466F38F1F36C81972F0A90FBC7</vt:lpwstr>
  </property>
  <property fmtid="{D5CDD505-2E9C-101B-9397-08002B2CF9AE}" pid="25" name="PM_Hash_Salt">
    <vt:lpwstr>39C9121DDA376E10824D5617E22D1924</vt:lpwstr>
  </property>
  <property fmtid="{D5CDD505-2E9C-101B-9397-08002B2CF9AE}" pid="26" name="PM_Hash_SHA1">
    <vt:lpwstr>5997A61528090D41D721C3D59B7DA48A890C9677</vt:lpwstr>
  </property>
  <property fmtid="{D5CDD505-2E9C-101B-9397-08002B2CF9AE}" pid="27" name="PM_SecurityClassification_Prev">
    <vt:lpwstr>OFFICIAL</vt:lpwstr>
  </property>
  <property fmtid="{D5CDD505-2E9C-101B-9397-08002B2CF9AE}" pid="28" name="PM_Qualifier_Prev">
    <vt:lpwstr/>
  </property>
</Properties>
</file>