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DFATTable1"/>
        <w:tblW w:w="5000" w:type="pct"/>
        <w:tblBorders>
          <w:top w:val="none" w:sz="0" w:space="0" w:color="auto"/>
          <w:bottom w:val="none" w:sz="0" w:space="0" w:color="auto"/>
          <w:insideH w:val="none" w:sz="0" w:space="0" w:color="auto"/>
        </w:tblBorders>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2802"/>
        <w:gridCol w:w="1135"/>
        <w:gridCol w:w="2118"/>
        <w:gridCol w:w="1579"/>
        <w:gridCol w:w="1608"/>
      </w:tblGrid>
      <w:tr w:rsidR="008C0A8D" w:rsidRPr="00860F12" w:rsidTr="00174ECA">
        <w:trPr>
          <w:cnfStyle w:val="100000000000" w:firstRow="1" w:lastRow="0" w:firstColumn="0" w:lastColumn="0" w:oddVBand="0" w:evenVBand="0" w:oddHBand="0" w:evenHBand="0" w:firstRowFirstColumn="0" w:firstRowLastColumn="0" w:lastRowFirstColumn="0" w:lastRowLastColumn="0"/>
          <w:trHeight w:val="784"/>
        </w:trPr>
        <w:tc>
          <w:tcPr>
            <w:cnfStyle w:val="001000000000" w:firstRow="0" w:lastRow="0" w:firstColumn="1" w:lastColumn="0" w:oddVBand="0" w:evenVBand="0" w:oddHBand="0" w:evenHBand="0" w:firstRowFirstColumn="0" w:firstRowLastColumn="0" w:lastRowFirstColumn="0" w:lastRowLastColumn="0"/>
            <w:tcW w:w="1516" w:type="pct"/>
            <w:tcBorders>
              <w:top w:val="single" w:sz="2" w:space="0" w:color="833C0B" w:themeColor="accent2" w:themeShade="80"/>
              <w:left w:val="single" w:sz="2" w:space="0" w:color="833C0B" w:themeColor="accent2" w:themeShade="80"/>
              <w:bottom w:val="single" w:sz="2" w:space="0" w:color="833C0B" w:themeColor="accent2" w:themeShade="80"/>
              <w:right w:val="single" w:sz="2" w:space="0" w:color="833C0B" w:themeColor="accent2" w:themeShade="80"/>
            </w:tcBorders>
            <w:shd w:val="clear" w:color="auto" w:fill="BF7761"/>
            <w:vAlign w:val="center"/>
          </w:tcPr>
          <w:p w:rsidR="008C0A8D" w:rsidRPr="00860F12" w:rsidRDefault="00860F12" w:rsidP="00860F12">
            <w:pPr>
              <w:keepNext/>
              <w:keepLines/>
              <w:suppressAutoHyphens/>
              <w:spacing w:after="0" w:line="240" w:lineRule="auto"/>
              <w:contextualSpacing/>
              <w:jc w:val="center"/>
              <w:outlineLvl w:val="2"/>
              <w:rPr>
                <w:rFonts w:eastAsia="MS Gothic" w:cs="Times New Roman"/>
                <w:b/>
                <w:bCs/>
                <w:color w:val="FFFFFF" w:themeColor="background1"/>
              </w:rPr>
            </w:pPr>
            <w:bookmarkStart w:id="0" w:name="_GoBack"/>
            <w:bookmarkEnd w:id="0"/>
            <w:r w:rsidRPr="00860F12">
              <w:rPr>
                <w:rFonts w:eastAsia="MS Gothic" w:cs="Times New Roman"/>
                <w:b/>
                <w:bCs/>
                <w:color w:val="FFFFFF" w:themeColor="background1"/>
              </w:rPr>
              <w:t>Recommendation</w:t>
            </w:r>
          </w:p>
        </w:tc>
        <w:tc>
          <w:tcPr>
            <w:tcW w:w="614" w:type="pct"/>
            <w:tcBorders>
              <w:top w:val="single" w:sz="2" w:space="0" w:color="833C0B" w:themeColor="accent2" w:themeShade="80"/>
              <w:left w:val="single" w:sz="2" w:space="0" w:color="833C0B" w:themeColor="accent2" w:themeShade="80"/>
              <w:bottom w:val="single" w:sz="2" w:space="0" w:color="833C0B" w:themeColor="accent2" w:themeShade="80"/>
              <w:right w:val="single" w:sz="2" w:space="0" w:color="833C0B" w:themeColor="accent2" w:themeShade="80"/>
            </w:tcBorders>
            <w:shd w:val="clear" w:color="auto" w:fill="BF7761"/>
            <w:vAlign w:val="center"/>
          </w:tcPr>
          <w:p w:rsidR="008C0A8D" w:rsidRPr="00860F12" w:rsidRDefault="00860F12" w:rsidP="00860F12">
            <w:pPr>
              <w:keepNext/>
              <w:keepLines/>
              <w:suppressAutoHyphens/>
              <w:spacing w:after="0" w:line="240" w:lineRule="auto"/>
              <w:contextualSpacing/>
              <w:jc w:val="center"/>
              <w:outlineLvl w:val="2"/>
              <w:cnfStyle w:val="100000000000" w:firstRow="1" w:lastRow="0" w:firstColumn="0" w:lastColumn="0" w:oddVBand="0" w:evenVBand="0" w:oddHBand="0" w:evenHBand="0" w:firstRowFirstColumn="0" w:firstRowLastColumn="0" w:lastRowFirstColumn="0" w:lastRowLastColumn="0"/>
              <w:rPr>
                <w:rFonts w:eastAsia="MS Gothic" w:cs="Times New Roman"/>
                <w:b/>
                <w:bCs/>
                <w:color w:val="FFFFFF" w:themeColor="background1"/>
              </w:rPr>
            </w:pPr>
            <w:r w:rsidRPr="00860F12">
              <w:rPr>
                <w:rFonts w:eastAsia="MS Gothic" w:cs="Times New Roman"/>
                <w:b/>
                <w:bCs/>
                <w:color w:val="FFFFFF" w:themeColor="background1"/>
              </w:rPr>
              <w:t>Response</w:t>
            </w:r>
          </w:p>
        </w:tc>
        <w:tc>
          <w:tcPr>
            <w:tcW w:w="1146" w:type="pct"/>
            <w:tcBorders>
              <w:top w:val="single" w:sz="2" w:space="0" w:color="833C0B" w:themeColor="accent2" w:themeShade="80"/>
              <w:left w:val="single" w:sz="2" w:space="0" w:color="833C0B" w:themeColor="accent2" w:themeShade="80"/>
              <w:bottom w:val="single" w:sz="2" w:space="0" w:color="833C0B" w:themeColor="accent2" w:themeShade="80"/>
              <w:right w:val="single" w:sz="2" w:space="0" w:color="833C0B" w:themeColor="accent2" w:themeShade="80"/>
            </w:tcBorders>
            <w:shd w:val="clear" w:color="auto" w:fill="BF7761"/>
            <w:vAlign w:val="center"/>
          </w:tcPr>
          <w:p w:rsidR="008C0A8D" w:rsidRPr="00860F12" w:rsidRDefault="00860F12" w:rsidP="00860F1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color w:val="FFFFFF" w:themeColor="background1"/>
              </w:rPr>
            </w:pPr>
            <w:r w:rsidRPr="00860F12">
              <w:rPr>
                <w:rFonts w:cs="Times New Roman"/>
                <w:b/>
                <w:color w:val="FFFFFF" w:themeColor="background1"/>
              </w:rPr>
              <w:t>Explanation</w:t>
            </w:r>
          </w:p>
        </w:tc>
        <w:tc>
          <w:tcPr>
            <w:tcW w:w="854" w:type="pct"/>
            <w:tcBorders>
              <w:top w:val="single" w:sz="2" w:space="0" w:color="833C0B" w:themeColor="accent2" w:themeShade="80"/>
              <w:left w:val="single" w:sz="2" w:space="0" w:color="833C0B" w:themeColor="accent2" w:themeShade="80"/>
              <w:bottom w:val="single" w:sz="2" w:space="0" w:color="833C0B" w:themeColor="accent2" w:themeShade="80"/>
              <w:right w:val="single" w:sz="2" w:space="0" w:color="833C0B" w:themeColor="accent2" w:themeShade="80"/>
            </w:tcBorders>
            <w:shd w:val="clear" w:color="auto" w:fill="BF7761"/>
            <w:vAlign w:val="center"/>
          </w:tcPr>
          <w:p w:rsidR="008C0A8D" w:rsidRPr="00860F12" w:rsidRDefault="00860F12" w:rsidP="00860F1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color w:val="FFFFFF" w:themeColor="background1"/>
              </w:rPr>
            </w:pPr>
            <w:r w:rsidRPr="00860F12">
              <w:rPr>
                <w:rFonts w:cs="Times New Roman"/>
                <w:b/>
                <w:color w:val="FFFFFF" w:themeColor="background1"/>
              </w:rPr>
              <w:t>Action Plan</w:t>
            </w:r>
          </w:p>
        </w:tc>
        <w:tc>
          <w:tcPr>
            <w:tcW w:w="870" w:type="pct"/>
            <w:tcBorders>
              <w:top w:val="single" w:sz="2" w:space="0" w:color="833C0B" w:themeColor="accent2" w:themeShade="80"/>
              <w:left w:val="single" w:sz="2" w:space="0" w:color="833C0B" w:themeColor="accent2" w:themeShade="80"/>
              <w:bottom w:val="single" w:sz="2" w:space="0" w:color="833C0B" w:themeColor="accent2" w:themeShade="80"/>
              <w:right w:val="single" w:sz="2" w:space="0" w:color="833C0B" w:themeColor="accent2" w:themeShade="80"/>
            </w:tcBorders>
            <w:shd w:val="clear" w:color="auto" w:fill="BF7761"/>
            <w:vAlign w:val="center"/>
          </w:tcPr>
          <w:p w:rsidR="008C0A8D" w:rsidRPr="00860F12" w:rsidRDefault="00860F12" w:rsidP="00860F1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imes New Roman"/>
                <w:b/>
                <w:color w:val="FFFFFF" w:themeColor="background1"/>
              </w:rPr>
            </w:pPr>
            <w:r w:rsidRPr="00860F12">
              <w:rPr>
                <w:rFonts w:cs="Times New Roman"/>
                <w:b/>
                <w:color w:val="FFFFFF" w:themeColor="background1"/>
              </w:rPr>
              <w:t>Timeframe</w:t>
            </w:r>
          </w:p>
        </w:tc>
      </w:tr>
      <w:tr w:rsidR="00860F12" w:rsidRPr="00860F12" w:rsidTr="00174ECA">
        <w:trPr>
          <w:cnfStyle w:val="000000100000" w:firstRow="0" w:lastRow="0" w:firstColumn="0" w:lastColumn="0" w:oddVBand="0" w:evenVBand="0" w:oddHBand="1" w:evenHBand="0" w:firstRowFirstColumn="0" w:firstRowLastColumn="0" w:lastRowFirstColumn="0" w:lastRowLastColumn="0"/>
          <w:trHeight w:val="2177"/>
        </w:trPr>
        <w:tc>
          <w:tcPr>
            <w:cnfStyle w:val="001000000000" w:firstRow="0" w:lastRow="0" w:firstColumn="1" w:lastColumn="0" w:oddVBand="0" w:evenVBand="0" w:oddHBand="0" w:evenHBand="0" w:firstRowFirstColumn="0" w:firstRowLastColumn="0" w:lastRowFirstColumn="0" w:lastRowLastColumn="0"/>
            <w:tcW w:w="1516" w:type="pct"/>
            <w:tcBorders>
              <w:top w:val="single" w:sz="2" w:space="0" w:color="833C0B" w:themeColor="accent2" w:themeShade="80"/>
              <w:left w:val="single" w:sz="2" w:space="0" w:color="833C0B" w:themeColor="accent2" w:themeShade="80"/>
              <w:bottom w:val="single" w:sz="2" w:space="0" w:color="833C0B" w:themeColor="accent2" w:themeShade="80"/>
              <w:right w:val="single" w:sz="2" w:space="0" w:color="833C0B" w:themeColor="accent2" w:themeShade="80"/>
            </w:tcBorders>
          </w:tcPr>
          <w:p w:rsidR="0073756E" w:rsidRPr="00860F12" w:rsidRDefault="0073756E" w:rsidP="008C0A8D">
            <w:pPr>
              <w:keepNext/>
              <w:keepLines/>
              <w:suppressAutoHyphens/>
              <w:spacing w:before="0" w:after="0" w:line="240" w:lineRule="auto"/>
              <w:contextualSpacing/>
              <w:outlineLvl w:val="2"/>
              <w:rPr>
                <w:rFonts w:asciiTheme="minorHAnsi" w:eastAsia="MS Gothic" w:hAnsiTheme="minorHAnsi" w:cs="Times New Roman"/>
                <w:b/>
                <w:bCs/>
              </w:rPr>
            </w:pPr>
            <w:r w:rsidRPr="00860F12">
              <w:rPr>
                <w:rFonts w:asciiTheme="minorHAnsi" w:eastAsia="MS Gothic" w:hAnsiTheme="minorHAnsi" w:cs="Times New Roman"/>
                <w:b/>
                <w:bCs/>
              </w:rPr>
              <w:t>Recommendation 1</w:t>
            </w:r>
          </w:p>
          <w:p w:rsidR="0048574F" w:rsidRDefault="0073756E" w:rsidP="008C0A8D">
            <w:pPr>
              <w:spacing w:before="0" w:after="0" w:line="240" w:lineRule="auto"/>
              <w:rPr>
                <w:rFonts w:asciiTheme="minorHAnsi" w:hAnsiTheme="minorHAnsi" w:cs="Times New Roman"/>
              </w:rPr>
            </w:pPr>
            <w:r w:rsidRPr="00860F12">
              <w:rPr>
                <w:rFonts w:asciiTheme="minorHAnsi" w:hAnsiTheme="minorHAnsi" w:cs="Times New Roman"/>
              </w:rPr>
              <w:t xml:space="preserve">Although the Local Authorities (LAs) </w:t>
            </w:r>
            <w:r w:rsidR="00860F12">
              <w:rPr>
                <w:rFonts w:asciiTheme="minorHAnsi" w:hAnsiTheme="minorHAnsi" w:cs="Times New Roman"/>
              </w:rPr>
              <w:t>reported</w:t>
            </w:r>
            <w:r w:rsidRPr="00860F12">
              <w:rPr>
                <w:rFonts w:asciiTheme="minorHAnsi" w:hAnsiTheme="minorHAnsi" w:cs="Times New Roman"/>
              </w:rPr>
              <w:t xml:space="preserve"> that they are supplying water of acceptable quality to residents, the households’ perceptions highlighted that they consider that the water they access is of poor quality, and it </w:t>
            </w:r>
            <w:proofErr w:type="gramStart"/>
            <w:r w:rsidRPr="00860F12">
              <w:rPr>
                <w:rFonts w:asciiTheme="minorHAnsi" w:hAnsiTheme="minorHAnsi" w:cs="Times New Roman"/>
              </w:rPr>
              <w:t>is recommended</w:t>
            </w:r>
            <w:proofErr w:type="gramEnd"/>
            <w:r w:rsidRPr="00860F12">
              <w:rPr>
                <w:rFonts w:asciiTheme="minorHAnsi" w:hAnsiTheme="minorHAnsi" w:cs="Times New Roman"/>
              </w:rPr>
              <w:t xml:space="preserve"> that the Municipalities consider all quality parameters, including turbidity, when monitoring water quality.</w:t>
            </w:r>
          </w:p>
          <w:p w:rsidR="00860F12" w:rsidRDefault="00860F12" w:rsidP="008C0A8D">
            <w:pPr>
              <w:spacing w:before="0" w:after="0" w:line="240" w:lineRule="auto"/>
              <w:rPr>
                <w:rFonts w:asciiTheme="minorHAnsi" w:hAnsiTheme="minorHAnsi" w:cs="Times New Roman"/>
              </w:rPr>
            </w:pPr>
          </w:p>
          <w:p w:rsidR="00860F12" w:rsidRPr="00860F12" w:rsidRDefault="00860F12" w:rsidP="008C0A8D">
            <w:pPr>
              <w:spacing w:before="0" w:after="0" w:line="240" w:lineRule="auto"/>
              <w:rPr>
                <w:rFonts w:asciiTheme="minorHAnsi" w:hAnsiTheme="minorHAnsi" w:cs="Times New Roman"/>
              </w:rPr>
            </w:pPr>
          </w:p>
        </w:tc>
        <w:tc>
          <w:tcPr>
            <w:tcW w:w="614" w:type="pct"/>
            <w:tcBorders>
              <w:top w:val="single" w:sz="2" w:space="0" w:color="833C0B" w:themeColor="accent2" w:themeShade="80"/>
              <w:left w:val="single" w:sz="2" w:space="0" w:color="833C0B" w:themeColor="accent2" w:themeShade="80"/>
              <w:bottom w:val="single" w:sz="2" w:space="0" w:color="833C0B" w:themeColor="accent2" w:themeShade="80"/>
              <w:right w:val="single" w:sz="2" w:space="0" w:color="833C0B" w:themeColor="accent2" w:themeShade="80"/>
            </w:tcBorders>
            <w:shd w:val="clear" w:color="auto" w:fill="92D050"/>
            <w:hideMark/>
          </w:tcPr>
          <w:p w:rsidR="0073756E" w:rsidRPr="00860F12" w:rsidRDefault="0073756E" w:rsidP="008C0A8D">
            <w:pPr>
              <w:keepNext/>
              <w:keepLines/>
              <w:suppressAutoHyphens/>
              <w:spacing w:before="0" w:after="0" w:line="240" w:lineRule="auto"/>
              <w:contextualSpacing/>
              <w:outlineLvl w:val="2"/>
              <w:cnfStyle w:val="000000100000" w:firstRow="0" w:lastRow="0" w:firstColumn="0" w:lastColumn="0" w:oddVBand="0" w:evenVBand="0" w:oddHBand="1" w:evenHBand="0" w:firstRowFirstColumn="0" w:firstRowLastColumn="0" w:lastRowFirstColumn="0" w:lastRowLastColumn="0"/>
              <w:rPr>
                <w:rFonts w:asciiTheme="minorHAnsi" w:eastAsia="MS Gothic" w:hAnsiTheme="minorHAnsi" w:cs="Times New Roman"/>
                <w:bCs/>
              </w:rPr>
            </w:pPr>
            <w:r w:rsidRPr="00860F12">
              <w:rPr>
                <w:rFonts w:asciiTheme="minorHAnsi" w:eastAsia="MS Gothic" w:hAnsiTheme="minorHAnsi" w:cs="Times New Roman"/>
                <w:bCs/>
              </w:rPr>
              <w:t xml:space="preserve">Agree </w:t>
            </w:r>
          </w:p>
        </w:tc>
        <w:tc>
          <w:tcPr>
            <w:tcW w:w="1146" w:type="pct"/>
            <w:tcBorders>
              <w:top w:val="single" w:sz="2" w:space="0" w:color="833C0B" w:themeColor="accent2" w:themeShade="80"/>
              <w:left w:val="single" w:sz="2" w:space="0" w:color="833C0B" w:themeColor="accent2" w:themeShade="80"/>
              <w:bottom w:val="single" w:sz="2" w:space="0" w:color="833C0B" w:themeColor="accent2" w:themeShade="80"/>
              <w:right w:val="single" w:sz="2" w:space="0" w:color="833C0B" w:themeColor="accent2" w:themeShade="80"/>
            </w:tcBorders>
          </w:tcPr>
          <w:p w:rsidR="0073756E" w:rsidRPr="00860F12" w:rsidRDefault="0073756E" w:rsidP="008C0A8D">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rPr>
            </w:pPr>
            <w:r w:rsidRPr="00860F12">
              <w:rPr>
                <w:rFonts w:asciiTheme="minorHAnsi" w:hAnsiTheme="minorHAnsi" w:cs="Times New Roman"/>
              </w:rPr>
              <w:t>Technically feasible and socially necessary response to residents’ concerns</w:t>
            </w:r>
          </w:p>
        </w:tc>
        <w:tc>
          <w:tcPr>
            <w:tcW w:w="854" w:type="pct"/>
            <w:tcBorders>
              <w:top w:val="single" w:sz="2" w:space="0" w:color="833C0B" w:themeColor="accent2" w:themeShade="80"/>
              <w:left w:val="single" w:sz="2" w:space="0" w:color="833C0B" w:themeColor="accent2" w:themeShade="80"/>
              <w:bottom w:val="single" w:sz="2" w:space="0" w:color="833C0B" w:themeColor="accent2" w:themeShade="80"/>
              <w:right w:val="single" w:sz="2" w:space="0" w:color="833C0B" w:themeColor="accent2" w:themeShade="80"/>
            </w:tcBorders>
          </w:tcPr>
          <w:p w:rsidR="0073756E" w:rsidRPr="00860F12" w:rsidRDefault="0073756E" w:rsidP="008C0A8D">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rPr>
            </w:pPr>
            <w:r w:rsidRPr="00860F12">
              <w:rPr>
                <w:rFonts w:asciiTheme="minorHAnsi" w:hAnsiTheme="minorHAnsi" w:cs="Times New Roman"/>
              </w:rPr>
              <w:t xml:space="preserve">Program Oversight Committee (POC) requests updates from </w:t>
            </w:r>
            <w:proofErr w:type="spellStart"/>
            <w:r w:rsidRPr="00860F12">
              <w:rPr>
                <w:rFonts w:asciiTheme="minorHAnsi" w:hAnsiTheme="minorHAnsi" w:cs="Times New Roman"/>
              </w:rPr>
              <w:t>AfDB</w:t>
            </w:r>
            <w:proofErr w:type="spellEnd"/>
            <w:r w:rsidRPr="00860F12">
              <w:rPr>
                <w:rFonts w:asciiTheme="minorHAnsi" w:hAnsiTheme="minorHAnsi" w:cs="Times New Roman"/>
              </w:rPr>
              <w:t xml:space="preserve"> </w:t>
            </w:r>
            <w:proofErr w:type="spellStart"/>
            <w:r w:rsidRPr="00860F12">
              <w:rPr>
                <w:rFonts w:asciiTheme="minorHAnsi" w:hAnsiTheme="minorHAnsi" w:cs="Times New Roman"/>
              </w:rPr>
              <w:t>Multidonors</w:t>
            </w:r>
            <w:proofErr w:type="spellEnd"/>
            <w:r w:rsidRPr="00860F12">
              <w:rPr>
                <w:rFonts w:asciiTheme="minorHAnsi" w:hAnsiTheme="minorHAnsi" w:cs="Times New Roman"/>
              </w:rPr>
              <w:t xml:space="preserve"> Management </w:t>
            </w:r>
            <w:proofErr w:type="spellStart"/>
            <w:r w:rsidRPr="00860F12">
              <w:rPr>
                <w:rFonts w:asciiTheme="minorHAnsi" w:hAnsiTheme="minorHAnsi" w:cs="Times New Roman"/>
              </w:rPr>
              <w:t>Comm</w:t>
            </w:r>
            <w:proofErr w:type="spellEnd"/>
            <w:r w:rsidRPr="00860F12">
              <w:rPr>
                <w:rFonts w:asciiTheme="minorHAnsi" w:hAnsiTheme="minorHAnsi" w:cs="Times New Roman"/>
              </w:rPr>
              <w:t xml:space="preserve"> (MMU) at POC meetings on Local Authorities</w:t>
            </w:r>
            <w:r w:rsidR="00ED1DA6">
              <w:rPr>
                <w:rFonts w:asciiTheme="minorHAnsi" w:hAnsiTheme="minorHAnsi" w:cs="Times New Roman"/>
              </w:rPr>
              <w:t>’</w:t>
            </w:r>
            <w:r w:rsidRPr="00860F12">
              <w:rPr>
                <w:rFonts w:asciiTheme="minorHAnsi" w:hAnsiTheme="minorHAnsi" w:cs="Times New Roman"/>
              </w:rPr>
              <w:t xml:space="preserve"> progress</w:t>
            </w:r>
          </w:p>
        </w:tc>
        <w:tc>
          <w:tcPr>
            <w:tcW w:w="870" w:type="pct"/>
            <w:tcBorders>
              <w:top w:val="single" w:sz="2" w:space="0" w:color="833C0B" w:themeColor="accent2" w:themeShade="80"/>
              <w:left w:val="single" w:sz="2" w:space="0" w:color="833C0B" w:themeColor="accent2" w:themeShade="80"/>
              <w:bottom w:val="single" w:sz="2" w:space="0" w:color="833C0B" w:themeColor="accent2" w:themeShade="80"/>
            </w:tcBorders>
          </w:tcPr>
          <w:p w:rsidR="0073756E" w:rsidRPr="00860F12" w:rsidRDefault="0073756E" w:rsidP="008C0A8D">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rPr>
            </w:pPr>
            <w:r w:rsidRPr="00860F12">
              <w:rPr>
                <w:rFonts w:asciiTheme="minorHAnsi" w:hAnsiTheme="minorHAnsi" w:cs="Times New Roman"/>
              </w:rPr>
              <w:t>Ongoing until completion of program in  Oct 2019</w:t>
            </w:r>
          </w:p>
        </w:tc>
      </w:tr>
      <w:tr w:rsidR="00860F12" w:rsidRPr="00860F12" w:rsidTr="00174ECA">
        <w:tblPrEx>
          <w:tblBorders>
            <w:top w:val="single" w:sz="4" w:space="0" w:color="495965"/>
            <w:bottom w:val="single" w:sz="4" w:space="0" w:color="495965"/>
            <w:insideH w:val="single" w:sz="4" w:space="0" w:color="495965"/>
          </w:tblBorders>
        </w:tblPrEx>
        <w:trPr>
          <w:cnfStyle w:val="000000010000" w:firstRow="0" w:lastRow="0" w:firstColumn="0" w:lastColumn="0" w:oddVBand="0" w:evenVBand="0" w:oddHBand="0" w:evenHBand="1" w:firstRowFirstColumn="0" w:firstRowLastColumn="0" w:lastRowFirstColumn="0" w:lastRowLastColumn="0"/>
          <w:trHeight w:val="1652"/>
        </w:trPr>
        <w:tc>
          <w:tcPr>
            <w:cnfStyle w:val="001000000000" w:firstRow="0" w:lastRow="0" w:firstColumn="1" w:lastColumn="0" w:oddVBand="0" w:evenVBand="0" w:oddHBand="0" w:evenHBand="0" w:firstRowFirstColumn="0" w:firstRowLastColumn="0" w:lastRowFirstColumn="0" w:lastRowLastColumn="0"/>
            <w:tcW w:w="1516" w:type="pct"/>
            <w:tcBorders>
              <w:top w:val="single" w:sz="2" w:space="0" w:color="833C0B" w:themeColor="accent2" w:themeShade="80"/>
              <w:left w:val="single" w:sz="2" w:space="0" w:color="833C0B" w:themeColor="accent2" w:themeShade="80"/>
              <w:bottom w:val="single" w:sz="2" w:space="0" w:color="833C0B" w:themeColor="accent2" w:themeShade="80"/>
              <w:right w:val="single" w:sz="2" w:space="0" w:color="833C0B" w:themeColor="accent2" w:themeShade="80"/>
            </w:tcBorders>
            <w:hideMark/>
          </w:tcPr>
          <w:p w:rsidR="0048574F" w:rsidRPr="00860F12" w:rsidRDefault="0048574F" w:rsidP="008C0A8D">
            <w:pPr>
              <w:keepNext/>
              <w:keepLines/>
              <w:suppressAutoHyphens/>
              <w:spacing w:before="0" w:after="0" w:line="240" w:lineRule="auto"/>
              <w:contextualSpacing/>
              <w:outlineLvl w:val="2"/>
              <w:rPr>
                <w:rFonts w:asciiTheme="minorHAnsi" w:eastAsia="MS Gothic" w:hAnsiTheme="minorHAnsi" w:cs="Times New Roman"/>
                <w:b/>
                <w:bCs/>
              </w:rPr>
            </w:pPr>
            <w:r w:rsidRPr="00860F12">
              <w:rPr>
                <w:rFonts w:asciiTheme="minorHAnsi" w:eastAsia="MS Gothic" w:hAnsiTheme="minorHAnsi" w:cs="Times New Roman"/>
                <w:b/>
                <w:bCs/>
              </w:rPr>
              <w:t>Recommendation 2</w:t>
            </w:r>
          </w:p>
          <w:p w:rsidR="0048574F" w:rsidRPr="00860F12" w:rsidRDefault="0048574F" w:rsidP="008C0A8D">
            <w:pPr>
              <w:spacing w:before="0" w:after="0" w:line="240" w:lineRule="auto"/>
              <w:rPr>
                <w:rFonts w:asciiTheme="minorHAnsi" w:hAnsiTheme="minorHAnsi" w:cs="Times New Roman"/>
              </w:rPr>
            </w:pPr>
            <w:r w:rsidRPr="00860F12">
              <w:rPr>
                <w:rFonts w:asciiTheme="minorHAnsi" w:hAnsiTheme="minorHAnsi" w:cs="Times New Roman"/>
              </w:rPr>
              <w:t>Replacement of worn out non-functional water meters would reduce the extent of Non-Revenue Water (NRW)</w:t>
            </w:r>
          </w:p>
        </w:tc>
        <w:tc>
          <w:tcPr>
            <w:tcW w:w="614" w:type="pct"/>
            <w:tcBorders>
              <w:top w:val="single" w:sz="2" w:space="0" w:color="833C0B" w:themeColor="accent2" w:themeShade="80"/>
              <w:left w:val="single" w:sz="2" w:space="0" w:color="833C0B" w:themeColor="accent2" w:themeShade="80"/>
              <w:bottom w:val="single" w:sz="2" w:space="0" w:color="833C0B" w:themeColor="accent2" w:themeShade="80"/>
              <w:right w:val="single" w:sz="2" w:space="0" w:color="833C0B" w:themeColor="accent2" w:themeShade="80"/>
            </w:tcBorders>
            <w:shd w:val="clear" w:color="auto" w:fill="FFC000"/>
            <w:hideMark/>
          </w:tcPr>
          <w:p w:rsidR="0048574F" w:rsidRPr="00860F12" w:rsidRDefault="0048574F" w:rsidP="008C0A8D">
            <w:pPr>
              <w:keepNext/>
              <w:keepLines/>
              <w:suppressAutoHyphens/>
              <w:spacing w:before="0" w:after="0" w:line="240" w:lineRule="auto"/>
              <w:contextualSpacing/>
              <w:outlineLvl w:val="2"/>
              <w:cnfStyle w:val="000000010000" w:firstRow="0" w:lastRow="0" w:firstColumn="0" w:lastColumn="0" w:oddVBand="0" w:evenVBand="0" w:oddHBand="0" w:evenHBand="1" w:firstRowFirstColumn="0" w:firstRowLastColumn="0" w:lastRowFirstColumn="0" w:lastRowLastColumn="0"/>
              <w:rPr>
                <w:rFonts w:asciiTheme="minorHAnsi" w:eastAsia="MS Gothic" w:hAnsiTheme="minorHAnsi" w:cs="Times New Roman"/>
                <w:bCs/>
              </w:rPr>
            </w:pPr>
            <w:r w:rsidRPr="00860F12">
              <w:rPr>
                <w:rFonts w:asciiTheme="minorHAnsi" w:eastAsia="MS Gothic" w:hAnsiTheme="minorHAnsi" w:cs="Times New Roman"/>
                <w:bCs/>
              </w:rPr>
              <w:t xml:space="preserve">Agree in part </w:t>
            </w:r>
          </w:p>
        </w:tc>
        <w:tc>
          <w:tcPr>
            <w:tcW w:w="1146" w:type="pct"/>
            <w:tcBorders>
              <w:top w:val="single" w:sz="2" w:space="0" w:color="833C0B" w:themeColor="accent2" w:themeShade="80"/>
              <w:left w:val="single" w:sz="2" w:space="0" w:color="833C0B" w:themeColor="accent2" w:themeShade="80"/>
              <w:bottom w:val="single" w:sz="2" w:space="0" w:color="833C0B" w:themeColor="accent2" w:themeShade="80"/>
              <w:right w:val="single" w:sz="2" w:space="0" w:color="833C0B" w:themeColor="accent2" w:themeShade="80"/>
            </w:tcBorders>
          </w:tcPr>
          <w:p w:rsidR="0048574F" w:rsidRDefault="0048574F" w:rsidP="008C0A8D">
            <w:pPr>
              <w:suppressAutoHyphens/>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rPr>
            </w:pPr>
            <w:r w:rsidRPr="00860F12">
              <w:rPr>
                <w:rFonts w:asciiTheme="minorHAnsi" w:hAnsiTheme="minorHAnsi" w:cs="Times New Roman"/>
              </w:rPr>
              <w:t xml:space="preserve">While it is a fair recommendation, </w:t>
            </w:r>
            <w:proofErr w:type="gramStart"/>
            <w:r w:rsidRPr="00860F12">
              <w:rPr>
                <w:rFonts w:asciiTheme="minorHAnsi" w:hAnsiTheme="minorHAnsi" w:cs="Times New Roman"/>
              </w:rPr>
              <w:t>it’s</w:t>
            </w:r>
            <w:proofErr w:type="gramEnd"/>
            <w:r w:rsidRPr="00860F12">
              <w:rPr>
                <w:rFonts w:asciiTheme="minorHAnsi" w:hAnsiTheme="minorHAnsi" w:cs="Times New Roman"/>
              </w:rPr>
              <w:t xml:space="preserve"> not clear whether the recommendation is directed at LAs or ZimFund.  In any </w:t>
            </w:r>
            <w:proofErr w:type="gramStart"/>
            <w:r w:rsidRPr="00860F12">
              <w:rPr>
                <w:rFonts w:asciiTheme="minorHAnsi" w:hAnsiTheme="minorHAnsi" w:cs="Times New Roman"/>
              </w:rPr>
              <w:t>event</w:t>
            </w:r>
            <w:proofErr w:type="gramEnd"/>
            <w:r w:rsidRPr="00860F12">
              <w:rPr>
                <w:rFonts w:asciiTheme="minorHAnsi" w:hAnsiTheme="minorHAnsi" w:cs="Times New Roman"/>
              </w:rPr>
              <w:t xml:space="preserve"> there are budgetary constraints for LAs on the proposed course of action, as well as policy issues.  While ZimFund has budgeted for replacement of some water meters, it has not budgeted for all. </w:t>
            </w:r>
          </w:p>
          <w:p w:rsidR="00860F12" w:rsidRDefault="00860F12" w:rsidP="008C0A8D">
            <w:pPr>
              <w:suppressAutoHyphens/>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imes New Roman"/>
              </w:rPr>
            </w:pPr>
          </w:p>
          <w:p w:rsidR="00860F12" w:rsidRPr="00860F12" w:rsidRDefault="00860F12" w:rsidP="008C0A8D">
            <w:pPr>
              <w:suppressAutoHyphens/>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Calibri Light" w:hAnsiTheme="minorHAnsi" w:cs="Times New Roman"/>
                <w:lang w:val="en-GB"/>
              </w:rPr>
            </w:pPr>
          </w:p>
        </w:tc>
        <w:tc>
          <w:tcPr>
            <w:tcW w:w="854" w:type="pct"/>
            <w:tcBorders>
              <w:top w:val="single" w:sz="2" w:space="0" w:color="833C0B" w:themeColor="accent2" w:themeShade="80"/>
              <w:left w:val="single" w:sz="2" w:space="0" w:color="833C0B" w:themeColor="accent2" w:themeShade="80"/>
              <w:bottom w:val="single" w:sz="2" w:space="0" w:color="833C0B" w:themeColor="accent2" w:themeShade="80"/>
              <w:right w:val="single" w:sz="2" w:space="0" w:color="833C0B" w:themeColor="accent2" w:themeShade="80"/>
            </w:tcBorders>
          </w:tcPr>
          <w:p w:rsidR="0048574F" w:rsidRPr="00860F12" w:rsidRDefault="0048574F" w:rsidP="008C0A8D">
            <w:pPr>
              <w:suppressAutoHyphens/>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Calibri Light" w:hAnsiTheme="minorHAnsi" w:cs="Times New Roman"/>
                <w:lang w:val="en-GB"/>
              </w:rPr>
            </w:pPr>
            <w:r w:rsidRPr="00860F12">
              <w:rPr>
                <w:rFonts w:asciiTheme="minorHAnsi" w:hAnsiTheme="minorHAnsi" w:cs="Times New Roman"/>
              </w:rPr>
              <w:t>POC requests updates from MMU at POC meetings on LAs and ZimFund progress on reducing NRW and on meter replacement</w:t>
            </w:r>
          </w:p>
        </w:tc>
        <w:tc>
          <w:tcPr>
            <w:tcW w:w="870" w:type="pct"/>
            <w:tcBorders>
              <w:top w:val="single" w:sz="2" w:space="0" w:color="833C0B" w:themeColor="accent2" w:themeShade="80"/>
              <w:left w:val="single" w:sz="2" w:space="0" w:color="833C0B" w:themeColor="accent2" w:themeShade="80"/>
              <w:bottom w:val="single" w:sz="2" w:space="0" w:color="833C0B" w:themeColor="accent2" w:themeShade="80"/>
            </w:tcBorders>
          </w:tcPr>
          <w:p w:rsidR="0048574F" w:rsidRPr="00860F12" w:rsidRDefault="0048574F" w:rsidP="008C0A8D">
            <w:pPr>
              <w:suppressAutoHyphens/>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Calibri Light" w:hAnsiTheme="minorHAnsi" w:cs="Times New Roman"/>
                <w:lang w:val="en-GB"/>
              </w:rPr>
            </w:pPr>
            <w:r w:rsidRPr="00860F12">
              <w:rPr>
                <w:rFonts w:asciiTheme="minorHAnsi" w:hAnsiTheme="minorHAnsi" w:cs="Times New Roman"/>
              </w:rPr>
              <w:t>Ongoing until completion of program in  Oct 2019</w:t>
            </w:r>
          </w:p>
        </w:tc>
      </w:tr>
      <w:tr w:rsidR="008C0A8D" w:rsidRPr="00860F12" w:rsidTr="00174ECA">
        <w:tblPrEx>
          <w:tblBorders>
            <w:top w:val="single" w:sz="4" w:space="0" w:color="495965"/>
            <w:bottom w:val="single" w:sz="4" w:space="0" w:color="495965"/>
            <w:insideH w:val="single" w:sz="4" w:space="0" w:color="495965"/>
          </w:tblBorders>
        </w:tblPrEx>
        <w:trPr>
          <w:cnfStyle w:val="000000100000" w:firstRow="0" w:lastRow="0" w:firstColumn="0" w:lastColumn="0" w:oddVBand="0" w:evenVBand="0" w:oddHBand="1" w:evenHBand="0" w:firstRowFirstColumn="0" w:firstRowLastColumn="0" w:lastRowFirstColumn="0" w:lastRowLastColumn="0"/>
          <w:trHeight w:val="1392"/>
        </w:trPr>
        <w:tc>
          <w:tcPr>
            <w:cnfStyle w:val="001000000000" w:firstRow="0" w:lastRow="0" w:firstColumn="1" w:lastColumn="0" w:oddVBand="0" w:evenVBand="0" w:oddHBand="0" w:evenHBand="0" w:firstRowFirstColumn="0" w:firstRowLastColumn="0" w:lastRowFirstColumn="0" w:lastRowLastColumn="0"/>
            <w:tcW w:w="1516" w:type="pct"/>
            <w:tcBorders>
              <w:top w:val="single" w:sz="2" w:space="0" w:color="833C0B" w:themeColor="accent2" w:themeShade="80"/>
              <w:left w:val="single" w:sz="2" w:space="0" w:color="833C0B" w:themeColor="accent2" w:themeShade="80"/>
              <w:bottom w:val="single" w:sz="2" w:space="0" w:color="833C0B" w:themeColor="accent2" w:themeShade="80"/>
              <w:right w:val="single" w:sz="2" w:space="0" w:color="833C0B" w:themeColor="accent2" w:themeShade="80"/>
            </w:tcBorders>
          </w:tcPr>
          <w:p w:rsidR="008C0A8D" w:rsidRPr="00860F12" w:rsidRDefault="008C0A8D" w:rsidP="008C0A8D">
            <w:pPr>
              <w:keepNext/>
              <w:keepLines/>
              <w:suppressAutoHyphens/>
              <w:spacing w:before="0" w:after="0" w:line="240" w:lineRule="auto"/>
              <w:contextualSpacing/>
              <w:outlineLvl w:val="2"/>
              <w:rPr>
                <w:rFonts w:asciiTheme="minorHAnsi" w:eastAsia="MS Gothic" w:hAnsiTheme="minorHAnsi" w:cs="Times New Roman"/>
                <w:b/>
                <w:bCs/>
              </w:rPr>
            </w:pPr>
            <w:r w:rsidRPr="00860F12">
              <w:rPr>
                <w:rFonts w:asciiTheme="minorHAnsi" w:eastAsia="MS Gothic" w:hAnsiTheme="minorHAnsi" w:cs="Times New Roman"/>
                <w:b/>
                <w:bCs/>
              </w:rPr>
              <w:lastRenderedPageBreak/>
              <w:t>Recommendation 3</w:t>
            </w:r>
          </w:p>
          <w:p w:rsidR="008C0A8D" w:rsidRPr="00860F12" w:rsidRDefault="00ED1DA6" w:rsidP="00ED1DA6">
            <w:pPr>
              <w:keepNext/>
              <w:keepLines/>
              <w:suppressAutoHyphens/>
              <w:spacing w:before="0" w:after="0" w:line="240" w:lineRule="auto"/>
              <w:contextualSpacing/>
              <w:outlineLvl w:val="2"/>
              <w:rPr>
                <w:rFonts w:asciiTheme="minorHAnsi" w:eastAsia="MS Gothic" w:hAnsiTheme="minorHAnsi" w:cs="Times New Roman"/>
                <w:b/>
                <w:bCs/>
              </w:rPr>
            </w:pPr>
            <w:r>
              <w:rPr>
                <w:rFonts w:asciiTheme="minorHAnsi" w:hAnsiTheme="minorHAnsi" w:cs="Times New Roman"/>
              </w:rPr>
              <w:t>Strengthening of community support for s</w:t>
            </w:r>
            <w:r w:rsidR="008C0A8D" w:rsidRPr="00860F12">
              <w:rPr>
                <w:rFonts w:asciiTheme="minorHAnsi" w:hAnsiTheme="minorHAnsi" w:cs="Times New Roman"/>
              </w:rPr>
              <w:t xml:space="preserve">ervice delivery to close the gap on households’ unwillingness to pay. This can be achieved through </w:t>
            </w:r>
            <w:proofErr w:type="gramStart"/>
            <w:r w:rsidR="008C0A8D" w:rsidRPr="00860F12">
              <w:rPr>
                <w:rFonts w:asciiTheme="minorHAnsi" w:hAnsiTheme="minorHAnsi" w:cs="Times New Roman"/>
              </w:rPr>
              <w:t>projects which instil good customer care</w:t>
            </w:r>
            <w:proofErr w:type="gramEnd"/>
            <w:r w:rsidR="008C0A8D" w:rsidRPr="00860F12">
              <w:rPr>
                <w:rFonts w:asciiTheme="minorHAnsi" w:hAnsiTheme="minorHAnsi" w:cs="Times New Roman"/>
              </w:rPr>
              <w:t xml:space="preserve"> and good citizen relations, which, it is assumed, would in the long term increase willingness to pay for the services.</w:t>
            </w:r>
          </w:p>
        </w:tc>
        <w:tc>
          <w:tcPr>
            <w:tcW w:w="614" w:type="pct"/>
            <w:tcBorders>
              <w:top w:val="single" w:sz="2" w:space="0" w:color="833C0B" w:themeColor="accent2" w:themeShade="80"/>
              <w:left w:val="single" w:sz="2" w:space="0" w:color="833C0B" w:themeColor="accent2" w:themeShade="80"/>
              <w:bottom w:val="single" w:sz="2" w:space="0" w:color="833C0B" w:themeColor="accent2" w:themeShade="80"/>
              <w:right w:val="single" w:sz="2" w:space="0" w:color="833C0B" w:themeColor="accent2" w:themeShade="80"/>
            </w:tcBorders>
            <w:shd w:val="clear" w:color="auto" w:fill="F6BB00"/>
          </w:tcPr>
          <w:p w:rsidR="008C0A8D" w:rsidRPr="00860F12" w:rsidRDefault="008C0A8D" w:rsidP="008C0A8D">
            <w:pPr>
              <w:keepNext/>
              <w:keepLines/>
              <w:suppressAutoHyphens/>
              <w:spacing w:before="0" w:after="0" w:line="240" w:lineRule="auto"/>
              <w:contextualSpacing/>
              <w:outlineLvl w:val="2"/>
              <w:cnfStyle w:val="000000100000" w:firstRow="0" w:lastRow="0" w:firstColumn="0" w:lastColumn="0" w:oddVBand="0" w:evenVBand="0" w:oddHBand="1" w:evenHBand="0" w:firstRowFirstColumn="0" w:firstRowLastColumn="0" w:lastRowFirstColumn="0" w:lastRowLastColumn="0"/>
              <w:rPr>
                <w:rFonts w:asciiTheme="minorHAnsi" w:eastAsia="MS Gothic" w:hAnsiTheme="minorHAnsi" w:cs="Times New Roman"/>
                <w:bCs/>
              </w:rPr>
            </w:pPr>
            <w:r w:rsidRPr="00860F12">
              <w:rPr>
                <w:rFonts w:asciiTheme="minorHAnsi" w:eastAsia="MS Gothic" w:hAnsiTheme="minorHAnsi" w:cs="Times New Roman"/>
                <w:bCs/>
              </w:rPr>
              <w:t>Agree in part</w:t>
            </w:r>
          </w:p>
          <w:p w:rsidR="008C0A8D" w:rsidRPr="00860F12" w:rsidRDefault="008C0A8D" w:rsidP="008C0A8D">
            <w:pPr>
              <w:keepNext/>
              <w:keepLines/>
              <w:suppressAutoHyphens/>
              <w:spacing w:before="0" w:after="0" w:line="240" w:lineRule="auto"/>
              <w:contextualSpacing/>
              <w:outlineLvl w:val="2"/>
              <w:cnfStyle w:val="000000100000" w:firstRow="0" w:lastRow="0" w:firstColumn="0" w:lastColumn="0" w:oddVBand="0" w:evenVBand="0" w:oddHBand="1" w:evenHBand="0" w:firstRowFirstColumn="0" w:firstRowLastColumn="0" w:lastRowFirstColumn="0" w:lastRowLastColumn="0"/>
              <w:rPr>
                <w:rFonts w:asciiTheme="minorHAnsi" w:eastAsia="MS Gothic" w:hAnsiTheme="minorHAnsi" w:cs="Times New Roman"/>
                <w:bCs/>
              </w:rPr>
            </w:pPr>
          </w:p>
        </w:tc>
        <w:tc>
          <w:tcPr>
            <w:tcW w:w="1146" w:type="pct"/>
            <w:tcBorders>
              <w:top w:val="single" w:sz="2" w:space="0" w:color="833C0B" w:themeColor="accent2" w:themeShade="80"/>
              <w:left w:val="single" w:sz="2" w:space="0" w:color="833C0B" w:themeColor="accent2" w:themeShade="80"/>
              <w:bottom w:val="single" w:sz="2" w:space="0" w:color="833C0B" w:themeColor="accent2" w:themeShade="80"/>
              <w:right w:val="single" w:sz="2" w:space="0" w:color="833C0B" w:themeColor="accent2" w:themeShade="80"/>
            </w:tcBorders>
          </w:tcPr>
          <w:p w:rsidR="008C0A8D" w:rsidRPr="00174ECA" w:rsidRDefault="008C0A8D" w:rsidP="008C0A8D">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Light" w:hAnsiTheme="minorHAnsi" w:cs="Times New Roman"/>
                <w:lang w:val="en-GB"/>
              </w:rPr>
            </w:pPr>
            <w:r w:rsidRPr="00860F12">
              <w:rPr>
                <w:rFonts w:asciiTheme="minorHAnsi" w:hAnsiTheme="minorHAnsi" w:cs="Times New Roman"/>
              </w:rPr>
              <w:t xml:space="preserve">The recommendation </w:t>
            </w:r>
            <w:proofErr w:type="gramStart"/>
            <w:r w:rsidRPr="00860F12">
              <w:rPr>
                <w:rFonts w:asciiTheme="minorHAnsi" w:hAnsiTheme="minorHAnsi" w:cs="Times New Roman"/>
              </w:rPr>
              <w:t>is accepted</w:t>
            </w:r>
            <w:proofErr w:type="gramEnd"/>
            <w:r w:rsidRPr="00860F12">
              <w:rPr>
                <w:rFonts w:asciiTheme="minorHAnsi" w:hAnsiTheme="minorHAnsi" w:cs="Times New Roman"/>
              </w:rPr>
              <w:t xml:space="preserve"> insofar as the importance for sustainability of re-establishing the local authority / residents’ social compact is widely recognised.  The issue is being addressed in ZimFund albeit only with a light touch (given ZimFund was designed as an emergency infrastructure intervention). With budgetary and time constraints and an already agreed program of works, the light touch approach is likely to continue. </w:t>
            </w:r>
          </w:p>
        </w:tc>
        <w:tc>
          <w:tcPr>
            <w:tcW w:w="854" w:type="pct"/>
            <w:tcBorders>
              <w:top w:val="single" w:sz="2" w:space="0" w:color="833C0B" w:themeColor="accent2" w:themeShade="80"/>
              <w:left w:val="single" w:sz="2" w:space="0" w:color="833C0B" w:themeColor="accent2" w:themeShade="80"/>
              <w:bottom w:val="single" w:sz="2" w:space="0" w:color="833C0B" w:themeColor="accent2" w:themeShade="80"/>
              <w:right w:val="single" w:sz="2" w:space="0" w:color="833C0B" w:themeColor="accent2" w:themeShade="80"/>
            </w:tcBorders>
          </w:tcPr>
          <w:p w:rsidR="008C0A8D" w:rsidRPr="00860F12" w:rsidRDefault="008C0A8D" w:rsidP="008C0A8D">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Light" w:hAnsiTheme="minorHAnsi" w:cs="Times New Roman"/>
                <w:lang w:val="en-GB"/>
              </w:rPr>
            </w:pPr>
            <w:r w:rsidRPr="00860F12">
              <w:rPr>
                <w:rFonts w:asciiTheme="minorHAnsi" w:hAnsiTheme="minorHAnsi" w:cs="Times New Roman"/>
              </w:rPr>
              <w:t>POC requests updates from MMU at POC meetings on institutional strengthening</w:t>
            </w:r>
          </w:p>
          <w:p w:rsidR="008C0A8D" w:rsidRPr="00860F12" w:rsidRDefault="008C0A8D" w:rsidP="008C0A8D">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rPr>
            </w:pPr>
          </w:p>
        </w:tc>
        <w:tc>
          <w:tcPr>
            <w:tcW w:w="870" w:type="pct"/>
            <w:tcBorders>
              <w:top w:val="single" w:sz="2" w:space="0" w:color="833C0B" w:themeColor="accent2" w:themeShade="80"/>
              <w:left w:val="single" w:sz="2" w:space="0" w:color="833C0B" w:themeColor="accent2" w:themeShade="80"/>
              <w:bottom w:val="single" w:sz="2" w:space="0" w:color="833C0B" w:themeColor="accent2" w:themeShade="80"/>
            </w:tcBorders>
          </w:tcPr>
          <w:p w:rsidR="008C0A8D" w:rsidRPr="00860F12" w:rsidRDefault="008C0A8D" w:rsidP="008C0A8D">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Calibri Light" w:hAnsiTheme="minorHAnsi" w:cs="Times New Roman"/>
                <w:lang w:val="en-GB"/>
              </w:rPr>
            </w:pPr>
            <w:r w:rsidRPr="00860F12">
              <w:rPr>
                <w:rFonts w:asciiTheme="minorHAnsi" w:hAnsiTheme="minorHAnsi" w:cs="Times New Roman"/>
              </w:rPr>
              <w:t>Ongoing until completion of program in  Oct 2019</w:t>
            </w:r>
          </w:p>
          <w:p w:rsidR="008C0A8D" w:rsidRPr="00860F12" w:rsidRDefault="008C0A8D" w:rsidP="008C0A8D">
            <w:pPr>
              <w:suppressAutoHyphens/>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rPr>
            </w:pPr>
          </w:p>
        </w:tc>
      </w:tr>
      <w:tr w:rsidR="008C0A8D" w:rsidRPr="00860F12" w:rsidTr="00174ECA">
        <w:tblPrEx>
          <w:tblBorders>
            <w:top w:val="single" w:sz="4" w:space="0" w:color="495965"/>
            <w:bottom w:val="single" w:sz="4" w:space="0" w:color="495965"/>
            <w:insideH w:val="single" w:sz="4" w:space="0" w:color="495965"/>
          </w:tblBorders>
        </w:tblPrEx>
        <w:trPr>
          <w:cnfStyle w:val="000000010000" w:firstRow="0" w:lastRow="0" w:firstColumn="0" w:lastColumn="0" w:oddVBand="0" w:evenVBand="0" w:oddHBand="0" w:evenHBand="1" w:firstRowFirstColumn="0" w:firstRowLastColumn="0" w:lastRowFirstColumn="0" w:lastRowLastColumn="0"/>
          <w:trHeight w:val="4388"/>
        </w:trPr>
        <w:tc>
          <w:tcPr>
            <w:cnfStyle w:val="001000000000" w:firstRow="0" w:lastRow="0" w:firstColumn="1" w:lastColumn="0" w:oddVBand="0" w:evenVBand="0" w:oddHBand="0" w:evenHBand="0" w:firstRowFirstColumn="0" w:firstRowLastColumn="0" w:lastRowFirstColumn="0" w:lastRowLastColumn="0"/>
            <w:tcW w:w="1516" w:type="pct"/>
            <w:tcBorders>
              <w:top w:val="single" w:sz="2" w:space="0" w:color="833C0B" w:themeColor="accent2" w:themeShade="80"/>
              <w:left w:val="single" w:sz="2" w:space="0" w:color="833C0B" w:themeColor="accent2" w:themeShade="80"/>
              <w:bottom w:val="single" w:sz="2" w:space="0" w:color="833C0B" w:themeColor="accent2" w:themeShade="80"/>
              <w:right w:val="single" w:sz="2" w:space="0" w:color="833C0B" w:themeColor="accent2" w:themeShade="80"/>
            </w:tcBorders>
            <w:hideMark/>
          </w:tcPr>
          <w:p w:rsidR="0048574F" w:rsidRPr="00860F12" w:rsidRDefault="0048574F" w:rsidP="008C0A8D">
            <w:pPr>
              <w:keepNext/>
              <w:keepLines/>
              <w:suppressAutoHyphens/>
              <w:spacing w:before="0" w:after="0" w:line="240" w:lineRule="auto"/>
              <w:contextualSpacing/>
              <w:outlineLvl w:val="2"/>
              <w:rPr>
                <w:rFonts w:asciiTheme="minorHAnsi" w:eastAsia="MS Gothic" w:hAnsiTheme="minorHAnsi" w:cs="Times New Roman"/>
                <w:b/>
                <w:bCs/>
              </w:rPr>
            </w:pPr>
            <w:r w:rsidRPr="00860F12">
              <w:rPr>
                <w:rFonts w:asciiTheme="minorHAnsi" w:eastAsia="MS Gothic" w:hAnsiTheme="minorHAnsi" w:cs="Times New Roman"/>
                <w:b/>
                <w:bCs/>
              </w:rPr>
              <w:lastRenderedPageBreak/>
              <w:t>Recommendation 4</w:t>
            </w:r>
          </w:p>
          <w:p w:rsidR="0048574F" w:rsidRPr="00860F12" w:rsidRDefault="0048574F" w:rsidP="008C0A8D">
            <w:pPr>
              <w:spacing w:before="0" w:after="0" w:line="240" w:lineRule="auto"/>
              <w:rPr>
                <w:rFonts w:asciiTheme="minorHAnsi" w:hAnsiTheme="minorHAnsi" w:cs="Times New Roman"/>
                <w:lang w:val="en-GB"/>
              </w:rPr>
            </w:pPr>
            <w:r w:rsidRPr="00860F12">
              <w:rPr>
                <w:rFonts w:asciiTheme="minorHAnsi" w:hAnsiTheme="minorHAnsi" w:cs="Times New Roman"/>
              </w:rPr>
              <w:t>In the wake of continued water rationing in towns,</w:t>
            </w:r>
            <w:r w:rsidR="00ED1DA6">
              <w:rPr>
                <w:rFonts w:asciiTheme="minorHAnsi" w:hAnsiTheme="minorHAnsi" w:cs="Times New Roman"/>
              </w:rPr>
              <w:t xml:space="preserve"> it is advisable to strengthen h</w:t>
            </w:r>
            <w:r w:rsidRPr="00860F12">
              <w:rPr>
                <w:rFonts w:asciiTheme="minorHAnsi" w:hAnsiTheme="minorHAnsi" w:cs="Times New Roman"/>
              </w:rPr>
              <w:t xml:space="preserve">ealth promotion activities to activate best practices in household water and sanitation usage by all people. The evaluation noted that practices such as handwashing with soap at household level as well as water storage are very weak. It is highly recommended to invest in </w:t>
            </w:r>
            <w:proofErr w:type="gramStart"/>
            <w:r w:rsidRPr="00860F12">
              <w:rPr>
                <w:rFonts w:asciiTheme="minorHAnsi" w:hAnsiTheme="minorHAnsi" w:cs="Times New Roman"/>
              </w:rPr>
              <w:t xml:space="preserve">behaviour </w:t>
            </w:r>
            <w:r w:rsidR="00ED1DA6">
              <w:rPr>
                <w:rFonts w:asciiTheme="minorHAnsi" w:hAnsiTheme="minorHAnsi" w:cs="Times New Roman"/>
              </w:rPr>
              <w:t>change WASH programmes</w:t>
            </w:r>
            <w:proofErr w:type="gramEnd"/>
            <w:r w:rsidR="00ED1DA6">
              <w:rPr>
                <w:rFonts w:asciiTheme="minorHAnsi" w:hAnsiTheme="minorHAnsi" w:cs="Times New Roman"/>
              </w:rPr>
              <w:t xml:space="preserve"> such as participatory h</w:t>
            </w:r>
            <w:r w:rsidRPr="00860F12">
              <w:rPr>
                <w:rFonts w:asciiTheme="minorHAnsi" w:hAnsiTheme="minorHAnsi" w:cs="Times New Roman"/>
              </w:rPr>
              <w:t>eal</w:t>
            </w:r>
            <w:r w:rsidR="00ED1DA6">
              <w:rPr>
                <w:rFonts w:asciiTheme="minorHAnsi" w:hAnsiTheme="minorHAnsi" w:cs="Times New Roman"/>
              </w:rPr>
              <w:t>th and hygiene programmes</w:t>
            </w:r>
            <w:r w:rsidRPr="00860F12">
              <w:rPr>
                <w:rFonts w:asciiTheme="minorHAnsi" w:hAnsiTheme="minorHAnsi" w:cs="Times New Roman"/>
              </w:rPr>
              <w:t xml:space="preserve"> to complement the hardware component.</w:t>
            </w:r>
          </w:p>
        </w:tc>
        <w:tc>
          <w:tcPr>
            <w:tcW w:w="614" w:type="pct"/>
            <w:tcBorders>
              <w:top w:val="single" w:sz="2" w:space="0" w:color="833C0B" w:themeColor="accent2" w:themeShade="80"/>
              <w:left w:val="single" w:sz="2" w:space="0" w:color="833C0B" w:themeColor="accent2" w:themeShade="80"/>
              <w:bottom w:val="single" w:sz="2" w:space="0" w:color="833C0B" w:themeColor="accent2" w:themeShade="80"/>
              <w:right w:val="single" w:sz="2" w:space="0" w:color="833C0B" w:themeColor="accent2" w:themeShade="80"/>
            </w:tcBorders>
            <w:shd w:val="clear" w:color="auto" w:fill="F6BB00"/>
            <w:hideMark/>
          </w:tcPr>
          <w:p w:rsidR="0048574F" w:rsidRPr="00860F12" w:rsidRDefault="0048574F" w:rsidP="008C0A8D">
            <w:pPr>
              <w:keepNext/>
              <w:keepLines/>
              <w:suppressAutoHyphens/>
              <w:spacing w:before="0" w:after="0" w:line="240" w:lineRule="auto"/>
              <w:contextualSpacing/>
              <w:outlineLvl w:val="2"/>
              <w:cnfStyle w:val="000000010000" w:firstRow="0" w:lastRow="0" w:firstColumn="0" w:lastColumn="0" w:oddVBand="0" w:evenVBand="0" w:oddHBand="0" w:evenHBand="1" w:firstRowFirstColumn="0" w:firstRowLastColumn="0" w:lastRowFirstColumn="0" w:lastRowLastColumn="0"/>
              <w:rPr>
                <w:rFonts w:asciiTheme="minorHAnsi" w:eastAsia="MS Gothic" w:hAnsiTheme="minorHAnsi" w:cs="Times New Roman"/>
                <w:bCs/>
              </w:rPr>
            </w:pPr>
            <w:r w:rsidRPr="00860F12">
              <w:rPr>
                <w:rFonts w:asciiTheme="minorHAnsi" w:eastAsia="MS Gothic" w:hAnsiTheme="minorHAnsi" w:cs="Times New Roman"/>
                <w:bCs/>
              </w:rPr>
              <w:t>Agree in part</w:t>
            </w:r>
          </w:p>
        </w:tc>
        <w:tc>
          <w:tcPr>
            <w:tcW w:w="1146" w:type="pct"/>
            <w:tcBorders>
              <w:top w:val="single" w:sz="2" w:space="0" w:color="833C0B" w:themeColor="accent2" w:themeShade="80"/>
              <w:left w:val="single" w:sz="2" w:space="0" w:color="833C0B" w:themeColor="accent2" w:themeShade="80"/>
              <w:bottom w:val="single" w:sz="2" w:space="0" w:color="833C0B" w:themeColor="accent2" w:themeShade="80"/>
              <w:right w:val="single" w:sz="2" w:space="0" w:color="833C0B" w:themeColor="accent2" w:themeShade="80"/>
            </w:tcBorders>
          </w:tcPr>
          <w:p w:rsidR="0048574F" w:rsidRPr="00860F12" w:rsidRDefault="0048574F" w:rsidP="00ED1DA6">
            <w:pPr>
              <w:suppressAutoHyphens/>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Calibri Light" w:hAnsiTheme="minorHAnsi" w:cs="Times New Roman"/>
                <w:lang w:val="en-GB"/>
              </w:rPr>
            </w:pPr>
            <w:r w:rsidRPr="00860F12">
              <w:rPr>
                <w:rFonts w:asciiTheme="minorHAnsi" w:hAnsiTheme="minorHAnsi" w:cs="Times New Roman"/>
              </w:rPr>
              <w:t xml:space="preserve">The issue </w:t>
            </w:r>
            <w:proofErr w:type="gramStart"/>
            <w:r w:rsidRPr="00860F12">
              <w:rPr>
                <w:rFonts w:asciiTheme="minorHAnsi" w:hAnsiTheme="minorHAnsi" w:cs="Times New Roman"/>
              </w:rPr>
              <w:t>is being addressed</w:t>
            </w:r>
            <w:proofErr w:type="gramEnd"/>
            <w:r w:rsidRPr="00860F12">
              <w:rPr>
                <w:rFonts w:asciiTheme="minorHAnsi" w:hAnsiTheme="minorHAnsi" w:cs="Times New Roman"/>
              </w:rPr>
              <w:t xml:space="preserve"> in ZimFund albeit only with a light touch for reasons noted above that ZimFund was designed as an emergency infrastructure intervention. With budgetary and time constraints and an already agreed program of works, the light touch approach to behaviour change is likely to continue. </w:t>
            </w:r>
          </w:p>
        </w:tc>
        <w:tc>
          <w:tcPr>
            <w:tcW w:w="854" w:type="pct"/>
            <w:tcBorders>
              <w:top w:val="single" w:sz="2" w:space="0" w:color="833C0B" w:themeColor="accent2" w:themeShade="80"/>
              <w:left w:val="single" w:sz="2" w:space="0" w:color="833C0B" w:themeColor="accent2" w:themeShade="80"/>
              <w:bottom w:val="single" w:sz="2" w:space="0" w:color="833C0B" w:themeColor="accent2" w:themeShade="80"/>
              <w:right w:val="single" w:sz="2" w:space="0" w:color="833C0B" w:themeColor="accent2" w:themeShade="80"/>
            </w:tcBorders>
          </w:tcPr>
          <w:p w:rsidR="0048574F" w:rsidRPr="00860F12" w:rsidRDefault="0048574F" w:rsidP="008C0A8D">
            <w:pPr>
              <w:suppressAutoHyphens/>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Calibri Light" w:hAnsiTheme="minorHAnsi" w:cs="Times New Roman"/>
                <w:lang w:val="en-GB"/>
              </w:rPr>
            </w:pPr>
            <w:r w:rsidRPr="00860F12">
              <w:rPr>
                <w:rFonts w:asciiTheme="minorHAnsi" w:hAnsiTheme="minorHAnsi" w:cs="Times New Roman"/>
              </w:rPr>
              <w:t>POC requests updates from MMU at POC meetings on behaviour change activities.</w:t>
            </w:r>
          </w:p>
        </w:tc>
        <w:tc>
          <w:tcPr>
            <w:tcW w:w="870" w:type="pct"/>
            <w:tcBorders>
              <w:top w:val="single" w:sz="2" w:space="0" w:color="833C0B" w:themeColor="accent2" w:themeShade="80"/>
              <w:left w:val="single" w:sz="2" w:space="0" w:color="833C0B" w:themeColor="accent2" w:themeShade="80"/>
              <w:bottom w:val="single" w:sz="2" w:space="0" w:color="833C0B" w:themeColor="accent2" w:themeShade="80"/>
            </w:tcBorders>
          </w:tcPr>
          <w:p w:rsidR="0048574F" w:rsidRPr="00860F12" w:rsidRDefault="0048574F" w:rsidP="008C0A8D">
            <w:pPr>
              <w:suppressAutoHyphens/>
              <w:spacing w:before="0" w:after="0" w:line="240" w:lineRule="auto"/>
              <w:cnfStyle w:val="000000010000" w:firstRow="0" w:lastRow="0" w:firstColumn="0" w:lastColumn="0" w:oddVBand="0" w:evenVBand="0" w:oddHBand="0" w:evenHBand="1" w:firstRowFirstColumn="0" w:firstRowLastColumn="0" w:lastRowFirstColumn="0" w:lastRowLastColumn="0"/>
              <w:rPr>
                <w:rFonts w:asciiTheme="minorHAnsi" w:eastAsia="Calibri Light" w:hAnsiTheme="minorHAnsi" w:cs="Times New Roman"/>
                <w:lang w:val="en-GB"/>
              </w:rPr>
            </w:pPr>
            <w:r w:rsidRPr="00860F12">
              <w:rPr>
                <w:rFonts w:asciiTheme="minorHAnsi" w:hAnsiTheme="minorHAnsi" w:cs="Times New Roman"/>
              </w:rPr>
              <w:t>Ongoing until completion of program in  Oct 2019</w:t>
            </w:r>
          </w:p>
        </w:tc>
      </w:tr>
      <w:tr w:rsidR="008C0A8D" w:rsidRPr="00860F12" w:rsidTr="00174ECA">
        <w:tblPrEx>
          <w:tblBorders>
            <w:top w:val="single" w:sz="4" w:space="0" w:color="495965"/>
            <w:bottom w:val="single" w:sz="4" w:space="0" w:color="495965"/>
            <w:insideH w:val="single" w:sz="4" w:space="0" w:color="495965"/>
          </w:tblBorders>
        </w:tblPrEx>
        <w:trPr>
          <w:cnfStyle w:val="000000100000" w:firstRow="0" w:lastRow="0" w:firstColumn="0" w:lastColumn="0" w:oddVBand="0" w:evenVBand="0" w:oddHBand="1" w:evenHBand="0" w:firstRowFirstColumn="0" w:firstRowLastColumn="0" w:lastRowFirstColumn="0" w:lastRowLastColumn="0"/>
          <w:trHeight w:val="2274"/>
        </w:trPr>
        <w:tc>
          <w:tcPr>
            <w:cnfStyle w:val="001000000000" w:firstRow="0" w:lastRow="0" w:firstColumn="1" w:lastColumn="0" w:oddVBand="0" w:evenVBand="0" w:oddHBand="0" w:evenHBand="0" w:firstRowFirstColumn="0" w:firstRowLastColumn="0" w:lastRowFirstColumn="0" w:lastRowLastColumn="0"/>
            <w:tcW w:w="1516" w:type="pct"/>
            <w:tcBorders>
              <w:top w:val="single" w:sz="2" w:space="0" w:color="833C0B" w:themeColor="accent2" w:themeShade="80"/>
              <w:left w:val="single" w:sz="2" w:space="0" w:color="833C0B" w:themeColor="accent2" w:themeShade="80"/>
              <w:right w:val="single" w:sz="2" w:space="0" w:color="833C0B" w:themeColor="accent2" w:themeShade="80"/>
            </w:tcBorders>
            <w:hideMark/>
          </w:tcPr>
          <w:p w:rsidR="0048574F" w:rsidRPr="00860F12" w:rsidRDefault="0048574F" w:rsidP="008C0A8D">
            <w:pPr>
              <w:keepNext/>
              <w:keepLines/>
              <w:suppressAutoHyphens/>
              <w:spacing w:before="0" w:after="0" w:line="240" w:lineRule="auto"/>
              <w:contextualSpacing/>
              <w:outlineLvl w:val="2"/>
              <w:rPr>
                <w:rFonts w:asciiTheme="minorHAnsi" w:eastAsia="MS Gothic" w:hAnsiTheme="minorHAnsi" w:cs="Times New Roman"/>
                <w:b/>
                <w:bCs/>
              </w:rPr>
            </w:pPr>
            <w:r w:rsidRPr="00860F12">
              <w:rPr>
                <w:rFonts w:asciiTheme="minorHAnsi" w:eastAsia="MS Gothic" w:hAnsiTheme="minorHAnsi" w:cs="Times New Roman"/>
                <w:b/>
                <w:bCs/>
              </w:rPr>
              <w:t>Recommendation 5</w:t>
            </w:r>
          </w:p>
          <w:p w:rsidR="0048574F" w:rsidRPr="00860F12" w:rsidRDefault="0048574F" w:rsidP="008C0A8D">
            <w:pPr>
              <w:spacing w:before="0" w:after="0" w:line="240" w:lineRule="auto"/>
              <w:rPr>
                <w:rFonts w:asciiTheme="minorHAnsi" w:hAnsiTheme="minorHAnsi" w:cs="Times New Roman"/>
                <w:lang w:val="en-GB"/>
              </w:rPr>
            </w:pPr>
            <w:r w:rsidRPr="00860F12">
              <w:rPr>
                <w:rFonts w:asciiTheme="minorHAnsi" w:hAnsiTheme="minorHAnsi" w:cs="Times New Roman"/>
              </w:rPr>
              <w:t xml:space="preserve">Consolidation works under preparation address some of the issues in water quality and sanitation in </w:t>
            </w:r>
            <w:proofErr w:type="spellStart"/>
            <w:r w:rsidRPr="00860F12">
              <w:rPr>
                <w:rFonts w:asciiTheme="minorHAnsi" w:hAnsiTheme="minorHAnsi" w:cs="Times New Roman"/>
              </w:rPr>
              <w:t>Chegutu</w:t>
            </w:r>
            <w:proofErr w:type="spellEnd"/>
            <w:r w:rsidRPr="00860F12">
              <w:rPr>
                <w:rFonts w:asciiTheme="minorHAnsi" w:hAnsiTheme="minorHAnsi" w:cs="Times New Roman"/>
              </w:rPr>
              <w:t>.</w:t>
            </w:r>
          </w:p>
        </w:tc>
        <w:tc>
          <w:tcPr>
            <w:tcW w:w="614" w:type="pct"/>
            <w:tcBorders>
              <w:top w:val="single" w:sz="2" w:space="0" w:color="833C0B" w:themeColor="accent2" w:themeShade="80"/>
              <w:left w:val="single" w:sz="2" w:space="0" w:color="833C0B" w:themeColor="accent2" w:themeShade="80"/>
              <w:right w:val="single" w:sz="2" w:space="0" w:color="833C0B" w:themeColor="accent2" w:themeShade="80"/>
            </w:tcBorders>
            <w:shd w:val="clear" w:color="auto" w:fill="92D050"/>
            <w:hideMark/>
          </w:tcPr>
          <w:p w:rsidR="0048574F" w:rsidRPr="00860F12" w:rsidRDefault="0048574F" w:rsidP="008C0A8D">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rPr>
            </w:pPr>
            <w:r w:rsidRPr="00860F12">
              <w:rPr>
                <w:rFonts w:asciiTheme="minorHAnsi" w:hAnsiTheme="minorHAnsi" w:cs="Times New Roman"/>
              </w:rPr>
              <w:t>Ag</w:t>
            </w:r>
            <w:r w:rsidRPr="00860F12">
              <w:rPr>
                <w:rFonts w:asciiTheme="minorHAnsi" w:eastAsia="MS Gothic" w:hAnsiTheme="minorHAnsi" w:cs="Times New Roman"/>
                <w:bCs/>
              </w:rPr>
              <w:t>ree</w:t>
            </w:r>
          </w:p>
        </w:tc>
        <w:tc>
          <w:tcPr>
            <w:tcW w:w="1146" w:type="pct"/>
            <w:tcBorders>
              <w:top w:val="single" w:sz="2" w:space="0" w:color="833C0B" w:themeColor="accent2" w:themeShade="80"/>
              <w:left w:val="single" w:sz="2" w:space="0" w:color="833C0B" w:themeColor="accent2" w:themeShade="80"/>
              <w:right w:val="single" w:sz="2" w:space="0" w:color="833C0B" w:themeColor="accent2" w:themeShade="80"/>
            </w:tcBorders>
          </w:tcPr>
          <w:p w:rsidR="0048574F" w:rsidRPr="00860F12" w:rsidRDefault="0048574F" w:rsidP="008C0A8D">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rPr>
            </w:pPr>
            <w:r w:rsidRPr="00860F12">
              <w:rPr>
                <w:rFonts w:asciiTheme="minorHAnsi" w:hAnsiTheme="minorHAnsi" w:cs="Times New Roman"/>
              </w:rPr>
              <w:t>The recommendation is techni</w:t>
            </w:r>
            <w:r w:rsidR="00ED1DA6">
              <w:rPr>
                <w:rFonts w:asciiTheme="minorHAnsi" w:hAnsiTheme="minorHAnsi" w:cs="Times New Roman"/>
              </w:rPr>
              <w:t>cally feasible and part of the c</w:t>
            </w:r>
            <w:r w:rsidRPr="00860F12">
              <w:rPr>
                <w:rFonts w:asciiTheme="minorHAnsi" w:hAnsiTheme="minorHAnsi" w:cs="Times New Roman"/>
              </w:rPr>
              <w:t>onsolidation program of works.</w:t>
            </w:r>
          </w:p>
        </w:tc>
        <w:tc>
          <w:tcPr>
            <w:tcW w:w="854" w:type="pct"/>
            <w:tcBorders>
              <w:top w:val="single" w:sz="2" w:space="0" w:color="833C0B" w:themeColor="accent2" w:themeShade="80"/>
              <w:left w:val="single" w:sz="2" w:space="0" w:color="833C0B" w:themeColor="accent2" w:themeShade="80"/>
              <w:right w:val="single" w:sz="2" w:space="0" w:color="833C0B" w:themeColor="accent2" w:themeShade="80"/>
            </w:tcBorders>
          </w:tcPr>
          <w:p w:rsidR="0048574F" w:rsidRPr="00860F12" w:rsidRDefault="0048574F" w:rsidP="008C0A8D">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rPr>
            </w:pPr>
            <w:r w:rsidRPr="00860F12">
              <w:rPr>
                <w:rFonts w:asciiTheme="minorHAnsi" w:hAnsiTheme="minorHAnsi" w:cs="Times New Roman"/>
              </w:rPr>
              <w:t xml:space="preserve">POC requests updates from MMU at POC meetings on </w:t>
            </w:r>
            <w:r w:rsidR="008C0A8D" w:rsidRPr="00860F12">
              <w:rPr>
                <w:rFonts w:asciiTheme="minorHAnsi" w:hAnsiTheme="minorHAnsi" w:cs="Times New Roman"/>
              </w:rPr>
              <w:t>the consolidation works.</w:t>
            </w:r>
          </w:p>
        </w:tc>
        <w:tc>
          <w:tcPr>
            <w:tcW w:w="870" w:type="pct"/>
            <w:tcBorders>
              <w:top w:val="single" w:sz="2" w:space="0" w:color="833C0B" w:themeColor="accent2" w:themeShade="80"/>
              <w:left w:val="single" w:sz="2" w:space="0" w:color="833C0B" w:themeColor="accent2" w:themeShade="80"/>
            </w:tcBorders>
          </w:tcPr>
          <w:p w:rsidR="0048574F" w:rsidRPr="00860F12" w:rsidRDefault="0048574F" w:rsidP="008C0A8D">
            <w:pPr>
              <w:spacing w:before="0"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rPr>
            </w:pPr>
            <w:r w:rsidRPr="00860F12">
              <w:rPr>
                <w:rFonts w:asciiTheme="minorHAnsi" w:hAnsiTheme="minorHAnsi" w:cs="Times New Roman"/>
              </w:rPr>
              <w:t>Next POC (September 2017)</w:t>
            </w:r>
          </w:p>
        </w:tc>
      </w:tr>
    </w:tbl>
    <w:p w:rsidR="00BB00ED" w:rsidRPr="00BB00ED" w:rsidRDefault="00BB00ED" w:rsidP="00BB00ED">
      <w:pPr>
        <w:suppressAutoHyphens/>
        <w:spacing w:before="120" w:after="60" w:line="260" w:lineRule="atLeast"/>
        <w:rPr>
          <w:rFonts w:ascii="Calibri Light" w:eastAsia="Calibri Light" w:hAnsi="Calibri Light" w:cs="Times New Roman"/>
          <w:color w:val="495965"/>
          <w:lang w:val="en-GB"/>
        </w:rPr>
      </w:pPr>
    </w:p>
    <w:p w:rsidR="00BB00ED" w:rsidRPr="00BB00ED" w:rsidRDefault="00BB00ED" w:rsidP="00BB00ED">
      <w:pPr>
        <w:suppressAutoHyphens/>
        <w:spacing w:before="120" w:after="60" w:line="260" w:lineRule="atLeast"/>
        <w:rPr>
          <w:rFonts w:ascii="Calibri Light" w:eastAsia="Calibri Light" w:hAnsi="Calibri Light" w:cs="Times New Roman"/>
          <w:color w:val="495965"/>
        </w:rPr>
      </w:pPr>
    </w:p>
    <w:p w:rsidR="00487757" w:rsidRDefault="009B10CE"/>
    <w:sectPr w:rsidR="00487757" w:rsidSect="00860F12">
      <w:headerReference w:type="even" r:id="rId7"/>
      <w:headerReference w:type="default" r:id="rId8"/>
      <w:footerReference w:type="even" r:id="rId9"/>
      <w:footerReference w:type="default" r:id="rId10"/>
      <w:headerReference w:type="first" r:id="rId11"/>
      <w:footerReference w:type="first" r:id="rId12"/>
      <w:pgSz w:w="11906" w:h="16838" w:code="9"/>
      <w:pgMar w:top="3261"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F12" w:rsidRDefault="00860F12" w:rsidP="00860F12">
      <w:pPr>
        <w:spacing w:after="0" w:line="240" w:lineRule="auto"/>
      </w:pPr>
      <w:r>
        <w:separator/>
      </w:r>
    </w:p>
  </w:endnote>
  <w:endnote w:type="continuationSeparator" w:id="0">
    <w:p w:rsidR="00860F12" w:rsidRDefault="00860F12" w:rsidP="00860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0CE" w:rsidRDefault="009B10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0CE" w:rsidRDefault="009B10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0CE" w:rsidRDefault="009B1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F12" w:rsidRDefault="00860F12" w:rsidP="00860F12">
      <w:pPr>
        <w:spacing w:after="0" w:line="240" w:lineRule="auto"/>
      </w:pPr>
      <w:r>
        <w:separator/>
      </w:r>
    </w:p>
  </w:footnote>
  <w:footnote w:type="continuationSeparator" w:id="0">
    <w:p w:rsidR="00860F12" w:rsidRDefault="00860F12" w:rsidP="00860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0CE" w:rsidRDefault="009B10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0CE" w:rsidRDefault="009B10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F12" w:rsidRDefault="00203F53" w:rsidP="00203F53">
    <w:pPr>
      <w:pStyle w:val="Header"/>
      <w:jc w:val="right"/>
      <w:rPr>
        <w:b/>
        <w:sz w:val="28"/>
        <w:szCs w:val="28"/>
      </w:rPr>
    </w:pPr>
    <w:r>
      <w:rPr>
        <w:b/>
        <w:sz w:val="28"/>
        <w:szCs w:val="28"/>
      </w:rPr>
      <w:t>Attachment B</w:t>
    </w:r>
  </w:p>
  <w:p w:rsidR="00203F53" w:rsidRDefault="00203F53" w:rsidP="00203F53">
    <w:pPr>
      <w:pStyle w:val="Header"/>
      <w:jc w:val="right"/>
      <w:rPr>
        <w:b/>
        <w:sz w:val="28"/>
        <w:szCs w:val="28"/>
      </w:rPr>
    </w:pPr>
  </w:p>
  <w:p w:rsidR="00860F12" w:rsidRPr="00DE1DCC" w:rsidRDefault="00860F12" w:rsidP="00860F12">
    <w:pPr>
      <w:pStyle w:val="Header"/>
      <w:rPr>
        <w:rFonts w:asciiTheme="majorHAnsi" w:eastAsia="MS Gothic" w:hAnsiTheme="majorHAnsi" w:cs="Times New Roman"/>
        <w:bCs/>
        <w:sz w:val="24"/>
        <w:szCs w:val="24"/>
      </w:rPr>
    </w:pPr>
    <w:r w:rsidRPr="00DE1DCC">
      <w:rPr>
        <w:rFonts w:asciiTheme="majorHAnsi" w:hAnsiTheme="majorHAnsi"/>
        <w:b/>
        <w:sz w:val="24"/>
        <w:szCs w:val="24"/>
      </w:rPr>
      <w:t xml:space="preserve">DFAT Management Response:  </w:t>
    </w:r>
    <w:r w:rsidRPr="00DE1DCC">
      <w:rPr>
        <w:rFonts w:asciiTheme="majorHAnsi" w:hAnsiTheme="majorHAnsi"/>
        <w:sz w:val="24"/>
        <w:szCs w:val="24"/>
      </w:rPr>
      <w:t>to the</w:t>
    </w:r>
    <w:r w:rsidRPr="00DE1DCC">
      <w:rPr>
        <w:rFonts w:asciiTheme="majorHAnsi" w:hAnsiTheme="majorHAnsi"/>
        <w:b/>
        <w:sz w:val="24"/>
        <w:szCs w:val="24"/>
      </w:rPr>
      <w:t xml:space="preserve"> </w:t>
    </w:r>
    <w:r w:rsidRPr="00DE1DCC">
      <w:rPr>
        <w:rFonts w:asciiTheme="majorHAnsi" w:eastAsia="MS Gothic" w:hAnsiTheme="majorHAnsi" w:cs="Times New Roman"/>
        <w:bCs/>
        <w:sz w:val="24"/>
        <w:szCs w:val="24"/>
      </w:rPr>
      <w:t xml:space="preserve">Independent Outcomes and Impact Evaluation Report on the Zimbabwe Multi-Donor Trust Fund.  </w:t>
    </w:r>
  </w:p>
  <w:p w:rsidR="00860F12" w:rsidRPr="00DE1DCC" w:rsidRDefault="00860F12" w:rsidP="00860F12">
    <w:pPr>
      <w:pStyle w:val="Header"/>
      <w:rPr>
        <w:rFonts w:asciiTheme="majorHAnsi" w:hAnsiTheme="majorHAnsi"/>
        <w:b/>
        <w:sz w:val="24"/>
        <w:szCs w:val="24"/>
      </w:rPr>
    </w:pPr>
    <w:r w:rsidRPr="00DE1DCC">
      <w:rPr>
        <w:rFonts w:asciiTheme="majorHAnsi" w:eastAsia="MS Gothic" w:hAnsiTheme="majorHAnsi" w:cs="Times New Roman"/>
        <w:bCs/>
        <w:sz w:val="24"/>
        <w:szCs w:val="24"/>
      </w:rPr>
      <w:t>The Zimbabwe Multi-Donor Trust Fund includes Australia, Denmark, Germany, Norway, Switzerland, Sweden and the United Kingdom. The trust fund was established as part of an emergency response to a cho</w:t>
    </w:r>
    <w:r w:rsidR="00ED1DA6" w:rsidRPr="00DE1DCC">
      <w:rPr>
        <w:rFonts w:asciiTheme="majorHAnsi" w:eastAsia="MS Gothic" w:hAnsiTheme="majorHAnsi" w:cs="Times New Roman"/>
        <w:bCs/>
        <w:sz w:val="24"/>
        <w:szCs w:val="24"/>
      </w:rPr>
      <w:t>lera</w:t>
    </w:r>
    <w:r w:rsidRPr="00DE1DCC">
      <w:rPr>
        <w:rFonts w:asciiTheme="majorHAnsi" w:eastAsia="MS Gothic" w:hAnsiTheme="majorHAnsi" w:cs="Times New Roman"/>
        <w:bCs/>
        <w:sz w:val="24"/>
        <w:szCs w:val="24"/>
      </w:rPr>
      <w:t xml:space="preserve"> outbreak in Zimbabwe in 2010. The trust fund aimed to assist the Government of Zimbabwe address supply and quality issues in the delivery of water, sanitation and power services.  </w:t>
    </w:r>
  </w:p>
  <w:p w:rsidR="00860F12" w:rsidRPr="00DE1DCC" w:rsidRDefault="00860F12">
    <w:pPr>
      <w:pStyle w:val="Header"/>
      <w:rPr>
        <w:rFonts w:asciiTheme="majorHAnsi" w:hAnsiTheme="majorHAnsi"/>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413C95"/>
    <w:multiLevelType w:val="hybridMultilevel"/>
    <w:tmpl w:val="B818285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0ED"/>
    <w:rsid w:val="00074798"/>
    <w:rsid w:val="00091618"/>
    <w:rsid w:val="0010621B"/>
    <w:rsid w:val="00140683"/>
    <w:rsid w:val="001407FC"/>
    <w:rsid w:val="00174ECA"/>
    <w:rsid w:val="001A7B32"/>
    <w:rsid w:val="00203F53"/>
    <w:rsid w:val="00232209"/>
    <w:rsid w:val="002546CE"/>
    <w:rsid w:val="00285B69"/>
    <w:rsid w:val="00426D42"/>
    <w:rsid w:val="0048574F"/>
    <w:rsid w:val="004E139A"/>
    <w:rsid w:val="004F021B"/>
    <w:rsid w:val="005415F0"/>
    <w:rsid w:val="0059275B"/>
    <w:rsid w:val="00676277"/>
    <w:rsid w:val="00685479"/>
    <w:rsid w:val="0073756E"/>
    <w:rsid w:val="0076694F"/>
    <w:rsid w:val="00860F12"/>
    <w:rsid w:val="008A6BF9"/>
    <w:rsid w:val="008C0A8D"/>
    <w:rsid w:val="009B10CE"/>
    <w:rsid w:val="00A048F5"/>
    <w:rsid w:val="00A912B1"/>
    <w:rsid w:val="00BB00ED"/>
    <w:rsid w:val="00C76A5A"/>
    <w:rsid w:val="00CA3423"/>
    <w:rsid w:val="00D223DE"/>
    <w:rsid w:val="00DE1DCC"/>
    <w:rsid w:val="00E149AE"/>
    <w:rsid w:val="00E60715"/>
    <w:rsid w:val="00EC7AC0"/>
    <w:rsid w:val="00ED1D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FATTable1">
    <w:name w:val="DFAT Table 1"/>
    <w:basedOn w:val="TableNormal"/>
    <w:uiPriority w:val="99"/>
    <w:rsid w:val="00BB00ED"/>
    <w:pPr>
      <w:spacing w:before="60" w:after="60" w:line="260" w:lineRule="atLeast"/>
    </w:pPr>
    <w:rPr>
      <w:rFonts w:ascii="Calibri" w:hAnsi="Calibri"/>
      <w:color w:val="495965"/>
    </w:rPr>
    <w:tblPr>
      <w:tblStyleRowBandSize w:val="1"/>
      <w:tblStyleColBandSize w:val="1"/>
      <w:tblBorders>
        <w:top w:val="single" w:sz="4" w:space="0" w:color="495965"/>
        <w:bottom w:val="single" w:sz="4" w:space="0" w:color="495965"/>
        <w:insideH w:val="single" w:sz="4" w:space="0" w:color="495965"/>
      </w:tblBorders>
      <w:tblCellMar>
        <w:top w:w="57" w:type="dxa"/>
        <w:bottom w:w="57" w:type="dxa"/>
      </w:tblCellMar>
    </w:tblPr>
    <w:tblStylePr w:type="firstRow">
      <w:rPr>
        <w:b w:val="0"/>
      </w:rPr>
      <w:tblPr/>
      <w:trPr>
        <w:tblHeader/>
      </w:trPr>
      <w:tcPr>
        <w:tcBorders>
          <w:top w:val="single" w:sz="4" w:space="0" w:color="D3875F"/>
          <w:bottom w:val="single" w:sz="4" w:space="0" w:color="D3875F"/>
          <w:insideH w:val="single" w:sz="4" w:space="0" w:color="D3875F"/>
        </w:tcBorders>
        <w:shd w:val="clear" w:color="auto" w:fill="D3875F"/>
      </w:tcPr>
    </w:tblStylePr>
    <w:tblStylePr w:type="lastRow">
      <w:rPr>
        <w:b/>
        <w:color w:val="FFFFFF"/>
      </w:rPr>
      <w:tblPr/>
      <w:tcPr>
        <w:shd w:val="clear" w:color="auto" w:fill="495965"/>
      </w:tcPr>
    </w:tblStylePr>
    <w:tblStylePr w:type="firstCol">
      <w:tblPr/>
      <w:tcPr>
        <w:shd w:val="clear" w:color="auto" w:fill="D8DCDB"/>
      </w:tcPr>
    </w:tblStylePr>
    <w:tblStylePr w:type="lastCol">
      <w:tblPr/>
      <w:tcPr>
        <w:shd w:val="clear" w:color="auto" w:fill="D8DCDB"/>
      </w:tcPr>
    </w:tblStylePr>
    <w:tblStylePr w:type="band1Vert">
      <w:tblPr/>
      <w:tcPr>
        <w:shd w:val="clear" w:color="auto" w:fill="F6E6DE"/>
      </w:tcPr>
    </w:tblStylePr>
    <w:tblStylePr w:type="band2Vert">
      <w:tblPr/>
      <w:tcPr>
        <w:shd w:val="clear" w:color="auto" w:fill="EDCEBE"/>
      </w:tcPr>
    </w:tblStylePr>
    <w:tblStylePr w:type="band1Horz">
      <w:tblPr/>
      <w:tcPr>
        <w:shd w:val="clear" w:color="auto" w:fill="F6E6DE"/>
      </w:tcPr>
    </w:tblStylePr>
    <w:tblStylePr w:type="band2Horz">
      <w:tblPr/>
      <w:tcPr>
        <w:shd w:val="clear" w:color="auto" w:fill="EDCEBE"/>
      </w:tcPr>
    </w:tblStylePr>
  </w:style>
  <w:style w:type="paragraph" w:styleId="ListParagraph">
    <w:name w:val="List Paragraph"/>
    <w:basedOn w:val="Normal"/>
    <w:link w:val="ListParagraphChar"/>
    <w:uiPriority w:val="34"/>
    <w:qFormat/>
    <w:rsid w:val="00A912B1"/>
    <w:pPr>
      <w:spacing w:before="240" w:after="0" w:line="240" w:lineRule="auto"/>
      <w:ind w:left="720"/>
      <w:contextualSpacing/>
      <w:jc w:val="both"/>
    </w:pPr>
    <w:rPr>
      <w:lang w:val="en-GB"/>
    </w:rPr>
  </w:style>
  <w:style w:type="character" w:customStyle="1" w:styleId="ListParagraphChar">
    <w:name w:val="List Paragraph Char"/>
    <w:basedOn w:val="DefaultParagraphFont"/>
    <w:link w:val="ListParagraph"/>
    <w:uiPriority w:val="34"/>
    <w:locked/>
    <w:rsid w:val="00A912B1"/>
    <w:rPr>
      <w:lang w:val="en-GB"/>
    </w:rPr>
  </w:style>
  <w:style w:type="paragraph" w:styleId="Header">
    <w:name w:val="header"/>
    <w:basedOn w:val="Normal"/>
    <w:link w:val="HeaderChar"/>
    <w:uiPriority w:val="99"/>
    <w:unhideWhenUsed/>
    <w:rsid w:val="00860F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F12"/>
  </w:style>
  <w:style w:type="paragraph" w:styleId="Footer">
    <w:name w:val="footer"/>
    <w:basedOn w:val="Normal"/>
    <w:link w:val="FooterChar"/>
    <w:uiPriority w:val="99"/>
    <w:unhideWhenUsed/>
    <w:rsid w:val="00860F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F12"/>
  </w:style>
  <w:style w:type="paragraph" w:styleId="BalloonText">
    <w:name w:val="Balloon Text"/>
    <w:basedOn w:val="Normal"/>
    <w:link w:val="BalloonTextChar"/>
    <w:uiPriority w:val="99"/>
    <w:semiHidden/>
    <w:unhideWhenUsed/>
    <w:rsid w:val="00174E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E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6F433C-9805-46F4-98D1-5A2F4ED9946B}"/>
</file>

<file path=customXml/itemProps2.xml><?xml version="1.0" encoding="utf-8"?>
<ds:datastoreItem xmlns:ds="http://schemas.openxmlformats.org/officeDocument/2006/customXml" ds:itemID="{F53EFB7F-D9F4-468B-A5C9-BB64B55181AD}"/>
</file>

<file path=customXml/itemProps3.xml><?xml version="1.0" encoding="utf-8"?>
<ds:datastoreItem xmlns:ds="http://schemas.openxmlformats.org/officeDocument/2006/customXml" ds:itemID="{0B7772C6-A768-4E6C-BAB5-FBFD88189C82}"/>
</file>

<file path=docProps/app.xml><?xml version="1.0" encoding="utf-8"?>
<Properties xmlns="http://schemas.openxmlformats.org/officeDocument/2006/extended-properties" xmlns:vt="http://schemas.openxmlformats.org/officeDocument/2006/docPropsVTypes">
  <Template>Normal.dotm</Template>
  <TotalTime>0</TotalTime>
  <Pages>3</Pages>
  <Words>566</Words>
  <Characters>2926</Characters>
  <Application>Microsoft Office Word</Application>
  <DocSecurity>0</DocSecurity>
  <Lines>139</Lines>
  <Paragraphs>65</Paragraphs>
  <ScaleCrop>false</ScaleCrop>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2017-12-11T05:14:00Z</dcterms:created>
  <dcterms:modified xsi:type="dcterms:W3CDTF">2017-12-11T05:15:00Z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a58e718c-fe61-4d8b-a49d-bb1ff3181672</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1138400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