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92E02" w14:textId="7615D127" w:rsidR="000E7145" w:rsidRPr="007C7959" w:rsidRDefault="00D9314B" w:rsidP="6DF0B74F">
      <w:pPr>
        <w:pStyle w:val="Heading1"/>
        <w:jc w:val="center"/>
        <w:rPr>
          <w:sz w:val="36"/>
          <w:szCs w:val="36"/>
        </w:rPr>
      </w:pPr>
      <w:r>
        <w:rPr>
          <w:sz w:val="36"/>
          <w:szCs w:val="36"/>
        </w:rPr>
        <w:t>Independent</w:t>
      </w:r>
      <w:r w:rsidR="000E7145" w:rsidRPr="007C7959">
        <w:rPr>
          <w:sz w:val="36"/>
          <w:szCs w:val="36"/>
        </w:rPr>
        <w:t xml:space="preserve"> </w:t>
      </w:r>
      <w:r w:rsidR="00236290">
        <w:rPr>
          <w:sz w:val="36"/>
          <w:szCs w:val="36"/>
        </w:rPr>
        <w:t>H</w:t>
      </w:r>
      <w:r w:rsidR="002D14EB">
        <w:rPr>
          <w:sz w:val="36"/>
          <w:szCs w:val="36"/>
        </w:rPr>
        <w:t>igh-</w:t>
      </w:r>
      <w:r w:rsidR="00236290">
        <w:rPr>
          <w:sz w:val="36"/>
          <w:szCs w:val="36"/>
        </w:rPr>
        <w:t>L</w:t>
      </w:r>
      <w:r w:rsidR="002D14EB">
        <w:rPr>
          <w:sz w:val="36"/>
          <w:szCs w:val="36"/>
        </w:rPr>
        <w:t xml:space="preserve">evel </w:t>
      </w:r>
      <w:r w:rsidR="000E7145" w:rsidRPr="007C7959">
        <w:rPr>
          <w:sz w:val="36"/>
          <w:szCs w:val="36"/>
        </w:rPr>
        <w:t xml:space="preserve">Evaluation of </w:t>
      </w:r>
      <w:r w:rsidR="00236290">
        <w:rPr>
          <w:sz w:val="36"/>
          <w:szCs w:val="36"/>
        </w:rPr>
        <w:t xml:space="preserve">the ILO’s Better Work Programme (2014-25) with a focus on Phase V Strategy (2022-2027) </w:t>
      </w:r>
    </w:p>
    <w:p w14:paraId="7E6213AC" w14:textId="3AB80B0B" w:rsidR="000E7145" w:rsidRPr="007C7959" w:rsidRDefault="00236290" w:rsidP="6DF0B74F">
      <w:pPr>
        <w:pStyle w:val="Heading1"/>
        <w:jc w:val="center"/>
        <w:rPr>
          <w:sz w:val="36"/>
          <w:szCs w:val="36"/>
        </w:rPr>
      </w:pPr>
      <w:r>
        <w:rPr>
          <w:sz w:val="36"/>
          <w:szCs w:val="36"/>
        </w:rPr>
        <w:t>September</w:t>
      </w:r>
      <w:r w:rsidR="51316DC6" w:rsidRPr="007C7959">
        <w:rPr>
          <w:sz w:val="36"/>
          <w:szCs w:val="36"/>
        </w:rPr>
        <w:t xml:space="preserve"> 2025</w:t>
      </w:r>
    </w:p>
    <w:p w14:paraId="13999E8E" w14:textId="7C9EB13F" w:rsidR="000E7145" w:rsidRPr="007C7959" w:rsidRDefault="000E7145" w:rsidP="000E7145">
      <w:pPr>
        <w:pStyle w:val="Heading2"/>
      </w:pPr>
      <w:r>
        <w:t>DFAT Management Response to Partner-led Independent</w:t>
      </w:r>
      <w:r w:rsidR="00B027F0">
        <w:t xml:space="preserve"> High-Level</w:t>
      </w:r>
      <w:r>
        <w:t xml:space="preserve"> Evaluation</w:t>
      </w:r>
    </w:p>
    <w:p w14:paraId="4E09668C" w14:textId="14332D80" w:rsidR="1815DF81" w:rsidRDefault="1815DF81" w:rsidP="000A2278">
      <w:pPr>
        <w:jc w:val="both"/>
        <w:rPr>
          <w:rFonts w:ascii="Aptos" w:eastAsia="Aptos" w:hAnsi="Aptos"/>
        </w:rPr>
      </w:pPr>
      <w:r w:rsidRPr="435B13B3">
        <w:rPr>
          <w:rFonts w:ascii="Aptos" w:eastAsia="Aptos" w:hAnsi="Aptos"/>
        </w:rPr>
        <w:t xml:space="preserve">The Better Work Programme is a collaboration between the International Labour Organization (ILO) and International Finance Corporation (IFC). Australia’s investment in Better Work is well aligned with </w:t>
      </w:r>
      <w:r w:rsidR="007600EA">
        <w:rPr>
          <w:rFonts w:ascii="Aptos" w:eastAsia="Aptos" w:hAnsi="Aptos"/>
        </w:rPr>
        <w:t>its</w:t>
      </w:r>
      <w:r w:rsidR="007600EA" w:rsidRPr="435B13B3">
        <w:rPr>
          <w:rFonts w:ascii="Aptos" w:eastAsia="Aptos" w:hAnsi="Aptos"/>
        </w:rPr>
        <w:t xml:space="preserve"> </w:t>
      </w:r>
      <w:r w:rsidRPr="435B13B3">
        <w:rPr>
          <w:rFonts w:ascii="Aptos" w:eastAsia="Aptos" w:hAnsi="Aptos"/>
          <w:i/>
          <w:iCs/>
        </w:rPr>
        <w:t>International Development </w:t>
      </w:r>
      <w:r w:rsidRPr="00D665E3">
        <w:rPr>
          <w:rFonts w:ascii="Aptos" w:eastAsia="Aptos" w:hAnsi="Aptos"/>
          <w:i/>
          <w:iCs/>
        </w:rPr>
        <w:t>Polic</w:t>
      </w:r>
      <w:r w:rsidR="00D665E3">
        <w:rPr>
          <w:rFonts w:ascii="Aptos" w:eastAsia="Aptos" w:hAnsi="Aptos"/>
          <w:i/>
          <w:iCs/>
        </w:rPr>
        <w:t>y</w:t>
      </w:r>
      <w:r w:rsidR="00C23B53">
        <w:rPr>
          <w:rFonts w:ascii="Aptos" w:eastAsia="Aptos" w:hAnsi="Aptos"/>
        </w:rPr>
        <w:t xml:space="preserve">. It </w:t>
      </w:r>
      <w:r w:rsidRPr="435B13B3">
        <w:rPr>
          <w:rFonts w:ascii="Aptos" w:eastAsia="Aptos" w:hAnsi="Aptos"/>
        </w:rPr>
        <w:t xml:space="preserve">supports Better Work activities in four </w:t>
      </w:r>
      <w:r w:rsidR="007600EA">
        <w:rPr>
          <w:rFonts w:ascii="Aptos" w:eastAsia="Aptos" w:hAnsi="Aptos"/>
        </w:rPr>
        <w:t>Indo-Pacific developing</w:t>
      </w:r>
      <w:r w:rsidR="007600EA" w:rsidRPr="435B13B3">
        <w:rPr>
          <w:rFonts w:ascii="Aptos" w:eastAsia="Aptos" w:hAnsi="Aptos"/>
        </w:rPr>
        <w:t xml:space="preserve"> </w:t>
      </w:r>
      <w:r w:rsidRPr="435B13B3">
        <w:rPr>
          <w:rFonts w:ascii="Aptos" w:eastAsia="Aptos" w:hAnsi="Aptos"/>
        </w:rPr>
        <w:t xml:space="preserve">countries: Bangladesh, Cambodia, Sri Lanka, and Vietnam. </w:t>
      </w:r>
    </w:p>
    <w:p w14:paraId="466D58E3" w14:textId="55AE7A0E" w:rsidR="1815DF81" w:rsidRDefault="1815DF81" w:rsidP="000A2278">
      <w:pPr>
        <w:jc w:val="both"/>
        <w:rPr>
          <w:rFonts w:ascii="Aptos" w:eastAsia="Aptos" w:hAnsi="Aptos"/>
        </w:rPr>
      </w:pPr>
      <w:r w:rsidRPr="435B13B3">
        <w:rPr>
          <w:rFonts w:ascii="Aptos" w:eastAsia="Aptos" w:hAnsi="Aptos"/>
          <w:lang w:val="en-US"/>
        </w:rPr>
        <w:t>Better Work promotes economic resilience and inclusive growth by partnering with governments, the private sector, unions, and workers</w:t>
      </w:r>
      <w:r w:rsidR="006823C6">
        <w:rPr>
          <w:rFonts w:ascii="Aptos" w:eastAsia="Aptos" w:hAnsi="Aptos"/>
          <w:lang w:val="en-US"/>
        </w:rPr>
        <w:t xml:space="preserve">. It aims to </w:t>
      </w:r>
      <w:r w:rsidRPr="435B13B3">
        <w:rPr>
          <w:rFonts w:ascii="Aptos" w:eastAsia="Aptos" w:hAnsi="Aptos"/>
          <w:lang w:val="en-US"/>
        </w:rPr>
        <w:t xml:space="preserve"> help improve labour standards, reduce gender discrimination, and boost the competitiveness of the garment industry in developing countries, where women and girls make up over 60 per cent of the industry’s 94 million workers, reaching nearly 80 per cent in some regions. Asia is the largest employer of garment sector workers, accounting for 75 per cent of the sector’s workers. Approximately 42 million women and girl garment workers are employed in Asia</w:t>
      </w:r>
      <w:r w:rsidR="005B3FC5" w:rsidRPr="435B13B3">
        <w:rPr>
          <w:rFonts w:ascii="Aptos" w:eastAsia="Aptos" w:hAnsi="Aptos"/>
          <w:lang w:val="en-US"/>
        </w:rPr>
        <w:t xml:space="preserve">. </w:t>
      </w:r>
      <w:r w:rsidRPr="435B13B3">
        <w:rPr>
          <w:rFonts w:ascii="Aptos" w:eastAsia="Aptos" w:hAnsi="Aptos"/>
          <w:lang w:val="en-US"/>
        </w:rPr>
        <w:t xml:space="preserve">Better Work has a strong gender focus, working to empower women and girls, reduce sexual harassment, and close the gender pay gap. Australia championed the </w:t>
      </w:r>
      <w:r w:rsidR="000701F7">
        <w:rPr>
          <w:rFonts w:ascii="Aptos" w:eastAsia="Aptos" w:hAnsi="Aptos"/>
          <w:lang w:val="en-US"/>
        </w:rPr>
        <w:t>P</w:t>
      </w:r>
      <w:r w:rsidRPr="435B13B3">
        <w:rPr>
          <w:rFonts w:ascii="Aptos" w:eastAsia="Aptos" w:hAnsi="Aptos"/>
          <w:lang w:val="en-US"/>
        </w:rPr>
        <w:t>rogram</w:t>
      </w:r>
      <w:r w:rsidR="000701F7">
        <w:rPr>
          <w:rFonts w:ascii="Aptos" w:eastAsia="Aptos" w:hAnsi="Aptos"/>
          <w:lang w:val="en-US"/>
        </w:rPr>
        <w:t>me</w:t>
      </w:r>
      <w:r w:rsidRPr="435B13B3">
        <w:rPr>
          <w:rFonts w:ascii="Aptos" w:eastAsia="Aptos" w:hAnsi="Aptos"/>
          <w:lang w:val="en-US"/>
        </w:rPr>
        <w:t xml:space="preserve">’s </w:t>
      </w:r>
      <w:r w:rsidRPr="435B13B3">
        <w:rPr>
          <w:rFonts w:ascii="Aptos" w:eastAsia="Aptos" w:hAnsi="Aptos"/>
          <w:i/>
          <w:iCs/>
          <w:lang w:val="en-US"/>
        </w:rPr>
        <w:t>Global Gender Strategy</w:t>
      </w:r>
      <w:r w:rsidRPr="435B13B3">
        <w:rPr>
          <w:rFonts w:ascii="Aptos" w:eastAsia="Aptos" w:hAnsi="Aptos"/>
          <w:lang w:val="en-US"/>
        </w:rPr>
        <w:t>.</w:t>
      </w:r>
    </w:p>
    <w:p w14:paraId="76715AE5" w14:textId="7D4133E5" w:rsidR="1815DF81" w:rsidRPr="009B280B" w:rsidRDefault="78065348" w:rsidP="000A2278">
      <w:pPr>
        <w:jc w:val="both"/>
      </w:pPr>
      <w:r>
        <w:t>The 2025 High Level Evaluation</w:t>
      </w:r>
      <w:r w:rsidR="009B280B">
        <w:t xml:space="preserve"> (HLE)</w:t>
      </w:r>
      <w:r>
        <w:t xml:space="preserve"> of the Better Work Programme</w:t>
      </w:r>
      <w:r w:rsidR="5EABB644" w:rsidRPr="1308D98D">
        <w:rPr>
          <w:rFonts w:ascii="Aptos" w:eastAsia="Aptos" w:hAnsi="Aptos" w:cs="Aptos"/>
        </w:rPr>
        <w:t xml:space="preserve"> provides an independent review of the </w:t>
      </w:r>
      <w:r w:rsidR="000701F7">
        <w:rPr>
          <w:rFonts w:ascii="Aptos" w:eastAsia="Aptos" w:hAnsi="Aptos" w:cs="Aptos"/>
        </w:rPr>
        <w:t>P</w:t>
      </w:r>
      <w:r w:rsidR="5EABB644" w:rsidRPr="1308D98D">
        <w:rPr>
          <w:rFonts w:ascii="Aptos" w:eastAsia="Aptos" w:hAnsi="Aptos" w:cs="Aptos"/>
        </w:rPr>
        <w:t>rogram</w:t>
      </w:r>
      <w:r w:rsidR="000701F7">
        <w:rPr>
          <w:rFonts w:ascii="Aptos" w:eastAsia="Aptos" w:hAnsi="Aptos" w:cs="Aptos"/>
        </w:rPr>
        <w:t>me</w:t>
      </w:r>
      <w:r w:rsidR="53FC9136" w:rsidRPr="1308D98D">
        <w:rPr>
          <w:rFonts w:ascii="Aptos" w:eastAsia="Aptos" w:hAnsi="Aptos" w:cs="Aptos"/>
        </w:rPr>
        <w:t>’</w:t>
      </w:r>
      <w:r w:rsidR="5EABB644" w:rsidRPr="1308D98D">
        <w:rPr>
          <w:rFonts w:ascii="Aptos" w:eastAsia="Aptos" w:hAnsi="Aptos" w:cs="Aptos"/>
        </w:rPr>
        <w:t xml:space="preserve">s successes and challenges, with a specific focus on the </w:t>
      </w:r>
      <w:r w:rsidR="006823C6">
        <w:rPr>
          <w:rFonts w:ascii="Aptos" w:eastAsia="Aptos" w:hAnsi="Aptos" w:cs="Aptos"/>
        </w:rPr>
        <w:t>Pro</w:t>
      </w:r>
      <w:r w:rsidR="001E6835">
        <w:rPr>
          <w:rFonts w:ascii="Aptos" w:eastAsia="Aptos" w:hAnsi="Aptos" w:cs="Aptos"/>
        </w:rPr>
        <w:t xml:space="preserve">gramme’s </w:t>
      </w:r>
      <w:r w:rsidR="5EABB644" w:rsidRPr="1308D98D">
        <w:rPr>
          <w:rFonts w:ascii="Aptos" w:eastAsia="Aptos" w:hAnsi="Aptos" w:cs="Aptos"/>
        </w:rPr>
        <w:t>c</w:t>
      </w:r>
      <w:r w:rsidR="784AA26B" w:rsidRPr="1308D98D">
        <w:rPr>
          <w:rFonts w:ascii="Aptos" w:eastAsia="Aptos" w:hAnsi="Aptos" w:cs="Aptos"/>
        </w:rPr>
        <w:t>urrent Phase V</w:t>
      </w:r>
      <w:r w:rsidR="5EABB644" w:rsidRPr="1308D98D">
        <w:rPr>
          <w:rFonts w:ascii="Aptos" w:eastAsia="Aptos" w:hAnsi="Aptos" w:cs="Aptos"/>
        </w:rPr>
        <w:t>. The HLE</w:t>
      </w:r>
      <w:r w:rsidR="76E9AE96" w:rsidRPr="1308D98D">
        <w:rPr>
          <w:rFonts w:ascii="Aptos" w:eastAsia="Aptos" w:hAnsi="Aptos" w:cs="Aptos"/>
        </w:rPr>
        <w:t xml:space="preserve"> included a </w:t>
      </w:r>
      <w:r w:rsidR="5EABB644" w:rsidRPr="1308D98D">
        <w:rPr>
          <w:rFonts w:ascii="Aptos" w:eastAsia="Aptos" w:hAnsi="Aptos" w:cs="Aptos"/>
        </w:rPr>
        <w:t>document review, a meta-study of project evaluations, stakeholder consultations with 370 participants</w:t>
      </w:r>
      <w:r w:rsidR="001E6835">
        <w:rPr>
          <w:rFonts w:ascii="Aptos" w:eastAsia="Aptos" w:hAnsi="Aptos" w:cs="Aptos"/>
        </w:rPr>
        <w:t>,</w:t>
      </w:r>
      <w:r w:rsidR="5EABB644" w:rsidRPr="1308D98D">
        <w:rPr>
          <w:rFonts w:ascii="Aptos" w:eastAsia="Aptos" w:hAnsi="Aptos" w:cs="Aptos"/>
        </w:rPr>
        <w:t xml:space="preserve"> and two surveys</w:t>
      </w:r>
      <w:r w:rsidR="001E6835">
        <w:rPr>
          <w:rFonts w:ascii="Aptos" w:eastAsia="Aptos" w:hAnsi="Aptos" w:cs="Aptos"/>
        </w:rPr>
        <w:t xml:space="preserve">, </w:t>
      </w:r>
      <w:r w:rsidR="5EABB644" w:rsidRPr="1308D98D">
        <w:rPr>
          <w:rFonts w:ascii="Aptos" w:eastAsia="Aptos" w:hAnsi="Aptos" w:cs="Aptos"/>
        </w:rPr>
        <w:t xml:space="preserve">one of ILO national constituents in </w:t>
      </w:r>
      <w:r w:rsidR="00800500">
        <w:rPr>
          <w:rFonts w:ascii="Aptos" w:eastAsia="Aptos" w:hAnsi="Aptos" w:cs="Aptos"/>
        </w:rPr>
        <w:t>P</w:t>
      </w:r>
      <w:r w:rsidR="5EABB644" w:rsidRPr="1308D98D">
        <w:rPr>
          <w:rFonts w:ascii="Aptos" w:eastAsia="Aptos" w:hAnsi="Aptos" w:cs="Aptos"/>
        </w:rPr>
        <w:t>rogramme countries and one of ILO staff. The evaluation team conducted field work in Bangladesh, Cambodia, Indonesia</w:t>
      </w:r>
      <w:r w:rsidR="00B82092">
        <w:rPr>
          <w:rFonts w:ascii="Aptos" w:eastAsia="Aptos" w:hAnsi="Aptos" w:cs="Aptos"/>
        </w:rPr>
        <w:t>,</w:t>
      </w:r>
      <w:r w:rsidR="5EABB644" w:rsidRPr="1308D98D">
        <w:rPr>
          <w:rFonts w:ascii="Aptos" w:eastAsia="Aptos" w:hAnsi="Aptos" w:cs="Aptos"/>
        </w:rPr>
        <w:t xml:space="preserve"> and Viet</w:t>
      </w:r>
      <w:r w:rsidR="6839664B" w:rsidRPr="1308D98D">
        <w:rPr>
          <w:rFonts w:ascii="Aptos" w:eastAsia="Aptos" w:hAnsi="Aptos" w:cs="Aptos"/>
        </w:rPr>
        <w:t>n</w:t>
      </w:r>
      <w:r w:rsidR="5EABB644" w:rsidRPr="1308D98D">
        <w:rPr>
          <w:rFonts w:ascii="Aptos" w:eastAsia="Aptos" w:hAnsi="Aptos" w:cs="Aptos"/>
        </w:rPr>
        <w:t>am</w:t>
      </w:r>
      <w:r w:rsidR="2F151F1F" w:rsidRPr="1308D98D">
        <w:rPr>
          <w:rFonts w:ascii="Aptos" w:eastAsia="Aptos" w:hAnsi="Aptos" w:cs="Aptos"/>
        </w:rPr>
        <w:t xml:space="preserve"> </w:t>
      </w:r>
      <w:r w:rsidR="5EABB644" w:rsidRPr="1308D98D">
        <w:rPr>
          <w:rFonts w:ascii="Aptos" w:eastAsia="Aptos" w:hAnsi="Aptos" w:cs="Aptos"/>
        </w:rPr>
        <w:t>and interviewed current and former Better Work staff across all other country programs</w:t>
      </w:r>
      <w:r w:rsidR="68D17271" w:rsidRPr="1308D98D">
        <w:rPr>
          <w:rFonts w:ascii="Aptos" w:eastAsia="Aptos" w:hAnsi="Aptos" w:cs="Aptos"/>
        </w:rPr>
        <w:t xml:space="preserve">. </w:t>
      </w:r>
      <w:r w:rsidR="330D0006">
        <w:t xml:space="preserve">DFAT was involved in </w:t>
      </w:r>
      <w:r w:rsidR="143AE008">
        <w:t>reviewing</w:t>
      </w:r>
      <w:r w:rsidR="330D0006">
        <w:t xml:space="preserve"> the Terms of Reference of the evaluation and in reviewing draft and final reports. </w:t>
      </w:r>
    </w:p>
    <w:p w14:paraId="48D333A2" w14:textId="39649835" w:rsidR="00135583" w:rsidRPr="007C7959" w:rsidRDefault="00967759" w:rsidP="008D4D26">
      <w:r w:rsidRPr="007C7959">
        <w:t xml:space="preserve">The </w:t>
      </w:r>
      <w:r w:rsidR="00F9430C">
        <w:t>E</w:t>
      </w:r>
      <w:r w:rsidRPr="007C7959">
        <w:t xml:space="preserve">valuation found </w:t>
      </w:r>
    </w:p>
    <w:p w14:paraId="6E3C6DAB" w14:textId="2A46CC9C" w:rsidR="00D26D93" w:rsidRDefault="00C079CA" w:rsidP="00D26D93">
      <w:pPr>
        <w:pStyle w:val="ListParagraph"/>
        <w:numPr>
          <w:ilvl w:val="0"/>
          <w:numId w:val="2"/>
        </w:numPr>
      </w:pPr>
      <w:r>
        <w:t>T</w:t>
      </w:r>
      <w:r w:rsidR="00420EAB">
        <w:t xml:space="preserve">he Better Work Programme has made </w:t>
      </w:r>
      <w:r w:rsidR="777B1A2D">
        <w:t>c</w:t>
      </w:r>
      <w:r w:rsidR="00420EAB">
        <w:t xml:space="preserve">ontributions to </w:t>
      </w:r>
      <w:r w:rsidR="00420EAB" w:rsidRPr="00C645CA">
        <w:rPr>
          <w:b/>
          <w:bCs/>
        </w:rPr>
        <w:t>improving factory-level compliance with labour standards, increasing productivity, and enhancing working conditions in the garment sector</w:t>
      </w:r>
      <w:r w:rsidR="00420EAB">
        <w:t xml:space="preserve">. </w:t>
      </w:r>
    </w:p>
    <w:p w14:paraId="7314CAC1" w14:textId="1B116EC5" w:rsidR="0011562B" w:rsidRDefault="00C079CA" w:rsidP="000779DF">
      <w:pPr>
        <w:pStyle w:val="ListParagraph"/>
        <w:numPr>
          <w:ilvl w:val="0"/>
          <w:numId w:val="2"/>
        </w:numPr>
      </w:pPr>
      <w:r>
        <w:lastRenderedPageBreak/>
        <w:t>T</w:t>
      </w:r>
      <w:r w:rsidR="0011562B">
        <w:t xml:space="preserve">he </w:t>
      </w:r>
      <w:r w:rsidR="00800500">
        <w:t>P</w:t>
      </w:r>
      <w:r w:rsidR="0011562B">
        <w:t xml:space="preserve">rogramme has </w:t>
      </w:r>
      <w:r w:rsidR="0011562B" w:rsidRPr="002901B3">
        <w:rPr>
          <w:b/>
          <w:bCs/>
        </w:rPr>
        <w:t xml:space="preserve">made </w:t>
      </w:r>
      <w:r w:rsidR="000A2278">
        <w:rPr>
          <w:b/>
          <w:bCs/>
        </w:rPr>
        <w:t>significant progress</w:t>
      </w:r>
      <w:r w:rsidR="0011562B" w:rsidRPr="002901B3">
        <w:rPr>
          <w:b/>
          <w:bCs/>
        </w:rPr>
        <w:t xml:space="preserve"> in gender equality</w:t>
      </w:r>
      <w:r w:rsidR="0011562B">
        <w:t xml:space="preserve">, introducing tools and training that have narrowed pay gaps and expanded opportunities for women workers. </w:t>
      </w:r>
      <w:r w:rsidR="0011562B" w:rsidRPr="002901B3">
        <w:rPr>
          <w:b/>
          <w:bCs/>
        </w:rPr>
        <w:t xml:space="preserve">Inclusion of migrant workers and persons with disabilities has also improved </w:t>
      </w:r>
      <w:r w:rsidR="0011562B">
        <w:t xml:space="preserve">through targeted pilots. </w:t>
      </w:r>
    </w:p>
    <w:p w14:paraId="01546504" w14:textId="4F9E7708" w:rsidR="00D25C63" w:rsidRDefault="00D25C63" w:rsidP="00D25C63">
      <w:pPr>
        <w:pStyle w:val="ListParagraph"/>
        <w:numPr>
          <w:ilvl w:val="0"/>
          <w:numId w:val="2"/>
        </w:numPr>
      </w:pPr>
      <w:r>
        <w:t xml:space="preserve">The </w:t>
      </w:r>
      <w:r w:rsidR="00800500">
        <w:t>P</w:t>
      </w:r>
      <w:r>
        <w:t>rogramme</w:t>
      </w:r>
      <w:r w:rsidR="198EF68F">
        <w:t>’s focus on</w:t>
      </w:r>
      <w:r w:rsidR="7F13B0CB">
        <w:t xml:space="preserve"> </w:t>
      </w:r>
      <w:r>
        <w:t>sectoral strategies, labour governance institutions, and national policy reforms</w:t>
      </w:r>
      <w:r w:rsidR="754680CE">
        <w:t xml:space="preserve"> </w:t>
      </w:r>
      <w:r>
        <w:t xml:space="preserve">has shown </w:t>
      </w:r>
      <w:r w:rsidR="00354ABE">
        <w:rPr>
          <w:b/>
          <w:bCs/>
        </w:rPr>
        <w:t>potential</w:t>
      </w:r>
      <w:r w:rsidRPr="00F73FCC">
        <w:rPr>
          <w:b/>
          <w:bCs/>
        </w:rPr>
        <w:t xml:space="preserve"> </w:t>
      </w:r>
      <w:r w:rsidR="002F6E95">
        <w:rPr>
          <w:b/>
          <w:bCs/>
        </w:rPr>
        <w:t>to</w:t>
      </w:r>
      <w:r w:rsidRPr="00F73FCC">
        <w:rPr>
          <w:b/>
          <w:bCs/>
        </w:rPr>
        <w:t xml:space="preserve"> </w:t>
      </w:r>
      <w:r w:rsidR="00195353">
        <w:rPr>
          <w:b/>
          <w:bCs/>
        </w:rPr>
        <w:t>enhanc</w:t>
      </w:r>
      <w:r w:rsidR="002F6E95">
        <w:rPr>
          <w:b/>
          <w:bCs/>
        </w:rPr>
        <w:t>e</w:t>
      </w:r>
      <w:r w:rsidRPr="00F73FCC">
        <w:rPr>
          <w:b/>
          <w:bCs/>
        </w:rPr>
        <w:t xml:space="preserve"> the </w:t>
      </w:r>
      <w:r w:rsidR="00800500">
        <w:rPr>
          <w:b/>
          <w:bCs/>
        </w:rPr>
        <w:t>P</w:t>
      </w:r>
      <w:r w:rsidRPr="00F73FCC">
        <w:rPr>
          <w:b/>
          <w:bCs/>
        </w:rPr>
        <w:t>rogramme’s relevance and increas</w:t>
      </w:r>
      <w:r w:rsidR="002F6E95">
        <w:rPr>
          <w:b/>
          <w:bCs/>
        </w:rPr>
        <w:t>e</w:t>
      </w:r>
      <w:r w:rsidRPr="00F73FCC">
        <w:rPr>
          <w:b/>
          <w:bCs/>
        </w:rPr>
        <w:t xml:space="preserve"> national ownership, but significant implementation challenges persist.</w:t>
      </w:r>
    </w:p>
    <w:p w14:paraId="1DE0456A" w14:textId="1013F96B" w:rsidR="00434D3E" w:rsidRDefault="0001056D" w:rsidP="00434D3E">
      <w:pPr>
        <w:pStyle w:val="ListParagraph"/>
        <w:numPr>
          <w:ilvl w:val="0"/>
          <w:numId w:val="2"/>
        </w:numPr>
      </w:pPr>
      <w:r>
        <w:rPr>
          <w:b/>
          <w:bCs/>
        </w:rPr>
        <w:t>T</w:t>
      </w:r>
      <w:r w:rsidR="00434D3E" w:rsidRPr="00351DBE">
        <w:rPr>
          <w:b/>
          <w:bCs/>
        </w:rPr>
        <w:t xml:space="preserve">he </w:t>
      </w:r>
      <w:r w:rsidR="00800500">
        <w:rPr>
          <w:b/>
          <w:bCs/>
        </w:rPr>
        <w:t>P</w:t>
      </w:r>
      <w:r w:rsidR="00434D3E" w:rsidRPr="00351DBE">
        <w:rPr>
          <w:b/>
          <w:bCs/>
        </w:rPr>
        <w:t xml:space="preserve">rogramme remains largely </w:t>
      </w:r>
      <w:r w:rsidR="00FC5461" w:rsidRPr="00351DBE">
        <w:rPr>
          <w:b/>
          <w:bCs/>
        </w:rPr>
        <w:t>donor dependent</w:t>
      </w:r>
      <w:r w:rsidR="4CF9AE66" w:rsidRPr="70DEDC61">
        <w:rPr>
          <w:b/>
          <w:bCs/>
        </w:rPr>
        <w:t>.</w:t>
      </w:r>
      <w:r w:rsidR="00434D3E">
        <w:t xml:space="preserve"> While some country programs have made progress in planning transitions to national ownership, most </w:t>
      </w:r>
      <w:r w:rsidR="0063740E">
        <w:t>still need to develop</w:t>
      </w:r>
      <w:r w:rsidR="00434D3E">
        <w:t xml:space="preserve"> clearly defined exit strategies or sustainable financing mechanisms. </w:t>
      </w:r>
    </w:p>
    <w:p w14:paraId="0C22A23B" w14:textId="77A9570F" w:rsidR="00ED5C39" w:rsidRPr="00ED5C39" w:rsidRDefault="004622CC" w:rsidP="00C645CA">
      <w:pPr>
        <w:pStyle w:val="ListParagraph"/>
        <w:numPr>
          <w:ilvl w:val="0"/>
          <w:numId w:val="2"/>
        </w:numPr>
      </w:pPr>
      <w:r>
        <w:t xml:space="preserve">At the factory level, </w:t>
      </w:r>
      <w:r w:rsidR="292334F3">
        <w:t xml:space="preserve">persistent </w:t>
      </w:r>
      <w:r>
        <w:t>issues</w:t>
      </w:r>
      <w:r w:rsidR="1C694C50">
        <w:t xml:space="preserve"> remain including </w:t>
      </w:r>
      <w:r w:rsidRPr="002A6AA5">
        <w:rPr>
          <w:b/>
          <w:bCs/>
        </w:rPr>
        <w:t>occupational safety and health (OSH), and freedom of association and collective bargaining (FOACB</w:t>
      </w:r>
      <w:r w:rsidRPr="6D625C1D">
        <w:rPr>
          <w:b/>
          <w:bCs/>
        </w:rPr>
        <w:t>)</w:t>
      </w:r>
      <w:r w:rsidR="000E197E">
        <w:rPr>
          <w:b/>
          <w:bCs/>
        </w:rPr>
        <w:t xml:space="preserve">. </w:t>
      </w:r>
    </w:p>
    <w:p w14:paraId="1B4F39E9" w14:textId="77777777" w:rsidR="00F32E90" w:rsidRDefault="00C645CA" w:rsidP="00C645CA">
      <w:pPr>
        <w:pStyle w:val="ListParagraph"/>
        <w:numPr>
          <w:ilvl w:val="0"/>
          <w:numId w:val="2"/>
        </w:numPr>
      </w:pPr>
      <w:r>
        <w:t xml:space="preserve">Better Work’s </w:t>
      </w:r>
      <w:r w:rsidRPr="006A1AE0">
        <w:rPr>
          <w:b/>
          <w:bCs/>
        </w:rPr>
        <w:t xml:space="preserve">engagement with global apparel brands continues to be </w:t>
      </w:r>
      <w:r w:rsidR="1DC0461E" w:rsidRPr="70DEDC61">
        <w:rPr>
          <w:b/>
          <w:bCs/>
        </w:rPr>
        <w:t>critical to</w:t>
      </w:r>
      <w:r w:rsidRPr="006A1AE0">
        <w:rPr>
          <w:b/>
          <w:bCs/>
        </w:rPr>
        <w:t xml:space="preserve"> its success</w:t>
      </w:r>
      <w:r>
        <w:t xml:space="preserve">. Brand partnerships have driven factory enrolment, co-financing, and alignment with sourcing practices that support responsible business conduct. </w:t>
      </w:r>
    </w:p>
    <w:p w14:paraId="196AA224" w14:textId="7B698CE5" w:rsidR="000E7145" w:rsidRPr="007C7959" w:rsidRDefault="000E7145" w:rsidP="00F32E90">
      <w:r w:rsidRPr="00F32E90">
        <w:rPr>
          <w:highlight w:val="yellow"/>
        </w:rPr>
        <w:br w:type="page"/>
      </w:r>
    </w:p>
    <w:p w14:paraId="2ADB0A89" w14:textId="14613C5E" w:rsidR="000E7145" w:rsidRPr="007C7959" w:rsidRDefault="000E7145" w:rsidP="000E7145">
      <w:pPr>
        <w:pStyle w:val="Heading2"/>
      </w:pPr>
      <w:r w:rsidRPr="007C7959">
        <w:lastRenderedPageBreak/>
        <w:t>DFAT’s response to the Independent</w:t>
      </w:r>
      <w:r w:rsidR="00082247">
        <w:t xml:space="preserve"> High-Level</w:t>
      </w:r>
      <w:r w:rsidRPr="007C7959">
        <w:t xml:space="preserve"> Evaluation </w:t>
      </w:r>
    </w:p>
    <w:p w14:paraId="302FF0E1" w14:textId="6D8B740B" w:rsidR="000E7145" w:rsidRPr="007C7959" w:rsidRDefault="000E7145" w:rsidP="000E7145">
      <w:r w:rsidRPr="007C7959">
        <w:t xml:space="preserve">DFAT </w:t>
      </w:r>
      <w:r w:rsidRPr="00737D94">
        <w:t>accepts</w:t>
      </w:r>
      <w:r w:rsidRPr="007C7959">
        <w:t xml:space="preserve"> the </w:t>
      </w:r>
      <w:r w:rsidR="00FE5A8F" w:rsidRPr="007C7959">
        <w:t>e</w:t>
      </w:r>
      <w:r w:rsidRPr="007C7959">
        <w:t xml:space="preserve">valuation’s findings and </w:t>
      </w:r>
      <w:r w:rsidRPr="00D622EB">
        <w:t>agrees or partially agrees</w:t>
      </w:r>
      <w:r w:rsidRPr="007C7959">
        <w:t xml:space="preserve"> with its </w:t>
      </w:r>
      <w:r w:rsidR="00DE58BE">
        <w:t>five</w:t>
      </w:r>
      <w:r w:rsidRPr="007C7959">
        <w:t xml:space="preserve"> recommendations. </w:t>
      </w:r>
    </w:p>
    <w:p w14:paraId="14BB2350" w14:textId="7EC2D8F9" w:rsidR="000E7145" w:rsidRDefault="000E7145" w:rsidP="00962FA7">
      <w:r>
        <w:t xml:space="preserve">DFAT welcomes the </w:t>
      </w:r>
      <w:r w:rsidR="007A0EC9">
        <w:t>e</w:t>
      </w:r>
      <w:r>
        <w:t>valuation’s finding</w:t>
      </w:r>
      <w:r w:rsidR="0086357D">
        <w:t xml:space="preserve"> that </w:t>
      </w:r>
      <w:r>
        <w:t xml:space="preserve">the </w:t>
      </w:r>
      <w:r w:rsidR="00E73618">
        <w:t xml:space="preserve">Programme </w:t>
      </w:r>
      <w:r w:rsidR="5AA28A18">
        <w:t>need</w:t>
      </w:r>
      <w:r w:rsidR="0086357D">
        <w:t>s</w:t>
      </w:r>
      <w:r w:rsidR="5AA28A18">
        <w:t xml:space="preserve"> to ensure</w:t>
      </w:r>
      <w:r w:rsidR="00737D94">
        <w:t xml:space="preserve"> its </w:t>
      </w:r>
      <w:r w:rsidR="5AA28A18">
        <w:t>sustainability</w:t>
      </w:r>
      <w:r w:rsidR="00737D94">
        <w:t xml:space="preserve">, including </w:t>
      </w:r>
      <w:r w:rsidR="0086357D">
        <w:t>by</w:t>
      </w:r>
      <w:r w:rsidR="5AA28A18">
        <w:t xml:space="preserve"> planning for handovers </w:t>
      </w:r>
      <w:r w:rsidR="00737D94">
        <w:t xml:space="preserve">with </w:t>
      </w:r>
      <w:r w:rsidR="5AA28A18">
        <w:t xml:space="preserve">clear timeframes and </w:t>
      </w:r>
      <w:r w:rsidR="002627DD">
        <w:t xml:space="preserve">undertaking </w:t>
      </w:r>
      <w:r w:rsidR="5AA28A18">
        <w:t>strategic planning on funding</w:t>
      </w:r>
      <w:r w:rsidR="00737D94">
        <w:t xml:space="preserve">. </w:t>
      </w:r>
      <w:r w:rsidR="00FE200E">
        <w:t xml:space="preserve">DFAT encourages continued work on financial sustainability and </w:t>
      </w:r>
      <w:r w:rsidR="00C706F9">
        <w:t>transition models tailored to Better Work’s country programs.</w:t>
      </w:r>
    </w:p>
    <w:p w14:paraId="299E6872" w14:textId="18EDF432" w:rsidR="557F8287" w:rsidRDefault="557F8287">
      <w:r>
        <w:t>DFAT appreciates the significant strides the Programme has made in improving gender equality and women’s economic equality in the ga</w:t>
      </w:r>
      <w:r w:rsidR="001378BE">
        <w:t>r</w:t>
      </w:r>
      <w:r>
        <w:t xml:space="preserve">ment industry in partner countries. We </w:t>
      </w:r>
      <w:r w:rsidR="285C7870">
        <w:t>note potential for the Programme to</w:t>
      </w:r>
      <w:r w:rsidR="00763612">
        <w:t xml:space="preserve"> have </w:t>
      </w:r>
      <w:r w:rsidR="002627DD">
        <w:t xml:space="preserve">additional </w:t>
      </w:r>
      <w:r w:rsidR="285C7870">
        <w:t>impact</w:t>
      </w:r>
      <w:r w:rsidR="00763612">
        <w:t xml:space="preserve"> </w:t>
      </w:r>
      <w:r w:rsidR="00A3012B">
        <w:t xml:space="preserve">on </w:t>
      </w:r>
      <w:r w:rsidR="002627DD">
        <w:t xml:space="preserve">other </w:t>
      </w:r>
      <w:r w:rsidR="5E86C61C">
        <w:t>cross cutting</w:t>
      </w:r>
      <w:r w:rsidR="285C7870">
        <w:t xml:space="preserve"> issues, including climate change</w:t>
      </w:r>
      <w:r w:rsidR="00AD4ED6">
        <w:t xml:space="preserve">, </w:t>
      </w:r>
      <w:r w:rsidR="285C7870">
        <w:t>environmental sustainability</w:t>
      </w:r>
      <w:r w:rsidR="008B5B5A">
        <w:t>,</w:t>
      </w:r>
      <w:r w:rsidR="285C7870">
        <w:t xml:space="preserve"> disability</w:t>
      </w:r>
      <w:r w:rsidR="008B5B5A">
        <w:t xml:space="preserve"> equity, and </w:t>
      </w:r>
      <w:r w:rsidR="285C7870">
        <w:t xml:space="preserve">inclusion. </w:t>
      </w:r>
    </w:p>
    <w:p w14:paraId="24775077" w14:textId="5B8D438B" w:rsidR="000E7145" w:rsidRPr="007C7959" w:rsidRDefault="00AA46EA" w:rsidP="00962FA7">
      <w:r>
        <w:t>DFAT notes Better Work</w:t>
      </w:r>
      <w:r w:rsidR="00F40AB2">
        <w:t xml:space="preserve"> is currently </w:t>
      </w:r>
      <w:r w:rsidR="785C09F3">
        <w:t xml:space="preserve">planning for </w:t>
      </w:r>
      <w:r w:rsidR="00F40AB2">
        <w:t xml:space="preserve">its </w:t>
      </w:r>
      <w:r w:rsidR="785C09F3">
        <w:t>next strategic phase</w:t>
      </w:r>
      <w:r w:rsidR="002515F6">
        <w:t>. We</w:t>
      </w:r>
      <w:r w:rsidR="785C09F3">
        <w:t xml:space="preserve"> </w:t>
      </w:r>
      <w:r w:rsidR="00F40AB2">
        <w:t xml:space="preserve">emphasise the </w:t>
      </w:r>
      <w:r w:rsidR="785C09F3">
        <w:t xml:space="preserve">need </w:t>
      </w:r>
      <w:r w:rsidR="008B5B5A">
        <w:t xml:space="preserve">for early engagement </w:t>
      </w:r>
      <w:r w:rsidR="785C09F3">
        <w:t>with all partners</w:t>
      </w:r>
      <w:r w:rsidR="008B5B5A">
        <w:t>,</w:t>
      </w:r>
      <w:r w:rsidR="785C09F3">
        <w:t xml:space="preserve"> including donors, </w:t>
      </w:r>
      <w:r w:rsidR="008B5B5A">
        <w:t xml:space="preserve">the private sector, </w:t>
      </w:r>
      <w:r w:rsidR="785C09F3">
        <w:t>gov</w:t>
      </w:r>
      <w:r w:rsidR="00F40AB2">
        <w:t>ernment</w:t>
      </w:r>
      <w:r w:rsidR="003035CB">
        <w:t xml:space="preserve"> bodie</w:t>
      </w:r>
      <w:r w:rsidR="785C09F3">
        <w:t>s</w:t>
      </w:r>
      <w:r w:rsidR="008B5B5A">
        <w:t>,</w:t>
      </w:r>
      <w:r w:rsidR="003035CB">
        <w:t xml:space="preserve"> and </w:t>
      </w:r>
      <w:r w:rsidR="008B5B5A">
        <w:t xml:space="preserve">other relevant </w:t>
      </w:r>
      <w:r w:rsidR="785C09F3">
        <w:t>institutions</w:t>
      </w:r>
      <w:r w:rsidR="003035CB">
        <w:t>.</w:t>
      </w:r>
    </w:p>
    <w:p w14:paraId="0233069A" w14:textId="706FB569" w:rsidR="000E7145" w:rsidRPr="007C7959" w:rsidRDefault="00500161" w:rsidP="00962FA7">
      <w:r>
        <w:t>DFAT also notes the</w:t>
      </w:r>
      <w:r w:rsidR="785C09F3">
        <w:t xml:space="preserve"> need for ongoing communication with donors</w:t>
      </w:r>
      <w:r>
        <w:t xml:space="preserve"> and </w:t>
      </w:r>
      <w:r w:rsidR="008B5B5A">
        <w:t xml:space="preserve">other </w:t>
      </w:r>
      <w:r w:rsidR="785C09F3" w:rsidDel="002C4101">
        <w:t>partners</w:t>
      </w:r>
      <w:r w:rsidR="785C09F3">
        <w:t>, including</w:t>
      </w:r>
      <w:r w:rsidR="72F23E0A">
        <w:t xml:space="preserve"> real time </w:t>
      </w:r>
      <w:r w:rsidR="00A71264">
        <w:t xml:space="preserve">updates </w:t>
      </w:r>
      <w:r w:rsidR="785C09F3">
        <w:t xml:space="preserve">during incidents affecting the </w:t>
      </w:r>
      <w:r w:rsidR="644E0DE9">
        <w:t xml:space="preserve">textiles </w:t>
      </w:r>
      <w:r w:rsidR="785C09F3">
        <w:t>industry</w:t>
      </w:r>
      <w:r w:rsidR="3E05EC09">
        <w:t xml:space="preserve"> in country and global programs.</w:t>
      </w:r>
      <w:r>
        <w:t xml:space="preserve"> T</w:t>
      </w:r>
      <w:r w:rsidR="00D26C2D">
        <w:t>ransparency</w:t>
      </w:r>
      <w:r w:rsidR="0007765C">
        <w:t xml:space="preserve"> demonstrates </w:t>
      </w:r>
      <w:r w:rsidR="00145998">
        <w:t xml:space="preserve">genuine partnership, highlights </w:t>
      </w:r>
      <w:r w:rsidR="00DD7A02">
        <w:t xml:space="preserve">the challenges </w:t>
      </w:r>
      <w:r w:rsidR="00C553E9">
        <w:t>fac</w:t>
      </w:r>
      <w:r w:rsidR="00145998">
        <w:t>ing</w:t>
      </w:r>
      <w:r w:rsidR="00C553E9">
        <w:t xml:space="preserve"> country programs</w:t>
      </w:r>
      <w:r w:rsidR="00145998">
        <w:t>,</w:t>
      </w:r>
      <w:r w:rsidR="00C553E9">
        <w:t xml:space="preserve"> and </w:t>
      </w:r>
      <w:r w:rsidR="00145998">
        <w:t xml:space="preserve">demonstrates </w:t>
      </w:r>
      <w:r w:rsidR="0007765C">
        <w:t>Better Work’s commitment to</w:t>
      </w:r>
      <w:r w:rsidR="00D127AA">
        <w:t xml:space="preserve"> </w:t>
      </w:r>
      <w:r w:rsidR="002F2C3D">
        <w:t xml:space="preserve">generating </w:t>
      </w:r>
      <w:r w:rsidR="00B41017">
        <w:t xml:space="preserve">positive </w:t>
      </w:r>
      <w:r w:rsidR="007C18E6">
        <w:t>impact</w:t>
      </w:r>
      <w:r w:rsidR="00CC6074">
        <w:t xml:space="preserve"> in the garment sector</w:t>
      </w:r>
      <w:r w:rsidR="00B41017">
        <w:t>, while</w:t>
      </w:r>
      <w:r w:rsidR="001D3FEF">
        <w:t xml:space="preserve"> </w:t>
      </w:r>
      <w:r w:rsidR="001D3FEF" w:rsidRPr="001D3FEF">
        <w:t xml:space="preserve">ensuring continued </w:t>
      </w:r>
      <w:r w:rsidR="00AF0384">
        <w:t xml:space="preserve">visibility of risks as they </w:t>
      </w:r>
      <w:r w:rsidR="001D3FEF" w:rsidRPr="001D3FEF">
        <w:t>evolve</w:t>
      </w:r>
      <w:r w:rsidR="001D3FEF">
        <w:t>.</w:t>
      </w:r>
      <w:r w:rsidR="00B41017">
        <w:t xml:space="preserve"> </w:t>
      </w:r>
    </w:p>
    <w:p w14:paraId="4162833D" w14:textId="5C39F2B6" w:rsidR="000E7145" w:rsidRDefault="3E05EC09" w:rsidP="00962FA7">
      <w:r>
        <w:t xml:space="preserve">DFAT is an active participant of the Better Work </w:t>
      </w:r>
      <w:r w:rsidR="3EFC6C1B">
        <w:t>Advisory Committee</w:t>
      </w:r>
      <w:r w:rsidR="00AF0384">
        <w:t>,</w:t>
      </w:r>
      <w:r w:rsidDel="007630D9">
        <w:t xml:space="preserve"> </w:t>
      </w:r>
      <w:r>
        <w:t>which hold</w:t>
      </w:r>
      <w:r w:rsidR="00CB57BD">
        <w:t>s</w:t>
      </w:r>
      <w:r>
        <w:t xml:space="preserve"> biannual meetings </w:t>
      </w:r>
      <w:r w:rsidR="47629818">
        <w:t>to discuss and decide on ongoing strategic,</w:t>
      </w:r>
      <w:r>
        <w:t xml:space="preserve"> governance and financial arrangements of the </w:t>
      </w:r>
      <w:r w:rsidR="003849D9">
        <w:t>Programme</w:t>
      </w:r>
      <w:r>
        <w:t>. We are actively engage</w:t>
      </w:r>
      <w:r w:rsidR="3511F9D0">
        <w:t xml:space="preserve">d with country program directors in </w:t>
      </w:r>
      <w:r w:rsidR="00AD4ED6">
        <w:t>Bangladesh</w:t>
      </w:r>
      <w:r w:rsidR="3511F9D0">
        <w:t xml:space="preserve">, Cambodia, Sri Lanka and </w:t>
      </w:r>
      <w:r w:rsidR="00AD4ED6">
        <w:t>Vietnam</w:t>
      </w:r>
      <w:r w:rsidR="3511F9D0">
        <w:t xml:space="preserve">, including through </w:t>
      </w:r>
      <w:r w:rsidR="00AF0384">
        <w:t>capital</w:t>
      </w:r>
      <w:r w:rsidR="001570D4">
        <w:t xml:space="preserve">-based, in-country mission, and headquarter </w:t>
      </w:r>
      <w:r w:rsidR="3511F9D0">
        <w:t>engagement</w:t>
      </w:r>
      <w:r w:rsidR="001570D4">
        <w:t>.</w:t>
      </w:r>
      <w:r w:rsidR="3511F9D0">
        <w:t xml:space="preserve"> </w:t>
      </w:r>
    </w:p>
    <w:p w14:paraId="74A2FC08" w14:textId="3FA80AB3" w:rsidR="000E7145" w:rsidRPr="00FC5461" w:rsidRDefault="59D7448E" w:rsidP="435B13B3">
      <w:r w:rsidRPr="00FC5461">
        <w:t xml:space="preserve"> </w:t>
      </w:r>
      <w:r w:rsidR="001570D4">
        <w:t>DFAT</w:t>
      </w:r>
      <w:r w:rsidR="001570D4" w:rsidRPr="00FC5461">
        <w:t xml:space="preserve"> </w:t>
      </w:r>
      <w:r w:rsidR="1C6ABD40" w:rsidRPr="00FC5461">
        <w:t>look</w:t>
      </w:r>
      <w:r w:rsidR="001570D4">
        <w:t>s</w:t>
      </w:r>
      <w:r w:rsidR="1C6ABD40" w:rsidRPr="00FC5461">
        <w:t xml:space="preserve"> forward to working with the Better Work Programme as </w:t>
      </w:r>
      <w:r w:rsidR="001570D4">
        <w:t>it</w:t>
      </w:r>
      <w:r w:rsidR="001570D4" w:rsidRPr="00FC5461">
        <w:t xml:space="preserve"> </w:t>
      </w:r>
      <w:r w:rsidR="00946296" w:rsidRPr="00FC5461">
        <w:t>continue</w:t>
      </w:r>
      <w:r w:rsidR="001570D4">
        <w:t>s</w:t>
      </w:r>
      <w:r w:rsidR="00946296" w:rsidRPr="00FC5461">
        <w:t xml:space="preserve"> to develop </w:t>
      </w:r>
      <w:r w:rsidR="1C6ABD40" w:rsidRPr="00FC5461">
        <w:t xml:space="preserve">sustainability models and </w:t>
      </w:r>
      <w:r w:rsidR="00946296" w:rsidRPr="00FC5461">
        <w:t xml:space="preserve">engage in </w:t>
      </w:r>
      <w:r w:rsidR="1C6ABD40" w:rsidRPr="00FC5461">
        <w:t>strategic planning for</w:t>
      </w:r>
      <w:r w:rsidR="00946296" w:rsidRPr="00FC5461">
        <w:t xml:space="preserve"> </w:t>
      </w:r>
      <w:r w:rsidR="1C6ABD40" w:rsidRPr="00FC5461">
        <w:t xml:space="preserve">future phases. </w:t>
      </w:r>
      <w:r w:rsidR="00555AFC" w:rsidRPr="00FC5461">
        <w:t xml:space="preserve">We </w:t>
      </w:r>
      <w:r w:rsidR="006054B9" w:rsidRPr="00FC5461">
        <w:t xml:space="preserve">acknowledge the </w:t>
      </w:r>
      <w:r w:rsidR="00496920" w:rsidRPr="00FC5461">
        <w:t xml:space="preserve">importance of </w:t>
      </w:r>
      <w:r w:rsidR="006054B9" w:rsidRPr="00FC5461">
        <w:t>align</w:t>
      </w:r>
      <w:r w:rsidR="00496920" w:rsidRPr="00FC5461">
        <w:t>ing the Programme’s</w:t>
      </w:r>
      <w:r w:rsidR="006054B9" w:rsidRPr="00FC5461">
        <w:t xml:space="preserve"> monitoring and evaluation milestones in line with its strategic phases. </w:t>
      </w:r>
    </w:p>
    <w:tbl>
      <w:tblPr>
        <w:tblStyle w:val="TableGrid"/>
        <w:tblW w:w="14596" w:type="dxa"/>
        <w:tblLayout w:type="fixed"/>
        <w:tblLook w:val="04A0" w:firstRow="1" w:lastRow="0" w:firstColumn="1" w:lastColumn="0" w:noHBand="0" w:noVBand="1"/>
      </w:tblPr>
      <w:tblGrid>
        <w:gridCol w:w="3964"/>
        <w:gridCol w:w="2977"/>
        <w:gridCol w:w="1276"/>
        <w:gridCol w:w="2551"/>
        <w:gridCol w:w="2268"/>
        <w:gridCol w:w="1560"/>
      </w:tblGrid>
      <w:tr w:rsidR="00B44FF6" w:rsidRPr="007C7959" w14:paraId="4BC308FF" w14:textId="77777777" w:rsidTr="00CF7FC2">
        <w:trPr>
          <w:tblHeader/>
        </w:trPr>
        <w:tc>
          <w:tcPr>
            <w:tcW w:w="3964" w:type="dxa"/>
            <w:shd w:val="clear" w:color="auto" w:fill="BFBFBF" w:themeFill="background1" w:themeFillShade="BF"/>
          </w:tcPr>
          <w:p w14:paraId="3168B2CF" w14:textId="7F9F9330" w:rsidR="00B44FF6" w:rsidRPr="007C7959" w:rsidRDefault="00B44FF6" w:rsidP="001C42BB">
            <w:pPr>
              <w:pStyle w:val="Default"/>
              <w:rPr>
                <w:rFonts w:asciiTheme="minorHAnsi" w:hAnsiTheme="minorHAnsi" w:cstheme="minorHAnsi"/>
                <w:b/>
                <w:bCs/>
                <w:sz w:val="22"/>
                <w:szCs w:val="22"/>
              </w:rPr>
            </w:pPr>
            <w:r w:rsidRPr="007C7959">
              <w:rPr>
                <w:rFonts w:asciiTheme="minorHAnsi" w:hAnsiTheme="minorHAnsi" w:cstheme="minorHAnsi"/>
                <w:b/>
                <w:bCs/>
                <w:sz w:val="22"/>
                <w:szCs w:val="22"/>
              </w:rPr>
              <w:t>Recommendation</w:t>
            </w:r>
          </w:p>
        </w:tc>
        <w:tc>
          <w:tcPr>
            <w:tcW w:w="2977" w:type="dxa"/>
            <w:shd w:val="clear" w:color="auto" w:fill="BFBFBF" w:themeFill="background1" w:themeFillShade="BF"/>
          </w:tcPr>
          <w:p w14:paraId="6F1D5EA3" w14:textId="6BA5EB6A" w:rsidR="00B44FF6" w:rsidRPr="007C7959" w:rsidRDefault="00B44FF6" w:rsidP="001C42BB">
            <w:pPr>
              <w:pStyle w:val="Default"/>
              <w:rPr>
                <w:rFonts w:asciiTheme="minorHAnsi" w:hAnsiTheme="minorHAnsi" w:cstheme="minorHAnsi"/>
                <w:b/>
                <w:bCs/>
                <w:sz w:val="22"/>
                <w:szCs w:val="22"/>
              </w:rPr>
            </w:pPr>
            <w:r>
              <w:rPr>
                <w:rFonts w:asciiTheme="minorHAnsi" w:hAnsiTheme="minorHAnsi" w:cstheme="minorHAnsi"/>
                <w:b/>
                <w:bCs/>
                <w:sz w:val="22"/>
                <w:szCs w:val="22"/>
              </w:rPr>
              <w:t>Better Work</w:t>
            </w:r>
            <w:r w:rsidRPr="007C7959">
              <w:rPr>
                <w:rFonts w:asciiTheme="minorHAnsi" w:hAnsiTheme="minorHAnsi" w:cstheme="minorHAnsi"/>
                <w:b/>
                <w:bCs/>
                <w:sz w:val="22"/>
                <w:szCs w:val="22"/>
              </w:rPr>
              <w:t xml:space="preserve"> </w:t>
            </w:r>
            <w:r>
              <w:rPr>
                <w:rFonts w:asciiTheme="minorHAnsi" w:hAnsiTheme="minorHAnsi" w:cstheme="minorHAnsi"/>
                <w:b/>
                <w:bCs/>
                <w:sz w:val="22"/>
                <w:szCs w:val="22"/>
              </w:rPr>
              <w:t>Response</w:t>
            </w:r>
          </w:p>
        </w:tc>
        <w:tc>
          <w:tcPr>
            <w:tcW w:w="1276" w:type="dxa"/>
            <w:shd w:val="clear" w:color="auto" w:fill="BFBFBF" w:themeFill="background1" w:themeFillShade="BF"/>
          </w:tcPr>
          <w:p w14:paraId="4D8EFFFA" w14:textId="0B3B9769" w:rsidR="00B44FF6" w:rsidRPr="007C7959" w:rsidRDefault="00B44FF6" w:rsidP="001C42BB">
            <w:pPr>
              <w:pStyle w:val="Default"/>
              <w:rPr>
                <w:rFonts w:asciiTheme="minorHAnsi" w:hAnsiTheme="minorHAnsi" w:cstheme="minorHAnsi"/>
                <w:b/>
                <w:bCs/>
                <w:sz w:val="22"/>
                <w:szCs w:val="22"/>
              </w:rPr>
            </w:pPr>
            <w:r w:rsidRPr="007C7959">
              <w:rPr>
                <w:rFonts w:asciiTheme="minorHAnsi" w:hAnsiTheme="minorHAnsi" w:cstheme="minorHAnsi"/>
                <w:b/>
                <w:bCs/>
                <w:sz w:val="22"/>
                <w:szCs w:val="22"/>
              </w:rPr>
              <w:t>DFAT Response</w:t>
            </w:r>
          </w:p>
        </w:tc>
        <w:tc>
          <w:tcPr>
            <w:tcW w:w="2551" w:type="dxa"/>
            <w:shd w:val="clear" w:color="auto" w:fill="BFBFBF" w:themeFill="background1" w:themeFillShade="BF"/>
          </w:tcPr>
          <w:p w14:paraId="1BAEBE6E" w14:textId="305BB7B6" w:rsidR="00B44FF6" w:rsidRPr="007C7959" w:rsidRDefault="00B44FF6" w:rsidP="001C42BB">
            <w:pPr>
              <w:pStyle w:val="Default"/>
              <w:rPr>
                <w:rFonts w:asciiTheme="minorHAnsi" w:hAnsiTheme="minorHAnsi" w:cstheme="minorHAnsi"/>
                <w:b/>
                <w:bCs/>
                <w:sz w:val="22"/>
                <w:szCs w:val="22"/>
              </w:rPr>
            </w:pPr>
            <w:r w:rsidRPr="007C7959">
              <w:rPr>
                <w:rFonts w:asciiTheme="minorHAnsi" w:hAnsiTheme="minorHAnsi" w:cstheme="minorHAnsi"/>
                <w:b/>
                <w:bCs/>
                <w:sz w:val="22"/>
                <w:szCs w:val="22"/>
              </w:rPr>
              <w:t>DFAT Explanation</w:t>
            </w:r>
          </w:p>
        </w:tc>
        <w:tc>
          <w:tcPr>
            <w:tcW w:w="2268" w:type="dxa"/>
            <w:shd w:val="clear" w:color="auto" w:fill="BFBFBF" w:themeFill="background1" w:themeFillShade="BF"/>
          </w:tcPr>
          <w:p w14:paraId="1149BD10" w14:textId="3EEA0DB4" w:rsidR="00B44FF6" w:rsidRPr="007C7959" w:rsidRDefault="00B44FF6" w:rsidP="001C42BB">
            <w:pPr>
              <w:pStyle w:val="Default"/>
              <w:rPr>
                <w:rFonts w:asciiTheme="minorHAnsi" w:hAnsiTheme="minorHAnsi" w:cstheme="minorHAnsi"/>
                <w:b/>
                <w:bCs/>
                <w:sz w:val="22"/>
                <w:szCs w:val="22"/>
              </w:rPr>
            </w:pPr>
            <w:r w:rsidRPr="007C7959">
              <w:rPr>
                <w:rFonts w:asciiTheme="minorHAnsi" w:hAnsiTheme="minorHAnsi" w:cstheme="minorHAnsi"/>
                <w:b/>
                <w:bCs/>
                <w:sz w:val="22"/>
                <w:szCs w:val="22"/>
              </w:rPr>
              <w:t>Action Plan / implementing party</w:t>
            </w:r>
          </w:p>
        </w:tc>
        <w:tc>
          <w:tcPr>
            <w:tcW w:w="1560" w:type="dxa"/>
            <w:shd w:val="clear" w:color="auto" w:fill="BFBFBF" w:themeFill="background1" w:themeFillShade="BF"/>
          </w:tcPr>
          <w:p w14:paraId="19CC4014" w14:textId="32859E50" w:rsidR="00B44FF6" w:rsidRPr="007C7959" w:rsidRDefault="00B44FF6" w:rsidP="001C42BB">
            <w:pPr>
              <w:pStyle w:val="Default"/>
              <w:rPr>
                <w:rFonts w:asciiTheme="minorHAnsi" w:hAnsiTheme="minorHAnsi" w:cstheme="minorHAnsi"/>
                <w:b/>
                <w:bCs/>
                <w:sz w:val="22"/>
                <w:szCs w:val="22"/>
              </w:rPr>
            </w:pPr>
            <w:r w:rsidRPr="007C7959">
              <w:rPr>
                <w:rFonts w:asciiTheme="minorHAnsi" w:hAnsiTheme="minorHAnsi" w:cstheme="minorHAnsi"/>
                <w:b/>
                <w:bCs/>
                <w:sz w:val="22"/>
                <w:szCs w:val="22"/>
              </w:rPr>
              <w:t>Timeframe / resources</w:t>
            </w:r>
          </w:p>
        </w:tc>
      </w:tr>
      <w:tr w:rsidR="00DC5239" w:rsidRPr="00D2063F" w14:paraId="72620A50" w14:textId="77777777" w:rsidTr="00CF7FC2">
        <w:tc>
          <w:tcPr>
            <w:tcW w:w="3964" w:type="dxa"/>
          </w:tcPr>
          <w:p w14:paraId="36661A34" w14:textId="2DC296AD" w:rsidR="00DC5239" w:rsidRPr="00D2063F" w:rsidRDefault="00DC5239" w:rsidP="00DC5239">
            <w:pPr>
              <w:rPr>
                <w:rFonts w:ascii="Aptos" w:hAnsi="Aptos" w:cs="Times New Roman"/>
                <w:sz w:val="18"/>
                <w:szCs w:val="18"/>
              </w:rPr>
            </w:pPr>
            <w:r w:rsidRPr="00D2063F">
              <w:rPr>
                <w:rFonts w:ascii="Aptos" w:hAnsi="Aptos" w:cs="Times New Roman"/>
                <w:b/>
                <w:bCs/>
                <w:sz w:val="28"/>
                <w:szCs w:val="28"/>
                <w:u w:val="single"/>
              </w:rPr>
              <w:t>Recommendation 1</w:t>
            </w:r>
            <w:r w:rsidRPr="00D2063F">
              <w:rPr>
                <w:rFonts w:ascii="Aptos" w:hAnsi="Aptos" w:cs="Times New Roman"/>
              </w:rPr>
              <w:t xml:space="preserve"> </w:t>
            </w:r>
            <w:r w:rsidRPr="00D2063F">
              <w:rPr>
                <w:rFonts w:ascii="Aptos" w:hAnsi="Aptos" w:cs="Times New Roman"/>
                <w:sz w:val="18"/>
                <w:szCs w:val="18"/>
              </w:rPr>
              <w:t xml:space="preserve"> </w:t>
            </w:r>
          </w:p>
          <w:p w14:paraId="096D889D" w14:textId="62990286" w:rsidR="00DC5239" w:rsidRPr="00D2063F" w:rsidRDefault="00DC5239" w:rsidP="00DC5239">
            <w:r w:rsidRPr="00D2063F">
              <w:rPr>
                <w:b/>
                <w:bCs/>
              </w:rPr>
              <w:t xml:space="preserve">To maintain </w:t>
            </w:r>
            <w:r w:rsidR="00EE1CEF">
              <w:rPr>
                <w:b/>
                <w:bCs/>
              </w:rPr>
              <w:t>P</w:t>
            </w:r>
            <w:r w:rsidRPr="00D2063F">
              <w:rPr>
                <w:b/>
                <w:bCs/>
              </w:rPr>
              <w:t xml:space="preserve">rogramme credibility, ensure continuity of services, and manage expectations among </w:t>
            </w:r>
            <w:r w:rsidRPr="00D2063F">
              <w:rPr>
                <w:b/>
                <w:bCs/>
              </w:rPr>
              <w:lastRenderedPageBreak/>
              <w:t>constituents, industry partners, and donors, Better Work should accelerate planning for its phased withdrawal in long-standing programs.</w:t>
            </w:r>
            <w:r w:rsidRPr="00D2063F">
              <w:t xml:space="preserve"> </w:t>
            </w:r>
          </w:p>
          <w:p w14:paraId="001DDA48" w14:textId="3F480073" w:rsidR="00DC5239" w:rsidRPr="00D2063F" w:rsidRDefault="00DC5239" w:rsidP="00DC5239">
            <w:pPr>
              <w:pStyle w:val="ListParagraph"/>
              <w:numPr>
                <w:ilvl w:val="0"/>
                <w:numId w:val="6"/>
              </w:numPr>
              <w:ind w:left="0" w:firstLine="0"/>
            </w:pPr>
            <w:r w:rsidRPr="00D2063F">
              <w:t>Continue to empower each country program to develop its own transition plan, grounded in the national context and ILO constituent priorities and capacities.</w:t>
            </w:r>
          </w:p>
          <w:p w14:paraId="1BDC972A" w14:textId="77777777" w:rsidR="00DC5239" w:rsidRPr="00D2063F" w:rsidRDefault="00DC5239" w:rsidP="00DC5239">
            <w:pPr>
              <w:pStyle w:val="ListParagraph"/>
              <w:numPr>
                <w:ilvl w:val="0"/>
                <w:numId w:val="6"/>
              </w:numPr>
              <w:ind w:left="0" w:firstLine="0"/>
            </w:pPr>
            <w:r w:rsidRPr="00D2063F">
              <w:t xml:space="preserve">Shift monitoring, advisory and training to local institutions to deliver lower-cost, more efficient, and scalable services while maintaining Better Work’s standards: </w:t>
            </w:r>
          </w:p>
          <w:p w14:paraId="3B121248" w14:textId="77777777" w:rsidR="00DC5239" w:rsidRPr="00D2063F" w:rsidRDefault="00DC5239" w:rsidP="00DC5239">
            <w:pPr>
              <w:pStyle w:val="ListParagraph"/>
              <w:numPr>
                <w:ilvl w:val="1"/>
                <w:numId w:val="6"/>
              </w:numPr>
              <w:ind w:left="113" w:firstLine="0"/>
            </w:pPr>
            <w:r w:rsidRPr="00D2063F">
              <w:t xml:space="preserve">Accredit and support local market-based entities or non-profits to oversee core compliance assessment and advisory roles </w:t>
            </w:r>
          </w:p>
          <w:p w14:paraId="7DFFACB1" w14:textId="77777777" w:rsidR="00DC5239" w:rsidRPr="00D2063F" w:rsidRDefault="00DC5239" w:rsidP="00DC5239">
            <w:pPr>
              <w:pStyle w:val="ListParagraph"/>
              <w:numPr>
                <w:ilvl w:val="1"/>
                <w:numId w:val="6"/>
              </w:numPr>
              <w:ind w:left="113" w:firstLine="0"/>
            </w:pPr>
            <w:r w:rsidRPr="00D2063F">
              <w:t>Anchor their legitimacy within a tripartite governance structure—government, workers, and employers—with the ILO and IFC providing advisory and quality-assurance support</w:t>
            </w:r>
          </w:p>
          <w:p w14:paraId="5A8AA568" w14:textId="77777777" w:rsidR="00DC5239" w:rsidRPr="00D2063F" w:rsidRDefault="00DC5239" w:rsidP="00DC5239">
            <w:pPr>
              <w:pStyle w:val="ListParagraph"/>
              <w:numPr>
                <w:ilvl w:val="1"/>
                <w:numId w:val="6"/>
              </w:numPr>
              <w:ind w:left="113" w:firstLine="0"/>
            </w:pPr>
            <w:r w:rsidRPr="00D2063F">
              <w:t>Introduce robust Better Work safeguards: Provide quality assurance and enhance credibility of service providers through capacity building, certification protocols, and audits</w:t>
            </w:r>
          </w:p>
          <w:p w14:paraId="79A7FB66" w14:textId="77777777" w:rsidR="00DC5239" w:rsidRPr="00D2063F" w:rsidRDefault="00DC5239" w:rsidP="00DC5239">
            <w:pPr>
              <w:pStyle w:val="ListParagraph"/>
              <w:numPr>
                <w:ilvl w:val="0"/>
                <w:numId w:val="6"/>
              </w:numPr>
              <w:ind w:left="0" w:firstLine="0"/>
            </w:pPr>
            <w:r w:rsidRPr="00D2063F">
              <w:lastRenderedPageBreak/>
              <w:t xml:space="preserve">Establish clear timelines, division of responsibilities, and measurable benchmarks to guide the phased withdrawal of Better Work from its current role delivering factory engagement activities. </w:t>
            </w:r>
          </w:p>
          <w:p w14:paraId="2E882940" w14:textId="77777777" w:rsidR="00DC5239" w:rsidRPr="00D2063F" w:rsidRDefault="00DC5239" w:rsidP="00DC5239">
            <w:pPr>
              <w:pStyle w:val="ListParagraph"/>
              <w:numPr>
                <w:ilvl w:val="0"/>
                <w:numId w:val="6"/>
              </w:numPr>
              <w:ind w:left="0" w:firstLine="0"/>
            </w:pPr>
            <w:r w:rsidRPr="00D2063F">
              <w:t>Clarify and document legal considerations—both at national and HQ levels—as well as required Quality Assurance mechanisms and Standard Operating Procedures for conferring use of Better Work tools, methodologies, and brand identity to external entities (e.g. foundations, market-based institutions, or social partner training bodies).</w:t>
            </w:r>
          </w:p>
          <w:p w14:paraId="1F935E96" w14:textId="77777777" w:rsidR="00DC5239" w:rsidRPr="00D2063F" w:rsidRDefault="00DC5239" w:rsidP="00DC5239">
            <w:pPr>
              <w:pStyle w:val="ListParagraph"/>
              <w:numPr>
                <w:ilvl w:val="0"/>
                <w:numId w:val="6"/>
              </w:numPr>
              <w:ind w:left="0" w:firstLine="0"/>
            </w:pPr>
            <w:r w:rsidRPr="00D2063F">
              <w:t>Allocate dedicated senior staff or consultants to prioritize these tasks and engage constituents and stakeholders throughout the process.</w:t>
            </w:r>
          </w:p>
          <w:p w14:paraId="035DA495" w14:textId="1F79D2A9" w:rsidR="00DC5239" w:rsidRPr="00D2063F" w:rsidRDefault="00DC5239" w:rsidP="00DC5239">
            <w:pPr>
              <w:pStyle w:val="ListParagraph"/>
              <w:numPr>
                <w:ilvl w:val="0"/>
                <w:numId w:val="6"/>
              </w:numPr>
              <w:ind w:left="0" w:firstLine="0"/>
            </w:pPr>
            <w:r w:rsidRPr="00D2063F">
              <w:t>Consider establishing a regular progress review mechanism to manage risks and ensure alignment with Better Work’s quality standards.</w:t>
            </w:r>
          </w:p>
          <w:p w14:paraId="143CEE4A" w14:textId="3E42D8F6" w:rsidR="00DC5239" w:rsidRPr="00D2063F" w:rsidRDefault="00DC5239" w:rsidP="00DC5239"/>
        </w:tc>
        <w:tc>
          <w:tcPr>
            <w:tcW w:w="2977" w:type="dxa"/>
          </w:tcPr>
          <w:p w14:paraId="4E90BC29" w14:textId="4529DF15" w:rsidR="00DC5239" w:rsidRPr="00D2063F" w:rsidRDefault="00DC5239" w:rsidP="00DC5239">
            <w:pPr>
              <w:pStyle w:val="Default"/>
              <w:rPr>
                <w:rFonts w:asciiTheme="minorHAnsi" w:hAnsiTheme="minorHAnsi" w:cstheme="minorHAnsi"/>
                <w:sz w:val="22"/>
                <w:szCs w:val="22"/>
              </w:rPr>
            </w:pPr>
            <w:r w:rsidRPr="00D2063F">
              <w:rPr>
                <w:rFonts w:asciiTheme="minorHAnsi" w:hAnsiTheme="minorHAnsi" w:cstheme="minorHAnsi"/>
                <w:sz w:val="22"/>
                <w:szCs w:val="22"/>
              </w:rPr>
              <w:lastRenderedPageBreak/>
              <w:t xml:space="preserve">On Recommendation 1, the Office reaffirms its commitment to timely, responsible and inclusive </w:t>
            </w:r>
            <w:r w:rsidRPr="00D2063F">
              <w:rPr>
                <w:rFonts w:asciiTheme="minorHAnsi" w:hAnsiTheme="minorHAnsi" w:cstheme="minorHAnsi"/>
                <w:sz w:val="22"/>
                <w:szCs w:val="22"/>
              </w:rPr>
              <w:lastRenderedPageBreak/>
              <w:t xml:space="preserve">transition planning for long-standing Better Work programs. Country-based teams are co-designing context-specific plans based on constituents’ priorities and, where relevant, Decent Work Country Programmes (DWCPs). Better Work will clarify timelines, roles </w:t>
            </w:r>
          </w:p>
          <w:p w14:paraId="218F47E3" w14:textId="54FCA35B" w:rsidR="00DC5239" w:rsidRPr="00D2063F" w:rsidRDefault="00DC5239" w:rsidP="00DC5239">
            <w:pPr>
              <w:pStyle w:val="Default"/>
              <w:rPr>
                <w:rFonts w:asciiTheme="minorHAnsi" w:hAnsiTheme="minorHAnsi" w:cstheme="minorHAnsi"/>
                <w:sz w:val="22"/>
                <w:szCs w:val="22"/>
              </w:rPr>
            </w:pPr>
            <w:r w:rsidRPr="00D2063F">
              <w:rPr>
                <w:rFonts w:asciiTheme="minorHAnsi" w:hAnsiTheme="minorHAnsi" w:cstheme="minorHAnsi"/>
                <w:sz w:val="22"/>
                <w:szCs w:val="22"/>
              </w:rPr>
              <w:t xml:space="preserve">and measurable benchmarks, and will regularly review plans within the </w:t>
            </w:r>
            <w:r w:rsidR="00E257E1">
              <w:rPr>
                <w:rFonts w:asciiTheme="minorHAnsi" w:hAnsiTheme="minorHAnsi" w:cstheme="minorHAnsi"/>
                <w:sz w:val="22"/>
                <w:szCs w:val="22"/>
              </w:rPr>
              <w:t>P</w:t>
            </w:r>
            <w:r w:rsidRPr="00D2063F">
              <w:rPr>
                <w:rFonts w:asciiTheme="minorHAnsi" w:hAnsiTheme="minorHAnsi" w:cstheme="minorHAnsi"/>
                <w:sz w:val="22"/>
                <w:szCs w:val="22"/>
              </w:rPr>
              <w:t xml:space="preserve">rogramme’s global </w:t>
            </w:r>
          </w:p>
          <w:p w14:paraId="28799191" w14:textId="6E70B2ED" w:rsidR="00DC5239" w:rsidRPr="007D7B77" w:rsidRDefault="00DC5239" w:rsidP="00DC5239">
            <w:pPr>
              <w:pStyle w:val="Default"/>
              <w:rPr>
                <w:rFonts w:asciiTheme="minorHAnsi" w:hAnsiTheme="minorHAnsi" w:cstheme="minorHAnsi"/>
                <w:sz w:val="22"/>
                <w:szCs w:val="22"/>
              </w:rPr>
            </w:pPr>
            <w:r w:rsidRPr="00D2063F">
              <w:rPr>
                <w:rFonts w:asciiTheme="minorHAnsi" w:hAnsiTheme="minorHAnsi" w:cstheme="minorHAnsi"/>
                <w:sz w:val="22"/>
                <w:szCs w:val="22"/>
              </w:rPr>
              <w:t>governance structure and with tripartite project advisory committees at the national level. Standard operating procedures and quality frameworks are under development to guide the conferral of tools to external entities. For example, in Indonesia and Bangladesh, private and/or public partners will deploy harmonized tools and methodologies at the enterprise level.</w:t>
            </w:r>
          </w:p>
        </w:tc>
        <w:tc>
          <w:tcPr>
            <w:tcW w:w="1276" w:type="dxa"/>
            <w:shd w:val="clear" w:color="auto" w:fill="8DD873" w:themeFill="accent6" w:themeFillTint="99"/>
          </w:tcPr>
          <w:p w14:paraId="79DA6833" w14:textId="4114C450" w:rsidR="00DC5239" w:rsidRPr="004320CE" w:rsidRDefault="00DC5239" w:rsidP="00DC5239">
            <w:pPr>
              <w:pStyle w:val="Default"/>
              <w:rPr>
                <w:rFonts w:asciiTheme="minorHAnsi" w:hAnsiTheme="minorHAnsi" w:cstheme="minorHAnsi"/>
                <w:sz w:val="22"/>
                <w:szCs w:val="22"/>
              </w:rPr>
            </w:pPr>
            <w:r w:rsidRPr="00D2063F">
              <w:rPr>
                <w:rFonts w:asciiTheme="minorHAnsi" w:hAnsiTheme="minorHAnsi" w:cstheme="minorHAnsi"/>
                <w:b/>
                <w:bCs/>
                <w:sz w:val="22"/>
                <w:szCs w:val="22"/>
              </w:rPr>
              <w:lastRenderedPageBreak/>
              <w:t>Agree</w:t>
            </w:r>
            <w:r w:rsidRPr="00D2063F">
              <w:rPr>
                <w:rFonts w:asciiTheme="minorHAnsi" w:hAnsiTheme="minorHAnsi" w:cstheme="minorHAnsi"/>
                <w:sz w:val="22"/>
                <w:szCs w:val="22"/>
              </w:rPr>
              <w:t xml:space="preserve"> </w:t>
            </w:r>
          </w:p>
        </w:tc>
        <w:tc>
          <w:tcPr>
            <w:tcW w:w="2551" w:type="dxa"/>
          </w:tcPr>
          <w:p w14:paraId="1C22680E" w14:textId="4CA07F04" w:rsidR="00DC5239" w:rsidRPr="007D7B77" w:rsidRDefault="00993134" w:rsidP="435B13B3">
            <w:pPr>
              <w:pStyle w:val="Default"/>
              <w:rPr>
                <w:rFonts w:asciiTheme="minorHAnsi" w:hAnsiTheme="minorHAnsi" w:cstheme="minorBidi"/>
                <w:sz w:val="22"/>
                <w:szCs w:val="22"/>
              </w:rPr>
            </w:pPr>
            <w:r w:rsidRPr="004320CE">
              <w:rPr>
                <w:rFonts w:asciiTheme="minorHAnsi" w:hAnsiTheme="minorHAnsi" w:cstheme="minorBidi"/>
                <w:sz w:val="22"/>
                <w:szCs w:val="22"/>
              </w:rPr>
              <w:t xml:space="preserve">DFAT agrees Better Work should have clear and agreed timeframes for handover to national </w:t>
            </w:r>
            <w:r w:rsidRPr="004320CE">
              <w:rPr>
                <w:rFonts w:asciiTheme="minorHAnsi" w:hAnsiTheme="minorHAnsi" w:cstheme="minorBidi"/>
                <w:sz w:val="22"/>
                <w:szCs w:val="22"/>
              </w:rPr>
              <w:lastRenderedPageBreak/>
              <w:t xml:space="preserve">governments </w:t>
            </w:r>
            <w:r w:rsidR="001C6E03" w:rsidRPr="004320CE">
              <w:rPr>
                <w:rFonts w:asciiTheme="minorHAnsi" w:hAnsiTheme="minorHAnsi" w:cstheme="minorBidi"/>
                <w:sz w:val="22"/>
                <w:szCs w:val="22"/>
              </w:rPr>
              <w:t xml:space="preserve">or private </w:t>
            </w:r>
            <w:r w:rsidR="00A63CFA" w:rsidRPr="004320CE">
              <w:rPr>
                <w:rFonts w:asciiTheme="minorHAnsi" w:hAnsiTheme="minorHAnsi" w:cstheme="minorBidi"/>
                <w:sz w:val="22"/>
                <w:szCs w:val="22"/>
              </w:rPr>
              <w:t>partners</w:t>
            </w:r>
            <w:r w:rsidR="008D2EF3" w:rsidRPr="004320CE">
              <w:rPr>
                <w:rFonts w:asciiTheme="minorHAnsi" w:hAnsiTheme="minorHAnsi" w:cstheme="minorBidi"/>
                <w:sz w:val="22"/>
                <w:szCs w:val="22"/>
              </w:rPr>
              <w:t>. Such timeframes would</w:t>
            </w:r>
            <w:r w:rsidR="005A7E33" w:rsidRPr="004320CE">
              <w:rPr>
                <w:rFonts w:asciiTheme="minorHAnsi" w:hAnsiTheme="minorHAnsi" w:cstheme="minorBidi"/>
                <w:sz w:val="22"/>
                <w:szCs w:val="22"/>
              </w:rPr>
              <w:t xml:space="preserve"> </w:t>
            </w:r>
            <w:r w:rsidR="0088740F">
              <w:rPr>
                <w:rFonts w:asciiTheme="minorHAnsi" w:hAnsiTheme="minorHAnsi" w:cstheme="minorBidi"/>
                <w:sz w:val="22"/>
                <w:szCs w:val="22"/>
              </w:rPr>
              <w:t xml:space="preserve">establish </w:t>
            </w:r>
            <w:r w:rsidR="00CE3052">
              <w:rPr>
                <w:rFonts w:asciiTheme="minorHAnsi" w:hAnsiTheme="minorHAnsi" w:cstheme="minorBidi"/>
                <w:sz w:val="22"/>
                <w:szCs w:val="22"/>
              </w:rPr>
              <w:t xml:space="preserve">clear </w:t>
            </w:r>
            <w:r w:rsidR="00AE3D9E">
              <w:rPr>
                <w:rFonts w:asciiTheme="minorHAnsi" w:hAnsiTheme="minorHAnsi" w:cstheme="minorBidi"/>
                <w:sz w:val="22"/>
                <w:szCs w:val="22"/>
              </w:rPr>
              <w:t>indicators to</w:t>
            </w:r>
            <w:r w:rsidR="00426620">
              <w:rPr>
                <w:rFonts w:asciiTheme="minorHAnsi" w:hAnsiTheme="minorHAnsi" w:cstheme="minorBidi"/>
                <w:sz w:val="22"/>
                <w:szCs w:val="22"/>
              </w:rPr>
              <w:t xml:space="preserve"> </w:t>
            </w:r>
            <w:r w:rsidR="008B1CF9">
              <w:rPr>
                <w:rFonts w:asciiTheme="minorHAnsi" w:hAnsiTheme="minorHAnsi" w:cstheme="minorBidi"/>
                <w:sz w:val="22"/>
                <w:szCs w:val="22"/>
              </w:rPr>
              <w:t>strengthen</w:t>
            </w:r>
            <w:r w:rsidR="005A7E33" w:rsidRPr="004320CE">
              <w:rPr>
                <w:rFonts w:asciiTheme="minorHAnsi" w:hAnsiTheme="minorHAnsi" w:cstheme="minorBidi"/>
                <w:sz w:val="22"/>
                <w:szCs w:val="22"/>
              </w:rPr>
              <w:t xml:space="preserve"> sustainability of the </w:t>
            </w:r>
            <w:r w:rsidR="009A1667" w:rsidRPr="004320CE">
              <w:rPr>
                <w:rFonts w:asciiTheme="minorHAnsi" w:hAnsiTheme="minorHAnsi" w:cstheme="minorBidi"/>
                <w:sz w:val="22"/>
                <w:szCs w:val="22"/>
              </w:rPr>
              <w:t>P</w:t>
            </w:r>
            <w:r w:rsidR="005A7E33" w:rsidRPr="004320CE">
              <w:rPr>
                <w:rFonts w:asciiTheme="minorHAnsi" w:hAnsiTheme="minorHAnsi" w:cstheme="minorBidi"/>
                <w:sz w:val="22"/>
                <w:szCs w:val="22"/>
              </w:rPr>
              <w:t>rogram</w:t>
            </w:r>
            <w:r w:rsidR="009A1667" w:rsidRPr="004320CE">
              <w:rPr>
                <w:rFonts w:asciiTheme="minorHAnsi" w:hAnsiTheme="minorHAnsi" w:cstheme="minorBidi"/>
                <w:sz w:val="22"/>
                <w:szCs w:val="22"/>
              </w:rPr>
              <w:t>me</w:t>
            </w:r>
            <w:r w:rsidR="005A7E33" w:rsidRPr="004320CE">
              <w:rPr>
                <w:rFonts w:asciiTheme="minorHAnsi" w:hAnsiTheme="minorHAnsi" w:cstheme="minorBidi"/>
                <w:sz w:val="22"/>
                <w:szCs w:val="22"/>
              </w:rPr>
              <w:t>.</w:t>
            </w:r>
            <w:r w:rsidR="00167129" w:rsidRPr="007D7B77">
              <w:rPr>
                <w:rFonts w:asciiTheme="minorHAnsi" w:hAnsiTheme="minorHAnsi" w:cstheme="minorBidi"/>
                <w:sz w:val="22"/>
                <w:szCs w:val="22"/>
              </w:rPr>
              <w:t xml:space="preserve"> DFAT welcomes Better Work’s development of frameworks and procedures to guide the handover process.</w:t>
            </w:r>
          </w:p>
          <w:p w14:paraId="6BE77A42" w14:textId="2E1BF04F" w:rsidR="00107F23" w:rsidRPr="00D2063F" w:rsidRDefault="001D6990" w:rsidP="435B13B3">
            <w:pPr>
              <w:pStyle w:val="Default"/>
              <w:rPr>
                <w:rFonts w:asciiTheme="minorHAnsi" w:hAnsiTheme="minorHAnsi" w:cstheme="minorBidi"/>
                <w:sz w:val="22"/>
                <w:szCs w:val="22"/>
              </w:rPr>
            </w:pPr>
            <w:r w:rsidRPr="007D7B77">
              <w:rPr>
                <w:rFonts w:asciiTheme="minorHAnsi" w:hAnsiTheme="minorHAnsi" w:cstheme="minorBidi"/>
                <w:sz w:val="22"/>
                <w:szCs w:val="22"/>
              </w:rPr>
              <w:t>DFAT</w:t>
            </w:r>
            <w:r w:rsidR="00167129" w:rsidRPr="007D7B77">
              <w:rPr>
                <w:rFonts w:asciiTheme="minorHAnsi" w:hAnsiTheme="minorHAnsi" w:cstheme="minorBidi"/>
                <w:sz w:val="22"/>
                <w:szCs w:val="22"/>
              </w:rPr>
              <w:t xml:space="preserve"> </w:t>
            </w:r>
            <w:r w:rsidRPr="007D7B77">
              <w:rPr>
                <w:rFonts w:asciiTheme="minorHAnsi" w:hAnsiTheme="minorHAnsi" w:cstheme="minorBidi"/>
                <w:sz w:val="22"/>
                <w:szCs w:val="22"/>
              </w:rPr>
              <w:t xml:space="preserve">supports </w:t>
            </w:r>
            <w:r w:rsidR="3DADF3D8" w:rsidRPr="007D7B77">
              <w:rPr>
                <w:rFonts w:asciiTheme="minorHAnsi" w:hAnsiTheme="minorHAnsi" w:cstheme="minorBidi"/>
                <w:sz w:val="22"/>
                <w:szCs w:val="22"/>
              </w:rPr>
              <w:t xml:space="preserve">the </w:t>
            </w:r>
            <w:r w:rsidR="001C3694" w:rsidRPr="007D7B77">
              <w:rPr>
                <w:rFonts w:asciiTheme="minorHAnsi" w:hAnsiTheme="minorHAnsi" w:cstheme="minorBidi"/>
                <w:sz w:val="22"/>
                <w:szCs w:val="22"/>
              </w:rPr>
              <w:t xml:space="preserve">tripartite governance structure </w:t>
            </w:r>
            <w:r w:rsidR="009A27C3" w:rsidRPr="007D7B77">
              <w:rPr>
                <w:rFonts w:asciiTheme="minorHAnsi" w:hAnsiTheme="minorHAnsi" w:cstheme="minorBidi"/>
                <w:sz w:val="22"/>
                <w:szCs w:val="22"/>
              </w:rPr>
              <w:t>with collaboration between governments, workers and employers</w:t>
            </w:r>
            <w:r w:rsidR="00903991" w:rsidRPr="007D7B77">
              <w:rPr>
                <w:rFonts w:asciiTheme="minorHAnsi" w:hAnsiTheme="minorHAnsi" w:cstheme="minorBidi"/>
                <w:sz w:val="22"/>
                <w:szCs w:val="22"/>
              </w:rPr>
              <w:t xml:space="preserve"> </w:t>
            </w:r>
            <w:r w:rsidR="00A1685E" w:rsidRPr="007D7B77">
              <w:rPr>
                <w:rFonts w:asciiTheme="minorHAnsi" w:hAnsiTheme="minorHAnsi" w:cstheme="minorBidi"/>
                <w:sz w:val="22"/>
                <w:szCs w:val="22"/>
              </w:rPr>
              <w:t xml:space="preserve">to provide monitoring, </w:t>
            </w:r>
            <w:r w:rsidR="00380A96">
              <w:rPr>
                <w:rFonts w:asciiTheme="minorHAnsi" w:hAnsiTheme="minorHAnsi" w:cstheme="minorBidi"/>
                <w:sz w:val="22"/>
                <w:szCs w:val="22"/>
              </w:rPr>
              <w:t>advice</w:t>
            </w:r>
            <w:r w:rsidR="00380A96" w:rsidRPr="007D7B77">
              <w:rPr>
                <w:rFonts w:asciiTheme="minorHAnsi" w:hAnsiTheme="minorHAnsi" w:cstheme="minorBidi"/>
                <w:sz w:val="22"/>
                <w:szCs w:val="22"/>
              </w:rPr>
              <w:t xml:space="preserve"> </w:t>
            </w:r>
            <w:r w:rsidR="00A1685E" w:rsidRPr="007D7B77">
              <w:rPr>
                <w:rFonts w:asciiTheme="minorHAnsi" w:hAnsiTheme="minorHAnsi" w:cstheme="minorBidi"/>
                <w:sz w:val="22"/>
                <w:szCs w:val="22"/>
              </w:rPr>
              <w:t xml:space="preserve">and training </w:t>
            </w:r>
            <w:r w:rsidR="00320553" w:rsidRPr="007D7B77">
              <w:rPr>
                <w:rFonts w:asciiTheme="minorHAnsi" w:hAnsiTheme="minorHAnsi" w:cstheme="minorBidi"/>
                <w:sz w:val="22"/>
                <w:szCs w:val="22"/>
              </w:rPr>
              <w:t>through local institutions</w:t>
            </w:r>
            <w:r w:rsidR="009A27C3" w:rsidRPr="007D7B77">
              <w:rPr>
                <w:rFonts w:asciiTheme="minorHAnsi" w:hAnsiTheme="minorHAnsi" w:cstheme="minorBidi"/>
                <w:sz w:val="22"/>
                <w:szCs w:val="22"/>
              </w:rPr>
              <w:t xml:space="preserve">. </w:t>
            </w:r>
            <w:r w:rsidR="24EE6A9E" w:rsidRPr="007D7B77">
              <w:rPr>
                <w:rFonts w:asciiTheme="minorHAnsi" w:hAnsiTheme="minorHAnsi" w:cstheme="minorBidi"/>
                <w:sz w:val="22"/>
                <w:szCs w:val="22"/>
              </w:rPr>
              <w:t xml:space="preserve">We note the need for </w:t>
            </w:r>
            <w:r w:rsidR="1FAF628E" w:rsidRPr="007D7B77">
              <w:rPr>
                <w:rFonts w:asciiTheme="minorHAnsi" w:hAnsiTheme="minorHAnsi" w:cstheme="minorBidi"/>
                <w:sz w:val="22"/>
                <w:szCs w:val="22"/>
              </w:rPr>
              <w:t>initiative</w:t>
            </w:r>
            <w:r w:rsidR="133839D4" w:rsidRPr="007D7B77">
              <w:rPr>
                <w:rFonts w:asciiTheme="minorHAnsi" w:hAnsiTheme="minorHAnsi" w:cstheme="minorBidi"/>
                <w:sz w:val="22"/>
                <w:szCs w:val="22"/>
              </w:rPr>
              <w:t>s</w:t>
            </w:r>
            <w:r w:rsidR="24EE6A9E" w:rsidRPr="007D7B77">
              <w:rPr>
                <w:rFonts w:asciiTheme="minorHAnsi" w:hAnsiTheme="minorHAnsi" w:cstheme="minorBidi"/>
                <w:sz w:val="22"/>
                <w:szCs w:val="22"/>
              </w:rPr>
              <w:t xml:space="preserve"> to be locally-led and based on local or regional needs and capacity gaps.</w:t>
            </w:r>
            <w:r w:rsidR="009A27C3" w:rsidRPr="00D2063F">
              <w:rPr>
                <w:rFonts w:asciiTheme="minorHAnsi" w:hAnsiTheme="minorHAnsi" w:cstheme="minorBidi"/>
                <w:sz w:val="22"/>
                <w:szCs w:val="22"/>
              </w:rPr>
              <w:t xml:space="preserve"> </w:t>
            </w:r>
          </w:p>
          <w:p w14:paraId="64E1E1A7" w14:textId="1F912ADF" w:rsidR="006C4D81" w:rsidRPr="00D2063F" w:rsidRDefault="006C4D81" w:rsidP="435B13B3">
            <w:pPr>
              <w:pStyle w:val="Default"/>
              <w:rPr>
                <w:rFonts w:asciiTheme="minorHAnsi" w:hAnsiTheme="minorHAnsi" w:cstheme="minorBidi"/>
                <w:sz w:val="22"/>
                <w:szCs w:val="22"/>
              </w:rPr>
            </w:pPr>
          </w:p>
        </w:tc>
        <w:tc>
          <w:tcPr>
            <w:tcW w:w="2268" w:type="dxa"/>
          </w:tcPr>
          <w:p w14:paraId="62AA4799" w14:textId="77777777" w:rsidR="00FE0752" w:rsidRPr="00D2063F" w:rsidRDefault="00DC5239" w:rsidP="00FE0752">
            <w:pPr>
              <w:pStyle w:val="Default"/>
              <w:rPr>
                <w:rFonts w:asciiTheme="minorHAnsi" w:hAnsiTheme="minorHAnsi" w:cstheme="minorHAnsi"/>
                <w:b/>
                <w:bCs/>
                <w:sz w:val="22"/>
                <w:szCs w:val="22"/>
              </w:rPr>
            </w:pPr>
            <w:r w:rsidRPr="00D2063F">
              <w:rPr>
                <w:rFonts w:asciiTheme="minorHAnsi" w:hAnsiTheme="minorHAnsi" w:cstheme="minorHAnsi"/>
                <w:b/>
                <w:bCs/>
                <w:sz w:val="22"/>
                <w:szCs w:val="22"/>
              </w:rPr>
              <w:lastRenderedPageBreak/>
              <w:t>Responsible Units:</w:t>
            </w:r>
          </w:p>
          <w:p w14:paraId="506F30B7" w14:textId="77777777" w:rsidR="00FE0752" w:rsidRPr="00D2063F" w:rsidRDefault="00FE0752" w:rsidP="00FE0752">
            <w:pPr>
              <w:pStyle w:val="Default"/>
              <w:rPr>
                <w:rFonts w:asciiTheme="minorHAnsi" w:hAnsiTheme="minorHAnsi" w:cstheme="minorBidi"/>
                <w:sz w:val="22"/>
                <w:szCs w:val="22"/>
              </w:rPr>
            </w:pPr>
            <w:r w:rsidRPr="00D2063F">
              <w:rPr>
                <w:rFonts w:asciiTheme="minorHAnsi" w:hAnsiTheme="minorHAnsi" w:cstheme="minorHAnsi"/>
                <w:sz w:val="22"/>
                <w:szCs w:val="22"/>
              </w:rPr>
              <w:t xml:space="preserve">- </w:t>
            </w:r>
            <w:r w:rsidR="00DC5239" w:rsidRPr="00D2063F">
              <w:rPr>
                <w:rFonts w:asciiTheme="minorHAnsi" w:hAnsiTheme="minorHAnsi" w:cstheme="minorBidi"/>
                <w:sz w:val="22"/>
                <w:szCs w:val="22"/>
              </w:rPr>
              <w:t xml:space="preserve">Governance and Tripartism Department: ILO </w:t>
            </w:r>
            <w:r w:rsidR="00DC5239" w:rsidRPr="00D2063F">
              <w:rPr>
                <w:rFonts w:asciiTheme="minorHAnsi" w:hAnsiTheme="minorHAnsi" w:cstheme="minorBidi"/>
                <w:sz w:val="22"/>
                <w:szCs w:val="22"/>
              </w:rPr>
              <w:lastRenderedPageBreak/>
              <w:t>Better Work Management group</w:t>
            </w:r>
          </w:p>
          <w:p w14:paraId="45825A7E" w14:textId="73C66735" w:rsidR="00DC5239" w:rsidRPr="00D2063F" w:rsidRDefault="00FE0752" w:rsidP="00FE0752">
            <w:pPr>
              <w:pStyle w:val="Default"/>
              <w:rPr>
                <w:rFonts w:asciiTheme="minorHAnsi" w:hAnsiTheme="minorHAnsi" w:cstheme="minorHAnsi"/>
                <w:b/>
                <w:bCs/>
                <w:sz w:val="22"/>
                <w:szCs w:val="22"/>
              </w:rPr>
            </w:pPr>
            <w:r w:rsidRPr="00D2063F">
              <w:rPr>
                <w:rFonts w:asciiTheme="minorHAnsi" w:hAnsiTheme="minorHAnsi" w:cstheme="minorBidi"/>
                <w:sz w:val="22"/>
                <w:szCs w:val="22"/>
              </w:rPr>
              <w:t xml:space="preserve">- </w:t>
            </w:r>
            <w:r w:rsidR="00DC5239" w:rsidRPr="00D2063F">
              <w:rPr>
                <w:rFonts w:asciiTheme="minorHAnsi" w:hAnsiTheme="minorHAnsi" w:cstheme="minorBidi"/>
                <w:sz w:val="22"/>
                <w:szCs w:val="22"/>
              </w:rPr>
              <w:t xml:space="preserve">BW country program managers </w:t>
            </w:r>
          </w:p>
          <w:p w14:paraId="34D6636C" w14:textId="341D85BB" w:rsidR="00DC5239" w:rsidRPr="00D2063F" w:rsidRDefault="00FE0752" w:rsidP="00FE0752">
            <w:pPr>
              <w:pStyle w:val="ListParagraph"/>
              <w:ind w:left="0"/>
            </w:pPr>
            <w:r w:rsidRPr="00D2063F">
              <w:t xml:space="preserve">- </w:t>
            </w:r>
            <w:r w:rsidR="00DC5239" w:rsidRPr="00D2063F">
              <w:t>ILO C</w:t>
            </w:r>
            <w:r w:rsidR="00701D19" w:rsidRPr="00D2063F">
              <w:t xml:space="preserve">O </w:t>
            </w:r>
            <w:r w:rsidR="00DC5239" w:rsidRPr="00D2063F">
              <w:t>directors</w:t>
            </w:r>
          </w:p>
          <w:p w14:paraId="0F0301FB" w14:textId="2EE69BA2" w:rsidR="00DC5239" w:rsidRPr="00D2063F" w:rsidRDefault="00DC5239" w:rsidP="00DC5239">
            <w:pPr>
              <w:pStyle w:val="Default"/>
              <w:rPr>
                <w:rFonts w:asciiTheme="minorHAnsi" w:hAnsiTheme="minorHAnsi" w:cstheme="minorHAnsi"/>
                <w:sz w:val="22"/>
                <w:szCs w:val="22"/>
              </w:rPr>
            </w:pPr>
          </w:p>
        </w:tc>
        <w:tc>
          <w:tcPr>
            <w:tcW w:w="1560" w:type="dxa"/>
          </w:tcPr>
          <w:p w14:paraId="747245E7" w14:textId="6E28569A" w:rsidR="00DC5239" w:rsidRPr="00D2063F" w:rsidRDefault="00DC5239" w:rsidP="00DC5239">
            <w:pPr>
              <w:pStyle w:val="Default"/>
              <w:rPr>
                <w:rFonts w:asciiTheme="minorHAnsi" w:hAnsiTheme="minorHAnsi" w:cstheme="minorHAnsi"/>
                <w:sz w:val="22"/>
                <w:szCs w:val="22"/>
              </w:rPr>
            </w:pPr>
            <w:r w:rsidRPr="00D2063F">
              <w:rPr>
                <w:rFonts w:asciiTheme="minorHAnsi" w:hAnsiTheme="minorHAnsi" w:cstheme="minorHAnsi"/>
                <w:b/>
                <w:bCs/>
                <w:sz w:val="22"/>
                <w:szCs w:val="22"/>
              </w:rPr>
              <w:lastRenderedPageBreak/>
              <w:t xml:space="preserve">Priority: </w:t>
            </w:r>
            <w:r w:rsidRPr="00D2063F">
              <w:rPr>
                <w:rFonts w:asciiTheme="minorHAnsi" w:hAnsiTheme="minorHAnsi" w:cstheme="minorHAnsi"/>
                <w:sz w:val="22"/>
                <w:szCs w:val="22"/>
              </w:rPr>
              <w:t>High</w:t>
            </w:r>
          </w:p>
          <w:p w14:paraId="5EF09B7D" w14:textId="77777777" w:rsidR="00DC5239" w:rsidRPr="00D2063F" w:rsidRDefault="00DC5239" w:rsidP="00DC5239">
            <w:pPr>
              <w:pStyle w:val="Default"/>
              <w:rPr>
                <w:rFonts w:asciiTheme="minorHAnsi" w:hAnsiTheme="minorHAnsi" w:cstheme="minorHAnsi"/>
                <w:sz w:val="22"/>
                <w:szCs w:val="22"/>
              </w:rPr>
            </w:pPr>
            <w:r w:rsidRPr="00D2063F">
              <w:rPr>
                <w:rFonts w:asciiTheme="minorHAnsi" w:hAnsiTheme="minorHAnsi" w:cstheme="minorHAnsi"/>
                <w:b/>
                <w:bCs/>
                <w:sz w:val="22"/>
                <w:szCs w:val="22"/>
              </w:rPr>
              <w:t>Time Implications</w:t>
            </w:r>
            <w:r w:rsidRPr="00D2063F">
              <w:rPr>
                <w:rFonts w:asciiTheme="minorHAnsi" w:hAnsiTheme="minorHAnsi" w:cstheme="minorHAnsi"/>
                <w:sz w:val="22"/>
                <w:szCs w:val="22"/>
              </w:rPr>
              <w:t>: Immediate</w:t>
            </w:r>
          </w:p>
          <w:p w14:paraId="489AB6C2" w14:textId="4F89EBE4" w:rsidR="00DC5239" w:rsidRPr="007D7B77" w:rsidRDefault="00DC5239" w:rsidP="00DC5239">
            <w:pPr>
              <w:pStyle w:val="Default"/>
              <w:rPr>
                <w:rFonts w:asciiTheme="minorHAnsi" w:hAnsiTheme="minorHAnsi" w:cstheme="minorHAnsi"/>
                <w:sz w:val="22"/>
                <w:szCs w:val="22"/>
              </w:rPr>
            </w:pPr>
            <w:r w:rsidRPr="00D2063F">
              <w:rPr>
                <w:rFonts w:asciiTheme="minorHAnsi" w:hAnsiTheme="minorHAnsi" w:cstheme="minorHAnsi"/>
                <w:b/>
                <w:bCs/>
                <w:sz w:val="22"/>
                <w:szCs w:val="22"/>
              </w:rPr>
              <w:lastRenderedPageBreak/>
              <w:t>Resource implications</w:t>
            </w:r>
            <w:r w:rsidRPr="00D2063F">
              <w:rPr>
                <w:rFonts w:asciiTheme="minorHAnsi" w:hAnsiTheme="minorHAnsi" w:cstheme="minorHAnsi"/>
                <w:sz w:val="22"/>
                <w:szCs w:val="22"/>
              </w:rPr>
              <w:t>: Medium</w:t>
            </w:r>
          </w:p>
        </w:tc>
      </w:tr>
      <w:tr w:rsidR="00DC5239" w:rsidRPr="00D2063F" w14:paraId="276D5BDC" w14:textId="77777777" w:rsidTr="00CF7FC2">
        <w:tc>
          <w:tcPr>
            <w:tcW w:w="3964" w:type="dxa"/>
          </w:tcPr>
          <w:p w14:paraId="3514607A" w14:textId="6DBED92E" w:rsidR="00DC5239" w:rsidRPr="00D2063F" w:rsidRDefault="00DC5239" w:rsidP="00DC5239">
            <w:pPr>
              <w:rPr>
                <w:rFonts w:ascii="Aptos" w:hAnsi="Aptos" w:cs="Times New Roman"/>
                <w:sz w:val="18"/>
                <w:szCs w:val="18"/>
              </w:rPr>
            </w:pPr>
            <w:r w:rsidRPr="00D2063F">
              <w:rPr>
                <w:rFonts w:ascii="Aptos" w:hAnsi="Aptos" w:cs="Times New Roman"/>
                <w:b/>
                <w:bCs/>
                <w:sz w:val="28"/>
                <w:szCs w:val="28"/>
                <w:u w:val="single"/>
              </w:rPr>
              <w:lastRenderedPageBreak/>
              <w:t>Recommendation 2</w:t>
            </w:r>
            <w:r w:rsidRPr="00D2063F">
              <w:rPr>
                <w:rFonts w:ascii="Aptos" w:hAnsi="Aptos" w:cs="Times New Roman"/>
              </w:rPr>
              <w:t xml:space="preserve"> </w:t>
            </w:r>
          </w:p>
          <w:p w14:paraId="2517A92E" w14:textId="77777777" w:rsidR="00DC5239" w:rsidRPr="00D2063F" w:rsidRDefault="00DC5239" w:rsidP="00DC5239">
            <w:r w:rsidRPr="00D2063F">
              <w:rPr>
                <w:b/>
                <w:bCs/>
              </w:rPr>
              <w:t xml:space="preserve">To strengthen its sustainability, adaptability, and efficiency, Better Work should accelerate the evolution of its factory engagement model by </w:t>
            </w:r>
            <w:r w:rsidRPr="00D2063F">
              <w:rPr>
                <w:b/>
                <w:bCs/>
              </w:rPr>
              <w:lastRenderedPageBreak/>
              <w:t>enhancing its flexibility, scalability, cost recovery and efficiency. Specific priorities include:</w:t>
            </w:r>
            <w:r w:rsidRPr="00D2063F">
              <w:t xml:space="preserve"> </w:t>
            </w:r>
          </w:p>
          <w:p w14:paraId="4BBDEAC9" w14:textId="77777777" w:rsidR="00DC5239" w:rsidRPr="00D2063F" w:rsidRDefault="00DC5239" w:rsidP="00DC5239">
            <w:pPr>
              <w:pStyle w:val="ListParagraph"/>
              <w:numPr>
                <w:ilvl w:val="0"/>
                <w:numId w:val="6"/>
              </w:numPr>
              <w:ind w:left="0" w:firstLine="0"/>
            </w:pPr>
            <w:r w:rsidRPr="00D2063F">
              <w:rPr>
                <w:b/>
                <w:bCs/>
              </w:rPr>
              <w:t>Diversify funding sources:</w:t>
            </w:r>
            <w:r w:rsidRPr="00D2063F">
              <w:t xml:space="preserve"> Reduce donor dependence by increasing contributions from a broader range of stakeholders, including the private sector and government, to strengthen sustainable local ownership.</w:t>
            </w:r>
          </w:p>
          <w:p w14:paraId="2CE8F756" w14:textId="77777777" w:rsidR="00DC5239" w:rsidRPr="00D2063F" w:rsidRDefault="00DC5239" w:rsidP="00DC5239">
            <w:pPr>
              <w:pStyle w:val="ListParagraph"/>
              <w:numPr>
                <w:ilvl w:val="0"/>
                <w:numId w:val="6"/>
              </w:numPr>
              <w:ind w:left="0" w:firstLine="0"/>
            </w:pPr>
            <w:r w:rsidRPr="00D2063F">
              <w:rPr>
                <w:b/>
                <w:bCs/>
              </w:rPr>
              <w:t>Refine program segmentation and engagement:</w:t>
            </w:r>
            <w:r w:rsidRPr="00D2063F">
              <w:t xml:space="preserve"> </w:t>
            </w:r>
          </w:p>
          <w:p w14:paraId="2276C501" w14:textId="77777777" w:rsidR="00DC5239" w:rsidRPr="00D2063F" w:rsidRDefault="00DC5239" w:rsidP="00DC5239">
            <w:pPr>
              <w:pStyle w:val="ListParagraph"/>
              <w:numPr>
                <w:ilvl w:val="1"/>
                <w:numId w:val="6"/>
              </w:numPr>
              <w:ind w:left="113" w:firstLine="0"/>
            </w:pPr>
            <w:r w:rsidRPr="00D2063F">
              <w:t xml:space="preserve">Implement Persistently Non-Compliant and High-Performing Factory protocols to guide differentiated services, including clear exit and graduation criteria </w:t>
            </w:r>
          </w:p>
          <w:p w14:paraId="3D62D7C0" w14:textId="77777777" w:rsidR="00DC5239" w:rsidRPr="00D2063F" w:rsidRDefault="00DC5239" w:rsidP="00DC5239">
            <w:pPr>
              <w:pStyle w:val="ListParagraph"/>
              <w:numPr>
                <w:ilvl w:val="1"/>
                <w:numId w:val="6"/>
              </w:numPr>
              <w:ind w:left="113" w:firstLine="0"/>
            </w:pPr>
            <w:r w:rsidRPr="00D2063F">
              <w:t xml:space="preserve">Review and broaden High-Performing Factory benchmarks to increase eligibility and secure buy-in from stakeholders and brands. </w:t>
            </w:r>
          </w:p>
          <w:p w14:paraId="4076DD3E" w14:textId="77777777" w:rsidR="00DC5239" w:rsidRPr="00D2063F" w:rsidRDefault="00DC5239" w:rsidP="00DC5239">
            <w:pPr>
              <w:pStyle w:val="ListParagraph"/>
              <w:numPr>
                <w:ilvl w:val="0"/>
                <w:numId w:val="6"/>
              </w:numPr>
              <w:ind w:left="0" w:firstLine="0"/>
              <w:rPr>
                <w:b/>
                <w:bCs/>
              </w:rPr>
            </w:pPr>
            <w:r w:rsidRPr="00D2063F">
              <w:rPr>
                <w:b/>
                <w:bCs/>
              </w:rPr>
              <w:t xml:space="preserve">Enhance data collection efficiency </w:t>
            </w:r>
          </w:p>
          <w:p w14:paraId="5A1AB3CC" w14:textId="77777777" w:rsidR="00DC5239" w:rsidRPr="00D2063F" w:rsidRDefault="00DC5239" w:rsidP="00DC5239">
            <w:pPr>
              <w:pStyle w:val="ListParagraph"/>
              <w:numPr>
                <w:ilvl w:val="1"/>
                <w:numId w:val="6"/>
              </w:numPr>
              <w:ind w:left="113" w:firstLine="0"/>
            </w:pPr>
            <w:r w:rsidRPr="00D2063F">
              <w:t xml:space="preserve">Pilot lighter compliance monitoring methods—such as sampling, baseline/endline surveys, and predictive analytics—to reduce fieldwork intensity without compromising data quality or comparability. </w:t>
            </w:r>
          </w:p>
          <w:p w14:paraId="625121E7" w14:textId="77777777" w:rsidR="00DC5239" w:rsidRPr="00D2063F" w:rsidRDefault="00DC5239" w:rsidP="00DC5239">
            <w:pPr>
              <w:pStyle w:val="ListParagraph"/>
              <w:numPr>
                <w:ilvl w:val="0"/>
                <w:numId w:val="6"/>
              </w:numPr>
              <w:ind w:left="0" w:firstLine="0"/>
              <w:rPr>
                <w:b/>
                <w:bCs/>
              </w:rPr>
            </w:pPr>
            <w:r w:rsidRPr="00D2063F">
              <w:rPr>
                <w:b/>
                <w:bCs/>
              </w:rPr>
              <w:lastRenderedPageBreak/>
              <w:t xml:space="preserve">Expand and institutionalize Factory Ambassador training </w:t>
            </w:r>
          </w:p>
          <w:p w14:paraId="21C6F715" w14:textId="061B59D0" w:rsidR="00DC5239" w:rsidRPr="00D2063F" w:rsidRDefault="00DC5239" w:rsidP="00DC5239">
            <w:pPr>
              <w:pStyle w:val="ListParagraph"/>
              <w:numPr>
                <w:ilvl w:val="1"/>
                <w:numId w:val="6"/>
              </w:numPr>
              <w:ind w:left="113" w:firstLine="0"/>
            </w:pPr>
            <w:r w:rsidRPr="00D2063F">
              <w:t>Integrate ambassador training into the Better Work Academy, local training institutions, and social-partner platforms, with safeguards to protect those reporting sensitive issues.</w:t>
            </w:r>
          </w:p>
          <w:p w14:paraId="0CA30B18" w14:textId="449628F0" w:rsidR="00DC5239" w:rsidRPr="00D2063F" w:rsidRDefault="00DC5239" w:rsidP="00DC5239"/>
        </w:tc>
        <w:tc>
          <w:tcPr>
            <w:tcW w:w="2977" w:type="dxa"/>
          </w:tcPr>
          <w:p w14:paraId="36D7659D" w14:textId="5B9A9FC0" w:rsidR="00DC5239" w:rsidRPr="007D7B77" w:rsidRDefault="00DC5239" w:rsidP="00DC5239">
            <w:pPr>
              <w:pStyle w:val="Default"/>
              <w:rPr>
                <w:rFonts w:asciiTheme="minorHAnsi" w:hAnsiTheme="minorHAnsi" w:cstheme="minorHAnsi"/>
                <w:sz w:val="22"/>
                <w:szCs w:val="22"/>
              </w:rPr>
            </w:pPr>
            <w:r w:rsidRPr="00D2063F">
              <w:rPr>
                <w:rFonts w:asciiTheme="minorHAnsi" w:hAnsiTheme="minorHAnsi" w:cstheme="minorHAnsi"/>
                <w:sz w:val="22"/>
                <w:szCs w:val="22"/>
              </w:rPr>
              <w:lastRenderedPageBreak/>
              <w:t xml:space="preserve">On Recommendation 2, the Office will support Better Work in advancing efficiency measures, cost recovery and the scalability and sustainability of its factory </w:t>
            </w:r>
            <w:r w:rsidRPr="00D2063F">
              <w:rPr>
                <w:rFonts w:asciiTheme="minorHAnsi" w:hAnsiTheme="minorHAnsi" w:cstheme="minorHAnsi"/>
                <w:sz w:val="22"/>
                <w:szCs w:val="22"/>
              </w:rPr>
              <w:lastRenderedPageBreak/>
              <w:t>model. Funding has diversified to include contributions from buyers, factories, governments, employers and export agencies. These contributions increasingly cover the costs of factory operations (between 63 and 100 per cent) in country-based programs. Further funding diversification is being pursued. Additionally, Better Work is implementing the recommendations of the high-level evaluation on resource efficiency and conferring the use of tools</w:t>
            </w:r>
            <w:r w:rsidR="009918AD">
              <w:rPr>
                <w:rFonts w:asciiTheme="minorHAnsi" w:hAnsiTheme="minorHAnsi" w:cstheme="minorHAnsi"/>
                <w:sz w:val="22"/>
                <w:szCs w:val="22"/>
              </w:rPr>
              <w:t>,</w:t>
            </w:r>
            <w:r w:rsidRPr="00D2063F">
              <w:rPr>
                <w:rFonts w:asciiTheme="minorHAnsi" w:hAnsiTheme="minorHAnsi" w:cstheme="minorHAnsi"/>
                <w:sz w:val="22"/>
                <w:szCs w:val="22"/>
              </w:rPr>
              <w:t xml:space="preserve"> and will explore further options to accelerate sustainability, reduce costs and enhance model replicability.</w:t>
            </w:r>
          </w:p>
        </w:tc>
        <w:tc>
          <w:tcPr>
            <w:tcW w:w="1276" w:type="dxa"/>
            <w:shd w:val="clear" w:color="auto" w:fill="8DD873" w:themeFill="accent6" w:themeFillTint="99"/>
          </w:tcPr>
          <w:p w14:paraId="5DE2F262" w14:textId="2345427C" w:rsidR="00DC5239" w:rsidRPr="007D7B77" w:rsidRDefault="00DC5239" w:rsidP="00DC5239">
            <w:pPr>
              <w:pStyle w:val="Default"/>
              <w:rPr>
                <w:rFonts w:asciiTheme="minorHAnsi" w:hAnsiTheme="minorHAnsi" w:cstheme="minorHAnsi"/>
                <w:sz w:val="22"/>
                <w:szCs w:val="22"/>
              </w:rPr>
            </w:pPr>
            <w:r w:rsidRPr="00D2063F">
              <w:rPr>
                <w:rFonts w:asciiTheme="minorHAnsi" w:hAnsiTheme="minorHAnsi" w:cstheme="minorHAnsi"/>
                <w:sz w:val="22"/>
                <w:szCs w:val="22"/>
              </w:rPr>
              <w:lastRenderedPageBreak/>
              <w:t xml:space="preserve">Agree </w:t>
            </w:r>
          </w:p>
        </w:tc>
        <w:tc>
          <w:tcPr>
            <w:tcW w:w="2551" w:type="dxa"/>
          </w:tcPr>
          <w:p w14:paraId="66798113" w14:textId="32F5E540" w:rsidR="00DC5239" w:rsidRPr="007D7B77" w:rsidRDefault="00D039B1" w:rsidP="435B13B3">
            <w:pPr>
              <w:pStyle w:val="Default"/>
              <w:rPr>
                <w:rFonts w:asciiTheme="minorHAnsi" w:hAnsiTheme="minorHAnsi" w:cstheme="minorBidi"/>
                <w:sz w:val="22"/>
                <w:szCs w:val="22"/>
              </w:rPr>
            </w:pPr>
            <w:r w:rsidRPr="007D7B77">
              <w:rPr>
                <w:rFonts w:asciiTheme="minorHAnsi" w:hAnsiTheme="minorHAnsi" w:cstheme="minorBidi"/>
                <w:sz w:val="22"/>
                <w:szCs w:val="22"/>
              </w:rPr>
              <w:t>DFAT</w:t>
            </w:r>
            <w:r w:rsidR="00DA1DE7" w:rsidRPr="007D7B77">
              <w:rPr>
                <w:rFonts w:asciiTheme="minorHAnsi" w:hAnsiTheme="minorHAnsi" w:cstheme="minorBidi"/>
                <w:sz w:val="22"/>
                <w:szCs w:val="22"/>
              </w:rPr>
              <w:t xml:space="preserve"> </w:t>
            </w:r>
            <w:r w:rsidRPr="007D7B77">
              <w:rPr>
                <w:rFonts w:asciiTheme="minorHAnsi" w:hAnsiTheme="minorHAnsi" w:cstheme="minorBidi"/>
                <w:sz w:val="22"/>
                <w:szCs w:val="22"/>
              </w:rPr>
              <w:t xml:space="preserve">acknowledges </w:t>
            </w:r>
            <w:r w:rsidR="00D06249" w:rsidRPr="007D7B77">
              <w:rPr>
                <w:rFonts w:asciiTheme="minorHAnsi" w:hAnsiTheme="minorHAnsi" w:cstheme="minorBidi"/>
                <w:sz w:val="22"/>
                <w:szCs w:val="22"/>
              </w:rPr>
              <w:t xml:space="preserve">the efforts of the Programme to diversify its funding sources. </w:t>
            </w:r>
            <w:r w:rsidR="00983285" w:rsidRPr="007D7B77">
              <w:rPr>
                <w:rFonts w:asciiTheme="minorHAnsi" w:hAnsiTheme="minorHAnsi" w:cstheme="minorBidi"/>
                <w:sz w:val="22"/>
                <w:szCs w:val="22"/>
              </w:rPr>
              <w:t>DFAT</w:t>
            </w:r>
            <w:r w:rsidR="000E768C" w:rsidRPr="007D7B77">
              <w:rPr>
                <w:rFonts w:asciiTheme="minorHAnsi" w:hAnsiTheme="minorHAnsi" w:cstheme="minorBidi"/>
                <w:sz w:val="22"/>
                <w:szCs w:val="22"/>
              </w:rPr>
              <w:t xml:space="preserve"> agrees</w:t>
            </w:r>
            <w:r w:rsidR="002A0110" w:rsidRPr="007D7B77">
              <w:rPr>
                <w:rFonts w:asciiTheme="minorHAnsi" w:hAnsiTheme="minorHAnsi" w:cstheme="minorBidi"/>
                <w:sz w:val="22"/>
                <w:szCs w:val="22"/>
              </w:rPr>
              <w:t xml:space="preserve"> that </w:t>
            </w:r>
            <w:r w:rsidR="00484107" w:rsidRPr="007D7B77">
              <w:rPr>
                <w:rFonts w:asciiTheme="minorHAnsi" w:hAnsiTheme="minorHAnsi" w:cstheme="minorBidi"/>
                <w:sz w:val="22"/>
                <w:szCs w:val="22"/>
              </w:rPr>
              <w:t xml:space="preserve">refining program </w:t>
            </w:r>
            <w:r w:rsidR="00484107" w:rsidRPr="007D7B77">
              <w:rPr>
                <w:rFonts w:asciiTheme="minorHAnsi" w:hAnsiTheme="minorHAnsi" w:cstheme="minorBidi"/>
                <w:sz w:val="22"/>
                <w:szCs w:val="22"/>
              </w:rPr>
              <w:lastRenderedPageBreak/>
              <w:t>segmentation is needed for scalability, with an emphasis on</w:t>
            </w:r>
            <w:r w:rsidR="00983285" w:rsidRPr="007D7B77">
              <w:rPr>
                <w:rFonts w:asciiTheme="minorHAnsi" w:hAnsiTheme="minorHAnsi" w:cstheme="minorBidi"/>
                <w:sz w:val="22"/>
                <w:szCs w:val="22"/>
              </w:rPr>
              <w:t xml:space="preserve"> the need </w:t>
            </w:r>
            <w:r w:rsidR="00437458" w:rsidRPr="007D7B77">
              <w:rPr>
                <w:rFonts w:asciiTheme="minorHAnsi" w:hAnsiTheme="minorHAnsi" w:cstheme="minorBidi"/>
                <w:sz w:val="22"/>
                <w:szCs w:val="22"/>
              </w:rPr>
              <w:t>for exit strategies</w:t>
            </w:r>
            <w:r w:rsidR="00335336" w:rsidRPr="007D7B77">
              <w:rPr>
                <w:rFonts w:asciiTheme="minorHAnsi" w:hAnsiTheme="minorHAnsi" w:cstheme="minorBidi"/>
                <w:sz w:val="22"/>
                <w:szCs w:val="22"/>
              </w:rPr>
              <w:t xml:space="preserve"> for </w:t>
            </w:r>
            <w:r w:rsidR="4A126BE9" w:rsidRPr="007D7B77">
              <w:rPr>
                <w:rFonts w:asciiTheme="minorHAnsi" w:hAnsiTheme="minorHAnsi" w:cstheme="minorBidi"/>
                <w:sz w:val="22"/>
                <w:szCs w:val="22"/>
              </w:rPr>
              <w:t xml:space="preserve">countries with long term </w:t>
            </w:r>
            <w:r w:rsidR="4081E347" w:rsidRPr="007D7B77">
              <w:rPr>
                <w:rFonts w:asciiTheme="minorHAnsi" w:hAnsiTheme="minorHAnsi" w:cstheme="minorBidi"/>
                <w:sz w:val="22"/>
                <w:szCs w:val="22"/>
              </w:rPr>
              <w:t>and</w:t>
            </w:r>
            <w:r w:rsidR="4A126BE9" w:rsidRPr="007D7B77">
              <w:rPr>
                <w:rFonts w:asciiTheme="minorHAnsi" w:hAnsiTheme="minorHAnsi" w:cstheme="minorBidi"/>
                <w:sz w:val="22"/>
                <w:szCs w:val="22"/>
              </w:rPr>
              <w:t xml:space="preserve"> high performing programs</w:t>
            </w:r>
            <w:r w:rsidR="00484107" w:rsidRPr="007D7B77">
              <w:rPr>
                <w:rFonts w:asciiTheme="minorHAnsi" w:hAnsiTheme="minorHAnsi" w:cstheme="minorBidi"/>
                <w:sz w:val="22"/>
                <w:szCs w:val="22"/>
              </w:rPr>
              <w:t>.</w:t>
            </w:r>
            <w:r w:rsidR="001F7AFA" w:rsidRPr="007D7B77">
              <w:rPr>
                <w:rFonts w:asciiTheme="minorHAnsi" w:hAnsiTheme="minorHAnsi" w:cstheme="minorBidi"/>
                <w:sz w:val="22"/>
                <w:szCs w:val="22"/>
              </w:rPr>
              <w:t xml:space="preserve"> </w:t>
            </w:r>
            <w:r w:rsidR="20571AF3" w:rsidRPr="007D7B77">
              <w:rPr>
                <w:rFonts w:asciiTheme="minorHAnsi" w:hAnsiTheme="minorHAnsi" w:cstheme="minorBidi"/>
                <w:sz w:val="22"/>
                <w:szCs w:val="22"/>
              </w:rPr>
              <w:t>C</w:t>
            </w:r>
            <w:r w:rsidR="7256064A" w:rsidRPr="007D7B77">
              <w:rPr>
                <w:rFonts w:asciiTheme="minorHAnsi" w:hAnsiTheme="minorHAnsi" w:cstheme="minorBidi"/>
                <w:sz w:val="22"/>
                <w:szCs w:val="22"/>
              </w:rPr>
              <w:t>lear</w:t>
            </w:r>
            <w:r w:rsidR="00F85381" w:rsidRPr="007D7B77">
              <w:rPr>
                <w:rFonts w:asciiTheme="minorHAnsi" w:hAnsiTheme="minorHAnsi" w:cstheme="minorBidi"/>
                <w:sz w:val="22"/>
                <w:szCs w:val="22"/>
              </w:rPr>
              <w:t xml:space="preserve"> timeframes</w:t>
            </w:r>
            <w:r w:rsidR="00651F68" w:rsidRPr="007D7B77">
              <w:rPr>
                <w:rFonts w:asciiTheme="minorHAnsi" w:hAnsiTheme="minorHAnsi" w:cstheme="minorBidi"/>
                <w:sz w:val="22"/>
                <w:szCs w:val="22"/>
              </w:rPr>
              <w:t xml:space="preserve"> to guide exit and graduation</w:t>
            </w:r>
            <w:r w:rsidR="00731C2B" w:rsidRPr="007D7B77">
              <w:rPr>
                <w:rFonts w:asciiTheme="minorHAnsi" w:hAnsiTheme="minorHAnsi" w:cstheme="minorBidi"/>
                <w:sz w:val="22"/>
                <w:szCs w:val="22"/>
              </w:rPr>
              <w:t xml:space="preserve"> </w:t>
            </w:r>
            <w:r w:rsidR="00D6604C" w:rsidRPr="007D7B77">
              <w:rPr>
                <w:rFonts w:asciiTheme="minorHAnsi" w:hAnsiTheme="minorHAnsi" w:cstheme="minorBidi"/>
                <w:sz w:val="22"/>
                <w:szCs w:val="22"/>
              </w:rPr>
              <w:t>strategies</w:t>
            </w:r>
            <w:r w:rsidR="46A3906A" w:rsidRPr="007D7B77">
              <w:rPr>
                <w:rFonts w:asciiTheme="minorHAnsi" w:hAnsiTheme="minorHAnsi" w:cstheme="minorBidi"/>
                <w:sz w:val="22"/>
                <w:szCs w:val="22"/>
              </w:rPr>
              <w:t xml:space="preserve"> </w:t>
            </w:r>
            <w:r w:rsidR="3D2D0379" w:rsidRPr="007D7B77">
              <w:rPr>
                <w:rFonts w:asciiTheme="minorHAnsi" w:hAnsiTheme="minorHAnsi" w:cstheme="minorBidi"/>
                <w:sz w:val="22"/>
                <w:szCs w:val="22"/>
              </w:rPr>
              <w:t>will</w:t>
            </w:r>
            <w:r w:rsidR="3E28B27D" w:rsidRPr="007D7B77">
              <w:rPr>
                <w:rFonts w:asciiTheme="minorHAnsi" w:hAnsiTheme="minorHAnsi" w:cstheme="minorBidi"/>
                <w:sz w:val="22"/>
                <w:szCs w:val="22"/>
              </w:rPr>
              <w:t xml:space="preserve"> help</w:t>
            </w:r>
            <w:r w:rsidR="00731C2B" w:rsidRPr="007D7B77">
              <w:rPr>
                <w:rFonts w:asciiTheme="minorHAnsi" w:hAnsiTheme="minorHAnsi" w:cstheme="minorBidi"/>
                <w:sz w:val="22"/>
                <w:szCs w:val="22"/>
              </w:rPr>
              <w:t xml:space="preserve"> ensure</w:t>
            </w:r>
            <w:r w:rsidR="00651F68" w:rsidRPr="007D7B77">
              <w:rPr>
                <w:rFonts w:asciiTheme="minorHAnsi" w:hAnsiTheme="minorHAnsi" w:cstheme="minorBidi"/>
                <w:sz w:val="22"/>
                <w:szCs w:val="22"/>
              </w:rPr>
              <w:t xml:space="preserve"> </w:t>
            </w:r>
            <w:r w:rsidR="006300D4" w:rsidRPr="007D7B77">
              <w:rPr>
                <w:rFonts w:asciiTheme="minorHAnsi" w:hAnsiTheme="minorHAnsi" w:cstheme="minorBidi"/>
                <w:sz w:val="22"/>
                <w:szCs w:val="22"/>
              </w:rPr>
              <w:t>sustainability</w:t>
            </w:r>
            <w:r w:rsidR="00444571" w:rsidRPr="007D7B77">
              <w:rPr>
                <w:rFonts w:asciiTheme="minorHAnsi" w:hAnsiTheme="minorHAnsi" w:cstheme="minorBidi"/>
                <w:sz w:val="22"/>
                <w:szCs w:val="22"/>
              </w:rPr>
              <w:t xml:space="preserve"> across Better Work’s country programs.</w:t>
            </w:r>
          </w:p>
        </w:tc>
        <w:tc>
          <w:tcPr>
            <w:tcW w:w="2268" w:type="dxa"/>
          </w:tcPr>
          <w:p w14:paraId="291B042B" w14:textId="77777777" w:rsidR="00DC5239" w:rsidRPr="00D2063F" w:rsidRDefault="00EB2441" w:rsidP="00DC5239">
            <w:pPr>
              <w:pStyle w:val="Default"/>
              <w:rPr>
                <w:rFonts w:asciiTheme="minorHAnsi" w:hAnsiTheme="minorHAnsi" w:cstheme="minorHAnsi"/>
                <w:sz w:val="22"/>
                <w:szCs w:val="22"/>
              </w:rPr>
            </w:pPr>
            <w:r w:rsidRPr="00D2063F">
              <w:rPr>
                <w:rFonts w:asciiTheme="minorHAnsi" w:hAnsiTheme="minorHAnsi" w:cstheme="minorHAnsi"/>
                <w:b/>
                <w:bCs/>
                <w:sz w:val="22"/>
                <w:szCs w:val="22"/>
              </w:rPr>
              <w:lastRenderedPageBreak/>
              <w:t>Responsible Units</w:t>
            </w:r>
          </w:p>
          <w:p w14:paraId="0C7BBEB7" w14:textId="77777777" w:rsidR="0036778E" w:rsidRPr="00D2063F" w:rsidRDefault="0036778E" w:rsidP="0036778E">
            <w:pPr>
              <w:pStyle w:val="Default"/>
              <w:rPr>
                <w:rFonts w:asciiTheme="minorHAnsi" w:hAnsiTheme="minorHAnsi" w:cstheme="minorBidi"/>
                <w:sz w:val="22"/>
                <w:szCs w:val="22"/>
              </w:rPr>
            </w:pPr>
            <w:r w:rsidRPr="00D2063F">
              <w:rPr>
                <w:rFonts w:asciiTheme="minorHAnsi" w:hAnsiTheme="minorHAnsi" w:cstheme="minorHAnsi"/>
                <w:sz w:val="22"/>
                <w:szCs w:val="22"/>
              </w:rPr>
              <w:t xml:space="preserve">- </w:t>
            </w:r>
            <w:r w:rsidRPr="00D2063F">
              <w:rPr>
                <w:rFonts w:asciiTheme="minorHAnsi" w:hAnsiTheme="minorHAnsi" w:cstheme="minorBidi"/>
                <w:sz w:val="22"/>
                <w:szCs w:val="22"/>
              </w:rPr>
              <w:t>Governance and Tripartism Department: ILO Better Work Management group</w:t>
            </w:r>
          </w:p>
          <w:p w14:paraId="5E59B02F" w14:textId="04C540E8" w:rsidR="0036778E" w:rsidRPr="00D2063F" w:rsidRDefault="0036778E" w:rsidP="0036778E">
            <w:pPr>
              <w:pStyle w:val="Default"/>
              <w:rPr>
                <w:rFonts w:asciiTheme="minorHAnsi" w:hAnsiTheme="minorHAnsi" w:cstheme="minorHAnsi"/>
                <w:b/>
                <w:bCs/>
                <w:sz w:val="22"/>
                <w:szCs w:val="22"/>
              </w:rPr>
            </w:pPr>
            <w:r w:rsidRPr="00D2063F">
              <w:rPr>
                <w:rFonts w:asciiTheme="minorHAnsi" w:hAnsiTheme="minorHAnsi" w:cstheme="minorBidi"/>
                <w:sz w:val="22"/>
                <w:szCs w:val="22"/>
              </w:rPr>
              <w:lastRenderedPageBreak/>
              <w:t>- Better Work country program</w:t>
            </w:r>
            <w:r w:rsidR="00BC5CB1">
              <w:rPr>
                <w:rFonts w:asciiTheme="minorHAnsi" w:hAnsiTheme="minorHAnsi" w:cstheme="minorBidi"/>
                <w:sz w:val="22"/>
                <w:szCs w:val="22"/>
              </w:rPr>
              <w:t xml:space="preserve"> </w:t>
            </w:r>
            <w:r w:rsidRPr="00D2063F">
              <w:rPr>
                <w:rFonts w:asciiTheme="minorHAnsi" w:hAnsiTheme="minorHAnsi" w:cstheme="minorBidi"/>
                <w:sz w:val="22"/>
                <w:szCs w:val="22"/>
              </w:rPr>
              <w:t xml:space="preserve">managers </w:t>
            </w:r>
          </w:p>
        </w:tc>
        <w:tc>
          <w:tcPr>
            <w:tcW w:w="1560" w:type="dxa"/>
          </w:tcPr>
          <w:p w14:paraId="5326F0D2" w14:textId="53A1A84B" w:rsidR="00EB2441" w:rsidRPr="00D2063F" w:rsidRDefault="00EB2441" w:rsidP="00DC5239">
            <w:pPr>
              <w:pStyle w:val="Default"/>
              <w:rPr>
                <w:rFonts w:asciiTheme="minorHAnsi" w:hAnsiTheme="minorHAnsi" w:cstheme="minorHAnsi"/>
                <w:bCs/>
                <w:sz w:val="22"/>
                <w:szCs w:val="22"/>
              </w:rPr>
            </w:pPr>
            <w:r w:rsidRPr="00D2063F">
              <w:rPr>
                <w:rFonts w:asciiTheme="minorHAnsi" w:hAnsiTheme="minorHAnsi" w:cstheme="minorHAnsi"/>
                <w:b/>
                <w:sz w:val="22"/>
                <w:szCs w:val="22"/>
              </w:rPr>
              <w:lastRenderedPageBreak/>
              <w:t xml:space="preserve">Priority: </w:t>
            </w:r>
            <w:r w:rsidR="0036778E" w:rsidRPr="00D2063F">
              <w:rPr>
                <w:rFonts w:asciiTheme="minorHAnsi" w:hAnsiTheme="minorHAnsi" w:cstheme="minorHAnsi"/>
                <w:bCs/>
                <w:sz w:val="22"/>
                <w:szCs w:val="22"/>
              </w:rPr>
              <w:t>High</w:t>
            </w:r>
          </w:p>
          <w:p w14:paraId="21ABE433" w14:textId="67BD8883" w:rsidR="00EB2441" w:rsidRPr="00D2063F" w:rsidRDefault="00EB2441" w:rsidP="00DC5239">
            <w:pPr>
              <w:pStyle w:val="Default"/>
              <w:rPr>
                <w:rFonts w:asciiTheme="minorHAnsi" w:hAnsiTheme="minorHAnsi" w:cstheme="minorHAnsi"/>
                <w:b/>
                <w:sz w:val="22"/>
                <w:szCs w:val="22"/>
              </w:rPr>
            </w:pPr>
            <w:r w:rsidRPr="00D2063F">
              <w:rPr>
                <w:rFonts w:asciiTheme="minorHAnsi" w:hAnsiTheme="minorHAnsi" w:cstheme="minorHAnsi"/>
                <w:b/>
                <w:sz w:val="22"/>
                <w:szCs w:val="22"/>
              </w:rPr>
              <w:t>Time Implications:</w:t>
            </w:r>
            <w:r w:rsidR="0036778E" w:rsidRPr="00D2063F">
              <w:rPr>
                <w:rFonts w:asciiTheme="minorHAnsi" w:hAnsiTheme="minorHAnsi" w:cstheme="minorHAnsi"/>
                <w:bCs/>
                <w:sz w:val="22"/>
                <w:szCs w:val="22"/>
              </w:rPr>
              <w:t xml:space="preserve"> Immediate to medium term</w:t>
            </w:r>
            <w:r w:rsidRPr="00D2063F">
              <w:rPr>
                <w:rFonts w:asciiTheme="minorHAnsi" w:hAnsiTheme="minorHAnsi" w:cstheme="minorHAnsi"/>
                <w:b/>
                <w:sz w:val="22"/>
                <w:szCs w:val="22"/>
              </w:rPr>
              <w:t xml:space="preserve"> </w:t>
            </w:r>
          </w:p>
          <w:p w14:paraId="31C8E5B3" w14:textId="4F0674CC" w:rsidR="00DC5239" w:rsidRPr="00B64677" w:rsidRDefault="00EB2441" w:rsidP="00DC5239">
            <w:pPr>
              <w:pStyle w:val="Default"/>
              <w:rPr>
                <w:rFonts w:asciiTheme="minorHAnsi" w:hAnsiTheme="minorHAnsi" w:cstheme="minorHAnsi"/>
                <w:bCs/>
                <w:sz w:val="22"/>
                <w:szCs w:val="22"/>
              </w:rPr>
            </w:pPr>
            <w:r w:rsidRPr="00D2063F">
              <w:rPr>
                <w:rFonts w:asciiTheme="minorHAnsi" w:hAnsiTheme="minorHAnsi" w:cstheme="minorHAnsi"/>
                <w:b/>
                <w:sz w:val="22"/>
                <w:szCs w:val="22"/>
              </w:rPr>
              <w:lastRenderedPageBreak/>
              <w:t xml:space="preserve">Resource Implications: </w:t>
            </w:r>
            <w:r w:rsidR="0036778E" w:rsidRPr="00D2063F">
              <w:rPr>
                <w:rFonts w:asciiTheme="minorHAnsi" w:hAnsiTheme="minorHAnsi" w:cstheme="minorHAnsi"/>
                <w:bCs/>
                <w:sz w:val="22"/>
                <w:szCs w:val="22"/>
              </w:rPr>
              <w:t>Variable</w:t>
            </w:r>
          </w:p>
        </w:tc>
      </w:tr>
      <w:tr w:rsidR="00EB2441" w:rsidRPr="00D2063F" w14:paraId="750669F3" w14:textId="77777777" w:rsidTr="00CF7FC2">
        <w:tc>
          <w:tcPr>
            <w:tcW w:w="3964" w:type="dxa"/>
          </w:tcPr>
          <w:p w14:paraId="7224BA00" w14:textId="39C34D33" w:rsidR="00EB2441" w:rsidRPr="00D2063F" w:rsidRDefault="00EB2441" w:rsidP="00EB2441">
            <w:pPr>
              <w:rPr>
                <w:rFonts w:ascii="Aptos" w:hAnsi="Aptos" w:cs="Times New Roman"/>
                <w:b/>
                <w:bCs/>
              </w:rPr>
            </w:pPr>
            <w:r w:rsidRPr="00D2063F">
              <w:rPr>
                <w:rFonts w:ascii="Aptos" w:hAnsi="Aptos" w:cs="Times New Roman"/>
                <w:b/>
                <w:bCs/>
                <w:sz w:val="28"/>
                <w:szCs w:val="28"/>
                <w:u w:val="single"/>
              </w:rPr>
              <w:lastRenderedPageBreak/>
              <w:t>Recommendation 3</w:t>
            </w:r>
            <w:r w:rsidRPr="00D2063F">
              <w:rPr>
                <w:rFonts w:ascii="Aptos" w:hAnsi="Aptos" w:cs="Times New Roman"/>
                <w:sz w:val="18"/>
                <w:szCs w:val="18"/>
              </w:rPr>
              <w:t xml:space="preserve"> </w:t>
            </w:r>
          </w:p>
          <w:p w14:paraId="0B58F960" w14:textId="77777777" w:rsidR="00EB2441" w:rsidRPr="00D2063F" w:rsidRDefault="00EB2441" w:rsidP="00EB2441">
            <w:pPr>
              <w:contextualSpacing/>
              <w:rPr>
                <w:rFonts w:ascii="Aptos" w:hAnsi="Aptos" w:cs="Times New Roman"/>
              </w:rPr>
            </w:pPr>
            <w:r w:rsidRPr="00D2063F">
              <w:rPr>
                <w:rFonts w:ascii="Aptos" w:hAnsi="Aptos" w:cs="Times New Roman"/>
                <w:b/>
                <w:bCs/>
              </w:rPr>
              <w:t>To further reinforce synergy within the ILO, Better Work and ILO technical specialists and units should deepen their collaboration through integrated programming that reinforces the ILO’s core mandates.</w:t>
            </w:r>
            <w:r w:rsidRPr="00D2063F">
              <w:rPr>
                <w:rFonts w:ascii="Aptos" w:hAnsi="Aptos" w:cs="Times New Roman"/>
              </w:rPr>
              <w:t xml:space="preserve"> </w:t>
            </w:r>
          </w:p>
          <w:p w14:paraId="50583122" w14:textId="77777777" w:rsidR="00EB2441" w:rsidRPr="00D2063F" w:rsidRDefault="00EB2441" w:rsidP="00EB2441">
            <w:pPr>
              <w:pStyle w:val="ListParagraph"/>
              <w:numPr>
                <w:ilvl w:val="0"/>
                <w:numId w:val="6"/>
              </w:numPr>
              <w:ind w:left="0" w:firstLine="0"/>
              <w:rPr>
                <w:rFonts w:ascii="Aptos" w:hAnsi="Aptos" w:cs="Times New Roman"/>
              </w:rPr>
            </w:pPr>
            <w:r w:rsidRPr="00D2063F">
              <w:t>Continue</w:t>
            </w:r>
            <w:r w:rsidRPr="00D2063F">
              <w:rPr>
                <w:rFonts w:ascii="Aptos" w:hAnsi="Aptos" w:cs="Times New Roman"/>
              </w:rPr>
              <w:t xml:space="preserve"> joint efforts to strengthen industrial relations, grievance handling mechanisms, wage policies, and social protection systems through coordinated, cross-departmental initiatives. </w:t>
            </w:r>
          </w:p>
          <w:p w14:paraId="06008C36" w14:textId="2E53650B" w:rsidR="00EB2441" w:rsidRPr="00D2063F" w:rsidRDefault="00EB2441" w:rsidP="00EB2441">
            <w:pPr>
              <w:pStyle w:val="ListParagraph"/>
              <w:numPr>
                <w:ilvl w:val="0"/>
                <w:numId w:val="6"/>
              </w:numPr>
              <w:ind w:left="0" w:firstLine="0"/>
              <w:rPr>
                <w:rFonts w:ascii="Aptos" w:hAnsi="Aptos" w:cs="Times New Roman"/>
              </w:rPr>
            </w:pPr>
            <w:r w:rsidRPr="00D2063F">
              <w:rPr>
                <w:rFonts w:ascii="Aptos" w:hAnsi="Aptos" w:cs="Times New Roman"/>
              </w:rPr>
              <w:t xml:space="preserve">Pursue funding opportunities that support the launch of new Better Work programmes under a “One ILO” approach, ensuring adequate resources for a minimum programme duration of five years—or longer—based on context. Maintain the practice of conditioning entry into new countries on host government commitments to </w:t>
            </w:r>
            <w:r w:rsidRPr="00D2063F">
              <w:rPr>
                <w:rFonts w:ascii="Aptos" w:hAnsi="Aptos" w:cs="Times New Roman"/>
              </w:rPr>
              <w:lastRenderedPageBreak/>
              <w:t>labour legislation reforms and broader enabling conditions.</w:t>
            </w:r>
          </w:p>
          <w:p w14:paraId="36329719" w14:textId="71DE2455" w:rsidR="00EB2441" w:rsidRPr="00B64677" w:rsidRDefault="00EB2441" w:rsidP="00EB2441">
            <w:pPr>
              <w:rPr>
                <w:rFonts w:cstheme="minorHAnsi"/>
              </w:rPr>
            </w:pPr>
          </w:p>
        </w:tc>
        <w:tc>
          <w:tcPr>
            <w:tcW w:w="2977" w:type="dxa"/>
          </w:tcPr>
          <w:p w14:paraId="2C3F8B59" w14:textId="27FB2D69" w:rsidR="00EB2441" w:rsidRPr="00D2063F" w:rsidRDefault="00EB2441" w:rsidP="00EB2441">
            <w:pPr>
              <w:pStyle w:val="Default"/>
              <w:rPr>
                <w:rFonts w:asciiTheme="minorHAnsi" w:hAnsiTheme="minorHAnsi" w:cstheme="minorHAnsi"/>
                <w:sz w:val="22"/>
                <w:szCs w:val="22"/>
              </w:rPr>
            </w:pPr>
            <w:r w:rsidRPr="00D2063F">
              <w:rPr>
                <w:rFonts w:asciiTheme="minorHAnsi" w:hAnsiTheme="minorHAnsi" w:cstheme="minorHAnsi"/>
                <w:sz w:val="22"/>
                <w:szCs w:val="22"/>
              </w:rPr>
              <w:lastRenderedPageBreak/>
              <w:t xml:space="preserve">On Recommendation 3, the Office will continue to strengthen Better Work’s synergies within the ILO to support various programme and budget priorities and sustain impact through </w:t>
            </w:r>
          </w:p>
          <w:p w14:paraId="1CD19566" w14:textId="77777777" w:rsidR="00EB2441" w:rsidRPr="00D2063F" w:rsidRDefault="00EB2441" w:rsidP="00EB2441">
            <w:pPr>
              <w:pStyle w:val="Default"/>
              <w:rPr>
                <w:rFonts w:asciiTheme="minorHAnsi" w:hAnsiTheme="minorHAnsi" w:cstheme="minorHAnsi"/>
                <w:sz w:val="22"/>
                <w:szCs w:val="22"/>
              </w:rPr>
            </w:pPr>
            <w:r w:rsidRPr="00D2063F">
              <w:rPr>
                <w:rFonts w:asciiTheme="minorHAnsi" w:hAnsiTheme="minorHAnsi" w:cstheme="minorHAnsi"/>
                <w:sz w:val="22"/>
                <w:szCs w:val="22"/>
              </w:rPr>
              <w:t>stronger policy and institutions. For example, joint initiatives with ILO technical units are under</w:t>
            </w:r>
          </w:p>
          <w:p w14:paraId="39D841B5" w14:textId="2EBFA113" w:rsidR="00EB2441" w:rsidRPr="00D2063F" w:rsidRDefault="00EB2441" w:rsidP="00EB2441">
            <w:pPr>
              <w:pStyle w:val="Default"/>
              <w:rPr>
                <w:rFonts w:asciiTheme="minorHAnsi" w:hAnsiTheme="minorHAnsi" w:cstheme="minorHAnsi"/>
                <w:sz w:val="22"/>
                <w:szCs w:val="22"/>
              </w:rPr>
            </w:pPr>
            <w:r w:rsidRPr="00D2063F">
              <w:rPr>
                <w:rFonts w:asciiTheme="minorHAnsi" w:hAnsiTheme="minorHAnsi" w:cstheme="minorHAnsi"/>
                <w:sz w:val="22"/>
                <w:szCs w:val="22"/>
              </w:rPr>
              <w:t>way</w:t>
            </w:r>
            <w:r w:rsidR="009918AD">
              <w:rPr>
                <w:rFonts w:asciiTheme="minorHAnsi" w:hAnsiTheme="minorHAnsi" w:cstheme="minorHAnsi"/>
                <w:sz w:val="22"/>
                <w:szCs w:val="22"/>
              </w:rPr>
              <w:t>,</w:t>
            </w:r>
            <w:r w:rsidRPr="00D2063F">
              <w:rPr>
                <w:rFonts w:asciiTheme="minorHAnsi" w:hAnsiTheme="minorHAnsi" w:cstheme="minorHAnsi"/>
                <w:sz w:val="22"/>
                <w:szCs w:val="22"/>
              </w:rPr>
              <w:t xml:space="preserve"> focused on labour administration, industrial relations, wages, grievance mechanisms and social protection, including joint resource mobilization. Future Better Work programmes will follow a “One ILO” framework and be designed with adequate time and resources to ensure </w:t>
            </w:r>
          </w:p>
          <w:p w14:paraId="0032BACD" w14:textId="7444B4D0" w:rsidR="00EB2441" w:rsidRPr="00D2063F" w:rsidRDefault="00EB2441" w:rsidP="00EB2441">
            <w:pPr>
              <w:pStyle w:val="Default"/>
              <w:rPr>
                <w:rFonts w:asciiTheme="minorHAnsi" w:hAnsiTheme="minorHAnsi" w:cstheme="minorHAnsi"/>
                <w:sz w:val="22"/>
                <w:szCs w:val="22"/>
              </w:rPr>
            </w:pPr>
            <w:r w:rsidRPr="00D2063F">
              <w:rPr>
                <w:rFonts w:asciiTheme="minorHAnsi" w:hAnsiTheme="minorHAnsi" w:cstheme="minorHAnsi"/>
                <w:sz w:val="22"/>
                <w:szCs w:val="22"/>
              </w:rPr>
              <w:lastRenderedPageBreak/>
              <w:t xml:space="preserve">meaningful impact. For example, in Benin, a Better Work feasibility study will be conducted alongside consultations on the </w:t>
            </w:r>
            <w:r w:rsidR="00946E08" w:rsidRPr="00D2063F">
              <w:rPr>
                <w:rFonts w:asciiTheme="minorHAnsi" w:hAnsiTheme="minorHAnsi" w:cstheme="minorHAnsi"/>
                <w:sz w:val="22"/>
                <w:szCs w:val="22"/>
              </w:rPr>
              <w:t>Decent Work Country Programme</w:t>
            </w:r>
            <w:r w:rsidRPr="00D2063F">
              <w:rPr>
                <w:rFonts w:asciiTheme="minorHAnsi" w:hAnsiTheme="minorHAnsi" w:cstheme="minorHAnsi"/>
                <w:sz w:val="22"/>
                <w:szCs w:val="22"/>
              </w:rPr>
              <w:t xml:space="preserve"> to ensure an integrated approach.</w:t>
            </w:r>
          </w:p>
        </w:tc>
        <w:tc>
          <w:tcPr>
            <w:tcW w:w="1276" w:type="dxa"/>
            <w:shd w:val="clear" w:color="auto" w:fill="FFC000"/>
          </w:tcPr>
          <w:p w14:paraId="659EBE5C" w14:textId="11E5E12E" w:rsidR="00EB2441" w:rsidRPr="00826A09" w:rsidRDefault="00D622EB" w:rsidP="00EB2441">
            <w:pPr>
              <w:pStyle w:val="Default"/>
              <w:rPr>
                <w:rFonts w:asciiTheme="minorHAnsi" w:hAnsiTheme="minorHAnsi" w:cstheme="minorBidi"/>
                <w:sz w:val="22"/>
                <w:szCs w:val="22"/>
              </w:rPr>
            </w:pPr>
            <w:r w:rsidRPr="00D2063F">
              <w:rPr>
                <w:rFonts w:asciiTheme="minorHAnsi" w:hAnsiTheme="minorHAnsi" w:cstheme="minorHAnsi"/>
                <w:sz w:val="22"/>
                <w:szCs w:val="22"/>
              </w:rPr>
              <w:lastRenderedPageBreak/>
              <w:t>Partially agree</w:t>
            </w:r>
          </w:p>
        </w:tc>
        <w:tc>
          <w:tcPr>
            <w:tcW w:w="2551" w:type="dxa"/>
          </w:tcPr>
          <w:p w14:paraId="21D7CFD2" w14:textId="3E3EFA2E" w:rsidR="001B67AD" w:rsidRPr="00826A09" w:rsidRDefault="001B67AD" w:rsidP="13375513">
            <w:pPr>
              <w:pStyle w:val="Default"/>
              <w:rPr>
                <w:rFonts w:asciiTheme="minorHAnsi" w:hAnsiTheme="minorHAnsi" w:cstheme="minorBidi"/>
                <w:sz w:val="22"/>
                <w:szCs w:val="22"/>
              </w:rPr>
            </w:pPr>
            <w:r w:rsidRPr="00826A09">
              <w:rPr>
                <w:rFonts w:asciiTheme="minorHAnsi" w:hAnsiTheme="minorHAnsi" w:cstheme="minorBidi"/>
                <w:sz w:val="22"/>
                <w:szCs w:val="22"/>
              </w:rPr>
              <w:t xml:space="preserve">DFAT </w:t>
            </w:r>
            <w:r w:rsidR="543049B5" w:rsidRPr="00826A09">
              <w:rPr>
                <w:rFonts w:asciiTheme="minorHAnsi" w:hAnsiTheme="minorHAnsi" w:cstheme="minorBidi"/>
                <w:sz w:val="22"/>
                <w:szCs w:val="22"/>
              </w:rPr>
              <w:t>encourage</w:t>
            </w:r>
            <w:r w:rsidR="2E1EF76B" w:rsidRPr="00826A09">
              <w:rPr>
                <w:rFonts w:asciiTheme="minorHAnsi" w:hAnsiTheme="minorHAnsi" w:cstheme="minorBidi"/>
                <w:sz w:val="22"/>
                <w:szCs w:val="22"/>
              </w:rPr>
              <w:t>s</w:t>
            </w:r>
            <w:r w:rsidR="00147DDD" w:rsidRPr="00826A09">
              <w:rPr>
                <w:rFonts w:asciiTheme="minorHAnsi" w:hAnsiTheme="minorHAnsi" w:cstheme="minorBidi"/>
                <w:sz w:val="22"/>
                <w:szCs w:val="22"/>
              </w:rPr>
              <w:t xml:space="preserve"> </w:t>
            </w:r>
            <w:r w:rsidR="4F52C062" w:rsidRPr="00826A09">
              <w:rPr>
                <w:rFonts w:asciiTheme="minorHAnsi" w:hAnsiTheme="minorHAnsi" w:cstheme="minorBidi"/>
                <w:sz w:val="22"/>
                <w:szCs w:val="22"/>
              </w:rPr>
              <w:t>Better Work to foster a culture of collaboration and communication with all partners, including around its</w:t>
            </w:r>
            <w:r w:rsidR="00243909" w:rsidRPr="00826A09">
              <w:rPr>
                <w:rFonts w:asciiTheme="minorHAnsi" w:hAnsiTheme="minorHAnsi" w:cstheme="minorBidi"/>
                <w:sz w:val="22"/>
                <w:szCs w:val="22"/>
              </w:rPr>
              <w:t xml:space="preserve"> “One ILO” framework</w:t>
            </w:r>
            <w:r w:rsidR="039C4321" w:rsidRPr="00826A09">
              <w:rPr>
                <w:rFonts w:asciiTheme="minorHAnsi" w:hAnsiTheme="minorHAnsi" w:cstheme="minorBidi"/>
                <w:sz w:val="22"/>
                <w:szCs w:val="22"/>
              </w:rPr>
              <w:t xml:space="preserve">, to ensure this maximises outcomes for the Programme. </w:t>
            </w:r>
          </w:p>
          <w:p w14:paraId="76B1F900" w14:textId="7BB546D0" w:rsidR="001B67AD" w:rsidRPr="00826A09" w:rsidRDefault="31DBB26D" w:rsidP="13375513">
            <w:pPr>
              <w:pStyle w:val="Default"/>
              <w:rPr>
                <w:rFonts w:asciiTheme="minorHAnsi" w:hAnsiTheme="minorHAnsi" w:cstheme="minorBidi"/>
                <w:sz w:val="22"/>
                <w:szCs w:val="22"/>
              </w:rPr>
            </w:pPr>
            <w:r w:rsidRPr="00826A09">
              <w:rPr>
                <w:rFonts w:asciiTheme="minorHAnsi" w:hAnsiTheme="minorHAnsi" w:cstheme="minorBidi"/>
                <w:sz w:val="22"/>
                <w:szCs w:val="22"/>
              </w:rPr>
              <w:t xml:space="preserve">DFAT notes care should be taken when considering new country entrants to the Better Work Programme, </w:t>
            </w:r>
            <w:r w:rsidR="009918AD">
              <w:rPr>
                <w:rFonts w:asciiTheme="minorHAnsi" w:hAnsiTheme="minorHAnsi" w:cstheme="minorBidi"/>
                <w:sz w:val="22"/>
                <w:szCs w:val="22"/>
              </w:rPr>
              <w:t>especially given</w:t>
            </w:r>
            <w:r w:rsidR="009918AD" w:rsidRPr="00826A09">
              <w:rPr>
                <w:rFonts w:asciiTheme="minorHAnsi" w:hAnsiTheme="minorHAnsi" w:cstheme="minorBidi"/>
                <w:sz w:val="22"/>
                <w:szCs w:val="22"/>
              </w:rPr>
              <w:t xml:space="preserve"> </w:t>
            </w:r>
            <w:r w:rsidRPr="00826A09">
              <w:rPr>
                <w:rFonts w:asciiTheme="minorHAnsi" w:hAnsiTheme="minorHAnsi" w:cstheme="minorBidi"/>
                <w:sz w:val="22"/>
                <w:szCs w:val="22"/>
              </w:rPr>
              <w:t>ongoing sustainability concerns. DFAT</w:t>
            </w:r>
            <w:r w:rsidR="00C873FE">
              <w:rPr>
                <w:rFonts w:asciiTheme="minorHAnsi" w:hAnsiTheme="minorHAnsi" w:cstheme="minorBidi"/>
                <w:sz w:val="22"/>
                <w:szCs w:val="22"/>
              </w:rPr>
              <w:t xml:space="preserve"> </w:t>
            </w:r>
            <w:r w:rsidRPr="00826A09">
              <w:rPr>
                <w:rFonts w:asciiTheme="minorHAnsi" w:hAnsiTheme="minorHAnsi" w:cstheme="minorBidi"/>
                <w:sz w:val="22"/>
                <w:szCs w:val="22"/>
              </w:rPr>
              <w:t xml:space="preserve">agrees conditional entry for new countries following </w:t>
            </w:r>
            <w:r w:rsidR="009918AD">
              <w:rPr>
                <w:rFonts w:asciiTheme="minorHAnsi" w:hAnsiTheme="minorHAnsi" w:cstheme="minorBidi"/>
                <w:sz w:val="22"/>
                <w:szCs w:val="22"/>
              </w:rPr>
              <w:t>legislative</w:t>
            </w:r>
            <w:r w:rsidR="009918AD" w:rsidRPr="00826A09">
              <w:rPr>
                <w:rFonts w:asciiTheme="minorHAnsi" w:hAnsiTheme="minorHAnsi" w:cstheme="minorBidi"/>
                <w:sz w:val="22"/>
                <w:szCs w:val="22"/>
              </w:rPr>
              <w:t xml:space="preserve"> </w:t>
            </w:r>
            <w:r w:rsidRPr="00826A09">
              <w:rPr>
                <w:rFonts w:asciiTheme="minorHAnsi" w:hAnsiTheme="minorHAnsi" w:cstheme="minorBidi"/>
                <w:sz w:val="22"/>
                <w:szCs w:val="22"/>
              </w:rPr>
              <w:t xml:space="preserve">reforms is important to ensure improved labour </w:t>
            </w:r>
            <w:r w:rsidRPr="00826A09">
              <w:rPr>
                <w:rFonts w:asciiTheme="minorHAnsi" w:hAnsiTheme="minorHAnsi" w:cstheme="minorBidi"/>
                <w:sz w:val="22"/>
                <w:szCs w:val="22"/>
              </w:rPr>
              <w:lastRenderedPageBreak/>
              <w:t>standards are implemented at the highest levels.</w:t>
            </w:r>
          </w:p>
          <w:p w14:paraId="5C599E79" w14:textId="53821D59" w:rsidR="001B67AD" w:rsidRPr="00826A09" w:rsidRDefault="001B67AD" w:rsidP="00EB2441">
            <w:pPr>
              <w:pStyle w:val="Default"/>
              <w:rPr>
                <w:rFonts w:asciiTheme="minorHAnsi" w:hAnsiTheme="minorHAnsi" w:cstheme="minorBidi"/>
                <w:sz w:val="22"/>
                <w:szCs w:val="22"/>
              </w:rPr>
            </w:pPr>
          </w:p>
        </w:tc>
        <w:tc>
          <w:tcPr>
            <w:tcW w:w="2268" w:type="dxa"/>
          </w:tcPr>
          <w:p w14:paraId="4A263113" w14:textId="77777777" w:rsidR="00EB2441" w:rsidRPr="00D2063F" w:rsidRDefault="00EB2441" w:rsidP="00EB2441">
            <w:pPr>
              <w:pStyle w:val="Default"/>
              <w:rPr>
                <w:rFonts w:asciiTheme="minorHAnsi" w:hAnsiTheme="minorHAnsi" w:cstheme="minorHAnsi"/>
                <w:sz w:val="22"/>
                <w:szCs w:val="22"/>
              </w:rPr>
            </w:pPr>
            <w:r w:rsidRPr="00D2063F">
              <w:rPr>
                <w:rFonts w:asciiTheme="minorHAnsi" w:hAnsiTheme="minorHAnsi" w:cstheme="minorHAnsi"/>
                <w:b/>
                <w:bCs/>
                <w:sz w:val="22"/>
                <w:szCs w:val="22"/>
              </w:rPr>
              <w:lastRenderedPageBreak/>
              <w:t>Responsible Units</w:t>
            </w:r>
          </w:p>
          <w:p w14:paraId="64071612" w14:textId="755FE87A" w:rsidR="00E3409A" w:rsidRPr="00D2063F" w:rsidRDefault="00E3409A" w:rsidP="00E3409A">
            <w:pPr>
              <w:pStyle w:val="Default"/>
              <w:rPr>
                <w:rFonts w:asciiTheme="minorHAnsi" w:hAnsiTheme="minorHAnsi" w:cstheme="minorHAnsi"/>
                <w:sz w:val="22"/>
                <w:szCs w:val="22"/>
              </w:rPr>
            </w:pPr>
            <w:r w:rsidRPr="00D2063F">
              <w:rPr>
                <w:rFonts w:asciiTheme="minorHAnsi" w:hAnsiTheme="minorHAnsi" w:cstheme="minorHAnsi"/>
                <w:sz w:val="22"/>
                <w:szCs w:val="22"/>
              </w:rPr>
              <w:t>- Governance and Tripartism Department: ILO Better Work Management group</w:t>
            </w:r>
          </w:p>
          <w:p w14:paraId="7EE69743" w14:textId="2B76E0D5" w:rsidR="00E3409A" w:rsidRPr="00D2063F" w:rsidRDefault="00E3409A" w:rsidP="00E3409A">
            <w:pPr>
              <w:pStyle w:val="Default"/>
              <w:rPr>
                <w:rFonts w:asciiTheme="minorHAnsi" w:hAnsiTheme="minorHAnsi" w:cstheme="minorHAnsi"/>
                <w:sz w:val="22"/>
                <w:szCs w:val="22"/>
              </w:rPr>
            </w:pPr>
            <w:r w:rsidRPr="00D2063F">
              <w:rPr>
                <w:rFonts w:asciiTheme="minorHAnsi" w:hAnsiTheme="minorHAnsi" w:cstheme="minorHAnsi"/>
                <w:sz w:val="22"/>
                <w:szCs w:val="22"/>
              </w:rPr>
              <w:t xml:space="preserve">- Better Work country program </w:t>
            </w:r>
          </w:p>
          <w:p w14:paraId="6F45E6AA" w14:textId="77777777" w:rsidR="00E3409A" w:rsidRPr="00D2063F" w:rsidRDefault="00E3409A" w:rsidP="00E3409A">
            <w:pPr>
              <w:pStyle w:val="Default"/>
              <w:rPr>
                <w:rFonts w:asciiTheme="minorHAnsi" w:hAnsiTheme="minorHAnsi" w:cstheme="minorHAnsi"/>
                <w:sz w:val="22"/>
                <w:szCs w:val="22"/>
              </w:rPr>
            </w:pPr>
            <w:r w:rsidRPr="00D2063F">
              <w:rPr>
                <w:rFonts w:asciiTheme="minorHAnsi" w:hAnsiTheme="minorHAnsi" w:cstheme="minorHAnsi"/>
                <w:sz w:val="22"/>
                <w:szCs w:val="22"/>
              </w:rPr>
              <w:t xml:space="preserve">managers </w:t>
            </w:r>
          </w:p>
          <w:p w14:paraId="67AEF560" w14:textId="2692A013" w:rsidR="00E3409A" w:rsidRPr="00D2063F" w:rsidRDefault="00E3409A" w:rsidP="00E3409A">
            <w:pPr>
              <w:pStyle w:val="Default"/>
              <w:rPr>
                <w:rFonts w:asciiTheme="minorHAnsi" w:hAnsiTheme="minorHAnsi" w:cstheme="minorHAnsi"/>
                <w:sz w:val="22"/>
                <w:szCs w:val="22"/>
              </w:rPr>
            </w:pPr>
            <w:r w:rsidRPr="00D2063F">
              <w:rPr>
                <w:rFonts w:asciiTheme="minorHAnsi" w:hAnsiTheme="minorHAnsi" w:cstheme="minorHAnsi"/>
                <w:sz w:val="22"/>
                <w:szCs w:val="22"/>
              </w:rPr>
              <w:t xml:space="preserve">- ENTERPRISE, Social Protection, </w:t>
            </w:r>
          </w:p>
          <w:p w14:paraId="3E085A30" w14:textId="77777777" w:rsidR="00E3409A" w:rsidRPr="00D2063F" w:rsidRDefault="00E3409A" w:rsidP="00E3409A">
            <w:pPr>
              <w:pStyle w:val="Default"/>
              <w:rPr>
                <w:rFonts w:asciiTheme="minorHAnsi" w:hAnsiTheme="minorHAnsi" w:cstheme="minorHAnsi"/>
                <w:sz w:val="22"/>
                <w:szCs w:val="22"/>
              </w:rPr>
            </w:pPr>
            <w:r w:rsidRPr="00D2063F">
              <w:rPr>
                <w:rFonts w:asciiTheme="minorHAnsi" w:hAnsiTheme="minorHAnsi" w:cstheme="minorHAnsi"/>
                <w:sz w:val="22"/>
                <w:szCs w:val="22"/>
              </w:rPr>
              <w:t>Partnerships, Employment, Work Quality</w:t>
            </w:r>
          </w:p>
          <w:p w14:paraId="6178B602" w14:textId="2AC57483" w:rsidR="00E3409A" w:rsidRPr="00D2063F" w:rsidRDefault="00E3409A" w:rsidP="00E3409A">
            <w:pPr>
              <w:pStyle w:val="Default"/>
              <w:rPr>
                <w:rFonts w:asciiTheme="minorHAnsi" w:hAnsiTheme="minorHAnsi" w:cstheme="minorHAnsi"/>
                <w:sz w:val="22"/>
                <w:szCs w:val="22"/>
              </w:rPr>
            </w:pPr>
            <w:r w:rsidRPr="00D2063F">
              <w:rPr>
                <w:rFonts w:asciiTheme="minorHAnsi" w:hAnsiTheme="minorHAnsi" w:cstheme="minorHAnsi"/>
                <w:sz w:val="22"/>
                <w:szCs w:val="22"/>
              </w:rPr>
              <w:t>- AP/Supply Chains</w:t>
            </w:r>
          </w:p>
          <w:p w14:paraId="34976C1B" w14:textId="2C79B76F" w:rsidR="0036778E" w:rsidRPr="00A573CB" w:rsidRDefault="00E3409A" w:rsidP="00E3409A">
            <w:pPr>
              <w:pStyle w:val="Default"/>
              <w:rPr>
                <w:rFonts w:asciiTheme="minorHAnsi" w:hAnsiTheme="minorHAnsi" w:cstheme="minorHAnsi"/>
                <w:sz w:val="22"/>
                <w:szCs w:val="22"/>
              </w:rPr>
            </w:pPr>
            <w:r w:rsidRPr="00D2063F">
              <w:rPr>
                <w:rFonts w:asciiTheme="minorHAnsi" w:hAnsiTheme="minorHAnsi" w:cstheme="minorHAnsi"/>
                <w:sz w:val="22"/>
                <w:szCs w:val="22"/>
              </w:rPr>
              <w:t>- ILO CO Directors</w:t>
            </w:r>
          </w:p>
        </w:tc>
        <w:tc>
          <w:tcPr>
            <w:tcW w:w="1560" w:type="dxa"/>
          </w:tcPr>
          <w:p w14:paraId="2FE3F64F" w14:textId="1BBF466A" w:rsidR="00EB2441" w:rsidRPr="00D2063F" w:rsidRDefault="00EB2441" w:rsidP="00EB2441">
            <w:pPr>
              <w:pStyle w:val="Default"/>
              <w:rPr>
                <w:rFonts w:asciiTheme="minorHAnsi" w:hAnsiTheme="minorHAnsi" w:cstheme="minorHAnsi"/>
                <w:bCs/>
                <w:sz w:val="22"/>
                <w:szCs w:val="22"/>
              </w:rPr>
            </w:pPr>
            <w:r w:rsidRPr="00D2063F">
              <w:rPr>
                <w:rFonts w:asciiTheme="minorHAnsi" w:hAnsiTheme="minorHAnsi" w:cstheme="minorHAnsi"/>
                <w:b/>
                <w:sz w:val="22"/>
                <w:szCs w:val="22"/>
              </w:rPr>
              <w:t xml:space="preserve">Priority: </w:t>
            </w:r>
            <w:r w:rsidR="00707D21" w:rsidRPr="00D2063F">
              <w:rPr>
                <w:rFonts w:asciiTheme="minorHAnsi" w:hAnsiTheme="minorHAnsi" w:cstheme="minorHAnsi"/>
                <w:bCs/>
                <w:sz w:val="22"/>
                <w:szCs w:val="22"/>
              </w:rPr>
              <w:t>Medium</w:t>
            </w:r>
          </w:p>
          <w:p w14:paraId="576CFDE7" w14:textId="58FB39C1" w:rsidR="00EB2441" w:rsidRPr="00D2063F" w:rsidRDefault="00EB2441" w:rsidP="00EB2441">
            <w:pPr>
              <w:pStyle w:val="Default"/>
              <w:rPr>
                <w:rFonts w:asciiTheme="minorHAnsi" w:hAnsiTheme="minorHAnsi" w:cstheme="minorHAnsi"/>
                <w:bCs/>
                <w:sz w:val="22"/>
                <w:szCs w:val="22"/>
              </w:rPr>
            </w:pPr>
            <w:r w:rsidRPr="00D2063F">
              <w:rPr>
                <w:rFonts w:asciiTheme="minorHAnsi" w:hAnsiTheme="minorHAnsi" w:cstheme="minorHAnsi"/>
                <w:b/>
                <w:sz w:val="22"/>
                <w:szCs w:val="22"/>
              </w:rPr>
              <w:t xml:space="preserve">Time Implications: </w:t>
            </w:r>
            <w:r w:rsidR="00707D21" w:rsidRPr="00D2063F">
              <w:rPr>
                <w:rFonts w:asciiTheme="minorHAnsi" w:hAnsiTheme="minorHAnsi" w:cstheme="minorHAnsi"/>
                <w:bCs/>
                <w:sz w:val="22"/>
                <w:szCs w:val="22"/>
              </w:rPr>
              <w:t>Immediate</w:t>
            </w:r>
          </w:p>
          <w:p w14:paraId="1DBCF4C2" w14:textId="5CDA67AE" w:rsidR="00EB2441" w:rsidRPr="00A573CB" w:rsidRDefault="00EB2441" w:rsidP="00EB2441">
            <w:pPr>
              <w:pStyle w:val="Default"/>
              <w:rPr>
                <w:rFonts w:asciiTheme="minorHAnsi" w:hAnsiTheme="minorHAnsi" w:cstheme="minorHAnsi"/>
                <w:bCs/>
                <w:sz w:val="22"/>
                <w:szCs w:val="22"/>
              </w:rPr>
            </w:pPr>
            <w:r w:rsidRPr="00D2063F">
              <w:rPr>
                <w:rFonts w:asciiTheme="minorHAnsi" w:hAnsiTheme="minorHAnsi" w:cstheme="minorHAnsi"/>
                <w:b/>
                <w:sz w:val="22"/>
                <w:szCs w:val="22"/>
              </w:rPr>
              <w:t xml:space="preserve">Resource Implications: </w:t>
            </w:r>
            <w:r w:rsidR="00707D21" w:rsidRPr="00D2063F">
              <w:rPr>
                <w:rFonts w:asciiTheme="minorHAnsi" w:hAnsiTheme="minorHAnsi" w:cstheme="minorHAnsi"/>
                <w:bCs/>
                <w:sz w:val="22"/>
                <w:szCs w:val="22"/>
              </w:rPr>
              <w:t>Variable</w:t>
            </w:r>
          </w:p>
        </w:tc>
      </w:tr>
      <w:tr w:rsidR="00EB2441" w:rsidRPr="00D2063F" w14:paraId="4E36279C" w14:textId="77777777" w:rsidTr="00CF7FC2">
        <w:tc>
          <w:tcPr>
            <w:tcW w:w="3964" w:type="dxa"/>
          </w:tcPr>
          <w:p w14:paraId="69B48194" w14:textId="32B8BFD8" w:rsidR="00EB2441" w:rsidRPr="00D2063F" w:rsidRDefault="00EB2441" w:rsidP="00EB2441">
            <w:pPr>
              <w:rPr>
                <w:rFonts w:ascii="Aptos" w:hAnsi="Aptos" w:cs="Times New Roman"/>
                <w:b/>
                <w:bCs/>
              </w:rPr>
            </w:pPr>
            <w:r w:rsidRPr="00D2063F">
              <w:rPr>
                <w:rFonts w:ascii="Aptos" w:hAnsi="Aptos" w:cs="Times New Roman"/>
                <w:b/>
                <w:bCs/>
                <w:sz w:val="28"/>
                <w:szCs w:val="28"/>
                <w:u w:val="single"/>
              </w:rPr>
              <w:t>Recommendation 4</w:t>
            </w:r>
            <w:r w:rsidRPr="00D2063F">
              <w:rPr>
                <w:rFonts w:ascii="Aptos" w:hAnsi="Aptos" w:cs="Times New Roman"/>
                <w:sz w:val="18"/>
                <w:szCs w:val="18"/>
              </w:rPr>
              <w:t xml:space="preserve"> </w:t>
            </w:r>
          </w:p>
          <w:p w14:paraId="5BF4C740" w14:textId="77777777" w:rsidR="00EB2441" w:rsidRPr="00D2063F" w:rsidRDefault="00EB2441" w:rsidP="00EB2441">
            <w:r w:rsidRPr="00D2063F">
              <w:rPr>
                <w:b/>
                <w:bCs/>
              </w:rPr>
              <w:t>Better Work should continue strengthening the capacity of ILO national constituents to effectively use its approaches, tools, and data.</w:t>
            </w:r>
            <w:r w:rsidRPr="00D2063F">
              <w:t xml:space="preserve"> </w:t>
            </w:r>
          </w:p>
          <w:p w14:paraId="2CC4BE65" w14:textId="77777777" w:rsidR="00EB2441" w:rsidRPr="00D2063F" w:rsidRDefault="00EB2441" w:rsidP="00EB2441">
            <w:pPr>
              <w:pStyle w:val="ListParagraph"/>
              <w:numPr>
                <w:ilvl w:val="0"/>
                <w:numId w:val="6"/>
              </w:numPr>
              <w:ind w:left="0" w:firstLine="0"/>
            </w:pPr>
            <w:r w:rsidRPr="00D2063F">
              <w:rPr>
                <w:rFonts w:ascii="Aptos" w:hAnsi="Aptos" w:cs="Times New Roman"/>
              </w:rPr>
              <w:t>Enhance</w:t>
            </w:r>
            <w:r w:rsidRPr="00D2063F">
              <w:t xml:space="preserve"> access to compliance data by further developing its information systems and promoting greater transparency (with appropriate safeguards). </w:t>
            </w:r>
          </w:p>
          <w:p w14:paraId="62A70B08" w14:textId="22FF0738" w:rsidR="00EB2441" w:rsidRPr="00D2063F" w:rsidRDefault="00EB2441" w:rsidP="00EB2441">
            <w:pPr>
              <w:pStyle w:val="ListParagraph"/>
              <w:numPr>
                <w:ilvl w:val="0"/>
                <w:numId w:val="6"/>
              </w:numPr>
              <w:ind w:left="0" w:firstLine="0"/>
            </w:pPr>
            <w:r w:rsidRPr="00D2063F">
              <w:t>Increase the usability of Better Work tools by translating them into local languages and tailoring them to meet the diverse needs of different constituents; invest in data visualization and dashboard tools to make compliance and impact data more accessible to constituents, brands, and policymakers.</w:t>
            </w:r>
          </w:p>
        </w:tc>
        <w:tc>
          <w:tcPr>
            <w:tcW w:w="2977" w:type="dxa"/>
          </w:tcPr>
          <w:p w14:paraId="43CC56E5" w14:textId="072A0A95" w:rsidR="00EB2441" w:rsidRPr="00D2063F" w:rsidRDefault="00EB2441" w:rsidP="00EB2441">
            <w:pPr>
              <w:pStyle w:val="Default"/>
              <w:rPr>
                <w:rFonts w:asciiTheme="minorHAnsi" w:hAnsiTheme="minorHAnsi" w:cstheme="minorHAnsi"/>
                <w:sz w:val="22"/>
                <w:szCs w:val="22"/>
              </w:rPr>
            </w:pPr>
            <w:r w:rsidRPr="00D2063F">
              <w:rPr>
                <w:rFonts w:asciiTheme="minorHAnsi" w:hAnsiTheme="minorHAnsi" w:cstheme="minorHAnsi"/>
                <w:sz w:val="22"/>
                <w:szCs w:val="22"/>
              </w:rPr>
              <w:t xml:space="preserve">On Recommendation 4, the Office recognizes the importance of strengthening constituents’ capacity to effectively use Better Work tools, approaches and data. Better Work will accelerate </w:t>
            </w:r>
          </w:p>
          <w:p w14:paraId="3D57BFE1" w14:textId="70210AC9" w:rsidR="00EB2441" w:rsidRPr="00D2063F" w:rsidRDefault="00EB2441" w:rsidP="00EB2441">
            <w:pPr>
              <w:pStyle w:val="Default"/>
              <w:rPr>
                <w:rFonts w:asciiTheme="minorHAnsi" w:hAnsiTheme="minorHAnsi" w:cstheme="minorHAnsi"/>
                <w:sz w:val="22"/>
                <w:szCs w:val="22"/>
              </w:rPr>
            </w:pPr>
            <w:r w:rsidRPr="00D2063F">
              <w:rPr>
                <w:rFonts w:asciiTheme="minorHAnsi" w:hAnsiTheme="minorHAnsi" w:cstheme="minorHAnsi"/>
                <w:sz w:val="22"/>
                <w:szCs w:val="22"/>
              </w:rPr>
              <w:t xml:space="preserve">efforts to improve data accessibility and usability to meet constituents’ needs and support evidence-based dialogue. For example, the programme is testing technology to share data </w:t>
            </w:r>
          </w:p>
          <w:p w14:paraId="571707F6" w14:textId="7EF49647" w:rsidR="00EB2441" w:rsidRPr="00D2063F" w:rsidRDefault="00EB2441" w:rsidP="00EB2441">
            <w:pPr>
              <w:pStyle w:val="Default"/>
              <w:rPr>
                <w:rFonts w:asciiTheme="minorHAnsi" w:hAnsiTheme="minorHAnsi" w:cstheme="minorHAnsi"/>
                <w:sz w:val="22"/>
                <w:szCs w:val="22"/>
              </w:rPr>
            </w:pPr>
            <w:r w:rsidRPr="00D2063F">
              <w:rPr>
                <w:rFonts w:asciiTheme="minorHAnsi" w:hAnsiTheme="minorHAnsi" w:cstheme="minorHAnsi"/>
                <w:sz w:val="22"/>
                <w:szCs w:val="22"/>
              </w:rPr>
              <w:t xml:space="preserve">directly with constituents and ILO technical and policy units. Better Work is also collaborating with the ILO’s International Training Centre to develop a sustainable business model for the </w:t>
            </w:r>
          </w:p>
          <w:p w14:paraId="0346C512" w14:textId="4B55968B" w:rsidR="00EB2441" w:rsidRPr="00D2063F" w:rsidRDefault="00EB2441" w:rsidP="00EB2441">
            <w:pPr>
              <w:pStyle w:val="Default"/>
              <w:rPr>
                <w:rFonts w:asciiTheme="minorHAnsi" w:hAnsiTheme="minorHAnsi" w:cstheme="minorHAnsi"/>
                <w:b/>
                <w:bCs/>
                <w:sz w:val="22"/>
                <w:szCs w:val="22"/>
              </w:rPr>
            </w:pPr>
            <w:r w:rsidRPr="00D2063F">
              <w:rPr>
                <w:rFonts w:asciiTheme="minorHAnsi" w:hAnsiTheme="minorHAnsi" w:cstheme="minorHAnsi"/>
                <w:sz w:val="22"/>
                <w:szCs w:val="22"/>
              </w:rPr>
              <w:t xml:space="preserve">Better Work Academy to embed tools, training and </w:t>
            </w:r>
            <w:r w:rsidRPr="00D2063F">
              <w:rPr>
                <w:rFonts w:asciiTheme="minorHAnsi" w:hAnsiTheme="minorHAnsi" w:cstheme="minorHAnsi"/>
                <w:sz w:val="22"/>
                <w:szCs w:val="22"/>
              </w:rPr>
              <w:lastRenderedPageBreak/>
              <w:t>capacity-building within local and market-based institutions.</w:t>
            </w:r>
          </w:p>
        </w:tc>
        <w:tc>
          <w:tcPr>
            <w:tcW w:w="1276" w:type="dxa"/>
            <w:shd w:val="clear" w:color="auto" w:fill="8DD873" w:themeFill="accent6" w:themeFillTint="99"/>
          </w:tcPr>
          <w:p w14:paraId="4D02F18B" w14:textId="3AFC6945" w:rsidR="00EB2441" w:rsidRPr="00A573CB" w:rsidRDefault="00EB2441" w:rsidP="00EB2441">
            <w:pPr>
              <w:pStyle w:val="Default"/>
              <w:rPr>
                <w:rFonts w:asciiTheme="minorHAnsi" w:hAnsiTheme="minorHAnsi" w:cstheme="minorHAnsi"/>
                <w:sz w:val="22"/>
                <w:szCs w:val="22"/>
              </w:rPr>
            </w:pPr>
            <w:r w:rsidRPr="00D2063F">
              <w:rPr>
                <w:rFonts w:asciiTheme="minorHAnsi" w:hAnsiTheme="minorHAnsi" w:cstheme="minorHAnsi"/>
                <w:sz w:val="22"/>
                <w:szCs w:val="22"/>
              </w:rPr>
              <w:lastRenderedPageBreak/>
              <w:t xml:space="preserve">Agree </w:t>
            </w:r>
          </w:p>
        </w:tc>
        <w:tc>
          <w:tcPr>
            <w:tcW w:w="2551" w:type="dxa"/>
          </w:tcPr>
          <w:p w14:paraId="17878496" w14:textId="51DD36C2" w:rsidR="00A055FC" w:rsidRPr="00A573CB" w:rsidRDefault="00B93A92" w:rsidP="435B13B3">
            <w:pPr>
              <w:pStyle w:val="Default"/>
              <w:rPr>
                <w:rFonts w:asciiTheme="minorHAnsi" w:hAnsiTheme="minorHAnsi" w:cstheme="minorBidi"/>
                <w:sz w:val="22"/>
                <w:szCs w:val="22"/>
              </w:rPr>
            </w:pPr>
            <w:r w:rsidRPr="00A573CB">
              <w:rPr>
                <w:rFonts w:asciiTheme="minorHAnsi" w:hAnsiTheme="minorHAnsi" w:cstheme="minorBidi"/>
                <w:sz w:val="22"/>
                <w:szCs w:val="22"/>
              </w:rPr>
              <w:t>DFAT agrees</w:t>
            </w:r>
            <w:r w:rsidR="00AD0FCA" w:rsidRPr="00A573CB">
              <w:rPr>
                <w:rFonts w:asciiTheme="minorHAnsi" w:hAnsiTheme="minorHAnsi" w:cstheme="minorBidi"/>
                <w:sz w:val="22"/>
                <w:szCs w:val="22"/>
              </w:rPr>
              <w:t xml:space="preserve"> </w:t>
            </w:r>
            <w:r w:rsidR="009918AD">
              <w:rPr>
                <w:rFonts w:asciiTheme="minorHAnsi" w:hAnsiTheme="minorHAnsi" w:cstheme="minorBidi"/>
                <w:sz w:val="22"/>
                <w:szCs w:val="22"/>
              </w:rPr>
              <w:t>with</w:t>
            </w:r>
            <w:r w:rsidR="009918AD" w:rsidRPr="00AA18CA">
              <w:rPr>
                <w:rFonts w:asciiTheme="minorHAnsi" w:hAnsiTheme="minorHAnsi" w:cstheme="minorBidi"/>
                <w:sz w:val="22"/>
                <w:szCs w:val="22"/>
              </w:rPr>
              <w:t xml:space="preserve"> </w:t>
            </w:r>
            <w:r w:rsidR="00AA18CA" w:rsidRPr="00AA18CA">
              <w:rPr>
                <w:rFonts w:asciiTheme="minorHAnsi" w:hAnsiTheme="minorHAnsi" w:cstheme="minorBidi"/>
                <w:sz w:val="22"/>
                <w:szCs w:val="22"/>
              </w:rPr>
              <w:t xml:space="preserve">the value of enhancing access to compliance data by further developing </w:t>
            </w:r>
            <w:r w:rsidR="009918AD">
              <w:rPr>
                <w:rFonts w:asciiTheme="minorHAnsi" w:hAnsiTheme="minorHAnsi" w:cstheme="minorBidi"/>
                <w:sz w:val="22"/>
                <w:szCs w:val="22"/>
              </w:rPr>
              <w:t>Better Work’s</w:t>
            </w:r>
            <w:r w:rsidR="009918AD" w:rsidRPr="00AA18CA">
              <w:rPr>
                <w:rFonts w:asciiTheme="minorHAnsi" w:hAnsiTheme="minorHAnsi" w:cstheme="minorBidi"/>
                <w:sz w:val="22"/>
                <w:szCs w:val="22"/>
              </w:rPr>
              <w:t xml:space="preserve"> </w:t>
            </w:r>
            <w:r w:rsidR="00AA18CA" w:rsidRPr="00AA18CA">
              <w:rPr>
                <w:rFonts w:asciiTheme="minorHAnsi" w:hAnsiTheme="minorHAnsi" w:cstheme="minorBidi"/>
                <w:sz w:val="22"/>
                <w:szCs w:val="22"/>
              </w:rPr>
              <w:t>information systems</w:t>
            </w:r>
            <w:r w:rsidR="00AA18CA">
              <w:rPr>
                <w:rFonts w:asciiTheme="minorHAnsi" w:hAnsiTheme="minorHAnsi" w:cstheme="minorBidi"/>
                <w:sz w:val="22"/>
                <w:szCs w:val="22"/>
              </w:rPr>
              <w:t xml:space="preserve">, </w:t>
            </w:r>
            <w:r w:rsidR="00310F1E">
              <w:rPr>
                <w:rFonts w:asciiTheme="minorHAnsi" w:hAnsiTheme="minorHAnsi" w:cstheme="minorBidi"/>
                <w:sz w:val="22"/>
                <w:szCs w:val="22"/>
              </w:rPr>
              <w:t xml:space="preserve">and </w:t>
            </w:r>
            <w:r w:rsidR="00310F1E" w:rsidRPr="00310F1E">
              <w:rPr>
                <w:rFonts w:asciiTheme="minorHAnsi" w:hAnsiTheme="minorHAnsi" w:cstheme="minorBidi"/>
                <w:sz w:val="22"/>
                <w:szCs w:val="22"/>
              </w:rPr>
              <w:t xml:space="preserve">increasing </w:t>
            </w:r>
            <w:r w:rsidR="009918AD">
              <w:rPr>
                <w:rFonts w:asciiTheme="minorHAnsi" w:hAnsiTheme="minorHAnsi" w:cstheme="minorBidi"/>
                <w:sz w:val="22"/>
                <w:szCs w:val="22"/>
              </w:rPr>
              <w:t xml:space="preserve">the </w:t>
            </w:r>
            <w:r w:rsidR="00310F1E" w:rsidRPr="00310F1E">
              <w:rPr>
                <w:rFonts w:asciiTheme="minorHAnsi" w:hAnsiTheme="minorHAnsi" w:cstheme="minorBidi"/>
                <w:sz w:val="22"/>
                <w:szCs w:val="22"/>
              </w:rPr>
              <w:t>accessibility and useability</w:t>
            </w:r>
            <w:r w:rsidR="00213D92">
              <w:rPr>
                <w:rFonts w:asciiTheme="minorHAnsi" w:hAnsiTheme="minorHAnsi" w:cstheme="minorBidi"/>
                <w:sz w:val="22"/>
                <w:szCs w:val="22"/>
              </w:rPr>
              <w:t xml:space="preserve"> of</w:t>
            </w:r>
            <w:r w:rsidR="00310F1E" w:rsidRPr="00310F1E">
              <w:rPr>
                <w:rFonts w:asciiTheme="minorHAnsi" w:hAnsiTheme="minorHAnsi" w:cstheme="minorBidi"/>
                <w:sz w:val="22"/>
                <w:szCs w:val="22"/>
              </w:rPr>
              <w:t xml:space="preserve"> tools and data</w:t>
            </w:r>
            <w:r w:rsidR="00310F1E">
              <w:rPr>
                <w:rFonts w:asciiTheme="minorHAnsi" w:hAnsiTheme="minorHAnsi" w:cstheme="minorBidi"/>
                <w:sz w:val="22"/>
                <w:szCs w:val="22"/>
              </w:rPr>
              <w:t>. DFAT</w:t>
            </w:r>
            <w:r w:rsidR="00AD0FCA" w:rsidRPr="00A573CB">
              <w:rPr>
                <w:rFonts w:asciiTheme="minorHAnsi" w:hAnsiTheme="minorHAnsi" w:cstheme="minorBidi"/>
                <w:sz w:val="22"/>
                <w:szCs w:val="22"/>
              </w:rPr>
              <w:t xml:space="preserve"> notes the </w:t>
            </w:r>
            <w:r w:rsidR="00D5301E">
              <w:rPr>
                <w:rFonts w:asciiTheme="minorHAnsi" w:hAnsiTheme="minorHAnsi" w:cstheme="minorBidi"/>
                <w:sz w:val="22"/>
                <w:szCs w:val="22"/>
              </w:rPr>
              <w:t xml:space="preserve">ongoing </w:t>
            </w:r>
            <w:r w:rsidR="00AD0FCA" w:rsidRPr="00A573CB">
              <w:rPr>
                <w:rFonts w:asciiTheme="minorHAnsi" w:hAnsiTheme="minorHAnsi" w:cstheme="minorBidi"/>
                <w:sz w:val="22"/>
                <w:szCs w:val="22"/>
              </w:rPr>
              <w:t xml:space="preserve">importance of </w:t>
            </w:r>
            <w:r w:rsidR="00D5301E">
              <w:rPr>
                <w:rFonts w:asciiTheme="minorHAnsi" w:hAnsiTheme="minorHAnsi" w:cstheme="minorBidi"/>
                <w:sz w:val="22"/>
                <w:szCs w:val="22"/>
              </w:rPr>
              <w:t xml:space="preserve">evaluating the suitability of </w:t>
            </w:r>
            <w:r w:rsidR="0022364D">
              <w:rPr>
                <w:rFonts w:asciiTheme="minorHAnsi" w:hAnsiTheme="minorHAnsi" w:cstheme="minorBidi"/>
                <w:sz w:val="22"/>
                <w:szCs w:val="22"/>
              </w:rPr>
              <w:t xml:space="preserve">these </w:t>
            </w:r>
            <w:r w:rsidR="00D5301E">
              <w:rPr>
                <w:rFonts w:asciiTheme="minorHAnsi" w:hAnsiTheme="minorHAnsi" w:cstheme="minorBidi"/>
                <w:sz w:val="22"/>
                <w:szCs w:val="22"/>
              </w:rPr>
              <w:t xml:space="preserve">tools </w:t>
            </w:r>
            <w:r w:rsidR="003325E8">
              <w:rPr>
                <w:rFonts w:asciiTheme="minorHAnsi" w:hAnsiTheme="minorHAnsi" w:cstheme="minorBidi"/>
                <w:sz w:val="22"/>
                <w:szCs w:val="22"/>
              </w:rPr>
              <w:t>as part of program activities,</w:t>
            </w:r>
            <w:r w:rsidR="00AD0FCA" w:rsidRPr="00A573CB">
              <w:rPr>
                <w:rFonts w:asciiTheme="minorHAnsi" w:hAnsiTheme="minorHAnsi" w:cstheme="minorBidi"/>
                <w:sz w:val="22"/>
                <w:szCs w:val="22"/>
              </w:rPr>
              <w:t xml:space="preserve"> to ensure </w:t>
            </w:r>
            <w:r w:rsidR="0022364D">
              <w:rPr>
                <w:rFonts w:asciiTheme="minorHAnsi" w:hAnsiTheme="minorHAnsi" w:cstheme="minorBidi"/>
                <w:sz w:val="22"/>
                <w:szCs w:val="22"/>
              </w:rPr>
              <w:t>they</w:t>
            </w:r>
            <w:r w:rsidR="00AD0FCA" w:rsidRPr="00A573CB">
              <w:rPr>
                <w:rFonts w:asciiTheme="minorHAnsi" w:hAnsiTheme="minorHAnsi" w:cstheme="minorBidi"/>
                <w:sz w:val="22"/>
                <w:szCs w:val="22"/>
              </w:rPr>
              <w:t xml:space="preserve"> </w:t>
            </w:r>
            <w:r w:rsidR="00C10353">
              <w:rPr>
                <w:rFonts w:asciiTheme="minorHAnsi" w:hAnsiTheme="minorHAnsi" w:cstheme="minorBidi"/>
                <w:sz w:val="22"/>
                <w:szCs w:val="22"/>
              </w:rPr>
              <w:t>remain</w:t>
            </w:r>
            <w:r w:rsidR="00AD0FCA" w:rsidRPr="00A573CB">
              <w:rPr>
                <w:rFonts w:asciiTheme="minorHAnsi" w:hAnsiTheme="minorHAnsi" w:cstheme="minorBidi"/>
                <w:sz w:val="22"/>
                <w:szCs w:val="22"/>
              </w:rPr>
              <w:t xml:space="preserve"> fit for purpose</w:t>
            </w:r>
            <w:r w:rsidR="00F8104E" w:rsidRPr="00A573CB">
              <w:rPr>
                <w:rFonts w:asciiTheme="minorHAnsi" w:hAnsiTheme="minorHAnsi" w:cstheme="minorBidi"/>
                <w:sz w:val="22"/>
                <w:szCs w:val="22"/>
              </w:rPr>
              <w:t>.</w:t>
            </w:r>
            <w:r w:rsidR="00AD0FCA" w:rsidRPr="00A573CB">
              <w:rPr>
                <w:rFonts w:asciiTheme="minorHAnsi" w:hAnsiTheme="minorHAnsi" w:cstheme="minorBidi"/>
                <w:sz w:val="22"/>
                <w:szCs w:val="22"/>
              </w:rPr>
              <w:t xml:space="preserve"> </w:t>
            </w:r>
          </w:p>
          <w:p w14:paraId="03C3FEA0" w14:textId="3DC475F8" w:rsidR="00EB2441" w:rsidRDefault="11ADCC87" w:rsidP="435B13B3">
            <w:pPr>
              <w:pStyle w:val="Default"/>
              <w:rPr>
                <w:rFonts w:asciiTheme="minorHAnsi" w:hAnsiTheme="minorHAnsi" w:cstheme="minorBidi"/>
                <w:sz w:val="22"/>
                <w:szCs w:val="22"/>
              </w:rPr>
            </w:pPr>
            <w:r w:rsidRPr="00A573CB">
              <w:rPr>
                <w:rFonts w:asciiTheme="minorHAnsi" w:hAnsiTheme="minorHAnsi" w:cstheme="minorBidi"/>
                <w:sz w:val="22"/>
                <w:szCs w:val="22"/>
              </w:rPr>
              <w:t>We</w:t>
            </w:r>
            <w:r w:rsidR="4BA1AB78" w:rsidRPr="00A573CB">
              <w:rPr>
                <w:rFonts w:asciiTheme="minorHAnsi" w:hAnsiTheme="minorHAnsi" w:cstheme="minorBidi"/>
                <w:sz w:val="22"/>
                <w:szCs w:val="22"/>
              </w:rPr>
              <w:t xml:space="preserve"> appreciate the efforts of the Programme to </w:t>
            </w:r>
            <w:r w:rsidR="6B75C3B2" w:rsidRPr="00A573CB">
              <w:rPr>
                <w:rFonts w:asciiTheme="minorHAnsi" w:hAnsiTheme="minorHAnsi" w:cstheme="minorBidi"/>
                <w:sz w:val="22"/>
                <w:szCs w:val="22"/>
              </w:rPr>
              <w:t>collect and publish</w:t>
            </w:r>
            <w:r w:rsidR="4BA1AB78" w:rsidRPr="00A573CB">
              <w:rPr>
                <w:rFonts w:asciiTheme="minorHAnsi" w:hAnsiTheme="minorHAnsi" w:cstheme="minorBidi"/>
                <w:sz w:val="22"/>
                <w:szCs w:val="22"/>
              </w:rPr>
              <w:t xml:space="preserve"> gender disaggregated data</w:t>
            </w:r>
            <w:r w:rsidR="00BF659E">
              <w:rPr>
                <w:rFonts w:asciiTheme="minorHAnsi" w:hAnsiTheme="minorHAnsi" w:cstheme="minorBidi"/>
                <w:sz w:val="22"/>
                <w:szCs w:val="22"/>
              </w:rPr>
              <w:t xml:space="preserve"> </w:t>
            </w:r>
            <w:r w:rsidR="0022364D">
              <w:rPr>
                <w:rFonts w:asciiTheme="minorHAnsi" w:hAnsiTheme="minorHAnsi" w:cstheme="minorBidi"/>
                <w:sz w:val="22"/>
                <w:szCs w:val="22"/>
              </w:rPr>
              <w:t xml:space="preserve">to </w:t>
            </w:r>
            <w:r w:rsidR="4873A3E8" w:rsidRPr="00A573CB">
              <w:rPr>
                <w:rFonts w:asciiTheme="minorHAnsi" w:hAnsiTheme="minorHAnsi" w:cstheme="minorBidi"/>
                <w:sz w:val="22"/>
                <w:szCs w:val="22"/>
              </w:rPr>
              <w:t xml:space="preserve">assess </w:t>
            </w:r>
            <w:r w:rsidR="00BF659E">
              <w:rPr>
                <w:rFonts w:asciiTheme="minorHAnsi" w:hAnsiTheme="minorHAnsi" w:cstheme="minorBidi"/>
                <w:sz w:val="22"/>
                <w:szCs w:val="22"/>
              </w:rPr>
              <w:t xml:space="preserve">the </w:t>
            </w:r>
            <w:r w:rsidR="4873A3E8" w:rsidRPr="00A573CB">
              <w:rPr>
                <w:rFonts w:asciiTheme="minorHAnsi" w:hAnsiTheme="minorHAnsi" w:cstheme="minorBidi"/>
                <w:sz w:val="22"/>
                <w:szCs w:val="22"/>
              </w:rPr>
              <w:t xml:space="preserve">impact of </w:t>
            </w:r>
            <w:r w:rsidR="00BF659E">
              <w:rPr>
                <w:rFonts w:asciiTheme="minorHAnsi" w:hAnsiTheme="minorHAnsi" w:cstheme="minorBidi"/>
                <w:sz w:val="22"/>
                <w:szCs w:val="22"/>
              </w:rPr>
              <w:t>its</w:t>
            </w:r>
            <w:r w:rsidR="00BF659E" w:rsidRPr="00A573CB">
              <w:rPr>
                <w:rFonts w:asciiTheme="minorHAnsi" w:hAnsiTheme="minorHAnsi" w:cstheme="minorBidi"/>
                <w:sz w:val="22"/>
                <w:szCs w:val="22"/>
              </w:rPr>
              <w:t xml:space="preserve"> </w:t>
            </w:r>
            <w:r w:rsidR="4873A3E8" w:rsidRPr="00A573CB">
              <w:rPr>
                <w:rFonts w:asciiTheme="minorHAnsi" w:hAnsiTheme="minorHAnsi" w:cstheme="minorBidi"/>
                <w:sz w:val="22"/>
                <w:szCs w:val="22"/>
              </w:rPr>
              <w:t xml:space="preserve">initiatives on gender </w:t>
            </w:r>
            <w:r w:rsidR="4873A3E8" w:rsidRPr="00A573CB">
              <w:rPr>
                <w:rFonts w:asciiTheme="minorHAnsi" w:hAnsiTheme="minorHAnsi" w:cstheme="minorBidi"/>
                <w:sz w:val="22"/>
                <w:szCs w:val="22"/>
              </w:rPr>
              <w:lastRenderedPageBreak/>
              <w:t>equality</w:t>
            </w:r>
            <w:r w:rsidR="4BA1AB78" w:rsidRPr="00A573CB">
              <w:rPr>
                <w:rFonts w:asciiTheme="minorHAnsi" w:hAnsiTheme="minorHAnsi" w:cstheme="minorBidi"/>
                <w:sz w:val="22"/>
                <w:szCs w:val="22"/>
              </w:rPr>
              <w:t xml:space="preserve">. </w:t>
            </w:r>
            <w:r w:rsidR="00BF659E">
              <w:rPr>
                <w:rFonts w:asciiTheme="minorHAnsi" w:hAnsiTheme="minorHAnsi" w:cstheme="minorBidi"/>
                <w:sz w:val="22"/>
                <w:szCs w:val="22"/>
              </w:rPr>
              <w:t xml:space="preserve">DFAT would like to see this approach </w:t>
            </w:r>
            <w:r w:rsidR="4BA1AB78" w:rsidRPr="00A573CB">
              <w:rPr>
                <w:rFonts w:asciiTheme="minorHAnsi" w:hAnsiTheme="minorHAnsi" w:cstheme="minorBidi"/>
                <w:sz w:val="22"/>
                <w:szCs w:val="22"/>
              </w:rPr>
              <w:t>expanded to include disability</w:t>
            </w:r>
            <w:r w:rsidR="00BF659E">
              <w:rPr>
                <w:rFonts w:asciiTheme="minorHAnsi" w:hAnsiTheme="minorHAnsi" w:cstheme="minorBidi"/>
                <w:sz w:val="22"/>
                <w:szCs w:val="22"/>
              </w:rPr>
              <w:t xml:space="preserve"> equity data</w:t>
            </w:r>
            <w:r w:rsidR="00B736A6">
              <w:rPr>
                <w:rFonts w:asciiTheme="minorHAnsi" w:hAnsiTheme="minorHAnsi" w:cstheme="minorBidi"/>
                <w:sz w:val="22"/>
                <w:szCs w:val="22"/>
              </w:rPr>
              <w:t>,</w:t>
            </w:r>
            <w:r w:rsidR="00BF659E">
              <w:rPr>
                <w:rFonts w:asciiTheme="minorHAnsi" w:hAnsiTheme="minorHAnsi" w:cstheme="minorBidi"/>
                <w:sz w:val="22"/>
                <w:szCs w:val="22"/>
              </w:rPr>
              <w:t xml:space="preserve"> on the </w:t>
            </w:r>
            <w:r w:rsidR="00724042">
              <w:rPr>
                <w:rFonts w:asciiTheme="minorHAnsi" w:hAnsiTheme="minorHAnsi" w:cstheme="minorBidi"/>
                <w:sz w:val="22"/>
                <w:szCs w:val="22"/>
              </w:rPr>
              <w:t xml:space="preserve"> understand</w:t>
            </w:r>
            <w:r w:rsidR="00B736A6">
              <w:rPr>
                <w:rFonts w:asciiTheme="minorHAnsi" w:hAnsiTheme="minorHAnsi" w:cstheme="minorBidi"/>
                <w:sz w:val="22"/>
                <w:szCs w:val="22"/>
              </w:rPr>
              <w:t>ing</w:t>
            </w:r>
            <w:r w:rsidR="00724042">
              <w:rPr>
                <w:rFonts w:asciiTheme="minorHAnsi" w:hAnsiTheme="minorHAnsi" w:cstheme="minorBidi"/>
                <w:sz w:val="22"/>
                <w:szCs w:val="22"/>
              </w:rPr>
              <w:t xml:space="preserve"> this c</w:t>
            </w:r>
            <w:r w:rsidR="00BF659E">
              <w:rPr>
                <w:rFonts w:asciiTheme="minorHAnsi" w:hAnsiTheme="minorHAnsi" w:cstheme="minorBidi"/>
                <w:sz w:val="22"/>
                <w:szCs w:val="22"/>
              </w:rPr>
              <w:t xml:space="preserve">ould </w:t>
            </w:r>
            <w:r w:rsidR="00724042">
              <w:rPr>
                <w:rFonts w:asciiTheme="minorHAnsi" w:hAnsiTheme="minorHAnsi" w:cstheme="minorBidi"/>
                <w:sz w:val="22"/>
                <w:szCs w:val="22"/>
              </w:rPr>
              <w:t>be sensitive</w:t>
            </w:r>
            <w:r w:rsidR="00196A7B">
              <w:rPr>
                <w:rFonts w:asciiTheme="minorHAnsi" w:hAnsiTheme="minorHAnsi" w:cstheme="minorBidi"/>
                <w:sz w:val="22"/>
                <w:szCs w:val="22"/>
              </w:rPr>
              <w:t xml:space="preserve"> and should be handled appropriately.</w:t>
            </w:r>
          </w:p>
          <w:p w14:paraId="04F94F92" w14:textId="0E5F3F4A" w:rsidR="004D1EC3" w:rsidRPr="009F4C78" w:rsidRDefault="001E3C76" w:rsidP="435B13B3">
            <w:pPr>
              <w:pStyle w:val="Default"/>
              <w:rPr>
                <w:rFonts w:asciiTheme="minorHAnsi" w:hAnsiTheme="minorHAnsi" w:cstheme="minorBidi"/>
                <w:sz w:val="22"/>
                <w:szCs w:val="22"/>
              </w:rPr>
            </w:pPr>
            <w:r>
              <w:rPr>
                <w:rFonts w:asciiTheme="minorHAnsi" w:hAnsiTheme="minorHAnsi" w:cstheme="minorBidi"/>
                <w:sz w:val="22"/>
                <w:szCs w:val="22"/>
              </w:rPr>
              <w:t xml:space="preserve">DFAT notes translation into local languages offers </w:t>
            </w:r>
            <w:r w:rsidR="00196A7B">
              <w:rPr>
                <w:rFonts w:asciiTheme="minorHAnsi" w:hAnsiTheme="minorHAnsi" w:cstheme="minorBidi"/>
                <w:sz w:val="22"/>
                <w:szCs w:val="22"/>
              </w:rPr>
              <w:t xml:space="preserve">a </w:t>
            </w:r>
            <w:r>
              <w:rPr>
                <w:rFonts w:asciiTheme="minorHAnsi" w:hAnsiTheme="minorHAnsi" w:cstheme="minorBidi"/>
                <w:sz w:val="22"/>
                <w:szCs w:val="22"/>
              </w:rPr>
              <w:t>strong uplift in accessibility</w:t>
            </w:r>
            <w:r w:rsidR="003B6187">
              <w:rPr>
                <w:rFonts w:asciiTheme="minorHAnsi" w:hAnsiTheme="minorHAnsi" w:cstheme="minorBidi"/>
                <w:sz w:val="22"/>
                <w:szCs w:val="22"/>
              </w:rPr>
              <w:t xml:space="preserve"> and </w:t>
            </w:r>
            <w:r>
              <w:rPr>
                <w:rFonts w:asciiTheme="minorHAnsi" w:hAnsiTheme="minorHAnsi" w:cstheme="minorBidi"/>
                <w:sz w:val="22"/>
                <w:szCs w:val="22"/>
              </w:rPr>
              <w:t xml:space="preserve"> requires appropriate resourcing. </w:t>
            </w:r>
            <w:r w:rsidR="0034288B">
              <w:rPr>
                <w:rFonts w:asciiTheme="minorHAnsi" w:hAnsiTheme="minorHAnsi" w:cstheme="minorBidi"/>
                <w:sz w:val="22"/>
                <w:szCs w:val="22"/>
              </w:rPr>
              <w:t>DFAT encourage</w:t>
            </w:r>
            <w:r w:rsidR="003B6187">
              <w:rPr>
                <w:rFonts w:asciiTheme="minorHAnsi" w:hAnsiTheme="minorHAnsi" w:cstheme="minorBidi"/>
                <w:sz w:val="22"/>
                <w:szCs w:val="22"/>
              </w:rPr>
              <w:t>s</w:t>
            </w:r>
            <w:r w:rsidR="0034288B">
              <w:rPr>
                <w:rFonts w:asciiTheme="minorHAnsi" w:hAnsiTheme="minorHAnsi" w:cstheme="minorBidi"/>
                <w:sz w:val="22"/>
                <w:szCs w:val="22"/>
              </w:rPr>
              <w:t xml:space="preserve"> </w:t>
            </w:r>
            <w:r w:rsidR="00A551BE">
              <w:rPr>
                <w:rFonts w:asciiTheme="minorHAnsi" w:hAnsiTheme="minorHAnsi" w:cstheme="minorBidi"/>
                <w:sz w:val="22"/>
                <w:szCs w:val="22"/>
              </w:rPr>
              <w:t xml:space="preserve">the Programme to </w:t>
            </w:r>
            <w:r w:rsidR="0034288B" w:rsidRPr="0034288B">
              <w:rPr>
                <w:rFonts w:asciiTheme="minorHAnsi" w:hAnsiTheme="minorHAnsi" w:cstheme="minorBidi"/>
                <w:sz w:val="22"/>
                <w:szCs w:val="22"/>
              </w:rPr>
              <w:t>strengthen disability-inclusive accessibility of data for Assistive Technology based engagement.</w:t>
            </w:r>
          </w:p>
        </w:tc>
        <w:tc>
          <w:tcPr>
            <w:tcW w:w="2268" w:type="dxa"/>
          </w:tcPr>
          <w:p w14:paraId="3D629229" w14:textId="77777777" w:rsidR="00EB2441" w:rsidRPr="00D2063F" w:rsidRDefault="00EB2441" w:rsidP="00EB2441">
            <w:pPr>
              <w:pStyle w:val="Default"/>
              <w:rPr>
                <w:rFonts w:asciiTheme="minorHAnsi" w:hAnsiTheme="minorHAnsi" w:cstheme="minorHAnsi"/>
                <w:sz w:val="22"/>
                <w:szCs w:val="22"/>
              </w:rPr>
            </w:pPr>
            <w:r w:rsidRPr="00D2063F">
              <w:rPr>
                <w:rFonts w:asciiTheme="minorHAnsi" w:hAnsiTheme="minorHAnsi" w:cstheme="minorHAnsi"/>
                <w:b/>
                <w:bCs/>
                <w:sz w:val="22"/>
                <w:szCs w:val="22"/>
              </w:rPr>
              <w:lastRenderedPageBreak/>
              <w:t>Responsible Units</w:t>
            </w:r>
          </w:p>
          <w:p w14:paraId="098DF6E7" w14:textId="77777777" w:rsidR="00707D21" w:rsidRPr="00D2063F" w:rsidRDefault="00707D21" w:rsidP="00707D21">
            <w:pPr>
              <w:pStyle w:val="Default"/>
              <w:rPr>
                <w:rFonts w:asciiTheme="minorHAnsi" w:hAnsiTheme="minorHAnsi" w:cstheme="minorBidi"/>
                <w:sz w:val="22"/>
                <w:szCs w:val="22"/>
              </w:rPr>
            </w:pPr>
            <w:r w:rsidRPr="00D2063F">
              <w:rPr>
                <w:rFonts w:asciiTheme="minorHAnsi" w:hAnsiTheme="minorHAnsi" w:cstheme="minorHAnsi"/>
                <w:sz w:val="22"/>
                <w:szCs w:val="22"/>
              </w:rPr>
              <w:t xml:space="preserve">- </w:t>
            </w:r>
            <w:r w:rsidRPr="00D2063F">
              <w:rPr>
                <w:rFonts w:asciiTheme="minorHAnsi" w:hAnsiTheme="minorHAnsi" w:cstheme="minorBidi"/>
                <w:sz w:val="22"/>
                <w:szCs w:val="22"/>
              </w:rPr>
              <w:t>Governance and Tripartism Department: ILO Better Work Management group</w:t>
            </w:r>
          </w:p>
          <w:p w14:paraId="6B6E57FF" w14:textId="05D4FEE2" w:rsidR="00707D21" w:rsidRPr="009F4C78" w:rsidRDefault="00707D21" w:rsidP="00707D21">
            <w:pPr>
              <w:pStyle w:val="Default"/>
              <w:rPr>
                <w:rFonts w:asciiTheme="minorHAnsi" w:hAnsiTheme="minorHAnsi" w:cstheme="minorHAnsi"/>
                <w:sz w:val="22"/>
                <w:szCs w:val="22"/>
              </w:rPr>
            </w:pPr>
            <w:r w:rsidRPr="00D2063F">
              <w:rPr>
                <w:rFonts w:asciiTheme="minorHAnsi" w:hAnsiTheme="minorHAnsi" w:cstheme="minorBidi"/>
                <w:sz w:val="22"/>
                <w:szCs w:val="22"/>
              </w:rPr>
              <w:t>- Better Work country program managers</w:t>
            </w:r>
          </w:p>
        </w:tc>
        <w:tc>
          <w:tcPr>
            <w:tcW w:w="1560" w:type="dxa"/>
          </w:tcPr>
          <w:p w14:paraId="3E7A6E95" w14:textId="4B4653A2" w:rsidR="00EB2441" w:rsidRPr="00D2063F" w:rsidRDefault="00EB2441" w:rsidP="00EB2441">
            <w:pPr>
              <w:pStyle w:val="Default"/>
              <w:rPr>
                <w:rFonts w:asciiTheme="minorHAnsi" w:hAnsiTheme="minorHAnsi" w:cstheme="minorHAnsi"/>
                <w:bCs/>
                <w:sz w:val="22"/>
                <w:szCs w:val="22"/>
              </w:rPr>
            </w:pPr>
            <w:r w:rsidRPr="00D2063F">
              <w:rPr>
                <w:rFonts w:asciiTheme="minorHAnsi" w:hAnsiTheme="minorHAnsi" w:cstheme="minorHAnsi"/>
                <w:b/>
                <w:sz w:val="22"/>
                <w:szCs w:val="22"/>
              </w:rPr>
              <w:t xml:space="preserve">Priority: </w:t>
            </w:r>
            <w:r w:rsidR="00707D21" w:rsidRPr="00D2063F">
              <w:rPr>
                <w:rFonts w:asciiTheme="minorHAnsi" w:hAnsiTheme="minorHAnsi" w:cstheme="minorHAnsi"/>
                <w:bCs/>
                <w:sz w:val="22"/>
                <w:szCs w:val="22"/>
              </w:rPr>
              <w:t>High</w:t>
            </w:r>
          </w:p>
          <w:p w14:paraId="79F120AB" w14:textId="6ACB5322" w:rsidR="00EB2441" w:rsidRPr="00D2063F" w:rsidRDefault="00EB2441" w:rsidP="00EB2441">
            <w:pPr>
              <w:pStyle w:val="Default"/>
              <w:rPr>
                <w:rFonts w:asciiTheme="minorHAnsi" w:hAnsiTheme="minorHAnsi" w:cstheme="minorHAnsi"/>
                <w:bCs/>
                <w:sz w:val="22"/>
                <w:szCs w:val="22"/>
              </w:rPr>
            </w:pPr>
            <w:r w:rsidRPr="00D2063F">
              <w:rPr>
                <w:rFonts w:asciiTheme="minorHAnsi" w:hAnsiTheme="minorHAnsi" w:cstheme="minorHAnsi"/>
                <w:b/>
                <w:sz w:val="22"/>
                <w:szCs w:val="22"/>
              </w:rPr>
              <w:t xml:space="preserve">Time Implications: </w:t>
            </w:r>
            <w:r w:rsidR="00707D21" w:rsidRPr="00D2063F">
              <w:rPr>
                <w:rFonts w:asciiTheme="minorHAnsi" w:hAnsiTheme="minorHAnsi" w:cstheme="minorHAnsi"/>
                <w:bCs/>
                <w:sz w:val="22"/>
                <w:szCs w:val="22"/>
              </w:rPr>
              <w:t>Immediate to long term</w:t>
            </w:r>
          </w:p>
          <w:p w14:paraId="0332C82D" w14:textId="191D3448" w:rsidR="00EB2441" w:rsidRPr="009F4C78" w:rsidRDefault="00EB2441" w:rsidP="00EB2441">
            <w:pPr>
              <w:pStyle w:val="Default"/>
              <w:rPr>
                <w:rFonts w:asciiTheme="minorHAnsi" w:hAnsiTheme="minorHAnsi" w:cstheme="minorHAnsi"/>
                <w:bCs/>
                <w:sz w:val="22"/>
                <w:szCs w:val="22"/>
              </w:rPr>
            </w:pPr>
            <w:r w:rsidRPr="00D2063F">
              <w:rPr>
                <w:rFonts w:asciiTheme="minorHAnsi" w:hAnsiTheme="minorHAnsi" w:cstheme="minorHAnsi"/>
                <w:b/>
                <w:sz w:val="22"/>
                <w:szCs w:val="22"/>
              </w:rPr>
              <w:t xml:space="preserve">Resource Implications: </w:t>
            </w:r>
            <w:r w:rsidR="00707D21" w:rsidRPr="00D2063F">
              <w:rPr>
                <w:rFonts w:asciiTheme="minorHAnsi" w:hAnsiTheme="minorHAnsi" w:cstheme="minorHAnsi"/>
                <w:bCs/>
                <w:sz w:val="22"/>
                <w:szCs w:val="22"/>
              </w:rPr>
              <w:t>Variable</w:t>
            </w:r>
          </w:p>
        </w:tc>
      </w:tr>
      <w:tr w:rsidR="00EB2441" w:rsidRPr="00D2063F" w14:paraId="351E8592" w14:textId="77777777" w:rsidTr="00CF7FC2">
        <w:tc>
          <w:tcPr>
            <w:tcW w:w="3964" w:type="dxa"/>
          </w:tcPr>
          <w:p w14:paraId="2FA939D3" w14:textId="27B26799" w:rsidR="00EB2441" w:rsidRPr="00D2063F" w:rsidRDefault="00EB2441" w:rsidP="00EB2441">
            <w:pPr>
              <w:rPr>
                <w:rFonts w:ascii="Aptos" w:hAnsi="Aptos" w:cs="Times New Roman"/>
                <w:sz w:val="18"/>
                <w:szCs w:val="18"/>
              </w:rPr>
            </w:pPr>
            <w:r w:rsidRPr="00D2063F">
              <w:rPr>
                <w:rFonts w:ascii="Aptos" w:hAnsi="Aptos" w:cs="Times New Roman"/>
                <w:b/>
                <w:bCs/>
                <w:sz w:val="28"/>
                <w:szCs w:val="28"/>
                <w:u w:val="single"/>
              </w:rPr>
              <w:t>Recommendation 5</w:t>
            </w:r>
            <w:r w:rsidRPr="00D2063F">
              <w:rPr>
                <w:rFonts w:ascii="Aptos" w:hAnsi="Aptos" w:cs="Times New Roman"/>
                <w:sz w:val="18"/>
                <w:szCs w:val="18"/>
              </w:rPr>
              <w:t xml:space="preserve"> </w:t>
            </w:r>
          </w:p>
          <w:p w14:paraId="252CEF18" w14:textId="77777777" w:rsidR="00EB2441" w:rsidRPr="00D2063F" w:rsidRDefault="00EB2441" w:rsidP="00EB2441">
            <w:pPr>
              <w:rPr>
                <w:rFonts w:ascii="Aptos" w:hAnsi="Aptos" w:cs="Times New Roman"/>
              </w:rPr>
            </w:pPr>
            <w:r w:rsidRPr="00D2063F">
              <w:rPr>
                <w:rFonts w:ascii="Aptos" w:hAnsi="Aptos" w:cs="Times New Roman"/>
                <w:b/>
                <w:bCs/>
              </w:rPr>
              <w:t>Better Work should continue its efforts to influence brand practices.</w:t>
            </w:r>
            <w:r w:rsidRPr="00D2063F">
              <w:rPr>
                <w:rFonts w:ascii="Aptos" w:hAnsi="Aptos" w:cs="Times New Roman"/>
              </w:rPr>
              <w:t xml:space="preserve"> </w:t>
            </w:r>
          </w:p>
          <w:p w14:paraId="581D3574" w14:textId="77777777" w:rsidR="00EB2441" w:rsidRPr="00D2063F" w:rsidRDefault="00EB2441" w:rsidP="00EB2441">
            <w:pPr>
              <w:pStyle w:val="ListParagraph"/>
              <w:numPr>
                <w:ilvl w:val="0"/>
                <w:numId w:val="6"/>
              </w:numPr>
              <w:ind w:left="0" w:firstLine="0"/>
              <w:rPr>
                <w:rFonts w:ascii="Aptos" w:hAnsi="Aptos" w:cs="Times New Roman"/>
              </w:rPr>
            </w:pPr>
            <w:r w:rsidRPr="00D2063F">
              <w:t>Further</w:t>
            </w:r>
            <w:r w:rsidRPr="00D2063F">
              <w:rPr>
                <w:rFonts w:ascii="Aptos" w:hAnsi="Aptos" w:cs="Times New Roman"/>
              </w:rPr>
              <w:t xml:space="preserve"> develop the Better Work Academy and move toward financial sustainability by refining and implementing a viable business model.</w:t>
            </w:r>
          </w:p>
          <w:p w14:paraId="6CBD6A5D" w14:textId="77777777" w:rsidR="00EB2441" w:rsidRPr="00D2063F" w:rsidRDefault="00EB2441" w:rsidP="00EB2441">
            <w:pPr>
              <w:pStyle w:val="ListParagraph"/>
              <w:numPr>
                <w:ilvl w:val="0"/>
                <w:numId w:val="6"/>
              </w:numPr>
              <w:ind w:left="0" w:firstLine="0"/>
              <w:rPr>
                <w:rFonts w:ascii="Aptos" w:hAnsi="Aptos" w:cs="Times New Roman"/>
              </w:rPr>
            </w:pPr>
            <w:r w:rsidRPr="00D2063F">
              <w:rPr>
                <w:rFonts w:ascii="Aptos" w:hAnsi="Aptos" w:cs="Times New Roman"/>
              </w:rPr>
              <w:t xml:space="preserve">Maintain collaboration with brands on interventions that promote the empowerment of women workers, </w:t>
            </w:r>
            <w:r w:rsidRPr="00D2063F">
              <w:rPr>
                <w:rFonts w:ascii="Aptos" w:hAnsi="Aptos" w:cs="Times New Roman"/>
              </w:rPr>
              <w:lastRenderedPageBreak/>
              <w:t xml:space="preserve">trade union representatives, and underrepresented groups—such as migrant workers and persons with disabilities. </w:t>
            </w:r>
          </w:p>
          <w:p w14:paraId="0A1C1658" w14:textId="4ECEC08B" w:rsidR="00EB2441" w:rsidRPr="00D2063F" w:rsidRDefault="00EB2441" w:rsidP="00EB2441">
            <w:pPr>
              <w:pStyle w:val="ListParagraph"/>
              <w:numPr>
                <w:ilvl w:val="0"/>
                <w:numId w:val="6"/>
              </w:numPr>
              <w:ind w:left="0" w:firstLine="0"/>
              <w:rPr>
                <w:rFonts w:ascii="Aptos" w:hAnsi="Aptos" w:cs="Times New Roman"/>
              </w:rPr>
            </w:pPr>
            <w:r w:rsidRPr="00D2063F">
              <w:rPr>
                <w:rFonts w:ascii="Aptos" w:hAnsi="Aptos" w:cs="Times New Roman"/>
              </w:rPr>
              <w:t>Sustain ongoing dialogue and joint initiatives with brands and relevant multistakeholder platforms aimed at reducing audit duplication, strengthening engagement with national labour market institutions, and improving responsible business conduct.</w:t>
            </w:r>
          </w:p>
          <w:p w14:paraId="524566DC" w14:textId="587D1E19" w:rsidR="00EB2441" w:rsidRPr="00D2063F" w:rsidRDefault="00EB2441" w:rsidP="00EB2441">
            <w:pPr>
              <w:rPr>
                <w:rFonts w:ascii="Aptos" w:hAnsi="Aptos" w:cs="Times New Roman"/>
                <w:b/>
                <w:bCs/>
                <w:u w:val="single"/>
              </w:rPr>
            </w:pPr>
          </w:p>
        </w:tc>
        <w:tc>
          <w:tcPr>
            <w:tcW w:w="2977" w:type="dxa"/>
          </w:tcPr>
          <w:p w14:paraId="1974EF11" w14:textId="3BFE3BCD" w:rsidR="00EB2441" w:rsidRPr="00D2063F" w:rsidRDefault="00EB2441" w:rsidP="00EB2441">
            <w:pPr>
              <w:pStyle w:val="Default"/>
              <w:rPr>
                <w:rFonts w:asciiTheme="minorHAnsi" w:hAnsiTheme="minorHAnsi" w:cstheme="minorHAnsi"/>
                <w:sz w:val="22"/>
                <w:szCs w:val="22"/>
              </w:rPr>
            </w:pPr>
            <w:r w:rsidRPr="00D2063F">
              <w:rPr>
                <w:rFonts w:asciiTheme="minorHAnsi" w:hAnsiTheme="minorHAnsi" w:cstheme="minorHAnsi"/>
                <w:sz w:val="22"/>
                <w:szCs w:val="22"/>
              </w:rPr>
              <w:lastRenderedPageBreak/>
              <w:t xml:space="preserve">On Recommendation 5, anchored in international labour standards, national labour laws and Better Work experience, the Office will support efforts to engage with brands and inform their due-diligence processes to promote decent work and increase compliance. Better </w:t>
            </w:r>
            <w:r w:rsidRPr="00D2063F">
              <w:rPr>
                <w:rFonts w:asciiTheme="minorHAnsi" w:hAnsiTheme="minorHAnsi" w:cstheme="minorHAnsi"/>
                <w:sz w:val="22"/>
                <w:szCs w:val="22"/>
              </w:rPr>
              <w:lastRenderedPageBreak/>
              <w:t xml:space="preserve">Work is deepening collaboration with brands to promote labour rights, including fundamental principles and rights at work, gender equality, migrant workers and persons with disabilities, and the establishment of grievance mechanisms. In coordination across the Office, it will continue engaging with brands and multi-stakeholder platforms to reduce duplication and </w:t>
            </w:r>
          </w:p>
          <w:p w14:paraId="3A5A6293" w14:textId="36042A41" w:rsidR="00EB2441" w:rsidRPr="00D2063F" w:rsidRDefault="00EB2441" w:rsidP="00EB2441">
            <w:pPr>
              <w:pStyle w:val="Default"/>
              <w:rPr>
                <w:rFonts w:asciiTheme="minorHAnsi" w:hAnsiTheme="minorHAnsi" w:cstheme="minorHAnsi"/>
                <w:sz w:val="22"/>
                <w:szCs w:val="22"/>
              </w:rPr>
            </w:pPr>
            <w:r w:rsidRPr="00D2063F">
              <w:rPr>
                <w:rFonts w:asciiTheme="minorHAnsi" w:hAnsiTheme="minorHAnsi" w:cstheme="minorHAnsi"/>
                <w:sz w:val="22"/>
                <w:szCs w:val="22"/>
              </w:rPr>
              <w:t>promote responsible business conduct.</w:t>
            </w:r>
          </w:p>
        </w:tc>
        <w:tc>
          <w:tcPr>
            <w:tcW w:w="1276" w:type="dxa"/>
            <w:shd w:val="clear" w:color="auto" w:fill="FFC000"/>
          </w:tcPr>
          <w:p w14:paraId="388487AE" w14:textId="7E85B8C0" w:rsidR="00EB2441" w:rsidRPr="00D2063F" w:rsidRDefault="00EB2441" w:rsidP="00EB2441">
            <w:pPr>
              <w:pStyle w:val="Default"/>
              <w:rPr>
                <w:rFonts w:asciiTheme="minorHAnsi" w:hAnsiTheme="minorHAnsi" w:cstheme="minorHAnsi"/>
                <w:sz w:val="22"/>
                <w:szCs w:val="22"/>
              </w:rPr>
            </w:pPr>
            <w:r w:rsidRPr="00D2063F">
              <w:rPr>
                <w:rFonts w:asciiTheme="minorHAnsi" w:hAnsiTheme="minorHAnsi" w:cstheme="minorHAnsi"/>
                <w:sz w:val="22"/>
                <w:szCs w:val="22"/>
              </w:rPr>
              <w:lastRenderedPageBreak/>
              <w:t xml:space="preserve">Partially agree </w:t>
            </w:r>
          </w:p>
        </w:tc>
        <w:tc>
          <w:tcPr>
            <w:tcW w:w="2551" w:type="dxa"/>
          </w:tcPr>
          <w:p w14:paraId="2515548E" w14:textId="41DB8C6D" w:rsidR="00EB2441" w:rsidRPr="00092F06" w:rsidRDefault="000E09EE" w:rsidP="435B13B3">
            <w:pPr>
              <w:pStyle w:val="Default"/>
              <w:rPr>
                <w:rFonts w:asciiTheme="minorHAnsi" w:hAnsiTheme="minorHAnsi" w:cstheme="minorBidi"/>
                <w:sz w:val="22"/>
                <w:szCs w:val="22"/>
              </w:rPr>
            </w:pPr>
            <w:r w:rsidRPr="00092F06">
              <w:rPr>
                <w:rFonts w:asciiTheme="minorHAnsi" w:hAnsiTheme="minorHAnsi" w:cstheme="minorBidi"/>
                <w:sz w:val="22"/>
                <w:szCs w:val="22"/>
              </w:rPr>
              <w:t xml:space="preserve">DFAT </w:t>
            </w:r>
            <w:r w:rsidR="003D5F45" w:rsidRPr="00092F06">
              <w:rPr>
                <w:rFonts w:asciiTheme="minorHAnsi" w:hAnsiTheme="minorHAnsi" w:cstheme="minorBidi"/>
                <w:sz w:val="22"/>
                <w:szCs w:val="22"/>
              </w:rPr>
              <w:t>notes</w:t>
            </w:r>
            <w:r w:rsidR="00E15E89" w:rsidRPr="00092F06">
              <w:rPr>
                <w:rFonts w:asciiTheme="minorHAnsi" w:hAnsiTheme="minorHAnsi" w:cstheme="minorBidi"/>
                <w:sz w:val="22"/>
                <w:szCs w:val="22"/>
              </w:rPr>
              <w:t xml:space="preserve"> the importance of</w:t>
            </w:r>
            <w:r w:rsidR="004840C6" w:rsidRPr="00092F06">
              <w:rPr>
                <w:rFonts w:asciiTheme="minorHAnsi" w:hAnsiTheme="minorHAnsi" w:cstheme="minorBidi"/>
                <w:sz w:val="22"/>
                <w:szCs w:val="22"/>
              </w:rPr>
              <w:t xml:space="preserve"> interventions promoting the empowerment of underrepresented groups</w:t>
            </w:r>
            <w:r w:rsidR="00823B52" w:rsidRPr="00092F06">
              <w:rPr>
                <w:rFonts w:asciiTheme="minorHAnsi" w:hAnsiTheme="minorHAnsi" w:cstheme="minorBidi"/>
                <w:sz w:val="22"/>
                <w:szCs w:val="22"/>
              </w:rPr>
              <w:t xml:space="preserve"> </w:t>
            </w:r>
            <w:r w:rsidR="005A0239">
              <w:rPr>
                <w:rFonts w:asciiTheme="minorHAnsi" w:hAnsiTheme="minorHAnsi" w:cstheme="minorBidi"/>
                <w:sz w:val="22"/>
                <w:szCs w:val="22"/>
              </w:rPr>
              <w:t>in</w:t>
            </w:r>
            <w:r w:rsidR="005A0239" w:rsidRPr="00092F06">
              <w:rPr>
                <w:rFonts w:asciiTheme="minorHAnsi" w:hAnsiTheme="minorHAnsi" w:cstheme="minorBidi"/>
                <w:sz w:val="22"/>
                <w:szCs w:val="22"/>
              </w:rPr>
              <w:t xml:space="preserve"> </w:t>
            </w:r>
            <w:r w:rsidR="00823B52" w:rsidRPr="00092F06">
              <w:rPr>
                <w:rFonts w:asciiTheme="minorHAnsi" w:hAnsiTheme="minorHAnsi" w:cstheme="minorBidi"/>
                <w:sz w:val="22"/>
                <w:szCs w:val="22"/>
              </w:rPr>
              <w:t>Better Work’s programs</w:t>
            </w:r>
            <w:r w:rsidR="00EB626F" w:rsidRPr="00092F06">
              <w:rPr>
                <w:rFonts w:asciiTheme="minorHAnsi" w:hAnsiTheme="minorHAnsi" w:cstheme="minorBidi"/>
                <w:sz w:val="22"/>
                <w:szCs w:val="22"/>
              </w:rPr>
              <w:t xml:space="preserve">. DFAT acknowledges the work undertaken </w:t>
            </w:r>
            <w:r w:rsidR="005A0239">
              <w:rPr>
                <w:rFonts w:asciiTheme="minorHAnsi" w:hAnsiTheme="minorHAnsi" w:cstheme="minorBidi"/>
                <w:sz w:val="22"/>
                <w:szCs w:val="22"/>
              </w:rPr>
              <w:t>by</w:t>
            </w:r>
            <w:r w:rsidR="005A0239" w:rsidRPr="00092F06">
              <w:rPr>
                <w:rFonts w:asciiTheme="minorHAnsi" w:hAnsiTheme="minorHAnsi" w:cstheme="minorBidi"/>
                <w:sz w:val="22"/>
                <w:szCs w:val="22"/>
              </w:rPr>
              <w:t xml:space="preserve"> </w:t>
            </w:r>
            <w:r w:rsidR="00EB626F" w:rsidRPr="00092F06">
              <w:rPr>
                <w:rFonts w:asciiTheme="minorHAnsi" w:hAnsiTheme="minorHAnsi" w:cstheme="minorBidi"/>
                <w:sz w:val="22"/>
                <w:szCs w:val="22"/>
              </w:rPr>
              <w:t xml:space="preserve">Better Work’s Sri Lanka </w:t>
            </w:r>
            <w:r w:rsidR="00EB626F" w:rsidRPr="00092F06">
              <w:rPr>
                <w:rFonts w:asciiTheme="minorHAnsi" w:hAnsiTheme="minorHAnsi" w:cstheme="minorBidi"/>
                <w:sz w:val="22"/>
                <w:szCs w:val="22"/>
              </w:rPr>
              <w:lastRenderedPageBreak/>
              <w:t>program</w:t>
            </w:r>
            <w:r w:rsidR="0035513F" w:rsidRPr="00092F06">
              <w:rPr>
                <w:rFonts w:asciiTheme="minorHAnsi" w:hAnsiTheme="minorHAnsi" w:cstheme="minorBidi"/>
                <w:sz w:val="22"/>
                <w:szCs w:val="22"/>
              </w:rPr>
              <w:t xml:space="preserve"> </w:t>
            </w:r>
            <w:r w:rsidR="005A0239">
              <w:rPr>
                <w:rFonts w:asciiTheme="minorHAnsi" w:hAnsiTheme="minorHAnsi" w:cstheme="minorBidi"/>
                <w:sz w:val="22"/>
                <w:szCs w:val="22"/>
              </w:rPr>
              <w:t>to</w:t>
            </w:r>
            <w:r w:rsidR="005A0239" w:rsidRPr="00092F06">
              <w:rPr>
                <w:rFonts w:asciiTheme="minorHAnsi" w:hAnsiTheme="minorHAnsi" w:cstheme="minorBidi"/>
                <w:sz w:val="22"/>
                <w:szCs w:val="22"/>
              </w:rPr>
              <w:t xml:space="preserve"> </w:t>
            </w:r>
            <w:r w:rsidR="00A961E1" w:rsidRPr="00092F06">
              <w:rPr>
                <w:rFonts w:asciiTheme="minorHAnsi" w:hAnsiTheme="minorHAnsi" w:cstheme="minorBidi"/>
                <w:sz w:val="22"/>
                <w:szCs w:val="22"/>
              </w:rPr>
              <w:t>strengthening workplace inclusion and the employability of people with di</w:t>
            </w:r>
            <w:r w:rsidR="008A18E2" w:rsidRPr="00092F06">
              <w:rPr>
                <w:rFonts w:asciiTheme="minorHAnsi" w:hAnsiTheme="minorHAnsi" w:cstheme="minorBidi"/>
                <w:sz w:val="22"/>
                <w:szCs w:val="22"/>
              </w:rPr>
              <w:t>sabilities.</w:t>
            </w:r>
          </w:p>
          <w:p w14:paraId="75A626AD" w14:textId="77777777" w:rsidR="00960037" w:rsidRPr="00324212" w:rsidRDefault="00960037" w:rsidP="435B13B3">
            <w:pPr>
              <w:pStyle w:val="Default"/>
              <w:rPr>
                <w:rFonts w:asciiTheme="minorHAnsi" w:hAnsiTheme="minorHAnsi" w:cstheme="minorBidi"/>
                <w:sz w:val="22"/>
                <w:szCs w:val="22"/>
              </w:rPr>
            </w:pPr>
          </w:p>
          <w:p w14:paraId="4F55F5BA" w14:textId="0B3E83A5" w:rsidR="003E754A" w:rsidRPr="00CC6B40" w:rsidRDefault="008A18E2" w:rsidP="435B13B3">
            <w:pPr>
              <w:pStyle w:val="Default"/>
              <w:rPr>
                <w:rFonts w:asciiTheme="minorHAnsi" w:hAnsiTheme="minorHAnsi" w:cstheme="minorBidi"/>
                <w:sz w:val="22"/>
                <w:szCs w:val="22"/>
              </w:rPr>
            </w:pPr>
            <w:r w:rsidRPr="00324212">
              <w:rPr>
                <w:rFonts w:asciiTheme="minorHAnsi" w:hAnsiTheme="minorHAnsi"/>
                <w:sz w:val="22"/>
                <w:szCs w:val="22"/>
              </w:rPr>
              <w:t>DFAT recommend</w:t>
            </w:r>
            <w:r w:rsidR="005A0239">
              <w:rPr>
                <w:rFonts w:asciiTheme="minorHAnsi" w:hAnsiTheme="minorHAnsi"/>
                <w:sz w:val="22"/>
                <w:szCs w:val="22"/>
              </w:rPr>
              <w:t>s</w:t>
            </w:r>
            <w:r w:rsidRPr="00324212">
              <w:rPr>
                <w:rFonts w:asciiTheme="minorHAnsi" w:hAnsiTheme="minorHAnsi"/>
                <w:sz w:val="22"/>
                <w:szCs w:val="22"/>
              </w:rPr>
              <w:t xml:space="preserve"> </w:t>
            </w:r>
            <w:r w:rsidR="00157192" w:rsidRPr="00324212">
              <w:rPr>
                <w:rFonts w:asciiTheme="minorHAnsi" w:hAnsiTheme="minorHAnsi"/>
                <w:sz w:val="22"/>
                <w:szCs w:val="22"/>
              </w:rPr>
              <w:t xml:space="preserve">clear guidance </w:t>
            </w:r>
            <w:r w:rsidR="0008327C" w:rsidRPr="00324212">
              <w:rPr>
                <w:rFonts w:asciiTheme="minorHAnsi" w:hAnsiTheme="minorHAnsi"/>
                <w:sz w:val="22"/>
                <w:szCs w:val="22"/>
              </w:rPr>
              <w:t xml:space="preserve">from ILO </w:t>
            </w:r>
            <w:r w:rsidR="00157192" w:rsidRPr="00324212">
              <w:rPr>
                <w:rFonts w:asciiTheme="minorHAnsi" w:hAnsiTheme="minorHAnsi"/>
                <w:sz w:val="22"/>
                <w:szCs w:val="22"/>
              </w:rPr>
              <w:t xml:space="preserve">on </w:t>
            </w:r>
            <w:r w:rsidR="39CC48DA" w:rsidRPr="00324212">
              <w:rPr>
                <w:rFonts w:asciiTheme="minorHAnsi" w:hAnsiTheme="minorHAnsi"/>
                <w:sz w:val="22"/>
                <w:szCs w:val="22"/>
              </w:rPr>
              <w:t>how it will continue to enhance its engagement with the private sector, to ensure long-term sustainability and continuation of Better Work initiatives</w:t>
            </w:r>
            <w:r w:rsidR="17F3D502" w:rsidRPr="00324212">
              <w:rPr>
                <w:rFonts w:asciiTheme="minorHAnsi" w:hAnsiTheme="minorHAnsi"/>
                <w:sz w:val="22"/>
                <w:szCs w:val="22"/>
              </w:rPr>
              <w:t xml:space="preserve"> and outcomes</w:t>
            </w:r>
            <w:r w:rsidR="39CC48DA" w:rsidRPr="00324212">
              <w:rPr>
                <w:rFonts w:asciiTheme="minorHAnsi" w:hAnsiTheme="minorHAnsi"/>
                <w:sz w:val="22"/>
                <w:szCs w:val="22"/>
              </w:rPr>
              <w:t xml:space="preserve">. </w:t>
            </w:r>
            <w:r w:rsidR="5E3CF9FA" w:rsidRPr="00324212">
              <w:rPr>
                <w:rFonts w:asciiTheme="minorHAnsi" w:hAnsiTheme="minorHAnsi"/>
                <w:sz w:val="22"/>
                <w:szCs w:val="22"/>
              </w:rPr>
              <w:t>This could include through the Better Work Academy, or other mechanisms</w:t>
            </w:r>
            <w:r w:rsidR="00AA3163">
              <w:rPr>
                <w:rFonts w:asciiTheme="minorHAnsi" w:hAnsiTheme="minorHAnsi"/>
                <w:sz w:val="22"/>
                <w:szCs w:val="22"/>
              </w:rPr>
              <w:t xml:space="preserve">. This will be vital for </w:t>
            </w:r>
            <w:r w:rsidR="5E3CF9FA" w:rsidRPr="00324212">
              <w:rPr>
                <w:rFonts w:asciiTheme="minorHAnsi" w:hAnsiTheme="minorHAnsi"/>
                <w:sz w:val="22"/>
                <w:szCs w:val="22"/>
              </w:rPr>
              <w:t>high performing country partners</w:t>
            </w:r>
            <w:r w:rsidR="00AA3163">
              <w:rPr>
                <w:rFonts w:asciiTheme="minorHAnsi" w:hAnsiTheme="minorHAnsi"/>
                <w:sz w:val="22"/>
                <w:szCs w:val="22"/>
              </w:rPr>
              <w:t xml:space="preserve"> </w:t>
            </w:r>
            <w:r w:rsidR="005A3D6E">
              <w:rPr>
                <w:rFonts w:asciiTheme="minorHAnsi" w:hAnsiTheme="minorHAnsi"/>
                <w:sz w:val="22"/>
                <w:szCs w:val="22"/>
              </w:rPr>
              <w:t xml:space="preserve">to </w:t>
            </w:r>
            <w:r w:rsidR="005A3D6E" w:rsidRPr="00324212">
              <w:rPr>
                <w:rFonts w:asciiTheme="minorHAnsi" w:hAnsiTheme="minorHAnsi"/>
                <w:sz w:val="22"/>
                <w:szCs w:val="22"/>
              </w:rPr>
              <w:t>progress</w:t>
            </w:r>
            <w:r w:rsidR="5E3CF9FA" w:rsidRPr="00324212">
              <w:rPr>
                <w:rFonts w:asciiTheme="minorHAnsi" w:hAnsiTheme="minorHAnsi"/>
                <w:sz w:val="22"/>
                <w:szCs w:val="22"/>
              </w:rPr>
              <w:t xml:space="preserve"> </w:t>
            </w:r>
            <w:r w:rsidR="52AF354C" w:rsidRPr="00324212">
              <w:rPr>
                <w:rFonts w:asciiTheme="minorHAnsi" w:hAnsiTheme="minorHAnsi"/>
                <w:sz w:val="22"/>
                <w:szCs w:val="22"/>
              </w:rPr>
              <w:t xml:space="preserve">towards </w:t>
            </w:r>
            <w:r w:rsidR="005A3D6E">
              <w:rPr>
                <w:rFonts w:asciiTheme="minorHAnsi" w:hAnsiTheme="minorHAnsi"/>
                <w:sz w:val="22"/>
                <w:szCs w:val="22"/>
              </w:rPr>
              <w:t xml:space="preserve">exiting </w:t>
            </w:r>
            <w:r w:rsidR="7C42CA5F" w:rsidRPr="00324212">
              <w:rPr>
                <w:rFonts w:asciiTheme="minorHAnsi" w:hAnsiTheme="minorHAnsi"/>
                <w:sz w:val="22"/>
                <w:szCs w:val="22"/>
              </w:rPr>
              <w:t>the B</w:t>
            </w:r>
            <w:r w:rsidR="00BC6A4B">
              <w:rPr>
                <w:rFonts w:asciiTheme="minorHAnsi" w:hAnsiTheme="minorHAnsi"/>
                <w:sz w:val="22"/>
                <w:szCs w:val="22"/>
              </w:rPr>
              <w:t xml:space="preserve">etter </w:t>
            </w:r>
            <w:r w:rsidR="7C42CA5F" w:rsidRPr="00324212">
              <w:rPr>
                <w:rFonts w:asciiTheme="minorHAnsi" w:hAnsiTheme="minorHAnsi"/>
                <w:sz w:val="22"/>
                <w:szCs w:val="22"/>
              </w:rPr>
              <w:t>W</w:t>
            </w:r>
            <w:r w:rsidR="00BC6A4B">
              <w:rPr>
                <w:rFonts w:asciiTheme="minorHAnsi" w:hAnsiTheme="minorHAnsi"/>
                <w:sz w:val="22"/>
                <w:szCs w:val="22"/>
              </w:rPr>
              <w:t>ork</w:t>
            </w:r>
            <w:r w:rsidR="7C42CA5F" w:rsidRPr="00324212">
              <w:rPr>
                <w:rFonts w:asciiTheme="minorHAnsi" w:hAnsiTheme="minorHAnsi"/>
                <w:sz w:val="22"/>
                <w:szCs w:val="22"/>
              </w:rPr>
              <w:t xml:space="preserve"> Programme.</w:t>
            </w:r>
            <w:r w:rsidR="7C42CA5F" w:rsidRPr="00CC6B40">
              <w:rPr>
                <w:i/>
                <w:iCs/>
              </w:rPr>
              <w:t xml:space="preserve"> </w:t>
            </w:r>
          </w:p>
        </w:tc>
        <w:tc>
          <w:tcPr>
            <w:tcW w:w="2268" w:type="dxa"/>
          </w:tcPr>
          <w:p w14:paraId="60F9E764" w14:textId="77777777" w:rsidR="00EB2441" w:rsidRPr="00D2063F" w:rsidRDefault="00EB2441" w:rsidP="00EB2441">
            <w:pPr>
              <w:pStyle w:val="Default"/>
              <w:rPr>
                <w:rFonts w:asciiTheme="minorHAnsi" w:hAnsiTheme="minorHAnsi" w:cstheme="minorHAnsi"/>
                <w:sz w:val="22"/>
                <w:szCs w:val="22"/>
              </w:rPr>
            </w:pPr>
            <w:r w:rsidRPr="00D2063F">
              <w:rPr>
                <w:rFonts w:asciiTheme="minorHAnsi" w:hAnsiTheme="minorHAnsi" w:cstheme="minorHAnsi"/>
                <w:b/>
                <w:bCs/>
                <w:sz w:val="22"/>
                <w:szCs w:val="22"/>
              </w:rPr>
              <w:lastRenderedPageBreak/>
              <w:t>Responsible Units</w:t>
            </w:r>
          </w:p>
          <w:p w14:paraId="6E2EDDCA" w14:textId="77777777" w:rsidR="00707D21" w:rsidRPr="00D2063F" w:rsidRDefault="00707D21" w:rsidP="00707D21">
            <w:pPr>
              <w:pStyle w:val="Default"/>
              <w:rPr>
                <w:rFonts w:asciiTheme="minorHAnsi" w:hAnsiTheme="minorHAnsi" w:cstheme="minorBidi"/>
                <w:sz w:val="22"/>
                <w:szCs w:val="22"/>
              </w:rPr>
            </w:pPr>
            <w:r w:rsidRPr="00D2063F">
              <w:rPr>
                <w:rFonts w:asciiTheme="minorHAnsi" w:hAnsiTheme="minorHAnsi" w:cstheme="minorHAnsi"/>
                <w:sz w:val="22"/>
                <w:szCs w:val="22"/>
              </w:rPr>
              <w:t xml:space="preserve">- </w:t>
            </w:r>
            <w:r w:rsidRPr="00D2063F">
              <w:rPr>
                <w:rFonts w:asciiTheme="minorHAnsi" w:hAnsiTheme="minorHAnsi" w:cstheme="minorBidi"/>
                <w:sz w:val="22"/>
                <w:szCs w:val="22"/>
              </w:rPr>
              <w:t>Governance and Tripartism Department: ILO Better Work Management group</w:t>
            </w:r>
          </w:p>
          <w:p w14:paraId="2FC0C068" w14:textId="0FFAD077" w:rsidR="00707D21" w:rsidRPr="00CC6B40" w:rsidRDefault="00707D21" w:rsidP="00707D21">
            <w:pPr>
              <w:pStyle w:val="Default"/>
              <w:rPr>
                <w:rFonts w:asciiTheme="minorHAnsi" w:hAnsiTheme="minorHAnsi" w:cstheme="minorHAnsi"/>
                <w:sz w:val="22"/>
                <w:szCs w:val="22"/>
              </w:rPr>
            </w:pPr>
            <w:r w:rsidRPr="00D2063F">
              <w:rPr>
                <w:rFonts w:asciiTheme="minorHAnsi" w:hAnsiTheme="minorHAnsi" w:cstheme="minorBidi"/>
                <w:sz w:val="22"/>
                <w:szCs w:val="22"/>
              </w:rPr>
              <w:t>- Better Work country program managers</w:t>
            </w:r>
          </w:p>
        </w:tc>
        <w:tc>
          <w:tcPr>
            <w:tcW w:w="1560" w:type="dxa"/>
          </w:tcPr>
          <w:p w14:paraId="646AA8B6" w14:textId="77777777" w:rsidR="00707D21" w:rsidRPr="00D2063F" w:rsidRDefault="00707D21" w:rsidP="00707D21">
            <w:pPr>
              <w:pStyle w:val="Default"/>
              <w:rPr>
                <w:rFonts w:asciiTheme="minorHAnsi" w:hAnsiTheme="minorHAnsi" w:cstheme="minorHAnsi"/>
                <w:bCs/>
                <w:sz w:val="22"/>
                <w:szCs w:val="22"/>
              </w:rPr>
            </w:pPr>
            <w:r w:rsidRPr="00D2063F">
              <w:rPr>
                <w:rFonts w:asciiTheme="minorHAnsi" w:hAnsiTheme="minorHAnsi" w:cstheme="minorHAnsi"/>
                <w:b/>
                <w:sz w:val="22"/>
                <w:szCs w:val="22"/>
              </w:rPr>
              <w:t xml:space="preserve">Priority: </w:t>
            </w:r>
            <w:r w:rsidRPr="00D2063F">
              <w:rPr>
                <w:rFonts w:asciiTheme="minorHAnsi" w:hAnsiTheme="minorHAnsi" w:cstheme="minorHAnsi"/>
                <w:bCs/>
                <w:sz w:val="22"/>
                <w:szCs w:val="22"/>
              </w:rPr>
              <w:t>High</w:t>
            </w:r>
          </w:p>
          <w:p w14:paraId="6AD73212" w14:textId="77777777" w:rsidR="00707D21" w:rsidRPr="00D2063F" w:rsidRDefault="00707D21" w:rsidP="00707D21">
            <w:pPr>
              <w:pStyle w:val="Default"/>
              <w:rPr>
                <w:rFonts w:asciiTheme="minorHAnsi" w:hAnsiTheme="minorHAnsi" w:cstheme="minorHAnsi"/>
                <w:bCs/>
                <w:sz w:val="22"/>
                <w:szCs w:val="22"/>
              </w:rPr>
            </w:pPr>
            <w:r w:rsidRPr="00D2063F">
              <w:rPr>
                <w:rFonts w:asciiTheme="minorHAnsi" w:hAnsiTheme="minorHAnsi" w:cstheme="minorHAnsi"/>
                <w:b/>
                <w:sz w:val="22"/>
                <w:szCs w:val="22"/>
              </w:rPr>
              <w:t xml:space="preserve">Time Implications: </w:t>
            </w:r>
            <w:r w:rsidRPr="00D2063F">
              <w:rPr>
                <w:rFonts w:asciiTheme="minorHAnsi" w:hAnsiTheme="minorHAnsi" w:cstheme="minorHAnsi"/>
                <w:bCs/>
                <w:sz w:val="22"/>
                <w:szCs w:val="22"/>
              </w:rPr>
              <w:t>Immediate to long term</w:t>
            </w:r>
          </w:p>
          <w:p w14:paraId="10A21579" w14:textId="5CA8C237" w:rsidR="00EB2441" w:rsidRPr="00CC6B40" w:rsidRDefault="00707D21" w:rsidP="00707D21">
            <w:pPr>
              <w:pStyle w:val="Default"/>
              <w:rPr>
                <w:rFonts w:asciiTheme="minorHAnsi" w:hAnsiTheme="minorHAnsi" w:cstheme="minorHAnsi"/>
                <w:sz w:val="22"/>
                <w:szCs w:val="22"/>
              </w:rPr>
            </w:pPr>
            <w:r w:rsidRPr="00D2063F">
              <w:rPr>
                <w:rFonts w:asciiTheme="minorHAnsi" w:hAnsiTheme="minorHAnsi" w:cstheme="minorHAnsi"/>
                <w:b/>
                <w:sz w:val="22"/>
                <w:szCs w:val="22"/>
              </w:rPr>
              <w:t xml:space="preserve">Resource Implications: </w:t>
            </w:r>
            <w:r w:rsidRPr="00D2063F">
              <w:rPr>
                <w:rFonts w:asciiTheme="minorHAnsi" w:hAnsiTheme="minorHAnsi" w:cstheme="minorHAnsi"/>
                <w:bCs/>
                <w:sz w:val="22"/>
                <w:szCs w:val="22"/>
              </w:rPr>
              <w:t>Variable</w:t>
            </w:r>
          </w:p>
        </w:tc>
      </w:tr>
    </w:tbl>
    <w:p w14:paraId="212918C8" w14:textId="47C9F3F7" w:rsidR="008F6BE7" w:rsidRPr="00324212" w:rsidRDefault="008F6BE7"/>
    <w:sectPr w:rsidR="008F6BE7" w:rsidRPr="00324212" w:rsidSect="000E7145">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3CEAE" w14:textId="77777777" w:rsidR="007B2E6E" w:rsidRPr="007C7959" w:rsidRDefault="007B2E6E" w:rsidP="000E7145">
      <w:pPr>
        <w:spacing w:after="0" w:line="240" w:lineRule="auto"/>
      </w:pPr>
      <w:r w:rsidRPr="007C7959">
        <w:separator/>
      </w:r>
    </w:p>
  </w:endnote>
  <w:endnote w:type="continuationSeparator" w:id="0">
    <w:p w14:paraId="1D390431" w14:textId="77777777" w:rsidR="007B2E6E" w:rsidRPr="007C7959" w:rsidRDefault="007B2E6E" w:rsidP="000E7145">
      <w:pPr>
        <w:spacing w:after="0" w:line="240" w:lineRule="auto"/>
      </w:pPr>
      <w:r w:rsidRPr="007C79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ACF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E184" w14:textId="11DA55C4" w:rsidR="008B376E" w:rsidRDefault="008B376E">
    <w:pPr>
      <w:pStyle w:val="Footer"/>
    </w:pPr>
    <w:r>
      <w:rPr>
        <w:noProof/>
        <w14:ligatures w14:val="standardContextual"/>
      </w:rPr>
      <mc:AlternateContent>
        <mc:Choice Requires="wps">
          <w:drawing>
            <wp:anchor distT="0" distB="0" distL="0" distR="0" simplePos="0" relativeHeight="251658244" behindDoc="0" locked="0" layoutInCell="1" allowOverlap="1" wp14:anchorId="0019012C" wp14:editId="63A3A859">
              <wp:simplePos x="635" y="635"/>
              <wp:positionH relativeFrom="page">
                <wp:align>center</wp:align>
              </wp:positionH>
              <wp:positionV relativeFrom="page">
                <wp:align>bottom</wp:align>
              </wp:positionV>
              <wp:extent cx="609600" cy="400050"/>
              <wp:effectExtent l="0" t="0" r="0" b="0"/>
              <wp:wrapNone/>
              <wp:docPr id="157390297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271C6023" w14:textId="06A0D8A3" w:rsidR="008B376E" w:rsidRPr="00324212" w:rsidRDefault="008B376E" w:rsidP="00324212">
                          <w:pPr>
                            <w:spacing w:after="0"/>
                            <w:rPr>
                              <w:rFonts w:ascii="Aptos" w:eastAsia="Aptos" w:hAnsi="Aptos" w:cs="Aptos"/>
                              <w:noProof/>
                              <w:color w:val="FF0000"/>
                              <w:sz w:val="24"/>
                              <w:szCs w:val="24"/>
                            </w:rPr>
                          </w:pPr>
                          <w:r w:rsidRPr="0032421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19012C" id="_x0000_t202" coordsize="21600,21600" o:spt="202" path="m,l,21600r21600,l21600,xe">
              <v:stroke joinstyle="miter"/>
              <v:path gradientshapeok="t" o:connecttype="rect"/>
            </v:shapetype>
            <v:shape id="Text Box 5" o:spid="_x0000_s1028" type="#_x0000_t202" alt="OFFICIAL" style="position:absolute;margin-left:0;margin-top:0;width:48pt;height:31.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" filled="f" stroked="f">
              <v:textbox style="mso-fit-shape-to-text:t" inset="0,0,0,15pt">
                <w:txbxContent>
                  <w:p w14:paraId="271C6023" w14:textId="06A0D8A3" w:rsidR="008B376E" w:rsidRPr="00324212" w:rsidRDefault="008B376E" w:rsidP="00324212">
                    <w:pPr>
                      <w:spacing w:after="0"/>
                      <w:rPr>
                        <w:rFonts w:ascii="Aptos" w:eastAsia="Aptos" w:hAnsi="Aptos" w:cs="Aptos"/>
                        <w:noProof/>
                        <w:color w:val="FF0000"/>
                        <w:sz w:val="24"/>
                        <w:szCs w:val="24"/>
                      </w:rPr>
                    </w:pPr>
                    <w:r w:rsidRPr="00324212">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D44E" w14:textId="418D8FFF" w:rsidR="008B376E" w:rsidRDefault="008B376E">
    <w:pPr>
      <w:pStyle w:val="Footer"/>
    </w:pPr>
    <w:r>
      <w:rPr>
        <w:noProof/>
        <w14:ligatures w14:val="standardContextual"/>
      </w:rPr>
      <mc:AlternateContent>
        <mc:Choice Requires="wps">
          <w:drawing>
            <wp:anchor distT="0" distB="0" distL="0" distR="0" simplePos="0" relativeHeight="251658245" behindDoc="0" locked="0" layoutInCell="1" allowOverlap="1" wp14:anchorId="6ED9F96F" wp14:editId="0923BF7E">
              <wp:simplePos x="635" y="635"/>
              <wp:positionH relativeFrom="page">
                <wp:align>center</wp:align>
              </wp:positionH>
              <wp:positionV relativeFrom="page">
                <wp:align>bottom</wp:align>
              </wp:positionV>
              <wp:extent cx="609600" cy="400050"/>
              <wp:effectExtent l="0" t="0" r="0" b="0"/>
              <wp:wrapNone/>
              <wp:docPr id="14423254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2EC2A1D0" w14:textId="7BC67FDA" w:rsidR="008B376E" w:rsidRPr="00324212" w:rsidRDefault="008B376E" w:rsidP="00324212">
                          <w:pPr>
                            <w:spacing w:after="0"/>
                            <w:rPr>
                              <w:rFonts w:ascii="Aptos" w:eastAsia="Aptos" w:hAnsi="Aptos" w:cs="Aptos"/>
                              <w:noProof/>
                              <w:color w:val="FF0000"/>
                              <w:sz w:val="24"/>
                              <w:szCs w:val="24"/>
                            </w:rPr>
                          </w:pPr>
                          <w:r w:rsidRPr="0032421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D9F96F" id="_x0000_t202" coordsize="21600,21600" o:spt="202" path="m,l,21600r21600,l21600,xe">
              <v:stroke joinstyle="miter"/>
              <v:path gradientshapeok="t" o:connecttype="rect"/>
            </v:shapetype>
            <v:shape id="Text Box 6" o:spid="_x0000_s1029" type="#_x0000_t202" alt="OFFICIAL" style="position:absolute;margin-left:0;margin-top:0;width:48pt;height:31.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" filled="f" stroked="f">
              <v:textbox style="mso-fit-shape-to-text:t" inset="0,0,0,15pt">
                <w:txbxContent>
                  <w:p w14:paraId="2EC2A1D0" w14:textId="7BC67FDA" w:rsidR="008B376E" w:rsidRPr="00324212" w:rsidRDefault="008B376E" w:rsidP="00324212">
                    <w:pPr>
                      <w:spacing w:after="0"/>
                      <w:rPr>
                        <w:rFonts w:ascii="Aptos" w:eastAsia="Aptos" w:hAnsi="Aptos" w:cs="Aptos"/>
                        <w:noProof/>
                        <w:color w:val="FF0000"/>
                        <w:sz w:val="24"/>
                        <w:szCs w:val="24"/>
                      </w:rPr>
                    </w:pPr>
                    <w:r w:rsidRPr="00324212">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F785" w14:textId="291840EC" w:rsidR="008B376E" w:rsidRDefault="008B376E">
    <w:pPr>
      <w:pStyle w:val="Footer"/>
    </w:pPr>
    <w:r>
      <w:rPr>
        <w:noProof/>
        <w14:ligatures w14:val="standardContextual"/>
      </w:rPr>
      <mc:AlternateContent>
        <mc:Choice Requires="wps">
          <w:drawing>
            <wp:anchor distT="0" distB="0" distL="0" distR="0" simplePos="0" relativeHeight="251658243" behindDoc="0" locked="0" layoutInCell="1" allowOverlap="1" wp14:anchorId="227F5DF3" wp14:editId="497A3A17">
              <wp:simplePos x="635" y="635"/>
              <wp:positionH relativeFrom="page">
                <wp:align>center</wp:align>
              </wp:positionH>
              <wp:positionV relativeFrom="page">
                <wp:align>bottom</wp:align>
              </wp:positionV>
              <wp:extent cx="609600" cy="400050"/>
              <wp:effectExtent l="0" t="0" r="0" b="0"/>
              <wp:wrapNone/>
              <wp:docPr id="65598374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224B4421" w14:textId="3C815A83" w:rsidR="008B376E" w:rsidRPr="00324212" w:rsidRDefault="008B376E" w:rsidP="00324212">
                          <w:pPr>
                            <w:spacing w:after="0"/>
                            <w:rPr>
                              <w:rFonts w:ascii="Aptos" w:eastAsia="Aptos" w:hAnsi="Aptos" w:cs="Aptos"/>
                              <w:noProof/>
                              <w:color w:val="FF0000"/>
                              <w:sz w:val="24"/>
                              <w:szCs w:val="24"/>
                            </w:rPr>
                          </w:pPr>
                          <w:r w:rsidRPr="0032421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7F5DF3" id="_x0000_t202" coordsize="21600,21600" o:spt="202" path="m,l,21600r21600,l21600,xe">
              <v:stroke joinstyle="miter"/>
              <v:path gradientshapeok="t" o:connecttype="rect"/>
            </v:shapetype>
            <v:shape id="Text Box 4" o:spid="_x0000_s1031" type="#_x0000_t202" alt="OFFICIAL" style="position:absolute;margin-left:0;margin-top:0;width:48pt;height:3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" filled="f" stroked="f">
              <v:textbox style="mso-fit-shape-to-text:t" inset="0,0,0,15pt">
                <w:txbxContent>
                  <w:p w14:paraId="224B4421" w14:textId="3C815A83" w:rsidR="008B376E" w:rsidRPr="00324212" w:rsidRDefault="008B376E" w:rsidP="00324212">
                    <w:pPr>
                      <w:spacing w:after="0"/>
                      <w:rPr>
                        <w:rFonts w:ascii="Aptos" w:eastAsia="Aptos" w:hAnsi="Aptos" w:cs="Aptos"/>
                        <w:noProof/>
                        <w:color w:val="FF0000"/>
                        <w:sz w:val="24"/>
                        <w:szCs w:val="24"/>
                      </w:rPr>
                    </w:pPr>
                    <w:r w:rsidRPr="00324212">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03BC3" w14:textId="77777777" w:rsidR="007B2E6E" w:rsidRPr="007C7959" w:rsidRDefault="007B2E6E" w:rsidP="000E7145">
      <w:pPr>
        <w:spacing w:after="0" w:line="240" w:lineRule="auto"/>
      </w:pPr>
      <w:r w:rsidRPr="007C7959">
        <w:separator/>
      </w:r>
    </w:p>
  </w:footnote>
  <w:footnote w:type="continuationSeparator" w:id="0">
    <w:p w14:paraId="47F22017" w14:textId="77777777" w:rsidR="007B2E6E" w:rsidRPr="007C7959" w:rsidRDefault="007B2E6E" w:rsidP="000E7145">
      <w:pPr>
        <w:spacing w:after="0" w:line="240" w:lineRule="auto"/>
      </w:pPr>
      <w:r w:rsidRPr="007C79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65ED5" w14:textId="66301B07" w:rsidR="008B376E" w:rsidRDefault="008B376E">
    <w:pPr>
      <w:pStyle w:val="Header"/>
    </w:pPr>
    <w:r>
      <w:rPr>
        <w:noProof/>
        <w14:ligatures w14:val="standardContextual"/>
      </w:rPr>
      <mc:AlternateContent>
        <mc:Choice Requires="wps">
          <w:drawing>
            <wp:anchor distT="0" distB="0" distL="0" distR="0" simplePos="0" relativeHeight="251658241" behindDoc="0" locked="0" layoutInCell="1" allowOverlap="1" wp14:anchorId="5E89C112" wp14:editId="4CF99E23">
              <wp:simplePos x="635" y="635"/>
              <wp:positionH relativeFrom="page">
                <wp:align>center</wp:align>
              </wp:positionH>
              <wp:positionV relativeFrom="page">
                <wp:align>top</wp:align>
              </wp:positionV>
              <wp:extent cx="609600" cy="400050"/>
              <wp:effectExtent l="0" t="0" r="0" b="0"/>
              <wp:wrapNone/>
              <wp:docPr id="5419816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5ED93625" w14:textId="4DFF0F45" w:rsidR="008B376E" w:rsidRPr="00324212" w:rsidRDefault="008B376E" w:rsidP="00324212">
                          <w:pPr>
                            <w:spacing w:after="0"/>
                            <w:rPr>
                              <w:rFonts w:ascii="Aptos" w:eastAsia="Aptos" w:hAnsi="Aptos" w:cs="Aptos"/>
                              <w:noProof/>
                              <w:color w:val="FF0000"/>
                              <w:sz w:val="24"/>
                              <w:szCs w:val="24"/>
                            </w:rPr>
                          </w:pPr>
                          <w:r w:rsidRPr="0032421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89C112" id="_x0000_t202" coordsize="21600,21600" o:spt="202" path="m,l,21600r21600,l21600,xe">
              <v:stroke joinstyle="miter"/>
              <v:path gradientshapeok="t" o:connecttype="rect"/>
            </v:shapetype>
            <v:shape id="Text Box 2" o:spid="_x0000_s1026" type="#_x0000_t202" alt="OFFICIAL" style="position:absolute;margin-left:0;margin-top:0;width:48pt;height:3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" filled="f" stroked="f">
              <v:textbox style="mso-fit-shape-to-text:t" inset="0,15pt,0,0">
                <w:txbxContent>
                  <w:p w14:paraId="5ED93625" w14:textId="4DFF0F45" w:rsidR="008B376E" w:rsidRPr="00324212" w:rsidRDefault="008B376E" w:rsidP="00324212">
                    <w:pPr>
                      <w:spacing w:after="0"/>
                      <w:rPr>
                        <w:rFonts w:ascii="Aptos" w:eastAsia="Aptos" w:hAnsi="Aptos" w:cs="Aptos"/>
                        <w:noProof/>
                        <w:color w:val="FF0000"/>
                        <w:sz w:val="24"/>
                        <w:szCs w:val="24"/>
                      </w:rPr>
                    </w:pPr>
                    <w:r w:rsidRPr="00324212">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41F8" w14:textId="3AC2AC73" w:rsidR="008B376E" w:rsidRDefault="008B376E">
    <w:pPr>
      <w:pStyle w:val="Header"/>
    </w:pPr>
    <w:r>
      <w:rPr>
        <w:noProof/>
        <w14:ligatures w14:val="standardContextual"/>
      </w:rPr>
      <mc:AlternateContent>
        <mc:Choice Requires="wps">
          <w:drawing>
            <wp:anchor distT="0" distB="0" distL="0" distR="0" simplePos="0" relativeHeight="251658242" behindDoc="0" locked="0" layoutInCell="1" allowOverlap="1" wp14:anchorId="595E8F84" wp14:editId="390D7AE6">
              <wp:simplePos x="635" y="635"/>
              <wp:positionH relativeFrom="page">
                <wp:align>center</wp:align>
              </wp:positionH>
              <wp:positionV relativeFrom="page">
                <wp:align>top</wp:align>
              </wp:positionV>
              <wp:extent cx="609600" cy="400050"/>
              <wp:effectExtent l="0" t="0" r="0" b="0"/>
              <wp:wrapNone/>
              <wp:docPr id="59533018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07AABE03" w14:textId="3C48345C" w:rsidR="008B376E" w:rsidRPr="00324212" w:rsidRDefault="008B376E" w:rsidP="00324212">
                          <w:pPr>
                            <w:spacing w:after="0"/>
                            <w:rPr>
                              <w:rFonts w:ascii="Aptos" w:eastAsia="Aptos" w:hAnsi="Aptos" w:cs="Aptos"/>
                              <w:noProof/>
                              <w:color w:val="FF0000"/>
                              <w:sz w:val="24"/>
                              <w:szCs w:val="24"/>
                            </w:rPr>
                          </w:pPr>
                          <w:r w:rsidRPr="0032421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5E8F84" id="_x0000_t202" coordsize="21600,21600" o:spt="202" path="m,l,21600r21600,l21600,xe">
              <v:stroke joinstyle="miter"/>
              <v:path gradientshapeok="t" o:connecttype="rect"/>
            </v:shapetype>
            <v:shape id="Text Box 3" o:spid="_x0000_s1027" type="#_x0000_t202" alt="OFFICIAL" style="position:absolute;margin-left:0;margin-top:0;width:48pt;height:3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" filled="f" stroked="f">
              <v:textbox style="mso-fit-shape-to-text:t" inset="0,15pt,0,0">
                <w:txbxContent>
                  <w:p w14:paraId="07AABE03" w14:textId="3C48345C" w:rsidR="008B376E" w:rsidRPr="00324212" w:rsidRDefault="008B376E" w:rsidP="00324212">
                    <w:pPr>
                      <w:spacing w:after="0"/>
                      <w:rPr>
                        <w:rFonts w:ascii="Aptos" w:eastAsia="Aptos" w:hAnsi="Aptos" w:cs="Aptos"/>
                        <w:noProof/>
                        <w:color w:val="FF0000"/>
                        <w:sz w:val="24"/>
                        <w:szCs w:val="24"/>
                      </w:rPr>
                    </w:pPr>
                    <w:r w:rsidRPr="00324212">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F595" w14:textId="48835A5E" w:rsidR="008B376E" w:rsidRDefault="008B376E">
    <w:pPr>
      <w:pStyle w:val="Header"/>
    </w:pPr>
    <w:r>
      <w:rPr>
        <w:noProof/>
        <w14:ligatures w14:val="standardContextual"/>
      </w:rPr>
      <mc:AlternateContent>
        <mc:Choice Requires="wps">
          <w:drawing>
            <wp:anchor distT="0" distB="0" distL="0" distR="0" simplePos="0" relativeHeight="251658240" behindDoc="0" locked="0" layoutInCell="1" allowOverlap="1" wp14:anchorId="722E92B3" wp14:editId="6BD5719B">
              <wp:simplePos x="635" y="635"/>
              <wp:positionH relativeFrom="page">
                <wp:align>center</wp:align>
              </wp:positionH>
              <wp:positionV relativeFrom="page">
                <wp:align>top</wp:align>
              </wp:positionV>
              <wp:extent cx="609600" cy="400050"/>
              <wp:effectExtent l="0" t="0" r="0" b="0"/>
              <wp:wrapNone/>
              <wp:docPr id="82691225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3E60E3FE" w14:textId="26176DA1" w:rsidR="008B376E" w:rsidRPr="00324212" w:rsidRDefault="008B376E" w:rsidP="00324212">
                          <w:pPr>
                            <w:spacing w:after="0"/>
                            <w:rPr>
                              <w:rFonts w:ascii="Aptos" w:eastAsia="Aptos" w:hAnsi="Aptos" w:cs="Aptos"/>
                              <w:noProof/>
                              <w:color w:val="FF0000"/>
                              <w:sz w:val="24"/>
                              <w:szCs w:val="24"/>
                            </w:rPr>
                          </w:pPr>
                          <w:r w:rsidRPr="0032421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2E92B3" id="_x0000_t202" coordsize="21600,21600" o:spt="202" path="m,l,21600r21600,l21600,xe">
              <v:stroke joinstyle="miter"/>
              <v:path gradientshapeok="t" o:connecttype="rect"/>
            </v:shapetype>
            <v:shape id="Text Box 1" o:spid="_x0000_s1030" type="#_x0000_t202" alt="OFFICIAL" style="position:absolute;margin-left:0;margin-top:0;width:48pt;height:3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" filled="f" stroked="f">
              <v:textbox style="mso-fit-shape-to-text:t" inset="0,15pt,0,0">
                <w:txbxContent>
                  <w:p w14:paraId="3E60E3FE" w14:textId="26176DA1" w:rsidR="008B376E" w:rsidRPr="00324212" w:rsidRDefault="008B376E" w:rsidP="00324212">
                    <w:pPr>
                      <w:spacing w:after="0"/>
                      <w:rPr>
                        <w:rFonts w:ascii="Aptos" w:eastAsia="Aptos" w:hAnsi="Aptos" w:cs="Aptos"/>
                        <w:noProof/>
                        <w:color w:val="FF0000"/>
                        <w:sz w:val="24"/>
                        <w:szCs w:val="24"/>
                      </w:rPr>
                    </w:pPr>
                    <w:r w:rsidRPr="00324212">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48EB"/>
    <w:multiLevelType w:val="multilevel"/>
    <w:tmpl w:val="66A2AE7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6EB1D58"/>
    <w:multiLevelType w:val="hybridMultilevel"/>
    <w:tmpl w:val="FAE27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D76B83"/>
    <w:multiLevelType w:val="hybridMultilevel"/>
    <w:tmpl w:val="24C2B396"/>
    <w:lvl w:ilvl="0" w:tplc="DC1A75F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B1E4FB8"/>
    <w:multiLevelType w:val="hybridMultilevel"/>
    <w:tmpl w:val="A8C8B12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68F7088A"/>
    <w:multiLevelType w:val="hybridMultilevel"/>
    <w:tmpl w:val="B212D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AA2C8F"/>
    <w:multiLevelType w:val="hybridMultilevel"/>
    <w:tmpl w:val="2918E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8449E6"/>
    <w:multiLevelType w:val="hybridMultilevel"/>
    <w:tmpl w:val="88D01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9382301">
    <w:abstractNumId w:val="3"/>
  </w:num>
  <w:num w:numId="2" w16cid:durableId="1456632001">
    <w:abstractNumId w:val="2"/>
  </w:num>
  <w:num w:numId="3" w16cid:durableId="288367694">
    <w:abstractNumId w:val="0"/>
  </w:num>
  <w:num w:numId="4" w16cid:durableId="837891405">
    <w:abstractNumId w:val="1"/>
  </w:num>
  <w:num w:numId="5" w16cid:durableId="1190532162">
    <w:abstractNumId w:val="5"/>
  </w:num>
  <w:num w:numId="6" w16cid:durableId="1159689449">
    <w:abstractNumId w:val="6"/>
  </w:num>
  <w:num w:numId="7" w16cid:durableId="558128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45"/>
    <w:rsid w:val="00002190"/>
    <w:rsid w:val="00004199"/>
    <w:rsid w:val="0001056D"/>
    <w:rsid w:val="0001210D"/>
    <w:rsid w:val="0001229A"/>
    <w:rsid w:val="0001349E"/>
    <w:rsid w:val="00013EA0"/>
    <w:rsid w:val="000162E1"/>
    <w:rsid w:val="00020393"/>
    <w:rsid w:val="00022707"/>
    <w:rsid w:val="000241FE"/>
    <w:rsid w:val="00024BF0"/>
    <w:rsid w:val="000255FC"/>
    <w:rsid w:val="00025E14"/>
    <w:rsid w:val="00026697"/>
    <w:rsid w:val="000277C7"/>
    <w:rsid w:val="00030140"/>
    <w:rsid w:val="0003032F"/>
    <w:rsid w:val="000304A3"/>
    <w:rsid w:val="00032ACE"/>
    <w:rsid w:val="00034EB0"/>
    <w:rsid w:val="000351E8"/>
    <w:rsid w:val="00035C7D"/>
    <w:rsid w:val="00040DE1"/>
    <w:rsid w:val="000433B3"/>
    <w:rsid w:val="000533D4"/>
    <w:rsid w:val="00057C24"/>
    <w:rsid w:val="000606BA"/>
    <w:rsid w:val="00060FED"/>
    <w:rsid w:val="000613EC"/>
    <w:rsid w:val="00063B9A"/>
    <w:rsid w:val="00067199"/>
    <w:rsid w:val="00067475"/>
    <w:rsid w:val="000701F7"/>
    <w:rsid w:val="0007765C"/>
    <w:rsid w:val="000779DF"/>
    <w:rsid w:val="000806DD"/>
    <w:rsid w:val="00082247"/>
    <w:rsid w:val="00082CE3"/>
    <w:rsid w:val="0008327C"/>
    <w:rsid w:val="000856D1"/>
    <w:rsid w:val="0008634C"/>
    <w:rsid w:val="000870D4"/>
    <w:rsid w:val="0008DD91"/>
    <w:rsid w:val="0009051A"/>
    <w:rsid w:val="00091150"/>
    <w:rsid w:val="0009124A"/>
    <w:rsid w:val="00092BE3"/>
    <w:rsid w:val="00092F06"/>
    <w:rsid w:val="00097929"/>
    <w:rsid w:val="000A0028"/>
    <w:rsid w:val="000A0617"/>
    <w:rsid w:val="000A2278"/>
    <w:rsid w:val="000A22D8"/>
    <w:rsid w:val="000A2606"/>
    <w:rsid w:val="000A41AF"/>
    <w:rsid w:val="000A461D"/>
    <w:rsid w:val="000A5842"/>
    <w:rsid w:val="000A6781"/>
    <w:rsid w:val="000B17AC"/>
    <w:rsid w:val="000B338F"/>
    <w:rsid w:val="000B468C"/>
    <w:rsid w:val="000B4C36"/>
    <w:rsid w:val="000B4E52"/>
    <w:rsid w:val="000B5192"/>
    <w:rsid w:val="000B5E10"/>
    <w:rsid w:val="000B6CF2"/>
    <w:rsid w:val="000B6E9D"/>
    <w:rsid w:val="000C0587"/>
    <w:rsid w:val="000C1F24"/>
    <w:rsid w:val="000C3853"/>
    <w:rsid w:val="000C3DAE"/>
    <w:rsid w:val="000C6780"/>
    <w:rsid w:val="000C75C5"/>
    <w:rsid w:val="000D01E5"/>
    <w:rsid w:val="000D2D4B"/>
    <w:rsid w:val="000D5048"/>
    <w:rsid w:val="000D7361"/>
    <w:rsid w:val="000E09EE"/>
    <w:rsid w:val="000E105E"/>
    <w:rsid w:val="000E1391"/>
    <w:rsid w:val="000E197E"/>
    <w:rsid w:val="000E2A2D"/>
    <w:rsid w:val="000E3F77"/>
    <w:rsid w:val="000E561A"/>
    <w:rsid w:val="000E7145"/>
    <w:rsid w:val="000E768C"/>
    <w:rsid w:val="000F13EE"/>
    <w:rsid w:val="000F1FA4"/>
    <w:rsid w:val="000F426C"/>
    <w:rsid w:val="000F49F3"/>
    <w:rsid w:val="000F549A"/>
    <w:rsid w:val="0010271C"/>
    <w:rsid w:val="00102D01"/>
    <w:rsid w:val="001075E3"/>
    <w:rsid w:val="00107F23"/>
    <w:rsid w:val="00110F31"/>
    <w:rsid w:val="0011562B"/>
    <w:rsid w:val="001205E1"/>
    <w:rsid w:val="0012097F"/>
    <w:rsid w:val="001213AF"/>
    <w:rsid w:val="00121649"/>
    <w:rsid w:val="001256E0"/>
    <w:rsid w:val="00125E7A"/>
    <w:rsid w:val="00125FC5"/>
    <w:rsid w:val="001268FC"/>
    <w:rsid w:val="001271BF"/>
    <w:rsid w:val="0013243D"/>
    <w:rsid w:val="00133F39"/>
    <w:rsid w:val="00134763"/>
    <w:rsid w:val="00134CEB"/>
    <w:rsid w:val="00135583"/>
    <w:rsid w:val="001378BE"/>
    <w:rsid w:val="00140B1D"/>
    <w:rsid w:val="00141706"/>
    <w:rsid w:val="0014294D"/>
    <w:rsid w:val="00142A6C"/>
    <w:rsid w:val="00143380"/>
    <w:rsid w:val="001456E3"/>
    <w:rsid w:val="00145998"/>
    <w:rsid w:val="00147DDD"/>
    <w:rsid w:val="001570D4"/>
    <w:rsid w:val="00157192"/>
    <w:rsid w:val="001600EE"/>
    <w:rsid w:val="0016409A"/>
    <w:rsid w:val="00165A97"/>
    <w:rsid w:val="001660A9"/>
    <w:rsid w:val="0016681F"/>
    <w:rsid w:val="00166ABF"/>
    <w:rsid w:val="00167129"/>
    <w:rsid w:val="00167E21"/>
    <w:rsid w:val="001716AD"/>
    <w:rsid w:val="00173EDA"/>
    <w:rsid w:val="00175CD0"/>
    <w:rsid w:val="001763E5"/>
    <w:rsid w:val="00176A4E"/>
    <w:rsid w:val="001800A6"/>
    <w:rsid w:val="001811D3"/>
    <w:rsid w:val="0018476F"/>
    <w:rsid w:val="00190D4D"/>
    <w:rsid w:val="001945C1"/>
    <w:rsid w:val="00195353"/>
    <w:rsid w:val="00196A7B"/>
    <w:rsid w:val="001A0429"/>
    <w:rsid w:val="001A293E"/>
    <w:rsid w:val="001A4331"/>
    <w:rsid w:val="001A44AD"/>
    <w:rsid w:val="001A4622"/>
    <w:rsid w:val="001B42FE"/>
    <w:rsid w:val="001B4518"/>
    <w:rsid w:val="001B4883"/>
    <w:rsid w:val="001B67AD"/>
    <w:rsid w:val="001B69AC"/>
    <w:rsid w:val="001B7507"/>
    <w:rsid w:val="001B7CBF"/>
    <w:rsid w:val="001C1192"/>
    <w:rsid w:val="001C3694"/>
    <w:rsid w:val="001C42BB"/>
    <w:rsid w:val="001C5EF1"/>
    <w:rsid w:val="001C6E03"/>
    <w:rsid w:val="001D0FFC"/>
    <w:rsid w:val="001D307C"/>
    <w:rsid w:val="001D350C"/>
    <w:rsid w:val="001D3C12"/>
    <w:rsid w:val="001D3FEF"/>
    <w:rsid w:val="001D4BD3"/>
    <w:rsid w:val="001D6353"/>
    <w:rsid w:val="001D6990"/>
    <w:rsid w:val="001E190E"/>
    <w:rsid w:val="001E3C76"/>
    <w:rsid w:val="001E6132"/>
    <w:rsid w:val="001E6835"/>
    <w:rsid w:val="001E6A86"/>
    <w:rsid w:val="001F1390"/>
    <w:rsid w:val="001F7AFA"/>
    <w:rsid w:val="00201F80"/>
    <w:rsid w:val="002023CC"/>
    <w:rsid w:val="0020276E"/>
    <w:rsid w:val="002029DF"/>
    <w:rsid w:val="00203E93"/>
    <w:rsid w:val="00204CA8"/>
    <w:rsid w:val="00210FE8"/>
    <w:rsid w:val="00213A66"/>
    <w:rsid w:val="00213BF8"/>
    <w:rsid w:val="00213D92"/>
    <w:rsid w:val="002162CF"/>
    <w:rsid w:val="002233D6"/>
    <w:rsid w:val="0022364D"/>
    <w:rsid w:val="002246F4"/>
    <w:rsid w:val="00230BD7"/>
    <w:rsid w:val="00236290"/>
    <w:rsid w:val="002367A0"/>
    <w:rsid w:val="00242C79"/>
    <w:rsid w:val="00243909"/>
    <w:rsid w:val="00244CDF"/>
    <w:rsid w:val="00245614"/>
    <w:rsid w:val="002515F6"/>
    <w:rsid w:val="002522D4"/>
    <w:rsid w:val="00255D8F"/>
    <w:rsid w:val="00260EFF"/>
    <w:rsid w:val="002627DD"/>
    <w:rsid w:val="00263ED5"/>
    <w:rsid w:val="002654C6"/>
    <w:rsid w:val="00273B3F"/>
    <w:rsid w:val="00273CFF"/>
    <w:rsid w:val="00275EAB"/>
    <w:rsid w:val="002769CF"/>
    <w:rsid w:val="0028047A"/>
    <w:rsid w:val="00281751"/>
    <w:rsid w:val="002825B8"/>
    <w:rsid w:val="002901B3"/>
    <w:rsid w:val="0029393D"/>
    <w:rsid w:val="002A0110"/>
    <w:rsid w:val="002A0631"/>
    <w:rsid w:val="002A500C"/>
    <w:rsid w:val="002A6AA5"/>
    <w:rsid w:val="002B3C4F"/>
    <w:rsid w:val="002B55D3"/>
    <w:rsid w:val="002B67DA"/>
    <w:rsid w:val="002B7066"/>
    <w:rsid w:val="002C2BDC"/>
    <w:rsid w:val="002C2BF6"/>
    <w:rsid w:val="002C32F0"/>
    <w:rsid w:val="002C3E00"/>
    <w:rsid w:val="002C4101"/>
    <w:rsid w:val="002C4E31"/>
    <w:rsid w:val="002C6D9F"/>
    <w:rsid w:val="002D027E"/>
    <w:rsid w:val="002D0F80"/>
    <w:rsid w:val="002D14EB"/>
    <w:rsid w:val="002D1F6C"/>
    <w:rsid w:val="002D3E35"/>
    <w:rsid w:val="002D4F6D"/>
    <w:rsid w:val="002D6DDD"/>
    <w:rsid w:val="002E3AC3"/>
    <w:rsid w:val="002E3D1B"/>
    <w:rsid w:val="002F0EF5"/>
    <w:rsid w:val="002F1AFF"/>
    <w:rsid w:val="002F2C3D"/>
    <w:rsid w:val="002F316F"/>
    <w:rsid w:val="002F3CAD"/>
    <w:rsid w:val="002F48FC"/>
    <w:rsid w:val="002F6E95"/>
    <w:rsid w:val="002F7980"/>
    <w:rsid w:val="003035CB"/>
    <w:rsid w:val="00303939"/>
    <w:rsid w:val="00303D4B"/>
    <w:rsid w:val="00307601"/>
    <w:rsid w:val="00307E12"/>
    <w:rsid w:val="00310F1E"/>
    <w:rsid w:val="00312BE4"/>
    <w:rsid w:val="00314C08"/>
    <w:rsid w:val="00316508"/>
    <w:rsid w:val="00320553"/>
    <w:rsid w:val="0032283B"/>
    <w:rsid w:val="00322AA2"/>
    <w:rsid w:val="00323F0F"/>
    <w:rsid w:val="00323F7B"/>
    <w:rsid w:val="00324212"/>
    <w:rsid w:val="00325E25"/>
    <w:rsid w:val="00326915"/>
    <w:rsid w:val="00327237"/>
    <w:rsid w:val="003325E8"/>
    <w:rsid w:val="0033312E"/>
    <w:rsid w:val="00333644"/>
    <w:rsid w:val="0033377B"/>
    <w:rsid w:val="00333C8D"/>
    <w:rsid w:val="00334363"/>
    <w:rsid w:val="00334826"/>
    <w:rsid w:val="00335336"/>
    <w:rsid w:val="00337846"/>
    <w:rsid w:val="00337F32"/>
    <w:rsid w:val="0034077A"/>
    <w:rsid w:val="0034135E"/>
    <w:rsid w:val="0034288B"/>
    <w:rsid w:val="00345931"/>
    <w:rsid w:val="00350B2A"/>
    <w:rsid w:val="00351DBE"/>
    <w:rsid w:val="0035335C"/>
    <w:rsid w:val="00354A63"/>
    <w:rsid w:val="00354ABE"/>
    <w:rsid w:val="00354E20"/>
    <w:rsid w:val="0035513F"/>
    <w:rsid w:val="00355D2D"/>
    <w:rsid w:val="00357049"/>
    <w:rsid w:val="0036485B"/>
    <w:rsid w:val="0036752E"/>
    <w:rsid w:val="0036778E"/>
    <w:rsid w:val="003710AA"/>
    <w:rsid w:val="003716AE"/>
    <w:rsid w:val="00372849"/>
    <w:rsid w:val="0037513D"/>
    <w:rsid w:val="00380A96"/>
    <w:rsid w:val="003813A4"/>
    <w:rsid w:val="00381AD9"/>
    <w:rsid w:val="00381AF0"/>
    <w:rsid w:val="003849D9"/>
    <w:rsid w:val="0038596A"/>
    <w:rsid w:val="00387F40"/>
    <w:rsid w:val="0039079F"/>
    <w:rsid w:val="00391D0E"/>
    <w:rsid w:val="00393CAC"/>
    <w:rsid w:val="003942B3"/>
    <w:rsid w:val="00394F46"/>
    <w:rsid w:val="003A5079"/>
    <w:rsid w:val="003A51B4"/>
    <w:rsid w:val="003A535F"/>
    <w:rsid w:val="003A55A7"/>
    <w:rsid w:val="003A5B05"/>
    <w:rsid w:val="003A70CD"/>
    <w:rsid w:val="003A7964"/>
    <w:rsid w:val="003A7E8B"/>
    <w:rsid w:val="003B551A"/>
    <w:rsid w:val="003B6187"/>
    <w:rsid w:val="003B6798"/>
    <w:rsid w:val="003B71A0"/>
    <w:rsid w:val="003B7255"/>
    <w:rsid w:val="003C044B"/>
    <w:rsid w:val="003C1B5D"/>
    <w:rsid w:val="003C6DDE"/>
    <w:rsid w:val="003D3117"/>
    <w:rsid w:val="003D34DC"/>
    <w:rsid w:val="003D5F45"/>
    <w:rsid w:val="003E1815"/>
    <w:rsid w:val="003E2210"/>
    <w:rsid w:val="003E3043"/>
    <w:rsid w:val="003E3A93"/>
    <w:rsid w:val="003E5007"/>
    <w:rsid w:val="003E525C"/>
    <w:rsid w:val="003E530A"/>
    <w:rsid w:val="003E754A"/>
    <w:rsid w:val="003E78DE"/>
    <w:rsid w:val="003F0D93"/>
    <w:rsid w:val="003F11CB"/>
    <w:rsid w:val="003F2CFF"/>
    <w:rsid w:val="003F4B65"/>
    <w:rsid w:val="003F62FF"/>
    <w:rsid w:val="003F6301"/>
    <w:rsid w:val="003F7014"/>
    <w:rsid w:val="003F72F3"/>
    <w:rsid w:val="003F78C6"/>
    <w:rsid w:val="003F7B90"/>
    <w:rsid w:val="00400D0C"/>
    <w:rsid w:val="00404178"/>
    <w:rsid w:val="00406721"/>
    <w:rsid w:val="00407E93"/>
    <w:rsid w:val="004100AD"/>
    <w:rsid w:val="00412F74"/>
    <w:rsid w:val="00413CE1"/>
    <w:rsid w:val="00414DE4"/>
    <w:rsid w:val="00416C58"/>
    <w:rsid w:val="004201CB"/>
    <w:rsid w:val="00420EAB"/>
    <w:rsid w:val="00421659"/>
    <w:rsid w:val="00422E99"/>
    <w:rsid w:val="004233D8"/>
    <w:rsid w:val="00423929"/>
    <w:rsid w:val="00426620"/>
    <w:rsid w:val="0042702A"/>
    <w:rsid w:val="004270A5"/>
    <w:rsid w:val="004320CE"/>
    <w:rsid w:val="00434A22"/>
    <w:rsid w:val="00434D3E"/>
    <w:rsid w:val="00435641"/>
    <w:rsid w:val="0043593D"/>
    <w:rsid w:val="00437458"/>
    <w:rsid w:val="004403D4"/>
    <w:rsid w:val="00444292"/>
    <w:rsid w:val="00444571"/>
    <w:rsid w:val="004451E8"/>
    <w:rsid w:val="0044614B"/>
    <w:rsid w:val="00450E4E"/>
    <w:rsid w:val="0045235B"/>
    <w:rsid w:val="00454561"/>
    <w:rsid w:val="00455811"/>
    <w:rsid w:val="00456DFC"/>
    <w:rsid w:val="00456F6C"/>
    <w:rsid w:val="004622CC"/>
    <w:rsid w:val="00466DE8"/>
    <w:rsid w:val="00467315"/>
    <w:rsid w:val="0047005C"/>
    <w:rsid w:val="00475A1A"/>
    <w:rsid w:val="0048077B"/>
    <w:rsid w:val="00480AD3"/>
    <w:rsid w:val="00480DF4"/>
    <w:rsid w:val="0048281F"/>
    <w:rsid w:val="004840C6"/>
    <w:rsid w:val="00484107"/>
    <w:rsid w:val="004910B1"/>
    <w:rsid w:val="004934C5"/>
    <w:rsid w:val="00494100"/>
    <w:rsid w:val="00496920"/>
    <w:rsid w:val="00496A78"/>
    <w:rsid w:val="004A1D8B"/>
    <w:rsid w:val="004A4966"/>
    <w:rsid w:val="004A6A8C"/>
    <w:rsid w:val="004B17E4"/>
    <w:rsid w:val="004B2171"/>
    <w:rsid w:val="004B5FE8"/>
    <w:rsid w:val="004B649E"/>
    <w:rsid w:val="004B64A4"/>
    <w:rsid w:val="004C1093"/>
    <w:rsid w:val="004C23C1"/>
    <w:rsid w:val="004C2F2E"/>
    <w:rsid w:val="004C337B"/>
    <w:rsid w:val="004C4C9F"/>
    <w:rsid w:val="004C7214"/>
    <w:rsid w:val="004D0801"/>
    <w:rsid w:val="004D099A"/>
    <w:rsid w:val="004D0ABD"/>
    <w:rsid w:val="004D1E67"/>
    <w:rsid w:val="004D1EC3"/>
    <w:rsid w:val="004D1EDC"/>
    <w:rsid w:val="004D2B80"/>
    <w:rsid w:val="004D6C7F"/>
    <w:rsid w:val="004E1971"/>
    <w:rsid w:val="004E4DD1"/>
    <w:rsid w:val="004E4E88"/>
    <w:rsid w:val="004E6B7E"/>
    <w:rsid w:val="004E6D25"/>
    <w:rsid w:val="004F022E"/>
    <w:rsid w:val="004F1E29"/>
    <w:rsid w:val="004F5448"/>
    <w:rsid w:val="00500161"/>
    <w:rsid w:val="00500932"/>
    <w:rsid w:val="00504E69"/>
    <w:rsid w:val="00505665"/>
    <w:rsid w:val="00505AEE"/>
    <w:rsid w:val="005076CB"/>
    <w:rsid w:val="005110E1"/>
    <w:rsid w:val="00515BCA"/>
    <w:rsid w:val="005161A0"/>
    <w:rsid w:val="00517B34"/>
    <w:rsid w:val="005204B7"/>
    <w:rsid w:val="005218AF"/>
    <w:rsid w:val="00522CCD"/>
    <w:rsid w:val="00530953"/>
    <w:rsid w:val="0053486A"/>
    <w:rsid w:val="005348FE"/>
    <w:rsid w:val="00536720"/>
    <w:rsid w:val="0054349E"/>
    <w:rsid w:val="00546096"/>
    <w:rsid w:val="005467A3"/>
    <w:rsid w:val="00547683"/>
    <w:rsid w:val="00555AFC"/>
    <w:rsid w:val="00562CD2"/>
    <w:rsid w:val="00564A4B"/>
    <w:rsid w:val="00573BF6"/>
    <w:rsid w:val="005745F5"/>
    <w:rsid w:val="0057584A"/>
    <w:rsid w:val="00582C3A"/>
    <w:rsid w:val="00582FD8"/>
    <w:rsid w:val="005849B1"/>
    <w:rsid w:val="005904D9"/>
    <w:rsid w:val="00592EC8"/>
    <w:rsid w:val="00596BD9"/>
    <w:rsid w:val="005A0239"/>
    <w:rsid w:val="005A114E"/>
    <w:rsid w:val="005A28EC"/>
    <w:rsid w:val="005A3538"/>
    <w:rsid w:val="005A3546"/>
    <w:rsid w:val="005A3C73"/>
    <w:rsid w:val="005A3D6E"/>
    <w:rsid w:val="005A7E33"/>
    <w:rsid w:val="005B3BAC"/>
    <w:rsid w:val="005B3FC5"/>
    <w:rsid w:val="005B4379"/>
    <w:rsid w:val="005B6023"/>
    <w:rsid w:val="005C1ADF"/>
    <w:rsid w:val="005C3057"/>
    <w:rsid w:val="005C31DF"/>
    <w:rsid w:val="005C6401"/>
    <w:rsid w:val="005D0714"/>
    <w:rsid w:val="005D411C"/>
    <w:rsid w:val="005D464B"/>
    <w:rsid w:val="005D5C9B"/>
    <w:rsid w:val="005D6E9E"/>
    <w:rsid w:val="005E014D"/>
    <w:rsid w:val="005E02B6"/>
    <w:rsid w:val="005E1541"/>
    <w:rsid w:val="005E4224"/>
    <w:rsid w:val="005E4A40"/>
    <w:rsid w:val="005E4D7F"/>
    <w:rsid w:val="005F1906"/>
    <w:rsid w:val="005F6A6B"/>
    <w:rsid w:val="00601153"/>
    <w:rsid w:val="00602156"/>
    <w:rsid w:val="006021FC"/>
    <w:rsid w:val="00602D54"/>
    <w:rsid w:val="00603121"/>
    <w:rsid w:val="0060471C"/>
    <w:rsid w:val="00604A6A"/>
    <w:rsid w:val="006052D9"/>
    <w:rsid w:val="006054B9"/>
    <w:rsid w:val="00606F8D"/>
    <w:rsid w:val="00610DCB"/>
    <w:rsid w:val="00611481"/>
    <w:rsid w:val="00612980"/>
    <w:rsid w:val="00612FCF"/>
    <w:rsid w:val="00614771"/>
    <w:rsid w:val="00615BD9"/>
    <w:rsid w:val="00616740"/>
    <w:rsid w:val="006177D3"/>
    <w:rsid w:val="00620B38"/>
    <w:rsid w:val="00621169"/>
    <w:rsid w:val="00627E6C"/>
    <w:rsid w:val="006300D4"/>
    <w:rsid w:val="00630A20"/>
    <w:rsid w:val="0063124C"/>
    <w:rsid w:val="006326CB"/>
    <w:rsid w:val="0063694C"/>
    <w:rsid w:val="0063740E"/>
    <w:rsid w:val="00640A74"/>
    <w:rsid w:val="00641E9C"/>
    <w:rsid w:val="00642D7C"/>
    <w:rsid w:val="0064409C"/>
    <w:rsid w:val="0064464D"/>
    <w:rsid w:val="00645F53"/>
    <w:rsid w:val="0064633D"/>
    <w:rsid w:val="00651F68"/>
    <w:rsid w:val="00652164"/>
    <w:rsid w:val="006528C8"/>
    <w:rsid w:val="00653C63"/>
    <w:rsid w:val="00660C08"/>
    <w:rsid w:val="00660E3D"/>
    <w:rsid w:val="0066107A"/>
    <w:rsid w:val="00661196"/>
    <w:rsid w:val="00665770"/>
    <w:rsid w:val="00670635"/>
    <w:rsid w:val="00670B65"/>
    <w:rsid w:val="0067333F"/>
    <w:rsid w:val="00680C4C"/>
    <w:rsid w:val="006823C6"/>
    <w:rsid w:val="00682AA8"/>
    <w:rsid w:val="006843D4"/>
    <w:rsid w:val="00684AF8"/>
    <w:rsid w:val="00691492"/>
    <w:rsid w:val="0069394C"/>
    <w:rsid w:val="006948A2"/>
    <w:rsid w:val="006967FB"/>
    <w:rsid w:val="0069749B"/>
    <w:rsid w:val="006A02BC"/>
    <w:rsid w:val="006A0AD3"/>
    <w:rsid w:val="006A1AE0"/>
    <w:rsid w:val="006A3075"/>
    <w:rsid w:val="006A51D0"/>
    <w:rsid w:val="006A5913"/>
    <w:rsid w:val="006A5C48"/>
    <w:rsid w:val="006A5E27"/>
    <w:rsid w:val="006A6CA7"/>
    <w:rsid w:val="006A6D5F"/>
    <w:rsid w:val="006A7B1D"/>
    <w:rsid w:val="006A7FD6"/>
    <w:rsid w:val="006B5A80"/>
    <w:rsid w:val="006B5D6C"/>
    <w:rsid w:val="006B700F"/>
    <w:rsid w:val="006B7490"/>
    <w:rsid w:val="006B7B43"/>
    <w:rsid w:val="006C19B0"/>
    <w:rsid w:val="006C213B"/>
    <w:rsid w:val="006C3F50"/>
    <w:rsid w:val="006C42FF"/>
    <w:rsid w:val="006C4D81"/>
    <w:rsid w:val="006C56AD"/>
    <w:rsid w:val="006C7EB9"/>
    <w:rsid w:val="006D04EF"/>
    <w:rsid w:val="006D3E02"/>
    <w:rsid w:val="006E086C"/>
    <w:rsid w:val="006E2B73"/>
    <w:rsid w:val="006E46C8"/>
    <w:rsid w:val="006E48FE"/>
    <w:rsid w:val="006F0307"/>
    <w:rsid w:val="006F1A04"/>
    <w:rsid w:val="006F42B6"/>
    <w:rsid w:val="006F4C4B"/>
    <w:rsid w:val="006F5637"/>
    <w:rsid w:val="006F7187"/>
    <w:rsid w:val="006F7ECD"/>
    <w:rsid w:val="00701D19"/>
    <w:rsid w:val="007022B6"/>
    <w:rsid w:val="00703A02"/>
    <w:rsid w:val="007044E1"/>
    <w:rsid w:val="007078DE"/>
    <w:rsid w:val="00707D21"/>
    <w:rsid w:val="00715317"/>
    <w:rsid w:val="00715466"/>
    <w:rsid w:val="00717D80"/>
    <w:rsid w:val="00723AC9"/>
    <w:rsid w:val="00723FDF"/>
    <w:rsid w:val="00724042"/>
    <w:rsid w:val="00724885"/>
    <w:rsid w:val="00726723"/>
    <w:rsid w:val="0072727D"/>
    <w:rsid w:val="00731C2B"/>
    <w:rsid w:val="00737D94"/>
    <w:rsid w:val="00737F24"/>
    <w:rsid w:val="00740631"/>
    <w:rsid w:val="00740A38"/>
    <w:rsid w:val="007413D6"/>
    <w:rsid w:val="007416D7"/>
    <w:rsid w:val="007418F4"/>
    <w:rsid w:val="00742559"/>
    <w:rsid w:val="00742AF8"/>
    <w:rsid w:val="00747843"/>
    <w:rsid w:val="00754C1F"/>
    <w:rsid w:val="0075609A"/>
    <w:rsid w:val="007600EA"/>
    <w:rsid w:val="007630D9"/>
    <w:rsid w:val="00763612"/>
    <w:rsid w:val="00764651"/>
    <w:rsid w:val="00764B90"/>
    <w:rsid w:val="007657A7"/>
    <w:rsid w:val="00765A4E"/>
    <w:rsid w:val="0076787E"/>
    <w:rsid w:val="00767A49"/>
    <w:rsid w:val="00770F7D"/>
    <w:rsid w:val="00772923"/>
    <w:rsid w:val="00774979"/>
    <w:rsid w:val="00780E01"/>
    <w:rsid w:val="0078271E"/>
    <w:rsid w:val="007845FF"/>
    <w:rsid w:val="007859FD"/>
    <w:rsid w:val="00786715"/>
    <w:rsid w:val="007902F3"/>
    <w:rsid w:val="00790307"/>
    <w:rsid w:val="00791B72"/>
    <w:rsid w:val="007941B7"/>
    <w:rsid w:val="00794CA9"/>
    <w:rsid w:val="007950F3"/>
    <w:rsid w:val="007962AE"/>
    <w:rsid w:val="007A0EC9"/>
    <w:rsid w:val="007A2189"/>
    <w:rsid w:val="007A24D5"/>
    <w:rsid w:val="007A3EAA"/>
    <w:rsid w:val="007A4B38"/>
    <w:rsid w:val="007A76F5"/>
    <w:rsid w:val="007B153B"/>
    <w:rsid w:val="007B28B7"/>
    <w:rsid w:val="007B2E6E"/>
    <w:rsid w:val="007B456E"/>
    <w:rsid w:val="007B5785"/>
    <w:rsid w:val="007B7B06"/>
    <w:rsid w:val="007C18E6"/>
    <w:rsid w:val="007C2A9E"/>
    <w:rsid w:val="007C2EE0"/>
    <w:rsid w:val="007C4063"/>
    <w:rsid w:val="007C4456"/>
    <w:rsid w:val="007C463B"/>
    <w:rsid w:val="007C622B"/>
    <w:rsid w:val="007C6CCA"/>
    <w:rsid w:val="007C7959"/>
    <w:rsid w:val="007D24F1"/>
    <w:rsid w:val="007D2C2A"/>
    <w:rsid w:val="007D5B22"/>
    <w:rsid w:val="007D5FC1"/>
    <w:rsid w:val="007D7B77"/>
    <w:rsid w:val="007E2A4E"/>
    <w:rsid w:val="007E355C"/>
    <w:rsid w:val="007F0B82"/>
    <w:rsid w:val="007F1947"/>
    <w:rsid w:val="007F1D5A"/>
    <w:rsid w:val="007F2DBC"/>
    <w:rsid w:val="007F6B61"/>
    <w:rsid w:val="007F6D0E"/>
    <w:rsid w:val="007F702F"/>
    <w:rsid w:val="007F7C08"/>
    <w:rsid w:val="00800500"/>
    <w:rsid w:val="00800727"/>
    <w:rsid w:val="00805D05"/>
    <w:rsid w:val="00811A48"/>
    <w:rsid w:val="00812A03"/>
    <w:rsid w:val="00812A70"/>
    <w:rsid w:val="00815300"/>
    <w:rsid w:val="00815342"/>
    <w:rsid w:val="0081796B"/>
    <w:rsid w:val="00820255"/>
    <w:rsid w:val="00820272"/>
    <w:rsid w:val="00823B52"/>
    <w:rsid w:val="0082530F"/>
    <w:rsid w:val="00825BC8"/>
    <w:rsid w:val="008266A5"/>
    <w:rsid w:val="00826A09"/>
    <w:rsid w:val="00826F97"/>
    <w:rsid w:val="0082799E"/>
    <w:rsid w:val="0083413F"/>
    <w:rsid w:val="00836A83"/>
    <w:rsid w:val="008372A7"/>
    <w:rsid w:val="00837828"/>
    <w:rsid w:val="00850F49"/>
    <w:rsid w:val="00853C08"/>
    <w:rsid w:val="008552D0"/>
    <w:rsid w:val="00862DB1"/>
    <w:rsid w:val="0086357D"/>
    <w:rsid w:val="008638A3"/>
    <w:rsid w:val="00864FE6"/>
    <w:rsid w:val="00867870"/>
    <w:rsid w:val="008708E8"/>
    <w:rsid w:val="00870DF0"/>
    <w:rsid w:val="00872491"/>
    <w:rsid w:val="00873878"/>
    <w:rsid w:val="00875009"/>
    <w:rsid w:val="00875CD7"/>
    <w:rsid w:val="00876455"/>
    <w:rsid w:val="00883EA6"/>
    <w:rsid w:val="00885122"/>
    <w:rsid w:val="00885F14"/>
    <w:rsid w:val="0088740F"/>
    <w:rsid w:val="00892EAE"/>
    <w:rsid w:val="00894230"/>
    <w:rsid w:val="00894EF0"/>
    <w:rsid w:val="008A1745"/>
    <w:rsid w:val="008A18E2"/>
    <w:rsid w:val="008A2780"/>
    <w:rsid w:val="008A3725"/>
    <w:rsid w:val="008A3774"/>
    <w:rsid w:val="008A3F0E"/>
    <w:rsid w:val="008A5472"/>
    <w:rsid w:val="008A640A"/>
    <w:rsid w:val="008A7734"/>
    <w:rsid w:val="008B1282"/>
    <w:rsid w:val="008B130A"/>
    <w:rsid w:val="008B1CF9"/>
    <w:rsid w:val="008B20D7"/>
    <w:rsid w:val="008B376E"/>
    <w:rsid w:val="008B39D3"/>
    <w:rsid w:val="008B5B5A"/>
    <w:rsid w:val="008B7A99"/>
    <w:rsid w:val="008C1062"/>
    <w:rsid w:val="008C16CF"/>
    <w:rsid w:val="008C43F6"/>
    <w:rsid w:val="008C74CB"/>
    <w:rsid w:val="008C7D02"/>
    <w:rsid w:val="008C7DF0"/>
    <w:rsid w:val="008D0282"/>
    <w:rsid w:val="008D1E58"/>
    <w:rsid w:val="008D272D"/>
    <w:rsid w:val="008D2EF3"/>
    <w:rsid w:val="008D4D26"/>
    <w:rsid w:val="008D4D2C"/>
    <w:rsid w:val="008D5128"/>
    <w:rsid w:val="008D63B1"/>
    <w:rsid w:val="008E01B8"/>
    <w:rsid w:val="008E1C9D"/>
    <w:rsid w:val="008E1EFE"/>
    <w:rsid w:val="008E3CC1"/>
    <w:rsid w:val="008E66AC"/>
    <w:rsid w:val="008E6924"/>
    <w:rsid w:val="008E7B82"/>
    <w:rsid w:val="008F5BED"/>
    <w:rsid w:val="008F6BE7"/>
    <w:rsid w:val="00902754"/>
    <w:rsid w:val="00903711"/>
    <w:rsid w:val="00903991"/>
    <w:rsid w:val="00905E43"/>
    <w:rsid w:val="0090760F"/>
    <w:rsid w:val="00910299"/>
    <w:rsid w:val="0091099D"/>
    <w:rsid w:val="00910D03"/>
    <w:rsid w:val="009116AA"/>
    <w:rsid w:val="00913E78"/>
    <w:rsid w:val="0091494D"/>
    <w:rsid w:val="00917563"/>
    <w:rsid w:val="00917914"/>
    <w:rsid w:val="00920387"/>
    <w:rsid w:val="00920B3C"/>
    <w:rsid w:val="00923504"/>
    <w:rsid w:val="009250CB"/>
    <w:rsid w:val="00925999"/>
    <w:rsid w:val="00931284"/>
    <w:rsid w:val="00933176"/>
    <w:rsid w:val="00941EEB"/>
    <w:rsid w:val="00942153"/>
    <w:rsid w:val="0094460C"/>
    <w:rsid w:val="00945411"/>
    <w:rsid w:val="00946271"/>
    <w:rsid w:val="00946296"/>
    <w:rsid w:val="00946E08"/>
    <w:rsid w:val="00950C3A"/>
    <w:rsid w:val="0095586C"/>
    <w:rsid w:val="00960037"/>
    <w:rsid w:val="00962FA7"/>
    <w:rsid w:val="00963A8C"/>
    <w:rsid w:val="0096523C"/>
    <w:rsid w:val="0096590E"/>
    <w:rsid w:val="00965F61"/>
    <w:rsid w:val="00966C77"/>
    <w:rsid w:val="00967759"/>
    <w:rsid w:val="00970390"/>
    <w:rsid w:val="0097060D"/>
    <w:rsid w:val="00973C44"/>
    <w:rsid w:val="00974145"/>
    <w:rsid w:val="00983285"/>
    <w:rsid w:val="0098509A"/>
    <w:rsid w:val="009865B4"/>
    <w:rsid w:val="009918AD"/>
    <w:rsid w:val="00993134"/>
    <w:rsid w:val="00993317"/>
    <w:rsid w:val="00993318"/>
    <w:rsid w:val="00994ABA"/>
    <w:rsid w:val="00996B64"/>
    <w:rsid w:val="009A1667"/>
    <w:rsid w:val="009A1C9B"/>
    <w:rsid w:val="009A27C3"/>
    <w:rsid w:val="009A2AA8"/>
    <w:rsid w:val="009A3234"/>
    <w:rsid w:val="009A6E63"/>
    <w:rsid w:val="009A7407"/>
    <w:rsid w:val="009A7642"/>
    <w:rsid w:val="009B280B"/>
    <w:rsid w:val="009B4148"/>
    <w:rsid w:val="009B45A3"/>
    <w:rsid w:val="009B47CA"/>
    <w:rsid w:val="009B64B2"/>
    <w:rsid w:val="009C01D1"/>
    <w:rsid w:val="009C0AA2"/>
    <w:rsid w:val="009C154C"/>
    <w:rsid w:val="009C2433"/>
    <w:rsid w:val="009C387A"/>
    <w:rsid w:val="009C424A"/>
    <w:rsid w:val="009C4EFC"/>
    <w:rsid w:val="009C5178"/>
    <w:rsid w:val="009D66E2"/>
    <w:rsid w:val="009E10AE"/>
    <w:rsid w:val="009E30E0"/>
    <w:rsid w:val="009E3B00"/>
    <w:rsid w:val="009E484B"/>
    <w:rsid w:val="009E7F1B"/>
    <w:rsid w:val="009F4C78"/>
    <w:rsid w:val="009F6CF7"/>
    <w:rsid w:val="009F6DFC"/>
    <w:rsid w:val="009F7D61"/>
    <w:rsid w:val="009F7D8A"/>
    <w:rsid w:val="00A01646"/>
    <w:rsid w:val="00A02161"/>
    <w:rsid w:val="00A0232E"/>
    <w:rsid w:val="00A0323D"/>
    <w:rsid w:val="00A0329B"/>
    <w:rsid w:val="00A055FC"/>
    <w:rsid w:val="00A05F08"/>
    <w:rsid w:val="00A10076"/>
    <w:rsid w:val="00A1050B"/>
    <w:rsid w:val="00A11256"/>
    <w:rsid w:val="00A143F0"/>
    <w:rsid w:val="00A1685E"/>
    <w:rsid w:val="00A171BC"/>
    <w:rsid w:val="00A20512"/>
    <w:rsid w:val="00A20937"/>
    <w:rsid w:val="00A23982"/>
    <w:rsid w:val="00A23B6E"/>
    <w:rsid w:val="00A24897"/>
    <w:rsid w:val="00A262D8"/>
    <w:rsid w:val="00A26DA5"/>
    <w:rsid w:val="00A3012B"/>
    <w:rsid w:val="00A3021C"/>
    <w:rsid w:val="00A31436"/>
    <w:rsid w:val="00A31B7D"/>
    <w:rsid w:val="00A3208C"/>
    <w:rsid w:val="00A333CB"/>
    <w:rsid w:val="00A35EF4"/>
    <w:rsid w:val="00A36587"/>
    <w:rsid w:val="00A3748A"/>
    <w:rsid w:val="00A37724"/>
    <w:rsid w:val="00A41B60"/>
    <w:rsid w:val="00A42E0B"/>
    <w:rsid w:val="00A45D88"/>
    <w:rsid w:val="00A51783"/>
    <w:rsid w:val="00A53B7D"/>
    <w:rsid w:val="00A54546"/>
    <w:rsid w:val="00A545AF"/>
    <w:rsid w:val="00A551BE"/>
    <w:rsid w:val="00A568F9"/>
    <w:rsid w:val="00A56C3E"/>
    <w:rsid w:val="00A573CB"/>
    <w:rsid w:val="00A573E3"/>
    <w:rsid w:val="00A5794A"/>
    <w:rsid w:val="00A60FCA"/>
    <w:rsid w:val="00A62A87"/>
    <w:rsid w:val="00A63CFA"/>
    <w:rsid w:val="00A645EC"/>
    <w:rsid w:val="00A664D2"/>
    <w:rsid w:val="00A67ED3"/>
    <w:rsid w:val="00A71264"/>
    <w:rsid w:val="00A7210F"/>
    <w:rsid w:val="00A73D1C"/>
    <w:rsid w:val="00A77072"/>
    <w:rsid w:val="00A82FA0"/>
    <w:rsid w:val="00A904A7"/>
    <w:rsid w:val="00A914A6"/>
    <w:rsid w:val="00A91557"/>
    <w:rsid w:val="00A91B69"/>
    <w:rsid w:val="00A91B76"/>
    <w:rsid w:val="00A95BCC"/>
    <w:rsid w:val="00A961CE"/>
    <w:rsid w:val="00A961E1"/>
    <w:rsid w:val="00A97ED2"/>
    <w:rsid w:val="00AA174D"/>
    <w:rsid w:val="00AA18CA"/>
    <w:rsid w:val="00AA21D6"/>
    <w:rsid w:val="00AA3163"/>
    <w:rsid w:val="00AA46EA"/>
    <w:rsid w:val="00AB29C6"/>
    <w:rsid w:val="00AB7238"/>
    <w:rsid w:val="00AC2240"/>
    <w:rsid w:val="00AD0328"/>
    <w:rsid w:val="00AD0FCA"/>
    <w:rsid w:val="00AD1A69"/>
    <w:rsid w:val="00AD4ED6"/>
    <w:rsid w:val="00AD5704"/>
    <w:rsid w:val="00AD5C04"/>
    <w:rsid w:val="00AD6F3C"/>
    <w:rsid w:val="00AE0431"/>
    <w:rsid w:val="00AE267A"/>
    <w:rsid w:val="00AE3D9E"/>
    <w:rsid w:val="00AE5BAF"/>
    <w:rsid w:val="00AE5EA0"/>
    <w:rsid w:val="00AE6FC5"/>
    <w:rsid w:val="00AE7C57"/>
    <w:rsid w:val="00AF0041"/>
    <w:rsid w:val="00AF0384"/>
    <w:rsid w:val="00AF0430"/>
    <w:rsid w:val="00AF19C7"/>
    <w:rsid w:val="00AF33F7"/>
    <w:rsid w:val="00AF56C6"/>
    <w:rsid w:val="00B027F0"/>
    <w:rsid w:val="00B04AC7"/>
    <w:rsid w:val="00B10BFF"/>
    <w:rsid w:val="00B1104F"/>
    <w:rsid w:val="00B137C0"/>
    <w:rsid w:val="00B16580"/>
    <w:rsid w:val="00B1708D"/>
    <w:rsid w:val="00B2031B"/>
    <w:rsid w:val="00B206B6"/>
    <w:rsid w:val="00B20822"/>
    <w:rsid w:val="00B23210"/>
    <w:rsid w:val="00B34272"/>
    <w:rsid w:val="00B37C27"/>
    <w:rsid w:val="00B37E5B"/>
    <w:rsid w:val="00B40DDD"/>
    <w:rsid w:val="00B41017"/>
    <w:rsid w:val="00B41A33"/>
    <w:rsid w:val="00B42A8D"/>
    <w:rsid w:val="00B44FF6"/>
    <w:rsid w:val="00B473EA"/>
    <w:rsid w:val="00B5102A"/>
    <w:rsid w:val="00B544DD"/>
    <w:rsid w:val="00B559CE"/>
    <w:rsid w:val="00B56A24"/>
    <w:rsid w:val="00B57AD1"/>
    <w:rsid w:val="00B604BB"/>
    <w:rsid w:val="00B60A16"/>
    <w:rsid w:val="00B64677"/>
    <w:rsid w:val="00B646FF"/>
    <w:rsid w:val="00B6470D"/>
    <w:rsid w:val="00B6536F"/>
    <w:rsid w:val="00B67423"/>
    <w:rsid w:val="00B7183F"/>
    <w:rsid w:val="00B736A6"/>
    <w:rsid w:val="00B73BEC"/>
    <w:rsid w:val="00B7637D"/>
    <w:rsid w:val="00B7685A"/>
    <w:rsid w:val="00B814E6"/>
    <w:rsid w:val="00B818F0"/>
    <w:rsid w:val="00B82092"/>
    <w:rsid w:val="00B82790"/>
    <w:rsid w:val="00B85DD7"/>
    <w:rsid w:val="00B86BF3"/>
    <w:rsid w:val="00B87CB2"/>
    <w:rsid w:val="00B92D1B"/>
    <w:rsid w:val="00B92E98"/>
    <w:rsid w:val="00B93A92"/>
    <w:rsid w:val="00B948F7"/>
    <w:rsid w:val="00B958FA"/>
    <w:rsid w:val="00B968EE"/>
    <w:rsid w:val="00BA1755"/>
    <w:rsid w:val="00BA22BE"/>
    <w:rsid w:val="00BA258A"/>
    <w:rsid w:val="00BA30CD"/>
    <w:rsid w:val="00BB37EA"/>
    <w:rsid w:val="00BC003A"/>
    <w:rsid w:val="00BC1A97"/>
    <w:rsid w:val="00BC3D35"/>
    <w:rsid w:val="00BC51B5"/>
    <w:rsid w:val="00BC5CB1"/>
    <w:rsid w:val="00BC6A4B"/>
    <w:rsid w:val="00BC752D"/>
    <w:rsid w:val="00BD1720"/>
    <w:rsid w:val="00BD233D"/>
    <w:rsid w:val="00BD3144"/>
    <w:rsid w:val="00BD43B4"/>
    <w:rsid w:val="00BD5512"/>
    <w:rsid w:val="00BD56B9"/>
    <w:rsid w:val="00BE0690"/>
    <w:rsid w:val="00BE62B7"/>
    <w:rsid w:val="00BE7B13"/>
    <w:rsid w:val="00BF011A"/>
    <w:rsid w:val="00BF02F4"/>
    <w:rsid w:val="00BF557A"/>
    <w:rsid w:val="00BF659E"/>
    <w:rsid w:val="00C015D8"/>
    <w:rsid w:val="00C024FD"/>
    <w:rsid w:val="00C038DE"/>
    <w:rsid w:val="00C06F82"/>
    <w:rsid w:val="00C07994"/>
    <w:rsid w:val="00C079CA"/>
    <w:rsid w:val="00C10353"/>
    <w:rsid w:val="00C10CFE"/>
    <w:rsid w:val="00C14636"/>
    <w:rsid w:val="00C15DAC"/>
    <w:rsid w:val="00C2289D"/>
    <w:rsid w:val="00C23B53"/>
    <w:rsid w:val="00C25588"/>
    <w:rsid w:val="00C27F48"/>
    <w:rsid w:val="00C31044"/>
    <w:rsid w:val="00C318ED"/>
    <w:rsid w:val="00C33D99"/>
    <w:rsid w:val="00C353DE"/>
    <w:rsid w:val="00C41029"/>
    <w:rsid w:val="00C43685"/>
    <w:rsid w:val="00C44659"/>
    <w:rsid w:val="00C46894"/>
    <w:rsid w:val="00C474EF"/>
    <w:rsid w:val="00C528DB"/>
    <w:rsid w:val="00C53ABB"/>
    <w:rsid w:val="00C544C2"/>
    <w:rsid w:val="00C553E9"/>
    <w:rsid w:val="00C61499"/>
    <w:rsid w:val="00C61E50"/>
    <w:rsid w:val="00C645CA"/>
    <w:rsid w:val="00C65AC0"/>
    <w:rsid w:val="00C67CF9"/>
    <w:rsid w:val="00C70116"/>
    <w:rsid w:val="00C706F9"/>
    <w:rsid w:val="00C73C2C"/>
    <w:rsid w:val="00C766E1"/>
    <w:rsid w:val="00C77113"/>
    <w:rsid w:val="00C771EC"/>
    <w:rsid w:val="00C842CB"/>
    <w:rsid w:val="00C85891"/>
    <w:rsid w:val="00C871B7"/>
    <w:rsid w:val="00C873FE"/>
    <w:rsid w:val="00C91648"/>
    <w:rsid w:val="00C91C1C"/>
    <w:rsid w:val="00C922B7"/>
    <w:rsid w:val="00CA0466"/>
    <w:rsid w:val="00CA2AEB"/>
    <w:rsid w:val="00CA341E"/>
    <w:rsid w:val="00CA3820"/>
    <w:rsid w:val="00CA4744"/>
    <w:rsid w:val="00CA517E"/>
    <w:rsid w:val="00CA57E9"/>
    <w:rsid w:val="00CA5CEB"/>
    <w:rsid w:val="00CA6B0C"/>
    <w:rsid w:val="00CB12F4"/>
    <w:rsid w:val="00CB4402"/>
    <w:rsid w:val="00CB57BD"/>
    <w:rsid w:val="00CB7136"/>
    <w:rsid w:val="00CC3461"/>
    <w:rsid w:val="00CC3E90"/>
    <w:rsid w:val="00CC4F00"/>
    <w:rsid w:val="00CC6074"/>
    <w:rsid w:val="00CC6B40"/>
    <w:rsid w:val="00CC6D22"/>
    <w:rsid w:val="00CC7CFC"/>
    <w:rsid w:val="00CD09C3"/>
    <w:rsid w:val="00CD248C"/>
    <w:rsid w:val="00CD29F0"/>
    <w:rsid w:val="00CD2E45"/>
    <w:rsid w:val="00CD3442"/>
    <w:rsid w:val="00CD7DAE"/>
    <w:rsid w:val="00CE0785"/>
    <w:rsid w:val="00CE0D67"/>
    <w:rsid w:val="00CE2E95"/>
    <w:rsid w:val="00CE3052"/>
    <w:rsid w:val="00CE5CD5"/>
    <w:rsid w:val="00CE6DA2"/>
    <w:rsid w:val="00CF022C"/>
    <w:rsid w:val="00CF0394"/>
    <w:rsid w:val="00CF0DFA"/>
    <w:rsid w:val="00CF2B95"/>
    <w:rsid w:val="00CF4D3A"/>
    <w:rsid w:val="00CF7FC2"/>
    <w:rsid w:val="00D03645"/>
    <w:rsid w:val="00D039B1"/>
    <w:rsid w:val="00D06249"/>
    <w:rsid w:val="00D1015D"/>
    <w:rsid w:val="00D127AA"/>
    <w:rsid w:val="00D1448B"/>
    <w:rsid w:val="00D14833"/>
    <w:rsid w:val="00D15CD9"/>
    <w:rsid w:val="00D17ED0"/>
    <w:rsid w:val="00D2063F"/>
    <w:rsid w:val="00D21A9A"/>
    <w:rsid w:val="00D23E75"/>
    <w:rsid w:val="00D24325"/>
    <w:rsid w:val="00D25C63"/>
    <w:rsid w:val="00D26509"/>
    <w:rsid w:val="00D26C2D"/>
    <w:rsid w:val="00D26D93"/>
    <w:rsid w:val="00D32637"/>
    <w:rsid w:val="00D34EDA"/>
    <w:rsid w:val="00D42E6D"/>
    <w:rsid w:val="00D43C7C"/>
    <w:rsid w:val="00D44DAE"/>
    <w:rsid w:val="00D474D2"/>
    <w:rsid w:val="00D50D18"/>
    <w:rsid w:val="00D52AE6"/>
    <w:rsid w:val="00D5301E"/>
    <w:rsid w:val="00D55A19"/>
    <w:rsid w:val="00D56CB5"/>
    <w:rsid w:val="00D578D0"/>
    <w:rsid w:val="00D57F2C"/>
    <w:rsid w:val="00D622EB"/>
    <w:rsid w:val="00D62664"/>
    <w:rsid w:val="00D6604C"/>
    <w:rsid w:val="00D665E3"/>
    <w:rsid w:val="00D67AC5"/>
    <w:rsid w:val="00D70479"/>
    <w:rsid w:val="00D743B1"/>
    <w:rsid w:val="00D754F8"/>
    <w:rsid w:val="00D764C9"/>
    <w:rsid w:val="00D8246D"/>
    <w:rsid w:val="00D82980"/>
    <w:rsid w:val="00D85FC0"/>
    <w:rsid w:val="00D86CC0"/>
    <w:rsid w:val="00D872A0"/>
    <w:rsid w:val="00D9280C"/>
    <w:rsid w:val="00D9314B"/>
    <w:rsid w:val="00DA0AD2"/>
    <w:rsid w:val="00DA1DE7"/>
    <w:rsid w:val="00DA2B54"/>
    <w:rsid w:val="00DA2E29"/>
    <w:rsid w:val="00DA3949"/>
    <w:rsid w:val="00DA6C2C"/>
    <w:rsid w:val="00DB1787"/>
    <w:rsid w:val="00DB24B7"/>
    <w:rsid w:val="00DB357B"/>
    <w:rsid w:val="00DB3C5D"/>
    <w:rsid w:val="00DB63FB"/>
    <w:rsid w:val="00DB71A5"/>
    <w:rsid w:val="00DC2D7E"/>
    <w:rsid w:val="00DC3993"/>
    <w:rsid w:val="00DC40BF"/>
    <w:rsid w:val="00DC5239"/>
    <w:rsid w:val="00DD18B2"/>
    <w:rsid w:val="00DD2129"/>
    <w:rsid w:val="00DD41E1"/>
    <w:rsid w:val="00DD548C"/>
    <w:rsid w:val="00DD7A02"/>
    <w:rsid w:val="00DE059B"/>
    <w:rsid w:val="00DE1570"/>
    <w:rsid w:val="00DE555B"/>
    <w:rsid w:val="00DE58BE"/>
    <w:rsid w:val="00DE7CC7"/>
    <w:rsid w:val="00DF026C"/>
    <w:rsid w:val="00DF0B06"/>
    <w:rsid w:val="00DF2007"/>
    <w:rsid w:val="00DF355D"/>
    <w:rsid w:val="00DF3BAE"/>
    <w:rsid w:val="00DF6774"/>
    <w:rsid w:val="00DF6E50"/>
    <w:rsid w:val="00DF7969"/>
    <w:rsid w:val="00E00A91"/>
    <w:rsid w:val="00E038ED"/>
    <w:rsid w:val="00E07C05"/>
    <w:rsid w:val="00E11314"/>
    <w:rsid w:val="00E133C0"/>
    <w:rsid w:val="00E15E89"/>
    <w:rsid w:val="00E21DDB"/>
    <w:rsid w:val="00E22B33"/>
    <w:rsid w:val="00E23749"/>
    <w:rsid w:val="00E24BDD"/>
    <w:rsid w:val="00E24E9A"/>
    <w:rsid w:val="00E257E1"/>
    <w:rsid w:val="00E2615D"/>
    <w:rsid w:val="00E27BA4"/>
    <w:rsid w:val="00E31707"/>
    <w:rsid w:val="00E3409A"/>
    <w:rsid w:val="00E3517F"/>
    <w:rsid w:val="00E35FF6"/>
    <w:rsid w:val="00E36BB7"/>
    <w:rsid w:val="00E373F5"/>
    <w:rsid w:val="00E408B5"/>
    <w:rsid w:val="00E45D9B"/>
    <w:rsid w:val="00E4618B"/>
    <w:rsid w:val="00E47179"/>
    <w:rsid w:val="00E502D9"/>
    <w:rsid w:val="00E5422F"/>
    <w:rsid w:val="00E6039A"/>
    <w:rsid w:val="00E61069"/>
    <w:rsid w:val="00E66607"/>
    <w:rsid w:val="00E67164"/>
    <w:rsid w:val="00E73618"/>
    <w:rsid w:val="00E749F4"/>
    <w:rsid w:val="00E75E09"/>
    <w:rsid w:val="00E77840"/>
    <w:rsid w:val="00E8113D"/>
    <w:rsid w:val="00E82484"/>
    <w:rsid w:val="00E831DF"/>
    <w:rsid w:val="00E834F9"/>
    <w:rsid w:val="00E838FC"/>
    <w:rsid w:val="00E84488"/>
    <w:rsid w:val="00E95996"/>
    <w:rsid w:val="00E97C69"/>
    <w:rsid w:val="00EA2558"/>
    <w:rsid w:val="00EB0B1F"/>
    <w:rsid w:val="00EB1461"/>
    <w:rsid w:val="00EB1D7E"/>
    <w:rsid w:val="00EB2441"/>
    <w:rsid w:val="00EB3DC4"/>
    <w:rsid w:val="00EB626F"/>
    <w:rsid w:val="00EB64A8"/>
    <w:rsid w:val="00EB7B44"/>
    <w:rsid w:val="00EC13F3"/>
    <w:rsid w:val="00EC1975"/>
    <w:rsid w:val="00EC3CEB"/>
    <w:rsid w:val="00EC3DC6"/>
    <w:rsid w:val="00EC5780"/>
    <w:rsid w:val="00EC692A"/>
    <w:rsid w:val="00EC6AB4"/>
    <w:rsid w:val="00ED071C"/>
    <w:rsid w:val="00ED2DD3"/>
    <w:rsid w:val="00ED5C39"/>
    <w:rsid w:val="00ED5D51"/>
    <w:rsid w:val="00ED798A"/>
    <w:rsid w:val="00ED7EF8"/>
    <w:rsid w:val="00EE0D42"/>
    <w:rsid w:val="00EE1919"/>
    <w:rsid w:val="00EE1CEF"/>
    <w:rsid w:val="00EE5D26"/>
    <w:rsid w:val="00EF08C4"/>
    <w:rsid w:val="00EF1AFB"/>
    <w:rsid w:val="00EF2BF0"/>
    <w:rsid w:val="00EF4AB2"/>
    <w:rsid w:val="00EF5F6D"/>
    <w:rsid w:val="00F004D2"/>
    <w:rsid w:val="00F05729"/>
    <w:rsid w:val="00F06086"/>
    <w:rsid w:val="00F12C31"/>
    <w:rsid w:val="00F17059"/>
    <w:rsid w:val="00F221A8"/>
    <w:rsid w:val="00F22971"/>
    <w:rsid w:val="00F2352C"/>
    <w:rsid w:val="00F26F9E"/>
    <w:rsid w:val="00F31413"/>
    <w:rsid w:val="00F32E90"/>
    <w:rsid w:val="00F3511D"/>
    <w:rsid w:val="00F36801"/>
    <w:rsid w:val="00F37790"/>
    <w:rsid w:val="00F40AB2"/>
    <w:rsid w:val="00F40C87"/>
    <w:rsid w:val="00F4260C"/>
    <w:rsid w:val="00F52068"/>
    <w:rsid w:val="00F530DA"/>
    <w:rsid w:val="00F54B3A"/>
    <w:rsid w:val="00F55EFA"/>
    <w:rsid w:val="00F56ADF"/>
    <w:rsid w:val="00F57766"/>
    <w:rsid w:val="00F579D1"/>
    <w:rsid w:val="00F608BA"/>
    <w:rsid w:val="00F629B7"/>
    <w:rsid w:val="00F646FB"/>
    <w:rsid w:val="00F6516A"/>
    <w:rsid w:val="00F6551E"/>
    <w:rsid w:val="00F6564A"/>
    <w:rsid w:val="00F67B47"/>
    <w:rsid w:val="00F733A8"/>
    <w:rsid w:val="00F73FCC"/>
    <w:rsid w:val="00F76F84"/>
    <w:rsid w:val="00F77378"/>
    <w:rsid w:val="00F8062C"/>
    <w:rsid w:val="00F8104E"/>
    <w:rsid w:val="00F85381"/>
    <w:rsid w:val="00F85807"/>
    <w:rsid w:val="00F8787F"/>
    <w:rsid w:val="00F9226B"/>
    <w:rsid w:val="00F9430C"/>
    <w:rsid w:val="00F95BBD"/>
    <w:rsid w:val="00F97D62"/>
    <w:rsid w:val="00FA012F"/>
    <w:rsid w:val="00FA2650"/>
    <w:rsid w:val="00FA2DE1"/>
    <w:rsid w:val="00FA35B3"/>
    <w:rsid w:val="00FB2C30"/>
    <w:rsid w:val="00FB36EC"/>
    <w:rsid w:val="00FB4395"/>
    <w:rsid w:val="00FB7FDB"/>
    <w:rsid w:val="00FC0A35"/>
    <w:rsid w:val="00FC0BE5"/>
    <w:rsid w:val="00FC18DD"/>
    <w:rsid w:val="00FC37EB"/>
    <w:rsid w:val="00FC5461"/>
    <w:rsid w:val="00FC5B44"/>
    <w:rsid w:val="00FC7102"/>
    <w:rsid w:val="00FD07A1"/>
    <w:rsid w:val="00FD08DB"/>
    <w:rsid w:val="00FD7927"/>
    <w:rsid w:val="00FE05BD"/>
    <w:rsid w:val="00FE0752"/>
    <w:rsid w:val="00FE200E"/>
    <w:rsid w:val="00FE3D66"/>
    <w:rsid w:val="00FE5A8F"/>
    <w:rsid w:val="00FE6778"/>
    <w:rsid w:val="00FF236B"/>
    <w:rsid w:val="00FF5AD7"/>
    <w:rsid w:val="015165E5"/>
    <w:rsid w:val="019664F9"/>
    <w:rsid w:val="01D4752E"/>
    <w:rsid w:val="01DC1472"/>
    <w:rsid w:val="01E0CEBA"/>
    <w:rsid w:val="01F34227"/>
    <w:rsid w:val="0203347D"/>
    <w:rsid w:val="02B4C060"/>
    <w:rsid w:val="02F6BF50"/>
    <w:rsid w:val="03125141"/>
    <w:rsid w:val="034A15DC"/>
    <w:rsid w:val="039C4321"/>
    <w:rsid w:val="03C42AEE"/>
    <w:rsid w:val="0437C1C3"/>
    <w:rsid w:val="048D0D60"/>
    <w:rsid w:val="04DCD492"/>
    <w:rsid w:val="06AC878E"/>
    <w:rsid w:val="06DBFEE8"/>
    <w:rsid w:val="0750496C"/>
    <w:rsid w:val="078245C4"/>
    <w:rsid w:val="080F5434"/>
    <w:rsid w:val="08AF5DDC"/>
    <w:rsid w:val="08CEA966"/>
    <w:rsid w:val="091804D5"/>
    <w:rsid w:val="0941F38E"/>
    <w:rsid w:val="0965BB8A"/>
    <w:rsid w:val="0A57DB79"/>
    <w:rsid w:val="0AF77E37"/>
    <w:rsid w:val="0B267C20"/>
    <w:rsid w:val="0B55552B"/>
    <w:rsid w:val="0B679660"/>
    <w:rsid w:val="0BBDCFCE"/>
    <w:rsid w:val="0BE719ED"/>
    <w:rsid w:val="0BFF6F35"/>
    <w:rsid w:val="0C14A851"/>
    <w:rsid w:val="0C14D4BD"/>
    <w:rsid w:val="0CBF56C5"/>
    <w:rsid w:val="0D234EF6"/>
    <w:rsid w:val="0D5F7DE2"/>
    <w:rsid w:val="0D706B5A"/>
    <w:rsid w:val="0D728D9D"/>
    <w:rsid w:val="0E68FC02"/>
    <w:rsid w:val="0EA4EED7"/>
    <w:rsid w:val="0EA63CEB"/>
    <w:rsid w:val="0EC4F07F"/>
    <w:rsid w:val="0F97BD37"/>
    <w:rsid w:val="100C680C"/>
    <w:rsid w:val="11093794"/>
    <w:rsid w:val="11732E5D"/>
    <w:rsid w:val="11ADCC87"/>
    <w:rsid w:val="1261849C"/>
    <w:rsid w:val="127E61A8"/>
    <w:rsid w:val="1308D98D"/>
    <w:rsid w:val="13196D2E"/>
    <w:rsid w:val="13375513"/>
    <w:rsid w:val="133839D4"/>
    <w:rsid w:val="13B771C9"/>
    <w:rsid w:val="13D26CEA"/>
    <w:rsid w:val="143AE008"/>
    <w:rsid w:val="14D1EEFD"/>
    <w:rsid w:val="14D20318"/>
    <w:rsid w:val="15F8D880"/>
    <w:rsid w:val="164DB743"/>
    <w:rsid w:val="169C7EB5"/>
    <w:rsid w:val="16A54716"/>
    <w:rsid w:val="16C0CF12"/>
    <w:rsid w:val="17195A12"/>
    <w:rsid w:val="17224D75"/>
    <w:rsid w:val="17861E25"/>
    <w:rsid w:val="17F3D502"/>
    <w:rsid w:val="1815DF81"/>
    <w:rsid w:val="1827E620"/>
    <w:rsid w:val="184E9D6B"/>
    <w:rsid w:val="190065D0"/>
    <w:rsid w:val="197D88A9"/>
    <w:rsid w:val="198EF68F"/>
    <w:rsid w:val="19B82C60"/>
    <w:rsid w:val="19F46FB8"/>
    <w:rsid w:val="1AB022D1"/>
    <w:rsid w:val="1ADE53B1"/>
    <w:rsid w:val="1B6E382C"/>
    <w:rsid w:val="1C694C50"/>
    <w:rsid w:val="1C6ABD40"/>
    <w:rsid w:val="1C8BE48F"/>
    <w:rsid w:val="1CFD4B4C"/>
    <w:rsid w:val="1DA25C9B"/>
    <w:rsid w:val="1DC0461E"/>
    <w:rsid w:val="1E54C260"/>
    <w:rsid w:val="1EAC3BDF"/>
    <w:rsid w:val="1FAF628E"/>
    <w:rsid w:val="202DCB8A"/>
    <w:rsid w:val="20571AF3"/>
    <w:rsid w:val="207E7A0B"/>
    <w:rsid w:val="212118F2"/>
    <w:rsid w:val="21C2D528"/>
    <w:rsid w:val="229C53C6"/>
    <w:rsid w:val="23343A15"/>
    <w:rsid w:val="237565BE"/>
    <w:rsid w:val="2376152B"/>
    <w:rsid w:val="237EC97E"/>
    <w:rsid w:val="239BA1B8"/>
    <w:rsid w:val="23B623F8"/>
    <w:rsid w:val="23F127AD"/>
    <w:rsid w:val="24A2A3F8"/>
    <w:rsid w:val="24CA925D"/>
    <w:rsid w:val="24EE6A9E"/>
    <w:rsid w:val="25627D9F"/>
    <w:rsid w:val="25A52C30"/>
    <w:rsid w:val="26079802"/>
    <w:rsid w:val="26819F27"/>
    <w:rsid w:val="278136BC"/>
    <w:rsid w:val="27AEB1E0"/>
    <w:rsid w:val="280BE084"/>
    <w:rsid w:val="281B9AD0"/>
    <w:rsid w:val="285C7870"/>
    <w:rsid w:val="288E9214"/>
    <w:rsid w:val="289148F9"/>
    <w:rsid w:val="28FC8030"/>
    <w:rsid w:val="290B620A"/>
    <w:rsid w:val="2919A6F3"/>
    <w:rsid w:val="292334F3"/>
    <w:rsid w:val="29C15471"/>
    <w:rsid w:val="2A027710"/>
    <w:rsid w:val="2A9219F5"/>
    <w:rsid w:val="2A992DFE"/>
    <w:rsid w:val="2B901484"/>
    <w:rsid w:val="2BD3C69C"/>
    <w:rsid w:val="2C032806"/>
    <w:rsid w:val="2C15FB15"/>
    <w:rsid w:val="2CA15644"/>
    <w:rsid w:val="2CF19A09"/>
    <w:rsid w:val="2DF4F34D"/>
    <w:rsid w:val="2E1EF76B"/>
    <w:rsid w:val="2E1FAEB8"/>
    <w:rsid w:val="2F151F1F"/>
    <w:rsid w:val="30F73183"/>
    <w:rsid w:val="314F91AE"/>
    <w:rsid w:val="3182FA87"/>
    <w:rsid w:val="31DBB26D"/>
    <w:rsid w:val="3278408A"/>
    <w:rsid w:val="330D0006"/>
    <w:rsid w:val="33794215"/>
    <w:rsid w:val="33B2B9B7"/>
    <w:rsid w:val="33CD546A"/>
    <w:rsid w:val="33E79505"/>
    <w:rsid w:val="343BB31A"/>
    <w:rsid w:val="346F0EBF"/>
    <w:rsid w:val="34872980"/>
    <w:rsid w:val="3511F9D0"/>
    <w:rsid w:val="35FD499E"/>
    <w:rsid w:val="36368BEA"/>
    <w:rsid w:val="367C7594"/>
    <w:rsid w:val="370C10E5"/>
    <w:rsid w:val="371AA98E"/>
    <w:rsid w:val="372F3CEF"/>
    <w:rsid w:val="373DCDE6"/>
    <w:rsid w:val="37D1A59B"/>
    <w:rsid w:val="37F7741D"/>
    <w:rsid w:val="38665F00"/>
    <w:rsid w:val="38D4BFCD"/>
    <w:rsid w:val="392E918F"/>
    <w:rsid w:val="395DF991"/>
    <w:rsid w:val="397AE585"/>
    <w:rsid w:val="39CC48DA"/>
    <w:rsid w:val="3A420128"/>
    <w:rsid w:val="3A7BDA81"/>
    <w:rsid w:val="3AA94CEC"/>
    <w:rsid w:val="3AC0CA92"/>
    <w:rsid w:val="3B947BA6"/>
    <w:rsid w:val="3D2D0379"/>
    <w:rsid w:val="3D4FC9F6"/>
    <w:rsid w:val="3DADF3D8"/>
    <w:rsid w:val="3DD719B1"/>
    <w:rsid w:val="3E05EC09"/>
    <w:rsid w:val="3E09FCE0"/>
    <w:rsid w:val="3E28B27D"/>
    <w:rsid w:val="3EFC6C1B"/>
    <w:rsid w:val="3F3DB40F"/>
    <w:rsid w:val="3F63EDFC"/>
    <w:rsid w:val="3FC79E94"/>
    <w:rsid w:val="4000D89D"/>
    <w:rsid w:val="4013750E"/>
    <w:rsid w:val="40451727"/>
    <w:rsid w:val="4081E347"/>
    <w:rsid w:val="40A57412"/>
    <w:rsid w:val="40BFE0FC"/>
    <w:rsid w:val="41E2AC87"/>
    <w:rsid w:val="41E99570"/>
    <w:rsid w:val="421FED0C"/>
    <w:rsid w:val="4344F1FB"/>
    <w:rsid w:val="434527CC"/>
    <w:rsid w:val="435B13B3"/>
    <w:rsid w:val="439F8E8F"/>
    <w:rsid w:val="43D4B591"/>
    <w:rsid w:val="44275A50"/>
    <w:rsid w:val="453B1703"/>
    <w:rsid w:val="45815702"/>
    <w:rsid w:val="45BAF98F"/>
    <w:rsid w:val="45F87B1B"/>
    <w:rsid w:val="4621E5D8"/>
    <w:rsid w:val="46A2615C"/>
    <w:rsid w:val="46A3906A"/>
    <w:rsid w:val="46D9F6AD"/>
    <w:rsid w:val="46EB3EE1"/>
    <w:rsid w:val="47410551"/>
    <w:rsid w:val="47629818"/>
    <w:rsid w:val="48717C67"/>
    <w:rsid w:val="4873A3E8"/>
    <w:rsid w:val="48C93418"/>
    <w:rsid w:val="491E4152"/>
    <w:rsid w:val="491EDB6B"/>
    <w:rsid w:val="4A126BE9"/>
    <w:rsid w:val="4A28461E"/>
    <w:rsid w:val="4B3C029A"/>
    <w:rsid w:val="4B8AC2D1"/>
    <w:rsid w:val="4BA1AB78"/>
    <w:rsid w:val="4BD164C9"/>
    <w:rsid w:val="4C202A65"/>
    <w:rsid w:val="4C75634D"/>
    <w:rsid w:val="4CF9AE66"/>
    <w:rsid w:val="4CFBB97C"/>
    <w:rsid w:val="4D6EF44C"/>
    <w:rsid w:val="4EB4648E"/>
    <w:rsid w:val="4F463648"/>
    <w:rsid w:val="4F52C062"/>
    <w:rsid w:val="501E0A54"/>
    <w:rsid w:val="5056EF7A"/>
    <w:rsid w:val="507531DD"/>
    <w:rsid w:val="509E8FA9"/>
    <w:rsid w:val="50B2E527"/>
    <w:rsid w:val="50ED8F1E"/>
    <w:rsid w:val="5107C7C3"/>
    <w:rsid w:val="511EE1E9"/>
    <w:rsid w:val="51316DC6"/>
    <w:rsid w:val="5131B539"/>
    <w:rsid w:val="51888EE7"/>
    <w:rsid w:val="51C43C6F"/>
    <w:rsid w:val="51DE7E67"/>
    <w:rsid w:val="52AF354C"/>
    <w:rsid w:val="52D45313"/>
    <w:rsid w:val="533C8B13"/>
    <w:rsid w:val="53551065"/>
    <w:rsid w:val="53FC9136"/>
    <w:rsid w:val="543049B5"/>
    <w:rsid w:val="54DC6862"/>
    <w:rsid w:val="5552980B"/>
    <w:rsid w:val="5556A47B"/>
    <w:rsid w:val="557F8287"/>
    <w:rsid w:val="559377E8"/>
    <w:rsid w:val="55B6E998"/>
    <w:rsid w:val="5626BB59"/>
    <w:rsid w:val="56F64D91"/>
    <w:rsid w:val="5757ECF9"/>
    <w:rsid w:val="58458026"/>
    <w:rsid w:val="58C4CE9C"/>
    <w:rsid w:val="58CC2C24"/>
    <w:rsid w:val="58EC5305"/>
    <w:rsid w:val="59D7448E"/>
    <w:rsid w:val="5A7081CE"/>
    <w:rsid w:val="5AA28A18"/>
    <w:rsid w:val="5AB626B2"/>
    <w:rsid w:val="5AC10F70"/>
    <w:rsid w:val="5B5E03FB"/>
    <w:rsid w:val="5B66FBDE"/>
    <w:rsid w:val="5BDCCC8A"/>
    <w:rsid w:val="5C3A957D"/>
    <w:rsid w:val="5C7C4B3A"/>
    <w:rsid w:val="5C8134A6"/>
    <w:rsid w:val="5D622005"/>
    <w:rsid w:val="5D8CAD24"/>
    <w:rsid w:val="5E3CF9FA"/>
    <w:rsid w:val="5E838B81"/>
    <w:rsid w:val="5E86C61C"/>
    <w:rsid w:val="5EABB644"/>
    <w:rsid w:val="5ED7EB51"/>
    <w:rsid w:val="5EDF028B"/>
    <w:rsid w:val="5F27ED12"/>
    <w:rsid w:val="5F66DA0F"/>
    <w:rsid w:val="5FA16320"/>
    <w:rsid w:val="606FD15D"/>
    <w:rsid w:val="60EF62D7"/>
    <w:rsid w:val="611089DB"/>
    <w:rsid w:val="618AD030"/>
    <w:rsid w:val="6292755E"/>
    <w:rsid w:val="62CEA6F0"/>
    <w:rsid w:val="63145613"/>
    <w:rsid w:val="63309F9D"/>
    <w:rsid w:val="644E0DE9"/>
    <w:rsid w:val="647D4CB1"/>
    <w:rsid w:val="64D83CD6"/>
    <w:rsid w:val="64F3ECC0"/>
    <w:rsid w:val="657CEBB4"/>
    <w:rsid w:val="65BB46B6"/>
    <w:rsid w:val="66832481"/>
    <w:rsid w:val="66BB7880"/>
    <w:rsid w:val="6714B53A"/>
    <w:rsid w:val="6747E0B7"/>
    <w:rsid w:val="67EBDC21"/>
    <w:rsid w:val="6839664B"/>
    <w:rsid w:val="68A9A4E1"/>
    <w:rsid w:val="68D17271"/>
    <w:rsid w:val="69575168"/>
    <w:rsid w:val="6982687C"/>
    <w:rsid w:val="6A6E5BE4"/>
    <w:rsid w:val="6AE4ACEB"/>
    <w:rsid w:val="6B6D3253"/>
    <w:rsid w:val="6B75C3B2"/>
    <w:rsid w:val="6BD6293D"/>
    <w:rsid w:val="6BEE0080"/>
    <w:rsid w:val="6C09D35F"/>
    <w:rsid w:val="6C2FC19A"/>
    <w:rsid w:val="6D0B0682"/>
    <w:rsid w:val="6D5C7633"/>
    <w:rsid w:val="6D625C1D"/>
    <w:rsid w:val="6DD1D970"/>
    <w:rsid w:val="6DF0B74F"/>
    <w:rsid w:val="6EA30AD3"/>
    <w:rsid w:val="6EF2C3CF"/>
    <w:rsid w:val="6F1458E4"/>
    <w:rsid w:val="6F5B6F87"/>
    <w:rsid w:val="6F634C4C"/>
    <w:rsid w:val="70968DA7"/>
    <w:rsid w:val="709D85E1"/>
    <w:rsid w:val="70AF0C0B"/>
    <w:rsid w:val="70DEDC61"/>
    <w:rsid w:val="7121D126"/>
    <w:rsid w:val="71661774"/>
    <w:rsid w:val="7256064A"/>
    <w:rsid w:val="72F23E0A"/>
    <w:rsid w:val="73153584"/>
    <w:rsid w:val="73451022"/>
    <w:rsid w:val="744B4C64"/>
    <w:rsid w:val="7490FC2D"/>
    <w:rsid w:val="74D494DB"/>
    <w:rsid w:val="754680CE"/>
    <w:rsid w:val="75C9E640"/>
    <w:rsid w:val="76E9AE96"/>
    <w:rsid w:val="777B1A2D"/>
    <w:rsid w:val="77C4F9D2"/>
    <w:rsid w:val="78065348"/>
    <w:rsid w:val="784AA26B"/>
    <w:rsid w:val="7853B47F"/>
    <w:rsid w:val="785C09F3"/>
    <w:rsid w:val="7895E231"/>
    <w:rsid w:val="793C3BF8"/>
    <w:rsid w:val="798F6556"/>
    <w:rsid w:val="7A3AA572"/>
    <w:rsid w:val="7A40889F"/>
    <w:rsid w:val="7A6B00E6"/>
    <w:rsid w:val="7B26C4FB"/>
    <w:rsid w:val="7C26D0FC"/>
    <w:rsid w:val="7C374939"/>
    <w:rsid w:val="7C42CA5F"/>
    <w:rsid w:val="7C4FD72E"/>
    <w:rsid w:val="7C514DDE"/>
    <w:rsid w:val="7DE927E2"/>
    <w:rsid w:val="7DF86F0D"/>
    <w:rsid w:val="7F13B0CB"/>
    <w:rsid w:val="7F3A9519"/>
    <w:rsid w:val="7F4C4253"/>
    <w:rsid w:val="7F610DA3"/>
    <w:rsid w:val="7FAA07B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68B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CAC"/>
    <w:rPr>
      <w:kern w:val="0"/>
      <w14:ligatures w14:val="none"/>
    </w:rPr>
  </w:style>
  <w:style w:type="paragraph" w:styleId="Heading1">
    <w:name w:val="heading 1"/>
    <w:basedOn w:val="Normal"/>
    <w:next w:val="Normal"/>
    <w:link w:val="Heading1Char"/>
    <w:uiPriority w:val="9"/>
    <w:qFormat/>
    <w:rsid w:val="000E7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7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1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1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1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1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1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1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1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1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71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1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1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1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1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1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1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145"/>
    <w:rPr>
      <w:rFonts w:eastAsiaTheme="majorEastAsia" w:cstheme="majorBidi"/>
      <w:color w:val="272727" w:themeColor="text1" w:themeTint="D8"/>
    </w:rPr>
  </w:style>
  <w:style w:type="paragraph" w:styleId="Title">
    <w:name w:val="Title"/>
    <w:basedOn w:val="Normal"/>
    <w:next w:val="Normal"/>
    <w:link w:val="TitleChar"/>
    <w:uiPriority w:val="10"/>
    <w:qFormat/>
    <w:rsid w:val="000E7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1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1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1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145"/>
    <w:pPr>
      <w:spacing w:before="160"/>
      <w:jc w:val="center"/>
    </w:pPr>
    <w:rPr>
      <w:i/>
      <w:iCs/>
      <w:color w:val="404040" w:themeColor="text1" w:themeTint="BF"/>
    </w:rPr>
  </w:style>
  <w:style w:type="character" w:customStyle="1" w:styleId="QuoteChar">
    <w:name w:val="Quote Char"/>
    <w:basedOn w:val="DefaultParagraphFont"/>
    <w:link w:val="Quote"/>
    <w:uiPriority w:val="29"/>
    <w:rsid w:val="000E7145"/>
    <w:rPr>
      <w:i/>
      <w:iCs/>
      <w:color w:val="404040" w:themeColor="text1" w:themeTint="BF"/>
    </w:rPr>
  </w:style>
  <w:style w:type="paragraph" w:styleId="ListParagraph">
    <w:name w:val="List Paragraph"/>
    <w:aliases w:val="List ParaBullet,Dot pt,No Spacing1,List Paragraph Char Char Char,Indicator Text,List Paragraph1,Numbered Para 1,List Paragraph12,Bullet Points,MAIN CONTENT,Bullet 1,F5 List Paragraph,List Paragraph2,OBC Bullet,NomNumb,WB List Paragraph"/>
    <w:basedOn w:val="Normal"/>
    <w:link w:val="ListParagraphChar"/>
    <w:uiPriority w:val="34"/>
    <w:qFormat/>
    <w:rsid w:val="000E7145"/>
    <w:pPr>
      <w:ind w:left="720"/>
      <w:contextualSpacing/>
    </w:pPr>
  </w:style>
  <w:style w:type="character" w:styleId="IntenseEmphasis">
    <w:name w:val="Intense Emphasis"/>
    <w:basedOn w:val="DefaultParagraphFont"/>
    <w:uiPriority w:val="21"/>
    <w:qFormat/>
    <w:rsid w:val="000E7145"/>
    <w:rPr>
      <w:i/>
      <w:iCs/>
      <w:color w:val="0F4761" w:themeColor="accent1" w:themeShade="BF"/>
    </w:rPr>
  </w:style>
  <w:style w:type="paragraph" w:styleId="IntenseQuote">
    <w:name w:val="Intense Quote"/>
    <w:basedOn w:val="Normal"/>
    <w:next w:val="Normal"/>
    <w:link w:val="IntenseQuoteChar"/>
    <w:uiPriority w:val="30"/>
    <w:qFormat/>
    <w:rsid w:val="000E7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145"/>
    <w:rPr>
      <w:i/>
      <w:iCs/>
      <w:color w:val="0F4761" w:themeColor="accent1" w:themeShade="BF"/>
    </w:rPr>
  </w:style>
  <w:style w:type="character" w:styleId="IntenseReference">
    <w:name w:val="Intense Reference"/>
    <w:basedOn w:val="DefaultParagraphFont"/>
    <w:uiPriority w:val="32"/>
    <w:qFormat/>
    <w:rsid w:val="000E7145"/>
    <w:rPr>
      <w:b/>
      <w:bCs/>
      <w:smallCaps/>
      <w:color w:val="0F4761" w:themeColor="accent1" w:themeShade="BF"/>
      <w:spacing w:val="5"/>
    </w:rPr>
  </w:style>
  <w:style w:type="paragraph" w:customStyle="1" w:styleId="Default">
    <w:name w:val="Default"/>
    <w:rsid w:val="000E7145"/>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leGrid">
    <w:name w:val="Table Grid"/>
    <w:basedOn w:val="TableNormal"/>
    <w:uiPriority w:val="39"/>
    <w:rsid w:val="000E714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E71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7145"/>
    <w:rPr>
      <w:kern w:val="0"/>
      <w:sz w:val="20"/>
      <w:szCs w:val="20"/>
      <w14:ligatures w14:val="none"/>
    </w:rPr>
  </w:style>
  <w:style w:type="character" w:styleId="FootnoteReference">
    <w:name w:val="footnote reference"/>
    <w:basedOn w:val="DefaultParagraphFont"/>
    <w:uiPriority w:val="99"/>
    <w:semiHidden/>
    <w:unhideWhenUsed/>
    <w:rsid w:val="000E7145"/>
    <w:rPr>
      <w:vertAlign w:val="superscript"/>
    </w:rPr>
  </w:style>
  <w:style w:type="character" w:customStyle="1" w:styleId="ListParagraphChar">
    <w:name w:val="List Paragraph Char"/>
    <w:aliases w:val="List ParaBullet Char,Dot pt Char,No Spacing1 Char,List Paragraph Char Char Char Char,Indicator Text Char,List Paragraph1 Char,Numbered Para 1 Char,List Paragraph12 Char,Bullet Points Char,MAIN CONTENT Char,Bullet 1 Char,NomNumb Char"/>
    <w:link w:val="ListParagraph"/>
    <w:uiPriority w:val="34"/>
    <w:qFormat/>
    <w:locked/>
    <w:rsid w:val="009E7F1B"/>
    <w:rPr>
      <w:kern w:val="0"/>
      <w14:ligatures w14:val="none"/>
    </w:rPr>
  </w:style>
  <w:style w:type="paragraph" w:styleId="Header">
    <w:name w:val="header"/>
    <w:basedOn w:val="Normal"/>
    <w:link w:val="HeaderChar"/>
    <w:uiPriority w:val="99"/>
    <w:unhideWhenUsed/>
    <w:rsid w:val="00354A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A63"/>
    <w:rPr>
      <w:kern w:val="0"/>
      <w14:ligatures w14:val="none"/>
    </w:rPr>
  </w:style>
  <w:style w:type="paragraph" w:styleId="Footer">
    <w:name w:val="footer"/>
    <w:basedOn w:val="Normal"/>
    <w:link w:val="FooterChar"/>
    <w:uiPriority w:val="99"/>
    <w:unhideWhenUsed/>
    <w:rsid w:val="00354A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A63"/>
    <w:rPr>
      <w:kern w:val="0"/>
      <w14:ligatures w14:val="none"/>
    </w:rPr>
  </w:style>
  <w:style w:type="paragraph" w:styleId="Revision">
    <w:name w:val="Revision"/>
    <w:hidden/>
    <w:uiPriority w:val="99"/>
    <w:semiHidden/>
    <w:rsid w:val="008A5472"/>
    <w:pPr>
      <w:spacing w:after="0" w:line="240" w:lineRule="auto"/>
    </w:pPr>
    <w:rPr>
      <w:kern w:val="0"/>
      <w14:ligatures w14:val="none"/>
    </w:rPr>
  </w:style>
  <w:style w:type="character" w:styleId="CommentReference">
    <w:name w:val="annotation reference"/>
    <w:basedOn w:val="DefaultParagraphFont"/>
    <w:uiPriority w:val="99"/>
    <w:semiHidden/>
    <w:unhideWhenUsed/>
    <w:rsid w:val="005110E1"/>
    <w:rPr>
      <w:sz w:val="16"/>
      <w:szCs w:val="16"/>
    </w:rPr>
  </w:style>
  <w:style w:type="paragraph" w:styleId="CommentText">
    <w:name w:val="annotation text"/>
    <w:basedOn w:val="Normal"/>
    <w:link w:val="CommentTextChar"/>
    <w:uiPriority w:val="99"/>
    <w:unhideWhenUsed/>
    <w:rsid w:val="005110E1"/>
    <w:pPr>
      <w:spacing w:line="240" w:lineRule="auto"/>
    </w:pPr>
    <w:rPr>
      <w:sz w:val="20"/>
      <w:szCs w:val="20"/>
    </w:rPr>
  </w:style>
  <w:style w:type="character" w:customStyle="1" w:styleId="CommentTextChar">
    <w:name w:val="Comment Text Char"/>
    <w:basedOn w:val="DefaultParagraphFont"/>
    <w:link w:val="CommentText"/>
    <w:uiPriority w:val="99"/>
    <w:rsid w:val="005110E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110E1"/>
    <w:rPr>
      <w:b/>
      <w:bCs/>
    </w:rPr>
  </w:style>
  <w:style w:type="character" w:customStyle="1" w:styleId="CommentSubjectChar">
    <w:name w:val="Comment Subject Char"/>
    <w:basedOn w:val="CommentTextChar"/>
    <w:link w:val="CommentSubject"/>
    <w:uiPriority w:val="99"/>
    <w:semiHidden/>
    <w:rsid w:val="005110E1"/>
    <w:rPr>
      <w:b/>
      <w:bCs/>
      <w:kern w:val="0"/>
      <w:sz w:val="20"/>
      <w:szCs w:val="20"/>
      <w14:ligatures w14:val="none"/>
    </w:rPr>
  </w:style>
  <w:style w:type="character" w:styleId="Hyperlink">
    <w:name w:val="Hyperlink"/>
    <w:basedOn w:val="DefaultParagraphFont"/>
    <w:uiPriority w:val="99"/>
    <w:unhideWhenUsed/>
    <w:rsid w:val="00C61499"/>
    <w:rPr>
      <w:color w:val="467886" w:themeColor="hyperlink"/>
      <w:u w:val="single"/>
    </w:rPr>
  </w:style>
  <w:style w:type="character" w:styleId="UnresolvedMention">
    <w:name w:val="Unresolved Mention"/>
    <w:basedOn w:val="DefaultParagraphFont"/>
    <w:uiPriority w:val="99"/>
    <w:semiHidden/>
    <w:unhideWhenUsed/>
    <w:rsid w:val="00C61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0a6645-df8a-461f-957a-aeb16698bd53}" enabled="1" method="Privileged" siteId="{9b7f23b3-0e83-47a5-8a40-ffa8a6fea536}" removed="0"/>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2821</Words>
  <Characters>16082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High-Level Evaluation of the ILO’s Better Work Programme (2014-25) with a focus on Phase V Strategy (2022-2027)</dc:title>
  <dc:subject/>
  <dc:creator/>
  <cp:keywords/>
  <dc:description/>
  <cp:lastModifiedBy/>
  <cp:revision>1</cp:revision>
  <dcterms:created xsi:type="dcterms:W3CDTF">2026-06-09T04:43:00Z</dcterms:created>
  <dcterms:modified xsi:type="dcterms:W3CDTF">2026-06-09T04:43:00Z</dcterms:modified>
  <cp:category/>
</cp:coreProperties>
</file>