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5AEB7" w14:textId="4C9F18F5" w:rsidR="00DD1054" w:rsidRPr="00AE46F9" w:rsidRDefault="00454E99" w:rsidP="00AE46F9">
      <w:pPr>
        <w:pStyle w:val="Heading1"/>
      </w:pPr>
      <w:r w:rsidRPr="00AE46F9">
        <w:t xml:space="preserve">Recommendations and DFAT Management </w:t>
      </w:r>
      <w:r w:rsidR="00CE1C91" w:rsidRPr="00AE46F9">
        <w:t>R</w:t>
      </w:r>
      <w:r w:rsidR="00DD1054" w:rsidRPr="00AE46F9">
        <w:t>esponse</w:t>
      </w:r>
      <w:r w:rsidR="00CE1C91" w:rsidRPr="00AE46F9">
        <w:t xml:space="preserve"> arising from the G</w:t>
      </w:r>
      <w:r w:rsidR="00765FE6" w:rsidRPr="00AE46F9">
        <w:t xml:space="preserve">lobal Facility for Disaster Reduction and Recovery </w:t>
      </w:r>
      <w:r w:rsidR="00DD1054" w:rsidRPr="00AE46F9">
        <w:t>Mid Term Evaluation:</w:t>
      </w:r>
    </w:p>
    <w:p w14:paraId="2F2C80AB" w14:textId="4DC65814" w:rsidR="00DD1054" w:rsidRPr="00F6353E" w:rsidRDefault="00DD1054" w:rsidP="00DD1054">
      <w:pPr>
        <w:rPr>
          <w:rFonts w:ascii="Calibri Light" w:hAnsi="Calibri Light" w:cs="Calibri Light"/>
          <w:sz w:val="24"/>
          <w:szCs w:val="24"/>
        </w:rPr>
      </w:pPr>
      <w:r w:rsidRPr="00F6353E">
        <w:rPr>
          <w:rFonts w:ascii="Calibri Light" w:hAnsi="Calibri Light" w:cs="Calibri Light"/>
          <w:sz w:val="24"/>
          <w:szCs w:val="24"/>
        </w:rPr>
        <w:t>DFAT accept</w:t>
      </w:r>
      <w:r w:rsidR="00E417F3">
        <w:rPr>
          <w:rFonts w:ascii="Calibri Light" w:hAnsi="Calibri Light" w:cs="Calibri Light"/>
          <w:sz w:val="24"/>
          <w:szCs w:val="24"/>
        </w:rPr>
        <w:t>s the</w:t>
      </w:r>
      <w:r w:rsidRPr="00F6353E">
        <w:rPr>
          <w:rFonts w:ascii="Calibri Light" w:hAnsi="Calibri Light" w:cs="Calibri Light"/>
          <w:sz w:val="24"/>
          <w:szCs w:val="24"/>
        </w:rPr>
        <w:t xml:space="preserve"> Evaluation</w:t>
      </w:r>
      <w:r w:rsidR="00E417F3">
        <w:rPr>
          <w:rFonts w:ascii="Calibri Light" w:hAnsi="Calibri Light" w:cs="Calibri Light"/>
          <w:sz w:val="24"/>
          <w:szCs w:val="24"/>
        </w:rPr>
        <w:t xml:space="preserve"> </w:t>
      </w:r>
      <w:r w:rsidRPr="00F6353E">
        <w:rPr>
          <w:rFonts w:ascii="Calibri Light" w:hAnsi="Calibri Light" w:cs="Calibri Light"/>
          <w:sz w:val="24"/>
          <w:szCs w:val="24"/>
        </w:rPr>
        <w:t>findings and</w:t>
      </w:r>
      <w:r w:rsidR="00E417F3">
        <w:rPr>
          <w:rFonts w:ascii="Calibri Light" w:hAnsi="Calibri Light" w:cs="Calibri Light"/>
          <w:sz w:val="24"/>
          <w:szCs w:val="24"/>
        </w:rPr>
        <w:t xml:space="preserve"> agrees with</w:t>
      </w:r>
      <w:r w:rsidRPr="00F6353E">
        <w:rPr>
          <w:rFonts w:ascii="Calibri Light" w:hAnsi="Calibri Light" w:cs="Calibri Light"/>
          <w:sz w:val="24"/>
          <w:szCs w:val="24"/>
        </w:rPr>
        <w:t xml:space="preserve"> </w:t>
      </w:r>
      <w:r w:rsidR="00E417F3">
        <w:rPr>
          <w:rFonts w:ascii="Calibri Light" w:hAnsi="Calibri Light" w:cs="Calibri Light"/>
          <w:sz w:val="24"/>
          <w:szCs w:val="24"/>
        </w:rPr>
        <w:t>the</w:t>
      </w:r>
      <w:r w:rsidRPr="00F6353E">
        <w:rPr>
          <w:rFonts w:ascii="Calibri Light" w:hAnsi="Calibri Light" w:cs="Calibri Light"/>
          <w:sz w:val="24"/>
          <w:szCs w:val="24"/>
        </w:rPr>
        <w:t xml:space="preserve"> five </w:t>
      </w:r>
      <w:r w:rsidR="00E417F3">
        <w:rPr>
          <w:rFonts w:ascii="Calibri Light" w:hAnsi="Calibri Light" w:cs="Calibri Light"/>
          <w:sz w:val="24"/>
          <w:szCs w:val="24"/>
        </w:rPr>
        <w:t>r</w:t>
      </w:r>
      <w:r w:rsidRPr="00F6353E">
        <w:rPr>
          <w:rFonts w:ascii="Calibri Light" w:hAnsi="Calibri Light" w:cs="Calibri Light"/>
          <w:sz w:val="24"/>
          <w:szCs w:val="24"/>
        </w:rPr>
        <w:t>ecommendations</w:t>
      </w:r>
      <w:r w:rsidR="00E417F3">
        <w:rPr>
          <w:rFonts w:ascii="Calibri Light" w:hAnsi="Calibri Light" w:cs="Calibri Light"/>
          <w:sz w:val="24"/>
          <w:szCs w:val="24"/>
        </w:rPr>
        <w:t xml:space="preserve"> proposed</w:t>
      </w:r>
      <w:r w:rsidRPr="00F6353E">
        <w:rPr>
          <w:rFonts w:ascii="Calibri Light" w:hAnsi="Calibri Light" w:cs="Calibri Light"/>
          <w:sz w:val="24"/>
          <w:szCs w:val="24"/>
        </w:rPr>
        <w:t>.</w:t>
      </w:r>
    </w:p>
    <w:p w14:paraId="2462810B" w14:textId="6C7BCDDD" w:rsidR="00967611" w:rsidRPr="00F6353E" w:rsidRDefault="00DD1054" w:rsidP="00DD1054">
      <w:pPr>
        <w:rPr>
          <w:rFonts w:ascii="Calibri Light" w:hAnsi="Calibri Light" w:cs="Calibri Light"/>
          <w:sz w:val="24"/>
          <w:szCs w:val="24"/>
        </w:rPr>
      </w:pPr>
      <w:r w:rsidRPr="00F6353E">
        <w:rPr>
          <w:rFonts w:ascii="Calibri Light" w:hAnsi="Calibri Light" w:cs="Calibri Light"/>
          <w:sz w:val="24"/>
          <w:szCs w:val="24"/>
        </w:rPr>
        <w:t>DFAT welcomes the Evaluation’s findings about</w:t>
      </w:r>
      <w:r w:rsidR="00EB0659" w:rsidRPr="00F6353E">
        <w:rPr>
          <w:rFonts w:ascii="Calibri Light" w:hAnsi="Calibri Light" w:cs="Calibri Light"/>
          <w:sz w:val="24"/>
          <w:szCs w:val="24"/>
        </w:rPr>
        <w:t xml:space="preserve"> GFDRR’s progress in implementing its strategy; the extent to which GFDRR has contributed to client countries’ alignment with the Sendai Framework Principles and results; and recommendations to strengthen the program and its operations. </w:t>
      </w:r>
      <w:r w:rsidR="00967611" w:rsidRPr="00F6353E">
        <w:rPr>
          <w:rFonts w:ascii="Calibri Light" w:hAnsi="Calibri Light" w:cs="Calibri Light"/>
          <w:sz w:val="24"/>
          <w:szCs w:val="24"/>
        </w:rPr>
        <w:t xml:space="preserve">DFAT notes that </w:t>
      </w:r>
      <w:r w:rsidR="00EB0659" w:rsidRPr="00F6353E">
        <w:rPr>
          <w:rFonts w:ascii="Calibri Light" w:hAnsi="Calibri Light" w:cs="Calibri Light"/>
          <w:sz w:val="24"/>
          <w:szCs w:val="24"/>
        </w:rPr>
        <w:t>evaluation’s scope focused on the GFDRR Umbrella Program and grants approved in FY22 and FY23 (1 July 2021 through 30 June 2023</w:t>
      </w:r>
      <w:r w:rsidR="00394175">
        <w:rPr>
          <w:rFonts w:ascii="Calibri Light" w:hAnsi="Calibri Light" w:cs="Calibri Light"/>
          <w:sz w:val="24"/>
          <w:szCs w:val="24"/>
        </w:rPr>
        <w:t>)</w:t>
      </w:r>
      <w:r w:rsidR="00967611" w:rsidRPr="00F6353E">
        <w:rPr>
          <w:rFonts w:ascii="Calibri Light" w:hAnsi="Calibri Light" w:cs="Calibri Light"/>
          <w:sz w:val="24"/>
          <w:szCs w:val="24"/>
        </w:rPr>
        <w:t xml:space="preserve">. </w:t>
      </w:r>
    </w:p>
    <w:p w14:paraId="120BE4F7" w14:textId="12AC902C" w:rsidR="00DD1054" w:rsidRPr="00F6353E" w:rsidRDefault="00967611" w:rsidP="00DD1054">
      <w:pPr>
        <w:rPr>
          <w:rFonts w:ascii="Calibri Light" w:hAnsi="Calibri Light" w:cs="Calibri Light"/>
          <w:sz w:val="24"/>
          <w:szCs w:val="24"/>
        </w:rPr>
      </w:pPr>
      <w:r w:rsidRPr="00F6353E">
        <w:rPr>
          <w:rFonts w:ascii="Calibri Light" w:hAnsi="Calibri Light" w:cs="Calibri Light"/>
          <w:sz w:val="24"/>
          <w:szCs w:val="24"/>
        </w:rPr>
        <w:t xml:space="preserve">The evaluation </w:t>
      </w:r>
      <w:r w:rsidR="00DD1054" w:rsidRPr="00F6353E">
        <w:rPr>
          <w:rFonts w:ascii="Calibri Light" w:hAnsi="Calibri Light" w:cs="Calibri Light"/>
          <w:sz w:val="24"/>
          <w:szCs w:val="24"/>
        </w:rPr>
        <w:t xml:space="preserve">aligns with Australia’s experience </w:t>
      </w:r>
      <w:r w:rsidR="007D094E" w:rsidRPr="00F6353E">
        <w:rPr>
          <w:rFonts w:ascii="Calibri Light" w:hAnsi="Calibri Light" w:cs="Calibri Light"/>
          <w:sz w:val="24"/>
          <w:szCs w:val="24"/>
        </w:rPr>
        <w:t xml:space="preserve">operating </w:t>
      </w:r>
      <w:r w:rsidR="00DD1054" w:rsidRPr="00F6353E">
        <w:rPr>
          <w:rFonts w:ascii="Calibri Light" w:hAnsi="Calibri Light" w:cs="Calibri Light"/>
          <w:sz w:val="24"/>
          <w:szCs w:val="24"/>
        </w:rPr>
        <w:t>with</w:t>
      </w:r>
      <w:r w:rsidRPr="00F6353E">
        <w:rPr>
          <w:rFonts w:ascii="Calibri Light" w:hAnsi="Calibri Light" w:cs="Calibri Light"/>
          <w:sz w:val="24"/>
          <w:szCs w:val="24"/>
        </w:rPr>
        <w:t>in the GFDRR</w:t>
      </w:r>
      <w:r w:rsidR="00647502">
        <w:rPr>
          <w:rFonts w:ascii="Calibri Light" w:hAnsi="Calibri Light" w:cs="Calibri Light"/>
          <w:sz w:val="24"/>
          <w:szCs w:val="24"/>
        </w:rPr>
        <w:t xml:space="preserve"> overall</w:t>
      </w:r>
      <w:r w:rsidR="00DD1054" w:rsidRPr="00F6353E">
        <w:rPr>
          <w:rFonts w:ascii="Calibri Light" w:hAnsi="Calibri Light" w:cs="Calibri Light"/>
          <w:sz w:val="24"/>
          <w:szCs w:val="24"/>
        </w:rPr>
        <w:t xml:space="preserve"> </w:t>
      </w:r>
      <w:r w:rsidR="007D094E" w:rsidRPr="00F6353E">
        <w:rPr>
          <w:rFonts w:ascii="Calibri Light" w:hAnsi="Calibri Light" w:cs="Calibri Light"/>
          <w:sz w:val="24"/>
          <w:szCs w:val="24"/>
        </w:rPr>
        <w:t>governance framework</w:t>
      </w:r>
      <w:r w:rsidR="00DD1054" w:rsidRPr="00F6353E">
        <w:rPr>
          <w:rFonts w:ascii="Calibri Light" w:hAnsi="Calibri Light" w:cs="Calibri Light"/>
          <w:sz w:val="24"/>
          <w:szCs w:val="24"/>
        </w:rPr>
        <w:t xml:space="preserve"> and</w:t>
      </w:r>
      <w:r w:rsidR="00647502">
        <w:rPr>
          <w:rFonts w:ascii="Calibri Light" w:hAnsi="Calibri Light" w:cs="Calibri Light"/>
          <w:sz w:val="24"/>
          <w:szCs w:val="24"/>
        </w:rPr>
        <w:t>, as a result, DFAT built in additional evidence and reporting to adequately</w:t>
      </w:r>
      <w:r w:rsidRPr="00F6353E">
        <w:rPr>
          <w:rFonts w:ascii="Calibri Light" w:hAnsi="Calibri Light" w:cs="Calibri Light"/>
          <w:sz w:val="24"/>
          <w:szCs w:val="24"/>
        </w:rPr>
        <w:t xml:space="preserve"> monitor</w:t>
      </w:r>
      <w:r w:rsidR="00647502">
        <w:rPr>
          <w:rFonts w:ascii="Calibri Light" w:hAnsi="Calibri Light" w:cs="Calibri Light"/>
          <w:sz w:val="24"/>
          <w:szCs w:val="24"/>
        </w:rPr>
        <w:t xml:space="preserve"> and report on funded</w:t>
      </w:r>
      <w:r w:rsidRPr="00F6353E">
        <w:rPr>
          <w:rFonts w:ascii="Calibri Light" w:hAnsi="Calibri Light" w:cs="Calibri Light"/>
          <w:sz w:val="24"/>
          <w:szCs w:val="24"/>
        </w:rPr>
        <w:t xml:space="preserve"> </w:t>
      </w:r>
      <w:r w:rsidR="00DD1054" w:rsidRPr="00F6353E">
        <w:rPr>
          <w:rFonts w:ascii="Calibri Light" w:hAnsi="Calibri Light" w:cs="Calibri Light"/>
          <w:sz w:val="24"/>
          <w:szCs w:val="24"/>
        </w:rPr>
        <w:t>activities in the Indo-Pacific.</w:t>
      </w:r>
      <w:r w:rsidRPr="00F6353E">
        <w:rPr>
          <w:rFonts w:ascii="Calibri Light" w:hAnsi="Calibri Light" w:cs="Calibri Light"/>
          <w:sz w:val="24"/>
          <w:szCs w:val="24"/>
        </w:rPr>
        <w:t xml:space="preserve"> </w:t>
      </w:r>
      <w:r w:rsidR="00DD1054" w:rsidRPr="00F6353E">
        <w:rPr>
          <w:rFonts w:ascii="Calibri Light" w:hAnsi="Calibri Light" w:cs="Calibri Light"/>
          <w:sz w:val="24"/>
          <w:szCs w:val="24"/>
        </w:rPr>
        <w:t xml:space="preserve">DFAT is an active participant in </w:t>
      </w:r>
      <w:r w:rsidR="00DD1054" w:rsidRPr="00647502">
        <w:rPr>
          <w:rFonts w:ascii="Calibri Light" w:hAnsi="Calibri Light" w:cs="Calibri Light"/>
          <w:sz w:val="24"/>
          <w:szCs w:val="24"/>
        </w:rPr>
        <w:t xml:space="preserve">the GFDRR </w:t>
      </w:r>
      <w:r w:rsidR="007D094E" w:rsidRPr="00647502">
        <w:rPr>
          <w:rFonts w:ascii="Calibri Light" w:hAnsi="Calibri Light" w:cs="Calibri Light"/>
          <w:sz w:val="24"/>
          <w:szCs w:val="24"/>
        </w:rPr>
        <w:t>Partnership Council</w:t>
      </w:r>
      <w:r w:rsidR="00DD1054" w:rsidRPr="00647502">
        <w:rPr>
          <w:rFonts w:ascii="Calibri Light" w:hAnsi="Calibri Light" w:cs="Calibri Light"/>
          <w:sz w:val="24"/>
          <w:szCs w:val="24"/>
        </w:rPr>
        <w:t xml:space="preserve"> and</w:t>
      </w:r>
      <w:r w:rsidR="00DD1054" w:rsidRPr="00F6353E">
        <w:rPr>
          <w:rFonts w:ascii="Calibri Light" w:hAnsi="Calibri Light" w:cs="Calibri Light"/>
          <w:sz w:val="24"/>
          <w:szCs w:val="24"/>
        </w:rPr>
        <w:t xml:space="preserve"> was involved actively in the Evaluation of the program and in discussions about its recommendations.</w:t>
      </w:r>
    </w:p>
    <w:tbl>
      <w:tblPr>
        <w:tblStyle w:val="TableGrid"/>
        <w:tblW w:w="15168" w:type="dxa"/>
        <w:tblInd w:w="-714" w:type="dxa"/>
        <w:tblLook w:val="04A0" w:firstRow="1" w:lastRow="0" w:firstColumn="1" w:lastColumn="0" w:noHBand="0" w:noVBand="1"/>
      </w:tblPr>
      <w:tblGrid>
        <w:gridCol w:w="2265"/>
        <w:gridCol w:w="1138"/>
        <w:gridCol w:w="6520"/>
        <w:gridCol w:w="2980"/>
        <w:gridCol w:w="2265"/>
      </w:tblGrid>
      <w:tr w:rsidR="00DD1054" w:rsidRPr="00F6353E" w14:paraId="39078123" w14:textId="77777777" w:rsidTr="00AE46F9">
        <w:trPr>
          <w:tblHeader/>
        </w:trPr>
        <w:tc>
          <w:tcPr>
            <w:tcW w:w="2265" w:type="dxa"/>
            <w:shd w:val="clear" w:color="auto" w:fill="BFBFBF" w:themeFill="background1" w:themeFillShade="BF"/>
          </w:tcPr>
          <w:p w14:paraId="24CFEDC2" w14:textId="50D9ACFE" w:rsidR="00DD1054" w:rsidRPr="00F6353E" w:rsidRDefault="00DD1054" w:rsidP="00037BD8">
            <w:pPr>
              <w:rPr>
                <w:rFonts w:ascii="Calibri Light" w:hAnsi="Calibri Light" w:cs="Calibri Light"/>
                <w:b/>
                <w:bCs/>
                <w:sz w:val="24"/>
                <w:szCs w:val="24"/>
              </w:rPr>
            </w:pPr>
            <w:r w:rsidRPr="00F6353E">
              <w:rPr>
                <w:rFonts w:ascii="Calibri Light" w:hAnsi="Calibri Light" w:cs="Calibri Light"/>
                <w:b/>
                <w:bCs/>
                <w:sz w:val="24"/>
                <w:szCs w:val="24"/>
              </w:rPr>
              <w:t>Recommendation</w:t>
            </w:r>
          </w:p>
        </w:tc>
        <w:tc>
          <w:tcPr>
            <w:tcW w:w="1138" w:type="dxa"/>
            <w:shd w:val="clear" w:color="auto" w:fill="BFBFBF" w:themeFill="background1" w:themeFillShade="BF"/>
          </w:tcPr>
          <w:p w14:paraId="57E0F68E" w14:textId="710FC3A4" w:rsidR="00DD1054" w:rsidRPr="00F6353E" w:rsidRDefault="00DD1054" w:rsidP="00037BD8">
            <w:pPr>
              <w:rPr>
                <w:rFonts w:ascii="Calibri Light" w:hAnsi="Calibri Light" w:cs="Calibri Light"/>
                <w:b/>
                <w:bCs/>
                <w:sz w:val="24"/>
                <w:szCs w:val="24"/>
              </w:rPr>
            </w:pPr>
            <w:r w:rsidRPr="00F6353E">
              <w:rPr>
                <w:rFonts w:ascii="Calibri Light" w:hAnsi="Calibri Light" w:cs="Calibri Light"/>
                <w:b/>
                <w:bCs/>
                <w:sz w:val="24"/>
                <w:szCs w:val="24"/>
              </w:rPr>
              <w:t>Response</w:t>
            </w:r>
          </w:p>
        </w:tc>
        <w:tc>
          <w:tcPr>
            <w:tcW w:w="6520" w:type="dxa"/>
            <w:shd w:val="clear" w:color="auto" w:fill="BFBFBF" w:themeFill="background1" w:themeFillShade="BF"/>
          </w:tcPr>
          <w:p w14:paraId="6C5F7F93" w14:textId="726A8460" w:rsidR="00DD1054" w:rsidRPr="00F6353E" w:rsidRDefault="00DD1054" w:rsidP="00037BD8">
            <w:pPr>
              <w:rPr>
                <w:rFonts w:ascii="Calibri Light" w:hAnsi="Calibri Light" w:cs="Calibri Light"/>
                <w:b/>
                <w:bCs/>
                <w:sz w:val="24"/>
                <w:szCs w:val="24"/>
              </w:rPr>
            </w:pPr>
            <w:r w:rsidRPr="00F6353E">
              <w:rPr>
                <w:rFonts w:ascii="Calibri Light" w:hAnsi="Calibri Light" w:cs="Calibri Light"/>
                <w:b/>
                <w:bCs/>
                <w:sz w:val="24"/>
                <w:szCs w:val="24"/>
              </w:rPr>
              <w:t>GFDRR Management Response</w:t>
            </w:r>
          </w:p>
        </w:tc>
        <w:tc>
          <w:tcPr>
            <w:tcW w:w="2980" w:type="dxa"/>
            <w:shd w:val="clear" w:color="auto" w:fill="BFBFBF" w:themeFill="background1" w:themeFillShade="BF"/>
          </w:tcPr>
          <w:p w14:paraId="26AE0A03" w14:textId="07E4D21C" w:rsidR="00DD1054" w:rsidRPr="00F6353E" w:rsidRDefault="00DD1054" w:rsidP="00037BD8">
            <w:pPr>
              <w:rPr>
                <w:rFonts w:ascii="Calibri Light" w:hAnsi="Calibri Light" w:cs="Calibri Light"/>
                <w:b/>
                <w:bCs/>
                <w:sz w:val="24"/>
                <w:szCs w:val="24"/>
              </w:rPr>
            </w:pPr>
            <w:r w:rsidRPr="00F6353E">
              <w:rPr>
                <w:rFonts w:ascii="Calibri Light" w:hAnsi="Calibri Light" w:cs="Calibri Light"/>
                <w:b/>
                <w:bCs/>
                <w:sz w:val="24"/>
                <w:szCs w:val="24"/>
              </w:rPr>
              <w:t>DFAT Response</w:t>
            </w:r>
          </w:p>
        </w:tc>
        <w:tc>
          <w:tcPr>
            <w:tcW w:w="2265" w:type="dxa"/>
            <w:shd w:val="clear" w:color="auto" w:fill="BFBFBF" w:themeFill="background1" w:themeFillShade="BF"/>
          </w:tcPr>
          <w:p w14:paraId="7DC2E63C" w14:textId="017A445F" w:rsidR="00DD1054" w:rsidRPr="00F6353E" w:rsidRDefault="00DD1054" w:rsidP="00037BD8">
            <w:pPr>
              <w:rPr>
                <w:rFonts w:ascii="Calibri Light" w:hAnsi="Calibri Light" w:cs="Calibri Light"/>
                <w:b/>
                <w:bCs/>
                <w:sz w:val="24"/>
                <w:szCs w:val="24"/>
              </w:rPr>
            </w:pPr>
            <w:r w:rsidRPr="00F6353E">
              <w:rPr>
                <w:rFonts w:ascii="Calibri Light" w:hAnsi="Calibri Light" w:cs="Calibri Light"/>
                <w:b/>
                <w:bCs/>
                <w:sz w:val="24"/>
                <w:szCs w:val="24"/>
              </w:rPr>
              <w:t>Timeframe</w:t>
            </w:r>
          </w:p>
        </w:tc>
      </w:tr>
      <w:tr w:rsidR="00DD1054" w:rsidRPr="00F6353E" w14:paraId="7BF40424" w14:textId="77777777" w:rsidTr="00950954">
        <w:tc>
          <w:tcPr>
            <w:tcW w:w="2265" w:type="dxa"/>
          </w:tcPr>
          <w:p w14:paraId="6FF1E092" w14:textId="51C490EF" w:rsidR="00DD1054" w:rsidRPr="00F6353E" w:rsidRDefault="00DD1054" w:rsidP="00037BD8">
            <w:pPr>
              <w:rPr>
                <w:rFonts w:ascii="Calibri Light" w:hAnsi="Calibri Light" w:cs="Calibri Light"/>
                <w:sz w:val="24"/>
                <w:szCs w:val="24"/>
              </w:rPr>
            </w:pPr>
            <w:r w:rsidRPr="00F6353E">
              <w:rPr>
                <w:rFonts w:ascii="Calibri Light" w:hAnsi="Calibri Light" w:cs="Calibri Light"/>
                <w:sz w:val="24"/>
                <w:szCs w:val="24"/>
              </w:rPr>
              <w:t>RECOMMENDATION 1: The PC and PMU should strategically consider the balance in GFDRR’s operating model between inward focus on delivering concrete results in countries and external partnerships and presence.</w:t>
            </w:r>
          </w:p>
        </w:tc>
        <w:tc>
          <w:tcPr>
            <w:tcW w:w="1138" w:type="dxa"/>
            <w:shd w:val="clear" w:color="auto" w:fill="47D459" w:themeFill="accent3" w:themeFillTint="99"/>
          </w:tcPr>
          <w:p w14:paraId="2D413E78" w14:textId="3639FFBF" w:rsidR="00DD1054" w:rsidRPr="00F6353E" w:rsidRDefault="00AA6B46" w:rsidP="00037BD8">
            <w:pPr>
              <w:rPr>
                <w:rFonts w:ascii="Calibri Light" w:hAnsi="Calibri Light" w:cs="Calibri Light"/>
                <w:sz w:val="24"/>
                <w:szCs w:val="24"/>
              </w:rPr>
            </w:pPr>
            <w:r w:rsidRPr="00F6353E">
              <w:rPr>
                <w:rFonts w:ascii="Calibri Light" w:hAnsi="Calibri Light" w:cs="Calibri Light"/>
                <w:sz w:val="24"/>
                <w:szCs w:val="24"/>
              </w:rPr>
              <w:t>Agree</w:t>
            </w:r>
          </w:p>
        </w:tc>
        <w:tc>
          <w:tcPr>
            <w:tcW w:w="6520" w:type="dxa"/>
          </w:tcPr>
          <w:p w14:paraId="3FF52156" w14:textId="64D846EB" w:rsidR="006855BE" w:rsidRPr="00F6353E" w:rsidRDefault="00A83858" w:rsidP="00037BD8">
            <w:pPr>
              <w:rPr>
                <w:rFonts w:ascii="Calibri Light" w:hAnsi="Calibri Light" w:cs="Calibri Light"/>
                <w:sz w:val="24"/>
                <w:szCs w:val="24"/>
              </w:rPr>
            </w:pPr>
            <w:r w:rsidRPr="00F6353E">
              <w:rPr>
                <w:rFonts w:ascii="Calibri Light" w:hAnsi="Calibri Light" w:cs="Calibri Light"/>
                <w:sz w:val="24"/>
                <w:szCs w:val="24"/>
              </w:rPr>
              <w:t xml:space="preserve">The evaluation findings strongly </w:t>
            </w:r>
            <w:r w:rsidR="006855BE" w:rsidRPr="00F6353E">
              <w:rPr>
                <w:rFonts w:ascii="Calibri Light" w:hAnsi="Calibri Light" w:cs="Calibri Light"/>
                <w:sz w:val="24"/>
                <w:szCs w:val="24"/>
              </w:rPr>
              <w:t>d</w:t>
            </w:r>
            <w:r w:rsidR="009922B3" w:rsidRPr="00F6353E">
              <w:rPr>
                <w:rFonts w:ascii="Calibri Light" w:hAnsi="Calibri Light" w:cs="Calibri Light"/>
                <w:sz w:val="24"/>
                <w:szCs w:val="24"/>
              </w:rPr>
              <w:t>emonstrate</w:t>
            </w:r>
            <w:r w:rsidRPr="00F6353E">
              <w:rPr>
                <w:rFonts w:ascii="Calibri Light" w:hAnsi="Calibri Light" w:cs="Calibri Light"/>
                <w:sz w:val="24"/>
                <w:szCs w:val="24"/>
              </w:rPr>
              <w:t xml:space="preserve"> GFDRR’s</w:t>
            </w:r>
            <w:r w:rsidR="009922B3" w:rsidRPr="00F6353E">
              <w:rPr>
                <w:rFonts w:ascii="Calibri Light" w:hAnsi="Calibri Light" w:cs="Calibri Light"/>
                <w:sz w:val="24"/>
                <w:szCs w:val="24"/>
              </w:rPr>
              <w:t xml:space="preserve"> intentional</w:t>
            </w:r>
            <w:r w:rsidRPr="00F6353E">
              <w:rPr>
                <w:rFonts w:ascii="Calibri Light" w:hAnsi="Calibri Light" w:cs="Calibri Light"/>
                <w:sz w:val="24"/>
                <w:szCs w:val="24"/>
              </w:rPr>
              <w:t xml:space="preserve"> shift toward str</w:t>
            </w:r>
            <w:r w:rsidR="006855BE" w:rsidRPr="00F6353E">
              <w:rPr>
                <w:rFonts w:ascii="Calibri Light" w:hAnsi="Calibri Light" w:cs="Calibri Light"/>
                <w:sz w:val="24"/>
                <w:szCs w:val="24"/>
              </w:rPr>
              <w:t>engthening</w:t>
            </w:r>
            <w:r w:rsidRPr="00F6353E">
              <w:rPr>
                <w:rFonts w:ascii="Calibri Light" w:hAnsi="Calibri Light" w:cs="Calibri Light"/>
                <w:sz w:val="24"/>
                <w:szCs w:val="24"/>
              </w:rPr>
              <w:t xml:space="preserve"> operational relevance and linkages with World Bank lending operations. </w:t>
            </w:r>
          </w:p>
          <w:p w14:paraId="17765058" w14:textId="77777777" w:rsidR="006855BE" w:rsidRPr="00F6353E" w:rsidRDefault="006855BE" w:rsidP="00037BD8">
            <w:pPr>
              <w:rPr>
                <w:rFonts w:ascii="Calibri Light" w:hAnsi="Calibri Light" w:cs="Calibri Light"/>
                <w:sz w:val="24"/>
                <w:szCs w:val="24"/>
              </w:rPr>
            </w:pPr>
          </w:p>
          <w:p w14:paraId="3B065E21" w14:textId="288849CC" w:rsidR="00DD1054" w:rsidRPr="00F6353E" w:rsidRDefault="00A83858" w:rsidP="00037BD8">
            <w:pPr>
              <w:rPr>
                <w:rFonts w:ascii="Calibri Light" w:hAnsi="Calibri Light" w:cs="Calibri Light"/>
                <w:sz w:val="24"/>
                <w:szCs w:val="24"/>
              </w:rPr>
            </w:pPr>
            <w:r w:rsidRPr="00F6353E">
              <w:rPr>
                <w:rFonts w:ascii="Calibri Light" w:hAnsi="Calibri Light" w:cs="Calibri Light"/>
                <w:sz w:val="24"/>
                <w:szCs w:val="24"/>
              </w:rPr>
              <w:t xml:space="preserve">To some extent, however, this shift has contributed to stakeholders’ perception that GFDRR’s role as a global leader on DRR and its engagement in global institutional partnerships has diminished. Promoting external visibility, maintaining institutional partnerships, and developing global public goods requires time and resources—which could otherwise be spent on grants to develop country- and project-specific assistance that has a more direct link to DRR outcomes and results on the ground. Hence, there is an evident trade-off that requires constant balancing and calibration between global public good contributions and local and national level contributions to outcomes and impact. At a global level GFDRR currently is prioritizing presence and participating in the G20 DRR Working Group, the Climate COPs, </w:t>
            </w:r>
            <w:r w:rsidRPr="00F6353E">
              <w:rPr>
                <w:rFonts w:ascii="Calibri Light" w:hAnsi="Calibri Light" w:cs="Calibri Light"/>
                <w:sz w:val="24"/>
                <w:szCs w:val="24"/>
              </w:rPr>
              <w:lastRenderedPageBreak/>
              <w:t xml:space="preserve">the UNDRR Global Platform, and the NYC Climate Week at the margins of the UNGA. GFDRR also has funded the global ‘Understanding Risk Conference’ every two years for more than a decade. GFDRR staff and management is present and participate in many other national and regional </w:t>
            </w:r>
            <w:r w:rsidR="003357DC">
              <w:rPr>
                <w:rFonts w:ascii="Calibri Light" w:hAnsi="Calibri Light" w:cs="Calibri Light"/>
                <w:sz w:val="24"/>
                <w:szCs w:val="24"/>
              </w:rPr>
              <w:t>fora</w:t>
            </w:r>
            <w:r w:rsidRPr="00F6353E">
              <w:rPr>
                <w:rFonts w:ascii="Calibri Light" w:hAnsi="Calibri Light" w:cs="Calibri Light"/>
                <w:sz w:val="24"/>
                <w:szCs w:val="24"/>
              </w:rPr>
              <w:t xml:space="preserve"> and events during the year too. The GFDRR co-chair (World Bank Global Director) meets four times a year with the Head of UNDRR and the Head of GFDRR meets UNDRR more regularly. UNDRR is always invited to GFDRR PC meetings as an observer. GFDRR staff participate in the CREWS steering committee and GFDRR facilitates channelling CREWS and SOFF resources through the Bank as implementing entity. GFDRR funded specialists engage with all the large MDBs, the large climate related fiduciary intermediary funds on selected DRR topics. The PMU seeks guidance from PC members on the balance they wish to see GFDRR pursue between global visibility and partnerships vis-à-vis country-level grant making. And if more global level engagement is desired, GFDRR appreciate specific guidance on which processes and partners the GFDRR members would like to see more engagement with.</w:t>
            </w:r>
          </w:p>
        </w:tc>
        <w:tc>
          <w:tcPr>
            <w:tcW w:w="2980" w:type="dxa"/>
          </w:tcPr>
          <w:p w14:paraId="7E55FE56" w14:textId="71EAF132" w:rsidR="00DD1054" w:rsidRPr="00F6353E" w:rsidRDefault="005105FA" w:rsidP="00037BD8">
            <w:pPr>
              <w:rPr>
                <w:rFonts w:ascii="Calibri Light" w:hAnsi="Calibri Light" w:cs="Calibri Light"/>
                <w:sz w:val="24"/>
                <w:szCs w:val="24"/>
              </w:rPr>
            </w:pPr>
            <w:r w:rsidRPr="00F6353E">
              <w:rPr>
                <w:rFonts w:ascii="Calibri Light" w:hAnsi="Calibri Light" w:cs="Calibri Light"/>
                <w:sz w:val="24"/>
                <w:szCs w:val="24"/>
              </w:rPr>
              <w:lastRenderedPageBreak/>
              <w:t>DFAT agrees with this recommendation and encourages GFDRR to continue regular engagement and consultation with donors through normal partnership processes to help inform this balance as needed.</w:t>
            </w:r>
            <w:r w:rsidR="000E047B" w:rsidRPr="00F6353E">
              <w:rPr>
                <w:rFonts w:ascii="Calibri Light" w:hAnsi="Calibri Light" w:cs="Calibri Light"/>
                <w:sz w:val="24"/>
                <w:szCs w:val="24"/>
              </w:rPr>
              <w:t xml:space="preserve">  </w:t>
            </w:r>
          </w:p>
        </w:tc>
        <w:tc>
          <w:tcPr>
            <w:tcW w:w="2265" w:type="dxa"/>
          </w:tcPr>
          <w:p w14:paraId="440B2E17" w14:textId="5268BB2E" w:rsidR="00DD1054" w:rsidRPr="00F6353E" w:rsidRDefault="00967611" w:rsidP="00037BD8">
            <w:pPr>
              <w:rPr>
                <w:rFonts w:ascii="Calibri Light" w:hAnsi="Calibri Light" w:cs="Calibri Light"/>
                <w:sz w:val="24"/>
                <w:szCs w:val="24"/>
              </w:rPr>
            </w:pPr>
            <w:r w:rsidRPr="00F6353E">
              <w:rPr>
                <w:rFonts w:ascii="Calibri Light" w:hAnsi="Calibri Light" w:cs="Calibri Light"/>
                <w:sz w:val="24"/>
                <w:szCs w:val="24"/>
              </w:rPr>
              <w:t>This recommendation will be integrated into the activities planned for FY25 and reported in the FY25 Annual Report. Additionally, it will be carried forward and incorporated into the development of the new strategy, which will begin implementation in June 2025</w:t>
            </w:r>
            <w:r w:rsidR="00A83858" w:rsidRPr="00F6353E">
              <w:rPr>
                <w:rFonts w:ascii="Calibri Light" w:hAnsi="Calibri Light" w:cs="Calibri Light"/>
                <w:sz w:val="24"/>
                <w:szCs w:val="24"/>
              </w:rPr>
              <w:t xml:space="preserve">. </w:t>
            </w:r>
          </w:p>
        </w:tc>
      </w:tr>
      <w:tr w:rsidR="00DD1054" w:rsidRPr="00F6353E" w14:paraId="04856326" w14:textId="77777777" w:rsidTr="00950954">
        <w:tc>
          <w:tcPr>
            <w:tcW w:w="2265" w:type="dxa"/>
          </w:tcPr>
          <w:p w14:paraId="5B4FC679" w14:textId="619FDAFD" w:rsidR="00DD1054" w:rsidRPr="00F6353E" w:rsidRDefault="00DD1054" w:rsidP="00037BD8">
            <w:pPr>
              <w:rPr>
                <w:rFonts w:ascii="Calibri Light" w:hAnsi="Calibri Light" w:cs="Calibri Light"/>
                <w:sz w:val="24"/>
                <w:szCs w:val="24"/>
              </w:rPr>
            </w:pPr>
            <w:r w:rsidRPr="00F6353E">
              <w:rPr>
                <w:rFonts w:ascii="Calibri Light" w:hAnsi="Calibri Light" w:cs="Calibri Light"/>
                <w:sz w:val="24"/>
                <w:szCs w:val="24"/>
              </w:rPr>
              <w:t>RECOMMENDATION 2: GFDRR should continue to increase its internal visibility among Bank task teams and collaboration with other programs within the World Bank.</w:t>
            </w:r>
          </w:p>
        </w:tc>
        <w:tc>
          <w:tcPr>
            <w:tcW w:w="1138" w:type="dxa"/>
            <w:shd w:val="clear" w:color="auto" w:fill="47D459" w:themeFill="accent3" w:themeFillTint="99"/>
          </w:tcPr>
          <w:p w14:paraId="1E7DF14B" w14:textId="1995C0A7" w:rsidR="00DD1054" w:rsidRPr="00F6353E" w:rsidRDefault="00AA6B46" w:rsidP="00037BD8">
            <w:pPr>
              <w:rPr>
                <w:rFonts w:ascii="Calibri Light" w:hAnsi="Calibri Light" w:cs="Calibri Light"/>
                <w:sz w:val="24"/>
                <w:szCs w:val="24"/>
              </w:rPr>
            </w:pPr>
            <w:r w:rsidRPr="00F6353E">
              <w:rPr>
                <w:rFonts w:ascii="Calibri Light" w:hAnsi="Calibri Light" w:cs="Calibri Light"/>
                <w:sz w:val="24"/>
                <w:szCs w:val="24"/>
              </w:rPr>
              <w:t>Agree</w:t>
            </w:r>
          </w:p>
        </w:tc>
        <w:tc>
          <w:tcPr>
            <w:tcW w:w="6520" w:type="dxa"/>
          </w:tcPr>
          <w:p w14:paraId="609E7BD9" w14:textId="6926468F" w:rsidR="00DD1054" w:rsidRPr="00F6353E" w:rsidRDefault="00967611" w:rsidP="00037BD8">
            <w:pPr>
              <w:rPr>
                <w:rFonts w:ascii="Calibri Light" w:hAnsi="Calibri Light" w:cs="Calibri Light"/>
                <w:sz w:val="24"/>
                <w:szCs w:val="24"/>
              </w:rPr>
            </w:pPr>
            <w:r w:rsidRPr="00F6353E">
              <w:rPr>
                <w:rFonts w:ascii="Calibri Light" w:hAnsi="Calibri Light" w:cs="Calibri Light"/>
                <w:sz w:val="24"/>
                <w:szCs w:val="24"/>
              </w:rPr>
              <w:t>The PMU agrees with this recommendation, as increasing internal visibility across World Bank teams and sectors will promote greater mainstreaming and engagement with a wider set of countries. It is important to note</w:t>
            </w:r>
            <w:r w:rsidR="00EF5C05">
              <w:rPr>
                <w:rFonts w:ascii="Calibri Light" w:hAnsi="Calibri Light" w:cs="Calibri Light"/>
                <w:sz w:val="24"/>
                <w:szCs w:val="24"/>
              </w:rPr>
              <w:t>,</w:t>
            </w:r>
            <w:r w:rsidRPr="00F6353E">
              <w:rPr>
                <w:rFonts w:ascii="Calibri Light" w:hAnsi="Calibri Light" w:cs="Calibri Light"/>
                <w:sz w:val="24"/>
                <w:szCs w:val="24"/>
              </w:rPr>
              <w:t xml:space="preserve"> though, that GFDRR already has a demand for grant resources that is five times higher than its available resources. Hence, more visibility may drive more competition for our support and grants, which could drive higher quality in the work we support and therefor</w:t>
            </w:r>
            <w:r w:rsidR="00EF5C05">
              <w:rPr>
                <w:rFonts w:ascii="Calibri Light" w:hAnsi="Calibri Light" w:cs="Calibri Light"/>
                <w:sz w:val="24"/>
                <w:szCs w:val="24"/>
              </w:rPr>
              <w:t>e</w:t>
            </w:r>
            <w:r w:rsidRPr="00F6353E">
              <w:rPr>
                <w:rFonts w:ascii="Calibri Light" w:hAnsi="Calibri Light" w:cs="Calibri Light"/>
                <w:sz w:val="24"/>
                <w:szCs w:val="24"/>
              </w:rPr>
              <w:t xml:space="preserve"> higher impact, but we are unlikely to immediately be able to measure and monitor the result of increased visibility in terms of the </w:t>
            </w:r>
            <w:r w:rsidRPr="00F6353E">
              <w:rPr>
                <w:rFonts w:ascii="Calibri Light" w:hAnsi="Calibri Light" w:cs="Calibri Light"/>
                <w:sz w:val="24"/>
                <w:szCs w:val="24"/>
              </w:rPr>
              <w:lastRenderedPageBreak/>
              <w:t xml:space="preserve">outcomes it may drive. GFDRR will continue expanding its communication efforts to Bank regions and operational units around the breadth of its offer, </w:t>
            </w:r>
            <w:r w:rsidR="00C45520" w:rsidRPr="00F6353E">
              <w:rPr>
                <w:rFonts w:ascii="Calibri Light" w:hAnsi="Calibri Light" w:cs="Calibri Light"/>
                <w:sz w:val="24"/>
                <w:szCs w:val="24"/>
              </w:rPr>
              <w:t>with</w:t>
            </w:r>
            <w:r w:rsidRPr="00F6353E">
              <w:rPr>
                <w:rFonts w:ascii="Calibri Light" w:hAnsi="Calibri Light" w:cs="Calibri Light"/>
                <w:sz w:val="24"/>
                <w:szCs w:val="24"/>
              </w:rPr>
              <w:t xml:space="preserve"> a focus on its knowledge service offers, including through newsletters, webinars and/or other learning events, and other channels. The goal would be for a wider range of task teams to better understand the specific technical expertise that is available to them and their external clients and who they can contact within GFDRR for more information. GFDRR will also continue strengthening its upstream collaboration with other World Bank programs—for instance in social protection, transport, or related to disaster risk financing —to ensure that integrated advice and analytics are provided. Furthermore, the PMU will emphasize to World Bank teams and programs collaborating with GFDRR the importance of providing appropriate visibility for GFDRR grant-funded activities and technical assistance in all related communications and materials, such as press releases, blogs, and publications, by including GFDRR logos or mentioning GFDRR’s support</w:t>
            </w:r>
          </w:p>
        </w:tc>
        <w:tc>
          <w:tcPr>
            <w:tcW w:w="2980" w:type="dxa"/>
          </w:tcPr>
          <w:p w14:paraId="3B02171D" w14:textId="27D78884" w:rsidR="00DD1054" w:rsidRPr="00F6353E" w:rsidRDefault="00967611" w:rsidP="00037BD8">
            <w:pPr>
              <w:rPr>
                <w:rFonts w:ascii="Calibri Light" w:hAnsi="Calibri Light" w:cs="Calibri Light"/>
                <w:sz w:val="24"/>
                <w:szCs w:val="24"/>
              </w:rPr>
            </w:pPr>
            <w:r w:rsidRPr="00F6353E">
              <w:rPr>
                <w:rFonts w:ascii="Calibri Light" w:hAnsi="Calibri Light" w:cs="Calibri Light"/>
                <w:sz w:val="24"/>
                <w:szCs w:val="24"/>
              </w:rPr>
              <w:lastRenderedPageBreak/>
              <w:t xml:space="preserve">DFAT </w:t>
            </w:r>
            <w:r w:rsidRPr="00F6353E">
              <w:rPr>
                <w:rFonts w:ascii="Calibri Light" w:hAnsi="Calibri Light" w:cs="Calibri Light"/>
                <w:b/>
                <w:bCs/>
                <w:sz w:val="24"/>
                <w:szCs w:val="24"/>
              </w:rPr>
              <w:t>agrees</w:t>
            </w:r>
            <w:r w:rsidRPr="00F6353E">
              <w:rPr>
                <w:rFonts w:ascii="Calibri Light" w:hAnsi="Calibri Light" w:cs="Calibri Light"/>
                <w:sz w:val="24"/>
                <w:szCs w:val="24"/>
              </w:rPr>
              <w:t xml:space="preserve"> with this recommendation and supports GFDRR increasing internal visibility within the World Bank. </w:t>
            </w:r>
          </w:p>
        </w:tc>
        <w:tc>
          <w:tcPr>
            <w:tcW w:w="2265" w:type="dxa"/>
          </w:tcPr>
          <w:p w14:paraId="5A3D80DC" w14:textId="6469E512" w:rsidR="00DD1054" w:rsidRPr="00F6353E" w:rsidRDefault="00A83858" w:rsidP="00037BD8">
            <w:pPr>
              <w:rPr>
                <w:rFonts w:ascii="Calibri Light" w:hAnsi="Calibri Light" w:cs="Calibri Light"/>
                <w:sz w:val="24"/>
                <w:szCs w:val="24"/>
              </w:rPr>
            </w:pPr>
            <w:r w:rsidRPr="00F6353E">
              <w:rPr>
                <w:rFonts w:ascii="Calibri Light" w:hAnsi="Calibri Light" w:cs="Calibri Light"/>
                <w:sz w:val="24"/>
                <w:szCs w:val="24"/>
              </w:rPr>
              <w:t xml:space="preserve">This recommendation will be integrated into the activities planned for FY25 and reported in the FY25 Annual Report. Additionally, it will be incorporated into the development of </w:t>
            </w:r>
            <w:r w:rsidRPr="00F6353E">
              <w:rPr>
                <w:rFonts w:ascii="Calibri Light" w:hAnsi="Calibri Light" w:cs="Calibri Light"/>
                <w:sz w:val="24"/>
                <w:szCs w:val="24"/>
              </w:rPr>
              <w:lastRenderedPageBreak/>
              <w:t>the new strategy, which will begin implementation in June 2025</w:t>
            </w:r>
            <w:r w:rsidR="00967611" w:rsidRPr="00F6353E">
              <w:rPr>
                <w:rFonts w:ascii="Calibri Light" w:hAnsi="Calibri Light" w:cs="Calibri Light"/>
                <w:sz w:val="24"/>
                <w:szCs w:val="24"/>
              </w:rPr>
              <w:t>.</w:t>
            </w:r>
          </w:p>
        </w:tc>
      </w:tr>
      <w:tr w:rsidR="00DD1054" w:rsidRPr="00F6353E" w14:paraId="5863981F" w14:textId="77777777" w:rsidTr="00950954">
        <w:tc>
          <w:tcPr>
            <w:tcW w:w="2265" w:type="dxa"/>
          </w:tcPr>
          <w:p w14:paraId="0C395983" w14:textId="2ADFA622" w:rsidR="00DD1054" w:rsidRPr="00F6353E" w:rsidRDefault="00DD1054" w:rsidP="00037BD8">
            <w:pPr>
              <w:rPr>
                <w:rFonts w:ascii="Calibri Light" w:hAnsi="Calibri Light" w:cs="Calibri Light"/>
                <w:sz w:val="24"/>
                <w:szCs w:val="24"/>
              </w:rPr>
            </w:pPr>
            <w:r w:rsidRPr="00F6353E">
              <w:rPr>
                <w:rFonts w:ascii="Calibri Light" w:hAnsi="Calibri Light" w:cs="Calibri Light"/>
                <w:sz w:val="24"/>
                <w:szCs w:val="24"/>
              </w:rPr>
              <w:lastRenderedPageBreak/>
              <w:t xml:space="preserve">RECOMMENDATION 3: The PMU should strengthen its </w:t>
            </w:r>
            <w:r w:rsidR="001C67E5" w:rsidRPr="00F6353E">
              <w:rPr>
                <w:rFonts w:ascii="Calibri Light" w:hAnsi="Calibri Light" w:cs="Calibri Light"/>
                <w:sz w:val="24"/>
                <w:szCs w:val="24"/>
              </w:rPr>
              <w:t xml:space="preserve">Monitoring and </w:t>
            </w:r>
            <w:r w:rsidRPr="00F6353E">
              <w:rPr>
                <w:rFonts w:ascii="Calibri Light" w:hAnsi="Calibri Light" w:cs="Calibri Light"/>
                <w:sz w:val="24"/>
                <w:szCs w:val="24"/>
              </w:rPr>
              <w:t>R</w:t>
            </w:r>
            <w:r w:rsidR="001C67E5" w:rsidRPr="00F6353E">
              <w:rPr>
                <w:rFonts w:ascii="Calibri Light" w:hAnsi="Calibri Light" w:cs="Calibri Light"/>
                <w:sz w:val="24"/>
                <w:szCs w:val="24"/>
              </w:rPr>
              <w:t>eporting</w:t>
            </w:r>
            <w:r w:rsidR="005105FA" w:rsidRPr="00F6353E">
              <w:rPr>
                <w:rFonts w:ascii="Calibri Light" w:hAnsi="Calibri Light" w:cs="Calibri Light"/>
                <w:sz w:val="24"/>
                <w:szCs w:val="24"/>
              </w:rPr>
              <w:t xml:space="preserve"> (M&amp;R)</w:t>
            </w:r>
            <w:r w:rsidRPr="00F6353E">
              <w:rPr>
                <w:rFonts w:ascii="Calibri Light" w:hAnsi="Calibri Light" w:cs="Calibri Light"/>
                <w:sz w:val="24"/>
                <w:szCs w:val="24"/>
              </w:rPr>
              <w:t xml:space="preserve"> system for capturing results in this and future Strategy cycles.</w:t>
            </w:r>
          </w:p>
        </w:tc>
        <w:tc>
          <w:tcPr>
            <w:tcW w:w="1138" w:type="dxa"/>
            <w:shd w:val="clear" w:color="auto" w:fill="47D459" w:themeFill="accent3" w:themeFillTint="99"/>
          </w:tcPr>
          <w:p w14:paraId="0F2BAC9E" w14:textId="60E80294" w:rsidR="00DD1054" w:rsidRPr="00F6353E" w:rsidRDefault="00AA6B46" w:rsidP="00037BD8">
            <w:pPr>
              <w:rPr>
                <w:rFonts w:ascii="Calibri Light" w:hAnsi="Calibri Light" w:cs="Calibri Light"/>
                <w:sz w:val="24"/>
                <w:szCs w:val="24"/>
              </w:rPr>
            </w:pPr>
            <w:r w:rsidRPr="00F6353E">
              <w:rPr>
                <w:rFonts w:ascii="Calibri Light" w:hAnsi="Calibri Light" w:cs="Calibri Light"/>
                <w:sz w:val="24"/>
                <w:szCs w:val="24"/>
              </w:rPr>
              <w:t>Agree</w:t>
            </w:r>
          </w:p>
        </w:tc>
        <w:tc>
          <w:tcPr>
            <w:tcW w:w="6520" w:type="dxa"/>
          </w:tcPr>
          <w:p w14:paraId="1989DB74" w14:textId="4F3CF269" w:rsidR="00DD1054" w:rsidRPr="00F6353E" w:rsidRDefault="00A83858" w:rsidP="00037BD8">
            <w:pPr>
              <w:rPr>
                <w:rFonts w:ascii="Calibri Light" w:hAnsi="Calibri Light" w:cs="Calibri Light"/>
                <w:sz w:val="24"/>
                <w:szCs w:val="24"/>
              </w:rPr>
            </w:pPr>
            <w:r w:rsidRPr="00F6353E">
              <w:rPr>
                <w:rFonts w:ascii="Calibri Light" w:hAnsi="Calibri Light" w:cs="Calibri Light"/>
                <w:sz w:val="24"/>
                <w:szCs w:val="24"/>
              </w:rPr>
              <w:t xml:space="preserve">GFDRR has made important strides in advancing its M&amp;R system over the last few years. In the second half of this Strategy cycle, GFDRR will focus on refining its M&amp;R system to be in a stronger position for the next Strategy period. The PMU is considering the development of an approach for measuring the impact of development finance informed by GFDRR in the new Strategy. GFDRR will take into consideration the development of an “impact tile” approach used by ESMAP. This approach might allow GFDRR to track and aggregate relevant financing and results of the World Bank lending operations it informs. For the next Strategy, the PMU will establish a fully functional M&amp;R </w:t>
            </w:r>
            <w:r w:rsidRPr="00F6353E">
              <w:rPr>
                <w:rFonts w:ascii="Calibri Light" w:hAnsi="Calibri Light" w:cs="Calibri Light"/>
                <w:sz w:val="24"/>
                <w:szCs w:val="24"/>
              </w:rPr>
              <w:lastRenderedPageBreak/>
              <w:t>system, revising the results framework to be both simpler and more meaningful, revisiting reporting templates to drive better reporting on what was achieved</w:t>
            </w:r>
            <w:r w:rsidR="00DD5967">
              <w:rPr>
                <w:rFonts w:ascii="Calibri Light" w:hAnsi="Calibri Light" w:cs="Calibri Light"/>
                <w:sz w:val="24"/>
                <w:szCs w:val="24"/>
              </w:rPr>
              <w:t xml:space="preserve"> and</w:t>
            </w:r>
            <w:r w:rsidRPr="00F6353E">
              <w:rPr>
                <w:rFonts w:ascii="Calibri Light" w:hAnsi="Calibri Light" w:cs="Calibri Light"/>
                <w:sz w:val="24"/>
                <w:szCs w:val="24"/>
              </w:rPr>
              <w:t xml:space="preserve"> allowing GFDRR to connect through other information systems in the national context. GFDRR has already implemented changes to its grant proposals, progress reports, and completion reports in the M&amp;R system that enables a stronger focus on accountability for performance and results delivery. The M&amp;R framework adopted by GFDRR in 2023 will be revised to include well-defined targets for the next Strategy period. On the human resource side, the PMU has hired a full-time M&amp;E expert to oversee implementing these actions</w:t>
            </w:r>
          </w:p>
        </w:tc>
        <w:tc>
          <w:tcPr>
            <w:tcW w:w="2980" w:type="dxa"/>
          </w:tcPr>
          <w:p w14:paraId="58B4B181" w14:textId="432ECD22" w:rsidR="00DD1054" w:rsidRPr="00F6353E" w:rsidRDefault="00967611" w:rsidP="00037BD8">
            <w:pPr>
              <w:rPr>
                <w:rFonts w:ascii="Calibri Light" w:hAnsi="Calibri Light" w:cs="Calibri Light"/>
                <w:sz w:val="24"/>
                <w:szCs w:val="24"/>
              </w:rPr>
            </w:pPr>
            <w:r w:rsidRPr="00F6353E">
              <w:rPr>
                <w:rFonts w:ascii="Calibri Light" w:hAnsi="Calibri Light" w:cs="Calibri Light"/>
                <w:sz w:val="24"/>
                <w:szCs w:val="24"/>
              </w:rPr>
              <w:lastRenderedPageBreak/>
              <w:t xml:space="preserve">DFAT </w:t>
            </w:r>
            <w:r w:rsidRPr="00F6353E">
              <w:rPr>
                <w:rFonts w:ascii="Calibri Light" w:hAnsi="Calibri Light" w:cs="Calibri Light"/>
                <w:b/>
                <w:bCs/>
                <w:sz w:val="24"/>
                <w:szCs w:val="24"/>
              </w:rPr>
              <w:t>agrees</w:t>
            </w:r>
            <w:r w:rsidRPr="00F6353E">
              <w:rPr>
                <w:rFonts w:ascii="Calibri Light" w:hAnsi="Calibri Light" w:cs="Calibri Light"/>
                <w:sz w:val="24"/>
                <w:szCs w:val="24"/>
              </w:rPr>
              <w:t xml:space="preserve"> with this recommendation. We acknowledge </w:t>
            </w:r>
            <w:r w:rsidR="005105FA" w:rsidRPr="00F6353E">
              <w:rPr>
                <w:rFonts w:ascii="Calibri Light" w:hAnsi="Calibri Light" w:cs="Calibri Light"/>
                <w:sz w:val="24"/>
                <w:szCs w:val="24"/>
              </w:rPr>
              <w:t xml:space="preserve">the </w:t>
            </w:r>
            <w:r w:rsidRPr="00F6353E">
              <w:rPr>
                <w:rFonts w:ascii="Calibri Light" w:hAnsi="Calibri Light" w:cs="Calibri Light"/>
                <w:sz w:val="24"/>
                <w:szCs w:val="24"/>
              </w:rPr>
              <w:t xml:space="preserve">strengthening of GFDRR’s data </w:t>
            </w:r>
            <w:r w:rsidR="005105FA" w:rsidRPr="00F6353E">
              <w:rPr>
                <w:rFonts w:ascii="Calibri Light" w:hAnsi="Calibri Light" w:cs="Calibri Light"/>
                <w:sz w:val="24"/>
                <w:szCs w:val="24"/>
              </w:rPr>
              <w:t xml:space="preserve">collection, but further reform is needed.  DFAT strongly encourages GFDRR to provide additional information needed to capture the reporting of </w:t>
            </w:r>
            <w:r w:rsidRPr="00F6353E">
              <w:rPr>
                <w:rFonts w:ascii="Calibri Light" w:hAnsi="Calibri Light" w:cs="Calibri Light"/>
                <w:sz w:val="24"/>
                <w:szCs w:val="24"/>
              </w:rPr>
              <w:t xml:space="preserve">medium- and long-term </w:t>
            </w:r>
            <w:r w:rsidRPr="00F6353E">
              <w:rPr>
                <w:rFonts w:ascii="Calibri Light" w:hAnsi="Calibri Light" w:cs="Calibri Light"/>
                <w:sz w:val="24"/>
                <w:szCs w:val="24"/>
              </w:rPr>
              <w:lastRenderedPageBreak/>
              <w:t>outcomes of projects and gender disaggregated data collection and reporting.</w:t>
            </w:r>
          </w:p>
        </w:tc>
        <w:tc>
          <w:tcPr>
            <w:tcW w:w="2265" w:type="dxa"/>
          </w:tcPr>
          <w:p w14:paraId="270A7CD4" w14:textId="4C658670" w:rsidR="00DD1054" w:rsidRPr="00F6353E" w:rsidRDefault="00A83858" w:rsidP="00037BD8">
            <w:pPr>
              <w:rPr>
                <w:rFonts w:ascii="Calibri Light" w:hAnsi="Calibri Light" w:cs="Calibri Light"/>
                <w:sz w:val="24"/>
                <w:szCs w:val="24"/>
              </w:rPr>
            </w:pPr>
            <w:r w:rsidRPr="00F6353E">
              <w:rPr>
                <w:rFonts w:ascii="Calibri Light" w:hAnsi="Calibri Light" w:cs="Calibri Light"/>
                <w:sz w:val="24"/>
                <w:szCs w:val="24"/>
              </w:rPr>
              <w:lastRenderedPageBreak/>
              <w:t xml:space="preserve">This recommendation will be integrated into the activities planned for FY25 and reported in the FY25 Annual Report. Additionally, it will be incorporated into the development of the new strategy, </w:t>
            </w:r>
            <w:r w:rsidRPr="00F6353E">
              <w:rPr>
                <w:rFonts w:ascii="Calibri Light" w:hAnsi="Calibri Light" w:cs="Calibri Light"/>
                <w:sz w:val="24"/>
                <w:szCs w:val="24"/>
              </w:rPr>
              <w:lastRenderedPageBreak/>
              <w:t>which will begin implementation in June 2025.</w:t>
            </w:r>
          </w:p>
        </w:tc>
      </w:tr>
      <w:tr w:rsidR="00DD1054" w:rsidRPr="00F6353E" w14:paraId="61305138" w14:textId="77777777" w:rsidTr="00950954">
        <w:tc>
          <w:tcPr>
            <w:tcW w:w="2265" w:type="dxa"/>
          </w:tcPr>
          <w:p w14:paraId="7FCFC58F" w14:textId="41F5A7C4" w:rsidR="00DD1054" w:rsidRPr="00F6353E" w:rsidRDefault="00DD1054" w:rsidP="00037BD8">
            <w:pPr>
              <w:rPr>
                <w:rFonts w:ascii="Calibri Light" w:hAnsi="Calibri Light" w:cs="Calibri Light"/>
                <w:sz w:val="24"/>
                <w:szCs w:val="24"/>
              </w:rPr>
            </w:pPr>
            <w:r w:rsidRPr="00F6353E">
              <w:rPr>
                <w:rFonts w:ascii="Calibri Light" w:hAnsi="Calibri Light" w:cs="Calibri Light"/>
                <w:sz w:val="24"/>
                <w:szCs w:val="24"/>
              </w:rPr>
              <w:lastRenderedPageBreak/>
              <w:t>RECOMMENDATION 4: GFDRR should increase its ambition toward more gender- and inclusive-transformative actions in GFDRR grant</w:t>
            </w:r>
            <w:r w:rsidR="00EB0659" w:rsidRPr="00F6353E">
              <w:rPr>
                <w:rFonts w:ascii="Calibri Light" w:hAnsi="Calibri Light" w:cs="Calibri Light"/>
                <w:sz w:val="24"/>
                <w:szCs w:val="24"/>
              </w:rPr>
              <w:t xml:space="preserve"> </w:t>
            </w:r>
            <w:r w:rsidRPr="00F6353E">
              <w:rPr>
                <w:rFonts w:ascii="Calibri Light" w:hAnsi="Calibri Light" w:cs="Calibri Light"/>
                <w:sz w:val="24"/>
                <w:szCs w:val="24"/>
              </w:rPr>
              <w:t>making and reporting, including paying increased attention to intersectionality.</w:t>
            </w:r>
          </w:p>
        </w:tc>
        <w:tc>
          <w:tcPr>
            <w:tcW w:w="1138" w:type="dxa"/>
            <w:shd w:val="clear" w:color="auto" w:fill="47D459" w:themeFill="accent3" w:themeFillTint="99"/>
          </w:tcPr>
          <w:p w14:paraId="60DAF928" w14:textId="49889299" w:rsidR="00DD1054" w:rsidRPr="00F6353E" w:rsidRDefault="00AA6B46" w:rsidP="00037BD8">
            <w:pPr>
              <w:rPr>
                <w:rFonts w:ascii="Calibri Light" w:hAnsi="Calibri Light" w:cs="Calibri Light"/>
                <w:sz w:val="24"/>
                <w:szCs w:val="24"/>
              </w:rPr>
            </w:pPr>
            <w:r w:rsidRPr="00F6353E">
              <w:rPr>
                <w:rFonts w:ascii="Calibri Light" w:hAnsi="Calibri Light" w:cs="Calibri Light"/>
                <w:sz w:val="24"/>
                <w:szCs w:val="24"/>
              </w:rPr>
              <w:t>Agree</w:t>
            </w:r>
          </w:p>
        </w:tc>
        <w:tc>
          <w:tcPr>
            <w:tcW w:w="6520" w:type="dxa"/>
          </w:tcPr>
          <w:p w14:paraId="4B955743" w14:textId="400DA2A5" w:rsidR="00DD1054" w:rsidRPr="00F6353E" w:rsidRDefault="00A83858" w:rsidP="00037BD8">
            <w:pPr>
              <w:rPr>
                <w:rFonts w:ascii="Calibri Light" w:hAnsi="Calibri Light" w:cs="Calibri Light"/>
                <w:sz w:val="24"/>
                <w:szCs w:val="24"/>
              </w:rPr>
            </w:pPr>
            <w:r w:rsidRPr="00F6353E">
              <w:rPr>
                <w:rFonts w:ascii="Calibri Light" w:hAnsi="Calibri Light" w:cs="Calibri Light"/>
                <w:sz w:val="24"/>
                <w:szCs w:val="24"/>
              </w:rPr>
              <w:t>The PMU agrees with the recommendation to have a strong focus on inclusion. The current GFDRR purpose is to deliver impact on DRR objectives. GFDRR understands the recommendation in that context, which means that GFDRR works towards DRR objectives, with the understanding that inclusion more broadly, and gender focus more specifically, are key elements of effective and impactful DRR strategies. The PMU will continue to improve how</w:t>
            </w:r>
            <w:r w:rsidR="00C75215">
              <w:rPr>
                <w:rFonts w:ascii="Calibri Light" w:hAnsi="Calibri Light" w:cs="Calibri Light"/>
                <w:sz w:val="24"/>
                <w:szCs w:val="24"/>
              </w:rPr>
              <w:t xml:space="preserve"> it</w:t>
            </w:r>
            <w:r w:rsidRPr="00F6353E">
              <w:rPr>
                <w:rFonts w:ascii="Calibri Light" w:hAnsi="Calibri Light" w:cs="Calibri Light"/>
                <w:sz w:val="24"/>
                <w:szCs w:val="24"/>
              </w:rPr>
              <w:t xml:space="preserve"> can drive further inclusion and mainstreaming into </w:t>
            </w:r>
            <w:r w:rsidR="00244716">
              <w:rPr>
                <w:rFonts w:ascii="Calibri Light" w:hAnsi="Calibri Light" w:cs="Calibri Light"/>
                <w:sz w:val="24"/>
                <w:szCs w:val="24"/>
              </w:rPr>
              <w:t xml:space="preserve">its finance and knowledge </w:t>
            </w:r>
            <w:r w:rsidRPr="00F6353E">
              <w:rPr>
                <w:rFonts w:ascii="Calibri Light" w:hAnsi="Calibri Light" w:cs="Calibri Light"/>
                <w:sz w:val="24"/>
                <w:szCs w:val="24"/>
              </w:rPr>
              <w:t>processes. GFDRR acknowledges, that effective inclusion in DRR cannot be measured only by a check box in a grant proposal system</w:t>
            </w:r>
            <w:r w:rsidR="003F5176">
              <w:rPr>
                <w:rFonts w:ascii="Calibri Light" w:hAnsi="Calibri Light" w:cs="Calibri Light"/>
                <w:sz w:val="24"/>
                <w:szCs w:val="24"/>
              </w:rPr>
              <w:t>. It</w:t>
            </w:r>
            <w:r w:rsidRPr="00F6353E">
              <w:rPr>
                <w:rFonts w:ascii="Calibri Light" w:hAnsi="Calibri Light" w:cs="Calibri Light"/>
                <w:sz w:val="24"/>
                <w:szCs w:val="24"/>
              </w:rPr>
              <w:t xml:space="preserve"> requires a combination of enabling knowledge and technical support, with a system capacity to monitor and capture outputs and results in the context of GFDRRs theory of change</w:t>
            </w:r>
            <w:r w:rsidR="003F5176">
              <w:rPr>
                <w:rFonts w:ascii="Calibri Light" w:hAnsi="Calibri Light" w:cs="Calibri Light"/>
                <w:sz w:val="24"/>
                <w:szCs w:val="24"/>
              </w:rPr>
              <w:t>.</w:t>
            </w:r>
            <w:r w:rsidRPr="00F6353E">
              <w:rPr>
                <w:rFonts w:ascii="Calibri Light" w:hAnsi="Calibri Light" w:cs="Calibri Light"/>
                <w:sz w:val="24"/>
                <w:szCs w:val="24"/>
              </w:rPr>
              <w:t xml:space="preserve"> GFDRR will</w:t>
            </w:r>
            <w:r w:rsidR="003F5176">
              <w:rPr>
                <w:rFonts w:ascii="Calibri Light" w:hAnsi="Calibri Light" w:cs="Calibri Light"/>
                <w:sz w:val="24"/>
                <w:szCs w:val="24"/>
              </w:rPr>
              <w:t>,</w:t>
            </w:r>
            <w:r w:rsidRPr="00F6353E">
              <w:rPr>
                <w:rFonts w:ascii="Calibri Light" w:hAnsi="Calibri Light" w:cs="Calibri Light"/>
                <w:sz w:val="24"/>
                <w:szCs w:val="24"/>
              </w:rPr>
              <w:t xml:space="preserve"> for </w:t>
            </w:r>
            <w:r w:rsidR="008D17C8" w:rsidRPr="00F6353E">
              <w:rPr>
                <w:rFonts w:ascii="Calibri Light" w:hAnsi="Calibri Light" w:cs="Calibri Light"/>
                <w:sz w:val="24"/>
                <w:szCs w:val="24"/>
              </w:rPr>
              <w:t>most of</w:t>
            </w:r>
            <w:r w:rsidRPr="00F6353E">
              <w:rPr>
                <w:rFonts w:ascii="Calibri Light" w:hAnsi="Calibri Light" w:cs="Calibri Light"/>
                <w:sz w:val="24"/>
                <w:szCs w:val="24"/>
              </w:rPr>
              <w:t xml:space="preserve"> its grants</w:t>
            </w:r>
            <w:r w:rsidR="003F5176">
              <w:rPr>
                <w:rFonts w:ascii="Calibri Light" w:hAnsi="Calibri Light" w:cs="Calibri Light"/>
                <w:sz w:val="24"/>
                <w:szCs w:val="24"/>
              </w:rPr>
              <w:t>,</w:t>
            </w:r>
            <w:r w:rsidRPr="00F6353E">
              <w:rPr>
                <w:rFonts w:ascii="Calibri Light" w:hAnsi="Calibri Light" w:cs="Calibri Light"/>
                <w:sz w:val="24"/>
                <w:szCs w:val="24"/>
              </w:rPr>
              <w:t xml:space="preserve"> rely on and support the gender action plans developed for the investment financing process. GFDRR will</w:t>
            </w:r>
            <w:r w:rsidR="00855636">
              <w:rPr>
                <w:rFonts w:ascii="Calibri Light" w:hAnsi="Calibri Light" w:cs="Calibri Light"/>
                <w:sz w:val="24"/>
                <w:szCs w:val="24"/>
              </w:rPr>
              <w:t>,</w:t>
            </w:r>
            <w:r w:rsidRPr="00F6353E">
              <w:rPr>
                <w:rFonts w:ascii="Calibri Light" w:hAnsi="Calibri Light" w:cs="Calibri Light"/>
                <w:sz w:val="24"/>
                <w:szCs w:val="24"/>
              </w:rPr>
              <w:t xml:space="preserve"> in addition</w:t>
            </w:r>
            <w:r w:rsidR="00855636">
              <w:rPr>
                <w:rFonts w:ascii="Calibri Light" w:hAnsi="Calibri Light" w:cs="Calibri Light"/>
                <w:sz w:val="24"/>
                <w:szCs w:val="24"/>
              </w:rPr>
              <w:t>,</w:t>
            </w:r>
            <w:r w:rsidRPr="00F6353E">
              <w:rPr>
                <w:rFonts w:ascii="Calibri Light" w:hAnsi="Calibri Light" w:cs="Calibri Light"/>
                <w:sz w:val="24"/>
                <w:szCs w:val="24"/>
              </w:rPr>
              <w:t xml:space="preserve"> frequently finance and provide technical support to specific guidance and implementation on inclusion</w:t>
            </w:r>
            <w:r w:rsidR="004E75E7">
              <w:rPr>
                <w:rFonts w:ascii="Calibri Light" w:hAnsi="Calibri Light" w:cs="Calibri Light"/>
                <w:sz w:val="24"/>
                <w:szCs w:val="24"/>
              </w:rPr>
              <w:t>,</w:t>
            </w:r>
            <w:r w:rsidRPr="00F6353E">
              <w:rPr>
                <w:rFonts w:ascii="Calibri Light" w:hAnsi="Calibri Light" w:cs="Calibri Light"/>
                <w:sz w:val="24"/>
                <w:szCs w:val="24"/>
              </w:rPr>
              <w:t xml:space="preserve"> elements </w:t>
            </w:r>
            <w:r w:rsidRPr="00F6353E">
              <w:rPr>
                <w:rFonts w:ascii="Calibri Light" w:hAnsi="Calibri Light" w:cs="Calibri Light"/>
                <w:sz w:val="24"/>
                <w:szCs w:val="24"/>
              </w:rPr>
              <w:lastRenderedPageBreak/>
              <w:t>related to disaster risk management processes. GFDRR grant documents already require disaggregated reporting on gender and will continue to look for opportunities to track other characteristics when the context and data systems allow. GFDRR will continue</w:t>
            </w:r>
            <w:r w:rsidR="004E75E7">
              <w:rPr>
                <w:rFonts w:ascii="Calibri Light" w:hAnsi="Calibri Light" w:cs="Calibri Light"/>
                <w:sz w:val="24"/>
                <w:szCs w:val="24"/>
              </w:rPr>
              <w:t>,</w:t>
            </w:r>
            <w:r w:rsidRPr="00F6353E">
              <w:rPr>
                <w:rFonts w:ascii="Calibri Light" w:hAnsi="Calibri Light" w:cs="Calibri Light"/>
                <w:sz w:val="24"/>
                <w:szCs w:val="24"/>
              </w:rPr>
              <w:t xml:space="preserve"> through its support to the Inclusive DRR line of work</w:t>
            </w:r>
            <w:r w:rsidR="004E75E7">
              <w:rPr>
                <w:rFonts w:ascii="Calibri Light" w:hAnsi="Calibri Light" w:cs="Calibri Light"/>
                <w:sz w:val="24"/>
                <w:szCs w:val="24"/>
              </w:rPr>
              <w:t>,</w:t>
            </w:r>
            <w:r w:rsidRPr="00F6353E">
              <w:rPr>
                <w:rFonts w:ascii="Calibri Light" w:hAnsi="Calibri Light" w:cs="Calibri Light"/>
                <w:sz w:val="24"/>
                <w:szCs w:val="24"/>
              </w:rPr>
              <w:t xml:space="preserve"> to provide training, streamlined data collection, and enhanced team capabilities and thereby enable meaningful and impactful inclusive approaches to DRR</w:t>
            </w:r>
            <w:r w:rsidR="00FC4811">
              <w:rPr>
                <w:rFonts w:ascii="Calibri Light" w:hAnsi="Calibri Light" w:cs="Calibri Light"/>
                <w:sz w:val="24"/>
                <w:szCs w:val="24"/>
              </w:rPr>
              <w:t>.</w:t>
            </w:r>
          </w:p>
        </w:tc>
        <w:tc>
          <w:tcPr>
            <w:tcW w:w="2980" w:type="dxa"/>
          </w:tcPr>
          <w:p w14:paraId="3B41761D" w14:textId="68B6D212" w:rsidR="00DD1054" w:rsidRPr="00F6353E" w:rsidRDefault="00967611" w:rsidP="00037BD8">
            <w:pPr>
              <w:rPr>
                <w:rFonts w:ascii="Calibri Light" w:hAnsi="Calibri Light" w:cs="Calibri Light"/>
                <w:sz w:val="24"/>
                <w:szCs w:val="24"/>
              </w:rPr>
            </w:pPr>
            <w:r w:rsidRPr="00F6353E">
              <w:rPr>
                <w:rFonts w:ascii="Calibri Light" w:hAnsi="Calibri Light" w:cs="Calibri Light"/>
                <w:sz w:val="24"/>
                <w:szCs w:val="24"/>
              </w:rPr>
              <w:lastRenderedPageBreak/>
              <w:t xml:space="preserve">DFAT </w:t>
            </w:r>
            <w:r w:rsidRPr="00F6353E">
              <w:rPr>
                <w:rFonts w:ascii="Calibri Light" w:hAnsi="Calibri Light" w:cs="Calibri Light"/>
                <w:b/>
                <w:bCs/>
                <w:sz w:val="24"/>
                <w:szCs w:val="24"/>
              </w:rPr>
              <w:t>strongly agrees</w:t>
            </w:r>
            <w:r w:rsidRPr="00F6353E">
              <w:rPr>
                <w:rFonts w:ascii="Calibri Light" w:hAnsi="Calibri Light" w:cs="Calibri Light"/>
                <w:sz w:val="24"/>
                <w:szCs w:val="24"/>
              </w:rPr>
              <w:t xml:space="preserve"> with this recommendation. We welcome further strengthening and improvements to the GFDRR’s gender and inclusion transformative action and increasing attention to intersectionality</w:t>
            </w:r>
          </w:p>
        </w:tc>
        <w:tc>
          <w:tcPr>
            <w:tcW w:w="2265" w:type="dxa"/>
          </w:tcPr>
          <w:p w14:paraId="595D0908" w14:textId="24A3FD6A" w:rsidR="00DD1054" w:rsidRPr="00F6353E" w:rsidRDefault="00A83858" w:rsidP="00037BD8">
            <w:pPr>
              <w:rPr>
                <w:rFonts w:ascii="Calibri Light" w:hAnsi="Calibri Light" w:cs="Calibri Light"/>
                <w:sz w:val="24"/>
                <w:szCs w:val="24"/>
              </w:rPr>
            </w:pPr>
            <w:r w:rsidRPr="00F6353E">
              <w:rPr>
                <w:rFonts w:ascii="Calibri Light" w:hAnsi="Calibri Light" w:cs="Calibri Light"/>
                <w:sz w:val="24"/>
                <w:szCs w:val="24"/>
              </w:rPr>
              <w:t>This recommendation will be integrated into the activities planned for FY25 and reported in the FY25 Annual Report. Additionally, it will be incorporated into the development of the new strategy, which will begin implementation in June 2025.</w:t>
            </w:r>
          </w:p>
        </w:tc>
      </w:tr>
      <w:tr w:rsidR="00DD1054" w:rsidRPr="00F6353E" w14:paraId="3A9FF2D1" w14:textId="77777777" w:rsidTr="00950954">
        <w:tc>
          <w:tcPr>
            <w:tcW w:w="2265" w:type="dxa"/>
          </w:tcPr>
          <w:p w14:paraId="15A8BEF7" w14:textId="59479471" w:rsidR="00DD1054" w:rsidRPr="00F6353E" w:rsidRDefault="00DD1054" w:rsidP="00037BD8">
            <w:pPr>
              <w:rPr>
                <w:rFonts w:ascii="Calibri Light" w:hAnsi="Calibri Light" w:cs="Calibri Light"/>
                <w:sz w:val="24"/>
                <w:szCs w:val="24"/>
              </w:rPr>
            </w:pPr>
            <w:r w:rsidRPr="00F6353E">
              <w:rPr>
                <w:rFonts w:ascii="Calibri Light" w:hAnsi="Calibri Light" w:cs="Calibri Light"/>
                <w:sz w:val="24"/>
                <w:szCs w:val="24"/>
              </w:rPr>
              <w:t>RECOMMENDATION 5: To capitalize on its current momentum in building support for the disaster-F</w:t>
            </w:r>
            <w:r w:rsidR="001C67E5" w:rsidRPr="00F6353E">
              <w:rPr>
                <w:rFonts w:ascii="Calibri Light" w:hAnsi="Calibri Light" w:cs="Calibri Light"/>
                <w:sz w:val="24"/>
                <w:szCs w:val="24"/>
              </w:rPr>
              <w:t xml:space="preserve">ragility, </w:t>
            </w:r>
            <w:r w:rsidRPr="00F6353E">
              <w:rPr>
                <w:rFonts w:ascii="Calibri Light" w:hAnsi="Calibri Light" w:cs="Calibri Light"/>
                <w:sz w:val="24"/>
                <w:szCs w:val="24"/>
              </w:rPr>
              <w:t>C</w:t>
            </w:r>
            <w:r w:rsidR="001C67E5" w:rsidRPr="00F6353E">
              <w:rPr>
                <w:rFonts w:ascii="Calibri Light" w:hAnsi="Calibri Light" w:cs="Calibri Light"/>
                <w:sz w:val="24"/>
                <w:szCs w:val="24"/>
              </w:rPr>
              <w:t xml:space="preserve">onflict and </w:t>
            </w:r>
            <w:r w:rsidRPr="00F6353E">
              <w:rPr>
                <w:rFonts w:ascii="Calibri Light" w:hAnsi="Calibri Light" w:cs="Calibri Light"/>
                <w:sz w:val="24"/>
                <w:szCs w:val="24"/>
              </w:rPr>
              <w:t>V</w:t>
            </w:r>
            <w:r w:rsidR="001C67E5" w:rsidRPr="00F6353E">
              <w:rPr>
                <w:rFonts w:ascii="Calibri Light" w:hAnsi="Calibri Light" w:cs="Calibri Light"/>
                <w:sz w:val="24"/>
                <w:szCs w:val="24"/>
              </w:rPr>
              <w:t>iolence (FC</w:t>
            </w:r>
            <w:r w:rsidR="008B7C1A">
              <w:rPr>
                <w:rFonts w:ascii="Calibri Light" w:hAnsi="Calibri Light" w:cs="Calibri Light"/>
                <w:sz w:val="24"/>
                <w:szCs w:val="24"/>
              </w:rPr>
              <w:t>V</w:t>
            </w:r>
            <w:r w:rsidR="001C67E5" w:rsidRPr="00F6353E">
              <w:rPr>
                <w:rFonts w:ascii="Calibri Light" w:hAnsi="Calibri Light" w:cs="Calibri Light"/>
                <w:sz w:val="24"/>
                <w:szCs w:val="24"/>
              </w:rPr>
              <w:t>)</w:t>
            </w:r>
            <w:r w:rsidRPr="00F6353E">
              <w:rPr>
                <w:rFonts w:ascii="Calibri Light" w:hAnsi="Calibri Light" w:cs="Calibri Light"/>
                <w:sz w:val="24"/>
                <w:szCs w:val="24"/>
              </w:rPr>
              <w:t xml:space="preserve"> nexus, GFDRR should concentrate on optimizing the utility of its knowledge for World Bank country teams</w:t>
            </w:r>
            <w:r w:rsidR="001C67E5" w:rsidRPr="00F6353E">
              <w:rPr>
                <w:rFonts w:ascii="Calibri Light" w:hAnsi="Calibri Light" w:cs="Calibri Light"/>
                <w:sz w:val="24"/>
                <w:szCs w:val="24"/>
              </w:rPr>
              <w:t>.</w:t>
            </w:r>
          </w:p>
        </w:tc>
        <w:tc>
          <w:tcPr>
            <w:tcW w:w="1138" w:type="dxa"/>
            <w:shd w:val="clear" w:color="auto" w:fill="47D459" w:themeFill="accent3" w:themeFillTint="99"/>
          </w:tcPr>
          <w:p w14:paraId="05B2D99C" w14:textId="1A11016A" w:rsidR="00DD1054" w:rsidRPr="00F6353E" w:rsidRDefault="00AA6B46" w:rsidP="00037BD8">
            <w:pPr>
              <w:rPr>
                <w:rFonts w:ascii="Calibri Light" w:hAnsi="Calibri Light" w:cs="Calibri Light"/>
                <w:sz w:val="24"/>
                <w:szCs w:val="24"/>
              </w:rPr>
            </w:pPr>
            <w:r w:rsidRPr="00F6353E">
              <w:rPr>
                <w:rFonts w:ascii="Calibri Light" w:hAnsi="Calibri Light" w:cs="Calibri Light"/>
                <w:sz w:val="24"/>
                <w:szCs w:val="24"/>
              </w:rPr>
              <w:t>Agree</w:t>
            </w:r>
          </w:p>
        </w:tc>
        <w:tc>
          <w:tcPr>
            <w:tcW w:w="6520" w:type="dxa"/>
          </w:tcPr>
          <w:p w14:paraId="3952DAE9" w14:textId="4CF62EBE" w:rsidR="00DD1054" w:rsidRPr="00F6353E" w:rsidRDefault="00A83858" w:rsidP="00037BD8">
            <w:pPr>
              <w:rPr>
                <w:rFonts w:ascii="Calibri Light" w:hAnsi="Calibri Light" w:cs="Calibri Light"/>
                <w:sz w:val="24"/>
                <w:szCs w:val="24"/>
              </w:rPr>
            </w:pPr>
            <w:r w:rsidRPr="00F6353E">
              <w:rPr>
                <w:rFonts w:ascii="Calibri Light" w:hAnsi="Calibri Light" w:cs="Calibri Light"/>
                <w:sz w:val="24"/>
                <w:szCs w:val="24"/>
              </w:rPr>
              <w:t>The PMU agrees with this recommendation which is a fundamental pillar for GFDRR support. GFDRR will continue to review and update GFDRR tools to ensure their relevance for identifying FCV-related vulnerabilities—including considering disadvantaged groups and intersectionality of drivers of FCV and disadvantage—and informing decision-making for enhancing DRR in FCV settings. GFDRR is committed to develop and mainstream conflict-sensitivity tools to enable country teams to identify conflict risks in client countries and target communities and self-assess their proposal and implementation for potential to inadvertently exacerbate existing conflicts or violence. The PMU will continue to provide knowledge support on demand where possible to development actors operating in FCV</w:t>
            </w:r>
            <w:r w:rsidR="00A73E14">
              <w:rPr>
                <w:rFonts w:ascii="Calibri Light" w:hAnsi="Calibri Light" w:cs="Calibri Light"/>
                <w:sz w:val="24"/>
                <w:szCs w:val="24"/>
              </w:rPr>
              <w:t xml:space="preserve"> </w:t>
            </w:r>
            <w:r w:rsidRPr="00F6353E">
              <w:rPr>
                <w:rFonts w:ascii="Calibri Light" w:hAnsi="Calibri Light" w:cs="Calibri Light"/>
                <w:sz w:val="24"/>
                <w:szCs w:val="24"/>
              </w:rPr>
              <w:t xml:space="preserve">affected countries in which the World Bank cannot operate. GFDRR will fund work of the specialized team leading the FCV-DRM nexus work that serves as the World Bank’s knowledge </w:t>
            </w:r>
            <w:r w:rsidR="00950954" w:rsidRPr="00F6353E">
              <w:rPr>
                <w:rFonts w:ascii="Calibri Light" w:hAnsi="Calibri Light" w:cs="Calibri Light"/>
                <w:sz w:val="24"/>
                <w:szCs w:val="24"/>
              </w:rPr>
              <w:t>centre</w:t>
            </w:r>
            <w:r w:rsidRPr="00F6353E">
              <w:rPr>
                <w:rFonts w:ascii="Calibri Light" w:hAnsi="Calibri Light" w:cs="Calibri Light"/>
                <w:sz w:val="24"/>
                <w:szCs w:val="24"/>
              </w:rPr>
              <w:t xml:space="preserve"> on FCV-DRM issues.</w:t>
            </w:r>
          </w:p>
        </w:tc>
        <w:tc>
          <w:tcPr>
            <w:tcW w:w="2980" w:type="dxa"/>
          </w:tcPr>
          <w:p w14:paraId="3AA5010D" w14:textId="57B50842" w:rsidR="00DD1054" w:rsidRPr="00F6353E" w:rsidRDefault="00967611" w:rsidP="00037BD8">
            <w:pPr>
              <w:rPr>
                <w:rFonts w:ascii="Calibri Light" w:hAnsi="Calibri Light" w:cs="Calibri Light"/>
                <w:sz w:val="24"/>
                <w:szCs w:val="24"/>
              </w:rPr>
            </w:pPr>
            <w:r w:rsidRPr="00F6353E">
              <w:rPr>
                <w:rFonts w:ascii="Calibri Light" w:hAnsi="Calibri Light" w:cs="Calibri Light"/>
                <w:sz w:val="24"/>
                <w:szCs w:val="24"/>
              </w:rPr>
              <w:t xml:space="preserve">DFAT </w:t>
            </w:r>
            <w:r w:rsidRPr="00F6353E">
              <w:rPr>
                <w:rFonts w:ascii="Calibri Light" w:hAnsi="Calibri Light" w:cs="Calibri Light"/>
                <w:b/>
                <w:bCs/>
                <w:sz w:val="24"/>
                <w:szCs w:val="24"/>
              </w:rPr>
              <w:t>agrees</w:t>
            </w:r>
            <w:r w:rsidRPr="00F6353E">
              <w:rPr>
                <w:rFonts w:ascii="Calibri Light" w:hAnsi="Calibri Light" w:cs="Calibri Light"/>
                <w:sz w:val="24"/>
                <w:szCs w:val="24"/>
              </w:rPr>
              <w:t xml:space="preserve"> with this recommendation</w:t>
            </w:r>
            <w:r w:rsidR="00A83858" w:rsidRPr="00F6353E">
              <w:rPr>
                <w:rFonts w:ascii="Calibri Light" w:hAnsi="Calibri Light" w:cs="Calibri Light"/>
                <w:sz w:val="24"/>
                <w:szCs w:val="24"/>
              </w:rPr>
              <w:t xml:space="preserve"> and acknowledges continued work to review and update tools to ensure consideration of disadvantaged group, intersectionality and drivers of disadvantage. </w:t>
            </w:r>
            <w:r w:rsidRPr="00F6353E">
              <w:rPr>
                <w:rFonts w:ascii="Calibri Light" w:hAnsi="Calibri Light" w:cs="Calibri Light"/>
                <w:sz w:val="24"/>
                <w:szCs w:val="24"/>
              </w:rPr>
              <w:t xml:space="preserve"> </w:t>
            </w:r>
          </w:p>
        </w:tc>
        <w:tc>
          <w:tcPr>
            <w:tcW w:w="2265" w:type="dxa"/>
          </w:tcPr>
          <w:p w14:paraId="6726127B" w14:textId="544746DD" w:rsidR="00DD1054" w:rsidRPr="00F6353E" w:rsidRDefault="00A83858" w:rsidP="00037BD8">
            <w:pPr>
              <w:rPr>
                <w:rFonts w:ascii="Calibri Light" w:hAnsi="Calibri Light" w:cs="Calibri Light"/>
                <w:sz w:val="24"/>
                <w:szCs w:val="24"/>
              </w:rPr>
            </w:pPr>
            <w:r w:rsidRPr="00F6353E">
              <w:rPr>
                <w:rFonts w:ascii="Calibri Light" w:hAnsi="Calibri Light" w:cs="Calibri Light"/>
                <w:sz w:val="24"/>
                <w:szCs w:val="24"/>
              </w:rPr>
              <w:t>This recommendation will be integrated into the activities planned for FY25 and reported in the FY25 Annual Report. Additionally, it will be incorporated into the development of the new strategy, which will begin implementation in June 2025.</w:t>
            </w:r>
          </w:p>
        </w:tc>
      </w:tr>
    </w:tbl>
    <w:p w14:paraId="741892C0" w14:textId="77777777" w:rsidR="00DD1054" w:rsidRPr="00F6353E" w:rsidRDefault="00DD1054" w:rsidP="00967611">
      <w:pPr>
        <w:rPr>
          <w:rFonts w:ascii="Calibri Light" w:hAnsi="Calibri Light" w:cs="Calibri Light"/>
          <w:sz w:val="24"/>
          <w:szCs w:val="24"/>
        </w:rPr>
      </w:pPr>
    </w:p>
    <w:sectPr w:rsidR="00DD1054" w:rsidRPr="00F6353E" w:rsidSect="00037BD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4233B" w14:textId="77777777" w:rsidR="00B87D32" w:rsidRDefault="00B87D32" w:rsidP="00037BD8">
      <w:pPr>
        <w:spacing w:after="0" w:line="240" w:lineRule="auto"/>
      </w:pPr>
      <w:r>
        <w:separator/>
      </w:r>
    </w:p>
  </w:endnote>
  <w:endnote w:type="continuationSeparator" w:id="0">
    <w:p w14:paraId="0D4AF7F4" w14:textId="77777777" w:rsidR="00B87D32" w:rsidRDefault="00B87D32" w:rsidP="00037BD8">
      <w:pPr>
        <w:spacing w:after="0" w:line="240" w:lineRule="auto"/>
      </w:pPr>
      <w:r>
        <w:continuationSeparator/>
      </w:r>
    </w:p>
  </w:endnote>
  <w:endnote w:type="continuationNotice" w:id="1">
    <w:p w14:paraId="5ED86177" w14:textId="77777777" w:rsidR="00B87D32" w:rsidRDefault="00B87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6B244" w14:textId="77777777" w:rsidR="00B87D32" w:rsidRDefault="00B87D32" w:rsidP="00037BD8">
      <w:pPr>
        <w:spacing w:after="0" w:line="240" w:lineRule="auto"/>
      </w:pPr>
      <w:r>
        <w:separator/>
      </w:r>
    </w:p>
  </w:footnote>
  <w:footnote w:type="continuationSeparator" w:id="0">
    <w:p w14:paraId="6A2BC396" w14:textId="77777777" w:rsidR="00B87D32" w:rsidRDefault="00B87D32" w:rsidP="00037BD8">
      <w:pPr>
        <w:spacing w:after="0" w:line="240" w:lineRule="auto"/>
      </w:pPr>
      <w:r>
        <w:continuationSeparator/>
      </w:r>
    </w:p>
  </w:footnote>
  <w:footnote w:type="continuationNotice" w:id="1">
    <w:p w14:paraId="61A84049" w14:textId="77777777" w:rsidR="00B87D32" w:rsidRDefault="00B87D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5FE4"/>
    <w:multiLevelType w:val="multilevel"/>
    <w:tmpl w:val="FE34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9266A8"/>
    <w:multiLevelType w:val="multilevel"/>
    <w:tmpl w:val="1584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B12254"/>
    <w:multiLevelType w:val="hybridMultilevel"/>
    <w:tmpl w:val="B3B6CD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BA7B50"/>
    <w:multiLevelType w:val="hybridMultilevel"/>
    <w:tmpl w:val="66C4C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01514F"/>
    <w:multiLevelType w:val="multilevel"/>
    <w:tmpl w:val="2214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801722"/>
    <w:multiLevelType w:val="multilevel"/>
    <w:tmpl w:val="6E52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58788E"/>
    <w:multiLevelType w:val="multilevel"/>
    <w:tmpl w:val="7C08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BA0A35"/>
    <w:multiLevelType w:val="multilevel"/>
    <w:tmpl w:val="6720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0475542">
    <w:abstractNumId w:val="6"/>
  </w:num>
  <w:num w:numId="2" w16cid:durableId="1063791775">
    <w:abstractNumId w:val="0"/>
  </w:num>
  <w:num w:numId="3" w16cid:durableId="1923220824">
    <w:abstractNumId w:val="7"/>
  </w:num>
  <w:num w:numId="4" w16cid:durableId="2130202207">
    <w:abstractNumId w:val="1"/>
  </w:num>
  <w:num w:numId="5" w16cid:durableId="609364055">
    <w:abstractNumId w:val="5"/>
  </w:num>
  <w:num w:numId="6" w16cid:durableId="2092382513">
    <w:abstractNumId w:val="4"/>
  </w:num>
  <w:num w:numId="7" w16cid:durableId="1056010919">
    <w:abstractNumId w:val="3"/>
  </w:num>
  <w:num w:numId="8" w16cid:durableId="350648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D8"/>
    <w:rsid w:val="00012BD1"/>
    <w:rsid w:val="0003415B"/>
    <w:rsid w:val="00037BD8"/>
    <w:rsid w:val="00084A3F"/>
    <w:rsid w:val="00095B72"/>
    <w:rsid w:val="000A72FB"/>
    <w:rsid w:val="000B0D32"/>
    <w:rsid w:val="000C358B"/>
    <w:rsid w:val="000C3E8D"/>
    <w:rsid w:val="000C6110"/>
    <w:rsid w:val="000D47F0"/>
    <w:rsid w:val="000E047B"/>
    <w:rsid w:val="000E461E"/>
    <w:rsid w:val="001159F7"/>
    <w:rsid w:val="00124F4A"/>
    <w:rsid w:val="00141C82"/>
    <w:rsid w:val="001A4C63"/>
    <w:rsid w:val="001C3C62"/>
    <w:rsid w:val="001C67E5"/>
    <w:rsid w:val="00212E6B"/>
    <w:rsid w:val="00213816"/>
    <w:rsid w:val="00226580"/>
    <w:rsid w:val="00244716"/>
    <w:rsid w:val="00263826"/>
    <w:rsid w:val="002A5578"/>
    <w:rsid w:val="002C3401"/>
    <w:rsid w:val="003357DC"/>
    <w:rsid w:val="00365F3C"/>
    <w:rsid w:val="00394175"/>
    <w:rsid w:val="003C5F80"/>
    <w:rsid w:val="003D65C3"/>
    <w:rsid w:val="003F5176"/>
    <w:rsid w:val="00413127"/>
    <w:rsid w:val="00451D0B"/>
    <w:rsid w:val="00453F46"/>
    <w:rsid w:val="00454E99"/>
    <w:rsid w:val="004C60D8"/>
    <w:rsid w:val="004E75E7"/>
    <w:rsid w:val="005105FA"/>
    <w:rsid w:val="005F514E"/>
    <w:rsid w:val="006119EC"/>
    <w:rsid w:val="006150C2"/>
    <w:rsid w:val="00637FFE"/>
    <w:rsid w:val="00647502"/>
    <w:rsid w:val="006578CB"/>
    <w:rsid w:val="006855BE"/>
    <w:rsid w:val="006B5AD8"/>
    <w:rsid w:val="006B63F0"/>
    <w:rsid w:val="00741A3F"/>
    <w:rsid w:val="00763D17"/>
    <w:rsid w:val="00765FE6"/>
    <w:rsid w:val="007D094E"/>
    <w:rsid w:val="00812DDB"/>
    <w:rsid w:val="008321DA"/>
    <w:rsid w:val="00855636"/>
    <w:rsid w:val="00883FD6"/>
    <w:rsid w:val="008856AF"/>
    <w:rsid w:val="008B46B2"/>
    <w:rsid w:val="008B7C1A"/>
    <w:rsid w:val="008C18FA"/>
    <w:rsid w:val="008D17C8"/>
    <w:rsid w:val="008D7440"/>
    <w:rsid w:val="00933198"/>
    <w:rsid w:val="00950954"/>
    <w:rsid w:val="00967611"/>
    <w:rsid w:val="009922B3"/>
    <w:rsid w:val="009F0705"/>
    <w:rsid w:val="00A170E8"/>
    <w:rsid w:val="00A3543D"/>
    <w:rsid w:val="00A55735"/>
    <w:rsid w:val="00A7011F"/>
    <w:rsid w:val="00A721C9"/>
    <w:rsid w:val="00A73E14"/>
    <w:rsid w:val="00A83858"/>
    <w:rsid w:val="00AA6B46"/>
    <w:rsid w:val="00AE46F9"/>
    <w:rsid w:val="00B65027"/>
    <w:rsid w:val="00B77F15"/>
    <w:rsid w:val="00B80FB4"/>
    <w:rsid w:val="00B87D32"/>
    <w:rsid w:val="00BC2085"/>
    <w:rsid w:val="00BE793A"/>
    <w:rsid w:val="00C050BB"/>
    <w:rsid w:val="00C45520"/>
    <w:rsid w:val="00C75215"/>
    <w:rsid w:val="00C96666"/>
    <w:rsid w:val="00CC4ACF"/>
    <w:rsid w:val="00CE1C91"/>
    <w:rsid w:val="00CF48AD"/>
    <w:rsid w:val="00D333E8"/>
    <w:rsid w:val="00DD1054"/>
    <w:rsid w:val="00DD5967"/>
    <w:rsid w:val="00E417F3"/>
    <w:rsid w:val="00E868AF"/>
    <w:rsid w:val="00EB0659"/>
    <w:rsid w:val="00EE0797"/>
    <w:rsid w:val="00EF5C05"/>
    <w:rsid w:val="00F0580E"/>
    <w:rsid w:val="00F27EB2"/>
    <w:rsid w:val="00F6353E"/>
    <w:rsid w:val="00FA3931"/>
    <w:rsid w:val="00FC0480"/>
    <w:rsid w:val="00FC4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0671F"/>
  <w15:chartTrackingRefBased/>
  <w15:docId w15:val="{00668D20-E82F-4B7E-B90D-393A7711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6F9"/>
    <w:pPr>
      <w:outlineLvl w:val="0"/>
    </w:pPr>
    <w:rPr>
      <w:rFonts w:ascii="Calibri Light" w:hAnsi="Calibri Light" w:cs="Calibri Light"/>
      <w:b/>
      <w:bCs/>
      <w:sz w:val="24"/>
      <w:szCs w:val="24"/>
    </w:rPr>
  </w:style>
  <w:style w:type="paragraph" w:styleId="Heading2">
    <w:name w:val="heading 2"/>
    <w:basedOn w:val="Normal"/>
    <w:next w:val="Normal"/>
    <w:link w:val="Heading2Char"/>
    <w:uiPriority w:val="9"/>
    <w:semiHidden/>
    <w:unhideWhenUsed/>
    <w:qFormat/>
    <w:rsid w:val="00037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B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6F9"/>
    <w:rPr>
      <w:rFonts w:ascii="Calibri Light" w:hAnsi="Calibri Light" w:cs="Calibri Light"/>
      <w:b/>
      <w:bCs/>
      <w:sz w:val="24"/>
      <w:szCs w:val="24"/>
    </w:rPr>
  </w:style>
  <w:style w:type="character" w:customStyle="1" w:styleId="Heading2Char">
    <w:name w:val="Heading 2 Char"/>
    <w:basedOn w:val="DefaultParagraphFont"/>
    <w:link w:val="Heading2"/>
    <w:uiPriority w:val="9"/>
    <w:semiHidden/>
    <w:rsid w:val="00037B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B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BD8"/>
    <w:rPr>
      <w:rFonts w:eastAsiaTheme="majorEastAsia" w:cstheme="majorBidi"/>
      <w:color w:val="272727" w:themeColor="text1" w:themeTint="D8"/>
    </w:rPr>
  </w:style>
  <w:style w:type="paragraph" w:styleId="Title">
    <w:name w:val="Title"/>
    <w:basedOn w:val="Normal"/>
    <w:next w:val="Normal"/>
    <w:link w:val="TitleChar"/>
    <w:uiPriority w:val="10"/>
    <w:qFormat/>
    <w:rsid w:val="00037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B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BD8"/>
    <w:pPr>
      <w:spacing w:before="160"/>
      <w:jc w:val="center"/>
    </w:pPr>
    <w:rPr>
      <w:i/>
      <w:iCs/>
      <w:color w:val="404040" w:themeColor="text1" w:themeTint="BF"/>
    </w:rPr>
  </w:style>
  <w:style w:type="character" w:customStyle="1" w:styleId="QuoteChar">
    <w:name w:val="Quote Char"/>
    <w:basedOn w:val="DefaultParagraphFont"/>
    <w:link w:val="Quote"/>
    <w:uiPriority w:val="29"/>
    <w:rsid w:val="00037BD8"/>
    <w:rPr>
      <w:i/>
      <w:iCs/>
      <w:color w:val="404040" w:themeColor="text1" w:themeTint="BF"/>
    </w:rPr>
  </w:style>
  <w:style w:type="paragraph" w:styleId="ListParagraph">
    <w:name w:val="List Paragraph"/>
    <w:basedOn w:val="Normal"/>
    <w:uiPriority w:val="34"/>
    <w:qFormat/>
    <w:rsid w:val="00037BD8"/>
    <w:pPr>
      <w:ind w:left="720"/>
      <w:contextualSpacing/>
    </w:pPr>
  </w:style>
  <w:style w:type="character" w:styleId="IntenseEmphasis">
    <w:name w:val="Intense Emphasis"/>
    <w:basedOn w:val="DefaultParagraphFont"/>
    <w:uiPriority w:val="21"/>
    <w:qFormat/>
    <w:rsid w:val="00037BD8"/>
    <w:rPr>
      <w:i/>
      <w:iCs/>
      <w:color w:val="0F4761" w:themeColor="accent1" w:themeShade="BF"/>
    </w:rPr>
  </w:style>
  <w:style w:type="paragraph" w:styleId="IntenseQuote">
    <w:name w:val="Intense Quote"/>
    <w:basedOn w:val="Normal"/>
    <w:next w:val="Normal"/>
    <w:link w:val="IntenseQuoteChar"/>
    <w:uiPriority w:val="30"/>
    <w:qFormat/>
    <w:rsid w:val="00037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BD8"/>
    <w:rPr>
      <w:i/>
      <w:iCs/>
      <w:color w:val="0F4761" w:themeColor="accent1" w:themeShade="BF"/>
    </w:rPr>
  </w:style>
  <w:style w:type="character" w:styleId="IntenseReference">
    <w:name w:val="Intense Reference"/>
    <w:basedOn w:val="DefaultParagraphFont"/>
    <w:uiPriority w:val="32"/>
    <w:qFormat/>
    <w:rsid w:val="00037BD8"/>
    <w:rPr>
      <w:b/>
      <w:bCs/>
      <w:smallCaps/>
      <w:color w:val="0F4761" w:themeColor="accent1" w:themeShade="BF"/>
      <w:spacing w:val="5"/>
    </w:rPr>
  </w:style>
  <w:style w:type="table" w:styleId="TableGrid">
    <w:name w:val="Table Grid"/>
    <w:basedOn w:val="TableNormal"/>
    <w:uiPriority w:val="39"/>
    <w:rsid w:val="00DD1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1D0B"/>
    <w:pPr>
      <w:spacing w:after="0" w:line="240" w:lineRule="auto"/>
    </w:pPr>
  </w:style>
  <w:style w:type="character" w:styleId="CommentReference">
    <w:name w:val="annotation reference"/>
    <w:basedOn w:val="DefaultParagraphFont"/>
    <w:uiPriority w:val="99"/>
    <w:semiHidden/>
    <w:unhideWhenUsed/>
    <w:rsid w:val="007D094E"/>
    <w:rPr>
      <w:sz w:val="16"/>
      <w:szCs w:val="16"/>
    </w:rPr>
  </w:style>
  <w:style w:type="paragraph" w:styleId="CommentText">
    <w:name w:val="annotation text"/>
    <w:basedOn w:val="Normal"/>
    <w:link w:val="CommentTextChar"/>
    <w:uiPriority w:val="99"/>
    <w:unhideWhenUsed/>
    <w:rsid w:val="007D094E"/>
    <w:pPr>
      <w:spacing w:line="240" w:lineRule="auto"/>
    </w:pPr>
    <w:rPr>
      <w:sz w:val="20"/>
      <w:szCs w:val="20"/>
    </w:rPr>
  </w:style>
  <w:style w:type="character" w:customStyle="1" w:styleId="CommentTextChar">
    <w:name w:val="Comment Text Char"/>
    <w:basedOn w:val="DefaultParagraphFont"/>
    <w:link w:val="CommentText"/>
    <w:uiPriority w:val="99"/>
    <w:rsid w:val="007D094E"/>
    <w:rPr>
      <w:sz w:val="20"/>
      <w:szCs w:val="20"/>
    </w:rPr>
  </w:style>
  <w:style w:type="paragraph" w:styleId="CommentSubject">
    <w:name w:val="annotation subject"/>
    <w:basedOn w:val="CommentText"/>
    <w:next w:val="CommentText"/>
    <w:link w:val="CommentSubjectChar"/>
    <w:uiPriority w:val="99"/>
    <w:semiHidden/>
    <w:unhideWhenUsed/>
    <w:rsid w:val="007D094E"/>
    <w:rPr>
      <w:b/>
      <w:bCs/>
    </w:rPr>
  </w:style>
  <w:style w:type="character" w:customStyle="1" w:styleId="CommentSubjectChar">
    <w:name w:val="Comment Subject Char"/>
    <w:basedOn w:val="CommentTextChar"/>
    <w:link w:val="CommentSubject"/>
    <w:uiPriority w:val="99"/>
    <w:semiHidden/>
    <w:rsid w:val="007D094E"/>
    <w:rPr>
      <w:b/>
      <w:bCs/>
      <w:sz w:val="20"/>
      <w:szCs w:val="20"/>
    </w:rPr>
  </w:style>
  <w:style w:type="paragraph" w:styleId="Header">
    <w:name w:val="header"/>
    <w:basedOn w:val="Normal"/>
    <w:link w:val="HeaderChar"/>
    <w:uiPriority w:val="99"/>
    <w:semiHidden/>
    <w:unhideWhenUsed/>
    <w:rsid w:val="00A354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543D"/>
  </w:style>
  <w:style w:type="paragraph" w:styleId="Footer">
    <w:name w:val="footer"/>
    <w:basedOn w:val="Normal"/>
    <w:link w:val="FooterChar"/>
    <w:uiPriority w:val="99"/>
    <w:semiHidden/>
    <w:unhideWhenUsed/>
    <w:rsid w:val="00A354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5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989">
      <w:bodyDiv w:val="1"/>
      <w:marLeft w:val="0"/>
      <w:marRight w:val="0"/>
      <w:marTop w:val="0"/>
      <w:marBottom w:val="0"/>
      <w:divBdr>
        <w:top w:val="none" w:sz="0" w:space="0" w:color="auto"/>
        <w:left w:val="none" w:sz="0" w:space="0" w:color="auto"/>
        <w:bottom w:val="none" w:sz="0" w:space="0" w:color="auto"/>
        <w:right w:val="none" w:sz="0" w:space="0" w:color="auto"/>
      </w:divBdr>
    </w:div>
    <w:div w:id="400057560">
      <w:bodyDiv w:val="1"/>
      <w:marLeft w:val="0"/>
      <w:marRight w:val="0"/>
      <w:marTop w:val="0"/>
      <w:marBottom w:val="0"/>
      <w:divBdr>
        <w:top w:val="none" w:sz="0" w:space="0" w:color="auto"/>
        <w:left w:val="none" w:sz="0" w:space="0" w:color="auto"/>
        <w:bottom w:val="none" w:sz="0" w:space="0" w:color="auto"/>
        <w:right w:val="none" w:sz="0" w:space="0" w:color="auto"/>
      </w:divBdr>
    </w:div>
    <w:div w:id="1122305514">
      <w:bodyDiv w:val="1"/>
      <w:marLeft w:val="0"/>
      <w:marRight w:val="0"/>
      <w:marTop w:val="0"/>
      <w:marBottom w:val="0"/>
      <w:divBdr>
        <w:top w:val="none" w:sz="0" w:space="0" w:color="auto"/>
        <w:left w:val="none" w:sz="0" w:space="0" w:color="auto"/>
        <w:bottom w:val="none" w:sz="0" w:space="0" w:color="auto"/>
        <w:right w:val="none" w:sz="0" w:space="0" w:color="auto"/>
      </w:divBdr>
    </w:div>
    <w:div w:id="1178429555">
      <w:bodyDiv w:val="1"/>
      <w:marLeft w:val="0"/>
      <w:marRight w:val="0"/>
      <w:marTop w:val="0"/>
      <w:marBottom w:val="0"/>
      <w:divBdr>
        <w:top w:val="none" w:sz="0" w:space="0" w:color="auto"/>
        <w:left w:val="none" w:sz="0" w:space="0" w:color="auto"/>
        <w:bottom w:val="none" w:sz="0" w:space="0" w:color="auto"/>
        <w:right w:val="none" w:sz="0" w:space="0" w:color="auto"/>
      </w:divBdr>
    </w:div>
    <w:div w:id="1343164288">
      <w:bodyDiv w:val="1"/>
      <w:marLeft w:val="0"/>
      <w:marRight w:val="0"/>
      <w:marTop w:val="0"/>
      <w:marBottom w:val="0"/>
      <w:divBdr>
        <w:top w:val="none" w:sz="0" w:space="0" w:color="auto"/>
        <w:left w:val="none" w:sz="0" w:space="0" w:color="auto"/>
        <w:bottom w:val="none" w:sz="0" w:space="0" w:color="auto"/>
        <w:right w:val="none" w:sz="0" w:space="0" w:color="auto"/>
      </w:divBdr>
    </w:div>
    <w:div w:id="1598173482">
      <w:bodyDiv w:val="1"/>
      <w:marLeft w:val="0"/>
      <w:marRight w:val="0"/>
      <w:marTop w:val="0"/>
      <w:marBottom w:val="0"/>
      <w:divBdr>
        <w:top w:val="none" w:sz="0" w:space="0" w:color="auto"/>
        <w:left w:val="none" w:sz="0" w:space="0" w:color="auto"/>
        <w:bottom w:val="none" w:sz="0" w:space="0" w:color="auto"/>
        <w:right w:val="none" w:sz="0" w:space="0" w:color="auto"/>
      </w:divBdr>
    </w:div>
    <w:div w:id="1781098730">
      <w:bodyDiv w:val="1"/>
      <w:marLeft w:val="0"/>
      <w:marRight w:val="0"/>
      <w:marTop w:val="0"/>
      <w:marBottom w:val="0"/>
      <w:divBdr>
        <w:top w:val="none" w:sz="0" w:space="0" w:color="auto"/>
        <w:left w:val="none" w:sz="0" w:space="0" w:color="auto"/>
        <w:bottom w:val="none" w:sz="0" w:space="0" w:color="auto"/>
        <w:right w:val="none" w:sz="0" w:space="0" w:color="auto"/>
      </w:divBdr>
    </w:div>
    <w:div w:id="20980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c53862-c4a5-479d-b075-a8afcffe6068" xsi:nil="true"/>
    <lcf76f155ced4ddcb4097134ff3c332f xmlns="86e50019-0267-40fb-87f9-3f4eba0f3a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0AC6B43DAF9843885DFD8F2E402DB0" ma:contentTypeVersion="21" ma:contentTypeDescription="Create a new document." ma:contentTypeScope="" ma:versionID="ccf1a78719007ce18da5784745a7c27f">
  <xsd:schema xmlns:xsd="http://www.w3.org/2001/XMLSchema" xmlns:xs="http://www.w3.org/2001/XMLSchema" xmlns:p="http://schemas.microsoft.com/office/2006/metadata/properties" xmlns:ns2="86e50019-0267-40fb-87f9-3f4eba0f3afb" xmlns:ns3="b9c53862-c4a5-479d-b075-a8afcffe6068" targetNamespace="http://schemas.microsoft.com/office/2006/metadata/properties" ma:root="true" ma:fieldsID="4bf0bdca1e7725cb42b88207ee1ddc02" ns2:_="" ns3:_="">
    <xsd:import namespace="86e50019-0267-40fb-87f9-3f4eba0f3afb"/>
    <xsd:import namespace="b9c53862-c4a5-479d-b075-a8afcffe60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50019-0267-40fb-87f9-3f4eba0f3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53862-c4a5-479d-b075-a8afcffe60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65cea3-5057-45d6-a19a-587c837298f1}" ma:internalName="TaxCatchAll" ma:showField="CatchAllData" ma:web="b9c53862-c4a5-479d-b075-a8afcffe60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4F89B-D673-42FA-9EBB-371035DAEB92}">
  <ds:schemaRefs>
    <ds:schemaRef ds:uri="http://schemas.microsoft.com/sharepoint/v3/contenttype/forms"/>
  </ds:schemaRefs>
</ds:datastoreItem>
</file>

<file path=customXml/itemProps2.xml><?xml version="1.0" encoding="utf-8"?>
<ds:datastoreItem xmlns:ds="http://schemas.openxmlformats.org/officeDocument/2006/customXml" ds:itemID="{403D1FA9-CCEF-4E54-AE50-F245DB9E94A5}">
  <ds:schemaRefs>
    <ds:schemaRef ds:uri="http://purl.org/dc/terms/"/>
    <ds:schemaRef ds:uri="http://schemas.microsoft.com/office/2006/documentManagement/types"/>
    <ds:schemaRef ds:uri="http://schemas.microsoft.com/office/2006/metadata/properties"/>
    <ds:schemaRef ds:uri="b9c53862-c4a5-479d-b075-a8afcffe6068"/>
    <ds:schemaRef ds:uri="http://purl.org/dc/dcmitype/"/>
    <ds:schemaRef ds:uri="http://purl.org/dc/elements/1.1/"/>
    <ds:schemaRef ds:uri="http://schemas.microsoft.com/office/infopath/2007/PartnerControls"/>
    <ds:schemaRef ds:uri="86e50019-0267-40fb-87f9-3f4eba0f3afb"/>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74AF99B6-4D77-4528-9E1F-7FE0ECB5F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50019-0267-40fb-87f9-3f4eba0f3afb"/>
    <ds:schemaRef ds:uri="b9c53862-c4a5-479d-b075-a8afcffe6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1798</Words>
  <Characters>10311</Characters>
  <Application>Microsoft Office Word</Application>
  <DocSecurity>0</DocSecurity>
  <Lines>321</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and DFAT Management Response arising from the Global Facility for Disaster Reduction and Recovery Mid Term Evaluation</dc:title>
  <dc:subject/>
  <dc:creator>Patrick Baggoley</dc:creator>
  <cp:keywords>[SEC=OFFICIAL]</cp:keywords>
  <dc:description/>
  <cp:lastModifiedBy>Patrick Baggoley</cp:lastModifiedBy>
  <cp:revision>3</cp:revision>
  <dcterms:created xsi:type="dcterms:W3CDTF">2025-07-08T01:49:00Z</dcterms:created>
  <dcterms:modified xsi:type="dcterms:W3CDTF">2025-07-08T02:12:00Z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v=2022.1;a=SHA256;h=5AEC8C86BAE2415DC858F5563A836178D974528B5F020C760D80CF66C3A49989</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2025-02-26T05:38:36Z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906C2FD1450941F8AEABAB789A77A259</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C5B30B64DDCC85B3762058663D4C5C4E</vt:lpwstr>
  </property>
  <property fmtid="{D5CDD505-2E9C-101B-9397-08002B2CF9AE}" pid="25" name="PM_Hash_Salt">
    <vt:lpwstr>9A2A2F0970A6BC22E19FAF949E35CAEB</vt:lpwstr>
  </property>
  <property fmtid="{D5CDD505-2E9C-101B-9397-08002B2CF9AE}" pid="26" name="PM_Hash_SHA1">
    <vt:lpwstr>1D11F10FD653D1B2815B2245DCA22244F7EC9F20</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0x010100FD0AC6B43DAF9843885DFD8F2E402DB0</vt:lpwstr>
  </property>
</Properties>
</file>