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E46D" w14:textId="79B12F13" w:rsidR="00DD20AB" w:rsidRPr="00FC71CA" w:rsidRDefault="00866540" w:rsidP="00FC71CA">
      <w:pPr>
        <w:pStyle w:val="Heading1"/>
      </w:pPr>
      <w:r w:rsidRPr="00FC71CA">
        <w:t xml:space="preserve">External Evaluation of the </w:t>
      </w:r>
      <w:r w:rsidR="00036126" w:rsidRPr="00FC71CA">
        <w:t>Standards and Trade Development Facility (STDF)</w:t>
      </w:r>
    </w:p>
    <w:p w14:paraId="5447F727" w14:textId="433BEAFF" w:rsidR="00AD62C8" w:rsidRPr="008A761F" w:rsidRDefault="00AD62C8" w:rsidP="00FC71CA">
      <w:pPr>
        <w:pStyle w:val="Heading2"/>
      </w:pPr>
      <w:r w:rsidRPr="008A761F">
        <w:t xml:space="preserve">DFAT Management Response to </w:t>
      </w:r>
      <w:r w:rsidR="007278BE" w:rsidRPr="008A761F">
        <w:t xml:space="preserve">Partner-led </w:t>
      </w:r>
      <w:r w:rsidRPr="008A761F">
        <w:t>Independent Evaluation</w:t>
      </w:r>
    </w:p>
    <w:p w14:paraId="731F9D06" w14:textId="4502CDF1" w:rsidR="00CC7F12" w:rsidRPr="008A761F" w:rsidRDefault="00522C5C" w:rsidP="00FC71CA">
      <w:r w:rsidRPr="008A761F">
        <w:t>The Standards and Trade Development Facility</w:t>
      </w:r>
      <w:r w:rsidR="00DE4974" w:rsidRPr="008A761F">
        <w:t xml:space="preserve"> (STDF)</w:t>
      </w:r>
      <w:r w:rsidRPr="008A761F">
        <w:t xml:space="preserve"> is a multi-donor WTO trust fund which was established in 2004 to support</w:t>
      </w:r>
      <w:r w:rsidR="00E43A8C" w:rsidRPr="008A761F">
        <w:t xml:space="preserve"> developing countries and</w:t>
      </w:r>
      <w:r w:rsidRPr="008A761F">
        <w:t xml:space="preserve"> </w:t>
      </w:r>
      <w:r w:rsidR="00E43A8C" w:rsidRPr="008A761F">
        <w:t>Least Developed Countries (LDCs)</w:t>
      </w:r>
      <w:r w:rsidRPr="008A761F">
        <w:t xml:space="preserve"> to strengthen their </w:t>
      </w:r>
      <w:r w:rsidR="00E43A8C" w:rsidRPr="008A761F">
        <w:t xml:space="preserve">application of </w:t>
      </w:r>
      <w:r w:rsidR="002722FA" w:rsidRPr="008A761F">
        <w:t>Sanitary and Phytosanitary (SPS) standards</w:t>
      </w:r>
      <w:r w:rsidR="00663ABF" w:rsidRPr="008A761F">
        <w:t xml:space="preserve">, </w:t>
      </w:r>
      <w:r w:rsidR="002722FA" w:rsidRPr="008A761F">
        <w:t xml:space="preserve">improve </w:t>
      </w:r>
      <w:r w:rsidRPr="008A761F">
        <w:t>food safety and animal and plant health</w:t>
      </w:r>
      <w:r w:rsidR="002F32AF" w:rsidRPr="008A761F">
        <w:t xml:space="preserve"> </w:t>
      </w:r>
      <w:r w:rsidR="002722FA" w:rsidRPr="008A761F">
        <w:t>practices and</w:t>
      </w:r>
      <w:r w:rsidRPr="008A761F">
        <w:t xml:space="preserve"> facilitate safe trade</w:t>
      </w:r>
      <w:r w:rsidR="002F32AF" w:rsidRPr="008A761F">
        <w:t xml:space="preserve"> in agricultural commodities. </w:t>
      </w:r>
      <w:r w:rsidR="00DE4974" w:rsidRPr="008A761F">
        <w:t>The ST</w:t>
      </w:r>
      <w:r w:rsidR="002C7863" w:rsidRPr="008A761F">
        <w:t>D</w:t>
      </w:r>
      <w:r w:rsidR="00DE4974" w:rsidRPr="008A761F">
        <w:t>F</w:t>
      </w:r>
      <w:r w:rsidR="002722FA" w:rsidRPr="008A761F">
        <w:t xml:space="preserve"> </w:t>
      </w:r>
      <w:r w:rsidR="001D40B9" w:rsidRPr="008A761F">
        <w:t>implement</w:t>
      </w:r>
      <w:r w:rsidR="004961E6" w:rsidRPr="008A761F">
        <w:t>s</w:t>
      </w:r>
      <w:r w:rsidR="002722FA" w:rsidRPr="008A761F">
        <w:t xml:space="preserve"> SPS projects </w:t>
      </w:r>
      <w:r w:rsidR="001D40B9" w:rsidRPr="008A761F">
        <w:t>in developing countries and LDCs</w:t>
      </w:r>
      <w:r w:rsidR="001B16DE" w:rsidRPr="008A761F">
        <w:t xml:space="preserve"> and provide</w:t>
      </w:r>
      <w:r w:rsidR="004961E6" w:rsidRPr="008A761F">
        <w:t>s</w:t>
      </w:r>
      <w:r w:rsidR="001B16DE" w:rsidRPr="008A761F">
        <w:t xml:space="preserve"> a global platform for SPS stakeholders to share best practice</w:t>
      </w:r>
      <w:r w:rsidR="00401B8D" w:rsidRPr="008A761F">
        <w:t xml:space="preserve"> and knowledge. </w:t>
      </w:r>
    </w:p>
    <w:p w14:paraId="34DEC712" w14:textId="58E33054" w:rsidR="0059137C" w:rsidRPr="008A761F" w:rsidRDefault="00522C5C" w:rsidP="00FC71CA">
      <w:r w:rsidRPr="008A761F">
        <w:t>Australia’s $</w:t>
      </w:r>
      <w:r w:rsidR="002F32AF" w:rsidRPr="008A761F">
        <w:t>2</w:t>
      </w:r>
      <w:r w:rsidRPr="008A761F">
        <w:t>.9 million (20</w:t>
      </w:r>
      <w:r w:rsidR="002F32AF" w:rsidRPr="008A761F">
        <w:t>2</w:t>
      </w:r>
      <w:r w:rsidR="00401B8D" w:rsidRPr="008A761F">
        <w:t>2</w:t>
      </w:r>
      <w:r w:rsidRPr="008A761F">
        <w:t>-2024) contribution to the STDF focusses on assisting Indo-Pacific partners to improve biosecurity approaches</w:t>
      </w:r>
      <w:r w:rsidR="001B16DE" w:rsidRPr="008A761F">
        <w:t xml:space="preserve"> and build</w:t>
      </w:r>
      <w:r w:rsidRPr="008A761F">
        <w:t xml:space="preserve"> access to international markets</w:t>
      </w:r>
      <w:r w:rsidR="002F32AF" w:rsidRPr="008A761F">
        <w:t xml:space="preserve"> </w:t>
      </w:r>
      <w:r w:rsidR="0059137C" w:rsidRPr="008A761F">
        <w:t>and trade</w:t>
      </w:r>
      <w:r w:rsidRPr="008A761F">
        <w:t xml:space="preserve">. Strengthening SPS systems also helps to mitigate the negative effects of climate change on agricultural </w:t>
      </w:r>
      <w:proofErr w:type="gramStart"/>
      <w:r w:rsidRPr="008A761F">
        <w:t>production, and</w:t>
      </w:r>
      <w:proofErr w:type="gramEnd"/>
      <w:r w:rsidRPr="008A761F">
        <w:t xml:space="preserve"> supports women’s economic empowerment</w:t>
      </w:r>
      <w:r w:rsidR="00AC0C4F">
        <w:t>. W</w:t>
      </w:r>
      <w:r w:rsidRPr="008A761F">
        <w:t>omen play a vital role in agri-food production and trade in developing countries</w:t>
      </w:r>
      <w:r w:rsidR="00DE4974" w:rsidRPr="008A761F">
        <w:t xml:space="preserve"> and LDCs</w:t>
      </w:r>
      <w:r w:rsidRPr="008A761F">
        <w:t xml:space="preserve">. </w:t>
      </w:r>
    </w:p>
    <w:p w14:paraId="2363E3BD" w14:textId="6E9F0FBE" w:rsidR="0059137C" w:rsidRPr="008A761F" w:rsidRDefault="0059137C" w:rsidP="00FC71CA">
      <w:r w:rsidRPr="008A761F">
        <w:t>The 2024 External Evaluation of the STDF</w:t>
      </w:r>
      <w:r w:rsidR="00AC0C4F">
        <w:t xml:space="preserve">, </w:t>
      </w:r>
      <w:r w:rsidR="00AC0C4F" w:rsidRPr="00AC0C4F">
        <w:t>undertaken in close consultation with</w:t>
      </w:r>
      <w:r w:rsidR="00D001D6">
        <w:t xml:space="preserve"> donors, including Australia, </w:t>
      </w:r>
      <w:r w:rsidR="00C13247" w:rsidRPr="00AC0C4F">
        <w:t xml:space="preserve">involved three </w:t>
      </w:r>
      <w:r w:rsidR="00AC0C4F" w:rsidRPr="00AC0C4F">
        <w:t>work</w:t>
      </w:r>
      <w:r w:rsidR="00C13247" w:rsidRPr="00AC0C4F">
        <w:t xml:space="preserve">streams: a partnership </w:t>
      </w:r>
      <w:r w:rsidR="00C13247" w:rsidRPr="008A761F">
        <w:t>assessment, a result</w:t>
      </w:r>
      <w:r w:rsidR="001B16DE" w:rsidRPr="008A761F">
        <w:t>s a</w:t>
      </w:r>
      <w:r w:rsidR="006C162C" w:rsidRPr="008A761F">
        <w:t>nalysis</w:t>
      </w:r>
      <w:r w:rsidR="00AC0C4F">
        <w:t>,</w:t>
      </w:r>
      <w:r w:rsidR="006C162C" w:rsidRPr="008A761F">
        <w:t xml:space="preserve"> and three evaluations of STDF projects. </w:t>
      </w:r>
      <w:r w:rsidR="005B7682" w:rsidRPr="008A761F">
        <w:t xml:space="preserve">The </w:t>
      </w:r>
      <w:r w:rsidR="00270DCF">
        <w:t>E</w:t>
      </w:r>
      <w:r w:rsidR="005B7682" w:rsidRPr="008A761F">
        <w:t>valuation included interviews with over 130 stakeholders</w:t>
      </w:r>
      <w:r w:rsidR="001803D3" w:rsidRPr="008A761F">
        <w:t>, including STDF members, partners</w:t>
      </w:r>
      <w:r w:rsidR="00AC0C4F">
        <w:t>,</w:t>
      </w:r>
      <w:r w:rsidR="001803D3" w:rsidRPr="008A761F">
        <w:t xml:space="preserve"> and beneficiaries, field visits to five beneficiary countries, </w:t>
      </w:r>
      <w:r w:rsidR="00AC0C4F">
        <w:t xml:space="preserve">and analysis of </w:t>
      </w:r>
      <w:r w:rsidR="001803D3" w:rsidRPr="008A761F">
        <w:t>STDF</w:t>
      </w:r>
      <w:r w:rsidR="001752AB" w:rsidRPr="008A761F">
        <w:t xml:space="preserve"> project</w:t>
      </w:r>
      <w:r w:rsidR="001803D3" w:rsidRPr="008A761F">
        <w:t xml:space="preserve"> monitoring and evaluation data</w:t>
      </w:r>
      <w:r w:rsidR="00AC0C4F">
        <w:t xml:space="preserve"> and </w:t>
      </w:r>
      <w:r w:rsidR="001803D3" w:rsidRPr="008A761F">
        <w:t xml:space="preserve">international trade data. </w:t>
      </w:r>
    </w:p>
    <w:p w14:paraId="3138EBAC" w14:textId="16D96F72" w:rsidR="00DE2FEE" w:rsidRPr="008A761F" w:rsidRDefault="00616889" w:rsidP="00FC71CA">
      <w:r w:rsidRPr="008A761F">
        <w:t xml:space="preserve">The </w:t>
      </w:r>
      <w:r w:rsidR="00270DCF">
        <w:t>E</w:t>
      </w:r>
      <w:r w:rsidRPr="008A761F">
        <w:t>valuation found that the STDF remains relevant, with the demand for SPS capacity</w:t>
      </w:r>
      <w:r w:rsidR="00973808" w:rsidRPr="008A761F">
        <w:t xml:space="preserve"> building</w:t>
      </w:r>
      <w:r w:rsidRPr="008A761F">
        <w:t xml:space="preserve"> in developing countries and LDCs continuing to grow</w:t>
      </w:r>
      <w:r w:rsidR="006503FD" w:rsidRPr="008A761F">
        <w:t xml:space="preserve">. </w:t>
      </w:r>
      <w:r w:rsidR="00973808" w:rsidRPr="008A761F">
        <w:t>Since the last evaluation in 2019, t</w:t>
      </w:r>
      <w:r w:rsidR="006503FD" w:rsidRPr="008A761F">
        <w:t xml:space="preserve">he </w:t>
      </w:r>
      <w:r w:rsidR="00973808" w:rsidRPr="008A761F">
        <w:t>STDF has increased SPS capacity in developing countries</w:t>
      </w:r>
      <w:r w:rsidR="00AC0C4F">
        <w:t>,</w:t>
      </w:r>
      <w:r w:rsidR="00973808" w:rsidRPr="008A761F">
        <w:t xml:space="preserve"> </w:t>
      </w:r>
      <w:r w:rsidR="00DE2FEE" w:rsidRPr="008A761F">
        <w:t>including through</w:t>
      </w:r>
      <w:r w:rsidR="00973808" w:rsidRPr="008A761F">
        <w:t xml:space="preserve"> </w:t>
      </w:r>
      <w:r w:rsidR="00DE2FEE" w:rsidRPr="008A761F">
        <w:t xml:space="preserve">reforms </w:t>
      </w:r>
      <w:r w:rsidR="00973808" w:rsidRPr="008A761F">
        <w:t>to legislation, strategies, structures</w:t>
      </w:r>
      <w:r w:rsidR="00AC0C4F">
        <w:t>,</w:t>
      </w:r>
      <w:r w:rsidR="00973808" w:rsidRPr="008A761F">
        <w:t xml:space="preserve"> and processes relating to SPS</w:t>
      </w:r>
      <w:r w:rsidR="00AC0C4F">
        <w:t>,</w:t>
      </w:r>
      <w:r w:rsidR="00973808" w:rsidRPr="008A761F">
        <w:t xml:space="preserve"> and improved implementation of </w:t>
      </w:r>
      <w:r w:rsidR="00DE2FEE" w:rsidRPr="008A761F">
        <w:t>trade</w:t>
      </w:r>
      <w:r w:rsidR="002C7863" w:rsidRPr="008A761F">
        <w:t>-</w:t>
      </w:r>
      <w:r w:rsidR="00DE2FEE" w:rsidRPr="008A761F">
        <w:t xml:space="preserve">related measures concerning </w:t>
      </w:r>
      <w:r w:rsidR="00973808" w:rsidRPr="008A761F">
        <w:t xml:space="preserve">food safety, </w:t>
      </w:r>
      <w:r w:rsidR="00AC0C4F" w:rsidRPr="008A761F">
        <w:t>plant,</w:t>
      </w:r>
      <w:r w:rsidR="00973808" w:rsidRPr="008A761F">
        <w:t xml:space="preserve"> and animal health. </w:t>
      </w:r>
      <w:r w:rsidR="00DE2FEE" w:rsidRPr="008A761F">
        <w:t xml:space="preserve">Countries that have received STDF project support have experienced stronger overall export growth in </w:t>
      </w:r>
      <w:r w:rsidR="00973808" w:rsidRPr="008A761F">
        <w:t xml:space="preserve">plant, </w:t>
      </w:r>
      <w:r w:rsidR="00AC0C4F" w:rsidRPr="008A761F">
        <w:t>animal,</w:t>
      </w:r>
      <w:r w:rsidR="00973808" w:rsidRPr="008A761F">
        <w:t xml:space="preserve"> and food products</w:t>
      </w:r>
      <w:r w:rsidR="007125EC" w:rsidRPr="008A761F">
        <w:t>. P</w:t>
      </w:r>
      <w:r w:rsidR="00973808" w:rsidRPr="008A761F">
        <w:t xml:space="preserve">roject level data suggests that STDF support </w:t>
      </w:r>
      <w:r w:rsidR="00DE2FEE" w:rsidRPr="008A761F">
        <w:t>has helped to establish new export</w:t>
      </w:r>
      <w:r w:rsidR="00973808" w:rsidRPr="008A761F">
        <w:t xml:space="preserve"> markets </w:t>
      </w:r>
      <w:r w:rsidR="003B1042" w:rsidRPr="008A761F">
        <w:t xml:space="preserve">through improved adherence to international regulatory requirements. </w:t>
      </w:r>
    </w:p>
    <w:p w14:paraId="31740120" w14:textId="2C94C663" w:rsidR="00973808" w:rsidRPr="008A761F" w:rsidRDefault="003B1042" w:rsidP="00FC71CA">
      <w:r w:rsidRPr="008A761F">
        <w:t xml:space="preserve">The </w:t>
      </w:r>
      <w:r w:rsidR="00270DCF">
        <w:t>E</w:t>
      </w:r>
      <w:r w:rsidRPr="008A761F">
        <w:t xml:space="preserve">valuation found that the </w:t>
      </w:r>
      <w:r w:rsidR="0015764E" w:rsidRPr="008A761F">
        <w:t xml:space="preserve">STDF’s </w:t>
      </w:r>
      <w:r w:rsidR="00973808" w:rsidRPr="008A761F">
        <w:t xml:space="preserve">Gender Assessment &amp; Action Plan have been </w:t>
      </w:r>
      <w:r w:rsidR="0015764E" w:rsidRPr="008A761F">
        <w:t xml:space="preserve">useful in </w:t>
      </w:r>
      <w:r w:rsidR="00C41C81" w:rsidRPr="008A761F">
        <w:t>developing</w:t>
      </w:r>
      <w:r w:rsidR="0015764E" w:rsidRPr="008A761F">
        <w:t xml:space="preserve"> understanding of the role of gender in SPS project</w:t>
      </w:r>
      <w:r w:rsidR="007125EC" w:rsidRPr="008A761F">
        <w:t>s</w:t>
      </w:r>
      <w:r w:rsidR="00AC0C4F">
        <w:t>. T</w:t>
      </w:r>
      <w:r w:rsidR="00C41C81" w:rsidRPr="008A761F">
        <w:t>he STDF</w:t>
      </w:r>
      <w:r w:rsidR="00AC0C4F">
        <w:t>’s work</w:t>
      </w:r>
      <w:r w:rsidR="00C41C81" w:rsidRPr="008A761F">
        <w:t xml:space="preserve"> to mainstream environmental and climate change considerations </w:t>
      </w:r>
      <w:r w:rsidR="00AC0C4F">
        <w:t>has</w:t>
      </w:r>
      <w:r w:rsidR="00C41C81" w:rsidRPr="008A761F">
        <w:t xml:space="preserve"> </w:t>
      </w:r>
      <w:r w:rsidR="00D001D6" w:rsidRPr="008A761F">
        <w:t>progressed but</w:t>
      </w:r>
      <w:r w:rsidR="00C41C81" w:rsidRPr="008A761F">
        <w:t xml:space="preserve"> </w:t>
      </w:r>
      <w:r w:rsidR="007125EC" w:rsidRPr="008A761F">
        <w:t xml:space="preserve">remains </w:t>
      </w:r>
      <w:r w:rsidR="00AC0C4F">
        <w:t xml:space="preserve">in its </w:t>
      </w:r>
      <w:r w:rsidR="007125EC" w:rsidRPr="008A761F">
        <w:t>early stage</w:t>
      </w:r>
      <w:r w:rsidR="00AC0C4F">
        <w:t>s</w:t>
      </w:r>
      <w:r w:rsidR="007125EC" w:rsidRPr="008A761F">
        <w:t xml:space="preserve">. </w:t>
      </w:r>
      <w:r w:rsidR="00C41C81" w:rsidRPr="008A761F">
        <w:t xml:space="preserve"> </w:t>
      </w:r>
    </w:p>
    <w:p w14:paraId="60487038" w14:textId="2BF3C556" w:rsidR="00AC0C4F" w:rsidRDefault="00C41C81" w:rsidP="00FC71CA">
      <w:r w:rsidRPr="008A761F">
        <w:t xml:space="preserve">The </w:t>
      </w:r>
      <w:r w:rsidR="00AC0C4F">
        <w:t>E</w:t>
      </w:r>
      <w:r w:rsidRPr="008A761F">
        <w:t>valuation</w:t>
      </w:r>
      <w:r w:rsidR="0013601F" w:rsidRPr="008A761F">
        <w:t xml:space="preserve"> provides six key recommendations</w:t>
      </w:r>
      <w:r w:rsidR="00A75E5B">
        <w:t xml:space="preserve">. </w:t>
      </w:r>
      <w:r w:rsidR="00A75E5B" w:rsidRPr="00A75E5B">
        <w:t xml:space="preserve">Recommendation 1 did not receive support from the STDF membership and will not be taken forward. Recommendations 2-6 </w:t>
      </w:r>
      <w:r w:rsidR="00A75E5B">
        <w:t xml:space="preserve">were agreed to by the STDF membership and </w:t>
      </w:r>
      <w:r w:rsidR="00A75E5B" w:rsidRPr="00A75E5B">
        <w:t xml:space="preserve">will be taken forward </w:t>
      </w:r>
      <w:r w:rsidR="00AC0C4F">
        <w:t xml:space="preserve">under </w:t>
      </w:r>
      <w:r w:rsidR="00A75E5B" w:rsidRPr="00A75E5B">
        <w:t>the new STDF Strategy 2025-2030.</w:t>
      </w:r>
      <w:r w:rsidR="00AC0C4F">
        <w:br w:type="page"/>
      </w:r>
    </w:p>
    <w:p w14:paraId="68E9791C" w14:textId="77777777" w:rsidR="004553AB" w:rsidRPr="00FC71CA" w:rsidRDefault="009B58CD" w:rsidP="00FC71CA">
      <w:pPr>
        <w:pStyle w:val="Heading2"/>
      </w:pPr>
      <w:r w:rsidRPr="00FC71CA">
        <w:lastRenderedPageBreak/>
        <w:t xml:space="preserve">DFAT’s response to the Independent Evaluation: </w:t>
      </w:r>
    </w:p>
    <w:p w14:paraId="06CCE576" w14:textId="1C5AD140" w:rsidR="0000356E" w:rsidRPr="008A761F" w:rsidRDefault="009B58CD" w:rsidP="00FC71CA">
      <w:r w:rsidRPr="008A761F">
        <w:t xml:space="preserve">DFAT accepts the </w:t>
      </w:r>
      <w:r w:rsidR="00270DCF">
        <w:t>E</w:t>
      </w:r>
      <w:r w:rsidR="00C13F36" w:rsidRPr="008A761F">
        <w:t>valuation’s</w:t>
      </w:r>
      <w:r w:rsidRPr="008A761F">
        <w:t xml:space="preserve"> findings and agrees </w:t>
      </w:r>
      <w:r w:rsidR="00191A71" w:rsidRPr="008A761F">
        <w:t xml:space="preserve">or partially agrees </w:t>
      </w:r>
      <w:r w:rsidR="00A3700A" w:rsidRPr="008A761F">
        <w:t xml:space="preserve">with </w:t>
      </w:r>
      <w:r w:rsidR="00F96079" w:rsidRPr="008A761F">
        <w:t xml:space="preserve">each </w:t>
      </w:r>
      <w:r w:rsidR="00484A56" w:rsidRPr="008A761F">
        <w:t>of its six recommendations</w:t>
      </w:r>
      <w:r w:rsidRPr="008A761F">
        <w:t xml:space="preserve">. </w:t>
      </w:r>
    </w:p>
    <w:p w14:paraId="7354015B" w14:textId="017F393C" w:rsidR="0000356E" w:rsidRPr="008A761F" w:rsidRDefault="00FE1977" w:rsidP="00FC71CA">
      <w:r w:rsidRPr="008A761F">
        <w:t>DFAT welcomes</w:t>
      </w:r>
      <w:r w:rsidR="008D3025" w:rsidRPr="008A761F">
        <w:t xml:space="preserve"> the </w:t>
      </w:r>
      <w:r w:rsidR="00270DCF">
        <w:t>E</w:t>
      </w:r>
      <w:r w:rsidR="0063371B" w:rsidRPr="008A761F">
        <w:t xml:space="preserve">valuation’s findings about the effectiveness of the organisation in undertaking SPS capacity </w:t>
      </w:r>
      <w:r w:rsidR="00D001D6">
        <w:t xml:space="preserve">building </w:t>
      </w:r>
      <w:r w:rsidR="0063371B" w:rsidRPr="008A761F">
        <w:t>in developing countries and LDCs, including in our region.</w:t>
      </w:r>
      <w:r w:rsidR="0000356E" w:rsidRPr="008A761F">
        <w:t xml:space="preserve"> This aligns with Australia’s experience </w:t>
      </w:r>
      <w:r w:rsidR="00D001D6">
        <w:t>with th</w:t>
      </w:r>
      <w:r w:rsidR="0089664A">
        <w:t>e</w:t>
      </w:r>
      <w:r w:rsidR="0000356E" w:rsidRPr="008A761F">
        <w:t xml:space="preserve"> STDF</w:t>
      </w:r>
      <w:r w:rsidR="00D001D6">
        <w:t xml:space="preserve"> </w:t>
      </w:r>
      <w:r w:rsidR="0000356E" w:rsidRPr="008A761F">
        <w:t xml:space="preserve">the Working Group </w:t>
      </w:r>
      <w:r w:rsidR="0089664A">
        <w:t>and</w:t>
      </w:r>
      <w:r w:rsidR="00E44B88">
        <w:t xml:space="preserve"> </w:t>
      </w:r>
      <w:r w:rsidR="00D001D6">
        <w:t xml:space="preserve">the STDF’s activities in </w:t>
      </w:r>
      <w:r w:rsidR="0089664A">
        <w:t>the Indo</w:t>
      </w:r>
      <w:r w:rsidR="00D001D6">
        <w:t>-</w:t>
      </w:r>
      <w:r w:rsidR="0089664A">
        <w:t>Pacific</w:t>
      </w:r>
      <w:r w:rsidR="007125EC" w:rsidRPr="008A761F">
        <w:t xml:space="preserve">. </w:t>
      </w:r>
    </w:p>
    <w:p w14:paraId="1EA8FD30" w14:textId="45B10D67" w:rsidR="0000356E" w:rsidRPr="008A761F" w:rsidRDefault="0036335C" w:rsidP="00FC71CA">
      <w:r w:rsidRPr="008A761F">
        <w:t xml:space="preserve">DFAT </w:t>
      </w:r>
      <w:r w:rsidR="0000356E" w:rsidRPr="008A761F">
        <w:t xml:space="preserve">notes the finding that the </w:t>
      </w:r>
      <w:r w:rsidR="00E31D23" w:rsidRPr="008A761F">
        <w:t>Gender Assessment and Action Plan</w:t>
      </w:r>
      <w:r w:rsidR="0000356E" w:rsidRPr="008A761F">
        <w:t xml:space="preserve"> have positively influenced understanding of the role of gender in SPS capacity building work. We recommend the STDF continue to make progress on gender reporting</w:t>
      </w:r>
      <w:r w:rsidR="00D001D6">
        <w:t>,</w:t>
      </w:r>
      <w:r w:rsidR="0000356E" w:rsidRPr="008A761F">
        <w:t xml:space="preserve"> including</w:t>
      </w:r>
      <w:r w:rsidR="005178EB" w:rsidRPr="008A761F">
        <w:t xml:space="preserve"> through the</w:t>
      </w:r>
      <w:r w:rsidR="0000356E" w:rsidRPr="008A761F">
        <w:t xml:space="preserve"> collection of </w:t>
      </w:r>
      <w:r w:rsidR="005178EB" w:rsidRPr="008A761F">
        <w:t xml:space="preserve">gender </w:t>
      </w:r>
      <w:r w:rsidR="0000356E" w:rsidRPr="008A761F">
        <w:t xml:space="preserve">disaggregated data. We </w:t>
      </w:r>
      <w:r w:rsidR="00D001D6">
        <w:t xml:space="preserve">also </w:t>
      </w:r>
      <w:r w:rsidR="0000356E" w:rsidRPr="008A761F">
        <w:t>look forward to working with the STDF to mainstream climate change and the environment in STDF programming.</w:t>
      </w:r>
    </w:p>
    <w:p w14:paraId="1348CA39" w14:textId="4C59B00A" w:rsidR="0000356E" w:rsidRPr="008A761F" w:rsidRDefault="0036335C" w:rsidP="00FC71CA">
      <w:r w:rsidRPr="008A761F">
        <w:t>DFAT</w:t>
      </w:r>
      <w:r w:rsidR="00484A56" w:rsidRPr="008A761F">
        <w:t xml:space="preserve"> is an active participant in the STDF Working Group and was involved actively </w:t>
      </w:r>
      <w:r w:rsidR="00E31D23" w:rsidRPr="008A761F">
        <w:t xml:space="preserve">in the </w:t>
      </w:r>
      <w:r w:rsidR="00270DCF">
        <w:t>E</w:t>
      </w:r>
      <w:r w:rsidR="00E31D23" w:rsidRPr="008A761F">
        <w:t xml:space="preserve">valuation of the program and in discussions about its recommendations. </w:t>
      </w:r>
      <w:r w:rsidR="007125EC" w:rsidRPr="008A761F">
        <w:t xml:space="preserve"> </w:t>
      </w:r>
    </w:p>
    <w:tbl>
      <w:tblPr>
        <w:tblStyle w:val="TableGrid"/>
        <w:tblW w:w="0" w:type="auto"/>
        <w:tblLook w:val="04A0" w:firstRow="1" w:lastRow="0" w:firstColumn="1" w:lastColumn="0" w:noHBand="0" w:noVBand="1"/>
      </w:tblPr>
      <w:tblGrid>
        <w:gridCol w:w="3177"/>
        <w:gridCol w:w="1202"/>
        <w:gridCol w:w="3792"/>
        <w:gridCol w:w="3848"/>
        <w:gridCol w:w="2649"/>
      </w:tblGrid>
      <w:tr w:rsidR="00565F99" w:rsidRPr="008A761F" w14:paraId="2FE0E65D" w14:textId="77777777" w:rsidTr="009B31A7">
        <w:trPr>
          <w:tblHeader/>
        </w:trPr>
        <w:tc>
          <w:tcPr>
            <w:tcW w:w="0" w:type="auto"/>
            <w:shd w:val="clear" w:color="auto" w:fill="BFBFBF" w:themeFill="background1" w:themeFillShade="BF"/>
          </w:tcPr>
          <w:p w14:paraId="02A21ED6" w14:textId="057912C7" w:rsidR="00EE325F" w:rsidRPr="008A761F" w:rsidRDefault="00EE325F" w:rsidP="008A761F">
            <w:pPr>
              <w:pStyle w:val="Default"/>
              <w:rPr>
                <w:rFonts w:asciiTheme="minorHAnsi" w:hAnsiTheme="minorHAnsi" w:cstheme="minorHAnsi"/>
                <w:b/>
                <w:bCs/>
              </w:rPr>
            </w:pPr>
            <w:r w:rsidRPr="008A761F">
              <w:rPr>
                <w:rFonts w:asciiTheme="minorHAnsi" w:hAnsiTheme="minorHAnsi" w:cstheme="minorHAnsi"/>
                <w:b/>
                <w:bCs/>
              </w:rPr>
              <w:t>Recommendation</w:t>
            </w:r>
          </w:p>
        </w:tc>
        <w:tc>
          <w:tcPr>
            <w:tcW w:w="0" w:type="auto"/>
            <w:shd w:val="clear" w:color="auto" w:fill="BFBFBF" w:themeFill="background1" w:themeFillShade="BF"/>
          </w:tcPr>
          <w:p w14:paraId="2085A3CD" w14:textId="3345ED28" w:rsidR="00EE325F" w:rsidRPr="008A761F" w:rsidRDefault="00EE325F" w:rsidP="008A761F">
            <w:pPr>
              <w:pStyle w:val="Default"/>
              <w:rPr>
                <w:rFonts w:asciiTheme="minorHAnsi" w:hAnsiTheme="minorHAnsi" w:cstheme="minorHAnsi"/>
                <w:b/>
                <w:bCs/>
              </w:rPr>
            </w:pPr>
            <w:r w:rsidRPr="008A761F">
              <w:rPr>
                <w:rFonts w:asciiTheme="minorHAnsi" w:hAnsiTheme="minorHAnsi" w:cstheme="minorHAnsi"/>
                <w:b/>
                <w:bCs/>
              </w:rPr>
              <w:t>Response</w:t>
            </w:r>
          </w:p>
        </w:tc>
        <w:tc>
          <w:tcPr>
            <w:tcW w:w="0" w:type="auto"/>
            <w:shd w:val="clear" w:color="auto" w:fill="BFBFBF" w:themeFill="background1" w:themeFillShade="BF"/>
          </w:tcPr>
          <w:p w14:paraId="41E9C1D2" w14:textId="4E1E4D27" w:rsidR="00EE325F" w:rsidRPr="008A761F" w:rsidRDefault="00C5119D" w:rsidP="008A761F">
            <w:pPr>
              <w:pStyle w:val="Default"/>
              <w:rPr>
                <w:rFonts w:asciiTheme="minorHAnsi" w:hAnsiTheme="minorHAnsi" w:cstheme="minorHAnsi"/>
                <w:b/>
                <w:bCs/>
              </w:rPr>
            </w:pPr>
            <w:r w:rsidRPr="008A761F">
              <w:rPr>
                <w:rFonts w:asciiTheme="minorHAnsi" w:hAnsiTheme="minorHAnsi" w:cstheme="minorHAnsi"/>
                <w:b/>
                <w:bCs/>
              </w:rPr>
              <w:t>STDF membership response</w:t>
            </w:r>
            <w:r w:rsidR="00B7600B">
              <w:rPr>
                <w:rStyle w:val="FootnoteReference"/>
                <w:rFonts w:asciiTheme="minorHAnsi" w:hAnsiTheme="minorHAnsi" w:cstheme="minorHAnsi"/>
                <w:b/>
                <w:bCs/>
              </w:rPr>
              <w:footnoteReference w:id="1"/>
            </w:r>
            <w:r w:rsidRPr="008A761F">
              <w:rPr>
                <w:rFonts w:asciiTheme="minorHAnsi" w:hAnsiTheme="minorHAnsi" w:cstheme="minorHAnsi"/>
                <w:b/>
                <w:bCs/>
              </w:rPr>
              <w:t xml:space="preserve"> </w:t>
            </w:r>
          </w:p>
        </w:tc>
        <w:tc>
          <w:tcPr>
            <w:tcW w:w="0" w:type="auto"/>
            <w:shd w:val="clear" w:color="auto" w:fill="BFBFBF" w:themeFill="background1" w:themeFillShade="BF"/>
          </w:tcPr>
          <w:p w14:paraId="3FBD77AC" w14:textId="61A59B4E" w:rsidR="00EE325F" w:rsidRPr="008A761F" w:rsidRDefault="0066733B" w:rsidP="008A761F">
            <w:pPr>
              <w:pStyle w:val="Default"/>
              <w:rPr>
                <w:rFonts w:asciiTheme="minorHAnsi" w:hAnsiTheme="minorHAnsi" w:cstheme="minorHAnsi"/>
                <w:b/>
                <w:bCs/>
              </w:rPr>
            </w:pPr>
            <w:r w:rsidRPr="008A761F">
              <w:rPr>
                <w:rFonts w:asciiTheme="minorHAnsi" w:hAnsiTheme="minorHAnsi" w:cstheme="minorHAnsi"/>
                <w:b/>
                <w:bCs/>
              </w:rPr>
              <w:t>DFAT response</w:t>
            </w:r>
          </w:p>
        </w:tc>
        <w:tc>
          <w:tcPr>
            <w:tcW w:w="0" w:type="auto"/>
            <w:shd w:val="clear" w:color="auto" w:fill="BFBFBF" w:themeFill="background1" w:themeFillShade="BF"/>
          </w:tcPr>
          <w:p w14:paraId="66965251" w14:textId="469E9D1D" w:rsidR="00EE325F" w:rsidRPr="008A761F" w:rsidRDefault="00EE325F" w:rsidP="008A761F">
            <w:pPr>
              <w:pStyle w:val="Default"/>
              <w:rPr>
                <w:rFonts w:asciiTheme="minorHAnsi" w:hAnsiTheme="minorHAnsi" w:cstheme="minorHAnsi"/>
                <w:b/>
                <w:bCs/>
              </w:rPr>
            </w:pPr>
            <w:r w:rsidRPr="008A761F">
              <w:rPr>
                <w:rFonts w:asciiTheme="minorHAnsi" w:hAnsiTheme="minorHAnsi" w:cstheme="minorHAnsi"/>
                <w:b/>
                <w:bCs/>
              </w:rPr>
              <w:t>Timeframe</w:t>
            </w:r>
          </w:p>
        </w:tc>
      </w:tr>
      <w:tr w:rsidR="00565F99" w:rsidRPr="008A761F" w14:paraId="5947D512" w14:textId="77777777" w:rsidTr="009B31A7">
        <w:tc>
          <w:tcPr>
            <w:tcW w:w="0" w:type="auto"/>
            <w:shd w:val="clear" w:color="auto" w:fill="auto"/>
          </w:tcPr>
          <w:p w14:paraId="61F237B4" w14:textId="4D88644B" w:rsidR="00732D01" w:rsidRPr="008A761F" w:rsidRDefault="00CC74A6" w:rsidP="008A761F">
            <w:pPr>
              <w:pStyle w:val="ListParagraph"/>
              <w:numPr>
                <w:ilvl w:val="0"/>
                <w:numId w:val="5"/>
              </w:numPr>
              <w:autoSpaceDE w:val="0"/>
              <w:autoSpaceDN w:val="0"/>
              <w:adjustRightInd w:val="0"/>
              <w:rPr>
                <w:rFonts w:cstheme="minorHAnsi"/>
                <w:sz w:val="24"/>
                <w:szCs w:val="24"/>
              </w:rPr>
            </w:pPr>
            <w:r w:rsidRPr="008A761F">
              <w:rPr>
                <w:rFonts w:cstheme="minorHAnsi"/>
                <w:sz w:val="24"/>
                <w:szCs w:val="24"/>
              </w:rPr>
              <w:t xml:space="preserve">As a component of the development of the next strategy, engage the partnership in a moderated discussion about the mandate of the STDF and </w:t>
            </w:r>
            <w:proofErr w:type="gramStart"/>
            <w:r w:rsidRPr="008A761F">
              <w:rPr>
                <w:rFonts w:cstheme="minorHAnsi"/>
                <w:sz w:val="24"/>
                <w:szCs w:val="24"/>
              </w:rPr>
              <w:t>whether or not</w:t>
            </w:r>
            <w:proofErr w:type="gramEnd"/>
            <w:r w:rsidRPr="008A761F">
              <w:rPr>
                <w:rFonts w:cstheme="minorHAnsi"/>
                <w:sz w:val="24"/>
                <w:szCs w:val="24"/>
              </w:rPr>
              <w:t xml:space="preserve"> to widen the scope of STDF’s work to "SPS+".</w:t>
            </w:r>
          </w:p>
        </w:tc>
        <w:tc>
          <w:tcPr>
            <w:tcW w:w="0" w:type="auto"/>
            <w:shd w:val="clear" w:color="auto" w:fill="FFC000" w:themeFill="accent4"/>
          </w:tcPr>
          <w:p w14:paraId="244FDDE4" w14:textId="16F21DF5" w:rsidR="00EE325F" w:rsidRPr="008A761F" w:rsidRDefault="005B19BD" w:rsidP="008A761F">
            <w:pPr>
              <w:pStyle w:val="Default"/>
              <w:rPr>
                <w:rFonts w:asciiTheme="minorHAnsi" w:hAnsiTheme="minorHAnsi" w:cstheme="minorHAnsi"/>
                <w:b/>
                <w:bCs/>
              </w:rPr>
            </w:pPr>
            <w:r w:rsidRPr="008A761F">
              <w:rPr>
                <w:rFonts w:asciiTheme="minorHAnsi" w:hAnsiTheme="minorHAnsi" w:cstheme="minorHAnsi"/>
                <w:b/>
                <w:bCs/>
              </w:rPr>
              <w:t>Partially agree</w:t>
            </w:r>
          </w:p>
        </w:tc>
        <w:tc>
          <w:tcPr>
            <w:tcW w:w="0" w:type="auto"/>
            <w:shd w:val="clear" w:color="auto" w:fill="auto"/>
          </w:tcPr>
          <w:p w14:paraId="27004414" w14:textId="21122B5B" w:rsidR="00B7600B" w:rsidRPr="008A761F" w:rsidRDefault="00257889" w:rsidP="00B7600B">
            <w:pPr>
              <w:rPr>
                <w:rFonts w:cstheme="minorHAnsi"/>
                <w:sz w:val="24"/>
                <w:szCs w:val="24"/>
                <w:lang w:val="en-ID"/>
              </w:rPr>
            </w:pPr>
            <w:r w:rsidRPr="008A761F">
              <w:rPr>
                <w:rFonts w:cstheme="minorHAnsi"/>
                <w:sz w:val="24"/>
                <w:szCs w:val="24"/>
              </w:rPr>
              <w:t xml:space="preserve">There was no consensus among members to have a moderated discussion on the STDF's mandate, including possibly extending STDF support to help developing countries meet other (mostly TBT) standards and requirements to gain and maintain market access for their food and agriculture exports. This recommendation was not accepted. </w:t>
            </w:r>
          </w:p>
        </w:tc>
        <w:tc>
          <w:tcPr>
            <w:tcW w:w="0" w:type="auto"/>
            <w:shd w:val="clear" w:color="auto" w:fill="auto"/>
          </w:tcPr>
          <w:p w14:paraId="4F63547E" w14:textId="0A829FB1" w:rsidR="00C5119D" w:rsidRPr="008A761F" w:rsidRDefault="00C5119D" w:rsidP="008A761F">
            <w:pPr>
              <w:rPr>
                <w:rFonts w:cstheme="minorHAnsi"/>
                <w:sz w:val="24"/>
                <w:szCs w:val="24"/>
              </w:rPr>
            </w:pPr>
            <w:r w:rsidRPr="008A761F">
              <w:rPr>
                <w:rFonts w:cstheme="minorHAnsi"/>
                <w:sz w:val="24"/>
                <w:szCs w:val="24"/>
              </w:rPr>
              <w:t>DFAT</w:t>
            </w:r>
            <w:r w:rsidR="00A100C4" w:rsidRPr="008A761F">
              <w:rPr>
                <w:rFonts w:cstheme="minorHAnsi"/>
                <w:sz w:val="24"/>
                <w:szCs w:val="24"/>
              </w:rPr>
              <w:t xml:space="preserve"> </w:t>
            </w:r>
            <w:r w:rsidR="00B32907" w:rsidRPr="00D001D6">
              <w:rPr>
                <w:rFonts w:cstheme="minorHAnsi"/>
                <w:b/>
                <w:bCs/>
                <w:sz w:val="24"/>
                <w:szCs w:val="24"/>
              </w:rPr>
              <w:t>partially agrees</w:t>
            </w:r>
            <w:r w:rsidR="00B32907">
              <w:rPr>
                <w:rFonts w:cstheme="minorHAnsi"/>
                <w:sz w:val="24"/>
                <w:szCs w:val="24"/>
              </w:rPr>
              <w:t xml:space="preserve"> with this recommendation. We </w:t>
            </w:r>
            <w:r w:rsidRPr="008A761F">
              <w:rPr>
                <w:rFonts w:cstheme="minorHAnsi"/>
                <w:sz w:val="24"/>
                <w:szCs w:val="24"/>
              </w:rPr>
              <w:t xml:space="preserve">recognise that </w:t>
            </w:r>
            <w:r w:rsidR="0055354D" w:rsidRPr="008A761F">
              <w:rPr>
                <w:rFonts w:cstheme="minorHAnsi"/>
                <w:sz w:val="24"/>
                <w:szCs w:val="24"/>
              </w:rPr>
              <w:t>there are non-SPS issues, such as technical barriers to trade (TBT)</w:t>
            </w:r>
            <w:r w:rsidR="00D001D6">
              <w:rPr>
                <w:rFonts w:cstheme="minorHAnsi"/>
                <w:sz w:val="24"/>
                <w:szCs w:val="24"/>
              </w:rPr>
              <w:t xml:space="preserve"> that</w:t>
            </w:r>
            <w:r w:rsidR="0055354D" w:rsidRPr="008A761F">
              <w:rPr>
                <w:rFonts w:cstheme="minorHAnsi"/>
                <w:sz w:val="24"/>
                <w:szCs w:val="24"/>
              </w:rPr>
              <w:t xml:space="preserve"> can limit market access in agricultural trade</w:t>
            </w:r>
            <w:r w:rsidR="0013496F" w:rsidRPr="008A761F">
              <w:rPr>
                <w:rFonts w:cstheme="minorHAnsi"/>
                <w:sz w:val="24"/>
                <w:szCs w:val="24"/>
              </w:rPr>
              <w:t>.</w:t>
            </w:r>
            <w:r w:rsidR="007D05F7" w:rsidRPr="008A761F">
              <w:rPr>
                <w:rFonts w:cstheme="minorHAnsi"/>
                <w:sz w:val="24"/>
                <w:szCs w:val="24"/>
              </w:rPr>
              <w:t xml:space="preserve"> </w:t>
            </w:r>
            <w:r w:rsidR="00A100C4" w:rsidRPr="008A761F">
              <w:rPr>
                <w:rFonts w:cstheme="minorHAnsi"/>
                <w:sz w:val="24"/>
                <w:szCs w:val="24"/>
              </w:rPr>
              <w:t xml:space="preserve">Should this recommendation be supported in the future, </w:t>
            </w:r>
            <w:r w:rsidR="00B4717F" w:rsidRPr="008A761F">
              <w:rPr>
                <w:rFonts w:cstheme="minorHAnsi"/>
                <w:sz w:val="24"/>
                <w:szCs w:val="24"/>
              </w:rPr>
              <w:t>we encourage consideration of</w:t>
            </w:r>
            <w:r w:rsidRPr="008A761F">
              <w:rPr>
                <w:rFonts w:cstheme="minorHAnsi"/>
                <w:sz w:val="24"/>
                <w:szCs w:val="24"/>
              </w:rPr>
              <w:t xml:space="preserve"> how the STDF </w:t>
            </w:r>
            <w:r w:rsidR="00B4717F" w:rsidRPr="008A761F">
              <w:rPr>
                <w:rFonts w:cstheme="minorHAnsi"/>
                <w:sz w:val="24"/>
                <w:szCs w:val="24"/>
              </w:rPr>
              <w:t>could avoid</w:t>
            </w:r>
            <w:r w:rsidRPr="008A761F">
              <w:rPr>
                <w:rFonts w:cstheme="minorHAnsi"/>
                <w:sz w:val="24"/>
                <w:szCs w:val="24"/>
              </w:rPr>
              <w:t xml:space="preserve"> duplication with </w:t>
            </w:r>
            <w:r w:rsidR="00D001D6">
              <w:rPr>
                <w:rFonts w:cstheme="minorHAnsi"/>
                <w:sz w:val="24"/>
                <w:szCs w:val="24"/>
              </w:rPr>
              <w:t>existing TBT i</w:t>
            </w:r>
            <w:r w:rsidRPr="008A761F">
              <w:rPr>
                <w:rFonts w:cstheme="minorHAnsi"/>
                <w:sz w:val="24"/>
                <w:szCs w:val="24"/>
              </w:rPr>
              <w:t>nitiatives</w:t>
            </w:r>
            <w:r w:rsidR="00D001D6">
              <w:rPr>
                <w:rFonts w:cstheme="minorHAnsi"/>
                <w:sz w:val="24"/>
                <w:szCs w:val="24"/>
              </w:rPr>
              <w:t xml:space="preserve">. </w:t>
            </w:r>
            <w:r w:rsidRPr="008A761F">
              <w:rPr>
                <w:rFonts w:cstheme="minorHAnsi"/>
                <w:sz w:val="24"/>
                <w:szCs w:val="24"/>
              </w:rPr>
              <w:t xml:space="preserve">  </w:t>
            </w:r>
          </w:p>
          <w:p w14:paraId="50407B59" w14:textId="6B0881FF" w:rsidR="00EE325F" w:rsidRPr="008A761F" w:rsidRDefault="00EE325F" w:rsidP="008A761F">
            <w:pPr>
              <w:pStyle w:val="Default"/>
              <w:rPr>
                <w:rFonts w:asciiTheme="minorHAnsi" w:hAnsiTheme="minorHAnsi" w:cstheme="minorHAnsi"/>
              </w:rPr>
            </w:pPr>
          </w:p>
        </w:tc>
        <w:tc>
          <w:tcPr>
            <w:tcW w:w="0" w:type="auto"/>
            <w:shd w:val="clear" w:color="auto" w:fill="auto"/>
          </w:tcPr>
          <w:p w14:paraId="37A53DFD" w14:textId="0E06AF7D" w:rsidR="00E93356" w:rsidRPr="008A761F" w:rsidRDefault="00A100C4" w:rsidP="008A761F">
            <w:pPr>
              <w:pStyle w:val="Default"/>
              <w:rPr>
                <w:rFonts w:asciiTheme="minorHAnsi" w:hAnsiTheme="minorHAnsi" w:cstheme="minorHAnsi"/>
              </w:rPr>
            </w:pPr>
            <w:r w:rsidRPr="008A761F">
              <w:rPr>
                <w:rFonts w:asciiTheme="minorHAnsi" w:hAnsiTheme="minorHAnsi" w:cstheme="minorHAnsi"/>
              </w:rPr>
              <w:t>N/A</w:t>
            </w:r>
            <w:r w:rsidR="00D001D6">
              <w:rPr>
                <w:rFonts w:asciiTheme="minorHAnsi" w:hAnsiTheme="minorHAnsi" w:cstheme="minorHAnsi"/>
              </w:rPr>
              <w:t>. R</w:t>
            </w:r>
            <w:r w:rsidR="005B19BD" w:rsidRPr="008A761F">
              <w:rPr>
                <w:rFonts w:asciiTheme="minorHAnsi" w:hAnsiTheme="minorHAnsi" w:cstheme="minorHAnsi"/>
              </w:rPr>
              <w:t>ecommendation not supported</w:t>
            </w:r>
            <w:r w:rsidR="002005D0" w:rsidRPr="008A761F">
              <w:rPr>
                <w:rFonts w:asciiTheme="minorHAnsi" w:hAnsiTheme="minorHAnsi" w:cstheme="minorHAnsi"/>
              </w:rPr>
              <w:t xml:space="preserve"> by the membership. </w:t>
            </w:r>
          </w:p>
        </w:tc>
      </w:tr>
      <w:tr w:rsidR="00565F99" w:rsidRPr="008A761F" w14:paraId="578C6574" w14:textId="77777777" w:rsidTr="009B31A7">
        <w:tc>
          <w:tcPr>
            <w:tcW w:w="0" w:type="auto"/>
            <w:shd w:val="clear" w:color="auto" w:fill="auto"/>
          </w:tcPr>
          <w:p w14:paraId="33C5FC4A" w14:textId="1CF13B04" w:rsidR="00847E50" w:rsidRPr="008A761F" w:rsidRDefault="007F509B" w:rsidP="008A761F">
            <w:pPr>
              <w:pStyle w:val="Default"/>
              <w:numPr>
                <w:ilvl w:val="0"/>
                <w:numId w:val="5"/>
              </w:numPr>
              <w:rPr>
                <w:rFonts w:asciiTheme="minorHAnsi" w:hAnsiTheme="minorHAnsi" w:cstheme="minorHAnsi"/>
              </w:rPr>
            </w:pPr>
            <w:r w:rsidRPr="008A761F">
              <w:rPr>
                <w:rFonts w:asciiTheme="minorHAnsi" w:hAnsiTheme="minorHAnsi" w:cstheme="minorHAnsi"/>
              </w:rPr>
              <w:t xml:space="preserve">Increase the impact of the global platform by strengthening, </w:t>
            </w:r>
            <w:r w:rsidR="00D001D6" w:rsidRPr="008A761F">
              <w:rPr>
                <w:rFonts w:asciiTheme="minorHAnsi" w:hAnsiTheme="minorHAnsi" w:cstheme="minorHAnsi"/>
              </w:rPr>
              <w:t>expanding,</w:t>
            </w:r>
            <w:r w:rsidRPr="008A761F">
              <w:rPr>
                <w:rFonts w:asciiTheme="minorHAnsi" w:hAnsiTheme="minorHAnsi" w:cstheme="minorHAnsi"/>
              </w:rPr>
              <w:t xml:space="preserve"> and servicing the partnership further</w:t>
            </w:r>
            <w:r w:rsidR="0066733B" w:rsidRPr="008A761F">
              <w:rPr>
                <w:rFonts w:asciiTheme="minorHAnsi" w:hAnsiTheme="minorHAnsi" w:cstheme="minorHAnsi"/>
              </w:rPr>
              <w:t>.</w:t>
            </w:r>
          </w:p>
        </w:tc>
        <w:tc>
          <w:tcPr>
            <w:tcW w:w="0" w:type="auto"/>
            <w:shd w:val="clear" w:color="auto" w:fill="FFC000" w:themeFill="accent4"/>
          </w:tcPr>
          <w:p w14:paraId="4D6C7A2C" w14:textId="33C1C2BD" w:rsidR="00EE325F" w:rsidRPr="008A761F" w:rsidRDefault="005B19BD" w:rsidP="008A761F">
            <w:pPr>
              <w:pStyle w:val="Default"/>
              <w:rPr>
                <w:rFonts w:asciiTheme="minorHAnsi" w:hAnsiTheme="minorHAnsi" w:cstheme="minorHAnsi"/>
                <w:b/>
                <w:bCs/>
              </w:rPr>
            </w:pPr>
            <w:r w:rsidRPr="008A761F">
              <w:rPr>
                <w:rFonts w:asciiTheme="minorHAnsi" w:hAnsiTheme="minorHAnsi" w:cstheme="minorHAnsi"/>
                <w:b/>
                <w:bCs/>
              </w:rPr>
              <w:t>Partially agree</w:t>
            </w:r>
          </w:p>
        </w:tc>
        <w:tc>
          <w:tcPr>
            <w:tcW w:w="0" w:type="auto"/>
            <w:shd w:val="clear" w:color="auto" w:fill="auto"/>
          </w:tcPr>
          <w:p w14:paraId="5597DB46" w14:textId="309C396E" w:rsidR="005B19BD" w:rsidRPr="00D001D6" w:rsidRDefault="00FA55EC" w:rsidP="008A761F">
            <w:pPr>
              <w:rPr>
                <w:rFonts w:cstheme="minorHAnsi"/>
              </w:rPr>
            </w:pPr>
            <w:r w:rsidRPr="00D001D6">
              <w:rPr>
                <w:rFonts w:cstheme="minorHAnsi"/>
              </w:rPr>
              <w:t>There was no consensus by the membership on changing the current structure of membership</w:t>
            </w:r>
            <w:r w:rsidR="00D001D6" w:rsidRPr="00D001D6">
              <w:rPr>
                <w:rFonts w:cstheme="minorHAnsi"/>
              </w:rPr>
              <w:t xml:space="preserve"> </w:t>
            </w:r>
            <w:r w:rsidRPr="00D001D6">
              <w:rPr>
                <w:rFonts w:cstheme="minorHAnsi"/>
              </w:rPr>
              <w:t>as stated in the Operational Rules. However, the membership did not oppose exploring avenues for outreach cases or expansion of the partnership</w:t>
            </w:r>
            <w:r w:rsidR="00AE6BDF" w:rsidRPr="00D001D6">
              <w:rPr>
                <w:rFonts w:cstheme="minorHAnsi"/>
              </w:rPr>
              <w:t>.</w:t>
            </w:r>
            <w:r w:rsidRPr="00D001D6">
              <w:rPr>
                <w:rFonts w:cstheme="minorHAnsi"/>
              </w:rPr>
              <w:t xml:space="preserve"> Members welcomed additional opportunities for </w:t>
            </w:r>
            <w:r w:rsidRPr="00D001D6">
              <w:rPr>
                <w:rFonts w:cstheme="minorHAnsi"/>
              </w:rPr>
              <w:lastRenderedPageBreak/>
              <w:t>awareness raising and outreach and considered that a discussion in the Working Group on how to further engage and involve other organi</w:t>
            </w:r>
            <w:r w:rsidR="00D001D6" w:rsidRPr="00D001D6">
              <w:rPr>
                <w:rFonts w:cstheme="minorHAnsi"/>
              </w:rPr>
              <w:t>s</w:t>
            </w:r>
            <w:r w:rsidRPr="00D001D6">
              <w:rPr>
                <w:rFonts w:cstheme="minorHAnsi"/>
              </w:rPr>
              <w:t>ations with an SPS mandate (regional economic communities, technical bodies, regional development banks, private sector) would be useful. They also welcomed further consideration of options to expand STDF's sub-network model (including practitioner groups) as part of the development of STDF's next Strategy. Some unease was expressed related to the proposed expansion of the role of representative private sector organi</w:t>
            </w:r>
            <w:r w:rsidR="00D001D6" w:rsidRPr="00D001D6">
              <w:rPr>
                <w:rFonts w:cstheme="minorHAnsi"/>
              </w:rPr>
              <w:t>s</w:t>
            </w:r>
            <w:r w:rsidRPr="00D001D6">
              <w:rPr>
                <w:rFonts w:cstheme="minorHAnsi"/>
              </w:rPr>
              <w:t>ations in the Working Group. Members agreed that further discussion in the Working Group would be needed to analyse how to take forward this recommendation, including to understand the implications of an increased role for private sector bodies.</w:t>
            </w:r>
          </w:p>
        </w:tc>
        <w:tc>
          <w:tcPr>
            <w:tcW w:w="0" w:type="auto"/>
            <w:shd w:val="clear" w:color="auto" w:fill="auto"/>
          </w:tcPr>
          <w:p w14:paraId="5589066E" w14:textId="6C7C53A1" w:rsidR="0066733B" w:rsidRPr="008A761F" w:rsidRDefault="0066733B" w:rsidP="008A761F">
            <w:pPr>
              <w:rPr>
                <w:rFonts w:cstheme="minorHAnsi"/>
                <w:sz w:val="24"/>
                <w:szCs w:val="24"/>
              </w:rPr>
            </w:pPr>
            <w:r w:rsidRPr="008A761F">
              <w:rPr>
                <w:rFonts w:cstheme="minorHAnsi"/>
                <w:sz w:val="24"/>
                <w:szCs w:val="24"/>
              </w:rPr>
              <w:lastRenderedPageBreak/>
              <w:t xml:space="preserve">DFAT </w:t>
            </w:r>
            <w:r w:rsidR="009B31A7" w:rsidRPr="00270DCF">
              <w:rPr>
                <w:rFonts w:cstheme="minorHAnsi"/>
                <w:b/>
                <w:bCs/>
                <w:sz w:val="24"/>
                <w:szCs w:val="24"/>
              </w:rPr>
              <w:t>partially agrees</w:t>
            </w:r>
            <w:r w:rsidR="009B31A7" w:rsidRPr="008A761F">
              <w:rPr>
                <w:rFonts w:cstheme="minorHAnsi"/>
                <w:sz w:val="24"/>
                <w:szCs w:val="24"/>
              </w:rPr>
              <w:t xml:space="preserve"> with this recommendation. We </w:t>
            </w:r>
            <w:r w:rsidRPr="008A761F">
              <w:rPr>
                <w:rFonts w:cstheme="minorHAnsi"/>
                <w:sz w:val="24"/>
                <w:szCs w:val="24"/>
              </w:rPr>
              <w:t xml:space="preserve">recommend </w:t>
            </w:r>
            <w:r w:rsidR="00A100C4" w:rsidRPr="008A761F">
              <w:rPr>
                <w:rFonts w:cstheme="minorHAnsi"/>
                <w:sz w:val="24"/>
                <w:szCs w:val="24"/>
              </w:rPr>
              <w:t xml:space="preserve">the STDF </w:t>
            </w:r>
            <w:r w:rsidR="00D26DC8" w:rsidRPr="008A761F">
              <w:rPr>
                <w:rFonts w:cstheme="minorHAnsi"/>
                <w:sz w:val="24"/>
                <w:szCs w:val="24"/>
              </w:rPr>
              <w:t>develop</w:t>
            </w:r>
            <w:r w:rsidR="00A100C4" w:rsidRPr="008A761F">
              <w:rPr>
                <w:rFonts w:cstheme="minorHAnsi"/>
                <w:sz w:val="24"/>
                <w:szCs w:val="24"/>
              </w:rPr>
              <w:t>s</w:t>
            </w:r>
            <w:r w:rsidR="00D26DC8" w:rsidRPr="008A761F">
              <w:rPr>
                <w:rFonts w:cstheme="minorHAnsi"/>
                <w:sz w:val="24"/>
                <w:szCs w:val="24"/>
              </w:rPr>
              <w:t xml:space="preserve"> more prescriptive </w:t>
            </w:r>
            <w:r w:rsidR="00A100C4" w:rsidRPr="008A761F">
              <w:rPr>
                <w:rFonts w:cstheme="minorHAnsi"/>
                <w:sz w:val="24"/>
                <w:szCs w:val="24"/>
              </w:rPr>
              <w:t xml:space="preserve">guidance </w:t>
            </w:r>
            <w:r w:rsidR="000C1CC8" w:rsidRPr="008A761F">
              <w:rPr>
                <w:rFonts w:cstheme="minorHAnsi"/>
                <w:sz w:val="24"/>
                <w:szCs w:val="24"/>
              </w:rPr>
              <w:t>through</w:t>
            </w:r>
            <w:r w:rsidR="005B19BD" w:rsidRPr="008A761F">
              <w:rPr>
                <w:rFonts w:cstheme="minorHAnsi"/>
                <w:sz w:val="24"/>
                <w:szCs w:val="24"/>
              </w:rPr>
              <w:t xml:space="preserve"> STDF Working Group deliberations and</w:t>
            </w:r>
            <w:r w:rsidR="000C1CC8" w:rsidRPr="008A761F">
              <w:rPr>
                <w:rFonts w:cstheme="minorHAnsi"/>
                <w:sz w:val="24"/>
                <w:szCs w:val="24"/>
              </w:rPr>
              <w:t xml:space="preserve"> the new Strategy to determine how </w:t>
            </w:r>
            <w:r w:rsidRPr="008A761F">
              <w:rPr>
                <w:rFonts w:cstheme="minorHAnsi"/>
                <w:sz w:val="24"/>
                <w:szCs w:val="24"/>
              </w:rPr>
              <w:t xml:space="preserve">this </w:t>
            </w:r>
            <w:r w:rsidR="009B31A7" w:rsidRPr="008A761F">
              <w:rPr>
                <w:rFonts w:cstheme="minorHAnsi"/>
                <w:sz w:val="24"/>
                <w:szCs w:val="24"/>
              </w:rPr>
              <w:t xml:space="preserve">work </w:t>
            </w:r>
            <w:r w:rsidRPr="008A761F">
              <w:rPr>
                <w:rFonts w:cstheme="minorHAnsi"/>
                <w:sz w:val="24"/>
                <w:szCs w:val="24"/>
              </w:rPr>
              <w:lastRenderedPageBreak/>
              <w:t>will shape future deliberations</w:t>
            </w:r>
            <w:r w:rsidR="005B19BD" w:rsidRPr="008A761F">
              <w:rPr>
                <w:rFonts w:cstheme="minorHAnsi"/>
                <w:sz w:val="24"/>
                <w:szCs w:val="24"/>
              </w:rPr>
              <w:t xml:space="preserve"> and decision-making processes. </w:t>
            </w:r>
          </w:p>
          <w:p w14:paraId="3DC3FED8" w14:textId="3950BF02" w:rsidR="000831B3" w:rsidRPr="008A761F" w:rsidRDefault="000831B3" w:rsidP="008A761F">
            <w:pPr>
              <w:pStyle w:val="Default"/>
              <w:rPr>
                <w:rFonts w:asciiTheme="minorHAnsi" w:hAnsiTheme="minorHAnsi" w:cstheme="minorHAnsi"/>
              </w:rPr>
            </w:pPr>
          </w:p>
        </w:tc>
        <w:tc>
          <w:tcPr>
            <w:tcW w:w="0" w:type="auto"/>
            <w:shd w:val="clear" w:color="auto" w:fill="auto"/>
          </w:tcPr>
          <w:p w14:paraId="3C75A179" w14:textId="07C32E7C" w:rsidR="00EE325F" w:rsidRPr="008A761F" w:rsidRDefault="005B19BD" w:rsidP="008A761F">
            <w:pPr>
              <w:pStyle w:val="Default"/>
              <w:rPr>
                <w:rFonts w:asciiTheme="minorHAnsi" w:hAnsiTheme="minorHAnsi" w:cstheme="minorHAnsi"/>
              </w:rPr>
            </w:pPr>
            <w:r w:rsidRPr="008A761F">
              <w:rPr>
                <w:rFonts w:asciiTheme="minorHAnsi" w:hAnsiTheme="minorHAnsi" w:cstheme="minorHAnsi"/>
              </w:rPr>
              <w:lastRenderedPageBreak/>
              <w:t xml:space="preserve">Further discussion throughout 2024 in the STDF Working Group and </w:t>
            </w:r>
            <w:r w:rsidR="00FA55EC" w:rsidRPr="008A761F">
              <w:rPr>
                <w:rFonts w:asciiTheme="minorHAnsi" w:hAnsiTheme="minorHAnsi" w:cstheme="minorHAnsi"/>
              </w:rPr>
              <w:t>through implementation of</w:t>
            </w:r>
            <w:r w:rsidRPr="008A761F">
              <w:rPr>
                <w:rFonts w:asciiTheme="minorHAnsi" w:hAnsiTheme="minorHAnsi" w:cstheme="minorHAnsi"/>
              </w:rPr>
              <w:t xml:space="preserve"> the new STDF Strategy 2025-2030.</w:t>
            </w:r>
          </w:p>
          <w:p w14:paraId="6657F62F" w14:textId="3BBE3382" w:rsidR="005B19BD" w:rsidRPr="008A761F" w:rsidRDefault="005B19BD" w:rsidP="008A761F">
            <w:pPr>
              <w:pStyle w:val="Default"/>
              <w:rPr>
                <w:rFonts w:asciiTheme="minorHAnsi" w:hAnsiTheme="minorHAnsi" w:cstheme="minorHAnsi"/>
              </w:rPr>
            </w:pPr>
          </w:p>
        </w:tc>
      </w:tr>
    </w:tbl>
    <w:p w14:paraId="223DD62D" w14:textId="77777777" w:rsidR="00D001D6" w:rsidRDefault="00D001D6">
      <w:r>
        <w:lastRenderedPageBreak/>
        <w:br w:type="page"/>
      </w:r>
    </w:p>
    <w:tbl>
      <w:tblPr>
        <w:tblStyle w:val="TableGrid"/>
        <w:tblW w:w="0" w:type="auto"/>
        <w:tblLook w:val="04A0" w:firstRow="1" w:lastRow="0" w:firstColumn="1" w:lastColumn="0" w:noHBand="0" w:noVBand="1"/>
      </w:tblPr>
      <w:tblGrid>
        <w:gridCol w:w="2592"/>
        <w:gridCol w:w="1171"/>
        <w:gridCol w:w="4235"/>
        <w:gridCol w:w="4235"/>
        <w:gridCol w:w="2435"/>
      </w:tblGrid>
      <w:tr w:rsidR="00D001D6" w:rsidRPr="008A761F" w14:paraId="44FC3C66" w14:textId="77777777" w:rsidTr="00D001D6">
        <w:tc>
          <w:tcPr>
            <w:tcW w:w="0" w:type="auto"/>
            <w:shd w:val="clear" w:color="auto" w:fill="BFBFBF" w:themeFill="background1" w:themeFillShade="BF"/>
          </w:tcPr>
          <w:p w14:paraId="4379F810" w14:textId="559DF5E8" w:rsidR="00D001D6" w:rsidRPr="008A761F" w:rsidRDefault="00D001D6" w:rsidP="00D001D6">
            <w:pPr>
              <w:pStyle w:val="Default"/>
              <w:rPr>
                <w:rFonts w:asciiTheme="minorHAnsi" w:hAnsiTheme="minorHAnsi" w:cstheme="minorHAnsi"/>
              </w:rPr>
            </w:pPr>
            <w:bookmarkStart w:id="0" w:name="_Hlk176533046"/>
            <w:r w:rsidRPr="008A761F">
              <w:rPr>
                <w:rFonts w:asciiTheme="minorHAnsi" w:hAnsiTheme="minorHAnsi" w:cstheme="minorHAnsi"/>
                <w:b/>
                <w:bCs/>
              </w:rPr>
              <w:lastRenderedPageBreak/>
              <w:t>Recommendation</w:t>
            </w:r>
          </w:p>
        </w:tc>
        <w:tc>
          <w:tcPr>
            <w:tcW w:w="0" w:type="auto"/>
            <w:shd w:val="clear" w:color="auto" w:fill="BFBFBF" w:themeFill="background1" w:themeFillShade="BF"/>
          </w:tcPr>
          <w:p w14:paraId="392E6451" w14:textId="27EFA39E" w:rsidR="00D001D6" w:rsidRPr="008A761F" w:rsidRDefault="00D001D6" w:rsidP="00D001D6">
            <w:pPr>
              <w:pStyle w:val="Default"/>
              <w:rPr>
                <w:rFonts w:asciiTheme="minorHAnsi" w:hAnsiTheme="minorHAnsi" w:cstheme="minorHAnsi"/>
                <w:b/>
                <w:bCs/>
              </w:rPr>
            </w:pPr>
            <w:r w:rsidRPr="008A761F">
              <w:rPr>
                <w:rFonts w:asciiTheme="minorHAnsi" w:hAnsiTheme="minorHAnsi" w:cstheme="minorHAnsi"/>
                <w:b/>
                <w:bCs/>
              </w:rPr>
              <w:t>Response</w:t>
            </w:r>
          </w:p>
        </w:tc>
        <w:tc>
          <w:tcPr>
            <w:tcW w:w="0" w:type="auto"/>
            <w:shd w:val="clear" w:color="auto" w:fill="BFBFBF" w:themeFill="background1" w:themeFillShade="BF"/>
          </w:tcPr>
          <w:p w14:paraId="43CB3D7C" w14:textId="387F8A2E" w:rsidR="00D001D6" w:rsidRPr="008A761F" w:rsidRDefault="00D001D6" w:rsidP="00D001D6">
            <w:pPr>
              <w:pStyle w:val="Default"/>
              <w:rPr>
                <w:rFonts w:asciiTheme="minorHAnsi" w:hAnsiTheme="minorHAnsi" w:cstheme="minorHAnsi"/>
              </w:rPr>
            </w:pPr>
            <w:r w:rsidRPr="008A761F">
              <w:rPr>
                <w:rFonts w:asciiTheme="minorHAnsi" w:hAnsiTheme="minorHAnsi" w:cstheme="minorHAnsi"/>
                <w:b/>
                <w:bCs/>
              </w:rPr>
              <w:t>STDF membership response</w:t>
            </w:r>
            <w:r>
              <w:rPr>
                <w:rStyle w:val="FootnoteReference"/>
                <w:rFonts w:asciiTheme="minorHAnsi" w:hAnsiTheme="minorHAnsi" w:cstheme="minorHAnsi"/>
                <w:b/>
                <w:bCs/>
              </w:rPr>
              <w:footnoteReference w:id="2"/>
            </w:r>
            <w:r w:rsidRPr="008A761F">
              <w:rPr>
                <w:rFonts w:asciiTheme="minorHAnsi" w:hAnsiTheme="minorHAnsi" w:cstheme="minorHAnsi"/>
                <w:b/>
                <w:bCs/>
              </w:rPr>
              <w:t xml:space="preserve"> </w:t>
            </w:r>
          </w:p>
        </w:tc>
        <w:tc>
          <w:tcPr>
            <w:tcW w:w="0" w:type="auto"/>
            <w:shd w:val="clear" w:color="auto" w:fill="BFBFBF" w:themeFill="background1" w:themeFillShade="BF"/>
          </w:tcPr>
          <w:p w14:paraId="67029184" w14:textId="5C0E414E" w:rsidR="00D001D6" w:rsidRPr="008A761F" w:rsidRDefault="00D001D6" w:rsidP="00D001D6">
            <w:pPr>
              <w:pStyle w:val="Default"/>
              <w:rPr>
                <w:rFonts w:asciiTheme="minorHAnsi" w:hAnsiTheme="minorHAnsi" w:cstheme="minorHAnsi"/>
              </w:rPr>
            </w:pPr>
            <w:r w:rsidRPr="008A761F">
              <w:rPr>
                <w:rFonts w:asciiTheme="minorHAnsi" w:hAnsiTheme="minorHAnsi" w:cstheme="minorHAnsi"/>
                <w:b/>
                <w:bCs/>
              </w:rPr>
              <w:t>DFAT response</w:t>
            </w:r>
          </w:p>
        </w:tc>
        <w:tc>
          <w:tcPr>
            <w:tcW w:w="0" w:type="auto"/>
            <w:shd w:val="clear" w:color="auto" w:fill="BFBFBF" w:themeFill="background1" w:themeFillShade="BF"/>
          </w:tcPr>
          <w:p w14:paraId="68955C21" w14:textId="29EC35B6" w:rsidR="00D001D6" w:rsidRPr="008A761F" w:rsidRDefault="00D001D6" w:rsidP="00D001D6">
            <w:pPr>
              <w:pStyle w:val="Default"/>
              <w:rPr>
                <w:rFonts w:asciiTheme="minorHAnsi" w:hAnsiTheme="minorHAnsi" w:cstheme="minorHAnsi"/>
              </w:rPr>
            </w:pPr>
            <w:r w:rsidRPr="008A761F">
              <w:rPr>
                <w:rFonts w:asciiTheme="minorHAnsi" w:hAnsiTheme="minorHAnsi" w:cstheme="minorHAnsi"/>
                <w:b/>
                <w:bCs/>
              </w:rPr>
              <w:t>Timeframe</w:t>
            </w:r>
          </w:p>
        </w:tc>
      </w:tr>
      <w:bookmarkEnd w:id="0"/>
      <w:tr w:rsidR="00D001D6" w:rsidRPr="008A761F" w14:paraId="6B524626" w14:textId="77777777" w:rsidTr="009B31A7">
        <w:tc>
          <w:tcPr>
            <w:tcW w:w="0" w:type="auto"/>
            <w:shd w:val="clear" w:color="auto" w:fill="auto"/>
          </w:tcPr>
          <w:p w14:paraId="401D0110" w14:textId="63C546E6" w:rsidR="00D001D6" w:rsidRPr="008A761F" w:rsidRDefault="00D001D6" w:rsidP="00D001D6">
            <w:pPr>
              <w:pStyle w:val="Default"/>
              <w:numPr>
                <w:ilvl w:val="0"/>
                <w:numId w:val="5"/>
              </w:numPr>
              <w:rPr>
                <w:rFonts w:asciiTheme="minorHAnsi" w:hAnsiTheme="minorHAnsi" w:cstheme="minorHAnsi"/>
              </w:rPr>
            </w:pPr>
            <w:r w:rsidRPr="008A761F">
              <w:rPr>
                <w:rFonts w:asciiTheme="minorHAnsi" w:hAnsiTheme="minorHAnsi" w:cstheme="minorHAnsi"/>
              </w:rPr>
              <w:t>Improve co-financing of project activities via a strategy-wide target for project finance leverage</w:t>
            </w:r>
          </w:p>
        </w:tc>
        <w:tc>
          <w:tcPr>
            <w:tcW w:w="0" w:type="auto"/>
            <w:shd w:val="clear" w:color="auto" w:fill="70AD47" w:themeFill="accent6"/>
          </w:tcPr>
          <w:p w14:paraId="33BE8832" w14:textId="354B802D" w:rsidR="00D001D6" w:rsidRPr="008A761F" w:rsidRDefault="00D001D6" w:rsidP="00D001D6">
            <w:pPr>
              <w:pStyle w:val="Default"/>
              <w:rPr>
                <w:rFonts w:asciiTheme="minorHAnsi" w:hAnsiTheme="minorHAnsi" w:cstheme="minorHAnsi"/>
                <w:b/>
                <w:bCs/>
              </w:rPr>
            </w:pPr>
            <w:r w:rsidRPr="008A761F">
              <w:rPr>
                <w:rFonts w:asciiTheme="minorHAnsi" w:hAnsiTheme="minorHAnsi" w:cstheme="minorHAnsi"/>
                <w:b/>
                <w:bCs/>
              </w:rPr>
              <w:t>Agree</w:t>
            </w:r>
          </w:p>
        </w:tc>
        <w:tc>
          <w:tcPr>
            <w:tcW w:w="0" w:type="auto"/>
            <w:shd w:val="clear" w:color="auto" w:fill="auto"/>
          </w:tcPr>
          <w:p w14:paraId="2F7BC7A6" w14:textId="0C6BCB90" w:rsidR="00D001D6" w:rsidRPr="008A761F" w:rsidRDefault="00D001D6" w:rsidP="00D001D6">
            <w:pPr>
              <w:pStyle w:val="Default"/>
              <w:rPr>
                <w:rFonts w:asciiTheme="minorHAnsi" w:hAnsiTheme="minorHAnsi" w:cstheme="minorHAnsi"/>
              </w:rPr>
            </w:pPr>
            <w:r w:rsidRPr="008A761F">
              <w:rPr>
                <w:rFonts w:asciiTheme="minorHAnsi" w:hAnsiTheme="minorHAnsi" w:cstheme="minorHAnsi"/>
              </w:rPr>
              <w:t xml:space="preserve">The </w:t>
            </w:r>
            <w:r w:rsidR="00270DCF">
              <w:rPr>
                <w:rFonts w:asciiTheme="minorHAnsi" w:hAnsiTheme="minorHAnsi" w:cstheme="minorHAnsi"/>
              </w:rPr>
              <w:t>E</w:t>
            </w:r>
            <w:r w:rsidRPr="008A761F">
              <w:rPr>
                <w:rFonts w:asciiTheme="minorHAnsi" w:hAnsiTheme="minorHAnsi" w:cstheme="minorHAnsi"/>
              </w:rPr>
              <w:t>valuation highlighted that the STDF has been successful at leveraging external finance support for projects, with over 30% of project funds under the current strategy coming from a mix of financial and in-kind contributions. Members generally agreed with the concept of co-financing but did not agree to set a specific, ambitious strategy-wide target or requirement for leveraging. Donor members felt this would be complex for them to put into practice. Members welcomed a further discussion on co-financing in the Working Group to take forward aspects of this recommendation.</w:t>
            </w:r>
          </w:p>
        </w:tc>
        <w:tc>
          <w:tcPr>
            <w:tcW w:w="0" w:type="auto"/>
            <w:shd w:val="clear" w:color="auto" w:fill="auto"/>
          </w:tcPr>
          <w:p w14:paraId="3AA6EAD8" w14:textId="08A40D53" w:rsidR="00D001D6" w:rsidRPr="008A761F" w:rsidRDefault="00D001D6" w:rsidP="00D001D6">
            <w:pPr>
              <w:pStyle w:val="Default"/>
              <w:rPr>
                <w:rFonts w:asciiTheme="minorHAnsi" w:hAnsiTheme="minorHAnsi" w:cstheme="minorHAnsi"/>
              </w:rPr>
            </w:pPr>
            <w:r w:rsidRPr="008A761F">
              <w:rPr>
                <w:rFonts w:asciiTheme="minorHAnsi" w:hAnsiTheme="minorHAnsi" w:cstheme="minorHAnsi"/>
              </w:rPr>
              <w:t xml:space="preserve">DFAT </w:t>
            </w:r>
            <w:r w:rsidR="00270DCF">
              <w:rPr>
                <w:rFonts w:asciiTheme="minorHAnsi" w:hAnsiTheme="minorHAnsi" w:cstheme="minorHAnsi"/>
                <w:b/>
                <w:bCs/>
              </w:rPr>
              <w:t xml:space="preserve">agrees </w:t>
            </w:r>
            <w:r w:rsidR="00270DCF" w:rsidRPr="00270DCF">
              <w:rPr>
                <w:rFonts w:asciiTheme="minorHAnsi" w:hAnsiTheme="minorHAnsi" w:cstheme="minorHAnsi"/>
              </w:rPr>
              <w:t>with</w:t>
            </w:r>
            <w:r w:rsidRPr="008A761F">
              <w:rPr>
                <w:rFonts w:asciiTheme="minorHAnsi" w:hAnsiTheme="minorHAnsi" w:cstheme="minorHAnsi"/>
              </w:rPr>
              <w:t xml:space="preserve"> this recommendation noting the benefits it could derive for STDF projects in increasing financial resources available and maximising synergies with other multilateral programs, the private sector or donor development programs.  Australia has recent experience with this, </w:t>
            </w:r>
            <w:r w:rsidR="00270DCF">
              <w:rPr>
                <w:rFonts w:asciiTheme="minorHAnsi" w:hAnsiTheme="minorHAnsi" w:cstheme="minorHAnsi"/>
              </w:rPr>
              <w:t xml:space="preserve">through a </w:t>
            </w:r>
            <w:r w:rsidRPr="008A761F">
              <w:rPr>
                <w:rFonts w:asciiTheme="minorHAnsi" w:hAnsiTheme="minorHAnsi" w:cstheme="minorHAnsi"/>
              </w:rPr>
              <w:t xml:space="preserve">co-financing </w:t>
            </w:r>
            <w:r w:rsidR="00270DCF">
              <w:rPr>
                <w:rFonts w:asciiTheme="minorHAnsi" w:hAnsiTheme="minorHAnsi" w:cstheme="minorHAnsi"/>
              </w:rPr>
              <w:t xml:space="preserve">arrangement </w:t>
            </w:r>
            <w:r w:rsidRPr="008A761F">
              <w:rPr>
                <w:rFonts w:asciiTheme="minorHAnsi" w:hAnsiTheme="minorHAnsi" w:cstheme="minorHAnsi"/>
              </w:rPr>
              <w:t xml:space="preserve">with the Pacific Island Forum Secretariat on an STDF project preparation grant focussed on </w:t>
            </w:r>
            <w:r>
              <w:rPr>
                <w:rFonts w:asciiTheme="minorHAnsi" w:hAnsiTheme="minorHAnsi" w:cstheme="minorHAnsi"/>
              </w:rPr>
              <w:t>apiculture</w:t>
            </w:r>
            <w:r w:rsidRPr="008A761F">
              <w:rPr>
                <w:rFonts w:asciiTheme="minorHAnsi" w:hAnsiTheme="minorHAnsi" w:cstheme="minorHAnsi"/>
              </w:rPr>
              <w:t xml:space="preserve"> in Pacific </w:t>
            </w:r>
            <w:r w:rsidR="00270DCF">
              <w:rPr>
                <w:rFonts w:asciiTheme="minorHAnsi" w:hAnsiTheme="minorHAnsi" w:cstheme="minorHAnsi"/>
              </w:rPr>
              <w:t>i</w:t>
            </w:r>
            <w:r w:rsidRPr="008A761F">
              <w:rPr>
                <w:rFonts w:asciiTheme="minorHAnsi" w:hAnsiTheme="minorHAnsi" w:cstheme="minorHAnsi"/>
              </w:rPr>
              <w:t xml:space="preserve">sland countries. </w:t>
            </w:r>
          </w:p>
        </w:tc>
        <w:tc>
          <w:tcPr>
            <w:tcW w:w="0" w:type="auto"/>
            <w:shd w:val="clear" w:color="auto" w:fill="auto"/>
          </w:tcPr>
          <w:p w14:paraId="0ED3B84E" w14:textId="60928912" w:rsidR="00D001D6" w:rsidRPr="008A761F" w:rsidRDefault="00D001D6" w:rsidP="00D001D6">
            <w:pPr>
              <w:pStyle w:val="Default"/>
              <w:rPr>
                <w:rFonts w:asciiTheme="minorHAnsi" w:hAnsiTheme="minorHAnsi" w:cstheme="minorHAnsi"/>
              </w:rPr>
            </w:pPr>
            <w:r w:rsidRPr="008A761F">
              <w:rPr>
                <w:rFonts w:asciiTheme="minorHAnsi" w:hAnsiTheme="minorHAnsi" w:cstheme="minorHAnsi"/>
              </w:rPr>
              <w:t>Implementation through the term of the new STDF Strategy 2025-2030.</w:t>
            </w:r>
          </w:p>
        </w:tc>
      </w:tr>
      <w:tr w:rsidR="00D001D6" w:rsidRPr="008A761F" w14:paraId="3EE7E97A" w14:textId="77777777" w:rsidTr="009B31A7">
        <w:tc>
          <w:tcPr>
            <w:tcW w:w="0" w:type="auto"/>
            <w:shd w:val="clear" w:color="auto" w:fill="auto"/>
          </w:tcPr>
          <w:p w14:paraId="4E5A1A63" w14:textId="62F37636" w:rsidR="00D001D6" w:rsidRPr="008A761F" w:rsidRDefault="00D001D6" w:rsidP="00D001D6">
            <w:pPr>
              <w:pStyle w:val="Default"/>
              <w:numPr>
                <w:ilvl w:val="0"/>
                <w:numId w:val="5"/>
              </w:numPr>
              <w:rPr>
                <w:rFonts w:asciiTheme="minorHAnsi" w:hAnsiTheme="minorHAnsi" w:cstheme="minorHAnsi"/>
              </w:rPr>
            </w:pPr>
            <w:r w:rsidRPr="008A761F">
              <w:rPr>
                <w:rFonts w:asciiTheme="minorHAnsi" w:hAnsiTheme="minorHAnsi" w:cstheme="minorHAnsi"/>
              </w:rPr>
              <w:t>STDF should consider improving its results-based management culture to match growth in scale</w:t>
            </w:r>
          </w:p>
        </w:tc>
        <w:tc>
          <w:tcPr>
            <w:tcW w:w="0" w:type="auto"/>
            <w:shd w:val="clear" w:color="auto" w:fill="70AD47" w:themeFill="accent6"/>
          </w:tcPr>
          <w:p w14:paraId="71B32818" w14:textId="69124979" w:rsidR="00D001D6" w:rsidRPr="008A761F" w:rsidRDefault="00D001D6" w:rsidP="00D001D6">
            <w:pPr>
              <w:pStyle w:val="Default"/>
              <w:rPr>
                <w:rFonts w:asciiTheme="minorHAnsi" w:hAnsiTheme="minorHAnsi" w:cstheme="minorHAnsi"/>
                <w:b/>
                <w:bCs/>
              </w:rPr>
            </w:pPr>
            <w:r w:rsidRPr="008A761F">
              <w:rPr>
                <w:rFonts w:asciiTheme="minorHAnsi" w:hAnsiTheme="minorHAnsi" w:cstheme="minorHAnsi"/>
                <w:b/>
                <w:bCs/>
              </w:rPr>
              <w:t>Agree</w:t>
            </w:r>
          </w:p>
        </w:tc>
        <w:tc>
          <w:tcPr>
            <w:tcW w:w="0" w:type="auto"/>
            <w:shd w:val="clear" w:color="auto" w:fill="auto"/>
          </w:tcPr>
          <w:p w14:paraId="011622A6" w14:textId="54D392CE" w:rsidR="00D001D6" w:rsidRPr="008A761F" w:rsidRDefault="00D001D6" w:rsidP="00D001D6">
            <w:pPr>
              <w:rPr>
                <w:rFonts w:cstheme="minorHAnsi"/>
                <w:sz w:val="24"/>
                <w:szCs w:val="24"/>
              </w:rPr>
            </w:pPr>
            <w:r w:rsidRPr="008A761F">
              <w:rPr>
                <w:rFonts w:cstheme="minorHAnsi"/>
                <w:sz w:val="24"/>
                <w:szCs w:val="24"/>
              </w:rPr>
              <w:t>Members generally agreed on the recommendation to further improve implementation of STDF's Monitoring, Evaluation and Learning (MEL) framework, though cautioned against the additional burden this may have on the Secretariat and project implementing organi</w:t>
            </w:r>
            <w:r>
              <w:rPr>
                <w:rFonts w:cstheme="minorHAnsi"/>
                <w:sz w:val="24"/>
                <w:szCs w:val="24"/>
              </w:rPr>
              <w:t>s</w:t>
            </w:r>
            <w:r w:rsidRPr="008A761F">
              <w:rPr>
                <w:rFonts w:cstheme="minorHAnsi"/>
                <w:sz w:val="24"/>
                <w:szCs w:val="24"/>
              </w:rPr>
              <w:t xml:space="preserve">ations. </w:t>
            </w:r>
          </w:p>
        </w:tc>
        <w:tc>
          <w:tcPr>
            <w:tcW w:w="0" w:type="auto"/>
            <w:shd w:val="clear" w:color="auto" w:fill="auto"/>
          </w:tcPr>
          <w:p w14:paraId="493BEC95" w14:textId="54A30DC3" w:rsidR="00D001D6" w:rsidRPr="008A761F" w:rsidRDefault="00D001D6" w:rsidP="00D001D6">
            <w:pPr>
              <w:spacing w:after="160" w:line="259" w:lineRule="auto"/>
              <w:rPr>
                <w:rFonts w:cstheme="minorHAnsi"/>
                <w:sz w:val="24"/>
                <w:szCs w:val="24"/>
              </w:rPr>
            </w:pPr>
            <w:r w:rsidRPr="008A761F">
              <w:rPr>
                <w:rFonts w:cstheme="minorHAnsi"/>
                <w:sz w:val="24"/>
                <w:szCs w:val="24"/>
              </w:rPr>
              <w:t xml:space="preserve">DFAT </w:t>
            </w:r>
            <w:r w:rsidRPr="00270DCF">
              <w:rPr>
                <w:rFonts w:cstheme="minorHAnsi"/>
                <w:b/>
                <w:bCs/>
                <w:sz w:val="24"/>
                <w:szCs w:val="24"/>
              </w:rPr>
              <w:t>strongly agrees</w:t>
            </w:r>
            <w:r w:rsidRPr="008A761F">
              <w:rPr>
                <w:rFonts w:cstheme="minorHAnsi"/>
                <w:sz w:val="24"/>
                <w:szCs w:val="24"/>
              </w:rPr>
              <w:t xml:space="preserve"> </w:t>
            </w:r>
            <w:r w:rsidRPr="00270DCF">
              <w:rPr>
                <w:rFonts w:cstheme="minorHAnsi"/>
                <w:sz w:val="24"/>
                <w:szCs w:val="24"/>
              </w:rPr>
              <w:t>with</w:t>
            </w:r>
            <w:r w:rsidRPr="008A761F">
              <w:rPr>
                <w:rFonts w:cstheme="minorHAnsi"/>
                <w:sz w:val="24"/>
                <w:szCs w:val="24"/>
              </w:rPr>
              <w:t xml:space="preserve"> this recommendation. We welcome further strengthening and improvements to the STDF’s data collection of the medium- and long-term outcomes of projects and gender disaggregated data collection and reporting. </w:t>
            </w:r>
          </w:p>
        </w:tc>
        <w:tc>
          <w:tcPr>
            <w:tcW w:w="0" w:type="auto"/>
            <w:shd w:val="clear" w:color="auto" w:fill="auto"/>
          </w:tcPr>
          <w:p w14:paraId="0040541F" w14:textId="0C9666FA" w:rsidR="00D001D6" w:rsidRPr="008A761F" w:rsidRDefault="00D001D6" w:rsidP="00D001D6">
            <w:pPr>
              <w:pStyle w:val="Default"/>
              <w:rPr>
                <w:rFonts w:asciiTheme="minorHAnsi" w:hAnsiTheme="minorHAnsi" w:cstheme="minorHAnsi"/>
                <w:b/>
                <w:bCs/>
              </w:rPr>
            </w:pPr>
            <w:r w:rsidRPr="008A761F">
              <w:rPr>
                <w:rFonts w:asciiTheme="minorHAnsi" w:hAnsiTheme="minorHAnsi" w:cstheme="minorHAnsi"/>
              </w:rPr>
              <w:t xml:space="preserve">The MEL framework will be revised by the STDF following the launch of the new STDF Strategy in 2025.  </w:t>
            </w:r>
          </w:p>
        </w:tc>
      </w:tr>
    </w:tbl>
    <w:p w14:paraId="4FD06048" w14:textId="77777777" w:rsidR="00270DCF" w:rsidRDefault="00270DCF">
      <w:r>
        <w:br w:type="page"/>
      </w:r>
    </w:p>
    <w:tbl>
      <w:tblPr>
        <w:tblStyle w:val="TableGrid"/>
        <w:tblW w:w="0" w:type="auto"/>
        <w:tblLook w:val="04A0" w:firstRow="1" w:lastRow="0" w:firstColumn="1" w:lastColumn="0" w:noHBand="0" w:noVBand="1"/>
      </w:tblPr>
      <w:tblGrid>
        <w:gridCol w:w="2547"/>
        <w:gridCol w:w="1171"/>
        <w:gridCol w:w="4611"/>
        <w:gridCol w:w="4151"/>
        <w:gridCol w:w="2188"/>
      </w:tblGrid>
      <w:tr w:rsidR="00FC71CA" w:rsidRPr="008A761F" w14:paraId="69F729AA" w14:textId="77777777" w:rsidTr="00FC71CA">
        <w:tc>
          <w:tcPr>
            <w:tcW w:w="2547" w:type="dxa"/>
            <w:shd w:val="clear" w:color="auto" w:fill="D0CECE" w:themeFill="background2" w:themeFillShade="E6"/>
          </w:tcPr>
          <w:p w14:paraId="5F56E7B8" w14:textId="29FDCD52" w:rsidR="00FC71CA" w:rsidRPr="008A761F" w:rsidRDefault="00FC71CA" w:rsidP="00FC71CA">
            <w:pPr>
              <w:pStyle w:val="Default"/>
              <w:rPr>
                <w:rFonts w:asciiTheme="minorHAnsi" w:hAnsiTheme="minorHAnsi" w:cstheme="minorHAnsi"/>
              </w:rPr>
            </w:pPr>
            <w:r w:rsidRPr="008A761F">
              <w:rPr>
                <w:rFonts w:asciiTheme="minorHAnsi" w:hAnsiTheme="minorHAnsi" w:cstheme="minorHAnsi"/>
                <w:b/>
                <w:bCs/>
              </w:rPr>
              <w:lastRenderedPageBreak/>
              <w:t>Recommendation</w:t>
            </w:r>
          </w:p>
        </w:tc>
        <w:tc>
          <w:tcPr>
            <w:tcW w:w="1134" w:type="dxa"/>
            <w:shd w:val="clear" w:color="auto" w:fill="D0CECE" w:themeFill="background2" w:themeFillShade="E6"/>
          </w:tcPr>
          <w:p w14:paraId="2404647F" w14:textId="08BA94D7" w:rsidR="00FC71CA" w:rsidRPr="008A761F" w:rsidRDefault="00FC71CA" w:rsidP="00FC71CA">
            <w:pPr>
              <w:pStyle w:val="Default"/>
              <w:rPr>
                <w:rFonts w:asciiTheme="minorHAnsi" w:hAnsiTheme="minorHAnsi" w:cstheme="minorHAnsi"/>
                <w:b/>
                <w:bCs/>
              </w:rPr>
            </w:pPr>
            <w:r w:rsidRPr="008A761F">
              <w:rPr>
                <w:rFonts w:asciiTheme="minorHAnsi" w:hAnsiTheme="minorHAnsi" w:cstheme="minorHAnsi"/>
                <w:b/>
                <w:bCs/>
              </w:rPr>
              <w:t>Response</w:t>
            </w:r>
          </w:p>
        </w:tc>
        <w:tc>
          <w:tcPr>
            <w:tcW w:w="4611" w:type="dxa"/>
            <w:shd w:val="clear" w:color="auto" w:fill="D0CECE" w:themeFill="background2" w:themeFillShade="E6"/>
          </w:tcPr>
          <w:p w14:paraId="57903021" w14:textId="7F4CB829" w:rsidR="00FC71CA" w:rsidRPr="00270DCF" w:rsidRDefault="00FC71CA" w:rsidP="00FC71CA">
            <w:pPr>
              <w:pStyle w:val="Default"/>
              <w:rPr>
                <w:rFonts w:asciiTheme="minorHAnsi" w:hAnsiTheme="minorHAnsi" w:cstheme="minorHAnsi"/>
                <w:sz w:val="22"/>
                <w:szCs w:val="22"/>
              </w:rPr>
            </w:pPr>
            <w:r w:rsidRPr="008A761F">
              <w:rPr>
                <w:rFonts w:asciiTheme="minorHAnsi" w:hAnsiTheme="minorHAnsi" w:cstheme="minorHAnsi"/>
                <w:b/>
                <w:bCs/>
              </w:rPr>
              <w:t>STDF membership response</w:t>
            </w:r>
            <w:r>
              <w:rPr>
                <w:rStyle w:val="FootnoteReference"/>
                <w:rFonts w:asciiTheme="minorHAnsi" w:hAnsiTheme="minorHAnsi" w:cstheme="minorHAnsi"/>
                <w:b/>
                <w:bCs/>
              </w:rPr>
              <w:footnoteReference w:id="3"/>
            </w:r>
            <w:r w:rsidRPr="008A761F">
              <w:rPr>
                <w:rFonts w:asciiTheme="minorHAnsi" w:hAnsiTheme="minorHAnsi" w:cstheme="minorHAnsi"/>
                <w:b/>
                <w:bCs/>
              </w:rPr>
              <w:t xml:space="preserve"> </w:t>
            </w:r>
          </w:p>
        </w:tc>
        <w:tc>
          <w:tcPr>
            <w:tcW w:w="0" w:type="auto"/>
            <w:shd w:val="clear" w:color="auto" w:fill="D0CECE" w:themeFill="background2" w:themeFillShade="E6"/>
          </w:tcPr>
          <w:p w14:paraId="51935394" w14:textId="28B6ECE6" w:rsidR="00FC71CA" w:rsidRPr="008A761F" w:rsidRDefault="00FC71CA" w:rsidP="00FC71CA">
            <w:pPr>
              <w:rPr>
                <w:rFonts w:cstheme="minorHAnsi"/>
                <w:sz w:val="24"/>
                <w:szCs w:val="24"/>
              </w:rPr>
            </w:pPr>
            <w:r w:rsidRPr="008A761F">
              <w:rPr>
                <w:rFonts w:cstheme="minorHAnsi"/>
                <w:b/>
                <w:bCs/>
              </w:rPr>
              <w:t>DFAT response</w:t>
            </w:r>
          </w:p>
        </w:tc>
        <w:tc>
          <w:tcPr>
            <w:tcW w:w="0" w:type="auto"/>
            <w:shd w:val="clear" w:color="auto" w:fill="D0CECE" w:themeFill="background2" w:themeFillShade="E6"/>
          </w:tcPr>
          <w:p w14:paraId="1BFA3CB2" w14:textId="0CAAF771" w:rsidR="00FC71CA" w:rsidRPr="008A761F" w:rsidRDefault="00FC71CA" w:rsidP="00FC71CA">
            <w:pPr>
              <w:pStyle w:val="Default"/>
              <w:rPr>
                <w:rFonts w:asciiTheme="minorHAnsi" w:hAnsiTheme="minorHAnsi" w:cstheme="minorHAnsi"/>
              </w:rPr>
            </w:pPr>
            <w:r w:rsidRPr="008A761F">
              <w:rPr>
                <w:rFonts w:asciiTheme="minorHAnsi" w:hAnsiTheme="minorHAnsi" w:cstheme="minorHAnsi"/>
                <w:b/>
                <w:bCs/>
              </w:rPr>
              <w:t>Timeframe</w:t>
            </w:r>
          </w:p>
        </w:tc>
      </w:tr>
      <w:tr w:rsidR="00D001D6" w:rsidRPr="008A761F" w14:paraId="58AE9EF3" w14:textId="77777777" w:rsidTr="00FC71CA">
        <w:tc>
          <w:tcPr>
            <w:tcW w:w="2547" w:type="dxa"/>
            <w:shd w:val="clear" w:color="auto" w:fill="auto"/>
          </w:tcPr>
          <w:p w14:paraId="61F4BA59" w14:textId="32E95170" w:rsidR="00D001D6" w:rsidRPr="008A761F" w:rsidRDefault="00D001D6" w:rsidP="00D001D6">
            <w:pPr>
              <w:pStyle w:val="Default"/>
              <w:numPr>
                <w:ilvl w:val="0"/>
                <w:numId w:val="5"/>
              </w:numPr>
              <w:rPr>
                <w:rFonts w:asciiTheme="minorHAnsi" w:hAnsiTheme="minorHAnsi" w:cstheme="minorHAnsi"/>
              </w:rPr>
            </w:pPr>
            <w:r w:rsidRPr="008A761F">
              <w:rPr>
                <w:rFonts w:asciiTheme="minorHAnsi" w:hAnsiTheme="minorHAnsi" w:cstheme="minorHAnsi"/>
              </w:rPr>
              <w:t>STDF should consider strengthening the role of the Developing Country Expert (DCE) and finding avenues for post-role engagement</w:t>
            </w:r>
            <w:r w:rsidR="00270DCF">
              <w:rPr>
                <w:rFonts w:asciiTheme="minorHAnsi" w:hAnsiTheme="minorHAnsi" w:cstheme="minorHAnsi"/>
              </w:rPr>
              <w:t>.</w:t>
            </w:r>
          </w:p>
        </w:tc>
        <w:tc>
          <w:tcPr>
            <w:tcW w:w="1134" w:type="dxa"/>
            <w:shd w:val="clear" w:color="auto" w:fill="70AD47" w:themeFill="accent6"/>
          </w:tcPr>
          <w:p w14:paraId="049DC612" w14:textId="762D5F26" w:rsidR="00D001D6" w:rsidRPr="008A761F" w:rsidRDefault="00D001D6" w:rsidP="00D001D6">
            <w:pPr>
              <w:pStyle w:val="Default"/>
              <w:rPr>
                <w:rFonts w:asciiTheme="minorHAnsi" w:hAnsiTheme="minorHAnsi" w:cstheme="minorHAnsi"/>
                <w:b/>
                <w:bCs/>
              </w:rPr>
            </w:pPr>
            <w:r w:rsidRPr="008A761F">
              <w:rPr>
                <w:rFonts w:asciiTheme="minorHAnsi" w:hAnsiTheme="minorHAnsi" w:cstheme="minorHAnsi"/>
                <w:b/>
                <w:bCs/>
              </w:rPr>
              <w:t>Agree</w:t>
            </w:r>
          </w:p>
        </w:tc>
        <w:tc>
          <w:tcPr>
            <w:tcW w:w="4611" w:type="dxa"/>
            <w:shd w:val="clear" w:color="auto" w:fill="auto"/>
          </w:tcPr>
          <w:p w14:paraId="33C45CEF" w14:textId="5668538A" w:rsidR="00D001D6" w:rsidRPr="00270DCF" w:rsidRDefault="00D001D6" w:rsidP="00D001D6">
            <w:pPr>
              <w:pStyle w:val="Default"/>
              <w:rPr>
                <w:rFonts w:asciiTheme="minorHAnsi" w:hAnsiTheme="minorHAnsi" w:cstheme="minorHAnsi"/>
                <w:sz w:val="22"/>
                <w:szCs w:val="22"/>
              </w:rPr>
            </w:pPr>
            <w:r w:rsidRPr="00270DCF">
              <w:rPr>
                <w:rFonts w:asciiTheme="minorHAnsi" w:hAnsiTheme="minorHAnsi" w:cstheme="minorHAnsi"/>
                <w:sz w:val="22"/>
                <w:szCs w:val="22"/>
              </w:rPr>
              <w:t>Members agreed to strengthening the participation of developing country experts (DCE) in the STDF to further support regional outreach and dissemination of STDF's knowledge and other work. They welcomed aspects of this recommendation related to creation of an alumni group of previous experts. Some members cautioned against "institutionali</w:t>
            </w:r>
            <w:r w:rsidR="00270DCF">
              <w:rPr>
                <w:rFonts w:asciiTheme="minorHAnsi" w:hAnsiTheme="minorHAnsi" w:cstheme="minorHAnsi"/>
                <w:sz w:val="22"/>
                <w:szCs w:val="22"/>
              </w:rPr>
              <w:t>s</w:t>
            </w:r>
            <w:r w:rsidRPr="00270DCF">
              <w:rPr>
                <w:rFonts w:asciiTheme="minorHAnsi" w:hAnsiTheme="minorHAnsi" w:cstheme="minorHAnsi"/>
                <w:sz w:val="22"/>
                <w:szCs w:val="22"/>
              </w:rPr>
              <w:t xml:space="preserve">ing" the role of developing country experts linked to regional organisations, as recommended by this </w:t>
            </w:r>
            <w:r w:rsidR="00270DCF">
              <w:rPr>
                <w:rFonts w:asciiTheme="minorHAnsi" w:hAnsiTheme="minorHAnsi" w:cstheme="minorHAnsi"/>
                <w:sz w:val="22"/>
                <w:szCs w:val="22"/>
              </w:rPr>
              <w:t>E</w:t>
            </w:r>
            <w:r w:rsidRPr="00270DCF">
              <w:rPr>
                <w:rFonts w:asciiTheme="minorHAnsi" w:hAnsiTheme="minorHAnsi" w:cstheme="minorHAnsi"/>
                <w:sz w:val="22"/>
                <w:szCs w:val="22"/>
              </w:rPr>
              <w:t>valuation (as well as the 2019 external STDF evaluation). The membership agreed that the Working Group should further discuss the role and selection criteria for developing country experts to take forward this recommendation.</w:t>
            </w:r>
          </w:p>
        </w:tc>
        <w:tc>
          <w:tcPr>
            <w:tcW w:w="0" w:type="auto"/>
            <w:shd w:val="clear" w:color="auto" w:fill="auto"/>
          </w:tcPr>
          <w:p w14:paraId="0F2DFFBD" w14:textId="380A8FAA" w:rsidR="00D001D6" w:rsidRPr="008A761F" w:rsidRDefault="00D001D6" w:rsidP="00D001D6">
            <w:pPr>
              <w:spacing w:after="160" w:line="259" w:lineRule="auto"/>
              <w:rPr>
                <w:rFonts w:cstheme="minorHAnsi"/>
                <w:sz w:val="24"/>
                <w:szCs w:val="24"/>
              </w:rPr>
            </w:pPr>
            <w:r w:rsidRPr="008A761F">
              <w:rPr>
                <w:rFonts w:cstheme="minorHAnsi"/>
                <w:sz w:val="24"/>
                <w:szCs w:val="24"/>
              </w:rPr>
              <w:t xml:space="preserve">DFAT </w:t>
            </w:r>
            <w:r w:rsidRPr="00270DCF">
              <w:rPr>
                <w:rFonts w:cstheme="minorHAnsi"/>
                <w:b/>
                <w:bCs/>
                <w:sz w:val="24"/>
                <w:szCs w:val="24"/>
              </w:rPr>
              <w:t>agrees</w:t>
            </w:r>
            <w:r w:rsidRPr="008A761F">
              <w:rPr>
                <w:rFonts w:cstheme="minorHAnsi"/>
                <w:sz w:val="24"/>
                <w:szCs w:val="24"/>
              </w:rPr>
              <w:t xml:space="preserve"> with this recommendation. We see value in having DCE nominations from Indo-Pacific countries and small island developing states, who bring unique views and experiences from their work within their countries’ SPS regulatory bodies. We support the recommendation to develop an ongoing role for DCEs when they leave their positions, including to engage them in future PG and PPG development. </w:t>
            </w:r>
          </w:p>
        </w:tc>
        <w:tc>
          <w:tcPr>
            <w:tcW w:w="0" w:type="auto"/>
            <w:shd w:val="clear" w:color="auto" w:fill="auto"/>
          </w:tcPr>
          <w:p w14:paraId="326B47CF" w14:textId="40536089" w:rsidR="00D001D6" w:rsidRPr="008A761F" w:rsidRDefault="00D001D6" w:rsidP="00D001D6">
            <w:pPr>
              <w:pStyle w:val="Default"/>
              <w:rPr>
                <w:rFonts w:asciiTheme="minorHAnsi" w:hAnsiTheme="minorHAnsi" w:cstheme="minorHAnsi"/>
              </w:rPr>
            </w:pPr>
            <w:r w:rsidRPr="008A761F">
              <w:rPr>
                <w:rFonts w:asciiTheme="minorHAnsi" w:hAnsiTheme="minorHAnsi" w:cstheme="minorHAnsi"/>
              </w:rPr>
              <w:t>Implementation through the term of the new STDF Strategy 2025-2030.</w:t>
            </w:r>
          </w:p>
        </w:tc>
      </w:tr>
      <w:tr w:rsidR="00D001D6" w:rsidRPr="008A761F" w14:paraId="40AD3DAF" w14:textId="77777777" w:rsidTr="00FC71CA">
        <w:trPr>
          <w:trHeight w:val="3773"/>
        </w:trPr>
        <w:tc>
          <w:tcPr>
            <w:tcW w:w="2547" w:type="dxa"/>
            <w:shd w:val="clear" w:color="auto" w:fill="auto"/>
          </w:tcPr>
          <w:p w14:paraId="3E14A672" w14:textId="77B2A3A2" w:rsidR="00D001D6" w:rsidRPr="008A761F" w:rsidRDefault="00D001D6" w:rsidP="00D001D6">
            <w:pPr>
              <w:pStyle w:val="ListParagraph"/>
              <w:numPr>
                <w:ilvl w:val="0"/>
                <w:numId w:val="5"/>
              </w:numPr>
              <w:autoSpaceDE w:val="0"/>
              <w:autoSpaceDN w:val="0"/>
              <w:adjustRightInd w:val="0"/>
              <w:rPr>
                <w:rFonts w:cstheme="minorHAnsi"/>
                <w:sz w:val="24"/>
                <w:szCs w:val="24"/>
              </w:rPr>
            </w:pPr>
            <w:r w:rsidRPr="008A761F">
              <w:rPr>
                <w:rFonts w:cstheme="minorHAnsi"/>
                <w:sz w:val="24"/>
                <w:szCs w:val="24"/>
              </w:rPr>
              <w:t>STDF should add either one additional Secretariat staff member or support a secondment programme to supplement the existing capacity of the Secretariat.</w:t>
            </w:r>
          </w:p>
        </w:tc>
        <w:tc>
          <w:tcPr>
            <w:tcW w:w="1134" w:type="dxa"/>
            <w:shd w:val="clear" w:color="auto" w:fill="70AD47" w:themeFill="accent6"/>
          </w:tcPr>
          <w:p w14:paraId="394238E8" w14:textId="7DE2EF1F" w:rsidR="00D001D6" w:rsidRPr="008A761F" w:rsidRDefault="00D001D6" w:rsidP="00D001D6">
            <w:pPr>
              <w:pStyle w:val="Default"/>
              <w:rPr>
                <w:rFonts w:asciiTheme="minorHAnsi" w:hAnsiTheme="minorHAnsi" w:cstheme="minorHAnsi"/>
                <w:b/>
                <w:bCs/>
              </w:rPr>
            </w:pPr>
            <w:r w:rsidRPr="008A761F">
              <w:rPr>
                <w:rFonts w:asciiTheme="minorHAnsi" w:hAnsiTheme="minorHAnsi" w:cstheme="minorHAnsi"/>
                <w:b/>
                <w:bCs/>
              </w:rPr>
              <w:t>Agree</w:t>
            </w:r>
          </w:p>
        </w:tc>
        <w:tc>
          <w:tcPr>
            <w:tcW w:w="4611" w:type="dxa"/>
            <w:shd w:val="clear" w:color="auto" w:fill="auto"/>
          </w:tcPr>
          <w:p w14:paraId="3C8DFFC9" w14:textId="02A2E9AF" w:rsidR="00D001D6" w:rsidRPr="00270DCF" w:rsidRDefault="00D001D6" w:rsidP="00D001D6">
            <w:pPr>
              <w:rPr>
                <w:rFonts w:cstheme="minorHAnsi"/>
              </w:rPr>
            </w:pPr>
            <w:r w:rsidRPr="00270DCF">
              <w:rPr>
                <w:rFonts w:cstheme="minorHAnsi"/>
              </w:rPr>
              <w:t>Members generally supported this recommendation. Some members pointed to opportunities to further improve processes for increased efficiencies. To avoid that additional staffing reduces funding available for projects, consideration may be given to slightly increase STDF's annual target level of funding under the new STDF strategy. There was agreement that in the medium to long-term, secondment programmes (including from STDF donors or academic organisations) could also be considered, recognising that time would be required to set up such programmes.</w:t>
            </w:r>
          </w:p>
        </w:tc>
        <w:tc>
          <w:tcPr>
            <w:tcW w:w="0" w:type="auto"/>
            <w:shd w:val="clear" w:color="auto" w:fill="auto"/>
          </w:tcPr>
          <w:p w14:paraId="2E9AA440" w14:textId="65AEC2DE" w:rsidR="00D001D6" w:rsidRPr="008A761F" w:rsidRDefault="00D001D6" w:rsidP="00D001D6">
            <w:pPr>
              <w:spacing w:after="160" w:line="259" w:lineRule="auto"/>
              <w:rPr>
                <w:rFonts w:cstheme="minorHAnsi"/>
                <w:sz w:val="24"/>
                <w:szCs w:val="24"/>
              </w:rPr>
            </w:pPr>
            <w:r w:rsidRPr="008A761F">
              <w:rPr>
                <w:rFonts w:cstheme="minorHAnsi"/>
                <w:sz w:val="24"/>
                <w:szCs w:val="24"/>
              </w:rPr>
              <w:t xml:space="preserve">DFAT </w:t>
            </w:r>
            <w:r w:rsidR="00270DCF">
              <w:rPr>
                <w:rFonts w:cstheme="minorHAnsi"/>
                <w:b/>
                <w:bCs/>
                <w:sz w:val="24"/>
                <w:szCs w:val="24"/>
              </w:rPr>
              <w:t>agrees</w:t>
            </w:r>
            <w:r w:rsidRPr="008A761F">
              <w:rPr>
                <w:rFonts w:cstheme="minorHAnsi"/>
                <w:b/>
                <w:bCs/>
                <w:sz w:val="24"/>
                <w:szCs w:val="24"/>
              </w:rPr>
              <w:t xml:space="preserve"> </w:t>
            </w:r>
            <w:r w:rsidR="00270DCF" w:rsidRPr="00270DCF">
              <w:rPr>
                <w:rFonts w:cstheme="minorHAnsi"/>
                <w:sz w:val="24"/>
                <w:szCs w:val="24"/>
              </w:rPr>
              <w:t xml:space="preserve">with </w:t>
            </w:r>
            <w:r w:rsidRPr="008A761F">
              <w:rPr>
                <w:rFonts w:cstheme="minorHAnsi"/>
                <w:sz w:val="24"/>
                <w:szCs w:val="24"/>
              </w:rPr>
              <w:t xml:space="preserve">this recommendation. We appreciate the ongoing strong demand for STDF projects and activities as highlighted by the </w:t>
            </w:r>
            <w:r w:rsidR="00270DCF">
              <w:rPr>
                <w:rFonts w:cstheme="minorHAnsi"/>
                <w:sz w:val="24"/>
                <w:szCs w:val="24"/>
              </w:rPr>
              <w:t>E</w:t>
            </w:r>
            <w:r w:rsidRPr="008A761F">
              <w:rPr>
                <w:rFonts w:cstheme="minorHAnsi"/>
                <w:sz w:val="24"/>
                <w:szCs w:val="24"/>
              </w:rPr>
              <w:t xml:space="preserve">valuation and support the STDF expanding its Secretariat capacity to manage programming and resources. </w:t>
            </w:r>
          </w:p>
        </w:tc>
        <w:tc>
          <w:tcPr>
            <w:tcW w:w="0" w:type="auto"/>
            <w:shd w:val="clear" w:color="auto" w:fill="auto"/>
          </w:tcPr>
          <w:p w14:paraId="663CAC5C" w14:textId="7C99E515" w:rsidR="00D001D6" w:rsidRPr="008A761F" w:rsidRDefault="00D001D6" w:rsidP="00D001D6">
            <w:pPr>
              <w:pStyle w:val="Default"/>
              <w:rPr>
                <w:rFonts w:asciiTheme="minorHAnsi" w:hAnsiTheme="minorHAnsi" w:cstheme="minorHAnsi"/>
              </w:rPr>
            </w:pPr>
            <w:r w:rsidRPr="008A761F">
              <w:rPr>
                <w:rFonts w:asciiTheme="minorHAnsi" w:hAnsiTheme="minorHAnsi" w:cstheme="minorHAnsi"/>
              </w:rPr>
              <w:t xml:space="preserve">Implementation through the term of the new STDF Strategy 2025-2030. </w:t>
            </w:r>
          </w:p>
        </w:tc>
      </w:tr>
    </w:tbl>
    <w:p w14:paraId="7CF1ECB2" w14:textId="77777777" w:rsidR="00A5111C" w:rsidRPr="008A761F" w:rsidRDefault="00A5111C" w:rsidP="00FC71CA">
      <w:pPr>
        <w:pStyle w:val="Default"/>
        <w:rPr>
          <w:rFonts w:asciiTheme="minorHAnsi" w:hAnsiTheme="minorHAnsi" w:cstheme="minorHAnsi"/>
        </w:rPr>
      </w:pPr>
    </w:p>
    <w:sectPr w:rsidR="00A5111C" w:rsidRPr="008A761F" w:rsidSect="00FC71CA">
      <w:pgSz w:w="16838" w:h="11906" w:orient="landscape"/>
      <w:pgMar w:top="1134" w:right="1080" w:bottom="1276"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F32B" w14:textId="77777777" w:rsidR="005C6565" w:rsidRDefault="005C6565" w:rsidP="0013465F">
      <w:pPr>
        <w:spacing w:after="0" w:line="240" w:lineRule="auto"/>
      </w:pPr>
      <w:r>
        <w:separator/>
      </w:r>
    </w:p>
  </w:endnote>
  <w:endnote w:type="continuationSeparator" w:id="0">
    <w:p w14:paraId="0C9A335A" w14:textId="77777777" w:rsidR="005C6565" w:rsidRDefault="005C6565" w:rsidP="0013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20007" w14:textId="77777777" w:rsidR="005C6565" w:rsidRDefault="005C6565" w:rsidP="0013465F">
      <w:pPr>
        <w:spacing w:after="0" w:line="240" w:lineRule="auto"/>
      </w:pPr>
      <w:r>
        <w:separator/>
      </w:r>
    </w:p>
  </w:footnote>
  <w:footnote w:type="continuationSeparator" w:id="0">
    <w:p w14:paraId="5F820902" w14:textId="77777777" w:rsidR="005C6565" w:rsidRDefault="005C6565" w:rsidP="0013465F">
      <w:pPr>
        <w:spacing w:after="0" w:line="240" w:lineRule="auto"/>
      </w:pPr>
      <w:r>
        <w:continuationSeparator/>
      </w:r>
    </w:p>
  </w:footnote>
  <w:footnote w:id="1">
    <w:p w14:paraId="7B82A3F6" w14:textId="4F36D395" w:rsidR="00B7600B" w:rsidRDefault="00B7600B">
      <w:pPr>
        <w:pStyle w:val="FootnoteText"/>
      </w:pPr>
      <w:r>
        <w:rPr>
          <w:rStyle w:val="FootnoteReference"/>
        </w:rPr>
        <w:footnoteRef/>
      </w:r>
      <w:r>
        <w:t xml:space="preserve"> STDF Policy Committee Summary Report, 12 June 2024, </w:t>
      </w:r>
      <w:r w:rsidRPr="00B7600B">
        <w:t>https://standardsfacility.org/sites/default/files/Summary_Report_PC_June24_Final.pdf</w:t>
      </w:r>
    </w:p>
  </w:footnote>
  <w:footnote w:id="2">
    <w:p w14:paraId="0FE4EABE" w14:textId="77777777" w:rsidR="00D001D6" w:rsidRDefault="00D001D6">
      <w:pPr>
        <w:pStyle w:val="FootnoteText"/>
      </w:pPr>
      <w:r>
        <w:rPr>
          <w:rStyle w:val="FootnoteReference"/>
        </w:rPr>
        <w:footnoteRef/>
      </w:r>
      <w:r>
        <w:t xml:space="preserve"> STDF Policy Committee Summary Report, 12 June 2024, </w:t>
      </w:r>
      <w:r w:rsidRPr="00B7600B">
        <w:t>https://standardsfacility.org/sites/default/files/Summary_Report_PC_June24_Final.pdf</w:t>
      </w:r>
    </w:p>
  </w:footnote>
  <w:footnote w:id="3">
    <w:p w14:paraId="3D420497" w14:textId="77777777" w:rsidR="00FC71CA" w:rsidRDefault="00FC71CA">
      <w:pPr>
        <w:pStyle w:val="FootnoteText"/>
      </w:pPr>
      <w:r>
        <w:rPr>
          <w:rStyle w:val="FootnoteReference"/>
        </w:rPr>
        <w:footnoteRef/>
      </w:r>
      <w:r>
        <w:t xml:space="preserve"> STDF Policy Committee Summary Report, 12 June 2024, </w:t>
      </w:r>
      <w:r w:rsidRPr="00B7600B">
        <w:t>https://standardsfacility.org/sites/default/files/Summary_Report_PC_June24_Final.pdf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365"/>
    <w:multiLevelType w:val="hybridMultilevel"/>
    <w:tmpl w:val="268C0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9739B7"/>
    <w:multiLevelType w:val="hybridMultilevel"/>
    <w:tmpl w:val="59C07DB2"/>
    <w:lvl w:ilvl="0" w:tplc="8F8A37B4">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856F29"/>
    <w:multiLevelType w:val="hybridMultilevel"/>
    <w:tmpl w:val="79AE8802"/>
    <w:lvl w:ilvl="0" w:tplc="C944B320">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1E4FB8"/>
    <w:multiLevelType w:val="hybridMultilevel"/>
    <w:tmpl w:val="A8C8B1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D674A38"/>
    <w:multiLevelType w:val="hybridMultilevel"/>
    <w:tmpl w:val="2D4E59C8"/>
    <w:lvl w:ilvl="0" w:tplc="A5A6845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8B17CC6"/>
    <w:multiLevelType w:val="hybridMultilevel"/>
    <w:tmpl w:val="49083364"/>
    <w:lvl w:ilvl="0" w:tplc="D41482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068300">
    <w:abstractNumId w:val="5"/>
  </w:num>
  <w:num w:numId="2" w16cid:durableId="2114664976">
    <w:abstractNumId w:val="0"/>
  </w:num>
  <w:num w:numId="3" w16cid:durableId="1722748892">
    <w:abstractNumId w:val="2"/>
  </w:num>
  <w:num w:numId="4" w16cid:durableId="1860509648">
    <w:abstractNumId w:val="1"/>
  </w:num>
  <w:num w:numId="5" w16cid:durableId="279382301">
    <w:abstractNumId w:val="3"/>
  </w:num>
  <w:num w:numId="6" w16cid:durableId="1389912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C8"/>
    <w:rsid w:val="0000356E"/>
    <w:rsid w:val="00003BBF"/>
    <w:rsid w:val="00036126"/>
    <w:rsid w:val="0003701E"/>
    <w:rsid w:val="0003751B"/>
    <w:rsid w:val="000456E7"/>
    <w:rsid w:val="00057F26"/>
    <w:rsid w:val="00062387"/>
    <w:rsid w:val="00066096"/>
    <w:rsid w:val="00072E35"/>
    <w:rsid w:val="000752ED"/>
    <w:rsid w:val="00077F09"/>
    <w:rsid w:val="000831B3"/>
    <w:rsid w:val="00097959"/>
    <w:rsid w:val="000A50B3"/>
    <w:rsid w:val="000C0468"/>
    <w:rsid w:val="000C1CC8"/>
    <w:rsid w:val="000C7F7B"/>
    <w:rsid w:val="000D09AF"/>
    <w:rsid w:val="000D4743"/>
    <w:rsid w:val="00100CA7"/>
    <w:rsid w:val="0013465F"/>
    <w:rsid w:val="0013496F"/>
    <w:rsid w:val="0013601F"/>
    <w:rsid w:val="00155C08"/>
    <w:rsid w:val="0015764E"/>
    <w:rsid w:val="00166427"/>
    <w:rsid w:val="00174B3E"/>
    <w:rsid w:val="001752AB"/>
    <w:rsid w:val="00175BDC"/>
    <w:rsid w:val="00176116"/>
    <w:rsid w:val="001803D3"/>
    <w:rsid w:val="00183951"/>
    <w:rsid w:val="00191A71"/>
    <w:rsid w:val="001A114D"/>
    <w:rsid w:val="001B16DE"/>
    <w:rsid w:val="001D40B9"/>
    <w:rsid w:val="001E689F"/>
    <w:rsid w:val="002005D0"/>
    <w:rsid w:val="00205CDF"/>
    <w:rsid w:val="00246A78"/>
    <w:rsid w:val="00257889"/>
    <w:rsid w:val="00270BFC"/>
    <w:rsid w:val="00270DCF"/>
    <w:rsid w:val="002722FA"/>
    <w:rsid w:val="00297FEF"/>
    <w:rsid w:val="002A27FC"/>
    <w:rsid w:val="002B51C2"/>
    <w:rsid w:val="002B6A62"/>
    <w:rsid w:val="002C7863"/>
    <w:rsid w:val="002E6F5C"/>
    <w:rsid w:val="002F32AF"/>
    <w:rsid w:val="00300F5C"/>
    <w:rsid w:val="003454A9"/>
    <w:rsid w:val="003472C6"/>
    <w:rsid w:val="003477E6"/>
    <w:rsid w:val="0036335C"/>
    <w:rsid w:val="00387222"/>
    <w:rsid w:val="003A3404"/>
    <w:rsid w:val="003B1042"/>
    <w:rsid w:val="003B7315"/>
    <w:rsid w:val="003C2384"/>
    <w:rsid w:val="003C4A34"/>
    <w:rsid w:val="003E4B9E"/>
    <w:rsid w:val="003E605C"/>
    <w:rsid w:val="003F5C7B"/>
    <w:rsid w:val="003F6F54"/>
    <w:rsid w:val="00401B8D"/>
    <w:rsid w:val="004025A5"/>
    <w:rsid w:val="00411985"/>
    <w:rsid w:val="00413230"/>
    <w:rsid w:val="00413D24"/>
    <w:rsid w:val="004339DE"/>
    <w:rsid w:val="004356B9"/>
    <w:rsid w:val="00437A81"/>
    <w:rsid w:val="004431A0"/>
    <w:rsid w:val="00447602"/>
    <w:rsid w:val="0045500F"/>
    <w:rsid w:val="004553AB"/>
    <w:rsid w:val="00456E4C"/>
    <w:rsid w:val="00466D68"/>
    <w:rsid w:val="0048141F"/>
    <w:rsid w:val="00482687"/>
    <w:rsid w:val="00484A56"/>
    <w:rsid w:val="004961E6"/>
    <w:rsid w:val="004A4F2D"/>
    <w:rsid w:val="004A6EFB"/>
    <w:rsid w:val="004B696C"/>
    <w:rsid w:val="004C1243"/>
    <w:rsid w:val="004C64D1"/>
    <w:rsid w:val="004C7037"/>
    <w:rsid w:val="004D6112"/>
    <w:rsid w:val="004E64C4"/>
    <w:rsid w:val="005143CA"/>
    <w:rsid w:val="005178EB"/>
    <w:rsid w:val="00522C5C"/>
    <w:rsid w:val="0052378B"/>
    <w:rsid w:val="005337BE"/>
    <w:rsid w:val="00533840"/>
    <w:rsid w:val="005455AA"/>
    <w:rsid w:val="0055354D"/>
    <w:rsid w:val="00560C2C"/>
    <w:rsid w:val="00565F99"/>
    <w:rsid w:val="00567254"/>
    <w:rsid w:val="00585697"/>
    <w:rsid w:val="0059137C"/>
    <w:rsid w:val="005937FA"/>
    <w:rsid w:val="005B19BD"/>
    <w:rsid w:val="005B7682"/>
    <w:rsid w:val="005C1EF6"/>
    <w:rsid w:val="005C5E60"/>
    <w:rsid w:val="005C6565"/>
    <w:rsid w:val="005D2E86"/>
    <w:rsid w:val="00616889"/>
    <w:rsid w:val="00627926"/>
    <w:rsid w:val="0063371B"/>
    <w:rsid w:val="006503FD"/>
    <w:rsid w:val="00663ABF"/>
    <w:rsid w:val="0066733B"/>
    <w:rsid w:val="006726A0"/>
    <w:rsid w:val="006755BE"/>
    <w:rsid w:val="00685DDE"/>
    <w:rsid w:val="006A1823"/>
    <w:rsid w:val="006A4E5F"/>
    <w:rsid w:val="006B6CE3"/>
    <w:rsid w:val="006C162C"/>
    <w:rsid w:val="006C1C1E"/>
    <w:rsid w:val="006D1C45"/>
    <w:rsid w:val="006D371C"/>
    <w:rsid w:val="006E3F08"/>
    <w:rsid w:val="006F5E55"/>
    <w:rsid w:val="007125EC"/>
    <w:rsid w:val="0072559F"/>
    <w:rsid w:val="007278BE"/>
    <w:rsid w:val="00727903"/>
    <w:rsid w:val="00732D01"/>
    <w:rsid w:val="0075238A"/>
    <w:rsid w:val="007A38F5"/>
    <w:rsid w:val="007B2936"/>
    <w:rsid w:val="007C5F85"/>
    <w:rsid w:val="007C7FE6"/>
    <w:rsid w:val="007D05F7"/>
    <w:rsid w:val="007D68AE"/>
    <w:rsid w:val="007E6100"/>
    <w:rsid w:val="007E693A"/>
    <w:rsid w:val="007F509B"/>
    <w:rsid w:val="008133D1"/>
    <w:rsid w:val="00817385"/>
    <w:rsid w:val="00820E36"/>
    <w:rsid w:val="00832A87"/>
    <w:rsid w:val="00842EC7"/>
    <w:rsid w:val="00847E50"/>
    <w:rsid w:val="00850F51"/>
    <w:rsid w:val="00856326"/>
    <w:rsid w:val="00866540"/>
    <w:rsid w:val="00883261"/>
    <w:rsid w:val="008873CA"/>
    <w:rsid w:val="0089664A"/>
    <w:rsid w:val="008A22D5"/>
    <w:rsid w:val="008A761F"/>
    <w:rsid w:val="008B5D66"/>
    <w:rsid w:val="008D3025"/>
    <w:rsid w:val="008D38BB"/>
    <w:rsid w:val="008E176E"/>
    <w:rsid w:val="008E7BCE"/>
    <w:rsid w:val="008F07AE"/>
    <w:rsid w:val="00902E59"/>
    <w:rsid w:val="00910CDC"/>
    <w:rsid w:val="009118E2"/>
    <w:rsid w:val="00915953"/>
    <w:rsid w:val="009335F1"/>
    <w:rsid w:val="0093543D"/>
    <w:rsid w:val="009444B5"/>
    <w:rsid w:val="00946B29"/>
    <w:rsid w:val="00967256"/>
    <w:rsid w:val="00973808"/>
    <w:rsid w:val="00975FE3"/>
    <w:rsid w:val="009A579C"/>
    <w:rsid w:val="009B31A7"/>
    <w:rsid w:val="009B58CD"/>
    <w:rsid w:val="009B7E25"/>
    <w:rsid w:val="009D34E3"/>
    <w:rsid w:val="009D4FFD"/>
    <w:rsid w:val="009D6FAE"/>
    <w:rsid w:val="009E0EFF"/>
    <w:rsid w:val="009F6207"/>
    <w:rsid w:val="009F6CDB"/>
    <w:rsid w:val="00A019E0"/>
    <w:rsid w:val="00A060F7"/>
    <w:rsid w:val="00A100C4"/>
    <w:rsid w:val="00A3673A"/>
    <w:rsid w:val="00A3700A"/>
    <w:rsid w:val="00A5111C"/>
    <w:rsid w:val="00A63124"/>
    <w:rsid w:val="00A6327F"/>
    <w:rsid w:val="00A641C1"/>
    <w:rsid w:val="00A7178F"/>
    <w:rsid w:val="00A75E5B"/>
    <w:rsid w:val="00A81345"/>
    <w:rsid w:val="00A830BC"/>
    <w:rsid w:val="00A928D3"/>
    <w:rsid w:val="00A9474E"/>
    <w:rsid w:val="00AB57ED"/>
    <w:rsid w:val="00AC0C4F"/>
    <w:rsid w:val="00AD1C8E"/>
    <w:rsid w:val="00AD62C8"/>
    <w:rsid w:val="00AD7887"/>
    <w:rsid w:val="00AE5F4D"/>
    <w:rsid w:val="00AE6BDF"/>
    <w:rsid w:val="00AF5214"/>
    <w:rsid w:val="00B32907"/>
    <w:rsid w:val="00B33F3A"/>
    <w:rsid w:val="00B4717F"/>
    <w:rsid w:val="00B6333C"/>
    <w:rsid w:val="00B67712"/>
    <w:rsid w:val="00B72130"/>
    <w:rsid w:val="00B725D1"/>
    <w:rsid w:val="00B7600B"/>
    <w:rsid w:val="00B94F25"/>
    <w:rsid w:val="00BA40C9"/>
    <w:rsid w:val="00BC5961"/>
    <w:rsid w:val="00BF5820"/>
    <w:rsid w:val="00C13247"/>
    <w:rsid w:val="00C13F36"/>
    <w:rsid w:val="00C15B49"/>
    <w:rsid w:val="00C17B62"/>
    <w:rsid w:val="00C27943"/>
    <w:rsid w:val="00C27985"/>
    <w:rsid w:val="00C3603F"/>
    <w:rsid w:val="00C414D5"/>
    <w:rsid w:val="00C41C81"/>
    <w:rsid w:val="00C43DED"/>
    <w:rsid w:val="00C5119D"/>
    <w:rsid w:val="00C64FD8"/>
    <w:rsid w:val="00C72562"/>
    <w:rsid w:val="00CB2E78"/>
    <w:rsid w:val="00CC5389"/>
    <w:rsid w:val="00CC74A6"/>
    <w:rsid w:val="00CC7F12"/>
    <w:rsid w:val="00CE114F"/>
    <w:rsid w:val="00D001D6"/>
    <w:rsid w:val="00D0041A"/>
    <w:rsid w:val="00D26DC8"/>
    <w:rsid w:val="00D2761C"/>
    <w:rsid w:val="00D33D50"/>
    <w:rsid w:val="00D512ED"/>
    <w:rsid w:val="00D633E3"/>
    <w:rsid w:val="00D638AA"/>
    <w:rsid w:val="00D63BD7"/>
    <w:rsid w:val="00D72E17"/>
    <w:rsid w:val="00D72FA2"/>
    <w:rsid w:val="00D87BFA"/>
    <w:rsid w:val="00DA6E82"/>
    <w:rsid w:val="00DD20AB"/>
    <w:rsid w:val="00DE2FEE"/>
    <w:rsid w:val="00DE4890"/>
    <w:rsid w:val="00DE4974"/>
    <w:rsid w:val="00DF25F5"/>
    <w:rsid w:val="00E1257B"/>
    <w:rsid w:val="00E1263C"/>
    <w:rsid w:val="00E1474D"/>
    <w:rsid w:val="00E17FDC"/>
    <w:rsid w:val="00E30971"/>
    <w:rsid w:val="00E31D23"/>
    <w:rsid w:val="00E43A8C"/>
    <w:rsid w:val="00E44B88"/>
    <w:rsid w:val="00E54722"/>
    <w:rsid w:val="00E76E3F"/>
    <w:rsid w:val="00E80C2F"/>
    <w:rsid w:val="00E93356"/>
    <w:rsid w:val="00EB76D5"/>
    <w:rsid w:val="00EC0140"/>
    <w:rsid w:val="00EC09AE"/>
    <w:rsid w:val="00EC1416"/>
    <w:rsid w:val="00EC3429"/>
    <w:rsid w:val="00EC7F69"/>
    <w:rsid w:val="00ED06F1"/>
    <w:rsid w:val="00ED6448"/>
    <w:rsid w:val="00EE0617"/>
    <w:rsid w:val="00EE1A5A"/>
    <w:rsid w:val="00EE325F"/>
    <w:rsid w:val="00EE79BD"/>
    <w:rsid w:val="00F11BB2"/>
    <w:rsid w:val="00F609EC"/>
    <w:rsid w:val="00F76685"/>
    <w:rsid w:val="00F95023"/>
    <w:rsid w:val="00F96079"/>
    <w:rsid w:val="00F97717"/>
    <w:rsid w:val="00FA55EC"/>
    <w:rsid w:val="00FB2FA0"/>
    <w:rsid w:val="00FB4183"/>
    <w:rsid w:val="00FC71CA"/>
    <w:rsid w:val="00FD18C9"/>
    <w:rsid w:val="00FD6EFF"/>
    <w:rsid w:val="00FE1977"/>
    <w:rsid w:val="00FE3099"/>
    <w:rsid w:val="00FE6A3D"/>
    <w:rsid w:val="00FF70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45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1CA"/>
    <w:pPr>
      <w:outlineLvl w:val="0"/>
    </w:pPr>
    <w:rPr>
      <w:rFonts w:cstheme="minorHAnsi"/>
      <w:b/>
      <w:bCs/>
      <w:sz w:val="24"/>
      <w:szCs w:val="24"/>
    </w:rPr>
  </w:style>
  <w:style w:type="paragraph" w:styleId="Heading2">
    <w:name w:val="heading 2"/>
    <w:basedOn w:val="Default"/>
    <w:next w:val="Normal"/>
    <w:link w:val="Heading2Char"/>
    <w:uiPriority w:val="9"/>
    <w:unhideWhenUsed/>
    <w:qFormat/>
    <w:rsid w:val="00FC71CA"/>
    <w:pPr>
      <w:outlineLvl w:val="1"/>
    </w:pPr>
    <w:rPr>
      <w:rFonts w:asciiTheme="minorHAnsi" w:hAnsiTheme="minorHAnsi"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2C8"/>
    <w:pPr>
      <w:ind w:left="720"/>
      <w:contextualSpacing/>
    </w:pPr>
  </w:style>
  <w:style w:type="paragraph" w:styleId="NoSpacing">
    <w:name w:val="No Spacing"/>
    <w:uiPriority w:val="1"/>
    <w:qFormat/>
    <w:rsid w:val="002E6F5C"/>
    <w:pPr>
      <w:spacing w:after="0" w:line="240" w:lineRule="auto"/>
    </w:pPr>
  </w:style>
  <w:style w:type="paragraph" w:customStyle="1" w:styleId="Default">
    <w:name w:val="Default"/>
    <w:rsid w:val="00D512E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C5F85"/>
    <w:rPr>
      <w:sz w:val="16"/>
      <w:szCs w:val="16"/>
    </w:rPr>
  </w:style>
  <w:style w:type="paragraph" w:styleId="CommentText">
    <w:name w:val="annotation text"/>
    <w:basedOn w:val="Normal"/>
    <w:link w:val="CommentTextChar"/>
    <w:uiPriority w:val="99"/>
    <w:unhideWhenUsed/>
    <w:rsid w:val="007C5F85"/>
    <w:pPr>
      <w:spacing w:before="120" w:after="0" w:line="240" w:lineRule="auto"/>
    </w:pPr>
    <w:rPr>
      <w:rFonts w:ascii="Calibri" w:eastAsia="Times New Roman" w:hAnsi="Calibri" w:cs="Times New Roman"/>
      <w:sz w:val="20"/>
      <w:szCs w:val="20"/>
      <w:lang w:val="en-CA"/>
    </w:rPr>
  </w:style>
  <w:style w:type="character" w:customStyle="1" w:styleId="CommentTextChar">
    <w:name w:val="Comment Text Char"/>
    <w:basedOn w:val="DefaultParagraphFont"/>
    <w:link w:val="CommentText"/>
    <w:uiPriority w:val="99"/>
    <w:rsid w:val="007C5F85"/>
    <w:rPr>
      <w:rFonts w:ascii="Calibri" w:eastAsia="Times New Roman" w:hAnsi="Calibri" w:cs="Times New Roman"/>
      <w:sz w:val="20"/>
      <w:szCs w:val="20"/>
      <w:lang w:val="en-CA"/>
    </w:rPr>
  </w:style>
  <w:style w:type="table" w:styleId="TableGrid">
    <w:name w:val="Table Grid"/>
    <w:basedOn w:val="TableNormal"/>
    <w:uiPriority w:val="39"/>
    <w:rsid w:val="00A5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830BC"/>
    <w:pPr>
      <w:spacing w:before="0" w:after="16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A830BC"/>
    <w:rPr>
      <w:rFonts w:ascii="Calibri" w:eastAsia="Times New Roman" w:hAnsi="Calibri" w:cs="Times New Roman"/>
      <w:b/>
      <w:bCs/>
      <w:sz w:val="20"/>
      <w:szCs w:val="20"/>
      <w:lang w:val="en-CA"/>
    </w:rPr>
  </w:style>
  <w:style w:type="character" w:customStyle="1" w:styleId="Heading1Char">
    <w:name w:val="Heading 1 Char"/>
    <w:basedOn w:val="DefaultParagraphFont"/>
    <w:link w:val="Heading1"/>
    <w:uiPriority w:val="9"/>
    <w:rsid w:val="00FC71CA"/>
    <w:rPr>
      <w:rFonts w:cstheme="minorHAnsi"/>
      <w:b/>
      <w:bCs/>
      <w:sz w:val="24"/>
      <w:szCs w:val="24"/>
    </w:rPr>
  </w:style>
  <w:style w:type="paragraph" w:styleId="Header">
    <w:name w:val="header"/>
    <w:basedOn w:val="Normal"/>
    <w:link w:val="HeaderChar"/>
    <w:uiPriority w:val="99"/>
    <w:unhideWhenUsed/>
    <w:rsid w:val="00FB4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183"/>
  </w:style>
  <w:style w:type="paragraph" w:styleId="Footer">
    <w:name w:val="footer"/>
    <w:basedOn w:val="Normal"/>
    <w:link w:val="FooterChar"/>
    <w:uiPriority w:val="99"/>
    <w:unhideWhenUsed/>
    <w:rsid w:val="00FB4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183"/>
  </w:style>
  <w:style w:type="paragraph" w:styleId="Revision">
    <w:name w:val="Revision"/>
    <w:hidden/>
    <w:uiPriority w:val="99"/>
    <w:semiHidden/>
    <w:rsid w:val="002C7863"/>
    <w:pPr>
      <w:spacing w:after="0" w:line="240" w:lineRule="auto"/>
    </w:pPr>
  </w:style>
  <w:style w:type="paragraph" w:styleId="FootnoteText">
    <w:name w:val="footnote text"/>
    <w:basedOn w:val="Normal"/>
    <w:link w:val="FootnoteTextChar"/>
    <w:uiPriority w:val="99"/>
    <w:semiHidden/>
    <w:unhideWhenUsed/>
    <w:rsid w:val="00B760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600B"/>
    <w:rPr>
      <w:sz w:val="20"/>
      <w:szCs w:val="20"/>
    </w:rPr>
  </w:style>
  <w:style w:type="character" w:styleId="FootnoteReference">
    <w:name w:val="footnote reference"/>
    <w:basedOn w:val="DefaultParagraphFont"/>
    <w:uiPriority w:val="99"/>
    <w:semiHidden/>
    <w:unhideWhenUsed/>
    <w:rsid w:val="00B7600B"/>
    <w:rPr>
      <w:vertAlign w:val="superscript"/>
    </w:rPr>
  </w:style>
  <w:style w:type="character" w:customStyle="1" w:styleId="Heading2Char">
    <w:name w:val="Heading 2 Char"/>
    <w:basedOn w:val="DefaultParagraphFont"/>
    <w:link w:val="Heading2"/>
    <w:uiPriority w:val="9"/>
    <w:rsid w:val="00FC71CA"/>
    <w:rPr>
      <w:rFonts w:cstheme="minorHAnsi"/>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1302">
      <w:bodyDiv w:val="1"/>
      <w:marLeft w:val="0"/>
      <w:marRight w:val="0"/>
      <w:marTop w:val="0"/>
      <w:marBottom w:val="0"/>
      <w:divBdr>
        <w:top w:val="none" w:sz="0" w:space="0" w:color="auto"/>
        <w:left w:val="none" w:sz="0" w:space="0" w:color="auto"/>
        <w:bottom w:val="none" w:sz="0" w:space="0" w:color="auto"/>
        <w:right w:val="none" w:sz="0" w:space="0" w:color="auto"/>
      </w:divBdr>
    </w:div>
    <w:div w:id="476534030">
      <w:bodyDiv w:val="1"/>
      <w:marLeft w:val="0"/>
      <w:marRight w:val="0"/>
      <w:marTop w:val="0"/>
      <w:marBottom w:val="0"/>
      <w:divBdr>
        <w:top w:val="none" w:sz="0" w:space="0" w:color="auto"/>
        <w:left w:val="none" w:sz="0" w:space="0" w:color="auto"/>
        <w:bottom w:val="none" w:sz="0" w:space="0" w:color="auto"/>
        <w:right w:val="none" w:sz="0" w:space="0" w:color="auto"/>
      </w:divBdr>
    </w:div>
    <w:div w:id="852494379">
      <w:bodyDiv w:val="1"/>
      <w:marLeft w:val="0"/>
      <w:marRight w:val="0"/>
      <w:marTop w:val="0"/>
      <w:marBottom w:val="0"/>
      <w:divBdr>
        <w:top w:val="none" w:sz="0" w:space="0" w:color="auto"/>
        <w:left w:val="none" w:sz="0" w:space="0" w:color="auto"/>
        <w:bottom w:val="none" w:sz="0" w:space="0" w:color="auto"/>
        <w:right w:val="none" w:sz="0" w:space="0" w:color="auto"/>
      </w:divBdr>
    </w:div>
    <w:div w:id="1139567002">
      <w:bodyDiv w:val="1"/>
      <w:marLeft w:val="0"/>
      <w:marRight w:val="0"/>
      <w:marTop w:val="0"/>
      <w:marBottom w:val="0"/>
      <w:divBdr>
        <w:top w:val="none" w:sz="0" w:space="0" w:color="auto"/>
        <w:left w:val="none" w:sz="0" w:space="0" w:color="auto"/>
        <w:bottom w:val="none" w:sz="0" w:space="0" w:color="auto"/>
        <w:right w:val="none" w:sz="0" w:space="0" w:color="auto"/>
      </w:divBdr>
    </w:div>
    <w:div w:id="1207066272">
      <w:bodyDiv w:val="1"/>
      <w:marLeft w:val="0"/>
      <w:marRight w:val="0"/>
      <w:marTop w:val="0"/>
      <w:marBottom w:val="0"/>
      <w:divBdr>
        <w:top w:val="none" w:sz="0" w:space="0" w:color="auto"/>
        <w:left w:val="none" w:sz="0" w:space="0" w:color="auto"/>
        <w:bottom w:val="none" w:sz="0" w:space="0" w:color="auto"/>
        <w:right w:val="none" w:sz="0" w:space="0" w:color="auto"/>
      </w:divBdr>
    </w:div>
    <w:div w:id="1237788571">
      <w:bodyDiv w:val="1"/>
      <w:marLeft w:val="0"/>
      <w:marRight w:val="0"/>
      <w:marTop w:val="0"/>
      <w:marBottom w:val="0"/>
      <w:divBdr>
        <w:top w:val="none" w:sz="0" w:space="0" w:color="auto"/>
        <w:left w:val="none" w:sz="0" w:space="0" w:color="auto"/>
        <w:bottom w:val="none" w:sz="0" w:space="0" w:color="auto"/>
        <w:right w:val="none" w:sz="0" w:space="0" w:color="auto"/>
      </w:divBdr>
    </w:div>
    <w:div w:id="1567493093">
      <w:bodyDiv w:val="1"/>
      <w:marLeft w:val="0"/>
      <w:marRight w:val="0"/>
      <w:marTop w:val="0"/>
      <w:marBottom w:val="0"/>
      <w:divBdr>
        <w:top w:val="none" w:sz="0" w:space="0" w:color="auto"/>
        <w:left w:val="none" w:sz="0" w:space="0" w:color="auto"/>
        <w:bottom w:val="none" w:sz="0" w:space="0" w:color="auto"/>
        <w:right w:val="none" w:sz="0" w:space="0" w:color="auto"/>
      </w:divBdr>
    </w:div>
    <w:div w:id="1719091298">
      <w:bodyDiv w:val="1"/>
      <w:marLeft w:val="0"/>
      <w:marRight w:val="0"/>
      <w:marTop w:val="0"/>
      <w:marBottom w:val="0"/>
      <w:divBdr>
        <w:top w:val="none" w:sz="0" w:space="0" w:color="auto"/>
        <w:left w:val="none" w:sz="0" w:space="0" w:color="auto"/>
        <w:bottom w:val="none" w:sz="0" w:space="0" w:color="auto"/>
        <w:right w:val="none" w:sz="0" w:space="0" w:color="auto"/>
      </w:divBdr>
    </w:div>
    <w:div w:id="190363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5" ma:contentTypeDescription="Create a new document." ma:contentTypeScope="" ma:versionID="4642d1b8729fe8b25443e44c58834faf">
  <xsd:schema xmlns:xsd="http://www.w3.org/2001/XMLSchema" xmlns:xs="http://www.w3.org/2001/XMLSchema" xmlns:p="http://schemas.microsoft.com/office/2006/metadata/properties" xmlns:ns2="de1d7913-2b48-4fb4-9e5c-239c7c65333c" xmlns:ns3="fd553ead-1a80-496c-9811-84850591db5e" targetNamespace="http://schemas.microsoft.com/office/2006/metadata/properties" ma:root="true" ma:fieldsID="24459f9211c81bffff0e727d548c52ad" ns2:_="" ns3:_="">
    <xsd:import namespace="de1d7913-2b48-4fb4-9e5c-239c7c65333c"/>
    <xsd:import namespace="fd553ead-1a80-496c-9811-84850591db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bjectDetectorVersion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876ec8e-0afa-4765-97fd-fa6380cbc3f9}"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C4D2AA-B170-46D8-B591-2DB536427456}">
  <ds:schemaRefs>
    <ds:schemaRef ds:uri="http://schemas.microsoft.com/sharepoint/v3/contenttype/forms"/>
  </ds:schemaRefs>
</ds:datastoreItem>
</file>

<file path=customXml/itemProps2.xml><?xml version="1.0" encoding="utf-8"?>
<ds:datastoreItem xmlns:ds="http://schemas.openxmlformats.org/officeDocument/2006/customXml" ds:itemID="{C5F564A6-70B6-4F94-AE70-F092B9957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d7913-2b48-4fb4-9e5c-239c7c65333c"/>
    <ds:schemaRef ds:uri="fd553ead-1a80-496c-9811-84850591d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CEA74-7268-4930-BFBA-C24BC93CF527}">
  <ds:schemaRefs>
    <ds:schemaRef ds:uri="http://schemas.openxmlformats.org/officeDocument/2006/bibliography"/>
  </ds:schemaRefs>
</ds:datastoreItem>
</file>

<file path=customXml/itemProps4.xml><?xml version="1.0" encoding="utf-8"?>
<ds:datastoreItem xmlns:ds="http://schemas.openxmlformats.org/officeDocument/2006/customXml" ds:itemID="{E9594BB0-6D55-4DF0-ACB7-3E5527D5FF75}">
  <ds:schemaRefs>
    <ds:schemaRef ds:uri="fd553ead-1a80-496c-9811-84850591db5e"/>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de1d7913-2b48-4fb4-9e5c-239c7c65333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1565</Words>
  <Characters>9292</Characters>
  <Application>Microsoft Office Word</Application>
  <DocSecurity>4</DocSecurity>
  <Lines>280</Lines>
  <Paragraphs>58</Paragraphs>
  <ScaleCrop>false</ScaleCrop>
  <HeadingPairs>
    <vt:vector size="2" baseType="variant">
      <vt:variant>
        <vt:lpstr>Title</vt:lpstr>
      </vt:variant>
      <vt:variant>
        <vt:i4>1</vt:i4>
      </vt:variant>
    </vt:vector>
  </HeadingPairs>
  <TitlesOfParts>
    <vt:vector size="1" baseType="lpstr">
      <vt:lpstr>DFAT Management Response to Partner-led Independent Evaluation</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to Standards and Trade Development Facility’s external evaluation</dc:title>
  <dc:subject/>
  <dc:creator/>
  <cp:keywords>[SEC=OFFICIAL]</cp:keywords>
  <dc:description/>
  <cp:lastModifiedBy/>
  <cp:revision>1</cp:revision>
  <dcterms:created xsi:type="dcterms:W3CDTF">2024-09-06T06:43:00Z</dcterms:created>
  <dcterms:modified xsi:type="dcterms:W3CDTF">2024-09-06T06:43:00Z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v=2022.1;a=SHA256;h=B5EFAAE5CFC9169C0DB61DE7A3881B0988E1E00B9F4386ABF7298FF69BEFD883</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2024-07-10T04:01:29Z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18399C60AA0A461D855BCB8983CC5B70</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91A95A9E55FC52CDD61EE05A18E069A3</vt:lpwstr>
  </property>
  <property fmtid="{D5CDD505-2E9C-101B-9397-08002B2CF9AE}" pid="25" name="PM_Hash_Salt">
    <vt:lpwstr>E9AD6340760F13DC82CC4B0ABECBB9F6</vt:lpwstr>
  </property>
  <property fmtid="{D5CDD505-2E9C-101B-9397-08002B2CF9AE}" pid="26" name="PM_Hash_SHA1">
    <vt:lpwstr>493569E9DF7841CDF9701869E7C2230007C1D782</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0x010100A1DDFAC6AB8B644A99DC8F89F51DDD4D</vt:lpwstr>
  </property>
  <property fmtid="{D5CDD505-2E9C-101B-9397-08002B2CF9AE}" pid="30" name="MediaServiceImageTags">
    <vt:lpwstr/>
  </property>
</Properties>
</file>