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216C8" w14:textId="527B5142" w:rsidR="0040000C" w:rsidRPr="00973E5A" w:rsidRDefault="00117FAF">
      <w:pPr>
        <w:rPr>
          <w:b/>
          <w:bCs/>
        </w:rPr>
      </w:pPr>
      <w:r w:rsidRPr="00973E5A">
        <w:rPr>
          <w:b/>
          <w:bCs/>
        </w:rPr>
        <w:t>Management response ALMA -learning evaluation</w:t>
      </w:r>
    </w:p>
    <w:p w14:paraId="2EBACB1D" w14:textId="708C880E" w:rsidR="00D41623" w:rsidRDefault="00D41623" w:rsidP="00D41623">
      <w:pPr>
        <w:pStyle w:val="NormalWeb"/>
        <w:spacing w:line="300" w:lineRule="atLeast"/>
        <w:rPr>
          <w:rFonts w:ascii="Segoe UI" w:hAnsi="Segoe UI" w:cs="Segoe UI"/>
          <w:sz w:val="21"/>
          <w:szCs w:val="21"/>
        </w:rPr>
      </w:pPr>
      <w:r>
        <w:rPr>
          <w:rFonts w:ascii="Segoe UI" w:hAnsi="Segoe UI" w:cs="Segoe UI"/>
          <w:sz w:val="21"/>
          <w:szCs w:val="21"/>
        </w:rPr>
        <w:t>This document presents DFAT’s management response to the independent evaluation of Australia’s support to the ALMA (</w:t>
      </w:r>
      <w:proofErr w:type="spellStart"/>
      <w:r>
        <w:rPr>
          <w:rStyle w:val="Emphasis"/>
          <w:rFonts w:ascii="Segoe UI" w:eastAsiaTheme="majorEastAsia" w:hAnsi="Segoe UI" w:cs="Segoe UI"/>
          <w:sz w:val="21"/>
          <w:szCs w:val="21"/>
        </w:rPr>
        <w:t>Apoiu</w:t>
      </w:r>
      <w:proofErr w:type="spellEnd"/>
      <w:r>
        <w:rPr>
          <w:rStyle w:val="Emphasis"/>
          <w:rFonts w:ascii="Segoe UI" w:eastAsiaTheme="majorEastAsia" w:hAnsi="Segoe UI" w:cs="Segoe UI"/>
          <w:sz w:val="21"/>
          <w:szCs w:val="21"/>
        </w:rPr>
        <w:t xml:space="preserve"> </w:t>
      </w:r>
      <w:proofErr w:type="spellStart"/>
      <w:r>
        <w:rPr>
          <w:rStyle w:val="Emphasis"/>
          <w:rFonts w:ascii="Segoe UI" w:eastAsiaTheme="majorEastAsia" w:hAnsi="Segoe UI" w:cs="Segoe UI"/>
          <w:sz w:val="21"/>
          <w:szCs w:val="21"/>
        </w:rPr>
        <w:t>ba</w:t>
      </w:r>
      <w:proofErr w:type="spellEnd"/>
      <w:r>
        <w:rPr>
          <w:rStyle w:val="Emphasis"/>
          <w:rFonts w:ascii="Segoe UI" w:eastAsiaTheme="majorEastAsia" w:hAnsi="Segoe UI" w:cs="Segoe UI"/>
          <w:sz w:val="21"/>
          <w:szCs w:val="21"/>
        </w:rPr>
        <w:t xml:space="preserve"> </w:t>
      </w:r>
      <w:proofErr w:type="spellStart"/>
      <w:r>
        <w:rPr>
          <w:rStyle w:val="Emphasis"/>
          <w:rFonts w:ascii="Segoe UI" w:eastAsiaTheme="majorEastAsia" w:hAnsi="Segoe UI" w:cs="Segoe UI"/>
          <w:sz w:val="21"/>
          <w:szCs w:val="21"/>
        </w:rPr>
        <w:t>Lideransa</w:t>
      </w:r>
      <w:proofErr w:type="spellEnd"/>
      <w:r>
        <w:rPr>
          <w:rStyle w:val="Emphasis"/>
          <w:rFonts w:ascii="Segoe UI" w:eastAsiaTheme="majorEastAsia" w:hAnsi="Segoe UI" w:cs="Segoe UI"/>
          <w:sz w:val="21"/>
          <w:szCs w:val="21"/>
        </w:rPr>
        <w:t xml:space="preserve">, Mentoria no </w:t>
      </w:r>
      <w:proofErr w:type="spellStart"/>
      <w:r>
        <w:rPr>
          <w:rStyle w:val="Emphasis"/>
          <w:rFonts w:ascii="Segoe UI" w:eastAsiaTheme="majorEastAsia" w:hAnsi="Segoe UI" w:cs="Segoe UI"/>
          <w:sz w:val="21"/>
          <w:szCs w:val="21"/>
        </w:rPr>
        <w:t>Aprendizajen</w:t>
      </w:r>
      <w:proofErr w:type="spellEnd"/>
      <w:r>
        <w:rPr>
          <w:rFonts w:ascii="Segoe UI" w:hAnsi="Segoe UI" w:cs="Segoe UI"/>
          <w:sz w:val="21"/>
          <w:szCs w:val="21"/>
        </w:rPr>
        <w:t>) program in Timor</w:t>
      </w:r>
      <w:r>
        <w:rPr>
          <w:rFonts w:ascii="Segoe UI" w:hAnsi="Segoe UI" w:cs="Segoe UI"/>
          <w:sz w:val="21"/>
          <w:szCs w:val="21"/>
        </w:rPr>
        <w:noBreakHyphen/>
        <w:t>Leste. The evaluation was undertaken in 2025 to assess ALMA’s contribution to improving teaching practices, school leadership, and early grade literacy outcomes. DFAT welcomes the evaluation as an important source of evidence and learning to inform Australia’s future engagement in the education sector in Timor</w:t>
      </w:r>
      <w:r>
        <w:rPr>
          <w:rFonts w:ascii="Segoe UI" w:hAnsi="Segoe UI" w:cs="Segoe UI"/>
          <w:sz w:val="21"/>
          <w:szCs w:val="21"/>
        </w:rPr>
        <w:noBreakHyphen/>
        <w:t>Leste.</w:t>
      </w:r>
    </w:p>
    <w:p w14:paraId="4F0EF040" w14:textId="77777777" w:rsidR="00D41623" w:rsidRDefault="00D41623" w:rsidP="00D41623">
      <w:pPr>
        <w:pStyle w:val="NormalWeb"/>
        <w:spacing w:line="300" w:lineRule="atLeast"/>
        <w:rPr>
          <w:rFonts w:ascii="Segoe UI" w:hAnsi="Segoe UI" w:cs="Segoe UI"/>
          <w:sz w:val="21"/>
          <w:szCs w:val="21"/>
        </w:rPr>
      </w:pPr>
      <w:r>
        <w:rPr>
          <w:rFonts w:ascii="Segoe UI" w:hAnsi="Segoe UI" w:cs="Segoe UI"/>
          <w:sz w:val="21"/>
          <w:szCs w:val="21"/>
        </w:rPr>
        <w:t>ALMA is a national program of the Ministry of Education that supports implementation of the Basic Education Curriculum through leadership support, peer learning groups, and the use of data from classroom observations and student assessments. Australia, through the Partnership for Human Development (PHD), supported the design, implementation, and national roll</w:t>
      </w:r>
      <w:r>
        <w:rPr>
          <w:rFonts w:ascii="Segoe UI" w:hAnsi="Segoe UI" w:cs="Segoe UI"/>
          <w:sz w:val="21"/>
          <w:szCs w:val="21"/>
        </w:rPr>
        <w:noBreakHyphen/>
        <w:t>out of ALMA from 2016, with the program expanding to schools across all municipalities and becoming embedded within Ministry systems and staffing structures. The evaluation examined relationships between ALMA</w:t>
      </w:r>
      <w:r>
        <w:rPr>
          <w:rFonts w:ascii="Segoe UI" w:hAnsi="Segoe UI" w:cs="Segoe UI"/>
          <w:sz w:val="21"/>
          <w:szCs w:val="21"/>
        </w:rPr>
        <w:noBreakHyphen/>
        <w:t>supported activities, teaching practices, and student literacy outcomes, drawing on Early Grade Reading Assessments, classroom observations, and comparative analysis across schools.</w:t>
      </w:r>
    </w:p>
    <w:p w14:paraId="54CF3176" w14:textId="7A659FF8" w:rsidR="007163C8" w:rsidRPr="007163C8" w:rsidRDefault="007163C8" w:rsidP="007163C8">
      <w:pPr>
        <w:spacing w:after="0" w:line="300" w:lineRule="atLeast"/>
        <w:rPr>
          <w:rFonts w:ascii="Segoe UI" w:eastAsia="Times New Roman" w:hAnsi="Segoe UI" w:cs="Segoe UI"/>
          <w:kern w:val="0"/>
          <w:sz w:val="21"/>
          <w:szCs w:val="21"/>
          <w:lang w:val="en-AU" w:eastAsia="en-AU"/>
          <w14:ligatures w14:val="none"/>
        </w:rPr>
      </w:pPr>
      <w:r w:rsidRPr="007163C8">
        <w:rPr>
          <w:rFonts w:ascii="Segoe UI" w:eastAsia="Times New Roman" w:hAnsi="Segoe UI" w:cs="Segoe UI"/>
          <w:kern w:val="0"/>
          <w:sz w:val="21"/>
          <w:szCs w:val="21"/>
          <w:lang w:val="en-AU" w:eastAsia="en-AU"/>
          <w14:ligatures w14:val="none"/>
        </w:rPr>
        <w:t>The evaluation finds a clear association between ALMA’s leadership</w:t>
      </w:r>
      <w:r w:rsidRPr="007163C8">
        <w:rPr>
          <w:rFonts w:ascii="Segoe UI" w:eastAsia="Times New Roman" w:hAnsi="Segoe UI" w:cs="Segoe UI"/>
          <w:kern w:val="0"/>
          <w:sz w:val="21"/>
          <w:szCs w:val="21"/>
          <w:lang w:val="en-AU" w:eastAsia="en-AU"/>
          <w14:ligatures w14:val="none"/>
        </w:rPr>
        <w:noBreakHyphen/>
        <w:t>centred support approach—particularly engagement with school administrators—and stronger early grade literacy outcomes, including higher reading fluency and comprehension and fewer non</w:t>
      </w:r>
      <w:r w:rsidRPr="007163C8">
        <w:rPr>
          <w:rFonts w:ascii="Segoe UI" w:eastAsia="Times New Roman" w:hAnsi="Segoe UI" w:cs="Segoe UI"/>
          <w:kern w:val="0"/>
          <w:sz w:val="21"/>
          <w:szCs w:val="21"/>
          <w:lang w:val="en-AU" w:eastAsia="en-AU"/>
          <w14:ligatures w14:val="none"/>
        </w:rPr>
        <w:noBreakHyphen/>
        <w:t>readers. It also notes that</w:t>
      </w:r>
      <w:r w:rsidR="00BD7562">
        <w:rPr>
          <w:rFonts w:ascii="Segoe UI" w:eastAsia="Times New Roman" w:hAnsi="Segoe UI" w:cs="Segoe UI"/>
          <w:kern w:val="0"/>
          <w:sz w:val="21"/>
          <w:szCs w:val="21"/>
          <w:lang w:val="en-AU" w:eastAsia="en-AU"/>
          <w14:ligatures w14:val="none"/>
        </w:rPr>
        <w:t xml:space="preserve"> when ALMA was </w:t>
      </w:r>
      <w:r w:rsidR="00793643">
        <w:rPr>
          <w:rFonts w:ascii="Segoe UI" w:eastAsia="Times New Roman" w:hAnsi="Segoe UI" w:cs="Segoe UI"/>
          <w:kern w:val="0"/>
          <w:sz w:val="21"/>
          <w:szCs w:val="21"/>
          <w:lang w:val="en-AU" w:eastAsia="en-AU"/>
          <w14:ligatures w14:val="none"/>
        </w:rPr>
        <w:t>implemented with high fidelity</w:t>
      </w:r>
      <w:r w:rsidR="00DA0351">
        <w:rPr>
          <w:rFonts w:ascii="Segoe UI" w:eastAsia="Times New Roman" w:hAnsi="Segoe UI" w:cs="Segoe UI"/>
          <w:kern w:val="0"/>
          <w:sz w:val="21"/>
          <w:szCs w:val="21"/>
          <w:lang w:val="en-AU" w:eastAsia="en-AU"/>
          <w14:ligatures w14:val="none"/>
        </w:rPr>
        <w:t xml:space="preserve"> (indicated by </w:t>
      </w:r>
      <w:r w:rsidR="00BD7562">
        <w:rPr>
          <w:rFonts w:ascii="Segoe UI" w:eastAsia="Times New Roman" w:hAnsi="Segoe UI" w:cs="Segoe UI"/>
          <w:kern w:val="0"/>
          <w:sz w:val="21"/>
          <w:szCs w:val="21"/>
          <w:lang w:val="en-AU" w:eastAsia="en-AU"/>
          <w14:ligatures w14:val="none"/>
        </w:rPr>
        <w:t>administrators self-reporting receiving mentoring)</w:t>
      </w:r>
      <w:r w:rsidR="00793643">
        <w:rPr>
          <w:rFonts w:ascii="Segoe UI" w:eastAsia="Times New Roman" w:hAnsi="Segoe UI" w:cs="Segoe UI"/>
          <w:kern w:val="0"/>
          <w:sz w:val="21"/>
          <w:szCs w:val="21"/>
          <w:lang w:val="en-AU" w:eastAsia="en-AU"/>
          <w14:ligatures w14:val="none"/>
        </w:rPr>
        <w:t xml:space="preserve">, schools showed consistently stronger outcomes.  </w:t>
      </w:r>
      <w:r w:rsidR="00DA0351">
        <w:rPr>
          <w:rFonts w:ascii="Segoe UI" w:eastAsia="Times New Roman" w:hAnsi="Segoe UI" w:cs="Segoe UI"/>
          <w:kern w:val="0"/>
          <w:sz w:val="21"/>
          <w:szCs w:val="21"/>
          <w:lang w:val="en-AU" w:eastAsia="en-AU"/>
          <w14:ligatures w14:val="none"/>
        </w:rPr>
        <w:t xml:space="preserve">However, </w:t>
      </w:r>
      <w:r w:rsidRPr="007163C8">
        <w:rPr>
          <w:rFonts w:ascii="Segoe UI" w:eastAsia="Times New Roman" w:hAnsi="Segoe UI" w:cs="Segoe UI"/>
          <w:kern w:val="0"/>
          <w:sz w:val="21"/>
          <w:szCs w:val="21"/>
          <w:lang w:val="en-AU" w:eastAsia="en-AU"/>
          <w14:ligatures w14:val="none"/>
        </w:rPr>
        <w:t>only around one</w:t>
      </w:r>
      <w:r w:rsidRPr="007163C8">
        <w:rPr>
          <w:rFonts w:ascii="Segoe UI" w:eastAsia="Times New Roman" w:hAnsi="Segoe UI" w:cs="Segoe UI"/>
          <w:kern w:val="0"/>
          <w:sz w:val="21"/>
          <w:szCs w:val="21"/>
          <w:lang w:val="en-AU" w:eastAsia="en-AU"/>
          <w14:ligatures w14:val="none"/>
        </w:rPr>
        <w:noBreakHyphen/>
        <w:t>third of school</w:t>
      </w:r>
      <w:r w:rsidR="00DA0351">
        <w:rPr>
          <w:rFonts w:ascii="Segoe UI" w:eastAsia="Times New Roman" w:hAnsi="Segoe UI" w:cs="Segoe UI"/>
          <w:kern w:val="0"/>
          <w:sz w:val="21"/>
          <w:szCs w:val="21"/>
          <w:lang w:val="en-AU" w:eastAsia="en-AU"/>
          <w14:ligatures w14:val="none"/>
        </w:rPr>
        <w:t xml:space="preserve">s were </w:t>
      </w:r>
      <w:r w:rsidR="00BD7562">
        <w:rPr>
          <w:rFonts w:ascii="Segoe UI" w:eastAsia="Times New Roman" w:hAnsi="Segoe UI" w:cs="Segoe UI"/>
          <w:kern w:val="0"/>
          <w:sz w:val="21"/>
          <w:szCs w:val="21"/>
          <w:lang w:val="en-AU" w:eastAsia="en-AU"/>
          <w14:ligatures w14:val="none"/>
        </w:rPr>
        <w:t xml:space="preserve">identified as </w:t>
      </w:r>
      <w:r w:rsidR="00DA0351">
        <w:rPr>
          <w:rFonts w:ascii="Segoe UI" w:eastAsia="Times New Roman" w:hAnsi="Segoe UI" w:cs="Segoe UI"/>
          <w:kern w:val="0"/>
          <w:sz w:val="21"/>
          <w:szCs w:val="21"/>
          <w:lang w:val="en-AU" w:eastAsia="en-AU"/>
          <w14:ligatures w14:val="none"/>
        </w:rPr>
        <w:t xml:space="preserve">high-fidelity. This </w:t>
      </w:r>
      <w:r w:rsidRPr="007163C8">
        <w:rPr>
          <w:rFonts w:ascii="Segoe UI" w:eastAsia="Times New Roman" w:hAnsi="Segoe UI" w:cs="Segoe UI"/>
          <w:kern w:val="0"/>
          <w:sz w:val="21"/>
          <w:szCs w:val="21"/>
          <w:lang w:val="en-AU" w:eastAsia="en-AU"/>
          <w14:ligatures w14:val="none"/>
        </w:rPr>
        <w:t>highlights both the strength of the model where it was delivered consistently and the practical challenges of achieving full coverage at scale. Improvements in classroom practice were most evident in schools making more active use of formative assessment and data to guide teaching, pointing to the importance of reinforcement through school leadership and peer learning. Overall, the findings align with ALMA’s system</w:t>
      </w:r>
      <w:r w:rsidRPr="007163C8">
        <w:rPr>
          <w:rFonts w:ascii="Segoe UI" w:eastAsia="Times New Roman" w:hAnsi="Segoe UI" w:cs="Segoe UI"/>
          <w:kern w:val="0"/>
          <w:sz w:val="21"/>
          <w:szCs w:val="21"/>
          <w:lang w:val="en-AU" w:eastAsia="en-AU"/>
          <w14:ligatures w14:val="none"/>
        </w:rPr>
        <w:noBreakHyphen/>
        <w:t>focused design, while reflecting some trade</w:t>
      </w:r>
      <w:r w:rsidRPr="007163C8">
        <w:rPr>
          <w:rFonts w:ascii="Segoe UI" w:eastAsia="Times New Roman" w:hAnsi="Segoe UI" w:cs="Segoe UI"/>
          <w:kern w:val="0"/>
          <w:sz w:val="21"/>
          <w:szCs w:val="21"/>
          <w:lang w:val="en-AU" w:eastAsia="en-AU"/>
          <w14:ligatures w14:val="none"/>
        </w:rPr>
        <w:noBreakHyphen/>
        <w:t xml:space="preserve">offs </w:t>
      </w:r>
      <w:r w:rsidR="00E15AAC">
        <w:rPr>
          <w:rFonts w:ascii="Segoe UI" w:eastAsia="Times New Roman" w:hAnsi="Segoe UI" w:cs="Segoe UI"/>
          <w:kern w:val="0"/>
          <w:sz w:val="21"/>
          <w:szCs w:val="21"/>
          <w:lang w:val="en-AU" w:eastAsia="en-AU"/>
          <w14:ligatures w14:val="none"/>
        </w:rPr>
        <w:t xml:space="preserve">with a </w:t>
      </w:r>
      <w:r w:rsidRPr="007163C8">
        <w:rPr>
          <w:rFonts w:ascii="Segoe UI" w:eastAsia="Times New Roman" w:hAnsi="Segoe UI" w:cs="Segoe UI"/>
          <w:kern w:val="0"/>
          <w:sz w:val="21"/>
          <w:szCs w:val="21"/>
          <w:lang w:val="en-AU" w:eastAsia="en-AU"/>
          <w14:ligatures w14:val="none"/>
        </w:rPr>
        <w:t>national roll</w:t>
      </w:r>
      <w:r w:rsidRPr="007163C8">
        <w:rPr>
          <w:rFonts w:ascii="Segoe UI" w:eastAsia="Times New Roman" w:hAnsi="Segoe UI" w:cs="Segoe UI"/>
          <w:kern w:val="0"/>
          <w:sz w:val="21"/>
          <w:szCs w:val="21"/>
          <w:lang w:val="en-AU" w:eastAsia="en-AU"/>
          <w14:ligatures w14:val="none"/>
        </w:rPr>
        <w:noBreakHyphen/>
        <w:t>out under PHD, including variation in intensity across schools and more limited reach in remote contexts. The evaluation further highlights the positive role of teacher working groups (GTPs), ongoing disparities linked to remoteness and gender, and the importance of basic enabling conditions—such as access to reading materials, water, and protein</w:t>
      </w:r>
      <w:r w:rsidRPr="007163C8">
        <w:rPr>
          <w:rFonts w:ascii="Segoe UI" w:eastAsia="Times New Roman" w:hAnsi="Segoe UI" w:cs="Segoe UI"/>
          <w:kern w:val="0"/>
          <w:sz w:val="21"/>
          <w:szCs w:val="21"/>
          <w:lang w:val="en-AU" w:eastAsia="en-AU"/>
          <w14:ligatures w14:val="none"/>
        </w:rPr>
        <w:noBreakHyphen/>
        <w:t>rich school meals—in supporting learning.</w:t>
      </w:r>
    </w:p>
    <w:p w14:paraId="0B1601EC" w14:textId="63AC407A" w:rsidR="00E85F5B" w:rsidRDefault="005742E6" w:rsidP="00E85F5B">
      <w:pPr>
        <w:pStyle w:val="NormalWeb"/>
        <w:spacing w:line="300" w:lineRule="atLeast"/>
        <w:rPr>
          <w:rFonts w:ascii="Segoe UI" w:hAnsi="Segoe UI" w:cs="Segoe UI"/>
          <w:sz w:val="21"/>
          <w:szCs w:val="21"/>
        </w:rPr>
      </w:pPr>
      <w:r>
        <w:rPr>
          <w:rFonts w:ascii="Segoe UI" w:hAnsi="Segoe UI" w:cs="Segoe UI"/>
          <w:sz w:val="21"/>
          <w:szCs w:val="21"/>
        </w:rPr>
        <w:t xml:space="preserve">Ahead of this management response, ALMA has fully transitioned to </w:t>
      </w:r>
      <w:r w:rsidR="00107F5F">
        <w:rPr>
          <w:rFonts w:ascii="Segoe UI" w:hAnsi="Segoe UI" w:cs="Segoe UI"/>
          <w:sz w:val="21"/>
          <w:szCs w:val="21"/>
        </w:rPr>
        <w:t>Ministry</w:t>
      </w:r>
      <w:r>
        <w:rPr>
          <w:rFonts w:ascii="Segoe UI" w:hAnsi="Segoe UI" w:cs="Segoe UI"/>
          <w:sz w:val="21"/>
          <w:szCs w:val="21"/>
        </w:rPr>
        <w:t xml:space="preserve"> management, al</w:t>
      </w:r>
      <w:r w:rsidR="00107F5F">
        <w:rPr>
          <w:rFonts w:ascii="Segoe UI" w:hAnsi="Segoe UI" w:cs="Segoe UI"/>
          <w:sz w:val="21"/>
          <w:szCs w:val="21"/>
        </w:rPr>
        <w:t xml:space="preserve">ongside a system consolidation and alignment with Ministry priorities over the final year of PHD.  </w:t>
      </w:r>
      <w:r w:rsidR="00D41623">
        <w:rPr>
          <w:rFonts w:ascii="Segoe UI" w:hAnsi="Segoe UI" w:cs="Segoe UI"/>
          <w:sz w:val="21"/>
          <w:szCs w:val="21"/>
        </w:rPr>
        <w:t>While the evaluation</w:t>
      </w:r>
      <w:r w:rsidR="00107F5F">
        <w:rPr>
          <w:rFonts w:ascii="Segoe UI" w:hAnsi="Segoe UI" w:cs="Segoe UI"/>
          <w:sz w:val="21"/>
          <w:szCs w:val="21"/>
        </w:rPr>
        <w:t xml:space="preserve"> has</w:t>
      </w:r>
      <w:r w:rsidR="00D41623">
        <w:rPr>
          <w:rFonts w:ascii="Segoe UI" w:hAnsi="Segoe UI" w:cs="Segoe UI"/>
          <w:sz w:val="21"/>
          <w:szCs w:val="21"/>
        </w:rPr>
        <w:t xml:space="preserve"> made recommendations specific to ALMA, its findings informed Australia’s next education investment and will be examined</w:t>
      </w:r>
      <w:r w:rsidR="00637E8E">
        <w:rPr>
          <w:rFonts w:ascii="Segoe UI" w:hAnsi="Segoe UI" w:cs="Segoe UI"/>
          <w:sz w:val="21"/>
          <w:szCs w:val="21"/>
        </w:rPr>
        <w:t xml:space="preserve"> in more detail </w:t>
      </w:r>
      <w:r w:rsidR="00D41623">
        <w:rPr>
          <w:rFonts w:ascii="Segoe UI" w:hAnsi="Segoe UI" w:cs="Segoe UI"/>
          <w:sz w:val="21"/>
          <w:szCs w:val="21"/>
        </w:rPr>
        <w:t>through inception work with the Ministry.</w:t>
      </w:r>
    </w:p>
    <w:p w14:paraId="72E8CA82" w14:textId="77777777" w:rsidR="003E3A2F" w:rsidRDefault="003E3A2F" w:rsidP="00E85F5B">
      <w:pPr>
        <w:pStyle w:val="NormalWeb"/>
        <w:spacing w:line="300" w:lineRule="atLeast"/>
        <w:rPr>
          <w:rFonts w:ascii="Segoe UI" w:hAnsi="Segoe UI" w:cs="Segoe UI"/>
          <w:sz w:val="21"/>
          <w:szCs w:val="21"/>
        </w:rPr>
      </w:pPr>
    </w:p>
    <w:p w14:paraId="19DDA238" w14:textId="3C61B271" w:rsidR="003E3A2F" w:rsidRDefault="003E3A2F" w:rsidP="00E85F5B">
      <w:pPr>
        <w:pStyle w:val="NormalWeb"/>
        <w:spacing w:line="300" w:lineRule="atLeast"/>
        <w:rPr>
          <w:rFonts w:ascii="Segoe UI" w:hAnsi="Segoe UI" w:cs="Segoe UI"/>
          <w:sz w:val="21"/>
          <w:szCs w:val="21"/>
        </w:rPr>
        <w:sectPr w:rsidR="003E3A2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pPr>
    </w:p>
    <w:tbl>
      <w:tblPr>
        <w:tblW w:w="13950" w:type="dxa"/>
        <w:tblInd w:w="-719" w:type="dxa"/>
        <w:tblLook w:val="04A0" w:firstRow="1" w:lastRow="0" w:firstColumn="1" w:lastColumn="0" w:noHBand="0" w:noVBand="1"/>
      </w:tblPr>
      <w:tblGrid>
        <w:gridCol w:w="709"/>
        <w:gridCol w:w="2045"/>
        <w:gridCol w:w="2917"/>
        <w:gridCol w:w="4536"/>
        <w:gridCol w:w="3743"/>
      </w:tblGrid>
      <w:tr w:rsidR="00DD2BFA" w:rsidRPr="008E3C73" w14:paraId="4BB666A1" w14:textId="77777777" w:rsidTr="00593E34">
        <w:trPr>
          <w:trHeight w:val="340"/>
          <w:tblHeader/>
        </w:trPr>
        <w:tc>
          <w:tcPr>
            <w:tcW w:w="709" w:type="dxa"/>
            <w:tcBorders>
              <w:top w:val="single" w:sz="8" w:space="0" w:color="auto"/>
              <w:left w:val="single" w:sz="8" w:space="0" w:color="auto"/>
              <w:bottom w:val="single" w:sz="8" w:space="0" w:color="auto"/>
              <w:right w:val="single" w:sz="8" w:space="0" w:color="auto"/>
            </w:tcBorders>
            <w:shd w:val="clear" w:color="000000" w:fill="F5F5F5"/>
            <w:vAlign w:val="center"/>
            <w:hideMark/>
          </w:tcPr>
          <w:p w14:paraId="40C2CB0B" w14:textId="77777777" w:rsidR="00DD2BFA" w:rsidRPr="008E3C73" w:rsidRDefault="00DD2BFA" w:rsidP="008E3C73">
            <w:pPr>
              <w:spacing w:after="0" w:line="240" w:lineRule="auto"/>
              <w:jc w:val="center"/>
              <w:rPr>
                <w:rFonts w:ascii="Segoe UI" w:eastAsia="Times New Roman" w:hAnsi="Segoe UI" w:cs="Segoe UI"/>
                <w:b/>
                <w:bCs/>
                <w:color w:val="000000"/>
                <w:kern w:val="0"/>
                <w:sz w:val="22"/>
                <w:szCs w:val="22"/>
                <w:lang w:val="en-AU" w:eastAsia="en-AU"/>
                <w14:ligatures w14:val="none"/>
              </w:rPr>
            </w:pPr>
            <w:r w:rsidRPr="008E3C73">
              <w:rPr>
                <w:rFonts w:ascii="Segoe UI" w:eastAsia="Times New Roman" w:hAnsi="Segoe UI" w:cs="Segoe UI"/>
                <w:b/>
                <w:bCs/>
                <w:color w:val="000000"/>
                <w:kern w:val="0"/>
                <w:sz w:val="22"/>
                <w:szCs w:val="22"/>
                <w:lang w:val="en-AU" w:eastAsia="en-AU"/>
                <w14:ligatures w14:val="none"/>
              </w:rPr>
              <w:lastRenderedPageBreak/>
              <w:t>#</w:t>
            </w:r>
          </w:p>
        </w:tc>
        <w:tc>
          <w:tcPr>
            <w:tcW w:w="2045" w:type="dxa"/>
            <w:tcBorders>
              <w:top w:val="single" w:sz="8" w:space="0" w:color="auto"/>
              <w:left w:val="nil"/>
              <w:bottom w:val="single" w:sz="8" w:space="0" w:color="auto"/>
              <w:right w:val="single" w:sz="8" w:space="0" w:color="auto"/>
            </w:tcBorders>
            <w:shd w:val="clear" w:color="000000" w:fill="F5F5F5"/>
            <w:vAlign w:val="center"/>
            <w:hideMark/>
          </w:tcPr>
          <w:p w14:paraId="0BF44AFA" w14:textId="77777777" w:rsidR="00DD2BFA" w:rsidRPr="008E3C73" w:rsidRDefault="00DD2BFA" w:rsidP="008E3C73">
            <w:pPr>
              <w:spacing w:after="0" w:line="240" w:lineRule="auto"/>
              <w:jc w:val="center"/>
              <w:rPr>
                <w:rFonts w:ascii="Segoe UI" w:eastAsia="Times New Roman" w:hAnsi="Segoe UI" w:cs="Segoe UI"/>
                <w:b/>
                <w:bCs/>
                <w:color w:val="000000"/>
                <w:kern w:val="0"/>
                <w:sz w:val="22"/>
                <w:szCs w:val="22"/>
                <w:lang w:val="en-AU" w:eastAsia="en-AU"/>
                <w14:ligatures w14:val="none"/>
              </w:rPr>
            </w:pPr>
            <w:r w:rsidRPr="008E3C73">
              <w:rPr>
                <w:rFonts w:ascii="Segoe UI" w:eastAsia="Times New Roman" w:hAnsi="Segoe UI" w:cs="Segoe UI"/>
                <w:b/>
                <w:bCs/>
                <w:color w:val="000000"/>
                <w:kern w:val="0"/>
                <w:sz w:val="22"/>
                <w:szCs w:val="22"/>
                <w:lang w:val="en-AU" w:eastAsia="en-AU"/>
                <w14:ligatures w14:val="none"/>
              </w:rPr>
              <w:t>Recommendation</w:t>
            </w:r>
          </w:p>
        </w:tc>
        <w:tc>
          <w:tcPr>
            <w:tcW w:w="2917" w:type="dxa"/>
            <w:tcBorders>
              <w:top w:val="single" w:sz="8" w:space="0" w:color="auto"/>
              <w:left w:val="nil"/>
              <w:bottom w:val="single" w:sz="8" w:space="0" w:color="auto"/>
              <w:right w:val="single" w:sz="8" w:space="0" w:color="auto"/>
            </w:tcBorders>
            <w:shd w:val="clear" w:color="000000" w:fill="F5F5F5"/>
            <w:vAlign w:val="center"/>
            <w:hideMark/>
          </w:tcPr>
          <w:p w14:paraId="35ED1477" w14:textId="77777777" w:rsidR="00DD2BFA" w:rsidRPr="008E3C73" w:rsidRDefault="00DD2BFA" w:rsidP="008E3C73">
            <w:pPr>
              <w:spacing w:after="0" w:line="240" w:lineRule="auto"/>
              <w:jc w:val="center"/>
              <w:rPr>
                <w:rFonts w:ascii="Segoe UI" w:eastAsia="Times New Roman" w:hAnsi="Segoe UI" w:cs="Segoe UI"/>
                <w:b/>
                <w:bCs/>
                <w:color w:val="000000"/>
                <w:kern w:val="0"/>
                <w:sz w:val="22"/>
                <w:szCs w:val="22"/>
                <w:lang w:val="en-AU" w:eastAsia="en-AU"/>
                <w14:ligatures w14:val="none"/>
              </w:rPr>
            </w:pPr>
            <w:r w:rsidRPr="008E3C73">
              <w:rPr>
                <w:rFonts w:ascii="Segoe UI" w:eastAsia="Times New Roman" w:hAnsi="Segoe UI" w:cs="Segoe UI"/>
                <w:b/>
                <w:bCs/>
                <w:color w:val="000000"/>
                <w:kern w:val="0"/>
                <w:sz w:val="22"/>
                <w:szCs w:val="22"/>
                <w:lang w:val="en-AU" w:eastAsia="en-AU"/>
                <w14:ligatures w14:val="none"/>
              </w:rPr>
              <w:t>Rationale from the study</w:t>
            </w:r>
          </w:p>
        </w:tc>
        <w:tc>
          <w:tcPr>
            <w:tcW w:w="4536" w:type="dxa"/>
            <w:tcBorders>
              <w:top w:val="single" w:sz="8" w:space="0" w:color="auto"/>
              <w:left w:val="nil"/>
              <w:bottom w:val="single" w:sz="8" w:space="0" w:color="auto"/>
              <w:right w:val="single" w:sz="4" w:space="0" w:color="auto"/>
            </w:tcBorders>
            <w:shd w:val="clear" w:color="000000" w:fill="F5F5F5"/>
          </w:tcPr>
          <w:p w14:paraId="2BDD8E0C" w14:textId="6510FFDE" w:rsidR="00DD2BFA" w:rsidRPr="008E3C73" w:rsidRDefault="00215CBB" w:rsidP="008E3C73">
            <w:pPr>
              <w:spacing w:after="0" w:line="240" w:lineRule="auto"/>
              <w:jc w:val="center"/>
              <w:rPr>
                <w:rFonts w:ascii="Segoe UI" w:eastAsia="Times New Roman" w:hAnsi="Segoe UI" w:cs="Segoe UI"/>
                <w:b/>
                <w:bCs/>
                <w:color w:val="000000"/>
                <w:kern w:val="0"/>
                <w:sz w:val="22"/>
                <w:szCs w:val="22"/>
                <w:lang w:val="en-AU" w:eastAsia="en-AU"/>
                <w14:ligatures w14:val="none"/>
              </w:rPr>
            </w:pPr>
            <w:r>
              <w:rPr>
                <w:rFonts w:ascii="Segoe UI" w:eastAsia="Times New Roman" w:hAnsi="Segoe UI" w:cs="Segoe UI"/>
                <w:b/>
                <w:bCs/>
                <w:color w:val="000000"/>
                <w:kern w:val="0"/>
                <w:sz w:val="22"/>
                <w:szCs w:val="22"/>
                <w:lang w:val="en-AU" w:eastAsia="en-AU"/>
                <w14:ligatures w14:val="none"/>
              </w:rPr>
              <w:t>Response and explanation</w:t>
            </w:r>
          </w:p>
        </w:tc>
        <w:tc>
          <w:tcPr>
            <w:tcW w:w="3743" w:type="dxa"/>
            <w:tcBorders>
              <w:top w:val="single" w:sz="8" w:space="0" w:color="auto"/>
              <w:left w:val="single" w:sz="4" w:space="0" w:color="auto"/>
              <w:bottom w:val="single" w:sz="8" w:space="0" w:color="auto"/>
              <w:right w:val="single" w:sz="8" w:space="0" w:color="auto"/>
            </w:tcBorders>
            <w:shd w:val="clear" w:color="000000" w:fill="F5F5F5"/>
            <w:vAlign w:val="center"/>
            <w:hideMark/>
          </w:tcPr>
          <w:p w14:paraId="6336E32F" w14:textId="6A507676" w:rsidR="00DD2BFA" w:rsidRPr="008E3C73" w:rsidRDefault="00DD2BFA" w:rsidP="008E3C73">
            <w:pPr>
              <w:spacing w:after="0" w:line="240" w:lineRule="auto"/>
              <w:jc w:val="center"/>
              <w:rPr>
                <w:rFonts w:ascii="Segoe UI" w:eastAsia="Times New Roman" w:hAnsi="Segoe UI" w:cs="Segoe UI"/>
                <w:b/>
                <w:bCs/>
                <w:color w:val="000000"/>
                <w:kern w:val="0"/>
                <w:sz w:val="22"/>
                <w:szCs w:val="22"/>
                <w:lang w:val="en-AU" w:eastAsia="en-AU"/>
                <w14:ligatures w14:val="none"/>
              </w:rPr>
            </w:pPr>
            <w:r w:rsidRPr="008E3C73">
              <w:rPr>
                <w:rFonts w:ascii="Segoe UI" w:eastAsia="Times New Roman" w:hAnsi="Segoe UI" w:cs="Segoe UI"/>
                <w:b/>
                <w:bCs/>
                <w:color w:val="000000"/>
                <w:kern w:val="0"/>
                <w:sz w:val="22"/>
                <w:szCs w:val="22"/>
                <w:lang w:val="en-AU" w:eastAsia="en-AU"/>
                <w14:ligatures w14:val="none"/>
              </w:rPr>
              <w:t>DFAT management response</w:t>
            </w:r>
          </w:p>
        </w:tc>
      </w:tr>
      <w:tr w:rsidR="00DD2BFA" w:rsidRPr="008E3C73" w14:paraId="34DA4442" w14:textId="77777777" w:rsidTr="0090641F">
        <w:trPr>
          <w:trHeight w:val="2310"/>
        </w:trPr>
        <w:tc>
          <w:tcPr>
            <w:tcW w:w="709" w:type="dxa"/>
            <w:tcBorders>
              <w:top w:val="nil"/>
              <w:left w:val="single" w:sz="8" w:space="0" w:color="auto"/>
              <w:bottom w:val="single" w:sz="4" w:space="0" w:color="auto"/>
              <w:right w:val="single" w:sz="8" w:space="0" w:color="auto"/>
            </w:tcBorders>
            <w:shd w:val="clear" w:color="000000" w:fill="F5F5F5"/>
            <w:vAlign w:val="center"/>
            <w:hideMark/>
          </w:tcPr>
          <w:p w14:paraId="2F8BFF30" w14:textId="77777777" w:rsidR="00DD2BFA" w:rsidRPr="008E3C73" w:rsidRDefault="00DD2BFA" w:rsidP="008E3C73">
            <w:pPr>
              <w:spacing w:after="0" w:line="240" w:lineRule="auto"/>
              <w:jc w:val="center"/>
              <w:rPr>
                <w:rFonts w:ascii="Segoe UI" w:eastAsia="Times New Roman" w:hAnsi="Segoe UI" w:cs="Segoe UI"/>
                <w:b/>
                <w:bCs/>
                <w:color w:val="000000"/>
                <w:kern w:val="0"/>
                <w:sz w:val="22"/>
                <w:szCs w:val="22"/>
                <w:lang w:val="en-AU" w:eastAsia="en-AU"/>
                <w14:ligatures w14:val="none"/>
              </w:rPr>
            </w:pPr>
            <w:r w:rsidRPr="008E3C73">
              <w:rPr>
                <w:rFonts w:ascii="Segoe UI" w:eastAsia="Times New Roman" w:hAnsi="Segoe UI" w:cs="Segoe UI"/>
                <w:b/>
                <w:bCs/>
                <w:color w:val="000000"/>
                <w:kern w:val="0"/>
                <w:sz w:val="22"/>
                <w:szCs w:val="22"/>
                <w:lang w:val="en-AU" w:eastAsia="en-AU"/>
                <w14:ligatures w14:val="none"/>
              </w:rPr>
              <w:t>1</w:t>
            </w:r>
          </w:p>
        </w:tc>
        <w:tc>
          <w:tcPr>
            <w:tcW w:w="2045" w:type="dxa"/>
            <w:tcBorders>
              <w:top w:val="nil"/>
              <w:left w:val="nil"/>
              <w:bottom w:val="single" w:sz="4" w:space="0" w:color="auto"/>
              <w:right w:val="single" w:sz="8" w:space="0" w:color="auto"/>
            </w:tcBorders>
            <w:vAlign w:val="center"/>
            <w:hideMark/>
          </w:tcPr>
          <w:p w14:paraId="28C99FF8" w14:textId="77777777" w:rsidR="00DD2BFA" w:rsidRPr="008E3C73" w:rsidRDefault="00DD2BFA" w:rsidP="0090641F">
            <w:pPr>
              <w:spacing w:after="0" w:line="240" w:lineRule="auto"/>
              <w:rPr>
                <w:rFonts w:ascii="Segoe UI" w:eastAsia="Times New Roman" w:hAnsi="Segoe UI" w:cs="Segoe UI"/>
                <w:b/>
                <w:bCs/>
                <w:color w:val="000000"/>
                <w:kern w:val="0"/>
                <w:sz w:val="22"/>
                <w:szCs w:val="22"/>
                <w:lang w:val="en-AU" w:eastAsia="en-AU"/>
                <w14:ligatures w14:val="none"/>
              </w:rPr>
            </w:pPr>
            <w:r w:rsidRPr="008E3C73">
              <w:rPr>
                <w:rFonts w:ascii="Segoe UI" w:eastAsia="Times New Roman" w:hAnsi="Segoe UI" w:cs="Segoe UI"/>
                <w:b/>
                <w:bCs/>
                <w:color w:val="000000"/>
                <w:kern w:val="0"/>
                <w:sz w:val="22"/>
                <w:szCs w:val="22"/>
                <w:lang w:val="en-AU" w:eastAsia="en-AU"/>
                <w14:ligatures w14:val="none"/>
              </w:rPr>
              <w:t>Strengthen tracking of fidelity of implementation of the mentorship model.</w:t>
            </w:r>
          </w:p>
        </w:tc>
        <w:tc>
          <w:tcPr>
            <w:tcW w:w="2917" w:type="dxa"/>
            <w:tcBorders>
              <w:top w:val="nil"/>
              <w:left w:val="nil"/>
              <w:bottom w:val="single" w:sz="4" w:space="0" w:color="auto"/>
              <w:right w:val="single" w:sz="8" w:space="0" w:color="auto"/>
            </w:tcBorders>
            <w:vAlign w:val="center"/>
            <w:hideMark/>
          </w:tcPr>
          <w:p w14:paraId="5A0AA42A" w14:textId="401AFCA2" w:rsidR="00DD2BFA" w:rsidRPr="008E3C73" w:rsidRDefault="000C2A5B" w:rsidP="0090641F">
            <w:pPr>
              <w:spacing w:after="0" w:line="240" w:lineRule="auto"/>
              <w:rPr>
                <w:rFonts w:ascii="Segoe UI" w:eastAsia="Times New Roman" w:hAnsi="Segoe UI" w:cs="Segoe UI"/>
                <w:color w:val="000000"/>
                <w:kern w:val="0"/>
                <w:sz w:val="22"/>
                <w:szCs w:val="22"/>
                <w:lang w:val="en-AU" w:eastAsia="en-AU"/>
                <w14:ligatures w14:val="none"/>
              </w:rPr>
            </w:pPr>
            <w:r>
              <w:rPr>
                <w:rFonts w:ascii="Segoe UI" w:eastAsia="Times New Roman" w:hAnsi="Segoe UI" w:cs="Segoe UI"/>
                <w:color w:val="000000"/>
                <w:kern w:val="0"/>
                <w:sz w:val="22"/>
                <w:szCs w:val="22"/>
                <w:lang w:val="en-AU" w:eastAsia="en-AU"/>
                <w14:ligatures w14:val="none"/>
              </w:rPr>
              <w:t>A</w:t>
            </w:r>
            <w:r w:rsidR="00DD2BFA" w:rsidRPr="008E3C73">
              <w:rPr>
                <w:rFonts w:ascii="Segoe UI" w:eastAsia="Times New Roman" w:hAnsi="Segoe UI" w:cs="Segoe UI"/>
                <w:color w:val="000000"/>
                <w:kern w:val="0"/>
                <w:sz w:val="22"/>
                <w:szCs w:val="22"/>
                <w:lang w:val="en-AU" w:eastAsia="en-AU"/>
                <w14:ligatures w14:val="none"/>
              </w:rPr>
              <w:t>round one</w:t>
            </w:r>
            <w:r w:rsidR="00DD2BFA" w:rsidRPr="008E3C73">
              <w:rPr>
                <w:rFonts w:ascii="Segoe UI" w:eastAsia="Times New Roman" w:hAnsi="Segoe UI" w:cs="Segoe UI"/>
                <w:color w:val="000000"/>
                <w:kern w:val="0"/>
                <w:sz w:val="22"/>
                <w:szCs w:val="22"/>
                <w:lang w:val="en-AU" w:eastAsia="en-AU"/>
                <w14:ligatures w14:val="none"/>
              </w:rPr>
              <w:noBreakHyphen/>
              <w:t>third of administrators recalled mentorship</w:t>
            </w:r>
            <w:r>
              <w:rPr>
                <w:rFonts w:ascii="Segoe UI" w:eastAsia="Times New Roman" w:hAnsi="Segoe UI" w:cs="Segoe UI"/>
                <w:color w:val="000000"/>
                <w:kern w:val="0"/>
                <w:sz w:val="22"/>
                <w:szCs w:val="22"/>
                <w:lang w:val="en-AU" w:eastAsia="en-AU"/>
                <w14:ligatures w14:val="none"/>
              </w:rPr>
              <w:t xml:space="preserve"> and</w:t>
            </w:r>
            <w:r w:rsidR="00DD2BFA" w:rsidRPr="008E3C73">
              <w:rPr>
                <w:rFonts w:ascii="Segoe UI" w:eastAsia="Times New Roman" w:hAnsi="Segoe UI" w:cs="Segoe UI"/>
                <w:color w:val="000000"/>
                <w:kern w:val="0"/>
                <w:sz w:val="22"/>
                <w:szCs w:val="22"/>
                <w:lang w:val="en-AU" w:eastAsia="en-AU"/>
                <w14:ligatures w14:val="none"/>
              </w:rPr>
              <w:t xml:space="preserve"> these schools showed consistently stronger literacy outcomes</w:t>
            </w:r>
            <w:r w:rsidR="00DD2BFA">
              <w:rPr>
                <w:rFonts w:ascii="Segoe UI" w:eastAsia="Times New Roman" w:hAnsi="Segoe UI" w:cs="Segoe UI"/>
                <w:color w:val="000000"/>
                <w:kern w:val="0"/>
                <w:sz w:val="22"/>
                <w:szCs w:val="22"/>
                <w:lang w:val="en-AU" w:eastAsia="en-AU"/>
                <w14:ligatures w14:val="none"/>
              </w:rPr>
              <w:t xml:space="preserve">. The analysis reports that this is ‘associated with high fidelity of implementation’.  </w:t>
            </w:r>
          </w:p>
        </w:tc>
        <w:tc>
          <w:tcPr>
            <w:tcW w:w="4536" w:type="dxa"/>
            <w:tcBorders>
              <w:top w:val="nil"/>
              <w:left w:val="nil"/>
              <w:bottom w:val="single" w:sz="4" w:space="0" w:color="auto"/>
              <w:right w:val="single" w:sz="4" w:space="0" w:color="auto"/>
            </w:tcBorders>
            <w:vAlign w:val="center"/>
          </w:tcPr>
          <w:p w14:paraId="2D952254" w14:textId="77777777" w:rsidR="00215CBB" w:rsidRDefault="00215CBB" w:rsidP="0090641F">
            <w:pPr>
              <w:spacing w:after="0" w:line="240" w:lineRule="auto"/>
              <w:rPr>
                <w:rFonts w:ascii="Segoe UI" w:eastAsia="Times New Roman" w:hAnsi="Segoe UI" w:cs="Segoe UI"/>
                <w:color w:val="000000"/>
                <w:kern w:val="0"/>
                <w:sz w:val="22"/>
                <w:szCs w:val="22"/>
                <w:lang w:val="en-AU" w:eastAsia="en-AU"/>
                <w14:ligatures w14:val="none"/>
              </w:rPr>
            </w:pPr>
            <w:r w:rsidRPr="008E3C73">
              <w:rPr>
                <w:rFonts w:ascii="Segoe UI" w:eastAsia="Times New Roman" w:hAnsi="Segoe UI" w:cs="Segoe UI"/>
                <w:color w:val="000000"/>
                <w:kern w:val="0"/>
                <w:sz w:val="22"/>
                <w:szCs w:val="22"/>
                <w:lang w:val="en-AU" w:eastAsia="en-AU"/>
                <w14:ligatures w14:val="none"/>
              </w:rPr>
              <w:t>DFAT</w:t>
            </w:r>
            <w:r w:rsidRPr="00687AB5">
              <w:rPr>
                <w:rFonts w:ascii="Segoe UI" w:eastAsia="Times New Roman" w:hAnsi="Segoe UI" w:cs="Segoe UI"/>
                <w:color w:val="000000"/>
                <w:kern w:val="0"/>
                <w:sz w:val="22"/>
                <w:szCs w:val="22"/>
                <w:lang w:val="en-AU" w:eastAsia="en-AU"/>
                <w14:ligatures w14:val="none"/>
              </w:rPr>
              <w:t xml:space="preserve"> agrees that more systematic tracking of implementation fidelity would enable a clearer understanding of what works best, and under what conditions</w:t>
            </w:r>
            <w:r>
              <w:rPr>
                <w:rFonts w:ascii="Segoe UI" w:eastAsia="Times New Roman" w:hAnsi="Segoe UI" w:cs="Segoe UI"/>
                <w:color w:val="000000"/>
                <w:kern w:val="0"/>
                <w:sz w:val="22"/>
                <w:szCs w:val="22"/>
                <w:lang w:val="en-AU" w:eastAsia="en-AU"/>
                <w14:ligatures w14:val="none"/>
              </w:rPr>
              <w:t xml:space="preserve"> and enable better adaptation.</w:t>
            </w:r>
          </w:p>
          <w:p w14:paraId="456767EE" w14:textId="77777777" w:rsidR="00DD2BFA" w:rsidRPr="008E3C73" w:rsidRDefault="00DD2BFA" w:rsidP="0090641F">
            <w:pPr>
              <w:spacing w:after="0" w:line="240" w:lineRule="auto"/>
              <w:rPr>
                <w:rFonts w:ascii="Segoe UI" w:eastAsia="Times New Roman" w:hAnsi="Segoe UI" w:cs="Segoe UI"/>
                <w:color w:val="000000"/>
                <w:kern w:val="0"/>
                <w:sz w:val="22"/>
                <w:szCs w:val="22"/>
                <w:lang w:val="en-AU" w:eastAsia="en-AU"/>
                <w14:ligatures w14:val="none"/>
              </w:rPr>
            </w:pPr>
          </w:p>
        </w:tc>
        <w:tc>
          <w:tcPr>
            <w:tcW w:w="3743" w:type="dxa"/>
            <w:tcBorders>
              <w:top w:val="nil"/>
              <w:left w:val="single" w:sz="4" w:space="0" w:color="auto"/>
              <w:bottom w:val="single" w:sz="4" w:space="0" w:color="auto"/>
              <w:right w:val="single" w:sz="8" w:space="0" w:color="auto"/>
            </w:tcBorders>
            <w:vAlign w:val="center"/>
            <w:hideMark/>
          </w:tcPr>
          <w:p w14:paraId="20FF0BA3" w14:textId="0FA1301F" w:rsidR="00DD2BFA" w:rsidRDefault="00DD2BFA" w:rsidP="0090641F">
            <w:pPr>
              <w:spacing w:after="0" w:line="240" w:lineRule="auto"/>
              <w:rPr>
                <w:rFonts w:ascii="Segoe UI" w:eastAsia="Times New Roman" w:hAnsi="Segoe UI" w:cs="Segoe UI"/>
                <w:color w:val="000000"/>
                <w:kern w:val="0"/>
                <w:sz w:val="22"/>
                <w:szCs w:val="22"/>
                <w:lang w:val="en-AU" w:eastAsia="en-AU"/>
                <w14:ligatures w14:val="none"/>
              </w:rPr>
            </w:pPr>
            <w:r w:rsidRPr="00687AB5">
              <w:rPr>
                <w:rFonts w:ascii="Segoe UI" w:eastAsia="Times New Roman" w:hAnsi="Segoe UI" w:cs="Segoe UI"/>
                <w:color w:val="000000"/>
                <w:kern w:val="0"/>
                <w:sz w:val="22"/>
                <w:szCs w:val="22"/>
                <w:lang w:val="en-AU" w:eastAsia="en-AU"/>
                <w14:ligatures w14:val="none"/>
              </w:rPr>
              <w:t>DFAT will strengthen MEL design in future programs to support improved fidelity tracking and learning</w:t>
            </w:r>
            <w:r w:rsidR="006F1616">
              <w:rPr>
                <w:rFonts w:ascii="Segoe UI" w:eastAsia="Times New Roman" w:hAnsi="Segoe UI" w:cs="Segoe UI"/>
                <w:color w:val="000000"/>
                <w:kern w:val="0"/>
                <w:sz w:val="22"/>
                <w:szCs w:val="22"/>
                <w:lang w:val="en-AU" w:eastAsia="en-AU"/>
                <w14:ligatures w14:val="none"/>
              </w:rPr>
              <w:t>.</w:t>
            </w:r>
          </w:p>
          <w:p w14:paraId="6548CC80" w14:textId="1F465E7C" w:rsidR="00DD2BFA" w:rsidRPr="008E3C73" w:rsidRDefault="00DD2BFA" w:rsidP="0090641F">
            <w:pPr>
              <w:spacing w:after="0" w:line="240" w:lineRule="auto"/>
              <w:rPr>
                <w:rFonts w:ascii="Segoe UI" w:eastAsia="Times New Roman" w:hAnsi="Segoe UI" w:cs="Segoe UI"/>
                <w:color w:val="000000"/>
                <w:kern w:val="0"/>
                <w:sz w:val="22"/>
                <w:szCs w:val="22"/>
                <w:lang w:val="en-AU" w:eastAsia="en-AU"/>
                <w14:ligatures w14:val="none"/>
              </w:rPr>
            </w:pPr>
          </w:p>
        </w:tc>
      </w:tr>
      <w:tr w:rsidR="00DD2BFA" w:rsidRPr="008E3C73" w14:paraId="424CD3B1" w14:textId="77777777" w:rsidTr="0090641F">
        <w:trPr>
          <w:trHeight w:val="2110"/>
        </w:trPr>
        <w:tc>
          <w:tcPr>
            <w:tcW w:w="709" w:type="dxa"/>
            <w:tcBorders>
              <w:top w:val="nil"/>
              <w:left w:val="single" w:sz="8" w:space="0" w:color="auto"/>
              <w:bottom w:val="single" w:sz="4" w:space="0" w:color="auto"/>
              <w:right w:val="single" w:sz="8" w:space="0" w:color="auto"/>
            </w:tcBorders>
            <w:shd w:val="clear" w:color="000000" w:fill="F5F5F5"/>
            <w:vAlign w:val="center"/>
            <w:hideMark/>
          </w:tcPr>
          <w:p w14:paraId="3479782F" w14:textId="77777777" w:rsidR="00DD2BFA" w:rsidRPr="008E3C73" w:rsidRDefault="00DD2BFA" w:rsidP="008E3C73">
            <w:pPr>
              <w:spacing w:after="0" w:line="240" w:lineRule="auto"/>
              <w:jc w:val="center"/>
              <w:rPr>
                <w:rFonts w:ascii="Segoe UI" w:eastAsia="Times New Roman" w:hAnsi="Segoe UI" w:cs="Segoe UI"/>
                <w:b/>
                <w:bCs/>
                <w:color w:val="000000"/>
                <w:kern w:val="0"/>
                <w:sz w:val="22"/>
                <w:szCs w:val="22"/>
                <w:lang w:val="en-AU" w:eastAsia="en-AU"/>
                <w14:ligatures w14:val="none"/>
              </w:rPr>
            </w:pPr>
            <w:r w:rsidRPr="008E3C73">
              <w:rPr>
                <w:rFonts w:ascii="Segoe UI" w:eastAsia="Times New Roman" w:hAnsi="Segoe UI" w:cs="Segoe UI"/>
                <w:b/>
                <w:bCs/>
                <w:color w:val="000000"/>
                <w:kern w:val="0"/>
                <w:sz w:val="22"/>
                <w:szCs w:val="22"/>
                <w:lang w:val="en-AU" w:eastAsia="en-AU"/>
                <w14:ligatures w14:val="none"/>
              </w:rPr>
              <w:t>2</w:t>
            </w:r>
          </w:p>
        </w:tc>
        <w:tc>
          <w:tcPr>
            <w:tcW w:w="2045" w:type="dxa"/>
            <w:tcBorders>
              <w:top w:val="nil"/>
              <w:left w:val="nil"/>
              <w:bottom w:val="single" w:sz="4" w:space="0" w:color="auto"/>
              <w:right w:val="single" w:sz="8" w:space="0" w:color="auto"/>
            </w:tcBorders>
            <w:vAlign w:val="center"/>
            <w:hideMark/>
          </w:tcPr>
          <w:p w14:paraId="3304859B" w14:textId="77777777" w:rsidR="00DD2BFA" w:rsidRPr="008E3C73" w:rsidRDefault="00DD2BFA" w:rsidP="0090641F">
            <w:pPr>
              <w:spacing w:after="0" w:line="240" w:lineRule="auto"/>
              <w:rPr>
                <w:rFonts w:ascii="Segoe UI" w:eastAsia="Times New Roman" w:hAnsi="Segoe UI" w:cs="Segoe UI"/>
                <w:b/>
                <w:bCs/>
                <w:color w:val="000000"/>
                <w:kern w:val="0"/>
                <w:sz w:val="22"/>
                <w:szCs w:val="22"/>
                <w:lang w:val="en-AU" w:eastAsia="en-AU"/>
                <w14:ligatures w14:val="none"/>
              </w:rPr>
            </w:pPr>
            <w:r w:rsidRPr="008E3C73">
              <w:rPr>
                <w:rFonts w:ascii="Segoe UI" w:eastAsia="Times New Roman" w:hAnsi="Segoe UI" w:cs="Segoe UI"/>
                <w:b/>
                <w:bCs/>
                <w:color w:val="000000"/>
                <w:kern w:val="0"/>
                <w:sz w:val="22"/>
                <w:szCs w:val="22"/>
                <w:lang w:val="en-AU" w:eastAsia="en-AU"/>
                <w14:ligatures w14:val="none"/>
              </w:rPr>
              <w:t>Document and analyse high</w:t>
            </w:r>
            <w:r w:rsidRPr="008E3C73">
              <w:rPr>
                <w:rFonts w:ascii="Segoe UI" w:eastAsia="Times New Roman" w:hAnsi="Segoe UI" w:cs="Segoe UI"/>
                <w:b/>
                <w:bCs/>
                <w:color w:val="000000"/>
                <w:kern w:val="0"/>
                <w:sz w:val="22"/>
                <w:szCs w:val="22"/>
                <w:lang w:val="en-AU" w:eastAsia="en-AU"/>
                <w14:ligatures w14:val="none"/>
              </w:rPr>
              <w:noBreakHyphen/>
              <w:t>performing mentorship cases to inform future practice.</w:t>
            </w:r>
          </w:p>
        </w:tc>
        <w:tc>
          <w:tcPr>
            <w:tcW w:w="2917" w:type="dxa"/>
            <w:tcBorders>
              <w:top w:val="nil"/>
              <w:left w:val="nil"/>
              <w:bottom w:val="single" w:sz="4" w:space="0" w:color="auto"/>
              <w:right w:val="single" w:sz="8" w:space="0" w:color="auto"/>
            </w:tcBorders>
            <w:vAlign w:val="center"/>
            <w:hideMark/>
          </w:tcPr>
          <w:p w14:paraId="4F865FAD" w14:textId="77777777" w:rsidR="00DD2BFA" w:rsidRPr="008E3C73" w:rsidRDefault="00DD2BFA" w:rsidP="0090641F">
            <w:pPr>
              <w:spacing w:after="0" w:line="240" w:lineRule="auto"/>
              <w:rPr>
                <w:rFonts w:ascii="Segoe UI" w:eastAsia="Times New Roman" w:hAnsi="Segoe UI" w:cs="Segoe UI"/>
                <w:color w:val="000000"/>
                <w:kern w:val="0"/>
                <w:sz w:val="22"/>
                <w:szCs w:val="22"/>
                <w:lang w:val="en-AU" w:eastAsia="en-AU"/>
                <w14:ligatures w14:val="none"/>
              </w:rPr>
            </w:pPr>
            <w:r w:rsidRPr="008E3C73">
              <w:rPr>
                <w:rFonts w:ascii="Segoe UI" w:eastAsia="Times New Roman" w:hAnsi="Segoe UI" w:cs="Segoe UI"/>
                <w:color w:val="000000"/>
                <w:kern w:val="0"/>
                <w:sz w:val="22"/>
                <w:szCs w:val="22"/>
                <w:lang w:val="en-AU" w:eastAsia="en-AU"/>
                <w14:ligatures w14:val="none"/>
              </w:rPr>
              <w:t>A subset of long</w:t>
            </w:r>
            <w:r w:rsidRPr="008E3C73">
              <w:rPr>
                <w:rFonts w:ascii="Segoe UI" w:eastAsia="Times New Roman" w:hAnsi="Segoe UI" w:cs="Segoe UI"/>
                <w:color w:val="000000"/>
                <w:kern w:val="0"/>
                <w:sz w:val="22"/>
                <w:szCs w:val="22"/>
                <w:lang w:val="en-AU" w:eastAsia="en-AU"/>
                <w14:ligatures w14:val="none"/>
              </w:rPr>
              <w:noBreakHyphen/>
              <w:t>term schools demonstrated sustained literacy gains, suggesting the presence of effective mentorship practices and a potential maturation effect.</w:t>
            </w:r>
          </w:p>
        </w:tc>
        <w:tc>
          <w:tcPr>
            <w:tcW w:w="4536" w:type="dxa"/>
            <w:tcBorders>
              <w:top w:val="nil"/>
              <w:left w:val="nil"/>
              <w:bottom w:val="single" w:sz="4" w:space="0" w:color="auto"/>
              <w:right w:val="single" w:sz="4" w:space="0" w:color="auto"/>
            </w:tcBorders>
            <w:vAlign w:val="center"/>
          </w:tcPr>
          <w:p w14:paraId="3D8EDF75" w14:textId="4BEBE698" w:rsidR="00215CBB" w:rsidRDefault="00215CBB" w:rsidP="0090641F">
            <w:pPr>
              <w:spacing w:after="0" w:line="240" w:lineRule="auto"/>
              <w:rPr>
                <w:rFonts w:ascii="Segoe UI" w:eastAsia="Times New Roman" w:hAnsi="Segoe UI" w:cs="Segoe UI"/>
                <w:color w:val="000000"/>
                <w:kern w:val="0"/>
                <w:sz w:val="22"/>
                <w:szCs w:val="22"/>
                <w:lang w:val="en-AU" w:eastAsia="en-AU"/>
                <w14:ligatures w14:val="none"/>
              </w:rPr>
            </w:pPr>
            <w:r w:rsidRPr="008E3C73">
              <w:rPr>
                <w:rFonts w:ascii="Segoe UI" w:eastAsia="Times New Roman" w:hAnsi="Segoe UI" w:cs="Segoe UI"/>
                <w:color w:val="000000"/>
                <w:kern w:val="0"/>
                <w:sz w:val="22"/>
                <w:szCs w:val="22"/>
                <w:lang w:val="en-AU" w:eastAsia="en-AU"/>
                <w14:ligatures w14:val="none"/>
              </w:rPr>
              <w:t xml:space="preserve">DFAT </w:t>
            </w:r>
            <w:r>
              <w:rPr>
                <w:rFonts w:ascii="Segoe UI" w:eastAsia="Times New Roman" w:hAnsi="Segoe UI" w:cs="Segoe UI"/>
                <w:color w:val="000000"/>
                <w:kern w:val="0"/>
                <w:sz w:val="22"/>
                <w:szCs w:val="22"/>
                <w:lang w:val="en-AU" w:eastAsia="en-AU"/>
                <w14:ligatures w14:val="none"/>
              </w:rPr>
              <w:t>partially agrees</w:t>
            </w:r>
            <w:r w:rsidR="000C2A5B">
              <w:rPr>
                <w:rFonts w:ascii="Segoe UI" w:eastAsia="Times New Roman" w:hAnsi="Segoe UI" w:cs="Segoe UI"/>
                <w:color w:val="000000"/>
                <w:kern w:val="0"/>
                <w:sz w:val="22"/>
                <w:szCs w:val="22"/>
                <w:lang w:val="en-AU" w:eastAsia="en-AU"/>
                <w14:ligatures w14:val="none"/>
              </w:rPr>
              <w:t>.  C</w:t>
            </w:r>
            <w:r>
              <w:rPr>
                <w:rFonts w:ascii="Segoe UI" w:eastAsia="Times New Roman" w:hAnsi="Segoe UI" w:cs="Segoe UI"/>
                <w:color w:val="000000"/>
                <w:kern w:val="0"/>
                <w:sz w:val="22"/>
                <w:szCs w:val="22"/>
                <w:lang w:val="en-AU" w:eastAsia="en-AU"/>
                <w14:ligatures w14:val="none"/>
              </w:rPr>
              <w:t xml:space="preserve">ase studies could give valuable insights. </w:t>
            </w:r>
            <w:r w:rsidR="00711198">
              <w:rPr>
                <w:rFonts w:ascii="Segoe UI" w:eastAsia="Times New Roman" w:hAnsi="Segoe UI" w:cs="Segoe UI"/>
                <w:color w:val="000000"/>
                <w:kern w:val="0"/>
                <w:sz w:val="22"/>
                <w:szCs w:val="22"/>
                <w:lang w:val="en-AU" w:eastAsia="en-AU"/>
                <w14:ligatures w14:val="none"/>
              </w:rPr>
              <w:t>D</w:t>
            </w:r>
            <w:r w:rsidRPr="008E3C73">
              <w:rPr>
                <w:rFonts w:ascii="Segoe UI" w:eastAsia="Times New Roman" w:hAnsi="Segoe UI" w:cs="Segoe UI"/>
                <w:color w:val="000000"/>
                <w:kern w:val="0"/>
                <w:sz w:val="22"/>
                <w:szCs w:val="22"/>
                <w:lang w:val="en-AU" w:eastAsia="en-AU"/>
                <w14:ligatures w14:val="none"/>
              </w:rPr>
              <w:t xml:space="preserve">uring the final year of support under PHD, </w:t>
            </w:r>
            <w:r>
              <w:rPr>
                <w:rFonts w:ascii="Segoe UI" w:eastAsia="Times New Roman" w:hAnsi="Segoe UI" w:cs="Segoe UI"/>
                <w:color w:val="000000"/>
                <w:kern w:val="0"/>
                <w:sz w:val="22"/>
                <w:szCs w:val="22"/>
                <w:lang w:val="en-AU" w:eastAsia="en-AU"/>
                <w14:ligatures w14:val="none"/>
              </w:rPr>
              <w:t xml:space="preserve">attention was focused on institutionalisation of ALMA in relevant areas of the </w:t>
            </w:r>
            <w:proofErr w:type="spellStart"/>
            <w:r>
              <w:rPr>
                <w:rFonts w:ascii="Segoe UI" w:eastAsia="Times New Roman" w:hAnsi="Segoe UI" w:cs="Segoe UI"/>
                <w:color w:val="000000"/>
                <w:kern w:val="0"/>
                <w:sz w:val="22"/>
                <w:szCs w:val="22"/>
                <w:lang w:val="en-AU" w:eastAsia="en-AU"/>
                <w14:ligatures w14:val="none"/>
              </w:rPr>
              <w:t>MoE</w:t>
            </w:r>
            <w:proofErr w:type="spellEnd"/>
            <w:r w:rsidR="00275554">
              <w:rPr>
                <w:rFonts w:ascii="Segoe UI" w:eastAsia="Times New Roman" w:hAnsi="Segoe UI" w:cs="Segoe UI"/>
                <w:color w:val="000000"/>
                <w:kern w:val="0"/>
                <w:sz w:val="22"/>
                <w:szCs w:val="22"/>
                <w:lang w:val="en-AU" w:eastAsia="en-AU"/>
                <w14:ligatures w14:val="none"/>
              </w:rPr>
              <w:t>,</w:t>
            </w:r>
            <w:r>
              <w:rPr>
                <w:rFonts w:ascii="Segoe UI" w:eastAsia="Times New Roman" w:hAnsi="Segoe UI" w:cs="Segoe UI"/>
                <w:color w:val="000000"/>
                <w:kern w:val="0"/>
                <w:sz w:val="22"/>
                <w:szCs w:val="22"/>
                <w:lang w:val="en-AU" w:eastAsia="en-AU"/>
                <w14:ligatures w14:val="none"/>
              </w:rPr>
              <w:t xml:space="preserve"> rather than analytical pieces.  </w:t>
            </w:r>
          </w:p>
          <w:p w14:paraId="7A2DDDED" w14:textId="77777777" w:rsidR="00DD2BFA" w:rsidRPr="008E3C73" w:rsidRDefault="00DD2BFA" w:rsidP="0090641F">
            <w:pPr>
              <w:spacing w:after="0" w:line="240" w:lineRule="auto"/>
              <w:rPr>
                <w:rFonts w:ascii="Segoe UI" w:eastAsia="Times New Roman" w:hAnsi="Segoe UI" w:cs="Segoe UI"/>
                <w:color w:val="000000"/>
                <w:kern w:val="0"/>
                <w:sz w:val="22"/>
                <w:szCs w:val="22"/>
                <w:lang w:val="en-AU" w:eastAsia="en-AU"/>
                <w14:ligatures w14:val="none"/>
              </w:rPr>
            </w:pPr>
          </w:p>
        </w:tc>
        <w:tc>
          <w:tcPr>
            <w:tcW w:w="3743" w:type="dxa"/>
            <w:tcBorders>
              <w:top w:val="nil"/>
              <w:left w:val="single" w:sz="4" w:space="0" w:color="auto"/>
              <w:bottom w:val="single" w:sz="4" w:space="0" w:color="auto"/>
              <w:right w:val="single" w:sz="8" w:space="0" w:color="auto"/>
            </w:tcBorders>
            <w:vAlign w:val="center"/>
            <w:hideMark/>
          </w:tcPr>
          <w:p w14:paraId="71115DEA" w14:textId="00B50162" w:rsidR="00DD2BFA" w:rsidRPr="008E3C73" w:rsidRDefault="00DD2BFA" w:rsidP="0090641F">
            <w:pPr>
              <w:spacing w:after="0" w:line="240" w:lineRule="auto"/>
              <w:rPr>
                <w:rFonts w:ascii="Segoe UI" w:eastAsia="Times New Roman" w:hAnsi="Segoe UI" w:cs="Segoe UI"/>
                <w:color w:val="000000"/>
                <w:kern w:val="0"/>
                <w:sz w:val="22"/>
                <w:szCs w:val="22"/>
                <w:lang w:val="en-AU" w:eastAsia="en-AU"/>
                <w14:ligatures w14:val="none"/>
              </w:rPr>
            </w:pPr>
            <w:r>
              <w:rPr>
                <w:rFonts w:ascii="Segoe UI" w:eastAsia="Times New Roman" w:hAnsi="Segoe UI" w:cs="Segoe UI"/>
                <w:color w:val="000000"/>
                <w:kern w:val="0"/>
                <w:sz w:val="22"/>
                <w:szCs w:val="22"/>
                <w:lang w:val="en-AU" w:eastAsia="en-AU"/>
                <w14:ligatures w14:val="none"/>
              </w:rPr>
              <w:t xml:space="preserve">DFAT will work with the Ministry in our future program (starting 2026) to continue to learn from ALMA </w:t>
            </w:r>
            <w:r w:rsidR="0090641F">
              <w:rPr>
                <w:rFonts w:ascii="Segoe UI" w:eastAsia="Times New Roman" w:hAnsi="Segoe UI" w:cs="Segoe UI"/>
                <w:color w:val="000000"/>
                <w:kern w:val="0"/>
                <w:sz w:val="22"/>
                <w:szCs w:val="22"/>
                <w:lang w:val="en-AU" w:eastAsia="en-AU"/>
                <w14:ligatures w14:val="none"/>
              </w:rPr>
              <w:t>implementation and</w:t>
            </w:r>
            <w:r>
              <w:rPr>
                <w:rFonts w:ascii="Segoe UI" w:eastAsia="Times New Roman" w:hAnsi="Segoe UI" w:cs="Segoe UI"/>
                <w:color w:val="000000"/>
                <w:kern w:val="0"/>
                <w:sz w:val="22"/>
                <w:szCs w:val="22"/>
                <w:lang w:val="en-AU" w:eastAsia="en-AU"/>
                <w14:ligatures w14:val="none"/>
              </w:rPr>
              <w:t xml:space="preserve"> continue to strengthen </w:t>
            </w:r>
            <w:proofErr w:type="spellStart"/>
            <w:r>
              <w:rPr>
                <w:rFonts w:ascii="Segoe UI" w:eastAsia="Times New Roman" w:hAnsi="Segoe UI" w:cs="Segoe UI"/>
                <w:color w:val="000000"/>
                <w:kern w:val="0"/>
                <w:sz w:val="22"/>
                <w:szCs w:val="22"/>
                <w:lang w:val="en-AU" w:eastAsia="en-AU"/>
                <w14:ligatures w14:val="none"/>
              </w:rPr>
              <w:t>MoE</w:t>
            </w:r>
            <w:proofErr w:type="spellEnd"/>
            <w:r>
              <w:rPr>
                <w:rFonts w:ascii="Segoe UI" w:eastAsia="Times New Roman" w:hAnsi="Segoe UI" w:cs="Segoe UI"/>
                <w:color w:val="000000"/>
                <w:kern w:val="0"/>
                <w:sz w:val="22"/>
                <w:szCs w:val="22"/>
                <w:lang w:val="en-AU" w:eastAsia="en-AU"/>
                <w14:ligatures w14:val="none"/>
              </w:rPr>
              <w:t xml:space="preserve"> systems.</w:t>
            </w:r>
          </w:p>
        </w:tc>
      </w:tr>
      <w:tr w:rsidR="00DD2BFA" w:rsidRPr="008E3C73" w14:paraId="1AB4E424" w14:textId="77777777" w:rsidTr="0090641F">
        <w:trPr>
          <w:trHeight w:val="2310"/>
        </w:trPr>
        <w:tc>
          <w:tcPr>
            <w:tcW w:w="709" w:type="dxa"/>
            <w:tcBorders>
              <w:top w:val="nil"/>
              <w:left w:val="single" w:sz="8" w:space="0" w:color="auto"/>
              <w:bottom w:val="single" w:sz="4" w:space="0" w:color="auto"/>
              <w:right w:val="single" w:sz="8" w:space="0" w:color="auto"/>
            </w:tcBorders>
            <w:shd w:val="clear" w:color="000000" w:fill="F5F5F5"/>
            <w:vAlign w:val="center"/>
            <w:hideMark/>
          </w:tcPr>
          <w:p w14:paraId="1862068B" w14:textId="77777777" w:rsidR="00DD2BFA" w:rsidRPr="008E3C73" w:rsidRDefault="00DD2BFA" w:rsidP="008E3C73">
            <w:pPr>
              <w:spacing w:after="0" w:line="240" w:lineRule="auto"/>
              <w:jc w:val="center"/>
              <w:rPr>
                <w:rFonts w:ascii="Segoe UI" w:eastAsia="Times New Roman" w:hAnsi="Segoe UI" w:cs="Segoe UI"/>
                <w:b/>
                <w:bCs/>
                <w:color w:val="000000"/>
                <w:kern w:val="0"/>
                <w:sz w:val="22"/>
                <w:szCs w:val="22"/>
                <w:lang w:val="en-AU" w:eastAsia="en-AU"/>
                <w14:ligatures w14:val="none"/>
              </w:rPr>
            </w:pPr>
            <w:r w:rsidRPr="008E3C73">
              <w:rPr>
                <w:rFonts w:ascii="Segoe UI" w:eastAsia="Times New Roman" w:hAnsi="Segoe UI" w:cs="Segoe UI"/>
                <w:b/>
                <w:bCs/>
                <w:color w:val="000000"/>
                <w:kern w:val="0"/>
                <w:sz w:val="22"/>
                <w:szCs w:val="22"/>
                <w:lang w:val="en-AU" w:eastAsia="en-AU"/>
                <w14:ligatures w14:val="none"/>
              </w:rPr>
              <w:t>3</w:t>
            </w:r>
          </w:p>
        </w:tc>
        <w:tc>
          <w:tcPr>
            <w:tcW w:w="2045" w:type="dxa"/>
            <w:tcBorders>
              <w:top w:val="nil"/>
              <w:left w:val="nil"/>
              <w:bottom w:val="single" w:sz="4" w:space="0" w:color="auto"/>
              <w:right w:val="single" w:sz="8" w:space="0" w:color="auto"/>
            </w:tcBorders>
            <w:vAlign w:val="center"/>
            <w:hideMark/>
          </w:tcPr>
          <w:p w14:paraId="03A1C2CA" w14:textId="77777777" w:rsidR="00DD2BFA" w:rsidRPr="008E3C73" w:rsidRDefault="00DD2BFA" w:rsidP="0090641F">
            <w:pPr>
              <w:spacing w:after="0" w:line="240" w:lineRule="auto"/>
              <w:rPr>
                <w:rFonts w:ascii="Segoe UI" w:eastAsia="Times New Roman" w:hAnsi="Segoe UI" w:cs="Segoe UI"/>
                <w:b/>
                <w:bCs/>
                <w:color w:val="000000"/>
                <w:kern w:val="0"/>
                <w:sz w:val="22"/>
                <w:szCs w:val="22"/>
                <w:lang w:val="en-AU" w:eastAsia="en-AU"/>
                <w14:ligatures w14:val="none"/>
              </w:rPr>
            </w:pPr>
            <w:r w:rsidRPr="008E3C73">
              <w:rPr>
                <w:rFonts w:ascii="Segoe UI" w:eastAsia="Times New Roman" w:hAnsi="Segoe UI" w:cs="Segoe UI"/>
                <w:b/>
                <w:bCs/>
                <w:color w:val="000000"/>
                <w:kern w:val="0"/>
                <w:sz w:val="22"/>
                <w:szCs w:val="22"/>
                <w:lang w:val="en-AU" w:eastAsia="en-AU"/>
                <w14:ligatures w14:val="none"/>
              </w:rPr>
              <w:t>Refine and strengthen approaches that support non</w:t>
            </w:r>
            <w:r w:rsidRPr="008E3C73">
              <w:rPr>
                <w:rFonts w:ascii="Segoe UI" w:eastAsia="Times New Roman" w:hAnsi="Segoe UI" w:cs="Segoe UI"/>
                <w:b/>
                <w:bCs/>
                <w:color w:val="000000"/>
                <w:kern w:val="0"/>
                <w:sz w:val="22"/>
                <w:szCs w:val="22"/>
                <w:lang w:val="en-AU" w:eastAsia="en-AU"/>
                <w14:ligatures w14:val="none"/>
              </w:rPr>
              <w:noBreakHyphen/>
              <w:t>readers and the most vulnerable learners.</w:t>
            </w:r>
          </w:p>
        </w:tc>
        <w:tc>
          <w:tcPr>
            <w:tcW w:w="2917" w:type="dxa"/>
            <w:tcBorders>
              <w:top w:val="nil"/>
              <w:left w:val="nil"/>
              <w:bottom w:val="single" w:sz="4" w:space="0" w:color="auto"/>
              <w:right w:val="single" w:sz="8" w:space="0" w:color="auto"/>
            </w:tcBorders>
            <w:vAlign w:val="center"/>
            <w:hideMark/>
          </w:tcPr>
          <w:p w14:paraId="6FBA6D03" w14:textId="3E427663" w:rsidR="00DD2BFA" w:rsidRPr="008E3C73" w:rsidRDefault="00DD2BFA" w:rsidP="0090641F">
            <w:pPr>
              <w:spacing w:after="0" w:line="240" w:lineRule="auto"/>
              <w:rPr>
                <w:rFonts w:ascii="Segoe UI" w:eastAsia="Times New Roman" w:hAnsi="Segoe UI" w:cs="Segoe UI"/>
                <w:color w:val="000000"/>
                <w:kern w:val="0"/>
                <w:sz w:val="22"/>
                <w:szCs w:val="22"/>
                <w:lang w:val="en-AU" w:eastAsia="en-AU"/>
                <w14:ligatures w14:val="none"/>
              </w:rPr>
            </w:pPr>
            <w:r w:rsidRPr="008E3C73">
              <w:rPr>
                <w:rFonts w:ascii="Segoe UI" w:eastAsia="Times New Roman" w:hAnsi="Segoe UI" w:cs="Segoe UI"/>
                <w:color w:val="000000"/>
                <w:kern w:val="0"/>
                <w:sz w:val="22"/>
                <w:szCs w:val="22"/>
                <w:lang w:val="en-AU" w:eastAsia="en-AU"/>
                <w14:ligatures w14:val="none"/>
              </w:rPr>
              <w:t>Administrator mentorship was strongly associated with reductions in non</w:t>
            </w:r>
            <w:r w:rsidRPr="008E3C73">
              <w:rPr>
                <w:rFonts w:ascii="Segoe UI" w:eastAsia="Times New Roman" w:hAnsi="Segoe UI" w:cs="Segoe UI"/>
                <w:color w:val="000000"/>
                <w:kern w:val="0"/>
                <w:sz w:val="22"/>
                <w:szCs w:val="22"/>
                <w:lang w:val="en-AU" w:eastAsia="en-AU"/>
                <w14:ligatures w14:val="none"/>
              </w:rPr>
              <w:noBreakHyphen/>
              <w:t>readers, likely through improved formative assessment and school</w:t>
            </w:r>
            <w:r w:rsidRPr="008E3C73">
              <w:rPr>
                <w:rFonts w:ascii="Segoe UI" w:eastAsia="Times New Roman" w:hAnsi="Segoe UI" w:cs="Segoe UI"/>
                <w:color w:val="000000"/>
                <w:kern w:val="0"/>
                <w:sz w:val="22"/>
                <w:szCs w:val="22"/>
                <w:lang w:val="en-AU" w:eastAsia="en-AU"/>
                <w14:ligatures w14:val="none"/>
              </w:rPr>
              <w:noBreakHyphen/>
              <w:t>level support.</w:t>
            </w:r>
            <w:r>
              <w:rPr>
                <w:rFonts w:ascii="Segoe UI" w:eastAsia="Times New Roman" w:hAnsi="Segoe UI" w:cs="Segoe UI"/>
                <w:color w:val="000000"/>
                <w:kern w:val="0"/>
                <w:sz w:val="22"/>
                <w:szCs w:val="22"/>
                <w:lang w:val="en-AU" w:eastAsia="en-AU"/>
                <w14:ligatures w14:val="none"/>
              </w:rPr>
              <w:t xml:space="preserve"> It is important to explore why this is occurring and consider how to scale-up. </w:t>
            </w:r>
          </w:p>
        </w:tc>
        <w:tc>
          <w:tcPr>
            <w:tcW w:w="4536" w:type="dxa"/>
            <w:tcBorders>
              <w:top w:val="nil"/>
              <w:left w:val="nil"/>
              <w:bottom w:val="single" w:sz="4" w:space="0" w:color="auto"/>
              <w:right w:val="single" w:sz="4" w:space="0" w:color="auto"/>
            </w:tcBorders>
            <w:vAlign w:val="center"/>
          </w:tcPr>
          <w:p w14:paraId="6CD5D1CA" w14:textId="698EB47F" w:rsidR="00215CBB" w:rsidRDefault="00215CBB" w:rsidP="0090641F">
            <w:pPr>
              <w:spacing w:after="0" w:line="240" w:lineRule="auto"/>
              <w:rPr>
                <w:rFonts w:ascii="Segoe UI" w:eastAsia="Times New Roman" w:hAnsi="Segoe UI" w:cs="Segoe UI"/>
                <w:color w:val="000000"/>
                <w:kern w:val="0"/>
                <w:sz w:val="22"/>
                <w:szCs w:val="22"/>
                <w:lang w:val="en-AU" w:eastAsia="en-AU"/>
                <w14:ligatures w14:val="none"/>
              </w:rPr>
            </w:pPr>
            <w:r w:rsidRPr="008E3C73">
              <w:rPr>
                <w:rFonts w:ascii="Segoe UI" w:eastAsia="Times New Roman" w:hAnsi="Segoe UI" w:cs="Segoe UI"/>
                <w:color w:val="000000"/>
                <w:kern w:val="0"/>
                <w:sz w:val="22"/>
                <w:szCs w:val="22"/>
                <w:lang w:val="en-AU" w:eastAsia="en-AU"/>
                <w14:ligatures w14:val="none"/>
              </w:rPr>
              <w:t xml:space="preserve">DFAT </w:t>
            </w:r>
            <w:r w:rsidR="00D95924">
              <w:rPr>
                <w:rFonts w:ascii="Segoe UI" w:eastAsia="Times New Roman" w:hAnsi="Segoe UI" w:cs="Segoe UI"/>
                <w:color w:val="000000"/>
                <w:kern w:val="0"/>
                <w:sz w:val="22"/>
                <w:szCs w:val="22"/>
                <w:lang w:val="en-AU" w:eastAsia="en-AU"/>
                <w14:ligatures w14:val="none"/>
              </w:rPr>
              <w:t xml:space="preserve">agrees </w:t>
            </w:r>
            <w:r w:rsidRPr="008E3C73">
              <w:rPr>
                <w:rFonts w:ascii="Segoe UI" w:eastAsia="Times New Roman" w:hAnsi="Segoe UI" w:cs="Segoe UI"/>
                <w:color w:val="000000"/>
                <w:kern w:val="0"/>
                <w:sz w:val="22"/>
                <w:szCs w:val="22"/>
                <w:lang w:val="en-AU" w:eastAsia="en-AU"/>
                <w14:ligatures w14:val="none"/>
              </w:rPr>
              <w:t>that addressing low foundational literacy remains a priority for the Ministry</w:t>
            </w:r>
            <w:r>
              <w:rPr>
                <w:rFonts w:ascii="Segoe UI" w:eastAsia="Times New Roman" w:hAnsi="Segoe UI" w:cs="Segoe UI"/>
                <w:color w:val="000000"/>
                <w:kern w:val="0"/>
                <w:sz w:val="22"/>
                <w:szCs w:val="22"/>
                <w:lang w:val="en-AU" w:eastAsia="en-AU"/>
                <w14:ligatures w14:val="none"/>
              </w:rPr>
              <w:t xml:space="preserve">.  </w:t>
            </w:r>
            <w:r w:rsidRPr="008E3C73">
              <w:rPr>
                <w:rFonts w:ascii="Segoe UI" w:eastAsia="Times New Roman" w:hAnsi="Segoe UI" w:cs="Segoe UI"/>
                <w:color w:val="000000"/>
                <w:kern w:val="0"/>
                <w:sz w:val="22"/>
                <w:szCs w:val="22"/>
                <w:lang w:val="en-AU" w:eastAsia="en-AU"/>
                <w14:ligatures w14:val="none"/>
              </w:rPr>
              <w:t>Ministry leadership has shifted emphasis toward strengthening the capacity of local mentors to directly support teachers’ use of formative assessment and targeted instructional strategies.</w:t>
            </w:r>
          </w:p>
          <w:p w14:paraId="6F4BA43B" w14:textId="77777777" w:rsidR="00DD2BFA" w:rsidRPr="008E3C73" w:rsidRDefault="00DD2BFA" w:rsidP="0090641F">
            <w:pPr>
              <w:spacing w:after="0" w:line="240" w:lineRule="auto"/>
              <w:rPr>
                <w:rFonts w:ascii="Segoe UI" w:eastAsia="Times New Roman" w:hAnsi="Segoe UI" w:cs="Segoe UI"/>
                <w:color w:val="000000"/>
                <w:kern w:val="0"/>
                <w:sz w:val="22"/>
                <w:szCs w:val="22"/>
                <w:lang w:val="en-AU" w:eastAsia="en-AU"/>
                <w14:ligatures w14:val="none"/>
              </w:rPr>
            </w:pPr>
          </w:p>
        </w:tc>
        <w:tc>
          <w:tcPr>
            <w:tcW w:w="3743" w:type="dxa"/>
            <w:tcBorders>
              <w:top w:val="nil"/>
              <w:left w:val="single" w:sz="4" w:space="0" w:color="auto"/>
              <w:bottom w:val="single" w:sz="4" w:space="0" w:color="auto"/>
              <w:right w:val="single" w:sz="8" w:space="0" w:color="auto"/>
            </w:tcBorders>
            <w:vAlign w:val="center"/>
            <w:hideMark/>
          </w:tcPr>
          <w:p w14:paraId="3F082DDD" w14:textId="77777777" w:rsidR="00DD2BFA" w:rsidRDefault="00DD2BFA" w:rsidP="0090641F">
            <w:pPr>
              <w:spacing w:after="0" w:line="240" w:lineRule="auto"/>
              <w:rPr>
                <w:rFonts w:ascii="Segoe UI" w:eastAsia="Times New Roman" w:hAnsi="Segoe UI" w:cs="Segoe UI"/>
                <w:color w:val="000000"/>
                <w:kern w:val="0"/>
                <w:sz w:val="22"/>
                <w:szCs w:val="22"/>
                <w:lang w:val="en-AU" w:eastAsia="en-AU"/>
                <w14:ligatures w14:val="none"/>
              </w:rPr>
            </w:pPr>
          </w:p>
          <w:p w14:paraId="5DF4FDAE" w14:textId="4A95892D" w:rsidR="00DD2BFA" w:rsidRPr="008E3C73" w:rsidRDefault="00DD2BFA" w:rsidP="0090641F">
            <w:pPr>
              <w:spacing w:after="0" w:line="240" w:lineRule="auto"/>
              <w:rPr>
                <w:rFonts w:ascii="Segoe UI" w:eastAsia="Times New Roman" w:hAnsi="Segoe UI" w:cs="Segoe UI"/>
                <w:color w:val="000000"/>
                <w:kern w:val="0"/>
                <w:sz w:val="22"/>
                <w:szCs w:val="22"/>
                <w:lang w:val="en-AU" w:eastAsia="en-AU"/>
                <w14:ligatures w14:val="none"/>
              </w:rPr>
            </w:pPr>
            <w:r>
              <w:rPr>
                <w:rFonts w:ascii="Segoe UI" w:eastAsia="Times New Roman" w:hAnsi="Segoe UI" w:cs="Segoe UI"/>
                <w:color w:val="000000"/>
                <w:kern w:val="0"/>
                <w:sz w:val="22"/>
                <w:szCs w:val="22"/>
                <w:lang w:val="en-AU" w:eastAsia="en-AU"/>
                <w14:ligatures w14:val="none"/>
              </w:rPr>
              <w:t xml:space="preserve">DFAT will work with the Ministry to ensure that MEL in our future program (starting 2026) will identify what works to support the most vulnerable learners. </w:t>
            </w:r>
          </w:p>
        </w:tc>
      </w:tr>
      <w:tr w:rsidR="00DD2BFA" w:rsidRPr="008E3C73" w14:paraId="58E6CD73" w14:textId="77777777" w:rsidTr="00AB666B">
        <w:trPr>
          <w:trHeight w:val="2310"/>
        </w:trPr>
        <w:tc>
          <w:tcPr>
            <w:tcW w:w="709" w:type="dxa"/>
            <w:tcBorders>
              <w:top w:val="single" w:sz="4" w:space="0" w:color="auto"/>
              <w:left w:val="single" w:sz="8" w:space="0" w:color="auto"/>
              <w:bottom w:val="single" w:sz="4" w:space="0" w:color="auto"/>
              <w:right w:val="single" w:sz="8" w:space="0" w:color="auto"/>
            </w:tcBorders>
            <w:shd w:val="clear" w:color="000000" w:fill="F5F5F5"/>
            <w:vAlign w:val="center"/>
            <w:hideMark/>
          </w:tcPr>
          <w:p w14:paraId="28A0EA15" w14:textId="77777777" w:rsidR="00DD2BFA" w:rsidRPr="008E3C73" w:rsidRDefault="00DD2BFA" w:rsidP="008E3C73">
            <w:pPr>
              <w:spacing w:after="0" w:line="240" w:lineRule="auto"/>
              <w:jc w:val="center"/>
              <w:rPr>
                <w:rFonts w:ascii="Segoe UI" w:eastAsia="Times New Roman" w:hAnsi="Segoe UI" w:cs="Segoe UI"/>
                <w:b/>
                <w:bCs/>
                <w:color w:val="000000"/>
                <w:kern w:val="0"/>
                <w:sz w:val="22"/>
                <w:szCs w:val="22"/>
                <w:lang w:val="en-AU" w:eastAsia="en-AU"/>
                <w14:ligatures w14:val="none"/>
              </w:rPr>
            </w:pPr>
            <w:r w:rsidRPr="008E3C73">
              <w:rPr>
                <w:rFonts w:ascii="Segoe UI" w:eastAsia="Times New Roman" w:hAnsi="Segoe UI" w:cs="Segoe UI"/>
                <w:b/>
                <w:bCs/>
                <w:color w:val="000000"/>
                <w:kern w:val="0"/>
                <w:sz w:val="22"/>
                <w:szCs w:val="22"/>
                <w:lang w:val="en-AU" w:eastAsia="en-AU"/>
                <w14:ligatures w14:val="none"/>
              </w:rPr>
              <w:lastRenderedPageBreak/>
              <w:t>4</w:t>
            </w:r>
          </w:p>
        </w:tc>
        <w:tc>
          <w:tcPr>
            <w:tcW w:w="2045" w:type="dxa"/>
            <w:tcBorders>
              <w:top w:val="single" w:sz="4" w:space="0" w:color="auto"/>
              <w:left w:val="nil"/>
              <w:bottom w:val="single" w:sz="4" w:space="0" w:color="auto"/>
              <w:right w:val="single" w:sz="8" w:space="0" w:color="auto"/>
            </w:tcBorders>
            <w:vAlign w:val="center"/>
            <w:hideMark/>
          </w:tcPr>
          <w:p w14:paraId="4040F987" w14:textId="77777777" w:rsidR="00DD2BFA" w:rsidRPr="008E3C73" w:rsidRDefault="00DD2BFA" w:rsidP="00AB666B">
            <w:pPr>
              <w:spacing w:after="0" w:line="240" w:lineRule="auto"/>
              <w:rPr>
                <w:rFonts w:ascii="Segoe UI" w:eastAsia="Times New Roman" w:hAnsi="Segoe UI" w:cs="Segoe UI"/>
                <w:b/>
                <w:bCs/>
                <w:color w:val="000000"/>
                <w:kern w:val="0"/>
                <w:sz w:val="22"/>
                <w:szCs w:val="22"/>
                <w:lang w:val="en-AU" w:eastAsia="en-AU"/>
                <w14:ligatures w14:val="none"/>
              </w:rPr>
            </w:pPr>
            <w:r w:rsidRPr="008E3C73">
              <w:rPr>
                <w:rFonts w:ascii="Segoe UI" w:eastAsia="Times New Roman" w:hAnsi="Segoe UI" w:cs="Segoe UI"/>
                <w:b/>
                <w:bCs/>
                <w:color w:val="000000"/>
                <w:kern w:val="0"/>
                <w:sz w:val="22"/>
                <w:szCs w:val="22"/>
                <w:lang w:val="en-AU" w:eastAsia="en-AU"/>
                <w14:ligatures w14:val="none"/>
              </w:rPr>
              <w:t>Develop alternative mentorship approaches for extremely remote schools.</w:t>
            </w:r>
          </w:p>
        </w:tc>
        <w:tc>
          <w:tcPr>
            <w:tcW w:w="2917" w:type="dxa"/>
            <w:tcBorders>
              <w:top w:val="single" w:sz="4" w:space="0" w:color="auto"/>
              <w:left w:val="nil"/>
              <w:bottom w:val="single" w:sz="4" w:space="0" w:color="auto"/>
              <w:right w:val="single" w:sz="8" w:space="0" w:color="auto"/>
            </w:tcBorders>
            <w:vAlign w:val="center"/>
            <w:hideMark/>
          </w:tcPr>
          <w:p w14:paraId="17B177FA" w14:textId="77777777" w:rsidR="00DD2BFA" w:rsidRPr="008E3C73" w:rsidRDefault="00DD2BFA" w:rsidP="00AB666B">
            <w:pPr>
              <w:spacing w:after="0" w:line="240" w:lineRule="auto"/>
              <w:rPr>
                <w:rFonts w:ascii="Segoe UI" w:eastAsia="Times New Roman" w:hAnsi="Segoe UI" w:cs="Segoe UI"/>
                <w:color w:val="000000"/>
                <w:kern w:val="0"/>
                <w:sz w:val="22"/>
                <w:szCs w:val="22"/>
                <w:lang w:val="en-AU" w:eastAsia="en-AU"/>
                <w14:ligatures w14:val="none"/>
              </w:rPr>
            </w:pPr>
            <w:r w:rsidRPr="008E3C73">
              <w:rPr>
                <w:rFonts w:ascii="Segoe UI" w:eastAsia="Times New Roman" w:hAnsi="Segoe UI" w:cs="Segoe UI"/>
                <w:color w:val="000000"/>
                <w:kern w:val="0"/>
                <w:sz w:val="22"/>
                <w:szCs w:val="22"/>
                <w:lang w:val="en-AU" w:eastAsia="en-AU"/>
                <w14:ligatures w14:val="none"/>
              </w:rPr>
              <w:t>Extremely remote schools reported lower mentorship exposure and significantly poorer learning outcomes, reflecting access and feasibility challenges.</w:t>
            </w:r>
          </w:p>
        </w:tc>
        <w:tc>
          <w:tcPr>
            <w:tcW w:w="4536" w:type="dxa"/>
            <w:tcBorders>
              <w:top w:val="single" w:sz="4" w:space="0" w:color="auto"/>
              <w:left w:val="nil"/>
              <w:bottom w:val="single" w:sz="4" w:space="0" w:color="auto"/>
              <w:right w:val="single" w:sz="4" w:space="0" w:color="auto"/>
            </w:tcBorders>
            <w:vAlign w:val="center"/>
          </w:tcPr>
          <w:p w14:paraId="3DA32E1E" w14:textId="50E59B73" w:rsidR="00DD2BFA" w:rsidRPr="008E3C73" w:rsidRDefault="00D95924" w:rsidP="00AB666B">
            <w:pPr>
              <w:spacing w:after="0" w:line="240" w:lineRule="auto"/>
              <w:rPr>
                <w:rFonts w:ascii="Segoe UI" w:eastAsia="Times New Roman" w:hAnsi="Segoe UI" w:cs="Segoe UI"/>
                <w:color w:val="000000"/>
                <w:kern w:val="0"/>
                <w:sz w:val="22"/>
                <w:szCs w:val="22"/>
                <w:lang w:val="en-AU" w:eastAsia="en-AU"/>
                <w14:ligatures w14:val="none"/>
              </w:rPr>
            </w:pPr>
            <w:r w:rsidRPr="008E3C73">
              <w:rPr>
                <w:rFonts w:ascii="Segoe UI" w:eastAsia="Times New Roman" w:hAnsi="Segoe UI" w:cs="Segoe UI"/>
                <w:color w:val="000000"/>
                <w:kern w:val="0"/>
                <w:sz w:val="22"/>
                <w:szCs w:val="22"/>
                <w:lang w:val="en-AU" w:eastAsia="en-AU"/>
                <w14:ligatures w14:val="none"/>
              </w:rPr>
              <w:t xml:space="preserve">DFAT </w:t>
            </w:r>
            <w:r w:rsidR="00917F00">
              <w:rPr>
                <w:rFonts w:ascii="Segoe UI" w:eastAsia="Times New Roman" w:hAnsi="Segoe UI" w:cs="Segoe UI"/>
                <w:color w:val="000000"/>
                <w:kern w:val="0"/>
                <w:sz w:val="22"/>
                <w:szCs w:val="22"/>
                <w:lang w:val="en-AU" w:eastAsia="en-AU"/>
                <w14:ligatures w14:val="none"/>
              </w:rPr>
              <w:t xml:space="preserve">agrees </w:t>
            </w:r>
            <w:r w:rsidR="004D633F">
              <w:rPr>
                <w:rFonts w:ascii="Segoe UI" w:eastAsia="Times New Roman" w:hAnsi="Segoe UI" w:cs="Segoe UI"/>
                <w:color w:val="000000"/>
                <w:kern w:val="0"/>
                <w:sz w:val="22"/>
                <w:szCs w:val="22"/>
                <w:lang w:val="en-AU" w:eastAsia="en-AU"/>
                <w14:ligatures w14:val="none"/>
              </w:rPr>
              <w:t>that there are</w:t>
            </w:r>
            <w:r w:rsidRPr="008E3C73">
              <w:rPr>
                <w:rFonts w:ascii="Segoe UI" w:eastAsia="Times New Roman" w:hAnsi="Segoe UI" w:cs="Segoe UI"/>
                <w:color w:val="000000"/>
                <w:kern w:val="0"/>
                <w:sz w:val="22"/>
                <w:szCs w:val="22"/>
                <w:lang w:val="en-AU" w:eastAsia="en-AU"/>
                <w14:ligatures w14:val="none"/>
              </w:rPr>
              <w:t xml:space="preserve"> structural challenges associated with supporting extremely remote schools</w:t>
            </w:r>
            <w:r>
              <w:rPr>
                <w:rFonts w:ascii="Segoe UI" w:eastAsia="Times New Roman" w:hAnsi="Segoe UI" w:cs="Segoe UI"/>
                <w:color w:val="000000"/>
                <w:kern w:val="0"/>
                <w:sz w:val="22"/>
                <w:szCs w:val="22"/>
                <w:lang w:val="en-AU" w:eastAsia="en-AU"/>
                <w14:ligatures w14:val="none"/>
              </w:rPr>
              <w:t>, and that there are many factors that affect learning outcomes in extremely remote areas</w:t>
            </w:r>
            <w:r w:rsidRPr="008E3C73">
              <w:rPr>
                <w:rFonts w:ascii="Segoe UI" w:eastAsia="Times New Roman" w:hAnsi="Segoe UI" w:cs="Segoe UI"/>
                <w:color w:val="000000"/>
                <w:kern w:val="0"/>
                <w:sz w:val="22"/>
                <w:szCs w:val="22"/>
                <w:lang w:val="en-AU" w:eastAsia="en-AU"/>
                <w14:ligatures w14:val="none"/>
              </w:rPr>
              <w:t>.</w:t>
            </w:r>
            <w:r w:rsidR="004D633F">
              <w:rPr>
                <w:rFonts w:ascii="Segoe UI" w:eastAsia="Times New Roman" w:hAnsi="Segoe UI" w:cs="Segoe UI"/>
                <w:color w:val="000000"/>
                <w:kern w:val="0"/>
                <w:sz w:val="22"/>
                <w:szCs w:val="22"/>
                <w:lang w:val="en-AU" w:eastAsia="en-AU"/>
                <w14:ligatures w14:val="none"/>
              </w:rPr>
              <w:t xml:space="preserve"> </w:t>
            </w:r>
            <w:r w:rsidR="004D633F" w:rsidRPr="008E3C73">
              <w:rPr>
                <w:rFonts w:ascii="Segoe UI" w:eastAsia="Times New Roman" w:hAnsi="Segoe UI" w:cs="Segoe UI"/>
                <w:color w:val="000000"/>
                <w:kern w:val="0"/>
                <w:sz w:val="22"/>
                <w:szCs w:val="22"/>
                <w:lang w:val="en-AU" w:eastAsia="en-AU"/>
                <w14:ligatures w14:val="none"/>
              </w:rPr>
              <w:t>During the final year of support under PHD, discussions focused on how the Ministry might adapt mentoring approaches over time</w:t>
            </w:r>
            <w:r w:rsidR="004D633F">
              <w:rPr>
                <w:rFonts w:ascii="Segoe UI" w:eastAsia="Times New Roman" w:hAnsi="Segoe UI" w:cs="Segoe UI"/>
                <w:color w:val="000000"/>
                <w:kern w:val="0"/>
                <w:sz w:val="22"/>
                <w:szCs w:val="22"/>
                <w:lang w:val="en-AU" w:eastAsia="en-AU"/>
                <w14:ligatures w14:val="none"/>
              </w:rPr>
              <w:t xml:space="preserve"> </w:t>
            </w:r>
            <w:r w:rsidR="004D633F" w:rsidRPr="008E3C73">
              <w:rPr>
                <w:rFonts w:ascii="Segoe UI" w:eastAsia="Times New Roman" w:hAnsi="Segoe UI" w:cs="Segoe UI"/>
                <w:color w:val="000000"/>
                <w:kern w:val="0"/>
                <w:sz w:val="22"/>
                <w:szCs w:val="22"/>
                <w:lang w:val="en-AU" w:eastAsia="en-AU"/>
                <w14:ligatures w14:val="none"/>
              </w:rPr>
              <w:t>rather than defining new delivery models</w:t>
            </w:r>
            <w:r w:rsidR="004D633F">
              <w:rPr>
                <w:rFonts w:ascii="Segoe UI" w:eastAsia="Times New Roman" w:hAnsi="Segoe UI" w:cs="Segoe UI"/>
                <w:color w:val="000000"/>
                <w:kern w:val="0"/>
                <w:sz w:val="22"/>
                <w:szCs w:val="22"/>
                <w:lang w:val="en-AU" w:eastAsia="en-AU"/>
                <w14:ligatures w14:val="none"/>
              </w:rPr>
              <w:t>.</w:t>
            </w:r>
          </w:p>
        </w:tc>
        <w:tc>
          <w:tcPr>
            <w:tcW w:w="3743" w:type="dxa"/>
            <w:tcBorders>
              <w:top w:val="single" w:sz="4" w:space="0" w:color="auto"/>
              <w:left w:val="single" w:sz="4" w:space="0" w:color="auto"/>
              <w:bottom w:val="single" w:sz="4" w:space="0" w:color="auto"/>
              <w:right w:val="single" w:sz="8" w:space="0" w:color="auto"/>
            </w:tcBorders>
            <w:vAlign w:val="center"/>
            <w:hideMark/>
          </w:tcPr>
          <w:p w14:paraId="5441DD48" w14:textId="77777777" w:rsidR="00DD2BFA" w:rsidRDefault="00DD2BFA" w:rsidP="00AB666B">
            <w:pPr>
              <w:spacing w:after="0" w:line="240" w:lineRule="auto"/>
              <w:rPr>
                <w:rFonts w:ascii="Segoe UI" w:eastAsia="Times New Roman" w:hAnsi="Segoe UI" w:cs="Segoe UI"/>
                <w:color w:val="000000"/>
                <w:kern w:val="0"/>
                <w:sz w:val="22"/>
                <w:szCs w:val="22"/>
                <w:lang w:val="en-AU" w:eastAsia="en-AU"/>
                <w14:ligatures w14:val="none"/>
              </w:rPr>
            </w:pPr>
          </w:p>
          <w:p w14:paraId="0E5473B0" w14:textId="4B531F3B" w:rsidR="00DD2BFA" w:rsidRPr="008E3C73" w:rsidRDefault="00DD2BFA" w:rsidP="00AB666B">
            <w:pPr>
              <w:spacing w:after="0" w:line="240" w:lineRule="auto"/>
              <w:rPr>
                <w:rFonts w:ascii="Segoe UI" w:eastAsia="Times New Roman" w:hAnsi="Segoe UI" w:cs="Segoe UI"/>
                <w:color w:val="000000"/>
                <w:kern w:val="0"/>
                <w:sz w:val="22"/>
                <w:szCs w:val="22"/>
                <w:lang w:val="en-AU" w:eastAsia="en-AU"/>
                <w14:ligatures w14:val="none"/>
              </w:rPr>
            </w:pPr>
            <w:r>
              <w:rPr>
                <w:rFonts w:ascii="Segoe UI" w:eastAsia="Times New Roman" w:hAnsi="Segoe UI" w:cs="Segoe UI"/>
                <w:color w:val="000000"/>
                <w:kern w:val="0"/>
                <w:sz w:val="22"/>
                <w:szCs w:val="22"/>
                <w:lang w:val="en-AU" w:eastAsia="en-AU"/>
                <w14:ligatures w14:val="none"/>
              </w:rPr>
              <w:t xml:space="preserve">DFAT will work with the Ministry in our future program (starting 2026) to support </w:t>
            </w:r>
            <w:proofErr w:type="spellStart"/>
            <w:r>
              <w:rPr>
                <w:rFonts w:ascii="Segoe UI" w:eastAsia="Times New Roman" w:hAnsi="Segoe UI" w:cs="Segoe UI"/>
                <w:color w:val="000000"/>
                <w:kern w:val="0"/>
                <w:sz w:val="22"/>
                <w:szCs w:val="22"/>
                <w:lang w:val="en-AU" w:eastAsia="en-AU"/>
                <w14:ligatures w14:val="none"/>
              </w:rPr>
              <w:t>MoE</w:t>
            </w:r>
            <w:proofErr w:type="spellEnd"/>
            <w:r>
              <w:rPr>
                <w:rFonts w:ascii="Segoe UI" w:eastAsia="Times New Roman" w:hAnsi="Segoe UI" w:cs="Segoe UI"/>
                <w:color w:val="000000"/>
                <w:kern w:val="0"/>
                <w:sz w:val="22"/>
                <w:szCs w:val="22"/>
                <w:lang w:val="en-AU" w:eastAsia="en-AU"/>
                <w14:ligatures w14:val="none"/>
              </w:rPr>
              <w:t xml:space="preserve"> systems that can strengthen learning outcomes for all Timorese students</w:t>
            </w:r>
            <w:r w:rsidR="00275554">
              <w:rPr>
                <w:rFonts w:ascii="Segoe UI" w:eastAsia="Times New Roman" w:hAnsi="Segoe UI" w:cs="Segoe UI"/>
                <w:color w:val="000000"/>
                <w:kern w:val="0"/>
                <w:sz w:val="22"/>
                <w:szCs w:val="22"/>
                <w:lang w:val="en-AU" w:eastAsia="en-AU"/>
                <w14:ligatures w14:val="none"/>
              </w:rPr>
              <w:t xml:space="preserve">, </w:t>
            </w:r>
            <w:r w:rsidR="00865D03">
              <w:rPr>
                <w:rFonts w:ascii="Segoe UI" w:eastAsia="Times New Roman" w:hAnsi="Segoe UI" w:cs="Segoe UI"/>
                <w:color w:val="000000"/>
                <w:kern w:val="0"/>
                <w:sz w:val="22"/>
                <w:szCs w:val="22"/>
                <w:lang w:val="en-AU" w:eastAsia="en-AU"/>
                <w14:ligatures w14:val="none"/>
              </w:rPr>
              <w:t xml:space="preserve">with a focus on </w:t>
            </w:r>
            <w:r w:rsidR="00275554">
              <w:rPr>
                <w:rFonts w:ascii="Segoe UI" w:eastAsia="Times New Roman" w:hAnsi="Segoe UI" w:cs="Segoe UI"/>
                <w:color w:val="000000"/>
                <w:kern w:val="0"/>
                <w:sz w:val="22"/>
                <w:szCs w:val="22"/>
                <w:lang w:val="en-AU" w:eastAsia="en-AU"/>
                <w14:ligatures w14:val="none"/>
              </w:rPr>
              <w:t xml:space="preserve">inclusion. </w:t>
            </w:r>
          </w:p>
        </w:tc>
      </w:tr>
      <w:tr w:rsidR="00DD2BFA" w:rsidRPr="008E3C73" w14:paraId="246ACA53" w14:textId="77777777" w:rsidTr="00AB666B">
        <w:trPr>
          <w:trHeight w:val="1980"/>
        </w:trPr>
        <w:tc>
          <w:tcPr>
            <w:tcW w:w="709" w:type="dxa"/>
            <w:tcBorders>
              <w:top w:val="nil"/>
              <w:left w:val="single" w:sz="8" w:space="0" w:color="auto"/>
              <w:bottom w:val="single" w:sz="4" w:space="0" w:color="auto"/>
              <w:right w:val="single" w:sz="8" w:space="0" w:color="auto"/>
            </w:tcBorders>
            <w:shd w:val="clear" w:color="000000" w:fill="F5F5F5"/>
            <w:vAlign w:val="center"/>
            <w:hideMark/>
          </w:tcPr>
          <w:p w14:paraId="29649C8E" w14:textId="77777777" w:rsidR="00DD2BFA" w:rsidRPr="008E3C73" w:rsidRDefault="00DD2BFA" w:rsidP="008E3C73">
            <w:pPr>
              <w:spacing w:after="0" w:line="240" w:lineRule="auto"/>
              <w:jc w:val="center"/>
              <w:rPr>
                <w:rFonts w:ascii="Segoe UI" w:eastAsia="Times New Roman" w:hAnsi="Segoe UI" w:cs="Segoe UI"/>
                <w:b/>
                <w:bCs/>
                <w:color w:val="000000"/>
                <w:kern w:val="0"/>
                <w:sz w:val="22"/>
                <w:szCs w:val="22"/>
                <w:lang w:val="en-AU" w:eastAsia="en-AU"/>
                <w14:ligatures w14:val="none"/>
              </w:rPr>
            </w:pPr>
            <w:r w:rsidRPr="008E3C73">
              <w:rPr>
                <w:rFonts w:ascii="Segoe UI" w:eastAsia="Times New Roman" w:hAnsi="Segoe UI" w:cs="Segoe UI"/>
                <w:b/>
                <w:bCs/>
                <w:color w:val="000000"/>
                <w:kern w:val="0"/>
                <w:sz w:val="22"/>
                <w:szCs w:val="22"/>
                <w:lang w:val="en-AU" w:eastAsia="en-AU"/>
                <w14:ligatures w14:val="none"/>
              </w:rPr>
              <w:t>5</w:t>
            </w:r>
          </w:p>
        </w:tc>
        <w:tc>
          <w:tcPr>
            <w:tcW w:w="2045" w:type="dxa"/>
            <w:tcBorders>
              <w:top w:val="nil"/>
              <w:left w:val="nil"/>
              <w:bottom w:val="single" w:sz="4" w:space="0" w:color="auto"/>
              <w:right w:val="single" w:sz="8" w:space="0" w:color="auto"/>
            </w:tcBorders>
            <w:vAlign w:val="center"/>
            <w:hideMark/>
          </w:tcPr>
          <w:p w14:paraId="13D6BD05" w14:textId="77777777" w:rsidR="00DD2BFA" w:rsidRPr="008E3C73" w:rsidRDefault="00DD2BFA" w:rsidP="00AB666B">
            <w:pPr>
              <w:spacing w:after="0" w:line="240" w:lineRule="auto"/>
              <w:rPr>
                <w:rFonts w:ascii="Segoe UI" w:eastAsia="Times New Roman" w:hAnsi="Segoe UI" w:cs="Segoe UI"/>
                <w:b/>
                <w:bCs/>
                <w:color w:val="000000"/>
                <w:kern w:val="0"/>
                <w:sz w:val="22"/>
                <w:szCs w:val="22"/>
                <w:lang w:val="en-AU" w:eastAsia="en-AU"/>
                <w14:ligatures w14:val="none"/>
              </w:rPr>
            </w:pPr>
            <w:r w:rsidRPr="008E3C73">
              <w:rPr>
                <w:rFonts w:ascii="Segoe UI" w:eastAsia="Times New Roman" w:hAnsi="Segoe UI" w:cs="Segoe UI"/>
                <w:b/>
                <w:bCs/>
                <w:color w:val="000000"/>
                <w:kern w:val="0"/>
                <w:sz w:val="22"/>
                <w:szCs w:val="22"/>
                <w:lang w:val="en-AU" w:eastAsia="en-AU"/>
                <w14:ligatures w14:val="none"/>
              </w:rPr>
              <w:t>Strengthen linkages between mentorship and improvements in school conditions (e.g. reading corners, water, school meals).</w:t>
            </w:r>
          </w:p>
        </w:tc>
        <w:tc>
          <w:tcPr>
            <w:tcW w:w="2917" w:type="dxa"/>
            <w:tcBorders>
              <w:top w:val="nil"/>
              <w:left w:val="nil"/>
              <w:bottom w:val="single" w:sz="4" w:space="0" w:color="auto"/>
              <w:right w:val="single" w:sz="8" w:space="0" w:color="auto"/>
            </w:tcBorders>
            <w:vAlign w:val="center"/>
            <w:hideMark/>
          </w:tcPr>
          <w:p w14:paraId="301E1C98" w14:textId="77777777" w:rsidR="00DD2BFA" w:rsidRPr="008E3C73" w:rsidRDefault="00DD2BFA" w:rsidP="00AB666B">
            <w:pPr>
              <w:spacing w:after="0" w:line="240" w:lineRule="auto"/>
              <w:rPr>
                <w:rFonts w:ascii="Segoe UI" w:eastAsia="Times New Roman" w:hAnsi="Segoe UI" w:cs="Segoe UI"/>
                <w:color w:val="000000"/>
                <w:kern w:val="0"/>
                <w:sz w:val="22"/>
                <w:szCs w:val="22"/>
                <w:lang w:val="en-AU" w:eastAsia="en-AU"/>
                <w14:ligatures w14:val="none"/>
              </w:rPr>
            </w:pPr>
            <w:r w:rsidRPr="008E3C73">
              <w:rPr>
                <w:rFonts w:ascii="Segoe UI" w:eastAsia="Times New Roman" w:hAnsi="Segoe UI" w:cs="Segoe UI"/>
                <w:color w:val="000000"/>
                <w:kern w:val="0"/>
                <w:sz w:val="22"/>
                <w:szCs w:val="22"/>
                <w:lang w:val="en-AU" w:eastAsia="en-AU"/>
                <w14:ligatures w14:val="none"/>
              </w:rPr>
              <w:t>Enabling conditions were more prevalent in schools where administrators reported mentorship and were strongly associated with better learning outcomes.</w:t>
            </w:r>
          </w:p>
        </w:tc>
        <w:tc>
          <w:tcPr>
            <w:tcW w:w="4536" w:type="dxa"/>
            <w:tcBorders>
              <w:top w:val="single" w:sz="4" w:space="0" w:color="auto"/>
              <w:left w:val="nil"/>
              <w:bottom w:val="single" w:sz="4" w:space="0" w:color="auto"/>
              <w:right w:val="single" w:sz="4" w:space="0" w:color="auto"/>
            </w:tcBorders>
            <w:vAlign w:val="center"/>
          </w:tcPr>
          <w:p w14:paraId="0BD75366" w14:textId="08BFC2EF" w:rsidR="00DD2BFA" w:rsidRPr="008E3C73" w:rsidRDefault="00AB666B" w:rsidP="00AB666B">
            <w:pPr>
              <w:spacing w:after="0" w:line="240" w:lineRule="auto"/>
              <w:rPr>
                <w:rFonts w:ascii="Segoe UI" w:eastAsia="Times New Roman" w:hAnsi="Segoe UI" w:cs="Segoe UI"/>
                <w:color w:val="000000"/>
                <w:kern w:val="0"/>
                <w:sz w:val="22"/>
                <w:szCs w:val="22"/>
                <w:lang w:val="en-AU" w:eastAsia="en-AU"/>
                <w14:ligatures w14:val="none"/>
              </w:rPr>
            </w:pPr>
            <w:r w:rsidRPr="00865D03">
              <w:rPr>
                <w:rFonts w:ascii="Segoe UI" w:eastAsia="Times New Roman" w:hAnsi="Segoe UI" w:cs="Segoe UI"/>
                <w:color w:val="000000"/>
                <w:kern w:val="0"/>
                <w:sz w:val="22"/>
                <w:szCs w:val="22"/>
                <w:lang w:val="en-AU" w:eastAsia="en-AU"/>
                <w14:ligatures w14:val="none"/>
              </w:rPr>
              <w:t>DFAT notes the importance of enabling conditions for</w:t>
            </w:r>
            <w:r w:rsidRPr="008E3C73">
              <w:rPr>
                <w:rFonts w:ascii="Segoe UI" w:eastAsia="Times New Roman" w:hAnsi="Segoe UI" w:cs="Segoe UI"/>
                <w:color w:val="000000"/>
                <w:kern w:val="0"/>
                <w:sz w:val="22"/>
                <w:szCs w:val="22"/>
                <w:lang w:val="en-AU" w:eastAsia="en-AU"/>
                <w14:ligatures w14:val="none"/>
              </w:rPr>
              <w:t xml:space="preserve"> learning</w:t>
            </w:r>
            <w:r>
              <w:rPr>
                <w:rFonts w:ascii="Segoe UI" w:eastAsia="Times New Roman" w:hAnsi="Segoe UI" w:cs="Segoe UI"/>
                <w:color w:val="000000"/>
                <w:kern w:val="0"/>
                <w:sz w:val="22"/>
                <w:szCs w:val="22"/>
                <w:lang w:val="en-AU" w:eastAsia="en-AU"/>
                <w14:ligatures w14:val="none"/>
              </w:rPr>
              <w:t xml:space="preserve">, however this </w:t>
            </w:r>
            <w:r w:rsidRPr="008E3C73">
              <w:rPr>
                <w:rFonts w:ascii="Segoe UI" w:eastAsia="Times New Roman" w:hAnsi="Segoe UI" w:cs="Segoe UI"/>
                <w:color w:val="000000"/>
                <w:kern w:val="0"/>
                <w:sz w:val="22"/>
                <w:szCs w:val="22"/>
                <w:lang w:val="en-AU" w:eastAsia="en-AU"/>
                <w14:ligatures w14:val="none"/>
              </w:rPr>
              <w:t>w</w:t>
            </w:r>
            <w:r>
              <w:rPr>
                <w:rFonts w:ascii="Segoe UI" w:eastAsia="Times New Roman" w:hAnsi="Segoe UI" w:cs="Segoe UI"/>
                <w:color w:val="000000"/>
                <w:kern w:val="0"/>
                <w:sz w:val="22"/>
                <w:szCs w:val="22"/>
                <w:lang w:val="en-AU" w:eastAsia="en-AU"/>
                <w14:ligatures w14:val="none"/>
              </w:rPr>
              <w:t>as</w:t>
            </w:r>
            <w:r w:rsidRPr="008E3C73">
              <w:rPr>
                <w:rFonts w:ascii="Segoe UI" w:eastAsia="Times New Roman" w:hAnsi="Segoe UI" w:cs="Segoe UI"/>
                <w:color w:val="000000"/>
                <w:kern w:val="0"/>
                <w:sz w:val="22"/>
                <w:szCs w:val="22"/>
                <w:lang w:val="en-AU" w:eastAsia="en-AU"/>
                <w14:ligatures w14:val="none"/>
              </w:rPr>
              <w:t xml:space="preserve"> beyond the scope of PHD in its final year</w:t>
            </w:r>
            <w:r>
              <w:rPr>
                <w:rFonts w:ascii="Segoe UI" w:eastAsia="Times New Roman" w:hAnsi="Segoe UI" w:cs="Segoe UI"/>
                <w:color w:val="000000"/>
                <w:kern w:val="0"/>
                <w:sz w:val="22"/>
                <w:szCs w:val="22"/>
                <w:lang w:val="en-AU" w:eastAsia="en-AU"/>
                <w14:ligatures w14:val="none"/>
              </w:rPr>
              <w:t>.</w:t>
            </w:r>
          </w:p>
        </w:tc>
        <w:tc>
          <w:tcPr>
            <w:tcW w:w="3743" w:type="dxa"/>
            <w:tcBorders>
              <w:top w:val="nil"/>
              <w:left w:val="single" w:sz="4" w:space="0" w:color="auto"/>
              <w:bottom w:val="single" w:sz="4" w:space="0" w:color="auto"/>
              <w:right w:val="single" w:sz="8" w:space="0" w:color="auto"/>
            </w:tcBorders>
            <w:vAlign w:val="center"/>
            <w:hideMark/>
          </w:tcPr>
          <w:p w14:paraId="0E3BBA67" w14:textId="213051F4" w:rsidR="00DD2BFA" w:rsidRPr="008E3C73" w:rsidRDefault="00DD2BFA" w:rsidP="00AB666B">
            <w:pPr>
              <w:spacing w:after="0" w:line="240" w:lineRule="auto"/>
              <w:rPr>
                <w:rFonts w:ascii="Segoe UI" w:eastAsia="Times New Roman" w:hAnsi="Segoe UI" w:cs="Segoe UI"/>
                <w:color w:val="000000"/>
                <w:kern w:val="0"/>
                <w:sz w:val="22"/>
                <w:szCs w:val="22"/>
                <w:lang w:val="en-AU" w:eastAsia="en-AU"/>
                <w14:ligatures w14:val="none"/>
              </w:rPr>
            </w:pPr>
            <w:r>
              <w:rPr>
                <w:rFonts w:ascii="Segoe UI" w:eastAsia="Times New Roman" w:hAnsi="Segoe UI" w:cs="Segoe UI"/>
                <w:color w:val="000000"/>
                <w:kern w:val="0"/>
                <w:sz w:val="22"/>
                <w:szCs w:val="22"/>
                <w:lang w:val="en-AU" w:eastAsia="en-AU"/>
                <w14:ligatures w14:val="none"/>
              </w:rPr>
              <w:t xml:space="preserve">DFAT have shared this evaluation with </w:t>
            </w:r>
            <w:proofErr w:type="spellStart"/>
            <w:r>
              <w:rPr>
                <w:rFonts w:ascii="Segoe UI" w:eastAsia="Times New Roman" w:hAnsi="Segoe UI" w:cs="Segoe UI"/>
                <w:color w:val="000000"/>
                <w:kern w:val="0"/>
                <w:sz w:val="22"/>
                <w:szCs w:val="22"/>
                <w:lang w:val="en-AU" w:eastAsia="en-AU"/>
                <w14:ligatures w14:val="none"/>
              </w:rPr>
              <w:t>MoE</w:t>
            </w:r>
            <w:proofErr w:type="spellEnd"/>
            <w:r>
              <w:rPr>
                <w:rFonts w:ascii="Segoe UI" w:eastAsia="Times New Roman" w:hAnsi="Segoe UI" w:cs="Segoe UI"/>
                <w:color w:val="000000"/>
                <w:kern w:val="0"/>
                <w:sz w:val="22"/>
                <w:szCs w:val="22"/>
                <w:lang w:val="en-AU" w:eastAsia="en-AU"/>
                <w14:ligatures w14:val="none"/>
              </w:rPr>
              <w:t xml:space="preserve"> to inform their management of ALMA.  We will work with the Ministry in our future program (starting 2026) to identify opportunities within our scope to strengthen enabling conditions. </w:t>
            </w:r>
          </w:p>
        </w:tc>
      </w:tr>
      <w:tr w:rsidR="00DD2BFA" w:rsidRPr="008E3C73" w14:paraId="6BE25853" w14:textId="77777777" w:rsidTr="00A370A9">
        <w:trPr>
          <w:trHeight w:val="1980"/>
        </w:trPr>
        <w:tc>
          <w:tcPr>
            <w:tcW w:w="709" w:type="dxa"/>
            <w:tcBorders>
              <w:top w:val="nil"/>
              <w:left w:val="single" w:sz="8" w:space="0" w:color="auto"/>
              <w:bottom w:val="single" w:sz="4" w:space="0" w:color="auto"/>
              <w:right w:val="single" w:sz="8" w:space="0" w:color="auto"/>
            </w:tcBorders>
            <w:shd w:val="clear" w:color="000000" w:fill="F5F5F5"/>
            <w:vAlign w:val="center"/>
            <w:hideMark/>
          </w:tcPr>
          <w:p w14:paraId="2FE0A1E1" w14:textId="77777777" w:rsidR="00DD2BFA" w:rsidRPr="008E3C73" w:rsidRDefault="00DD2BFA" w:rsidP="008E3C73">
            <w:pPr>
              <w:spacing w:after="0" w:line="240" w:lineRule="auto"/>
              <w:jc w:val="center"/>
              <w:rPr>
                <w:rFonts w:ascii="Segoe UI" w:eastAsia="Times New Roman" w:hAnsi="Segoe UI" w:cs="Segoe UI"/>
                <w:b/>
                <w:bCs/>
                <w:color w:val="000000"/>
                <w:kern w:val="0"/>
                <w:sz w:val="22"/>
                <w:szCs w:val="22"/>
                <w:lang w:val="en-AU" w:eastAsia="en-AU"/>
                <w14:ligatures w14:val="none"/>
              </w:rPr>
            </w:pPr>
            <w:r w:rsidRPr="008E3C73">
              <w:rPr>
                <w:rFonts w:ascii="Segoe UI" w:eastAsia="Times New Roman" w:hAnsi="Segoe UI" w:cs="Segoe UI"/>
                <w:b/>
                <w:bCs/>
                <w:color w:val="000000"/>
                <w:kern w:val="0"/>
                <w:sz w:val="22"/>
                <w:szCs w:val="22"/>
                <w:lang w:val="en-AU" w:eastAsia="en-AU"/>
                <w14:ligatures w14:val="none"/>
              </w:rPr>
              <w:t>6</w:t>
            </w:r>
          </w:p>
        </w:tc>
        <w:tc>
          <w:tcPr>
            <w:tcW w:w="2045" w:type="dxa"/>
            <w:tcBorders>
              <w:top w:val="nil"/>
              <w:left w:val="nil"/>
              <w:bottom w:val="single" w:sz="4" w:space="0" w:color="auto"/>
              <w:right w:val="single" w:sz="8" w:space="0" w:color="auto"/>
            </w:tcBorders>
            <w:vAlign w:val="center"/>
            <w:hideMark/>
          </w:tcPr>
          <w:p w14:paraId="57AEF267" w14:textId="77777777" w:rsidR="00DD2BFA" w:rsidRPr="008E3C73" w:rsidRDefault="00DD2BFA" w:rsidP="00AB666B">
            <w:pPr>
              <w:spacing w:after="0" w:line="240" w:lineRule="auto"/>
              <w:rPr>
                <w:rFonts w:ascii="Segoe UI" w:eastAsia="Times New Roman" w:hAnsi="Segoe UI" w:cs="Segoe UI"/>
                <w:b/>
                <w:bCs/>
                <w:color w:val="000000"/>
                <w:kern w:val="0"/>
                <w:sz w:val="22"/>
                <w:szCs w:val="22"/>
                <w:lang w:val="en-AU" w:eastAsia="en-AU"/>
                <w14:ligatures w14:val="none"/>
              </w:rPr>
            </w:pPr>
            <w:r w:rsidRPr="008E3C73">
              <w:rPr>
                <w:rFonts w:ascii="Segoe UI" w:eastAsia="Times New Roman" w:hAnsi="Segoe UI" w:cs="Segoe UI"/>
                <w:b/>
                <w:bCs/>
                <w:color w:val="000000"/>
                <w:kern w:val="0"/>
                <w:sz w:val="22"/>
                <w:szCs w:val="22"/>
                <w:lang w:val="en-AU" w:eastAsia="en-AU"/>
                <w14:ligatures w14:val="none"/>
              </w:rPr>
              <w:t>Address high student and teacher absenteeism through complementary approaches.</w:t>
            </w:r>
          </w:p>
        </w:tc>
        <w:tc>
          <w:tcPr>
            <w:tcW w:w="2917" w:type="dxa"/>
            <w:tcBorders>
              <w:top w:val="nil"/>
              <w:left w:val="nil"/>
              <w:bottom w:val="single" w:sz="4" w:space="0" w:color="auto"/>
              <w:right w:val="single" w:sz="8" w:space="0" w:color="auto"/>
            </w:tcBorders>
            <w:vAlign w:val="center"/>
            <w:hideMark/>
          </w:tcPr>
          <w:p w14:paraId="6D964610" w14:textId="77777777" w:rsidR="00DD2BFA" w:rsidRPr="008E3C73" w:rsidRDefault="00DD2BFA" w:rsidP="00AB666B">
            <w:pPr>
              <w:spacing w:after="0" w:line="240" w:lineRule="auto"/>
              <w:rPr>
                <w:rFonts w:ascii="Segoe UI" w:eastAsia="Times New Roman" w:hAnsi="Segoe UI" w:cs="Segoe UI"/>
                <w:color w:val="000000"/>
                <w:kern w:val="0"/>
                <w:sz w:val="22"/>
                <w:szCs w:val="22"/>
                <w:lang w:val="en-AU" w:eastAsia="en-AU"/>
                <w14:ligatures w14:val="none"/>
              </w:rPr>
            </w:pPr>
            <w:r w:rsidRPr="008E3C73">
              <w:rPr>
                <w:rFonts w:ascii="Segoe UI" w:eastAsia="Times New Roman" w:hAnsi="Segoe UI" w:cs="Segoe UI"/>
                <w:color w:val="000000"/>
                <w:kern w:val="0"/>
                <w:sz w:val="22"/>
                <w:szCs w:val="22"/>
                <w:lang w:val="en-AU" w:eastAsia="en-AU"/>
                <w14:ligatures w14:val="none"/>
              </w:rPr>
              <w:t>Absenteeism levels were high and not directly influenced by mentorship or peer learning activities, likely constraining learning gains.</w:t>
            </w:r>
          </w:p>
        </w:tc>
        <w:tc>
          <w:tcPr>
            <w:tcW w:w="4536" w:type="dxa"/>
            <w:tcBorders>
              <w:top w:val="single" w:sz="4" w:space="0" w:color="auto"/>
              <w:left w:val="nil"/>
              <w:bottom w:val="single" w:sz="4" w:space="0" w:color="auto"/>
              <w:right w:val="single" w:sz="4" w:space="0" w:color="auto"/>
            </w:tcBorders>
            <w:vAlign w:val="center"/>
          </w:tcPr>
          <w:p w14:paraId="73D990AB" w14:textId="61B8830D" w:rsidR="0055228A" w:rsidRPr="00865D03" w:rsidRDefault="0055228A" w:rsidP="0055228A">
            <w:pPr>
              <w:spacing w:after="0" w:line="240" w:lineRule="auto"/>
              <w:rPr>
                <w:rFonts w:ascii="Segoe UI" w:eastAsia="Times New Roman" w:hAnsi="Segoe UI" w:cs="Segoe UI"/>
                <w:color w:val="000000"/>
                <w:kern w:val="0"/>
                <w:sz w:val="22"/>
                <w:szCs w:val="22"/>
                <w:lang w:val="en-AU" w:eastAsia="en-AU"/>
                <w14:ligatures w14:val="none"/>
              </w:rPr>
            </w:pPr>
            <w:r w:rsidRPr="00865D03">
              <w:rPr>
                <w:rFonts w:ascii="Segoe UI" w:eastAsia="Times New Roman" w:hAnsi="Segoe UI" w:cs="Segoe UI"/>
                <w:color w:val="000000"/>
                <w:kern w:val="0"/>
                <w:sz w:val="22"/>
                <w:szCs w:val="22"/>
                <w:lang w:val="en-AU" w:eastAsia="en-AU"/>
                <w14:ligatures w14:val="none"/>
              </w:rPr>
              <w:t xml:space="preserve">DFAT acknowledges that absenteeism is driven by a wide range of factors including health, climate shocks, and food insecurity and that this constrains learning outcomes. Absenteeism was recognised as beyond the scope of </w:t>
            </w:r>
            <w:r w:rsidR="00711198">
              <w:rPr>
                <w:rFonts w:ascii="Segoe UI" w:eastAsia="Times New Roman" w:hAnsi="Segoe UI" w:cs="Segoe UI"/>
                <w:color w:val="000000"/>
                <w:kern w:val="0"/>
                <w:sz w:val="22"/>
                <w:szCs w:val="22"/>
                <w:lang w:val="en-AU" w:eastAsia="en-AU"/>
                <w14:ligatures w14:val="none"/>
              </w:rPr>
              <w:t xml:space="preserve">the </w:t>
            </w:r>
            <w:r w:rsidRPr="00865D03">
              <w:rPr>
                <w:rFonts w:ascii="Segoe UI" w:eastAsia="Times New Roman" w:hAnsi="Segoe UI" w:cs="Segoe UI"/>
                <w:color w:val="000000"/>
                <w:kern w:val="0"/>
                <w:sz w:val="22"/>
                <w:szCs w:val="22"/>
                <w:lang w:val="en-AU" w:eastAsia="en-AU"/>
                <w14:ligatures w14:val="none"/>
              </w:rPr>
              <w:t>PHD education</w:t>
            </w:r>
            <w:r w:rsidR="00711198">
              <w:rPr>
                <w:rFonts w:ascii="Segoe UI" w:eastAsia="Times New Roman" w:hAnsi="Segoe UI" w:cs="Segoe UI"/>
                <w:color w:val="000000"/>
                <w:kern w:val="0"/>
                <w:sz w:val="22"/>
                <w:szCs w:val="22"/>
                <w:lang w:val="en-AU" w:eastAsia="en-AU"/>
                <w14:ligatures w14:val="none"/>
              </w:rPr>
              <w:t xml:space="preserve"> program</w:t>
            </w:r>
            <w:r w:rsidRPr="00865D03">
              <w:rPr>
                <w:rFonts w:ascii="Segoe UI" w:eastAsia="Times New Roman" w:hAnsi="Segoe UI" w:cs="Segoe UI"/>
                <w:color w:val="000000"/>
                <w:kern w:val="0"/>
                <w:sz w:val="22"/>
                <w:szCs w:val="22"/>
                <w:lang w:val="en-AU" w:eastAsia="en-AU"/>
                <w14:ligatures w14:val="none"/>
              </w:rPr>
              <w:t xml:space="preserve"> in its final year.</w:t>
            </w:r>
          </w:p>
          <w:p w14:paraId="765B5686" w14:textId="77777777" w:rsidR="00DD2BFA" w:rsidRPr="00865D03" w:rsidRDefault="00DD2BFA" w:rsidP="00AB666B">
            <w:pPr>
              <w:spacing w:after="0" w:line="240" w:lineRule="auto"/>
              <w:rPr>
                <w:rFonts w:ascii="Segoe UI" w:eastAsia="Times New Roman" w:hAnsi="Segoe UI" w:cs="Segoe UI"/>
                <w:color w:val="000000"/>
                <w:kern w:val="0"/>
                <w:sz w:val="22"/>
                <w:szCs w:val="22"/>
                <w:lang w:val="en-AU" w:eastAsia="en-AU"/>
                <w14:ligatures w14:val="none"/>
              </w:rPr>
            </w:pPr>
          </w:p>
        </w:tc>
        <w:tc>
          <w:tcPr>
            <w:tcW w:w="3743" w:type="dxa"/>
            <w:tcBorders>
              <w:top w:val="nil"/>
              <w:left w:val="single" w:sz="4" w:space="0" w:color="auto"/>
              <w:bottom w:val="single" w:sz="4" w:space="0" w:color="auto"/>
              <w:right w:val="single" w:sz="8" w:space="0" w:color="auto"/>
            </w:tcBorders>
            <w:vAlign w:val="center"/>
            <w:hideMark/>
          </w:tcPr>
          <w:p w14:paraId="390ABC30" w14:textId="666E4F65" w:rsidR="00DD2BFA" w:rsidRPr="008E3C73" w:rsidRDefault="00DD2BFA" w:rsidP="00AB666B">
            <w:pPr>
              <w:spacing w:after="0" w:line="240" w:lineRule="auto"/>
              <w:rPr>
                <w:rFonts w:ascii="Segoe UI" w:eastAsia="Times New Roman" w:hAnsi="Segoe UI" w:cs="Segoe UI"/>
                <w:color w:val="000000"/>
                <w:kern w:val="0"/>
                <w:sz w:val="22"/>
                <w:szCs w:val="22"/>
                <w:lang w:val="en-AU" w:eastAsia="en-AU"/>
                <w14:ligatures w14:val="none"/>
              </w:rPr>
            </w:pPr>
            <w:r>
              <w:rPr>
                <w:rFonts w:ascii="Segoe UI" w:eastAsia="Times New Roman" w:hAnsi="Segoe UI" w:cs="Segoe UI"/>
                <w:color w:val="000000"/>
                <w:kern w:val="0"/>
                <w:sz w:val="22"/>
                <w:szCs w:val="22"/>
                <w:lang w:val="en-AU" w:eastAsia="en-AU"/>
                <w14:ligatures w14:val="none"/>
              </w:rPr>
              <w:t>We will work with the Ministry as part of our future program (starting 2026) to identify opportunities within our Australia’s scope to strengthen enabling conditions.</w:t>
            </w:r>
          </w:p>
        </w:tc>
      </w:tr>
      <w:tr w:rsidR="00DD2BFA" w:rsidRPr="008E3C73" w14:paraId="2D485A0C" w14:textId="77777777" w:rsidTr="007F333A">
        <w:trPr>
          <w:trHeight w:val="1990"/>
        </w:trPr>
        <w:tc>
          <w:tcPr>
            <w:tcW w:w="709" w:type="dxa"/>
            <w:tcBorders>
              <w:top w:val="nil"/>
              <w:left w:val="single" w:sz="8" w:space="0" w:color="auto"/>
              <w:bottom w:val="single" w:sz="8" w:space="0" w:color="auto"/>
              <w:right w:val="single" w:sz="8" w:space="0" w:color="auto"/>
            </w:tcBorders>
            <w:shd w:val="clear" w:color="000000" w:fill="F5F5F5"/>
            <w:vAlign w:val="center"/>
            <w:hideMark/>
          </w:tcPr>
          <w:p w14:paraId="42DCC057" w14:textId="77777777" w:rsidR="00DD2BFA" w:rsidRPr="008E3C73" w:rsidRDefault="00DD2BFA" w:rsidP="008E3C73">
            <w:pPr>
              <w:spacing w:after="0" w:line="240" w:lineRule="auto"/>
              <w:jc w:val="center"/>
              <w:rPr>
                <w:rFonts w:ascii="Segoe UI" w:eastAsia="Times New Roman" w:hAnsi="Segoe UI" w:cs="Segoe UI"/>
                <w:b/>
                <w:bCs/>
                <w:color w:val="000000"/>
                <w:kern w:val="0"/>
                <w:sz w:val="22"/>
                <w:szCs w:val="22"/>
                <w:lang w:val="en-AU" w:eastAsia="en-AU"/>
                <w14:ligatures w14:val="none"/>
              </w:rPr>
            </w:pPr>
            <w:r w:rsidRPr="008E3C73">
              <w:rPr>
                <w:rFonts w:ascii="Segoe UI" w:eastAsia="Times New Roman" w:hAnsi="Segoe UI" w:cs="Segoe UI"/>
                <w:b/>
                <w:bCs/>
                <w:color w:val="000000"/>
                <w:kern w:val="0"/>
                <w:sz w:val="22"/>
                <w:szCs w:val="22"/>
                <w:lang w:val="en-AU" w:eastAsia="en-AU"/>
                <w14:ligatures w14:val="none"/>
              </w:rPr>
              <w:lastRenderedPageBreak/>
              <w:t>8</w:t>
            </w:r>
          </w:p>
        </w:tc>
        <w:tc>
          <w:tcPr>
            <w:tcW w:w="2045" w:type="dxa"/>
            <w:tcBorders>
              <w:top w:val="single" w:sz="4" w:space="0" w:color="auto"/>
              <w:left w:val="nil"/>
              <w:bottom w:val="single" w:sz="8" w:space="0" w:color="auto"/>
              <w:right w:val="single" w:sz="8" w:space="0" w:color="auto"/>
            </w:tcBorders>
            <w:vAlign w:val="center"/>
            <w:hideMark/>
          </w:tcPr>
          <w:p w14:paraId="29CBB428" w14:textId="3E906F79" w:rsidR="00DD2BFA" w:rsidRPr="008E3C73" w:rsidRDefault="00DD2BFA" w:rsidP="007F333A">
            <w:pPr>
              <w:spacing w:after="0" w:line="240" w:lineRule="auto"/>
              <w:rPr>
                <w:rFonts w:ascii="Segoe UI" w:eastAsia="Times New Roman" w:hAnsi="Segoe UI" w:cs="Segoe UI"/>
                <w:b/>
                <w:bCs/>
                <w:color w:val="000000"/>
                <w:kern w:val="0"/>
                <w:sz w:val="22"/>
                <w:szCs w:val="22"/>
                <w:lang w:val="en-AU" w:eastAsia="en-AU"/>
                <w14:ligatures w14:val="none"/>
              </w:rPr>
            </w:pPr>
            <w:r w:rsidRPr="008E3C73">
              <w:rPr>
                <w:rFonts w:ascii="Segoe UI" w:eastAsia="Times New Roman" w:hAnsi="Segoe UI" w:cs="Segoe UI"/>
                <w:b/>
                <w:bCs/>
                <w:color w:val="000000"/>
                <w:kern w:val="0"/>
                <w:sz w:val="22"/>
                <w:szCs w:val="22"/>
                <w:lang w:val="en-AU" w:eastAsia="en-AU"/>
                <w14:ligatures w14:val="none"/>
              </w:rPr>
              <w:t xml:space="preserve">Further explore </w:t>
            </w:r>
            <w:r>
              <w:rPr>
                <w:rFonts w:ascii="Segoe UI" w:eastAsia="Times New Roman" w:hAnsi="Segoe UI" w:cs="Segoe UI"/>
                <w:b/>
                <w:bCs/>
                <w:color w:val="000000"/>
                <w:kern w:val="0"/>
                <w:sz w:val="22"/>
                <w:szCs w:val="22"/>
                <w:lang w:val="en-AU" w:eastAsia="en-AU"/>
                <w14:ligatures w14:val="none"/>
              </w:rPr>
              <w:t xml:space="preserve">how mentorship can be more effective to address gender gaps in learning. </w:t>
            </w:r>
          </w:p>
        </w:tc>
        <w:tc>
          <w:tcPr>
            <w:tcW w:w="2917" w:type="dxa"/>
            <w:tcBorders>
              <w:top w:val="single" w:sz="4" w:space="0" w:color="auto"/>
              <w:left w:val="nil"/>
              <w:bottom w:val="single" w:sz="8" w:space="0" w:color="auto"/>
              <w:right w:val="single" w:sz="8" w:space="0" w:color="auto"/>
            </w:tcBorders>
            <w:vAlign w:val="center"/>
            <w:hideMark/>
          </w:tcPr>
          <w:p w14:paraId="06CB2140" w14:textId="77777777" w:rsidR="00DD2BFA" w:rsidRPr="008E3C73" w:rsidRDefault="00DD2BFA" w:rsidP="007F333A">
            <w:pPr>
              <w:spacing w:after="0" w:line="240" w:lineRule="auto"/>
              <w:rPr>
                <w:rFonts w:ascii="Segoe UI" w:eastAsia="Times New Roman" w:hAnsi="Segoe UI" w:cs="Segoe UI"/>
                <w:color w:val="000000"/>
                <w:kern w:val="0"/>
                <w:sz w:val="22"/>
                <w:szCs w:val="22"/>
                <w:lang w:val="en-AU" w:eastAsia="en-AU"/>
                <w14:ligatures w14:val="none"/>
              </w:rPr>
            </w:pPr>
            <w:r w:rsidRPr="008E3C73">
              <w:rPr>
                <w:rFonts w:ascii="Segoe UI" w:eastAsia="Times New Roman" w:hAnsi="Segoe UI" w:cs="Segoe UI"/>
                <w:color w:val="000000"/>
                <w:kern w:val="0"/>
                <w:sz w:val="22"/>
                <w:szCs w:val="22"/>
                <w:lang w:val="en-AU" w:eastAsia="en-AU"/>
                <w14:ligatures w14:val="none"/>
              </w:rPr>
              <w:t>Boys consistently underperformed girls in literacy outcomes, while female administrators and teachers appeared to benefit more strongly from mentorship.</w:t>
            </w:r>
          </w:p>
        </w:tc>
        <w:tc>
          <w:tcPr>
            <w:tcW w:w="4536" w:type="dxa"/>
            <w:tcBorders>
              <w:top w:val="single" w:sz="4" w:space="0" w:color="auto"/>
              <w:left w:val="nil"/>
              <w:bottom w:val="single" w:sz="8" w:space="0" w:color="auto"/>
              <w:right w:val="single" w:sz="4" w:space="0" w:color="auto"/>
            </w:tcBorders>
            <w:vAlign w:val="center"/>
          </w:tcPr>
          <w:p w14:paraId="5BE52F1D" w14:textId="1578F8E3" w:rsidR="00A370A9" w:rsidRDefault="00A370A9" w:rsidP="007F333A">
            <w:pPr>
              <w:pBdr>
                <w:right w:val="single" w:sz="4" w:space="4" w:color="auto"/>
              </w:pBdr>
              <w:spacing w:after="0" w:line="240" w:lineRule="auto"/>
              <w:rPr>
                <w:rFonts w:ascii="Segoe UI" w:eastAsia="Times New Roman" w:hAnsi="Segoe UI" w:cs="Segoe UI"/>
                <w:color w:val="000000"/>
                <w:kern w:val="0"/>
                <w:sz w:val="22"/>
                <w:szCs w:val="22"/>
                <w:lang w:val="en-AU" w:eastAsia="en-AU"/>
                <w14:ligatures w14:val="none"/>
              </w:rPr>
            </w:pPr>
            <w:r w:rsidRPr="008E3C73">
              <w:rPr>
                <w:rFonts w:ascii="Segoe UI" w:eastAsia="Times New Roman" w:hAnsi="Segoe UI" w:cs="Segoe UI"/>
                <w:color w:val="000000"/>
                <w:kern w:val="0"/>
                <w:sz w:val="22"/>
                <w:szCs w:val="22"/>
                <w:lang w:val="en-AU" w:eastAsia="en-AU"/>
                <w14:ligatures w14:val="none"/>
              </w:rPr>
              <w:t xml:space="preserve">DFAT </w:t>
            </w:r>
            <w:r w:rsidRPr="00865D03">
              <w:rPr>
                <w:rFonts w:ascii="Segoe UI" w:eastAsia="Times New Roman" w:hAnsi="Segoe UI" w:cs="Segoe UI"/>
                <w:color w:val="000000"/>
                <w:kern w:val="0"/>
                <w:sz w:val="22"/>
                <w:szCs w:val="22"/>
                <w:lang w:val="en-AU" w:eastAsia="en-AU"/>
                <w14:ligatures w14:val="none"/>
              </w:rPr>
              <w:t xml:space="preserve">acknowledges </w:t>
            </w:r>
            <w:r w:rsidRPr="008E3C73">
              <w:rPr>
                <w:rFonts w:ascii="Segoe UI" w:eastAsia="Times New Roman" w:hAnsi="Segoe UI" w:cs="Segoe UI"/>
                <w:color w:val="000000"/>
                <w:kern w:val="0"/>
                <w:sz w:val="22"/>
                <w:szCs w:val="22"/>
                <w:lang w:val="en-AU" w:eastAsia="en-AU"/>
                <w14:ligatures w14:val="none"/>
              </w:rPr>
              <w:t xml:space="preserve">the observed gender differences. While PHD was concluding, these findings were shared with the Ministry </w:t>
            </w:r>
            <w:r w:rsidR="007F333A">
              <w:rPr>
                <w:rFonts w:ascii="Segoe UI" w:eastAsia="Times New Roman" w:hAnsi="Segoe UI" w:cs="Segoe UI"/>
                <w:color w:val="000000"/>
                <w:kern w:val="0"/>
                <w:sz w:val="22"/>
                <w:szCs w:val="22"/>
                <w:lang w:val="en-AU" w:eastAsia="en-AU"/>
                <w14:ligatures w14:val="none"/>
              </w:rPr>
              <w:t xml:space="preserve">as part of </w:t>
            </w:r>
            <w:r w:rsidRPr="008E3C73">
              <w:rPr>
                <w:rFonts w:ascii="Segoe UI" w:eastAsia="Times New Roman" w:hAnsi="Segoe UI" w:cs="Segoe UI"/>
                <w:color w:val="000000"/>
                <w:kern w:val="0"/>
                <w:sz w:val="22"/>
                <w:szCs w:val="22"/>
                <w:lang w:val="en-AU" w:eastAsia="en-AU"/>
                <w14:ligatures w14:val="none"/>
              </w:rPr>
              <w:t>ongoing policy dialogue under Ministry</w:t>
            </w:r>
            <w:r w:rsidRPr="008E3C73">
              <w:rPr>
                <w:rFonts w:ascii="Segoe UI" w:eastAsia="Times New Roman" w:hAnsi="Segoe UI" w:cs="Segoe UI"/>
                <w:color w:val="000000"/>
                <w:kern w:val="0"/>
                <w:sz w:val="22"/>
                <w:szCs w:val="22"/>
                <w:lang w:val="en-AU" w:eastAsia="en-AU"/>
                <w14:ligatures w14:val="none"/>
              </w:rPr>
              <w:noBreakHyphen/>
              <w:t xml:space="preserve">led education reform efforts.  </w:t>
            </w:r>
          </w:p>
          <w:p w14:paraId="2E7DC558" w14:textId="77777777" w:rsidR="00DD2BFA" w:rsidRPr="008E3C73" w:rsidRDefault="00DD2BFA" w:rsidP="007F333A">
            <w:pPr>
              <w:spacing w:after="0" w:line="240" w:lineRule="auto"/>
              <w:rPr>
                <w:rFonts w:ascii="Segoe UI" w:eastAsia="Times New Roman" w:hAnsi="Segoe UI" w:cs="Segoe UI"/>
                <w:color w:val="000000"/>
                <w:kern w:val="0"/>
                <w:sz w:val="22"/>
                <w:szCs w:val="22"/>
                <w:lang w:val="en-AU" w:eastAsia="en-AU"/>
                <w14:ligatures w14:val="none"/>
              </w:rPr>
            </w:pPr>
          </w:p>
        </w:tc>
        <w:tc>
          <w:tcPr>
            <w:tcW w:w="3743" w:type="dxa"/>
            <w:tcBorders>
              <w:top w:val="single" w:sz="4" w:space="0" w:color="auto"/>
              <w:left w:val="single" w:sz="4" w:space="0" w:color="auto"/>
              <w:bottom w:val="single" w:sz="8" w:space="0" w:color="auto"/>
              <w:right w:val="single" w:sz="8" w:space="0" w:color="auto"/>
            </w:tcBorders>
            <w:vAlign w:val="center"/>
            <w:hideMark/>
          </w:tcPr>
          <w:p w14:paraId="39C74900" w14:textId="37A6F8FD" w:rsidR="00DD2BFA" w:rsidRPr="008E3C73" w:rsidRDefault="00DD2BFA" w:rsidP="007F333A">
            <w:pPr>
              <w:spacing w:after="0" w:line="240" w:lineRule="auto"/>
              <w:rPr>
                <w:rFonts w:ascii="Segoe UI" w:eastAsia="Times New Roman" w:hAnsi="Segoe UI" w:cs="Segoe UI"/>
                <w:color w:val="000000"/>
                <w:kern w:val="0"/>
                <w:sz w:val="22"/>
                <w:szCs w:val="22"/>
                <w:lang w:val="en-AU" w:eastAsia="en-AU"/>
                <w14:ligatures w14:val="none"/>
              </w:rPr>
            </w:pPr>
            <w:r>
              <w:rPr>
                <w:rFonts w:ascii="Segoe UI" w:eastAsia="Times New Roman" w:hAnsi="Segoe UI" w:cs="Segoe UI"/>
                <w:color w:val="000000"/>
                <w:kern w:val="0"/>
                <w:sz w:val="22"/>
                <w:szCs w:val="22"/>
                <w:lang w:val="en-AU" w:eastAsia="en-AU"/>
                <w14:ligatures w14:val="none"/>
              </w:rPr>
              <w:t xml:space="preserve">DFAT will work with the Ministry in our future program (starting 2026) to understand the causes of gender gaps in learning and support </w:t>
            </w:r>
            <w:proofErr w:type="spellStart"/>
            <w:r>
              <w:rPr>
                <w:rFonts w:ascii="Segoe UI" w:eastAsia="Times New Roman" w:hAnsi="Segoe UI" w:cs="Segoe UI"/>
                <w:color w:val="000000"/>
                <w:kern w:val="0"/>
                <w:sz w:val="22"/>
                <w:szCs w:val="22"/>
                <w:lang w:val="en-AU" w:eastAsia="en-AU"/>
                <w14:ligatures w14:val="none"/>
              </w:rPr>
              <w:t>MoE</w:t>
            </w:r>
            <w:proofErr w:type="spellEnd"/>
            <w:r>
              <w:rPr>
                <w:rFonts w:ascii="Segoe UI" w:eastAsia="Times New Roman" w:hAnsi="Segoe UI" w:cs="Segoe UI"/>
                <w:color w:val="000000"/>
                <w:kern w:val="0"/>
                <w:sz w:val="22"/>
                <w:szCs w:val="22"/>
                <w:lang w:val="en-AU" w:eastAsia="en-AU"/>
                <w14:ligatures w14:val="none"/>
              </w:rPr>
              <w:t xml:space="preserve"> systems that can address the causes of gender learning gaps. </w:t>
            </w:r>
          </w:p>
        </w:tc>
      </w:tr>
    </w:tbl>
    <w:p w14:paraId="40D57B37" w14:textId="77777777" w:rsidR="0040000C" w:rsidRDefault="0040000C" w:rsidP="00176F83">
      <w:pPr>
        <w:pStyle w:val="NormalWeb"/>
        <w:spacing w:line="300" w:lineRule="atLeast"/>
      </w:pPr>
    </w:p>
    <w:sectPr w:rsidR="0040000C" w:rsidSect="00E85F5B">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8DDAF" w14:textId="77777777" w:rsidR="00306F27" w:rsidRDefault="00306F27" w:rsidP="00117FAF">
      <w:pPr>
        <w:spacing w:after="0" w:line="240" w:lineRule="auto"/>
      </w:pPr>
      <w:r>
        <w:separator/>
      </w:r>
    </w:p>
  </w:endnote>
  <w:endnote w:type="continuationSeparator" w:id="0">
    <w:p w14:paraId="50B96AD7" w14:textId="77777777" w:rsidR="00306F27" w:rsidRDefault="00306F27" w:rsidP="00117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C8ECE" w14:textId="7D403124" w:rsidR="00117FAF" w:rsidRDefault="00117FAF">
    <w:pPr>
      <w:pStyle w:val="Footer"/>
    </w:pPr>
    <w:r>
      <w:rPr>
        <w:noProof/>
      </w:rPr>
      <mc:AlternateContent>
        <mc:Choice Requires="wps">
          <w:drawing>
            <wp:anchor distT="0" distB="0" distL="0" distR="0" simplePos="0" relativeHeight="251662336" behindDoc="0" locked="0" layoutInCell="1" allowOverlap="1" wp14:anchorId="22AA1A75" wp14:editId="66FF7EE3">
              <wp:simplePos x="635" y="635"/>
              <wp:positionH relativeFrom="page">
                <wp:align>center</wp:align>
              </wp:positionH>
              <wp:positionV relativeFrom="page">
                <wp:align>bottom</wp:align>
              </wp:positionV>
              <wp:extent cx="622300" cy="405765"/>
              <wp:effectExtent l="0" t="0" r="6350" b="0"/>
              <wp:wrapNone/>
              <wp:docPr id="204377845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219B406B" w14:textId="5C031C57" w:rsidR="00117FAF" w:rsidRPr="00117FAF" w:rsidRDefault="00117FAF" w:rsidP="00117FAF">
                          <w:pPr>
                            <w:spacing w:after="0"/>
                            <w:rPr>
                              <w:rFonts w:ascii="Aptos" w:eastAsia="Aptos" w:hAnsi="Aptos" w:cs="Aptos"/>
                              <w:noProof/>
                              <w:color w:val="FF0000"/>
                            </w:rPr>
                          </w:pPr>
                          <w:r w:rsidRPr="00117FAF">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AA1A75" id="_x0000_t202" coordsize="21600,21600" o:spt="202" path="m,l,21600r21600,l21600,xe">
              <v:stroke joinstyle="miter"/>
              <v:path gradientshapeok="t" o:connecttype="rect"/>
            </v:shapetype>
            <v:shape id="Text Box 5" o:spid="_x0000_s1028" type="#_x0000_t202" alt="OFFICIAL" style="position:absolute;margin-left:0;margin-top:0;width:49pt;height:31.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" filled="f" stroked="f">
              <v:textbox style="mso-fit-shape-to-text:t" inset="0,0,0,15pt">
                <w:txbxContent>
                  <w:p w14:paraId="219B406B" w14:textId="5C031C57" w:rsidR="00117FAF" w:rsidRPr="00117FAF" w:rsidRDefault="00117FAF" w:rsidP="00117FAF">
                    <w:pPr>
                      <w:spacing w:after="0"/>
                      <w:rPr>
                        <w:rFonts w:ascii="Aptos" w:eastAsia="Aptos" w:hAnsi="Aptos" w:cs="Aptos"/>
                        <w:noProof/>
                        <w:color w:val="FF0000"/>
                      </w:rPr>
                    </w:pPr>
                    <w:r w:rsidRPr="00117FAF">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20004" w14:textId="75BADC11" w:rsidR="00117FAF" w:rsidRDefault="00117FAF">
    <w:pPr>
      <w:pStyle w:val="Footer"/>
    </w:pPr>
    <w:r>
      <w:rPr>
        <w:noProof/>
      </w:rPr>
      <mc:AlternateContent>
        <mc:Choice Requires="wps">
          <w:drawing>
            <wp:anchor distT="0" distB="0" distL="0" distR="0" simplePos="0" relativeHeight="251663360" behindDoc="0" locked="0" layoutInCell="1" allowOverlap="1" wp14:anchorId="1C997349" wp14:editId="224C21F5">
              <wp:simplePos x="635" y="635"/>
              <wp:positionH relativeFrom="page">
                <wp:align>center</wp:align>
              </wp:positionH>
              <wp:positionV relativeFrom="page">
                <wp:align>bottom</wp:align>
              </wp:positionV>
              <wp:extent cx="622300" cy="405765"/>
              <wp:effectExtent l="0" t="0" r="6350" b="0"/>
              <wp:wrapNone/>
              <wp:docPr id="180678318"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1D2C799A" w14:textId="4E41B801" w:rsidR="00117FAF" w:rsidRPr="00117FAF" w:rsidRDefault="00117FAF" w:rsidP="00117FAF">
                          <w:pPr>
                            <w:spacing w:after="0"/>
                            <w:rPr>
                              <w:rFonts w:ascii="Aptos" w:eastAsia="Aptos" w:hAnsi="Aptos" w:cs="Aptos"/>
                              <w:noProof/>
                              <w:color w:val="FF0000"/>
                            </w:rPr>
                          </w:pPr>
                          <w:r w:rsidRPr="00117FAF">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997349" id="_x0000_t202" coordsize="21600,21600" o:spt="202" path="m,l,21600r21600,l21600,xe">
              <v:stroke joinstyle="miter"/>
              <v:path gradientshapeok="t" o:connecttype="rect"/>
            </v:shapetype>
            <v:shape id="Text Box 6" o:spid="_x0000_s1029" type="#_x0000_t202" alt="OFFICIAL" style="position:absolute;margin-left:0;margin-top:0;width:49pt;height:31.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moDgIAABw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" filled="f" stroked="f">
              <v:textbox style="mso-fit-shape-to-text:t" inset="0,0,0,15pt">
                <w:txbxContent>
                  <w:p w14:paraId="1D2C799A" w14:textId="4E41B801" w:rsidR="00117FAF" w:rsidRPr="00117FAF" w:rsidRDefault="00117FAF" w:rsidP="00117FAF">
                    <w:pPr>
                      <w:spacing w:after="0"/>
                      <w:rPr>
                        <w:rFonts w:ascii="Aptos" w:eastAsia="Aptos" w:hAnsi="Aptos" w:cs="Aptos"/>
                        <w:noProof/>
                        <w:color w:val="FF0000"/>
                      </w:rPr>
                    </w:pPr>
                    <w:r w:rsidRPr="00117FAF">
                      <w:rPr>
                        <w:rFonts w:ascii="Aptos" w:eastAsia="Aptos" w:hAnsi="Aptos" w:cs="Aptos"/>
                        <w:noProof/>
                        <w:color w:val="FF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2CEAE" w14:textId="48C33B7B" w:rsidR="00117FAF" w:rsidRDefault="00117FAF">
    <w:pPr>
      <w:pStyle w:val="Footer"/>
    </w:pPr>
    <w:r>
      <w:rPr>
        <w:noProof/>
      </w:rPr>
      <mc:AlternateContent>
        <mc:Choice Requires="wps">
          <w:drawing>
            <wp:anchor distT="0" distB="0" distL="0" distR="0" simplePos="0" relativeHeight="251661312" behindDoc="0" locked="0" layoutInCell="1" allowOverlap="1" wp14:anchorId="04CDA877" wp14:editId="0F8BA0DF">
              <wp:simplePos x="635" y="635"/>
              <wp:positionH relativeFrom="page">
                <wp:align>center</wp:align>
              </wp:positionH>
              <wp:positionV relativeFrom="page">
                <wp:align>bottom</wp:align>
              </wp:positionV>
              <wp:extent cx="622300" cy="405765"/>
              <wp:effectExtent l="0" t="0" r="6350" b="0"/>
              <wp:wrapNone/>
              <wp:docPr id="93832460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1A198877" w14:textId="6094F400" w:rsidR="00117FAF" w:rsidRPr="00117FAF" w:rsidRDefault="00117FAF" w:rsidP="00117FAF">
                          <w:pPr>
                            <w:spacing w:after="0"/>
                            <w:rPr>
                              <w:rFonts w:ascii="Aptos" w:eastAsia="Aptos" w:hAnsi="Aptos" w:cs="Aptos"/>
                              <w:noProof/>
                              <w:color w:val="FF0000"/>
                            </w:rPr>
                          </w:pPr>
                          <w:r w:rsidRPr="00117FAF">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CDA877" id="_x0000_t202" coordsize="21600,21600" o:spt="202" path="m,l,21600r21600,l21600,xe">
              <v:stroke joinstyle="miter"/>
              <v:path gradientshapeok="t" o:connecttype="rect"/>
            </v:shapetype>
            <v:shape id="Text Box 4" o:spid="_x0000_s1031" type="#_x0000_t202" alt="OFFICIAL" style="position:absolute;margin-left:0;margin-top:0;width:49pt;height:31.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" filled="f" stroked="f">
              <v:textbox style="mso-fit-shape-to-text:t" inset="0,0,0,15pt">
                <w:txbxContent>
                  <w:p w14:paraId="1A198877" w14:textId="6094F400" w:rsidR="00117FAF" w:rsidRPr="00117FAF" w:rsidRDefault="00117FAF" w:rsidP="00117FAF">
                    <w:pPr>
                      <w:spacing w:after="0"/>
                      <w:rPr>
                        <w:rFonts w:ascii="Aptos" w:eastAsia="Aptos" w:hAnsi="Aptos" w:cs="Aptos"/>
                        <w:noProof/>
                        <w:color w:val="FF0000"/>
                      </w:rPr>
                    </w:pPr>
                    <w:r w:rsidRPr="00117FAF">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FB9F3" w14:textId="77777777" w:rsidR="00306F27" w:rsidRDefault="00306F27" w:rsidP="00117FAF">
      <w:pPr>
        <w:spacing w:after="0" w:line="240" w:lineRule="auto"/>
      </w:pPr>
      <w:r>
        <w:separator/>
      </w:r>
    </w:p>
  </w:footnote>
  <w:footnote w:type="continuationSeparator" w:id="0">
    <w:p w14:paraId="5A4FD9A2" w14:textId="77777777" w:rsidR="00306F27" w:rsidRDefault="00306F27" w:rsidP="00117F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79FE6" w14:textId="710FE832" w:rsidR="00117FAF" w:rsidRDefault="00117FAF">
    <w:pPr>
      <w:pStyle w:val="Header"/>
    </w:pPr>
    <w:r>
      <w:rPr>
        <w:noProof/>
      </w:rPr>
      <mc:AlternateContent>
        <mc:Choice Requires="wps">
          <w:drawing>
            <wp:anchor distT="0" distB="0" distL="0" distR="0" simplePos="0" relativeHeight="251659264" behindDoc="0" locked="0" layoutInCell="1" allowOverlap="1" wp14:anchorId="0A4BB97B" wp14:editId="4A2EE0CF">
              <wp:simplePos x="635" y="635"/>
              <wp:positionH relativeFrom="page">
                <wp:align>center</wp:align>
              </wp:positionH>
              <wp:positionV relativeFrom="page">
                <wp:align>top</wp:align>
              </wp:positionV>
              <wp:extent cx="622300" cy="405765"/>
              <wp:effectExtent l="0" t="0" r="6350" b="13335"/>
              <wp:wrapNone/>
              <wp:docPr id="186972516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5B1C1273" w14:textId="5EFCB02D" w:rsidR="00117FAF" w:rsidRPr="00117FAF" w:rsidRDefault="00117FAF" w:rsidP="00117FAF">
                          <w:pPr>
                            <w:spacing w:after="0"/>
                            <w:rPr>
                              <w:rFonts w:ascii="Aptos" w:eastAsia="Aptos" w:hAnsi="Aptos" w:cs="Aptos"/>
                              <w:noProof/>
                              <w:color w:val="FF0000"/>
                            </w:rPr>
                          </w:pPr>
                          <w:r w:rsidRPr="00117FAF">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4BB97B" id="_x0000_t202" coordsize="21600,21600" o:spt="202" path="m,l,21600r21600,l21600,xe">
              <v:stroke joinstyle="miter"/>
              <v:path gradientshapeok="t" o:connecttype="rect"/>
            </v:shapetype>
            <v:shape id="Text Box 2" o:spid="_x0000_s1026" type="#_x0000_t202" alt="OFFICIAL" style="position:absolute;margin-left:0;margin-top:0;width:49pt;height:31.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" filled="f" stroked="f">
              <v:textbox style="mso-fit-shape-to-text:t" inset="0,15pt,0,0">
                <w:txbxContent>
                  <w:p w14:paraId="5B1C1273" w14:textId="5EFCB02D" w:rsidR="00117FAF" w:rsidRPr="00117FAF" w:rsidRDefault="00117FAF" w:rsidP="00117FAF">
                    <w:pPr>
                      <w:spacing w:after="0"/>
                      <w:rPr>
                        <w:rFonts w:ascii="Aptos" w:eastAsia="Aptos" w:hAnsi="Aptos" w:cs="Aptos"/>
                        <w:noProof/>
                        <w:color w:val="FF0000"/>
                      </w:rPr>
                    </w:pPr>
                    <w:r w:rsidRPr="00117FAF">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68620" w14:textId="79BE97DA" w:rsidR="00117FAF" w:rsidRDefault="00117FAF">
    <w:pPr>
      <w:pStyle w:val="Header"/>
    </w:pPr>
    <w:r>
      <w:rPr>
        <w:noProof/>
      </w:rPr>
      <mc:AlternateContent>
        <mc:Choice Requires="wps">
          <w:drawing>
            <wp:anchor distT="0" distB="0" distL="0" distR="0" simplePos="0" relativeHeight="251660288" behindDoc="0" locked="0" layoutInCell="1" allowOverlap="1" wp14:anchorId="1FD46DAC" wp14:editId="789C4D1E">
              <wp:simplePos x="635" y="635"/>
              <wp:positionH relativeFrom="page">
                <wp:align>center</wp:align>
              </wp:positionH>
              <wp:positionV relativeFrom="page">
                <wp:align>top</wp:align>
              </wp:positionV>
              <wp:extent cx="622300" cy="405765"/>
              <wp:effectExtent l="0" t="0" r="6350" b="13335"/>
              <wp:wrapNone/>
              <wp:docPr id="194951185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3A4C9292" w14:textId="269FC268" w:rsidR="00117FAF" w:rsidRPr="00117FAF" w:rsidRDefault="00117FAF" w:rsidP="00117FAF">
                          <w:pPr>
                            <w:spacing w:after="0"/>
                            <w:rPr>
                              <w:rFonts w:ascii="Aptos" w:eastAsia="Aptos" w:hAnsi="Aptos" w:cs="Aptos"/>
                              <w:noProof/>
                              <w:color w:val="FF0000"/>
                            </w:rPr>
                          </w:pPr>
                          <w:r w:rsidRPr="00117FAF">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D46DAC" id="_x0000_t202" coordsize="21600,21600" o:spt="202" path="m,l,21600r21600,l21600,xe">
              <v:stroke joinstyle="miter"/>
              <v:path gradientshapeok="t" o:connecttype="rect"/>
            </v:shapetype>
            <v:shape id="Text Box 3" o:spid="_x0000_s1027" type="#_x0000_t202" alt="OFFICIAL" style="position:absolute;margin-left:0;margin-top:0;width:49pt;height:31.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" filled="f" stroked="f">
              <v:textbox style="mso-fit-shape-to-text:t" inset="0,15pt,0,0">
                <w:txbxContent>
                  <w:p w14:paraId="3A4C9292" w14:textId="269FC268" w:rsidR="00117FAF" w:rsidRPr="00117FAF" w:rsidRDefault="00117FAF" w:rsidP="00117FAF">
                    <w:pPr>
                      <w:spacing w:after="0"/>
                      <w:rPr>
                        <w:rFonts w:ascii="Aptos" w:eastAsia="Aptos" w:hAnsi="Aptos" w:cs="Aptos"/>
                        <w:noProof/>
                        <w:color w:val="FF0000"/>
                      </w:rPr>
                    </w:pPr>
                    <w:r w:rsidRPr="00117FAF">
                      <w:rPr>
                        <w:rFonts w:ascii="Aptos" w:eastAsia="Aptos" w:hAnsi="Aptos" w:cs="Aptos"/>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5168C" w14:textId="6D5E3741" w:rsidR="00117FAF" w:rsidRDefault="00117FAF">
    <w:pPr>
      <w:pStyle w:val="Header"/>
    </w:pPr>
    <w:r>
      <w:rPr>
        <w:noProof/>
      </w:rPr>
      <mc:AlternateContent>
        <mc:Choice Requires="wps">
          <w:drawing>
            <wp:anchor distT="0" distB="0" distL="0" distR="0" simplePos="0" relativeHeight="251658240" behindDoc="0" locked="0" layoutInCell="1" allowOverlap="1" wp14:anchorId="527ABC43" wp14:editId="44104961">
              <wp:simplePos x="635" y="635"/>
              <wp:positionH relativeFrom="page">
                <wp:align>center</wp:align>
              </wp:positionH>
              <wp:positionV relativeFrom="page">
                <wp:align>top</wp:align>
              </wp:positionV>
              <wp:extent cx="622300" cy="405765"/>
              <wp:effectExtent l="0" t="0" r="6350" b="13335"/>
              <wp:wrapNone/>
              <wp:docPr id="170826482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7935F2E6" w14:textId="25B44B95" w:rsidR="00117FAF" w:rsidRPr="00117FAF" w:rsidRDefault="00117FAF" w:rsidP="00117FAF">
                          <w:pPr>
                            <w:spacing w:after="0"/>
                            <w:rPr>
                              <w:rFonts w:ascii="Aptos" w:eastAsia="Aptos" w:hAnsi="Aptos" w:cs="Aptos"/>
                              <w:noProof/>
                              <w:color w:val="FF0000"/>
                            </w:rPr>
                          </w:pPr>
                          <w:r w:rsidRPr="00117FAF">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7ABC43" id="_x0000_t202" coordsize="21600,21600" o:spt="202" path="m,l,21600r21600,l21600,xe">
              <v:stroke joinstyle="miter"/>
              <v:path gradientshapeok="t" o:connecttype="rect"/>
            </v:shapetype>
            <v:shape id="Text Box 1" o:spid="_x0000_s1030" type="#_x0000_t202" alt="OFFICIAL" style="position:absolute;margin-left:0;margin-top:0;width:49pt;height:31.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" filled="f" stroked="f">
              <v:textbox style="mso-fit-shape-to-text:t" inset="0,15pt,0,0">
                <w:txbxContent>
                  <w:p w14:paraId="7935F2E6" w14:textId="25B44B95" w:rsidR="00117FAF" w:rsidRPr="00117FAF" w:rsidRDefault="00117FAF" w:rsidP="00117FAF">
                    <w:pPr>
                      <w:spacing w:after="0"/>
                      <w:rPr>
                        <w:rFonts w:ascii="Aptos" w:eastAsia="Aptos" w:hAnsi="Aptos" w:cs="Aptos"/>
                        <w:noProof/>
                        <w:color w:val="FF0000"/>
                      </w:rPr>
                    </w:pPr>
                    <w:r w:rsidRPr="00117FAF">
                      <w:rPr>
                        <w:rFonts w:ascii="Aptos" w:eastAsia="Aptos" w:hAnsi="Aptos" w:cs="Aptos"/>
                        <w:noProof/>
                        <w:color w:val="FF0000"/>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FAF"/>
    <w:rsid w:val="00015FB9"/>
    <w:rsid w:val="00040D24"/>
    <w:rsid w:val="000A0B19"/>
    <w:rsid w:val="000B5965"/>
    <w:rsid w:val="000B6BF7"/>
    <w:rsid w:val="000C2A5B"/>
    <w:rsid w:val="000D2CF3"/>
    <w:rsid w:val="00107F5F"/>
    <w:rsid w:val="00117FAF"/>
    <w:rsid w:val="001220CE"/>
    <w:rsid w:val="001334BB"/>
    <w:rsid w:val="0014343E"/>
    <w:rsid w:val="00161AD5"/>
    <w:rsid w:val="00164953"/>
    <w:rsid w:val="00164C86"/>
    <w:rsid w:val="00176F83"/>
    <w:rsid w:val="001B03A4"/>
    <w:rsid w:val="001C106D"/>
    <w:rsid w:val="001C2A6E"/>
    <w:rsid w:val="001E0913"/>
    <w:rsid w:val="001F2596"/>
    <w:rsid w:val="00215CBB"/>
    <w:rsid w:val="00230A67"/>
    <w:rsid w:val="002453F4"/>
    <w:rsid w:val="002471B3"/>
    <w:rsid w:val="002601AE"/>
    <w:rsid w:val="00273A93"/>
    <w:rsid w:val="00275554"/>
    <w:rsid w:val="00306F27"/>
    <w:rsid w:val="0033260A"/>
    <w:rsid w:val="00362887"/>
    <w:rsid w:val="003A24EC"/>
    <w:rsid w:val="003E3A2F"/>
    <w:rsid w:val="003F2C89"/>
    <w:rsid w:val="0040000C"/>
    <w:rsid w:val="00411EA7"/>
    <w:rsid w:val="00416D82"/>
    <w:rsid w:val="0043090B"/>
    <w:rsid w:val="004821EE"/>
    <w:rsid w:val="004D633F"/>
    <w:rsid w:val="004F3139"/>
    <w:rsid w:val="004F4DE1"/>
    <w:rsid w:val="004F5B5E"/>
    <w:rsid w:val="00500751"/>
    <w:rsid w:val="00502B16"/>
    <w:rsid w:val="005304DA"/>
    <w:rsid w:val="0055228A"/>
    <w:rsid w:val="005546B0"/>
    <w:rsid w:val="00555FF0"/>
    <w:rsid w:val="005742E6"/>
    <w:rsid w:val="00593E34"/>
    <w:rsid w:val="00610BD6"/>
    <w:rsid w:val="00630C22"/>
    <w:rsid w:val="00637E8E"/>
    <w:rsid w:val="00687849"/>
    <w:rsid w:val="00687AB5"/>
    <w:rsid w:val="006F0060"/>
    <w:rsid w:val="006F1616"/>
    <w:rsid w:val="006F7941"/>
    <w:rsid w:val="00711198"/>
    <w:rsid w:val="0071332A"/>
    <w:rsid w:val="007163C8"/>
    <w:rsid w:val="00767326"/>
    <w:rsid w:val="00793643"/>
    <w:rsid w:val="007A1314"/>
    <w:rsid w:val="007C2F4B"/>
    <w:rsid w:val="007D2169"/>
    <w:rsid w:val="007F333A"/>
    <w:rsid w:val="00865D03"/>
    <w:rsid w:val="008710E5"/>
    <w:rsid w:val="00890F07"/>
    <w:rsid w:val="008A7881"/>
    <w:rsid w:val="008E3C73"/>
    <w:rsid w:val="0090641F"/>
    <w:rsid w:val="00916153"/>
    <w:rsid w:val="00917F00"/>
    <w:rsid w:val="0095665D"/>
    <w:rsid w:val="00973E5A"/>
    <w:rsid w:val="00984302"/>
    <w:rsid w:val="0098570B"/>
    <w:rsid w:val="009A30B9"/>
    <w:rsid w:val="009B100F"/>
    <w:rsid w:val="009D0500"/>
    <w:rsid w:val="00A370A9"/>
    <w:rsid w:val="00A728AB"/>
    <w:rsid w:val="00AB2A78"/>
    <w:rsid w:val="00AB666B"/>
    <w:rsid w:val="00AC42F4"/>
    <w:rsid w:val="00AD2E13"/>
    <w:rsid w:val="00AE6D81"/>
    <w:rsid w:val="00AF23D5"/>
    <w:rsid w:val="00B2533E"/>
    <w:rsid w:val="00B8202C"/>
    <w:rsid w:val="00BB1D75"/>
    <w:rsid w:val="00BC4D0F"/>
    <w:rsid w:val="00BD6D8F"/>
    <w:rsid w:val="00BD7562"/>
    <w:rsid w:val="00BF7E09"/>
    <w:rsid w:val="00C046AA"/>
    <w:rsid w:val="00C26DA7"/>
    <w:rsid w:val="00C945D6"/>
    <w:rsid w:val="00CA1042"/>
    <w:rsid w:val="00CD5A24"/>
    <w:rsid w:val="00D331D3"/>
    <w:rsid w:val="00D41623"/>
    <w:rsid w:val="00D4564A"/>
    <w:rsid w:val="00D54A2E"/>
    <w:rsid w:val="00D55709"/>
    <w:rsid w:val="00D64A82"/>
    <w:rsid w:val="00D82381"/>
    <w:rsid w:val="00D95924"/>
    <w:rsid w:val="00DA0351"/>
    <w:rsid w:val="00DD2BFA"/>
    <w:rsid w:val="00DD48B5"/>
    <w:rsid w:val="00DD6021"/>
    <w:rsid w:val="00E15AAC"/>
    <w:rsid w:val="00E176A3"/>
    <w:rsid w:val="00E324A8"/>
    <w:rsid w:val="00E64D3E"/>
    <w:rsid w:val="00E85F5B"/>
    <w:rsid w:val="00EE0709"/>
    <w:rsid w:val="00EE3486"/>
    <w:rsid w:val="00EF3A64"/>
    <w:rsid w:val="00F05CEA"/>
    <w:rsid w:val="00F3309C"/>
    <w:rsid w:val="00F54551"/>
    <w:rsid w:val="00FD5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EF26BD"/>
  <w15:chartTrackingRefBased/>
  <w15:docId w15:val="{4DCFF8D9-A8AA-47C0-8446-5A0B9BC88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7F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7F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7F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7F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7F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7F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7F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7F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7F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7F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7F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7F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7F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7F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7F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7F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7F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7FAF"/>
    <w:rPr>
      <w:rFonts w:eastAsiaTheme="majorEastAsia" w:cstheme="majorBidi"/>
      <w:color w:val="272727" w:themeColor="text1" w:themeTint="D8"/>
    </w:rPr>
  </w:style>
  <w:style w:type="paragraph" w:styleId="Title">
    <w:name w:val="Title"/>
    <w:basedOn w:val="Normal"/>
    <w:next w:val="Normal"/>
    <w:link w:val="TitleChar"/>
    <w:uiPriority w:val="10"/>
    <w:qFormat/>
    <w:rsid w:val="00117F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7F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7F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7F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7FAF"/>
    <w:pPr>
      <w:spacing w:before="160"/>
      <w:jc w:val="center"/>
    </w:pPr>
    <w:rPr>
      <w:i/>
      <w:iCs/>
      <w:color w:val="404040" w:themeColor="text1" w:themeTint="BF"/>
    </w:rPr>
  </w:style>
  <w:style w:type="character" w:customStyle="1" w:styleId="QuoteChar">
    <w:name w:val="Quote Char"/>
    <w:basedOn w:val="DefaultParagraphFont"/>
    <w:link w:val="Quote"/>
    <w:uiPriority w:val="29"/>
    <w:rsid w:val="00117FAF"/>
    <w:rPr>
      <w:i/>
      <w:iCs/>
      <w:color w:val="404040" w:themeColor="text1" w:themeTint="BF"/>
    </w:rPr>
  </w:style>
  <w:style w:type="paragraph" w:styleId="ListParagraph">
    <w:name w:val="List Paragraph"/>
    <w:basedOn w:val="Normal"/>
    <w:uiPriority w:val="34"/>
    <w:qFormat/>
    <w:rsid w:val="00117FAF"/>
    <w:pPr>
      <w:ind w:left="720"/>
      <w:contextualSpacing/>
    </w:pPr>
  </w:style>
  <w:style w:type="character" w:styleId="IntenseEmphasis">
    <w:name w:val="Intense Emphasis"/>
    <w:basedOn w:val="DefaultParagraphFont"/>
    <w:uiPriority w:val="21"/>
    <w:qFormat/>
    <w:rsid w:val="00117FAF"/>
    <w:rPr>
      <w:i/>
      <w:iCs/>
      <w:color w:val="0F4761" w:themeColor="accent1" w:themeShade="BF"/>
    </w:rPr>
  </w:style>
  <w:style w:type="paragraph" w:styleId="IntenseQuote">
    <w:name w:val="Intense Quote"/>
    <w:basedOn w:val="Normal"/>
    <w:next w:val="Normal"/>
    <w:link w:val="IntenseQuoteChar"/>
    <w:uiPriority w:val="30"/>
    <w:qFormat/>
    <w:rsid w:val="00117F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7FAF"/>
    <w:rPr>
      <w:i/>
      <w:iCs/>
      <w:color w:val="0F4761" w:themeColor="accent1" w:themeShade="BF"/>
    </w:rPr>
  </w:style>
  <w:style w:type="character" w:styleId="IntenseReference">
    <w:name w:val="Intense Reference"/>
    <w:basedOn w:val="DefaultParagraphFont"/>
    <w:uiPriority w:val="32"/>
    <w:qFormat/>
    <w:rsid w:val="00117FAF"/>
    <w:rPr>
      <w:b/>
      <w:bCs/>
      <w:smallCaps/>
      <w:color w:val="0F4761" w:themeColor="accent1" w:themeShade="BF"/>
      <w:spacing w:val="5"/>
    </w:rPr>
  </w:style>
  <w:style w:type="paragraph" w:styleId="Header">
    <w:name w:val="header"/>
    <w:basedOn w:val="Normal"/>
    <w:link w:val="HeaderChar"/>
    <w:uiPriority w:val="99"/>
    <w:unhideWhenUsed/>
    <w:rsid w:val="00117F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7FAF"/>
  </w:style>
  <w:style w:type="paragraph" w:styleId="Footer">
    <w:name w:val="footer"/>
    <w:basedOn w:val="Normal"/>
    <w:link w:val="FooterChar"/>
    <w:uiPriority w:val="99"/>
    <w:unhideWhenUsed/>
    <w:rsid w:val="00117F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7FAF"/>
  </w:style>
  <w:style w:type="paragraph" w:styleId="NormalWeb">
    <w:name w:val="Normal (Web)"/>
    <w:basedOn w:val="Normal"/>
    <w:uiPriority w:val="99"/>
    <w:unhideWhenUsed/>
    <w:rsid w:val="0040000C"/>
    <w:pPr>
      <w:spacing w:before="100" w:beforeAutospacing="1" w:after="100" w:afterAutospacing="1" w:line="240" w:lineRule="auto"/>
    </w:pPr>
    <w:rPr>
      <w:rFonts w:ascii="Times New Roman" w:eastAsia="Times New Roman" w:hAnsi="Times New Roman" w:cs="Times New Roman"/>
      <w:kern w:val="0"/>
      <w:lang w:val="en-AU" w:eastAsia="en-AU"/>
      <w14:ligatures w14:val="none"/>
    </w:rPr>
  </w:style>
  <w:style w:type="character" w:styleId="Strong">
    <w:name w:val="Strong"/>
    <w:basedOn w:val="DefaultParagraphFont"/>
    <w:uiPriority w:val="22"/>
    <w:qFormat/>
    <w:rsid w:val="0040000C"/>
    <w:rPr>
      <w:b/>
      <w:bCs/>
    </w:rPr>
  </w:style>
  <w:style w:type="character" w:styleId="Emphasis">
    <w:name w:val="Emphasis"/>
    <w:basedOn w:val="DefaultParagraphFont"/>
    <w:uiPriority w:val="20"/>
    <w:qFormat/>
    <w:rsid w:val="000B6BF7"/>
    <w:rPr>
      <w:i/>
      <w:iCs/>
    </w:rPr>
  </w:style>
  <w:style w:type="paragraph" w:styleId="Caption">
    <w:name w:val="caption"/>
    <w:basedOn w:val="Normal"/>
    <w:next w:val="Normal"/>
    <w:uiPriority w:val="35"/>
    <w:unhideWhenUsed/>
    <w:qFormat/>
    <w:rsid w:val="000D2CF3"/>
    <w:pPr>
      <w:spacing w:after="200" w:line="240" w:lineRule="auto"/>
    </w:pPr>
    <w:rPr>
      <w:rFonts w:ascii="Montserrat" w:eastAsia="Montserrat" w:hAnsi="Montserrat" w:cs="Montserrat"/>
      <w:i/>
      <w:iCs/>
      <w:color w:val="0E2841" w:themeColor="text2"/>
      <w:kern w:val="0"/>
      <w:sz w:val="18"/>
      <w:szCs w:val="18"/>
      <w:lang w:val="en-GB"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8344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10a6645-df8a-461f-957a-aeb16698bd53}" enabled="1" method="Privileged" siteId="{9b7f23b3-0e83-47a5-8a40-ffa8a6fea536}"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1172</Words>
  <Characters>6686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Management response ALMA -learning evaluation</dc:title>
  <dc:subject/>
  <dc:creator>Fiona Meehan</dc:creator>
  <cp:keywords>[SEC=OFFICIAL]</cp:keywords>
  <dc:description/>
  <cp:lastModifiedBy>Cameron Owers</cp:lastModifiedBy>
  <cp:revision>3</cp:revision>
  <dcterms:created xsi:type="dcterms:W3CDTF">2026-05-15T05:27:00Z</dcterms:created>
  <dcterms:modified xsi:type="dcterms:W3CDTF">2026-05-15T05:27:00Z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65d20d75,6f71bdef,743330ac</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37edb27e,79d1959a,ac4eeae</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PM_Caveats_Count">
    <vt:lpwstr>0</vt:lpwstr>
  </property>
  <property fmtid="{D5CDD505-2E9C-101B-9397-08002B2CF9AE}" pid="9" name="PM_Namespace">
    <vt:lpwstr>gov.au</vt:lpwstr>
  </property>
  <property fmtid="{D5CDD505-2E9C-101B-9397-08002B2CF9AE}" pid="10" name="PM_Version">
    <vt:lpwstr>2018.4</vt:lpwstr>
  </property>
  <property fmtid="{D5CDD505-2E9C-101B-9397-08002B2CF9AE}" pid="11" name="PM_Note">
    <vt:lpwstr/>
  </property>
  <property fmtid="{D5CDD505-2E9C-101B-9397-08002B2CF9AE}" pid="12" name="PM_OriginationTimeStamp">
    <vt:lpwstr>2026-04-20T02:21:04Z</vt:lpwstr>
  </property>
  <property fmtid="{D5CDD505-2E9C-101B-9397-08002B2CF9AE}" pid="13" name="PM_DownTo">
    <vt:lpwstr/>
  </property>
  <property fmtid="{D5CDD505-2E9C-101B-9397-08002B2CF9AE}" pid="14" name="PM_Markers">
    <vt:lpwstr/>
  </property>
  <property fmtid="{D5CDD505-2E9C-101B-9397-08002B2CF9AE}" pid="15" name="PM_Expires">
    <vt:lpwstr/>
  </property>
  <property fmtid="{D5CDD505-2E9C-101B-9397-08002B2CF9AE}" pid="16" name="PMHMAC">
    <vt:lpwstr>v=2022.1;a=SHA256;h=83C12AC61F0966BB0CB1868C133F5DF284544F4092768788452BF9592A3652B9</vt:lpwstr>
  </property>
  <property fmtid="{D5CDD505-2E9C-101B-9397-08002B2CF9AE}" pid="17" name="PM_Qualifier">
    <vt:lpwstr/>
  </property>
  <property fmtid="{D5CDD505-2E9C-101B-9397-08002B2CF9AE}" pid="18" name="PM_SecurityClassification">
    <vt:lpwstr>OFFICIAL</vt:lpwstr>
  </property>
  <property fmtid="{D5CDD505-2E9C-101B-9397-08002B2CF9AE}" pid="19" name="PM_ProtectiveMarkingValue_Header">
    <vt:lpwstr>OFFICIAL</vt:lpwstr>
  </property>
  <property fmtid="{D5CDD505-2E9C-101B-9397-08002B2CF9AE}" pid="20" name="PM_DisplayValueSecClassificationWithQualifier">
    <vt:lpwstr>OFFICIAL</vt:lpwstr>
  </property>
  <property fmtid="{D5CDD505-2E9C-101B-9397-08002B2CF9AE}" pid="21" name="PM_InsertionValue">
    <vt:lpwstr>OFFICIAL</vt:lpwstr>
  </property>
  <property fmtid="{D5CDD505-2E9C-101B-9397-08002B2CF9AE}" pid="22" name="PM_Originator_Hash_SHA1">
    <vt:lpwstr>653215E28913FF14B5E3ADBE37B0D760A14581BB</vt:lpwstr>
  </property>
  <property fmtid="{D5CDD505-2E9C-101B-9397-08002B2CF9AE}" pid="23" name="PM_Originating_FileId">
    <vt:lpwstr>8EF6FBEDC1CA4C09939A1CF83C3EE2A3</vt:lpwstr>
  </property>
  <property fmtid="{D5CDD505-2E9C-101B-9397-08002B2CF9AE}" pid="24" name="PM_ProtectiveMarkingValue_Footer">
    <vt:lpwstr>OFFICIAL</vt:lpwstr>
  </property>
  <property fmtid="{D5CDD505-2E9C-101B-9397-08002B2CF9AE}" pid="25" name="PM_Display">
    <vt:lpwstr>OFFICIAL</vt:lpwstr>
  </property>
  <property fmtid="{D5CDD505-2E9C-101B-9397-08002B2CF9AE}" pid="26" name="PM_OriginatorUserAccountName_SHA256">
    <vt:lpwstr>1A6ED5D924E58A90E931B31248E9374264D855B8BCD46B45054844FDCBA2F499</vt:lpwstr>
  </property>
  <property fmtid="{D5CDD505-2E9C-101B-9397-08002B2CF9AE}" pid="27" name="PM_OriginatorDomainName_SHA256">
    <vt:lpwstr>6F3591835F3B2A8A025B00B5BA6418010DA3A17C9C26EA9C049FFD28039489A2</vt:lpwstr>
  </property>
  <property fmtid="{D5CDD505-2E9C-101B-9397-08002B2CF9AE}" pid="28" name="PMUuid">
    <vt:lpwstr>v=2022.2;d=gov.au;g=46DD6D7C-8107-577B-BC6E-F348953B2E44</vt:lpwstr>
  </property>
  <property fmtid="{D5CDD505-2E9C-101B-9397-08002B2CF9AE}" pid="29" name="PM_Hash_Version">
    <vt:lpwstr>2022.1</vt:lpwstr>
  </property>
  <property fmtid="{D5CDD505-2E9C-101B-9397-08002B2CF9AE}" pid="30" name="PM_Hash_Salt_Prev">
    <vt:lpwstr>5C6B5AE40CF111BB31AA7D91EAF7EA7D</vt:lpwstr>
  </property>
  <property fmtid="{D5CDD505-2E9C-101B-9397-08002B2CF9AE}" pid="31" name="PM_Hash_Salt">
    <vt:lpwstr>F8013E64BCDE7F951911AA4BAEE20B25</vt:lpwstr>
  </property>
  <property fmtid="{D5CDD505-2E9C-101B-9397-08002B2CF9AE}" pid="32" name="PM_Hash_SHA1">
    <vt:lpwstr>429394C8732C0BCE832B8CAC183E54A5561520C5</vt:lpwstr>
  </property>
</Properties>
</file>