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BAAC" w14:textId="77777777" w:rsidR="00FE6F2A" w:rsidRDefault="00FE6F2A" w:rsidP="00F25A93">
      <w:pPr>
        <w:pStyle w:val="SpacebeforeTitle"/>
      </w:pPr>
    </w:p>
    <w:p w14:paraId="4C434AE6" w14:textId="76446169" w:rsidR="00A32858" w:rsidRPr="00B85C5A" w:rsidRDefault="00A9602A" w:rsidP="00A32858">
      <w:pPr>
        <w:pStyle w:val="Heading1"/>
        <w:jc w:val="both"/>
        <w:rPr>
          <w:color w:val="000000" w:themeColor="text1"/>
          <w:sz w:val="36"/>
          <w:szCs w:val="36"/>
        </w:rPr>
      </w:pPr>
      <w:bookmarkStart w:id="0" w:name="_Toc413078488"/>
      <w:r w:rsidRPr="00B85C5A">
        <w:rPr>
          <w:color w:val="000000" w:themeColor="text1"/>
          <w:sz w:val="36"/>
          <w:szCs w:val="36"/>
        </w:rPr>
        <w:t>HANDOVER PLAN</w:t>
      </w:r>
      <w:r w:rsidR="00A32858" w:rsidRPr="00B85C5A">
        <w:rPr>
          <w:color w:val="000000" w:themeColor="text1"/>
          <w:sz w:val="36"/>
          <w:szCs w:val="36"/>
        </w:rPr>
        <w:t xml:space="preserve"> Template</w:t>
      </w:r>
      <w:bookmarkEnd w:id="0"/>
    </w:p>
    <w:p w14:paraId="4015FF9D" w14:textId="13949B06" w:rsidR="00DE0539" w:rsidRPr="00B85C5A" w:rsidRDefault="00A32858" w:rsidP="00A32858">
      <w:pPr>
        <w:spacing w:after="120"/>
        <w:rPr>
          <w:color w:val="000000" w:themeColor="text1"/>
          <w:sz w:val="21"/>
          <w:szCs w:val="21"/>
        </w:rPr>
      </w:pPr>
      <w:r w:rsidRPr="00B85C5A">
        <w:rPr>
          <w:color w:val="000000" w:themeColor="text1"/>
          <w:sz w:val="21"/>
          <w:szCs w:val="21"/>
        </w:rPr>
        <w:t xml:space="preserve">This template provides a structure for </w:t>
      </w:r>
      <w:r w:rsidR="006F6852" w:rsidRPr="00B85C5A">
        <w:rPr>
          <w:color w:val="000000" w:themeColor="text1"/>
          <w:sz w:val="21"/>
          <w:szCs w:val="21"/>
        </w:rPr>
        <w:t xml:space="preserve">a </w:t>
      </w:r>
      <w:r w:rsidR="0087059D" w:rsidRPr="00B85C5A">
        <w:rPr>
          <w:color w:val="000000" w:themeColor="text1"/>
          <w:sz w:val="21"/>
          <w:szCs w:val="21"/>
        </w:rPr>
        <w:t xml:space="preserve">contract </w:t>
      </w:r>
      <w:r w:rsidR="005B6733" w:rsidRPr="00B85C5A">
        <w:rPr>
          <w:color w:val="000000" w:themeColor="text1"/>
          <w:sz w:val="21"/>
          <w:szCs w:val="21"/>
        </w:rPr>
        <w:t>handover plan</w:t>
      </w:r>
      <w:r w:rsidR="006F6852" w:rsidRPr="00B85C5A">
        <w:rPr>
          <w:color w:val="000000" w:themeColor="text1"/>
          <w:sz w:val="21"/>
          <w:szCs w:val="21"/>
        </w:rPr>
        <w:t xml:space="preserve">.  </w:t>
      </w:r>
      <w:r w:rsidR="00E94924">
        <w:rPr>
          <w:color w:val="000000" w:themeColor="text1"/>
          <w:sz w:val="21"/>
          <w:szCs w:val="21"/>
        </w:rPr>
        <w:t xml:space="preserve">The Handover Plan is a live document updated through the life of a contract. It is not a document produced towards the end of a contract. </w:t>
      </w:r>
    </w:p>
    <w:p w14:paraId="3C151296" w14:textId="07ABC371" w:rsidR="0087059D" w:rsidRPr="00B85C5A" w:rsidRDefault="00DE0539" w:rsidP="00A32858">
      <w:pPr>
        <w:spacing w:after="120"/>
        <w:rPr>
          <w:color w:val="000000" w:themeColor="text1"/>
          <w:sz w:val="21"/>
          <w:szCs w:val="21"/>
        </w:rPr>
      </w:pPr>
      <w:r w:rsidRPr="00B85C5A">
        <w:rPr>
          <w:color w:val="000000" w:themeColor="text1"/>
          <w:sz w:val="21"/>
          <w:szCs w:val="21"/>
        </w:rPr>
        <w:t>Handover Plans serve multiple p</w:t>
      </w:r>
      <w:r w:rsidR="00DC7E7B">
        <w:rPr>
          <w:color w:val="000000" w:themeColor="text1"/>
          <w:sz w:val="21"/>
          <w:szCs w:val="21"/>
        </w:rPr>
        <w:t>7</w:t>
      </w:r>
      <w:r w:rsidRPr="00B85C5A">
        <w:rPr>
          <w:color w:val="000000" w:themeColor="text1"/>
          <w:sz w:val="21"/>
          <w:szCs w:val="21"/>
        </w:rPr>
        <w:t xml:space="preserve">urposes for Australia’s </w:t>
      </w:r>
      <w:r w:rsidR="007D13E3">
        <w:rPr>
          <w:color w:val="000000" w:themeColor="text1"/>
          <w:sz w:val="21"/>
          <w:szCs w:val="21"/>
        </w:rPr>
        <w:t>d</w:t>
      </w:r>
      <w:r w:rsidRPr="00B85C5A">
        <w:rPr>
          <w:color w:val="000000" w:themeColor="text1"/>
          <w:sz w:val="21"/>
          <w:szCs w:val="21"/>
        </w:rPr>
        <w:t>evelopment program</w:t>
      </w:r>
      <w:r w:rsidR="00A46115" w:rsidRPr="00B85C5A">
        <w:rPr>
          <w:color w:val="000000" w:themeColor="text1"/>
          <w:sz w:val="21"/>
          <w:szCs w:val="21"/>
        </w:rPr>
        <w:t>:</w:t>
      </w:r>
      <w:r w:rsidRPr="00B85C5A">
        <w:rPr>
          <w:color w:val="000000" w:themeColor="text1"/>
          <w:sz w:val="21"/>
          <w:szCs w:val="21"/>
        </w:rPr>
        <w:t xml:space="preserve"> </w:t>
      </w:r>
    </w:p>
    <w:p w14:paraId="3E9A0060" w14:textId="3E110D9A" w:rsidR="0087059D" w:rsidRPr="00B85C5A" w:rsidRDefault="00DE0539" w:rsidP="00CA1734">
      <w:pPr>
        <w:pStyle w:val="ListParagraph"/>
        <w:numPr>
          <w:ilvl w:val="0"/>
          <w:numId w:val="29"/>
        </w:numPr>
        <w:spacing w:after="120"/>
        <w:rPr>
          <w:color w:val="000000" w:themeColor="text1"/>
          <w:sz w:val="21"/>
          <w:szCs w:val="21"/>
        </w:rPr>
      </w:pPr>
      <w:r w:rsidRPr="00B85C5A">
        <w:rPr>
          <w:color w:val="000000" w:themeColor="text1"/>
          <w:sz w:val="21"/>
          <w:szCs w:val="21"/>
        </w:rPr>
        <w:t xml:space="preserve">ensure a seamless transition between </w:t>
      </w:r>
      <w:r w:rsidR="0087059D" w:rsidRPr="00B85C5A">
        <w:rPr>
          <w:color w:val="000000" w:themeColor="text1"/>
          <w:sz w:val="21"/>
          <w:szCs w:val="21"/>
        </w:rPr>
        <w:t xml:space="preserve">project phases with different </w:t>
      </w:r>
      <w:proofErr w:type="gramStart"/>
      <w:r w:rsidR="0087059D" w:rsidRPr="00B85C5A">
        <w:rPr>
          <w:color w:val="000000" w:themeColor="text1"/>
          <w:sz w:val="21"/>
          <w:szCs w:val="21"/>
        </w:rPr>
        <w:t>contracts</w:t>
      </w:r>
      <w:r w:rsidR="00A46115" w:rsidRPr="00B85C5A">
        <w:rPr>
          <w:color w:val="000000" w:themeColor="text1"/>
          <w:sz w:val="21"/>
          <w:szCs w:val="21"/>
        </w:rPr>
        <w:t>;</w:t>
      </w:r>
      <w:proofErr w:type="gramEnd"/>
    </w:p>
    <w:p w14:paraId="148A6879" w14:textId="618843E2" w:rsidR="0087059D" w:rsidRPr="00B85C5A" w:rsidRDefault="007E6C1D" w:rsidP="00CA1734">
      <w:pPr>
        <w:pStyle w:val="ListParagraph"/>
        <w:numPr>
          <w:ilvl w:val="0"/>
          <w:numId w:val="29"/>
        </w:numPr>
        <w:spacing w:after="120"/>
        <w:rPr>
          <w:color w:val="000000" w:themeColor="text1"/>
          <w:sz w:val="21"/>
          <w:szCs w:val="21"/>
        </w:rPr>
      </w:pPr>
      <w:r w:rsidRPr="00B85C5A">
        <w:rPr>
          <w:color w:val="000000" w:themeColor="text1"/>
          <w:sz w:val="21"/>
          <w:szCs w:val="21"/>
        </w:rPr>
        <w:t xml:space="preserve">ensure </w:t>
      </w:r>
      <w:r w:rsidR="005F6DE0" w:rsidRPr="00B85C5A">
        <w:rPr>
          <w:color w:val="000000" w:themeColor="text1"/>
          <w:sz w:val="21"/>
          <w:szCs w:val="21"/>
        </w:rPr>
        <w:t xml:space="preserve">accountability </w:t>
      </w:r>
      <w:r w:rsidRPr="00B85C5A">
        <w:rPr>
          <w:color w:val="000000" w:themeColor="text1"/>
          <w:sz w:val="21"/>
          <w:szCs w:val="21"/>
        </w:rPr>
        <w:t>of physical</w:t>
      </w:r>
      <w:r w:rsidR="00A46115" w:rsidRPr="00B85C5A">
        <w:rPr>
          <w:color w:val="000000" w:themeColor="text1"/>
          <w:sz w:val="21"/>
          <w:szCs w:val="21"/>
        </w:rPr>
        <w:t xml:space="preserve"> </w:t>
      </w:r>
      <w:r w:rsidRPr="00B85C5A">
        <w:rPr>
          <w:color w:val="000000" w:themeColor="text1"/>
          <w:sz w:val="21"/>
          <w:szCs w:val="21"/>
        </w:rPr>
        <w:t>and intellectual assets</w:t>
      </w:r>
      <w:r w:rsidR="00A46115" w:rsidRPr="00B85C5A">
        <w:rPr>
          <w:color w:val="000000" w:themeColor="text1"/>
          <w:sz w:val="21"/>
          <w:szCs w:val="21"/>
        </w:rPr>
        <w:t>;</w:t>
      </w:r>
      <w:r w:rsidRPr="00B85C5A">
        <w:rPr>
          <w:color w:val="000000" w:themeColor="text1"/>
          <w:sz w:val="21"/>
          <w:szCs w:val="21"/>
        </w:rPr>
        <w:t xml:space="preserve"> </w:t>
      </w:r>
      <w:r w:rsidR="00A46115" w:rsidRPr="00B85C5A">
        <w:rPr>
          <w:color w:val="000000" w:themeColor="text1"/>
          <w:sz w:val="21"/>
          <w:szCs w:val="21"/>
        </w:rPr>
        <w:t xml:space="preserve">and </w:t>
      </w:r>
      <w:r w:rsidR="005F6DE0" w:rsidRPr="00B85C5A">
        <w:rPr>
          <w:color w:val="000000" w:themeColor="text1"/>
          <w:sz w:val="21"/>
          <w:szCs w:val="21"/>
        </w:rPr>
        <w:t xml:space="preserve">continuity in documentation, </w:t>
      </w:r>
      <w:r w:rsidRPr="00B85C5A">
        <w:rPr>
          <w:color w:val="000000" w:themeColor="text1"/>
          <w:sz w:val="21"/>
          <w:szCs w:val="21"/>
        </w:rPr>
        <w:t>management information</w:t>
      </w:r>
      <w:r w:rsidR="005F6DE0" w:rsidRPr="00B85C5A">
        <w:rPr>
          <w:color w:val="000000" w:themeColor="text1"/>
          <w:sz w:val="21"/>
          <w:szCs w:val="21"/>
        </w:rPr>
        <w:t>/data</w:t>
      </w:r>
      <w:r w:rsidRPr="00B85C5A">
        <w:rPr>
          <w:color w:val="000000" w:themeColor="text1"/>
          <w:sz w:val="21"/>
          <w:szCs w:val="21"/>
        </w:rPr>
        <w:t xml:space="preserve">, </w:t>
      </w:r>
      <w:r w:rsidR="00A46115" w:rsidRPr="00B85C5A">
        <w:rPr>
          <w:color w:val="000000" w:themeColor="text1"/>
          <w:sz w:val="21"/>
          <w:szCs w:val="21"/>
        </w:rPr>
        <w:t xml:space="preserve">and </w:t>
      </w:r>
      <w:r w:rsidRPr="00B85C5A">
        <w:rPr>
          <w:color w:val="000000" w:themeColor="text1"/>
          <w:sz w:val="21"/>
          <w:szCs w:val="21"/>
        </w:rPr>
        <w:t xml:space="preserve">supply chains for program effectiveness and </w:t>
      </w:r>
      <w:proofErr w:type="gramStart"/>
      <w:r w:rsidRPr="00B85C5A">
        <w:rPr>
          <w:color w:val="000000" w:themeColor="text1"/>
          <w:sz w:val="21"/>
          <w:szCs w:val="21"/>
        </w:rPr>
        <w:t>efficiency</w:t>
      </w:r>
      <w:r w:rsidR="00A46115" w:rsidRPr="00B85C5A">
        <w:rPr>
          <w:color w:val="000000" w:themeColor="text1"/>
          <w:sz w:val="21"/>
          <w:szCs w:val="21"/>
        </w:rPr>
        <w:t>;</w:t>
      </w:r>
      <w:proofErr w:type="gramEnd"/>
    </w:p>
    <w:p w14:paraId="53B53B6E" w14:textId="18563C3B" w:rsidR="0087059D" w:rsidRPr="00B85C5A" w:rsidRDefault="007E6C1D" w:rsidP="00CA1734">
      <w:pPr>
        <w:pStyle w:val="ListParagraph"/>
        <w:numPr>
          <w:ilvl w:val="0"/>
          <w:numId w:val="29"/>
        </w:numPr>
        <w:spacing w:after="120"/>
        <w:rPr>
          <w:color w:val="000000" w:themeColor="text1"/>
          <w:sz w:val="21"/>
          <w:szCs w:val="21"/>
        </w:rPr>
      </w:pPr>
      <w:r w:rsidRPr="00B85C5A">
        <w:rPr>
          <w:color w:val="000000" w:themeColor="text1"/>
          <w:sz w:val="21"/>
          <w:szCs w:val="21"/>
        </w:rPr>
        <w:t>ensure contract compliance and legislative compliance</w:t>
      </w:r>
      <w:r w:rsidR="00A46115" w:rsidRPr="00B85C5A">
        <w:rPr>
          <w:color w:val="000000" w:themeColor="text1"/>
          <w:sz w:val="21"/>
          <w:szCs w:val="21"/>
        </w:rPr>
        <w:t>;</w:t>
      </w:r>
      <w:r w:rsidR="0087059D" w:rsidRPr="00B85C5A">
        <w:rPr>
          <w:color w:val="000000" w:themeColor="text1"/>
          <w:sz w:val="21"/>
          <w:szCs w:val="21"/>
        </w:rPr>
        <w:t xml:space="preserve"> and</w:t>
      </w:r>
    </w:p>
    <w:p w14:paraId="4C9D417B" w14:textId="2BFF0287" w:rsidR="00A32858" w:rsidRPr="00B85C5A" w:rsidRDefault="0087059D" w:rsidP="00B85C5A">
      <w:pPr>
        <w:pStyle w:val="ListParagraph"/>
        <w:numPr>
          <w:ilvl w:val="0"/>
          <w:numId w:val="29"/>
        </w:numPr>
        <w:spacing w:after="120"/>
        <w:rPr>
          <w:color w:val="000000" w:themeColor="text1"/>
          <w:sz w:val="21"/>
          <w:szCs w:val="21"/>
        </w:rPr>
      </w:pPr>
      <w:r w:rsidRPr="00B85C5A">
        <w:rPr>
          <w:color w:val="000000" w:themeColor="text1"/>
          <w:sz w:val="21"/>
          <w:szCs w:val="21"/>
        </w:rPr>
        <w:t>ensure business continuity especially in reaction to an event that has a significant impact on the contract such as COVID-19.</w:t>
      </w:r>
    </w:p>
    <w:p w14:paraId="1F104A6E" w14:textId="77777777" w:rsidR="00A9602A" w:rsidRPr="00DB7C83" w:rsidRDefault="00A9602A" w:rsidP="00A9602A">
      <w:pPr>
        <w:spacing w:before="69"/>
        <w:ind w:left="120"/>
        <w:rPr>
          <w:rFonts w:ascii="Arial" w:eastAsia="Arial" w:hAnsi="Arial" w:cs="Arial"/>
          <w:color w:val="242C32" w:themeColor="text2" w:themeShade="80"/>
          <w:sz w:val="16"/>
          <w:szCs w:val="20"/>
        </w:rPr>
      </w:pPr>
      <w:r w:rsidRPr="00DB7C83">
        <w:rPr>
          <w:rFonts w:ascii="Arial"/>
          <w:b/>
          <w:color w:val="242C32" w:themeColor="text2" w:themeShade="80"/>
          <w:sz w:val="20"/>
        </w:rPr>
        <w:t>Instructions</w:t>
      </w:r>
    </w:p>
    <w:tbl>
      <w:tblPr>
        <w:tblStyle w:val="TableGrid"/>
        <w:tblW w:w="0" w:type="auto"/>
        <w:shd w:val="clear" w:color="auto" w:fill="E0F3EF" w:themeFill="accent1" w:themeFillTint="33"/>
        <w:tblLook w:val="04A0" w:firstRow="1" w:lastRow="0" w:firstColumn="1" w:lastColumn="0" w:noHBand="0" w:noVBand="1"/>
      </w:tblPr>
      <w:tblGrid>
        <w:gridCol w:w="9628"/>
      </w:tblGrid>
      <w:tr w:rsidR="00A9602A" w14:paraId="6BC73437" w14:textId="77777777" w:rsidTr="6C61147E">
        <w:tc>
          <w:tcPr>
            <w:tcW w:w="10780" w:type="dxa"/>
            <w:shd w:val="clear" w:color="auto" w:fill="F2F2F2" w:themeFill="background1" w:themeFillShade="F2"/>
          </w:tcPr>
          <w:p w14:paraId="4F041C87" w14:textId="3C548119" w:rsidR="00A9602A" w:rsidRDefault="00A9602A" w:rsidP="00A9602A">
            <w:pPr>
              <w:spacing w:before="94" w:line="261" w:lineRule="auto"/>
              <w:ind w:left="26" w:right="7"/>
              <w:rPr>
                <w:rFonts w:ascii="Arial" w:eastAsia="Arial" w:hAnsi="Arial" w:cs="Arial"/>
                <w:b/>
                <w:bCs/>
                <w:sz w:val="16"/>
                <w:szCs w:val="16"/>
              </w:rPr>
            </w:pPr>
            <w:r w:rsidRPr="00B85C5A">
              <w:rPr>
                <w:color w:val="000000" w:themeColor="text1"/>
                <w:sz w:val="21"/>
                <w:szCs w:val="21"/>
              </w:rPr>
              <w:t xml:space="preserve">All </w:t>
            </w:r>
            <w:r w:rsidR="002A06B4" w:rsidRPr="00B85C5A">
              <w:rPr>
                <w:color w:val="000000" w:themeColor="text1"/>
                <w:sz w:val="21"/>
                <w:szCs w:val="21"/>
              </w:rPr>
              <w:t xml:space="preserve">DFAT </w:t>
            </w:r>
            <w:r w:rsidR="007D13E3">
              <w:rPr>
                <w:color w:val="000000" w:themeColor="text1"/>
                <w:sz w:val="21"/>
                <w:szCs w:val="21"/>
              </w:rPr>
              <w:t>d</w:t>
            </w:r>
            <w:r w:rsidR="0087059D" w:rsidRPr="00B85C5A">
              <w:rPr>
                <w:color w:val="000000" w:themeColor="text1"/>
                <w:sz w:val="21"/>
                <w:szCs w:val="21"/>
              </w:rPr>
              <w:t xml:space="preserve">evelopment contracts </w:t>
            </w:r>
            <w:r w:rsidR="0087059D" w:rsidRPr="00B85C5A">
              <w:rPr>
                <w:b/>
                <w:bCs/>
                <w:i/>
                <w:iCs/>
                <w:color w:val="000000" w:themeColor="text1"/>
                <w:sz w:val="21"/>
                <w:szCs w:val="21"/>
              </w:rPr>
              <w:t>must</w:t>
            </w:r>
            <w:r w:rsidR="0087059D" w:rsidRPr="00B85C5A">
              <w:rPr>
                <w:color w:val="000000" w:themeColor="text1"/>
                <w:sz w:val="21"/>
                <w:szCs w:val="21"/>
              </w:rPr>
              <w:t xml:space="preserve"> </w:t>
            </w:r>
            <w:r w:rsidR="00A200C0" w:rsidRPr="00B85C5A">
              <w:rPr>
                <w:color w:val="000000" w:themeColor="text1"/>
                <w:sz w:val="21"/>
                <w:szCs w:val="21"/>
              </w:rPr>
              <w:t xml:space="preserve">have a </w:t>
            </w:r>
            <w:r w:rsidR="002A06B4" w:rsidRPr="00B85C5A">
              <w:rPr>
                <w:color w:val="000000" w:themeColor="text1"/>
                <w:sz w:val="21"/>
                <w:szCs w:val="21"/>
              </w:rPr>
              <w:t>H</w:t>
            </w:r>
            <w:r w:rsidR="00A200C0" w:rsidRPr="00B85C5A">
              <w:rPr>
                <w:color w:val="000000" w:themeColor="text1"/>
                <w:sz w:val="21"/>
                <w:szCs w:val="21"/>
              </w:rPr>
              <w:t xml:space="preserve">andover </w:t>
            </w:r>
            <w:r w:rsidR="002A06B4" w:rsidRPr="00B85C5A">
              <w:rPr>
                <w:color w:val="000000" w:themeColor="text1"/>
                <w:sz w:val="21"/>
                <w:szCs w:val="21"/>
              </w:rPr>
              <w:t>P</w:t>
            </w:r>
            <w:r w:rsidR="00A200C0" w:rsidRPr="00B85C5A">
              <w:rPr>
                <w:color w:val="000000" w:themeColor="text1"/>
                <w:sz w:val="21"/>
                <w:szCs w:val="21"/>
              </w:rPr>
              <w:t>lan</w:t>
            </w:r>
            <w:r w:rsidRPr="00B85C5A">
              <w:rPr>
                <w:color w:val="000000" w:themeColor="text1"/>
                <w:sz w:val="21"/>
                <w:szCs w:val="21"/>
              </w:rPr>
              <w:t xml:space="preserve">. </w:t>
            </w:r>
            <w:r w:rsidR="00A200C0" w:rsidRPr="00B85C5A">
              <w:rPr>
                <w:color w:val="000000" w:themeColor="text1"/>
                <w:sz w:val="21"/>
                <w:szCs w:val="21"/>
              </w:rPr>
              <w:t xml:space="preserve"> </w:t>
            </w:r>
            <w:r w:rsidR="009A1EE4" w:rsidRPr="00B85C5A">
              <w:rPr>
                <w:color w:val="000000" w:themeColor="text1"/>
                <w:sz w:val="21"/>
                <w:szCs w:val="21"/>
              </w:rPr>
              <w:t>Formal submission of a</w:t>
            </w:r>
            <w:r w:rsidR="00897E57" w:rsidRPr="00B85C5A">
              <w:rPr>
                <w:color w:val="000000" w:themeColor="text1"/>
                <w:sz w:val="21"/>
                <w:szCs w:val="21"/>
              </w:rPr>
              <w:t xml:space="preserve"> handover </w:t>
            </w:r>
            <w:r w:rsidR="005D6F14" w:rsidRPr="00B85C5A">
              <w:rPr>
                <w:color w:val="000000" w:themeColor="text1"/>
                <w:sz w:val="21"/>
                <w:szCs w:val="21"/>
              </w:rPr>
              <w:t xml:space="preserve">plan </w:t>
            </w:r>
            <w:r w:rsidR="009A1EE4" w:rsidRPr="00B85C5A">
              <w:rPr>
                <w:color w:val="000000" w:themeColor="text1"/>
                <w:sz w:val="21"/>
                <w:szCs w:val="21"/>
              </w:rPr>
              <w:t>is</w:t>
            </w:r>
            <w:r w:rsidR="005D6F14" w:rsidRPr="00B85C5A">
              <w:rPr>
                <w:color w:val="000000" w:themeColor="text1"/>
                <w:sz w:val="21"/>
                <w:szCs w:val="21"/>
              </w:rPr>
              <w:t xml:space="preserve"> </w:t>
            </w:r>
            <w:r w:rsidR="00A200C0" w:rsidRPr="00B85C5A">
              <w:rPr>
                <w:color w:val="000000" w:themeColor="text1"/>
                <w:sz w:val="21"/>
                <w:szCs w:val="21"/>
              </w:rPr>
              <w:t xml:space="preserve">due </w:t>
            </w:r>
            <w:r w:rsidR="001902CB" w:rsidRPr="009E605F">
              <w:rPr>
                <w:color w:val="000000" w:themeColor="text1"/>
                <w:sz w:val="21"/>
                <w:szCs w:val="21"/>
              </w:rPr>
              <w:t>annually</w:t>
            </w:r>
            <w:r w:rsidR="00F5267B" w:rsidRPr="009E605F">
              <w:rPr>
                <w:color w:val="000000" w:themeColor="text1"/>
                <w:sz w:val="21"/>
                <w:szCs w:val="21"/>
              </w:rPr>
              <w:t xml:space="preserve"> (as an annex to the </w:t>
            </w:r>
            <w:r w:rsidR="002D7ED4" w:rsidRPr="009E605F">
              <w:rPr>
                <w:color w:val="000000" w:themeColor="text1"/>
                <w:sz w:val="21"/>
                <w:szCs w:val="21"/>
              </w:rPr>
              <w:t xml:space="preserve">annual plan and </w:t>
            </w:r>
            <w:r w:rsidR="0087059D" w:rsidRPr="009E605F">
              <w:rPr>
                <w:color w:val="000000" w:themeColor="text1"/>
                <w:sz w:val="21"/>
                <w:szCs w:val="21"/>
              </w:rPr>
              <w:t xml:space="preserve">will be updated </w:t>
            </w:r>
            <w:r w:rsidR="0054746D" w:rsidRPr="009E605F">
              <w:rPr>
                <w:color w:val="000000" w:themeColor="text1"/>
                <w:sz w:val="21"/>
                <w:szCs w:val="21"/>
              </w:rPr>
              <w:t xml:space="preserve">by the contractor </w:t>
            </w:r>
            <w:r w:rsidR="0087059D" w:rsidRPr="009E605F">
              <w:rPr>
                <w:color w:val="000000" w:themeColor="text1"/>
                <w:sz w:val="21"/>
                <w:szCs w:val="21"/>
              </w:rPr>
              <w:t>as required by DFAT in the final 12 months of a contract term</w:t>
            </w:r>
            <w:r w:rsidR="0054746D" w:rsidRPr="009E605F">
              <w:rPr>
                <w:color w:val="000000" w:themeColor="text1"/>
                <w:sz w:val="21"/>
                <w:szCs w:val="21"/>
              </w:rPr>
              <w:t>)</w:t>
            </w:r>
            <w:r w:rsidR="00A200C0" w:rsidRPr="009E605F">
              <w:rPr>
                <w:color w:val="000000" w:themeColor="text1"/>
                <w:sz w:val="21"/>
                <w:szCs w:val="21"/>
              </w:rPr>
              <w:t xml:space="preserve">.  </w:t>
            </w:r>
            <w:r w:rsidR="0087059D" w:rsidRPr="009E605F">
              <w:rPr>
                <w:color w:val="000000" w:themeColor="text1"/>
                <w:sz w:val="21"/>
                <w:szCs w:val="21"/>
              </w:rPr>
              <w:t>The f</w:t>
            </w:r>
            <w:r w:rsidR="00856C5C" w:rsidRPr="009E605F">
              <w:rPr>
                <w:color w:val="000000" w:themeColor="text1"/>
                <w:sz w:val="21"/>
                <w:szCs w:val="21"/>
              </w:rPr>
              <w:t xml:space="preserve">inal </w:t>
            </w:r>
            <w:r w:rsidR="0057431A" w:rsidRPr="009E605F">
              <w:rPr>
                <w:color w:val="000000" w:themeColor="text1"/>
                <w:sz w:val="21"/>
                <w:szCs w:val="21"/>
              </w:rPr>
              <w:t xml:space="preserve">handover </w:t>
            </w:r>
            <w:r w:rsidR="0087059D" w:rsidRPr="009E605F">
              <w:rPr>
                <w:color w:val="000000" w:themeColor="text1"/>
                <w:sz w:val="21"/>
                <w:szCs w:val="21"/>
              </w:rPr>
              <w:t xml:space="preserve">plan will be </w:t>
            </w:r>
            <w:r w:rsidR="002B0C66" w:rsidRPr="009E605F">
              <w:rPr>
                <w:color w:val="000000" w:themeColor="text1"/>
                <w:sz w:val="21"/>
                <w:szCs w:val="21"/>
              </w:rPr>
              <w:t xml:space="preserve">an annex </w:t>
            </w:r>
            <w:r w:rsidR="00DC7020" w:rsidRPr="009E605F">
              <w:rPr>
                <w:color w:val="000000" w:themeColor="text1"/>
                <w:sz w:val="21"/>
                <w:szCs w:val="21"/>
              </w:rPr>
              <w:t>in</w:t>
            </w:r>
            <w:r w:rsidR="00A200C0" w:rsidRPr="009E605F">
              <w:rPr>
                <w:color w:val="000000" w:themeColor="text1"/>
                <w:sz w:val="21"/>
                <w:szCs w:val="21"/>
              </w:rPr>
              <w:t xml:space="preserve"> the </w:t>
            </w:r>
            <w:r w:rsidR="00A51E64">
              <w:rPr>
                <w:color w:val="000000" w:themeColor="text1"/>
                <w:sz w:val="21"/>
                <w:szCs w:val="21"/>
              </w:rPr>
              <w:t xml:space="preserve">Final </w:t>
            </w:r>
            <w:r w:rsidR="00E367F4" w:rsidRPr="009E605F">
              <w:rPr>
                <w:color w:val="000000" w:themeColor="text1"/>
                <w:sz w:val="21"/>
                <w:szCs w:val="21"/>
              </w:rPr>
              <w:t>C</w:t>
            </w:r>
            <w:r w:rsidR="00A200C0" w:rsidRPr="009E605F">
              <w:rPr>
                <w:color w:val="000000" w:themeColor="text1"/>
                <w:sz w:val="21"/>
                <w:szCs w:val="21"/>
              </w:rPr>
              <w:t xml:space="preserve">ompletion </w:t>
            </w:r>
            <w:r w:rsidR="00E367F4" w:rsidRPr="009E605F">
              <w:rPr>
                <w:color w:val="000000" w:themeColor="text1"/>
                <w:sz w:val="21"/>
                <w:szCs w:val="21"/>
              </w:rPr>
              <w:t>R</w:t>
            </w:r>
            <w:r w:rsidR="00A200C0" w:rsidRPr="009E605F">
              <w:rPr>
                <w:color w:val="000000" w:themeColor="text1"/>
                <w:sz w:val="21"/>
                <w:szCs w:val="21"/>
              </w:rPr>
              <w:t>eport</w:t>
            </w:r>
            <w:r w:rsidR="00DC7020" w:rsidRPr="009E605F">
              <w:rPr>
                <w:color w:val="000000" w:themeColor="text1"/>
                <w:sz w:val="21"/>
                <w:szCs w:val="21"/>
              </w:rPr>
              <w:t>.</w:t>
            </w:r>
            <w:r w:rsidR="00A200C0" w:rsidRPr="009E605F">
              <w:rPr>
                <w:color w:val="000000" w:themeColor="text1"/>
                <w:sz w:val="21"/>
                <w:szCs w:val="21"/>
              </w:rPr>
              <w:t xml:space="preserve">  </w:t>
            </w:r>
            <w:r w:rsidR="006F6852" w:rsidRPr="009E605F">
              <w:rPr>
                <w:color w:val="000000" w:themeColor="text1"/>
                <w:sz w:val="21"/>
                <w:szCs w:val="21"/>
              </w:rPr>
              <w:t>Further</w:t>
            </w:r>
            <w:r w:rsidR="00A200C0" w:rsidRPr="009E605F">
              <w:rPr>
                <w:color w:val="000000" w:themeColor="text1"/>
                <w:sz w:val="21"/>
                <w:szCs w:val="21"/>
              </w:rPr>
              <w:t xml:space="preserve"> information</w:t>
            </w:r>
            <w:r w:rsidRPr="009E605F">
              <w:rPr>
                <w:color w:val="000000" w:themeColor="text1"/>
                <w:sz w:val="21"/>
                <w:szCs w:val="21"/>
              </w:rPr>
              <w:t xml:space="preserve"> can be found </w:t>
            </w:r>
            <w:r w:rsidR="007E6C1D" w:rsidRPr="009E605F">
              <w:rPr>
                <w:color w:val="000000" w:themeColor="text1"/>
                <w:sz w:val="21"/>
                <w:szCs w:val="21"/>
              </w:rPr>
              <w:t xml:space="preserve">by referring to the contract clauses and milestones for the </w:t>
            </w:r>
            <w:r w:rsidR="006C16E1" w:rsidRPr="009E605F">
              <w:rPr>
                <w:color w:val="000000" w:themeColor="text1"/>
                <w:sz w:val="21"/>
                <w:szCs w:val="21"/>
              </w:rPr>
              <w:t>contract or</w:t>
            </w:r>
            <w:r w:rsidRPr="009E605F">
              <w:rPr>
                <w:color w:val="000000" w:themeColor="text1"/>
                <w:sz w:val="21"/>
                <w:szCs w:val="21"/>
              </w:rPr>
              <w:t xml:space="preserve"> contacting </w:t>
            </w:r>
            <w:r w:rsidR="00CD5777" w:rsidRPr="009E605F">
              <w:rPr>
                <w:color w:val="000000" w:themeColor="text1"/>
                <w:sz w:val="21"/>
                <w:szCs w:val="21"/>
              </w:rPr>
              <w:t>PRD</w:t>
            </w:r>
            <w:r w:rsidR="009E605F" w:rsidRPr="009E605F">
              <w:rPr>
                <w:color w:val="000000" w:themeColor="text1"/>
                <w:sz w:val="21"/>
                <w:szCs w:val="21"/>
              </w:rPr>
              <w:t>:</w:t>
            </w:r>
            <w:r w:rsidRPr="009E605F">
              <w:rPr>
                <w:color w:val="000000" w:themeColor="text1"/>
                <w:sz w:val="21"/>
                <w:szCs w:val="21"/>
              </w:rPr>
              <w:t xml:space="preserve"> </w:t>
            </w:r>
            <w:hyperlink r:id="rId8" w:history="1">
              <w:r w:rsidR="009E605F" w:rsidRPr="009E605F">
                <w:rPr>
                  <w:rStyle w:val="Hyperlink"/>
                  <w:rFonts w:cstheme="minorBidi"/>
                  <w:sz w:val="21"/>
                  <w:szCs w:val="21"/>
                </w:rPr>
                <w:t>aidcontracts@dfat.gov.au</w:t>
              </w:r>
            </w:hyperlink>
            <w:r w:rsidR="009E605F">
              <w:rPr>
                <w:color w:val="000000" w:themeColor="text1"/>
                <w:sz w:val="21"/>
                <w:szCs w:val="21"/>
              </w:rPr>
              <w:t xml:space="preserve"> </w:t>
            </w:r>
          </w:p>
        </w:tc>
      </w:tr>
    </w:tbl>
    <w:p w14:paraId="6C193B99" w14:textId="77777777" w:rsidR="00A9602A" w:rsidRPr="00A32858" w:rsidRDefault="00A9602A" w:rsidP="00A32858">
      <w:pPr>
        <w:spacing w:after="120"/>
        <w:rPr>
          <w:sz w:val="21"/>
          <w:szCs w:val="21"/>
        </w:rPr>
      </w:pPr>
    </w:p>
    <w:p w14:paraId="47E5E30D" w14:textId="2799069B" w:rsidR="00A32858" w:rsidRPr="00B85C5A" w:rsidRDefault="00640FCF"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000000" w:themeColor="text1"/>
          <w:sz w:val="21"/>
          <w:szCs w:val="21"/>
        </w:rPr>
      </w:pPr>
      <w:r w:rsidRPr="00B85C5A">
        <w:rPr>
          <w:b/>
          <w:color w:val="000000" w:themeColor="text1"/>
          <w:sz w:val="21"/>
          <w:szCs w:val="21"/>
        </w:rPr>
        <w:t xml:space="preserve">Contract </w:t>
      </w:r>
      <w:r w:rsidR="00A32858" w:rsidRPr="00B85C5A">
        <w:rPr>
          <w:b/>
          <w:color w:val="000000" w:themeColor="text1"/>
          <w:sz w:val="21"/>
          <w:szCs w:val="21"/>
        </w:rPr>
        <w:t>Title:</w:t>
      </w:r>
      <w:r w:rsidR="00A32858" w:rsidRPr="00B85C5A">
        <w:rPr>
          <w:b/>
          <w:color w:val="000000" w:themeColor="text1"/>
          <w:sz w:val="21"/>
          <w:szCs w:val="21"/>
        </w:rPr>
        <w:tab/>
      </w:r>
      <w:r w:rsidR="00A32858" w:rsidRPr="00B85C5A">
        <w:rPr>
          <w:b/>
          <w:color w:val="000000" w:themeColor="text1"/>
          <w:sz w:val="21"/>
          <w:szCs w:val="21"/>
        </w:rPr>
        <w:tab/>
      </w:r>
      <w:r w:rsidR="00A32858" w:rsidRPr="00B85C5A">
        <w:rPr>
          <w:b/>
          <w:color w:val="000000" w:themeColor="text1"/>
          <w:sz w:val="21"/>
          <w:szCs w:val="21"/>
        </w:rPr>
        <w:tab/>
      </w:r>
      <w:r w:rsidR="00A32858" w:rsidRPr="00B85C5A">
        <w:rPr>
          <w:b/>
          <w:color w:val="000000" w:themeColor="text1"/>
          <w:sz w:val="21"/>
          <w:szCs w:val="21"/>
        </w:rPr>
        <w:tab/>
      </w:r>
      <w:r w:rsidR="00A32858" w:rsidRPr="00B85C5A">
        <w:rPr>
          <w:b/>
          <w:color w:val="000000" w:themeColor="text1"/>
          <w:sz w:val="21"/>
          <w:szCs w:val="21"/>
        </w:rPr>
        <w:tab/>
      </w:r>
      <w:r w:rsidR="00A32858" w:rsidRPr="00B85C5A">
        <w:rPr>
          <w:b/>
          <w:color w:val="000000" w:themeColor="text1"/>
          <w:sz w:val="21"/>
          <w:szCs w:val="21"/>
        </w:rPr>
        <w:tab/>
      </w:r>
      <w:r w:rsidR="00265143" w:rsidRPr="00B85C5A">
        <w:rPr>
          <w:b/>
          <w:color w:val="000000" w:themeColor="text1"/>
          <w:sz w:val="21"/>
          <w:szCs w:val="21"/>
        </w:rPr>
        <w:t xml:space="preserve"> </w:t>
      </w:r>
      <w:r w:rsidR="00A32858" w:rsidRPr="00B85C5A">
        <w:rPr>
          <w:b/>
          <w:color w:val="000000" w:themeColor="text1"/>
          <w:sz w:val="21"/>
          <w:szCs w:val="21"/>
        </w:rPr>
        <w:tab/>
      </w:r>
      <w:r w:rsidR="00A32858" w:rsidRPr="00B85C5A">
        <w:rPr>
          <w:b/>
          <w:color w:val="000000" w:themeColor="text1"/>
          <w:sz w:val="21"/>
          <w:szCs w:val="21"/>
        </w:rPr>
        <w:tab/>
      </w:r>
      <w:r w:rsidR="00A32858" w:rsidRPr="00B85C5A">
        <w:rPr>
          <w:b/>
          <w:color w:val="000000" w:themeColor="text1"/>
          <w:sz w:val="21"/>
          <w:szCs w:val="21"/>
        </w:rPr>
        <w:tab/>
      </w:r>
    </w:p>
    <w:p w14:paraId="59443B9E" w14:textId="5E37E2E5" w:rsidR="00A32858" w:rsidRPr="00B85C5A" w:rsidRDefault="00265143"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000000" w:themeColor="text1"/>
          <w:sz w:val="21"/>
          <w:szCs w:val="21"/>
        </w:rPr>
      </w:pPr>
      <w:r w:rsidRPr="00B85C5A">
        <w:rPr>
          <w:b/>
          <w:color w:val="000000" w:themeColor="text1"/>
          <w:sz w:val="21"/>
          <w:szCs w:val="21"/>
        </w:rPr>
        <w:t>Contractor</w:t>
      </w:r>
      <w:r w:rsidR="00A32858" w:rsidRPr="00B85C5A">
        <w:rPr>
          <w:b/>
          <w:color w:val="000000" w:themeColor="text1"/>
          <w:sz w:val="21"/>
          <w:szCs w:val="21"/>
        </w:rPr>
        <w:t>:</w:t>
      </w:r>
      <w:r w:rsidR="00A32858" w:rsidRPr="00B85C5A">
        <w:rPr>
          <w:b/>
          <w:color w:val="000000" w:themeColor="text1"/>
          <w:sz w:val="21"/>
          <w:szCs w:val="21"/>
        </w:rPr>
        <w:tab/>
      </w:r>
      <w:r w:rsidR="00A32858" w:rsidRPr="00B85C5A">
        <w:rPr>
          <w:b/>
          <w:color w:val="000000" w:themeColor="text1"/>
          <w:sz w:val="21"/>
          <w:szCs w:val="21"/>
        </w:rPr>
        <w:tab/>
      </w:r>
      <w:r w:rsidR="00A32858" w:rsidRPr="00B85C5A">
        <w:rPr>
          <w:b/>
          <w:color w:val="000000" w:themeColor="text1"/>
          <w:sz w:val="21"/>
          <w:szCs w:val="21"/>
        </w:rPr>
        <w:tab/>
      </w:r>
    </w:p>
    <w:p w14:paraId="723D50F2" w14:textId="77777777" w:rsidR="00883EBF" w:rsidRDefault="00265143" w:rsidP="0026514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000000" w:themeColor="text1"/>
          <w:sz w:val="21"/>
          <w:szCs w:val="21"/>
        </w:rPr>
      </w:pPr>
      <w:r w:rsidRPr="00B85C5A">
        <w:rPr>
          <w:b/>
          <w:color w:val="000000" w:themeColor="text1"/>
          <w:sz w:val="21"/>
          <w:szCs w:val="21"/>
        </w:rPr>
        <w:t>Start date:</w:t>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p>
    <w:p w14:paraId="13755461" w14:textId="50B2B101" w:rsidR="00265143" w:rsidRPr="00B85C5A" w:rsidRDefault="00265143" w:rsidP="00265143">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000000" w:themeColor="text1"/>
          <w:sz w:val="21"/>
          <w:szCs w:val="21"/>
        </w:rPr>
      </w:pPr>
      <w:r w:rsidRPr="00B85C5A">
        <w:rPr>
          <w:b/>
          <w:color w:val="000000" w:themeColor="text1"/>
          <w:sz w:val="21"/>
          <w:szCs w:val="21"/>
        </w:rPr>
        <w:t xml:space="preserve">End date: </w:t>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p>
    <w:p w14:paraId="29B00AB2" w14:textId="30A48280" w:rsidR="00A32858" w:rsidRPr="00B85C5A" w:rsidRDefault="00265143"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000000" w:themeColor="text1"/>
          <w:sz w:val="21"/>
          <w:szCs w:val="21"/>
        </w:rPr>
      </w:pPr>
      <w:r w:rsidRPr="00B85C5A">
        <w:rPr>
          <w:b/>
          <w:color w:val="000000" w:themeColor="text1"/>
          <w:sz w:val="21"/>
          <w:szCs w:val="21"/>
        </w:rPr>
        <w:t xml:space="preserve">Contract value: </w:t>
      </w:r>
      <w:r w:rsidRPr="00B85C5A">
        <w:rPr>
          <w:bCs/>
          <w:color w:val="000000" w:themeColor="text1"/>
          <w:sz w:val="21"/>
          <w:szCs w:val="21"/>
        </w:rPr>
        <w:t>AUD</w:t>
      </w:r>
    </w:p>
    <w:p w14:paraId="61971086" w14:textId="5A4A52B1" w:rsidR="00A32858" w:rsidRPr="00B85C5A" w:rsidRDefault="00265143"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000000" w:themeColor="text1"/>
          <w:sz w:val="21"/>
          <w:szCs w:val="21"/>
        </w:rPr>
      </w:pPr>
      <w:r w:rsidRPr="00B85C5A">
        <w:rPr>
          <w:b/>
          <w:color w:val="000000" w:themeColor="text1"/>
          <w:sz w:val="21"/>
          <w:szCs w:val="21"/>
        </w:rPr>
        <w:t>Contract</w:t>
      </w:r>
      <w:r w:rsidR="00A32858" w:rsidRPr="00B85C5A">
        <w:rPr>
          <w:b/>
          <w:color w:val="000000" w:themeColor="text1"/>
          <w:sz w:val="21"/>
          <w:szCs w:val="21"/>
        </w:rPr>
        <w:t xml:space="preserve"> number:</w:t>
      </w:r>
      <w:r w:rsidR="00A32858" w:rsidRPr="00B85C5A">
        <w:rPr>
          <w:b/>
          <w:color w:val="000000" w:themeColor="text1"/>
          <w:sz w:val="21"/>
          <w:szCs w:val="21"/>
        </w:rPr>
        <w:tab/>
      </w:r>
    </w:p>
    <w:p w14:paraId="71823D3B" w14:textId="77777777" w:rsidR="00883EBF" w:rsidRDefault="00A9602A"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000000" w:themeColor="text1"/>
          <w:sz w:val="21"/>
          <w:szCs w:val="21"/>
        </w:rPr>
      </w:pPr>
      <w:r w:rsidRPr="00B85C5A">
        <w:rPr>
          <w:b/>
          <w:color w:val="000000" w:themeColor="text1"/>
          <w:sz w:val="21"/>
          <w:szCs w:val="21"/>
        </w:rPr>
        <w:t>Handover Plan prepared</w:t>
      </w:r>
      <w:r w:rsidR="00A32858" w:rsidRPr="00B85C5A">
        <w:rPr>
          <w:b/>
          <w:color w:val="000000" w:themeColor="text1"/>
          <w:sz w:val="21"/>
          <w:szCs w:val="21"/>
        </w:rPr>
        <w:t xml:space="preserve"> by: </w:t>
      </w:r>
      <w:r w:rsidR="00A32858" w:rsidRPr="00B85C5A">
        <w:rPr>
          <w:i/>
          <w:color w:val="000000" w:themeColor="text1"/>
          <w:sz w:val="21"/>
          <w:szCs w:val="21"/>
        </w:rPr>
        <w:t>&lt;name&gt;</w:t>
      </w:r>
      <w:r w:rsidR="00A32858" w:rsidRPr="00B85C5A">
        <w:rPr>
          <w:b/>
          <w:color w:val="000000" w:themeColor="text1"/>
          <w:sz w:val="21"/>
          <w:szCs w:val="21"/>
        </w:rPr>
        <w:t xml:space="preserve"> </w:t>
      </w:r>
      <w:r w:rsidR="00A32858" w:rsidRPr="00B85C5A">
        <w:rPr>
          <w:b/>
          <w:color w:val="000000" w:themeColor="text1"/>
          <w:sz w:val="21"/>
          <w:szCs w:val="21"/>
        </w:rPr>
        <w:tab/>
      </w:r>
      <w:r w:rsidR="00A32858" w:rsidRPr="00B85C5A">
        <w:rPr>
          <w:b/>
          <w:color w:val="000000" w:themeColor="text1"/>
          <w:sz w:val="21"/>
          <w:szCs w:val="21"/>
        </w:rPr>
        <w:tab/>
      </w:r>
    </w:p>
    <w:p w14:paraId="73A53A25" w14:textId="35574F19" w:rsidR="00A32858" w:rsidRPr="00B85C5A" w:rsidRDefault="00A9602A"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Cs/>
          <w:i/>
          <w:iCs/>
          <w:color w:val="000000" w:themeColor="text1"/>
          <w:sz w:val="21"/>
          <w:szCs w:val="21"/>
        </w:rPr>
      </w:pPr>
      <w:r w:rsidRPr="00B85C5A">
        <w:rPr>
          <w:b/>
          <w:color w:val="000000" w:themeColor="text1"/>
          <w:sz w:val="21"/>
          <w:szCs w:val="21"/>
        </w:rPr>
        <w:t xml:space="preserve">Handover Plan approved by: </w:t>
      </w:r>
      <w:r w:rsidRPr="00B85C5A">
        <w:rPr>
          <w:bCs/>
          <w:i/>
          <w:iCs/>
          <w:color w:val="000000" w:themeColor="text1"/>
          <w:sz w:val="21"/>
          <w:szCs w:val="21"/>
        </w:rPr>
        <w:t>&lt;name&gt;</w:t>
      </w:r>
    </w:p>
    <w:p w14:paraId="7A5A52BF" w14:textId="77777777" w:rsidR="00883EBF" w:rsidRDefault="00265143"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000000" w:themeColor="text1"/>
          <w:sz w:val="21"/>
          <w:szCs w:val="21"/>
        </w:rPr>
      </w:pPr>
      <w:r w:rsidRPr="00B85C5A">
        <w:rPr>
          <w:b/>
          <w:color w:val="000000" w:themeColor="text1"/>
          <w:sz w:val="21"/>
          <w:szCs w:val="21"/>
        </w:rPr>
        <w:t>Contractor Representative(s)</w:t>
      </w:r>
      <w:r w:rsidR="00A32858" w:rsidRPr="00B85C5A">
        <w:rPr>
          <w:b/>
          <w:color w:val="000000" w:themeColor="text1"/>
          <w:sz w:val="21"/>
          <w:szCs w:val="21"/>
        </w:rPr>
        <w:t>:</w:t>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r w:rsidRPr="00B85C5A">
        <w:rPr>
          <w:b/>
          <w:color w:val="000000" w:themeColor="text1"/>
          <w:sz w:val="21"/>
          <w:szCs w:val="21"/>
        </w:rPr>
        <w:tab/>
      </w:r>
    </w:p>
    <w:p w14:paraId="24B48D50" w14:textId="2C7407C1" w:rsidR="00A32858" w:rsidRPr="00B85C5A" w:rsidRDefault="00265143" w:rsidP="00A32858">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000000" w:themeColor="text1"/>
          <w:sz w:val="21"/>
          <w:szCs w:val="21"/>
        </w:rPr>
      </w:pPr>
      <w:r w:rsidRPr="00B85C5A">
        <w:rPr>
          <w:b/>
          <w:color w:val="000000" w:themeColor="text1"/>
          <w:sz w:val="21"/>
          <w:szCs w:val="21"/>
        </w:rPr>
        <w:t>DFAT Representative:</w:t>
      </w:r>
      <w:r w:rsidR="00A32858" w:rsidRPr="00B85C5A">
        <w:rPr>
          <w:b/>
          <w:color w:val="000000" w:themeColor="text1"/>
          <w:sz w:val="21"/>
          <w:szCs w:val="21"/>
        </w:rPr>
        <w:t xml:space="preserve"> </w:t>
      </w:r>
    </w:p>
    <w:p w14:paraId="6F2ED821" w14:textId="77777777" w:rsidR="00A32858" w:rsidRPr="00B85C5A" w:rsidRDefault="00A32858" w:rsidP="002F1D6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r w:rsidRPr="00B85C5A">
        <w:rPr>
          <w:rFonts w:asciiTheme="majorHAnsi" w:hAnsiTheme="majorHAnsi"/>
          <w:b/>
          <w:color w:val="000000" w:themeColor="text1"/>
          <w:szCs w:val="21"/>
        </w:rPr>
        <w:t>Executive Summary</w:t>
      </w:r>
    </w:p>
    <w:p w14:paraId="73265582" w14:textId="7CCF1240" w:rsidR="00A32858" w:rsidRPr="00B85C5A" w:rsidRDefault="00A32858" w:rsidP="002A342B">
      <w:pPr>
        <w:pStyle w:val="ListParagraph"/>
        <w:numPr>
          <w:ilvl w:val="0"/>
          <w:numId w:val="26"/>
        </w:numPr>
        <w:rPr>
          <w:color w:val="000000" w:themeColor="text1"/>
          <w:sz w:val="21"/>
          <w:szCs w:val="21"/>
        </w:rPr>
      </w:pPr>
      <w:r w:rsidRPr="00B85C5A">
        <w:rPr>
          <w:color w:val="000000" w:themeColor="text1"/>
          <w:sz w:val="21"/>
          <w:szCs w:val="21"/>
        </w:rPr>
        <w:t xml:space="preserve">This section should provide a succinct summary </w:t>
      </w:r>
      <w:r w:rsidR="006F6852" w:rsidRPr="00B85C5A">
        <w:rPr>
          <w:color w:val="000000" w:themeColor="text1"/>
          <w:sz w:val="21"/>
          <w:szCs w:val="21"/>
        </w:rPr>
        <w:t>of the key elements of the handover plan</w:t>
      </w:r>
      <w:r w:rsidR="007E6C1D" w:rsidRPr="00B85C5A">
        <w:rPr>
          <w:color w:val="000000" w:themeColor="text1"/>
          <w:sz w:val="21"/>
          <w:szCs w:val="21"/>
        </w:rPr>
        <w:t xml:space="preserve">, critical steps, </w:t>
      </w:r>
      <w:r w:rsidR="00B74DFF" w:rsidRPr="00B85C5A">
        <w:rPr>
          <w:color w:val="000000" w:themeColor="text1"/>
          <w:sz w:val="21"/>
          <w:szCs w:val="21"/>
        </w:rPr>
        <w:t xml:space="preserve">accountabilities, </w:t>
      </w:r>
      <w:r w:rsidR="006C16E1" w:rsidRPr="00B85C5A">
        <w:rPr>
          <w:color w:val="000000" w:themeColor="text1"/>
          <w:sz w:val="21"/>
          <w:szCs w:val="21"/>
        </w:rPr>
        <w:t>timing,</w:t>
      </w:r>
      <w:r w:rsidR="006F6852" w:rsidRPr="00B85C5A">
        <w:rPr>
          <w:color w:val="000000" w:themeColor="text1"/>
          <w:sz w:val="21"/>
          <w:szCs w:val="21"/>
        </w:rPr>
        <w:t xml:space="preserve"> and the key risks.  It should also </w:t>
      </w:r>
      <w:r w:rsidR="007E6C1D" w:rsidRPr="00B85C5A">
        <w:rPr>
          <w:color w:val="000000" w:themeColor="text1"/>
          <w:sz w:val="21"/>
          <w:szCs w:val="21"/>
        </w:rPr>
        <w:t xml:space="preserve">indicate how reporting on implementation of the handover plan will be undertaken.  </w:t>
      </w:r>
    </w:p>
    <w:p w14:paraId="4EA7608E" w14:textId="77777777" w:rsidR="00E367F4" w:rsidRPr="00C666FB" w:rsidRDefault="00E367F4" w:rsidP="00E367F4">
      <w:pPr>
        <w:pStyle w:val="ListParagraph"/>
        <w:ind w:left="360"/>
        <w:rPr>
          <w:color w:val="000000" w:themeColor="text1"/>
          <w:sz w:val="21"/>
          <w:szCs w:val="21"/>
        </w:rPr>
      </w:pPr>
    </w:p>
    <w:p w14:paraId="5BFFBC92" w14:textId="2EFC0C40" w:rsidR="00BF13BE" w:rsidRPr="00C666FB" w:rsidRDefault="00BF13BE" w:rsidP="002A342B">
      <w:pPr>
        <w:pStyle w:val="ListParagraph"/>
        <w:numPr>
          <w:ilvl w:val="0"/>
          <w:numId w:val="26"/>
        </w:numPr>
        <w:suppressAutoHyphens w:val="0"/>
        <w:spacing w:before="0" w:after="0" w:line="240" w:lineRule="auto"/>
        <w:rPr>
          <w:color w:val="000000" w:themeColor="text1"/>
          <w:sz w:val="21"/>
          <w:szCs w:val="21"/>
        </w:rPr>
      </w:pPr>
      <w:r w:rsidRPr="00C666FB">
        <w:rPr>
          <w:color w:val="000000" w:themeColor="text1"/>
          <w:sz w:val="21"/>
          <w:szCs w:val="21"/>
        </w:rPr>
        <w:t xml:space="preserve">The </w:t>
      </w:r>
      <w:r w:rsidR="009C45FF" w:rsidRPr="00C666FB">
        <w:rPr>
          <w:color w:val="000000" w:themeColor="text1"/>
          <w:sz w:val="21"/>
          <w:szCs w:val="21"/>
        </w:rPr>
        <w:t>document should outline the p</w:t>
      </w:r>
      <w:r w:rsidRPr="00C666FB">
        <w:rPr>
          <w:color w:val="000000" w:themeColor="text1"/>
          <w:sz w:val="21"/>
          <w:szCs w:val="21"/>
        </w:rPr>
        <w:t>rocess for DFAT endorsement</w:t>
      </w:r>
      <w:r w:rsidR="003563A0" w:rsidRPr="00C666FB">
        <w:rPr>
          <w:color w:val="000000" w:themeColor="text1"/>
          <w:sz w:val="21"/>
          <w:szCs w:val="21"/>
        </w:rPr>
        <w:t>. Contractor</w:t>
      </w:r>
      <w:r w:rsidRPr="00C666FB">
        <w:rPr>
          <w:color w:val="000000" w:themeColor="text1"/>
          <w:sz w:val="21"/>
          <w:szCs w:val="21"/>
        </w:rPr>
        <w:t xml:space="preserve"> responsibilities (</w:t>
      </w:r>
      <w:r w:rsidR="006C16E1" w:rsidRPr="00C666FB">
        <w:rPr>
          <w:color w:val="000000" w:themeColor="text1"/>
          <w:sz w:val="21"/>
          <w:szCs w:val="21"/>
        </w:rPr>
        <w:t>e.g.,</w:t>
      </w:r>
      <w:r w:rsidRPr="00C666FB">
        <w:rPr>
          <w:color w:val="000000" w:themeColor="text1"/>
          <w:sz w:val="21"/>
          <w:szCs w:val="21"/>
        </w:rPr>
        <w:t xml:space="preserve"> handover team, Joint executive committee) should also be outlined as well as </w:t>
      </w:r>
      <w:r w:rsidR="003563A0" w:rsidRPr="00C666FB">
        <w:rPr>
          <w:color w:val="000000" w:themeColor="text1"/>
          <w:sz w:val="21"/>
          <w:szCs w:val="21"/>
        </w:rPr>
        <w:t xml:space="preserve">document </w:t>
      </w:r>
      <w:r w:rsidRPr="00C666FB">
        <w:rPr>
          <w:color w:val="000000" w:themeColor="text1"/>
          <w:sz w:val="21"/>
          <w:szCs w:val="21"/>
        </w:rPr>
        <w:t>version and management control protocols</w:t>
      </w:r>
      <w:r w:rsidR="003563A0" w:rsidRPr="00C666FB">
        <w:rPr>
          <w:color w:val="000000" w:themeColor="text1"/>
          <w:sz w:val="21"/>
          <w:szCs w:val="21"/>
        </w:rPr>
        <w:t>.</w:t>
      </w:r>
    </w:p>
    <w:p w14:paraId="77B5CC29" w14:textId="7C9E91CC" w:rsidR="00A32858" w:rsidRPr="00C666FB" w:rsidRDefault="00D0209F" w:rsidP="002F1D6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r w:rsidRPr="00C666FB">
        <w:rPr>
          <w:rFonts w:asciiTheme="majorHAnsi" w:hAnsiTheme="majorHAnsi"/>
          <w:b/>
          <w:color w:val="000000" w:themeColor="text1"/>
          <w:szCs w:val="21"/>
        </w:rPr>
        <w:lastRenderedPageBreak/>
        <w:t xml:space="preserve">Handover </w:t>
      </w:r>
      <w:r w:rsidR="00265143" w:rsidRPr="00C666FB">
        <w:rPr>
          <w:rFonts w:asciiTheme="majorHAnsi" w:hAnsiTheme="majorHAnsi"/>
          <w:b/>
          <w:color w:val="000000" w:themeColor="text1"/>
          <w:szCs w:val="21"/>
        </w:rPr>
        <w:t xml:space="preserve">– </w:t>
      </w:r>
      <w:r w:rsidRPr="00C666FB">
        <w:rPr>
          <w:rFonts w:asciiTheme="majorHAnsi" w:hAnsiTheme="majorHAnsi"/>
          <w:b/>
          <w:color w:val="000000" w:themeColor="text1"/>
          <w:szCs w:val="21"/>
        </w:rPr>
        <w:t>Context</w:t>
      </w:r>
      <w:r w:rsidR="00265143" w:rsidRPr="00C666FB">
        <w:rPr>
          <w:rFonts w:asciiTheme="majorHAnsi" w:hAnsiTheme="majorHAnsi"/>
          <w:b/>
          <w:color w:val="000000" w:themeColor="text1"/>
          <w:szCs w:val="21"/>
        </w:rPr>
        <w:t>ual issues</w:t>
      </w:r>
    </w:p>
    <w:p w14:paraId="76D763D3" w14:textId="1C55F352" w:rsidR="009F42B8" w:rsidRPr="00B85C5A" w:rsidRDefault="00D0209F" w:rsidP="002A342B">
      <w:pPr>
        <w:pStyle w:val="ListParagraph"/>
        <w:numPr>
          <w:ilvl w:val="0"/>
          <w:numId w:val="27"/>
        </w:numPr>
        <w:suppressAutoHyphens w:val="0"/>
        <w:spacing w:before="0" w:after="0" w:line="240" w:lineRule="auto"/>
        <w:rPr>
          <w:color w:val="000000" w:themeColor="text1"/>
          <w:sz w:val="21"/>
          <w:szCs w:val="21"/>
        </w:rPr>
      </w:pPr>
      <w:r w:rsidRPr="00B85C5A">
        <w:rPr>
          <w:color w:val="000000" w:themeColor="text1"/>
          <w:sz w:val="21"/>
          <w:szCs w:val="21"/>
        </w:rPr>
        <w:t xml:space="preserve">This section should refer to context – the size and scale of the </w:t>
      </w:r>
      <w:r w:rsidR="00A52BEF" w:rsidRPr="00B85C5A">
        <w:rPr>
          <w:color w:val="000000" w:themeColor="text1"/>
          <w:sz w:val="21"/>
          <w:szCs w:val="21"/>
        </w:rPr>
        <w:t xml:space="preserve">handover </w:t>
      </w:r>
      <w:r w:rsidRPr="00B85C5A">
        <w:rPr>
          <w:color w:val="000000" w:themeColor="text1"/>
          <w:sz w:val="21"/>
          <w:szCs w:val="21"/>
        </w:rPr>
        <w:t>task.  It should refer to any complexities (</w:t>
      </w:r>
      <w:r w:rsidR="006C16E1" w:rsidRPr="00B85C5A">
        <w:rPr>
          <w:color w:val="000000" w:themeColor="text1"/>
          <w:sz w:val="21"/>
          <w:szCs w:val="21"/>
        </w:rPr>
        <w:t>i.e.,</w:t>
      </w:r>
      <w:r w:rsidRPr="00B85C5A">
        <w:rPr>
          <w:color w:val="000000" w:themeColor="text1"/>
          <w:sz w:val="21"/>
          <w:szCs w:val="21"/>
        </w:rPr>
        <w:t xml:space="preserve"> facilities</w:t>
      </w:r>
      <w:r w:rsidR="009B2DF4" w:rsidRPr="00B85C5A">
        <w:rPr>
          <w:color w:val="000000" w:themeColor="text1"/>
          <w:sz w:val="21"/>
          <w:szCs w:val="21"/>
        </w:rPr>
        <w:t xml:space="preserve"> and sub-contract cl</w:t>
      </w:r>
      <w:r w:rsidR="00A322E2" w:rsidRPr="00B85C5A">
        <w:rPr>
          <w:color w:val="000000" w:themeColor="text1"/>
          <w:sz w:val="21"/>
          <w:szCs w:val="21"/>
        </w:rPr>
        <w:t>osures</w:t>
      </w:r>
      <w:r w:rsidR="00B74DFF" w:rsidRPr="00B85C5A">
        <w:rPr>
          <w:color w:val="000000" w:themeColor="text1"/>
          <w:sz w:val="21"/>
          <w:szCs w:val="21"/>
        </w:rPr>
        <w:t>, liabilities through supply chain, payroll, leases, assets, IP</w:t>
      </w:r>
      <w:r w:rsidR="00A52BEF" w:rsidRPr="00B85C5A">
        <w:rPr>
          <w:color w:val="000000" w:themeColor="text1"/>
          <w:sz w:val="21"/>
          <w:szCs w:val="21"/>
        </w:rPr>
        <w:t xml:space="preserve">, </w:t>
      </w:r>
      <w:r w:rsidR="006C16E1" w:rsidRPr="00B85C5A">
        <w:rPr>
          <w:color w:val="000000" w:themeColor="text1"/>
          <w:sz w:val="21"/>
          <w:szCs w:val="21"/>
        </w:rPr>
        <w:t>networks,</w:t>
      </w:r>
      <w:r w:rsidR="00A52BEF" w:rsidRPr="00B85C5A">
        <w:rPr>
          <w:color w:val="000000" w:themeColor="text1"/>
          <w:sz w:val="21"/>
          <w:szCs w:val="21"/>
        </w:rPr>
        <w:t xml:space="preserve"> and contacts</w:t>
      </w:r>
      <w:r w:rsidR="00B74DFF" w:rsidRPr="00B85C5A">
        <w:rPr>
          <w:color w:val="000000" w:themeColor="text1"/>
          <w:sz w:val="21"/>
          <w:szCs w:val="21"/>
        </w:rPr>
        <w:t xml:space="preserve"> etc</w:t>
      </w:r>
      <w:r w:rsidRPr="00B85C5A">
        <w:rPr>
          <w:color w:val="000000" w:themeColor="text1"/>
          <w:sz w:val="21"/>
          <w:szCs w:val="21"/>
        </w:rPr>
        <w:t xml:space="preserve">) and whether handover is </w:t>
      </w:r>
      <w:r w:rsidR="00B74DFF" w:rsidRPr="00B85C5A">
        <w:rPr>
          <w:color w:val="000000" w:themeColor="text1"/>
          <w:sz w:val="21"/>
          <w:szCs w:val="21"/>
        </w:rPr>
        <w:t xml:space="preserve">anticipated </w:t>
      </w:r>
      <w:r w:rsidRPr="00B85C5A">
        <w:rPr>
          <w:color w:val="000000" w:themeColor="text1"/>
          <w:sz w:val="21"/>
          <w:szCs w:val="21"/>
        </w:rPr>
        <w:t xml:space="preserve">between single entitles or involves multiple entities/multiple handovers.  It should describe </w:t>
      </w:r>
      <w:r w:rsidR="00A52BEF">
        <w:rPr>
          <w:color w:val="000000" w:themeColor="text1"/>
          <w:sz w:val="21"/>
          <w:szCs w:val="21"/>
        </w:rPr>
        <w:t xml:space="preserve">a pathway for </w:t>
      </w:r>
      <w:r w:rsidRPr="00B85C5A">
        <w:rPr>
          <w:color w:val="000000" w:themeColor="text1"/>
          <w:sz w:val="21"/>
          <w:szCs w:val="21"/>
        </w:rPr>
        <w:t xml:space="preserve">continuation </w:t>
      </w:r>
      <w:r w:rsidR="00A52BEF">
        <w:rPr>
          <w:color w:val="000000" w:themeColor="text1"/>
          <w:sz w:val="21"/>
          <w:szCs w:val="21"/>
        </w:rPr>
        <w:t xml:space="preserve">and for </w:t>
      </w:r>
      <w:r w:rsidRPr="00B85C5A">
        <w:rPr>
          <w:color w:val="000000" w:themeColor="text1"/>
          <w:sz w:val="21"/>
          <w:szCs w:val="21"/>
        </w:rPr>
        <w:t xml:space="preserve">cessation/close out.  </w:t>
      </w:r>
    </w:p>
    <w:p w14:paraId="79C4EF00" w14:textId="77777777" w:rsidR="00E367F4" w:rsidRPr="00B85C5A" w:rsidRDefault="00E367F4" w:rsidP="00E367F4">
      <w:pPr>
        <w:pStyle w:val="ListParagraph"/>
        <w:suppressAutoHyphens w:val="0"/>
        <w:spacing w:before="0" w:after="0" w:line="240" w:lineRule="auto"/>
        <w:ind w:left="360"/>
        <w:rPr>
          <w:color w:val="000000" w:themeColor="text1"/>
          <w:sz w:val="21"/>
          <w:szCs w:val="21"/>
        </w:rPr>
      </w:pPr>
    </w:p>
    <w:p w14:paraId="123A603E" w14:textId="7D4D9224" w:rsidR="00265143" w:rsidRPr="00B85C5A" w:rsidRDefault="00D0209F" w:rsidP="002A342B">
      <w:pPr>
        <w:pStyle w:val="ListParagraph"/>
        <w:numPr>
          <w:ilvl w:val="0"/>
          <w:numId w:val="27"/>
        </w:numPr>
        <w:suppressAutoHyphens w:val="0"/>
        <w:spacing w:before="0" w:after="0" w:line="240" w:lineRule="auto"/>
        <w:rPr>
          <w:color w:val="000000" w:themeColor="text1"/>
          <w:sz w:val="21"/>
          <w:szCs w:val="21"/>
        </w:rPr>
      </w:pPr>
      <w:r w:rsidRPr="00B85C5A">
        <w:rPr>
          <w:color w:val="000000" w:themeColor="text1"/>
          <w:sz w:val="21"/>
          <w:szCs w:val="21"/>
        </w:rPr>
        <w:t xml:space="preserve">It should describe how the handover plan relates to other documents and processes </w:t>
      </w:r>
      <w:r w:rsidR="006C16E1" w:rsidRPr="00B85C5A">
        <w:rPr>
          <w:color w:val="000000" w:themeColor="text1"/>
          <w:sz w:val="21"/>
          <w:szCs w:val="21"/>
        </w:rPr>
        <w:t>i.e.,</w:t>
      </w:r>
      <w:r w:rsidRPr="00B85C5A">
        <w:rPr>
          <w:color w:val="000000" w:themeColor="text1"/>
          <w:sz w:val="21"/>
          <w:szCs w:val="21"/>
        </w:rPr>
        <w:t xml:space="preserve"> audits, review</w:t>
      </w:r>
      <w:r w:rsidR="00A322E2" w:rsidRPr="00B85C5A">
        <w:rPr>
          <w:color w:val="000000" w:themeColor="text1"/>
          <w:sz w:val="21"/>
          <w:szCs w:val="21"/>
        </w:rPr>
        <w:t>s</w:t>
      </w:r>
      <w:r w:rsidRPr="00B85C5A">
        <w:rPr>
          <w:color w:val="000000" w:themeColor="text1"/>
          <w:sz w:val="21"/>
          <w:szCs w:val="21"/>
        </w:rPr>
        <w:t xml:space="preserve">, </w:t>
      </w:r>
      <w:r w:rsidR="006C16E1" w:rsidRPr="00B85C5A">
        <w:rPr>
          <w:color w:val="000000" w:themeColor="text1"/>
          <w:sz w:val="21"/>
          <w:szCs w:val="21"/>
        </w:rPr>
        <w:t>evaluation,</w:t>
      </w:r>
      <w:r w:rsidR="00A322E2" w:rsidRPr="00B85C5A">
        <w:rPr>
          <w:color w:val="000000" w:themeColor="text1"/>
          <w:sz w:val="21"/>
          <w:szCs w:val="21"/>
        </w:rPr>
        <w:t xml:space="preserve"> and timing for in</w:t>
      </w:r>
      <w:r w:rsidR="00FF149D" w:rsidRPr="00B85C5A">
        <w:rPr>
          <w:color w:val="000000" w:themeColor="text1"/>
          <w:sz w:val="21"/>
          <w:szCs w:val="21"/>
        </w:rPr>
        <w:t xml:space="preserve">clusion in </w:t>
      </w:r>
      <w:r w:rsidRPr="00B85C5A">
        <w:rPr>
          <w:color w:val="000000" w:themeColor="text1"/>
          <w:sz w:val="21"/>
          <w:szCs w:val="21"/>
        </w:rPr>
        <w:t>the project completion report</w:t>
      </w:r>
      <w:r w:rsidR="00FF149D" w:rsidRPr="00B85C5A">
        <w:rPr>
          <w:color w:val="000000" w:themeColor="text1"/>
          <w:sz w:val="21"/>
          <w:szCs w:val="21"/>
        </w:rPr>
        <w:t>.</w:t>
      </w:r>
      <w:r w:rsidR="00BF13BE" w:rsidRPr="00B85C5A">
        <w:rPr>
          <w:color w:val="000000" w:themeColor="text1"/>
          <w:sz w:val="21"/>
          <w:szCs w:val="21"/>
        </w:rPr>
        <w:t xml:space="preserve"> </w:t>
      </w:r>
      <w:r w:rsidR="00D70873" w:rsidRPr="00B85C5A">
        <w:rPr>
          <w:color w:val="000000" w:themeColor="text1"/>
          <w:sz w:val="21"/>
          <w:szCs w:val="21"/>
        </w:rPr>
        <w:t xml:space="preserve"> If a key date has been agreed between DFAT and contractors for a close of business/open of business for </w:t>
      </w:r>
      <w:r w:rsidR="00B74DFF" w:rsidRPr="00B85C5A">
        <w:rPr>
          <w:color w:val="000000" w:themeColor="text1"/>
          <w:sz w:val="21"/>
          <w:szCs w:val="21"/>
        </w:rPr>
        <w:t xml:space="preserve">a </w:t>
      </w:r>
      <w:r w:rsidR="00D70873" w:rsidRPr="00B85C5A">
        <w:rPr>
          <w:color w:val="000000" w:themeColor="text1"/>
          <w:sz w:val="21"/>
          <w:szCs w:val="21"/>
        </w:rPr>
        <w:t>new phase</w:t>
      </w:r>
      <w:r w:rsidR="00B74DFF" w:rsidRPr="00B85C5A">
        <w:rPr>
          <w:color w:val="000000" w:themeColor="text1"/>
          <w:sz w:val="21"/>
          <w:szCs w:val="21"/>
        </w:rPr>
        <w:t xml:space="preserve"> or closure</w:t>
      </w:r>
      <w:r w:rsidR="00D70873" w:rsidRPr="00B85C5A">
        <w:rPr>
          <w:color w:val="000000" w:themeColor="text1"/>
          <w:sz w:val="21"/>
          <w:szCs w:val="21"/>
        </w:rPr>
        <w:t xml:space="preserve">, this should be highlighted.  </w:t>
      </w:r>
      <w:r w:rsidR="00BF13BE" w:rsidRPr="00B85C5A">
        <w:rPr>
          <w:color w:val="000000" w:themeColor="text1"/>
          <w:sz w:val="21"/>
          <w:szCs w:val="21"/>
        </w:rPr>
        <w:t xml:space="preserve"> </w:t>
      </w:r>
    </w:p>
    <w:p w14:paraId="1F28744A" w14:textId="2A6F2458" w:rsidR="00265143" w:rsidRPr="00B85C5A" w:rsidRDefault="00265143" w:rsidP="002F1D6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r w:rsidRPr="00B85C5A">
        <w:rPr>
          <w:rFonts w:asciiTheme="majorHAnsi" w:hAnsiTheme="majorHAnsi"/>
          <w:b/>
          <w:color w:val="000000" w:themeColor="text1"/>
          <w:szCs w:val="21"/>
        </w:rPr>
        <w:t>Scope and Contractual/Legislative Compliance</w:t>
      </w:r>
    </w:p>
    <w:p w14:paraId="0DA6E6B5" w14:textId="66971CC2" w:rsidR="00D0209F" w:rsidRPr="00B85C5A" w:rsidRDefault="00D0209F" w:rsidP="003D20B2">
      <w:pPr>
        <w:suppressAutoHyphens w:val="0"/>
        <w:spacing w:before="0" w:after="0" w:line="240" w:lineRule="auto"/>
        <w:rPr>
          <w:color w:val="000000" w:themeColor="text1"/>
          <w:sz w:val="21"/>
          <w:szCs w:val="21"/>
        </w:rPr>
      </w:pPr>
      <w:r w:rsidRPr="00B85C5A">
        <w:rPr>
          <w:color w:val="000000" w:themeColor="text1"/>
          <w:sz w:val="21"/>
          <w:szCs w:val="21"/>
        </w:rPr>
        <w:t xml:space="preserve">This section should refer to the scope of the handover and what is being </w:t>
      </w:r>
      <w:r w:rsidR="006C16E1">
        <w:rPr>
          <w:color w:val="000000" w:themeColor="text1"/>
          <w:sz w:val="21"/>
          <w:szCs w:val="21"/>
        </w:rPr>
        <w:t>used</w:t>
      </w:r>
      <w:r w:rsidRPr="00B85C5A">
        <w:rPr>
          <w:color w:val="000000" w:themeColor="text1"/>
          <w:sz w:val="21"/>
          <w:szCs w:val="21"/>
        </w:rPr>
        <w:t xml:space="preserve"> from the below handover checklist </w:t>
      </w:r>
      <w:r w:rsidR="00FB38F2">
        <w:rPr>
          <w:color w:val="000000" w:themeColor="text1"/>
          <w:sz w:val="21"/>
          <w:szCs w:val="21"/>
        </w:rPr>
        <w:t xml:space="preserve">and </w:t>
      </w:r>
      <w:r w:rsidRPr="00B85C5A">
        <w:rPr>
          <w:color w:val="000000" w:themeColor="text1"/>
          <w:sz w:val="21"/>
          <w:szCs w:val="21"/>
        </w:rPr>
        <w:t>any additional categories or consideration</w:t>
      </w:r>
      <w:r w:rsidR="00925351" w:rsidRPr="00B85C5A">
        <w:rPr>
          <w:color w:val="000000" w:themeColor="text1"/>
          <w:sz w:val="21"/>
          <w:szCs w:val="21"/>
        </w:rPr>
        <w:t>s</w:t>
      </w:r>
      <w:r w:rsidRPr="00B85C5A">
        <w:rPr>
          <w:color w:val="000000" w:themeColor="text1"/>
          <w:sz w:val="21"/>
          <w:szCs w:val="21"/>
        </w:rPr>
        <w:t xml:space="preserve">.  For instance, the checklist is not </w:t>
      </w:r>
      <w:r w:rsidR="00F77D12" w:rsidRPr="00B85C5A">
        <w:rPr>
          <w:color w:val="000000" w:themeColor="text1"/>
          <w:sz w:val="21"/>
          <w:szCs w:val="21"/>
        </w:rPr>
        <w:t>exhaustive,</w:t>
      </w:r>
      <w:r w:rsidRPr="00B85C5A">
        <w:rPr>
          <w:color w:val="000000" w:themeColor="text1"/>
          <w:sz w:val="21"/>
          <w:szCs w:val="21"/>
        </w:rPr>
        <w:t xml:space="preserve"> and some sectors will </w:t>
      </w:r>
      <w:r w:rsidR="00F15723" w:rsidRPr="00B85C5A">
        <w:rPr>
          <w:color w:val="000000" w:themeColor="text1"/>
          <w:sz w:val="21"/>
          <w:szCs w:val="21"/>
        </w:rPr>
        <w:t xml:space="preserve">be </w:t>
      </w:r>
      <w:r w:rsidRPr="00B85C5A">
        <w:rPr>
          <w:color w:val="000000" w:themeColor="text1"/>
          <w:sz w:val="21"/>
          <w:szCs w:val="21"/>
        </w:rPr>
        <w:t>require</w:t>
      </w:r>
      <w:r w:rsidR="00F15723" w:rsidRPr="00B85C5A">
        <w:rPr>
          <w:color w:val="000000" w:themeColor="text1"/>
          <w:sz w:val="21"/>
          <w:szCs w:val="21"/>
        </w:rPr>
        <w:t>d to provide</w:t>
      </w:r>
      <w:r w:rsidRPr="00B85C5A">
        <w:rPr>
          <w:color w:val="000000" w:themeColor="text1"/>
          <w:sz w:val="21"/>
          <w:szCs w:val="21"/>
        </w:rPr>
        <w:t xml:space="preserve"> further detail (</w:t>
      </w:r>
      <w:r w:rsidR="006C16E1" w:rsidRPr="00B85C5A">
        <w:rPr>
          <w:color w:val="000000" w:themeColor="text1"/>
          <w:sz w:val="21"/>
          <w:szCs w:val="21"/>
        </w:rPr>
        <w:t>e.g.,</w:t>
      </w:r>
      <w:r w:rsidRPr="00B85C5A">
        <w:rPr>
          <w:color w:val="000000" w:themeColor="text1"/>
          <w:sz w:val="21"/>
          <w:szCs w:val="21"/>
        </w:rPr>
        <w:t xml:space="preserve"> infrastructure and defects liabilities). The handover scope should </w:t>
      </w:r>
      <w:r w:rsidR="004A4D4C" w:rsidRPr="00B85C5A">
        <w:rPr>
          <w:color w:val="000000" w:themeColor="text1"/>
          <w:sz w:val="21"/>
          <w:szCs w:val="21"/>
        </w:rPr>
        <w:t>demonstrate:</w:t>
      </w:r>
    </w:p>
    <w:p w14:paraId="5F52D331" w14:textId="376116E9" w:rsidR="00D0209F" w:rsidRPr="00C666FB" w:rsidRDefault="004A4D4C" w:rsidP="002A342B">
      <w:pPr>
        <w:pStyle w:val="ListParagraph"/>
        <w:numPr>
          <w:ilvl w:val="0"/>
          <w:numId w:val="28"/>
        </w:numPr>
        <w:rPr>
          <w:color w:val="000000" w:themeColor="text1"/>
          <w:sz w:val="21"/>
          <w:szCs w:val="21"/>
        </w:rPr>
      </w:pPr>
      <w:r w:rsidRPr="00C666FB">
        <w:rPr>
          <w:color w:val="000000" w:themeColor="text1"/>
          <w:sz w:val="21"/>
          <w:szCs w:val="21"/>
        </w:rPr>
        <w:t>Compliance with t</w:t>
      </w:r>
      <w:r w:rsidR="00D0209F" w:rsidRPr="00C666FB">
        <w:rPr>
          <w:color w:val="000000" w:themeColor="text1"/>
          <w:sz w:val="21"/>
          <w:szCs w:val="21"/>
        </w:rPr>
        <w:t>he particular contract details</w:t>
      </w:r>
      <w:r w:rsidRPr="00C666FB">
        <w:rPr>
          <w:color w:val="000000" w:themeColor="text1"/>
          <w:sz w:val="21"/>
          <w:szCs w:val="21"/>
        </w:rPr>
        <w:t xml:space="preserve"> for the investment</w:t>
      </w:r>
      <w:r w:rsidR="00D0209F" w:rsidRPr="00C666FB">
        <w:rPr>
          <w:color w:val="000000" w:themeColor="text1"/>
          <w:sz w:val="21"/>
          <w:szCs w:val="21"/>
        </w:rPr>
        <w:t xml:space="preserve"> (</w:t>
      </w:r>
      <w:r w:rsidR="006C16E1" w:rsidRPr="00C666FB">
        <w:rPr>
          <w:color w:val="000000" w:themeColor="text1"/>
          <w:sz w:val="21"/>
          <w:szCs w:val="21"/>
        </w:rPr>
        <w:t>i.e.,</w:t>
      </w:r>
      <w:r w:rsidR="00D0209F" w:rsidRPr="00C666FB">
        <w:rPr>
          <w:color w:val="000000" w:themeColor="text1"/>
          <w:sz w:val="21"/>
          <w:szCs w:val="21"/>
        </w:rPr>
        <w:t xml:space="preserve"> mandatory clauses and any specific milestone clauses</w:t>
      </w:r>
      <w:r w:rsidRPr="00C666FB">
        <w:rPr>
          <w:color w:val="000000" w:themeColor="text1"/>
          <w:sz w:val="21"/>
          <w:szCs w:val="21"/>
        </w:rPr>
        <w:t>, code of conduct</w:t>
      </w:r>
      <w:r w:rsidR="00D0209F" w:rsidRPr="00C666FB">
        <w:rPr>
          <w:color w:val="000000" w:themeColor="text1"/>
          <w:sz w:val="21"/>
          <w:szCs w:val="21"/>
        </w:rPr>
        <w:t>)</w:t>
      </w:r>
    </w:p>
    <w:p w14:paraId="2B84F8E9" w14:textId="24EA4225" w:rsidR="004A4D4C" w:rsidRPr="00C666FB" w:rsidRDefault="004A4D4C" w:rsidP="002A342B">
      <w:pPr>
        <w:pStyle w:val="ListParagraph"/>
        <w:numPr>
          <w:ilvl w:val="0"/>
          <w:numId w:val="28"/>
        </w:numPr>
        <w:rPr>
          <w:color w:val="000000" w:themeColor="text1"/>
          <w:sz w:val="21"/>
          <w:szCs w:val="21"/>
        </w:rPr>
      </w:pPr>
      <w:r w:rsidRPr="00C666FB">
        <w:rPr>
          <w:color w:val="000000" w:themeColor="text1"/>
          <w:sz w:val="21"/>
          <w:szCs w:val="21"/>
        </w:rPr>
        <w:t>Adherence to DFAT policy (</w:t>
      </w:r>
      <w:r w:rsidR="006C16E1" w:rsidRPr="00C666FB">
        <w:rPr>
          <w:color w:val="000000" w:themeColor="text1"/>
          <w:sz w:val="21"/>
          <w:szCs w:val="21"/>
        </w:rPr>
        <w:t>i.e.,</w:t>
      </w:r>
      <w:r w:rsidRPr="00C666FB">
        <w:rPr>
          <w:color w:val="000000" w:themeColor="text1"/>
          <w:sz w:val="21"/>
          <w:szCs w:val="21"/>
        </w:rPr>
        <w:t xml:space="preserve"> child protection, </w:t>
      </w:r>
      <w:r w:rsidR="00925351" w:rsidRPr="00C666FB">
        <w:rPr>
          <w:color w:val="000000" w:themeColor="text1"/>
          <w:sz w:val="21"/>
          <w:szCs w:val="21"/>
        </w:rPr>
        <w:t xml:space="preserve">preventing sexual exploitation abuse and harassment, </w:t>
      </w:r>
      <w:r w:rsidRPr="00C666FB">
        <w:rPr>
          <w:color w:val="000000" w:themeColor="text1"/>
          <w:sz w:val="21"/>
          <w:szCs w:val="21"/>
        </w:rPr>
        <w:t>safeguards, fraud)</w:t>
      </w:r>
    </w:p>
    <w:p w14:paraId="168F139F" w14:textId="49F83F70" w:rsidR="00036A2D" w:rsidRPr="00C666FB" w:rsidRDefault="004A4D4C" w:rsidP="002A342B">
      <w:pPr>
        <w:pStyle w:val="ListParagraph"/>
        <w:numPr>
          <w:ilvl w:val="0"/>
          <w:numId w:val="28"/>
        </w:numPr>
        <w:rPr>
          <w:color w:val="000000" w:themeColor="text1"/>
          <w:sz w:val="21"/>
          <w:szCs w:val="21"/>
        </w:rPr>
      </w:pPr>
      <w:r w:rsidRPr="00C666FB">
        <w:rPr>
          <w:color w:val="000000" w:themeColor="text1"/>
          <w:sz w:val="21"/>
          <w:szCs w:val="21"/>
        </w:rPr>
        <w:t xml:space="preserve">Compliance with Commonwealth legislation: </w:t>
      </w:r>
      <w:r w:rsidR="006C16E1" w:rsidRPr="00C666FB">
        <w:rPr>
          <w:color w:val="000000" w:themeColor="text1"/>
          <w:sz w:val="21"/>
          <w:szCs w:val="21"/>
        </w:rPr>
        <w:t>e.g.,</w:t>
      </w:r>
      <w:r w:rsidRPr="00C666FB">
        <w:rPr>
          <w:color w:val="000000" w:themeColor="text1"/>
          <w:sz w:val="21"/>
          <w:szCs w:val="21"/>
        </w:rPr>
        <w:t xml:space="preserve"> Public Governance, Performance and Accountability (PGPA Act</w:t>
      </w:r>
      <w:r w:rsidR="00662905" w:rsidRPr="00C666FB">
        <w:rPr>
          <w:color w:val="000000" w:themeColor="text1"/>
          <w:sz w:val="21"/>
          <w:szCs w:val="21"/>
        </w:rPr>
        <w:t xml:space="preserve"> 2013</w:t>
      </w:r>
      <w:r w:rsidRPr="00C666FB">
        <w:rPr>
          <w:color w:val="000000" w:themeColor="text1"/>
          <w:sz w:val="21"/>
          <w:szCs w:val="21"/>
        </w:rPr>
        <w:t>), Audit</w:t>
      </w:r>
      <w:r w:rsidR="00662905" w:rsidRPr="00C666FB">
        <w:rPr>
          <w:color w:val="000000" w:themeColor="text1"/>
          <w:sz w:val="21"/>
          <w:szCs w:val="21"/>
        </w:rPr>
        <w:t>or-General</w:t>
      </w:r>
      <w:r w:rsidRPr="00C666FB">
        <w:rPr>
          <w:color w:val="000000" w:themeColor="text1"/>
          <w:sz w:val="21"/>
          <w:szCs w:val="21"/>
        </w:rPr>
        <w:t xml:space="preserve"> Act</w:t>
      </w:r>
      <w:r w:rsidR="00662905" w:rsidRPr="00C666FB">
        <w:rPr>
          <w:color w:val="000000" w:themeColor="text1"/>
          <w:sz w:val="21"/>
          <w:szCs w:val="21"/>
        </w:rPr>
        <w:t xml:space="preserve"> 1997</w:t>
      </w:r>
      <w:r w:rsidRPr="00C666FB">
        <w:rPr>
          <w:color w:val="000000" w:themeColor="text1"/>
          <w:sz w:val="21"/>
          <w:szCs w:val="21"/>
        </w:rPr>
        <w:t xml:space="preserve">, Environment </w:t>
      </w:r>
      <w:r w:rsidR="00662905" w:rsidRPr="00C666FB">
        <w:rPr>
          <w:color w:val="000000" w:themeColor="text1"/>
          <w:sz w:val="21"/>
          <w:szCs w:val="21"/>
        </w:rPr>
        <w:t>Protection</w:t>
      </w:r>
      <w:r w:rsidRPr="00C666FB">
        <w:rPr>
          <w:color w:val="000000" w:themeColor="text1"/>
          <w:sz w:val="21"/>
          <w:szCs w:val="21"/>
        </w:rPr>
        <w:t xml:space="preserve"> Biodiversity </w:t>
      </w:r>
      <w:r w:rsidR="00662905" w:rsidRPr="00C666FB">
        <w:rPr>
          <w:color w:val="000000" w:themeColor="text1"/>
          <w:sz w:val="21"/>
          <w:szCs w:val="21"/>
        </w:rPr>
        <w:t>Conservation</w:t>
      </w:r>
      <w:r w:rsidRPr="00C666FB">
        <w:rPr>
          <w:color w:val="000000" w:themeColor="text1"/>
          <w:sz w:val="21"/>
          <w:szCs w:val="21"/>
        </w:rPr>
        <w:t xml:space="preserve"> (</w:t>
      </w:r>
      <w:r w:rsidR="00662905" w:rsidRPr="00C666FB">
        <w:rPr>
          <w:color w:val="000000" w:themeColor="text1"/>
          <w:sz w:val="21"/>
          <w:szCs w:val="21"/>
        </w:rPr>
        <w:t>EPBC</w:t>
      </w:r>
      <w:r w:rsidRPr="00C666FB">
        <w:rPr>
          <w:color w:val="000000" w:themeColor="text1"/>
          <w:sz w:val="21"/>
          <w:szCs w:val="21"/>
        </w:rPr>
        <w:t>) Act</w:t>
      </w:r>
      <w:r w:rsidR="00662905" w:rsidRPr="00C666FB">
        <w:rPr>
          <w:color w:val="000000" w:themeColor="text1"/>
          <w:sz w:val="21"/>
          <w:szCs w:val="21"/>
        </w:rPr>
        <w:t xml:space="preserve"> 1999</w:t>
      </w:r>
      <w:r w:rsidRPr="00C666FB">
        <w:rPr>
          <w:color w:val="000000" w:themeColor="text1"/>
          <w:sz w:val="21"/>
          <w:szCs w:val="21"/>
        </w:rPr>
        <w:t>, Archives Act</w:t>
      </w:r>
      <w:r w:rsidR="00662905" w:rsidRPr="00C666FB">
        <w:rPr>
          <w:color w:val="000000" w:themeColor="text1"/>
          <w:sz w:val="21"/>
          <w:szCs w:val="21"/>
        </w:rPr>
        <w:t xml:space="preserve"> 1983</w:t>
      </w:r>
      <w:r w:rsidRPr="00C666FB">
        <w:rPr>
          <w:color w:val="000000" w:themeColor="text1"/>
          <w:sz w:val="21"/>
          <w:szCs w:val="21"/>
        </w:rPr>
        <w:t xml:space="preserve">.  </w:t>
      </w:r>
    </w:p>
    <w:p w14:paraId="097C8076" w14:textId="0A505727" w:rsidR="00A773EF" w:rsidRPr="00C666FB" w:rsidRDefault="00A773EF" w:rsidP="007A200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r w:rsidRPr="00C666FB">
        <w:rPr>
          <w:rFonts w:asciiTheme="majorHAnsi" w:hAnsiTheme="majorHAnsi"/>
          <w:b/>
          <w:color w:val="000000" w:themeColor="text1"/>
          <w:szCs w:val="21"/>
        </w:rPr>
        <w:t xml:space="preserve">Handover </w:t>
      </w:r>
      <w:r w:rsidR="00036A2D" w:rsidRPr="00C666FB">
        <w:rPr>
          <w:rFonts w:asciiTheme="majorHAnsi" w:hAnsiTheme="majorHAnsi"/>
          <w:b/>
          <w:color w:val="000000" w:themeColor="text1"/>
          <w:szCs w:val="21"/>
        </w:rPr>
        <w:t>Plan – submission timing</w:t>
      </w:r>
    </w:p>
    <w:p w14:paraId="0290146E" w14:textId="3E6A84A8" w:rsidR="0037639A" w:rsidRPr="00B85C5A" w:rsidRDefault="008C44C9" w:rsidP="0037639A">
      <w:pPr>
        <w:suppressAutoHyphens w:val="0"/>
        <w:spacing w:before="0" w:after="0" w:line="240" w:lineRule="auto"/>
        <w:rPr>
          <w:color w:val="000000" w:themeColor="text1"/>
          <w:sz w:val="21"/>
          <w:szCs w:val="21"/>
        </w:rPr>
      </w:pPr>
      <w:r w:rsidRPr="00B85C5A">
        <w:rPr>
          <w:b/>
          <w:bCs/>
          <w:color w:val="000000" w:themeColor="text1"/>
          <w:sz w:val="21"/>
          <w:szCs w:val="21"/>
        </w:rPr>
        <w:t>S</w:t>
      </w:r>
      <w:r w:rsidR="00DC39DF" w:rsidRPr="00B85C5A">
        <w:rPr>
          <w:b/>
          <w:bCs/>
          <w:color w:val="000000" w:themeColor="text1"/>
          <w:sz w:val="21"/>
          <w:szCs w:val="21"/>
        </w:rPr>
        <w:t>ubmission</w:t>
      </w:r>
      <w:r w:rsidRPr="00B85C5A">
        <w:rPr>
          <w:b/>
          <w:bCs/>
          <w:color w:val="000000" w:themeColor="text1"/>
          <w:sz w:val="21"/>
          <w:szCs w:val="21"/>
        </w:rPr>
        <w:t xml:space="preserve"> cycle</w:t>
      </w:r>
      <w:r w:rsidR="00DC39DF" w:rsidRPr="00B85C5A">
        <w:rPr>
          <w:color w:val="000000" w:themeColor="text1"/>
          <w:sz w:val="21"/>
          <w:szCs w:val="21"/>
        </w:rPr>
        <w:t xml:space="preserve">: </w:t>
      </w:r>
      <w:r w:rsidR="00E32A18" w:rsidRPr="00B85C5A">
        <w:rPr>
          <w:color w:val="000000" w:themeColor="text1"/>
          <w:sz w:val="21"/>
          <w:szCs w:val="21"/>
        </w:rPr>
        <w:t>Handover Plans</w:t>
      </w:r>
      <w:r w:rsidR="0037639A" w:rsidRPr="00B85C5A">
        <w:rPr>
          <w:color w:val="000000" w:themeColor="text1"/>
          <w:sz w:val="21"/>
          <w:szCs w:val="21"/>
        </w:rPr>
        <w:t xml:space="preserve"> should be developed and updated annually</w:t>
      </w:r>
      <w:r w:rsidR="00DF6F84" w:rsidRPr="00B85C5A">
        <w:rPr>
          <w:color w:val="000000" w:themeColor="text1"/>
          <w:sz w:val="21"/>
          <w:szCs w:val="21"/>
        </w:rPr>
        <w:t xml:space="preserve">, as part of the </w:t>
      </w:r>
      <w:r w:rsidR="00FC0047" w:rsidRPr="00B85C5A">
        <w:rPr>
          <w:color w:val="000000" w:themeColor="text1"/>
          <w:sz w:val="21"/>
          <w:szCs w:val="21"/>
        </w:rPr>
        <w:t>annual planning</w:t>
      </w:r>
      <w:r w:rsidR="00DF6F84" w:rsidRPr="00B85C5A">
        <w:rPr>
          <w:color w:val="000000" w:themeColor="text1"/>
          <w:sz w:val="21"/>
          <w:szCs w:val="21"/>
        </w:rPr>
        <w:t xml:space="preserve"> process, </w:t>
      </w:r>
      <w:r w:rsidR="0037639A" w:rsidRPr="00B85C5A">
        <w:rPr>
          <w:color w:val="000000" w:themeColor="text1"/>
          <w:sz w:val="21"/>
          <w:szCs w:val="21"/>
        </w:rPr>
        <w:t>and endorsed by DFAT in writing</w:t>
      </w:r>
      <w:r w:rsidR="00183C81" w:rsidRPr="00B85C5A">
        <w:rPr>
          <w:color w:val="000000" w:themeColor="text1"/>
          <w:sz w:val="21"/>
          <w:szCs w:val="21"/>
        </w:rPr>
        <w:t xml:space="preserve">, and will be updated as required by </w:t>
      </w:r>
      <w:r w:rsidR="00FB38F2">
        <w:rPr>
          <w:color w:val="000000" w:themeColor="text1"/>
          <w:sz w:val="21"/>
          <w:szCs w:val="21"/>
        </w:rPr>
        <w:t xml:space="preserve">the contractor at </w:t>
      </w:r>
      <w:r w:rsidR="00183C81" w:rsidRPr="00B85C5A">
        <w:rPr>
          <w:color w:val="000000" w:themeColor="text1"/>
          <w:sz w:val="21"/>
          <w:szCs w:val="21"/>
        </w:rPr>
        <w:t>DFAT</w:t>
      </w:r>
      <w:r w:rsidR="00FB38F2">
        <w:rPr>
          <w:color w:val="000000" w:themeColor="text1"/>
          <w:sz w:val="21"/>
          <w:szCs w:val="21"/>
        </w:rPr>
        <w:t xml:space="preserve">’s request especially </w:t>
      </w:r>
      <w:r w:rsidR="00183C81" w:rsidRPr="00B85C5A">
        <w:rPr>
          <w:color w:val="000000" w:themeColor="text1"/>
          <w:sz w:val="21"/>
          <w:szCs w:val="21"/>
        </w:rPr>
        <w:t xml:space="preserve">in the final </w:t>
      </w:r>
      <w:r w:rsidR="00FB38F2">
        <w:rPr>
          <w:color w:val="000000" w:themeColor="text1"/>
          <w:sz w:val="21"/>
          <w:szCs w:val="21"/>
        </w:rPr>
        <w:t>1</w:t>
      </w:r>
      <w:r w:rsidR="006C16E1">
        <w:rPr>
          <w:color w:val="000000" w:themeColor="text1"/>
          <w:sz w:val="21"/>
          <w:szCs w:val="21"/>
        </w:rPr>
        <w:t>2</w:t>
      </w:r>
      <w:r w:rsidR="00FB38F2">
        <w:rPr>
          <w:color w:val="000000" w:themeColor="text1"/>
          <w:sz w:val="21"/>
          <w:szCs w:val="21"/>
        </w:rPr>
        <w:t xml:space="preserve"> </w:t>
      </w:r>
      <w:r w:rsidR="00183C81" w:rsidRPr="00B85C5A">
        <w:rPr>
          <w:color w:val="000000" w:themeColor="text1"/>
          <w:sz w:val="21"/>
          <w:szCs w:val="21"/>
        </w:rPr>
        <w:t>months of a contract term.  The final handover plan will be an annex in the Program Completion Report</w:t>
      </w:r>
    </w:p>
    <w:p w14:paraId="6E5200D4" w14:textId="77777777" w:rsidR="00953154" w:rsidRPr="00B85C5A" w:rsidRDefault="00953154" w:rsidP="00953154">
      <w:pPr>
        <w:suppressAutoHyphens w:val="0"/>
        <w:spacing w:before="0" w:after="0" w:line="240" w:lineRule="auto"/>
        <w:rPr>
          <w:color w:val="000000" w:themeColor="text1"/>
          <w:sz w:val="21"/>
          <w:szCs w:val="21"/>
        </w:rPr>
      </w:pPr>
    </w:p>
    <w:p w14:paraId="0694BC3B" w14:textId="73D594CF" w:rsidR="00A9602A" w:rsidRPr="00B85C5A" w:rsidRDefault="006F7048" w:rsidP="00B0763C">
      <w:pPr>
        <w:suppressAutoHyphens w:val="0"/>
        <w:spacing w:before="0" w:after="0" w:line="240" w:lineRule="auto"/>
        <w:rPr>
          <w:color w:val="000000" w:themeColor="text1"/>
          <w:sz w:val="21"/>
          <w:szCs w:val="21"/>
        </w:rPr>
      </w:pPr>
      <w:r w:rsidRPr="00B85C5A">
        <w:rPr>
          <w:b/>
          <w:bCs/>
          <w:color w:val="000000" w:themeColor="text1"/>
          <w:sz w:val="21"/>
          <w:szCs w:val="21"/>
        </w:rPr>
        <w:t>Short notice</w:t>
      </w:r>
      <w:r w:rsidRPr="00B85C5A">
        <w:rPr>
          <w:color w:val="000000" w:themeColor="text1"/>
          <w:sz w:val="21"/>
          <w:szCs w:val="21"/>
        </w:rPr>
        <w:t xml:space="preserve">: As part of good practice, </w:t>
      </w:r>
      <w:r w:rsidR="00EF0983" w:rsidRPr="00B85C5A">
        <w:rPr>
          <w:color w:val="000000" w:themeColor="text1"/>
          <w:sz w:val="21"/>
          <w:szCs w:val="21"/>
        </w:rPr>
        <w:t>Handover Plans should be regularly updated</w:t>
      </w:r>
      <w:r w:rsidR="00953154" w:rsidRPr="00B85C5A">
        <w:rPr>
          <w:color w:val="000000" w:themeColor="text1"/>
          <w:sz w:val="21"/>
          <w:szCs w:val="21"/>
        </w:rPr>
        <w:t xml:space="preserve"> </w:t>
      </w:r>
      <w:r w:rsidR="00EF0983" w:rsidRPr="00B85C5A">
        <w:rPr>
          <w:color w:val="000000" w:themeColor="text1"/>
          <w:sz w:val="21"/>
          <w:szCs w:val="21"/>
        </w:rPr>
        <w:t xml:space="preserve">and </w:t>
      </w:r>
      <w:r w:rsidR="00953154" w:rsidRPr="00B85C5A">
        <w:rPr>
          <w:color w:val="000000" w:themeColor="text1"/>
          <w:sz w:val="21"/>
          <w:szCs w:val="21"/>
        </w:rPr>
        <w:t>available at short notice</w:t>
      </w:r>
      <w:r w:rsidR="00953154" w:rsidRPr="00B85C5A">
        <w:rPr>
          <w:color w:val="000000" w:themeColor="text1"/>
          <w:sz w:val="21"/>
          <w:szCs w:val="21"/>
          <w:vertAlign w:val="superscript"/>
        </w:rPr>
        <w:footnoteReference w:id="1"/>
      </w:r>
      <w:r w:rsidR="00953154" w:rsidRPr="00B85C5A">
        <w:rPr>
          <w:color w:val="000000" w:themeColor="text1"/>
          <w:sz w:val="21"/>
          <w:szCs w:val="21"/>
        </w:rPr>
        <w:t xml:space="preserve"> </w:t>
      </w:r>
      <w:r w:rsidR="00B0763C" w:rsidRPr="00B85C5A">
        <w:rPr>
          <w:color w:val="000000" w:themeColor="text1"/>
          <w:sz w:val="21"/>
          <w:szCs w:val="21"/>
        </w:rPr>
        <w:t>includ</w:t>
      </w:r>
      <w:r w:rsidR="0063570C" w:rsidRPr="00B85C5A">
        <w:rPr>
          <w:color w:val="000000" w:themeColor="text1"/>
          <w:sz w:val="21"/>
          <w:szCs w:val="21"/>
        </w:rPr>
        <w:t>ing</w:t>
      </w:r>
      <w:r w:rsidR="00953154" w:rsidRPr="00B85C5A">
        <w:rPr>
          <w:color w:val="000000" w:themeColor="text1"/>
          <w:sz w:val="21"/>
          <w:szCs w:val="21"/>
        </w:rPr>
        <w:t xml:space="preserve"> </w:t>
      </w:r>
      <w:r w:rsidR="00AE236F" w:rsidRPr="00B85C5A">
        <w:rPr>
          <w:color w:val="000000" w:themeColor="text1"/>
          <w:sz w:val="21"/>
          <w:szCs w:val="21"/>
        </w:rPr>
        <w:t xml:space="preserve">a live update </w:t>
      </w:r>
      <w:r w:rsidR="004913DB" w:rsidRPr="00B85C5A">
        <w:rPr>
          <w:color w:val="000000" w:themeColor="text1"/>
          <w:sz w:val="21"/>
          <w:szCs w:val="21"/>
        </w:rPr>
        <w:t xml:space="preserve">of </w:t>
      </w:r>
      <w:r w:rsidR="00953154" w:rsidRPr="00B85C5A">
        <w:rPr>
          <w:color w:val="000000" w:themeColor="text1"/>
          <w:sz w:val="21"/>
          <w:szCs w:val="21"/>
        </w:rPr>
        <w:t>compliance with head contract requirements</w:t>
      </w:r>
      <w:r w:rsidR="00B0763C" w:rsidRPr="00B85C5A">
        <w:rPr>
          <w:color w:val="000000" w:themeColor="text1"/>
          <w:sz w:val="21"/>
          <w:szCs w:val="21"/>
        </w:rPr>
        <w:t>.</w:t>
      </w:r>
    </w:p>
    <w:p w14:paraId="643E88B8" w14:textId="3DB5FFCA" w:rsidR="00D0209F" w:rsidRPr="00B85C5A" w:rsidRDefault="00D0209F" w:rsidP="002F1D6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r w:rsidRPr="00B85C5A">
        <w:rPr>
          <w:rFonts w:asciiTheme="majorHAnsi" w:hAnsiTheme="majorHAnsi"/>
          <w:b/>
          <w:color w:val="000000" w:themeColor="text1"/>
          <w:szCs w:val="21"/>
        </w:rPr>
        <w:t>Handover Checklist</w:t>
      </w:r>
    </w:p>
    <w:p w14:paraId="65C4F0B2" w14:textId="53A30056" w:rsidR="00BF13BE" w:rsidRPr="00B85C5A" w:rsidRDefault="00FB38F2" w:rsidP="00A9602A">
      <w:pPr>
        <w:rPr>
          <w:rFonts w:asciiTheme="majorHAnsi" w:hAnsiTheme="majorHAnsi" w:cstheme="majorHAnsi"/>
          <w:color w:val="000000" w:themeColor="text1"/>
        </w:rPr>
      </w:pPr>
      <w:r>
        <w:rPr>
          <w:color w:val="000000" w:themeColor="text1"/>
          <w:sz w:val="21"/>
          <w:szCs w:val="21"/>
        </w:rPr>
        <w:t xml:space="preserve">This </w:t>
      </w:r>
      <w:r w:rsidR="00BF13BE" w:rsidRPr="00B85C5A">
        <w:rPr>
          <w:color w:val="000000" w:themeColor="text1"/>
          <w:sz w:val="21"/>
          <w:szCs w:val="21"/>
        </w:rPr>
        <w:t xml:space="preserve">list is not </w:t>
      </w:r>
      <w:r w:rsidR="00F77D12" w:rsidRPr="00B85C5A">
        <w:rPr>
          <w:color w:val="000000" w:themeColor="text1"/>
          <w:sz w:val="21"/>
          <w:szCs w:val="21"/>
        </w:rPr>
        <w:t>exhaustive,</w:t>
      </w:r>
      <w:r w:rsidR="00BF13BE" w:rsidRPr="00B85C5A">
        <w:rPr>
          <w:color w:val="000000" w:themeColor="text1"/>
          <w:sz w:val="21"/>
          <w:szCs w:val="21"/>
        </w:rPr>
        <w:t xml:space="preserve"> and some sectors will require further detail (</w:t>
      </w:r>
      <w:r w:rsidR="006C16E1" w:rsidRPr="00B85C5A">
        <w:rPr>
          <w:color w:val="000000" w:themeColor="text1"/>
          <w:sz w:val="21"/>
          <w:szCs w:val="21"/>
        </w:rPr>
        <w:t>i.e.,</w:t>
      </w:r>
      <w:r w:rsidR="00BF13BE" w:rsidRPr="00B85C5A">
        <w:rPr>
          <w:color w:val="000000" w:themeColor="text1"/>
          <w:sz w:val="21"/>
          <w:szCs w:val="21"/>
        </w:rPr>
        <w:t xml:space="preserve"> infrastructure and defects liabilities), or </w:t>
      </w:r>
      <w:proofErr w:type="gramStart"/>
      <w:r w:rsidR="00BF13BE" w:rsidRPr="00B85C5A">
        <w:rPr>
          <w:color w:val="000000" w:themeColor="text1"/>
          <w:sz w:val="21"/>
          <w:szCs w:val="21"/>
        </w:rPr>
        <w:t>particular records</w:t>
      </w:r>
      <w:proofErr w:type="gramEnd"/>
      <w:r w:rsidR="00BF13BE" w:rsidRPr="00B85C5A">
        <w:rPr>
          <w:color w:val="000000" w:themeColor="text1"/>
          <w:sz w:val="21"/>
          <w:szCs w:val="21"/>
        </w:rPr>
        <w:t xml:space="preserve"> will need to be highlighted – </w:t>
      </w:r>
      <w:r w:rsidR="006C16E1" w:rsidRPr="00B85C5A">
        <w:rPr>
          <w:color w:val="000000" w:themeColor="text1"/>
          <w:sz w:val="21"/>
          <w:szCs w:val="21"/>
        </w:rPr>
        <w:t>i.e.,</w:t>
      </w:r>
      <w:r w:rsidR="00BF13BE" w:rsidRPr="00B85C5A">
        <w:rPr>
          <w:color w:val="000000" w:themeColor="text1"/>
          <w:sz w:val="21"/>
          <w:szCs w:val="21"/>
        </w:rPr>
        <w:t xml:space="preserve"> legal matters/code of conduct issues.  </w:t>
      </w:r>
    </w:p>
    <w:p w14:paraId="6AF5D471" w14:textId="58DB8B5C" w:rsidR="00A0183B" w:rsidRPr="00265143" w:rsidRDefault="00073C6D" w:rsidP="00265143">
      <w:pPr>
        <w:rPr>
          <w:rFonts w:cstheme="minorHAnsi"/>
        </w:rPr>
      </w:pPr>
      <w:r w:rsidRPr="00B85C5A">
        <w:rPr>
          <w:b/>
          <w:bCs/>
          <w:color w:val="000000" w:themeColor="text1"/>
          <w:sz w:val="21"/>
          <w:szCs w:val="21"/>
        </w:rPr>
        <w:t>Head contract:</w:t>
      </w:r>
      <w:r w:rsidRPr="00B85C5A">
        <w:rPr>
          <w:color w:val="000000" w:themeColor="text1"/>
          <w:sz w:val="21"/>
          <w:szCs w:val="21"/>
        </w:rPr>
        <w:t xml:space="preserve"> </w:t>
      </w:r>
      <w:r w:rsidR="00265143" w:rsidRPr="00B85C5A">
        <w:rPr>
          <w:color w:val="000000" w:themeColor="text1"/>
          <w:sz w:val="21"/>
          <w:szCs w:val="21"/>
        </w:rPr>
        <w:t xml:space="preserve">A table should be developed summarising contractual compliance (status and/ or relevant details) </w:t>
      </w:r>
      <w:r w:rsidR="005A1FC7" w:rsidRPr="00B85C5A">
        <w:rPr>
          <w:color w:val="000000" w:themeColor="text1"/>
          <w:sz w:val="21"/>
          <w:szCs w:val="21"/>
        </w:rPr>
        <w:t>with the head contract</w:t>
      </w:r>
      <w:r w:rsidR="009A72C4" w:rsidRPr="00B85C5A">
        <w:rPr>
          <w:color w:val="000000" w:themeColor="text1"/>
          <w:sz w:val="21"/>
          <w:szCs w:val="21"/>
        </w:rPr>
        <w:t xml:space="preserve"> as outlined below. </w:t>
      </w:r>
    </w:p>
    <w:tbl>
      <w:tblPr>
        <w:tblStyle w:val="TableGrid"/>
        <w:tblW w:w="9776" w:type="dxa"/>
        <w:tblLook w:val="04A0" w:firstRow="1" w:lastRow="0" w:firstColumn="1" w:lastColumn="0" w:noHBand="0" w:noVBand="1"/>
      </w:tblPr>
      <w:tblGrid>
        <w:gridCol w:w="2122"/>
        <w:gridCol w:w="7654"/>
      </w:tblGrid>
      <w:tr w:rsidR="00FB38F2" w:rsidRPr="00FB38F2" w14:paraId="4B97A8F6" w14:textId="77777777" w:rsidTr="00883EBF">
        <w:trPr>
          <w:tblHeader/>
        </w:trPr>
        <w:tc>
          <w:tcPr>
            <w:tcW w:w="2122" w:type="dxa"/>
            <w:shd w:val="clear" w:color="auto" w:fill="40C1AC"/>
          </w:tcPr>
          <w:p w14:paraId="1FADFA8B" w14:textId="662BA2DA" w:rsidR="000C6EB3" w:rsidRPr="00B85C5A" w:rsidRDefault="000C6EB3" w:rsidP="00EB1A2E">
            <w:pPr>
              <w:rPr>
                <w:rFonts w:asciiTheme="majorHAnsi" w:hAnsiTheme="majorHAnsi" w:cstheme="majorHAnsi"/>
                <w:bCs/>
                <w:color w:val="000000" w:themeColor="text1"/>
                <w:sz w:val="28"/>
              </w:rPr>
            </w:pPr>
            <w:r w:rsidRPr="00B85C5A">
              <w:rPr>
                <w:rFonts w:asciiTheme="majorHAnsi" w:hAnsiTheme="majorHAnsi" w:cstheme="majorHAnsi"/>
                <w:bCs/>
                <w:color w:val="000000" w:themeColor="text1"/>
                <w:sz w:val="28"/>
              </w:rPr>
              <w:t>Category</w:t>
            </w:r>
          </w:p>
        </w:tc>
        <w:tc>
          <w:tcPr>
            <w:tcW w:w="7654" w:type="dxa"/>
            <w:shd w:val="clear" w:color="auto" w:fill="40C1AC"/>
          </w:tcPr>
          <w:p w14:paraId="707174B8" w14:textId="77777777" w:rsidR="000C6EB3" w:rsidRPr="00B85C5A" w:rsidRDefault="000C6EB3" w:rsidP="00EB1A2E">
            <w:pPr>
              <w:rPr>
                <w:rFonts w:asciiTheme="majorHAnsi" w:hAnsiTheme="majorHAnsi" w:cstheme="majorHAnsi"/>
                <w:bCs/>
                <w:color w:val="000000" w:themeColor="text1"/>
                <w:sz w:val="28"/>
              </w:rPr>
            </w:pPr>
            <w:r w:rsidRPr="00B85C5A">
              <w:rPr>
                <w:rFonts w:asciiTheme="majorHAnsi" w:hAnsiTheme="majorHAnsi" w:cstheme="majorHAnsi"/>
                <w:bCs/>
                <w:color w:val="000000" w:themeColor="text1"/>
                <w:sz w:val="28"/>
              </w:rPr>
              <w:t>Explanation</w:t>
            </w:r>
          </w:p>
        </w:tc>
      </w:tr>
      <w:tr w:rsidR="00FB38F2" w:rsidRPr="00FB38F2" w14:paraId="483BE8DB" w14:textId="77777777" w:rsidTr="00B85C5A">
        <w:tc>
          <w:tcPr>
            <w:tcW w:w="2122" w:type="dxa"/>
            <w:vAlign w:val="center"/>
          </w:tcPr>
          <w:p w14:paraId="3410B97E" w14:textId="47FAB97C" w:rsidR="00BF13BE" w:rsidRPr="00B85C5A" w:rsidRDefault="00BF13BE">
            <w:pPr>
              <w:jc w:val="center"/>
              <w:rPr>
                <w:color w:val="000000" w:themeColor="text1"/>
                <w:sz w:val="21"/>
                <w:szCs w:val="21"/>
              </w:rPr>
            </w:pPr>
            <w:r w:rsidRPr="00B85C5A">
              <w:rPr>
                <w:color w:val="000000" w:themeColor="text1"/>
                <w:sz w:val="21"/>
                <w:szCs w:val="21"/>
              </w:rPr>
              <w:t xml:space="preserve">Compliance </w:t>
            </w:r>
            <w:r w:rsidR="00A0183B" w:rsidRPr="00B85C5A">
              <w:rPr>
                <w:color w:val="000000" w:themeColor="text1"/>
                <w:sz w:val="21"/>
                <w:szCs w:val="21"/>
              </w:rPr>
              <w:t>with</w:t>
            </w:r>
            <w:r w:rsidRPr="00B85C5A">
              <w:rPr>
                <w:color w:val="000000" w:themeColor="text1"/>
                <w:sz w:val="21"/>
                <w:szCs w:val="21"/>
              </w:rPr>
              <w:t xml:space="preserve"> head contract and program closure obligations</w:t>
            </w:r>
          </w:p>
          <w:p w14:paraId="00A8D977" w14:textId="77777777" w:rsidR="00BF13BE" w:rsidRPr="00B85C5A" w:rsidRDefault="00BF13BE">
            <w:pPr>
              <w:jc w:val="center"/>
              <w:rPr>
                <w:rFonts w:cstheme="minorHAnsi"/>
                <w:b/>
                <w:color w:val="000000" w:themeColor="text1"/>
              </w:rPr>
            </w:pPr>
          </w:p>
        </w:tc>
        <w:tc>
          <w:tcPr>
            <w:tcW w:w="7654" w:type="dxa"/>
            <w:shd w:val="clear" w:color="auto" w:fill="D8DCDB" w:themeFill="background2"/>
          </w:tcPr>
          <w:p w14:paraId="0F4290EF" w14:textId="77777777"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Standard and project specific contractual conditions and obligations (citing specific clauses as relevant)</w:t>
            </w:r>
          </w:p>
          <w:p w14:paraId="07BED37B" w14:textId="258DE50D"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DFAT property and asset disposal</w:t>
            </w:r>
            <w:r w:rsidR="00127DE8">
              <w:rPr>
                <w:color w:val="000000" w:themeColor="text1"/>
                <w:sz w:val="21"/>
                <w:szCs w:val="21"/>
              </w:rPr>
              <w:t>/handover</w:t>
            </w:r>
            <w:r w:rsidR="001E562A">
              <w:rPr>
                <w:color w:val="000000" w:themeColor="text1"/>
                <w:sz w:val="21"/>
                <w:szCs w:val="21"/>
              </w:rPr>
              <w:t>/transfer</w:t>
            </w:r>
            <w:r w:rsidRPr="00B85C5A">
              <w:rPr>
                <w:color w:val="000000" w:themeColor="text1"/>
                <w:sz w:val="21"/>
                <w:szCs w:val="21"/>
              </w:rPr>
              <w:t xml:space="preserve"> plans</w:t>
            </w:r>
          </w:p>
          <w:p w14:paraId="3EC3C111" w14:textId="77777777"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Intellectual property rights</w:t>
            </w:r>
          </w:p>
          <w:p w14:paraId="76D28988" w14:textId="3D452EC7"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lastRenderedPageBreak/>
              <w:t>Fraud</w:t>
            </w:r>
            <w:r w:rsidR="00C86CB6" w:rsidRPr="00B85C5A">
              <w:rPr>
                <w:color w:val="000000" w:themeColor="text1"/>
                <w:sz w:val="21"/>
                <w:szCs w:val="21"/>
              </w:rPr>
              <w:t>, Child Protection and PSEAH</w:t>
            </w:r>
            <w:r w:rsidRPr="00B85C5A">
              <w:rPr>
                <w:color w:val="000000" w:themeColor="text1"/>
                <w:sz w:val="21"/>
                <w:szCs w:val="21"/>
              </w:rPr>
              <w:t xml:space="preserve"> – and summary of fraud issues and management responses</w:t>
            </w:r>
          </w:p>
          <w:p w14:paraId="05F316E1" w14:textId="77777777"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Confidentiality and privacy issues</w:t>
            </w:r>
          </w:p>
          <w:p w14:paraId="59C15B93" w14:textId="77777777"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 xml:space="preserve">Financial expenditure report summaries </w:t>
            </w:r>
          </w:p>
          <w:p w14:paraId="69E30C30" w14:textId="77777777"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Invoicing schedule</w:t>
            </w:r>
          </w:p>
          <w:p w14:paraId="46577BF5" w14:textId="669D0F1E"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 xml:space="preserve">Milestone completion / approval correspondence  </w:t>
            </w:r>
          </w:p>
          <w:p w14:paraId="3259EA9C" w14:textId="0D0F0EB0" w:rsidR="0035066A" w:rsidRPr="00B85C5A" w:rsidRDefault="0035066A"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Legal matters and case files</w:t>
            </w:r>
          </w:p>
          <w:p w14:paraId="253B3CC6" w14:textId="54CFC383"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Record management including storage of accounts, records, and relevant management information system protocols</w:t>
            </w:r>
            <w:r w:rsidR="00D70873" w:rsidRPr="00B85C5A">
              <w:rPr>
                <w:color w:val="000000" w:themeColor="text1"/>
                <w:sz w:val="21"/>
                <w:szCs w:val="21"/>
              </w:rPr>
              <w:t>, document archiving</w:t>
            </w:r>
          </w:p>
          <w:p w14:paraId="6C973871" w14:textId="01AA65DC"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 xml:space="preserve">Advisor performance assessments </w:t>
            </w:r>
          </w:p>
          <w:p w14:paraId="005D2FF4" w14:textId="3ED84EF4" w:rsidR="00BF13BE" w:rsidRPr="00B85C5A" w:rsidRDefault="00BF13BE"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Partner Performance Assessments (PPAs)</w:t>
            </w:r>
          </w:p>
          <w:p w14:paraId="0B59C02F" w14:textId="0191B8A6" w:rsidR="00183C81" w:rsidRPr="00B85C5A" w:rsidRDefault="00183C81" w:rsidP="002F1D6C">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PERFORMS data</w:t>
            </w:r>
          </w:p>
          <w:p w14:paraId="12056282" w14:textId="0360A491" w:rsidR="00BF13BE" w:rsidRPr="00B85C5A" w:rsidRDefault="00BF13BE" w:rsidP="00435B52">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Key external communications activities and issues (</w:t>
            </w:r>
            <w:proofErr w:type="gramStart"/>
            <w:r w:rsidRPr="00B85C5A">
              <w:rPr>
                <w:color w:val="000000" w:themeColor="text1"/>
                <w:sz w:val="21"/>
                <w:szCs w:val="21"/>
              </w:rPr>
              <w:t>e.g.</w:t>
            </w:r>
            <w:proofErr w:type="gramEnd"/>
            <w:r w:rsidRPr="00B85C5A">
              <w:rPr>
                <w:color w:val="000000" w:themeColor="text1"/>
                <w:sz w:val="21"/>
                <w:szCs w:val="21"/>
              </w:rPr>
              <w:t xml:space="preserve"> websites, media releases, major events)</w:t>
            </w:r>
          </w:p>
          <w:p w14:paraId="2D95FD82" w14:textId="39AE9860" w:rsidR="00D70873" w:rsidRPr="00B85C5A" w:rsidRDefault="00D70873" w:rsidP="00435B52">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 xml:space="preserve">Formal briefings and knowledge transfer </w:t>
            </w:r>
          </w:p>
          <w:p w14:paraId="73A0D7E9" w14:textId="77777777" w:rsidR="00BF13BE" w:rsidRPr="00B85C5A" w:rsidRDefault="00BF13BE" w:rsidP="00435B52">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Outline of any specific risks / and or issues</w:t>
            </w:r>
          </w:p>
          <w:p w14:paraId="09882D3B" w14:textId="77777777" w:rsidR="00BF13BE" w:rsidRPr="00B85C5A" w:rsidRDefault="00BF13BE" w:rsidP="000C6EB3">
            <w:pPr>
              <w:pStyle w:val="ListParagraph"/>
              <w:suppressAutoHyphens w:val="0"/>
              <w:spacing w:before="0" w:after="0" w:line="240" w:lineRule="auto"/>
              <w:ind w:left="360"/>
              <w:rPr>
                <w:rFonts w:cstheme="minorHAnsi"/>
                <w:color w:val="000000" w:themeColor="text1"/>
                <w:highlight w:val="lightGray"/>
              </w:rPr>
            </w:pPr>
          </w:p>
        </w:tc>
      </w:tr>
    </w:tbl>
    <w:p w14:paraId="05289DE9" w14:textId="77777777" w:rsidR="00A9602A" w:rsidRPr="00133F96" w:rsidRDefault="00A9602A" w:rsidP="00A9602A">
      <w:pPr>
        <w:rPr>
          <w:rFonts w:asciiTheme="majorHAnsi" w:hAnsiTheme="majorHAnsi" w:cstheme="majorHAnsi"/>
          <w:b/>
          <w:bCs/>
          <w:u w:val="single"/>
        </w:rPr>
      </w:pPr>
    </w:p>
    <w:p w14:paraId="023E9CB6" w14:textId="2F50D86E" w:rsidR="00A9602A" w:rsidRPr="00B85C5A" w:rsidRDefault="00A9602A" w:rsidP="002F1D6C">
      <w:pPr>
        <w:pStyle w:val="ListParagraph"/>
        <w:numPr>
          <w:ilvl w:val="1"/>
          <w:numId w:val="18"/>
        </w:numPr>
        <w:suppressAutoHyphens w:val="0"/>
        <w:spacing w:before="0" w:after="160" w:line="259" w:lineRule="auto"/>
        <w:rPr>
          <w:rFonts w:asciiTheme="majorHAnsi" w:eastAsia="Times New Roman" w:hAnsiTheme="majorHAnsi" w:cstheme="majorHAnsi"/>
          <w:b/>
          <w:bCs/>
          <w:color w:val="000000" w:themeColor="text1"/>
        </w:rPr>
      </w:pPr>
      <w:r w:rsidRPr="00B85C5A">
        <w:rPr>
          <w:rFonts w:asciiTheme="majorHAnsi" w:eastAsia="Times New Roman" w:hAnsiTheme="majorHAnsi" w:cstheme="majorHAnsi"/>
          <w:b/>
          <w:bCs/>
          <w:color w:val="000000" w:themeColor="text1"/>
        </w:rPr>
        <w:t xml:space="preserve">Finance, </w:t>
      </w:r>
      <w:r w:rsidR="00C86CB6" w:rsidRPr="00B85C5A">
        <w:rPr>
          <w:rFonts w:asciiTheme="majorHAnsi" w:eastAsia="Times New Roman" w:hAnsiTheme="majorHAnsi" w:cstheme="majorHAnsi"/>
          <w:b/>
          <w:bCs/>
          <w:color w:val="000000" w:themeColor="text1"/>
        </w:rPr>
        <w:t xml:space="preserve">HR, </w:t>
      </w:r>
      <w:r w:rsidRPr="00B85C5A">
        <w:rPr>
          <w:rFonts w:asciiTheme="majorHAnsi" w:eastAsia="Times New Roman" w:hAnsiTheme="majorHAnsi" w:cstheme="majorHAnsi"/>
          <w:b/>
          <w:bCs/>
          <w:color w:val="000000" w:themeColor="text1"/>
        </w:rPr>
        <w:t>operations</w:t>
      </w:r>
      <w:r w:rsidR="006C16E1">
        <w:rPr>
          <w:rFonts w:asciiTheme="majorHAnsi" w:eastAsia="Times New Roman" w:hAnsiTheme="majorHAnsi" w:cstheme="majorHAnsi"/>
          <w:b/>
          <w:bCs/>
          <w:color w:val="000000" w:themeColor="text1"/>
        </w:rPr>
        <w:t>,</w:t>
      </w:r>
      <w:r w:rsidRPr="00B85C5A">
        <w:rPr>
          <w:rFonts w:asciiTheme="majorHAnsi" w:eastAsia="Times New Roman" w:hAnsiTheme="majorHAnsi" w:cstheme="majorHAnsi"/>
          <w:b/>
          <w:bCs/>
          <w:color w:val="000000" w:themeColor="text1"/>
        </w:rPr>
        <w:t xml:space="preserve"> and procurement</w:t>
      </w:r>
    </w:p>
    <w:p w14:paraId="370E93E9" w14:textId="77777777" w:rsidR="00A9602A" w:rsidRPr="00B85C5A" w:rsidRDefault="00A9602A" w:rsidP="00A9602A">
      <w:pPr>
        <w:rPr>
          <w:color w:val="000000" w:themeColor="text1"/>
          <w:sz w:val="21"/>
          <w:szCs w:val="21"/>
        </w:rPr>
      </w:pPr>
      <w:r w:rsidRPr="00B85C5A">
        <w:rPr>
          <w:color w:val="000000" w:themeColor="text1"/>
          <w:sz w:val="21"/>
          <w:szCs w:val="21"/>
        </w:rPr>
        <w:t>This section should summarise the status of the following requirements, citing evidence and storage locations.</w:t>
      </w:r>
      <w:r w:rsidRPr="00B85C5A">
        <w:rPr>
          <w:color w:val="000000" w:themeColor="text1"/>
          <w:sz w:val="21"/>
          <w:szCs w:val="21"/>
          <w:vertAlign w:val="superscript"/>
        </w:rPr>
        <w:footnoteReference w:id="2"/>
      </w:r>
    </w:p>
    <w:tbl>
      <w:tblPr>
        <w:tblStyle w:val="TableGrid"/>
        <w:tblW w:w="9776" w:type="dxa"/>
        <w:tblLook w:val="04A0" w:firstRow="1" w:lastRow="0" w:firstColumn="1" w:lastColumn="0" w:noHBand="0" w:noVBand="1"/>
      </w:tblPr>
      <w:tblGrid>
        <w:gridCol w:w="2405"/>
        <w:gridCol w:w="7371"/>
      </w:tblGrid>
      <w:tr w:rsidR="00FB38F2" w:rsidRPr="00FB38F2" w14:paraId="7035C003" w14:textId="77777777" w:rsidTr="00883EBF">
        <w:trPr>
          <w:tblHeader/>
        </w:trPr>
        <w:tc>
          <w:tcPr>
            <w:tcW w:w="2405" w:type="dxa"/>
            <w:shd w:val="clear" w:color="auto" w:fill="40C1AC"/>
          </w:tcPr>
          <w:p w14:paraId="454D286A" w14:textId="209D38D3" w:rsidR="00A9602A" w:rsidRPr="00B85C5A" w:rsidRDefault="000C6EB3" w:rsidP="00A9602A">
            <w:pPr>
              <w:rPr>
                <w:rFonts w:asciiTheme="majorHAnsi" w:hAnsiTheme="majorHAnsi" w:cstheme="majorHAnsi"/>
                <w:bCs/>
                <w:color w:val="000000" w:themeColor="text1"/>
                <w:sz w:val="28"/>
              </w:rPr>
            </w:pPr>
            <w:r w:rsidRPr="00B85C5A">
              <w:rPr>
                <w:rFonts w:asciiTheme="majorHAnsi" w:hAnsiTheme="majorHAnsi" w:cstheme="majorHAnsi"/>
                <w:bCs/>
                <w:color w:val="000000" w:themeColor="text1"/>
                <w:sz w:val="28"/>
              </w:rPr>
              <w:t>Category</w:t>
            </w:r>
          </w:p>
        </w:tc>
        <w:tc>
          <w:tcPr>
            <w:tcW w:w="7371" w:type="dxa"/>
            <w:shd w:val="clear" w:color="auto" w:fill="40C1AC"/>
          </w:tcPr>
          <w:p w14:paraId="3C144206" w14:textId="77777777" w:rsidR="00A9602A" w:rsidRPr="00B85C5A" w:rsidRDefault="00A9602A" w:rsidP="00A9602A">
            <w:pPr>
              <w:rPr>
                <w:rFonts w:asciiTheme="majorHAnsi" w:hAnsiTheme="majorHAnsi" w:cstheme="majorHAnsi"/>
                <w:bCs/>
                <w:color w:val="000000" w:themeColor="text1"/>
                <w:sz w:val="28"/>
              </w:rPr>
            </w:pPr>
            <w:r w:rsidRPr="00B85C5A">
              <w:rPr>
                <w:rFonts w:asciiTheme="majorHAnsi" w:hAnsiTheme="majorHAnsi" w:cstheme="majorHAnsi"/>
                <w:bCs/>
                <w:color w:val="000000" w:themeColor="text1"/>
                <w:sz w:val="28"/>
              </w:rPr>
              <w:t>Explanation</w:t>
            </w:r>
          </w:p>
        </w:tc>
      </w:tr>
      <w:tr w:rsidR="00FB38F2" w:rsidRPr="00FB38F2" w14:paraId="68A9671F" w14:textId="77777777" w:rsidTr="6C61147E">
        <w:tc>
          <w:tcPr>
            <w:tcW w:w="2405" w:type="dxa"/>
          </w:tcPr>
          <w:p w14:paraId="4C958E73" w14:textId="7F7D1810" w:rsidR="00183C81" w:rsidRPr="00B85C5A" w:rsidRDefault="00183C81" w:rsidP="00BA4FDA">
            <w:pPr>
              <w:pStyle w:val="BodyText"/>
              <w:ind w:left="100"/>
              <w:jc w:val="center"/>
              <w:rPr>
                <w:color w:val="000000" w:themeColor="text1"/>
                <w:sz w:val="21"/>
                <w:szCs w:val="21"/>
              </w:rPr>
            </w:pPr>
            <w:r w:rsidRPr="00B85C5A">
              <w:rPr>
                <w:color w:val="000000" w:themeColor="text1"/>
                <w:sz w:val="21"/>
                <w:szCs w:val="21"/>
              </w:rPr>
              <w:t xml:space="preserve">Project contacts, relationships </w:t>
            </w:r>
          </w:p>
        </w:tc>
        <w:tc>
          <w:tcPr>
            <w:tcW w:w="7371" w:type="dxa"/>
            <w:shd w:val="clear" w:color="auto" w:fill="D8DCDB" w:themeFill="background2"/>
          </w:tcPr>
          <w:p w14:paraId="375FAEFF" w14:textId="7A187DAA" w:rsidR="00183C81" w:rsidRPr="00B85C5A" w:rsidRDefault="00183C81" w:rsidP="00183C81">
            <w:pPr>
              <w:rPr>
                <w:color w:val="000000" w:themeColor="text1"/>
                <w:sz w:val="21"/>
                <w:szCs w:val="21"/>
              </w:rPr>
            </w:pPr>
            <w:r w:rsidRPr="00B85C5A">
              <w:rPr>
                <w:color w:val="000000" w:themeColor="text1"/>
                <w:sz w:val="21"/>
                <w:szCs w:val="21"/>
              </w:rPr>
              <w:t>An updated table of relevant contacts, relationships and networks including:</w:t>
            </w:r>
          </w:p>
          <w:p w14:paraId="6A7CA163" w14:textId="77777777" w:rsidR="006C16E1" w:rsidRPr="00484F72" w:rsidRDefault="00183C81" w:rsidP="006D56EA">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A contr</w:t>
            </w:r>
            <w:r w:rsidR="00FB38F2">
              <w:rPr>
                <w:color w:val="000000" w:themeColor="text1"/>
                <w:sz w:val="21"/>
                <w:szCs w:val="21"/>
              </w:rPr>
              <w:t>a</w:t>
            </w:r>
            <w:r w:rsidRPr="00B85C5A">
              <w:rPr>
                <w:color w:val="000000" w:themeColor="text1"/>
                <w:sz w:val="21"/>
                <w:szCs w:val="21"/>
              </w:rPr>
              <w:t>ct register table detailing – name, affiliation, contact details, involvement in project, key interactions, status, relevant issues</w:t>
            </w:r>
            <w:r w:rsidR="006C16E1">
              <w:rPr>
                <w:color w:val="000000" w:themeColor="text1"/>
                <w:sz w:val="21"/>
                <w:szCs w:val="21"/>
              </w:rPr>
              <w:t>,</w:t>
            </w:r>
            <w:r w:rsidRPr="00B85C5A">
              <w:rPr>
                <w:color w:val="000000" w:themeColor="text1"/>
                <w:sz w:val="21"/>
                <w:szCs w:val="21"/>
              </w:rPr>
              <w:t xml:space="preserve"> and positions on issues </w:t>
            </w:r>
          </w:p>
          <w:p w14:paraId="531C0AD7" w14:textId="35EEFE42" w:rsidR="006C16E1" w:rsidRPr="00484F72" w:rsidRDefault="006C16E1" w:rsidP="006C16E1">
            <w:pPr>
              <w:pStyle w:val="ListParagraph"/>
              <w:numPr>
                <w:ilvl w:val="0"/>
                <w:numId w:val="14"/>
              </w:numPr>
              <w:suppressAutoHyphens w:val="0"/>
              <w:spacing w:before="0" w:after="0" w:line="240" w:lineRule="auto"/>
              <w:rPr>
                <w:color w:val="000000" w:themeColor="text1"/>
                <w:sz w:val="21"/>
                <w:szCs w:val="21"/>
              </w:rPr>
            </w:pPr>
            <w:r w:rsidRPr="00484F72">
              <w:rPr>
                <w:color w:val="000000" w:themeColor="text1"/>
                <w:sz w:val="21"/>
                <w:szCs w:val="21"/>
              </w:rPr>
              <w:t xml:space="preserve">Partner Government contacts, including those that facilitate terms under the bilateral MOU, such as VAT/GST refunds, visa, quarantine etc </w:t>
            </w:r>
          </w:p>
          <w:p w14:paraId="2086A660" w14:textId="77777777" w:rsidR="00183C81" w:rsidRPr="00B85C5A" w:rsidRDefault="00183C81" w:rsidP="00B85C5A">
            <w:pPr>
              <w:pStyle w:val="ListParagraph"/>
              <w:suppressAutoHyphens w:val="0"/>
              <w:spacing w:before="0" w:after="0" w:line="240" w:lineRule="auto"/>
              <w:ind w:left="360"/>
              <w:rPr>
                <w:color w:val="000000" w:themeColor="text1"/>
                <w:sz w:val="21"/>
                <w:szCs w:val="21"/>
              </w:rPr>
            </w:pPr>
          </w:p>
        </w:tc>
      </w:tr>
      <w:tr w:rsidR="00FB38F2" w:rsidRPr="00FB38F2" w14:paraId="63338099" w14:textId="77777777" w:rsidTr="6C61147E">
        <w:tc>
          <w:tcPr>
            <w:tcW w:w="2405" w:type="dxa"/>
          </w:tcPr>
          <w:p w14:paraId="4919D19C" w14:textId="3A4F578B" w:rsidR="00A9602A" w:rsidRPr="00B85C5A" w:rsidRDefault="00A9602A" w:rsidP="00813994">
            <w:pPr>
              <w:jc w:val="center"/>
              <w:rPr>
                <w:color w:val="000000" w:themeColor="text1"/>
                <w:sz w:val="21"/>
                <w:szCs w:val="21"/>
              </w:rPr>
            </w:pPr>
            <w:r w:rsidRPr="00B85C5A">
              <w:rPr>
                <w:color w:val="000000" w:themeColor="text1"/>
                <w:sz w:val="21"/>
                <w:szCs w:val="21"/>
              </w:rPr>
              <w:t>Summary of supplier contracts</w:t>
            </w:r>
            <w:r w:rsidR="00183C81" w:rsidRPr="00B85C5A">
              <w:rPr>
                <w:color w:val="000000" w:themeColor="text1"/>
                <w:sz w:val="21"/>
                <w:szCs w:val="21"/>
              </w:rPr>
              <w:t xml:space="preserve"> (any contract whether a procurement contract, grant or other)</w:t>
            </w:r>
          </w:p>
          <w:p w14:paraId="7E8B2AE1" w14:textId="77777777" w:rsidR="00A9602A" w:rsidRPr="00B85C5A" w:rsidRDefault="00A9602A" w:rsidP="00BA4FDA">
            <w:pPr>
              <w:jc w:val="center"/>
              <w:rPr>
                <w:rFonts w:asciiTheme="majorHAnsi" w:hAnsiTheme="majorHAnsi" w:cstheme="majorHAnsi"/>
                <w:color w:val="000000" w:themeColor="text1"/>
              </w:rPr>
            </w:pPr>
          </w:p>
        </w:tc>
        <w:tc>
          <w:tcPr>
            <w:tcW w:w="7371" w:type="dxa"/>
            <w:shd w:val="clear" w:color="auto" w:fill="D8DCDB" w:themeFill="background2"/>
          </w:tcPr>
          <w:p w14:paraId="3BF8F871" w14:textId="77777777" w:rsidR="00A9602A" w:rsidRPr="00B85C5A" w:rsidRDefault="00A9602A" w:rsidP="00813994">
            <w:pPr>
              <w:rPr>
                <w:color w:val="000000" w:themeColor="text1"/>
                <w:sz w:val="21"/>
                <w:szCs w:val="21"/>
              </w:rPr>
            </w:pPr>
            <w:r w:rsidRPr="00B85C5A">
              <w:rPr>
                <w:color w:val="000000" w:themeColor="text1"/>
                <w:sz w:val="21"/>
                <w:szCs w:val="21"/>
              </w:rPr>
              <w:t>An updated table of relevant supplier contracts including:</w:t>
            </w:r>
          </w:p>
          <w:p w14:paraId="595FE6E2" w14:textId="48097F1F" w:rsidR="00A9602A" w:rsidRPr="00B85C5A" w:rsidRDefault="00A9602A" w:rsidP="00813994">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A program contract/ subcontract register table of subcontracts detailing - content, contract value, dates, performance assessment, relevant issues.</w:t>
            </w:r>
          </w:p>
          <w:p w14:paraId="2F5EA300" w14:textId="24C4576E" w:rsidR="00F43221" w:rsidRPr="00B85C5A" w:rsidRDefault="00F43221" w:rsidP="00813994">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Subcontractor</w:t>
            </w:r>
            <w:r w:rsidR="005C1B85" w:rsidRPr="00B85C5A">
              <w:rPr>
                <w:color w:val="000000" w:themeColor="text1"/>
                <w:sz w:val="21"/>
                <w:szCs w:val="21"/>
              </w:rPr>
              <w:t xml:space="preserve"> closure process and timeframes</w:t>
            </w:r>
          </w:p>
          <w:p w14:paraId="4F295227" w14:textId="7E9F0D45" w:rsidR="00A9602A" w:rsidRPr="00B85C5A" w:rsidRDefault="00A9602A" w:rsidP="00813994">
            <w:pPr>
              <w:pStyle w:val="ListParagraph"/>
              <w:numPr>
                <w:ilvl w:val="0"/>
                <w:numId w:val="14"/>
              </w:numPr>
              <w:suppressAutoHyphens w:val="0"/>
              <w:spacing w:before="0" w:after="0" w:line="240" w:lineRule="auto"/>
              <w:rPr>
                <w:color w:val="000000" w:themeColor="text1"/>
                <w:sz w:val="21"/>
                <w:szCs w:val="21"/>
              </w:rPr>
            </w:pPr>
            <w:r w:rsidRPr="00B85C5A">
              <w:rPr>
                <w:color w:val="000000" w:themeColor="text1"/>
                <w:sz w:val="21"/>
                <w:szCs w:val="21"/>
              </w:rPr>
              <w:t>A completed table (checklist) which confirms status, completion and any supporting records relating to</w:t>
            </w:r>
            <w:r w:rsidR="00183C81" w:rsidRPr="00B85C5A">
              <w:rPr>
                <w:color w:val="000000" w:themeColor="text1"/>
                <w:sz w:val="21"/>
                <w:szCs w:val="21"/>
              </w:rPr>
              <w:t xml:space="preserve"> contracts that are ongoing including</w:t>
            </w:r>
            <w:r w:rsidRPr="00B85C5A">
              <w:rPr>
                <w:color w:val="000000" w:themeColor="text1"/>
                <w:sz w:val="21"/>
                <w:szCs w:val="21"/>
              </w:rPr>
              <w:t xml:space="preserve">: </w:t>
            </w:r>
          </w:p>
          <w:p w14:paraId="7F418B24" w14:textId="7E713607" w:rsidR="00A9602A" w:rsidRPr="00B85C5A" w:rsidRDefault="00A9602A" w:rsidP="00813994">
            <w:pPr>
              <w:pStyle w:val="ListParagraph"/>
              <w:numPr>
                <w:ilvl w:val="0"/>
                <w:numId w:val="15"/>
              </w:numPr>
              <w:suppressAutoHyphens w:val="0"/>
              <w:spacing w:before="0" w:after="0" w:line="240" w:lineRule="auto"/>
              <w:rPr>
                <w:color w:val="000000" w:themeColor="text1"/>
                <w:sz w:val="21"/>
                <w:szCs w:val="21"/>
              </w:rPr>
            </w:pPr>
            <w:r w:rsidRPr="00B85C5A">
              <w:rPr>
                <w:color w:val="000000" w:themeColor="text1"/>
                <w:sz w:val="21"/>
                <w:szCs w:val="21"/>
              </w:rPr>
              <w:t>Approach to Market documentation</w:t>
            </w:r>
          </w:p>
          <w:p w14:paraId="1E82CDDB" w14:textId="77777777" w:rsidR="00183C81" w:rsidRPr="00B85C5A" w:rsidRDefault="00A9602A" w:rsidP="00813994">
            <w:pPr>
              <w:pStyle w:val="ListParagraph"/>
              <w:numPr>
                <w:ilvl w:val="0"/>
                <w:numId w:val="15"/>
              </w:numPr>
              <w:suppressAutoHyphens w:val="0"/>
              <w:spacing w:before="0" w:after="0" w:line="240" w:lineRule="auto"/>
              <w:rPr>
                <w:color w:val="000000" w:themeColor="text1"/>
                <w:sz w:val="21"/>
                <w:szCs w:val="21"/>
              </w:rPr>
            </w:pPr>
            <w:r w:rsidRPr="00B85C5A">
              <w:rPr>
                <w:color w:val="000000" w:themeColor="text1"/>
                <w:sz w:val="21"/>
                <w:szCs w:val="21"/>
              </w:rPr>
              <w:t>Evaluation documentation</w:t>
            </w:r>
          </w:p>
          <w:p w14:paraId="1083D047" w14:textId="5832A400" w:rsidR="00A9602A" w:rsidRPr="00B85C5A" w:rsidRDefault="00183C81" w:rsidP="00813994">
            <w:pPr>
              <w:pStyle w:val="ListParagraph"/>
              <w:numPr>
                <w:ilvl w:val="0"/>
                <w:numId w:val="15"/>
              </w:numPr>
              <w:suppressAutoHyphens w:val="0"/>
              <w:spacing w:before="0" w:after="0" w:line="240" w:lineRule="auto"/>
              <w:rPr>
                <w:color w:val="000000" w:themeColor="text1"/>
                <w:sz w:val="21"/>
                <w:szCs w:val="21"/>
              </w:rPr>
            </w:pPr>
            <w:r w:rsidRPr="00B85C5A">
              <w:rPr>
                <w:color w:val="000000" w:themeColor="text1"/>
                <w:sz w:val="21"/>
                <w:szCs w:val="21"/>
              </w:rPr>
              <w:t xml:space="preserve">Contract deliverables and performance documents </w:t>
            </w:r>
            <w:r w:rsidR="00A9602A" w:rsidRPr="00B85C5A">
              <w:rPr>
                <w:color w:val="000000" w:themeColor="text1"/>
                <w:sz w:val="21"/>
                <w:szCs w:val="21"/>
                <w:vertAlign w:val="superscript"/>
              </w:rPr>
              <w:footnoteReference w:id="3"/>
            </w:r>
          </w:p>
          <w:p w14:paraId="2782650C" w14:textId="77777777" w:rsidR="00183C81" w:rsidRPr="00B85C5A" w:rsidRDefault="00183C81" w:rsidP="00183C81">
            <w:pPr>
              <w:suppressAutoHyphens w:val="0"/>
              <w:spacing w:before="0" w:after="0" w:line="240" w:lineRule="auto"/>
              <w:rPr>
                <w:color w:val="000000" w:themeColor="text1"/>
                <w:sz w:val="21"/>
                <w:szCs w:val="21"/>
              </w:rPr>
            </w:pPr>
          </w:p>
          <w:p w14:paraId="3B2A159B" w14:textId="29CA7EC6" w:rsidR="00B15739" w:rsidRPr="00B85C5A" w:rsidRDefault="00183C81" w:rsidP="00183C81">
            <w:pPr>
              <w:suppressAutoHyphens w:val="0"/>
              <w:spacing w:before="0" w:after="0" w:line="240" w:lineRule="auto"/>
              <w:rPr>
                <w:color w:val="000000" w:themeColor="text1"/>
                <w:sz w:val="21"/>
                <w:szCs w:val="21"/>
              </w:rPr>
            </w:pPr>
            <w:r w:rsidRPr="00B85C5A">
              <w:rPr>
                <w:color w:val="000000" w:themeColor="text1"/>
                <w:sz w:val="21"/>
                <w:szCs w:val="21"/>
              </w:rPr>
              <w:t xml:space="preserve">The table must clearly indicate what contracts are expected to be continued either through the current </w:t>
            </w:r>
            <w:r w:rsidR="006B4718" w:rsidRPr="00B85C5A">
              <w:rPr>
                <w:color w:val="000000" w:themeColor="text1"/>
                <w:sz w:val="21"/>
                <w:szCs w:val="21"/>
              </w:rPr>
              <w:t>(sub)</w:t>
            </w:r>
            <w:r w:rsidRPr="00B85C5A">
              <w:rPr>
                <w:color w:val="000000" w:themeColor="text1"/>
                <w:sz w:val="21"/>
                <w:szCs w:val="21"/>
              </w:rPr>
              <w:t xml:space="preserve">contract or subsequent phases to that contract (in the </w:t>
            </w:r>
            <w:r w:rsidRPr="00B85C5A">
              <w:rPr>
                <w:color w:val="000000" w:themeColor="text1"/>
                <w:sz w:val="21"/>
                <w:szCs w:val="21"/>
              </w:rPr>
              <w:lastRenderedPageBreak/>
              <w:t xml:space="preserve">latter case why it is thought the contract would have more phases). Specifically, contracts that are proposed to be </w:t>
            </w:r>
            <w:r w:rsidRPr="00B85C5A">
              <w:rPr>
                <w:i/>
                <w:iCs/>
                <w:color w:val="000000" w:themeColor="text1"/>
                <w:sz w:val="21"/>
                <w:szCs w:val="21"/>
              </w:rPr>
              <w:t>novated</w:t>
            </w:r>
            <w:r w:rsidRPr="00B85C5A">
              <w:rPr>
                <w:color w:val="000000" w:themeColor="text1"/>
                <w:sz w:val="21"/>
                <w:szCs w:val="21"/>
              </w:rPr>
              <w:t xml:space="preserve"> must be clearly identified. </w:t>
            </w:r>
          </w:p>
          <w:p w14:paraId="2A52E268" w14:textId="77777777" w:rsidR="00B15739" w:rsidRPr="00B85C5A" w:rsidRDefault="00B15739" w:rsidP="00183C81">
            <w:pPr>
              <w:suppressAutoHyphens w:val="0"/>
              <w:spacing w:before="0" w:after="0" w:line="240" w:lineRule="auto"/>
              <w:rPr>
                <w:color w:val="000000" w:themeColor="text1"/>
                <w:sz w:val="21"/>
                <w:szCs w:val="21"/>
              </w:rPr>
            </w:pPr>
          </w:p>
          <w:p w14:paraId="00E8390B" w14:textId="30E8B42E" w:rsidR="00B15739" w:rsidRPr="00B85C5A" w:rsidRDefault="00B15739" w:rsidP="00183C81">
            <w:pPr>
              <w:suppressAutoHyphens w:val="0"/>
              <w:spacing w:before="0" w:after="0" w:line="240" w:lineRule="auto"/>
              <w:rPr>
                <w:color w:val="000000" w:themeColor="text1"/>
                <w:sz w:val="21"/>
                <w:szCs w:val="21"/>
              </w:rPr>
            </w:pPr>
            <w:r w:rsidRPr="00B85C5A">
              <w:rPr>
                <w:color w:val="000000" w:themeColor="text1"/>
                <w:sz w:val="21"/>
                <w:szCs w:val="21"/>
              </w:rPr>
              <w:t xml:space="preserve">A table </w:t>
            </w:r>
            <w:r w:rsidR="00EC0472" w:rsidRPr="00B85C5A">
              <w:rPr>
                <w:color w:val="000000" w:themeColor="text1"/>
                <w:sz w:val="21"/>
                <w:szCs w:val="21"/>
              </w:rPr>
              <w:t>like</w:t>
            </w:r>
            <w:r w:rsidRPr="00B85C5A">
              <w:rPr>
                <w:color w:val="000000" w:themeColor="text1"/>
                <w:sz w:val="21"/>
                <w:szCs w:val="21"/>
              </w:rPr>
              <w:t xml:space="preserve"> that in PERFORMS with additional detail as required is preferred. </w:t>
            </w:r>
          </w:p>
          <w:p w14:paraId="2BD9F25C" w14:textId="77777777" w:rsidR="00A9602A" w:rsidRPr="00B85C5A" w:rsidRDefault="00A9602A" w:rsidP="00B85C5A">
            <w:pPr>
              <w:suppressAutoHyphens w:val="0"/>
              <w:spacing w:before="0" w:after="0" w:line="240" w:lineRule="auto"/>
              <w:rPr>
                <w:color w:val="000000" w:themeColor="text1"/>
                <w:sz w:val="21"/>
                <w:szCs w:val="21"/>
              </w:rPr>
            </w:pPr>
          </w:p>
        </w:tc>
      </w:tr>
      <w:tr w:rsidR="00FB38F2" w:rsidRPr="00FB38F2" w14:paraId="03137899" w14:textId="1843AB7D" w:rsidTr="6C61147E">
        <w:tc>
          <w:tcPr>
            <w:tcW w:w="2405" w:type="dxa"/>
          </w:tcPr>
          <w:p w14:paraId="59F1B83B" w14:textId="2698BBA3" w:rsidR="00BA4FDA" w:rsidRPr="00EC0472" w:rsidRDefault="00BA4FDA" w:rsidP="00BA4FDA">
            <w:pPr>
              <w:pStyle w:val="BodyText"/>
              <w:ind w:left="100"/>
              <w:jc w:val="center"/>
              <w:rPr>
                <w:rFonts w:asciiTheme="majorHAnsi" w:hAnsiTheme="majorHAnsi" w:cstheme="majorHAnsi"/>
                <w:color w:val="000000" w:themeColor="text1"/>
              </w:rPr>
            </w:pPr>
          </w:p>
          <w:p w14:paraId="07728200" w14:textId="4C631A54" w:rsidR="00BA4FDA" w:rsidRPr="00EC0472" w:rsidRDefault="00BA4FDA" w:rsidP="00BA4FDA">
            <w:pPr>
              <w:pStyle w:val="BodyText"/>
              <w:ind w:left="100"/>
              <w:jc w:val="center"/>
              <w:rPr>
                <w:rFonts w:asciiTheme="majorHAnsi" w:hAnsiTheme="majorHAnsi" w:cstheme="majorHAnsi"/>
                <w:color w:val="000000" w:themeColor="text1"/>
              </w:rPr>
            </w:pPr>
          </w:p>
          <w:p w14:paraId="31E5765B" w14:textId="10F5F89D" w:rsidR="00BA4FDA" w:rsidRPr="00EC0472" w:rsidRDefault="00BA4FDA" w:rsidP="00BA4FDA">
            <w:pPr>
              <w:pStyle w:val="BodyText"/>
              <w:ind w:left="100"/>
              <w:jc w:val="center"/>
              <w:rPr>
                <w:rFonts w:asciiTheme="majorHAnsi" w:hAnsiTheme="majorHAnsi" w:cstheme="majorHAnsi"/>
                <w:color w:val="000000" w:themeColor="text1"/>
              </w:rPr>
            </w:pPr>
          </w:p>
          <w:p w14:paraId="49D94ADE" w14:textId="54370E73" w:rsidR="00A9602A" w:rsidRPr="00EC0472" w:rsidRDefault="00653AD6" w:rsidP="005278DB">
            <w:pPr>
              <w:jc w:val="center"/>
              <w:rPr>
                <w:color w:val="000000" w:themeColor="text1"/>
                <w:sz w:val="21"/>
                <w:szCs w:val="21"/>
              </w:rPr>
            </w:pPr>
            <w:r>
              <w:rPr>
                <w:color w:val="000000" w:themeColor="text1"/>
                <w:sz w:val="21"/>
                <w:szCs w:val="21"/>
              </w:rPr>
              <w:t>Supply Chain (sub</w:t>
            </w:r>
            <w:r w:rsidR="00A9602A" w:rsidRPr="00EC0472">
              <w:rPr>
                <w:color w:val="000000" w:themeColor="text1"/>
                <w:sz w:val="21"/>
                <w:szCs w:val="21"/>
              </w:rPr>
              <w:t>contracts</w:t>
            </w:r>
            <w:r>
              <w:rPr>
                <w:color w:val="000000" w:themeColor="text1"/>
                <w:sz w:val="21"/>
                <w:szCs w:val="21"/>
              </w:rPr>
              <w:t>, includes ‘grants’)</w:t>
            </w:r>
          </w:p>
          <w:p w14:paraId="301A05F5" w14:textId="16B6F677" w:rsidR="00A9602A" w:rsidRPr="00EC0472" w:rsidRDefault="00A9602A" w:rsidP="00BA4FDA">
            <w:pPr>
              <w:jc w:val="center"/>
              <w:rPr>
                <w:rFonts w:asciiTheme="majorHAnsi" w:hAnsiTheme="majorHAnsi" w:cstheme="majorHAnsi"/>
                <w:color w:val="000000" w:themeColor="text1"/>
              </w:rPr>
            </w:pPr>
          </w:p>
        </w:tc>
        <w:tc>
          <w:tcPr>
            <w:tcW w:w="7371" w:type="dxa"/>
            <w:shd w:val="clear" w:color="auto" w:fill="D8DCDB" w:themeFill="background2"/>
          </w:tcPr>
          <w:p w14:paraId="716363A3" w14:textId="22202C57" w:rsidR="00A9602A" w:rsidRPr="00EC0472" w:rsidRDefault="00A9602A" w:rsidP="00813994">
            <w:pPr>
              <w:rPr>
                <w:color w:val="000000" w:themeColor="text1"/>
                <w:sz w:val="21"/>
                <w:szCs w:val="21"/>
              </w:rPr>
            </w:pPr>
            <w:r w:rsidRPr="00EC0472">
              <w:rPr>
                <w:color w:val="000000" w:themeColor="text1"/>
                <w:sz w:val="21"/>
                <w:szCs w:val="21"/>
              </w:rPr>
              <w:t>An updated list of relevant supplier contracts including</w:t>
            </w:r>
            <w:r w:rsidR="000C6EB3" w:rsidRPr="00EC0472">
              <w:rPr>
                <w:color w:val="000000" w:themeColor="text1"/>
                <w:sz w:val="21"/>
                <w:szCs w:val="21"/>
              </w:rPr>
              <w:t xml:space="preserve"> subcontracts</w:t>
            </w:r>
            <w:r w:rsidR="004A39FE">
              <w:rPr>
                <w:color w:val="000000" w:themeColor="text1"/>
                <w:sz w:val="21"/>
                <w:szCs w:val="21"/>
              </w:rPr>
              <w:t xml:space="preserve">, </w:t>
            </w:r>
            <w:r w:rsidR="000C6EB3" w:rsidRPr="00EC0472">
              <w:rPr>
                <w:color w:val="000000" w:themeColor="text1"/>
                <w:sz w:val="21"/>
                <w:szCs w:val="21"/>
              </w:rPr>
              <w:t xml:space="preserve">grants, </w:t>
            </w:r>
            <w:proofErr w:type="gramStart"/>
            <w:r w:rsidR="000C6EB3" w:rsidRPr="00EC0472">
              <w:rPr>
                <w:color w:val="000000" w:themeColor="text1"/>
                <w:sz w:val="21"/>
                <w:szCs w:val="21"/>
              </w:rPr>
              <w:t>MOUs</w:t>
            </w:r>
            <w:proofErr w:type="gramEnd"/>
            <w:r w:rsidR="000C6EB3" w:rsidRPr="00EC0472">
              <w:rPr>
                <w:color w:val="000000" w:themeColor="text1"/>
                <w:sz w:val="21"/>
                <w:szCs w:val="21"/>
              </w:rPr>
              <w:t xml:space="preserve"> and partnership documentation</w:t>
            </w:r>
            <w:r w:rsidRPr="00EC0472">
              <w:rPr>
                <w:color w:val="000000" w:themeColor="text1"/>
                <w:sz w:val="21"/>
                <w:szCs w:val="21"/>
              </w:rPr>
              <w:t>:</w:t>
            </w:r>
          </w:p>
          <w:p w14:paraId="0CF26A0A" w14:textId="774A1622" w:rsidR="00A9602A" w:rsidRPr="00EC0472" w:rsidRDefault="00A9602A"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Approach to Market documentation (where competitive) or DFAT Direction (when non-competitive)</w:t>
            </w:r>
          </w:p>
          <w:p w14:paraId="4ADAC4FE" w14:textId="6449A75E" w:rsidR="00A9602A" w:rsidRPr="00EC0472" w:rsidRDefault="00A9602A"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Evaluation documentation (where competitive)</w:t>
            </w:r>
          </w:p>
          <w:p w14:paraId="45C4296D" w14:textId="2D690CFE" w:rsidR="00A9602A" w:rsidRPr="00EC0472" w:rsidRDefault="00A9602A"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Contracts/ variations</w:t>
            </w:r>
          </w:p>
          <w:p w14:paraId="11761CAF" w14:textId="21B57705" w:rsidR="00A9602A" w:rsidRPr="00EC0472" w:rsidRDefault="00A9602A"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Reports/ Deliverables</w:t>
            </w:r>
          </w:p>
          <w:p w14:paraId="7B371021" w14:textId="2925909E" w:rsidR="00A9602A" w:rsidRPr="00EC0472" w:rsidRDefault="00A9602A"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Updated grant close-out Form</w:t>
            </w:r>
          </w:p>
          <w:p w14:paraId="0A72C8CA" w14:textId="58286AE6" w:rsidR="00A9602A" w:rsidRPr="00EC0472" w:rsidRDefault="00A9602A"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Finalisation of program grant register</w:t>
            </w:r>
          </w:p>
          <w:p w14:paraId="4F574B3D" w14:textId="6A551BA8" w:rsidR="00D70873" w:rsidRPr="00EC0472" w:rsidRDefault="00D70873" w:rsidP="00813994">
            <w:pPr>
              <w:pStyle w:val="ListParagraph"/>
              <w:numPr>
                <w:ilvl w:val="0"/>
                <w:numId w:val="14"/>
              </w:numPr>
              <w:suppressAutoHyphens w:val="0"/>
              <w:spacing w:after="0" w:line="240" w:lineRule="auto"/>
              <w:rPr>
                <w:color w:val="000000" w:themeColor="text1"/>
                <w:sz w:val="21"/>
                <w:szCs w:val="21"/>
              </w:rPr>
            </w:pPr>
            <w:r w:rsidRPr="00EC0472">
              <w:rPr>
                <w:color w:val="000000" w:themeColor="text1"/>
                <w:sz w:val="21"/>
                <w:szCs w:val="21"/>
              </w:rPr>
              <w:t xml:space="preserve">List of </w:t>
            </w:r>
            <w:r w:rsidR="00CD02BC">
              <w:rPr>
                <w:color w:val="000000" w:themeColor="text1"/>
                <w:sz w:val="21"/>
                <w:szCs w:val="21"/>
              </w:rPr>
              <w:t>grants and contracts proposed to continue</w:t>
            </w:r>
          </w:p>
          <w:p w14:paraId="708D982A" w14:textId="271CD5D2" w:rsidR="00A9602A" w:rsidRPr="00EC0472" w:rsidRDefault="00A9602A" w:rsidP="00813994">
            <w:pPr>
              <w:pStyle w:val="ListParagraph"/>
              <w:ind w:left="360"/>
              <w:jc w:val="center"/>
              <w:rPr>
                <w:color w:val="000000" w:themeColor="text1"/>
                <w:sz w:val="21"/>
                <w:szCs w:val="21"/>
              </w:rPr>
            </w:pPr>
          </w:p>
        </w:tc>
      </w:tr>
      <w:tr w:rsidR="00FB38F2" w:rsidRPr="00FB38F2" w14:paraId="09ECEF33" w14:textId="77777777" w:rsidTr="6C61147E">
        <w:tc>
          <w:tcPr>
            <w:tcW w:w="2405" w:type="dxa"/>
          </w:tcPr>
          <w:p w14:paraId="533230AB" w14:textId="7404C05A" w:rsidR="005C2337" w:rsidRPr="008A20BE" w:rsidRDefault="005C2337" w:rsidP="004D066E">
            <w:pPr>
              <w:jc w:val="center"/>
              <w:rPr>
                <w:color w:val="000000" w:themeColor="text1"/>
                <w:sz w:val="21"/>
                <w:szCs w:val="21"/>
              </w:rPr>
            </w:pPr>
          </w:p>
          <w:p w14:paraId="4781E132" w14:textId="77777777" w:rsidR="005C2337" w:rsidRPr="008A20BE" w:rsidRDefault="005C2337" w:rsidP="004D066E">
            <w:pPr>
              <w:jc w:val="center"/>
              <w:rPr>
                <w:color w:val="000000" w:themeColor="text1"/>
                <w:sz w:val="21"/>
                <w:szCs w:val="21"/>
              </w:rPr>
            </w:pPr>
            <w:r w:rsidRPr="008A20BE">
              <w:rPr>
                <w:color w:val="000000" w:themeColor="text1"/>
                <w:sz w:val="21"/>
                <w:szCs w:val="21"/>
              </w:rPr>
              <w:t>Personnel</w:t>
            </w:r>
          </w:p>
          <w:p w14:paraId="5CA9032B" w14:textId="77777777" w:rsidR="005C2337" w:rsidRPr="008A20BE" w:rsidRDefault="005C2337" w:rsidP="004D066E">
            <w:pPr>
              <w:jc w:val="center"/>
              <w:rPr>
                <w:color w:val="000000" w:themeColor="text1"/>
                <w:sz w:val="21"/>
                <w:szCs w:val="21"/>
              </w:rPr>
            </w:pPr>
          </w:p>
        </w:tc>
        <w:tc>
          <w:tcPr>
            <w:tcW w:w="7371" w:type="dxa"/>
            <w:shd w:val="clear" w:color="auto" w:fill="D8DCDB" w:themeFill="background2"/>
          </w:tcPr>
          <w:p w14:paraId="5AEB77D0" w14:textId="5E12D8CA" w:rsidR="005C2337" w:rsidRPr="00CD02BC" w:rsidRDefault="005C2337" w:rsidP="008A20BE">
            <w:pPr>
              <w:suppressAutoHyphens w:val="0"/>
              <w:spacing w:before="0" w:after="0" w:line="240" w:lineRule="auto"/>
              <w:rPr>
                <w:color w:val="000000" w:themeColor="text1"/>
              </w:rPr>
            </w:pPr>
            <w:r w:rsidRPr="00CD02BC">
              <w:rPr>
                <w:color w:val="000000" w:themeColor="text1"/>
              </w:rPr>
              <w:t>Key personnel information including</w:t>
            </w:r>
            <w:r w:rsidR="00B15739" w:rsidRPr="00CD02BC">
              <w:rPr>
                <w:color w:val="000000" w:themeColor="text1"/>
              </w:rPr>
              <w:t xml:space="preserve"> (a table </w:t>
            </w:r>
            <w:r w:rsidR="00EC0472" w:rsidRPr="00CD02BC">
              <w:rPr>
                <w:color w:val="000000" w:themeColor="text1"/>
              </w:rPr>
              <w:t>like</w:t>
            </w:r>
            <w:r w:rsidR="00B15739" w:rsidRPr="00CD02BC">
              <w:rPr>
                <w:color w:val="000000" w:themeColor="text1"/>
              </w:rPr>
              <w:t xml:space="preserve"> that in PERFORMS with additional detail as required)</w:t>
            </w:r>
            <w:r w:rsidRPr="00CD02BC">
              <w:rPr>
                <w:color w:val="000000" w:themeColor="text1"/>
              </w:rPr>
              <w:t>:</w:t>
            </w:r>
          </w:p>
          <w:p w14:paraId="08C3DC5D" w14:textId="756716B4" w:rsidR="005C2337" w:rsidRPr="00CD02BC" w:rsidRDefault="005C2337" w:rsidP="004D066E">
            <w:pPr>
              <w:pStyle w:val="ListParagraph"/>
              <w:numPr>
                <w:ilvl w:val="0"/>
                <w:numId w:val="14"/>
              </w:numPr>
              <w:suppressAutoHyphens w:val="0"/>
              <w:spacing w:before="0" w:after="0" w:line="240" w:lineRule="auto"/>
              <w:rPr>
                <w:color w:val="000000" w:themeColor="text1"/>
              </w:rPr>
            </w:pPr>
            <w:r w:rsidRPr="00CD02BC">
              <w:rPr>
                <w:color w:val="000000" w:themeColor="text1"/>
              </w:rPr>
              <w:t>Cases: Code of conduct breaches, complaints</w:t>
            </w:r>
            <w:r w:rsidR="00CD02BC">
              <w:rPr>
                <w:color w:val="000000" w:themeColor="text1"/>
              </w:rPr>
              <w:t>,</w:t>
            </w:r>
            <w:r w:rsidRPr="00CD02BC">
              <w:rPr>
                <w:color w:val="000000" w:themeColor="text1"/>
              </w:rPr>
              <w:t xml:space="preserve"> or investigations</w:t>
            </w:r>
          </w:p>
          <w:p w14:paraId="5FA24A95" w14:textId="77777777" w:rsidR="005E51A3" w:rsidRPr="00CD02BC" w:rsidRDefault="005E51A3" w:rsidP="005E51A3">
            <w:pPr>
              <w:pStyle w:val="ListParagraph"/>
              <w:numPr>
                <w:ilvl w:val="0"/>
                <w:numId w:val="14"/>
              </w:numPr>
              <w:suppressAutoHyphens w:val="0"/>
              <w:spacing w:before="0" w:after="0" w:line="240" w:lineRule="auto"/>
              <w:rPr>
                <w:color w:val="000000" w:themeColor="text1"/>
              </w:rPr>
            </w:pPr>
            <w:r w:rsidRPr="00CD02BC">
              <w:rPr>
                <w:color w:val="000000" w:themeColor="text1"/>
              </w:rPr>
              <w:t>A summary of compliance with contract provisions relevant to advisor engagement (as outlined in the head contract)</w:t>
            </w:r>
          </w:p>
          <w:p w14:paraId="30484596" w14:textId="70140DB8" w:rsidR="005E51A3" w:rsidRPr="00CD02BC" w:rsidRDefault="005E51A3" w:rsidP="005E51A3">
            <w:pPr>
              <w:pStyle w:val="ListParagraph"/>
              <w:numPr>
                <w:ilvl w:val="0"/>
                <w:numId w:val="14"/>
              </w:numPr>
              <w:suppressAutoHyphens w:val="0"/>
              <w:spacing w:before="0" w:after="0" w:line="240" w:lineRule="auto"/>
              <w:rPr>
                <w:color w:val="000000" w:themeColor="text1"/>
              </w:rPr>
            </w:pPr>
            <w:r w:rsidRPr="00CD02BC">
              <w:rPr>
                <w:color w:val="000000" w:themeColor="text1"/>
              </w:rPr>
              <w:t>A summary table of local and international contracts including engagement/ mobilisation, ARF/non ARF rates, cessation, timesheet completion, demobilisation, adviser performance assessments</w:t>
            </w:r>
          </w:p>
          <w:p w14:paraId="4C8C60D7" w14:textId="539F3DB3" w:rsidR="006B4718" w:rsidRPr="00CD02BC" w:rsidRDefault="006B4718" w:rsidP="006B4718">
            <w:pPr>
              <w:rPr>
                <w:color w:val="000000" w:themeColor="text1"/>
              </w:rPr>
            </w:pPr>
            <w:r w:rsidRPr="00CD02BC">
              <w:rPr>
                <w:color w:val="000000" w:themeColor="text1"/>
              </w:rPr>
              <w:t xml:space="preserve">The table must clearly indicate what contracts are expected to be continued either through the current (personnel) contract or subsequent phases to that contract (in the latter case why it is thought the contract would have more phases). Specifically, contracts that are proposed to be </w:t>
            </w:r>
            <w:r w:rsidR="00EC0472" w:rsidRPr="00CD02BC">
              <w:rPr>
                <w:color w:val="000000" w:themeColor="text1"/>
              </w:rPr>
              <w:t>continued</w:t>
            </w:r>
            <w:r w:rsidRPr="00CD02BC">
              <w:rPr>
                <w:color w:val="000000" w:themeColor="text1"/>
              </w:rPr>
              <w:t xml:space="preserve"> must be clearly identified</w:t>
            </w:r>
            <w:r w:rsidR="00EC0472" w:rsidRPr="00CD02BC">
              <w:rPr>
                <w:color w:val="000000" w:themeColor="text1"/>
              </w:rPr>
              <w:t xml:space="preserve"> and include the following:</w:t>
            </w:r>
          </w:p>
          <w:p w14:paraId="0985435E" w14:textId="5977EAB4" w:rsidR="00EC0472" w:rsidRPr="00653AD6" w:rsidRDefault="00EC0472" w:rsidP="00653AD6">
            <w:pPr>
              <w:pStyle w:val="ListParagraph"/>
              <w:numPr>
                <w:ilvl w:val="0"/>
                <w:numId w:val="14"/>
              </w:numPr>
              <w:suppressAutoHyphens w:val="0"/>
              <w:spacing w:before="0" w:after="0" w:line="240" w:lineRule="auto"/>
              <w:rPr>
                <w:color w:val="000000" w:themeColor="text1"/>
              </w:rPr>
            </w:pPr>
            <w:r w:rsidRPr="00653AD6">
              <w:rPr>
                <w:color w:val="000000" w:themeColor="text1"/>
              </w:rPr>
              <w:t xml:space="preserve">Liabilities under existing personnel contracts e.g., annual leave </w:t>
            </w:r>
          </w:p>
          <w:p w14:paraId="587620C6" w14:textId="3287AC65" w:rsidR="00EC0472" w:rsidRPr="00653AD6" w:rsidRDefault="00EC0472" w:rsidP="00653AD6">
            <w:pPr>
              <w:pStyle w:val="ListParagraph"/>
              <w:numPr>
                <w:ilvl w:val="0"/>
                <w:numId w:val="14"/>
              </w:numPr>
              <w:suppressAutoHyphens w:val="0"/>
              <w:spacing w:before="0" w:after="0" w:line="240" w:lineRule="auto"/>
              <w:rPr>
                <w:color w:val="000000" w:themeColor="text1"/>
              </w:rPr>
            </w:pPr>
            <w:r w:rsidRPr="00653AD6">
              <w:rPr>
                <w:color w:val="000000" w:themeColor="text1"/>
              </w:rPr>
              <w:t xml:space="preserve">Plan to disburse liabilities prior to end of contract (e.g., annual leave plans) </w:t>
            </w:r>
          </w:p>
          <w:p w14:paraId="6DEDD2C4" w14:textId="77777777" w:rsidR="00F943FD" w:rsidRPr="00653AD6" w:rsidRDefault="00EC0472" w:rsidP="00653AD6">
            <w:pPr>
              <w:pStyle w:val="ListParagraph"/>
              <w:numPr>
                <w:ilvl w:val="0"/>
                <w:numId w:val="14"/>
              </w:numPr>
              <w:suppressAutoHyphens w:val="0"/>
              <w:spacing w:before="0" w:after="0" w:line="240" w:lineRule="auto"/>
              <w:rPr>
                <w:color w:val="000000" w:themeColor="text1"/>
              </w:rPr>
            </w:pPr>
            <w:r w:rsidRPr="00653AD6">
              <w:rPr>
                <w:color w:val="000000" w:themeColor="text1"/>
              </w:rPr>
              <w:t>method of recruitment for position (limited, sole source, open)</w:t>
            </w:r>
          </w:p>
          <w:p w14:paraId="5CE9A1B1" w14:textId="3EB98345" w:rsidR="006B4718" w:rsidRPr="004D145A" w:rsidRDefault="00EC0472" w:rsidP="00653AD6">
            <w:pPr>
              <w:pStyle w:val="ListParagraph"/>
              <w:numPr>
                <w:ilvl w:val="0"/>
                <w:numId w:val="14"/>
              </w:numPr>
              <w:suppressAutoHyphens w:val="0"/>
              <w:spacing w:before="0" w:after="0" w:line="240" w:lineRule="auto"/>
              <w:rPr>
                <w:color w:val="000000" w:themeColor="text1"/>
                <w:sz w:val="21"/>
                <w:szCs w:val="21"/>
              </w:rPr>
            </w:pPr>
            <w:r w:rsidRPr="00653AD6">
              <w:rPr>
                <w:color w:val="000000" w:themeColor="text1"/>
              </w:rPr>
              <w:t>advertised period for personnel position if limited/open (to inform decisions regarding extensions or issuing of new contracts for the next phase)</w:t>
            </w:r>
          </w:p>
        </w:tc>
      </w:tr>
      <w:tr w:rsidR="00FB38F2" w:rsidRPr="00FB38F2" w14:paraId="423D9E9C" w14:textId="77777777" w:rsidTr="6C61147E">
        <w:tc>
          <w:tcPr>
            <w:tcW w:w="2405" w:type="dxa"/>
          </w:tcPr>
          <w:p w14:paraId="0D451399" w14:textId="596EB97B" w:rsidR="00C86CB6" w:rsidRPr="008A20BE" w:rsidRDefault="00C86CB6" w:rsidP="00EB1A2E">
            <w:pPr>
              <w:jc w:val="center"/>
              <w:rPr>
                <w:color w:val="000000" w:themeColor="text1"/>
                <w:sz w:val="21"/>
                <w:szCs w:val="21"/>
              </w:rPr>
            </w:pPr>
            <w:r w:rsidRPr="008A20BE">
              <w:rPr>
                <w:color w:val="000000" w:themeColor="text1"/>
                <w:sz w:val="21"/>
                <w:szCs w:val="21"/>
              </w:rPr>
              <w:t>Budget and Finance</w:t>
            </w:r>
          </w:p>
          <w:p w14:paraId="2E0D8271" w14:textId="77777777" w:rsidR="00C86CB6" w:rsidRPr="008A20BE" w:rsidRDefault="00C86CB6" w:rsidP="00EB1A2E">
            <w:pPr>
              <w:jc w:val="center"/>
              <w:rPr>
                <w:color w:val="000000" w:themeColor="text1"/>
                <w:sz w:val="21"/>
                <w:szCs w:val="21"/>
              </w:rPr>
            </w:pPr>
          </w:p>
        </w:tc>
        <w:tc>
          <w:tcPr>
            <w:tcW w:w="7371" w:type="dxa"/>
            <w:shd w:val="clear" w:color="auto" w:fill="D8DCDB" w:themeFill="background2"/>
          </w:tcPr>
          <w:p w14:paraId="5751E2D2" w14:textId="17A27226" w:rsidR="00C86CB6" w:rsidRPr="008A20BE" w:rsidRDefault="005E51A3" w:rsidP="00EB1A2E">
            <w:pPr>
              <w:widowControl w:val="0"/>
              <w:tabs>
                <w:tab w:val="left" w:pos="1180"/>
                <w:tab w:val="left" w:pos="1181"/>
              </w:tabs>
              <w:autoSpaceDE w:val="0"/>
              <w:autoSpaceDN w:val="0"/>
              <w:spacing w:before="1"/>
              <w:rPr>
                <w:color w:val="000000" w:themeColor="text1"/>
                <w:sz w:val="21"/>
                <w:szCs w:val="21"/>
              </w:rPr>
            </w:pPr>
            <w:r w:rsidRPr="008A20BE">
              <w:rPr>
                <w:color w:val="000000" w:themeColor="text1"/>
                <w:sz w:val="21"/>
                <w:szCs w:val="21"/>
              </w:rPr>
              <w:t xml:space="preserve">A table </w:t>
            </w:r>
            <w:r w:rsidR="00EC0472" w:rsidRPr="008A20BE">
              <w:rPr>
                <w:color w:val="000000" w:themeColor="text1"/>
                <w:sz w:val="21"/>
                <w:szCs w:val="21"/>
              </w:rPr>
              <w:t>like</w:t>
            </w:r>
            <w:r w:rsidRPr="008A20BE">
              <w:rPr>
                <w:color w:val="000000" w:themeColor="text1"/>
                <w:sz w:val="21"/>
                <w:szCs w:val="21"/>
              </w:rPr>
              <w:t xml:space="preserve"> that in PERFORMS with additional detail as required. </w:t>
            </w:r>
            <w:r w:rsidR="00C86CB6" w:rsidRPr="008A20BE">
              <w:rPr>
                <w:color w:val="000000" w:themeColor="text1"/>
                <w:sz w:val="21"/>
                <w:szCs w:val="21"/>
              </w:rPr>
              <w:t>Key financial information including:</w:t>
            </w:r>
          </w:p>
          <w:p w14:paraId="1B9AA259" w14:textId="38B2EAC3"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Planned Budget vs expenditure</w:t>
            </w:r>
          </w:p>
          <w:p w14:paraId="7B776DD9" w14:textId="07CE979A"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Final invoicing schedule and action items</w:t>
            </w:r>
          </w:p>
          <w:p w14:paraId="2FBE1CB0" w14:textId="1EFB943B"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 xml:space="preserve">Investment expenditure profile (contracted vs actual %) by period sector, </w:t>
            </w:r>
            <w:r w:rsidR="004D145A" w:rsidRPr="008A20BE">
              <w:rPr>
                <w:color w:val="000000" w:themeColor="text1"/>
                <w:sz w:val="21"/>
                <w:szCs w:val="21"/>
              </w:rPr>
              <w:t>objective,</w:t>
            </w:r>
            <w:r w:rsidRPr="008A20BE">
              <w:rPr>
                <w:color w:val="000000" w:themeColor="text1"/>
                <w:sz w:val="21"/>
                <w:szCs w:val="21"/>
              </w:rPr>
              <w:t xml:space="preserve"> or category (including any program extensions)</w:t>
            </w:r>
            <w:r w:rsidR="005C5CDA" w:rsidRPr="008A20BE">
              <w:rPr>
                <w:color w:val="000000" w:themeColor="text1"/>
                <w:sz w:val="21"/>
                <w:szCs w:val="21"/>
              </w:rPr>
              <w:t xml:space="preserve"> and management fee breakdown</w:t>
            </w:r>
          </w:p>
          <w:p w14:paraId="030D34C8" w14:textId="77777777"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 xml:space="preserve">Completed Finance checklist including asset insurance, bank account reconciliation, cashbook closure, final payments / outstanding invoices.  </w:t>
            </w:r>
          </w:p>
          <w:p w14:paraId="2CAEA005" w14:textId="77777777" w:rsidR="00C86CB6" w:rsidRPr="008A20BE" w:rsidRDefault="00C86CB6" w:rsidP="00EB1A2E">
            <w:pPr>
              <w:pStyle w:val="ListParagraph"/>
              <w:ind w:left="360"/>
              <w:rPr>
                <w:color w:val="000000" w:themeColor="text1"/>
                <w:sz w:val="21"/>
                <w:szCs w:val="21"/>
              </w:rPr>
            </w:pPr>
          </w:p>
        </w:tc>
      </w:tr>
      <w:tr w:rsidR="00FB38F2" w:rsidRPr="00FB38F2" w14:paraId="78EC0C14" w14:textId="77777777" w:rsidTr="6C61147E">
        <w:tc>
          <w:tcPr>
            <w:tcW w:w="2405" w:type="dxa"/>
          </w:tcPr>
          <w:p w14:paraId="17475620" w14:textId="0FB2B6C5" w:rsidR="00A9602A" w:rsidRPr="008A20BE" w:rsidRDefault="00C86CB6" w:rsidP="007F2355">
            <w:pPr>
              <w:jc w:val="center"/>
              <w:rPr>
                <w:color w:val="000000" w:themeColor="text1"/>
                <w:sz w:val="21"/>
                <w:szCs w:val="21"/>
              </w:rPr>
            </w:pPr>
            <w:r w:rsidRPr="008A20BE">
              <w:rPr>
                <w:color w:val="000000" w:themeColor="text1"/>
                <w:sz w:val="21"/>
                <w:szCs w:val="21"/>
              </w:rPr>
              <w:t>Case management</w:t>
            </w:r>
          </w:p>
          <w:p w14:paraId="26BFCE1D" w14:textId="77777777" w:rsidR="00A9602A" w:rsidRPr="008A20BE" w:rsidRDefault="00A9602A" w:rsidP="00A9602A">
            <w:pPr>
              <w:jc w:val="center"/>
              <w:rPr>
                <w:color w:val="000000" w:themeColor="text1"/>
                <w:sz w:val="21"/>
                <w:szCs w:val="21"/>
              </w:rPr>
            </w:pPr>
          </w:p>
        </w:tc>
        <w:tc>
          <w:tcPr>
            <w:tcW w:w="7371" w:type="dxa"/>
            <w:shd w:val="clear" w:color="auto" w:fill="D8DCDB" w:themeFill="background2"/>
          </w:tcPr>
          <w:p w14:paraId="6A2EBF2E" w14:textId="0BC14225" w:rsidR="00C86CB6" w:rsidRPr="008A20BE" w:rsidRDefault="00C86CB6" w:rsidP="00A9602A">
            <w:pPr>
              <w:widowControl w:val="0"/>
              <w:tabs>
                <w:tab w:val="left" w:pos="1180"/>
                <w:tab w:val="left" w:pos="1181"/>
              </w:tabs>
              <w:autoSpaceDE w:val="0"/>
              <w:autoSpaceDN w:val="0"/>
              <w:spacing w:before="1"/>
              <w:rPr>
                <w:color w:val="000000" w:themeColor="text1"/>
                <w:sz w:val="21"/>
                <w:szCs w:val="21"/>
              </w:rPr>
            </w:pPr>
            <w:r w:rsidRPr="008A20BE">
              <w:rPr>
                <w:color w:val="000000" w:themeColor="text1"/>
                <w:sz w:val="21"/>
                <w:szCs w:val="21"/>
              </w:rPr>
              <w:t>Key case file</w:t>
            </w:r>
            <w:r w:rsidR="00A9602A" w:rsidRPr="008A20BE">
              <w:rPr>
                <w:color w:val="000000" w:themeColor="text1"/>
                <w:sz w:val="21"/>
                <w:szCs w:val="21"/>
              </w:rPr>
              <w:t xml:space="preserve"> information including:</w:t>
            </w:r>
          </w:p>
          <w:p w14:paraId="6CBFD537" w14:textId="77777777"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Case files: Fraud, Child protection, PSEAH cases</w:t>
            </w:r>
          </w:p>
          <w:p w14:paraId="601671D6" w14:textId="608D5356" w:rsidR="00A9602A"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including initial notifications and suspected cases</w:t>
            </w:r>
          </w:p>
          <w:p w14:paraId="58DCE971" w14:textId="64091B95"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lastRenderedPageBreak/>
              <w:t xml:space="preserve">Summary of fraud, child protection and PSEAH issues and management responses. May include Reports; Register(s); and Case closure reports </w:t>
            </w:r>
          </w:p>
          <w:p w14:paraId="2DF48951" w14:textId="77777777" w:rsidR="00C86CB6" w:rsidRPr="008A20BE" w:rsidRDefault="00C86CB6" w:rsidP="002F1D6C">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Include table or annex if lengthy</w:t>
            </w:r>
          </w:p>
          <w:p w14:paraId="581A02D8" w14:textId="77777777" w:rsidR="00A9602A" w:rsidRPr="008A20BE" w:rsidRDefault="00A9602A" w:rsidP="00A9602A">
            <w:pPr>
              <w:pStyle w:val="ListParagraph"/>
              <w:ind w:left="360"/>
              <w:rPr>
                <w:color w:val="000000" w:themeColor="text1"/>
                <w:sz w:val="21"/>
                <w:szCs w:val="21"/>
              </w:rPr>
            </w:pPr>
          </w:p>
        </w:tc>
      </w:tr>
      <w:tr w:rsidR="00FB38F2" w:rsidRPr="00FB38F2" w14:paraId="57B8F5E7" w14:textId="77777777" w:rsidTr="6C61147E">
        <w:tc>
          <w:tcPr>
            <w:tcW w:w="2405" w:type="dxa"/>
          </w:tcPr>
          <w:p w14:paraId="5479999D" w14:textId="77777777" w:rsidR="00A9602A" w:rsidRPr="008A20BE" w:rsidRDefault="00A9602A" w:rsidP="00F56376">
            <w:pPr>
              <w:jc w:val="center"/>
              <w:rPr>
                <w:color w:val="000000" w:themeColor="text1"/>
                <w:sz w:val="21"/>
                <w:szCs w:val="21"/>
              </w:rPr>
            </w:pPr>
            <w:r w:rsidRPr="008A20BE">
              <w:rPr>
                <w:color w:val="000000" w:themeColor="text1"/>
                <w:sz w:val="21"/>
                <w:szCs w:val="21"/>
              </w:rPr>
              <w:lastRenderedPageBreak/>
              <w:t>Assets</w:t>
            </w:r>
          </w:p>
          <w:p w14:paraId="5806F2A7" w14:textId="77777777" w:rsidR="00A9602A" w:rsidRPr="008A20BE" w:rsidRDefault="00A9602A" w:rsidP="00A9602A">
            <w:pPr>
              <w:jc w:val="center"/>
              <w:rPr>
                <w:color w:val="000000" w:themeColor="text1"/>
                <w:sz w:val="21"/>
                <w:szCs w:val="21"/>
              </w:rPr>
            </w:pPr>
          </w:p>
        </w:tc>
        <w:tc>
          <w:tcPr>
            <w:tcW w:w="7371" w:type="dxa"/>
            <w:shd w:val="clear" w:color="auto" w:fill="D8DCDB" w:themeFill="background2"/>
          </w:tcPr>
          <w:p w14:paraId="1D97C99C" w14:textId="77777777" w:rsidR="00A9602A" w:rsidRPr="008A20BE" w:rsidRDefault="00A9602A" w:rsidP="00A9602A">
            <w:pPr>
              <w:widowControl w:val="0"/>
              <w:tabs>
                <w:tab w:val="left" w:pos="1180"/>
                <w:tab w:val="left" w:pos="1181"/>
              </w:tabs>
              <w:autoSpaceDE w:val="0"/>
              <w:autoSpaceDN w:val="0"/>
              <w:spacing w:before="1"/>
              <w:rPr>
                <w:color w:val="000000" w:themeColor="text1"/>
                <w:sz w:val="21"/>
                <w:szCs w:val="21"/>
              </w:rPr>
            </w:pPr>
            <w:r w:rsidRPr="008A20BE">
              <w:rPr>
                <w:color w:val="000000" w:themeColor="text1"/>
                <w:sz w:val="21"/>
                <w:szCs w:val="21"/>
              </w:rPr>
              <w:t>Key asset information including:</w:t>
            </w:r>
          </w:p>
          <w:p w14:paraId="631E3073" w14:textId="3E072128"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Asset for disposal / transfer (summary table)</w:t>
            </w:r>
          </w:p>
          <w:p w14:paraId="18359042" w14:textId="77777777"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Summary of outstanding issues including</w:t>
            </w:r>
          </w:p>
          <w:p w14:paraId="59EBFDB4" w14:textId="77777777"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Inventory disposal schedule</w:t>
            </w:r>
          </w:p>
          <w:p w14:paraId="4D70D867" w14:textId="4A3F78FE"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 xml:space="preserve">Asset register </w:t>
            </w:r>
          </w:p>
          <w:p w14:paraId="00119333" w14:textId="27D3797E" w:rsidR="00D70873" w:rsidRPr="008A20BE" w:rsidRDefault="00D70873"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Asset insurance</w:t>
            </w:r>
          </w:p>
          <w:p w14:paraId="7D2AC47A" w14:textId="77777777"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 xml:space="preserve">Project files </w:t>
            </w:r>
          </w:p>
          <w:p w14:paraId="6CC06D16" w14:textId="77777777"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 xml:space="preserve">Office space, utilities, leased equipment </w:t>
            </w:r>
          </w:p>
          <w:p w14:paraId="1E38EA8E" w14:textId="0E9BF958" w:rsidR="00A9602A"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Management or knowledge management information systems</w:t>
            </w:r>
            <w:r w:rsidR="008D2E73" w:rsidRPr="008A20BE">
              <w:rPr>
                <w:color w:val="000000" w:themeColor="text1"/>
                <w:sz w:val="21"/>
                <w:szCs w:val="21"/>
              </w:rPr>
              <w:t xml:space="preserve"> </w:t>
            </w:r>
            <w:r w:rsidRPr="008A20BE">
              <w:rPr>
                <w:color w:val="000000" w:themeColor="text1"/>
                <w:sz w:val="21"/>
                <w:szCs w:val="21"/>
              </w:rPr>
              <w:t>(item / description / plan / timeframe)</w:t>
            </w:r>
          </w:p>
          <w:p w14:paraId="639436DC" w14:textId="793DD337" w:rsidR="00F43221" w:rsidRPr="008A20BE" w:rsidRDefault="00F43221" w:rsidP="00F43221">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Comms/messaging – advice to external partners, promotion</w:t>
            </w:r>
            <w:r w:rsidR="00EC0472">
              <w:rPr>
                <w:color w:val="000000" w:themeColor="text1"/>
                <w:sz w:val="21"/>
                <w:szCs w:val="21"/>
              </w:rPr>
              <w:t>,</w:t>
            </w:r>
            <w:r w:rsidRPr="008A20BE">
              <w:rPr>
                <w:color w:val="000000" w:themeColor="text1"/>
                <w:sz w:val="21"/>
                <w:szCs w:val="21"/>
              </w:rPr>
              <w:t xml:space="preserve"> and events</w:t>
            </w:r>
          </w:p>
          <w:p w14:paraId="59EFD174" w14:textId="77777777" w:rsidR="008D2E73" w:rsidRPr="008A20BE" w:rsidRDefault="00A9602A" w:rsidP="008D2E73">
            <w:pPr>
              <w:pStyle w:val="ListParagraph"/>
              <w:numPr>
                <w:ilvl w:val="0"/>
                <w:numId w:val="14"/>
              </w:numPr>
              <w:suppressAutoHyphens w:val="0"/>
              <w:spacing w:before="0" w:after="0" w:line="240" w:lineRule="auto"/>
              <w:rPr>
                <w:color w:val="000000" w:themeColor="text1"/>
                <w:sz w:val="21"/>
                <w:szCs w:val="21"/>
              </w:rPr>
            </w:pPr>
            <w:r w:rsidRPr="008A20BE">
              <w:rPr>
                <w:color w:val="000000" w:themeColor="text1"/>
                <w:sz w:val="21"/>
                <w:szCs w:val="21"/>
              </w:rPr>
              <w:t xml:space="preserve">Email accounts (activation of out of office or message / date), proposed message. </w:t>
            </w:r>
          </w:p>
          <w:p w14:paraId="3AE027CA" w14:textId="77777777" w:rsidR="008D2E73" w:rsidRPr="008A20BE" w:rsidRDefault="008D2E73" w:rsidP="008D2E73">
            <w:pPr>
              <w:pStyle w:val="ListParagraph"/>
              <w:suppressAutoHyphens w:val="0"/>
              <w:spacing w:before="0" w:after="0" w:line="240" w:lineRule="auto"/>
              <w:ind w:left="360"/>
              <w:rPr>
                <w:color w:val="000000" w:themeColor="text1"/>
                <w:sz w:val="21"/>
                <w:szCs w:val="21"/>
              </w:rPr>
            </w:pPr>
          </w:p>
          <w:p w14:paraId="5B794E2D" w14:textId="77777777" w:rsidR="00A9602A" w:rsidRPr="008A20BE" w:rsidRDefault="00A9602A" w:rsidP="00A9602A">
            <w:pPr>
              <w:pStyle w:val="ListParagraph"/>
              <w:ind w:left="360"/>
              <w:rPr>
                <w:color w:val="000000" w:themeColor="text1"/>
                <w:sz w:val="21"/>
                <w:szCs w:val="21"/>
              </w:rPr>
            </w:pPr>
          </w:p>
        </w:tc>
      </w:tr>
    </w:tbl>
    <w:p w14:paraId="7FB75293" w14:textId="7883080A" w:rsidR="004D145A" w:rsidRPr="008A20BE" w:rsidRDefault="004D145A" w:rsidP="00753416">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bookmarkStart w:id="1" w:name="_Hlk118202300"/>
      <w:r w:rsidRPr="008A20BE">
        <w:rPr>
          <w:rFonts w:asciiTheme="majorHAnsi" w:hAnsiTheme="majorHAnsi"/>
          <w:b/>
          <w:color w:val="000000" w:themeColor="text1"/>
          <w:szCs w:val="21"/>
        </w:rPr>
        <w:t>Co</w:t>
      </w:r>
      <w:r>
        <w:rPr>
          <w:rFonts w:asciiTheme="majorHAnsi" w:hAnsiTheme="majorHAnsi"/>
          <w:b/>
          <w:color w:val="000000" w:themeColor="text1"/>
          <w:szCs w:val="21"/>
        </w:rPr>
        <w:t xml:space="preserve">mmunication </w:t>
      </w:r>
    </w:p>
    <w:p w14:paraId="3CAEF2DC" w14:textId="688431CF" w:rsidR="004D145A" w:rsidRPr="004D145A" w:rsidRDefault="004D145A" w:rsidP="004D145A">
      <w:pPr>
        <w:spacing w:line="240" w:lineRule="auto"/>
        <w:rPr>
          <w:sz w:val="21"/>
          <w:szCs w:val="21"/>
        </w:rPr>
      </w:pPr>
      <w:r w:rsidRPr="004D145A">
        <w:rPr>
          <w:sz w:val="21"/>
          <w:szCs w:val="21"/>
        </w:rPr>
        <w:t xml:space="preserve">This section </w:t>
      </w:r>
      <w:r>
        <w:rPr>
          <w:sz w:val="21"/>
          <w:szCs w:val="21"/>
        </w:rPr>
        <w:t xml:space="preserve">should include strategy for communication specifically </w:t>
      </w:r>
      <w:r w:rsidRPr="004D145A">
        <w:rPr>
          <w:sz w:val="21"/>
          <w:szCs w:val="21"/>
        </w:rPr>
        <w:t xml:space="preserve">who communicates </w:t>
      </w:r>
      <w:r>
        <w:rPr>
          <w:sz w:val="21"/>
          <w:szCs w:val="21"/>
        </w:rPr>
        <w:t xml:space="preserve">when </w:t>
      </w:r>
      <w:r w:rsidRPr="004D145A">
        <w:rPr>
          <w:sz w:val="21"/>
          <w:szCs w:val="21"/>
        </w:rPr>
        <w:t>to advisers/personnel, partner government, suppliers, other partners etc? / CD</w:t>
      </w:r>
    </w:p>
    <w:p w14:paraId="5B082CC2" w14:textId="2EE01C0B" w:rsidR="00A32858" w:rsidRPr="008A20BE" w:rsidRDefault="000C6EB3" w:rsidP="002F1D6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bookmarkStart w:id="2" w:name="_Hlk118202060"/>
      <w:r w:rsidRPr="008A20BE">
        <w:rPr>
          <w:rFonts w:asciiTheme="majorHAnsi" w:hAnsiTheme="majorHAnsi"/>
          <w:b/>
          <w:color w:val="000000" w:themeColor="text1"/>
          <w:szCs w:val="21"/>
        </w:rPr>
        <w:t>Conclusion and Next Steps</w:t>
      </w:r>
    </w:p>
    <w:bookmarkEnd w:id="2"/>
    <w:p w14:paraId="3B85B295" w14:textId="5CE043E4" w:rsidR="000C6EB3" w:rsidRPr="008A20BE" w:rsidRDefault="000C6EB3" w:rsidP="003946A7">
      <w:pPr>
        <w:tabs>
          <w:tab w:val="left" w:pos="284"/>
        </w:tabs>
        <w:suppressAutoHyphens w:val="0"/>
        <w:spacing w:before="0" w:line="280" w:lineRule="exact"/>
        <w:rPr>
          <w:rFonts w:eastAsia="Times New Roman" w:cs="Times New Roman"/>
          <w:color w:val="000000" w:themeColor="text1"/>
          <w:sz w:val="21"/>
          <w:szCs w:val="24"/>
          <w:lang w:val="en-AU"/>
        </w:rPr>
      </w:pPr>
      <w:r w:rsidRPr="008A20BE">
        <w:rPr>
          <w:rFonts w:eastAsia="Times New Roman" w:cs="Times New Roman"/>
          <w:color w:val="000000" w:themeColor="text1"/>
          <w:sz w:val="21"/>
          <w:szCs w:val="24"/>
          <w:lang w:val="en-AU"/>
        </w:rPr>
        <w:t xml:space="preserve">This section should also conclude next steps in relation to DFAT governance/transition committees, reporting on the implementation of the handover plan, responsible officers, and schedules. </w:t>
      </w:r>
    </w:p>
    <w:bookmarkEnd w:id="1"/>
    <w:p w14:paraId="61882940" w14:textId="77777777" w:rsidR="004F2AF9" w:rsidRPr="008A20BE" w:rsidRDefault="004F2AF9" w:rsidP="002F1D6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color w:val="000000" w:themeColor="text1"/>
          <w:szCs w:val="21"/>
        </w:rPr>
      </w:pPr>
      <w:r w:rsidRPr="008A20BE">
        <w:rPr>
          <w:rFonts w:asciiTheme="majorHAnsi" w:hAnsiTheme="majorHAnsi"/>
          <w:b/>
          <w:color w:val="000000" w:themeColor="text1"/>
          <w:szCs w:val="21"/>
        </w:rPr>
        <w:t>Annexes</w:t>
      </w:r>
    </w:p>
    <w:p w14:paraId="3FA36CDE" w14:textId="77777777" w:rsidR="004F2AF9" w:rsidRPr="008A20BE" w:rsidRDefault="004F2AF9" w:rsidP="004F2AF9">
      <w:pPr>
        <w:rPr>
          <w:i/>
          <w:color w:val="000000" w:themeColor="text1"/>
        </w:rPr>
      </w:pPr>
      <w:r w:rsidRPr="008A20BE">
        <w:rPr>
          <w:i/>
          <w:color w:val="000000" w:themeColor="text1"/>
        </w:rPr>
        <w:t>Required Annexes:</w:t>
      </w:r>
    </w:p>
    <w:p w14:paraId="3685FF79" w14:textId="77777777" w:rsidR="00D36A9D" w:rsidRPr="008A20BE" w:rsidRDefault="00045CAF" w:rsidP="00045CAF">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b/>
          <w:bCs/>
          <w:color w:val="000000" w:themeColor="text1"/>
          <w:sz w:val="21"/>
          <w:szCs w:val="21"/>
          <w:lang w:val="en-AU"/>
        </w:rPr>
        <w:t>Annex 1</w:t>
      </w:r>
      <w:r w:rsidRPr="008A20BE">
        <w:rPr>
          <w:rFonts w:eastAsia="Times New Roman" w:cs="Times New Roman"/>
          <w:color w:val="000000" w:themeColor="text1"/>
          <w:sz w:val="21"/>
          <w:szCs w:val="21"/>
          <w:lang w:val="en-AU"/>
        </w:rPr>
        <w:t xml:space="preserve">: </w:t>
      </w:r>
      <w:r w:rsidR="00D36A9D" w:rsidRPr="008A20BE">
        <w:rPr>
          <w:rFonts w:eastAsia="Times New Roman" w:cs="Times New Roman"/>
          <w:b/>
          <w:bCs/>
          <w:color w:val="000000" w:themeColor="text1"/>
          <w:sz w:val="21"/>
          <w:szCs w:val="21"/>
          <w:lang w:val="en-AU"/>
        </w:rPr>
        <w:t>Responsibilities</w:t>
      </w:r>
    </w:p>
    <w:p w14:paraId="7B945AB5" w14:textId="6BCE0521" w:rsidR="004F2AF9" w:rsidRPr="008A20BE" w:rsidRDefault="00D36A9D" w:rsidP="00045CAF">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ab/>
      </w:r>
      <w:r w:rsidR="00925351" w:rsidRPr="008A20BE">
        <w:rPr>
          <w:rFonts w:eastAsia="Times New Roman" w:cs="Times New Roman"/>
          <w:color w:val="000000" w:themeColor="text1"/>
          <w:sz w:val="21"/>
          <w:szCs w:val="21"/>
          <w:lang w:val="en-AU"/>
        </w:rPr>
        <w:t xml:space="preserve">Table of </w:t>
      </w:r>
      <w:r w:rsidR="00BF13BE" w:rsidRPr="008A20BE">
        <w:rPr>
          <w:rFonts w:eastAsia="Times New Roman" w:cs="Times New Roman"/>
          <w:color w:val="000000" w:themeColor="text1"/>
          <w:sz w:val="21"/>
          <w:szCs w:val="21"/>
          <w:lang w:val="en-AU"/>
        </w:rPr>
        <w:t>Handover R</w:t>
      </w:r>
      <w:r w:rsidR="00925351" w:rsidRPr="008A20BE">
        <w:rPr>
          <w:rFonts w:eastAsia="Times New Roman" w:cs="Times New Roman"/>
          <w:color w:val="000000" w:themeColor="text1"/>
          <w:sz w:val="21"/>
          <w:szCs w:val="21"/>
          <w:lang w:val="en-AU"/>
        </w:rPr>
        <w:t>esponsi</w:t>
      </w:r>
      <w:r w:rsidR="00BF13BE" w:rsidRPr="008A20BE">
        <w:rPr>
          <w:rFonts w:eastAsia="Times New Roman" w:cs="Times New Roman"/>
          <w:color w:val="000000" w:themeColor="text1"/>
          <w:sz w:val="21"/>
          <w:szCs w:val="21"/>
          <w:lang w:val="en-AU"/>
        </w:rPr>
        <w:t>bi</w:t>
      </w:r>
      <w:r w:rsidR="00925351" w:rsidRPr="008A20BE">
        <w:rPr>
          <w:rFonts w:eastAsia="Times New Roman" w:cs="Times New Roman"/>
          <w:color w:val="000000" w:themeColor="text1"/>
          <w:sz w:val="21"/>
          <w:szCs w:val="21"/>
          <w:lang w:val="en-AU"/>
        </w:rPr>
        <w:t>lities</w:t>
      </w:r>
      <w:r w:rsidR="00BF13BE" w:rsidRPr="008A20BE">
        <w:rPr>
          <w:rFonts w:eastAsia="Times New Roman" w:cs="Times New Roman"/>
          <w:color w:val="000000" w:themeColor="text1"/>
          <w:sz w:val="21"/>
          <w:szCs w:val="21"/>
          <w:lang w:val="en-AU"/>
        </w:rPr>
        <w:t xml:space="preserve"> </w:t>
      </w:r>
      <w:r w:rsidR="00D566E6" w:rsidRPr="008A20BE">
        <w:rPr>
          <w:rFonts w:eastAsia="Times New Roman" w:cs="Times New Roman"/>
          <w:color w:val="000000" w:themeColor="text1"/>
          <w:sz w:val="21"/>
          <w:szCs w:val="21"/>
          <w:lang w:val="en-AU"/>
        </w:rPr>
        <w:t>(see indicative table below)</w:t>
      </w:r>
    </w:p>
    <w:p w14:paraId="2D65595D" w14:textId="77777777" w:rsidR="00D36A9D" w:rsidRPr="008A20BE" w:rsidRDefault="00045CAF" w:rsidP="00045CAF">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b/>
          <w:bCs/>
          <w:color w:val="000000" w:themeColor="text1"/>
          <w:sz w:val="21"/>
          <w:szCs w:val="21"/>
          <w:lang w:val="en-AU"/>
        </w:rPr>
        <w:t>Annex 2</w:t>
      </w:r>
      <w:r w:rsidRPr="008A20BE">
        <w:rPr>
          <w:rFonts w:eastAsia="Times New Roman" w:cs="Times New Roman"/>
          <w:color w:val="000000" w:themeColor="text1"/>
          <w:sz w:val="21"/>
          <w:szCs w:val="21"/>
          <w:lang w:val="en-AU"/>
        </w:rPr>
        <w:t xml:space="preserve">: </w:t>
      </w:r>
      <w:r w:rsidRPr="008A20BE">
        <w:rPr>
          <w:rFonts w:eastAsia="Times New Roman" w:cs="Times New Roman"/>
          <w:b/>
          <w:bCs/>
          <w:color w:val="000000" w:themeColor="text1"/>
          <w:sz w:val="21"/>
          <w:szCs w:val="21"/>
          <w:lang w:val="en-AU"/>
        </w:rPr>
        <w:t>Assets</w:t>
      </w:r>
    </w:p>
    <w:p w14:paraId="46168BDA" w14:textId="54E097A4" w:rsidR="00D70873" w:rsidRPr="008A20BE" w:rsidRDefault="00D36A9D" w:rsidP="00045CAF">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ab/>
      </w:r>
      <w:r w:rsidR="00D70873" w:rsidRPr="008A20BE">
        <w:rPr>
          <w:rFonts w:eastAsia="Times New Roman" w:cs="Times New Roman"/>
          <w:color w:val="000000" w:themeColor="text1"/>
          <w:sz w:val="21"/>
          <w:szCs w:val="21"/>
          <w:lang w:val="en-AU"/>
        </w:rPr>
        <w:t>Detailed asset register and disposal register (inc</w:t>
      </w:r>
      <w:r w:rsidR="00BA4FDA" w:rsidRPr="008A20BE">
        <w:rPr>
          <w:rFonts w:eastAsia="Times New Roman" w:cs="Times New Roman"/>
          <w:color w:val="000000" w:themeColor="text1"/>
          <w:sz w:val="21"/>
          <w:szCs w:val="21"/>
          <w:lang w:val="en-AU"/>
        </w:rPr>
        <w:t>luding</w:t>
      </w:r>
      <w:r w:rsidR="00D70873" w:rsidRPr="008A20BE">
        <w:rPr>
          <w:rFonts w:eastAsia="Times New Roman" w:cs="Times New Roman"/>
          <w:color w:val="000000" w:themeColor="text1"/>
          <w:sz w:val="21"/>
          <w:szCs w:val="21"/>
          <w:lang w:val="en-AU"/>
        </w:rPr>
        <w:t xml:space="preserve"> vehicles, IT equipment)</w:t>
      </w:r>
    </w:p>
    <w:p w14:paraId="27597750" w14:textId="77777777" w:rsidR="0055745F" w:rsidRPr="008A20BE" w:rsidRDefault="00D36A9D" w:rsidP="00D36A9D">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b/>
          <w:bCs/>
          <w:color w:val="000000" w:themeColor="text1"/>
          <w:sz w:val="21"/>
          <w:szCs w:val="21"/>
          <w:lang w:val="en-AU"/>
        </w:rPr>
        <w:t>Annex 3</w:t>
      </w:r>
      <w:r w:rsidR="0055745F" w:rsidRPr="008A20BE">
        <w:rPr>
          <w:rFonts w:eastAsia="Times New Roman" w:cs="Times New Roman"/>
          <w:color w:val="000000" w:themeColor="text1"/>
          <w:sz w:val="21"/>
          <w:szCs w:val="21"/>
          <w:lang w:val="en-AU"/>
        </w:rPr>
        <w:t xml:space="preserve">: </w:t>
      </w:r>
      <w:r w:rsidR="0055745F" w:rsidRPr="008A20BE">
        <w:rPr>
          <w:rFonts w:eastAsia="Times New Roman" w:cs="Times New Roman"/>
          <w:b/>
          <w:bCs/>
          <w:color w:val="000000" w:themeColor="text1"/>
          <w:sz w:val="21"/>
          <w:szCs w:val="21"/>
          <w:lang w:val="en-AU"/>
        </w:rPr>
        <w:t>Project files</w:t>
      </w:r>
    </w:p>
    <w:p w14:paraId="76C1EA0D" w14:textId="2E42FD39" w:rsidR="00D70873" w:rsidRPr="008A20BE" w:rsidRDefault="0055745F" w:rsidP="00D36A9D">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ab/>
      </w:r>
      <w:r w:rsidR="00D70873" w:rsidRPr="008A20BE">
        <w:rPr>
          <w:rFonts w:eastAsia="Times New Roman" w:cs="Times New Roman"/>
          <w:color w:val="000000" w:themeColor="text1"/>
          <w:sz w:val="21"/>
          <w:szCs w:val="21"/>
          <w:lang w:val="en-AU"/>
        </w:rPr>
        <w:t>List of project files to be handed over to DFAT</w:t>
      </w:r>
    </w:p>
    <w:p w14:paraId="1ED48880" w14:textId="1256AD73" w:rsidR="0055745F" w:rsidRPr="008A20BE" w:rsidRDefault="0055745F" w:rsidP="0055745F">
      <w:pPr>
        <w:tabs>
          <w:tab w:val="left" w:pos="284"/>
        </w:tabs>
        <w:suppressAutoHyphens w:val="0"/>
        <w:spacing w:before="0" w:line="280" w:lineRule="exact"/>
        <w:rPr>
          <w:rFonts w:eastAsia="Times New Roman" w:cs="Times New Roman"/>
          <w:color w:val="000000" w:themeColor="text1"/>
          <w:sz w:val="21"/>
          <w:szCs w:val="21"/>
          <w:lang w:val="en-AU"/>
        </w:rPr>
      </w:pPr>
      <w:r w:rsidRPr="008A20BE">
        <w:rPr>
          <w:rFonts w:eastAsia="Times New Roman" w:cs="Times New Roman"/>
          <w:b/>
          <w:bCs/>
          <w:color w:val="000000" w:themeColor="text1"/>
          <w:sz w:val="21"/>
          <w:szCs w:val="21"/>
          <w:lang w:val="en-AU"/>
        </w:rPr>
        <w:t>Annex 4</w:t>
      </w:r>
      <w:r w:rsidRPr="008A20BE">
        <w:rPr>
          <w:rFonts w:eastAsia="Times New Roman" w:cs="Times New Roman"/>
          <w:color w:val="000000" w:themeColor="text1"/>
          <w:sz w:val="21"/>
          <w:szCs w:val="21"/>
          <w:lang w:val="en-AU"/>
        </w:rPr>
        <w:t xml:space="preserve">: </w:t>
      </w:r>
      <w:r w:rsidR="00FC12B6" w:rsidRPr="008A20BE">
        <w:rPr>
          <w:rFonts w:eastAsia="Times New Roman" w:cs="Times New Roman"/>
          <w:b/>
          <w:bCs/>
          <w:color w:val="000000" w:themeColor="text1"/>
          <w:sz w:val="21"/>
          <w:szCs w:val="21"/>
          <w:lang w:val="en-AU"/>
        </w:rPr>
        <w:t>Risk matrix</w:t>
      </w:r>
    </w:p>
    <w:p w14:paraId="2EBF8040" w14:textId="7BFF8ADC" w:rsidR="00FC12B6" w:rsidRPr="008A20BE" w:rsidRDefault="00FC12B6" w:rsidP="0055745F">
      <w:pPr>
        <w:tabs>
          <w:tab w:val="left" w:pos="284"/>
        </w:tabs>
        <w:suppressAutoHyphens w:val="0"/>
        <w:spacing w:before="0" w:line="280" w:lineRule="exact"/>
        <w:ind w:left="284"/>
        <w:rPr>
          <w:rFonts w:eastAsia="Times New Roman" w:cs="Times New Roman"/>
          <w:color w:val="000000" w:themeColor="text1"/>
          <w:sz w:val="21"/>
          <w:szCs w:val="24"/>
          <w:lang w:val="en-AU"/>
        </w:rPr>
      </w:pPr>
      <w:r w:rsidRPr="008A20BE">
        <w:rPr>
          <w:rFonts w:eastAsia="Times New Roman" w:cs="Times New Roman"/>
          <w:color w:val="000000" w:themeColor="text1"/>
          <w:sz w:val="21"/>
          <w:szCs w:val="21"/>
          <w:lang w:val="en-AU"/>
        </w:rPr>
        <w:t>Key handover risks and mitigation (required for complex programs such as facilities or where there are staggered or multiple handovers, optional for other programs)</w:t>
      </w:r>
      <w:r w:rsidR="00302504">
        <w:rPr>
          <w:rFonts w:eastAsia="Times New Roman" w:cs="Times New Roman"/>
          <w:color w:val="000000" w:themeColor="text1"/>
          <w:sz w:val="21"/>
          <w:szCs w:val="21"/>
          <w:lang w:val="en-AU"/>
        </w:rPr>
        <w:t xml:space="preserve">. Ensure </w:t>
      </w:r>
      <w:r w:rsidR="00302504">
        <w:t>“Risk Factors Screening Tool and Risk Register” is used. (LINK)</w:t>
      </w:r>
    </w:p>
    <w:p w14:paraId="32233614" w14:textId="5ED52B23" w:rsidR="004F2AF9" w:rsidRPr="002D125E" w:rsidRDefault="002D125E" w:rsidP="004F2AF9">
      <w:pPr>
        <w:rPr>
          <w:b/>
          <w:bCs/>
          <w:iCs/>
          <w:color w:val="000000" w:themeColor="text1"/>
        </w:rPr>
      </w:pPr>
      <w:r w:rsidRPr="002D125E">
        <w:rPr>
          <w:b/>
          <w:bCs/>
          <w:iCs/>
          <w:color w:val="000000" w:themeColor="text1"/>
        </w:rPr>
        <w:t xml:space="preserve">Additional </w:t>
      </w:r>
      <w:r w:rsidR="004F2AF9" w:rsidRPr="002D125E">
        <w:rPr>
          <w:b/>
          <w:bCs/>
          <w:iCs/>
          <w:color w:val="000000" w:themeColor="text1"/>
        </w:rPr>
        <w:t>Annexes</w:t>
      </w:r>
      <w:r w:rsidRPr="002D125E">
        <w:rPr>
          <w:b/>
          <w:bCs/>
          <w:iCs/>
          <w:color w:val="000000" w:themeColor="text1"/>
        </w:rPr>
        <w:t xml:space="preserve"> </w:t>
      </w:r>
    </w:p>
    <w:p w14:paraId="2A00B946" w14:textId="5B69C84B" w:rsidR="008864E3" w:rsidRPr="008A20BE" w:rsidRDefault="00AD2728" w:rsidP="002F1D6C">
      <w:pPr>
        <w:pStyle w:val="ListParagraph"/>
        <w:numPr>
          <w:ilvl w:val="0"/>
          <w:numId w:val="12"/>
        </w:numPr>
        <w:tabs>
          <w:tab w:val="left" w:pos="284"/>
        </w:tabs>
        <w:suppressAutoHyphens w:val="0"/>
        <w:spacing w:before="0" w:line="280" w:lineRule="exact"/>
        <w:ind w:left="568" w:hanging="284"/>
        <w:contextualSpacing w:val="0"/>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Detailed l</w:t>
      </w:r>
      <w:r w:rsidR="008864E3" w:rsidRPr="008A20BE">
        <w:rPr>
          <w:rFonts w:eastAsia="Times New Roman" w:cs="Times New Roman"/>
          <w:color w:val="000000" w:themeColor="text1"/>
          <w:sz w:val="21"/>
          <w:szCs w:val="21"/>
          <w:lang w:val="en-AU"/>
        </w:rPr>
        <w:t>ist of contract/grant</w:t>
      </w:r>
      <w:r w:rsidR="001E562A">
        <w:rPr>
          <w:rFonts w:eastAsia="Times New Roman" w:cs="Times New Roman"/>
          <w:color w:val="000000" w:themeColor="text1"/>
          <w:sz w:val="21"/>
          <w:szCs w:val="21"/>
          <w:lang w:val="en-AU"/>
        </w:rPr>
        <w:t>s</w:t>
      </w:r>
      <w:r w:rsidR="008864E3" w:rsidRPr="008A20BE">
        <w:rPr>
          <w:rFonts w:eastAsia="Times New Roman" w:cs="Times New Roman"/>
          <w:color w:val="000000" w:themeColor="text1"/>
          <w:sz w:val="21"/>
          <w:szCs w:val="21"/>
          <w:lang w:val="en-AU"/>
        </w:rPr>
        <w:t xml:space="preserve"> </w:t>
      </w:r>
      <w:r w:rsidR="001E562A">
        <w:rPr>
          <w:rFonts w:eastAsia="Times New Roman" w:cs="Times New Roman"/>
          <w:color w:val="000000" w:themeColor="text1"/>
          <w:sz w:val="21"/>
          <w:szCs w:val="21"/>
          <w:lang w:val="en-AU"/>
        </w:rPr>
        <w:t>and proposed continuations</w:t>
      </w:r>
      <w:r w:rsidR="001E562A" w:rsidRPr="008A20BE">
        <w:rPr>
          <w:rFonts w:eastAsia="Times New Roman" w:cs="Times New Roman"/>
          <w:color w:val="000000" w:themeColor="text1"/>
          <w:sz w:val="21"/>
          <w:szCs w:val="21"/>
          <w:lang w:val="en-AU"/>
        </w:rPr>
        <w:t xml:space="preserve"> </w:t>
      </w:r>
      <w:r w:rsidR="008864E3" w:rsidRPr="008A20BE">
        <w:rPr>
          <w:rFonts w:eastAsia="Times New Roman" w:cs="Times New Roman"/>
          <w:color w:val="000000" w:themeColor="text1"/>
          <w:sz w:val="21"/>
          <w:szCs w:val="21"/>
          <w:lang w:val="en-AU"/>
        </w:rPr>
        <w:t>(as relevant)</w:t>
      </w:r>
    </w:p>
    <w:p w14:paraId="793C5D81" w14:textId="0435D977" w:rsidR="008864E3" w:rsidRPr="008A20BE" w:rsidRDefault="008864E3" w:rsidP="002F1D6C">
      <w:pPr>
        <w:pStyle w:val="ListParagraph"/>
        <w:numPr>
          <w:ilvl w:val="0"/>
          <w:numId w:val="12"/>
        </w:numPr>
        <w:tabs>
          <w:tab w:val="left" w:pos="284"/>
        </w:tabs>
        <w:suppressAutoHyphens w:val="0"/>
        <w:spacing w:before="0" w:line="280" w:lineRule="exact"/>
        <w:ind w:left="568" w:hanging="284"/>
        <w:contextualSpacing w:val="0"/>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 xml:space="preserve">List of adviser/personnel </w:t>
      </w:r>
      <w:r w:rsidR="001E562A">
        <w:rPr>
          <w:rFonts w:eastAsia="Times New Roman" w:cs="Times New Roman"/>
          <w:color w:val="000000" w:themeColor="text1"/>
          <w:sz w:val="21"/>
          <w:szCs w:val="21"/>
          <w:lang w:val="en-AU"/>
        </w:rPr>
        <w:t>and proposed continuations</w:t>
      </w:r>
      <w:r w:rsidR="001E562A" w:rsidRPr="008A20BE">
        <w:rPr>
          <w:rFonts w:eastAsia="Times New Roman" w:cs="Times New Roman"/>
          <w:color w:val="000000" w:themeColor="text1"/>
          <w:sz w:val="21"/>
          <w:szCs w:val="21"/>
          <w:lang w:val="en-AU"/>
        </w:rPr>
        <w:t xml:space="preserve"> </w:t>
      </w:r>
      <w:r w:rsidRPr="008A20BE">
        <w:rPr>
          <w:rFonts w:eastAsia="Times New Roman" w:cs="Times New Roman"/>
          <w:color w:val="000000" w:themeColor="text1"/>
          <w:sz w:val="21"/>
          <w:szCs w:val="21"/>
          <w:lang w:val="en-AU"/>
        </w:rPr>
        <w:t>(as relevant)</w:t>
      </w:r>
    </w:p>
    <w:p w14:paraId="345A2955" w14:textId="4CF5726C" w:rsidR="00223A38" w:rsidRPr="008A20BE" w:rsidRDefault="00223A38" w:rsidP="002F1D6C">
      <w:pPr>
        <w:pStyle w:val="ListParagraph"/>
        <w:numPr>
          <w:ilvl w:val="0"/>
          <w:numId w:val="12"/>
        </w:numPr>
        <w:tabs>
          <w:tab w:val="left" w:pos="284"/>
        </w:tabs>
        <w:suppressAutoHyphens w:val="0"/>
        <w:spacing w:before="0" w:line="280" w:lineRule="exact"/>
        <w:ind w:left="568" w:hanging="284"/>
        <w:contextualSpacing w:val="0"/>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Meeting</w:t>
      </w:r>
      <w:r w:rsidR="00D70873" w:rsidRPr="008A20BE">
        <w:rPr>
          <w:rFonts w:eastAsia="Times New Roman" w:cs="Times New Roman"/>
          <w:color w:val="000000" w:themeColor="text1"/>
          <w:sz w:val="21"/>
          <w:szCs w:val="21"/>
          <w:lang w:val="en-AU"/>
        </w:rPr>
        <w:t>/briefing</w:t>
      </w:r>
      <w:r w:rsidRPr="008A20BE">
        <w:rPr>
          <w:rFonts w:eastAsia="Times New Roman" w:cs="Times New Roman"/>
          <w:color w:val="000000" w:themeColor="text1"/>
          <w:sz w:val="21"/>
          <w:szCs w:val="21"/>
          <w:lang w:val="en-AU"/>
        </w:rPr>
        <w:t xml:space="preserve"> schedule</w:t>
      </w:r>
      <w:r w:rsidR="00D70873" w:rsidRPr="008A20BE">
        <w:rPr>
          <w:rFonts w:eastAsia="Times New Roman" w:cs="Times New Roman"/>
          <w:color w:val="000000" w:themeColor="text1"/>
          <w:sz w:val="21"/>
          <w:szCs w:val="21"/>
          <w:lang w:val="en-AU"/>
        </w:rPr>
        <w:t xml:space="preserve"> (inc</w:t>
      </w:r>
      <w:r w:rsidR="006E0A77" w:rsidRPr="008A20BE">
        <w:rPr>
          <w:rFonts w:eastAsia="Times New Roman" w:cs="Times New Roman"/>
          <w:color w:val="000000" w:themeColor="text1"/>
          <w:sz w:val="21"/>
          <w:szCs w:val="21"/>
          <w:lang w:val="en-AU"/>
        </w:rPr>
        <w:t>luding</w:t>
      </w:r>
      <w:r w:rsidR="00D70873" w:rsidRPr="008A20BE">
        <w:rPr>
          <w:rFonts w:eastAsia="Times New Roman" w:cs="Times New Roman"/>
          <w:color w:val="000000" w:themeColor="text1"/>
          <w:sz w:val="21"/>
          <w:szCs w:val="21"/>
          <w:lang w:val="en-AU"/>
        </w:rPr>
        <w:t xml:space="preserve"> coordination, knowledge transfer, record transfer)</w:t>
      </w:r>
    </w:p>
    <w:p w14:paraId="4DC0BB3C" w14:textId="77777777" w:rsidR="00306938" w:rsidRPr="008A20BE" w:rsidRDefault="00223A38" w:rsidP="00FC12B6">
      <w:pPr>
        <w:pStyle w:val="ListParagraph"/>
        <w:numPr>
          <w:ilvl w:val="0"/>
          <w:numId w:val="12"/>
        </w:numPr>
        <w:tabs>
          <w:tab w:val="left" w:pos="284"/>
        </w:tabs>
        <w:suppressAutoHyphens w:val="0"/>
        <w:spacing w:before="0" w:line="280" w:lineRule="exact"/>
        <w:ind w:left="568" w:hanging="284"/>
        <w:contextualSpacing w:val="0"/>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lastRenderedPageBreak/>
        <w:t>Transition committee/Governance oversight mechanism – structure and members</w:t>
      </w:r>
    </w:p>
    <w:p w14:paraId="6893CD17" w14:textId="1FD7385F" w:rsidR="00306938" w:rsidRPr="008A20BE" w:rsidRDefault="001D2214" w:rsidP="007A200C">
      <w:pPr>
        <w:pStyle w:val="ListParagraph"/>
        <w:numPr>
          <w:ilvl w:val="0"/>
          <w:numId w:val="12"/>
        </w:numPr>
        <w:tabs>
          <w:tab w:val="left" w:pos="284"/>
        </w:tabs>
        <w:suppressAutoHyphens w:val="0"/>
        <w:spacing w:before="0" w:line="280" w:lineRule="exact"/>
        <w:ind w:left="568" w:hanging="284"/>
        <w:contextualSpacing w:val="0"/>
        <w:rPr>
          <w:rFonts w:eastAsia="Times New Roman" w:cs="Times New Roman"/>
          <w:color w:val="000000" w:themeColor="text1"/>
          <w:sz w:val="21"/>
          <w:szCs w:val="21"/>
          <w:lang w:val="en-AU"/>
        </w:rPr>
      </w:pPr>
      <w:r w:rsidRPr="008A20BE">
        <w:rPr>
          <w:rFonts w:eastAsia="Times New Roman" w:cs="Times New Roman"/>
          <w:color w:val="000000" w:themeColor="text1"/>
          <w:sz w:val="21"/>
          <w:szCs w:val="21"/>
          <w:lang w:val="en-AU"/>
        </w:rPr>
        <w:t xml:space="preserve">Inclusion of </w:t>
      </w:r>
      <w:r w:rsidR="008A3C25" w:rsidRPr="008A20BE">
        <w:rPr>
          <w:rFonts w:eastAsia="Times New Roman" w:cs="Times New Roman"/>
          <w:color w:val="000000" w:themeColor="text1"/>
          <w:sz w:val="21"/>
          <w:szCs w:val="21"/>
          <w:lang w:val="en-AU"/>
        </w:rPr>
        <w:t>s</w:t>
      </w:r>
      <w:r w:rsidR="00306938" w:rsidRPr="008A20BE">
        <w:rPr>
          <w:rFonts w:eastAsia="Times New Roman" w:cs="Times New Roman"/>
          <w:color w:val="000000" w:themeColor="text1"/>
          <w:sz w:val="21"/>
          <w:szCs w:val="21"/>
          <w:lang w:val="en-AU"/>
        </w:rPr>
        <w:t>urvival clauses:</w:t>
      </w:r>
      <w:r w:rsidR="00642A21" w:rsidRPr="008A20BE">
        <w:rPr>
          <w:rFonts w:eastAsia="Times New Roman" w:cs="Times New Roman"/>
          <w:color w:val="000000" w:themeColor="text1"/>
          <w:sz w:val="21"/>
          <w:szCs w:val="21"/>
          <w:lang w:val="en-AU"/>
        </w:rPr>
        <w:t xml:space="preserve"> </w:t>
      </w:r>
      <w:r w:rsidR="00847519" w:rsidRPr="008A20BE">
        <w:rPr>
          <w:rFonts w:eastAsia="Times New Roman" w:cs="Times New Roman"/>
          <w:color w:val="000000" w:themeColor="text1"/>
          <w:sz w:val="21"/>
          <w:szCs w:val="21"/>
          <w:lang w:val="en-AU"/>
        </w:rPr>
        <w:t xml:space="preserve">Management </w:t>
      </w:r>
      <w:r w:rsidR="00EF78A2" w:rsidRPr="008A20BE">
        <w:rPr>
          <w:rFonts w:eastAsia="Times New Roman" w:cs="Times New Roman"/>
          <w:color w:val="000000" w:themeColor="text1"/>
          <w:sz w:val="21"/>
          <w:szCs w:val="21"/>
          <w:lang w:val="en-AU"/>
        </w:rPr>
        <w:t xml:space="preserve">approach to </w:t>
      </w:r>
      <w:r w:rsidR="00306938" w:rsidRPr="008A20BE">
        <w:rPr>
          <w:rFonts w:eastAsia="Times New Roman" w:cs="Times New Roman"/>
          <w:color w:val="000000" w:themeColor="text1"/>
          <w:sz w:val="21"/>
          <w:szCs w:val="21"/>
        </w:rPr>
        <w:t>Clause 10 (Warranties), Clause 12 (Insurances), Clause 13 (Intellectual Property Rights), Clause 14 (Indemnities), Clause 25 (Investigation by the Ombudsman), Clause 27 (Fraud), Clause 32 (Confidentiality), Clause 33 (Privacy), Clause 39 (Recordkeeping), Clause 42 (Audit) and any other clause, which by their nature, survive the expiry or termination of this Contract.</w:t>
      </w:r>
    </w:p>
    <w:p w14:paraId="41DE4FD4" w14:textId="553BB422" w:rsidR="00306938" w:rsidRPr="008A20BE" w:rsidRDefault="00306938" w:rsidP="00FC12B6">
      <w:pPr>
        <w:pStyle w:val="ListParagraph"/>
        <w:numPr>
          <w:ilvl w:val="0"/>
          <w:numId w:val="12"/>
        </w:numPr>
        <w:tabs>
          <w:tab w:val="left" w:pos="284"/>
        </w:tabs>
        <w:suppressAutoHyphens w:val="0"/>
        <w:spacing w:before="0" w:line="280" w:lineRule="exact"/>
        <w:ind w:left="568" w:hanging="284"/>
        <w:contextualSpacing w:val="0"/>
        <w:rPr>
          <w:rFonts w:eastAsia="Times New Roman" w:cs="Times New Roman"/>
          <w:color w:val="000000" w:themeColor="text1"/>
          <w:sz w:val="21"/>
          <w:szCs w:val="21"/>
          <w:lang w:val="en-AU"/>
        </w:rPr>
        <w:sectPr w:rsidR="00306938" w:rsidRPr="008A20BE" w:rsidSect="00FC322F">
          <w:headerReference w:type="default" r:id="rId9"/>
          <w:footerReference w:type="default" r:id="rId10"/>
          <w:headerReference w:type="first" r:id="rId11"/>
          <w:footerReference w:type="first" r:id="rId12"/>
          <w:pgSz w:w="11906" w:h="16838" w:code="9"/>
          <w:pgMar w:top="1701" w:right="1134" w:bottom="1418" w:left="1134" w:header="425" w:footer="493" w:gutter="0"/>
          <w:cols w:space="397"/>
          <w:titlePg/>
          <w:docGrid w:linePitch="360"/>
        </w:sectPr>
      </w:pPr>
    </w:p>
    <w:p w14:paraId="08A94A11" w14:textId="77777777" w:rsidR="00B22583" w:rsidRDefault="00B22583">
      <w:pPr>
        <w:suppressAutoHyphens w:val="0"/>
        <w:spacing w:before="0" w:after="120" w:line="440" w:lineRule="atLeast"/>
      </w:pPr>
    </w:p>
    <w:p w14:paraId="618B1DAE" w14:textId="77777777" w:rsidR="004C6342" w:rsidRPr="004F2AF9" w:rsidRDefault="004C6342" w:rsidP="004C6342"/>
    <w:p w14:paraId="30FE7C32" w14:textId="77777777" w:rsidR="00774EE4" w:rsidRDefault="00774EE4" w:rsidP="0048492D"/>
    <w:p w14:paraId="63DC0548" w14:textId="77777777" w:rsidR="00223A38" w:rsidRDefault="00223A38" w:rsidP="00B22583">
      <w:pPr>
        <w:pBdr>
          <w:bottom w:val="single" w:sz="4" w:space="1" w:color="auto"/>
        </w:pBdr>
        <w:suppressAutoHyphens w:val="0"/>
        <w:spacing w:before="0" w:after="120" w:line="440" w:lineRule="atLeast"/>
        <w:rPr>
          <w:rFonts w:eastAsiaTheme="majorEastAsia" w:cstheme="majorBidi"/>
          <w:sz w:val="38"/>
          <w:szCs w:val="38"/>
        </w:rPr>
      </w:pPr>
    </w:p>
    <w:p w14:paraId="2DEF57CB" w14:textId="3A6CC8A8" w:rsidR="00B22583" w:rsidRPr="00B22583" w:rsidRDefault="00223A38" w:rsidP="00B22583">
      <w:pPr>
        <w:pBdr>
          <w:bottom w:val="single" w:sz="4" w:space="1" w:color="auto"/>
        </w:pBdr>
        <w:suppressAutoHyphens w:val="0"/>
        <w:spacing w:before="0" w:after="120" w:line="440" w:lineRule="atLeast"/>
        <w:rPr>
          <w:rFonts w:eastAsiaTheme="majorEastAsia" w:cstheme="majorBidi"/>
          <w:sz w:val="38"/>
          <w:szCs w:val="38"/>
        </w:rPr>
      </w:pPr>
      <w:r>
        <w:rPr>
          <w:rFonts w:eastAsiaTheme="majorEastAsia" w:cstheme="majorBidi"/>
          <w:sz w:val="38"/>
          <w:szCs w:val="38"/>
        </w:rPr>
        <w:t>Handover: Table of Responsibilities</w:t>
      </w:r>
      <w:r w:rsidR="00B15228">
        <w:rPr>
          <w:rFonts w:eastAsiaTheme="majorEastAsia" w:cstheme="majorBidi"/>
          <w:sz w:val="38"/>
          <w:szCs w:val="38"/>
        </w:rPr>
        <w:t xml:space="preserve"> (indicative template)</w:t>
      </w:r>
    </w:p>
    <w:p w14:paraId="5207C11D" w14:textId="77777777" w:rsidR="00B22583" w:rsidRPr="00B22583" w:rsidRDefault="00B22583" w:rsidP="00B22583">
      <w:pPr>
        <w:suppressAutoHyphens w:val="0"/>
        <w:spacing w:before="0" w:after="120" w:line="440" w:lineRule="atLeast"/>
        <w:rPr>
          <w:rFonts w:ascii="Calibri" w:eastAsiaTheme="majorEastAsia" w:hAnsi="Calibri" w:cstheme="majorBidi"/>
          <w:b/>
          <w:color w:val="auto"/>
          <w:sz w:val="26"/>
          <w:szCs w:val="26"/>
        </w:rPr>
      </w:pPr>
    </w:p>
    <w:tbl>
      <w:tblPr>
        <w:tblStyle w:val="TableGrid1"/>
        <w:tblW w:w="13884" w:type="dxa"/>
        <w:tblLook w:val="04A0" w:firstRow="1" w:lastRow="0" w:firstColumn="1" w:lastColumn="0" w:noHBand="0" w:noVBand="1"/>
      </w:tblPr>
      <w:tblGrid>
        <w:gridCol w:w="1838"/>
        <w:gridCol w:w="1559"/>
        <w:gridCol w:w="1418"/>
        <w:gridCol w:w="1701"/>
        <w:gridCol w:w="1843"/>
        <w:gridCol w:w="2126"/>
        <w:gridCol w:w="1701"/>
        <w:gridCol w:w="1698"/>
      </w:tblGrid>
      <w:tr w:rsidR="00B22583" w:rsidRPr="00B22583" w14:paraId="11A69640" w14:textId="77777777" w:rsidTr="001A5AF5">
        <w:tc>
          <w:tcPr>
            <w:tcW w:w="1838" w:type="dxa"/>
          </w:tcPr>
          <w:p w14:paraId="0E88627C" w14:textId="6A635449" w:rsidR="00B22583" w:rsidRPr="00B22583" w:rsidRDefault="00223A38" w:rsidP="00B22583">
            <w:pPr>
              <w:rPr>
                <w:color w:val="auto"/>
              </w:rPr>
            </w:pPr>
            <w:r>
              <w:rPr>
                <w:b/>
                <w:bCs/>
                <w:color w:val="auto"/>
                <w:sz w:val="20"/>
                <w:szCs w:val="20"/>
              </w:rPr>
              <w:t>Handover Category</w:t>
            </w:r>
          </w:p>
        </w:tc>
        <w:tc>
          <w:tcPr>
            <w:tcW w:w="1559" w:type="dxa"/>
          </w:tcPr>
          <w:p w14:paraId="2136E692" w14:textId="7B37D483" w:rsidR="00B22583" w:rsidRPr="00B22583" w:rsidRDefault="00223A38" w:rsidP="00B22583">
            <w:pPr>
              <w:rPr>
                <w:color w:val="auto"/>
              </w:rPr>
            </w:pPr>
            <w:r>
              <w:rPr>
                <w:b/>
                <w:bCs/>
                <w:color w:val="auto"/>
                <w:sz w:val="20"/>
                <w:szCs w:val="20"/>
              </w:rPr>
              <w:t>Detailed Task Breakdown</w:t>
            </w:r>
          </w:p>
        </w:tc>
        <w:tc>
          <w:tcPr>
            <w:tcW w:w="1418" w:type="dxa"/>
          </w:tcPr>
          <w:p w14:paraId="5238395E" w14:textId="337FD012" w:rsidR="00B22583" w:rsidRPr="00B22583" w:rsidRDefault="00223A38" w:rsidP="00B22583">
            <w:pPr>
              <w:rPr>
                <w:color w:val="auto"/>
              </w:rPr>
            </w:pPr>
            <w:r>
              <w:rPr>
                <w:b/>
                <w:bCs/>
                <w:color w:val="auto"/>
                <w:sz w:val="20"/>
                <w:szCs w:val="20"/>
              </w:rPr>
              <w:t>Timing</w:t>
            </w:r>
          </w:p>
        </w:tc>
        <w:tc>
          <w:tcPr>
            <w:tcW w:w="1701" w:type="dxa"/>
          </w:tcPr>
          <w:p w14:paraId="51FDAC2E" w14:textId="13F7B9D6" w:rsidR="00B22583" w:rsidRPr="00B22583" w:rsidRDefault="00223A38" w:rsidP="00B22583">
            <w:pPr>
              <w:rPr>
                <w:color w:val="auto"/>
              </w:rPr>
            </w:pPr>
            <w:r>
              <w:rPr>
                <w:b/>
                <w:bCs/>
                <w:color w:val="auto"/>
                <w:sz w:val="20"/>
                <w:szCs w:val="20"/>
              </w:rPr>
              <w:t>Responsibility: Contractor X</w:t>
            </w:r>
          </w:p>
        </w:tc>
        <w:tc>
          <w:tcPr>
            <w:tcW w:w="1843" w:type="dxa"/>
          </w:tcPr>
          <w:p w14:paraId="0BC3432C" w14:textId="69FA02C3" w:rsidR="00B22583" w:rsidRPr="00B22583" w:rsidRDefault="00223A38" w:rsidP="00B22583">
            <w:pPr>
              <w:rPr>
                <w:color w:val="auto"/>
              </w:rPr>
            </w:pPr>
            <w:r>
              <w:rPr>
                <w:b/>
                <w:bCs/>
                <w:color w:val="auto"/>
                <w:sz w:val="20"/>
                <w:szCs w:val="20"/>
              </w:rPr>
              <w:t>Responsibility: Contractor Y</w:t>
            </w:r>
          </w:p>
        </w:tc>
        <w:tc>
          <w:tcPr>
            <w:tcW w:w="2126" w:type="dxa"/>
          </w:tcPr>
          <w:p w14:paraId="5CF49605" w14:textId="166D817D" w:rsidR="00B22583" w:rsidRPr="00B22583" w:rsidRDefault="00223A38" w:rsidP="00B22583">
            <w:pPr>
              <w:rPr>
                <w:color w:val="auto"/>
              </w:rPr>
            </w:pPr>
            <w:r>
              <w:rPr>
                <w:b/>
                <w:bCs/>
                <w:color w:val="auto"/>
                <w:sz w:val="20"/>
                <w:szCs w:val="20"/>
              </w:rPr>
              <w:t>DFAT officer responsible</w:t>
            </w:r>
          </w:p>
        </w:tc>
        <w:tc>
          <w:tcPr>
            <w:tcW w:w="1701" w:type="dxa"/>
          </w:tcPr>
          <w:p w14:paraId="2E2C3002" w14:textId="1881DE7F" w:rsidR="00B22583" w:rsidRPr="00B22583" w:rsidRDefault="00223A38" w:rsidP="00B22583">
            <w:pPr>
              <w:rPr>
                <w:color w:val="auto"/>
              </w:rPr>
            </w:pPr>
            <w:r>
              <w:rPr>
                <w:b/>
                <w:bCs/>
                <w:color w:val="auto"/>
                <w:sz w:val="20"/>
                <w:szCs w:val="20"/>
              </w:rPr>
              <w:t>DFAT role</w:t>
            </w:r>
          </w:p>
        </w:tc>
        <w:tc>
          <w:tcPr>
            <w:tcW w:w="1698" w:type="dxa"/>
          </w:tcPr>
          <w:p w14:paraId="703A8FAB" w14:textId="2A17FFE6" w:rsidR="00B22583" w:rsidRPr="00B22583" w:rsidRDefault="00223A38" w:rsidP="00B22583">
            <w:pPr>
              <w:rPr>
                <w:color w:val="auto"/>
              </w:rPr>
            </w:pPr>
            <w:r>
              <w:rPr>
                <w:b/>
                <w:bCs/>
                <w:color w:val="auto"/>
                <w:sz w:val="20"/>
                <w:szCs w:val="20"/>
              </w:rPr>
              <w:t>Key risks</w:t>
            </w:r>
          </w:p>
        </w:tc>
      </w:tr>
      <w:tr w:rsidR="00B22583" w:rsidRPr="00B22583" w14:paraId="5A5793DA" w14:textId="77777777" w:rsidTr="001A5AF5">
        <w:tc>
          <w:tcPr>
            <w:tcW w:w="1838" w:type="dxa"/>
          </w:tcPr>
          <w:p w14:paraId="3EDEC3EE" w14:textId="5F4949C4" w:rsidR="00B22583" w:rsidRPr="00B22583" w:rsidRDefault="00B22583" w:rsidP="00B22583">
            <w:pPr>
              <w:rPr>
                <w:i/>
                <w:color w:val="auto"/>
                <w:sz w:val="20"/>
                <w:szCs w:val="20"/>
              </w:rPr>
            </w:pPr>
          </w:p>
        </w:tc>
        <w:tc>
          <w:tcPr>
            <w:tcW w:w="1559" w:type="dxa"/>
          </w:tcPr>
          <w:p w14:paraId="030F6186" w14:textId="2DB04B66" w:rsidR="00B22583" w:rsidRPr="00B22583" w:rsidRDefault="00B22583" w:rsidP="00B22583">
            <w:pPr>
              <w:rPr>
                <w:i/>
                <w:color w:val="auto"/>
                <w:sz w:val="20"/>
                <w:szCs w:val="20"/>
              </w:rPr>
            </w:pPr>
          </w:p>
        </w:tc>
        <w:tc>
          <w:tcPr>
            <w:tcW w:w="1418" w:type="dxa"/>
          </w:tcPr>
          <w:p w14:paraId="001CFFEA" w14:textId="593DAA04" w:rsidR="00B22583" w:rsidRPr="00B22583" w:rsidRDefault="00B22583" w:rsidP="00B22583">
            <w:pPr>
              <w:rPr>
                <w:i/>
                <w:color w:val="auto"/>
                <w:sz w:val="20"/>
                <w:szCs w:val="20"/>
              </w:rPr>
            </w:pPr>
          </w:p>
        </w:tc>
        <w:tc>
          <w:tcPr>
            <w:tcW w:w="1701" w:type="dxa"/>
          </w:tcPr>
          <w:p w14:paraId="3FDD70B8" w14:textId="352B4D35" w:rsidR="00B22583" w:rsidRPr="00B22583" w:rsidRDefault="00B22583" w:rsidP="00B22583">
            <w:pPr>
              <w:rPr>
                <w:i/>
                <w:color w:val="auto"/>
                <w:sz w:val="20"/>
                <w:szCs w:val="20"/>
              </w:rPr>
            </w:pPr>
          </w:p>
        </w:tc>
        <w:tc>
          <w:tcPr>
            <w:tcW w:w="1843" w:type="dxa"/>
          </w:tcPr>
          <w:p w14:paraId="2D3A23BA" w14:textId="394A7BBB" w:rsidR="00B22583" w:rsidRPr="00B22583" w:rsidRDefault="00B22583" w:rsidP="00B22583">
            <w:pPr>
              <w:rPr>
                <w:i/>
                <w:color w:val="auto"/>
                <w:sz w:val="20"/>
                <w:szCs w:val="20"/>
              </w:rPr>
            </w:pPr>
          </w:p>
        </w:tc>
        <w:tc>
          <w:tcPr>
            <w:tcW w:w="2126" w:type="dxa"/>
          </w:tcPr>
          <w:p w14:paraId="2A796B17" w14:textId="78DFB5B3" w:rsidR="00B22583" w:rsidRPr="00B22583" w:rsidRDefault="00B22583" w:rsidP="00B22583">
            <w:pPr>
              <w:rPr>
                <w:i/>
                <w:color w:val="auto"/>
                <w:sz w:val="20"/>
                <w:szCs w:val="20"/>
              </w:rPr>
            </w:pPr>
          </w:p>
        </w:tc>
        <w:tc>
          <w:tcPr>
            <w:tcW w:w="1701" w:type="dxa"/>
          </w:tcPr>
          <w:p w14:paraId="32BF3741" w14:textId="77777777" w:rsidR="00B22583" w:rsidRPr="00B22583" w:rsidRDefault="00B22583" w:rsidP="00B22583">
            <w:pPr>
              <w:rPr>
                <w:i/>
                <w:color w:val="auto"/>
                <w:sz w:val="20"/>
                <w:szCs w:val="20"/>
              </w:rPr>
            </w:pPr>
          </w:p>
        </w:tc>
        <w:tc>
          <w:tcPr>
            <w:tcW w:w="1698" w:type="dxa"/>
          </w:tcPr>
          <w:p w14:paraId="6CB79838" w14:textId="75C0D392" w:rsidR="00B22583" w:rsidRPr="00B22583" w:rsidRDefault="00B22583" w:rsidP="00B22583">
            <w:pPr>
              <w:rPr>
                <w:i/>
                <w:color w:val="auto"/>
                <w:sz w:val="20"/>
                <w:szCs w:val="20"/>
              </w:rPr>
            </w:pPr>
          </w:p>
        </w:tc>
      </w:tr>
      <w:tr w:rsidR="00B22583" w:rsidRPr="00B22583" w14:paraId="6DCAA3FE" w14:textId="77777777" w:rsidTr="001A5AF5">
        <w:tc>
          <w:tcPr>
            <w:tcW w:w="1838" w:type="dxa"/>
          </w:tcPr>
          <w:p w14:paraId="6CD0079B" w14:textId="77777777" w:rsidR="00B22583" w:rsidRPr="00B22583" w:rsidRDefault="00B22583" w:rsidP="00B22583">
            <w:pPr>
              <w:rPr>
                <w:color w:val="auto"/>
              </w:rPr>
            </w:pPr>
          </w:p>
        </w:tc>
        <w:tc>
          <w:tcPr>
            <w:tcW w:w="1559" w:type="dxa"/>
          </w:tcPr>
          <w:p w14:paraId="03C0B75A" w14:textId="77777777" w:rsidR="00B22583" w:rsidRPr="00B22583" w:rsidRDefault="00B22583" w:rsidP="00B22583">
            <w:pPr>
              <w:rPr>
                <w:color w:val="auto"/>
              </w:rPr>
            </w:pPr>
          </w:p>
        </w:tc>
        <w:tc>
          <w:tcPr>
            <w:tcW w:w="1418" w:type="dxa"/>
          </w:tcPr>
          <w:p w14:paraId="1346BCDB" w14:textId="77777777" w:rsidR="00B22583" w:rsidRPr="00B22583" w:rsidRDefault="00B22583" w:rsidP="00B22583">
            <w:pPr>
              <w:rPr>
                <w:color w:val="auto"/>
              </w:rPr>
            </w:pPr>
          </w:p>
        </w:tc>
        <w:tc>
          <w:tcPr>
            <w:tcW w:w="1701" w:type="dxa"/>
          </w:tcPr>
          <w:p w14:paraId="1BC7EA23" w14:textId="77777777" w:rsidR="00B22583" w:rsidRPr="00B22583" w:rsidRDefault="00B22583" w:rsidP="00B22583">
            <w:pPr>
              <w:rPr>
                <w:color w:val="auto"/>
              </w:rPr>
            </w:pPr>
          </w:p>
        </w:tc>
        <w:tc>
          <w:tcPr>
            <w:tcW w:w="1843" w:type="dxa"/>
          </w:tcPr>
          <w:p w14:paraId="5F6E0C9E" w14:textId="77777777" w:rsidR="00B22583" w:rsidRPr="00B22583" w:rsidRDefault="00B22583" w:rsidP="00B22583">
            <w:pPr>
              <w:rPr>
                <w:color w:val="auto"/>
              </w:rPr>
            </w:pPr>
          </w:p>
        </w:tc>
        <w:tc>
          <w:tcPr>
            <w:tcW w:w="2126" w:type="dxa"/>
          </w:tcPr>
          <w:p w14:paraId="1BE6E351" w14:textId="77777777" w:rsidR="00B22583" w:rsidRPr="00B22583" w:rsidRDefault="00B22583" w:rsidP="00B22583">
            <w:pPr>
              <w:rPr>
                <w:color w:val="auto"/>
              </w:rPr>
            </w:pPr>
          </w:p>
        </w:tc>
        <w:tc>
          <w:tcPr>
            <w:tcW w:w="1701" w:type="dxa"/>
          </w:tcPr>
          <w:p w14:paraId="03AB4CB5" w14:textId="77777777" w:rsidR="00B22583" w:rsidRPr="00B22583" w:rsidRDefault="00B22583" w:rsidP="00B22583">
            <w:pPr>
              <w:rPr>
                <w:color w:val="auto"/>
              </w:rPr>
            </w:pPr>
          </w:p>
        </w:tc>
        <w:tc>
          <w:tcPr>
            <w:tcW w:w="1698" w:type="dxa"/>
          </w:tcPr>
          <w:p w14:paraId="5DAA6AA8" w14:textId="77777777" w:rsidR="00B22583" w:rsidRPr="00B22583" w:rsidRDefault="00B22583" w:rsidP="00B22583">
            <w:pPr>
              <w:rPr>
                <w:color w:val="auto"/>
              </w:rPr>
            </w:pPr>
          </w:p>
        </w:tc>
      </w:tr>
      <w:tr w:rsidR="00223A38" w:rsidRPr="00B22583" w14:paraId="5F7FF7DB" w14:textId="77777777" w:rsidTr="001A5AF5">
        <w:tc>
          <w:tcPr>
            <w:tcW w:w="1838" w:type="dxa"/>
          </w:tcPr>
          <w:p w14:paraId="283D0036" w14:textId="77777777" w:rsidR="00223A38" w:rsidRPr="00B22583" w:rsidRDefault="00223A38" w:rsidP="00EB1A2E">
            <w:pPr>
              <w:rPr>
                <w:color w:val="auto"/>
              </w:rPr>
            </w:pPr>
          </w:p>
        </w:tc>
        <w:tc>
          <w:tcPr>
            <w:tcW w:w="1559" w:type="dxa"/>
          </w:tcPr>
          <w:p w14:paraId="473DD668" w14:textId="77777777" w:rsidR="00223A38" w:rsidRPr="00B22583" w:rsidRDefault="00223A38" w:rsidP="00EB1A2E">
            <w:pPr>
              <w:rPr>
                <w:color w:val="auto"/>
              </w:rPr>
            </w:pPr>
          </w:p>
        </w:tc>
        <w:tc>
          <w:tcPr>
            <w:tcW w:w="1418" w:type="dxa"/>
          </w:tcPr>
          <w:p w14:paraId="2A5735DD" w14:textId="77777777" w:rsidR="00223A38" w:rsidRPr="00B22583" w:rsidRDefault="00223A38" w:rsidP="00EB1A2E">
            <w:pPr>
              <w:rPr>
                <w:color w:val="auto"/>
              </w:rPr>
            </w:pPr>
          </w:p>
        </w:tc>
        <w:tc>
          <w:tcPr>
            <w:tcW w:w="1701" w:type="dxa"/>
          </w:tcPr>
          <w:p w14:paraId="6EBA3035" w14:textId="77777777" w:rsidR="00223A38" w:rsidRPr="00B22583" w:rsidRDefault="00223A38" w:rsidP="00EB1A2E">
            <w:pPr>
              <w:rPr>
                <w:color w:val="auto"/>
              </w:rPr>
            </w:pPr>
          </w:p>
        </w:tc>
        <w:tc>
          <w:tcPr>
            <w:tcW w:w="1843" w:type="dxa"/>
          </w:tcPr>
          <w:p w14:paraId="77D841AF" w14:textId="77777777" w:rsidR="00223A38" w:rsidRPr="00B22583" w:rsidRDefault="00223A38" w:rsidP="00EB1A2E">
            <w:pPr>
              <w:rPr>
                <w:color w:val="auto"/>
              </w:rPr>
            </w:pPr>
          </w:p>
        </w:tc>
        <w:tc>
          <w:tcPr>
            <w:tcW w:w="2126" w:type="dxa"/>
          </w:tcPr>
          <w:p w14:paraId="3E5CCE16" w14:textId="77777777" w:rsidR="00223A38" w:rsidRPr="00B22583" w:rsidRDefault="00223A38" w:rsidP="00EB1A2E">
            <w:pPr>
              <w:rPr>
                <w:color w:val="auto"/>
              </w:rPr>
            </w:pPr>
          </w:p>
        </w:tc>
        <w:tc>
          <w:tcPr>
            <w:tcW w:w="1701" w:type="dxa"/>
          </w:tcPr>
          <w:p w14:paraId="095AF10C" w14:textId="77777777" w:rsidR="00223A38" w:rsidRPr="00B22583" w:rsidRDefault="00223A38" w:rsidP="00EB1A2E">
            <w:pPr>
              <w:rPr>
                <w:color w:val="auto"/>
              </w:rPr>
            </w:pPr>
          </w:p>
        </w:tc>
        <w:tc>
          <w:tcPr>
            <w:tcW w:w="1698" w:type="dxa"/>
          </w:tcPr>
          <w:p w14:paraId="00DDFEAE" w14:textId="77777777" w:rsidR="00223A38" w:rsidRPr="00B22583" w:rsidRDefault="00223A38" w:rsidP="00EB1A2E">
            <w:pPr>
              <w:rPr>
                <w:color w:val="auto"/>
              </w:rPr>
            </w:pPr>
          </w:p>
        </w:tc>
      </w:tr>
      <w:tr w:rsidR="00223A38" w:rsidRPr="00B22583" w14:paraId="66D27507" w14:textId="77777777" w:rsidTr="001A5AF5">
        <w:tc>
          <w:tcPr>
            <w:tcW w:w="1838" w:type="dxa"/>
          </w:tcPr>
          <w:p w14:paraId="4B547190" w14:textId="77777777" w:rsidR="00223A38" w:rsidRPr="00B22583" w:rsidRDefault="00223A38" w:rsidP="00EB1A2E">
            <w:pPr>
              <w:rPr>
                <w:color w:val="auto"/>
              </w:rPr>
            </w:pPr>
          </w:p>
        </w:tc>
        <w:tc>
          <w:tcPr>
            <w:tcW w:w="1559" w:type="dxa"/>
          </w:tcPr>
          <w:p w14:paraId="019580ED" w14:textId="77777777" w:rsidR="00223A38" w:rsidRPr="00B22583" w:rsidRDefault="00223A38" w:rsidP="00EB1A2E">
            <w:pPr>
              <w:rPr>
                <w:color w:val="auto"/>
              </w:rPr>
            </w:pPr>
          </w:p>
        </w:tc>
        <w:tc>
          <w:tcPr>
            <w:tcW w:w="1418" w:type="dxa"/>
          </w:tcPr>
          <w:p w14:paraId="5F7FAEE1" w14:textId="77777777" w:rsidR="00223A38" w:rsidRPr="00B22583" w:rsidRDefault="00223A38" w:rsidP="00EB1A2E">
            <w:pPr>
              <w:rPr>
                <w:color w:val="auto"/>
              </w:rPr>
            </w:pPr>
          </w:p>
        </w:tc>
        <w:tc>
          <w:tcPr>
            <w:tcW w:w="1701" w:type="dxa"/>
          </w:tcPr>
          <w:p w14:paraId="4064E314" w14:textId="77777777" w:rsidR="00223A38" w:rsidRPr="00B22583" w:rsidRDefault="00223A38" w:rsidP="00EB1A2E">
            <w:pPr>
              <w:rPr>
                <w:color w:val="auto"/>
              </w:rPr>
            </w:pPr>
          </w:p>
        </w:tc>
        <w:tc>
          <w:tcPr>
            <w:tcW w:w="1843" w:type="dxa"/>
          </w:tcPr>
          <w:p w14:paraId="79684670" w14:textId="77777777" w:rsidR="00223A38" w:rsidRPr="00B22583" w:rsidRDefault="00223A38" w:rsidP="00EB1A2E">
            <w:pPr>
              <w:rPr>
                <w:color w:val="auto"/>
              </w:rPr>
            </w:pPr>
          </w:p>
        </w:tc>
        <w:tc>
          <w:tcPr>
            <w:tcW w:w="2126" w:type="dxa"/>
          </w:tcPr>
          <w:p w14:paraId="30631E2A" w14:textId="77777777" w:rsidR="00223A38" w:rsidRPr="00B22583" w:rsidRDefault="00223A38" w:rsidP="00EB1A2E">
            <w:pPr>
              <w:rPr>
                <w:color w:val="auto"/>
              </w:rPr>
            </w:pPr>
          </w:p>
        </w:tc>
        <w:tc>
          <w:tcPr>
            <w:tcW w:w="1701" w:type="dxa"/>
          </w:tcPr>
          <w:p w14:paraId="65890540" w14:textId="77777777" w:rsidR="00223A38" w:rsidRPr="00B22583" w:rsidRDefault="00223A38" w:rsidP="00EB1A2E">
            <w:pPr>
              <w:rPr>
                <w:color w:val="auto"/>
              </w:rPr>
            </w:pPr>
          </w:p>
        </w:tc>
        <w:tc>
          <w:tcPr>
            <w:tcW w:w="1698" w:type="dxa"/>
          </w:tcPr>
          <w:p w14:paraId="549B59D7" w14:textId="77777777" w:rsidR="00223A38" w:rsidRPr="00B22583" w:rsidRDefault="00223A38" w:rsidP="00EB1A2E">
            <w:pPr>
              <w:rPr>
                <w:color w:val="auto"/>
              </w:rPr>
            </w:pPr>
          </w:p>
        </w:tc>
      </w:tr>
      <w:tr w:rsidR="00223A38" w:rsidRPr="00B22583" w14:paraId="294A7238" w14:textId="77777777" w:rsidTr="001A5AF5">
        <w:tc>
          <w:tcPr>
            <w:tcW w:w="1838" w:type="dxa"/>
          </w:tcPr>
          <w:p w14:paraId="32E08B46" w14:textId="77777777" w:rsidR="00223A38" w:rsidRPr="00B22583" w:rsidRDefault="00223A38" w:rsidP="00EB1A2E">
            <w:pPr>
              <w:rPr>
                <w:color w:val="auto"/>
              </w:rPr>
            </w:pPr>
          </w:p>
        </w:tc>
        <w:tc>
          <w:tcPr>
            <w:tcW w:w="1559" w:type="dxa"/>
          </w:tcPr>
          <w:p w14:paraId="6B4BCE53" w14:textId="77777777" w:rsidR="00223A38" w:rsidRPr="00B22583" w:rsidRDefault="00223A38" w:rsidP="00EB1A2E">
            <w:pPr>
              <w:rPr>
                <w:color w:val="auto"/>
              </w:rPr>
            </w:pPr>
          </w:p>
        </w:tc>
        <w:tc>
          <w:tcPr>
            <w:tcW w:w="1418" w:type="dxa"/>
          </w:tcPr>
          <w:p w14:paraId="56373472" w14:textId="77777777" w:rsidR="00223A38" w:rsidRPr="00B22583" w:rsidRDefault="00223A38" w:rsidP="00EB1A2E">
            <w:pPr>
              <w:rPr>
                <w:color w:val="auto"/>
              </w:rPr>
            </w:pPr>
          </w:p>
        </w:tc>
        <w:tc>
          <w:tcPr>
            <w:tcW w:w="1701" w:type="dxa"/>
          </w:tcPr>
          <w:p w14:paraId="1EE3E1A4" w14:textId="77777777" w:rsidR="00223A38" w:rsidRPr="00B22583" w:rsidRDefault="00223A38" w:rsidP="00EB1A2E">
            <w:pPr>
              <w:rPr>
                <w:color w:val="auto"/>
              </w:rPr>
            </w:pPr>
          </w:p>
        </w:tc>
        <w:tc>
          <w:tcPr>
            <w:tcW w:w="1843" w:type="dxa"/>
          </w:tcPr>
          <w:p w14:paraId="27541D75" w14:textId="77777777" w:rsidR="00223A38" w:rsidRPr="00B22583" w:rsidRDefault="00223A38" w:rsidP="00EB1A2E">
            <w:pPr>
              <w:rPr>
                <w:color w:val="auto"/>
              </w:rPr>
            </w:pPr>
          </w:p>
        </w:tc>
        <w:tc>
          <w:tcPr>
            <w:tcW w:w="2126" w:type="dxa"/>
          </w:tcPr>
          <w:p w14:paraId="60FAD2EA" w14:textId="77777777" w:rsidR="00223A38" w:rsidRPr="00B22583" w:rsidRDefault="00223A38" w:rsidP="00EB1A2E">
            <w:pPr>
              <w:rPr>
                <w:color w:val="auto"/>
              </w:rPr>
            </w:pPr>
          </w:p>
        </w:tc>
        <w:tc>
          <w:tcPr>
            <w:tcW w:w="1701" w:type="dxa"/>
          </w:tcPr>
          <w:p w14:paraId="117A4ACE" w14:textId="77777777" w:rsidR="00223A38" w:rsidRPr="00B22583" w:rsidRDefault="00223A38" w:rsidP="00EB1A2E">
            <w:pPr>
              <w:rPr>
                <w:color w:val="auto"/>
              </w:rPr>
            </w:pPr>
          </w:p>
        </w:tc>
        <w:tc>
          <w:tcPr>
            <w:tcW w:w="1698" w:type="dxa"/>
          </w:tcPr>
          <w:p w14:paraId="1B94749D" w14:textId="77777777" w:rsidR="00223A38" w:rsidRPr="00B22583" w:rsidRDefault="00223A38" w:rsidP="00EB1A2E">
            <w:pPr>
              <w:rPr>
                <w:color w:val="auto"/>
              </w:rPr>
            </w:pPr>
          </w:p>
        </w:tc>
      </w:tr>
      <w:tr w:rsidR="00223A38" w:rsidRPr="00B22583" w14:paraId="7688A3E0" w14:textId="77777777" w:rsidTr="001A5AF5">
        <w:tc>
          <w:tcPr>
            <w:tcW w:w="1838" w:type="dxa"/>
          </w:tcPr>
          <w:p w14:paraId="280C9740" w14:textId="77777777" w:rsidR="00223A38" w:rsidRPr="00B22583" w:rsidRDefault="00223A38" w:rsidP="00EB1A2E">
            <w:pPr>
              <w:rPr>
                <w:color w:val="auto"/>
              </w:rPr>
            </w:pPr>
          </w:p>
        </w:tc>
        <w:tc>
          <w:tcPr>
            <w:tcW w:w="1559" w:type="dxa"/>
          </w:tcPr>
          <w:p w14:paraId="061341FA" w14:textId="77777777" w:rsidR="00223A38" w:rsidRPr="00B22583" w:rsidRDefault="00223A38" w:rsidP="00EB1A2E">
            <w:pPr>
              <w:rPr>
                <w:color w:val="auto"/>
              </w:rPr>
            </w:pPr>
          </w:p>
        </w:tc>
        <w:tc>
          <w:tcPr>
            <w:tcW w:w="1418" w:type="dxa"/>
          </w:tcPr>
          <w:p w14:paraId="2BD6D17D" w14:textId="77777777" w:rsidR="00223A38" w:rsidRPr="00B22583" w:rsidRDefault="00223A38" w:rsidP="00EB1A2E">
            <w:pPr>
              <w:rPr>
                <w:color w:val="auto"/>
              </w:rPr>
            </w:pPr>
          </w:p>
        </w:tc>
        <w:tc>
          <w:tcPr>
            <w:tcW w:w="1701" w:type="dxa"/>
          </w:tcPr>
          <w:p w14:paraId="6B2F6EB1" w14:textId="77777777" w:rsidR="00223A38" w:rsidRPr="00B22583" w:rsidRDefault="00223A38" w:rsidP="00EB1A2E">
            <w:pPr>
              <w:rPr>
                <w:color w:val="auto"/>
              </w:rPr>
            </w:pPr>
          </w:p>
        </w:tc>
        <w:tc>
          <w:tcPr>
            <w:tcW w:w="1843" w:type="dxa"/>
          </w:tcPr>
          <w:p w14:paraId="15B664AE" w14:textId="77777777" w:rsidR="00223A38" w:rsidRPr="00B22583" w:rsidRDefault="00223A38" w:rsidP="00EB1A2E">
            <w:pPr>
              <w:rPr>
                <w:color w:val="auto"/>
              </w:rPr>
            </w:pPr>
          </w:p>
        </w:tc>
        <w:tc>
          <w:tcPr>
            <w:tcW w:w="2126" w:type="dxa"/>
          </w:tcPr>
          <w:p w14:paraId="11411BBD" w14:textId="77777777" w:rsidR="00223A38" w:rsidRPr="00B22583" w:rsidRDefault="00223A38" w:rsidP="00EB1A2E">
            <w:pPr>
              <w:rPr>
                <w:color w:val="auto"/>
              </w:rPr>
            </w:pPr>
          </w:p>
        </w:tc>
        <w:tc>
          <w:tcPr>
            <w:tcW w:w="1701" w:type="dxa"/>
          </w:tcPr>
          <w:p w14:paraId="09D1E1CD" w14:textId="77777777" w:rsidR="00223A38" w:rsidRPr="00B22583" w:rsidRDefault="00223A38" w:rsidP="00EB1A2E">
            <w:pPr>
              <w:rPr>
                <w:color w:val="auto"/>
              </w:rPr>
            </w:pPr>
          </w:p>
        </w:tc>
        <w:tc>
          <w:tcPr>
            <w:tcW w:w="1698" w:type="dxa"/>
          </w:tcPr>
          <w:p w14:paraId="53D03B88" w14:textId="77777777" w:rsidR="00223A38" w:rsidRPr="00B22583" w:rsidRDefault="00223A38" w:rsidP="00EB1A2E">
            <w:pPr>
              <w:rPr>
                <w:color w:val="auto"/>
              </w:rPr>
            </w:pPr>
          </w:p>
        </w:tc>
      </w:tr>
      <w:tr w:rsidR="00B22583" w:rsidRPr="00B22583" w14:paraId="00B83B7A" w14:textId="77777777" w:rsidTr="001A5AF5">
        <w:tc>
          <w:tcPr>
            <w:tcW w:w="1838" w:type="dxa"/>
          </w:tcPr>
          <w:p w14:paraId="120235DF" w14:textId="77777777" w:rsidR="00B22583" w:rsidRPr="00B22583" w:rsidRDefault="00B22583" w:rsidP="00B22583">
            <w:pPr>
              <w:rPr>
                <w:color w:val="auto"/>
              </w:rPr>
            </w:pPr>
          </w:p>
        </w:tc>
        <w:tc>
          <w:tcPr>
            <w:tcW w:w="1559" w:type="dxa"/>
          </w:tcPr>
          <w:p w14:paraId="79D96361" w14:textId="77777777" w:rsidR="00B22583" w:rsidRPr="00B22583" w:rsidRDefault="00B22583" w:rsidP="00B22583">
            <w:pPr>
              <w:rPr>
                <w:color w:val="auto"/>
              </w:rPr>
            </w:pPr>
          </w:p>
        </w:tc>
        <w:tc>
          <w:tcPr>
            <w:tcW w:w="1418" w:type="dxa"/>
          </w:tcPr>
          <w:p w14:paraId="23C6895C" w14:textId="77777777" w:rsidR="00B22583" w:rsidRPr="00B22583" w:rsidRDefault="00B22583" w:rsidP="00B22583">
            <w:pPr>
              <w:rPr>
                <w:color w:val="auto"/>
              </w:rPr>
            </w:pPr>
          </w:p>
        </w:tc>
        <w:tc>
          <w:tcPr>
            <w:tcW w:w="1701" w:type="dxa"/>
          </w:tcPr>
          <w:p w14:paraId="1290517C" w14:textId="77777777" w:rsidR="00B22583" w:rsidRPr="00B22583" w:rsidRDefault="00B22583" w:rsidP="00B22583">
            <w:pPr>
              <w:rPr>
                <w:color w:val="auto"/>
              </w:rPr>
            </w:pPr>
          </w:p>
        </w:tc>
        <w:tc>
          <w:tcPr>
            <w:tcW w:w="1843" w:type="dxa"/>
          </w:tcPr>
          <w:p w14:paraId="4592CB54" w14:textId="77777777" w:rsidR="00B22583" w:rsidRPr="00B22583" w:rsidRDefault="00B22583" w:rsidP="00B22583">
            <w:pPr>
              <w:rPr>
                <w:color w:val="auto"/>
              </w:rPr>
            </w:pPr>
          </w:p>
        </w:tc>
        <w:tc>
          <w:tcPr>
            <w:tcW w:w="2126" w:type="dxa"/>
          </w:tcPr>
          <w:p w14:paraId="2B8F21B8" w14:textId="77777777" w:rsidR="00B22583" w:rsidRPr="00B22583" w:rsidRDefault="00B22583" w:rsidP="00B22583">
            <w:pPr>
              <w:rPr>
                <w:color w:val="auto"/>
              </w:rPr>
            </w:pPr>
          </w:p>
        </w:tc>
        <w:tc>
          <w:tcPr>
            <w:tcW w:w="1701" w:type="dxa"/>
          </w:tcPr>
          <w:p w14:paraId="2D0D5F45" w14:textId="77777777" w:rsidR="00B22583" w:rsidRPr="00B22583" w:rsidRDefault="00B22583" w:rsidP="00B22583">
            <w:pPr>
              <w:rPr>
                <w:color w:val="auto"/>
              </w:rPr>
            </w:pPr>
          </w:p>
        </w:tc>
        <w:tc>
          <w:tcPr>
            <w:tcW w:w="1698" w:type="dxa"/>
          </w:tcPr>
          <w:p w14:paraId="750CA238" w14:textId="77777777" w:rsidR="00B22583" w:rsidRPr="00B22583" w:rsidRDefault="00B22583" w:rsidP="00B22583">
            <w:pPr>
              <w:rPr>
                <w:color w:val="auto"/>
              </w:rPr>
            </w:pPr>
          </w:p>
        </w:tc>
      </w:tr>
      <w:tr w:rsidR="00B22583" w:rsidRPr="00B22583" w14:paraId="3428E2C6" w14:textId="77777777" w:rsidTr="001A5AF5">
        <w:tc>
          <w:tcPr>
            <w:tcW w:w="1838" w:type="dxa"/>
          </w:tcPr>
          <w:p w14:paraId="36CE77FC" w14:textId="77777777" w:rsidR="00B22583" w:rsidRPr="00B22583" w:rsidRDefault="00B22583" w:rsidP="00B22583">
            <w:pPr>
              <w:rPr>
                <w:color w:val="auto"/>
              </w:rPr>
            </w:pPr>
          </w:p>
        </w:tc>
        <w:tc>
          <w:tcPr>
            <w:tcW w:w="1559" w:type="dxa"/>
          </w:tcPr>
          <w:p w14:paraId="29DDCF06" w14:textId="77777777" w:rsidR="00B22583" w:rsidRPr="00B22583" w:rsidRDefault="00B22583" w:rsidP="00B22583">
            <w:pPr>
              <w:rPr>
                <w:color w:val="auto"/>
              </w:rPr>
            </w:pPr>
          </w:p>
        </w:tc>
        <w:tc>
          <w:tcPr>
            <w:tcW w:w="1418" w:type="dxa"/>
          </w:tcPr>
          <w:p w14:paraId="3D5BDB44" w14:textId="77777777" w:rsidR="00B22583" w:rsidRPr="00B22583" w:rsidRDefault="00B22583" w:rsidP="00B22583">
            <w:pPr>
              <w:rPr>
                <w:color w:val="auto"/>
              </w:rPr>
            </w:pPr>
          </w:p>
        </w:tc>
        <w:tc>
          <w:tcPr>
            <w:tcW w:w="1701" w:type="dxa"/>
          </w:tcPr>
          <w:p w14:paraId="07F7A17D" w14:textId="77777777" w:rsidR="00B22583" w:rsidRPr="00B22583" w:rsidRDefault="00B22583" w:rsidP="00B22583">
            <w:pPr>
              <w:rPr>
                <w:color w:val="auto"/>
              </w:rPr>
            </w:pPr>
          </w:p>
        </w:tc>
        <w:tc>
          <w:tcPr>
            <w:tcW w:w="1843" w:type="dxa"/>
          </w:tcPr>
          <w:p w14:paraId="41FAED76" w14:textId="77777777" w:rsidR="00B22583" w:rsidRPr="00B22583" w:rsidRDefault="00B22583" w:rsidP="00B22583">
            <w:pPr>
              <w:rPr>
                <w:color w:val="auto"/>
              </w:rPr>
            </w:pPr>
          </w:p>
        </w:tc>
        <w:tc>
          <w:tcPr>
            <w:tcW w:w="2126" w:type="dxa"/>
          </w:tcPr>
          <w:p w14:paraId="5274926C" w14:textId="77777777" w:rsidR="00B22583" w:rsidRPr="00B22583" w:rsidRDefault="00B22583" w:rsidP="00B22583">
            <w:pPr>
              <w:rPr>
                <w:color w:val="auto"/>
              </w:rPr>
            </w:pPr>
          </w:p>
        </w:tc>
        <w:tc>
          <w:tcPr>
            <w:tcW w:w="1701" w:type="dxa"/>
          </w:tcPr>
          <w:p w14:paraId="5D2208CF" w14:textId="77777777" w:rsidR="00B22583" w:rsidRPr="00B22583" w:rsidRDefault="00B22583" w:rsidP="00B22583">
            <w:pPr>
              <w:rPr>
                <w:color w:val="auto"/>
              </w:rPr>
            </w:pPr>
          </w:p>
        </w:tc>
        <w:tc>
          <w:tcPr>
            <w:tcW w:w="1698" w:type="dxa"/>
          </w:tcPr>
          <w:p w14:paraId="7DB8C34A" w14:textId="77777777" w:rsidR="00B22583" w:rsidRPr="00B22583" w:rsidRDefault="00B22583" w:rsidP="00B22583">
            <w:pPr>
              <w:rPr>
                <w:color w:val="auto"/>
              </w:rPr>
            </w:pPr>
          </w:p>
        </w:tc>
      </w:tr>
    </w:tbl>
    <w:p w14:paraId="24AFD058" w14:textId="58F4180B" w:rsidR="0036178A" w:rsidRDefault="0036178A" w:rsidP="00223A38">
      <w:pPr>
        <w:tabs>
          <w:tab w:val="left" w:pos="8094"/>
        </w:tabs>
      </w:pPr>
    </w:p>
    <w:p w14:paraId="274B538F" w14:textId="0FD16E91" w:rsidR="00EA0BC1" w:rsidRDefault="00EA0BC1" w:rsidP="00223A38">
      <w:pPr>
        <w:tabs>
          <w:tab w:val="left" w:pos="8094"/>
        </w:tabs>
      </w:pPr>
    </w:p>
    <w:p w14:paraId="708B6D71" w14:textId="2FF26DCE" w:rsidR="00EA0BC1" w:rsidRDefault="00EA0BC1" w:rsidP="00223A38">
      <w:pPr>
        <w:tabs>
          <w:tab w:val="left" w:pos="8094"/>
        </w:tabs>
      </w:pPr>
    </w:p>
    <w:p w14:paraId="3DCD7DF8" w14:textId="24723A25" w:rsidR="00EA0BC1" w:rsidRPr="00374A3A" w:rsidRDefault="00EA0BC1" w:rsidP="00374A3A">
      <w:pPr>
        <w:pStyle w:val="Heading1"/>
        <w:keepNext w:val="0"/>
        <w:keepLines w:val="0"/>
        <w:suppressAutoHyphens w:val="0"/>
        <w:spacing w:before="120" w:after="120" w:line="240" w:lineRule="auto"/>
        <w:contextualSpacing w:val="0"/>
        <w:jc w:val="both"/>
        <w:rPr>
          <w:rFonts w:ascii="Arial" w:eastAsia="Times New Roman" w:hAnsi="Arial" w:cs="Arial"/>
          <w:color w:val="auto"/>
          <w:kern w:val="36"/>
          <w:sz w:val="22"/>
          <w:szCs w:val="22"/>
          <w:lang w:val="en-AU"/>
        </w:rPr>
      </w:pPr>
    </w:p>
    <w:sectPr w:rsidR="00EA0BC1" w:rsidRPr="00374A3A" w:rsidSect="0027114E">
      <w:pgSz w:w="16838" w:h="11906" w:orient="landscape" w:code="9"/>
      <w:pgMar w:top="993" w:right="1701" w:bottom="1134" w:left="1418"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F6B4" w14:textId="77777777" w:rsidR="006A366E" w:rsidRDefault="006A366E" w:rsidP="00D37B04">
      <w:r>
        <w:separator/>
      </w:r>
    </w:p>
  </w:endnote>
  <w:endnote w:type="continuationSeparator" w:id="0">
    <w:p w14:paraId="69204031" w14:textId="77777777" w:rsidR="006A366E" w:rsidRDefault="006A366E"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916890"/>
      <w:docPartObj>
        <w:docPartGallery w:val="Page Numbers (Bottom of Page)"/>
        <w:docPartUnique/>
      </w:docPartObj>
    </w:sdtPr>
    <w:sdtEndPr>
      <w:rPr>
        <w:noProof/>
      </w:rPr>
    </w:sdtEndPr>
    <w:sdtContent>
      <w:p w14:paraId="65081A38" w14:textId="50055E54" w:rsidR="00A9602A" w:rsidRDefault="00A9602A">
        <w:pPr>
          <w:pStyle w:val="Footer"/>
          <w:jc w:val="right"/>
        </w:pPr>
        <w:r w:rsidRPr="007D7CC1">
          <w:rPr>
            <w:sz w:val="20"/>
          </w:rPr>
          <w:fldChar w:fldCharType="begin"/>
        </w:r>
        <w:r w:rsidRPr="007D7CC1">
          <w:rPr>
            <w:sz w:val="20"/>
          </w:rPr>
          <w:instrText xml:space="preserve"> PAGE   \* MERGEFORMAT </w:instrText>
        </w:r>
        <w:r w:rsidRPr="007D7CC1">
          <w:rPr>
            <w:sz w:val="20"/>
          </w:rPr>
          <w:fldChar w:fldCharType="separate"/>
        </w:r>
        <w:r w:rsidR="007B115E">
          <w:rPr>
            <w:noProof/>
            <w:sz w:val="20"/>
          </w:rPr>
          <w:t>6</w:t>
        </w:r>
        <w:r w:rsidRPr="007D7CC1">
          <w:rPr>
            <w:noProof/>
            <w:sz w:val="20"/>
          </w:rPr>
          <w:fldChar w:fldCharType="end"/>
        </w:r>
      </w:p>
    </w:sdtContent>
  </w:sdt>
  <w:p w14:paraId="02E2C8FD" w14:textId="77777777" w:rsidR="00A9602A" w:rsidRPr="00FC322F" w:rsidRDefault="00A9602A"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1FD81" w14:textId="0F105E67" w:rsidR="00A9602A" w:rsidRDefault="00A9602A">
    <w:pPr>
      <w:pStyle w:val="Footer"/>
      <w:jc w:val="right"/>
    </w:pPr>
    <w:r>
      <w:fldChar w:fldCharType="begin"/>
    </w:r>
    <w:r>
      <w:instrText xml:space="preserve"> PAGE   \* MERGEFORMAT </w:instrText>
    </w:r>
    <w:r>
      <w:fldChar w:fldCharType="separate"/>
    </w:r>
    <w:r w:rsidR="007B115E">
      <w:rPr>
        <w:noProof/>
      </w:rPr>
      <w:t>1</w:t>
    </w:r>
    <w:r>
      <w:rPr>
        <w:noProof/>
      </w:rPr>
      <w:fldChar w:fldCharType="end"/>
    </w:r>
  </w:p>
  <w:p w14:paraId="0C3712FC" w14:textId="77777777" w:rsidR="00A9602A" w:rsidRPr="00FC322F" w:rsidRDefault="00A9602A"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AAA8" w14:textId="77777777" w:rsidR="006A366E" w:rsidRPr="008C5A0E" w:rsidRDefault="006A366E" w:rsidP="00D37B04">
      <w:pPr>
        <w:pStyle w:val="Footer"/>
      </w:pPr>
    </w:p>
  </w:footnote>
  <w:footnote w:type="continuationSeparator" w:id="0">
    <w:p w14:paraId="602901C4" w14:textId="77777777" w:rsidR="006A366E" w:rsidRDefault="006A366E" w:rsidP="00D37B04">
      <w:r>
        <w:continuationSeparator/>
      </w:r>
    </w:p>
  </w:footnote>
  <w:footnote w:id="1">
    <w:p w14:paraId="669B4E26" w14:textId="77777777" w:rsidR="00953154" w:rsidRPr="00813994" w:rsidRDefault="00953154" w:rsidP="00953154">
      <w:pPr>
        <w:pStyle w:val="FootnoteText"/>
        <w:rPr>
          <w:rFonts w:asciiTheme="majorHAnsi" w:hAnsiTheme="majorHAnsi" w:cstheme="majorHAnsi"/>
          <w:sz w:val="16"/>
          <w:szCs w:val="16"/>
        </w:rPr>
      </w:pPr>
      <w:r w:rsidRPr="00813994">
        <w:rPr>
          <w:rStyle w:val="FootnoteReference"/>
          <w:rFonts w:asciiTheme="majorHAnsi" w:hAnsiTheme="majorHAnsi" w:cstheme="majorHAnsi"/>
          <w:sz w:val="16"/>
          <w:szCs w:val="16"/>
        </w:rPr>
        <w:footnoteRef/>
      </w:r>
      <w:r w:rsidRPr="00813994">
        <w:rPr>
          <w:rFonts w:asciiTheme="majorHAnsi" w:hAnsiTheme="majorHAnsi" w:cstheme="majorHAnsi"/>
          <w:sz w:val="16"/>
          <w:szCs w:val="16"/>
        </w:rPr>
        <w:t xml:space="preserve"> An example would be in the event of an audit, where DFAT may request specific operational information such as an updated fraud register or a final invoicing schedule at short notice. </w:t>
      </w:r>
    </w:p>
  </w:footnote>
  <w:footnote w:id="2">
    <w:p w14:paraId="6B007EE0" w14:textId="77777777" w:rsidR="00A9602A" w:rsidRPr="004F15CB" w:rsidRDefault="00A9602A" w:rsidP="00A9602A">
      <w:pPr>
        <w:pStyle w:val="FootnoteText"/>
        <w:rPr>
          <w:rFonts w:asciiTheme="majorHAnsi" w:hAnsiTheme="majorHAnsi" w:cstheme="majorHAnsi"/>
          <w:sz w:val="18"/>
          <w:szCs w:val="18"/>
        </w:rPr>
      </w:pPr>
      <w:r w:rsidRPr="004F15CB">
        <w:rPr>
          <w:rStyle w:val="FootnoteReference"/>
          <w:rFonts w:asciiTheme="majorHAnsi" w:hAnsiTheme="majorHAnsi" w:cstheme="majorHAnsi"/>
          <w:sz w:val="18"/>
          <w:szCs w:val="18"/>
        </w:rPr>
        <w:footnoteRef/>
      </w:r>
      <w:r w:rsidRPr="004F15CB">
        <w:rPr>
          <w:rFonts w:asciiTheme="majorHAnsi" w:hAnsiTheme="majorHAnsi" w:cstheme="majorHAnsi"/>
          <w:sz w:val="18"/>
          <w:szCs w:val="18"/>
        </w:rPr>
        <w:t xml:space="preserve"> This section should summarize relevant information and reference where supplementary / detailed information is located / stored. </w:t>
      </w:r>
    </w:p>
  </w:footnote>
  <w:footnote w:id="3">
    <w:p w14:paraId="0D104E71" w14:textId="77777777" w:rsidR="00A9602A" w:rsidRPr="004F15CB" w:rsidRDefault="00A9602A" w:rsidP="00A9602A">
      <w:pPr>
        <w:rPr>
          <w:rFonts w:asciiTheme="majorHAnsi" w:hAnsiTheme="majorHAnsi" w:cstheme="majorHAnsi"/>
          <w:sz w:val="18"/>
          <w:szCs w:val="18"/>
        </w:rPr>
      </w:pPr>
      <w:r w:rsidRPr="004F15CB">
        <w:rPr>
          <w:rStyle w:val="FootnoteReference"/>
          <w:rFonts w:asciiTheme="majorHAnsi" w:hAnsiTheme="majorHAnsi" w:cstheme="majorHAnsi"/>
          <w:sz w:val="18"/>
          <w:szCs w:val="18"/>
        </w:rPr>
        <w:footnoteRef/>
      </w:r>
      <w:r w:rsidRPr="004F15CB">
        <w:rPr>
          <w:rFonts w:asciiTheme="majorHAnsi" w:hAnsiTheme="majorHAnsi" w:cstheme="majorHAnsi"/>
          <w:sz w:val="18"/>
          <w:szCs w:val="18"/>
        </w:rPr>
        <w:t xml:space="preserve"> Both tables should include Contracts/ variations and summarise deliverables against contracts</w:t>
      </w:r>
    </w:p>
    <w:p w14:paraId="459DEA4A" w14:textId="77777777" w:rsidR="00A9602A" w:rsidRDefault="00A9602A" w:rsidP="00A960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00D2" w14:textId="5881101B" w:rsidR="00A9602A" w:rsidRPr="000854FD" w:rsidRDefault="00A9602A" w:rsidP="00DB058C">
    <w:pPr>
      <w:pStyle w:val="Header"/>
      <w:tabs>
        <w:tab w:val="clear" w:pos="4513"/>
        <w:tab w:val="clear" w:pos="9026"/>
        <w:tab w:val="left" w:pos="9484"/>
      </w:tabs>
    </w:pPr>
    <w:r w:rsidRPr="00943730">
      <w:rPr>
        <w:noProof/>
        <w:lang w:val="en-AU" w:eastAsia="en-AU"/>
      </w:rPr>
      <w:drawing>
        <wp:anchor distT="0" distB="0" distL="114300" distR="114300" simplePos="0" relativeHeight="251662336" behindDoc="1" locked="1" layoutInCell="1" allowOverlap="1" wp14:anchorId="47599557" wp14:editId="52C31467">
          <wp:simplePos x="0" y="0"/>
          <wp:positionH relativeFrom="page">
            <wp:posOffset>15240</wp:posOffset>
          </wp:positionH>
          <wp:positionV relativeFrom="page">
            <wp:posOffset>0</wp:posOffset>
          </wp:positionV>
          <wp:extent cx="10246995" cy="10692765"/>
          <wp:effectExtent l="0" t="0" r="1905" b="0"/>
          <wp:wrapNone/>
          <wp:docPr id="34" name="Picture 3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10246995" cy="1069276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7E96" w14:textId="3EBA7C73" w:rsidR="00A9602A" w:rsidRPr="00943730" w:rsidRDefault="00A9602A" w:rsidP="00943730">
    <w:pPr>
      <w:pStyle w:val="Header"/>
    </w:pPr>
    <w:r w:rsidRPr="00943730">
      <w:fldChar w:fldCharType="begin"/>
    </w:r>
    <w:r w:rsidRPr="00943730">
      <w:instrText xml:space="preserve"> DATE  \@ "MMMM yyyy"  \* MERGEFORMAT </w:instrText>
    </w:r>
    <w:r w:rsidRPr="00943730">
      <w:fldChar w:fldCharType="separate"/>
    </w:r>
    <w:r w:rsidR="00883EBF">
      <w:rPr>
        <w:noProof/>
      </w:rPr>
      <w:t>April 2023</w:t>
    </w:r>
    <w:r w:rsidRPr="00943730">
      <w:fldChar w:fldCharType="end"/>
    </w:r>
    <w:r w:rsidRPr="00252C04">
      <w:rPr>
        <w:noProof/>
        <w:lang w:val="en-AU" w:eastAsia="en-AU"/>
      </w:rPr>
      <w:drawing>
        <wp:anchor distT="0" distB="0" distL="114300" distR="114300" simplePos="0" relativeHeight="251664384" behindDoc="1" locked="1" layoutInCell="1" allowOverlap="1" wp14:anchorId="20F29F8B" wp14:editId="16DF4F19">
          <wp:simplePos x="0" y="0"/>
          <wp:positionH relativeFrom="page">
            <wp:posOffset>11541760</wp:posOffset>
          </wp:positionH>
          <wp:positionV relativeFrom="page">
            <wp:posOffset>928370</wp:posOffset>
          </wp:positionV>
          <wp:extent cx="1115060" cy="512445"/>
          <wp:effectExtent l="0" t="0" r="8890" b="1905"/>
          <wp:wrapNone/>
          <wp:docPr id="60" name="Picture 60"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FEA1D05" wp14:editId="2367FF5E">
          <wp:simplePos x="0" y="0"/>
          <wp:positionH relativeFrom="page">
            <wp:posOffset>720090</wp:posOffset>
          </wp:positionH>
          <wp:positionV relativeFrom="page">
            <wp:posOffset>882015</wp:posOffset>
          </wp:positionV>
          <wp:extent cx="3166920" cy="554400"/>
          <wp:effectExtent l="0" t="0" r="0" b="0"/>
          <wp:wrapNone/>
          <wp:docPr id="36" name="Picture 36"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67BC759D" wp14:editId="43F8F847">
          <wp:simplePos x="0" y="0"/>
          <wp:positionH relativeFrom="page">
            <wp:posOffset>-615315</wp:posOffset>
          </wp:positionH>
          <wp:positionV relativeFrom="page">
            <wp:posOffset>0</wp:posOffset>
          </wp:positionV>
          <wp:extent cx="14582775" cy="10692130"/>
          <wp:effectExtent l="0" t="0" r="9525" b="0"/>
          <wp:wrapNone/>
          <wp:docPr id="37" name="Picture 3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1D8"/>
    <w:multiLevelType w:val="hybridMultilevel"/>
    <w:tmpl w:val="DC58C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3" w15:restartNumberingAfterBreak="0">
    <w:nsid w:val="27477F81"/>
    <w:multiLevelType w:val="hybridMultilevel"/>
    <w:tmpl w:val="9E12A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30B01CC9"/>
    <w:multiLevelType w:val="hybridMultilevel"/>
    <w:tmpl w:val="EAE28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4876964"/>
    <w:multiLevelType w:val="hybridMultilevel"/>
    <w:tmpl w:val="C8E230AC"/>
    <w:lvl w:ilvl="0" w:tplc="DE8E9D98">
      <w:start w:val="1"/>
      <w:numFmt w:val="upperLetter"/>
      <w:lvlText w:val="%1."/>
      <w:lvlJc w:val="left"/>
      <w:pPr>
        <w:ind w:left="720" w:hanging="360"/>
      </w:pPr>
      <w:rPr>
        <w:b/>
        <w:color w:val="000000" w:themeColor="text1"/>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DA3C44"/>
    <w:multiLevelType w:val="hybridMultilevel"/>
    <w:tmpl w:val="78445204"/>
    <w:lvl w:ilvl="0" w:tplc="4C2C98F6">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D646D"/>
    <w:multiLevelType w:val="hybridMultilevel"/>
    <w:tmpl w:val="D458E564"/>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C4171A"/>
    <w:multiLevelType w:val="multilevel"/>
    <w:tmpl w:val="A022AE8A"/>
    <w:styleLink w:val="Numberings"/>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lowerLetter"/>
      <w:lvlText w:val="(%4)"/>
      <w:lvlJc w:val="left"/>
      <w:pPr>
        <w:tabs>
          <w:tab w:val="num" w:pos="1474"/>
        </w:tabs>
        <w:ind w:left="1474" w:hanging="737"/>
      </w:pPr>
    </w:lvl>
    <w:lvl w:ilvl="4">
      <w:start w:val="1"/>
      <w:numFmt w:val="lowerRoman"/>
      <w:lvlText w:val="(%5)"/>
      <w:lvlJc w:val="left"/>
      <w:pPr>
        <w:tabs>
          <w:tab w:val="num" w:pos="2211"/>
        </w:tabs>
        <w:ind w:left="2211" w:hanging="739"/>
      </w:pPr>
    </w:lvl>
    <w:lvl w:ilvl="5">
      <w:start w:val="1"/>
      <w:numFmt w:val="decimal"/>
      <w:lvlText w:val="%1.%2.%3.%4.%5.%6"/>
      <w:lvlJc w:val="left"/>
      <w:pPr>
        <w:ind w:left="2920" w:hanging="1080"/>
      </w:pPr>
    </w:lvl>
    <w:lvl w:ilvl="6">
      <w:start w:val="1"/>
      <w:numFmt w:val="decimal"/>
      <w:lvlText w:val="%1.%2.%3.%4.%5.%6.%7"/>
      <w:lvlJc w:val="left"/>
      <w:pPr>
        <w:ind w:left="3648" w:hanging="1440"/>
      </w:pPr>
    </w:lvl>
    <w:lvl w:ilvl="7">
      <w:start w:val="1"/>
      <w:numFmt w:val="decimal"/>
      <w:lvlText w:val="%1.%2.%3.%4.%5.%6.%7.%8"/>
      <w:lvlJc w:val="left"/>
      <w:pPr>
        <w:ind w:left="4016" w:hanging="1440"/>
      </w:pPr>
    </w:lvl>
    <w:lvl w:ilvl="8">
      <w:start w:val="1"/>
      <w:numFmt w:val="decimal"/>
      <w:lvlText w:val="%1.%2.%3.%4.%5.%6.%7.%8.%9"/>
      <w:lvlJc w:val="left"/>
      <w:pPr>
        <w:ind w:left="4744" w:hanging="1800"/>
      </w:pPr>
    </w:lvl>
  </w:abstractNum>
  <w:abstractNum w:abstractNumId="10" w15:restartNumberingAfterBreak="0">
    <w:nsid w:val="466F4EEC"/>
    <w:multiLevelType w:val="multilevel"/>
    <w:tmpl w:val="AB1A81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23705B"/>
    <w:multiLevelType w:val="multilevel"/>
    <w:tmpl w:val="A022AE8A"/>
    <w:numStyleLink w:val="Numberings"/>
  </w:abstractNum>
  <w:abstractNum w:abstractNumId="12" w15:restartNumberingAfterBreak="0">
    <w:nsid w:val="52553D9F"/>
    <w:multiLevelType w:val="multilevel"/>
    <w:tmpl w:val="A6FA45D0"/>
    <w:numStyleLink w:val="BulletsList"/>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5AC3331A"/>
    <w:multiLevelType w:val="hybridMultilevel"/>
    <w:tmpl w:val="C888B782"/>
    <w:lvl w:ilvl="0" w:tplc="63CE6158">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E744A69"/>
    <w:multiLevelType w:val="hybridMultilevel"/>
    <w:tmpl w:val="CD167444"/>
    <w:lvl w:ilvl="0" w:tplc="17768A98">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04913AA"/>
    <w:multiLevelType w:val="hybridMultilevel"/>
    <w:tmpl w:val="23887F24"/>
    <w:lvl w:ilvl="0" w:tplc="17768A98">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3C84ACA"/>
    <w:multiLevelType w:val="hybridMultilevel"/>
    <w:tmpl w:val="B4B07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E62739C"/>
    <w:multiLevelType w:val="hybridMultilevel"/>
    <w:tmpl w:val="D0BC6A1C"/>
    <w:lvl w:ilvl="0" w:tplc="B9A6B5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A04616"/>
    <w:multiLevelType w:val="hybridMultilevel"/>
    <w:tmpl w:val="E6CCA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2" w15:restartNumberingAfterBreak="0">
    <w:nsid w:val="709A080E"/>
    <w:multiLevelType w:val="multilevel"/>
    <w:tmpl w:val="5DDE96A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CE624C"/>
    <w:multiLevelType w:val="multilevel"/>
    <w:tmpl w:val="79A07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9D53493"/>
    <w:multiLevelType w:val="hybridMultilevel"/>
    <w:tmpl w:val="2C70133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1751079186">
    <w:abstractNumId w:val="24"/>
  </w:num>
  <w:num w:numId="2" w16cid:durableId="394158703">
    <w:abstractNumId w:val="1"/>
  </w:num>
  <w:num w:numId="3" w16cid:durableId="1021513218">
    <w:abstractNumId w:val="4"/>
  </w:num>
  <w:num w:numId="4" w16cid:durableId="1693070110">
    <w:abstractNumId w:val="13"/>
  </w:num>
  <w:num w:numId="5" w16cid:durableId="429854573">
    <w:abstractNumId w:val="15"/>
  </w:num>
  <w:num w:numId="6" w16cid:durableId="893614854">
    <w:abstractNumId w:val="4"/>
  </w:num>
  <w:num w:numId="7" w16cid:durableId="1446193748">
    <w:abstractNumId w:val="1"/>
  </w:num>
  <w:num w:numId="8" w16cid:durableId="1909798533">
    <w:abstractNumId w:val="2"/>
  </w:num>
  <w:num w:numId="9" w16cid:durableId="1830051360">
    <w:abstractNumId w:val="25"/>
  </w:num>
  <w:num w:numId="10" w16cid:durableId="1344698593">
    <w:abstractNumId w:val="12"/>
  </w:num>
  <w:num w:numId="11" w16cid:durableId="1889145095">
    <w:abstractNumId w:val="6"/>
  </w:num>
  <w:num w:numId="12" w16cid:durableId="1787578098">
    <w:abstractNumId w:val="21"/>
  </w:num>
  <w:num w:numId="13" w16cid:durableId="1362778057">
    <w:abstractNumId w:val="27"/>
  </w:num>
  <w:num w:numId="14" w16cid:durableId="1826582269">
    <w:abstractNumId w:val="26"/>
  </w:num>
  <w:num w:numId="15" w16cid:durableId="1689483890">
    <w:abstractNumId w:val="7"/>
  </w:num>
  <w:num w:numId="16" w16cid:durableId="388843311">
    <w:abstractNumId w:val="0"/>
  </w:num>
  <w:num w:numId="17" w16cid:durableId="939917730">
    <w:abstractNumId w:val="23"/>
  </w:num>
  <w:num w:numId="18" w16cid:durableId="302392260">
    <w:abstractNumId w:val="22"/>
  </w:num>
  <w:num w:numId="19" w16cid:durableId="1670134461">
    <w:abstractNumId w:val="11"/>
    <w:lvlOverride w:ilvl="0">
      <w:lvl w:ilvl="0">
        <w:start w:val="1"/>
        <w:numFmt w:val="decimal"/>
        <w:lvlText w:val="%1"/>
        <w:lvlJc w:val="left"/>
        <w:pPr>
          <w:tabs>
            <w:tab w:val="num" w:pos="737"/>
          </w:tabs>
          <w:ind w:left="737" w:hanging="737"/>
        </w:pPr>
      </w:lvl>
    </w:lvlOverride>
    <w:lvlOverride w:ilvl="1">
      <w:lvl w:ilvl="1">
        <w:start w:val="1"/>
        <w:numFmt w:val="decimal"/>
        <w:lvlText w:val="%1.%2"/>
        <w:lvlJc w:val="left"/>
        <w:pPr>
          <w:tabs>
            <w:tab w:val="num" w:pos="737"/>
          </w:tabs>
          <w:ind w:left="737" w:hanging="737"/>
        </w:pPr>
        <w:rPr>
          <w:b w:val="0"/>
          <w:bCs/>
        </w:rPr>
      </w:lvl>
    </w:lvlOverride>
    <w:lvlOverride w:ilvl="2">
      <w:lvl w:ilvl="2">
        <w:start w:val="1"/>
        <w:numFmt w:val="decimal"/>
        <w:lvlText w:val="%1.%2.%3"/>
        <w:lvlJc w:val="left"/>
        <w:pPr>
          <w:tabs>
            <w:tab w:val="num" w:pos="737"/>
          </w:tabs>
          <w:ind w:left="737" w:hanging="737"/>
        </w:pPr>
      </w:lvl>
    </w:lvlOverride>
    <w:lvlOverride w:ilvl="3">
      <w:lvl w:ilvl="3">
        <w:start w:val="1"/>
        <w:numFmt w:val="decimal"/>
        <w:lvlText w:val="(%4)"/>
        <w:lvlJc w:val="left"/>
        <w:pPr>
          <w:tabs>
            <w:tab w:val="num" w:pos="1474"/>
          </w:tabs>
          <w:ind w:left="1474" w:hanging="737"/>
        </w:pPr>
      </w:lvl>
    </w:lvlOverride>
    <w:lvlOverride w:ilvl="4">
      <w:lvl w:ilvl="4">
        <w:start w:val="1"/>
        <w:numFmt w:val="decimal"/>
        <w:lvlText w:val="(%5)"/>
        <w:lvlJc w:val="left"/>
        <w:pPr>
          <w:tabs>
            <w:tab w:val="num" w:pos="2211"/>
          </w:tabs>
          <w:ind w:left="2211" w:hanging="739"/>
        </w:pPr>
      </w:lvl>
    </w:lvlOverride>
    <w:lvlOverride w:ilvl="5">
      <w:lvl w:ilvl="5">
        <w:start w:val="1"/>
        <w:numFmt w:val="decimal"/>
        <w:lvlText w:val="%1.%2.%3.%4.%5.%6"/>
        <w:lvlJc w:val="left"/>
        <w:pPr>
          <w:ind w:left="2920" w:hanging="1080"/>
        </w:pPr>
      </w:lvl>
    </w:lvlOverride>
    <w:lvlOverride w:ilvl="6">
      <w:lvl w:ilvl="6">
        <w:start w:val="1"/>
        <w:numFmt w:val="decimal"/>
        <w:lvlText w:val="%1.%2.%3.%4.%5.%6.%7"/>
        <w:lvlJc w:val="left"/>
        <w:pPr>
          <w:ind w:left="3648" w:hanging="1440"/>
        </w:pPr>
      </w:lvl>
    </w:lvlOverride>
    <w:lvlOverride w:ilvl="7">
      <w:lvl w:ilvl="7">
        <w:start w:val="1"/>
        <w:numFmt w:val="decimal"/>
        <w:lvlText w:val="%1.%2.%3.%4.%5.%6.%7.%8"/>
        <w:lvlJc w:val="left"/>
        <w:pPr>
          <w:ind w:left="4016" w:hanging="1440"/>
        </w:pPr>
      </w:lvl>
    </w:lvlOverride>
    <w:lvlOverride w:ilvl="8">
      <w:lvl w:ilvl="8">
        <w:start w:val="1"/>
        <w:numFmt w:val="decimal"/>
        <w:lvlText w:val="%1.%2.%3.%4.%5.%6.%7.%8.%9"/>
        <w:lvlJc w:val="left"/>
        <w:pPr>
          <w:ind w:left="4744" w:hanging="1800"/>
        </w:pPr>
      </w:lvl>
    </w:lvlOverride>
  </w:num>
  <w:num w:numId="20" w16cid:durableId="217402358">
    <w:abstractNumId w:val="9"/>
  </w:num>
  <w:num w:numId="21" w16cid:durableId="1043334112">
    <w:abstractNumId w:val="16"/>
  </w:num>
  <w:num w:numId="22" w16cid:durableId="1293749278">
    <w:abstractNumId w:val="17"/>
  </w:num>
  <w:num w:numId="23" w16cid:durableId="1258834032">
    <w:abstractNumId w:val="8"/>
  </w:num>
  <w:num w:numId="24" w16cid:durableId="2050688237">
    <w:abstractNumId w:val="10"/>
  </w:num>
  <w:num w:numId="25" w16cid:durableId="1673530606">
    <w:abstractNumId w:val="3"/>
  </w:num>
  <w:num w:numId="26" w16cid:durableId="1065496323">
    <w:abstractNumId w:val="5"/>
  </w:num>
  <w:num w:numId="27" w16cid:durableId="2004971859">
    <w:abstractNumId w:val="18"/>
  </w:num>
  <w:num w:numId="28" w16cid:durableId="249851710">
    <w:abstractNumId w:val="20"/>
  </w:num>
  <w:num w:numId="29" w16cid:durableId="284192855">
    <w:abstractNumId w:val="19"/>
  </w:num>
  <w:num w:numId="30" w16cid:durableId="1781030124">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583"/>
    <w:rsid w:val="00001DA8"/>
    <w:rsid w:val="000020C1"/>
    <w:rsid w:val="0002009E"/>
    <w:rsid w:val="0002080A"/>
    <w:rsid w:val="0002782F"/>
    <w:rsid w:val="00035BBF"/>
    <w:rsid w:val="0003672D"/>
    <w:rsid w:val="00036977"/>
    <w:rsid w:val="00036A2D"/>
    <w:rsid w:val="00045CAF"/>
    <w:rsid w:val="00050806"/>
    <w:rsid w:val="00051096"/>
    <w:rsid w:val="000546D9"/>
    <w:rsid w:val="00054E4D"/>
    <w:rsid w:val="000550A1"/>
    <w:rsid w:val="00060073"/>
    <w:rsid w:val="000616C6"/>
    <w:rsid w:val="00073C6D"/>
    <w:rsid w:val="000811DD"/>
    <w:rsid w:val="000854FD"/>
    <w:rsid w:val="00090287"/>
    <w:rsid w:val="00091B46"/>
    <w:rsid w:val="00095A25"/>
    <w:rsid w:val="000A79A3"/>
    <w:rsid w:val="000B37F5"/>
    <w:rsid w:val="000C6EB3"/>
    <w:rsid w:val="000D66D6"/>
    <w:rsid w:val="00113288"/>
    <w:rsid w:val="00120B12"/>
    <w:rsid w:val="001214BE"/>
    <w:rsid w:val="00127DE8"/>
    <w:rsid w:val="00127F65"/>
    <w:rsid w:val="0013101C"/>
    <w:rsid w:val="001461D6"/>
    <w:rsid w:val="001541EA"/>
    <w:rsid w:val="00183C81"/>
    <w:rsid w:val="001902CB"/>
    <w:rsid w:val="001A145F"/>
    <w:rsid w:val="001A31B0"/>
    <w:rsid w:val="001A5AF5"/>
    <w:rsid w:val="001A701D"/>
    <w:rsid w:val="001D2214"/>
    <w:rsid w:val="001D663E"/>
    <w:rsid w:val="001E0146"/>
    <w:rsid w:val="001E1DC0"/>
    <w:rsid w:val="001E562A"/>
    <w:rsid w:val="001F6C8E"/>
    <w:rsid w:val="00203277"/>
    <w:rsid w:val="00205B2E"/>
    <w:rsid w:val="00215C4D"/>
    <w:rsid w:val="00223A38"/>
    <w:rsid w:val="00225AED"/>
    <w:rsid w:val="00252C04"/>
    <w:rsid w:val="00265143"/>
    <w:rsid w:val="002667B4"/>
    <w:rsid w:val="0027114E"/>
    <w:rsid w:val="0028602A"/>
    <w:rsid w:val="0029304B"/>
    <w:rsid w:val="002A01B1"/>
    <w:rsid w:val="002A06B4"/>
    <w:rsid w:val="002A342B"/>
    <w:rsid w:val="002A7B40"/>
    <w:rsid w:val="002B0C66"/>
    <w:rsid w:val="002B5E10"/>
    <w:rsid w:val="002B60C2"/>
    <w:rsid w:val="002C793D"/>
    <w:rsid w:val="002D125E"/>
    <w:rsid w:val="002D5B25"/>
    <w:rsid w:val="002D733F"/>
    <w:rsid w:val="002D7ED4"/>
    <w:rsid w:val="002E08CB"/>
    <w:rsid w:val="002E0D92"/>
    <w:rsid w:val="002F1D6C"/>
    <w:rsid w:val="002F4F2B"/>
    <w:rsid w:val="003002C0"/>
    <w:rsid w:val="00301144"/>
    <w:rsid w:val="00302504"/>
    <w:rsid w:val="003031C6"/>
    <w:rsid w:val="00304984"/>
    <w:rsid w:val="00306938"/>
    <w:rsid w:val="00312BF8"/>
    <w:rsid w:val="003148B7"/>
    <w:rsid w:val="003158C3"/>
    <w:rsid w:val="003274CD"/>
    <w:rsid w:val="00333501"/>
    <w:rsid w:val="00340088"/>
    <w:rsid w:val="003457C4"/>
    <w:rsid w:val="0035066A"/>
    <w:rsid w:val="0035119D"/>
    <w:rsid w:val="00351C8C"/>
    <w:rsid w:val="003563A0"/>
    <w:rsid w:val="0036178A"/>
    <w:rsid w:val="00374A3A"/>
    <w:rsid w:val="00374D09"/>
    <w:rsid w:val="0037639A"/>
    <w:rsid w:val="00384D40"/>
    <w:rsid w:val="003872DE"/>
    <w:rsid w:val="0039344A"/>
    <w:rsid w:val="003946A7"/>
    <w:rsid w:val="00395163"/>
    <w:rsid w:val="003B4F12"/>
    <w:rsid w:val="003D20B2"/>
    <w:rsid w:val="003E6D79"/>
    <w:rsid w:val="003F2041"/>
    <w:rsid w:val="00402ACC"/>
    <w:rsid w:val="004120EC"/>
    <w:rsid w:val="00423F31"/>
    <w:rsid w:val="00431899"/>
    <w:rsid w:val="00435B52"/>
    <w:rsid w:val="00442055"/>
    <w:rsid w:val="00453888"/>
    <w:rsid w:val="00482AE8"/>
    <w:rsid w:val="0048492D"/>
    <w:rsid w:val="00484F72"/>
    <w:rsid w:val="00486804"/>
    <w:rsid w:val="004913DB"/>
    <w:rsid w:val="00491C3F"/>
    <w:rsid w:val="0049315F"/>
    <w:rsid w:val="004939C4"/>
    <w:rsid w:val="004A1AED"/>
    <w:rsid w:val="004A39FE"/>
    <w:rsid w:val="004A4D4C"/>
    <w:rsid w:val="004B1C9F"/>
    <w:rsid w:val="004B3775"/>
    <w:rsid w:val="004C062B"/>
    <w:rsid w:val="004C6342"/>
    <w:rsid w:val="004D0BA0"/>
    <w:rsid w:val="004D145A"/>
    <w:rsid w:val="004D5589"/>
    <w:rsid w:val="004D5844"/>
    <w:rsid w:val="004E058F"/>
    <w:rsid w:val="004E3B87"/>
    <w:rsid w:val="004F2AF9"/>
    <w:rsid w:val="004F52AB"/>
    <w:rsid w:val="004F70E2"/>
    <w:rsid w:val="00502F7F"/>
    <w:rsid w:val="00510921"/>
    <w:rsid w:val="00510AD3"/>
    <w:rsid w:val="00513348"/>
    <w:rsid w:val="00513AD8"/>
    <w:rsid w:val="005204D2"/>
    <w:rsid w:val="00522396"/>
    <w:rsid w:val="005278DB"/>
    <w:rsid w:val="00533B5D"/>
    <w:rsid w:val="0054746D"/>
    <w:rsid w:val="00555464"/>
    <w:rsid w:val="0055745F"/>
    <w:rsid w:val="0057431A"/>
    <w:rsid w:val="005A1B92"/>
    <w:rsid w:val="005A1FC7"/>
    <w:rsid w:val="005A20F6"/>
    <w:rsid w:val="005B1CE0"/>
    <w:rsid w:val="005B53E7"/>
    <w:rsid w:val="005B55E8"/>
    <w:rsid w:val="005B6733"/>
    <w:rsid w:val="005C1B85"/>
    <w:rsid w:val="005C2337"/>
    <w:rsid w:val="005C3E46"/>
    <w:rsid w:val="005C5CDA"/>
    <w:rsid w:val="005D3655"/>
    <w:rsid w:val="005D6F14"/>
    <w:rsid w:val="005E3B54"/>
    <w:rsid w:val="005E4830"/>
    <w:rsid w:val="005E51A3"/>
    <w:rsid w:val="005E67A2"/>
    <w:rsid w:val="005F6DE0"/>
    <w:rsid w:val="00622B86"/>
    <w:rsid w:val="00623BA1"/>
    <w:rsid w:val="0062618B"/>
    <w:rsid w:val="006346BC"/>
    <w:rsid w:val="0063570C"/>
    <w:rsid w:val="00640FCF"/>
    <w:rsid w:val="00642A21"/>
    <w:rsid w:val="00653AD6"/>
    <w:rsid w:val="0065578A"/>
    <w:rsid w:val="00662905"/>
    <w:rsid w:val="0066652A"/>
    <w:rsid w:val="006719C3"/>
    <w:rsid w:val="00680522"/>
    <w:rsid w:val="00682167"/>
    <w:rsid w:val="006A366E"/>
    <w:rsid w:val="006A520E"/>
    <w:rsid w:val="006A682B"/>
    <w:rsid w:val="006B4718"/>
    <w:rsid w:val="006C16E1"/>
    <w:rsid w:val="006C42AF"/>
    <w:rsid w:val="006D56EA"/>
    <w:rsid w:val="006D7BF2"/>
    <w:rsid w:val="006E0A77"/>
    <w:rsid w:val="006F6852"/>
    <w:rsid w:val="006F7048"/>
    <w:rsid w:val="00704A50"/>
    <w:rsid w:val="00711D8E"/>
    <w:rsid w:val="00712672"/>
    <w:rsid w:val="00716657"/>
    <w:rsid w:val="00734C81"/>
    <w:rsid w:val="00734E3F"/>
    <w:rsid w:val="00736985"/>
    <w:rsid w:val="00745DF5"/>
    <w:rsid w:val="00753416"/>
    <w:rsid w:val="0076250F"/>
    <w:rsid w:val="007706B8"/>
    <w:rsid w:val="00774EE4"/>
    <w:rsid w:val="00780FA5"/>
    <w:rsid w:val="007A200C"/>
    <w:rsid w:val="007B115E"/>
    <w:rsid w:val="007B6200"/>
    <w:rsid w:val="007D13E3"/>
    <w:rsid w:val="007D2C70"/>
    <w:rsid w:val="007D7CC1"/>
    <w:rsid w:val="007E6C1D"/>
    <w:rsid w:val="007F2355"/>
    <w:rsid w:val="007F3395"/>
    <w:rsid w:val="00801B9F"/>
    <w:rsid w:val="0080204D"/>
    <w:rsid w:val="00804D27"/>
    <w:rsid w:val="00805B9C"/>
    <w:rsid w:val="00813994"/>
    <w:rsid w:val="00815A9B"/>
    <w:rsid w:val="0082072A"/>
    <w:rsid w:val="0083052F"/>
    <w:rsid w:val="00847519"/>
    <w:rsid w:val="008475F0"/>
    <w:rsid w:val="0085168F"/>
    <w:rsid w:val="008557A7"/>
    <w:rsid w:val="00856C5C"/>
    <w:rsid w:val="0087059D"/>
    <w:rsid w:val="00870928"/>
    <w:rsid w:val="00883EBF"/>
    <w:rsid w:val="00885A62"/>
    <w:rsid w:val="008864E3"/>
    <w:rsid w:val="0089405C"/>
    <w:rsid w:val="00897E57"/>
    <w:rsid w:val="00897FA2"/>
    <w:rsid w:val="008A0D42"/>
    <w:rsid w:val="008A20BE"/>
    <w:rsid w:val="008A25C6"/>
    <w:rsid w:val="008A3C25"/>
    <w:rsid w:val="008A5AFE"/>
    <w:rsid w:val="008C44C9"/>
    <w:rsid w:val="008C5A0E"/>
    <w:rsid w:val="008D2E73"/>
    <w:rsid w:val="008E23AF"/>
    <w:rsid w:val="00925351"/>
    <w:rsid w:val="009407A2"/>
    <w:rsid w:val="00943730"/>
    <w:rsid w:val="0094530D"/>
    <w:rsid w:val="00953154"/>
    <w:rsid w:val="00954A1F"/>
    <w:rsid w:val="00961E72"/>
    <w:rsid w:val="00975CA5"/>
    <w:rsid w:val="00983AED"/>
    <w:rsid w:val="00986590"/>
    <w:rsid w:val="009920CC"/>
    <w:rsid w:val="00992C76"/>
    <w:rsid w:val="009969D6"/>
    <w:rsid w:val="009A1EE4"/>
    <w:rsid w:val="009A3DD2"/>
    <w:rsid w:val="009A72C4"/>
    <w:rsid w:val="009B2DF4"/>
    <w:rsid w:val="009B4D3B"/>
    <w:rsid w:val="009B5725"/>
    <w:rsid w:val="009B6281"/>
    <w:rsid w:val="009B7942"/>
    <w:rsid w:val="009C01ED"/>
    <w:rsid w:val="009C45FF"/>
    <w:rsid w:val="009D7407"/>
    <w:rsid w:val="009E0866"/>
    <w:rsid w:val="009E273C"/>
    <w:rsid w:val="009E605F"/>
    <w:rsid w:val="009F1350"/>
    <w:rsid w:val="009F2379"/>
    <w:rsid w:val="009F42B8"/>
    <w:rsid w:val="009F6423"/>
    <w:rsid w:val="00A0183B"/>
    <w:rsid w:val="00A07161"/>
    <w:rsid w:val="00A175B3"/>
    <w:rsid w:val="00A200C0"/>
    <w:rsid w:val="00A24A62"/>
    <w:rsid w:val="00A27FF1"/>
    <w:rsid w:val="00A31C9F"/>
    <w:rsid w:val="00A322E2"/>
    <w:rsid w:val="00A32858"/>
    <w:rsid w:val="00A4144F"/>
    <w:rsid w:val="00A46115"/>
    <w:rsid w:val="00A50384"/>
    <w:rsid w:val="00A51E64"/>
    <w:rsid w:val="00A523AB"/>
    <w:rsid w:val="00A52BEF"/>
    <w:rsid w:val="00A61B4D"/>
    <w:rsid w:val="00A757CC"/>
    <w:rsid w:val="00A773EF"/>
    <w:rsid w:val="00A80F95"/>
    <w:rsid w:val="00A91795"/>
    <w:rsid w:val="00A9602A"/>
    <w:rsid w:val="00A97BF1"/>
    <w:rsid w:val="00AA298A"/>
    <w:rsid w:val="00AA315B"/>
    <w:rsid w:val="00AC164A"/>
    <w:rsid w:val="00AC38AD"/>
    <w:rsid w:val="00AD159E"/>
    <w:rsid w:val="00AD2728"/>
    <w:rsid w:val="00AE236F"/>
    <w:rsid w:val="00AE448A"/>
    <w:rsid w:val="00AF1599"/>
    <w:rsid w:val="00AF2050"/>
    <w:rsid w:val="00AF72D9"/>
    <w:rsid w:val="00B03CA8"/>
    <w:rsid w:val="00B03E9D"/>
    <w:rsid w:val="00B0763C"/>
    <w:rsid w:val="00B15228"/>
    <w:rsid w:val="00B15739"/>
    <w:rsid w:val="00B22583"/>
    <w:rsid w:val="00B241B9"/>
    <w:rsid w:val="00B2762A"/>
    <w:rsid w:val="00B33C0A"/>
    <w:rsid w:val="00B55E19"/>
    <w:rsid w:val="00B57B2E"/>
    <w:rsid w:val="00B74DFF"/>
    <w:rsid w:val="00B85C5A"/>
    <w:rsid w:val="00B933B4"/>
    <w:rsid w:val="00B94758"/>
    <w:rsid w:val="00BA1B5E"/>
    <w:rsid w:val="00BA4B6D"/>
    <w:rsid w:val="00BA4FDA"/>
    <w:rsid w:val="00BA780F"/>
    <w:rsid w:val="00BB26C5"/>
    <w:rsid w:val="00BC31BD"/>
    <w:rsid w:val="00BD0C22"/>
    <w:rsid w:val="00BE3EE4"/>
    <w:rsid w:val="00BE6074"/>
    <w:rsid w:val="00BE6697"/>
    <w:rsid w:val="00BF13BE"/>
    <w:rsid w:val="00BF4DE6"/>
    <w:rsid w:val="00C06B13"/>
    <w:rsid w:val="00C15569"/>
    <w:rsid w:val="00C27D25"/>
    <w:rsid w:val="00C42541"/>
    <w:rsid w:val="00C42CDE"/>
    <w:rsid w:val="00C5182A"/>
    <w:rsid w:val="00C63EE9"/>
    <w:rsid w:val="00C666FB"/>
    <w:rsid w:val="00C86CB6"/>
    <w:rsid w:val="00C94188"/>
    <w:rsid w:val="00CA16F3"/>
    <w:rsid w:val="00CA1734"/>
    <w:rsid w:val="00CA37B1"/>
    <w:rsid w:val="00CB1959"/>
    <w:rsid w:val="00CC45DA"/>
    <w:rsid w:val="00CC741B"/>
    <w:rsid w:val="00CD02BC"/>
    <w:rsid w:val="00CD0E4B"/>
    <w:rsid w:val="00CD5777"/>
    <w:rsid w:val="00CE4C89"/>
    <w:rsid w:val="00CE5FF3"/>
    <w:rsid w:val="00CF07BA"/>
    <w:rsid w:val="00D0209F"/>
    <w:rsid w:val="00D0296C"/>
    <w:rsid w:val="00D0529E"/>
    <w:rsid w:val="00D215D1"/>
    <w:rsid w:val="00D32D6F"/>
    <w:rsid w:val="00D36A9D"/>
    <w:rsid w:val="00D37B04"/>
    <w:rsid w:val="00D47290"/>
    <w:rsid w:val="00D540C6"/>
    <w:rsid w:val="00D566E6"/>
    <w:rsid w:val="00D608EA"/>
    <w:rsid w:val="00D64BD1"/>
    <w:rsid w:val="00D70873"/>
    <w:rsid w:val="00D92254"/>
    <w:rsid w:val="00DB058C"/>
    <w:rsid w:val="00DC39DF"/>
    <w:rsid w:val="00DC7020"/>
    <w:rsid w:val="00DC7545"/>
    <w:rsid w:val="00DC7E7B"/>
    <w:rsid w:val="00DD1A56"/>
    <w:rsid w:val="00DE0539"/>
    <w:rsid w:val="00DE084C"/>
    <w:rsid w:val="00DF213A"/>
    <w:rsid w:val="00DF6F84"/>
    <w:rsid w:val="00E016C0"/>
    <w:rsid w:val="00E14F51"/>
    <w:rsid w:val="00E25CE3"/>
    <w:rsid w:val="00E32A18"/>
    <w:rsid w:val="00E34CDE"/>
    <w:rsid w:val="00E357B7"/>
    <w:rsid w:val="00E367F4"/>
    <w:rsid w:val="00E51BE8"/>
    <w:rsid w:val="00E53800"/>
    <w:rsid w:val="00E6081F"/>
    <w:rsid w:val="00E8078C"/>
    <w:rsid w:val="00E8296D"/>
    <w:rsid w:val="00E8457B"/>
    <w:rsid w:val="00E94924"/>
    <w:rsid w:val="00EA04B2"/>
    <w:rsid w:val="00EA0BC1"/>
    <w:rsid w:val="00EA20F3"/>
    <w:rsid w:val="00EB74EB"/>
    <w:rsid w:val="00EC0472"/>
    <w:rsid w:val="00ED2831"/>
    <w:rsid w:val="00ED43D1"/>
    <w:rsid w:val="00EE25F4"/>
    <w:rsid w:val="00EE4EE1"/>
    <w:rsid w:val="00EE7FAE"/>
    <w:rsid w:val="00EF0983"/>
    <w:rsid w:val="00EF11E5"/>
    <w:rsid w:val="00EF4574"/>
    <w:rsid w:val="00EF5FB3"/>
    <w:rsid w:val="00EF78A2"/>
    <w:rsid w:val="00F15723"/>
    <w:rsid w:val="00F25A93"/>
    <w:rsid w:val="00F2684E"/>
    <w:rsid w:val="00F43221"/>
    <w:rsid w:val="00F46E6E"/>
    <w:rsid w:val="00F5267B"/>
    <w:rsid w:val="00F5404C"/>
    <w:rsid w:val="00F56376"/>
    <w:rsid w:val="00F72851"/>
    <w:rsid w:val="00F729EF"/>
    <w:rsid w:val="00F744A2"/>
    <w:rsid w:val="00F77CAE"/>
    <w:rsid w:val="00F77D12"/>
    <w:rsid w:val="00F82271"/>
    <w:rsid w:val="00F83428"/>
    <w:rsid w:val="00F943FD"/>
    <w:rsid w:val="00F96BB9"/>
    <w:rsid w:val="00FA1200"/>
    <w:rsid w:val="00FB38F2"/>
    <w:rsid w:val="00FC0047"/>
    <w:rsid w:val="00FC12B6"/>
    <w:rsid w:val="00FC322F"/>
    <w:rsid w:val="00FC38A5"/>
    <w:rsid w:val="00FD0844"/>
    <w:rsid w:val="00FD5AA4"/>
    <w:rsid w:val="00FE6D51"/>
    <w:rsid w:val="00FE6F2A"/>
    <w:rsid w:val="00FF0DFB"/>
    <w:rsid w:val="00FF149D"/>
    <w:rsid w:val="00FF2836"/>
    <w:rsid w:val="1D48CBBF"/>
    <w:rsid w:val="3C568885"/>
    <w:rsid w:val="4A293327"/>
    <w:rsid w:val="6C6114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2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B2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B22583"/>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B22583"/>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B22583"/>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B22583"/>
    <w:rPr>
      <w:rFonts w:ascii="Calibri" w:hAnsi="Calibri"/>
      <w:color w:val="000000" w:themeColor="text1"/>
      <w:lang w:val="en-GB" w:eastAsia="en-AU"/>
    </w:rPr>
  </w:style>
  <w:style w:type="table" w:styleId="GridTable1Light">
    <w:name w:val="Grid Table 1 Light"/>
    <w:basedOn w:val="TableNormal"/>
    <w:uiPriority w:val="46"/>
    <w:locked/>
    <w:rsid w:val="003617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BE6074"/>
    <w:rPr>
      <w:color w:val="800080" w:themeColor="followedHyperlink"/>
      <w:u w:val="single"/>
    </w:rPr>
  </w:style>
  <w:style w:type="character" w:customStyle="1" w:styleId="UnresolvedMention1">
    <w:name w:val="Unresolved Mention1"/>
    <w:basedOn w:val="DefaultParagraphFont"/>
    <w:uiPriority w:val="99"/>
    <w:semiHidden/>
    <w:unhideWhenUsed/>
    <w:rsid w:val="00A200C0"/>
    <w:rPr>
      <w:color w:val="605E5C"/>
      <w:shd w:val="clear" w:color="auto" w:fill="E1DFDD"/>
    </w:rPr>
  </w:style>
  <w:style w:type="character" w:customStyle="1" w:styleId="Indent2Char">
    <w:name w:val="Indent 2 Char"/>
    <w:basedOn w:val="DefaultParagraphFont"/>
    <w:link w:val="Indent2"/>
    <w:locked/>
    <w:rsid w:val="00EA0BC1"/>
  </w:style>
  <w:style w:type="paragraph" w:customStyle="1" w:styleId="Indent2">
    <w:name w:val="Indent 2"/>
    <w:basedOn w:val="Normal"/>
    <w:link w:val="Indent2Char"/>
    <w:rsid w:val="00EA0BC1"/>
    <w:pPr>
      <w:suppressAutoHyphens w:val="0"/>
      <w:spacing w:before="0" w:after="240" w:line="240" w:lineRule="auto"/>
      <w:ind w:left="737"/>
    </w:pPr>
    <w:rPr>
      <w:color w:val="auto"/>
      <w:lang w:val="en-AU"/>
    </w:rPr>
  </w:style>
  <w:style w:type="numbering" w:customStyle="1" w:styleId="Numberings">
    <w:name w:val="Numberings"/>
    <w:uiPriority w:val="99"/>
    <w:rsid w:val="00EA0BC1"/>
    <w:pPr>
      <w:numPr>
        <w:numId w:val="20"/>
      </w:numPr>
    </w:pPr>
  </w:style>
  <w:style w:type="character" w:styleId="UnresolvedMention">
    <w:name w:val="Unresolved Mention"/>
    <w:basedOn w:val="DefaultParagraphFont"/>
    <w:uiPriority w:val="99"/>
    <w:semiHidden/>
    <w:unhideWhenUsed/>
    <w:rsid w:val="00D608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4963">
      <w:bodyDiv w:val="1"/>
      <w:marLeft w:val="0"/>
      <w:marRight w:val="0"/>
      <w:marTop w:val="0"/>
      <w:marBottom w:val="0"/>
      <w:divBdr>
        <w:top w:val="none" w:sz="0" w:space="0" w:color="auto"/>
        <w:left w:val="none" w:sz="0" w:space="0" w:color="auto"/>
        <w:bottom w:val="none" w:sz="0" w:space="0" w:color="auto"/>
        <w:right w:val="none" w:sz="0" w:space="0" w:color="auto"/>
      </w:divBdr>
    </w:div>
    <w:div w:id="328019901">
      <w:bodyDiv w:val="1"/>
      <w:marLeft w:val="0"/>
      <w:marRight w:val="0"/>
      <w:marTop w:val="0"/>
      <w:marBottom w:val="0"/>
      <w:divBdr>
        <w:top w:val="none" w:sz="0" w:space="0" w:color="auto"/>
        <w:left w:val="none" w:sz="0" w:space="0" w:color="auto"/>
        <w:bottom w:val="none" w:sz="0" w:space="0" w:color="auto"/>
        <w:right w:val="none" w:sz="0" w:space="0" w:color="auto"/>
      </w:divBdr>
    </w:div>
    <w:div w:id="638799918">
      <w:bodyDiv w:val="1"/>
      <w:marLeft w:val="0"/>
      <w:marRight w:val="0"/>
      <w:marTop w:val="0"/>
      <w:marBottom w:val="0"/>
      <w:divBdr>
        <w:top w:val="none" w:sz="0" w:space="0" w:color="auto"/>
        <w:left w:val="none" w:sz="0" w:space="0" w:color="auto"/>
        <w:bottom w:val="none" w:sz="0" w:space="0" w:color="auto"/>
        <w:right w:val="none" w:sz="0" w:space="0" w:color="auto"/>
      </w:divBdr>
    </w:div>
    <w:div w:id="19892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dcontracts@dfat.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B5D2-D843-48FB-81A2-52A687A98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1722</Words>
  <Characters>10459</Characters>
  <Application>Microsoft Office Word</Application>
  <DocSecurity>0</DocSecurity>
  <Lines>337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Handover Plan</dc:title>
  <dc:creator/>
  <cp:keywords>[SEC=OFFICIAL]</cp:keywords>
  <cp:lastModifiedBy/>
  <cp:revision>1</cp:revision>
  <dcterms:created xsi:type="dcterms:W3CDTF">2023-04-19T05:55:00Z</dcterms:created>
  <dcterms:modified xsi:type="dcterms:W3CDTF">2023-04-20T00:28:00Z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AABE21D402124FE0B101DE2635F01924</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2023-04-20T00:28:46Z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7AFD6E78F3393280DA1DFA1210CDEEC2</vt:lpwstr>
  </property>
  <property fmtid="{D5CDD505-2E9C-101B-9397-08002B2CF9AE}" pid="23" name="PM_Hash_Salt">
    <vt:lpwstr>1E239A24B77B120D9A353467D1B5F58F</vt:lpwstr>
  </property>
  <property fmtid="{D5CDD505-2E9C-101B-9397-08002B2CF9AE}" pid="24" name="PM_Hash_SHA1">
    <vt:lpwstr>9F2A5D32D7D94D8992EE188217AD5A641C87EB93</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