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F91F2" w14:textId="7CA9630D" w:rsidR="009A3990" w:rsidRDefault="009A3990" w:rsidP="00F959D5">
      <w:pPr>
        <w:pStyle w:val="H1-Heading1"/>
      </w:pPr>
      <w:r w:rsidRPr="00801B92">
        <w:rPr>
          <w:lang w:val="en-GB"/>
        </w:rPr>
        <w:t>DFAT Development Evaluation Policy 2023</w:t>
      </w:r>
    </w:p>
    <w:p w14:paraId="41C4F661" w14:textId="5108B43D" w:rsidR="009A3990" w:rsidRPr="00801B92" w:rsidRDefault="009A3990" w:rsidP="001B3B16">
      <w:pPr>
        <w:pStyle w:val="H2-Heading2"/>
      </w:pPr>
      <w:r w:rsidRPr="00801B92">
        <w:t>Introduction</w:t>
      </w:r>
    </w:p>
    <w:p w14:paraId="3C2CD037" w14:textId="77777777" w:rsidR="009A3990" w:rsidRPr="00801B92" w:rsidRDefault="009A3990" w:rsidP="009A3990">
      <w:pPr>
        <w:pStyle w:val="BodyCopy"/>
      </w:pPr>
      <w:r w:rsidRPr="00801B92">
        <w:t>The Department of Foreign Affairs and Trade (DFAT) delivers Australia’s international development program. Its aim is to advance a peaceful, stable and prosperous Indo-Pacific region. Robust evaluations are an essential tool for promoting continuous improvement and ensuring we are adapting our approaches to achieve effective outcomes. They support learning, accountability and decision-making by:</w:t>
      </w:r>
    </w:p>
    <w:p w14:paraId="1E3C93D1" w14:textId="77777777" w:rsidR="009A3990" w:rsidRPr="00801B92" w:rsidRDefault="009A3990" w:rsidP="009A3990">
      <w:pPr>
        <w:pStyle w:val="BodyCopyBullets"/>
      </w:pPr>
      <w:r w:rsidRPr="00801B92">
        <w:t>Generating evidence and learning to improve implementation and inform future designs.</w:t>
      </w:r>
    </w:p>
    <w:p w14:paraId="14FF777E" w14:textId="77777777" w:rsidR="009A3990" w:rsidRPr="00801B92" w:rsidRDefault="009A3990" w:rsidP="009A3990">
      <w:pPr>
        <w:pStyle w:val="BodyCopyBullets"/>
      </w:pPr>
      <w:r w:rsidRPr="00801B92">
        <w:t xml:space="preserve">Supporting an organisational culture focused on innovation and continuous learning. </w:t>
      </w:r>
    </w:p>
    <w:p w14:paraId="2797E9F4" w14:textId="77777777" w:rsidR="009A3990" w:rsidRPr="00801B92" w:rsidRDefault="009A3990" w:rsidP="009A3990">
      <w:pPr>
        <w:pStyle w:val="BodyCopyBullets"/>
      </w:pPr>
      <w:r w:rsidRPr="00801B92">
        <w:t>Reinforcing public confidence in government by credibly demonstrating the performance of the development program.</w:t>
      </w:r>
    </w:p>
    <w:p w14:paraId="09F6EC91" w14:textId="77777777" w:rsidR="009A3990" w:rsidRPr="00801B92" w:rsidRDefault="009A3990" w:rsidP="009A3990">
      <w:pPr>
        <w:pStyle w:val="BodyCopyBullets"/>
      </w:pPr>
      <w:r w:rsidRPr="00801B92">
        <w:t>Strengthening our program management as well as the knowledge and skills of our staff.</w:t>
      </w:r>
    </w:p>
    <w:p w14:paraId="60DE2F9F" w14:textId="78F9AF6C" w:rsidR="009A3990" w:rsidRDefault="009A3990" w:rsidP="009A3990">
      <w:pPr>
        <w:pStyle w:val="BodyCopyBullets"/>
      </w:pPr>
      <w:r w:rsidRPr="00EF33F4">
        <w:t>Assisting us to meet our accountability obligations under the Public Governance, Performance and Accountability Act 2013, which requires DFAT to assess and report on its financial and non-financial performance.</w:t>
      </w:r>
    </w:p>
    <w:p w14:paraId="0A34F396" w14:textId="77777777" w:rsidR="009A3990" w:rsidRDefault="009A3990" w:rsidP="001B3B16">
      <w:pPr>
        <w:pStyle w:val="H2-Heading2"/>
      </w:pPr>
      <w:r>
        <w:t xml:space="preserve">What is evaluation? </w:t>
      </w:r>
    </w:p>
    <w:p w14:paraId="2C717053" w14:textId="77777777" w:rsidR="009A3990" w:rsidRDefault="009A3990" w:rsidP="009A3990">
      <w:pPr>
        <w:pStyle w:val="BodyCopy"/>
      </w:pPr>
      <w:r>
        <w:t>We define evaluation as the systematic and objective assessment of an ongoing or completed investment, program or policy.</w:t>
      </w:r>
      <w:r>
        <w:rPr>
          <w:rStyle w:val="FootnoteReference"/>
        </w:rPr>
        <w:footnoteReference w:id="1"/>
      </w:r>
      <w:r>
        <w:t xml:space="preserve"> It is an in-depth process which takes place on a periodic basis. Evaluation aims to provide credible evidence which can inform major program management and policy decisions and highlight important development lessons. </w:t>
      </w:r>
    </w:p>
    <w:p w14:paraId="16EEE7C9" w14:textId="77777777" w:rsidR="009A3990" w:rsidRDefault="009A3990" w:rsidP="009A3990">
      <w:pPr>
        <w:pStyle w:val="BodyCopy"/>
      </w:pPr>
      <w:r>
        <w:t>Evaluation is distinct from, but related to, monitoring. Monitoring is a continuous process which examines whether an investment, policy or program is on track to achieve its intended results. In DFAT, monitoring is characterised by activities such as dialogue with partners, monitoring visits to field sites, and the collection of data on key deliverables. Evaluation will generally use data gathered through monitoring as one source of evidence.</w:t>
      </w:r>
    </w:p>
    <w:p w14:paraId="19FE3CF2" w14:textId="77777777" w:rsidR="009A3990" w:rsidRDefault="009A3990" w:rsidP="001B3B16">
      <w:pPr>
        <w:pStyle w:val="H2-Heading2"/>
      </w:pPr>
      <w:r>
        <w:t>Evaluation in DFAT</w:t>
      </w:r>
    </w:p>
    <w:p w14:paraId="4974C710" w14:textId="77777777" w:rsidR="009A3990" w:rsidRPr="00690419" w:rsidRDefault="009A3990" w:rsidP="009A3990">
      <w:pPr>
        <w:pStyle w:val="BodyCopy"/>
      </w:pPr>
      <w:r>
        <w:t>Evaluations are initiated and managed by country, regional, global and sector program areas. Program areas identify evaluations that will help account for and improve their work through the multi-year evaluation and learning plan which is updated annually. Programs have flexibility to determine the highest priority issues their evaluations should focus on and are expected to complete a minimum number each year.</w:t>
      </w:r>
    </w:p>
    <w:p w14:paraId="20057EAA" w14:textId="77777777" w:rsidR="009A3990" w:rsidRDefault="009A3990" w:rsidP="009A3990">
      <w:pPr>
        <w:pStyle w:val="BodyCopy"/>
      </w:pPr>
      <w:r>
        <w:t>DFAT develops</w:t>
      </w:r>
      <w:r w:rsidRPr="00CC0AB4">
        <w:t xml:space="preserve"> a</w:t>
      </w:r>
      <w:r>
        <w:t xml:space="preserve"> multi-year development evaluation plan each year. The plan comprises the evaluations prioritised in country and regional development partnership plans, and their annual updates, as well as planned evaluations of global, sector programs and thematic programs. DFAT’s Development Evaluation Plan is approved by the Secretary and published on the DFAT website. DFAT reports annually on the plan and the quality and use of evaluations in the Performance of Australian Development Cooperation Report.</w:t>
      </w:r>
    </w:p>
    <w:p w14:paraId="33DE1484" w14:textId="65410BE0" w:rsidR="005E0248" w:rsidRDefault="009A3990" w:rsidP="005E0248">
      <w:pPr>
        <w:pStyle w:val="BodyCopy"/>
        <w:rPr>
          <w:rFonts w:asciiTheme="minorHAnsi" w:eastAsiaTheme="majorEastAsia" w:hAnsiTheme="minorHAnsi" w:cstheme="minorHAnsi"/>
          <w:b/>
          <w:bCs/>
          <w:sz w:val="28"/>
          <w:szCs w:val="28"/>
        </w:rPr>
      </w:pPr>
      <w:r>
        <w:t xml:space="preserve">On occasion, program areas may wish to undertake a rapid management review to help inform immediate decisions required on individual investments. Rapid management reviews are similar to evaluations but involve less time and resources and are generally less rigorous. The requirements of this Evaluation Policy do not apply to rapid management reviews. </w:t>
      </w:r>
    </w:p>
    <w:p w14:paraId="0685DED5" w14:textId="65DEEAAE" w:rsidR="009A3990" w:rsidRDefault="009A3990" w:rsidP="001B3B16">
      <w:pPr>
        <w:pStyle w:val="H2-Heading2"/>
      </w:pPr>
      <w:r>
        <w:lastRenderedPageBreak/>
        <w:t>Evaluation use</w:t>
      </w:r>
    </w:p>
    <w:p w14:paraId="58C248E6" w14:textId="77777777" w:rsidR="009A3990" w:rsidRDefault="009A3990" w:rsidP="009A3990">
      <w:pPr>
        <w:pStyle w:val="BodyCopy"/>
      </w:pPr>
      <w:r>
        <w:t xml:space="preserve">Use is the driving force behind our evaluations. All our evaluations should be commissioned and conducted to maximise the use of evaluation findings and recommendations to improve our work. </w:t>
      </w:r>
    </w:p>
    <w:p w14:paraId="30739040" w14:textId="77777777" w:rsidR="009A3990" w:rsidRDefault="009A3990" w:rsidP="009A3990">
      <w:pPr>
        <w:pStyle w:val="BodyCopy"/>
      </w:pPr>
      <w:r>
        <w:t xml:space="preserve">To ensure evaluations are useful we focus on three areas: prioritisation; quality; and systems which facilitate use. </w:t>
      </w:r>
    </w:p>
    <w:p w14:paraId="5C71A1EB" w14:textId="77777777" w:rsidR="009A3990" w:rsidRDefault="009A3990" w:rsidP="001B3B16">
      <w:pPr>
        <w:pStyle w:val="H3-Heading3"/>
      </w:pPr>
      <w:r>
        <w:t>Prioritisation</w:t>
      </w:r>
    </w:p>
    <w:p w14:paraId="0E5D96D5" w14:textId="77777777" w:rsidR="009A3990" w:rsidRDefault="009A3990" w:rsidP="009A3990">
      <w:pPr>
        <w:pStyle w:val="BodyCopy"/>
      </w:pPr>
      <w:r>
        <w:t>We focus evaluations on the highest priority issues in our programs. Focusing on areas where there is the greatest demand for evidence and improvement will ensure evaluations add value and are used. This includes the need for accountability, particularly for large investments, and to assess impact.</w:t>
      </w:r>
    </w:p>
    <w:p w14:paraId="3770106B" w14:textId="77777777" w:rsidR="009A3990" w:rsidRPr="00040FEE" w:rsidRDefault="009A3990" w:rsidP="009A3990">
      <w:pPr>
        <w:pStyle w:val="BodyCopy"/>
      </w:pPr>
      <w:r>
        <w:t xml:space="preserve">Priority evaluation topics may include areas where there are significant evidence gaps that need to be filled so we can make better decisions; issues that pose significant risks to the effectiveness of our work; or interventions which are high priority for the Australian Government and our partners. </w:t>
      </w:r>
    </w:p>
    <w:p w14:paraId="4D6CE5B5" w14:textId="77777777" w:rsidR="009A3990" w:rsidRDefault="009A3990" w:rsidP="001B3B16">
      <w:pPr>
        <w:pStyle w:val="H3-Heading3"/>
      </w:pPr>
      <w:r>
        <w:t>Quality</w:t>
      </w:r>
    </w:p>
    <w:p w14:paraId="65B536BB" w14:textId="77777777" w:rsidR="009A3990" w:rsidRDefault="009A3990" w:rsidP="009A3990">
      <w:pPr>
        <w:pStyle w:val="BodyCopy"/>
      </w:pPr>
      <w:r>
        <w:t xml:space="preserve">For evaluation findings to be used they must be credible and robust. For this reason, all our evaluation products and processes will be high quality. Quality is achieved in the following ways: </w:t>
      </w:r>
    </w:p>
    <w:p w14:paraId="740185F0" w14:textId="77777777" w:rsidR="009A3990" w:rsidRDefault="009A3990" w:rsidP="009A3990">
      <w:pPr>
        <w:pStyle w:val="BodyCopyBullets"/>
      </w:pPr>
      <w:r>
        <w:t xml:space="preserve">We take advantage of both </w:t>
      </w:r>
      <w:r w:rsidRPr="17155602">
        <w:rPr>
          <w:b/>
          <w:bCs/>
        </w:rPr>
        <w:t>independent and internal perspectives</w:t>
      </w:r>
      <w:r>
        <w:t>. Evaluation teams should be led by an independent person who is not directly involved in program management to ensure the findings are objective. At the same time, evaluation teams should include DFAT staff to the extent possible. This will ensure evaluation teams understand our context and have insight into whether evaluation recommendations are appropriate and feasible. It will also ensure our staff have strong ownership of, and build their capacity in, evaluation and help to embed a culture of learning.</w:t>
      </w:r>
    </w:p>
    <w:p w14:paraId="797C3880" w14:textId="77777777" w:rsidR="009A3990" w:rsidRDefault="009A3990" w:rsidP="009A3990">
      <w:pPr>
        <w:pStyle w:val="BodyCopyBullets"/>
      </w:pPr>
      <w:r>
        <w:t xml:space="preserve">When conducting evaluations, we </w:t>
      </w:r>
      <w:r w:rsidRPr="17155602">
        <w:rPr>
          <w:b/>
          <w:bCs/>
        </w:rPr>
        <w:t>engage early with our partners</w:t>
      </w:r>
      <w:r>
        <w:t>, including partner governments and implementing partners, to the extent possible. We will ensure they participate in evaluation design and implementation, and that they understand our quality and publication expectations. Where we choose to undertake joint evaluations or allow evaluations to be led by one of our development partners, we will ensure that our quality, management response and publication requirements can be upheld.</w:t>
      </w:r>
    </w:p>
    <w:p w14:paraId="2D90917E" w14:textId="77777777" w:rsidR="009A3990" w:rsidRDefault="009A3990" w:rsidP="009A3990">
      <w:pPr>
        <w:pStyle w:val="BodyCopyBullets"/>
      </w:pPr>
      <w:r>
        <w:t xml:space="preserve">Evaluations </w:t>
      </w:r>
      <w:r w:rsidRPr="17155602">
        <w:rPr>
          <w:b/>
          <w:bCs/>
        </w:rPr>
        <w:t>fulfil our quality expectations</w:t>
      </w:r>
      <w:r>
        <w:t xml:space="preserve">, as outlined in our </w:t>
      </w:r>
      <w:hyperlink r:id="rId8" w:history="1">
        <w:r w:rsidRPr="00A27977">
          <w:rPr>
            <w:rStyle w:val="Hyperlink"/>
          </w:rPr>
          <w:t>Design and Monitoring and Evaluation Standards</w:t>
        </w:r>
      </w:hyperlink>
      <w:r>
        <w:t xml:space="preserve">. Our evaluations are also </w:t>
      </w:r>
      <w:r w:rsidRPr="17155602">
        <w:rPr>
          <w:b/>
          <w:bCs/>
        </w:rPr>
        <w:t>conducted ethically</w:t>
      </w:r>
      <w:r>
        <w:t xml:space="preserve">. Evaluation teams should adhere to the requirements of DFAT’s </w:t>
      </w:r>
      <w:hyperlink r:id="rId9">
        <w:r w:rsidRPr="17155602">
          <w:rPr>
            <w:rStyle w:val="Hyperlink"/>
          </w:rPr>
          <w:t>Ethical Research and Evaluation Guidance Note</w:t>
        </w:r>
      </w:hyperlink>
      <w:r>
        <w:t xml:space="preserve"> and the Australasian Evaluation Society’s </w:t>
      </w:r>
      <w:hyperlink r:id="rId10">
        <w:r w:rsidRPr="17155602">
          <w:rPr>
            <w:rStyle w:val="Hyperlink"/>
          </w:rPr>
          <w:t>Guidelines for the Ethical Conduct of Evaluations</w:t>
        </w:r>
      </w:hyperlink>
      <w:r>
        <w:t xml:space="preserve">. </w:t>
      </w:r>
    </w:p>
    <w:p w14:paraId="0ACB6716" w14:textId="77777777" w:rsidR="00045A9A" w:rsidRPr="001B3B16" w:rsidRDefault="00045A9A" w:rsidP="001B3B16">
      <w:pPr>
        <w:pStyle w:val="H3-Heading3"/>
      </w:pPr>
      <w:r w:rsidRPr="001B3B16">
        <w:t>Systems that facilitate use</w:t>
      </w:r>
    </w:p>
    <w:p w14:paraId="1929695B" w14:textId="77777777" w:rsidR="00045A9A" w:rsidRDefault="00045A9A" w:rsidP="00045A9A">
      <w:pPr>
        <w:pStyle w:val="BodyCopy"/>
      </w:pPr>
      <w:r>
        <w:t xml:space="preserve">Our systems and processes facilitate the use of evaluations. For example: </w:t>
      </w:r>
    </w:p>
    <w:p w14:paraId="64BB8E44" w14:textId="77777777" w:rsidR="00045A9A" w:rsidRDefault="00045A9A" w:rsidP="00045A9A">
      <w:pPr>
        <w:pStyle w:val="BodyCopyBullets"/>
      </w:pPr>
      <w:r>
        <w:t xml:space="preserve">We provide </w:t>
      </w:r>
      <w:r w:rsidRPr="17155602">
        <w:rPr>
          <w:b/>
          <w:bCs/>
        </w:rPr>
        <w:t>management responses</w:t>
      </w:r>
      <w:r>
        <w:t xml:space="preserve"> to all evaluations. These outline whether we agree with the recommendations, and how and when recommendations will be implemented. </w:t>
      </w:r>
    </w:p>
    <w:p w14:paraId="0A4DA81D" w14:textId="77777777" w:rsidR="00045A9A" w:rsidRDefault="00045A9A" w:rsidP="00045A9A">
      <w:pPr>
        <w:pStyle w:val="BodyCopyBullets"/>
      </w:pPr>
      <w:r>
        <w:t xml:space="preserve">All evaluations and management responses will be </w:t>
      </w:r>
      <w:r w:rsidRPr="17155602">
        <w:rPr>
          <w:b/>
          <w:bCs/>
        </w:rPr>
        <w:t>published on the DFAT website</w:t>
      </w:r>
      <w:r>
        <w:t>. This should be done within three months of an evaluation report being completed.</w:t>
      </w:r>
    </w:p>
    <w:p w14:paraId="6037191B" w14:textId="77777777" w:rsidR="00045A9A" w:rsidRDefault="00045A9A" w:rsidP="00045A9A">
      <w:pPr>
        <w:pStyle w:val="BodyCopyBullets"/>
      </w:pPr>
      <w:r>
        <w:t xml:space="preserve">We ensure </w:t>
      </w:r>
      <w:r w:rsidRPr="17155602">
        <w:rPr>
          <w:b/>
          <w:bCs/>
        </w:rPr>
        <w:t>evaluation findings can be easily accessed</w:t>
      </w:r>
      <w:r>
        <w:t xml:space="preserve">. </w:t>
      </w:r>
    </w:p>
    <w:p w14:paraId="3CCAFFF8" w14:textId="77777777" w:rsidR="00045A9A" w:rsidRDefault="00045A9A" w:rsidP="00045A9A">
      <w:pPr>
        <w:pStyle w:val="BodyCopyBullets"/>
      </w:pPr>
      <w:r>
        <w:t xml:space="preserve">We </w:t>
      </w:r>
      <w:r w:rsidRPr="17155602">
        <w:rPr>
          <w:b/>
          <w:bCs/>
        </w:rPr>
        <w:t>link design and evaluation</w:t>
      </w:r>
      <w:r>
        <w:t>. Our systems will ensure the design of our strategies, programs and investments takes into account findings from evaluations. Designs should also consider how appropriate data can be collected to ensure high quality evaluations can be conducted.</w:t>
      </w:r>
    </w:p>
    <w:p w14:paraId="52CA9ACB" w14:textId="5715DDBE" w:rsidR="00045A9A" w:rsidRPr="00045A9A" w:rsidRDefault="00045A9A" w:rsidP="00045A9A">
      <w:pPr>
        <w:pStyle w:val="BodyCopyBullets"/>
        <w:rPr>
          <w:b/>
        </w:rPr>
      </w:pPr>
      <w:r>
        <w:t xml:space="preserve">We have </w:t>
      </w:r>
      <w:r w:rsidRPr="17155602">
        <w:rPr>
          <w:b/>
          <w:bCs/>
        </w:rPr>
        <w:t xml:space="preserve">senior management oversight </w:t>
      </w:r>
      <w:r>
        <w:t>of evaluations</w:t>
      </w:r>
      <w:r w:rsidRPr="17155602">
        <w:rPr>
          <w:b/>
          <w:bCs/>
        </w:rPr>
        <w:t>.</w:t>
      </w:r>
    </w:p>
    <w:p w14:paraId="65CBA869" w14:textId="77777777" w:rsidR="005E0248" w:rsidRDefault="005E0248">
      <w:pPr>
        <w:spacing w:after="0" w:line="240" w:lineRule="auto"/>
        <w:rPr>
          <w:rFonts w:asciiTheme="minorHAnsi" w:eastAsiaTheme="majorEastAsia" w:hAnsiTheme="minorHAnsi" w:cstheme="minorHAnsi"/>
          <w:b/>
          <w:bCs/>
          <w:color w:val="313E48"/>
          <w:sz w:val="28"/>
          <w:szCs w:val="28"/>
        </w:rPr>
      </w:pPr>
      <w:r>
        <w:br w:type="page"/>
      </w:r>
    </w:p>
    <w:p w14:paraId="7CE899FC" w14:textId="69C5D6BB" w:rsidR="00045A9A" w:rsidRDefault="00045A9A" w:rsidP="001B3B16">
      <w:pPr>
        <w:pStyle w:val="H2-Heading2"/>
      </w:pPr>
      <w:r>
        <w:lastRenderedPageBreak/>
        <w:t>Roles and responsibilities</w:t>
      </w:r>
    </w:p>
    <w:p w14:paraId="3B5D0E79" w14:textId="77777777" w:rsidR="00045A9A" w:rsidRDefault="00045A9A" w:rsidP="00045A9A">
      <w:pPr>
        <w:pStyle w:val="BodyCopy"/>
      </w:pPr>
      <w:r w:rsidRPr="00690419">
        <w:t xml:space="preserve">The </w:t>
      </w:r>
      <w:r>
        <w:rPr>
          <w:b/>
        </w:rPr>
        <w:t>Development Effectiveness and Enabling Division</w:t>
      </w:r>
      <w:r w:rsidRPr="00690419">
        <w:rPr>
          <w:i/>
        </w:rPr>
        <w:t xml:space="preserve"> </w:t>
      </w:r>
      <w:r w:rsidRPr="00690419">
        <w:t xml:space="preserve">is responsible for overseeing this </w:t>
      </w:r>
      <w:r>
        <w:t>p</w:t>
      </w:r>
      <w:r w:rsidRPr="00690419">
        <w:t>olicy and associated guidance;</w:t>
      </w:r>
      <w:r>
        <w:t xml:space="preserve"> providing support to program areas to prioritise and conduct program evaluations; and compiling, reviewing, publishing and reporting against this policy.</w:t>
      </w:r>
    </w:p>
    <w:p w14:paraId="7C010D39" w14:textId="77777777" w:rsidR="00045A9A" w:rsidRDefault="00045A9A" w:rsidP="00045A9A">
      <w:pPr>
        <w:pStyle w:val="BodyCopy"/>
      </w:pPr>
      <w:r>
        <w:t xml:space="preserve">The </w:t>
      </w:r>
      <w:r w:rsidRPr="5879DC36">
        <w:rPr>
          <w:b/>
          <w:bCs/>
        </w:rPr>
        <w:t xml:space="preserve">Development Program Committee </w:t>
      </w:r>
      <w:r>
        <w:t>provides oversight and governance of the overall development cooperation program.  It is responsible for ensuring evaluation findings are used to inform the development strategies and investments it approves and endorses each multi-year evaluation plan.</w:t>
      </w:r>
    </w:p>
    <w:p w14:paraId="5A493B2C" w14:textId="37BB95AD" w:rsidR="00045A9A" w:rsidRDefault="00045A9A" w:rsidP="00045A9A">
      <w:pPr>
        <w:pStyle w:val="BodyCopy"/>
      </w:pPr>
      <w:r>
        <w:t xml:space="preserve">The DFAT </w:t>
      </w:r>
      <w:r w:rsidRPr="5879DC36">
        <w:rPr>
          <w:b/>
          <w:bCs/>
        </w:rPr>
        <w:t>Secretary</w:t>
      </w:r>
      <w:r>
        <w:t xml:space="preserve"> approves a multi-year evaluation plan each year endorsed by the Development Program Committee. DFAT </w:t>
      </w:r>
      <w:r w:rsidRPr="00092233">
        <w:rPr>
          <w:b/>
        </w:rPr>
        <w:t>program areas</w:t>
      </w:r>
      <w:r>
        <w:t xml:space="preserve"> (including country/regional, global and sector programs) are responsible for identifying, completing and publishing a minimum number of evaluations each year, as specified in DFAT’s Development Evaluation Plan. First Assistant Secretaries are responsible for deciding which program evaluations will be conducted. Senior managers (e.g. Assistant Secretaries and Minister Counsellors) sign off on management responses.</w:t>
      </w:r>
    </w:p>
    <w:p w14:paraId="499DC417" w14:textId="77777777" w:rsidR="00BE0A39" w:rsidRDefault="00BE0A39">
      <w:pPr>
        <w:spacing w:after="0" w:line="240" w:lineRule="auto"/>
        <w:rPr>
          <w:rFonts w:asciiTheme="minorHAnsi" w:hAnsiTheme="minorHAnsi" w:cstheme="minorHAnsi"/>
          <w:b/>
          <w:bCs/>
          <w:color w:val="313E48"/>
          <w:sz w:val="28"/>
          <w:szCs w:val="28"/>
        </w:rPr>
        <w:sectPr w:rsidR="00BE0A39" w:rsidSect="00BE0A39">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851" w:left="851" w:header="851" w:footer="409" w:gutter="0"/>
          <w:cols w:space="708"/>
          <w:titlePg/>
          <w:docGrid w:linePitch="360"/>
        </w:sectPr>
      </w:pPr>
    </w:p>
    <w:p w14:paraId="59280C31" w14:textId="16427BC7" w:rsidR="00A83F6A" w:rsidRDefault="00D51826" w:rsidP="002173DF">
      <w:pPr>
        <w:pStyle w:val="H2-Heading2"/>
        <w:spacing w:before="0"/>
        <w:rPr>
          <w:rFonts w:eastAsia="Calibri"/>
        </w:rPr>
      </w:pPr>
      <w:r>
        <w:rPr>
          <w:rFonts w:eastAsia="Calibri"/>
        </w:rPr>
        <w:t xml:space="preserve">ANNEX: </w:t>
      </w:r>
      <w:r w:rsidRPr="004733D3">
        <w:rPr>
          <w:rFonts w:eastAsia="Calibri"/>
        </w:rPr>
        <w:t xml:space="preserve">Recommended minimum number of evaluations </w:t>
      </w:r>
    </w:p>
    <w:p w14:paraId="1F78A2ED" w14:textId="1E899F87" w:rsidR="002173DF" w:rsidRPr="002173DF" w:rsidRDefault="002173DF" w:rsidP="002173DF">
      <w:pPr>
        <w:pStyle w:val="H4-Heading4"/>
        <w:spacing w:before="0"/>
        <w:rPr>
          <w:b w:val="0"/>
          <w:bCs w:val="0"/>
          <w:i/>
          <w:iCs/>
        </w:rPr>
      </w:pPr>
      <w:r w:rsidRPr="002173DF">
        <w:rPr>
          <w:b w:val="0"/>
          <w:bCs w:val="0"/>
          <w:i/>
          <w:iCs/>
        </w:rPr>
        <w:t>Last update: 2024</w:t>
      </w:r>
    </w:p>
    <w:p w14:paraId="118BB2AD" w14:textId="77777777" w:rsidR="00BE0A39" w:rsidRPr="00BE0A39" w:rsidRDefault="00BE0A39" w:rsidP="00BE0A39">
      <w:pPr>
        <w:pStyle w:val="BodyCopy"/>
        <w:spacing w:before="0" w:after="0"/>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098"/>
        <w:gridCol w:w="4820"/>
      </w:tblGrid>
      <w:tr w:rsidR="00045A9A" w:rsidRPr="005E0248" w14:paraId="49268DCA" w14:textId="77777777" w:rsidTr="00A83F6A">
        <w:trPr>
          <w:trHeight w:val="283"/>
        </w:trPr>
        <w:tc>
          <w:tcPr>
            <w:tcW w:w="5098" w:type="dxa"/>
            <w:shd w:val="clear" w:color="auto" w:fill="E7E6E6" w:themeFill="background2"/>
          </w:tcPr>
          <w:p w14:paraId="14F44E50" w14:textId="389A2885" w:rsidR="00045A9A" w:rsidRPr="005E0248" w:rsidRDefault="00045A9A" w:rsidP="00A83F6A">
            <w:pPr>
              <w:pStyle w:val="TableHeading"/>
              <w:spacing w:after="0"/>
              <w:rPr>
                <w:sz w:val="20"/>
                <w:szCs w:val="20"/>
              </w:rPr>
            </w:pPr>
            <w:r w:rsidRPr="005E0248">
              <w:rPr>
                <w:sz w:val="20"/>
                <w:szCs w:val="20"/>
              </w:rPr>
              <w:t>Country/regional program</w:t>
            </w:r>
          </w:p>
        </w:tc>
        <w:tc>
          <w:tcPr>
            <w:tcW w:w="4820" w:type="dxa"/>
            <w:shd w:val="clear" w:color="auto" w:fill="E7E6E6" w:themeFill="background2"/>
          </w:tcPr>
          <w:p w14:paraId="7B6D0D0E" w14:textId="7353DAA0" w:rsidR="00045A9A" w:rsidRPr="005E0248" w:rsidRDefault="00045A9A" w:rsidP="00A83F6A">
            <w:pPr>
              <w:pStyle w:val="TableHeading"/>
              <w:spacing w:after="0"/>
              <w:rPr>
                <w:sz w:val="20"/>
                <w:szCs w:val="20"/>
              </w:rPr>
            </w:pPr>
            <w:r w:rsidRPr="005E0248">
              <w:rPr>
                <w:sz w:val="20"/>
                <w:szCs w:val="20"/>
              </w:rPr>
              <w:t>Recommended minimum number</w:t>
            </w:r>
          </w:p>
        </w:tc>
      </w:tr>
      <w:tr w:rsidR="00045A9A" w:rsidRPr="005E0248" w14:paraId="14C76D48" w14:textId="77777777" w:rsidTr="00A83F6A">
        <w:trPr>
          <w:trHeight w:val="283"/>
        </w:trPr>
        <w:tc>
          <w:tcPr>
            <w:tcW w:w="5098" w:type="dxa"/>
          </w:tcPr>
          <w:p w14:paraId="0728F0AF" w14:textId="1FC292AB" w:rsidR="00045A9A" w:rsidRPr="005E0248" w:rsidRDefault="00045A9A" w:rsidP="00A83F6A">
            <w:pPr>
              <w:pStyle w:val="TableBodyCopy"/>
              <w:spacing w:before="0" w:after="0"/>
              <w:rPr>
                <w:sz w:val="20"/>
                <w:szCs w:val="20"/>
              </w:rPr>
            </w:pPr>
            <w:r w:rsidRPr="005E0248">
              <w:rPr>
                <w:sz w:val="20"/>
                <w:szCs w:val="20"/>
              </w:rPr>
              <w:t>Pacific Regional (excl AIFFP)</w:t>
            </w:r>
          </w:p>
        </w:tc>
        <w:tc>
          <w:tcPr>
            <w:tcW w:w="4820" w:type="dxa"/>
          </w:tcPr>
          <w:p w14:paraId="7991CB81" w14:textId="799355A6" w:rsidR="00045A9A" w:rsidRPr="005E0248" w:rsidRDefault="00045A9A" w:rsidP="00A83F6A">
            <w:pPr>
              <w:pStyle w:val="TableBodyCopy"/>
              <w:spacing w:before="0" w:after="0"/>
              <w:rPr>
                <w:sz w:val="20"/>
                <w:szCs w:val="20"/>
              </w:rPr>
            </w:pPr>
            <w:r w:rsidRPr="005E0248">
              <w:rPr>
                <w:sz w:val="20"/>
                <w:szCs w:val="20"/>
              </w:rPr>
              <w:t>6</w:t>
            </w:r>
          </w:p>
        </w:tc>
      </w:tr>
      <w:tr w:rsidR="00045A9A" w:rsidRPr="005E0248" w14:paraId="49089CDC" w14:textId="77777777" w:rsidTr="00A83F6A">
        <w:trPr>
          <w:trHeight w:val="283"/>
        </w:trPr>
        <w:tc>
          <w:tcPr>
            <w:tcW w:w="5098" w:type="dxa"/>
          </w:tcPr>
          <w:p w14:paraId="39E14F4D" w14:textId="6A767A9D" w:rsidR="00045A9A" w:rsidRPr="005E0248" w:rsidRDefault="00045A9A" w:rsidP="00A83F6A">
            <w:pPr>
              <w:pStyle w:val="TableBodyCopy"/>
              <w:spacing w:before="0" w:after="0"/>
              <w:rPr>
                <w:sz w:val="20"/>
                <w:szCs w:val="20"/>
              </w:rPr>
            </w:pPr>
            <w:r w:rsidRPr="005E0248">
              <w:rPr>
                <w:sz w:val="20"/>
                <w:szCs w:val="20"/>
              </w:rPr>
              <w:t xml:space="preserve">Papua New Guinea </w:t>
            </w:r>
          </w:p>
        </w:tc>
        <w:tc>
          <w:tcPr>
            <w:tcW w:w="4820" w:type="dxa"/>
          </w:tcPr>
          <w:p w14:paraId="13AC0355" w14:textId="2449AF87" w:rsidR="00045A9A" w:rsidRPr="005E0248" w:rsidRDefault="00045A9A" w:rsidP="00A83F6A">
            <w:pPr>
              <w:pStyle w:val="TableBodyCopy"/>
              <w:spacing w:before="0" w:after="0"/>
              <w:rPr>
                <w:sz w:val="20"/>
                <w:szCs w:val="20"/>
              </w:rPr>
            </w:pPr>
            <w:r w:rsidRPr="005E0248">
              <w:rPr>
                <w:sz w:val="20"/>
                <w:szCs w:val="20"/>
              </w:rPr>
              <w:t>6</w:t>
            </w:r>
          </w:p>
        </w:tc>
      </w:tr>
      <w:tr w:rsidR="00045A9A" w:rsidRPr="005E0248" w14:paraId="0E325C35" w14:textId="77777777" w:rsidTr="00A83F6A">
        <w:trPr>
          <w:trHeight w:val="283"/>
        </w:trPr>
        <w:tc>
          <w:tcPr>
            <w:tcW w:w="5098" w:type="dxa"/>
          </w:tcPr>
          <w:p w14:paraId="3DF1DFE5" w14:textId="3D080D96" w:rsidR="00045A9A" w:rsidRPr="005E0248" w:rsidRDefault="00045A9A" w:rsidP="00A83F6A">
            <w:pPr>
              <w:pStyle w:val="TableBodyCopy"/>
              <w:spacing w:before="0" w:after="0"/>
              <w:rPr>
                <w:sz w:val="20"/>
                <w:szCs w:val="20"/>
              </w:rPr>
            </w:pPr>
            <w:r w:rsidRPr="005E0248">
              <w:rPr>
                <w:sz w:val="20"/>
                <w:szCs w:val="20"/>
              </w:rPr>
              <w:t>Indonesia</w:t>
            </w:r>
          </w:p>
        </w:tc>
        <w:tc>
          <w:tcPr>
            <w:tcW w:w="4820" w:type="dxa"/>
          </w:tcPr>
          <w:p w14:paraId="03271A8E" w14:textId="39DF8903" w:rsidR="00045A9A" w:rsidRPr="005E0248" w:rsidRDefault="00045A9A" w:rsidP="00A83F6A">
            <w:pPr>
              <w:pStyle w:val="TableBodyCopy"/>
              <w:spacing w:before="0" w:after="0"/>
              <w:rPr>
                <w:sz w:val="20"/>
                <w:szCs w:val="20"/>
              </w:rPr>
            </w:pPr>
            <w:r w:rsidRPr="005E0248">
              <w:rPr>
                <w:sz w:val="20"/>
                <w:szCs w:val="20"/>
              </w:rPr>
              <w:t>4</w:t>
            </w:r>
          </w:p>
        </w:tc>
      </w:tr>
      <w:tr w:rsidR="00045A9A" w:rsidRPr="005E0248" w14:paraId="12DEE61F" w14:textId="77777777" w:rsidTr="00A83F6A">
        <w:trPr>
          <w:trHeight w:val="283"/>
        </w:trPr>
        <w:tc>
          <w:tcPr>
            <w:tcW w:w="5098" w:type="dxa"/>
          </w:tcPr>
          <w:p w14:paraId="16747B53" w14:textId="0C2EF0B5" w:rsidR="00045A9A" w:rsidRPr="005E0248" w:rsidRDefault="00045A9A" w:rsidP="00A83F6A">
            <w:pPr>
              <w:pStyle w:val="TableBodyCopy"/>
              <w:spacing w:before="0" w:after="0"/>
              <w:rPr>
                <w:sz w:val="20"/>
                <w:szCs w:val="20"/>
              </w:rPr>
            </w:pPr>
            <w:r w:rsidRPr="005E0248">
              <w:rPr>
                <w:sz w:val="20"/>
                <w:szCs w:val="20"/>
              </w:rPr>
              <w:t>Solomon Islands</w:t>
            </w:r>
          </w:p>
        </w:tc>
        <w:tc>
          <w:tcPr>
            <w:tcW w:w="4820" w:type="dxa"/>
          </w:tcPr>
          <w:p w14:paraId="0DABCCDD" w14:textId="4F98100E" w:rsidR="00045A9A" w:rsidRPr="005E0248" w:rsidRDefault="00045A9A" w:rsidP="00A83F6A">
            <w:pPr>
              <w:pStyle w:val="TableBodyCopy"/>
              <w:spacing w:before="0" w:after="0"/>
              <w:rPr>
                <w:sz w:val="20"/>
                <w:szCs w:val="20"/>
              </w:rPr>
            </w:pPr>
            <w:r w:rsidRPr="005E0248">
              <w:rPr>
                <w:sz w:val="20"/>
                <w:szCs w:val="20"/>
              </w:rPr>
              <w:t>3</w:t>
            </w:r>
          </w:p>
        </w:tc>
      </w:tr>
      <w:tr w:rsidR="00045A9A" w:rsidRPr="005E0248" w14:paraId="615DF477" w14:textId="77777777" w:rsidTr="00A83F6A">
        <w:trPr>
          <w:trHeight w:val="283"/>
        </w:trPr>
        <w:tc>
          <w:tcPr>
            <w:tcW w:w="5098" w:type="dxa"/>
          </w:tcPr>
          <w:p w14:paraId="77C81068" w14:textId="6C785564" w:rsidR="00045A9A" w:rsidRPr="005E0248" w:rsidRDefault="00045A9A" w:rsidP="00A83F6A">
            <w:pPr>
              <w:pStyle w:val="TableBodyCopy"/>
              <w:spacing w:before="0" w:after="0"/>
              <w:rPr>
                <w:sz w:val="20"/>
                <w:szCs w:val="20"/>
              </w:rPr>
            </w:pPr>
            <w:r w:rsidRPr="005E0248">
              <w:rPr>
                <w:sz w:val="20"/>
                <w:szCs w:val="20"/>
              </w:rPr>
              <w:t>ASEAN and Mekong</w:t>
            </w:r>
          </w:p>
        </w:tc>
        <w:tc>
          <w:tcPr>
            <w:tcW w:w="4820" w:type="dxa"/>
          </w:tcPr>
          <w:p w14:paraId="512A5DD1" w14:textId="17ACCC5E" w:rsidR="00045A9A" w:rsidRPr="005E0248" w:rsidRDefault="00045A9A" w:rsidP="00A83F6A">
            <w:pPr>
              <w:pStyle w:val="TableBodyCopy"/>
              <w:spacing w:before="0" w:after="0"/>
              <w:rPr>
                <w:sz w:val="20"/>
                <w:szCs w:val="20"/>
              </w:rPr>
            </w:pPr>
            <w:r w:rsidRPr="005E0248">
              <w:rPr>
                <w:sz w:val="20"/>
                <w:szCs w:val="20"/>
              </w:rPr>
              <w:t>2</w:t>
            </w:r>
          </w:p>
        </w:tc>
      </w:tr>
      <w:tr w:rsidR="00045A9A" w:rsidRPr="005E0248" w14:paraId="75AC7EF8" w14:textId="77777777" w:rsidTr="00A83F6A">
        <w:trPr>
          <w:trHeight w:val="283"/>
        </w:trPr>
        <w:tc>
          <w:tcPr>
            <w:tcW w:w="5098" w:type="dxa"/>
          </w:tcPr>
          <w:p w14:paraId="2B83811C" w14:textId="758FE14F" w:rsidR="00045A9A" w:rsidRPr="005E0248" w:rsidRDefault="00045A9A" w:rsidP="00A83F6A">
            <w:pPr>
              <w:pStyle w:val="TableBodyCopy"/>
              <w:spacing w:before="0" w:after="0"/>
              <w:rPr>
                <w:sz w:val="20"/>
                <w:szCs w:val="20"/>
              </w:rPr>
            </w:pPr>
            <w:r w:rsidRPr="005E0248">
              <w:rPr>
                <w:sz w:val="20"/>
                <w:szCs w:val="20"/>
              </w:rPr>
              <w:t>Timor-Leste</w:t>
            </w:r>
          </w:p>
        </w:tc>
        <w:tc>
          <w:tcPr>
            <w:tcW w:w="4820" w:type="dxa"/>
          </w:tcPr>
          <w:p w14:paraId="6EFCDCB8" w14:textId="5B28FF79" w:rsidR="00045A9A" w:rsidRPr="005E0248" w:rsidRDefault="00045A9A" w:rsidP="00A83F6A">
            <w:pPr>
              <w:pStyle w:val="TableBodyCopy"/>
              <w:spacing w:before="0" w:after="0"/>
              <w:rPr>
                <w:sz w:val="20"/>
                <w:szCs w:val="20"/>
              </w:rPr>
            </w:pPr>
            <w:r w:rsidRPr="005E0248">
              <w:rPr>
                <w:sz w:val="20"/>
                <w:szCs w:val="20"/>
              </w:rPr>
              <w:t>2</w:t>
            </w:r>
          </w:p>
        </w:tc>
      </w:tr>
      <w:tr w:rsidR="00045A9A" w:rsidRPr="005E0248" w14:paraId="01C61DA7" w14:textId="77777777" w:rsidTr="00A83F6A">
        <w:trPr>
          <w:trHeight w:val="283"/>
        </w:trPr>
        <w:tc>
          <w:tcPr>
            <w:tcW w:w="5098" w:type="dxa"/>
          </w:tcPr>
          <w:p w14:paraId="0F06EE4C" w14:textId="286C3B0E" w:rsidR="00045A9A" w:rsidRPr="005E0248" w:rsidRDefault="00045A9A" w:rsidP="00A83F6A">
            <w:pPr>
              <w:pStyle w:val="TableBodyCopy"/>
              <w:spacing w:before="0" w:after="0"/>
              <w:rPr>
                <w:sz w:val="20"/>
                <w:szCs w:val="20"/>
              </w:rPr>
            </w:pPr>
            <w:r w:rsidRPr="005E0248">
              <w:rPr>
                <w:sz w:val="20"/>
                <w:szCs w:val="20"/>
              </w:rPr>
              <w:t>Philippines</w:t>
            </w:r>
          </w:p>
        </w:tc>
        <w:tc>
          <w:tcPr>
            <w:tcW w:w="4820" w:type="dxa"/>
          </w:tcPr>
          <w:p w14:paraId="17F0890B" w14:textId="4EDDB02E" w:rsidR="00045A9A" w:rsidRPr="005E0248" w:rsidRDefault="00045A9A" w:rsidP="00A83F6A">
            <w:pPr>
              <w:pStyle w:val="TableBodyCopy"/>
              <w:spacing w:before="0" w:after="0"/>
              <w:rPr>
                <w:sz w:val="20"/>
                <w:szCs w:val="20"/>
              </w:rPr>
            </w:pPr>
            <w:r w:rsidRPr="005E0248">
              <w:rPr>
                <w:sz w:val="20"/>
                <w:szCs w:val="20"/>
              </w:rPr>
              <w:t>2</w:t>
            </w:r>
          </w:p>
        </w:tc>
      </w:tr>
      <w:tr w:rsidR="00045A9A" w:rsidRPr="005E0248" w14:paraId="3C6B3E9D" w14:textId="77777777" w:rsidTr="00A83F6A">
        <w:trPr>
          <w:trHeight w:val="283"/>
        </w:trPr>
        <w:tc>
          <w:tcPr>
            <w:tcW w:w="5098" w:type="dxa"/>
          </w:tcPr>
          <w:p w14:paraId="677F15B8" w14:textId="794DDC75" w:rsidR="00045A9A" w:rsidRPr="005E0248" w:rsidRDefault="00045A9A" w:rsidP="00A83F6A">
            <w:pPr>
              <w:pStyle w:val="TableBodyCopy"/>
              <w:spacing w:before="0" w:after="0"/>
              <w:rPr>
                <w:sz w:val="20"/>
                <w:szCs w:val="20"/>
              </w:rPr>
            </w:pPr>
            <w:r w:rsidRPr="005E0248">
              <w:rPr>
                <w:sz w:val="20"/>
                <w:szCs w:val="20"/>
              </w:rPr>
              <w:t xml:space="preserve">Vietnam </w:t>
            </w:r>
          </w:p>
        </w:tc>
        <w:tc>
          <w:tcPr>
            <w:tcW w:w="4820" w:type="dxa"/>
          </w:tcPr>
          <w:p w14:paraId="1171237D" w14:textId="29BCABC8" w:rsidR="00045A9A" w:rsidRPr="005E0248" w:rsidRDefault="00045A9A" w:rsidP="00A83F6A">
            <w:pPr>
              <w:pStyle w:val="TableBodyCopy"/>
              <w:spacing w:before="0" w:after="0"/>
              <w:rPr>
                <w:sz w:val="20"/>
                <w:szCs w:val="20"/>
              </w:rPr>
            </w:pPr>
            <w:r w:rsidRPr="005E0248">
              <w:rPr>
                <w:sz w:val="20"/>
                <w:szCs w:val="20"/>
              </w:rPr>
              <w:t>2</w:t>
            </w:r>
          </w:p>
        </w:tc>
      </w:tr>
      <w:tr w:rsidR="00045A9A" w:rsidRPr="005E0248" w14:paraId="600D2E96" w14:textId="77777777" w:rsidTr="00A83F6A">
        <w:trPr>
          <w:trHeight w:val="283"/>
        </w:trPr>
        <w:tc>
          <w:tcPr>
            <w:tcW w:w="5098" w:type="dxa"/>
          </w:tcPr>
          <w:p w14:paraId="114511AA" w14:textId="74C11604" w:rsidR="00045A9A" w:rsidRPr="005E0248" w:rsidRDefault="00045A9A" w:rsidP="00A83F6A">
            <w:pPr>
              <w:pStyle w:val="TableBodyCopy"/>
              <w:spacing w:before="0" w:after="0"/>
              <w:rPr>
                <w:sz w:val="20"/>
                <w:szCs w:val="20"/>
              </w:rPr>
            </w:pPr>
            <w:r w:rsidRPr="005E0248">
              <w:rPr>
                <w:sz w:val="20"/>
                <w:szCs w:val="20"/>
              </w:rPr>
              <w:t xml:space="preserve">Southeast Asia Regional </w:t>
            </w:r>
          </w:p>
        </w:tc>
        <w:tc>
          <w:tcPr>
            <w:tcW w:w="4820" w:type="dxa"/>
          </w:tcPr>
          <w:p w14:paraId="21C3652D" w14:textId="4616CDAE" w:rsidR="00045A9A" w:rsidRPr="005E0248" w:rsidRDefault="00045A9A" w:rsidP="00A83F6A">
            <w:pPr>
              <w:pStyle w:val="TableBodyCopy"/>
              <w:spacing w:before="0" w:after="0"/>
              <w:rPr>
                <w:sz w:val="20"/>
                <w:szCs w:val="20"/>
              </w:rPr>
            </w:pPr>
            <w:r w:rsidRPr="005E0248">
              <w:rPr>
                <w:sz w:val="20"/>
                <w:szCs w:val="20"/>
              </w:rPr>
              <w:t>1</w:t>
            </w:r>
          </w:p>
        </w:tc>
      </w:tr>
      <w:tr w:rsidR="00045A9A" w:rsidRPr="005E0248" w14:paraId="77585794" w14:textId="77777777" w:rsidTr="00A83F6A">
        <w:trPr>
          <w:trHeight w:val="283"/>
        </w:trPr>
        <w:tc>
          <w:tcPr>
            <w:tcW w:w="5098" w:type="dxa"/>
          </w:tcPr>
          <w:p w14:paraId="709A76A1" w14:textId="1324C154" w:rsidR="00045A9A" w:rsidRPr="005E0248" w:rsidRDefault="00045A9A" w:rsidP="00A83F6A">
            <w:pPr>
              <w:pStyle w:val="TableBodyCopy"/>
              <w:spacing w:before="0" w:after="0"/>
              <w:rPr>
                <w:sz w:val="20"/>
                <w:szCs w:val="20"/>
              </w:rPr>
            </w:pPr>
            <w:r w:rsidRPr="005E0248">
              <w:rPr>
                <w:sz w:val="20"/>
                <w:szCs w:val="20"/>
              </w:rPr>
              <w:t>Vanuatu</w:t>
            </w:r>
          </w:p>
        </w:tc>
        <w:tc>
          <w:tcPr>
            <w:tcW w:w="4820" w:type="dxa"/>
          </w:tcPr>
          <w:p w14:paraId="70C6026F" w14:textId="73DD64A0" w:rsidR="00045A9A" w:rsidRPr="005E0248" w:rsidRDefault="00045A9A" w:rsidP="00A83F6A">
            <w:pPr>
              <w:pStyle w:val="TableBodyCopy"/>
              <w:spacing w:before="0" w:after="0"/>
              <w:rPr>
                <w:sz w:val="20"/>
                <w:szCs w:val="20"/>
              </w:rPr>
            </w:pPr>
            <w:r w:rsidRPr="005E0248">
              <w:rPr>
                <w:sz w:val="20"/>
                <w:szCs w:val="20"/>
              </w:rPr>
              <w:t>1</w:t>
            </w:r>
          </w:p>
        </w:tc>
      </w:tr>
      <w:tr w:rsidR="00045A9A" w:rsidRPr="005E0248" w14:paraId="58725182" w14:textId="77777777" w:rsidTr="00A83F6A">
        <w:trPr>
          <w:trHeight w:val="283"/>
        </w:trPr>
        <w:tc>
          <w:tcPr>
            <w:tcW w:w="5098" w:type="dxa"/>
          </w:tcPr>
          <w:p w14:paraId="552D5DA7" w14:textId="34ADDB9E" w:rsidR="00045A9A" w:rsidRPr="005E0248" w:rsidRDefault="00045A9A" w:rsidP="00A83F6A">
            <w:pPr>
              <w:pStyle w:val="TableBodyCopy"/>
              <w:spacing w:before="0" w:after="0"/>
              <w:rPr>
                <w:sz w:val="20"/>
                <w:szCs w:val="20"/>
              </w:rPr>
            </w:pPr>
            <w:r w:rsidRPr="005E0248">
              <w:rPr>
                <w:sz w:val="20"/>
                <w:szCs w:val="20"/>
              </w:rPr>
              <w:t xml:space="preserve">Cambodia </w:t>
            </w:r>
          </w:p>
        </w:tc>
        <w:tc>
          <w:tcPr>
            <w:tcW w:w="4820" w:type="dxa"/>
          </w:tcPr>
          <w:p w14:paraId="486EA9BB" w14:textId="0F6A34DB" w:rsidR="00045A9A" w:rsidRPr="005E0248" w:rsidRDefault="00045A9A" w:rsidP="00A83F6A">
            <w:pPr>
              <w:pStyle w:val="TableBodyCopy"/>
              <w:spacing w:before="0" w:after="0"/>
              <w:rPr>
                <w:sz w:val="20"/>
                <w:szCs w:val="20"/>
              </w:rPr>
            </w:pPr>
            <w:r w:rsidRPr="005E0248">
              <w:rPr>
                <w:sz w:val="20"/>
                <w:szCs w:val="20"/>
              </w:rPr>
              <w:t>1</w:t>
            </w:r>
          </w:p>
        </w:tc>
      </w:tr>
      <w:tr w:rsidR="00045A9A" w:rsidRPr="005E0248" w14:paraId="658519B5" w14:textId="77777777" w:rsidTr="00A83F6A">
        <w:trPr>
          <w:trHeight w:val="283"/>
        </w:trPr>
        <w:tc>
          <w:tcPr>
            <w:tcW w:w="5098" w:type="dxa"/>
          </w:tcPr>
          <w:p w14:paraId="41D92313" w14:textId="3E382A77" w:rsidR="00045A9A" w:rsidRPr="005E0248" w:rsidRDefault="00045A9A" w:rsidP="00A83F6A">
            <w:pPr>
              <w:pStyle w:val="TableBodyCopy"/>
              <w:spacing w:before="0" w:after="0"/>
              <w:rPr>
                <w:sz w:val="20"/>
                <w:szCs w:val="20"/>
              </w:rPr>
            </w:pPr>
            <w:r w:rsidRPr="005E0248">
              <w:rPr>
                <w:sz w:val="20"/>
                <w:szCs w:val="20"/>
              </w:rPr>
              <w:t xml:space="preserve">Fiji </w:t>
            </w:r>
          </w:p>
        </w:tc>
        <w:tc>
          <w:tcPr>
            <w:tcW w:w="4820" w:type="dxa"/>
          </w:tcPr>
          <w:p w14:paraId="4223767B" w14:textId="787A6A3B" w:rsidR="00045A9A" w:rsidRPr="005E0248" w:rsidRDefault="00045A9A" w:rsidP="00A83F6A">
            <w:pPr>
              <w:pStyle w:val="TableBodyCopy"/>
              <w:spacing w:before="0" w:after="0"/>
              <w:rPr>
                <w:sz w:val="20"/>
                <w:szCs w:val="20"/>
              </w:rPr>
            </w:pPr>
            <w:r w:rsidRPr="005E0248">
              <w:rPr>
                <w:sz w:val="20"/>
                <w:szCs w:val="20"/>
              </w:rPr>
              <w:t>1</w:t>
            </w:r>
          </w:p>
        </w:tc>
      </w:tr>
      <w:tr w:rsidR="00045A9A" w:rsidRPr="005E0248" w14:paraId="59E250EB" w14:textId="77777777" w:rsidTr="00A83F6A">
        <w:trPr>
          <w:trHeight w:val="283"/>
        </w:trPr>
        <w:tc>
          <w:tcPr>
            <w:tcW w:w="5098" w:type="dxa"/>
          </w:tcPr>
          <w:p w14:paraId="4AD8CFFF" w14:textId="5A472EB2" w:rsidR="00045A9A" w:rsidRPr="005E0248" w:rsidRDefault="00045A9A" w:rsidP="00A83F6A">
            <w:pPr>
              <w:pStyle w:val="TableBodyCopy"/>
              <w:spacing w:before="0" w:after="0"/>
              <w:rPr>
                <w:sz w:val="20"/>
                <w:szCs w:val="20"/>
              </w:rPr>
            </w:pPr>
            <w:r w:rsidRPr="005E0248">
              <w:rPr>
                <w:sz w:val="20"/>
                <w:szCs w:val="20"/>
              </w:rPr>
              <w:t xml:space="preserve">Bangladesh </w:t>
            </w:r>
          </w:p>
        </w:tc>
        <w:tc>
          <w:tcPr>
            <w:tcW w:w="4820" w:type="dxa"/>
          </w:tcPr>
          <w:p w14:paraId="7AB0560E" w14:textId="0B4A4DE0" w:rsidR="00045A9A" w:rsidRPr="005E0248" w:rsidRDefault="00045A9A" w:rsidP="00A83F6A">
            <w:pPr>
              <w:pStyle w:val="TableBodyCopy"/>
              <w:spacing w:before="0" w:after="0"/>
              <w:rPr>
                <w:sz w:val="20"/>
                <w:szCs w:val="20"/>
              </w:rPr>
            </w:pPr>
            <w:r w:rsidRPr="005E0248">
              <w:rPr>
                <w:sz w:val="20"/>
                <w:szCs w:val="20"/>
              </w:rPr>
              <w:t>1</w:t>
            </w:r>
          </w:p>
        </w:tc>
      </w:tr>
      <w:tr w:rsidR="00045A9A" w:rsidRPr="005E0248" w14:paraId="4C7AD10C" w14:textId="77777777" w:rsidTr="00A83F6A">
        <w:trPr>
          <w:trHeight w:val="283"/>
        </w:trPr>
        <w:tc>
          <w:tcPr>
            <w:tcW w:w="5098" w:type="dxa"/>
          </w:tcPr>
          <w:p w14:paraId="64AD763A" w14:textId="1EB2929A" w:rsidR="00045A9A" w:rsidRPr="005E0248" w:rsidRDefault="00045A9A" w:rsidP="00A83F6A">
            <w:pPr>
              <w:pStyle w:val="TableBodyCopy"/>
              <w:spacing w:before="0" w:after="0"/>
              <w:rPr>
                <w:sz w:val="20"/>
                <w:szCs w:val="20"/>
              </w:rPr>
            </w:pPr>
            <w:r w:rsidRPr="005E0248">
              <w:rPr>
                <w:sz w:val="20"/>
                <w:szCs w:val="20"/>
              </w:rPr>
              <w:t>Samoa</w:t>
            </w:r>
          </w:p>
        </w:tc>
        <w:tc>
          <w:tcPr>
            <w:tcW w:w="4820" w:type="dxa"/>
          </w:tcPr>
          <w:p w14:paraId="6D9D7412" w14:textId="3C9A4857" w:rsidR="00045A9A" w:rsidRPr="005E0248" w:rsidRDefault="00045A9A" w:rsidP="00A83F6A">
            <w:pPr>
              <w:pStyle w:val="TableBodyCopy"/>
              <w:spacing w:before="0" w:after="0"/>
              <w:rPr>
                <w:sz w:val="20"/>
                <w:szCs w:val="20"/>
              </w:rPr>
            </w:pPr>
            <w:r w:rsidRPr="005E0248">
              <w:rPr>
                <w:sz w:val="20"/>
                <w:szCs w:val="20"/>
              </w:rPr>
              <w:t>1 every 2 years</w:t>
            </w:r>
          </w:p>
        </w:tc>
      </w:tr>
      <w:tr w:rsidR="00045A9A" w:rsidRPr="005E0248" w14:paraId="293F97F8" w14:textId="77777777" w:rsidTr="00A83F6A">
        <w:trPr>
          <w:trHeight w:val="283"/>
        </w:trPr>
        <w:tc>
          <w:tcPr>
            <w:tcW w:w="5098" w:type="dxa"/>
          </w:tcPr>
          <w:p w14:paraId="0F5071FA" w14:textId="07B5D6FE" w:rsidR="00045A9A" w:rsidRPr="005E0248" w:rsidRDefault="00045A9A" w:rsidP="00A83F6A">
            <w:pPr>
              <w:pStyle w:val="TableBodyCopy"/>
              <w:spacing w:before="0" w:after="0"/>
              <w:rPr>
                <w:sz w:val="20"/>
                <w:szCs w:val="20"/>
              </w:rPr>
            </w:pPr>
            <w:r w:rsidRPr="005E0248">
              <w:rPr>
                <w:sz w:val="20"/>
                <w:szCs w:val="20"/>
              </w:rPr>
              <w:t xml:space="preserve">Kiribati </w:t>
            </w:r>
          </w:p>
        </w:tc>
        <w:tc>
          <w:tcPr>
            <w:tcW w:w="4820" w:type="dxa"/>
          </w:tcPr>
          <w:p w14:paraId="1C314563" w14:textId="05D613C4" w:rsidR="00045A9A" w:rsidRPr="005E0248" w:rsidRDefault="00045A9A" w:rsidP="00A83F6A">
            <w:pPr>
              <w:pStyle w:val="TableBodyCopy"/>
              <w:spacing w:before="0" w:after="0"/>
              <w:rPr>
                <w:sz w:val="20"/>
                <w:szCs w:val="20"/>
              </w:rPr>
            </w:pPr>
            <w:r w:rsidRPr="005E0248">
              <w:rPr>
                <w:sz w:val="20"/>
                <w:szCs w:val="20"/>
              </w:rPr>
              <w:t>1 every 2 years</w:t>
            </w:r>
          </w:p>
        </w:tc>
      </w:tr>
      <w:tr w:rsidR="00045A9A" w:rsidRPr="005E0248" w14:paraId="4B92E7ED" w14:textId="77777777" w:rsidTr="00A83F6A">
        <w:trPr>
          <w:trHeight w:val="283"/>
        </w:trPr>
        <w:tc>
          <w:tcPr>
            <w:tcW w:w="5098" w:type="dxa"/>
          </w:tcPr>
          <w:p w14:paraId="284918C7" w14:textId="5DD840FE" w:rsidR="00045A9A" w:rsidRPr="005E0248" w:rsidRDefault="00045A9A" w:rsidP="00A83F6A">
            <w:pPr>
              <w:pStyle w:val="TableBodyCopy"/>
              <w:spacing w:before="0" w:after="0"/>
              <w:rPr>
                <w:sz w:val="20"/>
                <w:szCs w:val="20"/>
              </w:rPr>
            </w:pPr>
            <w:r w:rsidRPr="005E0248">
              <w:rPr>
                <w:sz w:val="20"/>
                <w:szCs w:val="20"/>
              </w:rPr>
              <w:t>Nauru</w:t>
            </w:r>
          </w:p>
        </w:tc>
        <w:tc>
          <w:tcPr>
            <w:tcW w:w="4820" w:type="dxa"/>
          </w:tcPr>
          <w:p w14:paraId="17484BDC" w14:textId="00C0F7BC" w:rsidR="00045A9A" w:rsidRPr="005E0248" w:rsidRDefault="00045A9A" w:rsidP="00A83F6A">
            <w:pPr>
              <w:pStyle w:val="TableBodyCopy"/>
              <w:spacing w:before="0" w:after="0"/>
              <w:rPr>
                <w:sz w:val="20"/>
                <w:szCs w:val="20"/>
              </w:rPr>
            </w:pPr>
            <w:r w:rsidRPr="005E0248">
              <w:rPr>
                <w:sz w:val="20"/>
                <w:szCs w:val="20"/>
              </w:rPr>
              <w:t>1 every 2 years</w:t>
            </w:r>
          </w:p>
        </w:tc>
      </w:tr>
      <w:tr w:rsidR="00045A9A" w:rsidRPr="005E0248" w14:paraId="1CF0071D" w14:textId="77777777" w:rsidTr="00A83F6A">
        <w:trPr>
          <w:trHeight w:val="283"/>
        </w:trPr>
        <w:tc>
          <w:tcPr>
            <w:tcW w:w="5098" w:type="dxa"/>
          </w:tcPr>
          <w:p w14:paraId="2498F2CC" w14:textId="3F4D9750" w:rsidR="00045A9A" w:rsidRPr="005E0248" w:rsidRDefault="00045A9A" w:rsidP="00A83F6A">
            <w:pPr>
              <w:pStyle w:val="TableBodyCopy"/>
              <w:spacing w:before="0" w:after="0"/>
              <w:rPr>
                <w:sz w:val="20"/>
                <w:szCs w:val="20"/>
              </w:rPr>
            </w:pPr>
            <w:r w:rsidRPr="005E0248">
              <w:rPr>
                <w:sz w:val="20"/>
                <w:szCs w:val="20"/>
              </w:rPr>
              <w:t>Laos</w:t>
            </w:r>
          </w:p>
        </w:tc>
        <w:tc>
          <w:tcPr>
            <w:tcW w:w="4820" w:type="dxa"/>
          </w:tcPr>
          <w:p w14:paraId="1AA73D86" w14:textId="05EC9D40" w:rsidR="00045A9A" w:rsidRPr="005E0248" w:rsidRDefault="00045A9A" w:rsidP="00A83F6A">
            <w:pPr>
              <w:pStyle w:val="TableBodyCopy"/>
              <w:spacing w:before="0" w:after="0"/>
              <w:rPr>
                <w:sz w:val="20"/>
                <w:szCs w:val="20"/>
              </w:rPr>
            </w:pPr>
            <w:r w:rsidRPr="005E0248">
              <w:rPr>
                <w:sz w:val="20"/>
                <w:szCs w:val="20"/>
              </w:rPr>
              <w:t>1 every 2 years</w:t>
            </w:r>
          </w:p>
        </w:tc>
      </w:tr>
      <w:tr w:rsidR="00045A9A" w:rsidRPr="005E0248" w14:paraId="7BBA0268" w14:textId="77777777" w:rsidTr="00A83F6A">
        <w:trPr>
          <w:trHeight w:val="283"/>
        </w:trPr>
        <w:tc>
          <w:tcPr>
            <w:tcW w:w="5098" w:type="dxa"/>
          </w:tcPr>
          <w:p w14:paraId="5955C778" w14:textId="29FB3828" w:rsidR="00045A9A" w:rsidRPr="005E0248" w:rsidRDefault="00045A9A" w:rsidP="00A83F6A">
            <w:pPr>
              <w:pStyle w:val="TableBodyCopy"/>
              <w:spacing w:before="0" w:after="0"/>
              <w:rPr>
                <w:sz w:val="20"/>
                <w:szCs w:val="20"/>
              </w:rPr>
            </w:pPr>
            <w:r w:rsidRPr="005E0248">
              <w:rPr>
                <w:sz w:val="20"/>
                <w:szCs w:val="20"/>
              </w:rPr>
              <w:t xml:space="preserve">Tonga </w:t>
            </w:r>
          </w:p>
        </w:tc>
        <w:tc>
          <w:tcPr>
            <w:tcW w:w="4820" w:type="dxa"/>
          </w:tcPr>
          <w:p w14:paraId="4AD22A9F" w14:textId="61594B55" w:rsidR="00045A9A" w:rsidRPr="005E0248" w:rsidRDefault="00045A9A" w:rsidP="00A83F6A">
            <w:pPr>
              <w:pStyle w:val="TableBodyCopy"/>
              <w:spacing w:before="0" w:after="0"/>
              <w:rPr>
                <w:sz w:val="20"/>
                <w:szCs w:val="20"/>
              </w:rPr>
            </w:pPr>
            <w:r w:rsidRPr="005E0248">
              <w:rPr>
                <w:sz w:val="20"/>
                <w:szCs w:val="20"/>
              </w:rPr>
              <w:t>1 every 2 years</w:t>
            </w:r>
          </w:p>
        </w:tc>
      </w:tr>
      <w:tr w:rsidR="00045A9A" w:rsidRPr="005E0248" w14:paraId="3AA6AC4B" w14:textId="77777777" w:rsidTr="00A83F6A">
        <w:trPr>
          <w:trHeight w:val="283"/>
        </w:trPr>
        <w:tc>
          <w:tcPr>
            <w:tcW w:w="5098" w:type="dxa"/>
          </w:tcPr>
          <w:p w14:paraId="10C174F0" w14:textId="272C9389" w:rsidR="00045A9A" w:rsidRPr="005E0248" w:rsidRDefault="00045A9A" w:rsidP="00A83F6A">
            <w:pPr>
              <w:pStyle w:val="TableBodyCopy"/>
              <w:spacing w:before="0" w:after="0"/>
              <w:rPr>
                <w:sz w:val="20"/>
                <w:szCs w:val="20"/>
              </w:rPr>
            </w:pPr>
            <w:r w:rsidRPr="005E0248">
              <w:rPr>
                <w:sz w:val="20"/>
                <w:szCs w:val="20"/>
              </w:rPr>
              <w:t xml:space="preserve">Middle East and North Africa </w:t>
            </w:r>
          </w:p>
        </w:tc>
        <w:tc>
          <w:tcPr>
            <w:tcW w:w="4820" w:type="dxa"/>
          </w:tcPr>
          <w:p w14:paraId="68AFC85E" w14:textId="39ABF239" w:rsidR="00045A9A" w:rsidRPr="005E0248" w:rsidRDefault="00045A9A" w:rsidP="00A83F6A">
            <w:pPr>
              <w:pStyle w:val="TableBodyCopy"/>
              <w:spacing w:before="0" w:after="0"/>
              <w:rPr>
                <w:sz w:val="20"/>
                <w:szCs w:val="20"/>
              </w:rPr>
            </w:pPr>
            <w:r w:rsidRPr="005E0248">
              <w:rPr>
                <w:sz w:val="20"/>
                <w:szCs w:val="20"/>
              </w:rPr>
              <w:t>1 every 2 years</w:t>
            </w:r>
          </w:p>
        </w:tc>
      </w:tr>
      <w:tr w:rsidR="00045A9A" w:rsidRPr="005E0248" w14:paraId="0D4443B4" w14:textId="77777777" w:rsidTr="00A83F6A">
        <w:trPr>
          <w:trHeight w:val="283"/>
        </w:trPr>
        <w:tc>
          <w:tcPr>
            <w:tcW w:w="5098" w:type="dxa"/>
          </w:tcPr>
          <w:p w14:paraId="43E12C52" w14:textId="0EE61687" w:rsidR="00045A9A" w:rsidRPr="005E0248" w:rsidRDefault="00045A9A" w:rsidP="00A83F6A">
            <w:pPr>
              <w:pStyle w:val="TableBodyCopy"/>
              <w:spacing w:before="0" w:after="0"/>
              <w:rPr>
                <w:sz w:val="20"/>
                <w:szCs w:val="20"/>
              </w:rPr>
            </w:pPr>
            <w:r w:rsidRPr="005E0248">
              <w:rPr>
                <w:sz w:val="20"/>
                <w:szCs w:val="20"/>
              </w:rPr>
              <w:t xml:space="preserve">Sri Lanka </w:t>
            </w:r>
          </w:p>
        </w:tc>
        <w:tc>
          <w:tcPr>
            <w:tcW w:w="4820" w:type="dxa"/>
          </w:tcPr>
          <w:p w14:paraId="306E29BF" w14:textId="14785657" w:rsidR="00045A9A" w:rsidRPr="005E0248" w:rsidRDefault="00045A9A" w:rsidP="00A83F6A">
            <w:pPr>
              <w:pStyle w:val="TableBodyCopy"/>
              <w:spacing w:before="0" w:after="0"/>
              <w:rPr>
                <w:sz w:val="20"/>
                <w:szCs w:val="20"/>
              </w:rPr>
            </w:pPr>
            <w:r w:rsidRPr="005E0248">
              <w:rPr>
                <w:sz w:val="20"/>
                <w:szCs w:val="20"/>
              </w:rPr>
              <w:t>1 every 2 years</w:t>
            </w:r>
          </w:p>
        </w:tc>
      </w:tr>
      <w:tr w:rsidR="00045A9A" w:rsidRPr="005E0248" w14:paraId="7D7FA53A" w14:textId="77777777" w:rsidTr="00A83F6A">
        <w:trPr>
          <w:trHeight w:val="283"/>
        </w:trPr>
        <w:tc>
          <w:tcPr>
            <w:tcW w:w="5098" w:type="dxa"/>
          </w:tcPr>
          <w:p w14:paraId="20E4C16D" w14:textId="24F2AF64" w:rsidR="00045A9A" w:rsidRPr="005E0248" w:rsidRDefault="00045A9A" w:rsidP="00A83F6A">
            <w:pPr>
              <w:pStyle w:val="TableBodyCopy"/>
              <w:spacing w:before="0" w:after="0"/>
              <w:rPr>
                <w:sz w:val="20"/>
                <w:szCs w:val="20"/>
              </w:rPr>
            </w:pPr>
            <w:r w:rsidRPr="005E0248">
              <w:rPr>
                <w:sz w:val="20"/>
                <w:szCs w:val="20"/>
              </w:rPr>
              <w:t>South and West Asia Regional</w:t>
            </w:r>
          </w:p>
        </w:tc>
        <w:tc>
          <w:tcPr>
            <w:tcW w:w="4820" w:type="dxa"/>
          </w:tcPr>
          <w:p w14:paraId="02DD43D3" w14:textId="67951514" w:rsidR="00045A9A" w:rsidRPr="005E0248" w:rsidRDefault="00045A9A" w:rsidP="00A83F6A">
            <w:pPr>
              <w:pStyle w:val="TableBodyCopy"/>
              <w:spacing w:before="0" w:after="0"/>
              <w:rPr>
                <w:sz w:val="20"/>
                <w:szCs w:val="20"/>
              </w:rPr>
            </w:pPr>
            <w:r w:rsidRPr="005E0248">
              <w:rPr>
                <w:sz w:val="20"/>
                <w:szCs w:val="20"/>
              </w:rPr>
              <w:t>1 every 2 years</w:t>
            </w:r>
          </w:p>
        </w:tc>
      </w:tr>
      <w:tr w:rsidR="00045A9A" w:rsidRPr="005E0248" w14:paraId="4A267216" w14:textId="77777777" w:rsidTr="00A83F6A">
        <w:trPr>
          <w:trHeight w:val="283"/>
        </w:trPr>
        <w:tc>
          <w:tcPr>
            <w:tcW w:w="5098" w:type="dxa"/>
          </w:tcPr>
          <w:p w14:paraId="134550C7" w14:textId="3FF39B4C" w:rsidR="00045A9A" w:rsidRPr="005E0248" w:rsidRDefault="00045A9A" w:rsidP="00A83F6A">
            <w:pPr>
              <w:pStyle w:val="TableBodyCopy"/>
              <w:spacing w:before="0" w:after="0"/>
              <w:rPr>
                <w:sz w:val="20"/>
                <w:szCs w:val="20"/>
              </w:rPr>
            </w:pPr>
            <w:r w:rsidRPr="005E0248">
              <w:rPr>
                <w:sz w:val="20"/>
                <w:szCs w:val="20"/>
              </w:rPr>
              <w:t>Sub-Saharan Africa</w:t>
            </w:r>
          </w:p>
        </w:tc>
        <w:tc>
          <w:tcPr>
            <w:tcW w:w="4820" w:type="dxa"/>
          </w:tcPr>
          <w:p w14:paraId="6538ABDF" w14:textId="5D56996C" w:rsidR="00045A9A" w:rsidRPr="005E0248" w:rsidRDefault="00045A9A" w:rsidP="00A83F6A">
            <w:pPr>
              <w:pStyle w:val="TableBodyCopy"/>
              <w:spacing w:before="0" w:after="0"/>
              <w:rPr>
                <w:sz w:val="20"/>
                <w:szCs w:val="20"/>
              </w:rPr>
            </w:pPr>
            <w:r w:rsidRPr="005E0248">
              <w:rPr>
                <w:sz w:val="20"/>
                <w:szCs w:val="20"/>
              </w:rPr>
              <w:t>As needed</w:t>
            </w:r>
          </w:p>
        </w:tc>
      </w:tr>
      <w:tr w:rsidR="00045A9A" w:rsidRPr="005E0248" w14:paraId="68E959A9" w14:textId="77777777" w:rsidTr="00A83F6A">
        <w:trPr>
          <w:trHeight w:val="283"/>
        </w:trPr>
        <w:tc>
          <w:tcPr>
            <w:tcW w:w="5098" w:type="dxa"/>
          </w:tcPr>
          <w:p w14:paraId="5F7861EF" w14:textId="5B219C15" w:rsidR="00045A9A" w:rsidRPr="005E0248" w:rsidRDefault="00045A9A" w:rsidP="00A83F6A">
            <w:pPr>
              <w:pStyle w:val="TableBodyCopy"/>
              <w:spacing w:before="0" w:after="0"/>
              <w:rPr>
                <w:sz w:val="20"/>
                <w:szCs w:val="20"/>
              </w:rPr>
            </w:pPr>
            <w:r w:rsidRPr="005E0248">
              <w:rPr>
                <w:sz w:val="20"/>
                <w:szCs w:val="20"/>
              </w:rPr>
              <w:t>Nepal</w:t>
            </w:r>
          </w:p>
        </w:tc>
        <w:tc>
          <w:tcPr>
            <w:tcW w:w="4820" w:type="dxa"/>
          </w:tcPr>
          <w:p w14:paraId="2851E5CB" w14:textId="5E48B96C" w:rsidR="00045A9A" w:rsidRPr="005E0248" w:rsidRDefault="00045A9A" w:rsidP="00A83F6A">
            <w:pPr>
              <w:pStyle w:val="TableBodyCopy"/>
              <w:spacing w:before="0" w:after="0"/>
              <w:rPr>
                <w:sz w:val="20"/>
                <w:szCs w:val="20"/>
              </w:rPr>
            </w:pPr>
            <w:r w:rsidRPr="005E0248">
              <w:rPr>
                <w:sz w:val="20"/>
                <w:szCs w:val="20"/>
              </w:rPr>
              <w:t>As needed</w:t>
            </w:r>
          </w:p>
        </w:tc>
      </w:tr>
      <w:tr w:rsidR="00045A9A" w:rsidRPr="005E0248" w14:paraId="299DC146" w14:textId="77777777" w:rsidTr="00A83F6A">
        <w:trPr>
          <w:trHeight w:val="283"/>
        </w:trPr>
        <w:tc>
          <w:tcPr>
            <w:tcW w:w="5098" w:type="dxa"/>
          </w:tcPr>
          <w:p w14:paraId="64DFBCB9" w14:textId="240C7578" w:rsidR="00045A9A" w:rsidRPr="005E0248" w:rsidRDefault="00045A9A" w:rsidP="00A83F6A">
            <w:pPr>
              <w:pStyle w:val="TableBodyCopy"/>
              <w:spacing w:before="0" w:after="0"/>
              <w:rPr>
                <w:sz w:val="20"/>
                <w:szCs w:val="20"/>
              </w:rPr>
            </w:pPr>
            <w:r w:rsidRPr="005E0248">
              <w:rPr>
                <w:sz w:val="20"/>
                <w:szCs w:val="20"/>
              </w:rPr>
              <w:t>Tuvalu</w:t>
            </w:r>
          </w:p>
        </w:tc>
        <w:tc>
          <w:tcPr>
            <w:tcW w:w="4820" w:type="dxa"/>
          </w:tcPr>
          <w:p w14:paraId="765803FC" w14:textId="26FE415F" w:rsidR="00045A9A" w:rsidRPr="005E0248" w:rsidRDefault="00045A9A" w:rsidP="00A83F6A">
            <w:pPr>
              <w:pStyle w:val="TableBodyCopy"/>
              <w:spacing w:before="0" w:after="0"/>
              <w:rPr>
                <w:sz w:val="20"/>
                <w:szCs w:val="20"/>
              </w:rPr>
            </w:pPr>
            <w:r w:rsidRPr="005E0248">
              <w:rPr>
                <w:sz w:val="20"/>
                <w:szCs w:val="20"/>
              </w:rPr>
              <w:t>As needed</w:t>
            </w:r>
          </w:p>
        </w:tc>
      </w:tr>
      <w:tr w:rsidR="00045A9A" w:rsidRPr="005E0248" w14:paraId="74907362" w14:textId="77777777" w:rsidTr="00A83F6A">
        <w:trPr>
          <w:trHeight w:val="283"/>
        </w:trPr>
        <w:tc>
          <w:tcPr>
            <w:tcW w:w="5098" w:type="dxa"/>
          </w:tcPr>
          <w:p w14:paraId="0AE56C32" w14:textId="64A77574" w:rsidR="00045A9A" w:rsidRPr="005E0248" w:rsidRDefault="00045A9A" w:rsidP="00A83F6A">
            <w:pPr>
              <w:pStyle w:val="TableBodyCopy"/>
              <w:spacing w:before="0" w:after="0"/>
              <w:rPr>
                <w:sz w:val="20"/>
                <w:szCs w:val="20"/>
              </w:rPr>
            </w:pPr>
            <w:r w:rsidRPr="005E0248">
              <w:rPr>
                <w:sz w:val="20"/>
                <w:szCs w:val="20"/>
              </w:rPr>
              <w:t xml:space="preserve">Mongolia </w:t>
            </w:r>
          </w:p>
        </w:tc>
        <w:tc>
          <w:tcPr>
            <w:tcW w:w="4820" w:type="dxa"/>
          </w:tcPr>
          <w:p w14:paraId="1E7473F0" w14:textId="031EAAE3" w:rsidR="00045A9A" w:rsidRPr="005E0248" w:rsidRDefault="00045A9A" w:rsidP="00A83F6A">
            <w:pPr>
              <w:pStyle w:val="TableBodyCopy"/>
              <w:spacing w:before="0" w:after="0"/>
              <w:rPr>
                <w:sz w:val="20"/>
                <w:szCs w:val="20"/>
              </w:rPr>
            </w:pPr>
            <w:r w:rsidRPr="005E0248">
              <w:rPr>
                <w:sz w:val="20"/>
                <w:szCs w:val="20"/>
              </w:rPr>
              <w:t>As needed</w:t>
            </w:r>
          </w:p>
        </w:tc>
      </w:tr>
      <w:tr w:rsidR="00045A9A" w:rsidRPr="005E0248" w14:paraId="05185CC6" w14:textId="77777777" w:rsidTr="00A83F6A">
        <w:trPr>
          <w:trHeight w:val="283"/>
        </w:trPr>
        <w:tc>
          <w:tcPr>
            <w:tcW w:w="5098" w:type="dxa"/>
          </w:tcPr>
          <w:p w14:paraId="68F643DD" w14:textId="12ABC27E" w:rsidR="00045A9A" w:rsidRPr="005E0248" w:rsidRDefault="00045A9A" w:rsidP="00A83F6A">
            <w:pPr>
              <w:pStyle w:val="TableBodyCopy"/>
              <w:spacing w:before="0" w:after="0"/>
              <w:rPr>
                <w:sz w:val="20"/>
                <w:szCs w:val="20"/>
              </w:rPr>
            </w:pPr>
            <w:r w:rsidRPr="005E0248">
              <w:rPr>
                <w:sz w:val="20"/>
                <w:szCs w:val="20"/>
              </w:rPr>
              <w:t>North Pacific</w:t>
            </w:r>
          </w:p>
        </w:tc>
        <w:tc>
          <w:tcPr>
            <w:tcW w:w="4820" w:type="dxa"/>
          </w:tcPr>
          <w:p w14:paraId="4A965A70" w14:textId="4A8E83FB" w:rsidR="00045A9A" w:rsidRPr="005E0248" w:rsidRDefault="00045A9A" w:rsidP="00A83F6A">
            <w:pPr>
              <w:pStyle w:val="TableBodyCopy"/>
              <w:spacing w:before="0" w:after="0"/>
              <w:rPr>
                <w:sz w:val="20"/>
                <w:szCs w:val="20"/>
              </w:rPr>
            </w:pPr>
            <w:r w:rsidRPr="005E0248">
              <w:rPr>
                <w:sz w:val="20"/>
                <w:szCs w:val="20"/>
              </w:rPr>
              <w:t>As needed</w:t>
            </w:r>
          </w:p>
        </w:tc>
      </w:tr>
      <w:tr w:rsidR="00045A9A" w:rsidRPr="005E0248" w14:paraId="50EE8A6B" w14:textId="77777777" w:rsidTr="00A83F6A">
        <w:trPr>
          <w:trHeight w:val="283"/>
        </w:trPr>
        <w:tc>
          <w:tcPr>
            <w:tcW w:w="5098" w:type="dxa"/>
          </w:tcPr>
          <w:p w14:paraId="68B02C80" w14:textId="6A411305" w:rsidR="00045A9A" w:rsidRPr="005E0248" w:rsidRDefault="00045A9A" w:rsidP="00A83F6A">
            <w:pPr>
              <w:pStyle w:val="TableBodyCopy"/>
              <w:spacing w:before="0" w:after="0"/>
              <w:rPr>
                <w:sz w:val="20"/>
                <w:szCs w:val="20"/>
              </w:rPr>
            </w:pPr>
            <w:r w:rsidRPr="005E0248">
              <w:rPr>
                <w:sz w:val="20"/>
                <w:szCs w:val="20"/>
              </w:rPr>
              <w:t xml:space="preserve">Bhutan </w:t>
            </w:r>
          </w:p>
        </w:tc>
        <w:tc>
          <w:tcPr>
            <w:tcW w:w="4820" w:type="dxa"/>
          </w:tcPr>
          <w:p w14:paraId="49A819B1" w14:textId="586A12E5" w:rsidR="00045A9A" w:rsidRPr="005E0248" w:rsidRDefault="00045A9A" w:rsidP="00A83F6A">
            <w:pPr>
              <w:pStyle w:val="TableBodyCopy"/>
              <w:spacing w:before="0" w:after="0"/>
              <w:rPr>
                <w:sz w:val="20"/>
                <w:szCs w:val="20"/>
              </w:rPr>
            </w:pPr>
            <w:r w:rsidRPr="005E0248">
              <w:rPr>
                <w:sz w:val="20"/>
                <w:szCs w:val="20"/>
              </w:rPr>
              <w:t>As needed</w:t>
            </w:r>
          </w:p>
        </w:tc>
      </w:tr>
      <w:tr w:rsidR="00045A9A" w:rsidRPr="005E0248" w14:paraId="6902E4A0" w14:textId="77777777" w:rsidTr="00A83F6A">
        <w:trPr>
          <w:trHeight w:val="283"/>
        </w:trPr>
        <w:tc>
          <w:tcPr>
            <w:tcW w:w="5098" w:type="dxa"/>
          </w:tcPr>
          <w:p w14:paraId="151259E3" w14:textId="2F09BB99" w:rsidR="00045A9A" w:rsidRPr="005E0248" w:rsidRDefault="00045A9A" w:rsidP="00A83F6A">
            <w:pPr>
              <w:pStyle w:val="TableBodyCopy"/>
              <w:spacing w:before="0" w:after="0"/>
              <w:rPr>
                <w:sz w:val="20"/>
                <w:szCs w:val="20"/>
              </w:rPr>
            </w:pPr>
            <w:r w:rsidRPr="005E0248">
              <w:rPr>
                <w:sz w:val="20"/>
                <w:szCs w:val="20"/>
              </w:rPr>
              <w:t>Maldives</w:t>
            </w:r>
          </w:p>
        </w:tc>
        <w:tc>
          <w:tcPr>
            <w:tcW w:w="4820" w:type="dxa"/>
          </w:tcPr>
          <w:p w14:paraId="7C0F10C2" w14:textId="7863BC72" w:rsidR="00045A9A" w:rsidRPr="005E0248" w:rsidRDefault="00045A9A" w:rsidP="00A83F6A">
            <w:pPr>
              <w:pStyle w:val="TableBodyCopy"/>
              <w:spacing w:before="0" w:after="0"/>
              <w:rPr>
                <w:sz w:val="20"/>
                <w:szCs w:val="20"/>
              </w:rPr>
            </w:pPr>
            <w:r w:rsidRPr="005E0248">
              <w:rPr>
                <w:sz w:val="20"/>
                <w:szCs w:val="20"/>
              </w:rPr>
              <w:t>As needed</w:t>
            </w:r>
          </w:p>
        </w:tc>
      </w:tr>
      <w:tr w:rsidR="00045A9A" w:rsidRPr="005E0248" w14:paraId="7A305228" w14:textId="77777777" w:rsidTr="00A83F6A">
        <w:trPr>
          <w:trHeight w:val="283"/>
        </w:trPr>
        <w:tc>
          <w:tcPr>
            <w:tcW w:w="5098" w:type="dxa"/>
          </w:tcPr>
          <w:p w14:paraId="3145908D" w14:textId="2ACCC7D6" w:rsidR="00045A9A" w:rsidRPr="005E0248" w:rsidRDefault="00045A9A" w:rsidP="00A83F6A">
            <w:pPr>
              <w:pStyle w:val="TableBodyCopy"/>
              <w:spacing w:before="0" w:after="0"/>
              <w:rPr>
                <w:sz w:val="20"/>
                <w:szCs w:val="20"/>
              </w:rPr>
            </w:pPr>
            <w:r w:rsidRPr="005E0248">
              <w:rPr>
                <w:sz w:val="20"/>
                <w:szCs w:val="20"/>
              </w:rPr>
              <w:t>Niue and Tokelau</w:t>
            </w:r>
          </w:p>
        </w:tc>
        <w:tc>
          <w:tcPr>
            <w:tcW w:w="4820" w:type="dxa"/>
          </w:tcPr>
          <w:p w14:paraId="54C73B07" w14:textId="254158C7" w:rsidR="00045A9A" w:rsidRPr="005E0248" w:rsidRDefault="00045A9A" w:rsidP="00A83F6A">
            <w:pPr>
              <w:pStyle w:val="TableBodyCopy"/>
              <w:spacing w:before="0" w:after="0"/>
              <w:rPr>
                <w:sz w:val="20"/>
                <w:szCs w:val="20"/>
              </w:rPr>
            </w:pPr>
            <w:r w:rsidRPr="005E0248">
              <w:rPr>
                <w:sz w:val="20"/>
                <w:szCs w:val="20"/>
              </w:rPr>
              <w:t>As needed</w:t>
            </w:r>
          </w:p>
        </w:tc>
      </w:tr>
    </w:tbl>
    <w:p w14:paraId="13A99A47" w14:textId="7D158A26" w:rsidR="0007092D" w:rsidRPr="005E0248" w:rsidRDefault="0007092D" w:rsidP="00BE0A39">
      <w:pPr>
        <w:pStyle w:val="BodycopyNumberedBullets"/>
        <w:numPr>
          <w:ilvl w:val="0"/>
          <w:numId w:val="0"/>
        </w:numPr>
        <w:spacing w:before="0" w:after="0"/>
        <w:ind w:left="360" w:hanging="360"/>
        <w:rPr>
          <w:sz w:val="20"/>
          <w:szCs w:val="20"/>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098"/>
        <w:gridCol w:w="4820"/>
      </w:tblGrid>
      <w:tr w:rsidR="00A83F6A" w:rsidRPr="005E0248" w14:paraId="05AA6AE7" w14:textId="77777777" w:rsidTr="002717BD">
        <w:trPr>
          <w:trHeight w:val="20"/>
        </w:trPr>
        <w:tc>
          <w:tcPr>
            <w:tcW w:w="5098" w:type="dxa"/>
            <w:shd w:val="clear" w:color="auto" w:fill="E7E6E6" w:themeFill="background2"/>
          </w:tcPr>
          <w:p w14:paraId="7118E575" w14:textId="77777777" w:rsidR="00A83F6A" w:rsidRPr="005E0248" w:rsidRDefault="00A83F6A" w:rsidP="002717BD">
            <w:pPr>
              <w:pStyle w:val="TableHeading"/>
              <w:spacing w:after="0"/>
              <w:rPr>
                <w:sz w:val="20"/>
                <w:szCs w:val="20"/>
              </w:rPr>
            </w:pPr>
            <w:r w:rsidRPr="005E0248">
              <w:rPr>
                <w:sz w:val="20"/>
                <w:szCs w:val="20"/>
              </w:rPr>
              <w:t>Global programs</w:t>
            </w:r>
          </w:p>
        </w:tc>
        <w:tc>
          <w:tcPr>
            <w:tcW w:w="4820" w:type="dxa"/>
            <w:shd w:val="clear" w:color="auto" w:fill="E7E6E6" w:themeFill="background2"/>
          </w:tcPr>
          <w:p w14:paraId="6327B728" w14:textId="77777777" w:rsidR="00A83F6A" w:rsidRPr="005E0248" w:rsidRDefault="00A83F6A" w:rsidP="002717BD">
            <w:pPr>
              <w:pStyle w:val="TableHeading"/>
              <w:spacing w:after="0"/>
              <w:rPr>
                <w:sz w:val="20"/>
                <w:szCs w:val="20"/>
              </w:rPr>
            </w:pPr>
            <w:r w:rsidRPr="005E0248">
              <w:rPr>
                <w:sz w:val="20"/>
                <w:szCs w:val="20"/>
              </w:rPr>
              <w:t>Recommended minimum number</w:t>
            </w:r>
          </w:p>
        </w:tc>
      </w:tr>
      <w:tr w:rsidR="00A83F6A" w:rsidRPr="005E0248" w14:paraId="3A8A7433" w14:textId="77777777" w:rsidTr="002717BD">
        <w:trPr>
          <w:trHeight w:val="20"/>
        </w:trPr>
        <w:tc>
          <w:tcPr>
            <w:tcW w:w="5098" w:type="dxa"/>
          </w:tcPr>
          <w:p w14:paraId="75D3CC93" w14:textId="77777777" w:rsidR="00A83F6A" w:rsidRPr="005E0248" w:rsidRDefault="00A83F6A" w:rsidP="002717BD">
            <w:pPr>
              <w:pStyle w:val="TableBodyCopy"/>
              <w:spacing w:before="0" w:after="0"/>
              <w:rPr>
                <w:sz w:val="20"/>
                <w:szCs w:val="20"/>
              </w:rPr>
            </w:pPr>
            <w:r w:rsidRPr="005E0248">
              <w:rPr>
                <w:sz w:val="20"/>
                <w:szCs w:val="20"/>
              </w:rPr>
              <w:t>Humanitarian</w:t>
            </w:r>
          </w:p>
        </w:tc>
        <w:tc>
          <w:tcPr>
            <w:tcW w:w="4820" w:type="dxa"/>
          </w:tcPr>
          <w:p w14:paraId="595C0721" w14:textId="77777777" w:rsidR="00A83F6A" w:rsidRPr="005E0248" w:rsidRDefault="00A83F6A" w:rsidP="002717BD">
            <w:pPr>
              <w:pStyle w:val="TableBodyCopy"/>
              <w:spacing w:before="0" w:after="0"/>
              <w:rPr>
                <w:sz w:val="20"/>
                <w:szCs w:val="20"/>
              </w:rPr>
            </w:pPr>
            <w:r w:rsidRPr="005E0248">
              <w:rPr>
                <w:sz w:val="20"/>
                <w:szCs w:val="20"/>
              </w:rPr>
              <w:t>2</w:t>
            </w:r>
          </w:p>
        </w:tc>
      </w:tr>
      <w:tr w:rsidR="00A83F6A" w:rsidRPr="005E0248" w14:paraId="1C4D5D4D" w14:textId="77777777" w:rsidTr="002717BD">
        <w:trPr>
          <w:trHeight w:val="20"/>
        </w:trPr>
        <w:tc>
          <w:tcPr>
            <w:tcW w:w="5098" w:type="dxa"/>
          </w:tcPr>
          <w:p w14:paraId="6C98A1FD" w14:textId="77777777" w:rsidR="00A83F6A" w:rsidRPr="005E0248" w:rsidRDefault="00A83F6A" w:rsidP="002717BD">
            <w:pPr>
              <w:pStyle w:val="TableBodyCopy"/>
              <w:spacing w:before="0" w:after="0"/>
              <w:rPr>
                <w:sz w:val="20"/>
                <w:szCs w:val="20"/>
              </w:rPr>
            </w:pPr>
            <w:r w:rsidRPr="005E0248">
              <w:rPr>
                <w:sz w:val="20"/>
                <w:szCs w:val="20"/>
              </w:rPr>
              <w:t>Global NGO Programs (ANCP)</w:t>
            </w:r>
          </w:p>
        </w:tc>
        <w:tc>
          <w:tcPr>
            <w:tcW w:w="4820" w:type="dxa"/>
          </w:tcPr>
          <w:p w14:paraId="368B6278" w14:textId="77777777" w:rsidR="00A83F6A" w:rsidRPr="005E0248" w:rsidRDefault="00A83F6A" w:rsidP="002717BD">
            <w:pPr>
              <w:pStyle w:val="TableBodyCopy"/>
              <w:spacing w:before="0" w:after="0"/>
              <w:rPr>
                <w:sz w:val="20"/>
                <w:szCs w:val="20"/>
              </w:rPr>
            </w:pPr>
            <w:r w:rsidRPr="005E0248">
              <w:rPr>
                <w:sz w:val="20"/>
                <w:szCs w:val="20"/>
              </w:rPr>
              <w:t>1 every 3 years</w:t>
            </w:r>
          </w:p>
        </w:tc>
      </w:tr>
      <w:tr w:rsidR="00A83F6A" w:rsidRPr="005E0248" w14:paraId="51184FB3" w14:textId="77777777" w:rsidTr="002717BD">
        <w:trPr>
          <w:trHeight w:val="20"/>
        </w:trPr>
        <w:tc>
          <w:tcPr>
            <w:tcW w:w="5098" w:type="dxa"/>
          </w:tcPr>
          <w:p w14:paraId="5F01264B" w14:textId="77777777" w:rsidR="00A83F6A" w:rsidRPr="005E0248" w:rsidRDefault="00A83F6A" w:rsidP="002717BD">
            <w:pPr>
              <w:pStyle w:val="TableBodyCopy"/>
              <w:spacing w:before="0" w:after="0"/>
              <w:rPr>
                <w:sz w:val="20"/>
                <w:szCs w:val="20"/>
              </w:rPr>
            </w:pPr>
            <w:r w:rsidRPr="005E0248">
              <w:rPr>
                <w:sz w:val="20"/>
                <w:szCs w:val="20"/>
              </w:rPr>
              <w:t>Australian Volunteers Program</w:t>
            </w:r>
          </w:p>
        </w:tc>
        <w:tc>
          <w:tcPr>
            <w:tcW w:w="4820" w:type="dxa"/>
          </w:tcPr>
          <w:p w14:paraId="4A26E47C" w14:textId="77777777" w:rsidR="00A83F6A" w:rsidRPr="005E0248" w:rsidRDefault="00A83F6A" w:rsidP="002717BD">
            <w:pPr>
              <w:pStyle w:val="TableBodyCopy"/>
              <w:spacing w:before="0" w:after="0"/>
              <w:rPr>
                <w:sz w:val="20"/>
                <w:szCs w:val="20"/>
              </w:rPr>
            </w:pPr>
            <w:r w:rsidRPr="005E0248">
              <w:rPr>
                <w:sz w:val="20"/>
                <w:szCs w:val="20"/>
              </w:rPr>
              <w:t>1 every 3 years</w:t>
            </w:r>
          </w:p>
        </w:tc>
      </w:tr>
    </w:tbl>
    <w:p w14:paraId="5097F82E" w14:textId="77777777" w:rsidR="00A83F6A" w:rsidRPr="005E0248" w:rsidRDefault="00A83F6A" w:rsidP="00BE0A39">
      <w:pPr>
        <w:pStyle w:val="BodycopyNumberedBullets"/>
        <w:numPr>
          <w:ilvl w:val="0"/>
          <w:numId w:val="0"/>
        </w:numPr>
        <w:spacing w:before="0" w:after="0"/>
        <w:ind w:left="360" w:hanging="360"/>
        <w:rPr>
          <w:sz w:val="20"/>
          <w:szCs w:val="20"/>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098"/>
        <w:gridCol w:w="4820"/>
      </w:tblGrid>
      <w:tr w:rsidR="00A83F6A" w:rsidRPr="005E0248" w14:paraId="313D0EBE" w14:textId="77777777" w:rsidTr="002717BD">
        <w:trPr>
          <w:trHeight w:val="20"/>
        </w:trPr>
        <w:tc>
          <w:tcPr>
            <w:tcW w:w="5098" w:type="dxa"/>
            <w:shd w:val="clear" w:color="auto" w:fill="E7E6E6" w:themeFill="background2"/>
          </w:tcPr>
          <w:p w14:paraId="7A8D230D" w14:textId="7554512D" w:rsidR="00A83F6A" w:rsidRPr="005E0248" w:rsidRDefault="00A83F6A" w:rsidP="002717BD">
            <w:pPr>
              <w:pStyle w:val="TableHeading"/>
              <w:spacing w:after="0"/>
              <w:rPr>
                <w:sz w:val="20"/>
                <w:szCs w:val="20"/>
              </w:rPr>
            </w:pPr>
            <w:r w:rsidRPr="005E0248">
              <w:rPr>
                <w:sz w:val="20"/>
                <w:szCs w:val="20"/>
              </w:rPr>
              <w:t>Sector programs</w:t>
            </w:r>
          </w:p>
        </w:tc>
        <w:tc>
          <w:tcPr>
            <w:tcW w:w="4820" w:type="dxa"/>
            <w:shd w:val="clear" w:color="auto" w:fill="E7E6E6" w:themeFill="background2"/>
          </w:tcPr>
          <w:p w14:paraId="1386B0E5" w14:textId="77777777" w:rsidR="00A83F6A" w:rsidRPr="005E0248" w:rsidRDefault="00A83F6A" w:rsidP="002717BD">
            <w:pPr>
              <w:pStyle w:val="TableHeading"/>
              <w:spacing w:after="0"/>
              <w:rPr>
                <w:sz w:val="20"/>
                <w:szCs w:val="20"/>
              </w:rPr>
            </w:pPr>
            <w:r w:rsidRPr="005E0248">
              <w:rPr>
                <w:sz w:val="20"/>
                <w:szCs w:val="20"/>
              </w:rPr>
              <w:t>Recommended minimum number</w:t>
            </w:r>
          </w:p>
        </w:tc>
      </w:tr>
      <w:tr w:rsidR="00A83F6A" w:rsidRPr="005E0248" w14:paraId="4D300763" w14:textId="77777777" w:rsidTr="00B24175">
        <w:trPr>
          <w:trHeight w:val="20"/>
        </w:trPr>
        <w:tc>
          <w:tcPr>
            <w:tcW w:w="5098" w:type="dxa"/>
          </w:tcPr>
          <w:p w14:paraId="7B8A4DF0" w14:textId="77777777" w:rsidR="00A83F6A" w:rsidRPr="005E0248" w:rsidRDefault="00A83F6A" w:rsidP="00B24175">
            <w:pPr>
              <w:pStyle w:val="TableBodyCopy"/>
              <w:spacing w:before="0" w:after="0"/>
              <w:rPr>
                <w:sz w:val="20"/>
                <w:szCs w:val="20"/>
              </w:rPr>
            </w:pPr>
            <w:r w:rsidRPr="005E0248">
              <w:rPr>
                <w:sz w:val="20"/>
                <w:szCs w:val="20"/>
              </w:rPr>
              <w:t>Gender Equality, Disability and Social Inclusion</w:t>
            </w:r>
          </w:p>
        </w:tc>
        <w:tc>
          <w:tcPr>
            <w:tcW w:w="4820" w:type="dxa"/>
          </w:tcPr>
          <w:p w14:paraId="03DCEB00" w14:textId="77777777" w:rsidR="00A83F6A" w:rsidRPr="005E0248" w:rsidRDefault="00A83F6A" w:rsidP="00B24175">
            <w:pPr>
              <w:pStyle w:val="TableBodyCopy"/>
              <w:spacing w:before="0" w:after="0"/>
              <w:rPr>
                <w:sz w:val="20"/>
                <w:szCs w:val="20"/>
              </w:rPr>
            </w:pPr>
            <w:r w:rsidRPr="005E0248">
              <w:rPr>
                <w:sz w:val="20"/>
                <w:szCs w:val="20"/>
              </w:rPr>
              <w:t>1 every 3 years</w:t>
            </w:r>
          </w:p>
        </w:tc>
      </w:tr>
      <w:tr w:rsidR="00A83F6A" w:rsidRPr="005E0248" w14:paraId="70FC89F9" w14:textId="77777777" w:rsidTr="00B24175">
        <w:trPr>
          <w:trHeight w:val="20"/>
        </w:trPr>
        <w:tc>
          <w:tcPr>
            <w:tcW w:w="5098" w:type="dxa"/>
          </w:tcPr>
          <w:p w14:paraId="46983722" w14:textId="77777777" w:rsidR="00A83F6A" w:rsidRPr="005E0248" w:rsidRDefault="00A83F6A" w:rsidP="00B24175">
            <w:pPr>
              <w:pStyle w:val="TableBodyCopy"/>
              <w:spacing w:before="0" w:after="0"/>
              <w:rPr>
                <w:sz w:val="20"/>
                <w:szCs w:val="20"/>
              </w:rPr>
            </w:pPr>
            <w:r w:rsidRPr="005E0248">
              <w:rPr>
                <w:sz w:val="20"/>
                <w:szCs w:val="20"/>
              </w:rPr>
              <w:t>Climate Change and Environment</w:t>
            </w:r>
          </w:p>
        </w:tc>
        <w:tc>
          <w:tcPr>
            <w:tcW w:w="4820" w:type="dxa"/>
          </w:tcPr>
          <w:p w14:paraId="5887E8D8" w14:textId="77777777" w:rsidR="00A83F6A" w:rsidRPr="005E0248" w:rsidRDefault="00A83F6A" w:rsidP="00B24175">
            <w:pPr>
              <w:pStyle w:val="TableBodyCopy"/>
              <w:spacing w:before="0" w:after="0"/>
              <w:rPr>
                <w:sz w:val="20"/>
                <w:szCs w:val="20"/>
              </w:rPr>
            </w:pPr>
            <w:r w:rsidRPr="005E0248">
              <w:rPr>
                <w:sz w:val="20"/>
                <w:szCs w:val="20"/>
              </w:rPr>
              <w:t>1 every 3 years</w:t>
            </w:r>
          </w:p>
        </w:tc>
      </w:tr>
      <w:tr w:rsidR="00A83F6A" w:rsidRPr="005E0248" w14:paraId="6DEDBF2B" w14:textId="77777777" w:rsidTr="00B24175">
        <w:trPr>
          <w:trHeight w:val="20"/>
        </w:trPr>
        <w:tc>
          <w:tcPr>
            <w:tcW w:w="5098" w:type="dxa"/>
          </w:tcPr>
          <w:p w14:paraId="2345F7B1" w14:textId="77777777" w:rsidR="00A83F6A" w:rsidRPr="005E0248" w:rsidRDefault="00A83F6A" w:rsidP="00B24175">
            <w:pPr>
              <w:pStyle w:val="TableBodyCopy"/>
              <w:spacing w:before="0" w:after="0"/>
              <w:rPr>
                <w:sz w:val="20"/>
                <w:szCs w:val="20"/>
              </w:rPr>
            </w:pPr>
            <w:r w:rsidRPr="005E0248">
              <w:rPr>
                <w:sz w:val="20"/>
                <w:szCs w:val="20"/>
              </w:rPr>
              <w:t>Regional and Global Health</w:t>
            </w:r>
          </w:p>
        </w:tc>
        <w:tc>
          <w:tcPr>
            <w:tcW w:w="4820" w:type="dxa"/>
          </w:tcPr>
          <w:p w14:paraId="4E3BF9DF" w14:textId="77777777" w:rsidR="00A83F6A" w:rsidRPr="005E0248" w:rsidRDefault="00A83F6A" w:rsidP="00B24175">
            <w:pPr>
              <w:pStyle w:val="TableBodyCopy"/>
              <w:spacing w:before="0" w:after="0"/>
              <w:rPr>
                <w:sz w:val="20"/>
                <w:szCs w:val="20"/>
              </w:rPr>
            </w:pPr>
            <w:r w:rsidRPr="005E0248">
              <w:rPr>
                <w:sz w:val="20"/>
                <w:szCs w:val="20"/>
              </w:rPr>
              <w:t>1 every 3 years</w:t>
            </w:r>
          </w:p>
        </w:tc>
      </w:tr>
      <w:tr w:rsidR="00A83F6A" w:rsidRPr="005E0248" w14:paraId="05DF4B21" w14:textId="77777777" w:rsidTr="00B24175">
        <w:trPr>
          <w:trHeight w:val="20"/>
        </w:trPr>
        <w:tc>
          <w:tcPr>
            <w:tcW w:w="5098" w:type="dxa"/>
          </w:tcPr>
          <w:p w14:paraId="54CBC8AF" w14:textId="77777777" w:rsidR="00A83F6A" w:rsidRPr="005E0248" w:rsidRDefault="00A83F6A" w:rsidP="00B24175">
            <w:pPr>
              <w:pStyle w:val="TableBodyCopy"/>
              <w:spacing w:before="0" w:after="0"/>
              <w:rPr>
                <w:sz w:val="20"/>
                <w:szCs w:val="20"/>
              </w:rPr>
            </w:pPr>
            <w:r w:rsidRPr="005E0248">
              <w:rPr>
                <w:sz w:val="20"/>
                <w:szCs w:val="20"/>
              </w:rPr>
              <w:t>Education and Scholarships</w:t>
            </w:r>
          </w:p>
        </w:tc>
        <w:tc>
          <w:tcPr>
            <w:tcW w:w="4820" w:type="dxa"/>
          </w:tcPr>
          <w:p w14:paraId="28DEC95A" w14:textId="77777777" w:rsidR="00A83F6A" w:rsidRPr="005E0248" w:rsidRDefault="00A83F6A" w:rsidP="00B24175">
            <w:pPr>
              <w:pStyle w:val="TableBodyCopy"/>
              <w:spacing w:before="0" w:after="0"/>
              <w:rPr>
                <w:sz w:val="20"/>
                <w:szCs w:val="20"/>
              </w:rPr>
            </w:pPr>
            <w:r w:rsidRPr="005E0248">
              <w:rPr>
                <w:sz w:val="20"/>
                <w:szCs w:val="20"/>
              </w:rPr>
              <w:t>1 every 3 years</w:t>
            </w:r>
          </w:p>
        </w:tc>
      </w:tr>
      <w:tr w:rsidR="00A83F6A" w:rsidRPr="005E0248" w14:paraId="7A92A783" w14:textId="77777777" w:rsidTr="002717BD">
        <w:trPr>
          <w:trHeight w:val="20"/>
        </w:trPr>
        <w:tc>
          <w:tcPr>
            <w:tcW w:w="5098" w:type="dxa"/>
          </w:tcPr>
          <w:p w14:paraId="7D1FFC0B" w14:textId="77777777" w:rsidR="00A83F6A" w:rsidRPr="005E0248" w:rsidRDefault="00A83F6A" w:rsidP="002717BD">
            <w:pPr>
              <w:pStyle w:val="TableBodyCopy"/>
              <w:spacing w:before="0" w:after="0"/>
              <w:rPr>
                <w:sz w:val="20"/>
                <w:szCs w:val="20"/>
              </w:rPr>
            </w:pPr>
            <w:r w:rsidRPr="005E0248">
              <w:rPr>
                <w:sz w:val="20"/>
                <w:szCs w:val="20"/>
              </w:rPr>
              <w:t>National and Economic Resilience</w:t>
            </w:r>
          </w:p>
        </w:tc>
        <w:tc>
          <w:tcPr>
            <w:tcW w:w="4820" w:type="dxa"/>
          </w:tcPr>
          <w:p w14:paraId="4F152E00" w14:textId="77777777" w:rsidR="00A83F6A" w:rsidRPr="005E0248" w:rsidRDefault="00A83F6A" w:rsidP="002717BD">
            <w:pPr>
              <w:pStyle w:val="TableBodyCopy"/>
              <w:spacing w:before="0" w:after="0"/>
              <w:rPr>
                <w:sz w:val="20"/>
                <w:szCs w:val="20"/>
              </w:rPr>
            </w:pPr>
            <w:r w:rsidRPr="005E0248">
              <w:rPr>
                <w:sz w:val="20"/>
                <w:szCs w:val="20"/>
              </w:rPr>
              <w:t>1 every 3 years</w:t>
            </w:r>
          </w:p>
        </w:tc>
      </w:tr>
      <w:tr w:rsidR="00A83F6A" w:rsidRPr="005E0248" w14:paraId="6FD7C29D" w14:textId="77777777" w:rsidTr="002717BD">
        <w:trPr>
          <w:trHeight w:val="20"/>
        </w:trPr>
        <w:tc>
          <w:tcPr>
            <w:tcW w:w="5098" w:type="dxa"/>
          </w:tcPr>
          <w:p w14:paraId="673153E9" w14:textId="77777777" w:rsidR="00A83F6A" w:rsidRPr="005E0248" w:rsidRDefault="00A83F6A" w:rsidP="002717BD">
            <w:pPr>
              <w:pStyle w:val="TableBodyCopy"/>
              <w:spacing w:before="0" w:after="0"/>
              <w:rPr>
                <w:sz w:val="20"/>
                <w:szCs w:val="20"/>
              </w:rPr>
            </w:pPr>
            <w:r w:rsidRPr="005E0248">
              <w:rPr>
                <w:sz w:val="20"/>
                <w:szCs w:val="20"/>
              </w:rPr>
              <w:t>AIFFP</w:t>
            </w:r>
          </w:p>
        </w:tc>
        <w:tc>
          <w:tcPr>
            <w:tcW w:w="4820" w:type="dxa"/>
          </w:tcPr>
          <w:p w14:paraId="6A6CED48" w14:textId="77777777" w:rsidR="00A83F6A" w:rsidRPr="005E0248" w:rsidRDefault="00A83F6A" w:rsidP="002717BD">
            <w:pPr>
              <w:pStyle w:val="TableBodyCopy"/>
              <w:spacing w:before="0" w:after="0"/>
              <w:rPr>
                <w:sz w:val="20"/>
                <w:szCs w:val="20"/>
              </w:rPr>
            </w:pPr>
            <w:r w:rsidRPr="005E0248">
              <w:rPr>
                <w:sz w:val="20"/>
                <w:szCs w:val="20"/>
              </w:rPr>
              <w:t>1 every 3 years</w:t>
            </w:r>
          </w:p>
        </w:tc>
      </w:tr>
    </w:tbl>
    <w:p w14:paraId="52C50720" w14:textId="6BAF3D80" w:rsidR="00A83F6A" w:rsidRPr="005E0248" w:rsidRDefault="00A83F6A" w:rsidP="00BE0A39">
      <w:pPr>
        <w:pStyle w:val="BodycopyNumberedBullets"/>
        <w:numPr>
          <w:ilvl w:val="0"/>
          <w:numId w:val="0"/>
        </w:numPr>
        <w:spacing w:before="0" w:after="0"/>
        <w:ind w:left="360" w:hanging="360"/>
        <w:rPr>
          <w:sz w:val="20"/>
          <w:szCs w:val="20"/>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098"/>
        <w:gridCol w:w="4820"/>
      </w:tblGrid>
      <w:tr w:rsidR="00A83F6A" w:rsidRPr="005E0248" w14:paraId="37F3A521" w14:textId="77777777" w:rsidTr="002717BD">
        <w:trPr>
          <w:trHeight w:val="20"/>
        </w:trPr>
        <w:tc>
          <w:tcPr>
            <w:tcW w:w="5098" w:type="dxa"/>
            <w:shd w:val="clear" w:color="auto" w:fill="E7E6E6" w:themeFill="background2"/>
          </w:tcPr>
          <w:p w14:paraId="6D61542B" w14:textId="1E55C19E" w:rsidR="00A83F6A" w:rsidRPr="005E0248" w:rsidRDefault="00A83F6A" w:rsidP="005E0248">
            <w:pPr>
              <w:pStyle w:val="TableHeading"/>
              <w:spacing w:after="0"/>
              <w:rPr>
                <w:sz w:val="20"/>
                <w:szCs w:val="20"/>
              </w:rPr>
            </w:pPr>
            <w:r w:rsidRPr="005E0248">
              <w:rPr>
                <w:sz w:val="20"/>
                <w:szCs w:val="20"/>
              </w:rPr>
              <w:t>Other</w:t>
            </w:r>
          </w:p>
        </w:tc>
        <w:tc>
          <w:tcPr>
            <w:tcW w:w="4820" w:type="dxa"/>
            <w:shd w:val="clear" w:color="auto" w:fill="E7E6E6" w:themeFill="background2"/>
          </w:tcPr>
          <w:p w14:paraId="49E6D7DA" w14:textId="77777777" w:rsidR="00A83F6A" w:rsidRPr="005E0248" w:rsidRDefault="00A83F6A" w:rsidP="005E0248">
            <w:pPr>
              <w:pStyle w:val="TableHeading"/>
              <w:spacing w:after="0"/>
              <w:rPr>
                <w:sz w:val="20"/>
                <w:szCs w:val="20"/>
              </w:rPr>
            </w:pPr>
            <w:r w:rsidRPr="005E0248">
              <w:rPr>
                <w:sz w:val="20"/>
                <w:szCs w:val="20"/>
              </w:rPr>
              <w:t>Recommended minimum number</w:t>
            </w:r>
          </w:p>
        </w:tc>
      </w:tr>
      <w:tr w:rsidR="00A83F6A" w:rsidRPr="005E0248" w14:paraId="76A6B190" w14:textId="77777777" w:rsidTr="002717BD">
        <w:trPr>
          <w:trHeight w:val="20"/>
        </w:trPr>
        <w:tc>
          <w:tcPr>
            <w:tcW w:w="5098" w:type="dxa"/>
          </w:tcPr>
          <w:p w14:paraId="1912C226" w14:textId="379D6592" w:rsidR="00A83F6A" w:rsidRPr="005E0248" w:rsidRDefault="00A83F6A" w:rsidP="005E0248">
            <w:pPr>
              <w:pStyle w:val="TableBodyCopy"/>
              <w:spacing w:before="0" w:after="0"/>
              <w:rPr>
                <w:sz w:val="20"/>
                <w:szCs w:val="20"/>
              </w:rPr>
            </w:pPr>
            <w:r w:rsidRPr="005E0248">
              <w:rPr>
                <w:sz w:val="20"/>
                <w:szCs w:val="20"/>
              </w:rPr>
              <w:t>Other cross regional, global and sector programs, strategies, processes and policies</w:t>
            </w:r>
          </w:p>
        </w:tc>
        <w:tc>
          <w:tcPr>
            <w:tcW w:w="4820" w:type="dxa"/>
          </w:tcPr>
          <w:p w14:paraId="7FAEF980" w14:textId="3E33C1D2" w:rsidR="00A83F6A" w:rsidRPr="005E0248" w:rsidRDefault="00A83F6A" w:rsidP="005E0248">
            <w:pPr>
              <w:pStyle w:val="TableBodyCopy"/>
              <w:spacing w:before="0" w:after="0"/>
              <w:rPr>
                <w:sz w:val="20"/>
                <w:szCs w:val="20"/>
              </w:rPr>
            </w:pPr>
            <w:r w:rsidRPr="005E0248">
              <w:rPr>
                <w:sz w:val="20"/>
                <w:szCs w:val="20"/>
              </w:rPr>
              <w:t>As needed</w:t>
            </w:r>
          </w:p>
        </w:tc>
      </w:tr>
    </w:tbl>
    <w:p w14:paraId="15F44DFD" w14:textId="3A62C586" w:rsidR="00F74B5D" w:rsidRPr="00F74B5D" w:rsidRDefault="00F74B5D" w:rsidP="00BE0A39">
      <w:pPr>
        <w:pStyle w:val="BodycopyNumberedBullets"/>
        <w:numPr>
          <w:ilvl w:val="0"/>
          <w:numId w:val="0"/>
        </w:numPr>
      </w:pPr>
    </w:p>
    <w:sectPr w:rsidR="00F74B5D" w:rsidRPr="00F74B5D" w:rsidSect="00BE0A39">
      <w:pgSz w:w="11906" w:h="16838" w:code="9"/>
      <w:pgMar w:top="1702" w:right="851" w:bottom="709" w:left="851" w:header="851"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43EE2" w14:textId="77777777" w:rsidR="00D30710" w:rsidRDefault="00D30710" w:rsidP="00EE32FE">
      <w:pPr>
        <w:spacing w:after="0" w:line="240" w:lineRule="auto"/>
      </w:pPr>
      <w:r>
        <w:separator/>
      </w:r>
    </w:p>
  </w:endnote>
  <w:endnote w:type="continuationSeparator" w:id="0">
    <w:p w14:paraId="540C4DF7" w14:textId="77777777" w:rsidR="00D30710" w:rsidRDefault="00D30710" w:rsidP="00EE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A181" w14:textId="77777777" w:rsidR="005A271B" w:rsidRDefault="005A2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5CD7" w14:textId="127D7B40" w:rsidR="001869DB" w:rsidRPr="007F6492" w:rsidRDefault="007F6492" w:rsidP="007F6492">
    <w:pPr>
      <w:pStyle w:val="Footer"/>
      <w:rPr>
        <w:color w:val="FFFFFF" w:themeColor="background1"/>
      </w:rPr>
    </w:pPr>
    <w:r w:rsidRPr="007F6492">
      <w:rPr>
        <w:noProof/>
        <w:color w:val="FFFFFF" w:themeColor="background1"/>
      </w:rPr>
      <w:drawing>
        <wp:anchor distT="0" distB="0" distL="114300" distR="114300" simplePos="0" relativeHeight="251672576" behindDoc="1" locked="0" layoutInCell="1" allowOverlap="1" wp14:anchorId="01BDC425" wp14:editId="6E0544A5">
          <wp:simplePos x="0" y="0"/>
          <wp:positionH relativeFrom="margin">
            <wp:posOffset>-246380</wp:posOffset>
          </wp:positionH>
          <wp:positionV relativeFrom="paragraph">
            <wp:posOffset>-85725</wp:posOffset>
          </wp:positionV>
          <wp:extent cx="6962775" cy="365760"/>
          <wp:effectExtent l="0" t="0" r="9525" b="0"/>
          <wp:wrapNone/>
          <wp:docPr id="208" name="Picture 2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62775" cy="365760"/>
                  </a:xfrm>
                  <a:prstGeom prst="rect">
                    <a:avLst/>
                  </a:prstGeom>
                </pic:spPr>
              </pic:pic>
            </a:graphicData>
          </a:graphic>
          <wp14:sizeRelH relativeFrom="margin">
            <wp14:pctWidth>0</wp14:pctWidth>
          </wp14:sizeRelH>
          <wp14:sizeRelV relativeFrom="margin">
            <wp14:pctHeight>0</wp14:pctHeight>
          </wp14:sizeRelV>
        </wp:anchor>
      </w:drawing>
    </w:r>
    <w:sdt>
      <w:sdtPr>
        <w:id w:val="-237180785"/>
        <w:docPartObj>
          <w:docPartGallery w:val="Page Numbers (Bottom of Page)"/>
          <w:docPartUnique/>
        </w:docPartObj>
      </w:sdtPr>
      <w:sdtEndPr>
        <w:rPr>
          <w:noProof/>
          <w:color w:val="FFFFFF" w:themeColor="background1"/>
        </w:rPr>
      </w:sdtEndPr>
      <w:sdtContent>
        <w:r w:rsidRPr="007F6492">
          <w:rPr>
            <w:color w:val="FFFFFF" w:themeColor="background1"/>
          </w:rPr>
          <w:fldChar w:fldCharType="begin"/>
        </w:r>
        <w:r w:rsidRPr="007F6492">
          <w:rPr>
            <w:color w:val="FFFFFF" w:themeColor="background1"/>
          </w:rPr>
          <w:instrText xml:space="preserve"> PAGE   \* MERGEFORMAT </w:instrText>
        </w:r>
        <w:r w:rsidRPr="007F6492">
          <w:rPr>
            <w:color w:val="FFFFFF" w:themeColor="background1"/>
          </w:rPr>
          <w:fldChar w:fldCharType="separate"/>
        </w:r>
        <w:r w:rsidRPr="007F6492">
          <w:rPr>
            <w:noProof/>
            <w:color w:val="FFFFFF" w:themeColor="background1"/>
          </w:rPr>
          <w:t>2</w:t>
        </w:r>
        <w:r w:rsidRPr="007F6492">
          <w:rPr>
            <w:noProof/>
            <w:color w:val="FFFFFF" w:themeColor="background1"/>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980232"/>
      <w:docPartObj>
        <w:docPartGallery w:val="Page Numbers (Bottom of Page)"/>
        <w:docPartUnique/>
      </w:docPartObj>
    </w:sdtPr>
    <w:sdtEndPr>
      <w:rPr>
        <w:noProof/>
        <w:color w:val="FFFFFF" w:themeColor="background1"/>
      </w:rPr>
    </w:sdtEndPr>
    <w:sdtContent>
      <w:p w14:paraId="34156E2D" w14:textId="7B768F12" w:rsidR="00F74B5D" w:rsidRPr="007F6492" w:rsidRDefault="00F74B5D">
        <w:pPr>
          <w:pStyle w:val="Footer"/>
          <w:rPr>
            <w:color w:val="FFFFFF" w:themeColor="background1"/>
          </w:rPr>
        </w:pPr>
        <w:r w:rsidRPr="007F6492">
          <w:rPr>
            <w:noProof/>
            <w:color w:val="FFFFFF" w:themeColor="background1"/>
          </w:rPr>
          <w:drawing>
            <wp:anchor distT="0" distB="0" distL="114300" distR="114300" simplePos="0" relativeHeight="251670528" behindDoc="1" locked="0" layoutInCell="1" allowOverlap="1" wp14:anchorId="7A571F75" wp14:editId="0D087C54">
              <wp:simplePos x="0" y="0"/>
              <wp:positionH relativeFrom="margin">
                <wp:posOffset>-241935</wp:posOffset>
              </wp:positionH>
              <wp:positionV relativeFrom="paragraph">
                <wp:posOffset>-96520</wp:posOffset>
              </wp:positionV>
              <wp:extent cx="6962775" cy="365810"/>
              <wp:effectExtent l="0" t="0" r="0" b="0"/>
              <wp:wrapNone/>
              <wp:docPr id="210" name="Picture 2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62775" cy="365810"/>
                      </a:xfrm>
                      <a:prstGeom prst="rect">
                        <a:avLst/>
                      </a:prstGeom>
                    </pic:spPr>
                  </pic:pic>
                </a:graphicData>
              </a:graphic>
              <wp14:sizeRelH relativeFrom="margin">
                <wp14:pctWidth>0</wp14:pctWidth>
              </wp14:sizeRelH>
              <wp14:sizeRelV relativeFrom="margin">
                <wp14:pctHeight>0</wp14:pctHeight>
              </wp14:sizeRelV>
            </wp:anchor>
          </w:drawing>
        </w:r>
        <w:r w:rsidRPr="007F6492">
          <w:rPr>
            <w:color w:val="FFFFFF" w:themeColor="background1"/>
          </w:rPr>
          <w:fldChar w:fldCharType="begin"/>
        </w:r>
        <w:r w:rsidRPr="007F6492">
          <w:rPr>
            <w:color w:val="FFFFFF" w:themeColor="background1"/>
          </w:rPr>
          <w:instrText xml:space="preserve"> PAGE   \* MERGEFORMAT </w:instrText>
        </w:r>
        <w:r w:rsidRPr="007F6492">
          <w:rPr>
            <w:color w:val="FFFFFF" w:themeColor="background1"/>
          </w:rPr>
          <w:fldChar w:fldCharType="separate"/>
        </w:r>
        <w:r w:rsidRPr="007F6492">
          <w:rPr>
            <w:noProof/>
            <w:color w:val="FFFFFF" w:themeColor="background1"/>
          </w:rPr>
          <w:t>2</w:t>
        </w:r>
        <w:r w:rsidRPr="007F6492">
          <w:rPr>
            <w:noProof/>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510DA" w14:textId="77777777" w:rsidR="00D30710" w:rsidRDefault="00D30710" w:rsidP="00EE32FE">
      <w:pPr>
        <w:spacing w:after="0" w:line="240" w:lineRule="auto"/>
      </w:pPr>
      <w:bookmarkStart w:id="0" w:name="_Hlk127364773"/>
      <w:bookmarkEnd w:id="0"/>
      <w:r>
        <w:separator/>
      </w:r>
    </w:p>
  </w:footnote>
  <w:footnote w:type="continuationSeparator" w:id="0">
    <w:p w14:paraId="7F325362" w14:textId="77777777" w:rsidR="00D30710" w:rsidRDefault="00D30710" w:rsidP="00EE32FE">
      <w:pPr>
        <w:spacing w:after="0" w:line="240" w:lineRule="auto"/>
      </w:pPr>
      <w:r>
        <w:continuationSeparator/>
      </w:r>
    </w:p>
  </w:footnote>
  <w:footnote w:id="1">
    <w:p w14:paraId="663ED65F" w14:textId="77777777" w:rsidR="009A3990" w:rsidRDefault="009A3990" w:rsidP="009A3990">
      <w:pPr>
        <w:pStyle w:val="FootnoteText"/>
      </w:pPr>
      <w:r>
        <w:rPr>
          <w:rStyle w:val="FootnoteReference"/>
        </w:rPr>
        <w:footnoteRef/>
      </w:r>
      <w:r>
        <w:t xml:space="preserve"> This definition is adapted from the OECD’s </w:t>
      </w:r>
      <w:r>
        <w:rPr>
          <w:i/>
        </w:rPr>
        <w:t>Glossary of Key Terms in Evaluation and Results Based Management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E86C" w14:textId="77777777" w:rsidR="005A271B" w:rsidRDefault="005A2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1ED1" w14:textId="2F9BF7D3" w:rsidR="001D29C1" w:rsidRDefault="00F74B5D" w:rsidP="004D1D85">
    <w:pPr>
      <w:pStyle w:val="Header"/>
      <w:tabs>
        <w:tab w:val="clear" w:pos="4513"/>
        <w:tab w:val="clear" w:pos="9026"/>
        <w:tab w:val="center" w:pos="5102"/>
      </w:tabs>
    </w:pPr>
    <w:r>
      <w:rPr>
        <w:noProof/>
      </w:rPr>
      <mc:AlternateContent>
        <mc:Choice Requires="wps">
          <w:drawing>
            <wp:anchor distT="0" distB="0" distL="114300" distR="114300" simplePos="0" relativeHeight="251667456" behindDoc="0" locked="1" layoutInCell="0" allowOverlap="1" wp14:anchorId="1AFA9706" wp14:editId="18E1A5AC">
              <wp:simplePos x="0" y="0"/>
              <wp:positionH relativeFrom="margin">
                <wp:align>center</wp:align>
              </wp:positionH>
              <wp:positionV relativeFrom="topMargin">
                <wp:align>center</wp:align>
              </wp:positionV>
              <wp:extent cx="892175" cy="388620"/>
              <wp:effectExtent l="0" t="0" r="0" b="0"/>
              <wp:wrapNone/>
              <wp:docPr id="4" name="janusSEAL SC Head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663C96" w14:textId="6CF164F0" w:rsidR="00F74B5D" w:rsidRPr="007F6492" w:rsidRDefault="007F6492" w:rsidP="005A271B">
                          <w:pPr>
                            <w:spacing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5A271B">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AFA9706" id="_x0000_t202" coordsize="21600,21600" o:spt="202" path="m,l,21600r21600,l21600,xe">
              <v:stroke joinstyle="miter"/>
              <v:path gradientshapeok="t" o:connecttype="rect"/>
            </v:shapetype>
            <v:shape id="janusSEAL SC Header" o:spid="_x0000_s1026" type="#_x0000_t202" alt="&quot;&quot;" style="position:absolute;margin-left:0;margin-top:0;width:70.25pt;height:30.6pt;z-index:25166745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oYFQIAACkEAAAOAAAAZHJzL2Uyb0RvYy54bWysU11v2jAUfZ/U/2D5fQQoUBoRKtaKaRJq&#10;K9Gpz8axSSTb17INCfv1uzbhQ22fpr04N77f5xzPHlqtyF44X4Mp6KDXp0QYDmVttgX9/bb8PqXE&#10;B2ZKpsCIgh6Epw/zm2+zxuZiCBWoUjiCRYzPG1vQKgSbZ5nnldDM98AKg04JTrOAv26blY41WF2r&#10;bNjvT7IGXGkdcOE93j4dnXSe6kspeHiR0otAVEFxtpBOl85NPLP5jOVbx2xV824M9g9TaFYbbHou&#10;9cQCIztXfyqla+7Agww9DjoDKWsu0g64zaD/YZt1xaxIuyA43p5h8v+vLH/er+2rI6H9AS0SGAFp&#10;rM89XsZ9Wul0/OKkBP0I4eEMm2gD4Xg5vR8O7saUcHTdTqeTYYI1uyRb58NPAZpEo6AOWUlgsf3K&#10;B2yIoaeQ2MvAslYqMaMMaQo6uR33U8LZgxnKYOJl1GiFdtN282+gPOBaDo6Me8uXNTZfMR9emUOK&#10;cROUbXjBQyrAJtBZlFTg/nx1H+MRefRS0qBkCmpQ05SoXwYZuR+MRlFh6Wc0vkMUiLv2bK49Zqcf&#10;ATU5wOdheTJjfFAnUzrQ76jtReyJLmY4di5oOJmP4ShjfBtcLBYpCDVlWViZteWxdAQzAvvWvjNn&#10;O/QD0vYMJ2mx/AMJx9iY6e1iF5CKxFCE94hphzrqMRHXvZ0o+Ov/FHV54fO/AAAA//8DAFBLAwQU&#10;AAYACAAAACEAaUvxY9sAAAAEAQAADwAAAGRycy9kb3ducmV2LnhtbEyPQWvCQBCF74X+h2UEb3Wj&#10;baXEbKQI9SI9VMVeJ9kxCcnOLtk1pv31XXtpLwOP93jvm2w9mk4M1PvGsoL5LAFBXFrdcKXgeHh7&#10;eAHhA7LGzjIp+CIP6/z+LsNU2yt/0LAPlYgl7FNUUIfgUil9WZNBP7OOOHpn2xsMUfaV1D1eY7np&#10;5CJJltJgw3GhRkebmsp2fzEK3vG0DcPYltvWnfWnccXm8Xun1HQyvq5ABBrDXxhu+BEd8shU2Atr&#10;LzoF8ZHwe2/eU/IMolCwnC9A5pn8D5//AAAA//8DAFBLAQItABQABgAIAAAAIQC2gziS/gAAAOEB&#10;AAATAAAAAAAAAAAAAAAAAAAAAABbQ29udGVudF9UeXBlc10ueG1sUEsBAi0AFAAGAAgAAAAhADj9&#10;If/WAAAAlAEAAAsAAAAAAAAAAAAAAAAALwEAAF9yZWxzLy5yZWxzUEsBAi0AFAAGAAgAAAAhAEJD&#10;ShgVAgAAKQQAAA4AAAAAAAAAAAAAAAAALgIAAGRycy9lMm9Eb2MueG1sUEsBAi0AFAAGAAgAAAAh&#10;AGlL8WPbAAAABAEAAA8AAAAAAAAAAAAAAAAAbwQAAGRycy9kb3ducmV2LnhtbFBLBQYAAAAABAAE&#10;APMAAAB3BQAAAAA=&#10;" o:allowincell="f" filled="f" stroked="f" strokeweight=".5pt">
              <v:textbox style="mso-fit-shape-to-text:t">
                <w:txbxContent>
                  <w:p w14:paraId="14663C96" w14:textId="6CF164F0" w:rsidR="00F74B5D" w:rsidRPr="007F6492" w:rsidRDefault="007F6492" w:rsidP="005A271B">
                    <w:pPr>
                      <w:spacing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5A271B">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r w:rsidR="0007092D">
      <w:rPr>
        <w:noProof/>
      </w:rPr>
      <w:drawing>
        <wp:anchor distT="0" distB="0" distL="114300" distR="114300" simplePos="0" relativeHeight="251659263" behindDoc="0" locked="0" layoutInCell="1" allowOverlap="1" wp14:anchorId="10CD7F13" wp14:editId="6BE7A935">
          <wp:simplePos x="0" y="0"/>
          <wp:positionH relativeFrom="margin">
            <wp:align>center</wp:align>
          </wp:positionH>
          <wp:positionV relativeFrom="paragraph">
            <wp:posOffset>-540385</wp:posOffset>
          </wp:positionV>
          <wp:extent cx="7686675" cy="805666"/>
          <wp:effectExtent l="0" t="0" r="0" b="0"/>
          <wp:wrapNone/>
          <wp:docPr id="207" name="Picture 2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86675" cy="805666"/>
                  </a:xfrm>
                  <a:prstGeom prst="rect">
                    <a:avLst/>
                  </a:prstGeom>
                </pic:spPr>
              </pic:pic>
            </a:graphicData>
          </a:graphic>
          <wp14:sizeRelH relativeFrom="margin">
            <wp14:pctWidth>0</wp14:pctWidth>
          </wp14:sizeRelH>
          <wp14:sizeRelV relativeFrom="margin">
            <wp14:pctHeight>0</wp14:pctHeight>
          </wp14:sizeRelV>
        </wp:anchor>
      </w:drawing>
    </w:r>
    <w:r w:rsidR="004D1D8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360E" w14:textId="68A60180" w:rsidR="0007092D" w:rsidRDefault="00F74B5D">
    <w:pPr>
      <w:pStyle w:val="Header"/>
    </w:pPr>
    <w:r>
      <w:rPr>
        <w:noProof/>
      </w:rPr>
      <mc:AlternateContent>
        <mc:Choice Requires="wps">
          <w:drawing>
            <wp:anchor distT="0" distB="0" distL="114300" distR="114300" simplePos="0" relativeHeight="251668480" behindDoc="0" locked="1" layoutInCell="0" allowOverlap="1" wp14:anchorId="12B8C7A8" wp14:editId="03BA32BE">
              <wp:simplePos x="0" y="0"/>
              <wp:positionH relativeFrom="margin">
                <wp:align>center</wp:align>
              </wp:positionH>
              <wp:positionV relativeFrom="topMargin">
                <wp:align>center</wp:align>
              </wp:positionV>
              <wp:extent cx="892175" cy="388620"/>
              <wp:effectExtent l="0" t="0" r="0" b="0"/>
              <wp:wrapNone/>
              <wp:docPr id="5" name="janusSEAL SC H_FirstP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892175" cy="3886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15BE60" w14:textId="47E63C1A" w:rsidR="00F74B5D" w:rsidRPr="007F6492" w:rsidRDefault="007F6492" w:rsidP="005A271B">
                          <w:pPr>
                            <w:spacing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5A271B">
                            <w:rPr>
                              <w:rFonts w:ascii="Arial" w:hAnsi="Arial" w:cs="Arial"/>
                              <w:b/>
                              <w:color w:val="FF0000"/>
                              <w:sz w:val="24"/>
                            </w:rPr>
                            <w:t>OFFICIAL</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2B8C7A8" id="_x0000_t202" coordsize="21600,21600" o:spt="202" path="m,l,21600r21600,l21600,xe">
              <v:stroke joinstyle="miter"/>
              <v:path gradientshapeok="t" o:connecttype="rect"/>
            </v:shapetype>
            <v:shape id="janusSEAL SC H_FirstPage" o:spid="_x0000_s1027" type="#_x0000_t202" alt="&quot;&quot;" style="position:absolute;margin-left:0;margin-top:0;width:70.25pt;height:30.6pt;z-index:25166848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T8FwIAADAEAAAOAAAAZHJzL2Uyb0RvYy54bWysU11v2jAUfZ+0/2D5fQQoUBoRKtaKaVLV&#10;VqJTn43jkEi2r2VfSNiv37X5VNenaS/Oje/3Ocez+85otlM+NGALPuj1OVNWQtnYTcF/vS2/TTkL&#10;KGwpNFhV8L0K/H7+9cusdbkaQg26VJ5RERvy1hW8RnR5lgVZKyNCD5yy5KzAG4H06zdZ6UVL1Y3O&#10;hv3+JGvBl86DVCHQ7ePByeepflUpiS9VFRQyXXCaDdPp07mOZzafiXzjhasbeRxD/MMURjSWmp5L&#10;PQoUbOubv0qZRnoIUGFPgsmgqhqp0g60zaD/YZtVLZxKuxA4wZ1hCv+vrHzerdyrZ9h9h44IjIC0&#10;LuSBLuM+XeVN/NKkjPwE4f4Mm+qQSbqc3g0Ht2POJLluptPJMMGaXZKdD/hDgWHRKLgnVhJYYvcU&#10;kBpS6Ckk9rKwbLROzGjL2oJPbsb9lHD2UIa2lHgZNVrYrTvWlFdrrKHc03YeDsQHJ5cNzfAkAr4K&#10;T0zTQqRefKGj0kC94GhxVoP//dl9jCcCyMtZS8opuCVpc6Z/WiLmbjAaRaGln9H4lsBg/tqzvvbY&#10;rXkAkuaAXomTyYzxqE9m5cG8k8QXsSe5hJXUueB4Mh/woGZ6IlItFimIpOUEPtmVk7F0xDTi+9a9&#10;C++OJCCx9wwnhYn8AxeH2JgZ3GKLxEgiKqJ8wPQIPsky8Xd8QlH31/8p6vLQ538AAAD//wMAUEsD&#10;BBQABgAIAAAAIQBpS/Fj2wAAAAQBAAAPAAAAZHJzL2Rvd25yZXYueG1sTI9Ba8JAEIXvhf6HZQRv&#10;daNtpcRspAj1Ij1UxV4n2TEJyc4u2TWm/fVde2kvA4/3eO+bbD2aTgzU+8aygvksAUFcWt1wpeB4&#10;eHt4AeEDssbOMin4Ig/r/P4uw1TbK3/QsA+ViCXsU1RQh+BSKX1Zk0E/s444emfbGwxR9pXUPV5j&#10;uenkIkmW0mDDcaFGR5uaynZ/MQre8bQNw9iW29ad9adxxebxe6fUdDK+rkAEGsNfGG74ER3yyFTY&#10;C2svOgXxkfB7b95T8gyiULCcL0DmmfwPn/8AAAD//wMAUEsBAi0AFAAGAAgAAAAhALaDOJL+AAAA&#10;4QEAABMAAAAAAAAAAAAAAAAAAAAAAFtDb250ZW50X1R5cGVzXS54bWxQSwECLQAUAAYACAAAACEA&#10;OP0h/9YAAACUAQAACwAAAAAAAAAAAAAAAAAvAQAAX3JlbHMvLnJlbHNQSwECLQAUAAYACAAAACEA&#10;rUpE/BcCAAAwBAAADgAAAAAAAAAAAAAAAAAuAgAAZHJzL2Uyb0RvYy54bWxQSwECLQAUAAYACAAA&#10;ACEAaUvxY9sAAAAEAQAADwAAAAAAAAAAAAAAAABxBAAAZHJzL2Rvd25yZXYueG1sUEsFBgAAAAAE&#10;AAQA8wAAAHkFAAAAAA==&#10;" o:allowincell="f" filled="f" stroked="f" strokeweight=".5pt">
              <v:textbox style="mso-fit-shape-to-text:t">
                <w:txbxContent>
                  <w:p w14:paraId="3215BE60" w14:textId="47E63C1A" w:rsidR="00F74B5D" w:rsidRPr="007F6492" w:rsidRDefault="007F6492" w:rsidP="005A271B">
                    <w:pPr>
                      <w:spacing w:after="0"/>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5A271B">
                      <w:rPr>
                        <w:rFonts w:ascii="Arial" w:hAnsi="Arial" w:cs="Arial"/>
                        <w:b/>
                        <w:color w:val="FF0000"/>
                        <w:sz w:val="24"/>
                      </w:rPr>
                      <w:t>OFFICIAL</w:t>
                    </w:r>
                    <w:r>
                      <w:rPr>
                        <w:rFonts w:ascii="Arial" w:hAnsi="Arial" w:cs="Arial"/>
                        <w:b/>
                        <w:color w:val="FF0000"/>
                        <w:sz w:val="24"/>
                      </w:rPr>
                      <w:fldChar w:fldCharType="end"/>
                    </w:r>
                  </w:p>
                </w:txbxContent>
              </v:textbox>
              <w10:wrap anchorx="margin" anchory="margin"/>
              <w10:anchorlock/>
            </v:shape>
          </w:pict>
        </mc:Fallback>
      </mc:AlternateContent>
    </w:r>
    <w:r w:rsidR="0007092D">
      <w:rPr>
        <w:noProof/>
      </w:rPr>
      <w:drawing>
        <wp:anchor distT="0" distB="0" distL="114300" distR="114300" simplePos="0" relativeHeight="251661312" behindDoc="0" locked="0" layoutInCell="1" allowOverlap="1" wp14:anchorId="063F0FFD" wp14:editId="52D4AEFF">
          <wp:simplePos x="0" y="0"/>
          <wp:positionH relativeFrom="margin">
            <wp:align>center</wp:align>
          </wp:positionH>
          <wp:positionV relativeFrom="paragraph">
            <wp:posOffset>-540385</wp:posOffset>
          </wp:positionV>
          <wp:extent cx="7722821" cy="1285875"/>
          <wp:effectExtent l="0" t="0" r="0" b="0"/>
          <wp:wrapNone/>
          <wp:docPr id="209" name="Picture 2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22821" cy="1285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3D02"/>
    <w:multiLevelType w:val="hybridMultilevel"/>
    <w:tmpl w:val="87241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0266D68"/>
    <w:multiLevelType w:val="hybridMultilevel"/>
    <w:tmpl w:val="9E5A5624"/>
    <w:lvl w:ilvl="0" w:tplc="04DA5E22">
      <w:start w:val="1"/>
      <w:numFmt w:val="decimal"/>
      <w:pStyle w:val="BodycopyNumberedBullets"/>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5580FB7"/>
    <w:multiLevelType w:val="hybridMultilevel"/>
    <w:tmpl w:val="055ACAB4"/>
    <w:lvl w:ilvl="0" w:tplc="2FE82136">
      <w:start w:val="1"/>
      <w:numFmt w:val="bullet"/>
      <w:pStyle w:val="BodyCopy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3C1EA7"/>
    <w:multiLevelType w:val="multilevel"/>
    <w:tmpl w:val="43428892"/>
    <w:numStyleLink w:val="BulletsList"/>
  </w:abstractNum>
  <w:abstractNum w:abstractNumId="4" w15:restartNumberingAfterBreak="0">
    <w:nsid w:val="73107305"/>
    <w:multiLevelType w:val="multilevel"/>
    <w:tmpl w:val="43428892"/>
    <w:styleLink w:val="BulletsList"/>
    <w:lvl w:ilvl="0">
      <w:start w:val="1"/>
      <w:numFmt w:val="bullet"/>
      <w:pStyle w:val="Bullet1"/>
      <w:lvlText w:val=""/>
      <w:lvlJc w:val="left"/>
      <w:pPr>
        <w:ind w:left="5416" w:hanging="170"/>
      </w:pPr>
      <w:rPr>
        <w:rFonts w:ascii="Symbol" w:hAnsi="Symbol" w:hint="default"/>
      </w:rPr>
    </w:lvl>
    <w:lvl w:ilvl="1">
      <w:start w:val="1"/>
      <w:numFmt w:val="bullet"/>
      <w:pStyle w:val="Bullet2"/>
      <w:lvlText w:val="–"/>
      <w:lvlJc w:val="left"/>
      <w:pPr>
        <w:ind w:left="340" w:hanging="170"/>
      </w:pPr>
      <w:rPr>
        <w:rFonts w:ascii="Arial" w:hAnsi="Arial" w:hint="default"/>
      </w:rPr>
    </w:lvl>
    <w:lvl w:ilvl="2">
      <w:start w:val="1"/>
      <w:numFmt w:val="bullet"/>
      <w:pStyle w:val="Bullet3"/>
      <w:lvlText w:val="»"/>
      <w:lvlJc w:val="left"/>
      <w:pPr>
        <w:ind w:left="510" w:hanging="170"/>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856385262">
    <w:abstractNumId w:val="1"/>
  </w:num>
  <w:num w:numId="2" w16cid:durableId="1197158898">
    <w:abstractNumId w:val="1"/>
    <w:lvlOverride w:ilvl="0">
      <w:startOverride w:val="1"/>
    </w:lvlOverride>
  </w:num>
  <w:num w:numId="3" w16cid:durableId="1054545504">
    <w:abstractNumId w:val="1"/>
    <w:lvlOverride w:ilvl="0">
      <w:startOverride w:val="1"/>
    </w:lvlOverride>
  </w:num>
  <w:num w:numId="4" w16cid:durableId="1815877393">
    <w:abstractNumId w:val="2"/>
  </w:num>
  <w:num w:numId="5" w16cid:durableId="2055617817">
    <w:abstractNumId w:val="0"/>
  </w:num>
  <w:num w:numId="6" w16cid:durableId="711424540">
    <w:abstractNumId w:val="1"/>
    <w:lvlOverride w:ilvl="0">
      <w:startOverride w:val="1"/>
    </w:lvlOverride>
  </w:num>
  <w:num w:numId="7" w16cid:durableId="2123112711">
    <w:abstractNumId w:val="1"/>
    <w:lvlOverride w:ilvl="0">
      <w:startOverride w:val="1"/>
    </w:lvlOverride>
  </w:num>
  <w:num w:numId="8" w16cid:durableId="418454261">
    <w:abstractNumId w:val="1"/>
    <w:lvlOverride w:ilvl="0">
      <w:startOverride w:val="1"/>
    </w:lvlOverride>
  </w:num>
  <w:num w:numId="9" w16cid:durableId="456223508">
    <w:abstractNumId w:val="4"/>
  </w:num>
  <w:num w:numId="10" w16cid:durableId="561184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B5D"/>
    <w:rsid w:val="00025428"/>
    <w:rsid w:val="00030679"/>
    <w:rsid w:val="00045A9A"/>
    <w:rsid w:val="0007092D"/>
    <w:rsid w:val="000F1407"/>
    <w:rsid w:val="001405B7"/>
    <w:rsid w:val="001869DB"/>
    <w:rsid w:val="0019463F"/>
    <w:rsid w:val="001B3B16"/>
    <w:rsid w:val="001D29C1"/>
    <w:rsid w:val="002173DF"/>
    <w:rsid w:val="0021791D"/>
    <w:rsid w:val="00232F10"/>
    <w:rsid w:val="00246196"/>
    <w:rsid w:val="002849E3"/>
    <w:rsid w:val="002903BA"/>
    <w:rsid w:val="002923D5"/>
    <w:rsid w:val="002965B1"/>
    <w:rsid w:val="002C1236"/>
    <w:rsid w:val="00343F6F"/>
    <w:rsid w:val="003F13D8"/>
    <w:rsid w:val="004041C7"/>
    <w:rsid w:val="004473A8"/>
    <w:rsid w:val="004D1D85"/>
    <w:rsid w:val="00592E1A"/>
    <w:rsid w:val="00595180"/>
    <w:rsid w:val="005A271B"/>
    <w:rsid w:val="005A4153"/>
    <w:rsid w:val="005D35E7"/>
    <w:rsid w:val="005E0248"/>
    <w:rsid w:val="005F7B84"/>
    <w:rsid w:val="00661961"/>
    <w:rsid w:val="00671161"/>
    <w:rsid w:val="006B1B6F"/>
    <w:rsid w:val="006C13E7"/>
    <w:rsid w:val="007332ED"/>
    <w:rsid w:val="00790F87"/>
    <w:rsid w:val="00791418"/>
    <w:rsid w:val="0079728E"/>
    <w:rsid w:val="007C5166"/>
    <w:rsid w:val="007F6492"/>
    <w:rsid w:val="00804811"/>
    <w:rsid w:val="00845374"/>
    <w:rsid w:val="0085056C"/>
    <w:rsid w:val="008A226C"/>
    <w:rsid w:val="009A3990"/>
    <w:rsid w:val="00A01D6E"/>
    <w:rsid w:val="00A25564"/>
    <w:rsid w:val="00A4001E"/>
    <w:rsid w:val="00A83F6A"/>
    <w:rsid w:val="00AA6ACC"/>
    <w:rsid w:val="00AF7C26"/>
    <w:rsid w:val="00BC7EA0"/>
    <w:rsid w:val="00BE0A39"/>
    <w:rsid w:val="00C02DDF"/>
    <w:rsid w:val="00C40760"/>
    <w:rsid w:val="00C60EBF"/>
    <w:rsid w:val="00C72FA1"/>
    <w:rsid w:val="00C743D5"/>
    <w:rsid w:val="00CF14DB"/>
    <w:rsid w:val="00D01227"/>
    <w:rsid w:val="00D30710"/>
    <w:rsid w:val="00D51826"/>
    <w:rsid w:val="00D700C8"/>
    <w:rsid w:val="00DA6024"/>
    <w:rsid w:val="00DA6B55"/>
    <w:rsid w:val="00DD3B43"/>
    <w:rsid w:val="00DF79EE"/>
    <w:rsid w:val="00E363E8"/>
    <w:rsid w:val="00EC1229"/>
    <w:rsid w:val="00EE32FE"/>
    <w:rsid w:val="00F119EF"/>
    <w:rsid w:val="00F63247"/>
    <w:rsid w:val="00F716A5"/>
    <w:rsid w:val="00F74B5D"/>
    <w:rsid w:val="00F83266"/>
    <w:rsid w:val="00F959D5"/>
    <w:rsid w:val="00FF4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E4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024"/>
    <w:pPr>
      <w:spacing w:after="160" w:line="259" w:lineRule="auto"/>
    </w:pPr>
    <w:rPr>
      <w:sz w:val="22"/>
      <w:szCs w:val="22"/>
      <w:lang w:eastAsia="en-US"/>
    </w:rPr>
  </w:style>
  <w:style w:type="paragraph" w:styleId="Heading1">
    <w:name w:val="heading 1"/>
    <w:basedOn w:val="Normal"/>
    <w:next w:val="Normal"/>
    <w:link w:val="Heading1Char"/>
    <w:uiPriority w:val="9"/>
    <w:qFormat/>
    <w:rsid w:val="004D1D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1D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D1D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D1D8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Heading1">
    <w:name w:val="H1 - Heading 1"/>
    <w:basedOn w:val="Heading1"/>
    <w:qFormat/>
    <w:rsid w:val="00F959D5"/>
    <w:pPr>
      <w:spacing w:before="480"/>
      <w:jc w:val="center"/>
    </w:pPr>
    <w:rPr>
      <w:rFonts w:asciiTheme="minorHAnsi" w:hAnsiTheme="minorHAnsi" w:cstheme="minorHAnsi"/>
      <w:b/>
      <w:bCs/>
      <w:caps/>
      <w:color w:val="313E48"/>
      <w:sz w:val="40"/>
      <w:szCs w:val="40"/>
    </w:rPr>
  </w:style>
  <w:style w:type="paragraph" w:customStyle="1" w:styleId="BodyCopy">
    <w:name w:val="Body Copy"/>
    <w:qFormat/>
    <w:rsid w:val="00790F87"/>
    <w:pPr>
      <w:spacing w:before="40" w:after="120"/>
    </w:pPr>
    <w:rPr>
      <w:rFonts w:ascii="Calibri Light" w:hAnsi="Calibri Light" w:cs="Calibri Light"/>
      <w:color w:val="313E48"/>
      <w:sz w:val="22"/>
      <w:szCs w:val="21"/>
      <w:lang w:eastAsia="en-US"/>
    </w:rPr>
  </w:style>
  <w:style w:type="paragraph" w:customStyle="1" w:styleId="H2-Heading2">
    <w:name w:val="H2 - Heading 2"/>
    <w:basedOn w:val="Heading2"/>
    <w:next w:val="BodyCopy"/>
    <w:qFormat/>
    <w:rsid w:val="00AF7C26"/>
    <w:pPr>
      <w:spacing w:before="240"/>
    </w:pPr>
    <w:rPr>
      <w:rFonts w:cstheme="majorHAnsi"/>
      <w:b/>
      <w:bCs/>
      <w:caps/>
      <w:color w:val="313E48"/>
      <w:sz w:val="32"/>
      <w:szCs w:val="32"/>
    </w:rPr>
  </w:style>
  <w:style w:type="paragraph" w:customStyle="1" w:styleId="H4-Heading4">
    <w:name w:val="H4 - Heading 4"/>
    <w:basedOn w:val="Heading4"/>
    <w:next w:val="BodyCopy"/>
    <w:qFormat/>
    <w:rsid w:val="004D1D85"/>
    <w:pPr>
      <w:spacing w:before="160"/>
    </w:pPr>
    <w:rPr>
      <w:rFonts w:asciiTheme="minorHAnsi" w:hAnsiTheme="minorHAnsi" w:cstheme="minorHAnsi"/>
      <w:b/>
      <w:bCs/>
      <w:i w:val="0"/>
      <w:iCs w:val="0"/>
      <w:color w:val="313E48"/>
      <w:sz w:val="24"/>
      <w:szCs w:val="24"/>
    </w:rPr>
  </w:style>
  <w:style w:type="paragraph" w:customStyle="1" w:styleId="H3-Heading3">
    <w:name w:val="H3 - Heading 3"/>
    <w:basedOn w:val="Heading3"/>
    <w:qFormat/>
    <w:rsid w:val="004D1D85"/>
    <w:pPr>
      <w:spacing w:before="240" w:after="40"/>
    </w:pPr>
    <w:rPr>
      <w:rFonts w:asciiTheme="minorHAnsi" w:hAnsiTheme="minorHAnsi" w:cstheme="minorHAnsi"/>
      <w:b/>
      <w:bCs/>
      <w:color w:val="313E48"/>
      <w:sz w:val="28"/>
      <w:szCs w:val="28"/>
    </w:rPr>
  </w:style>
  <w:style w:type="paragraph" w:customStyle="1" w:styleId="BodycopyNumberedBullets">
    <w:name w:val="Body copy Numbered Bullets"/>
    <w:basedOn w:val="BodyCopy"/>
    <w:qFormat/>
    <w:rsid w:val="00845374"/>
    <w:pPr>
      <w:numPr>
        <w:numId w:val="1"/>
      </w:numPr>
    </w:pPr>
  </w:style>
  <w:style w:type="paragraph" w:customStyle="1" w:styleId="BodyCopyPrebulletsandnumberedbullets">
    <w:name w:val="Body Copy Pre bullets and numbered bullets"/>
    <w:basedOn w:val="BodyCopy"/>
    <w:qFormat/>
    <w:rsid w:val="00845374"/>
    <w:pPr>
      <w:spacing w:before="160"/>
    </w:pPr>
  </w:style>
  <w:style w:type="paragraph" w:customStyle="1" w:styleId="BodyCopyBullets">
    <w:name w:val="Body Copy Bullets"/>
    <w:basedOn w:val="BodyCopy"/>
    <w:qFormat/>
    <w:rsid w:val="00C40760"/>
    <w:pPr>
      <w:numPr>
        <w:numId w:val="4"/>
      </w:numPr>
      <w:ind w:left="340" w:hanging="340"/>
    </w:pPr>
  </w:style>
  <w:style w:type="table" w:styleId="TableGrid">
    <w:name w:val="Table Grid"/>
    <w:basedOn w:val="TableNormal"/>
    <w:uiPriority w:val="39"/>
    <w:rsid w:val="00797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er"/>
    <w:qFormat/>
    <w:rsid w:val="007332ED"/>
    <w:pPr>
      <w:spacing w:after="40"/>
    </w:pPr>
    <w:rPr>
      <w:rFonts w:asciiTheme="minorHAnsi" w:hAnsiTheme="minorHAnsi" w:cstheme="minorHAnsi"/>
      <w:b/>
      <w:bCs/>
      <w:color w:val="313E48"/>
    </w:rPr>
  </w:style>
  <w:style w:type="paragraph" w:customStyle="1" w:styleId="TableBodyCopy">
    <w:name w:val="Table Body Copy"/>
    <w:basedOn w:val="BodyCopy"/>
    <w:qFormat/>
    <w:rsid w:val="00030679"/>
    <w:pPr>
      <w:spacing w:after="40"/>
    </w:pPr>
  </w:style>
  <w:style w:type="paragraph" w:customStyle="1" w:styleId="PostBulletsBodyCopy">
    <w:name w:val="Post Bullets Body Copy"/>
    <w:basedOn w:val="BodyCopy"/>
    <w:qFormat/>
    <w:rsid w:val="00F63247"/>
    <w:pPr>
      <w:spacing w:before="160" w:after="160"/>
    </w:pPr>
  </w:style>
  <w:style w:type="paragraph" w:styleId="Header">
    <w:name w:val="header"/>
    <w:basedOn w:val="Normal"/>
    <w:link w:val="HeaderChar"/>
    <w:uiPriority w:val="99"/>
    <w:unhideWhenUsed/>
    <w:rsid w:val="001D2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9C1"/>
    <w:rPr>
      <w:sz w:val="22"/>
      <w:szCs w:val="22"/>
      <w:lang w:eastAsia="en-US"/>
    </w:rPr>
  </w:style>
  <w:style w:type="paragraph" w:styleId="Footer">
    <w:name w:val="footer"/>
    <w:basedOn w:val="Normal"/>
    <w:link w:val="FooterChar"/>
    <w:uiPriority w:val="99"/>
    <w:unhideWhenUsed/>
    <w:rsid w:val="001D2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9C1"/>
    <w:rPr>
      <w:sz w:val="22"/>
      <w:szCs w:val="22"/>
      <w:lang w:eastAsia="en-US"/>
    </w:rPr>
  </w:style>
  <w:style w:type="character" w:customStyle="1" w:styleId="Green">
    <w:name w:val="Green"/>
    <w:basedOn w:val="DefaultParagraphFont"/>
    <w:uiPriority w:val="1"/>
    <w:qFormat/>
    <w:rsid w:val="00E363E8"/>
    <w:rPr>
      <w:color w:val="ED7D31" w:themeColor="accent2"/>
    </w:rPr>
  </w:style>
  <w:style w:type="character" w:styleId="Emphasis">
    <w:name w:val="Emphasis"/>
    <w:basedOn w:val="IntenseEmphasis"/>
    <w:uiPriority w:val="20"/>
    <w:qFormat/>
    <w:rsid w:val="00AF7C26"/>
    <w:rPr>
      <w:rFonts w:asciiTheme="minorHAnsi" w:hAnsiTheme="minorHAnsi" w:cstheme="minorHAnsi"/>
      <w:b/>
      <w:bCs/>
      <w:i w:val="0"/>
      <w:iCs/>
      <w:color w:val="313E48"/>
      <w:sz w:val="22"/>
    </w:rPr>
  </w:style>
  <w:style w:type="character" w:customStyle="1" w:styleId="Heading1Char">
    <w:name w:val="Heading 1 Char"/>
    <w:basedOn w:val="DefaultParagraphFont"/>
    <w:link w:val="Heading1"/>
    <w:uiPriority w:val="9"/>
    <w:rsid w:val="004D1D85"/>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4D1D85"/>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4D1D85"/>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4D1D85"/>
    <w:rPr>
      <w:rFonts w:asciiTheme="majorHAnsi" w:eastAsiaTheme="majorEastAsia" w:hAnsiTheme="majorHAnsi" w:cstheme="majorBidi"/>
      <w:i/>
      <w:iCs/>
      <w:color w:val="2F5496" w:themeColor="accent1" w:themeShade="BF"/>
      <w:sz w:val="22"/>
      <w:szCs w:val="22"/>
      <w:lang w:eastAsia="en-US"/>
    </w:rPr>
  </w:style>
  <w:style w:type="character" w:styleId="Strong">
    <w:name w:val="Strong"/>
    <w:aliases w:val="Introduction"/>
    <w:basedOn w:val="DefaultParagraphFont"/>
    <w:uiPriority w:val="22"/>
    <w:qFormat/>
    <w:rsid w:val="00AF7C26"/>
    <w:rPr>
      <w:rFonts w:asciiTheme="minorHAnsi" w:hAnsiTheme="minorHAnsi"/>
      <w:b/>
      <w:bCs/>
    </w:rPr>
  </w:style>
  <w:style w:type="character" w:styleId="IntenseEmphasis">
    <w:name w:val="Intense Emphasis"/>
    <w:basedOn w:val="DefaultParagraphFont"/>
    <w:uiPriority w:val="21"/>
    <w:qFormat/>
    <w:rsid w:val="00AF7C26"/>
    <w:rPr>
      <w:i/>
      <w:iCs/>
      <w:color w:val="4472C4" w:themeColor="accent1"/>
    </w:rPr>
  </w:style>
  <w:style w:type="paragraph" w:styleId="FootnoteText">
    <w:name w:val="footnote text"/>
    <w:basedOn w:val="Normal"/>
    <w:link w:val="FootnoteTextChar"/>
    <w:unhideWhenUsed/>
    <w:rsid w:val="009A3990"/>
    <w:pPr>
      <w:suppressAutoHyphens/>
      <w:spacing w:before="60" w:after="0" w:line="140" w:lineRule="atLeast"/>
      <w:ind w:left="170" w:hanging="170"/>
    </w:pPr>
    <w:rPr>
      <w:rFonts w:asciiTheme="minorHAnsi" w:eastAsiaTheme="minorHAnsi" w:hAnsiTheme="minorHAnsi" w:cstheme="minorBidi"/>
      <w:color w:val="44546A" w:themeColor="text2"/>
      <w:sz w:val="12"/>
      <w:szCs w:val="20"/>
      <w:lang w:val="en-GB"/>
    </w:rPr>
  </w:style>
  <w:style w:type="character" w:customStyle="1" w:styleId="FootnoteTextChar">
    <w:name w:val="Footnote Text Char"/>
    <w:basedOn w:val="DefaultParagraphFont"/>
    <w:link w:val="FootnoteText"/>
    <w:rsid w:val="009A3990"/>
    <w:rPr>
      <w:rFonts w:asciiTheme="minorHAnsi" w:eastAsiaTheme="minorHAnsi" w:hAnsiTheme="minorHAnsi" w:cstheme="minorBidi"/>
      <w:color w:val="44546A" w:themeColor="text2"/>
      <w:sz w:val="12"/>
      <w:lang w:val="en-GB" w:eastAsia="en-US"/>
    </w:rPr>
  </w:style>
  <w:style w:type="character" w:styleId="FootnoteReference">
    <w:name w:val="footnote reference"/>
    <w:basedOn w:val="DefaultParagraphFont"/>
    <w:unhideWhenUsed/>
    <w:rsid w:val="009A3990"/>
    <w:rPr>
      <w:vertAlign w:val="superscript"/>
    </w:rPr>
  </w:style>
  <w:style w:type="character" w:styleId="Hyperlink">
    <w:name w:val="Hyperlink"/>
    <w:basedOn w:val="DefaultParagraphFont"/>
    <w:uiPriority w:val="99"/>
    <w:rsid w:val="009A3990"/>
    <w:rPr>
      <w:rFonts w:asciiTheme="minorHAnsi" w:hAnsiTheme="minorHAnsi" w:cs="MuseoSans-500"/>
      <w:color w:val="auto"/>
      <w:u w:val="single" w:color="0070C0"/>
    </w:rPr>
  </w:style>
  <w:style w:type="paragraph" w:customStyle="1" w:styleId="Bullet1">
    <w:name w:val="Bullet 1"/>
    <w:basedOn w:val="Normal"/>
    <w:qFormat/>
    <w:rsid w:val="00045A9A"/>
    <w:pPr>
      <w:numPr>
        <w:numId w:val="10"/>
      </w:numPr>
      <w:suppressAutoHyphens/>
      <w:spacing w:after="60" w:line="260" w:lineRule="atLeast"/>
      <w:ind w:left="170"/>
    </w:pPr>
    <w:rPr>
      <w:rFonts w:asciiTheme="minorHAnsi" w:eastAsiaTheme="minorHAnsi" w:hAnsiTheme="minorHAnsi" w:cstheme="minorBidi"/>
      <w:color w:val="44546A" w:themeColor="text2"/>
      <w:lang w:val="en-GB"/>
    </w:rPr>
  </w:style>
  <w:style w:type="paragraph" w:customStyle="1" w:styleId="Bullet2">
    <w:name w:val="Bullet 2"/>
    <w:basedOn w:val="Bullet1"/>
    <w:qFormat/>
    <w:rsid w:val="00045A9A"/>
    <w:pPr>
      <w:numPr>
        <w:ilvl w:val="1"/>
      </w:numPr>
    </w:pPr>
  </w:style>
  <w:style w:type="paragraph" w:customStyle="1" w:styleId="Bullet3">
    <w:name w:val="Bullet 3"/>
    <w:basedOn w:val="Bullet2"/>
    <w:qFormat/>
    <w:rsid w:val="00045A9A"/>
    <w:pPr>
      <w:numPr>
        <w:ilvl w:val="2"/>
      </w:numPr>
    </w:pPr>
  </w:style>
  <w:style w:type="numbering" w:customStyle="1" w:styleId="BulletsList">
    <w:name w:val="Bullets List"/>
    <w:uiPriority w:val="99"/>
    <w:rsid w:val="00045A9A"/>
    <w:pPr>
      <w:numPr>
        <w:numId w:val="9"/>
      </w:numPr>
    </w:pPr>
  </w:style>
  <w:style w:type="paragraph" w:styleId="BodyText">
    <w:name w:val="Body Text"/>
    <w:basedOn w:val="Normal"/>
    <w:link w:val="BodyTextChar"/>
    <w:uiPriority w:val="99"/>
    <w:unhideWhenUsed/>
    <w:rsid w:val="00045A9A"/>
    <w:pPr>
      <w:suppressAutoHyphens/>
      <w:spacing w:before="120" w:after="60" w:line="260" w:lineRule="atLeast"/>
    </w:pPr>
    <w:rPr>
      <w:rFonts w:asciiTheme="minorHAnsi" w:eastAsiaTheme="minorHAnsi" w:hAnsiTheme="minorHAnsi" w:cstheme="minorBidi"/>
      <w:color w:val="44546A" w:themeColor="text2"/>
      <w:lang w:val="en-GB"/>
    </w:rPr>
  </w:style>
  <w:style w:type="character" w:customStyle="1" w:styleId="BodyTextChar">
    <w:name w:val="Body Text Char"/>
    <w:basedOn w:val="DefaultParagraphFont"/>
    <w:link w:val="BodyText"/>
    <w:uiPriority w:val="99"/>
    <w:rsid w:val="00045A9A"/>
    <w:rPr>
      <w:rFonts w:asciiTheme="minorHAnsi" w:eastAsiaTheme="minorHAnsi" w:hAnsiTheme="minorHAnsi" w:cstheme="minorBidi"/>
      <w:color w:val="44546A" w:themeColor="text2"/>
      <w:sz w:val="22"/>
      <w:szCs w:val="22"/>
      <w:lang w:val="en-GB" w:eastAsia="en-US"/>
    </w:rPr>
  </w:style>
  <w:style w:type="paragraph" w:styleId="Title">
    <w:name w:val="Title"/>
    <w:basedOn w:val="Heading1"/>
    <w:next w:val="Normal"/>
    <w:link w:val="TitleChar"/>
    <w:uiPriority w:val="10"/>
    <w:qFormat/>
    <w:rsid w:val="00045A9A"/>
    <w:pPr>
      <w:suppressAutoHyphens/>
      <w:spacing w:before="0" w:line="380" w:lineRule="exact"/>
      <w:contextualSpacing/>
    </w:pPr>
    <w:rPr>
      <w:b/>
      <w:bCs/>
      <w:caps/>
      <w:color w:val="44546A" w:themeColor="text2"/>
      <w:spacing w:val="-10"/>
      <w:kern w:val="28"/>
      <w:sz w:val="38"/>
      <w:szCs w:val="52"/>
      <w:lang w:val="en-GB"/>
    </w:rPr>
  </w:style>
  <w:style w:type="character" w:customStyle="1" w:styleId="TitleChar">
    <w:name w:val="Title Char"/>
    <w:basedOn w:val="DefaultParagraphFont"/>
    <w:link w:val="Title"/>
    <w:uiPriority w:val="10"/>
    <w:rsid w:val="00045A9A"/>
    <w:rPr>
      <w:rFonts w:asciiTheme="majorHAnsi" w:eastAsiaTheme="majorEastAsia" w:hAnsiTheme="majorHAnsi" w:cstheme="majorBidi"/>
      <w:b/>
      <w:bCs/>
      <w:caps/>
      <w:color w:val="44546A" w:themeColor="text2"/>
      <w:spacing w:val="-10"/>
      <w:kern w:val="28"/>
      <w:sz w:val="38"/>
      <w:szCs w:val="5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fat.gov.au/about-us/publications/Pages/dfat-monitoring-and-evaluation-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es.asn.au/ethical-guidelines" TargetMode="External"/><Relationship Id="rId4" Type="http://schemas.openxmlformats.org/officeDocument/2006/relationships/settings" Target="settings.xml"/><Relationship Id="rId9" Type="http://schemas.openxmlformats.org/officeDocument/2006/relationships/hyperlink" Target="https://www.dfat.gov.au/aid/topics/development-issues/research"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C48A1-C301-40FF-930E-9B84B9EA1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1314</Words>
  <Characters>7661</Characters>
  <Application>Microsoft Office Word</Application>
  <DocSecurity>0</DocSecurity>
  <Lines>185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Evaluation Policy</dc:title>
  <dc:subject/>
  <dc:creator/>
  <cp:keywords>[SEC=OFFICIAL]</cp:keywords>
  <dc:description/>
  <cp:lastModifiedBy/>
  <cp:revision>1</cp:revision>
  <dcterms:created xsi:type="dcterms:W3CDTF">2025-06-18T00:45:00Z</dcterms:created>
  <dcterms:modified xsi:type="dcterms:W3CDTF">2025-06-18T00:46:00Z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SecurityClassification">
    <vt:lpwstr>OFFICIAL</vt:lpwstr>
  </property>
  <property fmtid="{D5CDD505-2E9C-101B-9397-08002B2CF9AE}" pid="4" name="PMHMAC">
    <vt:lpwstr>v=2022.1;a=SHA256;h=75A91D8041C5AD048225770BB7491C13401092A341ABA61D44AE5B4D3D931365</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or_Hash_SHA1">
    <vt:lpwstr>D9F6E5C82DFAF7AB6E3D596D48DD43C72EDFDAB4</vt:lpwstr>
  </property>
  <property fmtid="{D5CDD505-2E9C-101B-9397-08002B2CF9AE}" pid="9" name="PM_Originating_FileId">
    <vt:lpwstr>A04407B03FB3406E91B16F76B50D491D</vt:lpwstr>
  </property>
  <property fmtid="{D5CDD505-2E9C-101B-9397-08002B2CF9AE}" pid="10" name="PM_ProtectiveMarkingValue_Footer">
    <vt:lpwstr>OFFICIAL</vt:lpwstr>
  </property>
  <property fmtid="{D5CDD505-2E9C-101B-9397-08002B2CF9AE}" pid="11" name="PM_ProtectiveMarkingValue_Header">
    <vt:lpwstr>OFFICIAL</vt:lpwstr>
  </property>
  <property fmtid="{D5CDD505-2E9C-101B-9397-08002B2CF9AE}" pid="12" name="PM_OriginationTimeStamp">
    <vt:lpwstr>2023-02-15T22:12:19Z</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2AFBBA22E59665EAB6F8AD7EA3F27985</vt:lpwstr>
  </property>
  <property fmtid="{D5CDD505-2E9C-101B-9397-08002B2CF9AE}" pid="20" name="PM_Hash_Salt">
    <vt:lpwstr>4D0852280D4C4668ECD2A2A6289F1E7D</vt:lpwstr>
  </property>
  <property fmtid="{D5CDD505-2E9C-101B-9397-08002B2CF9AE}" pid="21" name="PM_Hash_SHA1">
    <vt:lpwstr>D63A4F54D0A6E4EDF2F4152863F8653FE1EB782D</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v=2022.2;d=gov.au;g=46DD6D7C-8107-577B-BC6E-F348953B2E44</vt:lpwstr>
  </property>
  <property fmtid="{D5CDD505-2E9C-101B-9397-08002B2CF9AE}" pid="26" name="PM_OriginatorUserAccountName_SHA256">
    <vt:lpwstr>3E9DB5AB808CA91EB3E8EC398CDB7F67B110581D6BB28BC88565729DCE387350</vt:lpwstr>
  </property>
  <property fmtid="{D5CDD505-2E9C-101B-9397-08002B2CF9AE}" pid="27" name="PM_OriginatorDomainName_SHA256">
    <vt:lpwstr>6F3591835F3B2A8A025B00B5BA6418010DA3A17C9C26EA9C049FFD28039489A2</vt:lpwstr>
  </property>
  <property fmtid="{D5CDD505-2E9C-101B-9397-08002B2CF9AE}" pid="28" name="PM_Caveats_Count">
    <vt:lpwstr>0</vt:lpwstr>
  </property>
</Properties>
</file>