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DACAD" w14:textId="7E92DB03" w:rsidR="006E1C2A" w:rsidRPr="00FF3BE4" w:rsidRDefault="006E1C2A" w:rsidP="4019DB22">
      <w:pPr>
        <w:pStyle w:val="H1-BP"/>
      </w:pPr>
      <w:bookmarkStart w:id="0" w:name="_Toc142382185"/>
      <w:bookmarkStart w:id="1" w:name="_Toc142382367"/>
      <w:bookmarkStart w:id="2" w:name="_Toc224653929"/>
      <w:r>
        <w:t xml:space="preserve">Australia’s </w:t>
      </w:r>
      <w:bookmarkEnd w:id="0"/>
      <w:bookmarkEnd w:id="1"/>
      <w:r w:rsidR="00FF3BE4">
        <w:t>Climate Finance 2020-2025</w:t>
      </w:r>
      <w:bookmarkEnd w:id="2"/>
    </w:p>
    <w:p w14:paraId="6CC7405D" w14:textId="77777777" w:rsidR="00EB3E94" w:rsidRDefault="00D20954" w:rsidP="59D15759">
      <w:pPr>
        <w:pStyle w:val="BodyCopy"/>
        <w:rPr>
          <w:color w:val="000000" w:themeColor="text1"/>
        </w:rPr>
        <w:sectPr w:rsidR="00EB3E94" w:rsidSect="00B156A8">
          <w:headerReference w:type="default" r:id="rId11"/>
          <w:footerReference w:type="default" r:id="rId12"/>
          <w:headerReference w:type="first" r:id="rId13"/>
          <w:footnotePr>
            <w:numRestart w:val="eachPage"/>
          </w:footnotePr>
          <w:endnotePr>
            <w:numFmt w:val="decimal"/>
          </w:endnotePr>
          <w:pgSz w:w="11906" w:h="16838" w:code="9"/>
          <w:pgMar w:top="1418" w:right="851" w:bottom="1134" w:left="851" w:header="340" w:footer="414" w:gutter="0"/>
          <w:cols w:space="708"/>
          <w:vAlign w:val="bottom"/>
          <w:titlePg/>
          <w:docGrid w:linePitch="360"/>
        </w:sectPr>
      </w:pPr>
      <w:r>
        <w:rPr>
          <w:color w:val="000000" w:themeColor="text1"/>
        </w:rPr>
        <w:t>March</w:t>
      </w:r>
      <w:r w:rsidR="00FF3BE4" w:rsidRPr="00D51FBF">
        <w:rPr>
          <w:color w:val="000000" w:themeColor="text1"/>
        </w:rPr>
        <w:t xml:space="preserve"> 2026</w:t>
      </w:r>
    </w:p>
    <w:p w14:paraId="73649E8D" w14:textId="79BD0AF2" w:rsidR="00D1452C" w:rsidRPr="00D51FBF" w:rsidRDefault="00D1452C" w:rsidP="59D15759">
      <w:pPr>
        <w:pStyle w:val="BodyCopy"/>
        <w:rPr>
          <w:color w:val="000000" w:themeColor="text1"/>
        </w:rPr>
      </w:pPr>
    </w:p>
    <w:p w14:paraId="70D433BB" w14:textId="0D63BC47" w:rsidR="006E1C2A" w:rsidRPr="001B6B57" w:rsidRDefault="00D1452C" w:rsidP="001B6B57">
      <w:pPr>
        <w:spacing w:after="0" w:line="240" w:lineRule="auto"/>
      </w:pPr>
      <w:r>
        <w:br w:type="page"/>
      </w:r>
    </w:p>
    <w:bookmarkStart w:id="3" w:name="_Toc224653930" w:displacedByCustomXml="next"/>
    <w:sdt>
      <w:sdtPr>
        <w:rPr>
          <w:rFonts w:ascii="Calibri" w:eastAsia="Calibri" w:hAnsi="Calibri" w:cs="Times New Roman"/>
          <w:b w:val="0"/>
          <w:bCs w:val="0"/>
          <w:sz w:val="22"/>
          <w:szCs w:val="22"/>
        </w:rPr>
        <w:id w:val="-543372425"/>
        <w:docPartObj>
          <w:docPartGallery w:val="Table of Contents"/>
          <w:docPartUnique/>
        </w:docPartObj>
      </w:sdtPr>
      <w:sdtEndPr>
        <w:rPr>
          <w:noProof/>
        </w:rPr>
      </w:sdtEndPr>
      <w:sdtContent>
        <w:p w14:paraId="3F53AFEF" w14:textId="77777777" w:rsidR="00EB3E94" w:rsidRDefault="00EB3E94">
          <w:pPr>
            <w:pStyle w:val="TOCHeading"/>
            <w:rPr>
              <w:rFonts w:ascii="Calibri" w:eastAsia="Calibri" w:hAnsi="Calibri" w:cs="Times New Roman"/>
              <w:b w:val="0"/>
              <w:bCs w:val="0"/>
              <w:sz w:val="22"/>
              <w:szCs w:val="22"/>
            </w:rPr>
            <w:sectPr w:rsidR="00EB3E94" w:rsidSect="00EB3E94">
              <w:footnotePr>
                <w:numRestart w:val="eachPage"/>
              </w:footnotePr>
              <w:endnotePr>
                <w:numFmt w:val="decimal"/>
              </w:endnotePr>
              <w:type w:val="continuous"/>
              <w:pgSz w:w="11906" w:h="16838" w:code="9"/>
              <w:pgMar w:top="1418" w:right="851" w:bottom="1134" w:left="851" w:header="340" w:footer="414" w:gutter="0"/>
              <w:cols w:space="708"/>
              <w:vAlign w:val="bottom"/>
              <w:titlePg/>
              <w:docGrid w:linePitch="360"/>
            </w:sectPr>
          </w:pPr>
        </w:p>
        <w:p w14:paraId="34E0B7A2" w14:textId="63708C99" w:rsidR="00261B06" w:rsidRDefault="00261B06">
          <w:pPr>
            <w:pStyle w:val="TOCHeading"/>
          </w:pPr>
          <w:r>
            <w:t>Contents</w:t>
          </w:r>
          <w:bookmarkEnd w:id="3"/>
        </w:p>
        <w:p w14:paraId="1F46191B" w14:textId="3CE12928" w:rsidR="00A91A0F" w:rsidRDefault="00261B06">
          <w:pPr>
            <w:pStyle w:val="TOC1"/>
            <w:tabs>
              <w:tab w:val="right" w:leader="dot" w:pos="10194"/>
            </w:tabs>
            <w:rPr>
              <w:rFonts w:asciiTheme="minorHAnsi" w:eastAsiaTheme="minorEastAsia" w:hAnsiTheme="minorHAnsi" w:cstheme="minorBidi"/>
              <w:noProof/>
              <w:kern w:val="2"/>
              <w:sz w:val="24"/>
              <w:szCs w:val="24"/>
              <w:lang w:eastAsia="en-AU"/>
              <w14:ligatures w14:val="standardContextual"/>
            </w:rPr>
          </w:pPr>
          <w:r>
            <w:fldChar w:fldCharType="begin"/>
          </w:r>
          <w:r>
            <w:instrText xml:space="preserve"> TOC \o "1-3" \h \z \u </w:instrText>
          </w:r>
          <w:r>
            <w:fldChar w:fldCharType="separate"/>
          </w:r>
          <w:hyperlink w:anchor="_Toc224653929" w:history="1">
            <w:r w:rsidR="00A91A0F" w:rsidRPr="004B1EA8">
              <w:rPr>
                <w:rStyle w:val="Hyperlink"/>
                <w:noProof/>
              </w:rPr>
              <w:t>Australia’s Climate Finance 2020-2025</w:t>
            </w:r>
            <w:r w:rsidR="00A91A0F">
              <w:rPr>
                <w:noProof/>
                <w:webHidden/>
              </w:rPr>
              <w:tab/>
            </w:r>
            <w:r w:rsidR="00A91A0F">
              <w:rPr>
                <w:noProof/>
                <w:webHidden/>
              </w:rPr>
              <w:fldChar w:fldCharType="begin"/>
            </w:r>
            <w:r w:rsidR="00A91A0F">
              <w:rPr>
                <w:noProof/>
                <w:webHidden/>
              </w:rPr>
              <w:instrText xml:space="preserve"> PAGEREF _Toc224653929 \h </w:instrText>
            </w:r>
            <w:r w:rsidR="00A91A0F">
              <w:rPr>
                <w:noProof/>
                <w:webHidden/>
              </w:rPr>
            </w:r>
            <w:r w:rsidR="00A91A0F">
              <w:rPr>
                <w:noProof/>
                <w:webHidden/>
              </w:rPr>
              <w:fldChar w:fldCharType="separate"/>
            </w:r>
            <w:r w:rsidR="00A91A0F">
              <w:rPr>
                <w:noProof/>
                <w:webHidden/>
              </w:rPr>
              <w:t>1</w:t>
            </w:r>
            <w:r w:rsidR="00A91A0F">
              <w:rPr>
                <w:noProof/>
                <w:webHidden/>
              </w:rPr>
              <w:fldChar w:fldCharType="end"/>
            </w:r>
          </w:hyperlink>
        </w:p>
        <w:p w14:paraId="5F3DD46F" w14:textId="5B9EBC5B" w:rsidR="00A91A0F" w:rsidRDefault="00A91A0F">
          <w:pPr>
            <w:pStyle w:val="TOC2"/>
            <w:tabs>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24653930" w:history="1">
            <w:r w:rsidRPr="004B1EA8">
              <w:rPr>
                <w:rStyle w:val="Hyperlink"/>
                <w:noProof/>
              </w:rPr>
              <w:t>Contents</w:t>
            </w:r>
            <w:r>
              <w:rPr>
                <w:noProof/>
                <w:webHidden/>
              </w:rPr>
              <w:tab/>
            </w:r>
            <w:r>
              <w:rPr>
                <w:noProof/>
                <w:webHidden/>
              </w:rPr>
              <w:fldChar w:fldCharType="begin"/>
            </w:r>
            <w:r>
              <w:rPr>
                <w:noProof/>
                <w:webHidden/>
              </w:rPr>
              <w:instrText xml:space="preserve"> PAGEREF _Toc224653930 \h </w:instrText>
            </w:r>
            <w:r>
              <w:rPr>
                <w:noProof/>
                <w:webHidden/>
              </w:rPr>
            </w:r>
            <w:r>
              <w:rPr>
                <w:noProof/>
                <w:webHidden/>
              </w:rPr>
              <w:fldChar w:fldCharType="separate"/>
            </w:r>
            <w:r>
              <w:rPr>
                <w:noProof/>
                <w:webHidden/>
              </w:rPr>
              <w:t>2</w:t>
            </w:r>
            <w:r>
              <w:rPr>
                <w:noProof/>
                <w:webHidden/>
              </w:rPr>
              <w:fldChar w:fldCharType="end"/>
            </w:r>
          </w:hyperlink>
        </w:p>
        <w:p w14:paraId="620B85EE" w14:textId="48479E58" w:rsidR="00A91A0F" w:rsidRDefault="00A91A0F">
          <w:pPr>
            <w:pStyle w:val="TOC2"/>
            <w:tabs>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24653931" w:history="1">
            <w:r w:rsidRPr="004B1EA8">
              <w:rPr>
                <w:rStyle w:val="Hyperlink"/>
                <w:noProof/>
              </w:rPr>
              <w:t>Australia’s Climate Finance 2020-2025</w:t>
            </w:r>
            <w:r>
              <w:rPr>
                <w:noProof/>
                <w:webHidden/>
              </w:rPr>
              <w:tab/>
            </w:r>
            <w:r>
              <w:rPr>
                <w:noProof/>
                <w:webHidden/>
              </w:rPr>
              <w:fldChar w:fldCharType="begin"/>
            </w:r>
            <w:r>
              <w:rPr>
                <w:noProof/>
                <w:webHidden/>
              </w:rPr>
              <w:instrText xml:space="preserve"> PAGEREF _Toc224653931 \h </w:instrText>
            </w:r>
            <w:r>
              <w:rPr>
                <w:noProof/>
                <w:webHidden/>
              </w:rPr>
            </w:r>
            <w:r>
              <w:rPr>
                <w:noProof/>
                <w:webHidden/>
              </w:rPr>
              <w:fldChar w:fldCharType="separate"/>
            </w:r>
            <w:r>
              <w:rPr>
                <w:noProof/>
                <w:webHidden/>
              </w:rPr>
              <w:t>3</w:t>
            </w:r>
            <w:r>
              <w:rPr>
                <w:noProof/>
                <w:webHidden/>
              </w:rPr>
              <w:fldChar w:fldCharType="end"/>
            </w:r>
          </w:hyperlink>
        </w:p>
        <w:p w14:paraId="6F1DF2F8" w14:textId="549895B2" w:rsidR="00A91A0F" w:rsidRDefault="00A91A0F">
          <w:pPr>
            <w:pStyle w:val="TOC2"/>
            <w:tabs>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24653932" w:history="1">
            <w:r w:rsidRPr="004B1EA8">
              <w:rPr>
                <w:rStyle w:val="Hyperlink"/>
                <w:noProof/>
              </w:rPr>
              <w:t>Climate finance</w:t>
            </w:r>
            <w:r>
              <w:rPr>
                <w:noProof/>
                <w:webHidden/>
              </w:rPr>
              <w:tab/>
            </w:r>
            <w:r>
              <w:rPr>
                <w:noProof/>
                <w:webHidden/>
              </w:rPr>
              <w:fldChar w:fldCharType="begin"/>
            </w:r>
            <w:r>
              <w:rPr>
                <w:noProof/>
                <w:webHidden/>
              </w:rPr>
              <w:instrText xml:space="preserve"> PAGEREF _Toc224653932 \h </w:instrText>
            </w:r>
            <w:r>
              <w:rPr>
                <w:noProof/>
                <w:webHidden/>
              </w:rPr>
            </w:r>
            <w:r>
              <w:rPr>
                <w:noProof/>
                <w:webHidden/>
              </w:rPr>
              <w:fldChar w:fldCharType="separate"/>
            </w:r>
            <w:r>
              <w:rPr>
                <w:noProof/>
                <w:webHidden/>
              </w:rPr>
              <w:t>3</w:t>
            </w:r>
            <w:r>
              <w:rPr>
                <w:noProof/>
                <w:webHidden/>
              </w:rPr>
              <w:fldChar w:fldCharType="end"/>
            </w:r>
          </w:hyperlink>
        </w:p>
        <w:p w14:paraId="6AFF096E" w14:textId="1486C205" w:rsidR="00A91A0F" w:rsidRDefault="00A91A0F">
          <w:pPr>
            <w:pStyle w:val="TOC3"/>
            <w:tabs>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24653933" w:history="1">
            <w:r w:rsidRPr="004B1EA8">
              <w:rPr>
                <w:rStyle w:val="Hyperlink"/>
                <w:noProof/>
              </w:rPr>
              <w:t>Australia’s annual climate finance actuals by funding modality 2020–2025*</w:t>
            </w:r>
            <w:r>
              <w:rPr>
                <w:noProof/>
                <w:webHidden/>
              </w:rPr>
              <w:tab/>
            </w:r>
            <w:r>
              <w:rPr>
                <w:noProof/>
                <w:webHidden/>
              </w:rPr>
              <w:fldChar w:fldCharType="begin"/>
            </w:r>
            <w:r>
              <w:rPr>
                <w:noProof/>
                <w:webHidden/>
              </w:rPr>
              <w:instrText xml:space="preserve"> PAGEREF _Toc224653933 \h </w:instrText>
            </w:r>
            <w:r>
              <w:rPr>
                <w:noProof/>
                <w:webHidden/>
              </w:rPr>
            </w:r>
            <w:r>
              <w:rPr>
                <w:noProof/>
                <w:webHidden/>
              </w:rPr>
              <w:fldChar w:fldCharType="separate"/>
            </w:r>
            <w:r>
              <w:rPr>
                <w:noProof/>
                <w:webHidden/>
              </w:rPr>
              <w:t>3</w:t>
            </w:r>
            <w:r>
              <w:rPr>
                <w:noProof/>
                <w:webHidden/>
              </w:rPr>
              <w:fldChar w:fldCharType="end"/>
            </w:r>
          </w:hyperlink>
        </w:p>
        <w:p w14:paraId="5519AC2F" w14:textId="47AAA131" w:rsidR="00A91A0F" w:rsidRDefault="00A91A0F">
          <w:pPr>
            <w:pStyle w:val="TOC3"/>
            <w:tabs>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24653934" w:history="1">
            <w:r w:rsidRPr="004B1EA8">
              <w:rPr>
                <w:rStyle w:val="Hyperlink"/>
                <w:noProof/>
              </w:rPr>
              <w:t>Australia’s total climate finance by geographic region 2020–2025</w:t>
            </w:r>
            <w:r>
              <w:rPr>
                <w:noProof/>
                <w:webHidden/>
              </w:rPr>
              <w:tab/>
            </w:r>
            <w:r>
              <w:rPr>
                <w:noProof/>
                <w:webHidden/>
              </w:rPr>
              <w:fldChar w:fldCharType="begin"/>
            </w:r>
            <w:r>
              <w:rPr>
                <w:noProof/>
                <w:webHidden/>
              </w:rPr>
              <w:instrText xml:space="preserve"> PAGEREF _Toc224653934 \h </w:instrText>
            </w:r>
            <w:r>
              <w:rPr>
                <w:noProof/>
                <w:webHidden/>
              </w:rPr>
            </w:r>
            <w:r>
              <w:rPr>
                <w:noProof/>
                <w:webHidden/>
              </w:rPr>
              <w:fldChar w:fldCharType="separate"/>
            </w:r>
            <w:r>
              <w:rPr>
                <w:noProof/>
                <w:webHidden/>
              </w:rPr>
              <w:t>4</w:t>
            </w:r>
            <w:r>
              <w:rPr>
                <w:noProof/>
                <w:webHidden/>
              </w:rPr>
              <w:fldChar w:fldCharType="end"/>
            </w:r>
          </w:hyperlink>
        </w:p>
        <w:p w14:paraId="54EF5E37" w14:textId="4FE6C09C" w:rsidR="00A91A0F" w:rsidRDefault="00A91A0F">
          <w:pPr>
            <w:pStyle w:val="TOC2"/>
            <w:tabs>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24653935" w:history="1">
            <w:r w:rsidRPr="004B1EA8">
              <w:rPr>
                <w:rStyle w:val="Hyperlink"/>
                <w:noProof/>
              </w:rPr>
              <w:t>Pacific</w:t>
            </w:r>
            <w:r>
              <w:rPr>
                <w:noProof/>
                <w:webHidden/>
              </w:rPr>
              <w:tab/>
            </w:r>
            <w:r>
              <w:rPr>
                <w:noProof/>
                <w:webHidden/>
              </w:rPr>
              <w:fldChar w:fldCharType="begin"/>
            </w:r>
            <w:r>
              <w:rPr>
                <w:noProof/>
                <w:webHidden/>
              </w:rPr>
              <w:instrText xml:space="preserve"> PAGEREF _Toc224653935 \h </w:instrText>
            </w:r>
            <w:r>
              <w:rPr>
                <w:noProof/>
                <w:webHidden/>
              </w:rPr>
            </w:r>
            <w:r>
              <w:rPr>
                <w:noProof/>
                <w:webHidden/>
              </w:rPr>
              <w:fldChar w:fldCharType="separate"/>
            </w:r>
            <w:r>
              <w:rPr>
                <w:noProof/>
                <w:webHidden/>
              </w:rPr>
              <w:t>5</w:t>
            </w:r>
            <w:r>
              <w:rPr>
                <w:noProof/>
                <w:webHidden/>
              </w:rPr>
              <w:fldChar w:fldCharType="end"/>
            </w:r>
          </w:hyperlink>
        </w:p>
        <w:p w14:paraId="7DFE4755" w14:textId="2F034E93" w:rsidR="00A91A0F" w:rsidRDefault="00A91A0F">
          <w:pPr>
            <w:pStyle w:val="TOC3"/>
            <w:tabs>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24653936" w:history="1">
            <w:r w:rsidRPr="004B1EA8">
              <w:rPr>
                <w:rStyle w:val="Hyperlink"/>
                <w:noProof/>
              </w:rPr>
              <w:t>Australia’s climate finance to the Pacific 2020–2025</w:t>
            </w:r>
            <w:r>
              <w:rPr>
                <w:noProof/>
                <w:webHidden/>
              </w:rPr>
              <w:tab/>
            </w:r>
            <w:r>
              <w:rPr>
                <w:noProof/>
                <w:webHidden/>
              </w:rPr>
              <w:fldChar w:fldCharType="begin"/>
            </w:r>
            <w:r>
              <w:rPr>
                <w:noProof/>
                <w:webHidden/>
              </w:rPr>
              <w:instrText xml:space="preserve"> PAGEREF _Toc224653936 \h </w:instrText>
            </w:r>
            <w:r>
              <w:rPr>
                <w:noProof/>
                <w:webHidden/>
              </w:rPr>
            </w:r>
            <w:r>
              <w:rPr>
                <w:noProof/>
                <w:webHidden/>
              </w:rPr>
              <w:fldChar w:fldCharType="separate"/>
            </w:r>
            <w:r>
              <w:rPr>
                <w:noProof/>
                <w:webHidden/>
              </w:rPr>
              <w:t>5</w:t>
            </w:r>
            <w:r>
              <w:rPr>
                <w:noProof/>
                <w:webHidden/>
              </w:rPr>
              <w:fldChar w:fldCharType="end"/>
            </w:r>
          </w:hyperlink>
        </w:p>
        <w:p w14:paraId="1F03828A" w14:textId="2EBDE990" w:rsidR="00A91A0F" w:rsidRDefault="00A91A0F">
          <w:pPr>
            <w:pStyle w:val="TOC2"/>
            <w:tabs>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24653937" w:history="1">
            <w:r w:rsidRPr="004B1EA8">
              <w:rPr>
                <w:rStyle w:val="Hyperlink"/>
                <w:noProof/>
              </w:rPr>
              <w:t>Southeast Asia</w:t>
            </w:r>
            <w:r>
              <w:rPr>
                <w:noProof/>
                <w:webHidden/>
              </w:rPr>
              <w:tab/>
            </w:r>
            <w:r>
              <w:rPr>
                <w:noProof/>
                <w:webHidden/>
              </w:rPr>
              <w:fldChar w:fldCharType="begin"/>
            </w:r>
            <w:r>
              <w:rPr>
                <w:noProof/>
                <w:webHidden/>
              </w:rPr>
              <w:instrText xml:space="preserve"> PAGEREF _Toc224653937 \h </w:instrText>
            </w:r>
            <w:r>
              <w:rPr>
                <w:noProof/>
                <w:webHidden/>
              </w:rPr>
            </w:r>
            <w:r>
              <w:rPr>
                <w:noProof/>
                <w:webHidden/>
              </w:rPr>
              <w:fldChar w:fldCharType="separate"/>
            </w:r>
            <w:r>
              <w:rPr>
                <w:noProof/>
                <w:webHidden/>
              </w:rPr>
              <w:t>7</w:t>
            </w:r>
            <w:r>
              <w:rPr>
                <w:noProof/>
                <w:webHidden/>
              </w:rPr>
              <w:fldChar w:fldCharType="end"/>
            </w:r>
          </w:hyperlink>
        </w:p>
        <w:p w14:paraId="64B3A8F2" w14:textId="4DAE4305" w:rsidR="00A91A0F" w:rsidRDefault="00A91A0F">
          <w:pPr>
            <w:pStyle w:val="TOC3"/>
            <w:tabs>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24653938" w:history="1">
            <w:r w:rsidRPr="004B1EA8">
              <w:rPr>
                <w:rStyle w:val="Hyperlink"/>
                <w:noProof/>
              </w:rPr>
              <w:t>Australia’s climate finance to Southeast Asia 2020–2025</w:t>
            </w:r>
            <w:r>
              <w:rPr>
                <w:noProof/>
                <w:webHidden/>
              </w:rPr>
              <w:tab/>
            </w:r>
            <w:r>
              <w:rPr>
                <w:noProof/>
                <w:webHidden/>
              </w:rPr>
              <w:fldChar w:fldCharType="begin"/>
            </w:r>
            <w:r>
              <w:rPr>
                <w:noProof/>
                <w:webHidden/>
              </w:rPr>
              <w:instrText xml:space="preserve"> PAGEREF _Toc224653938 \h </w:instrText>
            </w:r>
            <w:r>
              <w:rPr>
                <w:noProof/>
                <w:webHidden/>
              </w:rPr>
            </w:r>
            <w:r>
              <w:rPr>
                <w:noProof/>
                <w:webHidden/>
              </w:rPr>
              <w:fldChar w:fldCharType="separate"/>
            </w:r>
            <w:r>
              <w:rPr>
                <w:noProof/>
                <w:webHidden/>
              </w:rPr>
              <w:t>7</w:t>
            </w:r>
            <w:r>
              <w:rPr>
                <w:noProof/>
                <w:webHidden/>
              </w:rPr>
              <w:fldChar w:fldCharType="end"/>
            </w:r>
          </w:hyperlink>
        </w:p>
        <w:p w14:paraId="5B652A53" w14:textId="142D84B1" w:rsidR="00A91A0F" w:rsidRDefault="00A91A0F">
          <w:pPr>
            <w:pStyle w:val="TOC2"/>
            <w:tabs>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24653939" w:history="1">
            <w:r w:rsidRPr="004B1EA8">
              <w:rPr>
                <w:rStyle w:val="Hyperlink"/>
                <w:noProof/>
                <w:lang w:val="en-US"/>
              </w:rPr>
              <w:t>Global</w:t>
            </w:r>
            <w:r>
              <w:rPr>
                <w:noProof/>
                <w:webHidden/>
              </w:rPr>
              <w:tab/>
            </w:r>
            <w:r>
              <w:rPr>
                <w:noProof/>
                <w:webHidden/>
              </w:rPr>
              <w:fldChar w:fldCharType="begin"/>
            </w:r>
            <w:r>
              <w:rPr>
                <w:noProof/>
                <w:webHidden/>
              </w:rPr>
              <w:instrText xml:space="preserve"> PAGEREF _Toc224653939 \h </w:instrText>
            </w:r>
            <w:r>
              <w:rPr>
                <w:noProof/>
                <w:webHidden/>
              </w:rPr>
            </w:r>
            <w:r>
              <w:rPr>
                <w:noProof/>
                <w:webHidden/>
              </w:rPr>
              <w:fldChar w:fldCharType="separate"/>
            </w:r>
            <w:r>
              <w:rPr>
                <w:noProof/>
                <w:webHidden/>
              </w:rPr>
              <w:t>8</w:t>
            </w:r>
            <w:r>
              <w:rPr>
                <w:noProof/>
                <w:webHidden/>
              </w:rPr>
              <w:fldChar w:fldCharType="end"/>
            </w:r>
          </w:hyperlink>
        </w:p>
        <w:p w14:paraId="531586E5" w14:textId="3A80EC69" w:rsidR="00A91A0F" w:rsidRDefault="00A91A0F">
          <w:pPr>
            <w:pStyle w:val="TOC3"/>
            <w:tabs>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24653940" w:history="1">
            <w:r w:rsidRPr="004B1EA8">
              <w:rPr>
                <w:rStyle w:val="Hyperlink"/>
                <w:noProof/>
                <w:lang w:val="en-US"/>
              </w:rPr>
              <w:t>Multilateral climate funds</w:t>
            </w:r>
            <w:r>
              <w:rPr>
                <w:noProof/>
                <w:webHidden/>
              </w:rPr>
              <w:tab/>
            </w:r>
            <w:r>
              <w:rPr>
                <w:noProof/>
                <w:webHidden/>
              </w:rPr>
              <w:fldChar w:fldCharType="begin"/>
            </w:r>
            <w:r>
              <w:rPr>
                <w:noProof/>
                <w:webHidden/>
              </w:rPr>
              <w:instrText xml:space="preserve"> PAGEREF _Toc224653940 \h </w:instrText>
            </w:r>
            <w:r>
              <w:rPr>
                <w:noProof/>
                <w:webHidden/>
              </w:rPr>
            </w:r>
            <w:r>
              <w:rPr>
                <w:noProof/>
                <w:webHidden/>
              </w:rPr>
              <w:fldChar w:fldCharType="separate"/>
            </w:r>
            <w:r>
              <w:rPr>
                <w:noProof/>
                <w:webHidden/>
              </w:rPr>
              <w:t>8</w:t>
            </w:r>
            <w:r>
              <w:rPr>
                <w:noProof/>
                <w:webHidden/>
              </w:rPr>
              <w:fldChar w:fldCharType="end"/>
            </w:r>
          </w:hyperlink>
        </w:p>
        <w:p w14:paraId="7BE4E9BC" w14:textId="6586B270" w:rsidR="00A91A0F" w:rsidRDefault="00A91A0F">
          <w:pPr>
            <w:pStyle w:val="TOC3"/>
            <w:tabs>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24653941" w:history="1">
            <w:r w:rsidRPr="004B1EA8">
              <w:rPr>
                <w:rStyle w:val="Hyperlink"/>
                <w:noProof/>
              </w:rPr>
              <w:t>International financial architecture and MDB reform</w:t>
            </w:r>
            <w:r>
              <w:rPr>
                <w:noProof/>
                <w:webHidden/>
              </w:rPr>
              <w:tab/>
            </w:r>
            <w:r>
              <w:rPr>
                <w:noProof/>
                <w:webHidden/>
              </w:rPr>
              <w:fldChar w:fldCharType="begin"/>
            </w:r>
            <w:r>
              <w:rPr>
                <w:noProof/>
                <w:webHidden/>
              </w:rPr>
              <w:instrText xml:space="preserve"> PAGEREF _Toc224653941 \h </w:instrText>
            </w:r>
            <w:r>
              <w:rPr>
                <w:noProof/>
                <w:webHidden/>
              </w:rPr>
            </w:r>
            <w:r>
              <w:rPr>
                <w:noProof/>
                <w:webHidden/>
              </w:rPr>
              <w:fldChar w:fldCharType="separate"/>
            </w:r>
            <w:r>
              <w:rPr>
                <w:noProof/>
                <w:webHidden/>
              </w:rPr>
              <w:t>8</w:t>
            </w:r>
            <w:r>
              <w:rPr>
                <w:noProof/>
                <w:webHidden/>
              </w:rPr>
              <w:fldChar w:fldCharType="end"/>
            </w:r>
          </w:hyperlink>
        </w:p>
        <w:p w14:paraId="17E7DCBE" w14:textId="562FEE42" w:rsidR="00A91A0F" w:rsidRDefault="00A91A0F">
          <w:pPr>
            <w:pStyle w:val="TOC2"/>
            <w:tabs>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24653942" w:history="1">
            <w:r w:rsidRPr="004B1EA8">
              <w:rPr>
                <w:rStyle w:val="Hyperlink"/>
                <w:noProof/>
              </w:rPr>
              <w:t>Integrating climate change into our development program</w:t>
            </w:r>
            <w:r>
              <w:rPr>
                <w:noProof/>
                <w:webHidden/>
              </w:rPr>
              <w:tab/>
            </w:r>
            <w:r>
              <w:rPr>
                <w:noProof/>
                <w:webHidden/>
              </w:rPr>
              <w:fldChar w:fldCharType="begin"/>
            </w:r>
            <w:r>
              <w:rPr>
                <w:noProof/>
                <w:webHidden/>
              </w:rPr>
              <w:instrText xml:space="preserve"> PAGEREF _Toc224653942 \h </w:instrText>
            </w:r>
            <w:r>
              <w:rPr>
                <w:noProof/>
                <w:webHidden/>
              </w:rPr>
            </w:r>
            <w:r>
              <w:rPr>
                <w:noProof/>
                <w:webHidden/>
              </w:rPr>
              <w:fldChar w:fldCharType="separate"/>
            </w:r>
            <w:r>
              <w:rPr>
                <w:noProof/>
                <w:webHidden/>
              </w:rPr>
              <w:t>9</w:t>
            </w:r>
            <w:r>
              <w:rPr>
                <w:noProof/>
                <w:webHidden/>
              </w:rPr>
              <w:fldChar w:fldCharType="end"/>
            </w:r>
          </w:hyperlink>
        </w:p>
        <w:p w14:paraId="350C19D9" w14:textId="75588DA0" w:rsidR="00A91A0F" w:rsidRDefault="00A91A0F">
          <w:pPr>
            <w:pStyle w:val="TOC3"/>
            <w:tabs>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24653943" w:history="1">
            <w:r w:rsidRPr="004B1EA8">
              <w:rPr>
                <w:rStyle w:val="Hyperlink"/>
                <w:noProof/>
              </w:rPr>
              <w:t>Australia’s new programming in 2024–25 by climate objective*</w:t>
            </w:r>
            <w:r>
              <w:rPr>
                <w:noProof/>
                <w:webHidden/>
              </w:rPr>
              <w:tab/>
            </w:r>
            <w:r>
              <w:rPr>
                <w:noProof/>
                <w:webHidden/>
              </w:rPr>
              <w:fldChar w:fldCharType="begin"/>
            </w:r>
            <w:r>
              <w:rPr>
                <w:noProof/>
                <w:webHidden/>
              </w:rPr>
              <w:instrText xml:space="preserve"> PAGEREF _Toc224653943 \h </w:instrText>
            </w:r>
            <w:r>
              <w:rPr>
                <w:noProof/>
                <w:webHidden/>
              </w:rPr>
            </w:r>
            <w:r>
              <w:rPr>
                <w:noProof/>
                <w:webHidden/>
              </w:rPr>
              <w:fldChar w:fldCharType="separate"/>
            </w:r>
            <w:r>
              <w:rPr>
                <w:noProof/>
                <w:webHidden/>
              </w:rPr>
              <w:t>9</w:t>
            </w:r>
            <w:r>
              <w:rPr>
                <w:noProof/>
                <w:webHidden/>
              </w:rPr>
              <w:fldChar w:fldCharType="end"/>
            </w:r>
          </w:hyperlink>
        </w:p>
        <w:p w14:paraId="2C4875D8" w14:textId="29D6B42E" w:rsidR="00A91A0F" w:rsidRDefault="00A91A0F">
          <w:pPr>
            <w:pStyle w:val="TOC2"/>
            <w:tabs>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24653944" w:history="1">
            <w:r w:rsidRPr="004B1EA8">
              <w:rPr>
                <w:rStyle w:val="Hyperlink"/>
                <w:noProof/>
              </w:rPr>
              <w:t>Australia’s climate finance statistics 2020–2025</w:t>
            </w:r>
            <w:r>
              <w:rPr>
                <w:noProof/>
                <w:webHidden/>
              </w:rPr>
              <w:tab/>
            </w:r>
            <w:r>
              <w:rPr>
                <w:noProof/>
                <w:webHidden/>
              </w:rPr>
              <w:fldChar w:fldCharType="begin"/>
            </w:r>
            <w:r>
              <w:rPr>
                <w:noProof/>
                <w:webHidden/>
              </w:rPr>
              <w:instrText xml:space="preserve"> PAGEREF _Toc224653944 \h </w:instrText>
            </w:r>
            <w:r>
              <w:rPr>
                <w:noProof/>
                <w:webHidden/>
              </w:rPr>
            </w:r>
            <w:r>
              <w:rPr>
                <w:noProof/>
                <w:webHidden/>
              </w:rPr>
              <w:fldChar w:fldCharType="separate"/>
            </w:r>
            <w:r>
              <w:rPr>
                <w:noProof/>
                <w:webHidden/>
              </w:rPr>
              <w:t>10</w:t>
            </w:r>
            <w:r>
              <w:rPr>
                <w:noProof/>
                <w:webHidden/>
              </w:rPr>
              <w:fldChar w:fldCharType="end"/>
            </w:r>
          </w:hyperlink>
        </w:p>
        <w:p w14:paraId="72DDBB67" w14:textId="03AC5E6E" w:rsidR="00A91A0F" w:rsidRDefault="00A91A0F">
          <w:pPr>
            <w:pStyle w:val="TOC3"/>
            <w:tabs>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24653945" w:history="1">
            <w:r w:rsidRPr="004B1EA8">
              <w:rPr>
                <w:rStyle w:val="Hyperlink"/>
                <w:noProof/>
              </w:rPr>
              <w:t>Australia’s climate finance provided and mobilised 2020–2025</w:t>
            </w:r>
            <w:r>
              <w:rPr>
                <w:noProof/>
                <w:webHidden/>
              </w:rPr>
              <w:tab/>
            </w:r>
            <w:r>
              <w:rPr>
                <w:noProof/>
                <w:webHidden/>
              </w:rPr>
              <w:fldChar w:fldCharType="begin"/>
            </w:r>
            <w:r>
              <w:rPr>
                <w:noProof/>
                <w:webHidden/>
              </w:rPr>
              <w:instrText xml:space="preserve"> PAGEREF _Toc224653945 \h </w:instrText>
            </w:r>
            <w:r>
              <w:rPr>
                <w:noProof/>
                <w:webHidden/>
              </w:rPr>
            </w:r>
            <w:r>
              <w:rPr>
                <w:noProof/>
                <w:webHidden/>
              </w:rPr>
              <w:fldChar w:fldCharType="separate"/>
            </w:r>
            <w:r>
              <w:rPr>
                <w:noProof/>
                <w:webHidden/>
              </w:rPr>
              <w:t>10</w:t>
            </w:r>
            <w:r>
              <w:rPr>
                <w:noProof/>
                <w:webHidden/>
              </w:rPr>
              <w:fldChar w:fldCharType="end"/>
            </w:r>
          </w:hyperlink>
        </w:p>
        <w:p w14:paraId="3F6B59C0" w14:textId="102E12B3" w:rsidR="00A91A0F" w:rsidRDefault="00A91A0F">
          <w:pPr>
            <w:pStyle w:val="TOC3"/>
            <w:tabs>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24653946" w:history="1">
            <w:r w:rsidRPr="004B1EA8">
              <w:rPr>
                <w:rStyle w:val="Hyperlink"/>
                <w:noProof/>
              </w:rPr>
              <w:t>Australia’s climate finance provided and mobilised to the Pacific 2020–2025*</w:t>
            </w:r>
            <w:r>
              <w:rPr>
                <w:noProof/>
                <w:webHidden/>
              </w:rPr>
              <w:tab/>
            </w:r>
            <w:r>
              <w:rPr>
                <w:noProof/>
                <w:webHidden/>
              </w:rPr>
              <w:fldChar w:fldCharType="begin"/>
            </w:r>
            <w:r>
              <w:rPr>
                <w:noProof/>
                <w:webHidden/>
              </w:rPr>
              <w:instrText xml:space="preserve"> PAGEREF _Toc224653946 \h </w:instrText>
            </w:r>
            <w:r>
              <w:rPr>
                <w:noProof/>
                <w:webHidden/>
              </w:rPr>
            </w:r>
            <w:r>
              <w:rPr>
                <w:noProof/>
                <w:webHidden/>
              </w:rPr>
              <w:fldChar w:fldCharType="separate"/>
            </w:r>
            <w:r>
              <w:rPr>
                <w:noProof/>
                <w:webHidden/>
              </w:rPr>
              <w:t>10</w:t>
            </w:r>
            <w:r>
              <w:rPr>
                <w:noProof/>
                <w:webHidden/>
              </w:rPr>
              <w:fldChar w:fldCharType="end"/>
            </w:r>
          </w:hyperlink>
        </w:p>
        <w:p w14:paraId="64E658A4" w14:textId="145EF3FE" w:rsidR="00261B06" w:rsidRDefault="00261B06" w:rsidP="00261B06">
          <w:pPr>
            <w:rPr>
              <w:b/>
              <w:bCs/>
              <w:noProof/>
            </w:rPr>
          </w:pPr>
          <w:r>
            <w:rPr>
              <w:b/>
              <w:bCs/>
              <w:noProof/>
            </w:rPr>
            <w:fldChar w:fldCharType="end"/>
          </w:r>
        </w:p>
      </w:sdtContent>
    </w:sdt>
    <w:p w14:paraId="52F02546" w14:textId="32759BCA" w:rsidR="00261B06" w:rsidRPr="00261B06" w:rsidRDefault="00261B06" w:rsidP="00261B06">
      <w:r>
        <w:br w:type="page"/>
      </w:r>
    </w:p>
    <w:p w14:paraId="7688C79C" w14:textId="63E0F3CB" w:rsidR="0070505E" w:rsidRDefault="3EB174DF" w:rsidP="4019DB22">
      <w:pPr>
        <w:pStyle w:val="H2-Heading2"/>
      </w:pPr>
      <w:bookmarkStart w:id="4" w:name="_Toc224653931"/>
      <w:r>
        <w:lastRenderedPageBreak/>
        <w:t>Australia’s Climate Finance</w:t>
      </w:r>
      <w:bookmarkEnd w:id="4"/>
    </w:p>
    <w:p w14:paraId="74AEB8CB" w14:textId="4A1D4102" w:rsidR="001B6B57" w:rsidRDefault="001B6B57" w:rsidP="00630143">
      <w:pPr>
        <w:pStyle w:val="BodyCopy"/>
      </w:pPr>
      <w:r>
        <w:t>The Australian Government is taking strong action on climate change at home and internationally, because no one country can solve these problems alone. Australia delivered $3.9 billion in climate finance from 2020</w:t>
      </w:r>
      <w:r w:rsidR="00386D70">
        <w:t xml:space="preserve"> to </w:t>
      </w:r>
      <w:r>
        <w:t>2025.</w:t>
      </w:r>
    </w:p>
    <w:p w14:paraId="6DF44C7D" w14:textId="17575387" w:rsidR="001B6B57" w:rsidRDefault="001B6B57" w:rsidP="00630143">
      <w:pPr>
        <w:pStyle w:val="BodyCopy"/>
      </w:pPr>
      <w:r>
        <w:t>Climate change remains a foremost concern of our Indo</w:t>
      </w:r>
      <w:r>
        <w:rPr>
          <w:rFonts w:ascii="Cambria Math" w:hAnsi="Cambria Math" w:cs="Cambria Math"/>
        </w:rPr>
        <w:t>‑</w:t>
      </w:r>
      <w:r>
        <w:t>Pacific partners and is the single greatest threat to the livelihoods, security, and well</w:t>
      </w:r>
      <w:r>
        <w:rPr>
          <w:rFonts w:ascii="Cambria Math" w:hAnsi="Cambria Math" w:cs="Cambria Math"/>
        </w:rPr>
        <w:t>‑</w:t>
      </w:r>
      <w:r>
        <w:t>being of Pacific peoples. Climate change is a threat multiplier in exacerbating resource scarcity – causing water and energy shortages, disrupting trade and creating economic stress, increasing risks of pandemics and displacement, and reversing hard won development gains.</w:t>
      </w:r>
    </w:p>
    <w:p w14:paraId="50274448" w14:textId="77777777" w:rsidR="001B6B57" w:rsidRDefault="001B6B57" w:rsidP="00630143">
      <w:pPr>
        <w:pStyle w:val="BodyCopy"/>
      </w:pPr>
      <w:r>
        <w:t>We have listened to the Pacific's call for urgent action and are working closely together to address the climate emergency. We met our commitment to provide $1.3 billion climate finance to the Pacific, the majority for adaptation.</w:t>
      </w:r>
    </w:p>
    <w:p w14:paraId="34BAD18B" w14:textId="33F7AE1C" w:rsidR="00674CC9" w:rsidRDefault="001B6B57" w:rsidP="00630143">
      <w:pPr>
        <w:pStyle w:val="BodyCopy"/>
      </w:pPr>
      <w:r>
        <w:t>In 2024–25, Australia’s investments improved adaptation to climate change and resilience to disasters for over 2.8 million people. Thirty</w:t>
      </w:r>
      <w:r>
        <w:rPr>
          <w:rFonts w:ascii="Cambria Math" w:hAnsi="Cambria Math" w:cs="Cambria Math"/>
        </w:rPr>
        <w:t>‑</w:t>
      </w:r>
      <w:r>
        <w:t>five investments valued over $508 million contributed to low</w:t>
      </w:r>
      <w:r>
        <w:rPr>
          <w:rFonts w:ascii="Cambria Math" w:hAnsi="Cambria Math" w:cs="Cambria Math"/>
        </w:rPr>
        <w:t>‑</w:t>
      </w:r>
      <w:r>
        <w:t xml:space="preserve">emissions development pathways or supported mitigation activities; and 64 investments </w:t>
      </w:r>
      <w:proofErr w:type="spellStart"/>
      <w:r>
        <w:t>totaling</w:t>
      </w:r>
      <w:proofErr w:type="spellEnd"/>
      <w:r>
        <w:t xml:space="preserve"> $502 million are improving climate change adaptation and disaster resilience.</w:t>
      </w:r>
    </w:p>
    <w:p w14:paraId="00F23421" w14:textId="13CE863F" w:rsidR="00630143" w:rsidRPr="00630143" w:rsidRDefault="00630143" w:rsidP="00630143">
      <w:pPr>
        <w:pStyle w:val="H2-Heading2"/>
      </w:pPr>
      <w:bookmarkStart w:id="5" w:name="_Toc224653932"/>
      <w:r w:rsidRPr="00630143">
        <w:t>Climate finance</w:t>
      </w:r>
      <w:bookmarkEnd w:id="5"/>
      <w:r w:rsidRPr="00630143">
        <w:t xml:space="preserve"> </w:t>
      </w:r>
    </w:p>
    <w:p w14:paraId="48E0C8EF" w14:textId="77777777" w:rsidR="00B90F7A" w:rsidRDefault="00B90F7A" w:rsidP="44A6489F">
      <w:pPr>
        <w:pStyle w:val="BodyCopyBullets"/>
      </w:pPr>
      <w:r w:rsidRPr="00B90F7A">
        <w:t>$3.9 billion climate finance provided between 2020–25</w:t>
      </w:r>
    </w:p>
    <w:p w14:paraId="6DFF37A1" w14:textId="7DAF4B18" w:rsidR="00410472" w:rsidRPr="00036955" w:rsidRDefault="00410472" w:rsidP="44A6489F">
      <w:pPr>
        <w:pStyle w:val="BodyCopyBullets"/>
      </w:pPr>
      <w:r w:rsidRPr="00036955">
        <w:t>79% delivered through Official Development Assistance</w:t>
      </w:r>
    </w:p>
    <w:p w14:paraId="73061731" w14:textId="77777777" w:rsidR="00410472" w:rsidRPr="00036955" w:rsidRDefault="00410472" w:rsidP="44A6489F">
      <w:pPr>
        <w:pStyle w:val="BodyCopyBullets"/>
      </w:pPr>
      <w:r w:rsidRPr="00036955">
        <w:t>59% delivered to support countries adapt to climate change</w:t>
      </w:r>
    </w:p>
    <w:p w14:paraId="57DF6442" w14:textId="77777777" w:rsidR="00113A4B" w:rsidRDefault="00113A4B" w:rsidP="00630143">
      <w:pPr>
        <w:pStyle w:val="BodyCopy"/>
      </w:pPr>
      <w:r w:rsidRPr="00113A4B">
        <w:t>From 2020 to 2025, Australia delivered $3.9 billion in climate finance.</w:t>
      </w:r>
    </w:p>
    <w:p w14:paraId="68E513CA" w14:textId="5841301B" w:rsidR="00630143" w:rsidRPr="00630143" w:rsidRDefault="00630143" w:rsidP="00630143">
      <w:pPr>
        <w:pStyle w:val="BodyCopy"/>
      </w:pPr>
      <w:r w:rsidRPr="00630143">
        <w:t xml:space="preserve">Australia provides high-quality and effective climate finance that responds to the needs of our development partners. We use a range of mechanisms, and work through trusted partners, to maximise impact and scale. </w:t>
      </w:r>
    </w:p>
    <w:p w14:paraId="3623BC3A" w14:textId="09720E86" w:rsidR="00F61338" w:rsidRDefault="00630143" w:rsidP="00F61338">
      <w:pPr>
        <w:pStyle w:val="BodyCopy"/>
      </w:pPr>
      <w:r w:rsidRPr="00630143">
        <w:t>In the Pacific, we prioritise grant-based funding for adaptation,</w:t>
      </w:r>
      <w:r w:rsidR="00386D70">
        <w:t xml:space="preserve"> and</w:t>
      </w:r>
      <w:r w:rsidRPr="00630143">
        <w:t xml:space="preserve"> we leverage additional finance to support mitigation efforts in Southeast Asia. </w:t>
      </w:r>
    </w:p>
    <w:p w14:paraId="00A2C05A" w14:textId="6BBC6962" w:rsidR="00BD11B1" w:rsidRDefault="00BD11B1" w:rsidP="00F61338">
      <w:pPr>
        <w:pStyle w:val="H3-Heading3"/>
      </w:pPr>
      <w:bookmarkStart w:id="6" w:name="_Toc224653933"/>
      <w:r w:rsidRPr="00BD11B1">
        <w:t>Australia’s annual climate finance actuals by funding modality 2020–2025*</w:t>
      </w:r>
      <w:bookmarkEnd w:id="6"/>
    </w:p>
    <w:p w14:paraId="2ECEB198" w14:textId="18D4CAFF" w:rsidR="00E56E37" w:rsidRDefault="002D10CF" w:rsidP="00E56E37">
      <w:pPr>
        <w:pStyle w:val="BodyCopy"/>
      </w:pPr>
      <w:r>
        <w:rPr>
          <w:noProof/>
        </w:rPr>
        <w:drawing>
          <wp:inline distT="0" distB="0" distL="0" distR="0" wp14:anchorId="02862121" wp14:editId="01FDE24D">
            <wp:extent cx="3303644" cy="2880000"/>
            <wp:effectExtent l="0" t="0" r="0" b="0"/>
            <wp:docPr id="464749694" name="Picture 1" descr="Vertical bar chart showing Australia’s climate finance from 2020-21 to 2024-25, with cumulative funding increasing. Funding is broken down by ODA climate finance – grants and loans (per ODA Statistical Summary, ‘Green Book; Non ODA Grants and Loans; Private Climate Finance mobilised. Total funding per year: 2020-21: $348.7million; 2021-22: $640.2 million; 2022-23: $619.1 million; 2023-24: $912.3 million; 2024-25: $1.355 billion in 202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749694" name="Picture 1" descr="Vertical bar chart showing Australia’s climate finance from 2020-21 to 2024-25, with cumulative funding increasing. Funding is broken down by ODA climate finance – grants and loans (per ODA Statistical Summary, ‘Green Book; Non ODA Grants and Loans; Private Climate Finance mobilised. Total funding per year: 2020-21: $348.7million; 2021-22: $640.2 million; 2022-23: $619.1 million; 2023-24: $912.3 million; 2024-25: $1.355 billion in 2024-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03644" cy="2880000"/>
                    </a:xfrm>
                    <a:prstGeom prst="rect">
                      <a:avLst/>
                    </a:prstGeom>
                    <a:noFill/>
                    <a:ln>
                      <a:noFill/>
                    </a:ln>
                  </pic:spPr>
                </pic:pic>
              </a:graphicData>
            </a:graphic>
          </wp:inline>
        </w:drawing>
      </w:r>
    </w:p>
    <w:p w14:paraId="3DAA2062" w14:textId="5089108D" w:rsidR="00BD11B1" w:rsidRDefault="00BD11B1" w:rsidP="007E720C">
      <w:pPr>
        <w:pStyle w:val="Footnote"/>
      </w:pPr>
      <w:r w:rsidRPr="00BD11B1">
        <w:t>*The 2024–25 total includes ODA climate finance ($918.2 million), private climate finance mobilised ($102.6 million) and non-ODA grants and loans ($335.1 million).</w:t>
      </w:r>
    </w:p>
    <w:p w14:paraId="669CFD87" w14:textId="77777777" w:rsidR="005238C7" w:rsidRDefault="00BD11B1" w:rsidP="005238C7">
      <w:pPr>
        <w:pStyle w:val="H3-Heading3"/>
      </w:pPr>
      <w:bookmarkStart w:id="7" w:name="_Toc224653934"/>
      <w:r w:rsidRPr="00BD11B1">
        <w:lastRenderedPageBreak/>
        <w:t xml:space="preserve">Australia’s total climate finance </w:t>
      </w:r>
      <w:r w:rsidR="007E720C" w:rsidRPr="00BD11B1">
        <w:t>by geographic region 2020–2025</w:t>
      </w:r>
      <w:bookmarkEnd w:id="7"/>
    </w:p>
    <w:p w14:paraId="34A52D1D" w14:textId="234814CE" w:rsidR="009139A1" w:rsidRPr="009139A1" w:rsidRDefault="00FC35BF" w:rsidP="001D441F">
      <w:pPr>
        <w:pStyle w:val="BodyCopy"/>
      </w:pPr>
      <w:r>
        <w:rPr>
          <w:noProof/>
        </w:rPr>
        <w:drawing>
          <wp:inline distT="0" distB="0" distL="0" distR="0" wp14:anchorId="6C7B9E46" wp14:editId="3AD50A71">
            <wp:extent cx="3097282" cy="2131972"/>
            <wp:effectExtent l="0" t="0" r="8255" b="1905"/>
            <wp:docPr id="1237225551" name="Picture 2" descr="Pie chart showing where Australia delivers climate finance, with the largest share to the Pacific. Breakdown: 34% Pacific Island bilateral and regional (incl PNG); 32% Other regions and multilateral contributions; 26% Southeast and East Asia; 3% Other Asian Countries; 3% South and West Asia; 2% Latin America and the Caribbean, Sub‑Saharan Africa, North Africa and the Middle Eas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225551" name="Picture 2" descr="Pie chart showing where Australia delivers climate finance, with the largest share to the Pacific. Breakdown: 34% Pacific Island bilateral and regional (incl PNG); 32% Other regions and multilateral contributions; 26% Southeast and East Asia; 3% Other Asian Countries; 3% South and West Asia; 2% Latin America and the Caribbean, Sub‑Saharan Africa, North Africa and the Middle East.&#10;"/>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3097282" cy="2131972"/>
                    </a:xfrm>
                    <a:prstGeom prst="rect">
                      <a:avLst/>
                    </a:prstGeom>
                    <a:noFill/>
                    <a:ln>
                      <a:noFill/>
                    </a:ln>
                  </pic:spPr>
                </pic:pic>
              </a:graphicData>
            </a:graphic>
          </wp:inline>
        </w:drawing>
      </w:r>
    </w:p>
    <w:p w14:paraId="4D13E802" w14:textId="5510B948" w:rsidR="00BD11B1" w:rsidRDefault="00BD11B1" w:rsidP="007E720C">
      <w:pPr>
        <w:pStyle w:val="Footnote"/>
      </w:pPr>
      <w:r w:rsidRPr="00BD11B1">
        <w:t>*Includes ODA and non-ODA grants and loans, and private finance mobilised.</w:t>
      </w:r>
    </w:p>
    <w:p w14:paraId="60CC04A5" w14:textId="7500E3D1" w:rsidR="006E1C2A" w:rsidRDefault="006E1C2A" w:rsidP="00630143">
      <w:pPr>
        <w:pStyle w:val="BodyCopy"/>
        <w:rPr>
          <w:rFonts w:asciiTheme="minorHAnsi" w:hAnsiTheme="minorHAnsi" w:cstheme="minorHAnsi"/>
          <w:sz w:val="32"/>
          <w:szCs w:val="32"/>
          <w:lang w:val="en-US"/>
        </w:rPr>
      </w:pPr>
      <w:r>
        <w:rPr>
          <w:lang w:val="en-US"/>
        </w:rPr>
        <w:br w:type="page"/>
      </w:r>
    </w:p>
    <w:p w14:paraId="38FFB33D" w14:textId="2AF627B6" w:rsidR="002368D2" w:rsidRPr="00FF3F42" w:rsidRDefault="002368D2" w:rsidP="00FF3F42">
      <w:pPr>
        <w:pStyle w:val="H2-Heading2"/>
      </w:pPr>
      <w:bookmarkStart w:id="8" w:name="_Toc224653935"/>
      <w:r w:rsidRPr="000E1773">
        <w:lastRenderedPageBreak/>
        <w:t>Pacific</w:t>
      </w:r>
      <w:bookmarkEnd w:id="8"/>
      <w:r w:rsidRPr="000E1773">
        <w:t xml:space="preserve"> </w:t>
      </w:r>
    </w:p>
    <w:p w14:paraId="7F21AC47" w14:textId="1E132B49" w:rsidR="002368D2" w:rsidRPr="00036955" w:rsidRDefault="002368D2" w:rsidP="00B754A0">
      <w:pPr>
        <w:pStyle w:val="BodyCopyBullets"/>
      </w:pPr>
      <w:r w:rsidRPr="00036955">
        <w:t xml:space="preserve">$1.3 </w:t>
      </w:r>
      <w:r w:rsidR="00FF3F42" w:rsidRPr="00036955">
        <w:t xml:space="preserve">billion </w:t>
      </w:r>
      <w:r w:rsidRPr="00036955">
        <w:t xml:space="preserve">in climate finance </w:t>
      </w:r>
    </w:p>
    <w:p w14:paraId="5B21CF44" w14:textId="51DA735D" w:rsidR="00FF3F42" w:rsidRPr="00036955" w:rsidRDefault="00FF3F42" w:rsidP="00B754A0">
      <w:pPr>
        <w:pStyle w:val="BodyCopyBullets"/>
      </w:pPr>
      <w:r w:rsidRPr="00036955">
        <w:t>96% delivered through grants</w:t>
      </w:r>
    </w:p>
    <w:p w14:paraId="30D14FDD" w14:textId="2287FE6D" w:rsidR="00FF3F42" w:rsidRPr="00036955" w:rsidRDefault="00FF3F42" w:rsidP="00B754A0">
      <w:pPr>
        <w:pStyle w:val="BodyCopyBullets"/>
      </w:pPr>
      <w:r w:rsidRPr="00036955">
        <w:t xml:space="preserve">75% towards climate adaptation </w:t>
      </w:r>
      <w:r w:rsidR="002368D2" w:rsidRPr="00036955">
        <w:t xml:space="preserve">to the Pacific </w:t>
      </w:r>
    </w:p>
    <w:p w14:paraId="450C5907" w14:textId="37361506" w:rsidR="000E1773" w:rsidRPr="000E1773" w:rsidRDefault="000E1773" w:rsidP="002368D2">
      <w:pPr>
        <w:rPr>
          <w:rFonts w:ascii="Calibri Light" w:hAnsi="Calibri Light" w:cs="Calibri Light"/>
          <w:color w:val="313E48"/>
          <w:szCs w:val="21"/>
        </w:rPr>
      </w:pPr>
      <w:r w:rsidRPr="000E1773">
        <w:rPr>
          <w:rFonts w:ascii="Calibri Light" w:hAnsi="Calibri Light" w:cs="Calibri Light"/>
          <w:color w:val="313E48"/>
          <w:szCs w:val="21"/>
        </w:rPr>
        <w:t xml:space="preserve">Australia met our commitment to provide $1.3 billion climate finance to </w:t>
      </w:r>
      <w:proofErr w:type="gramStart"/>
      <w:r w:rsidRPr="000E1773">
        <w:rPr>
          <w:rFonts w:ascii="Calibri Light" w:hAnsi="Calibri Light" w:cs="Calibri Light"/>
          <w:color w:val="313E48"/>
          <w:szCs w:val="21"/>
        </w:rPr>
        <w:t>Pacific island</w:t>
      </w:r>
      <w:proofErr w:type="gramEnd"/>
      <w:r w:rsidRPr="000E1773">
        <w:rPr>
          <w:rFonts w:ascii="Calibri Light" w:hAnsi="Calibri Light" w:cs="Calibri Light"/>
          <w:color w:val="313E48"/>
          <w:szCs w:val="21"/>
        </w:rPr>
        <w:t xml:space="preserve"> countries between 2020 and 2025. This reflects the impacts of climate change to the region and the priority we place on climate cooperation with our Pacific partners. </w:t>
      </w:r>
    </w:p>
    <w:p w14:paraId="302E48A2" w14:textId="05C04906" w:rsidR="006E1C2A" w:rsidRDefault="000E1773" w:rsidP="000E1773">
      <w:pPr>
        <w:rPr>
          <w:rFonts w:ascii="Calibri Light" w:hAnsi="Calibri Light" w:cs="Calibri Light"/>
          <w:color w:val="313E48"/>
          <w:szCs w:val="21"/>
        </w:rPr>
      </w:pPr>
      <w:r w:rsidRPr="000E1773">
        <w:rPr>
          <w:rFonts w:ascii="Calibri Light" w:hAnsi="Calibri Light" w:cs="Calibri Light"/>
          <w:color w:val="313E48"/>
          <w:szCs w:val="21"/>
        </w:rPr>
        <w:t>Since 2020, Australia has achieved a dramatic uplift in the climate finance provided to the Pacific region. The region received 42 per cent of our climate finance, principally to support countries adapt to the effects of climate change.</w:t>
      </w:r>
    </w:p>
    <w:p w14:paraId="5829C8AD" w14:textId="34A9CEEF" w:rsidR="00930402" w:rsidRDefault="00930402" w:rsidP="002368D2">
      <w:pPr>
        <w:pStyle w:val="H3-Heading3"/>
      </w:pPr>
      <w:bookmarkStart w:id="9" w:name="_Toc224653936"/>
      <w:r w:rsidRPr="00930402">
        <w:t>Australia’s climate finance to the Pacific 2020–2025</w:t>
      </w:r>
      <w:bookmarkEnd w:id="9"/>
    </w:p>
    <w:p w14:paraId="0241AD6C" w14:textId="64BEC6FD" w:rsidR="00C62A35" w:rsidRDefault="00D41E9F" w:rsidP="00FF3F42">
      <w:pPr>
        <w:pStyle w:val="BodyCopy"/>
      </w:pPr>
      <w:r>
        <w:rPr>
          <w:noProof/>
        </w:rPr>
        <w:drawing>
          <wp:inline distT="0" distB="0" distL="0" distR="0" wp14:anchorId="22B216D0" wp14:editId="4E1098E8">
            <wp:extent cx="2011075" cy="1037784"/>
            <wp:effectExtent l="0" t="0" r="8255" b="0"/>
            <wp:docPr id="1567184836" name="Picture 3" descr="Two bar charts showing Australia’s climate finance to the Pacific, with most funding provided through grants and primarily supporting adaptation. Bar chart one: 96% grants; 4% loans. Bar chart two: 75% adaptation; 14% cross‑cutting; 25% mitiga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184836" name="Picture 3" descr="Two bar charts showing Australia’s climate finance to the Pacific, with most funding provided through grants and primarily supporting adaptation. Bar chart one: 96% grants; 4% loans. Bar chart two: 75% adaptation; 14% cross‑cutting; 25% mitigation.&#10;"/>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2011075" cy="1037784"/>
                    </a:xfrm>
                    <a:prstGeom prst="rect">
                      <a:avLst/>
                    </a:prstGeom>
                    <a:noFill/>
                    <a:ln>
                      <a:noFill/>
                    </a:ln>
                  </pic:spPr>
                </pic:pic>
              </a:graphicData>
            </a:graphic>
          </wp:inline>
        </w:drawing>
      </w:r>
    </w:p>
    <w:p w14:paraId="6E02A22C" w14:textId="77777777" w:rsidR="006E6C53" w:rsidRPr="00C370BF" w:rsidRDefault="006E6C53" w:rsidP="00C370BF">
      <w:pPr>
        <w:pStyle w:val="BoxCasestudy"/>
        <w:rPr>
          <w:b/>
          <w:bCs w:val="0"/>
        </w:rPr>
      </w:pPr>
      <w:r w:rsidRPr="00C370BF">
        <w:rPr>
          <w:b/>
          <w:bCs w:val="0"/>
        </w:rPr>
        <w:t xml:space="preserve">CASE STUDY: </w:t>
      </w:r>
      <w:proofErr w:type="spellStart"/>
      <w:r w:rsidRPr="00C370BF">
        <w:rPr>
          <w:b/>
          <w:bCs w:val="0"/>
        </w:rPr>
        <w:t>REnew</w:t>
      </w:r>
      <w:proofErr w:type="spellEnd"/>
      <w:r w:rsidRPr="00C370BF">
        <w:rPr>
          <w:b/>
          <w:bCs w:val="0"/>
        </w:rPr>
        <w:t xml:space="preserve"> Pacific </w:t>
      </w:r>
    </w:p>
    <w:p w14:paraId="761457CF" w14:textId="77777777" w:rsidR="006E6C53" w:rsidRPr="006E6C53" w:rsidRDefault="006E6C53" w:rsidP="00C370BF">
      <w:pPr>
        <w:pStyle w:val="BoxCasestudy"/>
      </w:pPr>
      <w:proofErr w:type="spellStart"/>
      <w:r w:rsidRPr="006E6C53">
        <w:t>REnew</w:t>
      </w:r>
      <w:proofErr w:type="spellEnd"/>
      <w:r w:rsidRPr="006E6C53">
        <w:t xml:space="preserve"> Pacific is the Australian Government’s $75 million investment in off-grid renewable energy for rural and remote communities across the Pacific and Timor-Leste. The program provides grants to develop off-grid renewable energy systems, bringing reliable power – sometimes for the first time – to remote schools, healthcare facilities, water and agricultural systems. </w:t>
      </w:r>
    </w:p>
    <w:p w14:paraId="063D5F4E" w14:textId="05799AB6" w:rsidR="00FF3F42" w:rsidRPr="000E1773" w:rsidRDefault="006E6C53" w:rsidP="00C370BF">
      <w:pPr>
        <w:pStyle w:val="BoxCasestudy"/>
      </w:pPr>
      <w:r w:rsidRPr="006E6C53">
        <w:t>In Vanuatu, the program equipped remote health facilities with reliable solar power, improving health care for more than 80,000 people. Delivered in partnership with the National Green Energy Fund, the project installed 20 new off-grid solar systems and refurbished 20 more across all six provinces. The systems will ensure vital medical equipment can operate when needed, saving lives, reducing the need for patients to be referred long distances, and enabling safer deliveries for mothers and newborns</w:t>
      </w:r>
    </w:p>
    <w:p w14:paraId="05A27769" w14:textId="36E2D79F" w:rsidR="002B4B3B" w:rsidRDefault="002B4B3B">
      <w:pPr>
        <w:spacing w:after="0" w:line="240" w:lineRule="auto"/>
        <w:rPr>
          <w:rFonts w:ascii="Calibri Light" w:hAnsi="Calibri Light" w:cs="Calibri Light"/>
          <w:color w:val="313E48"/>
          <w:szCs w:val="21"/>
        </w:rPr>
      </w:pPr>
      <w:r>
        <w:br w:type="page"/>
      </w:r>
    </w:p>
    <w:p w14:paraId="5658A218" w14:textId="2DCF52A6" w:rsidR="00C370BF" w:rsidRPr="00C370BF" w:rsidRDefault="00C370BF" w:rsidP="00C370BF">
      <w:pPr>
        <w:pStyle w:val="BoxCasestudy"/>
        <w:rPr>
          <w:b/>
          <w:bCs w:val="0"/>
        </w:rPr>
      </w:pPr>
      <w:r w:rsidRPr="00C370BF">
        <w:rPr>
          <w:b/>
          <w:bCs w:val="0"/>
        </w:rPr>
        <w:lastRenderedPageBreak/>
        <w:t>CASE STUDY: Pacific Atoll Food Futures</w:t>
      </w:r>
    </w:p>
    <w:p w14:paraId="59FEA71E" w14:textId="46376634" w:rsidR="00D6056E" w:rsidRPr="00C370BF" w:rsidRDefault="00D6056E" w:rsidP="00C370BF">
      <w:pPr>
        <w:pStyle w:val="BoxCasestudy"/>
      </w:pPr>
      <w:r w:rsidRPr="00C370BF">
        <w:t xml:space="preserve">Growing food on coral atoll islands is challenging. Poor soil, limited land and fresh water, and saltwater intrusion – all elements that are exacerbated by climate change – force communities to rely on imported, processed foods that are often less nutritious, more expensive and with a higher carbon footprint. </w:t>
      </w:r>
    </w:p>
    <w:p w14:paraId="195E0BFB" w14:textId="77777777" w:rsidR="00D6056E" w:rsidRPr="00C370BF" w:rsidRDefault="00D6056E" w:rsidP="00C370BF">
      <w:pPr>
        <w:pStyle w:val="BoxCasestudy"/>
      </w:pPr>
      <w:r w:rsidRPr="00C370BF">
        <w:t xml:space="preserve">The Atoll Food Futures project, implemented in Kiribati, Tuvalu and Fiji, introduced a range of garden beds adapted to local conditions, including raised wicking beds and container gardens. These use less water and better protect against saltwater intrusion. </w:t>
      </w:r>
    </w:p>
    <w:p w14:paraId="5E35F8A7" w14:textId="7E4B0508" w:rsidR="00D6056E" w:rsidRPr="00C370BF" w:rsidRDefault="00D6056E" w:rsidP="00C370BF">
      <w:pPr>
        <w:pStyle w:val="BoxCasestudy"/>
      </w:pPr>
      <w:r w:rsidRPr="00C370BF">
        <w:t>Of the 4,550 participants, 94 per cent reported growing more fresh food. Regular fruit and vegetable consumption increased from 27 per cent to 88 per cent, and half of participating households earned extra income from selling surplus produce.</w:t>
      </w:r>
    </w:p>
    <w:p w14:paraId="0350A5BF" w14:textId="77777777" w:rsidR="00D6056E" w:rsidRPr="006E1C2A" w:rsidRDefault="00D6056E" w:rsidP="00D6056E">
      <w:pPr>
        <w:pStyle w:val="BodyCopy"/>
        <w:rPr>
          <w:lang w:val="en-US"/>
        </w:rPr>
      </w:pPr>
    </w:p>
    <w:p w14:paraId="0F469EFB" w14:textId="77777777" w:rsidR="00D6056E" w:rsidRPr="00C370BF" w:rsidRDefault="00D6056E" w:rsidP="00C370BF">
      <w:pPr>
        <w:pStyle w:val="BoxCasestudy"/>
        <w:rPr>
          <w:b/>
          <w:bCs w:val="0"/>
          <w:lang w:val="en-US"/>
        </w:rPr>
      </w:pPr>
      <w:r w:rsidRPr="00C370BF">
        <w:rPr>
          <w:b/>
          <w:bCs w:val="0"/>
          <w:lang w:val="en-US"/>
        </w:rPr>
        <w:t>CASE STUDY: Tropical Cyclone Yasa Recovery Program</w:t>
      </w:r>
    </w:p>
    <w:p w14:paraId="234DCEA3" w14:textId="77777777" w:rsidR="00D6056E" w:rsidRPr="00D6056E" w:rsidRDefault="00D6056E" w:rsidP="00C370BF">
      <w:pPr>
        <w:pStyle w:val="BoxCasestudy"/>
        <w:rPr>
          <w:lang w:val="en-US"/>
        </w:rPr>
      </w:pPr>
      <w:r w:rsidRPr="00D6056E">
        <w:rPr>
          <w:lang w:val="en-US"/>
        </w:rPr>
        <w:t xml:space="preserve">In 2020, Tropical Cyclone Yasa caused extensive damage across Fiji in the northern island of Vanua </w:t>
      </w:r>
      <w:proofErr w:type="spellStart"/>
      <w:r w:rsidRPr="00D6056E">
        <w:rPr>
          <w:lang w:val="en-US"/>
        </w:rPr>
        <w:t>Levu</w:t>
      </w:r>
      <w:proofErr w:type="spellEnd"/>
      <w:r w:rsidRPr="00D6056E">
        <w:rPr>
          <w:lang w:val="en-US"/>
        </w:rPr>
        <w:t>. Schools were severely affected, with some classrooms damaged beyond repair and students forced to study in tents.</w:t>
      </w:r>
    </w:p>
    <w:p w14:paraId="7AFD19AE" w14:textId="77777777" w:rsidR="00D6056E" w:rsidRPr="00D6056E" w:rsidRDefault="00D6056E" w:rsidP="00C370BF">
      <w:pPr>
        <w:pStyle w:val="BoxCasestudy"/>
        <w:rPr>
          <w:lang w:val="en-US"/>
        </w:rPr>
      </w:pPr>
      <w:r w:rsidRPr="00D6056E">
        <w:rPr>
          <w:lang w:val="en-US"/>
        </w:rPr>
        <w:t xml:space="preserve">Australia supported the Fiji Government to reconstruct 9 schools – totaling 25 classrooms, attended by 1,500 children. Building back better, reconstruction featured covered walkways, ventilation, solar panels, rainwater harvesting systems and improved water and gender sensitive hygiene systems – with all bathroom amenities complete with access ramps. To safeguard communities, each school had a building constructed to category 5 cyclone standards to be an evacuation </w:t>
      </w:r>
      <w:proofErr w:type="spellStart"/>
      <w:r w:rsidRPr="00D6056E">
        <w:rPr>
          <w:lang w:val="en-US"/>
        </w:rPr>
        <w:t>centre</w:t>
      </w:r>
      <w:proofErr w:type="spellEnd"/>
      <w:r w:rsidRPr="00D6056E">
        <w:rPr>
          <w:lang w:val="en-US"/>
        </w:rPr>
        <w:t xml:space="preserve"> in the future. Communities were consulted, including women, in the design process.</w:t>
      </w:r>
    </w:p>
    <w:p w14:paraId="179B3CE7" w14:textId="77777777" w:rsidR="00D6056E" w:rsidRDefault="00D6056E" w:rsidP="00C370BF">
      <w:pPr>
        <w:pStyle w:val="BoxCasestudy"/>
        <w:rPr>
          <w:lang w:val="en-US"/>
        </w:rPr>
      </w:pPr>
      <w:r w:rsidRPr="00D6056E">
        <w:rPr>
          <w:lang w:val="en-US"/>
        </w:rPr>
        <w:t>With classrooms restored, school attendance and academic results improved. The project also boosted the local economy, with materials sourced within Fiji, creating over 300 jobs.</w:t>
      </w:r>
    </w:p>
    <w:p w14:paraId="1BF89A7F" w14:textId="21795288" w:rsidR="00290886" w:rsidRDefault="00290886">
      <w:pPr>
        <w:spacing w:after="0" w:line="240" w:lineRule="auto"/>
        <w:rPr>
          <w:rFonts w:asciiTheme="minorHAnsi" w:hAnsiTheme="minorHAnsi" w:cs="Calibri Light"/>
          <w:szCs w:val="21"/>
          <w:lang w:val="en-US"/>
        </w:rPr>
      </w:pPr>
      <w:r>
        <w:rPr>
          <w:rFonts w:asciiTheme="minorHAnsi" w:hAnsiTheme="minorHAnsi" w:cs="Calibri Light"/>
          <w:szCs w:val="21"/>
          <w:lang w:val="en-US"/>
        </w:rPr>
        <w:br w:type="page"/>
      </w:r>
    </w:p>
    <w:p w14:paraId="12547CFD" w14:textId="27D28825" w:rsidR="001F58C8" w:rsidRDefault="001F58C8" w:rsidP="001F58C8">
      <w:pPr>
        <w:pStyle w:val="H2-Heading2"/>
      </w:pPr>
      <w:bookmarkStart w:id="10" w:name="_Toc224653937"/>
      <w:r w:rsidRPr="00290886">
        <w:lastRenderedPageBreak/>
        <w:t xml:space="preserve">Southeast </w:t>
      </w:r>
      <w:r>
        <w:t>A</w:t>
      </w:r>
      <w:r w:rsidRPr="00290886">
        <w:t>sia</w:t>
      </w:r>
      <w:bookmarkEnd w:id="10"/>
      <w:r w:rsidRPr="00290886">
        <w:t xml:space="preserve"> </w:t>
      </w:r>
    </w:p>
    <w:p w14:paraId="4B5BF833" w14:textId="15CDC6E8" w:rsidR="001F58C8" w:rsidRPr="00036955" w:rsidRDefault="001F58C8" w:rsidP="00B754A0">
      <w:pPr>
        <w:pStyle w:val="BodyCopyBullets"/>
      </w:pPr>
      <w:r w:rsidRPr="00036955">
        <w:t>$997.1 million in climate finance to Southeast Asia</w:t>
      </w:r>
    </w:p>
    <w:p w14:paraId="555D5E9D" w14:textId="77777777" w:rsidR="001F58C8" w:rsidRPr="00036955" w:rsidRDefault="001F58C8" w:rsidP="00B754A0">
      <w:pPr>
        <w:pStyle w:val="BodyCopyBullets"/>
      </w:pPr>
      <w:r w:rsidRPr="00036955">
        <w:t xml:space="preserve">39% delivered through loans, equity and private finance mobilised </w:t>
      </w:r>
    </w:p>
    <w:p w14:paraId="084ACB6A" w14:textId="6B090DA5" w:rsidR="001F58C8" w:rsidRPr="00036955" w:rsidRDefault="001F58C8" w:rsidP="00B754A0">
      <w:pPr>
        <w:pStyle w:val="BodyCopyBullets"/>
      </w:pPr>
      <w:r w:rsidRPr="00036955">
        <w:t>60% towards climate mitigation</w:t>
      </w:r>
    </w:p>
    <w:p w14:paraId="7998B3CF" w14:textId="67DEA94A" w:rsidR="00290886" w:rsidRPr="00290886" w:rsidRDefault="00290886" w:rsidP="00290886">
      <w:pPr>
        <w:pStyle w:val="BodyCopy"/>
      </w:pPr>
      <w:r w:rsidRPr="00290886">
        <w:t xml:space="preserve">In Southeast Asia, Australia provided $997.1 million* in climate finance between 2020-25 – 58 per cent of which was through grants. </w:t>
      </w:r>
    </w:p>
    <w:p w14:paraId="72370D5F" w14:textId="77777777" w:rsidR="00290886" w:rsidRPr="00290886" w:rsidRDefault="00290886" w:rsidP="00290886">
      <w:pPr>
        <w:pStyle w:val="BodyCopy"/>
      </w:pPr>
      <w:r w:rsidRPr="00290886">
        <w:t xml:space="preserve">Nearly half of the climate finance provided and mobilised is through development finance mechanisms – including equity, loans and blended finance – responding to the region’s demand for greater private climate investment. </w:t>
      </w:r>
    </w:p>
    <w:p w14:paraId="4508FB69" w14:textId="77777777" w:rsidR="00290886" w:rsidRPr="00290886" w:rsidRDefault="00290886" w:rsidP="00290886">
      <w:pPr>
        <w:pStyle w:val="BodyCopy"/>
      </w:pPr>
      <w:r w:rsidRPr="00290886">
        <w:t xml:space="preserve">We are partnering with the region on its clean energy transition and helping strengthen the region’s resilience to climate change, particularly in the Mekong subregion. </w:t>
      </w:r>
    </w:p>
    <w:p w14:paraId="465FEC98" w14:textId="04A1B567" w:rsidR="0020298F" w:rsidRDefault="00290886" w:rsidP="00290886">
      <w:pPr>
        <w:pStyle w:val="Footnote"/>
      </w:pPr>
      <w:r w:rsidRPr="00290886">
        <w:t>*Comprising $603.3 million grants, $160.8 million loans, and $233.0 million private finance mobilised.</w:t>
      </w:r>
    </w:p>
    <w:p w14:paraId="456D7D64" w14:textId="5C6D56F7" w:rsidR="000F5506" w:rsidRDefault="000F5506" w:rsidP="000F5506">
      <w:pPr>
        <w:pStyle w:val="H3-Heading3"/>
      </w:pPr>
      <w:bookmarkStart w:id="11" w:name="_Toc224653938"/>
      <w:r w:rsidRPr="000F5506">
        <w:t>Australia’s climate finance to Southeast Asia 2020–2025</w:t>
      </w:r>
      <w:bookmarkEnd w:id="11"/>
    </w:p>
    <w:p w14:paraId="38010215" w14:textId="4C589B2F" w:rsidR="00C62A35" w:rsidRPr="0024621E" w:rsidRDefault="00E24284" w:rsidP="00C62A35">
      <w:pPr>
        <w:pStyle w:val="BodyCopy"/>
      </w:pPr>
      <w:r w:rsidRPr="00E24284">
        <w:rPr>
          <w:noProof/>
        </w:rPr>
        <w:drawing>
          <wp:inline distT="0" distB="0" distL="0" distR="0" wp14:anchorId="773E0EA2" wp14:editId="0EE7BC6B">
            <wp:extent cx="1974757" cy="1031067"/>
            <wp:effectExtent l="0" t="0" r="6985" b="0"/>
            <wp:docPr id="653976198" name="Picture 4" descr="Two bar charts showing Australia’s climate finance to Southeast Asia, with most funding provided through grants and primarily supporting mitigation. Bar chart one: 61% grants; 23% public finance mobilised; 16% loans. Bar chart two: 40% adaptation; 28% cross‑cutting; 60% mitig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76198" name="Picture 4" descr="Two bar charts showing Australia’s climate finance to Southeast Asia, with most funding provided through grants and primarily supporting mitigation. Bar chart one: 61% grants; 23% public finance mobilised; 16% loans. Bar chart two: 40% adaptation; 28% cross‑cutting; 60% mitigation."/>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1974757" cy="1031067"/>
                    </a:xfrm>
                    <a:prstGeom prst="rect">
                      <a:avLst/>
                    </a:prstGeom>
                    <a:noFill/>
                    <a:ln>
                      <a:noFill/>
                    </a:ln>
                  </pic:spPr>
                </pic:pic>
              </a:graphicData>
            </a:graphic>
          </wp:inline>
        </w:drawing>
      </w:r>
    </w:p>
    <w:p w14:paraId="52D415E5" w14:textId="77777777" w:rsidR="00B754A0" w:rsidRPr="00B754A0" w:rsidRDefault="00B754A0" w:rsidP="00B754A0">
      <w:pPr>
        <w:pStyle w:val="BoxCasestudy"/>
        <w:rPr>
          <w:b/>
          <w:bCs w:val="0"/>
        </w:rPr>
      </w:pPr>
      <w:r w:rsidRPr="00B754A0">
        <w:rPr>
          <w:b/>
          <w:bCs w:val="0"/>
        </w:rPr>
        <w:t xml:space="preserve">CASE STUDY: Efforts to encourage private sector investment </w:t>
      </w:r>
    </w:p>
    <w:p w14:paraId="2D58D7CC" w14:textId="77777777" w:rsidR="00B754A0" w:rsidRPr="00B754A0" w:rsidRDefault="00B754A0" w:rsidP="00B754A0">
      <w:pPr>
        <w:pStyle w:val="BoxCasestudy"/>
      </w:pPr>
      <w:r w:rsidRPr="00B754A0">
        <w:t xml:space="preserve">Australian Development Investments (ADI) – Australia’s AUD250 million impact investment ‘fund of funds’ – is helping accelerate Southeast Asia’s energy transition and meet climate opportunities and challenges. </w:t>
      </w:r>
    </w:p>
    <w:p w14:paraId="445B6C46" w14:textId="77777777" w:rsidR="00B754A0" w:rsidRPr="00B754A0" w:rsidRDefault="00B754A0" w:rsidP="00B754A0">
      <w:pPr>
        <w:pStyle w:val="BoxCasestudy"/>
      </w:pPr>
      <w:r w:rsidRPr="00B754A0">
        <w:t xml:space="preserve">ADI makes early-stage and concessional investments into impact investment funds. These funds provide financing to small and medium enterprises that deliver climate outcomes for the region. To date, with AUD51.5 million worth of investments, ADI has mobilised over AUD180 million of private capital to support development and climate impact. For every dollar invested by ADI, AUD3.50 has been mobilised from private investors. </w:t>
      </w:r>
    </w:p>
    <w:p w14:paraId="398C8ACE" w14:textId="7989D579" w:rsidR="00B754A0" w:rsidRPr="00E24284" w:rsidRDefault="00B754A0" w:rsidP="00E24284">
      <w:pPr>
        <w:pStyle w:val="BoxCasestudy"/>
      </w:pPr>
      <w:r w:rsidRPr="00B754A0">
        <w:t>ADI’s USD3.0 million (~AUD4.5 million) equity investment helped de-risk Clime Capital’s Southeast Asia Clean Energy Fund II to mobilise AUD75 million in private investment, like clean energy projects, scalable businesses delivering solar, wind power, energy storage and electric mobility.</w:t>
      </w:r>
      <w:r>
        <w:rPr>
          <w:lang w:val="en-US"/>
        </w:rPr>
        <w:br w:type="page"/>
      </w:r>
    </w:p>
    <w:p w14:paraId="4CF590D6" w14:textId="4AED6C89" w:rsidR="00B754A0" w:rsidRDefault="00A45246" w:rsidP="00A45246">
      <w:pPr>
        <w:pStyle w:val="H2-Heading2"/>
        <w:rPr>
          <w:lang w:val="en-US"/>
        </w:rPr>
      </w:pPr>
      <w:bookmarkStart w:id="12" w:name="_Toc224653939"/>
      <w:r>
        <w:rPr>
          <w:lang w:val="en-US"/>
        </w:rPr>
        <w:lastRenderedPageBreak/>
        <w:t>Global</w:t>
      </w:r>
      <w:bookmarkEnd w:id="12"/>
    </w:p>
    <w:p w14:paraId="1CE70ECD" w14:textId="4F11BAF1" w:rsidR="00A45246" w:rsidRDefault="00A45246" w:rsidP="00A45246">
      <w:pPr>
        <w:pStyle w:val="H3-Heading3"/>
        <w:rPr>
          <w:lang w:val="en-US"/>
        </w:rPr>
      </w:pPr>
      <w:bookmarkStart w:id="13" w:name="_Toc224653940"/>
      <w:r w:rsidRPr="00A45246">
        <w:rPr>
          <w:lang w:val="en-US"/>
        </w:rPr>
        <w:t>Multilateral climate funds</w:t>
      </w:r>
      <w:bookmarkEnd w:id="13"/>
    </w:p>
    <w:p w14:paraId="55215EF4" w14:textId="4B6494FC" w:rsidR="00752F39" w:rsidRDefault="00752F39" w:rsidP="00752F39">
      <w:pPr>
        <w:pStyle w:val="H4-Heading4"/>
      </w:pPr>
      <w:r w:rsidRPr="00752F39">
        <w:t>Pacific Resilience Facility</w:t>
      </w:r>
    </w:p>
    <w:p w14:paraId="571E2E1A" w14:textId="68D1D691" w:rsidR="00AB5709" w:rsidRDefault="00AB5709" w:rsidP="00AB5709">
      <w:pPr>
        <w:pStyle w:val="BodyCopy"/>
        <w:rPr>
          <w:lang w:val="en-US"/>
        </w:rPr>
      </w:pPr>
      <w:r w:rsidRPr="00AB5709">
        <w:t>We will provide an anchor investment of $100 million in the Pacific Resilience Facility, a Pacific-owned and Pacific-led mechanism supporting vulnerable Pacific people exposed to climate change and disaster risks.</w:t>
      </w:r>
    </w:p>
    <w:p w14:paraId="0726B924" w14:textId="73994862" w:rsidR="00AB5709" w:rsidRDefault="00AB5709" w:rsidP="00752F39">
      <w:pPr>
        <w:pStyle w:val="H4-Heading4"/>
      </w:pPr>
      <w:r w:rsidRPr="00AB5709">
        <w:t>Green Climate Fund</w:t>
      </w:r>
    </w:p>
    <w:p w14:paraId="7CDF263E" w14:textId="4075ED8B" w:rsidR="00AB5709" w:rsidRDefault="00AB5709" w:rsidP="00AB5709">
      <w:pPr>
        <w:pStyle w:val="BodyCopy"/>
      </w:pPr>
      <w:r w:rsidRPr="00AB5709">
        <w:t>We rejoined the Green Climate Fund with a $50 million contribution. We are improving access to finance for Small Island Developing States, particularly the Pacific, with 2025 seeing a five-fold increase in approved Pacific projects.</w:t>
      </w:r>
    </w:p>
    <w:p w14:paraId="1032C62F" w14:textId="4F7618E9" w:rsidR="00AB5709" w:rsidRDefault="00AB5709" w:rsidP="00752F39">
      <w:pPr>
        <w:pStyle w:val="H4-Heading4"/>
      </w:pPr>
      <w:r w:rsidRPr="00AB5709">
        <w:t>Fund for responding to Loss and Damage</w:t>
      </w:r>
    </w:p>
    <w:p w14:paraId="5B978B42" w14:textId="1A7EDEB7" w:rsidR="00AB5709" w:rsidRDefault="00AB5709" w:rsidP="00AB5709">
      <w:pPr>
        <w:pStyle w:val="BodyCopy"/>
      </w:pPr>
      <w:r w:rsidRPr="00AB5709">
        <w:t>We are contributing $50 million to the Fund for responding to Loss and Damage, which helps vulnerable communities recover from climate-related losses and damage resulting from incidents such as climate-induced extreme weather events, rising sea levels, and other climate-induced crises.</w:t>
      </w:r>
    </w:p>
    <w:p w14:paraId="3B1EBB63" w14:textId="25079657" w:rsidR="00AB5709" w:rsidRDefault="00AB5709" w:rsidP="00752F39">
      <w:pPr>
        <w:pStyle w:val="H4-Heading4"/>
      </w:pPr>
      <w:r w:rsidRPr="00AB5709">
        <w:t>Global Environment Facility</w:t>
      </w:r>
    </w:p>
    <w:p w14:paraId="7F0D656C" w14:textId="7E0CD3DA" w:rsidR="00AB5709" w:rsidRDefault="00AB5709" w:rsidP="00AB5709">
      <w:pPr>
        <w:pStyle w:val="BodyCopy"/>
      </w:pPr>
      <w:r w:rsidRPr="00AB5709">
        <w:t>We are a founding member of the Global Environment Facility, which addresses climate change, biodiversity loss, and land and ocean health. We contributed $80 million in the last replenishment.</w:t>
      </w:r>
    </w:p>
    <w:p w14:paraId="0D4A2A28" w14:textId="762AA7EE" w:rsidR="00752F39" w:rsidRDefault="00752F39" w:rsidP="00752F39">
      <w:pPr>
        <w:pStyle w:val="H3-Heading3"/>
      </w:pPr>
      <w:bookmarkStart w:id="14" w:name="_Toc224653941"/>
      <w:r w:rsidRPr="00752F39">
        <w:t xml:space="preserve">International financial architecture and </w:t>
      </w:r>
      <w:r>
        <w:t>MDB</w:t>
      </w:r>
      <w:r w:rsidRPr="00752F39">
        <w:t xml:space="preserve"> reform</w:t>
      </w:r>
      <w:bookmarkEnd w:id="14"/>
    </w:p>
    <w:p w14:paraId="0BF4C729" w14:textId="4B1766B2" w:rsidR="000F6E53" w:rsidRDefault="000F6E53" w:rsidP="000F6E53">
      <w:pPr>
        <w:pStyle w:val="BodyCopyBullets"/>
      </w:pPr>
      <w:r w:rsidRPr="000F6E53">
        <w:t>We advocated for the World Bank to commit 45% of its annual financing to address climate challenges.</w:t>
      </w:r>
    </w:p>
    <w:p w14:paraId="724609C7" w14:textId="3D59A624" w:rsidR="000F6E53" w:rsidRDefault="000F6E53" w:rsidP="000F6E53">
      <w:pPr>
        <w:pStyle w:val="BodyCopyBullets"/>
      </w:pPr>
      <w:r w:rsidRPr="000F6E53">
        <w:t>We committed to offer Climate Resilient Debt Clauses in our sovereign loans by the end of 2025.</w:t>
      </w:r>
    </w:p>
    <w:p w14:paraId="2B62F0A9" w14:textId="3012F517" w:rsidR="000F6E53" w:rsidRDefault="000F6E53" w:rsidP="000F6E53">
      <w:pPr>
        <w:pStyle w:val="BodyCopyBullets"/>
      </w:pPr>
      <w:r w:rsidRPr="000F6E53">
        <w:t>We guaranteed USD200 million of the Asian Development Bank's lending to support climate action as part of the Innovative Financing Facility for Climate in Asia and the Pacific.</w:t>
      </w:r>
    </w:p>
    <w:p w14:paraId="086E9F60" w14:textId="6881A5C8" w:rsidR="000F6E53" w:rsidRDefault="000F6E53" w:rsidP="000F6E53">
      <w:pPr>
        <w:pStyle w:val="BodyCopyBullets"/>
      </w:pPr>
      <w:r w:rsidRPr="000F6E53">
        <w:t>We influenced the Asian Development Fund to allocate USD436 million to adaptation and disaster risk reduction, benefiting Pacific small island developing states.</w:t>
      </w:r>
    </w:p>
    <w:p w14:paraId="143C024A" w14:textId="37CADD63" w:rsidR="000F6E53" w:rsidRPr="0000484F" w:rsidRDefault="000F6E53" w:rsidP="000F6E53">
      <w:pPr>
        <w:pStyle w:val="BodyCopyBullets"/>
        <w:rPr>
          <w:lang w:val="en-US"/>
        </w:rPr>
      </w:pPr>
      <w:r w:rsidRPr="000F6E53">
        <w:t xml:space="preserve">We ensured the Pacific </w:t>
      </w:r>
      <w:proofErr w:type="gramStart"/>
      <w:r w:rsidRPr="000F6E53">
        <w:t>is able to</w:t>
      </w:r>
      <w:proofErr w:type="gramEnd"/>
      <w:r w:rsidRPr="000F6E53">
        <w:t xml:space="preserve"> access more climate finance, embedding climate finance experts in </w:t>
      </w:r>
      <w:proofErr w:type="gramStart"/>
      <w:r w:rsidRPr="000F6E53">
        <w:t>Pacific island</w:t>
      </w:r>
      <w:proofErr w:type="gramEnd"/>
      <w:r w:rsidRPr="000F6E53">
        <w:t xml:space="preserve"> countries.</w:t>
      </w:r>
    </w:p>
    <w:p w14:paraId="4677FB15" w14:textId="77777777" w:rsidR="0000484F" w:rsidRPr="0000484F" w:rsidRDefault="0000484F" w:rsidP="0000484F">
      <w:pPr>
        <w:pStyle w:val="BoxCasestudy"/>
        <w:rPr>
          <w:b/>
          <w:bCs w:val="0"/>
        </w:rPr>
      </w:pPr>
      <w:r w:rsidRPr="0000484F">
        <w:rPr>
          <w:b/>
          <w:bCs w:val="0"/>
        </w:rPr>
        <w:t>CASE STUDY: Green Climate Fund and the Tuvalu Coastal Adaptation Project</w:t>
      </w:r>
    </w:p>
    <w:p w14:paraId="03E81ED0" w14:textId="77777777" w:rsidR="0000484F" w:rsidRDefault="0000484F" w:rsidP="0000484F">
      <w:pPr>
        <w:pStyle w:val="BoxCasestudy"/>
      </w:pPr>
      <w:r>
        <w:t>The Green Climate Fund (GCF) is the world’s largest dedicated climate fund. Australia rejoined the GCF in 2023, with the aim of being able to better advocate for improved access to GCF funding, particularly for the Pacific.</w:t>
      </w:r>
    </w:p>
    <w:p w14:paraId="7AF2BE4B" w14:textId="77777777" w:rsidR="0000484F" w:rsidRDefault="0000484F" w:rsidP="0000484F">
      <w:pPr>
        <w:pStyle w:val="BoxCasestudy"/>
      </w:pPr>
      <w:r>
        <w:t>Since Australia’s re-engagement, annual Pacific project approvals have grown significantly, with 2025 seeing a five-fold increase in approved Pacific projects compared to the average over the previous 5 years, to over USD266 million – representing 8 per cent of total GCF global approvals.</w:t>
      </w:r>
    </w:p>
    <w:p w14:paraId="4D7B2DF2" w14:textId="77777777" w:rsidR="0000484F" w:rsidRDefault="0000484F" w:rsidP="0000484F">
      <w:pPr>
        <w:pStyle w:val="BoxCasestudy"/>
      </w:pPr>
      <w:r>
        <w:t>For example, the GCF is co-funding the Tuvalu Coastal Adaptation Project (TCAP) with the Government of Tuvalu and Australia. TCAP is a leading example of how global climate finance can provide lifesaving resilience for the Pacific. With escalating risks from sea-level rise, storm surges and rapid coastal erosion, Tuvalu faces existential threats to homes, livelihoods and government services.</w:t>
      </w:r>
    </w:p>
    <w:p w14:paraId="706FE18F" w14:textId="099E6992" w:rsidR="0000484F" w:rsidRDefault="0000484F" w:rsidP="0000484F">
      <w:pPr>
        <w:pStyle w:val="BoxCasestudy"/>
      </w:pPr>
      <w:r>
        <w:t>TCAP is helping build sea walls, reclaim land and reinforce coastal embankments to safeguard homes, schools, hospitals and transport links from climate risks. More than 60 per cent of Tuvalu’s population will benefit from the program.</w:t>
      </w:r>
    </w:p>
    <w:p w14:paraId="0D500D05" w14:textId="401B6677" w:rsidR="0000484F" w:rsidRDefault="0000484F">
      <w:pPr>
        <w:spacing w:after="0" w:line="240" w:lineRule="auto"/>
        <w:rPr>
          <w:rFonts w:ascii="Calibri Light" w:hAnsi="Calibri Light" w:cs="Calibri Light"/>
          <w:color w:val="313E48"/>
          <w:szCs w:val="21"/>
          <w:lang w:val="en-US"/>
        </w:rPr>
      </w:pPr>
      <w:r>
        <w:rPr>
          <w:lang w:val="en-US"/>
        </w:rPr>
        <w:br w:type="page"/>
      </w:r>
    </w:p>
    <w:p w14:paraId="7636B294" w14:textId="76C0FA03" w:rsidR="0000484F" w:rsidRDefault="009C504C" w:rsidP="009C504C">
      <w:pPr>
        <w:pStyle w:val="H2-Heading2"/>
      </w:pPr>
      <w:bookmarkStart w:id="15" w:name="_Toc224653942"/>
      <w:r w:rsidRPr="009C504C">
        <w:lastRenderedPageBreak/>
        <w:t>Integrating climate change into our development program</w:t>
      </w:r>
      <w:bookmarkEnd w:id="15"/>
    </w:p>
    <w:p w14:paraId="26CF35D3" w14:textId="6AEC50B4" w:rsidR="009C504C" w:rsidRPr="009D2A47" w:rsidRDefault="009C504C" w:rsidP="009D2A47">
      <w:pPr>
        <w:pStyle w:val="BodyCopyBullets"/>
      </w:pPr>
      <w:r w:rsidRPr="009D2A47">
        <w:rPr>
          <w:b/>
          <w:bCs/>
        </w:rPr>
        <w:t>48%</w:t>
      </w:r>
      <w:r w:rsidRPr="009D2A47">
        <w:t xml:space="preserve"> of investments included a climate objective*</w:t>
      </w:r>
    </w:p>
    <w:p w14:paraId="7B31A32F" w14:textId="77777777" w:rsidR="00BE0FFD" w:rsidRDefault="00BE0FFD" w:rsidP="00BE0FFD">
      <w:pPr>
        <w:pStyle w:val="BodyCopy"/>
      </w:pPr>
      <w:r>
        <w:t xml:space="preserve">Climate action is a key pillar of our international development program because climate change has an impact on all development outcomes. </w:t>
      </w:r>
    </w:p>
    <w:p w14:paraId="3A4E3EAE" w14:textId="77777777" w:rsidR="00BE0FFD" w:rsidRDefault="00BE0FFD" w:rsidP="00BE0FFD">
      <w:pPr>
        <w:pStyle w:val="BodyCopy"/>
      </w:pPr>
      <w:r>
        <w:t xml:space="preserve">Australia’s </w:t>
      </w:r>
      <w:r>
        <w:rPr>
          <w:rFonts w:ascii="Ubuntu Light" w:hAnsi="Ubuntu Light" w:cs="Ubuntu Light"/>
          <w:i/>
          <w:iCs/>
        </w:rPr>
        <w:t xml:space="preserve">International Development Policy </w:t>
      </w:r>
      <w:r>
        <w:t xml:space="preserve">drives our climate integration commitment to incorporate a climate objective in at least 50 per cent of all new bilateral and regional investments valued over $3 million in 2024–25. This goal increases to 80 per cent by 2028–29. </w:t>
      </w:r>
    </w:p>
    <w:p w14:paraId="66C775BF" w14:textId="77777777" w:rsidR="00BE0FFD" w:rsidRDefault="00BE0FFD" w:rsidP="00BE0FFD">
      <w:pPr>
        <w:pStyle w:val="BodyCopy"/>
      </w:pPr>
      <w:r>
        <w:t xml:space="preserve">In 2024–25, 48 per cent of new investments in our international development program helped our partners to tackle climate change, including building resilience to climate impacts and disasters, and adopting clean energy and low emissions technologies. </w:t>
      </w:r>
    </w:p>
    <w:p w14:paraId="0CFD06BE" w14:textId="77777777" w:rsidR="00BE0FFD" w:rsidRDefault="00BE0FFD" w:rsidP="00BE0FFD">
      <w:pPr>
        <w:pStyle w:val="BodyCopy"/>
      </w:pPr>
      <w:r>
        <w:t xml:space="preserve">Priorities for Australia's development assistance are identified jointly with our partners, ensuring our efforts add value to a country's national development plans, including their Nationally Determined Contributions and National Adaptation Plans under the Paris Agreement. </w:t>
      </w:r>
    </w:p>
    <w:p w14:paraId="61F85F25" w14:textId="77777777" w:rsidR="00BE0FFD" w:rsidRDefault="00BE0FFD" w:rsidP="00BE0FFD">
      <w:pPr>
        <w:pStyle w:val="BodyCopy"/>
      </w:pPr>
      <w:r>
        <w:t xml:space="preserve">Through our elevated commitment to regional and global climate action, Australia is increasing the value of our climate finance and embedding climate objectives in more investments – and more sectors – across our development portfolio. Our renewed investment is delivering effective results and lasting change against the impact on climate change. </w:t>
      </w:r>
    </w:p>
    <w:p w14:paraId="42E931DC" w14:textId="297CF869" w:rsidR="00BE0FFD" w:rsidRDefault="00BE0FFD" w:rsidP="00BE0FFD">
      <w:pPr>
        <w:pStyle w:val="BodyCopy"/>
      </w:pPr>
      <w:r>
        <w:t>Gender inequality also intensifies climate risk, as existing inequalities – such as unequal access to land, finance, and decision-making – mean that women are often less equipped to adapt to climate change. Gender equality is not a peripheral concern – it is a solution multiplier that strengthens climate action, improves policy outcomes, and delivers more effective climate finance.</w:t>
      </w:r>
    </w:p>
    <w:p w14:paraId="0B3679E3" w14:textId="11844C1E" w:rsidR="00283DC1" w:rsidRDefault="00283DC1" w:rsidP="00283DC1">
      <w:pPr>
        <w:pStyle w:val="H3-Heading3"/>
      </w:pPr>
      <w:bookmarkStart w:id="16" w:name="_Toc224653943"/>
      <w:r w:rsidRPr="00283DC1">
        <w:t>Australia’s new programming in 2024–25 by climate objective*</w:t>
      </w:r>
      <w:bookmarkEnd w:id="16"/>
    </w:p>
    <w:p w14:paraId="35B58DF5" w14:textId="79B851CD" w:rsidR="00A55378" w:rsidRDefault="00960E3F" w:rsidP="00283DC1">
      <w:pPr>
        <w:pStyle w:val="BodyCopy"/>
      </w:pPr>
      <w:r>
        <w:rPr>
          <w:noProof/>
        </w:rPr>
        <w:drawing>
          <wp:inline distT="0" distB="0" distL="0" distR="0" wp14:anchorId="184ED6E4" wp14:editId="7058A2FB">
            <wp:extent cx="4042483" cy="1792369"/>
            <wp:effectExtent l="0" t="0" r="0" b="0"/>
            <wp:docPr id="788894269" name="Picture 5" descr="Pie chart showing Australia’s new programming by climate objective, with nearly half including a climate change objective. Breakdown: 48% Climate change objective included, comprising: 20% Primary climate objective and 28% Secondary climate objective; 28% Climate mainstreamed; and 24% No climate change objectiv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894269" name="Picture 5" descr="Pie chart showing Australia’s new programming by climate objective, with nearly half including a climate change objective. Breakdown: 48% Climate change objective included, comprising: 20% Primary climate objective and 28% Secondary climate objective; 28% Climate mainstreamed; and 24% No climate change objective.&#10;"/>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4042483" cy="1792369"/>
                    </a:xfrm>
                    <a:prstGeom prst="rect">
                      <a:avLst/>
                    </a:prstGeom>
                    <a:noFill/>
                    <a:ln>
                      <a:noFill/>
                    </a:ln>
                  </pic:spPr>
                </pic:pic>
              </a:graphicData>
            </a:graphic>
          </wp:inline>
        </w:drawing>
      </w:r>
    </w:p>
    <w:p w14:paraId="498EFE8D" w14:textId="48B95DB9" w:rsidR="00AE517C" w:rsidRDefault="00BE0FFD" w:rsidP="00AF2992">
      <w:pPr>
        <w:pStyle w:val="Footnote"/>
      </w:pPr>
      <w:r w:rsidRPr="00BE0FFD">
        <w:t>*Includes new regional and bilateral investments of over $3 million only</w:t>
      </w:r>
      <w:r w:rsidR="00AE517C">
        <w:br w:type="page"/>
      </w:r>
    </w:p>
    <w:p w14:paraId="54EB0633" w14:textId="0E3EA607" w:rsidR="00AE517C" w:rsidRDefault="00AE517C" w:rsidP="00AE517C">
      <w:pPr>
        <w:pStyle w:val="H2-Heading2"/>
      </w:pPr>
      <w:bookmarkStart w:id="17" w:name="_Toc224653944"/>
      <w:r w:rsidRPr="00AE517C">
        <w:lastRenderedPageBreak/>
        <w:t>Australia’s climate finance statistics 2020–2025</w:t>
      </w:r>
      <w:bookmarkEnd w:id="17"/>
    </w:p>
    <w:p w14:paraId="6E0279E5" w14:textId="3C483EDE" w:rsidR="00437C5F" w:rsidRDefault="00437C5F" w:rsidP="00437C5F">
      <w:pPr>
        <w:pStyle w:val="H3-Heading3"/>
      </w:pPr>
      <w:bookmarkStart w:id="18" w:name="_Toc224653945"/>
      <w:r w:rsidRPr="00437C5F">
        <w:t>Australia’s climate finance provided and mobilised 2020–2025</w:t>
      </w:r>
      <w:bookmarkEnd w:id="18"/>
    </w:p>
    <w:tbl>
      <w:tblPr>
        <w:tblStyle w:val="TableGrid"/>
        <w:tblW w:w="0" w:type="auto"/>
        <w:tblLook w:val="04A0" w:firstRow="1" w:lastRow="0" w:firstColumn="1" w:lastColumn="0" w:noHBand="0" w:noVBand="1"/>
      </w:tblPr>
      <w:tblGrid>
        <w:gridCol w:w="3114"/>
        <w:gridCol w:w="1180"/>
        <w:gridCol w:w="1180"/>
        <w:gridCol w:w="1180"/>
        <w:gridCol w:w="1180"/>
        <w:gridCol w:w="1180"/>
        <w:gridCol w:w="1180"/>
      </w:tblGrid>
      <w:tr w:rsidR="00836811" w14:paraId="3BEA122B" w14:textId="77777777" w:rsidTr="002B0B04">
        <w:trPr>
          <w:tblHeader/>
        </w:trPr>
        <w:tc>
          <w:tcPr>
            <w:tcW w:w="3114" w:type="dxa"/>
          </w:tcPr>
          <w:p w14:paraId="76A857CD" w14:textId="1863513B" w:rsidR="00836811" w:rsidRPr="001079F9" w:rsidRDefault="001079F9" w:rsidP="001079F9">
            <w:pPr>
              <w:pStyle w:val="TableHeading"/>
            </w:pPr>
            <w:r w:rsidRPr="001079F9">
              <w:rPr>
                <w:rStyle w:val="A8"/>
                <w:rFonts w:cstheme="minorHAnsi"/>
                <w:color w:val="313E48"/>
                <w:sz w:val="22"/>
                <w:szCs w:val="21"/>
              </w:rPr>
              <w:t xml:space="preserve">Region and type of flow </w:t>
            </w:r>
          </w:p>
        </w:tc>
        <w:tc>
          <w:tcPr>
            <w:tcW w:w="1180" w:type="dxa"/>
          </w:tcPr>
          <w:p w14:paraId="333D5912" w14:textId="565FEDC8" w:rsidR="00836811" w:rsidRPr="001079F9" w:rsidRDefault="00836811" w:rsidP="001079F9">
            <w:pPr>
              <w:pStyle w:val="TableHeading"/>
            </w:pPr>
            <w:r w:rsidRPr="001079F9">
              <w:rPr>
                <w:rStyle w:val="A5"/>
                <w:rFonts w:cstheme="minorHAnsi"/>
                <w:color w:val="313E48"/>
                <w:sz w:val="22"/>
                <w:szCs w:val="21"/>
              </w:rPr>
              <w:t xml:space="preserve">2020-21 ($m) </w:t>
            </w:r>
          </w:p>
        </w:tc>
        <w:tc>
          <w:tcPr>
            <w:tcW w:w="1180" w:type="dxa"/>
          </w:tcPr>
          <w:p w14:paraId="538EDC48" w14:textId="3931FCF4" w:rsidR="00836811" w:rsidRPr="001079F9" w:rsidRDefault="00836811" w:rsidP="001079F9">
            <w:pPr>
              <w:pStyle w:val="TableHeading"/>
            </w:pPr>
            <w:r w:rsidRPr="001079F9">
              <w:rPr>
                <w:rStyle w:val="A5"/>
                <w:rFonts w:cstheme="minorHAnsi"/>
                <w:color w:val="313E48"/>
                <w:sz w:val="22"/>
                <w:szCs w:val="21"/>
              </w:rPr>
              <w:t xml:space="preserve">2021-22($m) </w:t>
            </w:r>
          </w:p>
        </w:tc>
        <w:tc>
          <w:tcPr>
            <w:tcW w:w="1180" w:type="dxa"/>
          </w:tcPr>
          <w:p w14:paraId="2AA5A0B5" w14:textId="4DC1FAAD" w:rsidR="00836811" w:rsidRPr="001079F9" w:rsidRDefault="00836811" w:rsidP="001079F9">
            <w:pPr>
              <w:pStyle w:val="TableHeading"/>
            </w:pPr>
            <w:r w:rsidRPr="001079F9">
              <w:rPr>
                <w:rStyle w:val="A5"/>
                <w:rFonts w:cstheme="minorHAnsi"/>
                <w:color w:val="313E48"/>
                <w:sz w:val="22"/>
                <w:szCs w:val="21"/>
              </w:rPr>
              <w:t xml:space="preserve">2022-23 ($m) </w:t>
            </w:r>
          </w:p>
        </w:tc>
        <w:tc>
          <w:tcPr>
            <w:tcW w:w="1180" w:type="dxa"/>
          </w:tcPr>
          <w:p w14:paraId="2F12FE78" w14:textId="25BA971D" w:rsidR="00836811" w:rsidRPr="001079F9" w:rsidRDefault="00836811" w:rsidP="001079F9">
            <w:pPr>
              <w:pStyle w:val="TableHeading"/>
            </w:pPr>
            <w:r w:rsidRPr="001079F9">
              <w:rPr>
                <w:rStyle w:val="A5"/>
                <w:rFonts w:cstheme="minorHAnsi"/>
                <w:color w:val="313E48"/>
                <w:sz w:val="22"/>
                <w:szCs w:val="21"/>
              </w:rPr>
              <w:t xml:space="preserve">2023-24 ($m) </w:t>
            </w:r>
          </w:p>
        </w:tc>
        <w:tc>
          <w:tcPr>
            <w:tcW w:w="1180" w:type="dxa"/>
          </w:tcPr>
          <w:p w14:paraId="06B91CB6" w14:textId="02440C54" w:rsidR="00836811" w:rsidRPr="001079F9" w:rsidRDefault="00836811" w:rsidP="001079F9">
            <w:pPr>
              <w:pStyle w:val="TableHeading"/>
            </w:pPr>
            <w:r w:rsidRPr="001079F9">
              <w:rPr>
                <w:rStyle w:val="A5"/>
                <w:rFonts w:cstheme="minorHAnsi"/>
                <w:color w:val="313E48"/>
                <w:sz w:val="22"/>
                <w:szCs w:val="21"/>
              </w:rPr>
              <w:t xml:space="preserve">2024-25 ($m) </w:t>
            </w:r>
          </w:p>
        </w:tc>
        <w:tc>
          <w:tcPr>
            <w:tcW w:w="1180" w:type="dxa"/>
          </w:tcPr>
          <w:p w14:paraId="068F20CD" w14:textId="0799AF5C" w:rsidR="00836811" w:rsidRPr="001079F9" w:rsidRDefault="00836811" w:rsidP="001079F9">
            <w:pPr>
              <w:pStyle w:val="TableHeading"/>
            </w:pPr>
            <w:r w:rsidRPr="001079F9">
              <w:rPr>
                <w:rStyle w:val="A5"/>
                <w:rFonts w:cstheme="minorHAnsi"/>
                <w:color w:val="313E48"/>
                <w:sz w:val="22"/>
                <w:szCs w:val="21"/>
              </w:rPr>
              <w:t xml:space="preserve">Total ($m) </w:t>
            </w:r>
          </w:p>
        </w:tc>
      </w:tr>
      <w:tr w:rsidR="00836811" w14:paraId="10EADD16" w14:textId="77777777" w:rsidTr="00A71E28">
        <w:tc>
          <w:tcPr>
            <w:tcW w:w="3114" w:type="dxa"/>
          </w:tcPr>
          <w:p w14:paraId="1DC7D038" w14:textId="2DE922C9" w:rsidR="00836811" w:rsidRPr="001079F9" w:rsidRDefault="00836811" w:rsidP="001079F9">
            <w:pPr>
              <w:pStyle w:val="TableBodyCopy"/>
            </w:pPr>
            <w:r w:rsidRPr="001079F9">
              <w:rPr>
                <w:rStyle w:val="A5"/>
                <w:rFonts w:cs="Calibri Light"/>
                <w:color w:val="313E48"/>
                <w:sz w:val="22"/>
                <w:szCs w:val="21"/>
              </w:rPr>
              <w:t xml:space="preserve">Pacific Islands bilateral and regional (includes PNG) </w:t>
            </w:r>
          </w:p>
        </w:tc>
        <w:tc>
          <w:tcPr>
            <w:tcW w:w="1180" w:type="dxa"/>
          </w:tcPr>
          <w:p w14:paraId="158BAA98" w14:textId="63E832A1" w:rsidR="00836811" w:rsidRPr="001079F9" w:rsidRDefault="00836811" w:rsidP="001079F9">
            <w:pPr>
              <w:pStyle w:val="TableBodyCopy"/>
            </w:pPr>
            <w:r w:rsidRPr="001079F9">
              <w:t xml:space="preserve">166 </w:t>
            </w:r>
          </w:p>
        </w:tc>
        <w:tc>
          <w:tcPr>
            <w:tcW w:w="1180" w:type="dxa"/>
          </w:tcPr>
          <w:p w14:paraId="2A1C502D" w14:textId="5DEB2F3A" w:rsidR="00836811" w:rsidRPr="001079F9" w:rsidRDefault="00836811" w:rsidP="001079F9">
            <w:pPr>
              <w:pStyle w:val="TableBodyCopy"/>
            </w:pPr>
            <w:r w:rsidRPr="001079F9">
              <w:t xml:space="preserve">223.7 </w:t>
            </w:r>
          </w:p>
        </w:tc>
        <w:tc>
          <w:tcPr>
            <w:tcW w:w="1180" w:type="dxa"/>
          </w:tcPr>
          <w:p w14:paraId="1B3CA8B7" w14:textId="227FB969" w:rsidR="00836811" w:rsidRPr="001079F9" w:rsidRDefault="00836811" w:rsidP="001079F9">
            <w:pPr>
              <w:pStyle w:val="TableBodyCopy"/>
            </w:pPr>
            <w:r w:rsidRPr="001079F9">
              <w:t xml:space="preserve">265.9 </w:t>
            </w:r>
          </w:p>
        </w:tc>
        <w:tc>
          <w:tcPr>
            <w:tcW w:w="1180" w:type="dxa"/>
          </w:tcPr>
          <w:p w14:paraId="01212A35" w14:textId="18F8B5DB" w:rsidR="00836811" w:rsidRPr="001079F9" w:rsidRDefault="00836811" w:rsidP="001079F9">
            <w:pPr>
              <w:pStyle w:val="TableBodyCopy"/>
            </w:pPr>
            <w:r w:rsidRPr="001079F9">
              <w:t xml:space="preserve">334.2 </w:t>
            </w:r>
          </w:p>
        </w:tc>
        <w:tc>
          <w:tcPr>
            <w:tcW w:w="1180" w:type="dxa"/>
          </w:tcPr>
          <w:p w14:paraId="705CEFCB" w14:textId="18655BB1" w:rsidR="00836811" w:rsidRPr="001079F9" w:rsidRDefault="00836811" w:rsidP="001079F9">
            <w:pPr>
              <w:pStyle w:val="TableBodyCopy"/>
            </w:pPr>
            <w:r w:rsidRPr="001079F9">
              <w:t xml:space="preserve">304.2 </w:t>
            </w:r>
          </w:p>
        </w:tc>
        <w:tc>
          <w:tcPr>
            <w:tcW w:w="1180" w:type="dxa"/>
          </w:tcPr>
          <w:p w14:paraId="386835F5" w14:textId="037B5392" w:rsidR="00836811" w:rsidRPr="001079F9" w:rsidRDefault="00836811" w:rsidP="001079F9">
            <w:pPr>
              <w:pStyle w:val="TableBodyCopy"/>
            </w:pPr>
            <w:r w:rsidRPr="001079F9">
              <w:t xml:space="preserve">1293.9 </w:t>
            </w:r>
          </w:p>
        </w:tc>
      </w:tr>
      <w:tr w:rsidR="00836811" w14:paraId="154DA2F2" w14:textId="77777777" w:rsidTr="00A71E28">
        <w:tc>
          <w:tcPr>
            <w:tcW w:w="3114" w:type="dxa"/>
          </w:tcPr>
          <w:p w14:paraId="1D3049BF" w14:textId="2D41B958" w:rsidR="00836811" w:rsidRPr="001079F9" w:rsidRDefault="00836811" w:rsidP="001079F9">
            <w:pPr>
              <w:pStyle w:val="TableBodyCopy"/>
            </w:pPr>
            <w:r w:rsidRPr="001079F9">
              <w:rPr>
                <w:rStyle w:val="A5"/>
                <w:rFonts w:cs="Calibri Light"/>
                <w:color w:val="313E48"/>
                <w:sz w:val="22"/>
                <w:szCs w:val="21"/>
              </w:rPr>
              <w:t xml:space="preserve">Southeast and East Asia </w:t>
            </w:r>
          </w:p>
        </w:tc>
        <w:tc>
          <w:tcPr>
            <w:tcW w:w="1180" w:type="dxa"/>
          </w:tcPr>
          <w:p w14:paraId="6089D311" w14:textId="4D702C60" w:rsidR="00836811" w:rsidRPr="001079F9" w:rsidRDefault="00836811" w:rsidP="001079F9">
            <w:pPr>
              <w:pStyle w:val="TableBodyCopy"/>
            </w:pPr>
            <w:r w:rsidRPr="001079F9">
              <w:t xml:space="preserve">44.4 </w:t>
            </w:r>
          </w:p>
        </w:tc>
        <w:tc>
          <w:tcPr>
            <w:tcW w:w="1180" w:type="dxa"/>
          </w:tcPr>
          <w:p w14:paraId="2273133C" w14:textId="63633CAF" w:rsidR="00836811" w:rsidRPr="001079F9" w:rsidRDefault="00836811" w:rsidP="001079F9">
            <w:pPr>
              <w:pStyle w:val="TableBodyCopy"/>
            </w:pPr>
            <w:r w:rsidRPr="001079F9">
              <w:t xml:space="preserve">56.5 </w:t>
            </w:r>
          </w:p>
        </w:tc>
        <w:tc>
          <w:tcPr>
            <w:tcW w:w="1180" w:type="dxa"/>
          </w:tcPr>
          <w:p w14:paraId="33B5B964" w14:textId="711BEF4C" w:rsidR="00836811" w:rsidRPr="001079F9" w:rsidRDefault="00836811" w:rsidP="001079F9">
            <w:pPr>
              <w:pStyle w:val="TableBodyCopy"/>
            </w:pPr>
            <w:r w:rsidRPr="001079F9">
              <w:t xml:space="preserve">132.4 </w:t>
            </w:r>
          </w:p>
        </w:tc>
        <w:tc>
          <w:tcPr>
            <w:tcW w:w="1180" w:type="dxa"/>
          </w:tcPr>
          <w:p w14:paraId="5D960DF0" w14:textId="57B81BC3" w:rsidR="00836811" w:rsidRPr="001079F9" w:rsidRDefault="00836811" w:rsidP="001079F9">
            <w:pPr>
              <w:pStyle w:val="TableBodyCopy"/>
            </w:pPr>
            <w:r w:rsidRPr="001079F9">
              <w:t xml:space="preserve">156.2 </w:t>
            </w:r>
          </w:p>
        </w:tc>
        <w:tc>
          <w:tcPr>
            <w:tcW w:w="1180" w:type="dxa"/>
          </w:tcPr>
          <w:p w14:paraId="60A19D82" w14:textId="4D0DEA12" w:rsidR="00836811" w:rsidRPr="001079F9" w:rsidRDefault="00836811" w:rsidP="001079F9">
            <w:pPr>
              <w:pStyle w:val="TableBodyCopy"/>
            </w:pPr>
            <w:r w:rsidRPr="001079F9">
              <w:t xml:space="preserve">212.8 </w:t>
            </w:r>
          </w:p>
        </w:tc>
        <w:tc>
          <w:tcPr>
            <w:tcW w:w="1180" w:type="dxa"/>
          </w:tcPr>
          <w:p w14:paraId="33245E97" w14:textId="29D99366" w:rsidR="00836811" w:rsidRPr="001079F9" w:rsidRDefault="00836811" w:rsidP="001079F9">
            <w:pPr>
              <w:pStyle w:val="TableBodyCopy"/>
            </w:pPr>
            <w:r w:rsidRPr="001079F9">
              <w:t xml:space="preserve">602.3 </w:t>
            </w:r>
          </w:p>
        </w:tc>
      </w:tr>
      <w:tr w:rsidR="00836811" w14:paraId="1A3AD22E" w14:textId="77777777" w:rsidTr="00A71E28">
        <w:tc>
          <w:tcPr>
            <w:tcW w:w="3114" w:type="dxa"/>
          </w:tcPr>
          <w:p w14:paraId="5E70DA74" w14:textId="1AF8883F" w:rsidR="00836811" w:rsidRPr="001079F9" w:rsidRDefault="00836811" w:rsidP="001079F9">
            <w:pPr>
              <w:pStyle w:val="TableBodyCopy"/>
            </w:pPr>
            <w:r w:rsidRPr="001079F9">
              <w:rPr>
                <w:rStyle w:val="A5"/>
                <w:rFonts w:cs="Calibri Light"/>
                <w:color w:val="313E48"/>
                <w:sz w:val="22"/>
                <w:szCs w:val="21"/>
              </w:rPr>
              <w:t xml:space="preserve">South and West Asia </w:t>
            </w:r>
          </w:p>
        </w:tc>
        <w:tc>
          <w:tcPr>
            <w:tcW w:w="1180" w:type="dxa"/>
          </w:tcPr>
          <w:p w14:paraId="2A798B5A" w14:textId="4B8FAAB5" w:rsidR="00836811" w:rsidRPr="001079F9" w:rsidRDefault="00836811" w:rsidP="001079F9">
            <w:pPr>
              <w:pStyle w:val="TableBodyCopy"/>
            </w:pPr>
            <w:r w:rsidRPr="001079F9">
              <w:t xml:space="preserve">10.9 </w:t>
            </w:r>
          </w:p>
        </w:tc>
        <w:tc>
          <w:tcPr>
            <w:tcW w:w="1180" w:type="dxa"/>
          </w:tcPr>
          <w:p w14:paraId="13E3D52A" w14:textId="6194C914" w:rsidR="00836811" w:rsidRPr="001079F9" w:rsidRDefault="00836811" w:rsidP="001079F9">
            <w:pPr>
              <w:pStyle w:val="TableBodyCopy"/>
            </w:pPr>
            <w:r w:rsidRPr="001079F9">
              <w:t xml:space="preserve">13.2 </w:t>
            </w:r>
          </w:p>
        </w:tc>
        <w:tc>
          <w:tcPr>
            <w:tcW w:w="1180" w:type="dxa"/>
          </w:tcPr>
          <w:p w14:paraId="26755B17" w14:textId="23F2F09D" w:rsidR="00836811" w:rsidRPr="001079F9" w:rsidRDefault="00836811" w:rsidP="001079F9">
            <w:pPr>
              <w:pStyle w:val="TableBodyCopy"/>
            </w:pPr>
            <w:r w:rsidRPr="001079F9">
              <w:t xml:space="preserve">21.3 </w:t>
            </w:r>
          </w:p>
        </w:tc>
        <w:tc>
          <w:tcPr>
            <w:tcW w:w="1180" w:type="dxa"/>
          </w:tcPr>
          <w:p w14:paraId="7F3448FC" w14:textId="3A05838A" w:rsidR="00836811" w:rsidRPr="001079F9" w:rsidRDefault="00836811" w:rsidP="001079F9">
            <w:pPr>
              <w:pStyle w:val="TableBodyCopy"/>
            </w:pPr>
            <w:r w:rsidRPr="001079F9">
              <w:t xml:space="preserve">33.1 </w:t>
            </w:r>
          </w:p>
        </w:tc>
        <w:tc>
          <w:tcPr>
            <w:tcW w:w="1180" w:type="dxa"/>
          </w:tcPr>
          <w:p w14:paraId="13E0DE44" w14:textId="00940A12" w:rsidR="00836811" w:rsidRPr="001079F9" w:rsidRDefault="00836811" w:rsidP="001079F9">
            <w:pPr>
              <w:pStyle w:val="TableBodyCopy"/>
            </w:pPr>
            <w:r w:rsidRPr="001079F9">
              <w:t xml:space="preserve">19.4 </w:t>
            </w:r>
          </w:p>
        </w:tc>
        <w:tc>
          <w:tcPr>
            <w:tcW w:w="1180" w:type="dxa"/>
          </w:tcPr>
          <w:p w14:paraId="34BB8DC7" w14:textId="4A530C36" w:rsidR="00836811" w:rsidRPr="001079F9" w:rsidRDefault="00836811" w:rsidP="001079F9">
            <w:pPr>
              <w:pStyle w:val="TableBodyCopy"/>
            </w:pPr>
            <w:r w:rsidRPr="001079F9">
              <w:t xml:space="preserve">97.9 </w:t>
            </w:r>
          </w:p>
        </w:tc>
      </w:tr>
      <w:tr w:rsidR="00836811" w14:paraId="516C73F5" w14:textId="77777777" w:rsidTr="00A71E28">
        <w:tc>
          <w:tcPr>
            <w:tcW w:w="3114" w:type="dxa"/>
          </w:tcPr>
          <w:p w14:paraId="5D9DDBBE" w14:textId="6F084BE2" w:rsidR="00836811" w:rsidRPr="001079F9" w:rsidRDefault="00836811" w:rsidP="001079F9">
            <w:pPr>
              <w:pStyle w:val="TableBodyCopy"/>
            </w:pPr>
            <w:r w:rsidRPr="001079F9">
              <w:rPr>
                <w:rStyle w:val="A5"/>
                <w:rFonts w:cs="Calibri Light"/>
                <w:color w:val="313E48"/>
                <w:sz w:val="22"/>
                <w:szCs w:val="21"/>
              </w:rPr>
              <w:t xml:space="preserve">Other Asia </w:t>
            </w:r>
          </w:p>
        </w:tc>
        <w:tc>
          <w:tcPr>
            <w:tcW w:w="1180" w:type="dxa"/>
          </w:tcPr>
          <w:p w14:paraId="0C03E83C" w14:textId="2C54015B" w:rsidR="00836811" w:rsidRPr="001079F9" w:rsidRDefault="00836811" w:rsidP="001079F9">
            <w:pPr>
              <w:pStyle w:val="TableBodyCopy"/>
            </w:pPr>
            <w:r w:rsidRPr="001079F9">
              <w:t xml:space="preserve">13.4 </w:t>
            </w:r>
          </w:p>
        </w:tc>
        <w:tc>
          <w:tcPr>
            <w:tcW w:w="1180" w:type="dxa"/>
          </w:tcPr>
          <w:p w14:paraId="0CF101F8" w14:textId="2DC4DB66" w:rsidR="00836811" w:rsidRPr="001079F9" w:rsidRDefault="00836811" w:rsidP="001079F9">
            <w:pPr>
              <w:pStyle w:val="TableBodyCopy"/>
            </w:pPr>
            <w:r w:rsidRPr="001079F9">
              <w:t xml:space="preserve">33.8 </w:t>
            </w:r>
          </w:p>
        </w:tc>
        <w:tc>
          <w:tcPr>
            <w:tcW w:w="1180" w:type="dxa"/>
          </w:tcPr>
          <w:p w14:paraId="14E5351A" w14:textId="74219BA3" w:rsidR="00836811" w:rsidRPr="001079F9" w:rsidRDefault="00836811" w:rsidP="001079F9">
            <w:pPr>
              <w:pStyle w:val="TableBodyCopy"/>
            </w:pPr>
            <w:r w:rsidRPr="001079F9">
              <w:t xml:space="preserve">10 </w:t>
            </w:r>
          </w:p>
        </w:tc>
        <w:tc>
          <w:tcPr>
            <w:tcW w:w="1180" w:type="dxa"/>
          </w:tcPr>
          <w:p w14:paraId="3832EE27" w14:textId="485CB646" w:rsidR="00836811" w:rsidRPr="001079F9" w:rsidRDefault="00836811" w:rsidP="001079F9">
            <w:pPr>
              <w:pStyle w:val="TableBodyCopy"/>
            </w:pPr>
            <w:r w:rsidRPr="001079F9">
              <w:t xml:space="preserve">9.6 </w:t>
            </w:r>
          </w:p>
        </w:tc>
        <w:tc>
          <w:tcPr>
            <w:tcW w:w="1180" w:type="dxa"/>
          </w:tcPr>
          <w:p w14:paraId="14E7217E" w14:textId="27C97139" w:rsidR="00836811" w:rsidRPr="001079F9" w:rsidRDefault="00836811" w:rsidP="001079F9">
            <w:pPr>
              <w:pStyle w:val="TableBodyCopy"/>
            </w:pPr>
            <w:r w:rsidRPr="001079F9">
              <w:t xml:space="preserve">68.2 </w:t>
            </w:r>
          </w:p>
        </w:tc>
        <w:tc>
          <w:tcPr>
            <w:tcW w:w="1180" w:type="dxa"/>
          </w:tcPr>
          <w:p w14:paraId="01FC91A7" w14:textId="760970B8" w:rsidR="00836811" w:rsidRPr="001079F9" w:rsidRDefault="00836811" w:rsidP="001079F9">
            <w:pPr>
              <w:pStyle w:val="TableBodyCopy"/>
            </w:pPr>
            <w:r w:rsidRPr="001079F9">
              <w:t xml:space="preserve">135.1 </w:t>
            </w:r>
          </w:p>
        </w:tc>
      </w:tr>
      <w:tr w:rsidR="00836811" w14:paraId="510BC9B1" w14:textId="77777777" w:rsidTr="00A71E28">
        <w:tc>
          <w:tcPr>
            <w:tcW w:w="3114" w:type="dxa"/>
          </w:tcPr>
          <w:p w14:paraId="48A95200" w14:textId="63363AF4" w:rsidR="00836811" w:rsidRPr="001079F9" w:rsidRDefault="00836811" w:rsidP="001079F9">
            <w:pPr>
              <w:pStyle w:val="TableBodyCopy"/>
            </w:pPr>
            <w:r w:rsidRPr="001079F9">
              <w:rPr>
                <w:rStyle w:val="A5"/>
                <w:rFonts w:cs="Calibri Light"/>
                <w:color w:val="313E48"/>
                <w:sz w:val="22"/>
                <w:szCs w:val="21"/>
              </w:rPr>
              <w:t xml:space="preserve">Sub-Saharan Africa </w:t>
            </w:r>
          </w:p>
        </w:tc>
        <w:tc>
          <w:tcPr>
            <w:tcW w:w="1180" w:type="dxa"/>
          </w:tcPr>
          <w:p w14:paraId="22BBAC3C" w14:textId="32808313" w:rsidR="00836811" w:rsidRPr="001079F9" w:rsidRDefault="00836811" w:rsidP="001079F9">
            <w:pPr>
              <w:pStyle w:val="TableBodyCopy"/>
            </w:pPr>
            <w:r w:rsidRPr="001079F9">
              <w:t xml:space="preserve">7.3 </w:t>
            </w:r>
          </w:p>
        </w:tc>
        <w:tc>
          <w:tcPr>
            <w:tcW w:w="1180" w:type="dxa"/>
          </w:tcPr>
          <w:p w14:paraId="14CB324C" w14:textId="073140FB" w:rsidR="00836811" w:rsidRPr="001079F9" w:rsidRDefault="00836811" w:rsidP="001079F9">
            <w:pPr>
              <w:pStyle w:val="TableBodyCopy"/>
            </w:pPr>
            <w:r w:rsidRPr="001079F9">
              <w:t xml:space="preserve">9.5 </w:t>
            </w:r>
          </w:p>
        </w:tc>
        <w:tc>
          <w:tcPr>
            <w:tcW w:w="1180" w:type="dxa"/>
          </w:tcPr>
          <w:p w14:paraId="52553F70" w14:textId="07967ED5" w:rsidR="00836811" w:rsidRPr="001079F9" w:rsidRDefault="00836811" w:rsidP="001079F9">
            <w:pPr>
              <w:pStyle w:val="TableBodyCopy"/>
            </w:pPr>
            <w:r w:rsidRPr="001079F9">
              <w:t xml:space="preserve">11.8 </w:t>
            </w:r>
          </w:p>
        </w:tc>
        <w:tc>
          <w:tcPr>
            <w:tcW w:w="1180" w:type="dxa"/>
          </w:tcPr>
          <w:p w14:paraId="2B6F7D83" w14:textId="338C53D9" w:rsidR="00836811" w:rsidRPr="001079F9" w:rsidRDefault="00836811" w:rsidP="001079F9">
            <w:pPr>
              <w:pStyle w:val="TableBodyCopy"/>
            </w:pPr>
            <w:r w:rsidRPr="001079F9">
              <w:t xml:space="preserve">12.2 </w:t>
            </w:r>
          </w:p>
        </w:tc>
        <w:tc>
          <w:tcPr>
            <w:tcW w:w="1180" w:type="dxa"/>
          </w:tcPr>
          <w:p w14:paraId="6F2ECB8D" w14:textId="29797497" w:rsidR="00836811" w:rsidRPr="001079F9" w:rsidRDefault="00836811" w:rsidP="001079F9">
            <w:pPr>
              <w:pStyle w:val="TableBodyCopy"/>
            </w:pPr>
            <w:r w:rsidRPr="001079F9">
              <w:t xml:space="preserve">14.5 </w:t>
            </w:r>
          </w:p>
        </w:tc>
        <w:tc>
          <w:tcPr>
            <w:tcW w:w="1180" w:type="dxa"/>
          </w:tcPr>
          <w:p w14:paraId="7143CC91" w14:textId="337A86A5" w:rsidR="00836811" w:rsidRPr="001079F9" w:rsidRDefault="00836811" w:rsidP="001079F9">
            <w:pPr>
              <w:pStyle w:val="TableBodyCopy"/>
            </w:pPr>
            <w:r w:rsidRPr="001079F9">
              <w:t xml:space="preserve">55.3 </w:t>
            </w:r>
          </w:p>
        </w:tc>
      </w:tr>
      <w:tr w:rsidR="00836811" w14:paraId="097724E9" w14:textId="77777777" w:rsidTr="00A71E28">
        <w:tc>
          <w:tcPr>
            <w:tcW w:w="3114" w:type="dxa"/>
          </w:tcPr>
          <w:p w14:paraId="41C642BB" w14:textId="7E8C2DD9" w:rsidR="00836811" w:rsidRPr="001079F9" w:rsidRDefault="00836811" w:rsidP="001079F9">
            <w:pPr>
              <w:pStyle w:val="TableBodyCopy"/>
            </w:pPr>
            <w:r w:rsidRPr="001079F9">
              <w:rPr>
                <w:rStyle w:val="A5"/>
                <w:rFonts w:cs="Calibri Light"/>
                <w:color w:val="313E48"/>
                <w:sz w:val="22"/>
                <w:szCs w:val="21"/>
              </w:rPr>
              <w:t xml:space="preserve">North Africa and Middle East </w:t>
            </w:r>
          </w:p>
        </w:tc>
        <w:tc>
          <w:tcPr>
            <w:tcW w:w="1180" w:type="dxa"/>
          </w:tcPr>
          <w:p w14:paraId="6DFACAB6" w14:textId="62C7C9BA" w:rsidR="00836811" w:rsidRPr="001079F9" w:rsidRDefault="00836811" w:rsidP="001079F9">
            <w:pPr>
              <w:pStyle w:val="TableBodyCopy"/>
            </w:pPr>
            <w:r w:rsidRPr="001079F9">
              <w:t xml:space="preserve">0.3 </w:t>
            </w:r>
          </w:p>
        </w:tc>
        <w:tc>
          <w:tcPr>
            <w:tcW w:w="1180" w:type="dxa"/>
          </w:tcPr>
          <w:p w14:paraId="493F8C99" w14:textId="2592D3FE" w:rsidR="00836811" w:rsidRPr="001079F9" w:rsidRDefault="00836811" w:rsidP="001079F9">
            <w:pPr>
              <w:pStyle w:val="TableBodyCopy"/>
            </w:pPr>
            <w:r w:rsidRPr="001079F9">
              <w:t xml:space="preserve">0.9 </w:t>
            </w:r>
          </w:p>
        </w:tc>
        <w:tc>
          <w:tcPr>
            <w:tcW w:w="1180" w:type="dxa"/>
          </w:tcPr>
          <w:p w14:paraId="26019363" w14:textId="0CDB6E93" w:rsidR="00836811" w:rsidRPr="001079F9" w:rsidRDefault="00836811" w:rsidP="001079F9">
            <w:pPr>
              <w:pStyle w:val="TableBodyCopy"/>
            </w:pPr>
            <w:r w:rsidRPr="001079F9">
              <w:t xml:space="preserve">0.9 </w:t>
            </w:r>
          </w:p>
        </w:tc>
        <w:tc>
          <w:tcPr>
            <w:tcW w:w="1180" w:type="dxa"/>
          </w:tcPr>
          <w:p w14:paraId="25801395" w14:textId="592DB2D3" w:rsidR="00836811" w:rsidRPr="001079F9" w:rsidRDefault="00836811" w:rsidP="001079F9">
            <w:pPr>
              <w:pStyle w:val="TableBodyCopy"/>
            </w:pPr>
            <w:r w:rsidRPr="001079F9">
              <w:t xml:space="preserve">1.3 </w:t>
            </w:r>
          </w:p>
        </w:tc>
        <w:tc>
          <w:tcPr>
            <w:tcW w:w="1180" w:type="dxa"/>
          </w:tcPr>
          <w:p w14:paraId="3D7C1412" w14:textId="4932360C" w:rsidR="00836811" w:rsidRPr="001079F9" w:rsidRDefault="00836811" w:rsidP="001079F9">
            <w:pPr>
              <w:pStyle w:val="TableBodyCopy"/>
            </w:pPr>
            <w:r w:rsidRPr="001079F9">
              <w:t xml:space="preserve">3.6 </w:t>
            </w:r>
          </w:p>
        </w:tc>
        <w:tc>
          <w:tcPr>
            <w:tcW w:w="1180" w:type="dxa"/>
          </w:tcPr>
          <w:p w14:paraId="5C1AC151" w14:textId="26504BB1" w:rsidR="00836811" w:rsidRPr="001079F9" w:rsidRDefault="00836811" w:rsidP="001079F9">
            <w:pPr>
              <w:pStyle w:val="TableBodyCopy"/>
            </w:pPr>
            <w:r w:rsidRPr="001079F9">
              <w:t xml:space="preserve">6.9 </w:t>
            </w:r>
          </w:p>
        </w:tc>
      </w:tr>
      <w:tr w:rsidR="00EE61D3" w14:paraId="414720A2" w14:textId="77777777" w:rsidTr="00A71E28">
        <w:tc>
          <w:tcPr>
            <w:tcW w:w="3114" w:type="dxa"/>
          </w:tcPr>
          <w:p w14:paraId="3ACFA203" w14:textId="02170572" w:rsidR="00EE61D3" w:rsidRPr="001079F9" w:rsidRDefault="00EE61D3" w:rsidP="001079F9">
            <w:pPr>
              <w:pStyle w:val="TableBodyCopy"/>
            </w:pPr>
            <w:r w:rsidRPr="001079F9">
              <w:rPr>
                <w:rStyle w:val="A5"/>
                <w:rFonts w:cs="Calibri Light"/>
                <w:color w:val="313E48"/>
                <w:sz w:val="22"/>
                <w:szCs w:val="21"/>
              </w:rPr>
              <w:t xml:space="preserve">Latin America and the Caribbean </w:t>
            </w:r>
          </w:p>
        </w:tc>
        <w:tc>
          <w:tcPr>
            <w:tcW w:w="1180" w:type="dxa"/>
          </w:tcPr>
          <w:p w14:paraId="4A871CBD" w14:textId="4838AAE6" w:rsidR="00EE61D3" w:rsidRPr="001079F9" w:rsidRDefault="00EE61D3" w:rsidP="001079F9">
            <w:pPr>
              <w:pStyle w:val="TableBodyCopy"/>
            </w:pPr>
            <w:r w:rsidRPr="001079F9">
              <w:t xml:space="preserve">0 </w:t>
            </w:r>
          </w:p>
        </w:tc>
        <w:tc>
          <w:tcPr>
            <w:tcW w:w="1180" w:type="dxa"/>
          </w:tcPr>
          <w:p w14:paraId="3C665BB9" w14:textId="41011425" w:rsidR="00EE61D3" w:rsidRPr="001079F9" w:rsidRDefault="00EE61D3" w:rsidP="001079F9">
            <w:pPr>
              <w:pStyle w:val="TableBodyCopy"/>
            </w:pPr>
            <w:r w:rsidRPr="001079F9">
              <w:t xml:space="preserve">0.1 </w:t>
            </w:r>
          </w:p>
        </w:tc>
        <w:tc>
          <w:tcPr>
            <w:tcW w:w="1180" w:type="dxa"/>
          </w:tcPr>
          <w:p w14:paraId="3DD9929C" w14:textId="616EB112" w:rsidR="00EE61D3" w:rsidRPr="001079F9" w:rsidRDefault="00EE61D3" w:rsidP="001079F9">
            <w:pPr>
              <w:pStyle w:val="TableBodyCopy"/>
            </w:pPr>
            <w:r w:rsidRPr="001079F9">
              <w:t xml:space="preserve">0.1 </w:t>
            </w:r>
          </w:p>
        </w:tc>
        <w:tc>
          <w:tcPr>
            <w:tcW w:w="1180" w:type="dxa"/>
          </w:tcPr>
          <w:p w14:paraId="5EDA52AC" w14:textId="6E8BF360" w:rsidR="00EE61D3" w:rsidRPr="001079F9" w:rsidRDefault="00EE61D3" w:rsidP="001079F9">
            <w:pPr>
              <w:pStyle w:val="TableBodyCopy"/>
            </w:pPr>
            <w:r w:rsidRPr="001079F9">
              <w:t xml:space="preserve">0.1 </w:t>
            </w:r>
          </w:p>
        </w:tc>
        <w:tc>
          <w:tcPr>
            <w:tcW w:w="1180" w:type="dxa"/>
          </w:tcPr>
          <w:p w14:paraId="78A26ED1" w14:textId="0A04A30A" w:rsidR="00EE61D3" w:rsidRPr="001079F9" w:rsidRDefault="00EE61D3" w:rsidP="001079F9">
            <w:pPr>
              <w:pStyle w:val="TableBodyCopy"/>
            </w:pPr>
            <w:r w:rsidRPr="001079F9">
              <w:t xml:space="preserve">0 </w:t>
            </w:r>
          </w:p>
        </w:tc>
        <w:tc>
          <w:tcPr>
            <w:tcW w:w="1180" w:type="dxa"/>
          </w:tcPr>
          <w:p w14:paraId="0A823C11" w14:textId="6EEF5F2B" w:rsidR="00EE61D3" w:rsidRPr="001079F9" w:rsidRDefault="00EE61D3" w:rsidP="001079F9">
            <w:pPr>
              <w:pStyle w:val="TableBodyCopy"/>
            </w:pPr>
            <w:r w:rsidRPr="001079F9">
              <w:t xml:space="preserve">0.3 </w:t>
            </w:r>
          </w:p>
        </w:tc>
      </w:tr>
      <w:tr w:rsidR="00EE61D3" w14:paraId="593B37B7" w14:textId="77777777" w:rsidTr="00A71E28">
        <w:tc>
          <w:tcPr>
            <w:tcW w:w="3114" w:type="dxa"/>
          </w:tcPr>
          <w:p w14:paraId="60BBB320" w14:textId="7022D8B9" w:rsidR="00EE61D3" w:rsidRPr="001079F9" w:rsidRDefault="00EE61D3" w:rsidP="001079F9">
            <w:pPr>
              <w:pStyle w:val="TableBodyCopy"/>
            </w:pPr>
            <w:r w:rsidRPr="001079F9">
              <w:rPr>
                <w:rStyle w:val="A5"/>
                <w:rFonts w:cs="Calibri Light"/>
                <w:color w:val="313E48"/>
                <w:sz w:val="22"/>
                <w:szCs w:val="21"/>
              </w:rPr>
              <w:t xml:space="preserve">‘Other’: unallocated global programs </w:t>
            </w:r>
          </w:p>
        </w:tc>
        <w:tc>
          <w:tcPr>
            <w:tcW w:w="1180" w:type="dxa"/>
          </w:tcPr>
          <w:p w14:paraId="1BD3CF62" w14:textId="03E124D3" w:rsidR="00EE61D3" w:rsidRPr="001079F9" w:rsidRDefault="00EE61D3" w:rsidP="001079F9">
            <w:pPr>
              <w:pStyle w:val="TableBodyCopy"/>
            </w:pPr>
            <w:r w:rsidRPr="001079F9">
              <w:t xml:space="preserve">104 </w:t>
            </w:r>
          </w:p>
        </w:tc>
        <w:tc>
          <w:tcPr>
            <w:tcW w:w="1180" w:type="dxa"/>
          </w:tcPr>
          <w:p w14:paraId="27C7A6A3" w14:textId="6F4E709E" w:rsidR="00EE61D3" w:rsidRPr="001079F9" w:rsidRDefault="00EE61D3" w:rsidP="001079F9">
            <w:pPr>
              <w:pStyle w:val="TableBodyCopy"/>
            </w:pPr>
            <w:r w:rsidRPr="001079F9">
              <w:t xml:space="preserve">111.4 </w:t>
            </w:r>
          </w:p>
        </w:tc>
        <w:tc>
          <w:tcPr>
            <w:tcW w:w="1180" w:type="dxa"/>
          </w:tcPr>
          <w:p w14:paraId="3150925C" w14:textId="2F433F8E" w:rsidR="00EE61D3" w:rsidRPr="001079F9" w:rsidRDefault="00EE61D3" w:rsidP="001079F9">
            <w:pPr>
              <w:pStyle w:val="TableBodyCopy"/>
            </w:pPr>
            <w:r w:rsidRPr="001079F9">
              <w:t xml:space="preserve">128.7 </w:t>
            </w:r>
          </w:p>
        </w:tc>
        <w:tc>
          <w:tcPr>
            <w:tcW w:w="1180" w:type="dxa"/>
          </w:tcPr>
          <w:p w14:paraId="7B0B9069" w14:textId="41EA02A0" w:rsidR="00EE61D3" w:rsidRPr="001079F9" w:rsidRDefault="00EE61D3" w:rsidP="001079F9">
            <w:pPr>
              <w:pStyle w:val="TableBodyCopy"/>
            </w:pPr>
            <w:r w:rsidRPr="001079F9">
              <w:t xml:space="preserve">235.9 </w:t>
            </w:r>
          </w:p>
        </w:tc>
        <w:tc>
          <w:tcPr>
            <w:tcW w:w="1180" w:type="dxa"/>
          </w:tcPr>
          <w:p w14:paraId="05B006CE" w14:textId="49739E60" w:rsidR="00EE61D3" w:rsidRPr="001079F9" w:rsidRDefault="00EE61D3" w:rsidP="001079F9">
            <w:pPr>
              <w:pStyle w:val="TableBodyCopy"/>
            </w:pPr>
            <w:r w:rsidRPr="001079F9">
              <w:t xml:space="preserve">295.6 </w:t>
            </w:r>
          </w:p>
        </w:tc>
        <w:tc>
          <w:tcPr>
            <w:tcW w:w="1180" w:type="dxa"/>
          </w:tcPr>
          <w:p w14:paraId="4D01CDA6" w14:textId="738F9214" w:rsidR="00EE61D3" w:rsidRPr="001079F9" w:rsidRDefault="00EE61D3" w:rsidP="001079F9">
            <w:pPr>
              <w:pStyle w:val="TableBodyCopy"/>
            </w:pPr>
            <w:r w:rsidRPr="001079F9">
              <w:t xml:space="preserve">875.6 </w:t>
            </w:r>
          </w:p>
        </w:tc>
      </w:tr>
      <w:tr w:rsidR="00EE61D3" w14:paraId="788231A1" w14:textId="77777777" w:rsidTr="00A71E28">
        <w:tc>
          <w:tcPr>
            <w:tcW w:w="3114" w:type="dxa"/>
          </w:tcPr>
          <w:p w14:paraId="4FD53C39" w14:textId="65E3F4DC" w:rsidR="00EE61D3" w:rsidRPr="001079F9" w:rsidRDefault="00EE61D3" w:rsidP="001079F9">
            <w:pPr>
              <w:pStyle w:val="TableBodyCopy"/>
            </w:pPr>
            <w:r w:rsidRPr="001079F9">
              <w:rPr>
                <w:rStyle w:val="A5"/>
                <w:rFonts w:cs="Calibri Light"/>
                <w:color w:val="313E48"/>
                <w:sz w:val="22"/>
                <w:szCs w:val="21"/>
              </w:rPr>
              <w:t xml:space="preserve">Sub-total: ODA Climate Finance - Grants and Loans (per ODA Statistical Summary, 'Green Book') </w:t>
            </w:r>
          </w:p>
        </w:tc>
        <w:tc>
          <w:tcPr>
            <w:tcW w:w="1180" w:type="dxa"/>
          </w:tcPr>
          <w:p w14:paraId="42744141" w14:textId="753595D4" w:rsidR="00EE61D3" w:rsidRPr="001079F9" w:rsidRDefault="00EE61D3" w:rsidP="001079F9">
            <w:pPr>
              <w:pStyle w:val="TableBodyCopy"/>
            </w:pPr>
            <w:r w:rsidRPr="001079F9">
              <w:t xml:space="preserve">346.3 </w:t>
            </w:r>
          </w:p>
        </w:tc>
        <w:tc>
          <w:tcPr>
            <w:tcW w:w="1180" w:type="dxa"/>
          </w:tcPr>
          <w:p w14:paraId="00F83FB2" w14:textId="23C1D42A" w:rsidR="00EE61D3" w:rsidRPr="001079F9" w:rsidRDefault="00EE61D3" w:rsidP="001079F9">
            <w:pPr>
              <w:pStyle w:val="TableBodyCopy"/>
            </w:pPr>
            <w:r w:rsidRPr="001079F9">
              <w:t xml:space="preserve">449.2 </w:t>
            </w:r>
          </w:p>
        </w:tc>
        <w:tc>
          <w:tcPr>
            <w:tcW w:w="1180" w:type="dxa"/>
          </w:tcPr>
          <w:p w14:paraId="4EB0446A" w14:textId="5DF50355" w:rsidR="00EE61D3" w:rsidRPr="001079F9" w:rsidRDefault="00EE61D3" w:rsidP="001079F9">
            <w:pPr>
              <w:pStyle w:val="TableBodyCopy"/>
            </w:pPr>
            <w:r w:rsidRPr="001079F9">
              <w:t xml:space="preserve">571.1 </w:t>
            </w:r>
          </w:p>
        </w:tc>
        <w:tc>
          <w:tcPr>
            <w:tcW w:w="1180" w:type="dxa"/>
          </w:tcPr>
          <w:p w14:paraId="5B3D6B8D" w14:textId="1B8DB6F0" w:rsidR="00EE61D3" w:rsidRPr="001079F9" w:rsidRDefault="00EE61D3" w:rsidP="001079F9">
            <w:pPr>
              <w:pStyle w:val="TableBodyCopy"/>
            </w:pPr>
            <w:r w:rsidRPr="001079F9">
              <w:t xml:space="preserve">782.6 </w:t>
            </w:r>
          </w:p>
        </w:tc>
        <w:tc>
          <w:tcPr>
            <w:tcW w:w="1180" w:type="dxa"/>
          </w:tcPr>
          <w:p w14:paraId="5E53EBBE" w14:textId="26AFCD9C" w:rsidR="00EE61D3" w:rsidRPr="001079F9" w:rsidRDefault="00EE61D3" w:rsidP="001079F9">
            <w:pPr>
              <w:pStyle w:val="TableBodyCopy"/>
            </w:pPr>
            <w:r w:rsidRPr="001079F9">
              <w:t xml:space="preserve">918.2 </w:t>
            </w:r>
          </w:p>
        </w:tc>
        <w:tc>
          <w:tcPr>
            <w:tcW w:w="1180" w:type="dxa"/>
          </w:tcPr>
          <w:p w14:paraId="5487CAF6" w14:textId="416FAAE5" w:rsidR="00EE61D3" w:rsidRPr="001079F9" w:rsidRDefault="00EE61D3" w:rsidP="001079F9">
            <w:pPr>
              <w:pStyle w:val="TableBodyCopy"/>
            </w:pPr>
            <w:r w:rsidRPr="001079F9">
              <w:t xml:space="preserve">3067.4 </w:t>
            </w:r>
          </w:p>
        </w:tc>
      </w:tr>
      <w:tr w:rsidR="00EE61D3" w14:paraId="31DAF8DA" w14:textId="77777777" w:rsidTr="00A71E28">
        <w:tc>
          <w:tcPr>
            <w:tcW w:w="3114" w:type="dxa"/>
          </w:tcPr>
          <w:p w14:paraId="35B6EDC4" w14:textId="73FBE922" w:rsidR="00EE61D3" w:rsidRPr="001079F9" w:rsidRDefault="00EE61D3" w:rsidP="001079F9">
            <w:pPr>
              <w:pStyle w:val="TableBodyCopy"/>
            </w:pPr>
            <w:r w:rsidRPr="001079F9">
              <w:rPr>
                <w:rStyle w:val="A5"/>
                <w:rFonts w:cs="Calibri Light"/>
                <w:color w:val="313E48"/>
                <w:sz w:val="22"/>
                <w:szCs w:val="21"/>
              </w:rPr>
              <w:t xml:space="preserve">Non-ODA Grants and Loans </w:t>
            </w:r>
          </w:p>
        </w:tc>
        <w:tc>
          <w:tcPr>
            <w:tcW w:w="1180" w:type="dxa"/>
          </w:tcPr>
          <w:p w14:paraId="45CC50D8" w14:textId="222BA44E" w:rsidR="00EE61D3" w:rsidRPr="001079F9" w:rsidRDefault="00EE61D3" w:rsidP="001079F9">
            <w:pPr>
              <w:pStyle w:val="TableBodyCopy"/>
            </w:pPr>
            <w:r w:rsidRPr="001079F9">
              <w:t xml:space="preserve">2.4 </w:t>
            </w:r>
          </w:p>
        </w:tc>
        <w:tc>
          <w:tcPr>
            <w:tcW w:w="1180" w:type="dxa"/>
          </w:tcPr>
          <w:p w14:paraId="4A4643BD" w14:textId="7F4B0DFD" w:rsidR="00EE61D3" w:rsidRPr="001079F9" w:rsidRDefault="00EE61D3" w:rsidP="001079F9">
            <w:pPr>
              <w:pStyle w:val="TableBodyCopy"/>
            </w:pPr>
            <w:r w:rsidRPr="001079F9">
              <w:t xml:space="preserve">64.8 </w:t>
            </w:r>
          </w:p>
        </w:tc>
        <w:tc>
          <w:tcPr>
            <w:tcW w:w="1180" w:type="dxa"/>
          </w:tcPr>
          <w:p w14:paraId="04A17844" w14:textId="7D6491F3" w:rsidR="00EE61D3" w:rsidRPr="001079F9" w:rsidRDefault="00EE61D3" w:rsidP="001079F9">
            <w:pPr>
              <w:pStyle w:val="TableBodyCopy"/>
            </w:pPr>
            <w:r w:rsidRPr="001079F9">
              <w:t xml:space="preserve">41.6 </w:t>
            </w:r>
          </w:p>
        </w:tc>
        <w:tc>
          <w:tcPr>
            <w:tcW w:w="1180" w:type="dxa"/>
          </w:tcPr>
          <w:p w14:paraId="418F6A92" w14:textId="16401EFA" w:rsidR="00EE61D3" w:rsidRPr="001079F9" w:rsidRDefault="00EE61D3" w:rsidP="001079F9">
            <w:pPr>
              <w:pStyle w:val="TableBodyCopy"/>
            </w:pPr>
            <w:r w:rsidRPr="001079F9">
              <w:t xml:space="preserve">3.3 </w:t>
            </w:r>
          </w:p>
        </w:tc>
        <w:tc>
          <w:tcPr>
            <w:tcW w:w="1180" w:type="dxa"/>
          </w:tcPr>
          <w:p w14:paraId="35F840C6" w14:textId="34F10E80" w:rsidR="00EE61D3" w:rsidRPr="001079F9" w:rsidRDefault="00EE61D3" w:rsidP="001079F9">
            <w:pPr>
              <w:pStyle w:val="TableBodyCopy"/>
            </w:pPr>
            <w:r w:rsidRPr="001079F9">
              <w:t xml:space="preserve">335.1 </w:t>
            </w:r>
          </w:p>
        </w:tc>
        <w:tc>
          <w:tcPr>
            <w:tcW w:w="1180" w:type="dxa"/>
          </w:tcPr>
          <w:p w14:paraId="0FD9CEB0" w14:textId="1EC60863" w:rsidR="00EE61D3" w:rsidRPr="001079F9" w:rsidRDefault="00EE61D3" w:rsidP="001079F9">
            <w:pPr>
              <w:pStyle w:val="TableBodyCopy"/>
            </w:pPr>
            <w:r w:rsidRPr="001079F9">
              <w:t xml:space="preserve">447.2 </w:t>
            </w:r>
          </w:p>
        </w:tc>
      </w:tr>
      <w:tr w:rsidR="00EE61D3" w14:paraId="1443EA72" w14:textId="77777777" w:rsidTr="00A71E28">
        <w:tc>
          <w:tcPr>
            <w:tcW w:w="3114" w:type="dxa"/>
          </w:tcPr>
          <w:p w14:paraId="38897E8A" w14:textId="2E3C872C" w:rsidR="00EE61D3" w:rsidRPr="001079F9" w:rsidRDefault="00EE61D3" w:rsidP="001079F9">
            <w:pPr>
              <w:pStyle w:val="TableBodyCopy"/>
            </w:pPr>
            <w:r w:rsidRPr="001079F9">
              <w:rPr>
                <w:rStyle w:val="A5"/>
                <w:rFonts w:cs="Calibri Light"/>
                <w:color w:val="313E48"/>
                <w:sz w:val="22"/>
                <w:szCs w:val="21"/>
              </w:rPr>
              <w:t xml:space="preserve">Private Climate Finance Mobilised </w:t>
            </w:r>
          </w:p>
        </w:tc>
        <w:tc>
          <w:tcPr>
            <w:tcW w:w="1180" w:type="dxa"/>
          </w:tcPr>
          <w:p w14:paraId="0DC84895" w14:textId="631A6837" w:rsidR="00EE61D3" w:rsidRPr="001079F9" w:rsidRDefault="00EE61D3" w:rsidP="001079F9">
            <w:pPr>
              <w:pStyle w:val="TableBodyCopy"/>
            </w:pPr>
            <w:r w:rsidRPr="001079F9">
              <w:t xml:space="preserve">0 </w:t>
            </w:r>
          </w:p>
        </w:tc>
        <w:tc>
          <w:tcPr>
            <w:tcW w:w="1180" w:type="dxa"/>
          </w:tcPr>
          <w:p w14:paraId="57952470" w14:textId="071CFFE5" w:rsidR="00EE61D3" w:rsidRPr="001079F9" w:rsidRDefault="00EE61D3" w:rsidP="001079F9">
            <w:pPr>
              <w:pStyle w:val="TableBodyCopy"/>
            </w:pPr>
            <w:r w:rsidRPr="001079F9">
              <w:t xml:space="preserve">126.2 </w:t>
            </w:r>
          </w:p>
        </w:tc>
        <w:tc>
          <w:tcPr>
            <w:tcW w:w="1180" w:type="dxa"/>
          </w:tcPr>
          <w:p w14:paraId="0FA3D241" w14:textId="7E91959B" w:rsidR="00EE61D3" w:rsidRPr="001079F9" w:rsidRDefault="00EE61D3" w:rsidP="001079F9">
            <w:pPr>
              <w:pStyle w:val="TableBodyCopy"/>
            </w:pPr>
            <w:r w:rsidRPr="001079F9">
              <w:t xml:space="preserve">6.5 </w:t>
            </w:r>
          </w:p>
        </w:tc>
        <w:tc>
          <w:tcPr>
            <w:tcW w:w="1180" w:type="dxa"/>
          </w:tcPr>
          <w:p w14:paraId="1AC5BADE" w14:textId="32255BF6" w:rsidR="00EE61D3" w:rsidRPr="001079F9" w:rsidRDefault="00EE61D3" w:rsidP="001079F9">
            <w:pPr>
              <w:pStyle w:val="TableBodyCopy"/>
            </w:pPr>
            <w:r w:rsidRPr="001079F9">
              <w:t xml:space="preserve">126.4 </w:t>
            </w:r>
          </w:p>
        </w:tc>
        <w:tc>
          <w:tcPr>
            <w:tcW w:w="1180" w:type="dxa"/>
          </w:tcPr>
          <w:p w14:paraId="2E9E936B" w14:textId="5E45C18F" w:rsidR="00EE61D3" w:rsidRPr="001079F9" w:rsidRDefault="00EE61D3" w:rsidP="001079F9">
            <w:pPr>
              <w:pStyle w:val="TableBodyCopy"/>
            </w:pPr>
            <w:r w:rsidRPr="001079F9">
              <w:t xml:space="preserve">102.6 </w:t>
            </w:r>
          </w:p>
        </w:tc>
        <w:tc>
          <w:tcPr>
            <w:tcW w:w="1180" w:type="dxa"/>
          </w:tcPr>
          <w:p w14:paraId="148A2F43" w14:textId="351F78F2" w:rsidR="00EE61D3" w:rsidRPr="001079F9" w:rsidRDefault="00EE61D3" w:rsidP="001079F9">
            <w:pPr>
              <w:pStyle w:val="TableBodyCopy"/>
            </w:pPr>
            <w:r w:rsidRPr="001079F9">
              <w:t xml:space="preserve">361.6 </w:t>
            </w:r>
          </w:p>
        </w:tc>
      </w:tr>
      <w:tr w:rsidR="00EE61D3" w14:paraId="071E870B" w14:textId="77777777" w:rsidTr="00A71E28">
        <w:tc>
          <w:tcPr>
            <w:tcW w:w="3114" w:type="dxa"/>
          </w:tcPr>
          <w:p w14:paraId="5365AB3D" w14:textId="136FA845" w:rsidR="00EE61D3" w:rsidRPr="001079F9" w:rsidRDefault="00EE61D3" w:rsidP="001079F9">
            <w:pPr>
              <w:pStyle w:val="TableBodyCopy"/>
            </w:pPr>
            <w:r w:rsidRPr="001079F9">
              <w:rPr>
                <w:rStyle w:val="A5"/>
                <w:rFonts w:cs="Calibri Light"/>
                <w:color w:val="313E48"/>
                <w:sz w:val="22"/>
                <w:szCs w:val="21"/>
              </w:rPr>
              <w:t xml:space="preserve">Sub-total: Other Climate Finance </w:t>
            </w:r>
          </w:p>
        </w:tc>
        <w:tc>
          <w:tcPr>
            <w:tcW w:w="1180" w:type="dxa"/>
          </w:tcPr>
          <w:p w14:paraId="7E671A99" w14:textId="3D971610" w:rsidR="00EE61D3" w:rsidRPr="001079F9" w:rsidRDefault="00EE61D3" w:rsidP="001079F9">
            <w:pPr>
              <w:pStyle w:val="TableBodyCopy"/>
            </w:pPr>
            <w:r w:rsidRPr="001079F9">
              <w:t xml:space="preserve">2.4 </w:t>
            </w:r>
          </w:p>
        </w:tc>
        <w:tc>
          <w:tcPr>
            <w:tcW w:w="1180" w:type="dxa"/>
          </w:tcPr>
          <w:p w14:paraId="54745ECF" w14:textId="68364A16" w:rsidR="00EE61D3" w:rsidRPr="001079F9" w:rsidRDefault="00EE61D3" w:rsidP="001079F9">
            <w:pPr>
              <w:pStyle w:val="TableBodyCopy"/>
            </w:pPr>
            <w:r w:rsidRPr="001079F9">
              <w:t xml:space="preserve">191 </w:t>
            </w:r>
          </w:p>
        </w:tc>
        <w:tc>
          <w:tcPr>
            <w:tcW w:w="1180" w:type="dxa"/>
          </w:tcPr>
          <w:p w14:paraId="0F661587" w14:textId="05C52BE0" w:rsidR="00EE61D3" w:rsidRPr="001079F9" w:rsidRDefault="00EE61D3" w:rsidP="001079F9">
            <w:pPr>
              <w:pStyle w:val="TableBodyCopy"/>
            </w:pPr>
            <w:r w:rsidRPr="001079F9">
              <w:t xml:space="preserve">48 </w:t>
            </w:r>
          </w:p>
        </w:tc>
        <w:tc>
          <w:tcPr>
            <w:tcW w:w="1180" w:type="dxa"/>
          </w:tcPr>
          <w:p w14:paraId="5A5485DA" w14:textId="7830E9D8" w:rsidR="00EE61D3" w:rsidRPr="001079F9" w:rsidRDefault="00EE61D3" w:rsidP="001079F9">
            <w:pPr>
              <w:pStyle w:val="TableBodyCopy"/>
            </w:pPr>
            <w:r w:rsidRPr="001079F9">
              <w:t xml:space="preserve">129.7 </w:t>
            </w:r>
          </w:p>
        </w:tc>
        <w:tc>
          <w:tcPr>
            <w:tcW w:w="1180" w:type="dxa"/>
          </w:tcPr>
          <w:p w14:paraId="779FE3AB" w14:textId="0787E986" w:rsidR="00EE61D3" w:rsidRPr="001079F9" w:rsidRDefault="00EE61D3" w:rsidP="001079F9">
            <w:pPr>
              <w:pStyle w:val="TableBodyCopy"/>
            </w:pPr>
            <w:r w:rsidRPr="001079F9">
              <w:t xml:space="preserve">437.7 </w:t>
            </w:r>
          </w:p>
        </w:tc>
        <w:tc>
          <w:tcPr>
            <w:tcW w:w="1180" w:type="dxa"/>
          </w:tcPr>
          <w:p w14:paraId="4BEE1167" w14:textId="04167C72" w:rsidR="00EE61D3" w:rsidRPr="001079F9" w:rsidRDefault="00EE61D3" w:rsidP="001079F9">
            <w:pPr>
              <w:pStyle w:val="TableBodyCopy"/>
            </w:pPr>
            <w:r w:rsidRPr="001079F9">
              <w:t xml:space="preserve">808.8 </w:t>
            </w:r>
          </w:p>
        </w:tc>
      </w:tr>
      <w:tr w:rsidR="00EE61D3" w14:paraId="0835E6A6" w14:textId="77777777" w:rsidTr="00A71E28">
        <w:tc>
          <w:tcPr>
            <w:tcW w:w="3114" w:type="dxa"/>
          </w:tcPr>
          <w:p w14:paraId="392F76AE" w14:textId="6B862373" w:rsidR="00EE61D3" w:rsidRPr="001079F9" w:rsidRDefault="00EE61D3" w:rsidP="001079F9">
            <w:pPr>
              <w:pStyle w:val="TableBodyCopy"/>
              <w:rPr>
                <w:b/>
                <w:bCs/>
              </w:rPr>
            </w:pPr>
            <w:r w:rsidRPr="001079F9">
              <w:rPr>
                <w:rStyle w:val="A5"/>
                <w:rFonts w:cs="Calibri Light"/>
                <w:b/>
                <w:bCs/>
                <w:color w:val="313E48"/>
                <w:sz w:val="22"/>
                <w:szCs w:val="21"/>
              </w:rPr>
              <w:t xml:space="preserve">Total Climate Finance Provided and Mobilised </w:t>
            </w:r>
          </w:p>
        </w:tc>
        <w:tc>
          <w:tcPr>
            <w:tcW w:w="1180" w:type="dxa"/>
          </w:tcPr>
          <w:p w14:paraId="6CE8C833" w14:textId="140AE14D" w:rsidR="00EE61D3" w:rsidRPr="001079F9" w:rsidRDefault="00EE61D3" w:rsidP="001079F9">
            <w:pPr>
              <w:pStyle w:val="TableBodyCopy"/>
              <w:rPr>
                <w:b/>
                <w:bCs/>
              </w:rPr>
            </w:pPr>
            <w:r w:rsidRPr="001079F9">
              <w:rPr>
                <w:b/>
                <w:bCs/>
              </w:rPr>
              <w:t xml:space="preserve">348.7 </w:t>
            </w:r>
          </w:p>
        </w:tc>
        <w:tc>
          <w:tcPr>
            <w:tcW w:w="1180" w:type="dxa"/>
          </w:tcPr>
          <w:p w14:paraId="3955484F" w14:textId="0071F775" w:rsidR="00EE61D3" w:rsidRPr="001079F9" w:rsidRDefault="00EE61D3" w:rsidP="001079F9">
            <w:pPr>
              <w:pStyle w:val="TableBodyCopy"/>
              <w:rPr>
                <w:b/>
                <w:bCs/>
              </w:rPr>
            </w:pPr>
            <w:r w:rsidRPr="001079F9">
              <w:rPr>
                <w:b/>
                <w:bCs/>
              </w:rPr>
              <w:t xml:space="preserve">640.2 </w:t>
            </w:r>
          </w:p>
        </w:tc>
        <w:tc>
          <w:tcPr>
            <w:tcW w:w="1180" w:type="dxa"/>
          </w:tcPr>
          <w:p w14:paraId="17C3DB3D" w14:textId="2F2EE4A0" w:rsidR="00EE61D3" w:rsidRPr="001079F9" w:rsidRDefault="00EE61D3" w:rsidP="001079F9">
            <w:pPr>
              <w:pStyle w:val="TableBodyCopy"/>
              <w:rPr>
                <w:b/>
                <w:bCs/>
              </w:rPr>
            </w:pPr>
            <w:r w:rsidRPr="001079F9">
              <w:rPr>
                <w:b/>
                <w:bCs/>
              </w:rPr>
              <w:t xml:space="preserve">619.1 </w:t>
            </w:r>
          </w:p>
        </w:tc>
        <w:tc>
          <w:tcPr>
            <w:tcW w:w="1180" w:type="dxa"/>
          </w:tcPr>
          <w:p w14:paraId="4FBE7326" w14:textId="35058C8B" w:rsidR="00EE61D3" w:rsidRPr="001079F9" w:rsidRDefault="00EE61D3" w:rsidP="001079F9">
            <w:pPr>
              <w:pStyle w:val="TableBodyCopy"/>
              <w:rPr>
                <w:b/>
                <w:bCs/>
              </w:rPr>
            </w:pPr>
            <w:r w:rsidRPr="001079F9">
              <w:rPr>
                <w:b/>
                <w:bCs/>
              </w:rPr>
              <w:t xml:space="preserve">912.3 </w:t>
            </w:r>
          </w:p>
        </w:tc>
        <w:tc>
          <w:tcPr>
            <w:tcW w:w="1180" w:type="dxa"/>
          </w:tcPr>
          <w:p w14:paraId="5854574A" w14:textId="30ED7B3D" w:rsidR="00EE61D3" w:rsidRPr="001079F9" w:rsidRDefault="00EE61D3" w:rsidP="001079F9">
            <w:pPr>
              <w:pStyle w:val="TableBodyCopy"/>
              <w:rPr>
                <w:b/>
                <w:bCs/>
              </w:rPr>
            </w:pPr>
            <w:r w:rsidRPr="001079F9">
              <w:rPr>
                <w:b/>
                <w:bCs/>
              </w:rPr>
              <w:t xml:space="preserve">1,355.90 </w:t>
            </w:r>
          </w:p>
        </w:tc>
        <w:tc>
          <w:tcPr>
            <w:tcW w:w="1180" w:type="dxa"/>
          </w:tcPr>
          <w:p w14:paraId="36A58D99" w14:textId="219DA0FA" w:rsidR="00EE61D3" w:rsidRPr="001079F9" w:rsidRDefault="00EE61D3" w:rsidP="001079F9">
            <w:pPr>
              <w:pStyle w:val="TableBodyCopy"/>
              <w:rPr>
                <w:b/>
                <w:bCs/>
              </w:rPr>
            </w:pPr>
            <w:r w:rsidRPr="001079F9">
              <w:rPr>
                <w:b/>
                <w:bCs/>
              </w:rPr>
              <w:t xml:space="preserve">3,876.20 </w:t>
            </w:r>
          </w:p>
        </w:tc>
      </w:tr>
      <w:tr w:rsidR="001079F9" w14:paraId="25135DE5" w14:textId="77777777" w:rsidTr="00A71E28">
        <w:tc>
          <w:tcPr>
            <w:tcW w:w="3114" w:type="dxa"/>
          </w:tcPr>
          <w:p w14:paraId="16DE2D66" w14:textId="0397E391" w:rsidR="001079F9" w:rsidRPr="001079F9" w:rsidRDefault="001079F9" w:rsidP="001079F9">
            <w:pPr>
              <w:pStyle w:val="TableBodyCopy"/>
              <w:rPr>
                <w:b/>
                <w:bCs/>
              </w:rPr>
            </w:pPr>
            <w:r w:rsidRPr="001079F9">
              <w:rPr>
                <w:rStyle w:val="A5"/>
                <w:rFonts w:cs="Calibri Light"/>
                <w:b/>
                <w:bCs/>
                <w:color w:val="313E48"/>
                <w:sz w:val="22"/>
                <w:szCs w:val="21"/>
              </w:rPr>
              <w:t xml:space="preserve">Cumulative total </w:t>
            </w:r>
          </w:p>
        </w:tc>
        <w:tc>
          <w:tcPr>
            <w:tcW w:w="1180" w:type="dxa"/>
          </w:tcPr>
          <w:p w14:paraId="64805348" w14:textId="7501D81C" w:rsidR="001079F9" w:rsidRPr="001079F9" w:rsidRDefault="001079F9" w:rsidP="001079F9">
            <w:pPr>
              <w:pStyle w:val="TableBodyCopy"/>
              <w:rPr>
                <w:b/>
                <w:bCs/>
              </w:rPr>
            </w:pPr>
            <w:r w:rsidRPr="001079F9">
              <w:rPr>
                <w:b/>
                <w:bCs/>
              </w:rPr>
              <w:t xml:space="preserve">348.7 </w:t>
            </w:r>
          </w:p>
        </w:tc>
        <w:tc>
          <w:tcPr>
            <w:tcW w:w="1180" w:type="dxa"/>
          </w:tcPr>
          <w:p w14:paraId="2A07D7F6" w14:textId="62CCB157" w:rsidR="001079F9" w:rsidRPr="001079F9" w:rsidRDefault="001079F9" w:rsidP="001079F9">
            <w:pPr>
              <w:pStyle w:val="TableBodyCopy"/>
              <w:rPr>
                <w:b/>
                <w:bCs/>
              </w:rPr>
            </w:pPr>
            <w:r w:rsidRPr="001079F9">
              <w:rPr>
                <w:b/>
                <w:bCs/>
              </w:rPr>
              <w:t xml:space="preserve">988.9 </w:t>
            </w:r>
          </w:p>
        </w:tc>
        <w:tc>
          <w:tcPr>
            <w:tcW w:w="1180" w:type="dxa"/>
          </w:tcPr>
          <w:p w14:paraId="09F4B3F0" w14:textId="61BC4A85" w:rsidR="001079F9" w:rsidRPr="001079F9" w:rsidRDefault="001079F9" w:rsidP="001079F9">
            <w:pPr>
              <w:pStyle w:val="TableBodyCopy"/>
              <w:rPr>
                <w:b/>
                <w:bCs/>
              </w:rPr>
            </w:pPr>
            <w:r w:rsidRPr="001079F9">
              <w:rPr>
                <w:b/>
                <w:bCs/>
              </w:rPr>
              <w:t xml:space="preserve">1,608.10 </w:t>
            </w:r>
          </w:p>
        </w:tc>
        <w:tc>
          <w:tcPr>
            <w:tcW w:w="1180" w:type="dxa"/>
          </w:tcPr>
          <w:p w14:paraId="0BA7C12D" w14:textId="0F83AA15" w:rsidR="001079F9" w:rsidRPr="001079F9" w:rsidRDefault="001079F9" w:rsidP="001079F9">
            <w:pPr>
              <w:pStyle w:val="TableBodyCopy"/>
              <w:rPr>
                <w:b/>
                <w:bCs/>
              </w:rPr>
            </w:pPr>
            <w:r w:rsidRPr="001079F9">
              <w:rPr>
                <w:b/>
                <w:bCs/>
              </w:rPr>
              <w:t xml:space="preserve">2,520.40 </w:t>
            </w:r>
          </w:p>
        </w:tc>
        <w:tc>
          <w:tcPr>
            <w:tcW w:w="1180" w:type="dxa"/>
          </w:tcPr>
          <w:p w14:paraId="3DAA9DA9" w14:textId="4920B255" w:rsidR="001079F9" w:rsidRPr="001079F9" w:rsidRDefault="001079F9" w:rsidP="001079F9">
            <w:pPr>
              <w:pStyle w:val="TableBodyCopy"/>
              <w:rPr>
                <w:b/>
                <w:bCs/>
              </w:rPr>
            </w:pPr>
            <w:r w:rsidRPr="001079F9">
              <w:rPr>
                <w:b/>
                <w:bCs/>
              </w:rPr>
              <w:t xml:space="preserve">3,876.30 </w:t>
            </w:r>
          </w:p>
        </w:tc>
        <w:tc>
          <w:tcPr>
            <w:tcW w:w="1180" w:type="dxa"/>
          </w:tcPr>
          <w:p w14:paraId="556F2CB7" w14:textId="5249FB55" w:rsidR="001079F9" w:rsidRPr="001079F9" w:rsidRDefault="001E5979" w:rsidP="001079F9">
            <w:pPr>
              <w:pStyle w:val="TableBodyCopy"/>
            </w:pPr>
            <w:r>
              <w:t>-</w:t>
            </w:r>
          </w:p>
        </w:tc>
      </w:tr>
    </w:tbl>
    <w:p w14:paraId="5FC5D0E3" w14:textId="1CAA3DE3" w:rsidR="00AE517C" w:rsidRDefault="00437C5F" w:rsidP="00437C5F">
      <w:pPr>
        <w:pStyle w:val="H3-Heading3"/>
      </w:pPr>
      <w:bookmarkStart w:id="19" w:name="_Toc224653946"/>
      <w:r w:rsidRPr="00437C5F">
        <w:t>Australia’s climate finance provided and mobilised to the Pacific 2020–2025*</w:t>
      </w:r>
      <w:bookmarkEnd w:id="19"/>
    </w:p>
    <w:tbl>
      <w:tblPr>
        <w:tblStyle w:val="TableGrid"/>
        <w:tblW w:w="0" w:type="auto"/>
        <w:tblLook w:val="04A0" w:firstRow="1" w:lastRow="0" w:firstColumn="1" w:lastColumn="0" w:noHBand="0" w:noVBand="1"/>
      </w:tblPr>
      <w:tblGrid>
        <w:gridCol w:w="3056"/>
        <w:gridCol w:w="1427"/>
        <w:gridCol w:w="1428"/>
        <w:gridCol w:w="1427"/>
        <w:gridCol w:w="1428"/>
        <w:gridCol w:w="1428"/>
      </w:tblGrid>
      <w:tr w:rsidR="006B5C38" w14:paraId="0D1F9783" w14:textId="47822096" w:rsidTr="002B0B04">
        <w:trPr>
          <w:tblHeader/>
        </w:trPr>
        <w:tc>
          <w:tcPr>
            <w:tcW w:w="3056" w:type="dxa"/>
          </w:tcPr>
          <w:p w14:paraId="3A5CC034" w14:textId="666781FD" w:rsidR="006B5C38" w:rsidRPr="00EB47BC" w:rsidRDefault="006B5C38" w:rsidP="006B5C38">
            <w:pPr>
              <w:pStyle w:val="TableHeading"/>
            </w:pPr>
            <w:r w:rsidRPr="001079F9">
              <w:rPr>
                <w:rStyle w:val="A8"/>
                <w:rFonts w:cstheme="minorHAnsi"/>
                <w:color w:val="313E48"/>
                <w:sz w:val="22"/>
                <w:szCs w:val="21"/>
              </w:rPr>
              <w:t xml:space="preserve">Region and type of flow </w:t>
            </w:r>
          </w:p>
        </w:tc>
        <w:tc>
          <w:tcPr>
            <w:tcW w:w="1427" w:type="dxa"/>
          </w:tcPr>
          <w:p w14:paraId="134662EF" w14:textId="0F51EDAF" w:rsidR="006B5C38" w:rsidRPr="00EB47BC" w:rsidRDefault="006B5C38" w:rsidP="006B5C38">
            <w:pPr>
              <w:pStyle w:val="TableHeading"/>
            </w:pPr>
            <w:r w:rsidRPr="00EB47BC">
              <w:rPr>
                <w:rStyle w:val="A5"/>
                <w:rFonts w:cstheme="minorHAnsi"/>
                <w:color w:val="313E48"/>
                <w:sz w:val="22"/>
                <w:szCs w:val="21"/>
              </w:rPr>
              <w:t xml:space="preserve">2020-21 ($m) </w:t>
            </w:r>
          </w:p>
        </w:tc>
        <w:tc>
          <w:tcPr>
            <w:tcW w:w="1428" w:type="dxa"/>
          </w:tcPr>
          <w:p w14:paraId="0E4E2EB6" w14:textId="18C08EF6" w:rsidR="006B5C38" w:rsidRPr="00EB47BC" w:rsidRDefault="006B5C38" w:rsidP="006B5C38">
            <w:pPr>
              <w:pStyle w:val="TableHeading"/>
            </w:pPr>
            <w:r w:rsidRPr="00EB47BC">
              <w:rPr>
                <w:rStyle w:val="A5"/>
                <w:rFonts w:cstheme="minorHAnsi"/>
                <w:color w:val="313E48"/>
                <w:sz w:val="22"/>
                <w:szCs w:val="21"/>
              </w:rPr>
              <w:t xml:space="preserve">2021-22($m) </w:t>
            </w:r>
          </w:p>
        </w:tc>
        <w:tc>
          <w:tcPr>
            <w:tcW w:w="1427" w:type="dxa"/>
          </w:tcPr>
          <w:p w14:paraId="6862C552" w14:textId="64C45969" w:rsidR="006B5C38" w:rsidRPr="00EB47BC" w:rsidRDefault="006B5C38" w:rsidP="006B5C38">
            <w:pPr>
              <w:pStyle w:val="TableHeading"/>
            </w:pPr>
            <w:r w:rsidRPr="00EB47BC">
              <w:rPr>
                <w:rStyle w:val="A5"/>
                <w:rFonts w:cstheme="minorHAnsi"/>
                <w:color w:val="313E48"/>
                <w:sz w:val="22"/>
                <w:szCs w:val="21"/>
              </w:rPr>
              <w:t xml:space="preserve">2022-23 ($m) </w:t>
            </w:r>
          </w:p>
        </w:tc>
        <w:tc>
          <w:tcPr>
            <w:tcW w:w="1428" w:type="dxa"/>
          </w:tcPr>
          <w:p w14:paraId="3038C663" w14:textId="3054B768" w:rsidR="006B5C38" w:rsidRPr="00EB47BC" w:rsidRDefault="006B5C38" w:rsidP="006B5C38">
            <w:pPr>
              <w:pStyle w:val="TableHeading"/>
            </w:pPr>
            <w:r w:rsidRPr="00EB47BC">
              <w:rPr>
                <w:rStyle w:val="A5"/>
                <w:rFonts w:cstheme="minorHAnsi"/>
                <w:color w:val="313E48"/>
                <w:sz w:val="22"/>
                <w:szCs w:val="21"/>
              </w:rPr>
              <w:t xml:space="preserve">2023-24 ($m) </w:t>
            </w:r>
          </w:p>
        </w:tc>
        <w:tc>
          <w:tcPr>
            <w:tcW w:w="1428" w:type="dxa"/>
          </w:tcPr>
          <w:p w14:paraId="6628FCA5" w14:textId="1BD2EDC6" w:rsidR="006B5C38" w:rsidRPr="00EB47BC" w:rsidRDefault="006B5C38" w:rsidP="006B5C38">
            <w:pPr>
              <w:pStyle w:val="TableHeading"/>
              <w:rPr>
                <w:rStyle w:val="A5"/>
                <w:rFonts w:cstheme="minorHAnsi"/>
                <w:color w:val="313E48"/>
                <w:sz w:val="22"/>
                <w:szCs w:val="21"/>
              </w:rPr>
            </w:pPr>
            <w:r w:rsidRPr="00CF5C46">
              <w:rPr>
                <w:rStyle w:val="A5"/>
                <w:rFonts w:cstheme="minorHAnsi"/>
                <w:color w:val="313E48"/>
                <w:sz w:val="22"/>
                <w:szCs w:val="21"/>
              </w:rPr>
              <w:t>2024-25 ($m)</w:t>
            </w:r>
          </w:p>
        </w:tc>
      </w:tr>
      <w:tr w:rsidR="006B5C38" w14:paraId="655AA442" w14:textId="4A01DF1C" w:rsidTr="002560EB">
        <w:tc>
          <w:tcPr>
            <w:tcW w:w="3056" w:type="dxa"/>
          </w:tcPr>
          <w:p w14:paraId="10044460" w14:textId="679CBF9D" w:rsidR="006B5C38" w:rsidRPr="00EB47BC" w:rsidRDefault="006B5C38" w:rsidP="006B5C38">
            <w:pPr>
              <w:pStyle w:val="TableBodyCopy"/>
            </w:pPr>
            <w:r w:rsidRPr="00EB47BC">
              <w:rPr>
                <w:rStyle w:val="A5"/>
                <w:rFonts w:cs="Calibri Light"/>
                <w:color w:val="313E48"/>
                <w:sz w:val="22"/>
                <w:szCs w:val="21"/>
              </w:rPr>
              <w:t xml:space="preserve">Pacific Islands (includes PNG) </w:t>
            </w:r>
          </w:p>
        </w:tc>
        <w:tc>
          <w:tcPr>
            <w:tcW w:w="1427" w:type="dxa"/>
          </w:tcPr>
          <w:p w14:paraId="0EBFCACE" w14:textId="036FDD47" w:rsidR="006B5C38" w:rsidRPr="00EB47BC" w:rsidRDefault="006B5C38" w:rsidP="006B5C38">
            <w:pPr>
              <w:pStyle w:val="TableBodyCopy"/>
            </w:pPr>
            <w:r w:rsidRPr="00EB47BC">
              <w:t xml:space="preserve">166 </w:t>
            </w:r>
          </w:p>
        </w:tc>
        <w:tc>
          <w:tcPr>
            <w:tcW w:w="1428" w:type="dxa"/>
          </w:tcPr>
          <w:p w14:paraId="6ED3EF97" w14:textId="7588AE34" w:rsidR="006B5C38" w:rsidRPr="00EB47BC" w:rsidRDefault="006B5C38" w:rsidP="006B5C38">
            <w:pPr>
              <w:pStyle w:val="TableBodyCopy"/>
            </w:pPr>
            <w:r w:rsidRPr="00EB47BC">
              <w:t xml:space="preserve">242.4 </w:t>
            </w:r>
          </w:p>
        </w:tc>
        <w:tc>
          <w:tcPr>
            <w:tcW w:w="1427" w:type="dxa"/>
          </w:tcPr>
          <w:p w14:paraId="539B5AE2" w14:textId="178FF0B0" w:rsidR="006B5C38" w:rsidRPr="00EB47BC" w:rsidRDefault="006B5C38" w:rsidP="006B5C38">
            <w:pPr>
              <w:pStyle w:val="TableBodyCopy"/>
            </w:pPr>
            <w:r w:rsidRPr="00EB47BC">
              <w:t xml:space="preserve">264 </w:t>
            </w:r>
          </w:p>
        </w:tc>
        <w:tc>
          <w:tcPr>
            <w:tcW w:w="1428" w:type="dxa"/>
          </w:tcPr>
          <w:p w14:paraId="09FA60A7" w14:textId="081143B7" w:rsidR="006B5C38" w:rsidRPr="00EB47BC" w:rsidRDefault="006B5C38" w:rsidP="006B5C38">
            <w:pPr>
              <w:pStyle w:val="TableBodyCopy"/>
            </w:pPr>
            <w:r w:rsidRPr="00EB47BC">
              <w:t xml:space="preserve">334.8 </w:t>
            </w:r>
          </w:p>
        </w:tc>
        <w:tc>
          <w:tcPr>
            <w:tcW w:w="1428" w:type="dxa"/>
          </w:tcPr>
          <w:p w14:paraId="44D91528" w14:textId="5A859835" w:rsidR="006B5C38" w:rsidRPr="00EB47BC" w:rsidRDefault="006B5C38" w:rsidP="006B5C38">
            <w:pPr>
              <w:pStyle w:val="TableBodyCopy"/>
            </w:pPr>
            <w:r w:rsidRPr="00CF5C46">
              <w:t>305</w:t>
            </w:r>
          </w:p>
        </w:tc>
      </w:tr>
      <w:tr w:rsidR="006B5C38" w14:paraId="7D68774A" w14:textId="540F8F49" w:rsidTr="002560EB">
        <w:tc>
          <w:tcPr>
            <w:tcW w:w="3056" w:type="dxa"/>
          </w:tcPr>
          <w:p w14:paraId="52894EAF" w14:textId="195F8AAA" w:rsidR="006B5C38" w:rsidRPr="00EB47BC" w:rsidRDefault="006B5C38" w:rsidP="006B5C38">
            <w:pPr>
              <w:pStyle w:val="TableBodyCopy"/>
            </w:pPr>
            <w:r w:rsidRPr="00EB47BC">
              <w:rPr>
                <w:rStyle w:val="A5"/>
                <w:rFonts w:cs="Calibri Light"/>
                <w:color w:val="313E48"/>
                <w:sz w:val="22"/>
                <w:szCs w:val="21"/>
              </w:rPr>
              <w:t xml:space="preserve">Cumulative total </w:t>
            </w:r>
          </w:p>
        </w:tc>
        <w:tc>
          <w:tcPr>
            <w:tcW w:w="1427" w:type="dxa"/>
          </w:tcPr>
          <w:p w14:paraId="789C78B2" w14:textId="015764AB" w:rsidR="006B5C38" w:rsidRPr="00EB47BC" w:rsidRDefault="006B5C38" w:rsidP="006B5C38">
            <w:pPr>
              <w:pStyle w:val="TableBodyCopy"/>
            </w:pPr>
            <w:r w:rsidRPr="00EB47BC">
              <w:t xml:space="preserve">166 </w:t>
            </w:r>
          </w:p>
        </w:tc>
        <w:tc>
          <w:tcPr>
            <w:tcW w:w="1428" w:type="dxa"/>
          </w:tcPr>
          <w:p w14:paraId="25CF3ECD" w14:textId="10BD9D7C" w:rsidR="006B5C38" w:rsidRPr="00EB47BC" w:rsidRDefault="006B5C38" w:rsidP="006B5C38">
            <w:pPr>
              <w:pStyle w:val="TableBodyCopy"/>
            </w:pPr>
            <w:r w:rsidRPr="00EB47BC">
              <w:t xml:space="preserve">408.5 </w:t>
            </w:r>
          </w:p>
        </w:tc>
        <w:tc>
          <w:tcPr>
            <w:tcW w:w="1427" w:type="dxa"/>
          </w:tcPr>
          <w:p w14:paraId="1AA8F4F3" w14:textId="554F5BB7" w:rsidR="006B5C38" w:rsidRPr="00EB47BC" w:rsidRDefault="006B5C38" w:rsidP="006B5C38">
            <w:pPr>
              <w:pStyle w:val="TableBodyCopy"/>
            </w:pPr>
            <w:r w:rsidRPr="00EB47BC">
              <w:t xml:space="preserve">672.5 </w:t>
            </w:r>
          </w:p>
        </w:tc>
        <w:tc>
          <w:tcPr>
            <w:tcW w:w="1428" w:type="dxa"/>
          </w:tcPr>
          <w:p w14:paraId="5EC9C3C6" w14:textId="607E4D43" w:rsidR="006B5C38" w:rsidRPr="00EB47BC" w:rsidRDefault="006B5C38" w:rsidP="006B5C38">
            <w:pPr>
              <w:pStyle w:val="TableBodyCopy"/>
            </w:pPr>
            <w:r w:rsidRPr="00EB47BC">
              <w:t xml:space="preserve">1,007.30 </w:t>
            </w:r>
          </w:p>
        </w:tc>
        <w:tc>
          <w:tcPr>
            <w:tcW w:w="1428" w:type="dxa"/>
          </w:tcPr>
          <w:p w14:paraId="73F8C167" w14:textId="7C9C2B22" w:rsidR="006B5C38" w:rsidRPr="00EB47BC" w:rsidRDefault="006B5C38" w:rsidP="006B5C38">
            <w:pPr>
              <w:pStyle w:val="TableBodyCopy"/>
            </w:pPr>
            <w:r w:rsidRPr="00CF5C46">
              <w:t>1,312.30</w:t>
            </w:r>
          </w:p>
        </w:tc>
      </w:tr>
    </w:tbl>
    <w:p w14:paraId="7C0AA783" w14:textId="4D258E06" w:rsidR="00D1002E" w:rsidRPr="009C504C" w:rsidRDefault="00EB47BC" w:rsidP="00EB47BC">
      <w:pPr>
        <w:pStyle w:val="Footnote"/>
      </w:pPr>
      <w:r w:rsidRPr="00EB47BC">
        <w:t>*Includes both ODA and non-ODA finance</w:t>
      </w:r>
    </w:p>
    <w:sectPr w:rsidR="00D1002E" w:rsidRPr="009C504C" w:rsidSect="00EB3E94">
      <w:footnotePr>
        <w:numRestart w:val="eachPage"/>
      </w:footnotePr>
      <w:endnotePr>
        <w:numFmt w:val="decimal"/>
      </w:endnotePr>
      <w:type w:val="continuous"/>
      <w:pgSz w:w="11906" w:h="16838" w:code="9"/>
      <w:pgMar w:top="1418" w:right="851" w:bottom="1134" w:left="851" w:header="340"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FDB63" w14:textId="77777777" w:rsidR="0087747D" w:rsidRDefault="0087747D" w:rsidP="00EE32FE">
      <w:pPr>
        <w:spacing w:after="0" w:line="240" w:lineRule="auto"/>
      </w:pPr>
      <w:r>
        <w:separator/>
      </w:r>
    </w:p>
  </w:endnote>
  <w:endnote w:type="continuationSeparator" w:id="0">
    <w:p w14:paraId="092040DC" w14:textId="77777777" w:rsidR="0087747D" w:rsidRDefault="0087747D" w:rsidP="00EE3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Ubuntu Light">
    <w:charset w:val="00"/>
    <w:family w:val="swiss"/>
    <w:pitch w:val="variable"/>
    <w:sig w:usb0="E00002FF" w:usb1="5000205B" w:usb2="00000000" w:usb3="00000000" w:csb0="0000009F" w:csb1="00000000"/>
  </w:font>
  <w:font w:name="Ubuntu">
    <w:altName w:val="Ubuntu"/>
    <w:charset w:val="00"/>
    <w:family w:val="swiss"/>
    <w:pitch w:val="variable"/>
    <w:sig w:usb0="E00002F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372715"/>
      <w:docPartObj>
        <w:docPartGallery w:val="Page Numbers (Bottom of Page)"/>
        <w:docPartUnique/>
      </w:docPartObj>
    </w:sdtPr>
    <w:sdtEndPr>
      <w:rPr>
        <w:noProof/>
      </w:rPr>
    </w:sdtEndPr>
    <w:sdtContent>
      <w:p w14:paraId="46B8306D" w14:textId="4B5AA8DC" w:rsidR="00EC3C2B" w:rsidRPr="00EC3C2B" w:rsidRDefault="00EC3C2B">
        <w:pPr>
          <w:pStyle w:val="Footer"/>
          <w:rPr>
            <w:color w:val="FFFFFF" w:themeColor="background1"/>
          </w:rPr>
        </w:pPr>
        <w:r w:rsidRPr="00EC3C2B">
          <w:rPr>
            <w:noProof/>
            <w:color w:val="FFFFFF" w:themeColor="background1"/>
          </w:rPr>
          <w:drawing>
            <wp:anchor distT="0" distB="0" distL="114300" distR="114300" simplePos="0" relativeHeight="251658242" behindDoc="1" locked="0" layoutInCell="1" allowOverlap="1" wp14:anchorId="54E37E35" wp14:editId="45CF5BBD">
              <wp:simplePos x="0" y="0"/>
              <wp:positionH relativeFrom="margin">
                <wp:align>center</wp:align>
              </wp:positionH>
              <wp:positionV relativeFrom="paragraph">
                <wp:posOffset>-78105</wp:posOffset>
              </wp:positionV>
              <wp:extent cx="7105650" cy="373249"/>
              <wp:effectExtent l="0" t="0" r="0" b="8255"/>
              <wp:wrapNone/>
              <wp:docPr id="557629402" name="Picture 5576294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05650" cy="373249"/>
                      </a:xfrm>
                      <a:prstGeom prst="rect">
                        <a:avLst/>
                      </a:prstGeom>
                    </pic:spPr>
                  </pic:pic>
                </a:graphicData>
              </a:graphic>
              <wp14:sizeRelH relativeFrom="margin">
                <wp14:pctWidth>0</wp14:pctWidth>
              </wp14:sizeRelH>
              <wp14:sizeRelV relativeFrom="margin">
                <wp14:pctHeight>0</wp14:pctHeight>
              </wp14:sizeRelV>
            </wp:anchor>
          </w:drawing>
        </w:r>
        <w:r w:rsidRPr="004A2F01">
          <w:fldChar w:fldCharType="begin"/>
        </w:r>
        <w:r w:rsidRPr="004A2F01">
          <w:instrText xml:space="preserve"> PAGE   \* MERGEFORMAT </w:instrText>
        </w:r>
        <w:r w:rsidRPr="004A2F01">
          <w:fldChar w:fldCharType="separate"/>
        </w:r>
        <w:r w:rsidRPr="004A2F01">
          <w:rPr>
            <w:noProof/>
          </w:rPr>
          <w:t>2</w:t>
        </w:r>
        <w:r w:rsidRPr="004A2F01">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ECBD7" w14:textId="77777777" w:rsidR="0087747D" w:rsidRDefault="0087747D" w:rsidP="00EE32FE">
      <w:pPr>
        <w:spacing w:after="0" w:line="240" w:lineRule="auto"/>
      </w:pPr>
      <w:r>
        <w:separator/>
      </w:r>
    </w:p>
  </w:footnote>
  <w:footnote w:type="continuationSeparator" w:id="0">
    <w:p w14:paraId="4A91518E" w14:textId="77777777" w:rsidR="0087747D" w:rsidRDefault="0087747D" w:rsidP="00EE3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720D" w14:textId="7CD0C8FA" w:rsidR="001D29C1" w:rsidRPr="00B63B50" w:rsidRDefault="00A623FC" w:rsidP="002305CC">
    <w:pPr>
      <w:pStyle w:val="SECCLASSIFICATION"/>
      <w:rPr>
        <w:color w:val="FFFFFF" w:themeColor="background1"/>
      </w:rPr>
    </w:pPr>
    <w:r w:rsidRPr="00B63B50">
      <w:rPr>
        <w:color w:val="FFFFFF" w:themeColor="background1"/>
      </w:rPr>
      <w:drawing>
        <wp:anchor distT="0" distB="0" distL="114300" distR="114300" simplePos="0" relativeHeight="251658240" behindDoc="1" locked="1" layoutInCell="1" allowOverlap="1" wp14:anchorId="4CA1BDC7" wp14:editId="716E17BD">
          <wp:simplePos x="0" y="0"/>
          <wp:positionH relativeFrom="margin">
            <wp:align>center</wp:align>
          </wp:positionH>
          <wp:positionV relativeFrom="page">
            <wp:align>top</wp:align>
          </wp:positionV>
          <wp:extent cx="7837805" cy="821055"/>
          <wp:effectExtent l="0" t="0" r="0" b="0"/>
          <wp:wrapNone/>
          <wp:docPr id="1024514796" name="Picture 10245147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37805" cy="821055"/>
                  </a:xfrm>
                  <a:prstGeom prst="rect">
                    <a:avLst/>
                  </a:prstGeom>
                </pic:spPr>
              </pic:pic>
            </a:graphicData>
          </a:graphic>
          <wp14:sizeRelH relativeFrom="margin">
            <wp14:pctWidth>0</wp14:pctWidth>
          </wp14:sizeRelH>
          <wp14:sizeRelV relativeFrom="margin">
            <wp14:pctHeight>0</wp14:pctHeight>
          </wp14:sizeRelV>
        </wp:anchor>
      </w:drawing>
    </w:r>
    <w:r w:rsidR="00667651" w:rsidRPr="00B63B50">
      <w:rPr>
        <w:color w:val="FFFFFF" w:themeColor="background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E85DD" w14:textId="36E8C98F" w:rsidR="00667651" w:rsidRDefault="008765CA">
    <w:pPr>
      <w:pStyle w:val="Header"/>
    </w:pPr>
    <w:r>
      <w:rPr>
        <w:noProof/>
      </w:rPr>
      <w:drawing>
        <wp:anchor distT="0" distB="0" distL="114300" distR="114300" simplePos="0" relativeHeight="251658241" behindDoc="1" locked="0" layoutInCell="1" allowOverlap="1" wp14:anchorId="06D3B53C" wp14:editId="6201BF01">
          <wp:simplePos x="0" y="0"/>
          <wp:positionH relativeFrom="margin">
            <wp:posOffset>-325755</wp:posOffset>
          </wp:positionH>
          <wp:positionV relativeFrom="paragraph">
            <wp:posOffset>-6985</wp:posOffset>
          </wp:positionV>
          <wp:extent cx="7131917" cy="10239375"/>
          <wp:effectExtent l="0" t="0" r="0" b="0"/>
          <wp:wrapNone/>
          <wp:docPr id="1614771923" name="Picture 16147719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31917" cy="102393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5854"/>
    <w:multiLevelType w:val="hybridMultilevel"/>
    <w:tmpl w:val="19A05256"/>
    <w:lvl w:ilvl="0" w:tplc="0C090017">
      <w:start w:val="1"/>
      <w:numFmt w:val="lowerLetter"/>
      <w:lvlText w:val="%1)"/>
      <w:lvlJc w:val="lef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8746A5"/>
    <w:multiLevelType w:val="hybridMultilevel"/>
    <w:tmpl w:val="D6A03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BB7B2E"/>
    <w:multiLevelType w:val="hybridMultilevel"/>
    <w:tmpl w:val="D0D4E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5A4D80"/>
    <w:multiLevelType w:val="hybridMultilevel"/>
    <w:tmpl w:val="D772D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D01C1C"/>
    <w:multiLevelType w:val="hybridMultilevel"/>
    <w:tmpl w:val="13146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240FD1"/>
    <w:multiLevelType w:val="hybridMultilevel"/>
    <w:tmpl w:val="13669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6E305D"/>
    <w:multiLevelType w:val="hybridMultilevel"/>
    <w:tmpl w:val="3A542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E41304"/>
    <w:multiLevelType w:val="hybridMultilevel"/>
    <w:tmpl w:val="47A87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E720AB"/>
    <w:multiLevelType w:val="hybridMultilevel"/>
    <w:tmpl w:val="FCE46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266D68"/>
    <w:multiLevelType w:val="hybridMultilevel"/>
    <w:tmpl w:val="F36C0450"/>
    <w:lvl w:ilvl="0" w:tplc="D4626940">
      <w:start w:val="1"/>
      <w:numFmt w:val="decimal"/>
      <w:pStyle w:val="List-Numbers"/>
      <w:lvlText w:val="%1."/>
      <w:lvlJc w:val="left"/>
      <w:pPr>
        <w:ind w:left="36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5A122A1"/>
    <w:multiLevelType w:val="hybridMultilevel"/>
    <w:tmpl w:val="859C3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4943B1"/>
    <w:multiLevelType w:val="multilevel"/>
    <w:tmpl w:val="1AD81D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FC58E6"/>
    <w:multiLevelType w:val="multilevel"/>
    <w:tmpl w:val="71BEE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267BC6"/>
    <w:multiLevelType w:val="hybridMultilevel"/>
    <w:tmpl w:val="6F08F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5580FB7"/>
    <w:multiLevelType w:val="hybridMultilevel"/>
    <w:tmpl w:val="EEA61130"/>
    <w:lvl w:ilvl="0" w:tplc="B24474BC">
      <w:start w:val="1"/>
      <w:numFmt w:val="bullet"/>
      <w:pStyle w:val="BodyCopyBullets"/>
      <w:lvlText w:val=""/>
      <w:lvlJc w:val="left"/>
      <w:pPr>
        <w:ind w:left="720" w:hanging="360"/>
      </w:pPr>
      <w:rPr>
        <w:rFonts w:ascii="Symbol" w:hAnsi="Symbol" w:hint="default"/>
        <w:sz w:val="18"/>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662641"/>
    <w:multiLevelType w:val="hybridMultilevel"/>
    <w:tmpl w:val="D3DC531A"/>
    <w:lvl w:ilvl="0" w:tplc="FFFFFFFF">
      <w:start w:val="1"/>
      <w:numFmt w:val="low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0C09001B">
      <w:start w:val="1"/>
      <w:numFmt w:val="lowerRoman"/>
      <w:lvlText w:val="%3."/>
      <w:lvlJc w:val="righ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66849C7"/>
    <w:multiLevelType w:val="hybridMultilevel"/>
    <w:tmpl w:val="A30A31DA"/>
    <w:lvl w:ilvl="0" w:tplc="C7BE3FEC">
      <w:start w:val="1"/>
      <w:numFmt w:val="lowerLetter"/>
      <w:lvlText w:val="%1."/>
      <w:lvlJc w:val="left"/>
      <w:pPr>
        <w:ind w:left="720" w:hanging="360"/>
      </w:pPr>
      <w:rPr>
        <w:rFonts w:hint="default"/>
        <w:sz w:val="18"/>
        <w:szCs w:val="18"/>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66C726F"/>
    <w:multiLevelType w:val="hybridMultilevel"/>
    <w:tmpl w:val="EBA4A57C"/>
    <w:lvl w:ilvl="0" w:tplc="0C09001B">
      <w:start w:val="1"/>
      <w:numFmt w:val="low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B3B4D0D"/>
    <w:multiLevelType w:val="hybridMultilevel"/>
    <w:tmpl w:val="9EFA8580"/>
    <w:lvl w:ilvl="0" w:tplc="FFFFFFFF">
      <w:start w:val="1"/>
      <w:numFmt w:val="lowerLetter"/>
      <w:lvlText w:val="%1)"/>
      <w:lvlJc w:val="left"/>
      <w:pPr>
        <w:ind w:left="360" w:hanging="360"/>
      </w:pPr>
    </w:lvl>
    <w:lvl w:ilvl="1" w:tplc="0C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EA2385"/>
    <w:multiLevelType w:val="hybridMultilevel"/>
    <w:tmpl w:val="ABC05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D0A406D"/>
    <w:multiLevelType w:val="hybridMultilevel"/>
    <w:tmpl w:val="8EA85C40"/>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21" w15:restartNumberingAfterBreak="0">
    <w:nsid w:val="5BB57EE2"/>
    <w:multiLevelType w:val="hybridMultilevel"/>
    <w:tmpl w:val="08E24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037420"/>
    <w:multiLevelType w:val="hybridMultilevel"/>
    <w:tmpl w:val="7714A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57B6470"/>
    <w:multiLevelType w:val="hybridMultilevel"/>
    <w:tmpl w:val="C5F4D98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4" w15:restartNumberingAfterBreak="0">
    <w:nsid w:val="6692402D"/>
    <w:multiLevelType w:val="hybridMultilevel"/>
    <w:tmpl w:val="62560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7A6304"/>
    <w:multiLevelType w:val="hybridMultilevel"/>
    <w:tmpl w:val="C7185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D1F7B2C"/>
    <w:multiLevelType w:val="hybridMultilevel"/>
    <w:tmpl w:val="2DDC9E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D3B51C0"/>
    <w:multiLevelType w:val="hybridMultilevel"/>
    <w:tmpl w:val="F24A9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640FEE"/>
    <w:multiLevelType w:val="hybridMultilevel"/>
    <w:tmpl w:val="B6043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AB3F9C"/>
    <w:multiLevelType w:val="multilevel"/>
    <w:tmpl w:val="25020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CE71D4"/>
    <w:multiLevelType w:val="hybridMultilevel"/>
    <w:tmpl w:val="40AC5F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0D15503"/>
    <w:multiLevelType w:val="hybridMultilevel"/>
    <w:tmpl w:val="84FE66E2"/>
    <w:lvl w:ilvl="0" w:tplc="FFFFFFFF">
      <w:start w:val="1"/>
      <w:numFmt w:val="decimal"/>
      <w:lvlText w:val="%1."/>
      <w:lvlJc w:val="left"/>
      <w:pPr>
        <w:ind w:left="360" w:hanging="360"/>
      </w:pPr>
    </w:lvl>
    <w:lvl w:ilvl="1" w:tplc="0C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4C85AE2"/>
    <w:multiLevelType w:val="multilevel"/>
    <w:tmpl w:val="C47C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1E6091"/>
    <w:multiLevelType w:val="hybridMultilevel"/>
    <w:tmpl w:val="D910C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A7A7F41"/>
    <w:multiLevelType w:val="hybridMultilevel"/>
    <w:tmpl w:val="3D9E225C"/>
    <w:lvl w:ilvl="0" w:tplc="0C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C89624C"/>
    <w:multiLevelType w:val="hybridMultilevel"/>
    <w:tmpl w:val="71B48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FB9328F"/>
    <w:multiLevelType w:val="hybridMultilevel"/>
    <w:tmpl w:val="AE8CA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67967916">
    <w:abstractNumId w:val="9"/>
  </w:num>
  <w:num w:numId="2" w16cid:durableId="266667794">
    <w:abstractNumId w:val="9"/>
    <w:lvlOverride w:ilvl="0">
      <w:startOverride w:val="1"/>
    </w:lvlOverride>
  </w:num>
  <w:num w:numId="3" w16cid:durableId="1903906318">
    <w:abstractNumId w:val="9"/>
    <w:lvlOverride w:ilvl="0">
      <w:startOverride w:val="1"/>
    </w:lvlOverride>
  </w:num>
  <w:num w:numId="4" w16cid:durableId="1122304565">
    <w:abstractNumId w:val="14"/>
  </w:num>
  <w:num w:numId="5" w16cid:durableId="694119614">
    <w:abstractNumId w:val="9"/>
    <w:lvlOverride w:ilvl="0">
      <w:startOverride w:val="1"/>
    </w:lvlOverride>
  </w:num>
  <w:num w:numId="6" w16cid:durableId="876505344">
    <w:abstractNumId w:val="9"/>
    <w:lvlOverride w:ilvl="0">
      <w:startOverride w:val="1"/>
    </w:lvlOverride>
  </w:num>
  <w:num w:numId="7" w16cid:durableId="1400522488">
    <w:abstractNumId w:val="11"/>
  </w:num>
  <w:num w:numId="8" w16cid:durableId="1460949582">
    <w:abstractNumId w:val="30"/>
  </w:num>
  <w:num w:numId="9" w16cid:durableId="1084494418">
    <w:abstractNumId w:val="20"/>
  </w:num>
  <w:num w:numId="10" w16cid:durableId="653802888">
    <w:abstractNumId w:val="22"/>
  </w:num>
  <w:num w:numId="11" w16cid:durableId="1116873493">
    <w:abstractNumId w:val="1"/>
  </w:num>
  <w:num w:numId="12" w16cid:durableId="536092015">
    <w:abstractNumId w:val="25"/>
  </w:num>
  <w:num w:numId="13" w16cid:durableId="733237883">
    <w:abstractNumId w:val="27"/>
  </w:num>
  <w:num w:numId="14" w16cid:durableId="2052800520">
    <w:abstractNumId w:val="13"/>
  </w:num>
  <w:num w:numId="15" w16cid:durableId="727805803">
    <w:abstractNumId w:val="4"/>
  </w:num>
  <w:num w:numId="16" w16cid:durableId="1183471671">
    <w:abstractNumId w:val="2"/>
  </w:num>
  <w:num w:numId="17" w16cid:durableId="83116379">
    <w:abstractNumId w:val="33"/>
  </w:num>
  <w:num w:numId="18" w16cid:durableId="867059473">
    <w:abstractNumId w:val="7"/>
  </w:num>
  <w:num w:numId="19" w16cid:durableId="2127457580">
    <w:abstractNumId w:val="35"/>
  </w:num>
  <w:num w:numId="20" w16cid:durableId="78911268">
    <w:abstractNumId w:val="36"/>
  </w:num>
  <w:num w:numId="21" w16cid:durableId="2137093054">
    <w:abstractNumId w:val="6"/>
  </w:num>
  <w:num w:numId="22" w16cid:durableId="270866285">
    <w:abstractNumId w:val="24"/>
  </w:num>
  <w:num w:numId="23" w16cid:durableId="1785883889">
    <w:abstractNumId w:val="5"/>
  </w:num>
  <w:num w:numId="24" w16cid:durableId="12654798">
    <w:abstractNumId w:val="19"/>
  </w:num>
  <w:num w:numId="25" w16cid:durableId="1978220777">
    <w:abstractNumId w:val="28"/>
  </w:num>
  <w:num w:numId="26" w16cid:durableId="206260959">
    <w:abstractNumId w:val="3"/>
  </w:num>
  <w:num w:numId="27" w16cid:durableId="1694188289">
    <w:abstractNumId w:val="10"/>
  </w:num>
  <w:num w:numId="28" w16cid:durableId="366413351">
    <w:abstractNumId w:val="31"/>
  </w:num>
  <w:num w:numId="29" w16cid:durableId="1577746053">
    <w:abstractNumId w:val="17"/>
  </w:num>
  <w:num w:numId="30" w16cid:durableId="1452824874">
    <w:abstractNumId w:val="15"/>
  </w:num>
  <w:num w:numId="31" w16cid:durableId="1604452768">
    <w:abstractNumId w:val="0"/>
  </w:num>
  <w:num w:numId="32" w16cid:durableId="967931616">
    <w:abstractNumId w:val="18"/>
  </w:num>
  <w:num w:numId="33" w16cid:durableId="898058331">
    <w:abstractNumId w:val="34"/>
  </w:num>
  <w:num w:numId="34" w16cid:durableId="757676665">
    <w:abstractNumId w:val="16"/>
  </w:num>
  <w:num w:numId="35" w16cid:durableId="73937161">
    <w:abstractNumId w:val="26"/>
  </w:num>
  <w:num w:numId="36" w16cid:durableId="1568301681">
    <w:abstractNumId w:val="21"/>
  </w:num>
  <w:num w:numId="37" w16cid:durableId="1531795797">
    <w:abstractNumId w:val="23"/>
  </w:num>
  <w:num w:numId="38" w16cid:durableId="75251853">
    <w:abstractNumId w:val="8"/>
  </w:num>
  <w:num w:numId="39" w16cid:durableId="852035556">
    <w:abstractNumId w:val="29"/>
  </w:num>
  <w:num w:numId="40" w16cid:durableId="1247305683">
    <w:abstractNumId w:val="32"/>
  </w:num>
  <w:num w:numId="41" w16cid:durableId="6961977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C2B"/>
    <w:rsid w:val="0000484F"/>
    <w:rsid w:val="0000500D"/>
    <w:rsid w:val="00012F98"/>
    <w:rsid w:val="00025428"/>
    <w:rsid w:val="00025E04"/>
    <w:rsid w:val="00030679"/>
    <w:rsid w:val="00036955"/>
    <w:rsid w:val="00065467"/>
    <w:rsid w:val="00073505"/>
    <w:rsid w:val="0008704E"/>
    <w:rsid w:val="000A1B5D"/>
    <w:rsid w:val="000C67C3"/>
    <w:rsid w:val="000D2335"/>
    <w:rsid w:val="000D627F"/>
    <w:rsid w:val="000E1773"/>
    <w:rsid w:val="000E18E8"/>
    <w:rsid w:val="000F5506"/>
    <w:rsid w:val="000F6E53"/>
    <w:rsid w:val="001053F1"/>
    <w:rsid w:val="00106D27"/>
    <w:rsid w:val="001079F9"/>
    <w:rsid w:val="00113A4B"/>
    <w:rsid w:val="001231E6"/>
    <w:rsid w:val="00127413"/>
    <w:rsid w:val="001405B7"/>
    <w:rsid w:val="00161F19"/>
    <w:rsid w:val="00166FBB"/>
    <w:rsid w:val="001722E9"/>
    <w:rsid w:val="001858B5"/>
    <w:rsid w:val="001869DB"/>
    <w:rsid w:val="001B421D"/>
    <w:rsid w:val="001B6B57"/>
    <w:rsid w:val="001C3778"/>
    <w:rsid w:val="001C3DFD"/>
    <w:rsid w:val="001C6A33"/>
    <w:rsid w:val="001C6B39"/>
    <w:rsid w:val="001D29C1"/>
    <w:rsid w:val="001D2BC3"/>
    <w:rsid w:val="001D35F1"/>
    <w:rsid w:val="001D441F"/>
    <w:rsid w:val="001D616C"/>
    <w:rsid w:val="001E5979"/>
    <w:rsid w:val="001F1E5A"/>
    <w:rsid w:val="001F58C8"/>
    <w:rsid w:val="0020298F"/>
    <w:rsid w:val="00204054"/>
    <w:rsid w:val="00206F8D"/>
    <w:rsid w:val="0021791D"/>
    <w:rsid w:val="00225FB0"/>
    <w:rsid w:val="002305CC"/>
    <w:rsid w:val="00232F10"/>
    <w:rsid w:val="002368D2"/>
    <w:rsid w:val="00246196"/>
    <w:rsid w:val="0024621E"/>
    <w:rsid w:val="0025160A"/>
    <w:rsid w:val="002560EB"/>
    <w:rsid w:val="00257E17"/>
    <w:rsid w:val="00261B06"/>
    <w:rsid w:val="00283DC1"/>
    <w:rsid w:val="00290886"/>
    <w:rsid w:val="002923D5"/>
    <w:rsid w:val="002B0281"/>
    <w:rsid w:val="002B0B04"/>
    <w:rsid w:val="002B46C6"/>
    <w:rsid w:val="002B4B3B"/>
    <w:rsid w:val="002B5B2D"/>
    <w:rsid w:val="002D10CF"/>
    <w:rsid w:val="002D5FB7"/>
    <w:rsid w:val="00341926"/>
    <w:rsid w:val="00360169"/>
    <w:rsid w:val="0036132D"/>
    <w:rsid w:val="00386D70"/>
    <w:rsid w:val="0039029A"/>
    <w:rsid w:val="00393350"/>
    <w:rsid w:val="003A7C12"/>
    <w:rsid w:val="003D7A55"/>
    <w:rsid w:val="003F2FA3"/>
    <w:rsid w:val="003F3B03"/>
    <w:rsid w:val="00407569"/>
    <w:rsid w:val="00410472"/>
    <w:rsid w:val="00423ECB"/>
    <w:rsid w:val="00437C5F"/>
    <w:rsid w:val="00450029"/>
    <w:rsid w:val="0046188F"/>
    <w:rsid w:val="00491BC5"/>
    <w:rsid w:val="004960D3"/>
    <w:rsid w:val="004A0F1E"/>
    <w:rsid w:val="004A2F01"/>
    <w:rsid w:val="004C030D"/>
    <w:rsid w:val="004C41C9"/>
    <w:rsid w:val="004C7775"/>
    <w:rsid w:val="004D4A38"/>
    <w:rsid w:val="004E1E46"/>
    <w:rsid w:val="004F3F37"/>
    <w:rsid w:val="004F4886"/>
    <w:rsid w:val="0051202A"/>
    <w:rsid w:val="00521CB9"/>
    <w:rsid w:val="005233D4"/>
    <w:rsid w:val="005238C7"/>
    <w:rsid w:val="005327DA"/>
    <w:rsid w:val="00532952"/>
    <w:rsid w:val="00532C27"/>
    <w:rsid w:val="005330FA"/>
    <w:rsid w:val="00536903"/>
    <w:rsid w:val="0054205F"/>
    <w:rsid w:val="00567A89"/>
    <w:rsid w:val="00592E1A"/>
    <w:rsid w:val="005937F2"/>
    <w:rsid w:val="00596F47"/>
    <w:rsid w:val="005A338B"/>
    <w:rsid w:val="005C4D94"/>
    <w:rsid w:val="005E05FE"/>
    <w:rsid w:val="005E771E"/>
    <w:rsid w:val="005F7B84"/>
    <w:rsid w:val="006042C6"/>
    <w:rsid w:val="00605C32"/>
    <w:rsid w:val="006255B6"/>
    <w:rsid w:val="00630143"/>
    <w:rsid w:val="00632D8F"/>
    <w:rsid w:val="006439AE"/>
    <w:rsid w:val="006605C9"/>
    <w:rsid w:val="00660DAD"/>
    <w:rsid w:val="00661961"/>
    <w:rsid w:val="00667651"/>
    <w:rsid w:val="00671161"/>
    <w:rsid w:val="00671CE2"/>
    <w:rsid w:val="00673502"/>
    <w:rsid w:val="00674968"/>
    <w:rsid w:val="00674CC9"/>
    <w:rsid w:val="00687B81"/>
    <w:rsid w:val="006932FE"/>
    <w:rsid w:val="006A7A35"/>
    <w:rsid w:val="006B1B6F"/>
    <w:rsid w:val="006B5C38"/>
    <w:rsid w:val="006C13E7"/>
    <w:rsid w:val="006C6405"/>
    <w:rsid w:val="006E1C2A"/>
    <w:rsid w:val="006E6C53"/>
    <w:rsid w:val="006F1CC6"/>
    <w:rsid w:val="006F4D35"/>
    <w:rsid w:val="0070505E"/>
    <w:rsid w:val="00706EF0"/>
    <w:rsid w:val="00722C1E"/>
    <w:rsid w:val="007269E0"/>
    <w:rsid w:val="00731E1E"/>
    <w:rsid w:val="00741AA6"/>
    <w:rsid w:val="00746959"/>
    <w:rsid w:val="00746E10"/>
    <w:rsid w:val="00752F39"/>
    <w:rsid w:val="00755AA0"/>
    <w:rsid w:val="00783C12"/>
    <w:rsid w:val="00791418"/>
    <w:rsid w:val="0079728E"/>
    <w:rsid w:val="007A507D"/>
    <w:rsid w:val="007A55B9"/>
    <w:rsid w:val="007C3A86"/>
    <w:rsid w:val="007C5166"/>
    <w:rsid w:val="007D3143"/>
    <w:rsid w:val="007E720C"/>
    <w:rsid w:val="007F628E"/>
    <w:rsid w:val="0080478B"/>
    <w:rsid w:val="0081069D"/>
    <w:rsid w:val="00810F99"/>
    <w:rsid w:val="00816A43"/>
    <w:rsid w:val="008271EE"/>
    <w:rsid w:val="00836811"/>
    <w:rsid w:val="008378DC"/>
    <w:rsid w:val="00845374"/>
    <w:rsid w:val="008476A8"/>
    <w:rsid w:val="008765CA"/>
    <w:rsid w:val="00876D68"/>
    <w:rsid w:val="0087747D"/>
    <w:rsid w:val="008A226C"/>
    <w:rsid w:val="008A3D9D"/>
    <w:rsid w:val="008C35F8"/>
    <w:rsid w:val="008D52CF"/>
    <w:rsid w:val="008E1988"/>
    <w:rsid w:val="008E551E"/>
    <w:rsid w:val="008F01DB"/>
    <w:rsid w:val="008F08A3"/>
    <w:rsid w:val="00904DB3"/>
    <w:rsid w:val="009139A1"/>
    <w:rsid w:val="0091532B"/>
    <w:rsid w:val="00927709"/>
    <w:rsid w:val="00930402"/>
    <w:rsid w:val="00933A53"/>
    <w:rsid w:val="0093542E"/>
    <w:rsid w:val="0094137E"/>
    <w:rsid w:val="00946648"/>
    <w:rsid w:val="0095396F"/>
    <w:rsid w:val="009551A9"/>
    <w:rsid w:val="00960E3F"/>
    <w:rsid w:val="009628BB"/>
    <w:rsid w:val="00964F2B"/>
    <w:rsid w:val="009A05E7"/>
    <w:rsid w:val="009A55F6"/>
    <w:rsid w:val="009A6425"/>
    <w:rsid w:val="009B2EEB"/>
    <w:rsid w:val="009C3935"/>
    <w:rsid w:val="009C504C"/>
    <w:rsid w:val="009D2A47"/>
    <w:rsid w:val="009F4C47"/>
    <w:rsid w:val="00A01D6E"/>
    <w:rsid w:val="00A11C6A"/>
    <w:rsid w:val="00A134EB"/>
    <w:rsid w:val="00A157D3"/>
    <w:rsid w:val="00A265FE"/>
    <w:rsid w:val="00A35625"/>
    <w:rsid w:val="00A4001E"/>
    <w:rsid w:val="00A45246"/>
    <w:rsid w:val="00A47A79"/>
    <w:rsid w:val="00A53497"/>
    <w:rsid w:val="00A55378"/>
    <w:rsid w:val="00A623FC"/>
    <w:rsid w:val="00A64537"/>
    <w:rsid w:val="00A7093D"/>
    <w:rsid w:val="00A71E28"/>
    <w:rsid w:val="00A73C52"/>
    <w:rsid w:val="00A77CFD"/>
    <w:rsid w:val="00A90D5E"/>
    <w:rsid w:val="00A91A0F"/>
    <w:rsid w:val="00A92D1D"/>
    <w:rsid w:val="00A970CB"/>
    <w:rsid w:val="00AA5C6B"/>
    <w:rsid w:val="00AB4CF2"/>
    <w:rsid w:val="00AB5709"/>
    <w:rsid w:val="00AC3244"/>
    <w:rsid w:val="00AE1DC2"/>
    <w:rsid w:val="00AE517C"/>
    <w:rsid w:val="00AE5442"/>
    <w:rsid w:val="00AF2992"/>
    <w:rsid w:val="00AF6090"/>
    <w:rsid w:val="00B066CF"/>
    <w:rsid w:val="00B156A8"/>
    <w:rsid w:val="00B26375"/>
    <w:rsid w:val="00B32DE2"/>
    <w:rsid w:val="00B34B3F"/>
    <w:rsid w:val="00B5483A"/>
    <w:rsid w:val="00B63B50"/>
    <w:rsid w:val="00B63E61"/>
    <w:rsid w:val="00B65113"/>
    <w:rsid w:val="00B72F48"/>
    <w:rsid w:val="00B74605"/>
    <w:rsid w:val="00B754A0"/>
    <w:rsid w:val="00B90F7A"/>
    <w:rsid w:val="00B948DE"/>
    <w:rsid w:val="00BA3204"/>
    <w:rsid w:val="00BD11B1"/>
    <w:rsid w:val="00BD33B3"/>
    <w:rsid w:val="00BE0FFD"/>
    <w:rsid w:val="00C00B40"/>
    <w:rsid w:val="00C02DDF"/>
    <w:rsid w:val="00C0411F"/>
    <w:rsid w:val="00C30679"/>
    <w:rsid w:val="00C32C6C"/>
    <w:rsid w:val="00C370BF"/>
    <w:rsid w:val="00C40760"/>
    <w:rsid w:val="00C4483C"/>
    <w:rsid w:val="00C565C5"/>
    <w:rsid w:val="00C60EBF"/>
    <w:rsid w:val="00C62A35"/>
    <w:rsid w:val="00C72653"/>
    <w:rsid w:val="00C766B0"/>
    <w:rsid w:val="00C848D0"/>
    <w:rsid w:val="00C94380"/>
    <w:rsid w:val="00CA0835"/>
    <w:rsid w:val="00CA6A97"/>
    <w:rsid w:val="00CA79D9"/>
    <w:rsid w:val="00CB0C58"/>
    <w:rsid w:val="00CB3EDD"/>
    <w:rsid w:val="00CD1782"/>
    <w:rsid w:val="00CD2ADD"/>
    <w:rsid w:val="00CD3F77"/>
    <w:rsid w:val="00CD716B"/>
    <w:rsid w:val="00CF5C46"/>
    <w:rsid w:val="00D0296B"/>
    <w:rsid w:val="00D03A9B"/>
    <w:rsid w:val="00D0447F"/>
    <w:rsid w:val="00D1002E"/>
    <w:rsid w:val="00D1452C"/>
    <w:rsid w:val="00D20954"/>
    <w:rsid w:val="00D41E9F"/>
    <w:rsid w:val="00D43AF6"/>
    <w:rsid w:val="00D47C0E"/>
    <w:rsid w:val="00D51FBF"/>
    <w:rsid w:val="00D6056E"/>
    <w:rsid w:val="00D62B94"/>
    <w:rsid w:val="00D64EA0"/>
    <w:rsid w:val="00D77703"/>
    <w:rsid w:val="00D831B9"/>
    <w:rsid w:val="00D84B09"/>
    <w:rsid w:val="00D84D0C"/>
    <w:rsid w:val="00D93D9B"/>
    <w:rsid w:val="00D96F67"/>
    <w:rsid w:val="00DA6024"/>
    <w:rsid w:val="00DB4430"/>
    <w:rsid w:val="00DC7E02"/>
    <w:rsid w:val="00DD126B"/>
    <w:rsid w:val="00DD39AD"/>
    <w:rsid w:val="00DD46FE"/>
    <w:rsid w:val="00DE65B5"/>
    <w:rsid w:val="00DF2B97"/>
    <w:rsid w:val="00DF79EE"/>
    <w:rsid w:val="00E04DAB"/>
    <w:rsid w:val="00E24284"/>
    <w:rsid w:val="00E26A63"/>
    <w:rsid w:val="00E363E8"/>
    <w:rsid w:val="00E37152"/>
    <w:rsid w:val="00E37977"/>
    <w:rsid w:val="00E42596"/>
    <w:rsid w:val="00E45894"/>
    <w:rsid w:val="00E45CB8"/>
    <w:rsid w:val="00E56E37"/>
    <w:rsid w:val="00E80FA0"/>
    <w:rsid w:val="00E95F08"/>
    <w:rsid w:val="00EA05A1"/>
    <w:rsid w:val="00EB0D84"/>
    <w:rsid w:val="00EB3E94"/>
    <w:rsid w:val="00EB47BC"/>
    <w:rsid w:val="00EC1229"/>
    <w:rsid w:val="00EC3C2B"/>
    <w:rsid w:val="00EE32FE"/>
    <w:rsid w:val="00EE4FA3"/>
    <w:rsid w:val="00EE61D3"/>
    <w:rsid w:val="00F119EF"/>
    <w:rsid w:val="00F44044"/>
    <w:rsid w:val="00F51D51"/>
    <w:rsid w:val="00F61338"/>
    <w:rsid w:val="00F63247"/>
    <w:rsid w:val="00F67F4F"/>
    <w:rsid w:val="00F76174"/>
    <w:rsid w:val="00F84AA1"/>
    <w:rsid w:val="00F850D9"/>
    <w:rsid w:val="00FB3A11"/>
    <w:rsid w:val="00FC0CD6"/>
    <w:rsid w:val="00FC35BF"/>
    <w:rsid w:val="00FC483A"/>
    <w:rsid w:val="00FC4DC4"/>
    <w:rsid w:val="00FD7F58"/>
    <w:rsid w:val="00FE052D"/>
    <w:rsid w:val="00FE2EDE"/>
    <w:rsid w:val="00FF3BE4"/>
    <w:rsid w:val="00FF3F42"/>
    <w:rsid w:val="00FF4863"/>
    <w:rsid w:val="26CACB22"/>
    <w:rsid w:val="32640366"/>
    <w:rsid w:val="3BA0FA20"/>
    <w:rsid w:val="3EB174DF"/>
    <w:rsid w:val="4019DB22"/>
    <w:rsid w:val="406AF727"/>
    <w:rsid w:val="4112F4C2"/>
    <w:rsid w:val="44A6489F"/>
    <w:rsid w:val="4E50FB8F"/>
    <w:rsid w:val="59D15759"/>
    <w:rsid w:val="771748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167C4"/>
  <w15:docId w15:val="{89C51670-9424-4A76-B792-8B43707B9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88F"/>
    <w:pPr>
      <w:spacing w:after="160" w:line="259" w:lineRule="auto"/>
    </w:pPr>
    <w:rPr>
      <w:sz w:val="22"/>
      <w:szCs w:val="22"/>
      <w:lang w:eastAsia="en-US"/>
    </w:rPr>
  </w:style>
  <w:style w:type="paragraph" w:styleId="Heading1">
    <w:name w:val="heading 1"/>
    <w:basedOn w:val="Normal"/>
    <w:next w:val="Normal"/>
    <w:link w:val="Heading1Char"/>
    <w:uiPriority w:val="9"/>
    <w:qFormat/>
    <w:rsid w:val="00667651"/>
    <w:pPr>
      <w:keepNext/>
      <w:keepLines/>
      <w:spacing w:before="240" w:after="0"/>
      <w:outlineLvl w:val="0"/>
    </w:pPr>
    <w:rPr>
      <w:rFonts w:asciiTheme="majorHAnsi" w:eastAsiaTheme="majorEastAsia" w:hAnsiTheme="majorHAnsi" w:cstheme="majorBidi"/>
      <w:color w:val="2B4152" w:themeColor="accent1" w:themeShade="BF"/>
      <w:sz w:val="32"/>
      <w:szCs w:val="32"/>
    </w:rPr>
  </w:style>
  <w:style w:type="paragraph" w:styleId="Heading2">
    <w:name w:val="heading 2"/>
    <w:basedOn w:val="Normal"/>
    <w:next w:val="Normal"/>
    <w:link w:val="Heading2Char"/>
    <w:uiPriority w:val="9"/>
    <w:semiHidden/>
    <w:unhideWhenUsed/>
    <w:qFormat/>
    <w:rsid w:val="00667651"/>
    <w:pPr>
      <w:keepNext/>
      <w:keepLines/>
      <w:spacing w:before="40" w:after="0"/>
      <w:outlineLvl w:val="1"/>
    </w:pPr>
    <w:rPr>
      <w:rFonts w:asciiTheme="majorHAnsi" w:eastAsiaTheme="majorEastAsia" w:hAnsiTheme="majorHAnsi" w:cstheme="majorBidi"/>
      <w:color w:val="2B4152" w:themeColor="accent1" w:themeShade="BF"/>
      <w:sz w:val="26"/>
      <w:szCs w:val="26"/>
    </w:rPr>
  </w:style>
  <w:style w:type="paragraph" w:styleId="Heading3">
    <w:name w:val="heading 3"/>
    <w:basedOn w:val="Normal"/>
    <w:next w:val="Normal"/>
    <w:link w:val="Heading3Char"/>
    <w:uiPriority w:val="9"/>
    <w:semiHidden/>
    <w:unhideWhenUsed/>
    <w:qFormat/>
    <w:rsid w:val="00667651"/>
    <w:pPr>
      <w:keepNext/>
      <w:keepLines/>
      <w:spacing w:before="40" w:after="0"/>
      <w:outlineLvl w:val="2"/>
    </w:pPr>
    <w:rPr>
      <w:rFonts w:asciiTheme="majorHAnsi" w:eastAsiaTheme="majorEastAsia" w:hAnsiTheme="majorHAnsi" w:cstheme="majorBidi"/>
      <w:color w:val="1D2B36" w:themeColor="accent1" w:themeShade="7F"/>
      <w:sz w:val="24"/>
      <w:szCs w:val="24"/>
    </w:rPr>
  </w:style>
  <w:style w:type="paragraph" w:styleId="Heading4">
    <w:name w:val="heading 4"/>
    <w:basedOn w:val="Normal"/>
    <w:next w:val="Normal"/>
    <w:link w:val="Heading4Char"/>
    <w:uiPriority w:val="9"/>
    <w:semiHidden/>
    <w:unhideWhenUsed/>
    <w:qFormat/>
    <w:rsid w:val="00667651"/>
    <w:pPr>
      <w:keepNext/>
      <w:keepLines/>
      <w:spacing w:before="40" w:after="0"/>
      <w:outlineLvl w:val="3"/>
    </w:pPr>
    <w:rPr>
      <w:rFonts w:asciiTheme="majorHAnsi" w:eastAsiaTheme="majorEastAsia" w:hAnsiTheme="majorHAnsi" w:cstheme="majorBidi"/>
      <w:i/>
      <w:iCs/>
      <w:color w:val="2B415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Heading1">
    <w:name w:val="H1 - Heading 1"/>
    <w:basedOn w:val="Heading1"/>
    <w:link w:val="H1-Heading1Char"/>
    <w:qFormat/>
    <w:rsid w:val="00A53497"/>
    <w:pPr>
      <w:spacing w:before="0"/>
      <w:jc w:val="center"/>
    </w:pPr>
    <w:rPr>
      <w:b/>
      <w:bCs/>
      <w:caps/>
      <w:color w:val="auto"/>
      <w:sz w:val="40"/>
      <w:szCs w:val="40"/>
    </w:rPr>
  </w:style>
  <w:style w:type="paragraph" w:customStyle="1" w:styleId="BodyCopy">
    <w:name w:val="Body Copy"/>
    <w:qFormat/>
    <w:rsid w:val="00E42596"/>
    <w:pPr>
      <w:spacing w:before="40" w:after="120"/>
    </w:pPr>
    <w:rPr>
      <w:rFonts w:ascii="Calibri Light" w:hAnsi="Calibri Light" w:cs="Calibri Light"/>
      <w:color w:val="313E48"/>
      <w:sz w:val="22"/>
      <w:szCs w:val="21"/>
      <w:lang w:eastAsia="en-US"/>
    </w:rPr>
  </w:style>
  <w:style w:type="paragraph" w:customStyle="1" w:styleId="H2-Heading2">
    <w:name w:val="H2 - Heading 2"/>
    <w:basedOn w:val="Heading2"/>
    <w:qFormat/>
    <w:rsid w:val="000C67C3"/>
    <w:pPr>
      <w:spacing w:before="240" w:after="120"/>
    </w:pPr>
    <w:rPr>
      <w:rFonts w:asciiTheme="minorHAnsi" w:hAnsiTheme="minorHAnsi" w:cstheme="minorHAnsi"/>
      <w:b/>
      <w:bCs/>
      <w:color w:val="auto"/>
      <w:sz w:val="32"/>
      <w:szCs w:val="32"/>
    </w:rPr>
  </w:style>
  <w:style w:type="paragraph" w:customStyle="1" w:styleId="H4-Heading4">
    <w:name w:val="H4 - Heading 4"/>
    <w:basedOn w:val="Heading4"/>
    <w:next w:val="BodyCopy"/>
    <w:qFormat/>
    <w:rsid w:val="00667651"/>
    <w:pPr>
      <w:spacing w:before="160" w:after="120"/>
    </w:pPr>
    <w:rPr>
      <w:rFonts w:cstheme="minorHAnsi"/>
      <w:b/>
      <w:bCs/>
      <w:i w:val="0"/>
      <w:color w:val="313E48"/>
      <w:sz w:val="24"/>
      <w:szCs w:val="24"/>
    </w:rPr>
  </w:style>
  <w:style w:type="paragraph" w:customStyle="1" w:styleId="H3-Heading3">
    <w:name w:val="H3 - Heading 3"/>
    <w:basedOn w:val="Heading3"/>
    <w:qFormat/>
    <w:rsid w:val="00A53497"/>
    <w:pPr>
      <w:spacing w:before="240" w:after="120"/>
    </w:pPr>
    <w:rPr>
      <w:rFonts w:asciiTheme="minorHAnsi" w:hAnsiTheme="minorHAnsi" w:cstheme="minorHAnsi"/>
      <w:b/>
      <w:bCs/>
      <w:color w:val="auto"/>
      <w:sz w:val="28"/>
      <w:szCs w:val="28"/>
    </w:rPr>
  </w:style>
  <w:style w:type="paragraph" w:customStyle="1" w:styleId="BodycopyNumberedBullets">
    <w:name w:val="Body copy Numbered Bullets"/>
    <w:basedOn w:val="BodyCopy"/>
    <w:qFormat/>
    <w:rsid w:val="00845374"/>
    <w:pPr>
      <w:ind w:left="360" w:hanging="360"/>
    </w:pPr>
  </w:style>
  <w:style w:type="paragraph" w:customStyle="1" w:styleId="BodyCopyPrebulletsandnumberedbullets">
    <w:name w:val="Body Copy Pre bullets and numbered bullets"/>
    <w:basedOn w:val="BodyCopy"/>
    <w:qFormat/>
    <w:rsid w:val="00A73C52"/>
    <w:pPr>
      <w:spacing w:before="240"/>
    </w:pPr>
  </w:style>
  <w:style w:type="paragraph" w:customStyle="1" w:styleId="BodyCopyBullets">
    <w:name w:val="Body Copy Bullets"/>
    <w:basedOn w:val="BodyCopy"/>
    <w:qFormat/>
    <w:rsid w:val="0095396F"/>
    <w:pPr>
      <w:numPr>
        <w:numId w:val="4"/>
      </w:numPr>
      <w:ind w:left="340" w:hanging="340"/>
    </w:pPr>
    <w:rPr>
      <w:rFonts w:asciiTheme="minorHAnsi" w:hAnsiTheme="minorHAnsi"/>
      <w:color w:val="auto"/>
    </w:rPr>
  </w:style>
  <w:style w:type="table" w:styleId="TableGrid">
    <w:name w:val="Table Grid"/>
    <w:basedOn w:val="TableNormal"/>
    <w:uiPriority w:val="39"/>
    <w:rsid w:val="00797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BodyCopy"/>
    <w:qFormat/>
    <w:rsid w:val="00E42596"/>
    <w:pPr>
      <w:spacing w:after="40"/>
    </w:pPr>
    <w:rPr>
      <w:rFonts w:asciiTheme="minorHAnsi" w:hAnsiTheme="minorHAnsi" w:cstheme="minorHAnsi"/>
      <w:b/>
      <w:bCs/>
    </w:rPr>
  </w:style>
  <w:style w:type="paragraph" w:customStyle="1" w:styleId="TableBodyCopy">
    <w:name w:val="Table Body Copy"/>
    <w:basedOn w:val="BodyCopy"/>
    <w:qFormat/>
    <w:rsid w:val="00030679"/>
    <w:pPr>
      <w:spacing w:after="40"/>
    </w:pPr>
  </w:style>
  <w:style w:type="paragraph" w:customStyle="1" w:styleId="PostBulletsBodyCopy">
    <w:name w:val="Post Bullets Body Copy"/>
    <w:basedOn w:val="BodyCopy"/>
    <w:qFormat/>
    <w:rsid w:val="00A73C52"/>
    <w:pPr>
      <w:spacing w:before="240" w:after="160"/>
    </w:pPr>
  </w:style>
  <w:style w:type="paragraph" w:styleId="Header">
    <w:name w:val="header"/>
    <w:basedOn w:val="Normal"/>
    <w:link w:val="HeaderChar"/>
    <w:uiPriority w:val="99"/>
    <w:unhideWhenUsed/>
    <w:rsid w:val="001D29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9C1"/>
    <w:rPr>
      <w:sz w:val="22"/>
      <w:szCs w:val="22"/>
      <w:lang w:eastAsia="en-US"/>
    </w:rPr>
  </w:style>
  <w:style w:type="paragraph" w:styleId="Footer">
    <w:name w:val="footer"/>
    <w:basedOn w:val="Normal"/>
    <w:link w:val="FooterChar"/>
    <w:uiPriority w:val="99"/>
    <w:unhideWhenUsed/>
    <w:rsid w:val="001D29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29C1"/>
    <w:rPr>
      <w:sz w:val="22"/>
      <w:szCs w:val="22"/>
      <w:lang w:eastAsia="en-US"/>
    </w:rPr>
  </w:style>
  <w:style w:type="character" w:customStyle="1" w:styleId="Green">
    <w:name w:val="Green"/>
    <w:basedOn w:val="DefaultParagraphFont"/>
    <w:uiPriority w:val="1"/>
    <w:qFormat/>
    <w:rsid w:val="00E363E8"/>
    <w:rPr>
      <w:color w:val="00837C" w:themeColor="accent2"/>
    </w:rPr>
  </w:style>
  <w:style w:type="paragraph" w:customStyle="1" w:styleId="TitleCover">
    <w:name w:val="Title Cover"/>
    <w:basedOn w:val="H1-Heading1"/>
    <w:link w:val="TitleCoverChar"/>
    <w:qFormat/>
    <w:rsid w:val="00810F99"/>
    <w:pPr>
      <w:spacing w:before="4440" w:line="240" w:lineRule="auto"/>
      <w:jc w:val="left"/>
    </w:pPr>
    <w:rPr>
      <w:rFonts w:asciiTheme="minorHAnsi" w:hAnsiTheme="minorHAnsi" w:cstheme="minorHAnsi"/>
      <w:color w:val="FFFFFF" w:themeColor="background1"/>
      <w:sz w:val="48"/>
    </w:rPr>
  </w:style>
  <w:style w:type="paragraph" w:customStyle="1" w:styleId="SECCLASSIFICATION">
    <w:name w:val="SEC CLASSIFICATION"/>
    <w:basedOn w:val="Header"/>
    <w:qFormat/>
    <w:rsid w:val="002305CC"/>
    <w:pPr>
      <w:jc w:val="center"/>
    </w:pPr>
    <w:rPr>
      <w:b/>
      <w:caps/>
      <w:noProof/>
      <w:color w:val="FF0000"/>
    </w:rPr>
  </w:style>
  <w:style w:type="character" w:customStyle="1" w:styleId="H1-Heading1Char">
    <w:name w:val="H1 - Heading 1 Char"/>
    <w:basedOn w:val="DefaultParagraphFont"/>
    <w:link w:val="H1-Heading1"/>
    <w:rsid w:val="00A53497"/>
    <w:rPr>
      <w:rFonts w:asciiTheme="majorHAnsi" w:eastAsiaTheme="majorEastAsia" w:hAnsiTheme="majorHAnsi" w:cstheme="majorBidi"/>
      <w:b/>
      <w:bCs/>
      <w:caps/>
      <w:sz w:val="40"/>
      <w:szCs w:val="40"/>
      <w:lang w:eastAsia="en-US"/>
    </w:rPr>
  </w:style>
  <w:style w:type="character" w:customStyle="1" w:styleId="TitleCoverChar">
    <w:name w:val="Title Cover Char"/>
    <w:basedOn w:val="H1-Heading1Char"/>
    <w:link w:val="TitleCover"/>
    <w:rsid w:val="00810F99"/>
    <w:rPr>
      <w:rFonts w:asciiTheme="minorHAnsi" w:eastAsiaTheme="majorEastAsia" w:hAnsiTheme="minorHAnsi" w:cstheme="minorHAnsi"/>
      <w:b/>
      <w:bCs/>
      <w:caps/>
      <w:color w:val="FFFFFF" w:themeColor="background1"/>
      <w:sz w:val="48"/>
      <w:szCs w:val="40"/>
      <w:lang w:eastAsia="en-US"/>
    </w:rPr>
  </w:style>
  <w:style w:type="paragraph" w:customStyle="1" w:styleId="Subtitlecover">
    <w:name w:val="Subtitle cover"/>
    <w:basedOn w:val="TitleCover"/>
    <w:link w:val="SubtitlecoverChar"/>
    <w:qFormat/>
    <w:rsid w:val="00A47A79"/>
    <w:pPr>
      <w:spacing w:before="360"/>
    </w:pPr>
    <w:rPr>
      <w:sz w:val="36"/>
    </w:rPr>
  </w:style>
  <w:style w:type="character" w:customStyle="1" w:styleId="SubtitlecoverChar">
    <w:name w:val="Subtitle cover Char"/>
    <w:basedOn w:val="TitleCoverChar"/>
    <w:link w:val="Subtitlecover"/>
    <w:rsid w:val="00A47A79"/>
    <w:rPr>
      <w:rFonts w:asciiTheme="minorHAnsi" w:eastAsiaTheme="majorEastAsia" w:hAnsiTheme="minorHAnsi" w:cstheme="minorHAnsi"/>
      <w:b/>
      <w:bCs/>
      <w:caps/>
      <w:color w:val="FFFFFF" w:themeColor="background1"/>
      <w:sz w:val="36"/>
      <w:szCs w:val="40"/>
      <w:lang w:eastAsia="en-US"/>
    </w:rPr>
  </w:style>
  <w:style w:type="character" w:styleId="Strong">
    <w:name w:val="Strong"/>
    <w:aliases w:val="Introduction"/>
    <w:basedOn w:val="DefaultParagraphFont"/>
    <w:uiPriority w:val="22"/>
    <w:qFormat/>
    <w:rsid w:val="00667651"/>
    <w:rPr>
      <w:rFonts w:asciiTheme="minorHAnsi" w:hAnsiTheme="minorHAnsi"/>
      <w:b/>
      <w:bCs/>
    </w:rPr>
  </w:style>
  <w:style w:type="paragraph" w:styleId="TOC2">
    <w:name w:val="toc 2"/>
    <w:basedOn w:val="Normal"/>
    <w:next w:val="Normal"/>
    <w:autoRedefine/>
    <w:uiPriority w:val="39"/>
    <w:unhideWhenUsed/>
    <w:rsid w:val="00810F99"/>
    <w:pPr>
      <w:spacing w:after="100"/>
      <w:ind w:left="220"/>
    </w:pPr>
  </w:style>
  <w:style w:type="character" w:customStyle="1" w:styleId="Heading2Char">
    <w:name w:val="Heading 2 Char"/>
    <w:basedOn w:val="DefaultParagraphFont"/>
    <w:link w:val="Heading2"/>
    <w:uiPriority w:val="9"/>
    <w:semiHidden/>
    <w:rsid w:val="00667651"/>
    <w:rPr>
      <w:rFonts w:asciiTheme="majorHAnsi" w:eastAsiaTheme="majorEastAsia" w:hAnsiTheme="majorHAnsi" w:cstheme="majorBidi"/>
      <w:color w:val="2B4152" w:themeColor="accent1" w:themeShade="BF"/>
      <w:sz w:val="26"/>
      <w:szCs w:val="26"/>
      <w:lang w:eastAsia="en-US"/>
    </w:rPr>
  </w:style>
  <w:style w:type="character" w:customStyle="1" w:styleId="Heading1Char">
    <w:name w:val="Heading 1 Char"/>
    <w:basedOn w:val="DefaultParagraphFont"/>
    <w:link w:val="Heading1"/>
    <w:uiPriority w:val="9"/>
    <w:rsid w:val="00667651"/>
    <w:rPr>
      <w:rFonts w:asciiTheme="majorHAnsi" w:eastAsiaTheme="majorEastAsia" w:hAnsiTheme="majorHAnsi" w:cstheme="majorBidi"/>
      <w:color w:val="2B4152" w:themeColor="accent1" w:themeShade="BF"/>
      <w:sz w:val="32"/>
      <w:szCs w:val="32"/>
      <w:lang w:eastAsia="en-US"/>
    </w:rPr>
  </w:style>
  <w:style w:type="character" w:customStyle="1" w:styleId="Heading3Char">
    <w:name w:val="Heading 3 Char"/>
    <w:basedOn w:val="DefaultParagraphFont"/>
    <w:link w:val="Heading3"/>
    <w:uiPriority w:val="9"/>
    <w:semiHidden/>
    <w:rsid w:val="00667651"/>
    <w:rPr>
      <w:rFonts w:asciiTheme="majorHAnsi" w:eastAsiaTheme="majorEastAsia" w:hAnsiTheme="majorHAnsi" w:cstheme="majorBidi"/>
      <w:color w:val="1D2B36" w:themeColor="accent1" w:themeShade="7F"/>
      <w:sz w:val="24"/>
      <w:szCs w:val="24"/>
      <w:lang w:eastAsia="en-US"/>
    </w:rPr>
  </w:style>
  <w:style w:type="character" w:customStyle="1" w:styleId="Heading4Char">
    <w:name w:val="Heading 4 Char"/>
    <w:basedOn w:val="DefaultParagraphFont"/>
    <w:link w:val="Heading4"/>
    <w:uiPriority w:val="9"/>
    <w:semiHidden/>
    <w:rsid w:val="00667651"/>
    <w:rPr>
      <w:rFonts w:asciiTheme="majorHAnsi" w:eastAsiaTheme="majorEastAsia" w:hAnsiTheme="majorHAnsi" w:cstheme="majorBidi"/>
      <w:i/>
      <w:iCs/>
      <w:color w:val="2B4152" w:themeColor="accent1" w:themeShade="BF"/>
      <w:sz w:val="22"/>
      <w:szCs w:val="22"/>
      <w:lang w:eastAsia="en-US"/>
    </w:rPr>
  </w:style>
  <w:style w:type="paragraph" w:styleId="TOC1">
    <w:name w:val="toc 1"/>
    <w:basedOn w:val="Normal"/>
    <w:next w:val="Normal"/>
    <w:autoRedefine/>
    <w:uiPriority w:val="39"/>
    <w:unhideWhenUsed/>
    <w:rsid w:val="00810F99"/>
    <w:pPr>
      <w:spacing w:after="100"/>
    </w:pPr>
  </w:style>
  <w:style w:type="paragraph" w:styleId="TOC3">
    <w:name w:val="toc 3"/>
    <w:basedOn w:val="Normal"/>
    <w:next w:val="Normal"/>
    <w:autoRedefine/>
    <w:uiPriority w:val="39"/>
    <w:unhideWhenUsed/>
    <w:rsid w:val="00810F99"/>
    <w:pPr>
      <w:spacing w:after="100"/>
      <w:ind w:left="440"/>
    </w:pPr>
  </w:style>
  <w:style w:type="character" w:styleId="Hyperlink">
    <w:name w:val="Hyperlink"/>
    <w:basedOn w:val="DefaultParagraphFont"/>
    <w:uiPriority w:val="99"/>
    <w:unhideWhenUsed/>
    <w:rsid w:val="00810F99"/>
    <w:rPr>
      <w:color w:val="0563C1" w:themeColor="hyperlink"/>
      <w:u w:val="single"/>
    </w:rPr>
  </w:style>
  <w:style w:type="paragraph" w:styleId="TOCHeading">
    <w:name w:val="TOC Heading"/>
    <w:basedOn w:val="H2-Heading2"/>
    <w:next w:val="Normal"/>
    <w:uiPriority w:val="39"/>
    <w:unhideWhenUsed/>
    <w:qFormat/>
    <w:rsid w:val="00810F99"/>
  </w:style>
  <w:style w:type="paragraph" w:styleId="ListParagraph">
    <w:name w:val="List Paragraph"/>
    <w:basedOn w:val="Normal"/>
    <w:uiPriority w:val="34"/>
    <w:qFormat/>
    <w:rsid w:val="00CD3F77"/>
    <w:pPr>
      <w:ind w:left="720"/>
      <w:contextualSpacing/>
    </w:pPr>
  </w:style>
  <w:style w:type="table" w:styleId="ListTable3-Accent1">
    <w:name w:val="List Table 3 Accent 1"/>
    <w:basedOn w:val="TableNormal"/>
    <w:uiPriority w:val="48"/>
    <w:rsid w:val="00CD3F77"/>
    <w:tblPr>
      <w:tblStyleRowBandSize w:val="1"/>
      <w:tblStyleColBandSize w:val="1"/>
      <w:tblBorders>
        <w:top w:val="single" w:sz="4" w:space="0" w:color="3A586E" w:themeColor="accent1"/>
        <w:left w:val="single" w:sz="4" w:space="0" w:color="3A586E" w:themeColor="accent1"/>
        <w:bottom w:val="single" w:sz="4" w:space="0" w:color="3A586E" w:themeColor="accent1"/>
        <w:right w:val="single" w:sz="4" w:space="0" w:color="3A586E" w:themeColor="accent1"/>
      </w:tblBorders>
    </w:tblPr>
    <w:tblStylePr w:type="firstRow">
      <w:rPr>
        <w:b/>
        <w:bCs/>
        <w:color w:val="FFFFFF" w:themeColor="background1"/>
      </w:rPr>
      <w:tblPr/>
      <w:tcPr>
        <w:shd w:val="clear" w:color="auto" w:fill="3A586E" w:themeFill="accent1"/>
      </w:tcPr>
    </w:tblStylePr>
    <w:tblStylePr w:type="lastRow">
      <w:rPr>
        <w:b/>
        <w:bCs/>
      </w:rPr>
      <w:tblPr/>
      <w:tcPr>
        <w:tcBorders>
          <w:top w:val="double" w:sz="4" w:space="0" w:color="3A58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A586E" w:themeColor="accent1"/>
          <w:right w:val="single" w:sz="4" w:space="0" w:color="3A586E" w:themeColor="accent1"/>
        </w:tcBorders>
      </w:tcPr>
    </w:tblStylePr>
    <w:tblStylePr w:type="band1Horz">
      <w:tblPr/>
      <w:tcPr>
        <w:tcBorders>
          <w:top w:val="single" w:sz="4" w:space="0" w:color="3A586E" w:themeColor="accent1"/>
          <w:bottom w:val="single" w:sz="4" w:space="0" w:color="3A58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A586E" w:themeColor="accent1"/>
          <w:left w:val="nil"/>
        </w:tcBorders>
      </w:tcPr>
    </w:tblStylePr>
    <w:tblStylePr w:type="swCell">
      <w:tblPr/>
      <w:tcPr>
        <w:tcBorders>
          <w:top w:val="double" w:sz="4" w:space="0" w:color="3A586E" w:themeColor="accent1"/>
          <w:right w:val="nil"/>
        </w:tcBorders>
      </w:tcPr>
    </w:tblStylePr>
  </w:style>
  <w:style w:type="table" w:styleId="GridTable2-Accent1">
    <w:name w:val="Grid Table 2 Accent 1"/>
    <w:basedOn w:val="TableNormal"/>
    <w:uiPriority w:val="47"/>
    <w:rsid w:val="00CD3F77"/>
    <w:tblPr>
      <w:tblStyleRowBandSize w:val="1"/>
      <w:tblStyleColBandSize w:val="1"/>
      <w:tblBorders>
        <w:top w:val="single" w:sz="2" w:space="0" w:color="789DB8" w:themeColor="accent1" w:themeTint="99"/>
        <w:bottom w:val="single" w:sz="2" w:space="0" w:color="789DB8" w:themeColor="accent1" w:themeTint="99"/>
        <w:insideH w:val="single" w:sz="2" w:space="0" w:color="789DB8" w:themeColor="accent1" w:themeTint="99"/>
        <w:insideV w:val="single" w:sz="2" w:space="0" w:color="789DB8" w:themeColor="accent1" w:themeTint="99"/>
      </w:tblBorders>
    </w:tblPr>
    <w:tblStylePr w:type="firstRow">
      <w:rPr>
        <w:b/>
        <w:bCs/>
      </w:rPr>
      <w:tblPr/>
      <w:tcPr>
        <w:tcBorders>
          <w:top w:val="nil"/>
          <w:bottom w:val="single" w:sz="12" w:space="0" w:color="789DB8" w:themeColor="accent1" w:themeTint="99"/>
          <w:insideH w:val="nil"/>
          <w:insideV w:val="nil"/>
        </w:tcBorders>
        <w:shd w:val="clear" w:color="auto" w:fill="FFFFFF" w:themeFill="background1"/>
      </w:tcPr>
    </w:tblStylePr>
    <w:tblStylePr w:type="lastRow">
      <w:rPr>
        <w:b/>
        <w:bCs/>
      </w:rPr>
      <w:tblPr/>
      <w:tcPr>
        <w:tcBorders>
          <w:top w:val="double" w:sz="2" w:space="0" w:color="789DB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DEE7" w:themeFill="accent1" w:themeFillTint="33"/>
      </w:tcPr>
    </w:tblStylePr>
    <w:tblStylePr w:type="band1Horz">
      <w:tblPr/>
      <w:tcPr>
        <w:shd w:val="clear" w:color="auto" w:fill="D2DEE7" w:themeFill="accent1" w:themeFillTint="33"/>
      </w:tcPr>
    </w:tblStylePr>
  </w:style>
  <w:style w:type="paragraph" w:customStyle="1" w:styleId="H1Headers">
    <w:name w:val="H1 (Headers)"/>
    <w:basedOn w:val="Normal"/>
    <w:uiPriority w:val="99"/>
    <w:rsid w:val="008E551E"/>
    <w:pPr>
      <w:suppressAutoHyphens/>
      <w:autoSpaceDE w:val="0"/>
      <w:autoSpaceDN w:val="0"/>
      <w:adjustRightInd w:val="0"/>
      <w:spacing w:before="154" w:after="154" w:line="288" w:lineRule="auto"/>
      <w:textAlignment w:val="center"/>
    </w:pPr>
    <w:rPr>
      <w:rFonts w:ascii="Ubuntu Light" w:hAnsi="Ubuntu Light" w:cs="Ubuntu Light"/>
      <w:color w:val="313E48"/>
      <w:sz w:val="64"/>
      <w:szCs w:val="64"/>
      <w:lang w:val="en-US" w:eastAsia="en-AU"/>
    </w:rPr>
  </w:style>
  <w:style w:type="paragraph" w:customStyle="1" w:styleId="BodyBodystyles">
    <w:name w:val="Body (Body styles)"/>
    <w:basedOn w:val="Normal"/>
    <w:uiPriority w:val="99"/>
    <w:rsid w:val="008E551E"/>
    <w:pPr>
      <w:suppressAutoHyphens/>
      <w:autoSpaceDE w:val="0"/>
      <w:autoSpaceDN w:val="0"/>
      <w:adjustRightInd w:val="0"/>
      <w:spacing w:after="113" w:line="288" w:lineRule="auto"/>
      <w:textAlignment w:val="center"/>
    </w:pPr>
    <w:rPr>
      <w:rFonts w:ascii="Ubuntu Light" w:hAnsi="Ubuntu Light" w:cs="Ubuntu Light"/>
      <w:color w:val="000000"/>
      <w:lang w:val="en-US" w:eastAsia="en-AU"/>
    </w:rPr>
  </w:style>
  <w:style w:type="paragraph" w:customStyle="1" w:styleId="H3Headers">
    <w:name w:val="H3 (Headers)"/>
    <w:basedOn w:val="Normal"/>
    <w:uiPriority w:val="99"/>
    <w:rsid w:val="008E551E"/>
    <w:pPr>
      <w:suppressAutoHyphens/>
      <w:autoSpaceDE w:val="0"/>
      <w:autoSpaceDN w:val="0"/>
      <w:adjustRightInd w:val="0"/>
      <w:spacing w:before="170" w:after="170" w:line="288" w:lineRule="auto"/>
      <w:textAlignment w:val="center"/>
    </w:pPr>
    <w:rPr>
      <w:rFonts w:ascii="Ubuntu Light" w:hAnsi="Ubuntu Light" w:cs="Ubuntu Light"/>
      <w:color w:val="000000"/>
      <w:sz w:val="32"/>
      <w:szCs w:val="32"/>
      <w:lang w:val="en-US" w:eastAsia="en-AU"/>
    </w:rPr>
  </w:style>
  <w:style w:type="character" w:customStyle="1" w:styleId="Medium">
    <w:name w:val="Medium"/>
    <w:basedOn w:val="DefaultParagraphFont"/>
    <w:uiPriority w:val="99"/>
    <w:rsid w:val="006E1C2A"/>
    <w:rPr>
      <w:u w:val="none"/>
    </w:rPr>
  </w:style>
  <w:style w:type="character" w:customStyle="1" w:styleId="Bold">
    <w:name w:val="Bold"/>
    <w:uiPriority w:val="99"/>
    <w:rsid w:val="008E551E"/>
    <w:rPr>
      <w:b/>
      <w:bCs/>
    </w:rPr>
  </w:style>
  <w:style w:type="paragraph" w:customStyle="1" w:styleId="H2Headers">
    <w:name w:val="H2 (Headers)"/>
    <w:basedOn w:val="Normal"/>
    <w:uiPriority w:val="99"/>
    <w:rsid w:val="008E551E"/>
    <w:pPr>
      <w:suppressAutoHyphens/>
      <w:autoSpaceDE w:val="0"/>
      <w:autoSpaceDN w:val="0"/>
      <w:adjustRightInd w:val="0"/>
      <w:spacing w:after="529" w:line="288" w:lineRule="auto"/>
      <w:textAlignment w:val="center"/>
    </w:pPr>
    <w:rPr>
      <w:rFonts w:ascii="Ubuntu Light" w:hAnsi="Ubuntu Light" w:cs="Ubuntu Light"/>
      <w:color w:val="FFFFFF"/>
      <w:sz w:val="49"/>
      <w:szCs w:val="49"/>
      <w:lang w:val="en-US" w:eastAsia="en-AU"/>
    </w:rPr>
  </w:style>
  <w:style w:type="paragraph" w:customStyle="1" w:styleId="H4Headers">
    <w:name w:val="H4 (Headers)"/>
    <w:basedOn w:val="Normal"/>
    <w:uiPriority w:val="99"/>
    <w:rsid w:val="008E551E"/>
    <w:pPr>
      <w:suppressAutoHyphens/>
      <w:autoSpaceDE w:val="0"/>
      <w:autoSpaceDN w:val="0"/>
      <w:adjustRightInd w:val="0"/>
      <w:spacing w:before="113" w:after="113" w:line="288" w:lineRule="auto"/>
      <w:textAlignment w:val="center"/>
    </w:pPr>
    <w:rPr>
      <w:rFonts w:ascii="Ubuntu" w:hAnsi="Ubuntu" w:cs="Ubuntu"/>
      <w:b/>
      <w:bCs/>
      <w:color w:val="000000"/>
      <w:lang w:val="en-US" w:eastAsia="en-AU"/>
    </w:rPr>
  </w:style>
  <w:style w:type="paragraph" w:customStyle="1" w:styleId="Indent-BulletsBodystyles">
    <w:name w:val="Indent - Bullets (Body styles)"/>
    <w:basedOn w:val="Normal"/>
    <w:uiPriority w:val="99"/>
    <w:rsid w:val="008E551E"/>
    <w:pPr>
      <w:tabs>
        <w:tab w:val="left" w:pos="283"/>
      </w:tabs>
      <w:suppressAutoHyphens/>
      <w:autoSpaceDE w:val="0"/>
      <w:autoSpaceDN w:val="0"/>
      <w:adjustRightInd w:val="0"/>
      <w:spacing w:after="113" w:line="288" w:lineRule="auto"/>
      <w:ind w:left="283" w:hanging="283"/>
      <w:textAlignment w:val="center"/>
    </w:pPr>
    <w:rPr>
      <w:rFonts w:ascii="Ubuntu Light" w:hAnsi="Ubuntu Light" w:cs="Ubuntu Light"/>
      <w:color w:val="000000"/>
      <w:lang w:val="en-US" w:eastAsia="en-AU"/>
    </w:rPr>
  </w:style>
  <w:style w:type="paragraph" w:customStyle="1" w:styleId="BodyCentredBodystyles">
    <w:name w:val="Body Centred (Body styles)"/>
    <w:basedOn w:val="Normal"/>
    <w:uiPriority w:val="99"/>
    <w:rsid w:val="0091532B"/>
    <w:pPr>
      <w:suppressAutoHyphens/>
      <w:autoSpaceDE w:val="0"/>
      <w:autoSpaceDN w:val="0"/>
      <w:adjustRightInd w:val="0"/>
      <w:spacing w:after="113" w:line="288" w:lineRule="auto"/>
      <w:jc w:val="center"/>
      <w:textAlignment w:val="center"/>
    </w:pPr>
    <w:rPr>
      <w:rFonts w:ascii="Ubuntu Light" w:hAnsi="Ubuntu Light" w:cs="Ubuntu Light"/>
      <w:color w:val="000000"/>
      <w:lang w:val="en-US" w:eastAsia="en-AU"/>
    </w:rPr>
  </w:style>
  <w:style w:type="paragraph" w:customStyle="1" w:styleId="Boxtext-Recommendations">
    <w:name w:val="Box text - Recommendations"/>
    <w:basedOn w:val="BodyCopy"/>
    <w:autoRedefine/>
    <w:rsid w:val="006605C9"/>
    <w:pPr>
      <w:shd w:val="clear" w:color="47763B" w:themeColor="accent4" w:fill="D2DEE7" w:themeFill="accent1" w:themeFillTint="33"/>
    </w:pPr>
    <w:rPr>
      <w:bCs/>
      <w:color w:val="000000" w:themeColor="text1"/>
    </w:rPr>
  </w:style>
  <w:style w:type="paragraph" w:customStyle="1" w:styleId="H5Headers">
    <w:name w:val="H5 (Headers)"/>
    <w:basedOn w:val="H4Headers"/>
    <w:uiPriority w:val="99"/>
    <w:rsid w:val="00CD716B"/>
    <w:rPr>
      <w:color w:val="00837C"/>
      <w:sz w:val="24"/>
      <w:szCs w:val="24"/>
    </w:rPr>
  </w:style>
  <w:style w:type="paragraph" w:customStyle="1" w:styleId="CaseStudy-LeftPageBodystyles">
    <w:name w:val="Case Study - Left Page (Body styles)"/>
    <w:basedOn w:val="Normal"/>
    <w:uiPriority w:val="99"/>
    <w:rsid w:val="00946648"/>
    <w:pPr>
      <w:suppressAutoHyphens/>
      <w:autoSpaceDE w:val="0"/>
      <w:autoSpaceDN w:val="0"/>
      <w:adjustRightInd w:val="0"/>
      <w:spacing w:before="567" w:after="510" w:line="288" w:lineRule="auto"/>
      <w:ind w:right="113"/>
      <w:textAlignment w:val="center"/>
    </w:pPr>
    <w:rPr>
      <w:rFonts w:ascii="Ubuntu Light" w:hAnsi="Ubuntu Light" w:cs="Ubuntu Light"/>
      <w:color w:val="000000"/>
      <w:lang w:val="en-US" w:eastAsia="en-AU"/>
    </w:rPr>
  </w:style>
  <w:style w:type="paragraph" w:styleId="CommentText">
    <w:name w:val="annotation text"/>
    <w:basedOn w:val="Normal"/>
    <w:link w:val="CommentTextChar"/>
    <w:uiPriority w:val="99"/>
    <w:semiHidden/>
    <w:unhideWhenUsed/>
    <w:rsid w:val="00EE4FA3"/>
    <w:pPr>
      <w:spacing w:before="120" w:after="12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EE4FA3"/>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EE4FA3"/>
    <w:rPr>
      <w:sz w:val="16"/>
      <w:szCs w:val="16"/>
    </w:rPr>
  </w:style>
  <w:style w:type="paragraph" w:customStyle="1" w:styleId="FootnotesBodystyles">
    <w:name w:val="Footnotes (Body styles)"/>
    <w:basedOn w:val="Normal"/>
    <w:uiPriority w:val="99"/>
    <w:rsid w:val="0000500D"/>
    <w:pPr>
      <w:suppressAutoHyphens/>
      <w:autoSpaceDE w:val="0"/>
      <w:autoSpaceDN w:val="0"/>
      <w:adjustRightInd w:val="0"/>
      <w:spacing w:after="57" w:line="200" w:lineRule="atLeast"/>
      <w:ind w:left="320" w:hanging="320"/>
      <w:textAlignment w:val="center"/>
    </w:pPr>
    <w:rPr>
      <w:rFonts w:ascii="Ubuntu Light" w:hAnsi="Ubuntu Light" w:cs="Ubuntu Light"/>
      <w:color w:val="000000"/>
      <w:sz w:val="18"/>
      <w:szCs w:val="18"/>
      <w:lang w:val="en-US" w:eastAsia="en-AU"/>
    </w:rPr>
  </w:style>
  <w:style w:type="character" w:styleId="UnresolvedMention">
    <w:name w:val="Unresolved Mention"/>
    <w:basedOn w:val="DefaultParagraphFont"/>
    <w:uiPriority w:val="99"/>
    <w:semiHidden/>
    <w:unhideWhenUsed/>
    <w:rsid w:val="0000500D"/>
    <w:rPr>
      <w:color w:val="605E5C"/>
      <w:shd w:val="clear" w:color="auto" w:fill="E1DFDD"/>
    </w:rPr>
  </w:style>
  <w:style w:type="paragraph" w:customStyle="1" w:styleId="Boxtext-OurCommitment">
    <w:name w:val="Box text - Our Commitment"/>
    <w:basedOn w:val="Boxtext-Recommendations"/>
    <w:rsid w:val="006F1CC6"/>
    <w:pPr>
      <w:shd w:val="clear" w:color="47763B" w:themeColor="accent4" w:fill="DBDBDB" w:themeFill="accent3" w:themeFillTint="66"/>
    </w:pPr>
  </w:style>
  <w:style w:type="paragraph" w:customStyle="1" w:styleId="BodysmallBodystyles">
    <w:name w:val="Body small (Body styles)"/>
    <w:basedOn w:val="BodyBodystyles"/>
    <w:uiPriority w:val="99"/>
    <w:rsid w:val="004C41C9"/>
    <w:rPr>
      <w:sz w:val="18"/>
      <w:szCs w:val="18"/>
    </w:rPr>
  </w:style>
  <w:style w:type="paragraph" w:customStyle="1" w:styleId="Style1">
    <w:name w:val="Style1"/>
    <w:basedOn w:val="Boxtext-OurCommitment"/>
    <w:qFormat/>
    <w:rsid w:val="004C41C9"/>
    <w:pPr>
      <w:shd w:val="clear" w:color="47763B" w:themeColor="accent4" w:fill="AED2A6" w:themeFill="accent4" w:themeFillTint="66"/>
    </w:pPr>
    <w:rPr>
      <w:color w:val="00837C"/>
    </w:rPr>
  </w:style>
  <w:style w:type="paragraph" w:customStyle="1" w:styleId="BoxCasestudy">
    <w:name w:val="Box: Case study"/>
    <w:basedOn w:val="Boxtext-OurCommitment"/>
    <w:qFormat/>
    <w:rsid w:val="007A55B9"/>
    <w:pPr>
      <w:pBdr>
        <w:top w:val="single" w:sz="4" w:space="4" w:color="auto"/>
        <w:bottom w:val="single" w:sz="4" w:space="4" w:color="auto"/>
      </w:pBdr>
      <w:shd w:val="clear" w:color="47763B" w:themeColor="accent4" w:fill="D6E8D2" w:themeFill="accent4" w:themeFillTint="33"/>
    </w:pPr>
    <w:rPr>
      <w:color w:val="auto"/>
    </w:rPr>
  </w:style>
  <w:style w:type="paragraph" w:customStyle="1" w:styleId="Indent-NumberedListBodystyles">
    <w:name w:val="Indent - Numbered List (Body styles)"/>
    <w:basedOn w:val="BodyBodystyles"/>
    <w:uiPriority w:val="99"/>
    <w:rsid w:val="00F84AA1"/>
    <w:pPr>
      <w:tabs>
        <w:tab w:val="left" w:pos="283"/>
      </w:tabs>
      <w:ind w:left="283" w:hanging="283"/>
    </w:pPr>
  </w:style>
  <w:style w:type="paragraph" w:customStyle="1" w:styleId="BoxQuickFacts">
    <w:name w:val="Box: Quick Facts"/>
    <w:basedOn w:val="BoxCasestudy"/>
    <w:rsid w:val="0095396F"/>
    <w:pPr>
      <w:shd w:val="clear" w:color="47763B" w:themeColor="accent4" w:fill="D2DEE7" w:themeFill="accent1" w:themeFillTint="33"/>
    </w:pPr>
    <w:rPr>
      <w:lang w:val="en-US"/>
    </w:rPr>
  </w:style>
  <w:style w:type="paragraph" w:customStyle="1" w:styleId="List-Numbers">
    <w:name w:val="List-Numbers"/>
    <w:basedOn w:val="Normal"/>
    <w:qFormat/>
    <w:rsid w:val="00A265FE"/>
    <w:pPr>
      <w:numPr>
        <w:numId w:val="1"/>
      </w:numPr>
    </w:pPr>
    <w:rPr>
      <w:lang w:val="en-US"/>
    </w:rPr>
  </w:style>
  <w:style w:type="character" w:customStyle="1" w:styleId="PaddockHighlight">
    <w:name w:val="Paddock Highlight"/>
    <w:uiPriority w:val="99"/>
    <w:rsid w:val="00F850D9"/>
    <w:rPr>
      <w:color w:val="47763B"/>
    </w:rPr>
  </w:style>
  <w:style w:type="paragraph" w:customStyle="1" w:styleId="Sub-title">
    <w:name w:val="Sub-title"/>
    <w:basedOn w:val="H2-Heading2"/>
    <w:qFormat/>
    <w:rsid w:val="0051202A"/>
    <w:rPr>
      <w:rFonts w:asciiTheme="majorHAnsi" w:hAnsiTheme="majorHAnsi"/>
      <w:sz w:val="36"/>
      <w:szCs w:val="40"/>
      <w:lang w:val="en-US"/>
    </w:rPr>
  </w:style>
  <w:style w:type="paragraph" w:customStyle="1" w:styleId="H1-BP">
    <w:name w:val="H1 - BP"/>
    <w:basedOn w:val="H1-Heading1"/>
    <w:qFormat/>
    <w:rsid w:val="0051202A"/>
    <w:pPr>
      <w:jc w:val="left"/>
    </w:pPr>
    <w:rPr>
      <w:lang w:val="en-US"/>
    </w:rPr>
  </w:style>
  <w:style w:type="paragraph" w:customStyle="1" w:styleId="Imagecredit">
    <w:name w:val="Image credit"/>
    <w:basedOn w:val="Normal"/>
    <w:qFormat/>
    <w:rsid w:val="008C35F8"/>
    <w:pPr>
      <w:spacing w:before="60" w:after="60"/>
      <w:contextualSpacing/>
    </w:pPr>
    <w:rPr>
      <w:sz w:val="18"/>
    </w:rPr>
  </w:style>
  <w:style w:type="paragraph" w:customStyle="1" w:styleId="Bodysmall-BPBodystyles">
    <w:name w:val="Body small - BP (Body styles)"/>
    <w:basedOn w:val="BodyBodystyles"/>
    <w:uiPriority w:val="99"/>
    <w:rsid w:val="000C67C3"/>
    <w:rPr>
      <w:sz w:val="18"/>
      <w:szCs w:val="18"/>
    </w:rPr>
  </w:style>
  <w:style w:type="paragraph" w:styleId="FootnoteText">
    <w:name w:val="footnote text"/>
    <w:basedOn w:val="Normal"/>
    <w:link w:val="FootnoteTextChar"/>
    <w:uiPriority w:val="99"/>
    <w:semiHidden/>
    <w:unhideWhenUsed/>
    <w:rsid w:val="008C35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35F8"/>
    <w:rPr>
      <w:lang w:eastAsia="en-US"/>
    </w:rPr>
  </w:style>
  <w:style w:type="character" w:styleId="FootnoteReference">
    <w:name w:val="footnote reference"/>
    <w:basedOn w:val="DefaultParagraphFont"/>
    <w:uiPriority w:val="99"/>
    <w:semiHidden/>
    <w:unhideWhenUsed/>
    <w:rsid w:val="008C35F8"/>
    <w:rPr>
      <w:vertAlign w:val="superscript"/>
    </w:rPr>
  </w:style>
  <w:style w:type="paragraph" w:styleId="EndnoteText">
    <w:name w:val="endnote text"/>
    <w:basedOn w:val="Normal"/>
    <w:link w:val="EndnoteTextChar"/>
    <w:uiPriority w:val="99"/>
    <w:unhideWhenUsed/>
    <w:rsid w:val="008C35F8"/>
    <w:pPr>
      <w:spacing w:after="0" w:line="240" w:lineRule="auto"/>
    </w:pPr>
    <w:rPr>
      <w:sz w:val="20"/>
      <w:szCs w:val="20"/>
    </w:rPr>
  </w:style>
  <w:style w:type="character" w:customStyle="1" w:styleId="EndnoteTextChar">
    <w:name w:val="Endnote Text Char"/>
    <w:basedOn w:val="DefaultParagraphFont"/>
    <w:link w:val="EndnoteText"/>
    <w:uiPriority w:val="99"/>
    <w:rsid w:val="008C35F8"/>
    <w:rPr>
      <w:lang w:eastAsia="en-US"/>
    </w:rPr>
  </w:style>
  <w:style w:type="character" w:styleId="EndnoteReference">
    <w:name w:val="endnote reference"/>
    <w:basedOn w:val="DefaultParagraphFont"/>
    <w:uiPriority w:val="99"/>
    <w:semiHidden/>
    <w:unhideWhenUsed/>
    <w:rsid w:val="008C35F8"/>
    <w:rPr>
      <w:vertAlign w:val="superscript"/>
    </w:rPr>
  </w:style>
  <w:style w:type="paragraph" w:customStyle="1" w:styleId="Bibliography01">
    <w:name w:val="Bibliography 01"/>
    <w:basedOn w:val="Normal"/>
    <w:qFormat/>
    <w:rsid w:val="00755AA0"/>
    <w:pPr>
      <w:ind w:firstLine="426"/>
    </w:pPr>
    <w:rPr>
      <w:lang w:val="en-US"/>
    </w:rPr>
  </w:style>
  <w:style w:type="paragraph" w:customStyle="1" w:styleId="BodyCopyBullets-Tight">
    <w:name w:val="Body Copy Bullets - Tight"/>
    <w:basedOn w:val="BodyCopyBullets"/>
    <w:qFormat/>
    <w:rsid w:val="00A11C6A"/>
    <w:pPr>
      <w:numPr>
        <w:numId w:val="0"/>
      </w:numPr>
      <w:spacing w:after="40"/>
      <w:ind w:left="340" w:hanging="340"/>
    </w:pPr>
    <w:rPr>
      <w:lang w:eastAsia="en-AU"/>
    </w:rPr>
  </w:style>
  <w:style w:type="paragraph" w:customStyle="1" w:styleId="Chartkey-Bullet">
    <w:name w:val="Chart key  - Bullet"/>
    <w:basedOn w:val="BodyCopyBullets"/>
    <w:qFormat/>
    <w:rsid w:val="00741AA6"/>
    <w:rPr>
      <w:sz w:val="18"/>
      <w:szCs w:val="18"/>
    </w:rPr>
  </w:style>
  <w:style w:type="paragraph" w:customStyle="1" w:styleId="Footnote">
    <w:name w:val="Footnote"/>
    <w:basedOn w:val="Normal"/>
    <w:qFormat/>
    <w:rsid w:val="00605C32"/>
    <w:rPr>
      <w:sz w:val="18"/>
      <w:szCs w:val="18"/>
    </w:rPr>
  </w:style>
  <w:style w:type="paragraph" w:customStyle="1" w:styleId="Pa14">
    <w:name w:val="Pa14"/>
    <w:basedOn w:val="Normal"/>
    <w:next w:val="Normal"/>
    <w:uiPriority w:val="99"/>
    <w:rsid w:val="0000484F"/>
    <w:pPr>
      <w:autoSpaceDE w:val="0"/>
      <w:autoSpaceDN w:val="0"/>
      <w:adjustRightInd w:val="0"/>
      <w:spacing w:after="0" w:line="221" w:lineRule="atLeast"/>
    </w:pPr>
    <w:rPr>
      <w:rFonts w:ascii="Ubuntu" w:hAnsi="Ubuntu"/>
      <w:sz w:val="24"/>
      <w:szCs w:val="24"/>
      <w:lang w:eastAsia="en-AU"/>
    </w:rPr>
  </w:style>
  <w:style w:type="paragraph" w:customStyle="1" w:styleId="Pa2">
    <w:name w:val="Pa2"/>
    <w:basedOn w:val="Normal"/>
    <w:next w:val="Normal"/>
    <w:uiPriority w:val="99"/>
    <w:rsid w:val="0000484F"/>
    <w:pPr>
      <w:autoSpaceDE w:val="0"/>
      <w:autoSpaceDN w:val="0"/>
      <w:adjustRightInd w:val="0"/>
      <w:spacing w:after="0" w:line="181" w:lineRule="atLeast"/>
    </w:pPr>
    <w:rPr>
      <w:rFonts w:ascii="Ubuntu" w:hAnsi="Ubuntu"/>
      <w:sz w:val="24"/>
      <w:szCs w:val="24"/>
      <w:lang w:eastAsia="en-AU"/>
    </w:rPr>
  </w:style>
  <w:style w:type="character" w:customStyle="1" w:styleId="A8">
    <w:name w:val="A8"/>
    <w:uiPriority w:val="99"/>
    <w:rsid w:val="00836811"/>
    <w:rPr>
      <w:rFonts w:cs="Ubuntu"/>
      <w:color w:val="000000"/>
      <w:sz w:val="15"/>
      <w:szCs w:val="15"/>
    </w:rPr>
  </w:style>
  <w:style w:type="character" w:customStyle="1" w:styleId="A5">
    <w:name w:val="A5"/>
    <w:uiPriority w:val="99"/>
    <w:rsid w:val="00836811"/>
    <w:rPr>
      <w:rFonts w:cs="Ubuntu"/>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8412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8.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DFAT CP">
      <a:dk1>
        <a:sysClr val="windowText" lastClr="000000"/>
      </a:dk1>
      <a:lt1>
        <a:sysClr val="window" lastClr="FFFFFF"/>
      </a:lt1>
      <a:dk2>
        <a:srgbClr val="313E48"/>
      </a:dk2>
      <a:lt2>
        <a:srgbClr val="CFD3D3"/>
      </a:lt2>
      <a:accent1>
        <a:srgbClr val="3A586E"/>
      </a:accent1>
      <a:accent2>
        <a:srgbClr val="00837C"/>
      </a:accent2>
      <a:accent3>
        <a:srgbClr val="A5A5A5"/>
      </a:accent3>
      <a:accent4>
        <a:srgbClr val="47763B"/>
      </a:accent4>
      <a:accent5>
        <a:srgbClr val="AA5739"/>
      </a:accent5>
      <a:accent6>
        <a:srgbClr val="EBAB2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1AACD07ACBEB5438CB94AD5EBBA7491" ma:contentTypeVersion="19" ma:contentTypeDescription="Create a new document." ma:contentTypeScope="" ma:versionID="1ffff9d4986854f0fb2074b3d583ea73">
  <xsd:schema xmlns:xsd="http://www.w3.org/2001/XMLSchema" xmlns:xs="http://www.w3.org/2001/XMLSchema" xmlns:p="http://schemas.microsoft.com/office/2006/metadata/properties" xmlns:ns2="03091ed5-728e-4880-8821-7360d998a1ce" xmlns:ns3="4980a12c-f7c5-4adc-b1ed-d30e576e1cfd" targetNamespace="http://schemas.microsoft.com/office/2006/metadata/properties" ma:root="true" ma:fieldsID="1c2e7742232a4fbd398d7fc8650b227c" ns2:_="" ns3:_="">
    <xsd:import namespace="03091ed5-728e-4880-8821-7360d998a1ce"/>
    <xsd:import namespace="4980a12c-f7c5-4adc-b1ed-d30e576e1c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Document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91ed5-728e-4880-8821-7360d998a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DocumentNumber" ma:index="25" nillable="true" ma:displayName="Document Number" ma:format="Dropdown" ma:internalName="Document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980a12c-f7c5-4adc-b1ed-d30e576e1c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7a10b09-ddd3-465b-b1c4-0f022381f3c8}" ma:internalName="TaxCatchAll" ma:showField="CatchAllData" ma:web="4980a12c-f7c5-4adc-b1ed-d30e576e1c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980a12c-f7c5-4adc-b1ed-d30e576e1cfd" xsi:nil="true"/>
    <lcf76f155ced4ddcb4097134ff3c332f xmlns="03091ed5-728e-4880-8821-7360d998a1ce">
      <Terms xmlns="http://schemas.microsoft.com/office/infopath/2007/PartnerControls"/>
    </lcf76f155ced4ddcb4097134ff3c332f>
    <DocumentNumber xmlns="03091ed5-728e-4880-8821-7360d998a1ce" xsi:nil="true"/>
  </documentManagement>
</p:properties>
</file>

<file path=customXml/itemProps1.xml><?xml version="1.0" encoding="utf-8"?>
<ds:datastoreItem xmlns:ds="http://schemas.openxmlformats.org/officeDocument/2006/customXml" ds:itemID="{9407E84A-05D8-45CC-9B5D-572762A72B73}">
  <ds:schemaRefs>
    <ds:schemaRef ds:uri="http://schemas.microsoft.com/sharepoint/v3/contenttype/forms"/>
  </ds:schemaRefs>
</ds:datastoreItem>
</file>

<file path=customXml/itemProps2.xml><?xml version="1.0" encoding="utf-8"?>
<ds:datastoreItem xmlns:ds="http://schemas.openxmlformats.org/officeDocument/2006/customXml" ds:itemID="{76FC48A1-C301-40FF-930E-9B84B9EA178C}">
  <ds:schemaRefs>
    <ds:schemaRef ds:uri="http://schemas.openxmlformats.org/officeDocument/2006/bibliography"/>
  </ds:schemaRefs>
</ds:datastoreItem>
</file>

<file path=customXml/itemProps3.xml><?xml version="1.0" encoding="utf-8"?>
<ds:datastoreItem xmlns:ds="http://schemas.openxmlformats.org/officeDocument/2006/customXml" ds:itemID="{31C35930-B054-4E0A-9170-EC5665F55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91ed5-728e-4880-8821-7360d998a1ce"/>
    <ds:schemaRef ds:uri="4980a12c-f7c5-4adc-b1ed-d30e576e1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664CF6-A76D-4709-A1D3-E1F0BD3CE153}">
  <ds:schemaRefs>
    <ds:schemaRef ds:uri="http://purl.org/dc/terms/"/>
    <ds:schemaRef ds:uri="03091ed5-728e-4880-8821-7360d998a1ce"/>
    <ds:schemaRef ds:uri="http://purl.org/dc/dcmitype/"/>
    <ds:schemaRef ds:uri="http://schemas.microsoft.com/office/2006/documentManagement/types"/>
    <ds:schemaRef ds:uri="4980a12c-f7c5-4adc-b1ed-d30e576e1cfd"/>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11067652-e594-4683-81e3-2cbf4d08314b}" enabled="1" method="Standard" siteId="{dd4b51f9-ee38-4f0d-87d3-0fcc190484cf}" removed="0"/>
  <clbl:label id="{610a6645-df8a-461f-957a-aeb16698bd53}" enabled="1" method="Standar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10</Pages>
  <Words>2397</Words>
  <Characters>13665</Characters>
  <Application>Microsoft Office Word</Application>
  <DocSecurity>4</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Foreign Affairs and Trade</dc:creator>
  <cp:keywords>[SEC=OFFICIAL]</cp:keywords>
  <dc:description>Australia's climate finance 2020–2025</dc:description>
  <cp:revision>2</cp:revision>
  <cp:lastPrinted>2026-03-17T03:42:00Z</cp:lastPrinted>
  <dcterms:created xsi:type="dcterms:W3CDTF">2026-04-17T01:12:00Z</dcterms:created>
  <dcterms:modified xsi:type="dcterms:W3CDTF">2026-04-17T01:12:00Z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A04407B03FB3406E91B16F76B50D491D</vt:lpwstr>
  </property>
  <property fmtid="{D5CDD505-2E9C-101B-9397-08002B2CF9AE}" pid="9" name="PM_ProtectiveMarkingValue_Footer">
    <vt:lpwstr>OFFICIAL</vt:lpwstr>
  </property>
  <property fmtid="{D5CDD505-2E9C-101B-9397-08002B2CF9AE}" pid="10" name="PM_Originator_Hash_SHA1">
    <vt:lpwstr>BCE9E1B9C40DA597F492BF91A772379205AA61EF</vt:lpwstr>
  </property>
  <property fmtid="{D5CDD505-2E9C-101B-9397-08002B2CF9AE}" pid="11" name="PM_OriginationTimeStamp">
    <vt:lpwstr>2023-05-11T01:57:22Z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2022.1</vt:lpwstr>
  </property>
  <property fmtid="{D5CDD505-2E9C-101B-9397-08002B2CF9AE}" pid="19" name="PM_Hash_Salt_Prev">
    <vt:lpwstr>5A8700F8CC8CDFB4791DD54AF3AB93BD</vt:lpwstr>
  </property>
  <property fmtid="{D5CDD505-2E9C-101B-9397-08002B2CF9AE}" pid="20" name="PM_Hash_Salt">
    <vt:lpwstr>30CBECE7F665CBE388F201E5464337A5</vt:lpwstr>
  </property>
  <property fmtid="{D5CDD505-2E9C-101B-9397-08002B2CF9AE}" pid="21" name="PM_Hash_SHA1">
    <vt:lpwstr>8DA8AA163B52F73B6780CDB424BF8418F58ED915</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Uuid">
    <vt:lpwstr>v=2022.2;d=gov.au;g=46DD6D7C-8107-577B-BC6E-F348953B2E44</vt:lpwstr>
  </property>
  <property fmtid="{D5CDD505-2E9C-101B-9397-08002B2CF9AE}" pid="26" name="PM_OriginatorUserAccountName_SHA256">
    <vt:lpwstr>C3C94E605FEE9DBDC7DE0138F77F9B7443D5BA95FC8498848141F8FBB4D388BB</vt:lpwstr>
  </property>
  <property fmtid="{D5CDD505-2E9C-101B-9397-08002B2CF9AE}" pid="27" name="PM_OriginatorDomainName_SHA256">
    <vt:lpwstr>6F3591835F3B2A8A025B00B5BA6418010DA3A17C9C26EA9C049FFD28039489A2</vt:lpwstr>
  </property>
  <property fmtid="{D5CDD505-2E9C-101B-9397-08002B2CF9AE}" pid="28" name="ContentTypeId">
    <vt:lpwstr>0x01010071AACD07ACBEB5438CB94AD5EBBA7491</vt:lpwstr>
  </property>
  <property fmtid="{D5CDD505-2E9C-101B-9397-08002B2CF9AE}" pid="29" name="PMHMAC">
    <vt:lpwstr>v=2022.1;a=SHA256;h=E0BE5F06E320BFDC429F8EA3028FFC6DAAF9C49C7369E044EECBB741D45AE2DD</vt:lpwstr>
  </property>
  <property fmtid="{D5CDD505-2E9C-101B-9397-08002B2CF9AE}" pid="30" name="PM_Expires">
    <vt:lpwstr/>
  </property>
  <property fmtid="{D5CDD505-2E9C-101B-9397-08002B2CF9AE}" pid="31" name="PM_DownTo">
    <vt:lpwstr/>
  </property>
  <property fmtid="{D5CDD505-2E9C-101B-9397-08002B2CF9AE}" pid="32" name="MediaServiceImageTags">
    <vt:lpwstr/>
  </property>
</Properties>
</file>