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WithEffects.xml" ContentType="application/vnd.ms-word.stylesWithEffect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79" w:rsidRDefault="000D2979">
      <w:pPr>
        <w:sectPr w:rsidR="000D2979" w:rsidSect="000D297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851" w:header="709" w:footer="336" w:gutter="0"/>
          <w:pgNumType w:start="0"/>
          <w:cols w:space="708"/>
          <w:titlePg/>
          <w:docGrid w:linePitch="360"/>
        </w:sectPr>
      </w:pPr>
      <w:bookmarkStart w:id="0" w:name="_GoBack"/>
      <w:r>
        <w:rPr>
          <w:noProof/>
          <w:lang w:eastAsia="en-AU"/>
        </w:rPr>
        <w:drawing>
          <wp:inline distT="0" distB="0" distL="0" distR="0" wp14:anchorId="32BA7607" wp14:editId="364EC3C9">
            <wp:extent cx="9237345" cy="653511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7345" cy="6535119"/>
                    </a:xfrm>
                    <a:prstGeom prst="rect">
                      <a:avLst/>
                    </a:prstGeom>
                    <a:noFill/>
                    <a:ln>
                      <a:noFill/>
                    </a:ln>
                  </pic:spPr>
                </pic:pic>
              </a:graphicData>
            </a:graphic>
          </wp:inline>
        </w:drawing>
      </w:r>
      <w:bookmarkEnd w:id="0"/>
      <w:r w:rsidR="001E5EA5" w:rsidRPr="00106ECF">
        <w:rPr>
          <w:noProof/>
          <w:lang w:eastAsia="en-AU"/>
        </w:rPr>
        <mc:AlternateContent>
          <mc:Choice Requires="wps">
            <w:drawing>
              <wp:anchor distT="0" distB="0" distL="114300" distR="114300" simplePos="0" relativeHeight="251659264" behindDoc="0" locked="0" layoutInCell="1" allowOverlap="1" wp14:anchorId="3E54A793" wp14:editId="50AD7B15">
                <wp:simplePos x="0" y="0"/>
                <wp:positionH relativeFrom="column">
                  <wp:posOffset>-536575</wp:posOffset>
                </wp:positionH>
                <wp:positionV relativeFrom="paragraph">
                  <wp:posOffset>-518160</wp:posOffset>
                </wp:positionV>
                <wp:extent cx="6172200" cy="1651000"/>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72200" cy="1651000"/>
                        </a:xfrm>
                        <a:prstGeom prst="rect">
                          <a:avLst/>
                        </a:prstGeom>
                      </wps:spPr>
                      <wps:bodyPr vert="horz" lIns="91433" tIns="45716" rIns="91433" bIns="45716" rtlCol="0" anchor="ctr">
                        <a:normAutofit/>
                      </wps:bodyPr>
                    </wps:wsp>
                  </a:graphicData>
                </a:graphic>
              </wp:anchor>
            </w:drawing>
          </mc:Choice>
          <mc:Fallback>
            <w:pict>
              <v:rect id="Title 1" o:spid="_x0000_s1026" style="position:absolute;margin-left:-42.25pt;margin-top:-40.8pt;width:486pt;height:1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" filled="f" stroked="f">
                <v:path arrowok="t"/>
                <o:lock v:ext="edit" grouping="t"/>
                <v:textbox inset="2.53981mm,1.2699mm,2.53981mm,1.2699mm"/>
              </v:rect>
            </w:pict>
          </mc:Fallback>
        </mc:AlternateContent>
      </w:r>
      <w:r w:rsidR="001E5EA5" w:rsidRPr="00106ECF">
        <w:rPr>
          <w:noProof/>
          <w:lang w:eastAsia="en-AU"/>
        </w:rPr>
        <mc:AlternateContent>
          <mc:Choice Requires="wps">
            <w:drawing>
              <wp:anchor distT="0" distB="0" distL="114300" distR="114300" simplePos="0" relativeHeight="251660288" behindDoc="0" locked="0" layoutInCell="1" allowOverlap="1" wp14:anchorId="2A57B5D0" wp14:editId="01E6B699">
                <wp:simplePos x="0" y="0"/>
                <wp:positionH relativeFrom="column">
                  <wp:posOffset>-536575</wp:posOffset>
                </wp:positionH>
                <wp:positionV relativeFrom="paragraph">
                  <wp:posOffset>1397000</wp:posOffset>
                </wp:positionV>
                <wp:extent cx="6172200" cy="6537502"/>
                <wp:effectExtent l="0" t="0" r="0" b="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72200" cy="6537502"/>
                        </a:xfrm>
                        <a:prstGeom prst="rect">
                          <a:avLst/>
                        </a:prstGeom>
                      </wps:spPr>
                      <wps:bodyPr vert="horz" lIns="91433" tIns="45716" rIns="91433" bIns="45716" rtlCol="0">
                        <a:normAutofit/>
                      </wps:bodyPr>
                    </wps:wsp>
                  </a:graphicData>
                </a:graphic>
              </wp:anchor>
            </w:drawing>
          </mc:Choice>
          <mc:Fallback>
            <w:pict>
              <v:rect id="Content Placeholder 2" o:spid="_x0000_s1026" style="position:absolute;margin-left:-42.25pt;margin-top:110pt;width:486pt;height:51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" filled="f" stroked="f">
                <v:path arrowok="t"/>
                <o:lock v:ext="edit" grouping="t"/>
                <v:textbox inset="2.53981mm,1.2699mm,2.53981mm,1.2699mm"/>
              </v:rect>
            </w:pict>
          </mc:Fallback>
        </mc:AlternateContent>
      </w:r>
      <w:r w:rsidR="001E5EA5" w:rsidRPr="00106ECF">
        <w:rPr>
          <w:noProof/>
          <w:lang w:eastAsia="en-AU"/>
        </w:rPr>
        <mc:AlternateContent>
          <mc:Choice Requires="wps">
            <w:drawing>
              <wp:anchor distT="0" distB="0" distL="114300" distR="114300" simplePos="0" relativeHeight="251661312" behindDoc="0" locked="0" layoutInCell="1" allowOverlap="1" wp14:anchorId="0AF7AA62" wp14:editId="5A5017D1">
                <wp:simplePos x="0" y="0"/>
                <wp:positionH relativeFrom="column">
                  <wp:posOffset>-727075</wp:posOffset>
                </wp:positionH>
                <wp:positionV relativeFrom="paragraph">
                  <wp:posOffset>-762000</wp:posOffset>
                </wp:positionV>
                <wp:extent cx="6858000" cy="45720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id="Rectangle 11" o:spid="_x0000_s1026" style="position:absolute;margin-left:-57.25pt;margin-top:-60pt;width:540pt;height:36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" filled="f" fillcolor="#3f4444 [3204]" stroked="f" strokecolor="black [3213]">
                <v:shadow color="#d8d2c5 [3214]"/>
                <v:textbox style="mso-fit-shape-to-text:t"/>
              </v:rect>
            </w:pict>
          </mc:Fallback>
        </mc:AlternateContent>
      </w:r>
    </w:p>
    <w:p w:rsidR="00242F43" w:rsidRPr="00242F43" w:rsidRDefault="00242F43" w:rsidP="00E81DF7">
      <w:pPr>
        <w:pStyle w:val="Documenttitle01"/>
      </w:pPr>
      <w:r w:rsidRPr="008B0784">
        <w:lastRenderedPageBreak/>
        <w:t>Foreword</w:t>
      </w:r>
    </w:p>
    <w:p w:rsidR="009F7345" w:rsidRPr="00353761" w:rsidRDefault="005A7211" w:rsidP="005A7211">
      <w:pPr>
        <w:spacing w:after="180"/>
        <w:rPr>
          <w:rFonts w:ascii="Arial" w:hAnsi="Arial" w:cs="Arial"/>
          <w:color w:val="222222"/>
          <w:lang w:eastAsia="en-AU"/>
        </w:rPr>
      </w:pPr>
      <w:r>
        <w:rPr>
          <w:noProof/>
          <w:lang w:eastAsia="en-AU"/>
        </w:rPr>
        <w:drawing>
          <wp:inline distT="0" distB="0" distL="0" distR="0" wp14:anchorId="5BA658A9" wp14:editId="17A44382">
            <wp:extent cx="923925" cy="1219200"/>
            <wp:effectExtent l="0" t="0" r="9525" b="0"/>
            <wp:docPr id="6" name="Picture 6" descr="http://foreignminister.gov.au/PublishingImages/bishop-portrait-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reignminister.gov.au/PublishingImages/bishop-portrait-high-r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1219200"/>
                    </a:xfrm>
                    <a:prstGeom prst="rect">
                      <a:avLst/>
                    </a:prstGeom>
                    <a:noFill/>
                    <a:ln>
                      <a:noFill/>
                    </a:ln>
                  </pic:spPr>
                </pic:pic>
              </a:graphicData>
            </a:graphic>
          </wp:inline>
        </w:drawing>
      </w:r>
      <w:r w:rsidR="00744157">
        <w:rPr>
          <w:rFonts w:ascii="Arial" w:hAnsi="Arial" w:cs="Arial"/>
          <w:color w:val="222222"/>
          <w:lang w:eastAsia="en-AU"/>
        </w:rPr>
        <w:tab/>
      </w:r>
      <w:r w:rsidR="00744157">
        <w:rPr>
          <w:rFonts w:ascii="Arial" w:hAnsi="Arial" w:cs="Arial"/>
          <w:color w:val="222222"/>
          <w:lang w:eastAsia="en-AU"/>
        </w:rPr>
        <w:tab/>
      </w:r>
      <w:r w:rsidR="00744157">
        <w:rPr>
          <w:rFonts w:ascii="Arial" w:hAnsi="Arial" w:cs="Arial"/>
          <w:color w:val="222222"/>
          <w:lang w:eastAsia="en-AU"/>
        </w:rPr>
        <w:tab/>
      </w:r>
      <w:r w:rsidR="00744157">
        <w:rPr>
          <w:rFonts w:ascii="Arial" w:hAnsi="Arial" w:cs="Arial"/>
          <w:color w:val="222222"/>
          <w:lang w:eastAsia="en-AU"/>
        </w:rPr>
        <w:tab/>
      </w:r>
      <w:r w:rsidR="00744157">
        <w:rPr>
          <w:rFonts w:ascii="Arial" w:hAnsi="Arial" w:cs="Arial"/>
          <w:color w:val="222222"/>
          <w:lang w:eastAsia="en-AU"/>
        </w:rPr>
        <w:tab/>
      </w:r>
      <w:r w:rsidR="00744157">
        <w:rPr>
          <w:rFonts w:ascii="Arial" w:hAnsi="Arial" w:cs="Arial"/>
          <w:color w:val="222222"/>
          <w:lang w:eastAsia="en-AU"/>
        </w:rPr>
        <w:tab/>
      </w:r>
      <w:r w:rsidR="00744157">
        <w:rPr>
          <w:rFonts w:ascii="Arial" w:hAnsi="Arial" w:cs="Arial"/>
          <w:color w:val="222222"/>
          <w:lang w:eastAsia="en-AU"/>
        </w:rPr>
        <w:tab/>
      </w:r>
      <w:r w:rsidR="00744157">
        <w:rPr>
          <w:rFonts w:ascii="Arial" w:hAnsi="Arial" w:cs="Arial"/>
          <w:color w:val="222222"/>
          <w:lang w:eastAsia="en-AU"/>
        </w:rPr>
        <w:tab/>
        <w:t xml:space="preserve">     </w:t>
      </w:r>
      <w:r>
        <w:rPr>
          <w:noProof/>
          <w:lang w:eastAsia="en-AU"/>
        </w:rPr>
        <w:drawing>
          <wp:inline distT="0" distB="0" distL="0" distR="0" wp14:anchorId="13BE8C39" wp14:editId="101630D0">
            <wp:extent cx="904875" cy="1226729"/>
            <wp:effectExtent l="0" t="0" r="0" b="0"/>
            <wp:docPr id="5" name="Picture 5" descr="http://trademinister.gov.au/PublishingImages/robb-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deminister.gov.au/PublishingImages/robb-portrait.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904875" cy="1226729"/>
                    </a:xfrm>
                    <a:prstGeom prst="rect">
                      <a:avLst/>
                    </a:prstGeom>
                    <a:noFill/>
                    <a:ln>
                      <a:noFill/>
                    </a:ln>
                    <a:extLst>
                      <a:ext uri="{53640926-AAD7-44D8-BBD7-CCE9431645EC}">
                        <a14:shadowObscured xmlns:a14="http://schemas.microsoft.com/office/drawing/2010/main"/>
                      </a:ext>
                    </a:extLst>
                  </pic:spPr>
                </pic:pic>
              </a:graphicData>
            </a:graphic>
          </wp:inline>
        </w:drawing>
      </w:r>
    </w:p>
    <w:p w:rsidR="00704753" w:rsidRDefault="00DB3A4B" w:rsidP="00161BAD">
      <w:pPr>
        <w:pBdr>
          <w:top w:val="single" w:sz="4" w:space="1" w:color="auto"/>
          <w:left w:val="single" w:sz="4" w:space="4" w:color="auto"/>
          <w:bottom w:val="single" w:sz="4" w:space="31" w:color="auto"/>
          <w:right w:val="single" w:sz="4" w:space="4" w:color="auto"/>
        </w:pBdr>
        <w:rPr>
          <w:b/>
        </w:rPr>
      </w:pPr>
      <w:r>
        <w:rPr>
          <w:b/>
        </w:rPr>
        <w:t xml:space="preserve">The Foreign Affairs and Trade portfolio </w:t>
      </w:r>
      <w:r w:rsidR="00704753">
        <w:rPr>
          <w:b/>
        </w:rPr>
        <w:t>is committed to cutting red and green tape</w:t>
      </w:r>
      <w:r w:rsidR="00161BAD">
        <w:rPr>
          <w:b/>
        </w:rPr>
        <w:t xml:space="preserve"> to help increase productivity and competitiveness for businesses, individuals and community organisations. </w:t>
      </w:r>
      <w:r w:rsidR="00704753">
        <w:rPr>
          <w:b/>
        </w:rPr>
        <w:t xml:space="preserve">The portfolio includes a small but diverse range of regulatory functions from issuing passports to providing support </w:t>
      </w:r>
      <w:r w:rsidR="00161BAD">
        <w:rPr>
          <w:b/>
        </w:rPr>
        <w:t xml:space="preserve">to small and medium </w:t>
      </w:r>
      <w:r w:rsidR="001839E9">
        <w:rPr>
          <w:b/>
        </w:rPr>
        <w:t>exporters</w:t>
      </w:r>
      <w:r w:rsidR="00161BAD">
        <w:rPr>
          <w:b/>
        </w:rPr>
        <w:t xml:space="preserve">. By </w:t>
      </w:r>
      <w:r w:rsidR="00DA469E">
        <w:rPr>
          <w:b/>
        </w:rPr>
        <w:t>removing</w:t>
      </w:r>
      <w:r w:rsidR="00161BAD">
        <w:rPr>
          <w:b/>
        </w:rPr>
        <w:t xml:space="preserve"> unnecessary regulation and </w:t>
      </w:r>
      <w:r w:rsidR="00DA469E">
        <w:rPr>
          <w:b/>
        </w:rPr>
        <w:t>only imposing</w:t>
      </w:r>
      <w:r w:rsidR="00161BAD">
        <w:rPr>
          <w:b/>
        </w:rPr>
        <w:t xml:space="preserve"> new regulation</w:t>
      </w:r>
      <w:r w:rsidR="00DA469E">
        <w:rPr>
          <w:b/>
        </w:rPr>
        <w:t xml:space="preserve"> where it is absolutely necessary</w:t>
      </w:r>
      <w:r w:rsidR="00161BAD">
        <w:rPr>
          <w:b/>
        </w:rPr>
        <w:t xml:space="preserve">, the portfolio is </w:t>
      </w:r>
      <w:r w:rsidR="00DA469E">
        <w:rPr>
          <w:b/>
        </w:rPr>
        <w:t>helping the Government to reach its target of reducing red tape by at least $1 billion a year.</w:t>
      </w:r>
    </w:p>
    <w:p w:rsidR="00161BAD" w:rsidRDefault="00161BAD" w:rsidP="00353761">
      <w:pPr>
        <w:pBdr>
          <w:top w:val="single" w:sz="4" w:space="1" w:color="auto"/>
          <w:left w:val="single" w:sz="4" w:space="4" w:color="auto"/>
          <w:bottom w:val="single" w:sz="4" w:space="31" w:color="auto"/>
          <w:right w:val="single" w:sz="4" w:space="4" w:color="auto"/>
        </w:pBdr>
        <w:rPr>
          <w:b/>
        </w:rPr>
      </w:pPr>
    </w:p>
    <w:p w:rsidR="00353761" w:rsidRDefault="00FB2654" w:rsidP="00FB2654">
      <w:pPr>
        <w:pBdr>
          <w:top w:val="single" w:sz="4" w:space="1" w:color="auto"/>
          <w:left w:val="single" w:sz="4" w:space="4" w:color="auto"/>
          <w:bottom w:val="single" w:sz="4" w:space="31" w:color="auto"/>
          <w:right w:val="single" w:sz="4" w:space="4" w:color="auto"/>
        </w:pBdr>
        <w:rPr>
          <w:b/>
        </w:rPr>
      </w:pPr>
      <w:r>
        <w:rPr>
          <w:b/>
        </w:rPr>
        <w:t xml:space="preserve">We are making </w:t>
      </w:r>
      <w:r w:rsidR="00DA469E" w:rsidRPr="001839E9">
        <w:rPr>
          <w:b/>
        </w:rPr>
        <w:t>it easier for Australians to apply for a passport</w:t>
      </w:r>
      <w:r w:rsidR="00DA469E">
        <w:rPr>
          <w:b/>
        </w:rPr>
        <w:t xml:space="preserve"> and</w:t>
      </w:r>
      <w:r>
        <w:rPr>
          <w:b/>
        </w:rPr>
        <w:t xml:space="preserve"> </w:t>
      </w:r>
      <w:r w:rsidR="000C37C7">
        <w:rPr>
          <w:b/>
        </w:rPr>
        <w:t xml:space="preserve">have improved </w:t>
      </w:r>
      <w:r w:rsidR="00DA469E">
        <w:rPr>
          <w:b/>
        </w:rPr>
        <w:t xml:space="preserve">the online accreditation process for Non-Government Organisations (NGOs) delivering overseas aid.  </w:t>
      </w:r>
      <w:r>
        <w:rPr>
          <w:b/>
        </w:rPr>
        <w:t>Through the</w:t>
      </w:r>
      <w:r w:rsidR="00DA469E">
        <w:rPr>
          <w:b/>
        </w:rPr>
        <w:t xml:space="preserve"> new Korea-Australia Free Trade Agreement and the </w:t>
      </w:r>
      <w:r w:rsidR="00DA469E" w:rsidRPr="00DA469E">
        <w:rPr>
          <w:b/>
        </w:rPr>
        <w:t>Japan-Australia Economic Partnership Agreement</w:t>
      </w:r>
      <w:r>
        <w:rPr>
          <w:b/>
        </w:rPr>
        <w:t>, we have given Australian exporters better market access to North Asian markets and streamlined trading paperwork.</w:t>
      </w:r>
      <w:r w:rsidR="00DA469E">
        <w:rPr>
          <w:b/>
        </w:rPr>
        <w:t xml:space="preserve"> </w:t>
      </w:r>
      <w:r>
        <w:rPr>
          <w:b/>
        </w:rPr>
        <w:t>Changes to legislation associated with the Export Finance and Insurance Corporation (EFIC) will ensure better support to small and medium sized businesses seeking to capitalise on global trade opportunities.</w:t>
      </w:r>
    </w:p>
    <w:p w:rsidR="00605E02" w:rsidRDefault="00605E02" w:rsidP="00353761">
      <w:pPr>
        <w:pBdr>
          <w:top w:val="single" w:sz="4" w:space="1" w:color="auto"/>
          <w:left w:val="single" w:sz="4" w:space="4" w:color="auto"/>
          <w:bottom w:val="single" w:sz="4" w:space="31" w:color="auto"/>
          <w:right w:val="single" w:sz="4" w:space="4" w:color="auto"/>
        </w:pBdr>
        <w:rPr>
          <w:b/>
        </w:rPr>
      </w:pPr>
    </w:p>
    <w:p w:rsidR="00353761" w:rsidRDefault="000C37C7" w:rsidP="00353761">
      <w:pPr>
        <w:pBdr>
          <w:top w:val="single" w:sz="4" w:space="1" w:color="auto"/>
          <w:left w:val="single" w:sz="4" w:space="4" w:color="auto"/>
          <w:bottom w:val="single" w:sz="4" w:space="31" w:color="auto"/>
          <w:right w:val="single" w:sz="4" w:space="4" w:color="auto"/>
        </w:pBdr>
        <w:rPr>
          <w:b/>
        </w:rPr>
      </w:pPr>
      <w:r>
        <w:rPr>
          <w:b/>
        </w:rPr>
        <w:t xml:space="preserve">In total, the portfolio delivered $7 million in deregulatory savings in 2014. We look forward to contributing to this important Government priority </w:t>
      </w:r>
      <w:r w:rsidR="001839E9">
        <w:rPr>
          <w:b/>
        </w:rPr>
        <w:t>in 2015</w:t>
      </w:r>
      <w:r>
        <w:rPr>
          <w:b/>
        </w:rPr>
        <w:t>.</w:t>
      </w:r>
    </w:p>
    <w:p w:rsidR="000C37C7" w:rsidRDefault="000C37C7" w:rsidP="00353761">
      <w:pPr>
        <w:pBdr>
          <w:top w:val="single" w:sz="4" w:space="1" w:color="auto"/>
          <w:left w:val="single" w:sz="4" w:space="4" w:color="auto"/>
          <w:bottom w:val="single" w:sz="4" w:space="31" w:color="auto"/>
          <w:right w:val="single" w:sz="4" w:space="4" w:color="auto"/>
        </w:pBdr>
        <w:rPr>
          <w:b/>
        </w:rPr>
      </w:pPr>
    </w:p>
    <w:p w:rsidR="000C37C7" w:rsidRDefault="000C37C7" w:rsidP="00353761">
      <w:pPr>
        <w:pBdr>
          <w:top w:val="single" w:sz="4" w:space="1" w:color="auto"/>
          <w:left w:val="single" w:sz="4" w:space="4" w:color="auto"/>
          <w:bottom w:val="single" w:sz="4" w:space="31" w:color="auto"/>
          <w:right w:val="single" w:sz="4" w:space="4" w:color="auto"/>
        </w:pBdr>
        <w:rPr>
          <w:b/>
        </w:rPr>
      </w:pPr>
    </w:p>
    <w:p w:rsidR="000C37C7" w:rsidRDefault="000C37C7" w:rsidP="00353761">
      <w:pPr>
        <w:pBdr>
          <w:top w:val="single" w:sz="4" w:space="1" w:color="auto"/>
          <w:left w:val="single" w:sz="4" w:space="4" w:color="auto"/>
          <w:bottom w:val="single" w:sz="4" w:space="31" w:color="auto"/>
          <w:right w:val="single" w:sz="4" w:space="4" w:color="auto"/>
        </w:pBdr>
        <w:rPr>
          <w:b/>
        </w:rPr>
      </w:pPr>
    </w:p>
    <w:p w:rsidR="000C37C7" w:rsidRDefault="000C37C7" w:rsidP="00353761">
      <w:pPr>
        <w:pBdr>
          <w:top w:val="single" w:sz="4" w:space="1" w:color="auto"/>
          <w:left w:val="single" w:sz="4" w:space="4" w:color="auto"/>
          <w:bottom w:val="single" w:sz="4" w:space="31" w:color="auto"/>
          <w:right w:val="single" w:sz="4" w:space="4" w:color="auto"/>
        </w:pBdr>
        <w:rPr>
          <w:b/>
        </w:rPr>
      </w:pPr>
    </w:p>
    <w:p w:rsidR="000C37C7" w:rsidRDefault="000C37C7" w:rsidP="00353761">
      <w:pPr>
        <w:pBdr>
          <w:top w:val="single" w:sz="4" w:space="1" w:color="auto"/>
          <w:left w:val="single" w:sz="4" w:space="4" w:color="auto"/>
          <w:bottom w:val="single" w:sz="4" w:space="31" w:color="auto"/>
          <w:right w:val="single" w:sz="4" w:space="4" w:color="auto"/>
        </w:pBdr>
        <w:rPr>
          <w:b/>
        </w:rPr>
      </w:pPr>
    </w:p>
    <w:p w:rsidR="00353761" w:rsidRDefault="00353761" w:rsidP="00353761">
      <w:pPr>
        <w:pBdr>
          <w:top w:val="single" w:sz="4" w:space="1" w:color="auto"/>
          <w:left w:val="single" w:sz="4" w:space="4" w:color="auto"/>
          <w:bottom w:val="single" w:sz="4" w:space="31" w:color="auto"/>
          <w:right w:val="single" w:sz="4" w:space="4" w:color="auto"/>
        </w:pBdr>
        <w:rPr>
          <w:b/>
        </w:rPr>
      </w:pPr>
    </w:p>
    <w:p w:rsidR="000C37C7" w:rsidRDefault="000C37C7" w:rsidP="00353761">
      <w:pPr>
        <w:pBdr>
          <w:top w:val="single" w:sz="4" w:space="1" w:color="auto"/>
          <w:left w:val="single" w:sz="4" w:space="4" w:color="auto"/>
          <w:bottom w:val="single" w:sz="4" w:space="31" w:color="auto"/>
          <w:right w:val="single" w:sz="4" w:space="4" w:color="auto"/>
        </w:pBdr>
        <w:rPr>
          <w:b/>
        </w:rPr>
      </w:pPr>
    </w:p>
    <w:p w:rsidR="000C37C7" w:rsidRDefault="000C37C7" w:rsidP="00353761">
      <w:pPr>
        <w:pBdr>
          <w:top w:val="single" w:sz="4" w:space="1" w:color="auto"/>
          <w:left w:val="single" w:sz="4" w:space="4" w:color="auto"/>
          <w:bottom w:val="single" w:sz="4" w:space="31" w:color="auto"/>
          <w:right w:val="single" w:sz="4" w:space="4" w:color="auto"/>
        </w:pBdr>
        <w:rPr>
          <w:b/>
        </w:rPr>
      </w:pPr>
    </w:p>
    <w:p w:rsidR="000C37C7" w:rsidRDefault="000C37C7" w:rsidP="00353761">
      <w:pPr>
        <w:pBdr>
          <w:top w:val="single" w:sz="4" w:space="1" w:color="auto"/>
          <w:left w:val="single" w:sz="4" w:space="4" w:color="auto"/>
          <w:bottom w:val="single" w:sz="4" w:space="31" w:color="auto"/>
          <w:right w:val="single" w:sz="4" w:space="4" w:color="auto"/>
        </w:pBdr>
        <w:rPr>
          <w:b/>
        </w:rPr>
      </w:pPr>
    </w:p>
    <w:p w:rsidR="00353761" w:rsidRDefault="005A7211" w:rsidP="00353761">
      <w:pPr>
        <w:pBdr>
          <w:top w:val="single" w:sz="4" w:space="1" w:color="auto"/>
          <w:left w:val="single" w:sz="4" w:space="4" w:color="auto"/>
          <w:bottom w:val="single" w:sz="4" w:space="31" w:color="auto"/>
          <w:right w:val="single" w:sz="4" w:space="4" w:color="auto"/>
        </w:pBdr>
        <w:rPr>
          <w:b/>
        </w:rPr>
      </w:pPr>
      <w:r>
        <w:rPr>
          <w:b/>
        </w:rPr>
        <w:t>Julie Bishop</w:t>
      </w:r>
      <w:r>
        <w:rPr>
          <w:b/>
        </w:rPr>
        <w:tab/>
      </w:r>
      <w:r>
        <w:rPr>
          <w:b/>
        </w:rPr>
        <w:tab/>
      </w:r>
      <w:r>
        <w:rPr>
          <w:b/>
        </w:rPr>
        <w:tab/>
      </w:r>
      <w:r>
        <w:rPr>
          <w:b/>
        </w:rPr>
        <w:tab/>
      </w:r>
      <w:r>
        <w:rPr>
          <w:b/>
        </w:rPr>
        <w:tab/>
      </w:r>
      <w:r>
        <w:rPr>
          <w:b/>
        </w:rPr>
        <w:tab/>
        <w:t>Andrew Robb</w:t>
      </w:r>
      <w:r w:rsidR="00744157">
        <w:rPr>
          <w:b/>
        </w:rPr>
        <w:t xml:space="preserve"> AO</w:t>
      </w:r>
      <w:r w:rsidR="00353761">
        <w:rPr>
          <w:b/>
        </w:rPr>
        <w:br/>
      </w:r>
      <w:r w:rsidR="009F7345">
        <w:rPr>
          <w:b/>
        </w:rPr>
        <w:t xml:space="preserve">Minister for </w:t>
      </w:r>
      <w:r>
        <w:rPr>
          <w:b/>
        </w:rPr>
        <w:t>Foreign Affairs</w:t>
      </w:r>
      <w:r>
        <w:rPr>
          <w:b/>
        </w:rPr>
        <w:tab/>
      </w:r>
      <w:r>
        <w:rPr>
          <w:b/>
        </w:rPr>
        <w:tab/>
      </w:r>
      <w:r>
        <w:rPr>
          <w:b/>
        </w:rPr>
        <w:tab/>
        <w:t>Minister for Trade and Investment</w:t>
      </w:r>
      <w:r>
        <w:rPr>
          <w:b/>
        </w:rPr>
        <w:tab/>
      </w:r>
    </w:p>
    <w:p w:rsidR="005A7211" w:rsidRDefault="005A7211" w:rsidP="00353761">
      <w:pPr>
        <w:pBdr>
          <w:top w:val="single" w:sz="4" w:space="1" w:color="auto"/>
          <w:left w:val="single" w:sz="4" w:space="4" w:color="auto"/>
          <w:bottom w:val="single" w:sz="4" w:space="31" w:color="auto"/>
          <w:right w:val="single" w:sz="4" w:space="4" w:color="auto"/>
        </w:pBdr>
        <w:rPr>
          <w:b/>
        </w:rPr>
      </w:pPr>
    </w:p>
    <w:p w:rsidR="005A7211" w:rsidRDefault="005A7211" w:rsidP="00353761">
      <w:pPr>
        <w:pBdr>
          <w:top w:val="single" w:sz="4" w:space="1" w:color="auto"/>
          <w:left w:val="single" w:sz="4" w:space="4" w:color="auto"/>
          <w:bottom w:val="single" w:sz="4" w:space="31" w:color="auto"/>
          <w:right w:val="single" w:sz="4" w:space="4" w:color="auto"/>
        </w:pBdr>
        <w:rPr>
          <w:b/>
        </w:rPr>
      </w:pPr>
    </w:p>
    <w:p w:rsidR="005A7211" w:rsidRDefault="005A7211" w:rsidP="00353761">
      <w:pPr>
        <w:pBdr>
          <w:top w:val="single" w:sz="4" w:space="1" w:color="auto"/>
          <w:left w:val="single" w:sz="4" w:space="4" w:color="auto"/>
          <w:bottom w:val="single" w:sz="4" w:space="31" w:color="auto"/>
          <w:right w:val="single" w:sz="4" w:space="4" w:color="auto"/>
        </w:pBdr>
        <w:rPr>
          <w:b/>
        </w:rPr>
      </w:pPr>
    </w:p>
    <w:p w:rsidR="005A7211" w:rsidRDefault="005A7211" w:rsidP="00353761">
      <w:pPr>
        <w:pBdr>
          <w:top w:val="single" w:sz="4" w:space="1" w:color="auto"/>
          <w:left w:val="single" w:sz="4" w:space="4" w:color="auto"/>
          <w:bottom w:val="single" w:sz="4" w:space="31" w:color="auto"/>
          <w:right w:val="single" w:sz="4" w:space="4" w:color="auto"/>
        </w:pBdr>
        <w:rPr>
          <w:b/>
        </w:rPr>
      </w:pPr>
    </w:p>
    <w:p w:rsidR="00FB2654" w:rsidRDefault="00FB2654" w:rsidP="00353761">
      <w:pPr>
        <w:pBdr>
          <w:top w:val="single" w:sz="4" w:space="1" w:color="auto"/>
          <w:left w:val="single" w:sz="4" w:space="4" w:color="auto"/>
          <w:bottom w:val="single" w:sz="4" w:space="31" w:color="auto"/>
          <w:right w:val="single" w:sz="4" w:space="4" w:color="auto"/>
        </w:pBdr>
        <w:rPr>
          <w:b/>
        </w:rPr>
      </w:pPr>
    </w:p>
    <w:p w:rsidR="00506EB7" w:rsidRDefault="00506EB7">
      <w:pPr>
        <w:rPr>
          <w:b/>
        </w:rPr>
        <w:sectPr w:rsidR="00506EB7" w:rsidSect="00C5626F">
          <w:pgSz w:w="11906" w:h="16838"/>
          <w:pgMar w:top="1440" w:right="1440" w:bottom="851" w:left="1440" w:header="709" w:footer="336" w:gutter="0"/>
          <w:pgNumType w:start="0"/>
          <w:cols w:space="708"/>
          <w:titlePg/>
          <w:docGrid w:linePitch="360"/>
        </w:sectPr>
      </w:pPr>
    </w:p>
    <w:p w:rsidR="00242F43" w:rsidRPr="00242F43" w:rsidRDefault="00086151" w:rsidP="00D4048A">
      <w:pPr>
        <w:pStyle w:val="Documenttitle02"/>
      </w:pPr>
      <w:r>
        <w:lastRenderedPageBreak/>
        <w:t>Table of c</w:t>
      </w:r>
      <w:r w:rsidR="00242F43">
        <w:t>ontents</w:t>
      </w:r>
    </w:p>
    <w:bookmarkStart w:id="1" w:name="_Toc402864483" w:displacedByCustomXml="next"/>
    <w:sdt>
      <w:sdtPr>
        <w:rPr>
          <w:color w:val="FF0000"/>
          <w:lang w:val="en-US"/>
        </w:rPr>
        <w:id w:val="-477919349"/>
        <w:docPartObj>
          <w:docPartGallery w:val="Table of Contents"/>
          <w:docPartUnique/>
        </w:docPartObj>
      </w:sdtPr>
      <w:sdtEndPr>
        <w:rPr>
          <w:rFonts w:cstheme="minorHAnsi"/>
          <w:lang w:val="en-AU"/>
        </w:rPr>
      </w:sdtEndPr>
      <w:sdtContent>
        <w:bookmarkEnd w:id="1" w:displacedByCustomXml="prev"/>
        <w:p w:rsidR="00AB33F4" w:rsidRPr="008B0784" w:rsidRDefault="00AB33F4" w:rsidP="008B0784">
          <w:pPr>
            <w:rPr>
              <w:color w:val="FF0000"/>
              <w:lang w:val="en-US"/>
            </w:rPr>
          </w:pPr>
        </w:p>
        <w:p w:rsidR="00086151" w:rsidRPr="008B0784" w:rsidRDefault="00AB33F4">
          <w:pPr>
            <w:pStyle w:val="TOC2"/>
            <w:tabs>
              <w:tab w:val="right" w:leader="dot" w:pos="9016"/>
            </w:tabs>
            <w:rPr>
              <w:rFonts w:asciiTheme="minorHAnsi" w:eastAsiaTheme="minorEastAsia" w:hAnsiTheme="minorHAnsi" w:cstheme="minorHAnsi"/>
              <w:noProof/>
              <w:sz w:val="22"/>
              <w:lang w:eastAsia="en-AU"/>
            </w:rPr>
          </w:pPr>
          <w:r w:rsidRPr="008B0784">
            <w:rPr>
              <w:rFonts w:asciiTheme="minorHAnsi" w:hAnsiTheme="minorHAnsi" w:cstheme="minorHAnsi"/>
              <w:color w:val="FF0000"/>
            </w:rPr>
            <w:fldChar w:fldCharType="begin"/>
          </w:r>
          <w:r w:rsidRPr="008B0784">
            <w:rPr>
              <w:rFonts w:asciiTheme="minorHAnsi" w:hAnsiTheme="minorHAnsi" w:cstheme="minorHAnsi"/>
              <w:color w:val="FF0000"/>
            </w:rPr>
            <w:instrText xml:space="preserve"> TOC \o "1-3" \h \z \u </w:instrText>
          </w:r>
          <w:r w:rsidRPr="008B0784">
            <w:rPr>
              <w:rFonts w:asciiTheme="minorHAnsi" w:hAnsiTheme="minorHAnsi" w:cstheme="minorHAnsi"/>
              <w:color w:val="FF0000"/>
            </w:rPr>
            <w:fldChar w:fldCharType="separate"/>
          </w:r>
          <w:hyperlink w:anchor="_Toc402873290" w:history="1">
            <w:r w:rsidR="00086151" w:rsidRPr="008B0784">
              <w:rPr>
                <w:rStyle w:val="Hyperlink"/>
                <w:rFonts w:asciiTheme="minorHAnsi" w:hAnsiTheme="minorHAnsi" w:cstheme="minorHAnsi"/>
                <w:noProof/>
                <w:color w:val="auto"/>
                <w:lang w:val="en-US"/>
              </w:rPr>
              <w:t>Portfolio highlights</w:t>
            </w:r>
            <w:r w:rsidR="00086151" w:rsidRPr="008B0784">
              <w:rPr>
                <w:rFonts w:asciiTheme="minorHAnsi" w:hAnsiTheme="minorHAnsi" w:cstheme="minorHAnsi"/>
                <w:noProof/>
                <w:webHidden/>
              </w:rPr>
              <w:tab/>
            </w:r>
            <w:r w:rsidR="00086151" w:rsidRPr="008B0784">
              <w:rPr>
                <w:rFonts w:asciiTheme="minorHAnsi" w:hAnsiTheme="minorHAnsi" w:cstheme="minorHAnsi"/>
                <w:noProof/>
                <w:webHidden/>
              </w:rPr>
              <w:fldChar w:fldCharType="begin"/>
            </w:r>
            <w:r w:rsidR="00086151" w:rsidRPr="008B0784">
              <w:rPr>
                <w:rFonts w:asciiTheme="minorHAnsi" w:hAnsiTheme="minorHAnsi" w:cstheme="minorHAnsi"/>
                <w:noProof/>
                <w:webHidden/>
              </w:rPr>
              <w:instrText xml:space="preserve"> PAGEREF _Toc402873290 \h </w:instrText>
            </w:r>
            <w:r w:rsidR="00086151" w:rsidRPr="008B0784">
              <w:rPr>
                <w:rFonts w:asciiTheme="minorHAnsi" w:hAnsiTheme="minorHAnsi" w:cstheme="minorHAnsi"/>
                <w:noProof/>
                <w:webHidden/>
              </w:rPr>
            </w:r>
            <w:r w:rsidR="00086151" w:rsidRPr="008B0784">
              <w:rPr>
                <w:rFonts w:asciiTheme="minorHAnsi" w:hAnsiTheme="minorHAnsi" w:cstheme="minorHAnsi"/>
                <w:noProof/>
                <w:webHidden/>
              </w:rPr>
              <w:fldChar w:fldCharType="separate"/>
            </w:r>
            <w:r w:rsidR="003F7DD8">
              <w:rPr>
                <w:rFonts w:asciiTheme="minorHAnsi" w:hAnsiTheme="minorHAnsi" w:cstheme="minorHAnsi"/>
                <w:noProof/>
                <w:webHidden/>
              </w:rPr>
              <w:t>2</w:t>
            </w:r>
            <w:r w:rsidR="00086151" w:rsidRPr="008B0784">
              <w:rPr>
                <w:rFonts w:asciiTheme="minorHAnsi" w:hAnsiTheme="minorHAnsi" w:cstheme="minorHAnsi"/>
                <w:noProof/>
                <w:webHidden/>
              </w:rPr>
              <w:fldChar w:fldCharType="end"/>
            </w:r>
          </w:hyperlink>
        </w:p>
        <w:p w:rsidR="00086151" w:rsidRPr="008B0784" w:rsidRDefault="006C6535">
          <w:pPr>
            <w:pStyle w:val="TOC2"/>
            <w:tabs>
              <w:tab w:val="right" w:leader="dot" w:pos="9016"/>
            </w:tabs>
            <w:rPr>
              <w:rFonts w:asciiTheme="minorHAnsi" w:eastAsiaTheme="minorEastAsia" w:hAnsiTheme="minorHAnsi" w:cstheme="minorHAnsi"/>
              <w:noProof/>
              <w:sz w:val="22"/>
              <w:lang w:eastAsia="en-AU"/>
            </w:rPr>
          </w:pPr>
          <w:hyperlink w:anchor="_Toc402873291" w:history="1">
            <w:r w:rsidR="00086151" w:rsidRPr="008B0784">
              <w:rPr>
                <w:rStyle w:val="Hyperlink"/>
                <w:rFonts w:asciiTheme="minorHAnsi" w:hAnsiTheme="minorHAnsi" w:cstheme="minorHAnsi"/>
                <w:noProof/>
                <w:color w:val="auto"/>
                <w:lang w:val="en-US"/>
              </w:rPr>
              <w:t xml:space="preserve">Summary of key regulatory savings and costs </w:t>
            </w:r>
            <w:r w:rsidR="00744157">
              <w:rPr>
                <w:rStyle w:val="Hyperlink"/>
                <w:rFonts w:asciiTheme="minorHAnsi" w:hAnsiTheme="minorHAnsi" w:cstheme="minorHAnsi"/>
                <w:noProof/>
                <w:color w:val="auto"/>
                <w:lang w:val="en-US"/>
              </w:rPr>
              <w:t xml:space="preserve">in </w:t>
            </w:r>
            <w:r w:rsidR="00086151" w:rsidRPr="008B0784">
              <w:rPr>
                <w:rStyle w:val="Hyperlink"/>
                <w:rFonts w:asciiTheme="minorHAnsi" w:hAnsiTheme="minorHAnsi" w:cstheme="minorHAnsi"/>
                <w:noProof/>
                <w:color w:val="auto"/>
                <w:lang w:val="en-US"/>
              </w:rPr>
              <w:t>2014</w:t>
            </w:r>
            <w:r w:rsidR="00086151" w:rsidRPr="008B0784">
              <w:rPr>
                <w:rFonts w:asciiTheme="minorHAnsi" w:hAnsiTheme="minorHAnsi" w:cstheme="minorHAnsi"/>
                <w:noProof/>
                <w:webHidden/>
              </w:rPr>
              <w:tab/>
            </w:r>
            <w:r w:rsidR="00086151" w:rsidRPr="008B0784">
              <w:rPr>
                <w:rFonts w:asciiTheme="minorHAnsi" w:hAnsiTheme="minorHAnsi" w:cstheme="minorHAnsi"/>
                <w:noProof/>
                <w:webHidden/>
              </w:rPr>
              <w:fldChar w:fldCharType="begin"/>
            </w:r>
            <w:r w:rsidR="00086151" w:rsidRPr="008B0784">
              <w:rPr>
                <w:rFonts w:asciiTheme="minorHAnsi" w:hAnsiTheme="minorHAnsi" w:cstheme="minorHAnsi"/>
                <w:noProof/>
                <w:webHidden/>
              </w:rPr>
              <w:instrText xml:space="preserve"> PAGEREF _Toc402873291 \h </w:instrText>
            </w:r>
            <w:r w:rsidR="00086151" w:rsidRPr="008B0784">
              <w:rPr>
                <w:rFonts w:asciiTheme="minorHAnsi" w:hAnsiTheme="minorHAnsi" w:cstheme="minorHAnsi"/>
                <w:noProof/>
                <w:webHidden/>
              </w:rPr>
            </w:r>
            <w:r w:rsidR="00086151" w:rsidRPr="008B0784">
              <w:rPr>
                <w:rFonts w:asciiTheme="minorHAnsi" w:hAnsiTheme="minorHAnsi" w:cstheme="minorHAnsi"/>
                <w:noProof/>
                <w:webHidden/>
              </w:rPr>
              <w:fldChar w:fldCharType="separate"/>
            </w:r>
            <w:r w:rsidR="003F7DD8">
              <w:rPr>
                <w:rFonts w:asciiTheme="minorHAnsi" w:hAnsiTheme="minorHAnsi" w:cstheme="minorHAnsi"/>
                <w:noProof/>
                <w:webHidden/>
              </w:rPr>
              <w:t>3</w:t>
            </w:r>
            <w:r w:rsidR="00086151" w:rsidRPr="008B0784">
              <w:rPr>
                <w:rFonts w:asciiTheme="minorHAnsi" w:hAnsiTheme="minorHAnsi" w:cstheme="minorHAnsi"/>
                <w:noProof/>
                <w:webHidden/>
              </w:rPr>
              <w:fldChar w:fldCharType="end"/>
            </w:r>
          </w:hyperlink>
        </w:p>
        <w:p w:rsidR="00086151" w:rsidRPr="008B0784" w:rsidRDefault="006C6535">
          <w:pPr>
            <w:pStyle w:val="TOC2"/>
            <w:tabs>
              <w:tab w:val="right" w:leader="dot" w:pos="9016"/>
            </w:tabs>
            <w:rPr>
              <w:rFonts w:asciiTheme="minorHAnsi" w:eastAsiaTheme="minorEastAsia" w:hAnsiTheme="minorHAnsi" w:cstheme="minorHAnsi"/>
              <w:noProof/>
              <w:sz w:val="22"/>
              <w:lang w:eastAsia="en-AU"/>
            </w:rPr>
          </w:pPr>
          <w:hyperlink w:anchor="_Toc402873292" w:history="1">
            <w:r w:rsidR="00086151" w:rsidRPr="008B0784">
              <w:rPr>
                <w:rStyle w:val="Hyperlink"/>
                <w:rFonts w:asciiTheme="minorHAnsi" w:hAnsiTheme="minorHAnsi" w:cstheme="minorHAnsi"/>
                <w:noProof/>
                <w:color w:val="auto"/>
                <w:lang w:val="en-US"/>
              </w:rPr>
              <w:t>Regulation Impact Statements</w:t>
            </w:r>
            <w:r w:rsidR="00086151" w:rsidRPr="008B0784">
              <w:rPr>
                <w:rFonts w:asciiTheme="minorHAnsi" w:hAnsiTheme="minorHAnsi" w:cstheme="minorHAnsi"/>
                <w:noProof/>
                <w:webHidden/>
              </w:rPr>
              <w:tab/>
            </w:r>
            <w:r w:rsidR="00086151" w:rsidRPr="008B0784">
              <w:rPr>
                <w:rFonts w:asciiTheme="minorHAnsi" w:hAnsiTheme="minorHAnsi" w:cstheme="minorHAnsi"/>
                <w:noProof/>
                <w:webHidden/>
              </w:rPr>
              <w:fldChar w:fldCharType="begin"/>
            </w:r>
            <w:r w:rsidR="00086151" w:rsidRPr="008B0784">
              <w:rPr>
                <w:rFonts w:asciiTheme="minorHAnsi" w:hAnsiTheme="minorHAnsi" w:cstheme="minorHAnsi"/>
                <w:noProof/>
                <w:webHidden/>
              </w:rPr>
              <w:instrText xml:space="preserve"> PAGEREF _Toc402873292 \h </w:instrText>
            </w:r>
            <w:r w:rsidR="00086151" w:rsidRPr="008B0784">
              <w:rPr>
                <w:rFonts w:asciiTheme="minorHAnsi" w:hAnsiTheme="minorHAnsi" w:cstheme="minorHAnsi"/>
                <w:noProof/>
                <w:webHidden/>
              </w:rPr>
            </w:r>
            <w:r w:rsidR="00086151" w:rsidRPr="008B0784">
              <w:rPr>
                <w:rFonts w:asciiTheme="minorHAnsi" w:hAnsiTheme="minorHAnsi" w:cstheme="minorHAnsi"/>
                <w:noProof/>
                <w:webHidden/>
              </w:rPr>
              <w:fldChar w:fldCharType="separate"/>
            </w:r>
            <w:r w:rsidR="003F7DD8">
              <w:rPr>
                <w:rFonts w:asciiTheme="minorHAnsi" w:hAnsiTheme="minorHAnsi" w:cstheme="minorHAnsi"/>
                <w:noProof/>
                <w:webHidden/>
              </w:rPr>
              <w:t>3</w:t>
            </w:r>
            <w:r w:rsidR="00086151" w:rsidRPr="008B0784">
              <w:rPr>
                <w:rFonts w:asciiTheme="minorHAnsi" w:hAnsiTheme="minorHAnsi" w:cstheme="minorHAnsi"/>
                <w:noProof/>
                <w:webHidden/>
              </w:rPr>
              <w:fldChar w:fldCharType="end"/>
            </w:r>
          </w:hyperlink>
        </w:p>
        <w:p w:rsidR="00086151" w:rsidRPr="008B0784" w:rsidRDefault="006C6535">
          <w:pPr>
            <w:pStyle w:val="TOC2"/>
            <w:tabs>
              <w:tab w:val="right" w:leader="dot" w:pos="9016"/>
            </w:tabs>
            <w:rPr>
              <w:rFonts w:asciiTheme="minorHAnsi" w:eastAsiaTheme="minorEastAsia" w:hAnsiTheme="minorHAnsi" w:cstheme="minorHAnsi"/>
              <w:noProof/>
              <w:sz w:val="22"/>
              <w:lang w:eastAsia="en-AU"/>
            </w:rPr>
          </w:pPr>
          <w:hyperlink w:anchor="_Toc402873293" w:history="1">
            <w:r w:rsidR="00086151" w:rsidRPr="008B0784">
              <w:rPr>
                <w:rStyle w:val="Hyperlink"/>
                <w:rFonts w:asciiTheme="minorHAnsi" w:hAnsiTheme="minorHAnsi" w:cstheme="minorHAnsi"/>
                <w:noProof/>
                <w:color w:val="auto"/>
                <w:lang w:val="en-US"/>
              </w:rPr>
              <w:t>Portfolio activity supporting the Government’s red tape objective</w:t>
            </w:r>
            <w:r w:rsidR="00086151" w:rsidRPr="008B0784">
              <w:rPr>
                <w:rFonts w:asciiTheme="minorHAnsi" w:hAnsiTheme="minorHAnsi" w:cstheme="minorHAnsi"/>
                <w:noProof/>
                <w:webHidden/>
              </w:rPr>
              <w:tab/>
            </w:r>
            <w:r w:rsidR="00086151" w:rsidRPr="008B0784">
              <w:rPr>
                <w:rFonts w:asciiTheme="minorHAnsi" w:hAnsiTheme="minorHAnsi" w:cstheme="minorHAnsi"/>
                <w:noProof/>
                <w:webHidden/>
              </w:rPr>
              <w:fldChar w:fldCharType="begin"/>
            </w:r>
            <w:r w:rsidR="00086151" w:rsidRPr="008B0784">
              <w:rPr>
                <w:rFonts w:asciiTheme="minorHAnsi" w:hAnsiTheme="minorHAnsi" w:cstheme="minorHAnsi"/>
                <w:noProof/>
                <w:webHidden/>
              </w:rPr>
              <w:instrText xml:space="preserve"> PAGEREF _Toc402873293 \h </w:instrText>
            </w:r>
            <w:r w:rsidR="00086151" w:rsidRPr="008B0784">
              <w:rPr>
                <w:rFonts w:asciiTheme="minorHAnsi" w:hAnsiTheme="minorHAnsi" w:cstheme="minorHAnsi"/>
                <w:noProof/>
                <w:webHidden/>
              </w:rPr>
            </w:r>
            <w:r w:rsidR="00086151" w:rsidRPr="008B0784">
              <w:rPr>
                <w:rFonts w:asciiTheme="minorHAnsi" w:hAnsiTheme="minorHAnsi" w:cstheme="minorHAnsi"/>
                <w:noProof/>
                <w:webHidden/>
              </w:rPr>
              <w:fldChar w:fldCharType="separate"/>
            </w:r>
            <w:r w:rsidR="003F7DD8">
              <w:rPr>
                <w:rFonts w:asciiTheme="minorHAnsi" w:hAnsiTheme="minorHAnsi" w:cstheme="minorHAnsi"/>
                <w:noProof/>
                <w:webHidden/>
              </w:rPr>
              <w:t>4</w:t>
            </w:r>
            <w:r w:rsidR="00086151" w:rsidRPr="008B0784">
              <w:rPr>
                <w:rFonts w:asciiTheme="minorHAnsi" w:hAnsiTheme="minorHAnsi" w:cstheme="minorHAnsi"/>
                <w:noProof/>
                <w:webHidden/>
              </w:rPr>
              <w:fldChar w:fldCharType="end"/>
            </w:r>
          </w:hyperlink>
        </w:p>
        <w:p w:rsidR="00086151" w:rsidRPr="008B0784" w:rsidRDefault="006C6535">
          <w:pPr>
            <w:pStyle w:val="TOC2"/>
            <w:tabs>
              <w:tab w:val="right" w:leader="dot" w:pos="9016"/>
            </w:tabs>
            <w:rPr>
              <w:rFonts w:asciiTheme="minorHAnsi" w:eastAsiaTheme="minorEastAsia" w:hAnsiTheme="minorHAnsi" w:cstheme="minorHAnsi"/>
              <w:noProof/>
              <w:sz w:val="22"/>
              <w:lang w:eastAsia="en-AU"/>
            </w:rPr>
          </w:pPr>
          <w:hyperlink w:anchor="_Toc402873294" w:history="1">
            <w:r w:rsidR="00086151" w:rsidRPr="008B0784">
              <w:rPr>
                <w:rStyle w:val="Hyperlink"/>
                <w:rFonts w:asciiTheme="minorHAnsi" w:hAnsiTheme="minorHAnsi" w:cstheme="minorHAnsi"/>
                <w:noProof/>
                <w:color w:val="auto"/>
                <w:lang w:val="en-US"/>
              </w:rPr>
              <w:t>The Audit of Regulations – major findings</w:t>
            </w:r>
            <w:r w:rsidR="00086151" w:rsidRPr="008B0784">
              <w:rPr>
                <w:rFonts w:asciiTheme="minorHAnsi" w:hAnsiTheme="minorHAnsi" w:cstheme="minorHAnsi"/>
                <w:noProof/>
                <w:webHidden/>
              </w:rPr>
              <w:tab/>
            </w:r>
            <w:r w:rsidR="00086151" w:rsidRPr="008B0784">
              <w:rPr>
                <w:rFonts w:asciiTheme="minorHAnsi" w:hAnsiTheme="minorHAnsi" w:cstheme="minorHAnsi"/>
                <w:noProof/>
                <w:webHidden/>
              </w:rPr>
              <w:fldChar w:fldCharType="begin"/>
            </w:r>
            <w:r w:rsidR="00086151" w:rsidRPr="008B0784">
              <w:rPr>
                <w:rFonts w:asciiTheme="minorHAnsi" w:hAnsiTheme="minorHAnsi" w:cstheme="minorHAnsi"/>
                <w:noProof/>
                <w:webHidden/>
              </w:rPr>
              <w:instrText xml:space="preserve"> PAGEREF _Toc402873294 \h </w:instrText>
            </w:r>
            <w:r w:rsidR="00086151" w:rsidRPr="008B0784">
              <w:rPr>
                <w:rFonts w:asciiTheme="minorHAnsi" w:hAnsiTheme="minorHAnsi" w:cstheme="minorHAnsi"/>
                <w:noProof/>
                <w:webHidden/>
              </w:rPr>
            </w:r>
            <w:r w:rsidR="00086151" w:rsidRPr="008B0784">
              <w:rPr>
                <w:rFonts w:asciiTheme="minorHAnsi" w:hAnsiTheme="minorHAnsi" w:cstheme="minorHAnsi"/>
                <w:noProof/>
                <w:webHidden/>
              </w:rPr>
              <w:fldChar w:fldCharType="separate"/>
            </w:r>
            <w:r w:rsidR="003F7DD8">
              <w:rPr>
                <w:rFonts w:asciiTheme="minorHAnsi" w:hAnsiTheme="minorHAnsi" w:cstheme="minorHAnsi"/>
                <w:noProof/>
                <w:webHidden/>
              </w:rPr>
              <w:t>5</w:t>
            </w:r>
            <w:r w:rsidR="00086151" w:rsidRPr="008B0784">
              <w:rPr>
                <w:rFonts w:asciiTheme="minorHAnsi" w:hAnsiTheme="minorHAnsi" w:cstheme="minorHAnsi"/>
                <w:noProof/>
                <w:webHidden/>
              </w:rPr>
              <w:fldChar w:fldCharType="end"/>
            </w:r>
          </w:hyperlink>
        </w:p>
        <w:p w:rsidR="00086151" w:rsidRPr="008B0784" w:rsidRDefault="006C6535">
          <w:pPr>
            <w:pStyle w:val="TOC2"/>
            <w:tabs>
              <w:tab w:val="right" w:leader="dot" w:pos="9016"/>
            </w:tabs>
            <w:rPr>
              <w:rFonts w:asciiTheme="minorHAnsi" w:eastAsiaTheme="minorEastAsia" w:hAnsiTheme="minorHAnsi" w:cstheme="minorHAnsi"/>
              <w:noProof/>
              <w:sz w:val="22"/>
              <w:lang w:eastAsia="en-AU"/>
            </w:rPr>
          </w:pPr>
          <w:hyperlink w:anchor="_Toc402873295" w:history="1">
            <w:r w:rsidR="00086151" w:rsidRPr="008B0784">
              <w:rPr>
                <w:rStyle w:val="Hyperlink"/>
                <w:rFonts w:asciiTheme="minorHAnsi" w:hAnsiTheme="minorHAnsi" w:cstheme="minorHAnsi"/>
                <w:noProof/>
                <w:color w:val="auto"/>
                <w:lang w:val="en-US"/>
              </w:rPr>
              <w:t>Appendix A: Measures announced in 2014</w:t>
            </w:r>
            <w:r w:rsidR="00086151" w:rsidRPr="008B0784">
              <w:rPr>
                <w:rFonts w:asciiTheme="minorHAnsi" w:hAnsiTheme="minorHAnsi" w:cstheme="minorHAnsi"/>
                <w:noProof/>
                <w:webHidden/>
              </w:rPr>
              <w:tab/>
            </w:r>
            <w:r w:rsidR="00086151" w:rsidRPr="008B0784">
              <w:rPr>
                <w:rFonts w:asciiTheme="minorHAnsi" w:hAnsiTheme="minorHAnsi" w:cstheme="minorHAnsi"/>
                <w:noProof/>
                <w:webHidden/>
              </w:rPr>
              <w:fldChar w:fldCharType="begin"/>
            </w:r>
            <w:r w:rsidR="00086151" w:rsidRPr="008B0784">
              <w:rPr>
                <w:rFonts w:asciiTheme="minorHAnsi" w:hAnsiTheme="minorHAnsi" w:cstheme="minorHAnsi"/>
                <w:noProof/>
                <w:webHidden/>
              </w:rPr>
              <w:instrText xml:space="preserve"> PAGEREF _Toc402873295 \h </w:instrText>
            </w:r>
            <w:r w:rsidR="00086151" w:rsidRPr="008B0784">
              <w:rPr>
                <w:rFonts w:asciiTheme="minorHAnsi" w:hAnsiTheme="minorHAnsi" w:cstheme="minorHAnsi"/>
                <w:noProof/>
                <w:webHidden/>
              </w:rPr>
            </w:r>
            <w:r w:rsidR="00086151" w:rsidRPr="008B0784">
              <w:rPr>
                <w:rFonts w:asciiTheme="minorHAnsi" w:hAnsiTheme="minorHAnsi" w:cstheme="minorHAnsi"/>
                <w:noProof/>
                <w:webHidden/>
              </w:rPr>
              <w:fldChar w:fldCharType="separate"/>
            </w:r>
            <w:r w:rsidR="003F7DD8">
              <w:rPr>
                <w:rFonts w:asciiTheme="minorHAnsi" w:hAnsiTheme="minorHAnsi" w:cstheme="minorHAnsi"/>
                <w:noProof/>
                <w:webHidden/>
              </w:rPr>
              <w:t>6</w:t>
            </w:r>
            <w:r w:rsidR="00086151" w:rsidRPr="008B0784">
              <w:rPr>
                <w:rFonts w:asciiTheme="minorHAnsi" w:hAnsiTheme="minorHAnsi" w:cstheme="minorHAnsi"/>
                <w:noProof/>
                <w:webHidden/>
              </w:rPr>
              <w:fldChar w:fldCharType="end"/>
            </w:r>
          </w:hyperlink>
        </w:p>
        <w:p w:rsidR="00086151" w:rsidRPr="008B0784" w:rsidRDefault="006C6535">
          <w:pPr>
            <w:pStyle w:val="TOC2"/>
            <w:tabs>
              <w:tab w:val="right" w:leader="dot" w:pos="9016"/>
            </w:tabs>
            <w:rPr>
              <w:rFonts w:asciiTheme="minorHAnsi" w:eastAsiaTheme="minorEastAsia" w:hAnsiTheme="minorHAnsi" w:cstheme="minorHAnsi"/>
              <w:noProof/>
              <w:color w:val="FF0000"/>
              <w:sz w:val="22"/>
              <w:lang w:eastAsia="en-AU"/>
            </w:rPr>
          </w:pPr>
          <w:hyperlink w:anchor="_Toc402873296" w:history="1">
            <w:r w:rsidR="00086151" w:rsidRPr="008B0784">
              <w:rPr>
                <w:rStyle w:val="Hyperlink"/>
                <w:rFonts w:asciiTheme="minorHAnsi" w:hAnsiTheme="minorHAnsi" w:cstheme="minorHAnsi"/>
                <w:noProof/>
                <w:color w:val="auto"/>
                <w:lang w:val="en-US"/>
              </w:rPr>
              <w:t>Appendix B: Legislation administered</w:t>
            </w:r>
            <w:r w:rsidR="00086151" w:rsidRPr="008B0784">
              <w:rPr>
                <w:rFonts w:asciiTheme="minorHAnsi" w:hAnsiTheme="minorHAnsi" w:cstheme="minorHAnsi"/>
                <w:noProof/>
                <w:webHidden/>
              </w:rPr>
              <w:tab/>
            </w:r>
            <w:r w:rsidR="00086151" w:rsidRPr="008B0784">
              <w:rPr>
                <w:rFonts w:asciiTheme="minorHAnsi" w:hAnsiTheme="minorHAnsi" w:cstheme="minorHAnsi"/>
                <w:noProof/>
                <w:webHidden/>
              </w:rPr>
              <w:fldChar w:fldCharType="begin"/>
            </w:r>
            <w:r w:rsidR="00086151" w:rsidRPr="008B0784">
              <w:rPr>
                <w:rFonts w:asciiTheme="minorHAnsi" w:hAnsiTheme="minorHAnsi" w:cstheme="minorHAnsi"/>
                <w:noProof/>
                <w:webHidden/>
              </w:rPr>
              <w:instrText xml:space="preserve"> PAGEREF _Toc402873296 \h </w:instrText>
            </w:r>
            <w:r w:rsidR="00086151" w:rsidRPr="008B0784">
              <w:rPr>
                <w:rFonts w:asciiTheme="minorHAnsi" w:hAnsiTheme="minorHAnsi" w:cstheme="minorHAnsi"/>
                <w:noProof/>
                <w:webHidden/>
              </w:rPr>
            </w:r>
            <w:r w:rsidR="00086151" w:rsidRPr="008B0784">
              <w:rPr>
                <w:rFonts w:asciiTheme="minorHAnsi" w:hAnsiTheme="minorHAnsi" w:cstheme="minorHAnsi"/>
                <w:noProof/>
                <w:webHidden/>
              </w:rPr>
              <w:fldChar w:fldCharType="separate"/>
            </w:r>
            <w:r w:rsidR="003F7DD8">
              <w:rPr>
                <w:rFonts w:asciiTheme="minorHAnsi" w:hAnsiTheme="minorHAnsi" w:cstheme="minorHAnsi"/>
                <w:noProof/>
                <w:webHidden/>
              </w:rPr>
              <w:t>9</w:t>
            </w:r>
            <w:r w:rsidR="00086151" w:rsidRPr="008B0784">
              <w:rPr>
                <w:rFonts w:asciiTheme="minorHAnsi" w:hAnsiTheme="minorHAnsi" w:cstheme="minorHAnsi"/>
                <w:noProof/>
                <w:webHidden/>
              </w:rPr>
              <w:fldChar w:fldCharType="end"/>
            </w:r>
          </w:hyperlink>
        </w:p>
        <w:p w:rsidR="00AB33F4" w:rsidRPr="008B0784" w:rsidRDefault="00AB33F4" w:rsidP="00AB33F4">
          <w:pPr>
            <w:rPr>
              <w:rFonts w:cstheme="minorHAnsi"/>
              <w:color w:val="FF0000"/>
            </w:rPr>
          </w:pPr>
          <w:r w:rsidRPr="008B0784">
            <w:rPr>
              <w:rFonts w:cstheme="minorHAnsi"/>
              <w:b/>
              <w:bCs/>
              <w:color w:val="FF0000"/>
            </w:rPr>
            <w:fldChar w:fldCharType="end"/>
          </w:r>
        </w:p>
      </w:sdtContent>
    </w:sdt>
    <w:p w:rsidR="00C356D5" w:rsidRDefault="00C356D5">
      <w:pPr>
        <w:rPr>
          <w:szCs w:val="20"/>
          <w:lang w:eastAsia="en-AU"/>
        </w:rPr>
      </w:pPr>
      <w:r>
        <w:br w:type="page"/>
      </w:r>
    </w:p>
    <w:p w:rsidR="00506EB7" w:rsidRDefault="00506EB7" w:rsidP="00AB33F4">
      <w:pPr>
        <w:pStyle w:val="Heading2"/>
        <w:numPr>
          <w:ilvl w:val="0"/>
          <w:numId w:val="1"/>
        </w:numPr>
        <w:sectPr w:rsidR="00506EB7" w:rsidSect="00094A26">
          <w:pgSz w:w="11906" w:h="16838"/>
          <w:pgMar w:top="1440" w:right="1440" w:bottom="851" w:left="1440" w:header="709" w:footer="336" w:gutter="0"/>
          <w:cols w:space="708"/>
          <w:docGrid w:linePitch="360"/>
        </w:sectPr>
      </w:pPr>
    </w:p>
    <w:p w:rsidR="003C6DA7" w:rsidRDefault="00353761" w:rsidP="003C6DA7">
      <w:pPr>
        <w:pStyle w:val="Documenttitle02"/>
      </w:pPr>
      <w:bookmarkStart w:id="2" w:name="_Toc402873290"/>
      <w:r w:rsidRPr="002939AC">
        <w:t xml:space="preserve">Portfolio </w:t>
      </w:r>
      <w:r w:rsidR="00506EB7" w:rsidRPr="002939AC">
        <w:t>highlights</w:t>
      </w:r>
      <w:bookmarkEnd w:id="2"/>
    </w:p>
    <w:p w:rsidR="00F714B7" w:rsidRDefault="00F714B7" w:rsidP="003C6DA7">
      <w:r>
        <w:t>The Foreign Affairs and Trade portfolio reported $7 million in deregulatory savings over the period September 2013 to 31 December 2014.</w:t>
      </w:r>
      <w:r w:rsidR="00E76CE7">
        <w:t xml:space="preserve"> Within the portfolio, there were a number of key regulatory savings decisions that were taken to reduce compliance costs that are yet to be implemented. These include measures that require parliamentary approval</w:t>
      </w:r>
      <w:r w:rsidR="00744157">
        <w:t>.</w:t>
      </w:r>
    </w:p>
    <w:p w:rsidR="00ED7155" w:rsidRDefault="00ED7155" w:rsidP="00D92959"/>
    <w:p w:rsidR="000301D7" w:rsidRDefault="0057495F" w:rsidP="003C6DA7">
      <w:r>
        <w:t xml:space="preserve">Key </w:t>
      </w:r>
      <w:r w:rsidR="000301D7">
        <w:t>de</w:t>
      </w:r>
      <w:r>
        <w:t>regulatory savings included</w:t>
      </w:r>
      <w:r w:rsidR="001839E9">
        <w:t xml:space="preserve"> work to improve </w:t>
      </w:r>
      <w:r w:rsidR="00AA5C0B">
        <w:t>the Australian Passport application</w:t>
      </w:r>
      <w:r w:rsidR="00FC0B5F">
        <w:t xml:space="preserve"> form</w:t>
      </w:r>
      <w:r w:rsidR="00AA5C0B">
        <w:t xml:space="preserve">, changes to the </w:t>
      </w:r>
      <w:r w:rsidR="000301D7">
        <w:rPr>
          <w:lang w:val="en"/>
        </w:rPr>
        <w:t>Export Finance and Insurance Corporation (EFIC) Act aimed at reducing</w:t>
      </w:r>
      <w:r w:rsidR="00744157">
        <w:rPr>
          <w:lang w:val="en"/>
        </w:rPr>
        <w:t xml:space="preserve"> the</w:t>
      </w:r>
      <w:r w:rsidR="000301D7">
        <w:rPr>
          <w:lang w:val="en"/>
        </w:rPr>
        <w:t xml:space="preserve"> administrative burden on business</w:t>
      </w:r>
      <w:r w:rsidR="003C6DA7">
        <w:rPr>
          <w:lang w:val="en"/>
        </w:rPr>
        <w:t>,</w:t>
      </w:r>
      <w:r w:rsidR="00AA5C0B">
        <w:t xml:space="preserve"> and </w:t>
      </w:r>
      <w:r w:rsidR="000301D7">
        <w:t xml:space="preserve">streamlining trading paperwork as part of the newly negotiated </w:t>
      </w:r>
      <w:r w:rsidR="00AA5C0B">
        <w:t>Korea-Australia Free Trade Agreement and the Japan-Australia Economic Partnership Agreement</w:t>
      </w:r>
      <w:r w:rsidR="000301D7">
        <w:t>.</w:t>
      </w:r>
      <w:r w:rsidR="0097535A">
        <w:t xml:space="preserve"> </w:t>
      </w:r>
      <w:r w:rsidR="003C6DA7">
        <w:t>The upgrade of an online portal which makes it easier for businesses to comply with their obligations under Australian sanctions laws recorded both deregulatory savings and regulatory costs</w:t>
      </w:r>
      <w:r w:rsidR="0002609C">
        <w:t xml:space="preserve"> but resulted in a net saving</w:t>
      </w:r>
      <w:r w:rsidR="003C6DA7">
        <w:t>.</w:t>
      </w:r>
    </w:p>
    <w:p w:rsidR="000301D7" w:rsidRDefault="000301D7" w:rsidP="00D92959"/>
    <w:p w:rsidR="00ED7155" w:rsidRDefault="00ED7155" w:rsidP="00D92959">
      <w:r>
        <w:t>The portfolio established a deregulation unit within the Department of Foreign Affairs and Trade</w:t>
      </w:r>
      <w:r w:rsidR="00795EE2">
        <w:t xml:space="preserve"> in early 2014</w:t>
      </w:r>
      <w:r>
        <w:t>. The Unit conducted regular meetings with portfolio regulators throughout the year.</w:t>
      </w:r>
    </w:p>
    <w:p w:rsidR="00367772" w:rsidRDefault="00367772" w:rsidP="00D92959"/>
    <w:p w:rsidR="003C6DA7" w:rsidRDefault="005F3B31" w:rsidP="005F3B31">
      <w:r w:rsidRPr="005F3B31">
        <w:t>The Trade and Investment Policy Advisory Council (TIPAC) was established in May 2014 to facilitate an ongoing dialogue with the business community on the challenges and opportunities inherent in advancing Australia’s t</w:t>
      </w:r>
      <w:r>
        <w:t xml:space="preserve">rade and investment interests. </w:t>
      </w:r>
      <w:r w:rsidRPr="005F3B31">
        <w:t xml:space="preserve">TIPAC also provides advice on regulatory reform and policy specific to tourism, services and </w:t>
      </w:r>
      <w:r>
        <w:t>i</w:t>
      </w:r>
      <w:r w:rsidRPr="005F3B31">
        <w:t>nternational</w:t>
      </w:r>
      <w:r>
        <w:t xml:space="preserve"> </w:t>
      </w:r>
      <w:r w:rsidRPr="005F3B31">
        <w:t>education</w:t>
      </w:r>
      <w:r>
        <w:t>.</w:t>
      </w:r>
    </w:p>
    <w:p w:rsidR="000C71AB" w:rsidRDefault="003C7254" w:rsidP="003C6DA7">
      <w:pPr>
        <w:jc w:val="center"/>
      </w:pPr>
      <w:r w:rsidRPr="00AA57E9">
        <w:rPr>
          <w:noProof/>
          <w:lang w:eastAsia="en-AU"/>
        </w:rPr>
        <w:drawing>
          <wp:inline distT="0" distB="0" distL="0" distR="0" wp14:anchorId="32A93FDE" wp14:editId="2203EDE5">
            <wp:extent cx="4073856" cy="1439839"/>
            <wp:effectExtent l="0" t="0" r="22225"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3C6DA7" w:rsidRPr="003C6DA7">
        <w:rPr>
          <w:noProof/>
          <w:lang w:eastAsia="en-AU"/>
        </w:rPr>
        <mc:AlternateContent>
          <mc:Choice Requires="wps">
            <w:drawing>
              <wp:anchor distT="0" distB="0" distL="114300" distR="114300" simplePos="0" relativeHeight="251665408" behindDoc="1" locked="0" layoutInCell="0" allowOverlap="1" wp14:anchorId="0BCA3BE7" wp14:editId="6868D69C">
                <wp:simplePos x="0" y="0"/>
                <wp:positionH relativeFrom="margin">
                  <wp:align>center</wp:align>
                </wp:positionH>
                <wp:positionV relativeFrom="margin">
                  <wp:posOffset>6029325</wp:posOffset>
                </wp:positionV>
                <wp:extent cx="5991225" cy="2962275"/>
                <wp:effectExtent l="0" t="0" r="28575" b="28575"/>
                <wp:wrapSquare wrapText="bothSides"/>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962275"/>
                        </a:xfrm>
                        <a:prstGeom prst="bracketPair">
                          <a:avLst>
                            <a:gd name="adj" fmla="val 8051"/>
                          </a:avLst>
                        </a:prstGeom>
                        <a:noFill/>
                        <a:ln w="9525" cap="flat" cmpd="sng" algn="ctr">
                          <a:solidFill>
                            <a:srgbClr val="BB9D67">
                              <a:shade val="95000"/>
                              <a:satMod val="105000"/>
                            </a:srgbClr>
                          </a:solidFill>
                          <a:prstDash val="solid"/>
                          <a:headEnd/>
                          <a:tailEnd/>
                        </a:ln>
                        <a:effectLst/>
                        <a:extLst/>
                      </wps:spPr>
                      <wps:txbx>
                        <w:txbxContent>
                          <w:p w:rsidR="003C6DA7" w:rsidRPr="0097535A" w:rsidRDefault="003C6DA7" w:rsidP="003C6DA7">
                            <w:pPr>
                              <w:pStyle w:val="Default"/>
                              <w:rPr>
                                <w:i/>
                                <w:sz w:val="23"/>
                                <w:szCs w:val="23"/>
                              </w:rPr>
                            </w:pPr>
                            <w:r>
                              <w:rPr>
                                <w:i/>
                                <w:sz w:val="23"/>
                                <w:szCs w:val="23"/>
                              </w:rPr>
                              <w:t>Reducing costs for Australian exporters</w:t>
                            </w:r>
                          </w:p>
                          <w:p w:rsidR="003C6DA7" w:rsidRDefault="003C6DA7" w:rsidP="003C6DA7">
                            <w:pPr>
                              <w:pStyle w:val="Default"/>
                              <w:rPr>
                                <w:rFonts w:ascii="Verdana" w:hAnsi="Verdana"/>
                                <w:i/>
                                <w:iCs/>
                                <w:color w:val="7F7F7F" w:themeColor="text1" w:themeTint="80"/>
                                <w:sz w:val="18"/>
                                <w:szCs w:val="18"/>
                              </w:rPr>
                            </w:pPr>
                            <w:r>
                              <w:rPr>
                                <w:rFonts w:ascii="Verdana" w:hAnsi="Verdana"/>
                                <w:i/>
                                <w:iCs/>
                                <w:color w:val="7F7F7F" w:themeColor="text1" w:themeTint="80"/>
                                <w:sz w:val="18"/>
                                <w:szCs w:val="18"/>
                              </w:rPr>
                              <w:t xml:space="preserve">The </w:t>
                            </w:r>
                            <w:r w:rsidRPr="0097535A">
                              <w:rPr>
                                <w:rFonts w:ascii="Verdana" w:hAnsi="Verdana"/>
                                <w:i/>
                                <w:iCs/>
                                <w:color w:val="7F7F7F" w:themeColor="text1" w:themeTint="80"/>
                                <w:sz w:val="18"/>
                                <w:szCs w:val="18"/>
                              </w:rPr>
                              <w:t>Export Finance and Insurance Corporation</w:t>
                            </w:r>
                            <w:r>
                              <w:rPr>
                                <w:rFonts w:ascii="Verdana" w:hAnsi="Verdana"/>
                                <w:i/>
                                <w:iCs/>
                                <w:color w:val="7F7F7F" w:themeColor="text1" w:themeTint="80"/>
                                <w:sz w:val="18"/>
                                <w:szCs w:val="18"/>
                              </w:rPr>
                              <w:t xml:space="preserve"> (EFIC) </w:t>
                            </w:r>
                            <w:r w:rsidRPr="0097535A">
                              <w:rPr>
                                <w:rFonts w:ascii="Verdana" w:hAnsi="Verdana"/>
                                <w:i/>
                                <w:iCs/>
                                <w:color w:val="7F7F7F" w:themeColor="text1" w:themeTint="80"/>
                                <w:sz w:val="18"/>
                                <w:szCs w:val="18"/>
                              </w:rPr>
                              <w:t>compl</w:t>
                            </w:r>
                            <w:r>
                              <w:rPr>
                                <w:rFonts w:ascii="Verdana" w:hAnsi="Verdana"/>
                                <w:i/>
                                <w:iCs/>
                                <w:color w:val="7F7F7F" w:themeColor="text1" w:themeTint="80"/>
                                <w:sz w:val="18"/>
                                <w:szCs w:val="18"/>
                              </w:rPr>
                              <w:t>e</w:t>
                            </w:r>
                            <w:r w:rsidRPr="0097535A">
                              <w:rPr>
                                <w:rFonts w:ascii="Verdana" w:hAnsi="Verdana"/>
                                <w:i/>
                                <w:iCs/>
                                <w:color w:val="7F7F7F" w:themeColor="text1" w:themeTint="80"/>
                                <w:sz w:val="18"/>
                                <w:szCs w:val="18"/>
                              </w:rPr>
                              <w:t>ment</w:t>
                            </w:r>
                            <w:r>
                              <w:rPr>
                                <w:rFonts w:ascii="Verdana" w:hAnsi="Verdana"/>
                                <w:i/>
                                <w:iCs/>
                                <w:color w:val="7F7F7F" w:themeColor="text1" w:themeTint="80"/>
                                <w:sz w:val="18"/>
                                <w:szCs w:val="18"/>
                              </w:rPr>
                              <w:t>s</w:t>
                            </w:r>
                            <w:r w:rsidRPr="0097535A">
                              <w:rPr>
                                <w:rFonts w:ascii="Verdana" w:hAnsi="Verdana"/>
                                <w:i/>
                                <w:iCs/>
                                <w:color w:val="7F7F7F" w:themeColor="text1" w:themeTint="80"/>
                                <w:sz w:val="18"/>
                                <w:szCs w:val="18"/>
                              </w:rPr>
                              <w:t xml:space="preserve"> the private banking market by providing financial s</w:t>
                            </w:r>
                            <w:r>
                              <w:rPr>
                                <w:rFonts w:ascii="Verdana" w:hAnsi="Verdana"/>
                                <w:i/>
                                <w:iCs/>
                                <w:color w:val="7F7F7F" w:themeColor="text1" w:themeTint="80"/>
                                <w:sz w:val="18"/>
                                <w:szCs w:val="18"/>
                              </w:rPr>
                              <w:t>olutions for Australian exporters, when</w:t>
                            </w:r>
                            <w:r w:rsidRPr="0097535A">
                              <w:rPr>
                                <w:rFonts w:ascii="Verdana" w:hAnsi="Verdana"/>
                                <w:i/>
                                <w:iCs/>
                                <w:color w:val="7F7F7F" w:themeColor="text1" w:themeTint="80"/>
                                <w:sz w:val="18"/>
                                <w:szCs w:val="18"/>
                              </w:rPr>
                              <w:t xml:space="preserve"> their bank is unable to assist.</w:t>
                            </w:r>
                          </w:p>
                          <w:p w:rsidR="003C6DA7" w:rsidRDefault="003C6DA7" w:rsidP="003C6DA7">
                            <w:pPr>
                              <w:pStyle w:val="Default"/>
                              <w:rPr>
                                <w:rFonts w:ascii="Verdana" w:hAnsi="Verdana"/>
                                <w:i/>
                                <w:iCs/>
                                <w:color w:val="7F7F7F" w:themeColor="text1" w:themeTint="80"/>
                                <w:sz w:val="18"/>
                                <w:szCs w:val="18"/>
                              </w:rPr>
                            </w:pPr>
                          </w:p>
                          <w:p w:rsidR="003C6DA7" w:rsidRDefault="003C6DA7" w:rsidP="003C6DA7">
                            <w:pPr>
                              <w:pStyle w:val="Default"/>
                              <w:rPr>
                                <w:rFonts w:ascii="Verdana" w:hAnsi="Verdana"/>
                                <w:i/>
                                <w:iCs/>
                                <w:color w:val="7F7F7F" w:themeColor="text1" w:themeTint="80"/>
                                <w:sz w:val="18"/>
                                <w:szCs w:val="18"/>
                              </w:rPr>
                            </w:pPr>
                            <w:r w:rsidRPr="0097535A">
                              <w:rPr>
                                <w:rFonts w:ascii="Verdana" w:hAnsi="Verdana"/>
                                <w:i/>
                                <w:iCs/>
                                <w:color w:val="7F7F7F" w:themeColor="text1" w:themeTint="80"/>
                                <w:sz w:val="18"/>
                                <w:szCs w:val="18"/>
                              </w:rPr>
                              <w:t>Currently, EFIC may only lend directly for the export of ‘capital goods’ as defined by the EFIC Act. For example, currently EFIC can only lend for the export of dairy cows but not milk. Other goods for which EFIC cannot currently lend directly include wine, food, fibre, pharmaceuticals and consumer goods.</w:t>
                            </w:r>
                          </w:p>
                          <w:p w:rsidR="003C6DA7" w:rsidRDefault="003C6DA7" w:rsidP="003C6DA7">
                            <w:pPr>
                              <w:pStyle w:val="Default"/>
                              <w:rPr>
                                <w:rFonts w:ascii="Verdana" w:hAnsi="Verdana"/>
                                <w:i/>
                                <w:iCs/>
                                <w:color w:val="7F7F7F" w:themeColor="text1" w:themeTint="80"/>
                                <w:sz w:val="18"/>
                                <w:szCs w:val="18"/>
                              </w:rPr>
                            </w:pPr>
                          </w:p>
                          <w:p w:rsidR="003C6DA7" w:rsidRDefault="003C6DA7" w:rsidP="003C6DA7">
                            <w:pPr>
                              <w:pStyle w:val="Default"/>
                              <w:rPr>
                                <w:rFonts w:ascii="Verdana" w:hAnsi="Verdana"/>
                                <w:i/>
                                <w:iCs/>
                                <w:color w:val="7F7F7F" w:themeColor="text1" w:themeTint="80"/>
                                <w:sz w:val="18"/>
                                <w:szCs w:val="18"/>
                              </w:rPr>
                            </w:pPr>
                            <w:r w:rsidRPr="0097535A">
                              <w:rPr>
                                <w:rFonts w:ascii="Verdana" w:hAnsi="Verdana"/>
                                <w:i/>
                                <w:iCs/>
                                <w:color w:val="7F7F7F" w:themeColor="text1" w:themeTint="80"/>
                                <w:sz w:val="18"/>
                                <w:szCs w:val="18"/>
                              </w:rPr>
                              <w:t>Only 5 per cent of Australia’s exports are classified as ‘capital goods’ by the Australian Bureau of Statistics. When an exporter requires working capital for the export of non-capital goods, EFIC must provide a guarantee to the exporter’s bank rather than lend directly. This duplicates fees, charges and processing time, and restricts the pool of SME exporters EFIC can support.</w:t>
                            </w:r>
                          </w:p>
                          <w:p w:rsidR="003C6DA7" w:rsidRDefault="003C6DA7" w:rsidP="003C6DA7">
                            <w:pPr>
                              <w:pStyle w:val="Default"/>
                              <w:rPr>
                                <w:rFonts w:ascii="Verdana" w:hAnsi="Verdana"/>
                                <w:i/>
                                <w:iCs/>
                                <w:color w:val="7F7F7F" w:themeColor="text1" w:themeTint="80"/>
                                <w:sz w:val="18"/>
                                <w:szCs w:val="18"/>
                              </w:rPr>
                            </w:pPr>
                          </w:p>
                          <w:p w:rsidR="003C6DA7" w:rsidRDefault="003C6DA7" w:rsidP="003C6DA7">
                            <w:pPr>
                              <w:pStyle w:val="Default"/>
                              <w:rPr>
                                <w:rFonts w:ascii="Verdana" w:hAnsi="Verdana"/>
                                <w:i/>
                                <w:iCs/>
                                <w:color w:val="7F7F7F" w:themeColor="text1" w:themeTint="80"/>
                                <w:sz w:val="18"/>
                                <w:szCs w:val="18"/>
                              </w:rPr>
                            </w:pPr>
                            <w:r>
                              <w:rPr>
                                <w:rFonts w:ascii="Verdana" w:hAnsi="Verdana"/>
                                <w:i/>
                                <w:iCs/>
                                <w:color w:val="7F7F7F" w:themeColor="text1" w:themeTint="80"/>
                                <w:sz w:val="18"/>
                                <w:szCs w:val="18"/>
                              </w:rPr>
                              <w:t xml:space="preserve">By amending </w:t>
                            </w:r>
                            <w:r w:rsidRPr="00020FEB">
                              <w:rPr>
                                <w:rFonts w:ascii="Verdana" w:hAnsi="Verdana"/>
                                <w:i/>
                                <w:iCs/>
                                <w:color w:val="7F7F7F" w:themeColor="text1" w:themeTint="80"/>
                                <w:sz w:val="18"/>
                                <w:szCs w:val="18"/>
                              </w:rPr>
                              <w:t>the Export Finance and Insurance Corporation Act</w:t>
                            </w:r>
                            <w:r>
                              <w:rPr>
                                <w:rFonts w:ascii="Verdana" w:hAnsi="Verdana"/>
                                <w:i/>
                                <w:iCs/>
                                <w:color w:val="7F7F7F" w:themeColor="text1" w:themeTint="80"/>
                                <w:sz w:val="18"/>
                                <w:szCs w:val="18"/>
                              </w:rPr>
                              <w:t xml:space="preserve">, EFIC will now have the flexibility to </w:t>
                            </w:r>
                            <w:r w:rsidRPr="00020FEB">
                              <w:rPr>
                                <w:rFonts w:ascii="Verdana" w:hAnsi="Verdana"/>
                                <w:i/>
                                <w:iCs/>
                                <w:color w:val="7F7F7F" w:themeColor="text1" w:themeTint="80"/>
                                <w:sz w:val="18"/>
                                <w:szCs w:val="18"/>
                              </w:rPr>
                              <w:t>lend directly to</w:t>
                            </w:r>
                            <w:r>
                              <w:rPr>
                                <w:rFonts w:ascii="Verdana" w:hAnsi="Verdana"/>
                                <w:i/>
                                <w:iCs/>
                                <w:color w:val="7F7F7F" w:themeColor="text1" w:themeTint="80"/>
                                <w:sz w:val="18"/>
                                <w:szCs w:val="18"/>
                              </w:rPr>
                              <w:t xml:space="preserve"> </w:t>
                            </w:r>
                            <w:r w:rsidRPr="00020FEB">
                              <w:rPr>
                                <w:rFonts w:ascii="Verdana" w:hAnsi="Verdana"/>
                                <w:i/>
                                <w:iCs/>
                                <w:color w:val="7F7F7F" w:themeColor="text1" w:themeTint="80"/>
                                <w:sz w:val="18"/>
                                <w:szCs w:val="18"/>
                              </w:rPr>
                              <w:t>support all types of goods - reducing business costs and processing time</w:t>
                            </w:r>
                            <w:r>
                              <w:rPr>
                                <w:rFonts w:ascii="Verdana" w:hAnsi="Verdana"/>
                                <w:i/>
                                <w:iCs/>
                                <w:color w:val="7F7F7F" w:themeColor="text1" w:themeTint="80"/>
                                <w:sz w:val="18"/>
                                <w:szCs w:val="18"/>
                              </w:rPr>
                              <w:t xml:space="preserve">. </w:t>
                            </w:r>
                            <w:r w:rsidRPr="00020FEB">
                              <w:rPr>
                                <w:rFonts w:ascii="Verdana" w:hAnsi="Verdana"/>
                                <w:i/>
                                <w:iCs/>
                                <w:color w:val="7F7F7F" w:themeColor="text1" w:themeTint="80"/>
                                <w:sz w:val="18"/>
                                <w:szCs w:val="18"/>
                              </w:rPr>
                              <w:t xml:space="preserve">On average, </w:t>
                            </w:r>
                            <w:r>
                              <w:rPr>
                                <w:rFonts w:ascii="Verdana" w:hAnsi="Verdana"/>
                                <w:i/>
                                <w:iCs/>
                                <w:color w:val="7F7F7F" w:themeColor="text1" w:themeTint="80"/>
                                <w:sz w:val="18"/>
                                <w:szCs w:val="18"/>
                              </w:rPr>
                              <w:t xml:space="preserve">this </w:t>
                            </w:r>
                            <w:r w:rsidRPr="00020FEB">
                              <w:rPr>
                                <w:rFonts w:ascii="Verdana" w:hAnsi="Verdana"/>
                                <w:i/>
                                <w:iCs/>
                                <w:color w:val="7F7F7F" w:themeColor="text1" w:themeTint="80"/>
                                <w:sz w:val="18"/>
                                <w:szCs w:val="18"/>
                              </w:rPr>
                              <w:t xml:space="preserve">would save SMEs over $25,000 in reduced fees, charges and documentation costs compared to a guarantee facility. However, the savings will vary depending on the terms and size of each individual transaction.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474.75pt;width:471.75pt;height:233.2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" o:allowincell="f" adj="1739" strokecolor="#b99a62">
                <v:textbox inset="3.6pt,,3.6pt">
                  <w:txbxContent>
                    <w:p w:rsidR="003C6DA7" w:rsidRPr="0097535A" w:rsidRDefault="003C6DA7" w:rsidP="003C6DA7">
                      <w:pPr>
                        <w:pStyle w:val="Default"/>
                        <w:rPr>
                          <w:i/>
                          <w:sz w:val="23"/>
                          <w:szCs w:val="23"/>
                        </w:rPr>
                      </w:pPr>
                      <w:r>
                        <w:rPr>
                          <w:i/>
                          <w:sz w:val="23"/>
                          <w:szCs w:val="23"/>
                        </w:rPr>
                        <w:t>Reducing costs for Australian exporters</w:t>
                      </w:r>
                    </w:p>
                    <w:p w:rsidR="003C6DA7" w:rsidRDefault="003C6DA7" w:rsidP="003C6DA7">
                      <w:pPr>
                        <w:pStyle w:val="Default"/>
                        <w:rPr>
                          <w:rFonts w:ascii="Verdana" w:hAnsi="Verdana"/>
                          <w:i/>
                          <w:iCs/>
                          <w:color w:val="7F7F7F" w:themeColor="text1" w:themeTint="80"/>
                          <w:sz w:val="18"/>
                          <w:szCs w:val="18"/>
                        </w:rPr>
                      </w:pPr>
                      <w:r>
                        <w:rPr>
                          <w:rFonts w:ascii="Verdana" w:hAnsi="Verdana"/>
                          <w:i/>
                          <w:iCs/>
                          <w:color w:val="7F7F7F" w:themeColor="text1" w:themeTint="80"/>
                          <w:sz w:val="18"/>
                          <w:szCs w:val="18"/>
                        </w:rPr>
                        <w:t xml:space="preserve">The </w:t>
                      </w:r>
                      <w:r w:rsidRPr="0097535A">
                        <w:rPr>
                          <w:rFonts w:ascii="Verdana" w:hAnsi="Verdana"/>
                          <w:i/>
                          <w:iCs/>
                          <w:color w:val="7F7F7F" w:themeColor="text1" w:themeTint="80"/>
                          <w:sz w:val="18"/>
                          <w:szCs w:val="18"/>
                        </w:rPr>
                        <w:t>Export Finance and Insurance Corporation</w:t>
                      </w:r>
                      <w:r>
                        <w:rPr>
                          <w:rFonts w:ascii="Verdana" w:hAnsi="Verdana"/>
                          <w:i/>
                          <w:iCs/>
                          <w:color w:val="7F7F7F" w:themeColor="text1" w:themeTint="80"/>
                          <w:sz w:val="18"/>
                          <w:szCs w:val="18"/>
                        </w:rPr>
                        <w:t xml:space="preserve"> (EFIC) </w:t>
                      </w:r>
                      <w:r w:rsidRPr="0097535A">
                        <w:rPr>
                          <w:rFonts w:ascii="Verdana" w:hAnsi="Verdana"/>
                          <w:i/>
                          <w:iCs/>
                          <w:color w:val="7F7F7F" w:themeColor="text1" w:themeTint="80"/>
                          <w:sz w:val="18"/>
                          <w:szCs w:val="18"/>
                        </w:rPr>
                        <w:t>compl</w:t>
                      </w:r>
                      <w:r>
                        <w:rPr>
                          <w:rFonts w:ascii="Verdana" w:hAnsi="Verdana"/>
                          <w:i/>
                          <w:iCs/>
                          <w:color w:val="7F7F7F" w:themeColor="text1" w:themeTint="80"/>
                          <w:sz w:val="18"/>
                          <w:szCs w:val="18"/>
                        </w:rPr>
                        <w:t>e</w:t>
                      </w:r>
                      <w:r w:rsidRPr="0097535A">
                        <w:rPr>
                          <w:rFonts w:ascii="Verdana" w:hAnsi="Verdana"/>
                          <w:i/>
                          <w:iCs/>
                          <w:color w:val="7F7F7F" w:themeColor="text1" w:themeTint="80"/>
                          <w:sz w:val="18"/>
                          <w:szCs w:val="18"/>
                        </w:rPr>
                        <w:t>ment</w:t>
                      </w:r>
                      <w:r>
                        <w:rPr>
                          <w:rFonts w:ascii="Verdana" w:hAnsi="Verdana"/>
                          <w:i/>
                          <w:iCs/>
                          <w:color w:val="7F7F7F" w:themeColor="text1" w:themeTint="80"/>
                          <w:sz w:val="18"/>
                          <w:szCs w:val="18"/>
                        </w:rPr>
                        <w:t>s</w:t>
                      </w:r>
                      <w:r w:rsidRPr="0097535A">
                        <w:rPr>
                          <w:rFonts w:ascii="Verdana" w:hAnsi="Verdana"/>
                          <w:i/>
                          <w:iCs/>
                          <w:color w:val="7F7F7F" w:themeColor="text1" w:themeTint="80"/>
                          <w:sz w:val="18"/>
                          <w:szCs w:val="18"/>
                        </w:rPr>
                        <w:t xml:space="preserve"> the private banking market by providing financial s</w:t>
                      </w:r>
                      <w:r>
                        <w:rPr>
                          <w:rFonts w:ascii="Verdana" w:hAnsi="Verdana"/>
                          <w:i/>
                          <w:iCs/>
                          <w:color w:val="7F7F7F" w:themeColor="text1" w:themeTint="80"/>
                          <w:sz w:val="18"/>
                          <w:szCs w:val="18"/>
                        </w:rPr>
                        <w:t>olutions for Australian exporters, when</w:t>
                      </w:r>
                      <w:r w:rsidRPr="0097535A">
                        <w:rPr>
                          <w:rFonts w:ascii="Verdana" w:hAnsi="Verdana"/>
                          <w:i/>
                          <w:iCs/>
                          <w:color w:val="7F7F7F" w:themeColor="text1" w:themeTint="80"/>
                          <w:sz w:val="18"/>
                          <w:szCs w:val="18"/>
                        </w:rPr>
                        <w:t xml:space="preserve"> their bank is unable to assist.</w:t>
                      </w:r>
                    </w:p>
                    <w:p w:rsidR="003C6DA7" w:rsidRDefault="003C6DA7" w:rsidP="003C6DA7">
                      <w:pPr>
                        <w:pStyle w:val="Default"/>
                        <w:rPr>
                          <w:rFonts w:ascii="Verdana" w:hAnsi="Verdana"/>
                          <w:i/>
                          <w:iCs/>
                          <w:color w:val="7F7F7F" w:themeColor="text1" w:themeTint="80"/>
                          <w:sz w:val="18"/>
                          <w:szCs w:val="18"/>
                        </w:rPr>
                      </w:pPr>
                    </w:p>
                    <w:p w:rsidR="003C6DA7" w:rsidRDefault="003C6DA7" w:rsidP="003C6DA7">
                      <w:pPr>
                        <w:pStyle w:val="Default"/>
                        <w:rPr>
                          <w:rFonts w:ascii="Verdana" w:hAnsi="Verdana"/>
                          <w:i/>
                          <w:iCs/>
                          <w:color w:val="7F7F7F" w:themeColor="text1" w:themeTint="80"/>
                          <w:sz w:val="18"/>
                          <w:szCs w:val="18"/>
                        </w:rPr>
                      </w:pPr>
                      <w:r w:rsidRPr="0097535A">
                        <w:rPr>
                          <w:rFonts w:ascii="Verdana" w:hAnsi="Verdana"/>
                          <w:i/>
                          <w:iCs/>
                          <w:color w:val="7F7F7F" w:themeColor="text1" w:themeTint="80"/>
                          <w:sz w:val="18"/>
                          <w:szCs w:val="18"/>
                        </w:rPr>
                        <w:t>Currently, EFIC may only lend directly for the export of ‘capital goods’ as defined by the EFIC Act. For example, currently EFIC can only lend for the export of dairy cows but not milk. Other goods for which EFIC cannot currently lend directly include wine, food, fibre, pharmaceuticals and consumer goods.</w:t>
                      </w:r>
                    </w:p>
                    <w:p w:rsidR="003C6DA7" w:rsidRDefault="003C6DA7" w:rsidP="003C6DA7">
                      <w:pPr>
                        <w:pStyle w:val="Default"/>
                        <w:rPr>
                          <w:rFonts w:ascii="Verdana" w:hAnsi="Verdana"/>
                          <w:i/>
                          <w:iCs/>
                          <w:color w:val="7F7F7F" w:themeColor="text1" w:themeTint="80"/>
                          <w:sz w:val="18"/>
                          <w:szCs w:val="18"/>
                        </w:rPr>
                      </w:pPr>
                    </w:p>
                    <w:p w:rsidR="003C6DA7" w:rsidRDefault="003C6DA7" w:rsidP="003C6DA7">
                      <w:pPr>
                        <w:pStyle w:val="Default"/>
                        <w:rPr>
                          <w:rFonts w:ascii="Verdana" w:hAnsi="Verdana"/>
                          <w:i/>
                          <w:iCs/>
                          <w:color w:val="7F7F7F" w:themeColor="text1" w:themeTint="80"/>
                          <w:sz w:val="18"/>
                          <w:szCs w:val="18"/>
                        </w:rPr>
                      </w:pPr>
                      <w:r w:rsidRPr="0097535A">
                        <w:rPr>
                          <w:rFonts w:ascii="Verdana" w:hAnsi="Verdana"/>
                          <w:i/>
                          <w:iCs/>
                          <w:color w:val="7F7F7F" w:themeColor="text1" w:themeTint="80"/>
                          <w:sz w:val="18"/>
                          <w:szCs w:val="18"/>
                        </w:rPr>
                        <w:t>Only 5 per cent of Australia’s exports are classified as ‘capital goods’ by the Australian Bureau of Statistics. When an exporter requires working capital for the export of non-capital goods, EFIC must provide a guarantee to the exporter’s bank rather than lend directly. This duplicates fees, charges and processing time, and restricts the pool of SME exporters EFIC can support.</w:t>
                      </w:r>
                    </w:p>
                    <w:p w:rsidR="003C6DA7" w:rsidRDefault="003C6DA7" w:rsidP="003C6DA7">
                      <w:pPr>
                        <w:pStyle w:val="Default"/>
                        <w:rPr>
                          <w:rFonts w:ascii="Verdana" w:hAnsi="Verdana"/>
                          <w:i/>
                          <w:iCs/>
                          <w:color w:val="7F7F7F" w:themeColor="text1" w:themeTint="80"/>
                          <w:sz w:val="18"/>
                          <w:szCs w:val="18"/>
                        </w:rPr>
                      </w:pPr>
                    </w:p>
                    <w:p w:rsidR="003C6DA7" w:rsidRDefault="003C6DA7" w:rsidP="003C6DA7">
                      <w:pPr>
                        <w:pStyle w:val="Default"/>
                        <w:rPr>
                          <w:rFonts w:ascii="Verdana" w:hAnsi="Verdana"/>
                          <w:i/>
                          <w:iCs/>
                          <w:color w:val="7F7F7F" w:themeColor="text1" w:themeTint="80"/>
                          <w:sz w:val="18"/>
                          <w:szCs w:val="18"/>
                        </w:rPr>
                      </w:pPr>
                      <w:r>
                        <w:rPr>
                          <w:rFonts w:ascii="Verdana" w:hAnsi="Verdana"/>
                          <w:i/>
                          <w:iCs/>
                          <w:color w:val="7F7F7F" w:themeColor="text1" w:themeTint="80"/>
                          <w:sz w:val="18"/>
                          <w:szCs w:val="18"/>
                        </w:rPr>
                        <w:t xml:space="preserve">By amending </w:t>
                      </w:r>
                      <w:r w:rsidRPr="00020FEB">
                        <w:rPr>
                          <w:rFonts w:ascii="Verdana" w:hAnsi="Verdana"/>
                          <w:i/>
                          <w:iCs/>
                          <w:color w:val="7F7F7F" w:themeColor="text1" w:themeTint="80"/>
                          <w:sz w:val="18"/>
                          <w:szCs w:val="18"/>
                        </w:rPr>
                        <w:t>the Export Finance and Insurance Corporation Act</w:t>
                      </w:r>
                      <w:r>
                        <w:rPr>
                          <w:rFonts w:ascii="Verdana" w:hAnsi="Verdana"/>
                          <w:i/>
                          <w:iCs/>
                          <w:color w:val="7F7F7F" w:themeColor="text1" w:themeTint="80"/>
                          <w:sz w:val="18"/>
                          <w:szCs w:val="18"/>
                        </w:rPr>
                        <w:t xml:space="preserve">, EFIC will now have the flexibility to </w:t>
                      </w:r>
                      <w:r w:rsidRPr="00020FEB">
                        <w:rPr>
                          <w:rFonts w:ascii="Verdana" w:hAnsi="Verdana"/>
                          <w:i/>
                          <w:iCs/>
                          <w:color w:val="7F7F7F" w:themeColor="text1" w:themeTint="80"/>
                          <w:sz w:val="18"/>
                          <w:szCs w:val="18"/>
                        </w:rPr>
                        <w:t>lend directly to</w:t>
                      </w:r>
                      <w:r>
                        <w:rPr>
                          <w:rFonts w:ascii="Verdana" w:hAnsi="Verdana"/>
                          <w:i/>
                          <w:iCs/>
                          <w:color w:val="7F7F7F" w:themeColor="text1" w:themeTint="80"/>
                          <w:sz w:val="18"/>
                          <w:szCs w:val="18"/>
                        </w:rPr>
                        <w:t xml:space="preserve"> </w:t>
                      </w:r>
                      <w:r w:rsidRPr="00020FEB">
                        <w:rPr>
                          <w:rFonts w:ascii="Verdana" w:hAnsi="Verdana"/>
                          <w:i/>
                          <w:iCs/>
                          <w:color w:val="7F7F7F" w:themeColor="text1" w:themeTint="80"/>
                          <w:sz w:val="18"/>
                          <w:szCs w:val="18"/>
                        </w:rPr>
                        <w:t>support all types of goods - reducing business costs and processing time</w:t>
                      </w:r>
                      <w:r>
                        <w:rPr>
                          <w:rFonts w:ascii="Verdana" w:hAnsi="Verdana"/>
                          <w:i/>
                          <w:iCs/>
                          <w:color w:val="7F7F7F" w:themeColor="text1" w:themeTint="80"/>
                          <w:sz w:val="18"/>
                          <w:szCs w:val="18"/>
                        </w:rPr>
                        <w:t xml:space="preserve">. </w:t>
                      </w:r>
                      <w:r w:rsidRPr="00020FEB">
                        <w:rPr>
                          <w:rFonts w:ascii="Verdana" w:hAnsi="Verdana"/>
                          <w:i/>
                          <w:iCs/>
                          <w:color w:val="7F7F7F" w:themeColor="text1" w:themeTint="80"/>
                          <w:sz w:val="18"/>
                          <w:szCs w:val="18"/>
                        </w:rPr>
                        <w:t xml:space="preserve">On average, </w:t>
                      </w:r>
                      <w:r>
                        <w:rPr>
                          <w:rFonts w:ascii="Verdana" w:hAnsi="Verdana"/>
                          <w:i/>
                          <w:iCs/>
                          <w:color w:val="7F7F7F" w:themeColor="text1" w:themeTint="80"/>
                          <w:sz w:val="18"/>
                          <w:szCs w:val="18"/>
                        </w:rPr>
                        <w:t xml:space="preserve">this </w:t>
                      </w:r>
                      <w:r w:rsidRPr="00020FEB">
                        <w:rPr>
                          <w:rFonts w:ascii="Verdana" w:hAnsi="Verdana"/>
                          <w:i/>
                          <w:iCs/>
                          <w:color w:val="7F7F7F" w:themeColor="text1" w:themeTint="80"/>
                          <w:sz w:val="18"/>
                          <w:szCs w:val="18"/>
                        </w:rPr>
                        <w:t xml:space="preserve">would save SMEs over $25,000 in reduced fees, charges and documentation costs compared to a guarantee facility. However, the savings will vary depending on the terms and size of each individual transaction.  </w:t>
                      </w:r>
                    </w:p>
                  </w:txbxContent>
                </v:textbox>
                <w10:wrap type="square" anchorx="margin" anchory="margin"/>
              </v:shape>
            </w:pict>
          </mc:Fallback>
        </mc:AlternateContent>
      </w:r>
    </w:p>
    <w:p w:rsidR="003C6DA7" w:rsidRDefault="005B6321" w:rsidP="003C6DA7">
      <w:pPr>
        <w:pStyle w:val="Documenttitle02"/>
      </w:pPr>
      <w:bookmarkStart w:id="3" w:name="_Toc402873291"/>
      <w:r w:rsidRPr="00D4048A">
        <w:t xml:space="preserve">Summary of key </w:t>
      </w:r>
      <w:r w:rsidR="00DA3924">
        <w:t>de</w:t>
      </w:r>
      <w:r w:rsidRPr="00D4048A">
        <w:t xml:space="preserve">regulatory savings and </w:t>
      </w:r>
      <w:r w:rsidR="00DA3924">
        <w:t xml:space="preserve">regulatory </w:t>
      </w:r>
      <w:r w:rsidRPr="00D4048A">
        <w:t xml:space="preserve">costs </w:t>
      </w:r>
      <w:r w:rsidR="00753CF0">
        <w:t xml:space="preserve">implemented in </w:t>
      </w:r>
      <w:r w:rsidR="00F84E94" w:rsidRPr="00D4048A">
        <w:t>2014</w:t>
      </w:r>
      <w:bookmarkEnd w:id="3"/>
    </w:p>
    <w:p w:rsidR="00EF3481" w:rsidRPr="00F80C37" w:rsidRDefault="00753CF0" w:rsidP="00F80C37">
      <w:pPr>
        <w:pStyle w:val="Tableheading"/>
      </w:pPr>
      <w:r w:rsidRPr="00F80C37">
        <w:t>Table 1: Summary of key deregulatory savings implemented between September 2013 and 31 December 2014</w:t>
      </w:r>
      <w:r w:rsidR="009E6BA3" w:rsidRPr="00F80C37">
        <w:t>.</w:t>
      </w:r>
      <w:r w:rsidRPr="00F80C37">
        <w:t xml:space="preserve">  Details on individual measures are outlined in Appendix A.</w:t>
      </w:r>
      <w:r w:rsidR="00F80C37">
        <w:t xml:space="preserve"> </w:t>
      </w:r>
      <w:r w:rsidR="003F5B36">
        <w:t xml:space="preserve"> </w:t>
      </w:r>
      <w:r w:rsidR="00F80C37" w:rsidRPr="00F80C37">
        <w:t>Measures</w:t>
      </w:r>
      <w:r w:rsidR="00745849">
        <w:t xml:space="preserve"> (totalling $6.32</w:t>
      </w:r>
      <w:r w:rsidR="002B192C">
        <w:t>6 million)</w:t>
      </w:r>
      <w:r w:rsidR="00F80C37" w:rsidRPr="00F80C37">
        <w:t xml:space="preserve"> that were reported but have not yet been implemented</w:t>
      </w:r>
      <w:r w:rsidR="00F80C37">
        <w:t xml:space="preserve"> are </w:t>
      </w:r>
      <w:r w:rsidR="002B192C">
        <w:t xml:space="preserve">also </w:t>
      </w:r>
      <w:r w:rsidR="00F80C37">
        <w:t>detailed in Appendix A.</w:t>
      </w:r>
    </w:p>
    <w:tbl>
      <w:tblPr>
        <w:tblStyle w:val="LightList-Accent2"/>
        <w:tblW w:w="5000" w:type="pct"/>
        <w:tblLook w:val="04A0" w:firstRow="1" w:lastRow="0" w:firstColumn="1" w:lastColumn="0" w:noHBand="0" w:noVBand="1"/>
        <w:tblCaption w:val="Table 1c: Summary of key regulatory costs reported or announced since September 2013"/>
        <w:tblDescription w:val="Key measures and corresponding reported regulatory costs in $ million."/>
      </w:tblPr>
      <w:tblGrid>
        <w:gridCol w:w="7598"/>
        <w:gridCol w:w="768"/>
        <w:gridCol w:w="876"/>
      </w:tblGrid>
      <w:tr w:rsidR="00D4048A" w:rsidRPr="005C7267" w:rsidTr="00D4048A">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195" w:type="pct"/>
            <w:vMerge w:val="restart"/>
            <w:tcBorders>
              <w:top w:val="single" w:sz="8" w:space="0" w:color="BB9D67" w:themeColor="accent2"/>
              <w:left w:val="nil"/>
              <w:bottom w:val="single" w:sz="8" w:space="0" w:color="BB9D67" w:themeColor="accent2"/>
            </w:tcBorders>
            <w:noWrap/>
            <w:hideMark/>
          </w:tcPr>
          <w:p w:rsidR="00EF3481" w:rsidRPr="00C5626F" w:rsidRDefault="00EF3481" w:rsidP="007C35B1">
            <w:pPr>
              <w:rPr>
                <w:b w:val="0"/>
                <w:bCs w:val="0"/>
                <w:lang w:eastAsia="en-AU"/>
              </w:rPr>
            </w:pPr>
            <w:r w:rsidRPr="00C5626F">
              <w:rPr>
                <w:lang w:eastAsia="en-AU"/>
              </w:rPr>
              <w:t>KEY MEASURES</w:t>
            </w:r>
            <w:r w:rsidR="009E6BA3" w:rsidRPr="00C5626F">
              <w:rPr>
                <w:vertAlign w:val="superscript"/>
                <w:lang w:eastAsia="en-AU"/>
              </w:rPr>
              <w:t>1</w:t>
            </w:r>
          </w:p>
        </w:tc>
        <w:tc>
          <w:tcPr>
            <w:tcW w:w="805" w:type="pct"/>
            <w:gridSpan w:val="2"/>
            <w:tcBorders>
              <w:top w:val="single" w:sz="8" w:space="0" w:color="BB9D67" w:themeColor="accent2"/>
              <w:bottom w:val="single" w:sz="8" w:space="0" w:color="BB9D67" w:themeColor="accent2"/>
            </w:tcBorders>
            <w:noWrap/>
            <w:hideMark/>
          </w:tcPr>
          <w:p w:rsidR="00EF3481" w:rsidRPr="00C5626F" w:rsidRDefault="00EF3481" w:rsidP="007C35B1">
            <w:pPr>
              <w:cnfStyle w:val="100000000000" w:firstRow="1" w:lastRow="0" w:firstColumn="0" w:lastColumn="0" w:oddVBand="0" w:evenVBand="0" w:oddHBand="0" w:evenHBand="0" w:firstRowFirstColumn="0" w:firstRowLastColumn="0" w:lastRowFirstColumn="0" w:lastRowLastColumn="0"/>
              <w:rPr>
                <w:b w:val="0"/>
                <w:bCs w:val="0"/>
                <w:lang w:eastAsia="en-AU"/>
              </w:rPr>
            </w:pPr>
            <w:r w:rsidRPr="00C5626F">
              <w:rPr>
                <w:lang w:eastAsia="en-AU"/>
              </w:rPr>
              <w:t>Reported</w:t>
            </w:r>
          </w:p>
        </w:tc>
      </w:tr>
      <w:tr w:rsidR="00EF3481" w:rsidRPr="005C7267" w:rsidTr="00D4048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195" w:type="pct"/>
            <w:vMerge/>
            <w:hideMark/>
          </w:tcPr>
          <w:p w:rsidR="00EF3481" w:rsidRPr="00C5626F" w:rsidRDefault="00EF3481" w:rsidP="007C35B1">
            <w:pPr>
              <w:rPr>
                <w:rFonts w:cs="Calibri"/>
                <w:b/>
                <w:bCs w:val="0"/>
                <w:color w:val="000000"/>
                <w:szCs w:val="20"/>
                <w:lang w:eastAsia="en-AU"/>
              </w:rPr>
            </w:pPr>
          </w:p>
        </w:tc>
        <w:tc>
          <w:tcPr>
            <w:tcW w:w="805" w:type="pct"/>
            <w:gridSpan w:val="2"/>
            <w:noWrap/>
            <w:hideMark/>
          </w:tcPr>
          <w:p w:rsidR="00EF3481" w:rsidRPr="00C5626F" w:rsidRDefault="00EF3481" w:rsidP="007C35B1">
            <w:pPr>
              <w:cnfStyle w:val="000000100000" w:firstRow="0" w:lastRow="0" w:firstColumn="0" w:lastColumn="0" w:oddVBand="0" w:evenVBand="0" w:oddHBand="1" w:evenHBand="0" w:firstRowFirstColumn="0" w:firstRowLastColumn="0" w:lastRowFirstColumn="0" w:lastRowLastColumn="0"/>
              <w:rPr>
                <w:lang w:eastAsia="en-AU"/>
              </w:rPr>
            </w:pPr>
            <w:r w:rsidRPr="00C5626F">
              <w:rPr>
                <w:lang w:eastAsia="en-AU"/>
              </w:rPr>
              <w:t>($</w:t>
            </w:r>
            <w:r w:rsidR="009E6BA3" w:rsidRPr="00C5626F">
              <w:rPr>
                <w:lang w:eastAsia="en-AU"/>
              </w:rPr>
              <w:t xml:space="preserve"> </w:t>
            </w:r>
            <w:r w:rsidRPr="00C5626F">
              <w:rPr>
                <w:lang w:eastAsia="en-AU"/>
              </w:rPr>
              <w:t>million)</w:t>
            </w:r>
          </w:p>
        </w:tc>
      </w:tr>
      <w:tr w:rsidR="00EF3481" w:rsidRPr="005C7267" w:rsidTr="007C35B1">
        <w:trPr>
          <w:trHeight w:val="330"/>
        </w:trPr>
        <w:tc>
          <w:tcPr>
            <w:cnfStyle w:val="001000000000" w:firstRow="0" w:lastRow="0" w:firstColumn="1" w:lastColumn="0" w:oddVBand="0" w:evenVBand="0" w:oddHBand="0" w:evenHBand="0" w:firstRowFirstColumn="0" w:firstRowLastColumn="0" w:lastRowFirstColumn="0" w:lastRowLastColumn="0"/>
            <w:tcW w:w="4195" w:type="pct"/>
            <w:hideMark/>
          </w:tcPr>
          <w:p w:rsidR="00EF3481" w:rsidRPr="00C5626F" w:rsidRDefault="001839E9" w:rsidP="007C35B1">
            <w:pPr>
              <w:rPr>
                <w:rFonts w:cs="Calibri"/>
                <w:color w:val="000000"/>
                <w:szCs w:val="20"/>
                <w:lang w:eastAsia="en-AU"/>
              </w:rPr>
            </w:pPr>
            <w:r>
              <w:rPr>
                <w:noProof/>
              </w:rPr>
              <w:t>Korea-Australia Free Trade Agreement (KAFTA)</w:t>
            </w:r>
          </w:p>
        </w:tc>
        <w:tc>
          <w:tcPr>
            <w:tcW w:w="805" w:type="pct"/>
            <w:gridSpan w:val="2"/>
            <w:hideMark/>
          </w:tcPr>
          <w:p w:rsidR="00EF3481" w:rsidRPr="00C5626F" w:rsidRDefault="001839E9" w:rsidP="007C35B1">
            <w:pPr>
              <w:jc w:val="right"/>
              <w:cnfStyle w:val="000000000000" w:firstRow="0" w:lastRow="0" w:firstColumn="0" w:lastColumn="0" w:oddVBand="0" w:evenVBand="0" w:oddHBand="0" w:evenHBand="0" w:firstRowFirstColumn="0" w:firstRowLastColumn="0" w:lastRowFirstColumn="0" w:lastRowLastColumn="0"/>
              <w:rPr>
                <w:rFonts w:cs="Calibri"/>
                <w:color w:val="000000"/>
                <w:szCs w:val="20"/>
                <w:lang w:eastAsia="en-AU"/>
              </w:rPr>
            </w:pPr>
            <w:r>
              <w:rPr>
                <w:noProof/>
              </w:rPr>
              <w:t>$0.09</w:t>
            </w:r>
            <w:r w:rsidR="002B192C">
              <w:rPr>
                <w:noProof/>
              </w:rPr>
              <w:t>6</w:t>
            </w:r>
          </w:p>
        </w:tc>
      </w:tr>
      <w:tr w:rsidR="00EF3481" w:rsidRPr="005C7267" w:rsidTr="007C3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5" w:type="pct"/>
            <w:hideMark/>
          </w:tcPr>
          <w:p w:rsidR="00EF3481" w:rsidRPr="00C5626F" w:rsidRDefault="001839E9" w:rsidP="007C35B1">
            <w:pPr>
              <w:rPr>
                <w:rFonts w:cs="Calibri"/>
                <w:color w:val="000000"/>
                <w:szCs w:val="20"/>
                <w:lang w:eastAsia="en-AU"/>
              </w:rPr>
            </w:pPr>
            <w:r w:rsidRPr="00414229">
              <w:rPr>
                <w:lang w:eastAsia="en-AU"/>
              </w:rPr>
              <w:t>Japan-Australia Economic Partnership Agreement (JAEPA)</w:t>
            </w:r>
          </w:p>
        </w:tc>
        <w:tc>
          <w:tcPr>
            <w:tcW w:w="805" w:type="pct"/>
            <w:gridSpan w:val="2"/>
            <w:hideMark/>
          </w:tcPr>
          <w:p w:rsidR="00EF3481" w:rsidRPr="00C5626F" w:rsidRDefault="001839E9" w:rsidP="007C35B1">
            <w:pPr>
              <w:jc w:val="right"/>
              <w:cnfStyle w:val="000000100000" w:firstRow="0" w:lastRow="0" w:firstColumn="0" w:lastColumn="0" w:oddVBand="0" w:evenVBand="0" w:oddHBand="1" w:evenHBand="0" w:firstRowFirstColumn="0" w:firstRowLastColumn="0" w:lastRowFirstColumn="0" w:lastRowLastColumn="0"/>
              <w:rPr>
                <w:rFonts w:cs="Calibri"/>
                <w:color w:val="000000"/>
                <w:szCs w:val="20"/>
                <w:lang w:eastAsia="en-AU"/>
              </w:rPr>
            </w:pPr>
            <w:r>
              <w:rPr>
                <w:noProof/>
              </w:rPr>
              <w:t>$0.03</w:t>
            </w:r>
            <w:r w:rsidR="002B192C">
              <w:rPr>
                <w:noProof/>
              </w:rPr>
              <w:t>2</w:t>
            </w:r>
          </w:p>
        </w:tc>
      </w:tr>
      <w:tr w:rsidR="00EF3481" w:rsidRPr="005C7267" w:rsidTr="007C35B1">
        <w:trPr>
          <w:trHeight w:val="345"/>
        </w:trPr>
        <w:tc>
          <w:tcPr>
            <w:cnfStyle w:val="001000000000" w:firstRow="0" w:lastRow="0" w:firstColumn="1" w:lastColumn="0" w:oddVBand="0" w:evenVBand="0" w:oddHBand="0" w:evenHBand="0" w:firstRowFirstColumn="0" w:firstRowLastColumn="0" w:lastRowFirstColumn="0" w:lastRowLastColumn="0"/>
            <w:tcW w:w="4195" w:type="pct"/>
            <w:hideMark/>
          </w:tcPr>
          <w:p w:rsidR="00EF3481" w:rsidRPr="00C5626F" w:rsidRDefault="001839E9" w:rsidP="007C35B1">
            <w:pPr>
              <w:rPr>
                <w:rFonts w:cs="Calibri"/>
                <w:color w:val="000000"/>
                <w:szCs w:val="20"/>
                <w:lang w:eastAsia="en-AU"/>
              </w:rPr>
            </w:pPr>
            <w:r w:rsidRPr="00414229">
              <w:rPr>
                <w:lang w:eastAsia="en-AU"/>
              </w:rPr>
              <w:t>Upgrade of Online Sanctions Administration System (OSAS)</w:t>
            </w:r>
            <w:r w:rsidR="00287FF4">
              <w:rPr>
                <w:rStyle w:val="FootnoteReference"/>
                <w:lang w:eastAsia="en-AU"/>
              </w:rPr>
              <w:t xml:space="preserve"> </w:t>
            </w:r>
            <w:r w:rsidR="00287FF4">
              <w:rPr>
                <w:rStyle w:val="FootnoteReference"/>
                <w:lang w:eastAsia="en-AU"/>
              </w:rPr>
              <w:footnoteReference w:id="1"/>
            </w:r>
          </w:p>
        </w:tc>
        <w:tc>
          <w:tcPr>
            <w:tcW w:w="805" w:type="pct"/>
            <w:gridSpan w:val="2"/>
            <w:hideMark/>
          </w:tcPr>
          <w:p w:rsidR="00EF3481" w:rsidRPr="00C5626F" w:rsidRDefault="001839E9" w:rsidP="00871899">
            <w:pPr>
              <w:jc w:val="right"/>
              <w:cnfStyle w:val="000000000000" w:firstRow="0" w:lastRow="0" w:firstColumn="0" w:lastColumn="0" w:oddVBand="0" w:evenVBand="0" w:oddHBand="0" w:evenHBand="0" w:firstRowFirstColumn="0" w:firstRowLastColumn="0" w:lastRowFirstColumn="0" w:lastRowLastColumn="0"/>
              <w:rPr>
                <w:rFonts w:cs="Calibri"/>
                <w:color w:val="000000"/>
                <w:szCs w:val="20"/>
                <w:lang w:eastAsia="en-AU"/>
              </w:rPr>
            </w:pPr>
            <w:r>
              <w:rPr>
                <w:noProof/>
              </w:rPr>
              <w:t>$0.</w:t>
            </w:r>
            <w:r w:rsidR="00871899">
              <w:rPr>
                <w:noProof/>
              </w:rPr>
              <w:t>06</w:t>
            </w:r>
            <w:r w:rsidR="002B192C">
              <w:rPr>
                <w:noProof/>
              </w:rPr>
              <w:t>0</w:t>
            </w:r>
          </w:p>
        </w:tc>
      </w:tr>
      <w:tr w:rsidR="00EF3481" w:rsidRPr="005C7267" w:rsidTr="007C35B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195" w:type="pct"/>
            <w:hideMark/>
          </w:tcPr>
          <w:p w:rsidR="00EF3481" w:rsidRPr="00C5626F" w:rsidRDefault="001839E9" w:rsidP="007C35B1">
            <w:pPr>
              <w:rPr>
                <w:rFonts w:cs="Calibri"/>
                <w:color w:val="000000"/>
                <w:szCs w:val="20"/>
                <w:lang w:eastAsia="en-AU"/>
              </w:rPr>
            </w:pPr>
            <w:r w:rsidRPr="00414229">
              <w:rPr>
                <w:lang w:eastAsia="en-AU"/>
              </w:rPr>
              <w:t>Improving online accreditation for Australian Non-Government Organisations (NGO)</w:t>
            </w:r>
          </w:p>
        </w:tc>
        <w:tc>
          <w:tcPr>
            <w:tcW w:w="805" w:type="pct"/>
            <w:gridSpan w:val="2"/>
            <w:hideMark/>
          </w:tcPr>
          <w:p w:rsidR="00EF3481" w:rsidRPr="00C5626F" w:rsidRDefault="001839E9" w:rsidP="007C35B1">
            <w:pPr>
              <w:jc w:val="right"/>
              <w:cnfStyle w:val="000000100000" w:firstRow="0" w:lastRow="0" w:firstColumn="0" w:lastColumn="0" w:oddVBand="0" w:evenVBand="0" w:oddHBand="1" w:evenHBand="0" w:firstRowFirstColumn="0" w:firstRowLastColumn="0" w:lastRowFirstColumn="0" w:lastRowLastColumn="0"/>
              <w:rPr>
                <w:rFonts w:cs="Calibri"/>
                <w:color w:val="000000"/>
                <w:szCs w:val="20"/>
                <w:lang w:eastAsia="en-AU"/>
              </w:rPr>
            </w:pPr>
            <w:r>
              <w:rPr>
                <w:noProof/>
              </w:rPr>
              <w:t>$0.09</w:t>
            </w:r>
            <w:r w:rsidR="002B192C">
              <w:rPr>
                <w:noProof/>
              </w:rPr>
              <w:t>9</w:t>
            </w:r>
          </w:p>
        </w:tc>
      </w:tr>
      <w:tr w:rsidR="00EF3481" w:rsidRPr="005C7267" w:rsidTr="007C35B1">
        <w:trPr>
          <w:trHeight w:val="300"/>
        </w:trPr>
        <w:tc>
          <w:tcPr>
            <w:cnfStyle w:val="001000000000" w:firstRow="0" w:lastRow="0" w:firstColumn="1" w:lastColumn="0" w:oddVBand="0" w:evenVBand="0" w:oddHBand="0" w:evenHBand="0" w:firstRowFirstColumn="0" w:firstRowLastColumn="0" w:lastRowFirstColumn="0" w:lastRowLastColumn="0"/>
            <w:tcW w:w="4195" w:type="pct"/>
            <w:hideMark/>
          </w:tcPr>
          <w:p w:rsidR="00EF3481" w:rsidRPr="00C5626F" w:rsidRDefault="001839E9" w:rsidP="007C35B1">
            <w:pPr>
              <w:rPr>
                <w:rFonts w:cs="Calibri"/>
                <w:color w:val="000000"/>
                <w:szCs w:val="20"/>
                <w:lang w:eastAsia="en-AU"/>
              </w:rPr>
            </w:pPr>
            <w:r w:rsidRPr="00414229">
              <w:rPr>
                <w:lang w:eastAsia="en-AU"/>
              </w:rPr>
              <w:t>Simpler processes for small to medium enterprise (SME) clients</w:t>
            </w:r>
          </w:p>
        </w:tc>
        <w:tc>
          <w:tcPr>
            <w:tcW w:w="805" w:type="pct"/>
            <w:gridSpan w:val="2"/>
            <w:hideMark/>
          </w:tcPr>
          <w:p w:rsidR="00EF3481" w:rsidRPr="00C5626F" w:rsidRDefault="001839E9" w:rsidP="007C35B1">
            <w:pPr>
              <w:jc w:val="right"/>
              <w:cnfStyle w:val="000000000000" w:firstRow="0" w:lastRow="0" w:firstColumn="0" w:lastColumn="0" w:oddVBand="0" w:evenVBand="0" w:oddHBand="0" w:evenHBand="0" w:firstRowFirstColumn="0" w:firstRowLastColumn="0" w:lastRowFirstColumn="0" w:lastRowLastColumn="0"/>
              <w:rPr>
                <w:rFonts w:cs="Calibri"/>
                <w:color w:val="000000"/>
                <w:szCs w:val="20"/>
                <w:lang w:eastAsia="en-AU"/>
              </w:rPr>
            </w:pPr>
            <w:r>
              <w:rPr>
                <w:noProof/>
              </w:rPr>
              <w:t>$0.15</w:t>
            </w:r>
            <w:r w:rsidR="002B192C">
              <w:rPr>
                <w:noProof/>
              </w:rPr>
              <w:t>5</w:t>
            </w:r>
          </w:p>
        </w:tc>
      </w:tr>
      <w:tr w:rsidR="00EF3481" w:rsidRPr="005C7267" w:rsidTr="007C3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5" w:type="pct"/>
            <w:hideMark/>
          </w:tcPr>
          <w:p w:rsidR="00EF3481" w:rsidRPr="001839E9" w:rsidRDefault="001839E9" w:rsidP="007C35B1">
            <w:pPr>
              <w:rPr>
                <w:rFonts w:cs="Calibri"/>
                <w:color w:val="000000"/>
                <w:szCs w:val="20"/>
                <w:lang w:eastAsia="en-AU"/>
              </w:rPr>
            </w:pPr>
            <w:r w:rsidRPr="001839E9">
              <w:rPr>
                <w:lang w:eastAsia="en-AU"/>
              </w:rPr>
              <w:t>Austrade – T-QUAL Accreditation</w:t>
            </w:r>
          </w:p>
        </w:tc>
        <w:tc>
          <w:tcPr>
            <w:tcW w:w="805" w:type="pct"/>
            <w:gridSpan w:val="2"/>
            <w:hideMark/>
          </w:tcPr>
          <w:p w:rsidR="00EF3481" w:rsidRPr="00C5626F" w:rsidRDefault="00753CF0" w:rsidP="00753CF0">
            <w:pPr>
              <w:jc w:val="right"/>
              <w:cnfStyle w:val="000000100000" w:firstRow="0" w:lastRow="0" w:firstColumn="0" w:lastColumn="0" w:oddVBand="0" w:evenVBand="0" w:oddHBand="1" w:evenHBand="0" w:firstRowFirstColumn="0" w:firstRowLastColumn="0" w:lastRowFirstColumn="0" w:lastRowLastColumn="0"/>
              <w:rPr>
                <w:rFonts w:cs="Calibri"/>
                <w:color w:val="000000"/>
                <w:szCs w:val="20"/>
                <w:lang w:eastAsia="en-AU"/>
              </w:rPr>
            </w:pPr>
            <w:r>
              <w:rPr>
                <w:rFonts w:cs="Calibri"/>
                <w:color w:val="000000"/>
                <w:szCs w:val="20"/>
                <w:lang w:eastAsia="en-AU"/>
              </w:rPr>
              <w:t>$0.</w:t>
            </w:r>
            <w:r w:rsidR="001839E9">
              <w:rPr>
                <w:rFonts w:cs="Calibri"/>
                <w:color w:val="000000"/>
                <w:szCs w:val="20"/>
                <w:lang w:eastAsia="en-AU"/>
              </w:rPr>
              <w:t>22</w:t>
            </w:r>
            <w:r w:rsidR="002B192C">
              <w:rPr>
                <w:rFonts w:cs="Calibri"/>
                <w:color w:val="000000"/>
                <w:szCs w:val="20"/>
                <w:lang w:eastAsia="en-AU"/>
              </w:rPr>
              <w:t>0</w:t>
            </w:r>
          </w:p>
        </w:tc>
      </w:tr>
      <w:tr w:rsidR="001839E9" w:rsidRPr="005C7267" w:rsidTr="007C35B1">
        <w:trPr>
          <w:trHeight w:val="300"/>
        </w:trPr>
        <w:tc>
          <w:tcPr>
            <w:cnfStyle w:val="001000000000" w:firstRow="0" w:lastRow="0" w:firstColumn="1" w:lastColumn="0" w:oddVBand="0" w:evenVBand="0" w:oddHBand="0" w:evenHBand="0" w:firstRowFirstColumn="0" w:firstRowLastColumn="0" w:lastRowFirstColumn="0" w:lastRowLastColumn="0"/>
            <w:tcW w:w="4195" w:type="pct"/>
          </w:tcPr>
          <w:p w:rsidR="001839E9" w:rsidRPr="001839E9" w:rsidRDefault="001839E9" w:rsidP="007C35B1">
            <w:pPr>
              <w:rPr>
                <w:lang w:eastAsia="en-AU"/>
              </w:rPr>
            </w:pPr>
            <w:r w:rsidRPr="001839E9">
              <w:rPr>
                <w:lang w:eastAsia="en-AU"/>
              </w:rPr>
              <w:t>Austrade - Strategic Tourism Investment Grant Programme</w:t>
            </w:r>
          </w:p>
        </w:tc>
        <w:tc>
          <w:tcPr>
            <w:tcW w:w="805" w:type="pct"/>
            <w:gridSpan w:val="2"/>
          </w:tcPr>
          <w:p w:rsidR="001839E9" w:rsidRPr="00C5626F" w:rsidRDefault="00753CF0" w:rsidP="007C35B1">
            <w:pPr>
              <w:jc w:val="right"/>
              <w:cnfStyle w:val="000000000000" w:firstRow="0" w:lastRow="0" w:firstColumn="0" w:lastColumn="0" w:oddVBand="0" w:evenVBand="0" w:oddHBand="0" w:evenHBand="0" w:firstRowFirstColumn="0" w:firstRowLastColumn="0" w:lastRowFirstColumn="0" w:lastRowLastColumn="0"/>
              <w:rPr>
                <w:rFonts w:cs="Calibri"/>
                <w:color w:val="000000"/>
                <w:szCs w:val="20"/>
                <w:lang w:eastAsia="en-AU"/>
              </w:rPr>
            </w:pPr>
            <w:r>
              <w:rPr>
                <w:rFonts w:cs="Calibri"/>
                <w:color w:val="000000"/>
                <w:szCs w:val="20"/>
                <w:lang w:eastAsia="en-AU"/>
              </w:rPr>
              <w:t>$0.02</w:t>
            </w:r>
            <w:r w:rsidR="002B192C">
              <w:rPr>
                <w:rFonts w:cs="Calibri"/>
                <w:color w:val="000000"/>
                <w:szCs w:val="20"/>
                <w:lang w:eastAsia="en-AU"/>
              </w:rPr>
              <w:t>3</w:t>
            </w:r>
          </w:p>
        </w:tc>
      </w:tr>
      <w:tr w:rsidR="00EF3481" w:rsidRPr="005C7267" w:rsidTr="007C35B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95" w:type="pct"/>
            <w:gridSpan w:val="2"/>
            <w:noWrap/>
            <w:hideMark/>
          </w:tcPr>
          <w:p w:rsidR="00EF3481" w:rsidRPr="00C5626F" w:rsidRDefault="00EF3481" w:rsidP="007C35B1">
            <w:pPr>
              <w:rPr>
                <w:rFonts w:cs="Calibri"/>
                <w:b/>
                <w:bCs w:val="0"/>
                <w:color w:val="000000"/>
                <w:szCs w:val="20"/>
                <w:lang w:eastAsia="en-AU"/>
              </w:rPr>
            </w:pPr>
            <w:r w:rsidRPr="00C5626F">
              <w:rPr>
                <w:rFonts w:cs="Calibri"/>
                <w:color w:val="000000"/>
                <w:szCs w:val="20"/>
                <w:lang w:eastAsia="en-AU"/>
              </w:rPr>
              <w:t>Total</w:t>
            </w:r>
          </w:p>
        </w:tc>
        <w:tc>
          <w:tcPr>
            <w:tcW w:w="305" w:type="pct"/>
            <w:noWrap/>
            <w:hideMark/>
          </w:tcPr>
          <w:p w:rsidR="00EF3481" w:rsidRPr="00C5626F" w:rsidRDefault="009E6BA3" w:rsidP="00871899">
            <w:pPr>
              <w:jc w:val="right"/>
              <w:cnfStyle w:val="000000100000" w:firstRow="0" w:lastRow="0" w:firstColumn="0" w:lastColumn="0" w:oddVBand="0" w:evenVBand="0" w:oddHBand="1" w:evenHBand="0" w:firstRowFirstColumn="0" w:firstRowLastColumn="0" w:lastRowFirstColumn="0" w:lastRowLastColumn="0"/>
              <w:rPr>
                <w:rFonts w:cs="Calibri"/>
                <w:b/>
                <w:bCs/>
                <w:color w:val="000000"/>
                <w:szCs w:val="20"/>
                <w:lang w:eastAsia="en-AU"/>
              </w:rPr>
            </w:pPr>
            <w:r w:rsidRPr="00C5626F">
              <w:rPr>
                <w:rFonts w:cs="Calibri"/>
                <w:b/>
                <w:bCs/>
                <w:color w:val="000000"/>
                <w:szCs w:val="20"/>
                <w:lang w:eastAsia="en-AU"/>
              </w:rPr>
              <w:t>$</w:t>
            </w:r>
            <w:r w:rsidR="00753CF0">
              <w:rPr>
                <w:rFonts w:cs="Calibri"/>
                <w:b/>
                <w:bCs/>
                <w:color w:val="000000"/>
                <w:szCs w:val="20"/>
                <w:lang w:eastAsia="en-AU"/>
              </w:rPr>
              <w:t>0.</w:t>
            </w:r>
            <w:r w:rsidR="002B192C">
              <w:rPr>
                <w:rFonts w:cs="Calibri"/>
                <w:b/>
                <w:bCs/>
                <w:color w:val="000000"/>
                <w:szCs w:val="20"/>
                <w:lang w:eastAsia="en-AU"/>
              </w:rPr>
              <w:t>685</w:t>
            </w:r>
            <w:r w:rsidRPr="00C5626F">
              <w:rPr>
                <w:rFonts w:cs="Calibri"/>
                <w:b/>
                <w:bCs/>
                <w:color w:val="000000"/>
                <w:szCs w:val="20"/>
                <w:lang w:eastAsia="en-AU"/>
              </w:rPr>
              <w:t xml:space="preserve"> </w:t>
            </w:r>
          </w:p>
        </w:tc>
      </w:tr>
    </w:tbl>
    <w:p w:rsidR="00DA3924" w:rsidRPr="00B35E3D" w:rsidRDefault="00DA3924" w:rsidP="00B35E3D">
      <w:pPr>
        <w:pStyle w:val="Reference"/>
      </w:pPr>
    </w:p>
    <w:p w:rsidR="00BF2DB7" w:rsidRPr="00600B21" w:rsidRDefault="00BF2DB7" w:rsidP="00D4048A">
      <w:pPr>
        <w:pStyle w:val="Documenttitle02"/>
      </w:pPr>
      <w:bookmarkStart w:id="4" w:name="_Toc402873292"/>
      <w:bookmarkStart w:id="5" w:name="_Toc382330236"/>
      <w:r w:rsidRPr="00600B21">
        <w:t>Regulation Impact Statements</w:t>
      </w:r>
      <w:bookmarkEnd w:id="4"/>
    </w:p>
    <w:tbl>
      <w:tblPr>
        <w:tblStyle w:val="LightList-Accent2"/>
        <w:tblpPr w:leftFromText="180" w:rightFromText="180" w:vertAnchor="text" w:horzAnchor="margin" w:tblpXSpec="center" w:tblpY="643"/>
        <w:tblW w:w="5000" w:type="pct"/>
        <w:tblLook w:val="0000" w:firstRow="0" w:lastRow="0" w:firstColumn="0" w:lastColumn="0" w:noHBand="0" w:noVBand="0"/>
      </w:tblPr>
      <w:tblGrid>
        <w:gridCol w:w="4492"/>
        <w:gridCol w:w="1584"/>
        <w:gridCol w:w="1584"/>
        <w:gridCol w:w="1582"/>
      </w:tblGrid>
      <w:tr w:rsidR="003F5B36" w:rsidRPr="000E0956" w:rsidTr="003F5B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pct"/>
          </w:tcPr>
          <w:p w:rsidR="003F5B36" w:rsidRPr="000E0956" w:rsidRDefault="003F5B36" w:rsidP="003F5B36"/>
        </w:tc>
        <w:tc>
          <w:tcPr>
            <w:tcW w:w="857" w:type="pct"/>
          </w:tcPr>
          <w:p w:rsidR="003F5B36" w:rsidRPr="000E0956" w:rsidRDefault="003F5B36" w:rsidP="003F5B36">
            <w:pPr>
              <w:cnfStyle w:val="000000100000" w:firstRow="0" w:lastRow="0" w:firstColumn="0" w:lastColumn="0" w:oddVBand="0" w:evenVBand="0" w:oddHBand="1" w:evenHBand="0" w:firstRowFirstColumn="0" w:firstRowLastColumn="0" w:lastRowFirstColumn="0" w:lastRowLastColumn="0"/>
            </w:pPr>
            <w:r w:rsidRPr="000E0956">
              <w:t xml:space="preserve">RIS </w:t>
            </w:r>
            <w:r>
              <w:t>Compliance</w:t>
            </w:r>
          </w:p>
        </w:tc>
        <w:tc>
          <w:tcPr>
            <w:cnfStyle w:val="000010000000" w:firstRow="0" w:lastRow="0" w:firstColumn="0" w:lastColumn="0" w:oddVBand="1" w:evenVBand="0" w:oddHBand="0" w:evenHBand="0" w:firstRowFirstColumn="0" w:firstRowLastColumn="0" w:lastRowFirstColumn="0" w:lastRowLastColumn="0"/>
            <w:tcW w:w="857" w:type="pct"/>
          </w:tcPr>
          <w:p w:rsidR="003F5B36" w:rsidRPr="000E0956" w:rsidRDefault="003F5B36" w:rsidP="003F5B36">
            <w:r>
              <w:t>PM’s Exemptions</w:t>
            </w:r>
          </w:p>
        </w:tc>
        <w:tc>
          <w:tcPr>
            <w:tcW w:w="856" w:type="pct"/>
          </w:tcPr>
          <w:p w:rsidR="003F5B36" w:rsidRPr="000E0956" w:rsidRDefault="003F5B36" w:rsidP="00FB2046">
            <w:pPr>
              <w:cnfStyle w:val="000000100000" w:firstRow="0" w:lastRow="0" w:firstColumn="0" w:lastColumn="0" w:oddVBand="0" w:evenVBand="0" w:oddHBand="1" w:evenHBand="0" w:firstRowFirstColumn="0" w:firstRowLastColumn="0" w:lastRowFirstColumn="0" w:lastRowLastColumn="0"/>
            </w:pPr>
            <w:r w:rsidRPr="000E0956">
              <w:t xml:space="preserve">PIR </w:t>
            </w:r>
            <w:r w:rsidRPr="000E0956">
              <w:br/>
            </w:r>
            <w:r w:rsidR="00FB2046">
              <w:t>Compliance</w:t>
            </w:r>
          </w:p>
        </w:tc>
      </w:tr>
      <w:tr w:rsidR="003F5B36" w:rsidRPr="000E0956" w:rsidTr="003F5B36">
        <w:trPr>
          <w:trHeight w:hRule="exact" w:val="525"/>
        </w:trPr>
        <w:tc>
          <w:tcPr>
            <w:cnfStyle w:val="000010000000" w:firstRow="0" w:lastRow="0" w:firstColumn="0" w:lastColumn="0" w:oddVBand="1" w:evenVBand="0" w:oddHBand="0" w:evenHBand="0" w:firstRowFirstColumn="0" w:firstRowLastColumn="0" w:lastRowFirstColumn="0" w:lastRowLastColumn="0"/>
            <w:tcW w:w="2430" w:type="pct"/>
          </w:tcPr>
          <w:p w:rsidR="003F5B36" w:rsidRPr="000E0956" w:rsidRDefault="003F5B36" w:rsidP="003F5B36">
            <w:r>
              <w:t>Foreign Affairs and Trade Portfolio Total</w:t>
            </w:r>
          </w:p>
        </w:tc>
        <w:tc>
          <w:tcPr>
            <w:tcW w:w="857" w:type="pct"/>
          </w:tcPr>
          <w:p w:rsidR="003F5B36" w:rsidRPr="000E0956" w:rsidRDefault="003F5B36" w:rsidP="003F5B36">
            <w:pPr>
              <w:cnfStyle w:val="000000000000" w:firstRow="0" w:lastRow="0" w:firstColumn="0" w:lastColumn="0" w:oddVBand="0" w:evenVBand="0" w:oddHBand="0" w:evenHBand="0" w:firstRowFirstColumn="0" w:firstRowLastColumn="0" w:lastRowFirstColumn="0" w:lastRowLastColumn="0"/>
            </w:pPr>
            <w:r>
              <w:t>2</w:t>
            </w:r>
          </w:p>
        </w:tc>
        <w:tc>
          <w:tcPr>
            <w:cnfStyle w:val="000010000000" w:firstRow="0" w:lastRow="0" w:firstColumn="0" w:lastColumn="0" w:oddVBand="1" w:evenVBand="0" w:oddHBand="0" w:evenHBand="0" w:firstRowFirstColumn="0" w:firstRowLastColumn="0" w:lastRowFirstColumn="0" w:lastRowLastColumn="0"/>
            <w:tcW w:w="857" w:type="pct"/>
          </w:tcPr>
          <w:p w:rsidR="003F5B36" w:rsidRPr="000E0956" w:rsidRDefault="003F5B36" w:rsidP="003F5B36">
            <w:r>
              <w:t>0</w:t>
            </w:r>
          </w:p>
        </w:tc>
        <w:tc>
          <w:tcPr>
            <w:tcW w:w="856" w:type="pct"/>
          </w:tcPr>
          <w:p w:rsidR="003F5B36" w:rsidRPr="000E0956" w:rsidRDefault="003F5B36" w:rsidP="003F5B36">
            <w:pPr>
              <w:cnfStyle w:val="000000000000" w:firstRow="0" w:lastRow="0" w:firstColumn="0" w:lastColumn="0" w:oddVBand="0" w:evenVBand="0" w:oddHBand="0" w:evenHBand="0" w:firstRowFirstColumn="0" w:firstRowLastColumn="0" w:lastRowFirstColumn="0" w:lastRowLastColumn="0"/>
            </w:pPr>
            <w:r>
              <w:t>1</w:t>
            </w:r>
          </w:p>
        </w:tc>
      </w:tr>
      <w:tr w:rsidR="003F5B36" w:rsidRPr="000E0956" w:rsidTr="003F5B36">
        <w:trPr>
          <w:cnfStyle w:val="000000100000" w:firstRow="0" w:lastRow="0" w:firstColumn="0" w:lastColumn="0" w:oddVBand="0" w:evenVBand="0" w:oddHBand="1" w:evenHBand="0" w:firstRowFirstColumn="0" w:firstRowLastColumn="0" w:lastRowFirstColumn="0" w:lastRowLastColumn="0"/>
          <w:trHeight w:hRule="exact" w:val="525"/>
        </w:trPr>
        <w:tc>
          <w:tcPr>
            <w:cnfStyle w:val="000010000000" w:firstRow="0" w:lastRow="0" w:firstColumn="0" w:lastColumn="0" w:oddVBand="1" w:evenVBand="0" w:oddHBand="0" w:evenHBand="0" w:firstRowFirstColumn="0" w:firstRowLastColumn="0" w:lastRowFirstColumn="0" w:lastRowLastColumn="0"/>
            <w:tcW w:w="2430" w:type="pct"/>
          </w:tcPr>
          <w:p w:rsidR="003F5B36" w:rsidRPr="000E0956" w:rsidRDefault="003F5B36" w:rsidP="003F5B36">
            <w:r>
              <w:rPr>
                <w:i/>
              </w:rPr>
              <w:t>Department of Foreign Affairs and Trade</w:t>
            </w:r>
          </w:p>
        </w:tc>
        <w:tc>
          <w:tcPr>
            <w:tcW w:w="857" w:type="pct"/>
          </w:tcPr>
          <w:p w:rsidR="003F5B36" w:rsidRPr="000E0956" w:rsidRDefault="003F5B36" w:rsidP="003F5B36">
            <w:pPr>
              <w:cnfStyle w:val="000000100000" w:firstRow="0" w:lastRow="0" w:firstColumn="0" w:lastColumn="0" w:oddVBand="0" w:evenVBand="0" w:oddHBand="1" w:evenHBand="0" w:firstRowFirstColumn="0" w:firstRowLastColumn="0" w:lastRowFirstColumn="0" w:lastRowLastColumn="0"/>
            </w:pPr>
            <w:r>
              <w:t>2</w:t>
            </w:r>
          </w:p>
        </w:tc>
        <w:tc>
          <w:tcPr>
            <w:cnfStyle w:val="000010000000" w:firstRow="0" w:lastRow="0" w:firstColumn="0" w:lastColumn="0" w:oddVBand="1" w:evenVBand="0" w:oddHBand="0" w:evenHBand="0" w:firstRowFirstColumn="0" w:firstRowLastColumn="0" w:lastRowFirstColumn="0" w:lastRowLastColumn="0"/>
            <w:tcW w:w="857" w:type="pct"/>
          </w:tcPr>
          <w:p w:rsidR="003F5B36" w:rsidRPr="000E0956" w:rsidRDefault="003F5B36" w:rsidP="003F5B36">
            <w:r>
              <w:t>0</w:t>
            </w:r>
          </w:p>
        </w:tc>
        <w:tc>
          <w:tcPr>
            <w:tcW w:w="856" w:type="pct"/>
          </w:tcPr>
          <w:p w:rsidR="003F5B36" w:rsidRPr="000E0956" w:rsidRDefault="003F5B36" w:rsidP="003F5B36">
            <w:pPr>
              <w:cnfStyle w:val="000000100000" w:firstRow="0" w:lastRow="0" w:firstColumn="0" w:lastColumn="0" w:oddVBand="0" w:evenVBand="0" w:oddHBand="1" w:evenHBand="0" w:firstRowFirstColumn="0" w:firstRowLastColumn="0" w:lastRowFirstColumn="0" w:lastRowLastColumn="0"/>
            </w:pPr>
            <w:r>
              <w:t>1</w:t>
            </w:r>
          </w:p>
        </w:tc>
      </w:tr>
    </w:tbl>
    <w:p w:rsidR="00861246" w:rsidRPr="00B35E3D" w:rsidRDefault="003F5B36" w:rsidP="00B35E3D">
      <w:pPr>
        <w:pStyle w:val="Tableheading"/>
      </w:pPr>
      <w:r w:rsidRPr="00B35E3D">
        <w:t xml:space="preserve"> </w:t>
      </w:r>
      <w:r w:rsidR="00861246" w:rsidRPr="00B35E3D">
        <w:t xml:space="preserve">Table </w:t>
      </w:r>
      <w:r w:rsidR="003F7DD8">
        <w:t>2</w:t>
      </w:r>
      <w:r w:rsidR="00861246" w:rsidRPr="00B35E3D">
        <w:t xml:space="preserve">: Regulation Impact Statement compliance 2014 </w:t>
      </w:r>
    </w:p>
    <w:bookmarkEnd w:id="5"/>
    <w:p w:rsidR="00F00661" w:rsidRPr="008B0784" w:rsidRDefault="00F00661" w:rsidP="00D4048A">
      <w:pPr>
        <w:pStyle w:val="Documenttitle02"/>
      </w:pPr>
    </w:p>
    <w:p w:rsidR="008009B5" w:rsidRDefault="008009B5" w:rsidP="00E15F2F">
      <w:pPr>
        <w:framePr w:w="8553" w:wrap="auto" w:hAnchor="text" w:x="1418"/>
        <w:rPr>
          <w:color w:val="FF0000"/>
          <w:lang w:val="en-US"/>
        </w:rPr>
        <w:sectPr w:rsidR="008009B5" w:rsidSect="00D22E68">
          <w:headerReference w:type="default" r:id="rId23"/>
          <w:pgSz w:w="11906" w:h="16838"/>
          <w:pgMar w:top="1440" w:right="1440" w:bottom="851" w:left="1440" w:header="709" w:footer="291" w:gutter="0"/>
          <w:cols w:space="708"/>
          <w:docGrid w:linePitch="360"/>
        </w:sectPr>
      </w:pPr>
    </w:p>
    <w:p w:rsidR="00861246" w:rsidRDefault="00530D44" w:rsidP="00D4048A">
      <w:pPr>
        <w:pStyle w:val="Documenttitle02"/>
      </w:pPr>
      <w:bookmarkStart w:id="6" w:name="_Toc402873293"/>
      <w:r>
        <w:t xml:space="preserve">Portfolio </w:t>
      </w:r>
      <w:r w:rsidR="00075524">
        <w:t>a</w:t>
      </w:r>
      <w:r w:rsidR="009600C6">
        <w:t xml:space="preserve">ctivity </w:t>
      </w:r>
      <w:r w:rsidR="00075524">
        <w:t>s</w:t>
      </w:r>
      <w:r w:rsidR="009600C6">
        <w:t xml:space="preserve">upporting </w:t>
      </w:r>
      <w:r w:rsidR="00075524">
        <w:t>the Government’s red tape objective</w:t>
      </w:r>
      <w:bookmarkEnd w:id="6"/>
    </w:p>
    <w:p w:rsidR="00530D44" w:rsidRDefault="00DC4923" w:rsidP="002939AC">
      <w:pPr>
        <w:pStyle w:val="Documenttitle3"/>
      </w:pPr>
      <w:r w:rsidRPr="008B0784">
        <w:t>Deregulation Unit</w:t>
      </w:r>
    </w:p>
    <w:p w:rsidR="00795EE2" w:rsidRDefault="00B137B3" w:rsidP="00795EE2">
      <w:r>
        <w:t xml:space="preserve">The </w:t>
      </w:r>
      <w:r w:rsidR="00795EE2">
        <w:t>Foreign Affairs and Trade Deregulation Unit coordinates deregulation work across the portfolio. It is headed by a SES officer and staffed by three officers. Duties relating to deregulation have been added to the officers</w:t>
      </w:r>
      <w:r w:rsidR="0002609C">
        <w:t>’</w:t>
      </w:r>
      <w:r w:rsidR="00795EE2">
        <w:t xml:space="preserve"> existing responsibilities and no extra costs have been incurred as part of the unit’s establishment.</w:t>
      </w:r>
    </w:p>
    <w:p w:rsidR="00DC4923" w:rsidRDefault="00DC4923" w:rsidP="002939AC">
      <w:pPr>
        <w:pStyle w:val="Documenttitle3"/>
      </w:pPr>
      <w:r w:rsidRPr="008B0784">
        <w:t>Ministerial Advisory Councils</w:t>
      </w:r>
    </w:p>
    <w:p w:rsidR="00DC4923" w:rsidRDefault="00F1239A" w:rsidP="00D40895">
      <w:pPr>
        <w:rPr>
          <w:lang w:val="en"/>
        </w:rPr>
      </w:pPr>
      <w:r>
        <w:t xml:space="preserve">The Minister for Trade and Investment, Andrew Robb, established the Trade and Investment Policy Advisory Council (TIPAC) in May 2014. </w:t>
      </w:r>
      <w:r>
        <w:rPr>
          <w:rFonts w:cstheme="minorHAnsi"/>
        </w:rPr>
        <w:t xml:space="preserve">Key sectors represented include </w:t>
      </w:r>
      <w:r>
        <w:rPr>
          <w:lang w:val="en"/>
        </w:rPr>
        <w:t>resources and energy, food and agribusiness, banking and finance, international education and tourism.</w:t>
      </w:r>
    </w:p>
    <w:p w:rsidR="00D40895" w:rsidRPr="008B0784" w:rsidRDefault="00D40895" w:rsidP="00D40895"/>
    <w:tbl>
      <w:tblPr>
        <w:tblStyle w:val="LightList-Accent2"/>
        <w:tblW w:w="5000" w:type="pct"/>
        <w:tblInd w:w="108" w:type="dxa"/>
        <w:tblLook w:val="04A0" w:firstRow="1" w:lastRow="0" w:firstColumn="1" w:lastColumn="0" w:noHBand="0" w:noVBand="1"/>
      </w:tblPr>
      <w:tblGrid>
        <w:gridCol w:w="6111"/>
        <w:gridCol w:w="3131"/>
      </w:tblGrid>
      <w:tr w:rsidR="00DC4923" w:rsidTr="00272C5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06" w:type="pct"/>
            <w:tcBorders>
              <w:left w:val="single" w:sz="8" w:space="0" w:color="BB9D67" w:themeColor="accent2"/>
              <w:right w:val="single" w:sz="8" w:space="0" w:color="BB9D67" w:themeColor="accent2"/>
            </w:tcBorders>
            <w:hideMark/>
          </w:tcPr>
          <w:p w:rsidR="00DC4923" w:rsidRPr="00A80CEA" w:rsidRDefault="00DC4923" w:rsidP="007C35B1">
            <w:pPr>
              <w:rPr>
                <w:b w:val="0"/>
                <w:bCs w:val="0"/>
                <w:lang w:eastAsia="en-AU"/>
              </w:rPr>
            </w:pPr>
            <w:r w:rsidRPr="00A80CEA">
              <w:rPr>
                <w:lang w:eastAsia="en-AU"/>
              </w:rPr>
              <w:t>Name of M</w:t>
            </w:r>
            <w:r w:rsidR="004B3724">
              <w:rPr>
                <w:lang w:eastAsia="en-AU"/>
              </w:rPr>
              <w:t xml:space="preserve">inisterial Advisory </w:t>
            </w:r>
            <w:r w:rsidRPr="00A80CEA">
              <w:rPr>
                <w:lang w:eastAsia="en-AU"/>
              </w:rPr>
              <w:t>C</w:t>
            </w:r>
            <w:r w:rsidR="004B3724">
              <w:rPr>
                <w:lang w:eastAsia="en-AU"/>
              </w:rPr>
              <w:t>ouncil</w:t>
            </w:r>
          </w:p>
        </w:tc>
        <w:tc>
          <w:tcPr>
            <w:tcW w:w="1694" w:type="pct"/>
            <w:tcBorders>
              <w:top w:val="single" w:sz="8" w:space="0" w:color="BB9D67" w:themeColor="accent2"/>
              <w:left w:val="single" w:sz="8" w:space="0" w:color="BB9D67" w:themeColor="accent2"/>
              <w:bottom w:val="single" w:sz="8" w:space="0" w:color="BB9D67" w:themeColor="accent2"/>
            </w:tcBorders>
            <w:hideMark/>
          </w:tcPr>
          <w:p w:rsidR="00DC4923" w:rsidRPr="00A80CEA" w:rsidRDefault="00DC4923" w:rsidP="007C35B1">
            <w:pPr>
              <w:cnfStyle w:val="100000000000" w:firstRow="1" w:lastRow="0" w:firstColumn="0" w:lastColumn="0" w:oddVBand="0" w:evenVBand="0" w:oddHBand="0" w:evenHBand="0" w:firstRowFirstColumn="0" w:firstRowLastColumn="0" w:lastRowFirstColumn="0" w:lastRowLastColumn="0"/>
              <w:rPr>
                <w:b w:val="0"/>
                <w:bCs w:val="0"/>
                <w:lang w:eastAsia="en-AU"/>
              </w:rPr>
            </w:pPr>
            <w:r w:rsidRPr="00A80CEA">
              <w:rPr>
                <w:lang w:eastAsia="en-AU"/>
              </w:rPr>
              <w:t xml:space="preserve">Meeting </w:t>
            </w:r>
            <w:r w:rsidR="004B3724">
              <w:rPr>
                <w:lang w:eastAsia="en-AU"/>
              </w:rPr>
              <w:t>d</w:t>
            </w:r>
            <w:r w:rsidRPr="00A80CEA">
              <w:rPr>
                <w:lang w:eastAsia="en-AU"/>
              </w:rPr>
              <w:t>ate</w:t>
            </w:r>
            <w:r w:rsidR="004B3724">
              <w:rPr>
                <w:lang w:eastAsia="en-AU"/>
              </w:rPr>
              <w:t>(</w:t>
            </w:r>
            <w:r w:rsidRPr="00A80CEA">
              <w:rPr>
                <w:lang w:eastAsia="en-AU"/>
              </w:rPr>
              <w:t>s</w:t>
            </w:r>
            <w:r w:rsidR="004B3724">
              <w:rPr>
                <w:lang w:eastAsia="en-AU"/>
              </w:rPr>
              <w:t>)</w:t>
            </w:r>
          </w:p>
        </w:tc>
      </w:tr>
      <w:tr w:rsidR="00DC4923" w:rsidTr="00272C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06" w:type="pct"/>
            <w:tcBorders>
              <w:right w:val="single" w:sz="8" w:space="0" w:color="BB9D67" w:themeColor="accent2"/>
            </w:tcBorders>
            <w:hideMark/>
          </w:tcPr>
          <w:p w:rsidR="00DC4923" w:rsidRPr="00A80CEA" w:rsidRDefault="00B2040B" w:rsidP="007C35B1">
            <w:pPr>
              <w:rPr>
                <w:b/>
                <w:bCs w:val="0"/>
                <w:lang w:eastAsia="en-AU"/>
              </w:rPr>
            </w:pPr>
            <w:r>
              <w:t>Trade and Investment Policy Advisory Council</w:t>
            </w:r>
            <w:r w:rsidR="00F1239A">
              <w:t xml:space="preserve"> (TIPAC)</w:t>
            </w:r>
          </w:p>
        </w:tc>
        <w:tc>
          <w:tcPr>
            <w:tcW w:w="1694" w:type="pct"/>
            <w:tcBorders>
              <w:left w:val="single" w:sz="8" w:space="0" w:color="BB9D67" w:themeColor="accent2"/>
            </w:tcBorders>
            <w:hideMark/>
          </w:tcPr>
          <w:p w:rsidR="00FC0B5F" w:rsidRDefault="005F3B31" w:rsidP="00FC0B5F">
            <w:pPr>
              <w:cnfStyle w:val="000000100000" w:firstRow="0" w:lastRow="0" w:firstColumn="0" w:lastColumn="0" w:oddVBand="0" w:evenVBand="0" w:oddHBand="1" w:evenHBand="0" w:firstRowFirstColumn="0" w:firstRowLastColumn="0" w:lastRowFirstColumn="0" w:lastRowLastColumn="0"/>
              <w:rPr>
                <w:lang w:eastAsia="en-AU"/>
              </w:rPr>
            </w:pPr>
            <w:r w:rsidRPr="005F3B31">
              <w:rPr>
                <w:lang w:eastAsia="en-AU"/>
              </w:rPr>
              <w:t>6 June 2014</w:t>
            </w:r>
          </w:p>
          <w:p w:rsidR="00DC4923" w:rsidRPr="00A80CEA" w:rsidRDefault="005F3B31" w:rsidP="00FC0B5F">
            <w:pPr>
              <w:cnfStyle w:val="000000100000" w:firstRow="0" w:lastRow="0" w:firstColumn="0" w:lastColumn="0" w:oddVBand="0" w:evenVBand="0" w:oddHBand="1" w:evenHBand="0" w:firstRowFirstColumn="0" w:firstRowLastColumn="0" w:lastRowFirstColumn="0" w:lastRowLastColumn="0"/>
              <w:rPr>
                <w:lang w:eastAsia="en-AU"/>
              </w:rPr>
            </w:pPr>
            <w:r w:rsidRPr="005F3B31">
              <w:rPr>
                <w:lang w:eastAsia="en-AU"/>
              </w:rPr>
              <w:t>5 November 2014</w:t>
            </w:r>
          </w:p>
        </w:tc>
      </w:tr>
    </w:tbl>
    <w:p w:rsidR="00DC4923" w:rsidRDefault="00DC4923" w:rsidP="004139A8"/>
    <w:p w:rsidR="00B2040B" w:rsidRPr="00B137B3" w:rsidRDefault="00B137B3" w:rsidP="00DC4923">
      <w:r>
        <w:t xml:space="preserve">TIPAC’s terms of reference includes consideration of portfolio deregulation opportunities. </w:t>
      </w:r>
      <w:r w:rsidR="00367772" w:rsidRPr="00367772">
        <w:rPr>
          <w:lang w:val="en"/>
        </w:rPr>
        <w:t xml:space="preserve"> </w:t>
      </w:r>
      <w:r w:rsidR="005F3B31" w:rsidRPr="005F3B31">
        <w:rPr>
          <w:lang w:val="en"/>
        </w:rPr>
        <w:t xml:space="preserve">The membership of TIPAC is limited to 20 members with initial membership terms of two years.  </w:t>
      </w:r>
      <w:r w:rsidR="0002609C">
        <w:rPr>
          <w:lang w:val="en"/>
        </w:rPr>
        <w:t>The inaugural members of the TIPAC were</w:t>
      </w:r>
      <w:r w:rsidR="00367772">
        <w:rPr>
          <w:lang w:val="en"/>
        </w:rPr>
        <w:t xml:space="preserve">: Mehrdad Baghai, Mauro Balzarini, Graham Burke, Robin Chambers AO, Mark Chiba, Rowen Craigie, Paul Espie, Claire Field, Colette Garnsey OAM, Professor Sandra Harding, Alex Harvey, Ashok Jacob, David Knox, Roy </w:t>
      </w:r>
      <w:r w:rsidR="00367772" w:rsidRPr="0002609C">
        <w:rPr>
          <w:lang w:val="en"/>
        </w:rPr>
        <w:t>Krzywosinski, Joy Linton, Peter</w:t>
      </w:r>
      <w:r w:rsidR="00367772">
        <w:rPr>
          <w:lang w:val="en"/>
        </w:rPr>
        <w:t xml:space="preserve"> O’Brien, Philippa Purser, Jason Yeap, Yasushi Takahashi and Alison Watkins.</w:t>
      </w:r>
    </w:p>
    <w:p w:rsidR="00367772" w:rsidRDefault="00367772" w:rsidP="00F1239A">
      <w:pPr>
        <w:rPr>
          <w:rFonts w:cstheme="minorHAnsi"/>
        </w:rPr>
      </w:pPr>
    </w:p>
    <w:p w:rsidR="00530D44" w:rsidRPr="008B0784" w:rsidRDefault="00530D44" w:rsidP="00B766C7">
      <w:pPr>
        <w:pStyle w:val="Documenttitle4"/>
      </w:pPr>
      <w:r w:rsidRPr="008B0784">
        <w:t>Letters of Expectation</w:t>
      </w:r>
    </w:p>
    <w:p w:rsidR="00D24814" w:rsidRDefault="00795EE2" w:rsidP="00D24814">
      <w:pPr>
        <w:rPr>
          <w:lang w:val="en-US"/>
        </w:rPr>
      </w:pPr>
      <w:r w:rsidRPr="00D24814">
        <w:rPr>
          <w:lang w:val="en-US"/>
        </w:rPr>
        <w:t xml:space="preserve">In April 2014, the Minister for Foreign Affairs, Julie Bishop, and the Minister for Trade and Investment, Andrew Robb, wrote to the Foreign Affairs and Trade portfolio’s regulators outlining the Government’s expectations in regards to the deregulation agenda. </w:t>
      </w:r>
    </w:p>
    <w:p w:rsidR="00D24814" w:rsidRDefault="00D24814" w:rsidP="00D24814">
      <w:pPr>
        <w:rPr>
          <w:lang w:val="en-US"/>
        </w:rPr>
      </w:pPr>
    </w:p>
    <w:p w:rsidR="00D24814" w:rsidRPr="00D24814" w:rsidRDefault="00D24814" w:rsidP="00D24814">
      <w:r w:rsidRPr="00D24814">
        <w:rPr>
          <w:lang w:val="en-US"/>
        </w:rPr>
        <w:t xml:space="preserve">These regulators included the Secretary, Department of Foreign Affairs and Trade; </w:t>
      </w:r>
      <w:r w:rsidR="002B192C">
        <w:t>the Chief Executive Officer, Austrade</w:t>
      </w:r>
      <w:r w:rsidR="002B192C">
        <w:rPr>
          <w:lang w:val="en-US"/>
        </w:rPr>
        <w:t xml:space="preserve">; </w:t>
      </w:r>
      <w:r w:rsidR="002B192C">
        <w:t>the Managing Director, Tourism Australia</w:t>
      </w:r>
      <w:r w:rsidR="002B192C">
        <w:rPr>
          <w:lang w:val="en-US"/>
        </w:rPr>
        <w:t xml:space="preserve">; </w:t>
      </w:r>
      <w:r w:rsidR="002B192C">
        <w:t xml:space="preserve">the Chairman, </w:t>
      </w:r>
      <w:r w:rsidR="002B192C" w:rsidRPr="00D24814">
        <w:t>Export Finance and Insurance Corporation (EFIC)</w:t>
      </w:r>
      <w:r w:rsidR="002B192C">
        <w:t xml:space="preserve">; the Chief Executive Officer, </w:t>
      </w:r>
      <w:r w:rsidR="002B192C" w:rsidRPr="00D24814">
        <w:t>Australian Council for International Agricultural Research (ACIAR)</w:t>
      </w:r>
      <w:r w:rsidR="002B192C">
        <w:t xml:space="preserve">; and </w:t>
      </w:r>
      <w:r w:rsidRPr="00D24814">
        <w:rPr>
          <w:lang w:val="en-US"/>
        </w:rPr>
        <w:t xml:space="preserve">the Director-General, </w:t>
      </w:r>
      <w:r w:rsidRPr="00D24814">
        <w:t>Australian Safeguards and Non-Proliferation Office (ASNO)</w:t>
      </w:r>
      <w:r>
        <w:t>.</w:t>
      </w:r>
    </w:p>
    <w:p w:rsidR="00861246" w:rsidRDefault="00D24814" w:rsidP="00861246">
      <w:pPr>
        <w:rPr>
          <w:lang w:val="en-US"/>
        </w:rPr>
        <w:sectPr w:rsidR="00861246" w:rsidSect="00D22E68">
          <w:headerReference w:type="default" r:id="rId24"/>
          <w:pgSz w:w="11906" w:h="16838"/>
          <w:pgMar w:top="1440" w:right="1440" w:bottom="851" w:left="1440" w:header="709" w:footer="291" w:gutter="0"/>
          <w:cols w:space="708"/>
          <w:docGrid w:linePitch="360"/>
        </w:sectPr>
      </w:pPr>
      <w:r>
        <w:t xml:space="preserve"> </w:t>
      </w:r>
    </w:p>
    <w:p w:rsidR="00BF2DB7" w:rsidRPr="00BF2DB7" w:rsidRDefault="00BF2DB7" w:rsidP="00D4048A">
      <w:pPr>
        <w:pStyle w:val="Documenttitle02"/>
      </w:pPr>
      <w:bookmarkStart w:id="7" w:name="_Toc402873294"/>
      <w:r w:rsidRPr="00BF2DB7">
        <w:t>The Audit</w:t>
      </w:r>
      <w:r w:rsidR="00605140">
        <w:t xml:space="preserve"> of Regulations – major findings</w:t>
      </w:r>
      <w:bookmarkEnd w:id="7"/>
    </w:p>
    <w:p w:rsidR="00B775ED" w:rsidRPr="00B766C7" w:rsidRDefault="005D6CC5" w:rsidP="00B766C7">
      <w:pPr>
        <w:pStyle w:val="Documenttitle4"/>
      </w:pPr>
      <w:r w:rsidRPr="00B766C7">
        <w:t>Stage one</w:t>
      </w:r>
    </w:p>
    <w:p w:rsidR="00370B37" w:rsidRDefault="00B10326" w:rsidP="00370B37">
      <w:pPr>
        <w:rPr>
          <w:rFonts w:cstheme="minorHAnsi"/>
          <w:lang w:val="en-GB"/>
        </w:rPr>
      </w:pPr>
      <w:r>
        <w:rPr>
          <w:rFonts w:cstheme="minorHAnsi"/>
          <w:lang w:val="en-GB"/>
        </w:rPr>
        <w:t xml:space="preserve">The Foreign Affairs and Trade portfolio conducted an audit of its existing legislation and regulation in </w:t>
      </w:r>
      <w:r w:rsidR="005612F6">
        <w:rPr>
          <w:rFonts w:cstheme="minorHAnsi"/>
          <w:lang w:val="en-GB"/>
        </w:rPr>
        <w:t xml:space="preserve">early </w:t>
      </w:r>
      <w:r>
        <w:rPr>
          <w:rFonts w:cstheme="minorHAnsi"/>
          <w:lang w:val="en-GB"/>
        </w:rPr>
        <w:t xml:space="preserve">2014. The portfolio developed a catalogue of existing regulation, ranked by burden. This process helped the portfolio identify regulations with the highest potential for reform. </w:t>
      </w:r>
    </w:p>
    <w:p w:rsidR="00B10326" w:rsidRDefault="00B10326" w:rsidP="00370B37">
      <w:pPr>
        <w:rPr>
          <w:rFonts w:cstheme="minorHAnsi"/>
          <w:lang w:val="en-GB"/>
        </w:rPr>
      </w:pPr>
    </w:p>
    <w:tbl>
      <w:tblPr>
        <w:tblStyle w:val="TableGrid"/>
        <w:tblW w:w="5000" w:type="pct"/>
        <w:tblInd w:w="-34" w:type="dxa"/>
        <w:tblLook w:val="04A0" w:firstRow="1" w:lastRow="0" w:firstColumn="1" w:lastColumn="0" w:noHBand="0" w:noVBand="1"/>
      </w:tblPr>
      <w:tblGrid>
        <w:gridCol w:w="1630"/>
        <w:gridCol w:w="1599"/>
        <w:gridCol w:w="1490"/>
        <w:gridCol w:w="1834"/>
        <w:gridCol w:w="1445"/>
        <w:gridCol w:w="1244"/>
      </w:tblGrid>
      <w:tr w:rsidR="00B10326" w:rsidTr="00704753">
        <w:tc>
          <w:tcPr>
            <w:tcW w:w="1747" w:type="pct"/>
            <w:gridSpan w:val="2"/>
            <w:vMerge w:val="restart"/>
            <w:tcBorders>
              <w:top w:val="single" w:sz="12" w:space="0" w:color="auto"/>
              <w:left w:val="single" w:sz="12" w:space="0" w:color="auto"/>
              <w:bottom w:val="single" w:sz="12" w:space="0" w:color="auto"/>
              <w:right w:val="single" w:sz="12" w:space="0" w:color="auto"/>
            </w:tcBorders>
            <w:shd w:val="clear" w:color="auto" w:fill="E3D7C2" w:themeFill="accent2" w:themeFillTint="66"/>
            <w:vAlign w:val="center"/>
          </w:tcPr>
          <w:p w:rsidR="00B10326" w:rsidRPr="00A063DE" w:rsidRDefault="00B10326" w:rsidP="00704753">
            <w:pPr>
              <w:jc w:val="center"/>
              <w:rPr>
                <w:sz w:val="20"/>
                <w:szCs w:val="20"/>
              </w:rPr>
            </w:pPr>
            <w:r w:rsidRPr="00A063DE">
              <w:rPr>
                <w:sz w:val="20"/>
                <w:szCs w:val="20"/>
              </w:rPr>
              <w:t>Regulation Type</w:t>
            </w:r>
          </w:p>
        </w:tc>
        <w:tc>
          <w:tcPr>
            <w:tcW w:w="2580" w:type="pct"/>
            <w:gridSpan w:val="3"/>
            <w:tcBorders>
              <w:top w:val="single" w:sz="12" w:space="0" w:color="auto"/>
              <w:left w:val="single" w:sz="12" w:space="0" w:color="auto"/>
              <w:bottom w:val="single" w:sz="4" w:space="0" w:color="auto"/>
            </w:tcBorders>
            <w:shd w:val="clear" w:color="auto" w:fill="E3D7C2" w:themeFill="accent2" w:themeFillTint="66"/>
            <w:vAlign w:val="center"/>
          </w:tcPr>
          <w:p w:rsidR="00B10326" w:rsidRPr="009E3E9C" w:rsidRDefault="00B10326" w:rsidP="00704753">
            <w:pPr>
              <w:jc w:val="center"/>
              <w:rPr>
                <w:b/>
                <w:sz w:val="20"/>
                <w:szCs w:val="20"/>
              </w:rPr>
            </w:pPr>
            <w:r w:rsidRPr="009E3E9C">
              <w:rPr>
                <w:b/>
                <w:sz w:val="20"/>
                <w:szCs w:val="20"/>
              </w:rPr>
              <w:t>Counts of Regulations</w:t>
            </w:r>
          </w:p>
        </w:tc>
        <w:tc>
          <w:tcPr>
            <w:tcW w:w="673" w:type="pct"/>
            <w:vMerge w:val="restart"/>
            <w:tcBorders>
              <w:top w:val="single" w:sz="12" w:space="0" w:color="auto"/>
              <w:bottom w:val="single" w:sz="12" w:space="0" w:color="auto"/>
              <w:right w:val="single" w:sz="12" w:space="0" w:color="auto"/>
            </w:tcBorders>
            <w:shd w:val="clear" w:color="auto" w:fill="957843" w:themeFill="accent2" w:themeFillShade="BF"/>
            <w:vAlign w:val="center"/>
          </w:tcPr>
          <w:p w:rsidR="00B10326" w:rsidRPr="009E3E9C" w:rsidRDefault="00B10326" w:rsidP="00704753">
            <w:pPr>
              <w:jc w:val="center"/>
              <w:rPr>
                <w:b/>
                <w:sz w:val="20"/>
                <w:szCs w:val="20"/>
              </w:rPr>
            </w:pPr>
            <w:r w:rsidRPr="009E3E9C">
              <w:rPr>
                <w:b/>
                <w:sz w:val="20"/>
                <w:szCs w:val="20"/>
              </w:rPr>
              <w:t>Grand Total</w:t>
            </w:r>
          </w:p>
        </w:tc>
      </w:tr>
      <w:tr w:rsidR="00B10326" w:rsidTr="00704753">
        <w:tc>
          <w:tcPr>
            <w:tcW w:w="1747" w:type="pct"/>
            <w:gridSpan w:val="2"/>
            <w:vMerge/>
            <w:tcBorders>
              <w:top w:val="single" w:sz="12" w:space="0" w:color="auto"/>
              <w:left w:val="single" w:sz="12" w:space="0" w:color="auto"/>
              <w:bottom w:val="single" w:sz="12" w:space="0" w:color="auto"/>
              <w:right w:val="single" w:sz="12" w:space="0" w:color="auto"/>
            </w:tcBorders>
            <w:shd w:val="clear" w:color="auto" w:fill="E3D7C2" w:themeFill="accent2" w:themeFillTint="66"/>
          </w:tcPr>
          <w:p w:rsidR="00B10326" w:rsidRPr="00A063DE" w:rsidRDefault="00B10326" w:rsidP="00704753">
            <w:pPr>
              <w:rPr>
                <w:sz w:val="20"/>
                <w:szCs w:val="20"/>
              </w:rPr>
            </w:pPr>
          </w:p>
        </w:tc>
        <w:tc>
          <w:tcPr>
            <w:tcW w:w="806" w:type="pct"/>
            <w:tcBorders>
              <w:top w:val="single" w:sz="4" w:space="0" w:color="auto"/>
              <w:left w:val="single" w:sz="12" w:space="0" w:color="auto"/>
              <w:bottom w:val="single" w:sz="12" w:space="0" w:color="auto"/>
            </w:tcBorders>
            <w:shd w:val="clear" w:color="auto" w:fill="F1EBE0" w:themeFill="accent2" w:themeFillTint="33"/>
            <w:vAlign w:val="center"/>
          </w:tcPr>
          <w:p w:rsidR="00B10326" w:rsidRPr="00A063DE" w:rsidRDefault="00B10326" w:rsidP="00704753">
            <w:pPr>
              <w:jc w:val="center"/>
              <w:rPr>
                <w:sz w:val="20"/>
                <w:szCs w:val="20"/>
              </w:rPr>
            </w:pPr>
            <w:r w:rsidRPr="00A063DE">
              <w:rPr>
                <w:sz w:val="20"/>
                <w:szCs w:val="20"/>
              </w:rPr>
              <w:t>High Burden</w:t>
            </w:r>
          </w:p>
        </w:tc>
        <w:tc>
          <w:tcPr>
            <w:tcW w:w="992" w:type="pct"/>
            <w:tcBorders>
              <w:top w:val="single" w:sz="4" w:space="0" w:color="auto"/>
              <w:bottom w:val="single" w:sz="12" w:space="0" w:color="auto"/>
            </w:tcBorders>
            <w:shd w:val="clear" w:color="auto" w:fill="F1EBE0" w:themeFill="accent2" w:themeFillTint="33"/>
            <w:vAlign w:val="center"/>
          </w:tcPr>
          <w:p w:rsidR="00B10326" w:rsidRPr="00A063DE" w:rsidRDefault="00B10326" w:rsidP="00704753">
            <w:pPr>
              <w:jc w:val="center"/>
              <w:rPr>
                <w:sz w:val="20"/>
                <w:szCs w:val="20"/>
              </w:rPr>
            </w:pPr>
            <w:r w:rsidRPr="00A063DE">
              <w:rPr>
                <w:sz w:val="20"/>
                <w:szCs w:val="20"/>
              </w:rPr>
              <w:t>Medium Burden</w:t>
            </w:r>
          </w:p>
        </w:tc>
        <w:tc>
          <w:tcPr>
            <w:tcW w:w="782" w:type="pct"/>
            <w:tcBorders>
              <w:top w:val="single" w:sz="4" w:space="0" w:color="auto"/>
              <w:bottom w:val="single" w:sz="12" w:space="0" w:color="auto"/>
            </w:tcBorders>
            <w:shd w:val="clear" w:color="auto" w:fill="F1EBE0" w:themeFill="accent2" w:themeFillTint="33"/>
            <w:vAlign w:val="center"/>
          </w:tcPr>
          <w:p w:rsidR="00B10326" w:rsidRPr="00A063DE" w:rsidRDefault="00B10326" w:rsidP="00704753">
            <w:pPr>
              <w:jc w:val="center"/>
              <w:rPr>
                <w:sz w:val="20"/>
                <w:szCs w:val="20"/>
              </w:rPr>
            </w:pPr>
            <w:r w:rsidRPr="00A063DE">
              <w:rPr>
                <w:sz w:val="20"/>
                <w:szCs w:val="20"/>
              </w:rPr>
              <w:t>Low Burden</w:t>
            </w:r>
          </w:p>
        </w:tc>
        <w:tc>
          <w:tcPr>
            <w:tcW w:w="673" w:type="pct"/>
            <w:vMerge/>
            <w:tcBorders>
              <w:top w:val="single" w:sz="12" w:space="0" w:color="auto"/>
              <w:bottom w:val="single" w:sz="12" w:space="0" w:color="auto"/>
              <w:right w:val="single" w:sz="12" w:space="0" w:color="auto"/>
            </w:tcBorders>
            <w:shd w:val="clear" w:color="auto" w:fill="957843" w:themeFill="accent2" w:themeFillShade="BF"/>
          </w:tcPr>
          <w:p w:rsidR="00B10326" w:rsidRPr="00A063DE" w:rsidRDefault="00B10326" w:rsidP="00704753">
            <w:pPr>
              <w:rPr>
                <w:sz w:val="20"/>
                <w:szCs w:val="20"/>
              </w:rPr>
            </w:pPr>
          </w:p>
        </w:tc>
      </w:tr>
      <w:tr w:rsidR="00B10326" w:rsidTr="00704753">
        <w:tc>
          <w:tcPr>
            <w:tcW w:w="882" w:type="pct"/>
            <w:vMerge w:val="restart"/>
            <w:tcBorders>
              <w:top w:val="single" w:sz="12" w:space="0" w:color="auto"/>
              <w:left w:val="single" w:sz="12" w:space="0" w:color="auto"/>
            </w:tcBorders>
            <w:shd w:val="clear" w:color="auto" w:fill="E3D7C2" w:themeFill="accent2" w:themeFillTint="66"/>
            <w:vAlign w:val="center"/>
          </w:tcPr>
          <w:p w:rsidR="00B10326" w:rsidRPr="00A063DE" w:rsidRDefault="00B10326" w:rsidP="00704753">
            <w:pPr>
              <w:jc w:val="center"/>
              <w:rPr>
                <w:sz w:val="20"/>
                <w:szCs w:val="20"/>
              </w:rPr>
            </w:pPr>
            <w:r w:rsidRPr="00A063DE">
              <w:rPr>
                <w:sz w:val="20"/>
                <w:szCs w:val="20"/>
              </w:rPr>
              <w:t>Frameworks</w:t>
            </w:r>
          </w:p>
        </w:tc>
        <w:tc>
          <w:tcPr>
            <w:tcW w:w="865" w:type="pct"/>
            <w:tcBorders>
              <w:top w:val="single" w:sz="12" w:space="0" w:color="auto"/>
              <w:right w:val="single" w:sz="12" w:space="0" w:color="auto"/>
            </w:tcBorders>
            <w:shd w:val="clear" w:color="auto" w:fill="F1EBE0" w:themeFill="accent2" w:themeFillTint="33"/>
          </w:tcPr>
          <w:p w:rsidR="00B10326" w:rsidRPr="00A063DE" w:rsidRDefault="00B10326" w:rsidP="00704753">
            <w:pPr>
              <w:rPr>
                <w:sz w:val="20"/>
                <w:szCs w:val="20"/>
              </w:rPr>
            </w:pPr>
            <w:r w:rsidRPr="00A063DE">
              <w:rPr>
                <w:sz w:val="20"/>
                <w:szCs w:val="20"/>
              </w:rPr>
              <w:t>Frameworks</w:t>
            </w:r>
          </w:p>
        </w:tc>
        <w:tc>
          <w:tcPr>
            <w:tcW w:w="806" w:type="pct"/>
            <w:tcBorders>
              <w:top w:val="single" w:sz="12" w:space="0" w:color="auto"/>
              <w:left w:val="single" w:sz="12" w:space="0" w:color="auto"/>
            </w:tcBorders>
          </w:tcPr>
          <w:p w:rsidR="00B10326" w:rsidRPr="00A063DE" w:rsidRDefault="00B10326" w:rsidP="00704753">
            <w:pPr>
              <w:rPr>
                <w:sz w:val="20"/>
                <w:szCs w:val="20"/>
              </w:rPr>
            </w:pPr>
            <w:r>
              <w:rPr>
                <w:sz w:val="20"/>
                <w:szCs w:val="20"/>
              </w:rPr>
              <w:t>1</w:t>
            </w:r>
          </w:p>
        </w:tc>
        <w:tc>
          <w:tcPr>
            <w:tcW w:w="992" w:type="pct"/>
            <w:tcBorders>
              <w:top w:val="single" w:sz="12" w:space="0" w:color="auto"/>
            </w:tcBorders>
          </w:tcPr>
          <w:p w:rsidR="00B10326" w:rsidRPr="00A063DE" w:rsidRDefault="00B10326" w:rsidP="00704753">
            <w:pPr>
              <w:rPr>
                <w:sz w:val="20"/>
                <w:szCs w:val="20"/>
              </w:rPr>
            </w:pPr>
            <w:r>
              <w:rPr>
                <w:sz w:val="20"/>
                <w:szCs w:val="20"/>
              </w:rPr>
              <w:t>2</w:t>
            </w:r>
          </w:p>
        </w:tc>
        <w:tc>
          <w:tcPr>
            <w:tcW w:w="782" w:type="pct"/>
            <w:tcBorders>
              <w:top w:val="single" w:sz="12" w:space="0" w:color="auto"/>
            </w:tcBorders>
          </w:tcPr>
          <w:p w:rsidR="00B10326" w:rsidRPr="00A063DE" w:rsidRDefault="00B10326" w:rsidP="00704753">
            <w:pPr>
              <w:rPr>
                <w:sz w:val="20"/>
                <w:szCs w:val="20"/>
              </w:rPr>
            </w:pPr>
            <w:r>
              <w:rPr>
                <w:sz w:val="20"/>
                <w:szCs w:val="20"/>
              </w:rPr>
              <w:t>5</w:t>
            </w:r>
          </w:p>
        </w:tc>
        <w:tc>
          <w:tcPr>
            <w:tcW w:w="673" w:type="pct"/>
            <w:tcBorders>
              <w:top w:val="single" w:sz="12" w:space="0" w:color="auto"/>
              <w:right w:val="single" w:sz="12" w:space="0" w:color="auto"/>
            </w:tcBorders>
          </w:tcPr>
          <w:p w:rsidR="00B10326" w:rsidRPr="00A063DE" w:rsidRDefault="00B10326" w:rsidP="00704753">
            <w:pPr>
              <w:rPr>
                <w:sz w:val="20"/>
                <w:szCs w:val="20"/>
              </w:rPr>
            </w:pPr>
            <w:r>
              <w:rPr>
                <w:sz w:val="20"/>
                <w:szCs w:val="20"/>
              </w:rPr>
              <w:t>8</w:t>
            </w:r>
          </w:p>
        </w:tc>
      </w:tr>
      <w:tr w:rsidR="00B10326" w:rsidTr="00704753">
        <w:tc>
          <w:tcPr>
            <w:tcW w:w="882" w:type="pct"/>
            <w:vMerge/>
            <w:tcBorders>
              <w:left w:val="single" w:sz="12" w:space="0" w:color="auto"/>
            </w:tcBorders>
            <w:shd w:val="clear" w:color="auto" w:fill="E3D7C2" w:themeFill="accent2" w:themeFillTint="66"/>
          </w:tcPr>
          <w:p w:rsidR="00B10326" w:rsidRPr="00A063DE" w:rsidRDefault="00B10326" w:rsidP="00704753">
            <w:pPr>
              <w:rPr>
                <w:sz w:val="20"/>
                <w:szCs w:val="20"/>
              </w:rPr>
            </w:pPr>
          </w:p>
        </w:tc>
        <w:tc>
          <w:tcPr>
            <w:tcW w:w="865" w:type="pct"/>
            <w:tcBorders>
              <w:right w:val="single" w:sz="12" w:space="0" w:color="auto"/>
            </w:tcBorders>
            <w:shd w:val="clear" w:color="auto" w:fill="F1EBE0" w:themeFill="accent2" w:themeFillTint="33"/>
          </w:tcPr>
          <w:p w:rsidR="00B10326" w:rsidRPr="00A063DE" w:rsidRDefault="00B10326" w:rsidP="00704753">
            <w:pPr>
              <w:rPr>
                <w:sz w:val="20"/>
                <w:szCs w:val="20"/>
              </w:rPr>
            </w:pPr>
            <w:r w:rsidRPr="00A063DE">
              <w:rPr>
                <w:sz w:val="20"/>
                <w:szCs w:val="20"/>
              </w:rPr>
              <w:t>Primary Legislation</w:t>
            </w:r>
          </w:p>
        </w:tc>
        <w:tc>
          <w:tcPr>
            <w:tcW w:w="806" w:type="pct"/>
            <w:tcBorders>
              <w:left w:val="single" w:sz="12" w:space="0" w:color="auto"/>
            </w:tcBorders>
          </w:tcPr>
          <w:p w:rsidR="00B10326" w:rsidRPr="001B0DA3" w:rsidRDefault="00B10326" w:rsidP="00704753">
            <w:pPr>
              <w:rPr>
                <w:i/>
                <w:sz w:val="20"/>
                <w:szCs w:val="20"/>
              </w:rPr>
            </w:pPr>
            <w:r>
              <w:rPr>
                <w:i/>
                <w:sz w:val="20"/>
                <w:szCs w:val="20"/>
              </w:rPr>
              <w:t>(2)</w:t>
            </w:r>
          </w:p>
        </w:tc>
        <w:tc>
          <w:tcPr>
            <w:tcW w:w="992" w:type="pct"/>
          </w:tcPr>
          <w:p w:rsidR="00B10326" w:rsidRPr="001B0DA3" w:rsidRDefault="00B10326" w:rsidP="00704753">
            <w:pPr>
              <w:rPr>
                <w:i/>
                <w:sz w:val="20"/>
                <w:szCs w:val="20"/>
              </w:rPr>
            </w:pPr>
            <w:r>
              <w:rPr>
                <w:i/>
                <w:sz w:val="20"/>
                <w:szCs w:val="20"/>
              </w:rPr>
              <w:t>(2)</w:t>
            </w:r>
          </w:p>
        </w:tc>
        <w:tc>
          <w:tcPr>
            <w:tcW w:w="782" w:type="pct"/>
          </w:tcPr>
          <w:p w:rsidR="00B10326" w:rsidRPr="001B0DA3" w:rsidRDefault="00B10326" w:rsidP="00704753">
            <w:pPr>
              <w:rPr>
                <w:i/>
                <w:sz w:val="20"/>
                <w:szCs w:val="20"/>
              </w:rPr>
            </w:pPr>
            <w:r>
              <w:rPr>
                <w:i/>
                <w:sz w:val="20"/>
                <w:szCs w:val="20"/>
              </w:rPr>
              <w:t>(9)</w:t>
            </w:r>
          </w:p>
        </w:tc>
        <w:tc>
          <w:tcPr>
            <w:tcW w:w="673" w:type="pct"/>
            <w:tcBorders>
              <w:right w:val="single" w:sz="12" w:space="0" w:color="auto"/>
            </w:tcBorders>
          </w:tcPr>
          <w:p w:rsidR="00B10326" w:rsidRPr="001B0DA3" w:rsidRDefault="00B10326" w:rsidP="00704753">
            <w:pPr>
              <w:rPr>
                <w:i/>
                <w:sz w:val="20"/>
                <w:szCs w:val="20"/>
              </w:rPr>
            </w:pPr>
            <w:r>
              <w:rPr>
                <w:i/>
                <w:sz w:val="20"/>
                <w:szCs w:val="20"/>
              </w:rPr>
              <w:t>(13)</w:t>
            </w:r>
          </w:p>
        </w:tc>
      </w:tr>
      <w:tr w:rsidR="00B10326" w:rsidTr="00704753">
        <w:tc>
          <w:tcPr>
            <w:tcW w:w="882" w:type="pct"/>
            <w:vMerge/>
            <w:tcBorders>
              <w:left w:val="single" w:sz="12" w:space="0" w:color="auto"/>
            </w:tcBorders>
            <w:shd w:val="clear" w:color="auto" w:fill="E3D7C2" w:themeFill="accent2" w:themeFillTint="66"/>
          </w:tcPr>
          <w:p w:rsidR="00B10326" w:rsidRPr="00A063DE" w:rsidRDefault="00B10326" w:rsidP="00704753">
            <w:pPr>
              <w:rPr>
                <w:sz w:val="20"/>
                <w:szCs w:val="20"/>
              </w:rPr>
            </w:pPr>
          </w:p>
        </w:tc>
        <w:tc>
          <w:tcPr>
            <w:tcW w:w="865" w:type="pct"/>
            <w:tcBorders>
              <w:right w:val="single" w:sz="12" w:space="0" w:color="auto"/>
            </w:tcBorders>
            <w:shd w:val="clear" w:color="auto" w:fill="F1EBE0" w:themeFill="accent2" w:themeFillTint="33"/>
          </w:tcPr>
          <w:p w:rsidR="00B10326" w:rsidRPr="00A063DE" w:rsidRDefault="00B10326" w:rsidP="00704753">
            <w:pPr>
              <w:rPr>
                <w:sz w:val="20"/>
                <w:szCs w:val="20"/>
              </w:rPr>
            </w:pPr>
            <w:r w:rsidRPr="00A063DE">
              <w:rPr>
                <w:sz w:val="20"/>
                <w:szCs w:val="20"/>
              </w:rPr>
              <w:t>Subordinate Instruments</w:t>
            </w:r>
          </w:p>
        </w:tc>
        <w:tc>
          <w:tcPr>
            <w:tcW w:w="806" w:type="pct"/>
            <w:tcBorders>
              <w:left w:val="single" w:sz="12" w:space="0" w:color="auto"/>
            </w:tcBorders>
          </w:tcPr>
          <w:p w:rsidR="00B10326" w:rsidRPr="001B0DA3" w:rsidRDefault="00B10326" w:rsidP="00704753">
            <w:pPr>
              <w:rPr>
                <w:i/>
                <w:sz w:val="20"/>
                <w:szCs w:val="20"/>
              </w:rPr>
            </w:pPr>
            <w:r>
              <w:rPr>
                <w:i/>
                <w:sz w:val="20"/>
                <w:szCs w:val="20"/>
              </w:rPr>
              <w:t>(0)</w:t>
            </w:r>
          </w:p>
        </w:tc>
        <w:tc>
          <w:tcPr>
            <w:tcW w:w="992" w:type="pct"/>
          </w:tcPr>
          <w:p w:rsidR="00B10326" w:rsidRPr="001B0DA3" w:rsidRDefault="00B10326" w:rsidP="00704753">
            <w:pPr>
              <w:rPr>
                <w:i/>
                <w:sz w:val="20"/>
                <w:szCs w:val="20"/>
              </w:rPr>
            </w:pPr>
            <w:r>
              <w:rPr>
                <w:i/>
                <w:sz w:val="20"/>
                <w:szCs w:val="20"/>
              </w:rPr>
              <w:t>(</w:t>
            </w:r>
            <w:r w:rsidRPr="001B0DA3">
              <w:rPr>
                <w:i/>
                <w:sz w:val="20"/>
                <w:szCs w:val="20"/>
              </w:rPr>
              <w:t>1</w:t>
            </w:r>
            <w:r>
              <w:rPr>
                <w:i/>
                <w:sz w:val="20"/>
                <w:szCs w:val="20"/>
              </w:rPr>
              <w:t>)</w:t>
            </w:r>
          </w:p>
        </w:tc>
        <w:tc>
          <w:tcPr>
            <w:tcW w:w="782" w:type="pct"/>
          </w:tcPr>
          <w:p w:rsidR="00B10326" w:rsidRPr="001B0DA3" w:rsidRDefault="00B10326" w:rsidP="00704753">
            <w:pPr>
              <w:rPr>
                <w:i/>
                <w:sz w:val="20"/>
                <w:szCs w:val="20"/>
              </w:rPr>
            </w:pPr>
            <w:r>
              <w:rPr>
                <w:i/>
                <w:sz w:val="20"/>
                <w:szCs w:val="20"/>
              </w:rPr>
              <w:t>(22)</w:t>
            </w:r>
          </w:p>
        </w:tc>
        <w:tc>
          <w:tcPr>
            <w:tcW w:w="673" w:type="pct"/>
            <w:tcBorders>
              <w:right w:val="single" w:sz="12" w:space="0" w:color="auto"/>
            </w:tcBorders>
          </w:tcPr>
          <w:p w:rsidR="00B10326" w:rsidRPr="001B0DA3" w:rsidRDefault="00B10326" w:rsidP="00704753">
            <w:pPr>
              <w:rPr>
                <w:i/>
                <w:sz w:val="20"/>
                <w:szCs w:val="20"/>
              </w:rPr>
            </w:pPr>
            <w:r>
              <w:rPr>
                <w:i/>
                <w:sz w:val="20"/>
                <w:szCs w:val="20"/>
              </w:rPr>
              <w:t>(23)</w:t>
            </w:r>
          </w:p>
        </w:tc>
      </w:tr>
      <w:tr w:rsidR="00B10326" w:rsidTr="00704753">
        <w:tc>
          <w:tcPr>
            <w:tcW w:w="882" w:type="pct"/>
            <w:vMerge/>
            <w:tcBorders>
              <w:left w:val="single" w:sz="12" w:space="0" w:color="auto"/>
            </w:tcBorders>
            <w:shd w:val="clear" w:color="auto" w:fill="E3D7C2" w:themeFill="accent2" w:themeFillTint="66"/>
          </w:tcPr>
          <w:p w:rsidR="00B10326" w:rsidRPr="00A063DE" w:rsidRDefault="00B10326" w:rsidP="00704753">
            <w:pPr>
              <w:rPr>
                <w:sz w:val="20"/>
                <w:szCs w:val="20"/>
              </w:rPr>
            </w:pPr>
          </w:p>
        </w:tc>
        <w:tc>
          <w:tcPr>
            <w:tcW w:w="865" w:type="pct"/>
            <w:tcBorders>
              <w:bottom w:val="single" w:sz="6" w:space="0" w:color="auto"/>
              <w:right w:val="single" w:sz="12" w:space="0" w:color="auto"/>
            </w:tcBorders>
            <w:shd w:val="clear" w:color="auto" w:fill="F1EBE0" w:themeFill="accent2" w:themeFillTint="33"/>
          </w:tcPr>
          <w:p w:rsidR="00B10326" w:rsidRPr="00A063DE" w:rsidRDefault="00B10326" w:rsidP="00704753">
            <w:pPr>
              <w:rPr>
                <w:sz w:val="20"/>
                <w:szCs w:val="20"/>
              </w:rPr>
            </w:pPr>
            <w:r w:rsidRPr="00A063DE">
              <w:rPr>
                <w:sz w:val="20"/>
                <w:szCs w:val="20"/>
              </w:rPr>
              <w:t>Quasi-regulations</w:t>
            </w:r>
            <w:r>
              <w:rPr>
                <w:sz w:val="20"/>
                <w:szCs w:val="20"/>
              </w:rPr>
              <w:t xml:space="preserve"> (administrative processes)</w:t>
            </w:r>
          </w:p>
        </w:tc>
        <w:tc>
          <w:tcPr>
            <w:tcW w:w="806" w:type="pct"/>
            <w:tcBorders>
              <w:left w:val="single" w:sz="12" w:space="0" w:color="auto"/>
              <w:bottom w:val="single" w:sz="6" w:space="0" w:color="auto"/>
            </w:tcBorders>
          </w:tcPr>
          <w:p w:rsidR="00B10326" w:rsidRPr="001B0DA3" w:rsidRDefault="00B10326" w:rsidP="00704753">
            <w:pPr>
              <w:rPr>
                <w:i/>
                <w:sz w:val="20"/>
                <w:szCs w:val="20"/>
              </w:rPr>
            </w:pPr>
            <w:r>
              <w:rPr>
                <w:i/>
                <w:sz w:val="20"/>
                <w:szCs w:val="20"/>
              </w:rPr>
              <w:t>(</w:t>
            </w:r>
            <w:r w:rsidRPr="001B0DA3">
              <w:rPr>
                <w:i/>
                <w:sz w:val="20"/>
                <w:szCs w:val="20"/>
              </w:rPr>
              <w:t>0</w:t>
            </w:r>
            <w:r>
              <w:rPr>
                <w:i/>
                <w:sz w:val="20"/>
                <w:szCs w:val="20"/>
              </w:rPr>
              <w:t>)</w:t>
            </w:r>
          </w:p>
        </w:tc>
        <w:tc>
          <w:tcPr>
            <w:tcW w:w="992" w:type="pct"/>
            <w:tcBorders>
              <w:bottom w:val="single" w:sz="6" w:space="0" w:color="auto"/>
            </w:tcBorders>
          </w:tcPr>
          <w:p w:rsidR="00B10326" w:rsidRPr="001B0DA3" w:rsidRDefault="00B10326" w:rsidP="00704753">
            <w:pPr>
              <w:rPr>
                <w:i/>
                <w:sz w:val="20"/>
                <w:szCs w:val="20"/>
              </w:rPr>
            </w:pPr>
            <w:r>
              <w:rPr>
                <w:i/>
                <w:sz w:val="20"/>
                <w:szCs w:val="20"/>
              </w:rPr>
              <w:t>(</w:t>
            </w:r>
            <w:r w:rsidRPr="001B0DA3">
              <w:rPr>
                <w:i/>
                <w:sz w:val="20"/>
                <w:szCs w:val="20"/>
              </w:rPr>
              <w:t>0</w:t>
            </w:r>
            <w:r>
              <w:rPr>
                <w:i/>
                <w:sz w:val="20"/>
                <w:szCs w:val="20"/>
              </w:rPr>
              <w:t>)</w:t>
            </w:r>
          </w:p>
        </w:tc>
        <w:tc>
          <w:tcPr>
            <w:tcW w:w="782" w:type="pct"/>
            <w:tcBorders>
              <w:bottom w:val="single" w:sz="6" w:space="0" w:color="auto"/>
            </w:tcBorders>
          </w:tcPr>
          <w:p w:rsidR="00B10326" w:rsidRPr="001B0DA3" w:rsidRDefault="00B10326" w:rsidP="00704753">
            <w:pPr>
              <w:rPr>
                <w:i/>
                <w:sz w:val="20"/>
                <w:szCs w:val="20"/>
              </w:rPr>
            </w:pPr>
            <w:r>
              <w:rPr>
                <w:i/>
                <w:sz w:val="20"/>
                <w:szCs w:val="20"/>
              </w:rPr>
              <w:t>(</w:t>
            </w:r>
            <w:r w:rsidRPr="001B0DA3">
              <w:rPr>
                <w:i/>
                <w:sz w:val="20"/>
                <w:szCs w:val="20"/>
              </w:rPr>
              <w:t>0</w:t>
            </w:r>
            <w:r>
              <w:rPr>
                <w:i/>
                <w:sz w:val="20"/>
                <w:szCs w:val="20"/>
              </w:rPr>
              <w:t>)</w:t>
            </w:r>
          </w:p>
        </w:tc>
        <w:tc>
          <w:tcPr>
            <w:tcW w:w="673" w:type="pct"/>
            <w:tcBorders>
              <w:bottom w:val="single" w:sz="6" w:space="0" w:color="auto"/>
              <w:right w:val="single" w:sz="12" w:space="0" w:color="auto"/>
            </w:tcBorders>
          </w:tcPr>
          <w:p w:rsidR="00B10326" w:rsidRPr="001B0DA3" w:rsidRDefault="00B10326" w:rsidP="00704753">
            <w:pPr>
              <w:rPr>
                <w:i/>
                <w:sz w:val="20"/>
                <w:szCs w:val="20"/>
              </w:rPr>
            </w:pPr>
            <w:r>
              <w:rPr>
                <w:i/>
                <w:sz w:val="20"/>
                <w:szCs w:val="20"/>
              </w:rPr>
              <w:t>(</w:t>
            </w:r>
            <w:r w:rsidRPr="001B0DA3">
              <w:rPr>
                <w:i/>
                <w:sz w:val="20"/>
                <w:szCs w:val="20"/>
              </w:rPr>
              <w:t>0</w:t>
            </w:r>
            <w:r>
              <w:rPr>
                <w:i/>
                <w:sz w:val="20"/>
                <w:szCs w:val="20"/>
              </w:rPr>
              <w:t>)</w:t>
            </w:r>
          </w:p>
        </w:tc>
      </w:tr>
      <w:tr w:rsidR="00B10326" w:rsidTr="00704753">
        <w:tc>
          <w:tcPr>
            <w:tcW w:w="882" w:type="pct"/>
            <w:vMerge/>
            <w:tcBorders>
              <w:left w:val="single" w:sz="12" w:space="0" w:color="auto"/>
              <w:bottom w:val="single" w:sz="12" w:space="0" w:color="auto"/>
            </w:tcBorders>
            <w:shd w:val="clear" w:color="auto" w:fill="E3D7C2" w:themeFill="accent2" w:themeFillTint="66"/>
          </w:tcPr>
          <w:p w:rsidR="00B10326" w:rsidRPr="00A063DE" w:rsidRDefault="00B10326" w:rsidP="00704753">
            <w:pPr>
              <w:rPr>
                <w:sz w:val="20"/>
                <w:szCs w:val="20"/>
              </w:rPr>
            </w:pPr>
          </w:p>
        </w:tc>
        <w:tc>
          <w:tcPr>
            <w:tcW w:w="865" w:type="pct"/>
            <w:tcBorders>
              <w:top w:val="single" w:sz="6" w:space="0" w:color="auto"/>
              <w:bottom w:val="single" w:sz="12" w:space="0" w:color="auto"/>
              <w:right w:val="single" w:sz="12" w:space="0" w:color="auto"/>
            </w:tcBorders>
            <w:shd w:val="clear" w:color="auto" w:fill="F1EBE0" w:themeFill="accent2" w:themeFillTint="33"/>
          </w:tcPr>
          <w:p w:rsidR="00B10326" w:rsidRPr="00A063DE" w:rsidRDefault="00B10326" w:rsidP="00704753">
            <w:pPr>
              <w:rPr>
                <w:sz w:val="20"/>
                <w:szCs w:val="20"/>
              </w:rPr>
            </w:pPr>
            <w:r>
              <w:rPr>
                <w:sz w:val="20"/>
                <w:szCs w:val="20"/>
              </w:rPr>
              <w:t>Quasi-regulations (all other)</w:t>
            </w:r>
          </w:p>
        </w:tc>
        <w:tc>
          <w:tcPr>
            <w:tcW w:w="806" w:type="pct"/>
            <w:tcBorders>
              <w:top w:val="single" w:sz="6" w:space="0" w:color="auto"/>
              <w:left w:val="single" w:sz="12" w:space="0" w:color="auto"/>
              <w:bottom w:val="single" w:sz="12" w:space="0" w:color="auto"/>
            </w:tcBorders>
          </w:tcPr>
          <w:p w:rsidR="00B10326" w:rsidRPr="001B0DA3" w:rsidRDefault="00B10326" w:rsidP="00704753">
            <w:pPr>
              <w:rPr>
                <w:i/>
                <w:sz w:val="20"/>
                <w:szCs w:val="20"/>
              </w:rPr>
            </w:pPr>
            <w:r>
              <w:rPr>
                <w:i/>
                <w:sz w:val="20"/>
                <w:szCs w:val="20"/>
              </w:rPr>
              <w:t>(</w:t>
            </w:r>
            <w:r w:rsidRPr="001B0DA3">
              <w:rPr>
                <w:i/>
                <w:sz w:val="20"/>
                <w:szCs w:val="20"/>
              </w:rPr>
              <w:t>0</w:t>
            </w:r>
            <w:r>
              <w:rPr>
                <w:i/>
                <w:sz w:val="20"/>
                <w:szCs w:val="20"/>
              </w:rPr>
              <w:t>)</w:t>
            </w:r>
          </w:p>
        </w:tc>
        <w:tc>
          <w:tcPr>
            <w:tcW w:w="992" w:type="pct"/>
            <w:tcBorders>
              <w:top w:val="single" w:sz="6" w:space="0" w:color="auto"/>
              <w:bottom w:val="single" w:sz="12" w:space="0" w:color="auto"/>
            </w:tcBorders>
          </w:tcPr>
          <w:p w:rsidR="00B10326" w:rsidRPr="001B0DA3" w:rsidRDefault="00B10326" w:rsidP="00704753">
            <w:pPr>
              <w:rPr>
                <w:i/>
                <w:sz w:val="20"/>
                <w:szCs w:val="20"/>
              </w:rPr>
            </w:pPr>
            <w:r>
              <w:rPr>
                <w:i/>
                <w:sz w:val="20"/>
                <w:szCs w:val="20"/>
              </w:rPr>
              <w:t>(2)</w:t>
            </w:r>
          </w:p>
        </w:tc>
        <w:tc>
          <w:tcPr>
            <w:tcW w:w="782" w:type="pct"/>
            <w:tcBorders>
              <w:top w:val="single" w:sz="6" w:space="0" w:color="auto"/>
              <w:bottom w:val="single" w:sz="12" w:space="0" w:color="auto"/>
            </w:tcBorders>
          </w:tcPr>
          <w:p w:rsidR="00B10326" w:rsidRPr="001B0DA3" w:rsidRDefault="00B10326" w:rsidP="00704753">
            <w:pPr>
              <w:rPr>
                <w:i/>
                <w:sz w:val="20"/>
                <w:szCs w:val="20"/>
              </w:rPr>
            </w:pPr>
            <w:r>
              <w:rPr>
                <w:i/>
                <w:sz w:val="20"/>
                <w:szCs w:val="20"/>
              </w:rPr>
              <w:t>(3)</w:t>
            </w:r>
          </w:p>
        </w:tc>
        <w:tc>
          <w:tcPr>
            <w:tcW w:w="673" w:type="pct"/>
            <w:tcBorders>
              <w:top w:val="single" w:sz="6" w:space="0" w:color="auto"/>
              <w:bottom w:val="single" w:sz="12" w:space="0" w:color="auto"/>
              <w:right w:val="single" w:sz="12" w:space="0" w:color="auto"/>
            </w:tcBorders>
          </w:tcPr>
          <w:p w:rsidR="00B10326" w:rsidRPr="001B0DA3" w:rsidRDefault="00B10326" w:rsidP="00704753">
            <w:pPr>
              <w:rPr>
                <w:i/>
                <w:sz w:val="20"/>
                <w:szCs w:val="20"/>
              </w:rPr>
            </w:pPr>
            <w:r>
              <w:rPr>
                <w:i/>
                <w:sz w:val="20"/>
                <w:szCs w:val="20"/>
              </w:rPr>
              <w:t>(5)</w:t>
            </w:r>
          </w:p>
        </w:tc>
      </w:tr>
      <w:tr w:rsidR="00B10326" w:rsidTr="00704753">
        <w:tc>
          <w:tcPr>
            <w:tcW w:w="882" w:type="pct"/>
            <w:vMerge w:val="restart"/>
            <w:tcBorders>
              <w:top w:val="single" w:sz="12" w:space="0" w:color="auto"/>
              <w:left w:val="single" w:sz="12" w:space="0" w:color="auto"/>
              <w:right w:val="single" w:sz="6" w:space="0" w:color="auto"/>
            </w:tcBorders>
            <w:shd w:val="clear" w:color="auto" w:fill="E3D7C2" w:themeFill="accent2" w:themeFillTint="66"/>
            <w:vAlign w:val="center"/>
          </w:tcPr>
          <w:p w:rsidR="00B10326" w:rsidRPr="00A063DE" w:rsidRDefault="00B10326" w:rsidP="00704753">
            <w:pPr>
              <w:jc w:val="center"/>
              <w:rPr>
                <w:sz w:val="20"/>
                <w:szCs w:val="20"/>
              </w:rPr>
            </w:pPr>
            <w:r w:rsidRPr="00A063DE">
              <w:rPr>
                <w:sz w:val="20"/>
                <w:szCs w:val="20"/>
              </w:rPr>
              <w:t>Individual Regulations</w:t>
            </w:r>
          </w:p>
        </w:tc>
        <w:tc>
          <w:tcPr>
            <w:tcW w:w="865" w:type="pct"/>
            <w:tcBorders>
              <w:top w:val="single" w:sz="12" w:space="0" w:color="auto"/>
              <w:left w:val="single" w:sz="6" w:space="0" w:color="auto"/>
              <w:bottom w:val="single" w:sz="6" w:space="0" w:color="auto"/>
              <w:right w:val="single" w:sz="12" w:space="0" w:color="auto"/>
            </w:tcBorders>
            <w:shd w:val="clear" w:color="auto" w:fill="F1EBE0" w:themeFill="accent2" w:themeFillTint="33"/>
          </w:tcPr>
          <w:p w:rsidR="00B10326" w:rsidRPr="00A063DE" w:rsidRDefault="00B10326" w:rsidP="00704753">
            <w:pPr>
              <w:rPr>
                <w:sz w:val="20"/>
                <w:szCs w:val="20"/>
              </w:rPr>
            </w:pPr>
            <w:r w:rsidRPr="00A063DE">
              <w:rPr>
                <w:sz w:val="20"/>
                <w:szCs w:val="20"/>
              </w:rPr>
              <w:t xml:space="preserve">Primary Legislation </w:t>
            </w:r>
          </w:p>
        </w:tc>
        <w:tc>
          <w:tcPr>
            <w:tcW w:w="806" w:type="pct"/>
            <w:tcBorders>
              <w:top w:val="single" w:sz="12" w:space="0" w:color="auto"/>
              <w:left w:val="single" w:sz="12" w:space="0" w:color="auto"/>
              <w:bottom w:val="single" w:sz="6" w:space="0" w:color="auto"/>
              <w:right w:val="single" w:sz="6" w:space="0" w:color="auto"/>
            </w:tcBorders>
          </w:tcPr>
          <w:p w:rsidR="00B10326" w:rsidRPr="00A063DE" w:rsidRDefault="00B10326" w:rsidP="00704753">
            <w:pPr>
              <w:rPr>
                <w:sz w:val="20"/>
                <w:szCs w:val="20"/>
              </w:rPr>
            </w:pPr>
            <w:r>
              <w:rPr>
                <w:sz w:val="20"/>
                <w:szCs w:val="20"/>
              </w:rPr>
              <w:t>0</w:t>
            </w:r>
          </w:p>
        </w:tc>
        <w:tc>
          <w:tcPr>
            <w:tcW w:w="992" w:type="pct"/>
            <w:tcBorders>
              <w:top w:val="single" w:sz="12" w:space="0" w:color="auto"/>
              <w:left w:val="single" w:sz="6" w:space="0" w:color="auto"/>
              <w:bottom w:val="single" w:sz="6" w:space="0" w:color="auto"/>
              <w:right w:val="single" w:sz="6" w:space="0" w:color="auto"/>
            </w:tcBorders>
          </w:tcPr>
          <w:p w:rsidR="00B10326" w:rsidRPr="00A063DE" w:rsidRDefault="00B10326" w:rsidP="00704753">
            <w:pPr>
              <w:rPr>
                <w:sz w:val="20"/>
                <w:szCs w:val="20"/>
              </w:rPr>
            </w:pPr>
            <w:r>
              <w:rPr>
                <w:sz w:val="20"/>
                <w:szCs w:val="20"/>
              </w:rPr>
              <w:t>5</w:t>
            </w:r>
          </w:p>
        </w:tc>
        <w:tc>
          <w:tcPr>
            <w:tcW w:w="782" w:type="pct"/>
            <w:tcBorders>
              <w:top w:val="single" w:sz="12" w:space="0" w:color="auto"/>
              <w:left w:val="single" w:sz="6" w:space="0" w:color="auto"/>
              <w:bottom w:val="single" w:sz="6" w:space="0" w:color="auto"/>
              <w:right w:val="single" w:sz="6" w:space="0" w:color="auto"/>
            </w:tcBorders>
          </w:tcPr>
          <w:p w:rsidR="00B10326" w:rsidRPr="00A063DE" w:rsidRDefault="00B10326" w:rsidP="00704753">
            <w:pPr>
              <w:rPr>
                <w:sz w:val="20"/>
                <w:szCs w:val="20"/>
              </w:rPr>
            </w:pPr>
            <w:r>
              <w:rPr>
                <w:sz w:val="20"/>
                <w:szCs w:val="20"/>
              </w:rPr>
              <w:t>2</w:t>
            </w:r>
          </w:p>
        </w:tc>
        <w:tc>
          <w:tcPr>
            <w:tcW w:w="673" w:type="pct"/>
            <w:tcBorders>
              <w:top w:val="single" w:sz="12" w:space="0" w:color="auto"/>
              <w:left w:val="single" w:sz="6" w:space="0" w:color="auto"/>
              <w:bottom w:val="single" w:sz="6" w:space="0" w:color="auto"/>
              <w:right w:val="single" w:sz="12" w:space="0" w:color="auto"/>
            </w:tcBorders>
          </w:tcPr>
          <w:p w:rsidR="00B10326" w:rsidRPr="00A063DE" w:rsidRDefault="00B10326" w:rsidP="00704753">
            <w:pPr>
              <w:rPr>
                <w:sz w:val="20"/>
                <w:szCs w:val="20"/>
              </w:rPr>
            </w:pPr>
            <w:r>
              <w:rPr>
                <w:sz w:val="20"/>
                <w:szCs w:val="20"/>
              </w:rPr>
              <w:t>7</w:t>
            </w:r>
          </w:p>
        </w:tc>
      </w:tr>
      <w:tr w:rsidR="00B10326" w:rsidTr="00704753">
        <w:tc>
          <w:tcPr>
            <w:tcW w:w="882" w:type="pct"/>
            <w:vMerge/>
            <w:tcBorders>
              <w:left w:val="single" w:sz="12" w:space="0" w:color="auto"/>
              <w:right w:val="single" w:sz="6" w:space="0" w:color="auto"/>
            </w:tcBorders>
            <w:shd w:val="clear" w:color="auto" w:fill="E3D7C2" w:themeFill="accent2" w:themeFillTint="66"/>
          </w:tcPr>
          <w:p w:rsidR="00B10326" w:rsidRPr="00A063DE" w:rsidRDefault="00B10326" w:rsidP="00704753">
            <w:pPr>
              <w:rPr>
                <w:sz w:val="20"/>
                <w:szCs w:val="20"/>
              </w:rPr>
            </w:pPr>
          </w:p>
        </w:tc>
        <w:tc>
          <w:tcPr>
            <w:tcW w:w="865" w:type="pct"/>
            <w:tcBorders>
              <w:top w:val="single" w:sz="6" w:space="0" w:color="auto"/>
              <w:left w:val="single" w:sz="6" w:space="0" w:color="auto"/>
              <w:bottom w:val="single" w:sz="6" w:space="0" w:color="auto"/>
              <w:right w:val="single" w:sz="12" w:space="0" w:color="auto"/>
            </w:tcBorders>
            <w:shd w:val="clear" w:color="auto" w:fill="F1EBE0" w:themeFill="accent2" w:themeFillTint="33"/>
          </w:tcPr>
          <w:p w:rsidR="00B10326" w:rsidRPr="00A063DE" w:rsidRDefault="00B10326" w:rsidP="00704753">
            <w:pPr>
              <w:rPr>
                <w:sz w:val="20"/>
                <w:szCs w:val="20"/>
              </w:rPr>
            </w:pPr>
            <w:r w:rsidRPr="00A063DE">
              <w:rPr>
                <w:sz w:val="20"/>
                <w:szCs w:val="20"/>
              </w:rPr>
              <w:t>Subordinate Instruments</w:t>
            </w:r>
          </w:p>
        </w:tc>
        <w:tc>
          <w:tcPr>
            <w:tcW w:w="806" w:type="pct"/>
            <w:tcBorders>
              <w:top w:val="single" w:sz="6" w:space="0" w:color="auto"/>
              <w:left w:val="single" w:sz="12" w:space="0" w:color="auto"/>
              <w:bottom w:val="single" w:sz="6" w:space="0" w:color="auto"/>
              <w:right w:val="single" w:sz="6" w:space="0" w:color="auto"/>
            </w:tcBorders>
          </w:tcPr>
          <w:p w:rsidR="00B10326" w:rsidRPr="00A063DE" w:rsidRDefault="00B10326" w:rsidP="00704753">
            <w:pPr>
              <w:rPr>
                <w:sz w:val="20"/>
                <w:szCs w:val="20"/>
              </w:rPr>
            </w:pPr>
            <w:r>
              <w:rPr>
                <w:sz w:val="20"/>
                <w:szCs w:val="20"/>
              </w:rPr>
              <w:t>0</w:t>
            </w:r>
          </w:p>
        </w:tc>
        <w:tc>
          <w:tcPr>
            <w:tcW w:w="992" w:type="pct"/>
            <w:tcBorders>
              <w:top w:val="single" w:sz="6" w:space="0" w:color="auto"/>
              <w:left w:val="single" w:sz="6" w:space="0" w:color="auto"/>
              <w:bottom w:val="single" w:sz="6" w:space="0" w:color="auto"/>
              <w:right w:val="single" w:sz="6" w:space="0" w:color="auto"/>
            </w:tcBorders>
          </w:tcPr>
          <w:p w:rsidR="00B10326" w:rsidRPr="00A063DE" w:rsidRDefault="00B10326" w:rsidP="00704753">
            <w:pPr>
              <w:rPr>
                <w:sz w:val="20"/>
                <w:szCs w:val="20"/>
              </w:rPr>
            </w:pPr>
            <w:r>
              <w:rPr>
                <w:sz w:val="20"/>
                <w:szCs w:val="20"/>
              </w:rPr>
              <w:t>22</w:t>
            </w:r>
          </w:p>
        </w:tc>
        <w:tc>
          <w:tcPr>
            <w:tcW w:w="782" w:type="pct"/>
            <w:tcBorders>
              <w:top w:val="single" w:sz="6" w:space="0" w:color="auto"/>
              <w:left w:val="single" w:sz="6" w:space="0" w:color="auto"/>
              <w:bottom w:val="single" w:sz="6" w:space="0" w:color="auto"/>
              <w:right w:val="single" w:sz="6" w:space="0" w:color="auto"/>
            </w:tcBorders>
          </w:tcPr>
          <w:p w:rsidR="00B10326" w:rsidRPr="00A063DE" w:rsidRDefault="00B10326" w:rsidP="00704753">
            <w:pPr>
              <w:rPr>
                <w:sz w:val="20"/>
                <w:szCs w:val="20"/>
              </w:rPr>
            </w:pPr>
            <w:r>
              <w:rPr>
                <w:sz w:val="20"/>
                <w:szCs w:val="20"/>
              </w:rPr>
              <w:t>12</w:t>
            </w:r>
          </w:p>
        </w:tc>
        <w:tc>
          <w:tcPr>
            <w:tcW w:w="673" w:type="pct"/>
            <w:tcBorders>
              <w:top w:val="single" w:sz="6" w:space="0" w:color="auto"/>
              <w:left w:val="single" w:sz="6" w:space="0" w:color="auto"/>
              <w:bottom w:val="single" w:sz="6" w:space="0" w:color="auto"/>
              <w:right w:val="single" w:sz="12" w:space="0" w:color="auto"/>
            </w:tcBorders>
          </w:tcPr>
          <w:p w:rsidR="00B10326" w:rsidRPr="00A063DE" w:rsidRDefault="00B10326" w:rsidP="00704753">
            <w:pPr>
              <w:rPr>
                <w:sz w:val="20"/>
                <w:szCs w:val="20"/>
              </w:rPr>
            </w:pPr>
            <w:r>
              <w:rPr>
                <w:sz w:val="20"/>
                <w:szCs w:val="20"/>
              </w:rPr>
              <w:t>34</w:t>
            </w:r>
          </w:p>
        </w:tc>
      </w:tr>
      <w:tr w:rsidR="00B10326" w:rsidTr="00704753">
        <w:tc>
          <w:tcPr>
            <w:tcW w:w="882" w:type="pct"/>
            <w:vMerge/>
            <w:tcBorders>
              <w:left w:val="single" w:sz="12" w:space="0" w:color="auto"/>
              <w:right w:val="single" w:sz="6" w:space="0" w:color="auto"/>
            </w:tcBorders>
            <w:shd w:val="clear" w:color="auto" w:fill="E3D7C2" w:themeFill="accent2" w:themeFillTint="66"/>
          </w:tcPr>
          <w:p w:rsidR="00B10326" w:rsidRPr="00A063DE" w:rsidRDefault="00B10326" w:rsidP="00704753">
            <w:pPr>
              <w:rPr>
                <w:sz w:val="20"/>
                <w:szCs w:val="20"/>
              </w:rPr>
            </w:pPr>
          </w:p>
        </w:tc>
        <w:tc>
          <w:tcPr>
            <w:tcW w:w="865" w:type="pct"/>
            <w:tcBorders>
              <w:top w:val="single" w:sz="6" w:space="0" w:color="auto"/>
              <w:left w:val="single" w:sz="6" w:space="0" w:color="auto"/>
              <w:bottom w:val="single" w:sz="6" w:space="0" w:color="auto"/>
              <w:right w:val="single" w:sz="12" w:space="0" w:color="auto"/>
            </w:tcBorders>
            <w:shd w:val="clear" w:color="auto" w:fill="F1EBE0" w:themeFill="accent2" w:themeFillTint="33"/>
          </w:tcPr>
          <w:p w:rsidR="00B10326" w:rsidRPr="00A063DE" w:rsidRDefault="00B10326" w:rsidP="00704753">
            <w:pPr>
              <w:rPr>
                <w:sz w:val="20"/>
                <w:szCs w:val="20"/>
              </w:rPr>
            </w:pPr>
            <w:r>
              <w:rPr>
                <w:sz w:val="20"/>
                <w:szCs w:val="20"/>
              </w:rPr>
              <w:t>Quasi-regulations (administrative processes)</w:t>
            </w:r>
          </w:p>
        </w:tc>
        <w:tc>
          <w:tcPr>
            <w:tcW w:w="806" w:type="pct"/>
            <w:tcBorders>
              <w:top w:val="single" w:sz="6" w:space="0" w:color="auto"/>
              <w:left w:val="single" w:sz="12" w:space="0" w:color="auto"/>
              <w:bottom w:val="single" w:sz="6" w:space="0" w:color="auto"/>
              <w:right w:val="single" w:sz="6" w:space="0" w:color="auto"/>
            </w:tcBorders>
          </w:tcPr>
          <w:p w:rsidR="00B10326" w:rsidRPr="00A063DE" w:rsidRDefault="00B10326" w:rsidP="00704753">
            <w:pPr>
              <w:rPr>
                <w:sz w:val="20"/>
                <w:szCs w:val="20"/>
              </w:rPr>
            </w:pPr>
            <w:r>
              <w:rPr>
                <w:sz w:val="20"/>
                <w:szCs w:val="20"/>
              </w:rPr>
              <w:t>0</w:t>
            </w:r>
          </w:p>
        </w:tc>
        <w:tc>
          <w:tcPr>
            <w:tcW w:w="992" w:type="pct"/>
            <w:tcBorders>
              <w:top w:val="single" w:sz="6" w:space="0" w:color="auto"/>
              <w:left w:val="single" w:sz="6" w:space="0" w:color="auto"/>
              <w:bottom w:val="single" w:sz="6" w:space="0" w:color="auto"/>
              <w:right w:val="single" w:sz="6" w:space="0" w:color="auto"/>
            </w:tcBorders>
          </w:tcPr>
          <w:p w:rsidR="00B10326" w:rsidRPr="00A063DE" w:rsidRDefault="00B10326" w:rsidP="00704753">
            <w:pPr>
              <w:rPr>
                <w:sz w:val="20"/>
                <w:szCs w:val="20"/>
              </w:rPr>
            </w:pPr>
            <w:r>
              <w:rPr>
                <w:sz w:val="20"/>
                <w:szCs w:val="20"/>
              </w:rPr>
              <w:t>3</w:t>
            </w:r>
          </w:p>
        </w:tc>
        <w:tc>
          <w:tcPr>
            <w:tcW w:w="782" w:type="pct"/>
            <w:tcBorders>
              <w:top w:val="single" w:sz="6" w:space="0" w:color="auto"/>
              <w:left w:val="single" w:sz="6" w:space="0" w:color="auto"/>
              <w:bottom w:val="single" w:sz="6" w:space="0" w:color="auto"/>
              <w:right w:val="single" w:sz="6" w:space="0" w:color="auto"/>
            </w:tcBorders>
          </w:tcPr>
          <w:p w:rsidR="00B10326" w:rsidRPr="00A063DE" w:rsidRDefault="00B10326" w:rsidP="00704753">
            <w:pPr>
              <w:rPr>
                <w:sz w:val="20"/>
                <w:szCs w:val="20"/>
              </w:rPr>
            </w:pPr>
            <w:r>
              <w:rPr>
                <w:sz w:val="20"/>
                <w:szCs w:val="20"/>
              </w:rPr>
              <w:t>11</w:t>
            </w:r>
          </w:p>
        </w:tc>
        <w:tc>
          <w:tcPr>
            <w:tcW w:w="673" w:type="pct"/>
            <w:tcBorders>
              <w:top w:val="single" w:sz="6" w:space="0" w:color="auto"/>
              <w:left w:val="single" w:sz="6" w:space="0" w:color="auto"/>
              <w:bottom w:val="single" w:sz="6" w:space="0" w:color="auto"/>
              <w:right w:val="single" w:sz="12" w:space="0" w:color="auto"/>
            </w:tcBorders>
          </w:tcPr>
          <w:p w:rsidR="00B10326" w:rsidRPr="00A063DE" w:rsidRDefault="00B10326" w:rsidP="00704753">
            <w:pPr>
              <w:rPr>
                <w:sz w:val="20"/>
                <w:szCs w:val="20"/>
              </w:rPr>
            </w:pPr>
            <w:r>
              <w:rPr>
                <w:sz w:val="20"/>
                <w:szCs w:val="20"/>
              </w:rPr>
              <w:t>14</w:t>
            </w:r>
          </w:p>
        </w:tc>
      </w:tr>
      <w:tr w:rsidR="00B10326" w:rsidTr="00704753">
        <w:tc>
          <w:tcPr>
            <w:tcW w:w="882" w:type="pct"/>
            <w:vMerge/>
            <w:tcBorders>
              <w:left w:val="single" w:sz="12" w:space="0" w:color="auto"/>
              <w:bottom w:val="single" w:sz="12" w:space="0" w:color="auto"/>
              <w:right w:val="single" w:sz="6" w:space="0" w:color="auto"/>
            </w:tcBorders>
            <w:shd w:val="clear" w:color="auto" w:fill="E3D7C2" w:themeFill="accent2" w:themeFillTint="66"/>
          </w:tcPr>
          <w:p w:rsidR="00B10326" w:rsidRPr="00A063DE" w:rsidRDefault="00B10326" w:rsidP="00704753">
            <w:pPr>
              <w:rPr>
                <w:sz w:val="20"/>
                <w:szCs w:val="20"/>
              </w:rPr>
            </w:pPr>
          </w:p>
        </w:tc>
        <w:tc>
          <w:tcPr>
            <w:tcW w:w="865" w:type="pct"/>
            <w:tcBorders>
              <w:top w:val="single" w:sz="6" w:space="0" w:color="auto"/>
              <w:left w:val="single" w:sz="6" w:space="0" w:color="auto"/>
              <w:bottom w:val="single" w:sz="12" w:space="0" w:color="auto"/>
              <w:right w:val="single" w:sz="12" w:space="0" w:color="auto"/>
            </w:tcBorders>
            <w:shd w:val="clear" w:color="auto" w:fill="F1EBE0" w:themeFill="accent2" w:themeFillTint="33"/>
          </w:tcPr>
          <w:p w:rsidR="00B10326" w:rsidRPr="00A063DE" w:rsidRDefault="00B10326" w:rsidP="00704753">
            <w:pPr>
              <w:rPr>
                <w:sz w:val="20"/>
                <w:szCs w:val="20"/>
              </w:rPr>
            </w:pPr>
            <w:r>
              <w:rPr>
                <w:sz w:val="20"/>
                <w:szCs w:val="20"/>
              </w:rPr>
              <w:t>Quasi-regulations (all other)</w:t>
            </w:r>
          </w:p>
        </w:tc>
        <w:tc>
          <w:tcPr>
            <w:tcW w:w="806" w:type="pct"/>
            <w:tcBorders>
              <w:top w:val="single" w:sz="6" w:space="0" w:color="auto"/>
              <w:left w:val="single" w:sz="12" w:space="0" w:color="auto"/>
              <w:bottom w:val="single" w:sz="12" w:space="0" w:color="auto"/>
              <w:right w:val="single" w:sz="6" w:space="0" w:color="auto"/>
            </w:tcBorders>
          </w:tcPr>
          <w:p w:rsidR="00B10326" w:rsidRPr="00A063DE" w:rsidRDefault="00B10326" w:rsidP="00704753">
            <w:pPr>
              <w:rPr>
                <w:sz w:val="20"/>
                <w:szCs w:val="20"/>
              </w:rPr>
            </w:pPr>
            <w:r>
              <w:rPr>
                <w:sz w:val="20"/>
                <w:szCs w:val="20"/>
              </w:rPr>
              <w:t>1</w:t>
            </w:r>
          </w:p>
        </w:tc>
        <w:tc>
          <w:tcPr>
            <w:tcW w:w="992" w:type="pct"/>
            <w:tcBorders>
              <w:top w:val="single" w:sz="6" w:space="0" w:color="auto"/>
              <w:left w:val="single" w:sz="6" w:space="0" w:color="auto"/>
              <w:bottom w:val="single" w:sz="12" w:space="0" w:color="auto"/>
              <w:right w:val="single" w:sz="6" w:space="0" w:color="auto"/>
            </w:tcBorders>
          </w:tcPr>
          <w:p w:rsidR="00B10326" w:rsidRPr="00A063DE" w:rsidRDefault="00B10326" w:rsidP="00704753">
            <w:pPr>
              <w:rPr>
                <w:sz w:val="20"/>
                <w:szCs w:val="20"/>
              </w:rPr>
            </w:pPr>
            <w:r>
              <w:rPr>
                <w:sz w:val="20"/>
                <w:szCs w:val="20"/>
              </w:rPr>
              <w:t>5</w:t>
            </w:r>
          </w:p>
        </w:tc>
        <w:tc>
          <w:tcPr>
            <w:tcW w:w="782" w:type="pct"/>
            <w:tcBorders>
              <w:top w:val="single" w:sz="6" w:space="0" w:color="auto"/>
              <w:left w:val="single" w:sz="6" w:space="0" w:color="auto"/>
              <w:bottom w:val="single" w:sz="12" w:space="0" w:color="auto"/>
              <w:right w:val="single" w:sz="6" w:space="0" w:color="auto"/>
            </w:tcBorders>
          </w:tcPr>
          <w:p w:rsidR="00B10326" w:rsidRPr="00A063DE" w:rsidRDefault="00B10326" w:rsidP="00704753">
            <w:pPr>
              <w:rPr>
                <w:sz w:val="20"/>
                <w:szCs w:val="20"/>
              </w:rPr>
            </w:pPr>
            <w:r>
              <w:rPr>
                <w:sz w:val="20"/>
                <w:szCs w:val="20"/>
              </w:rPr>
              <w:t>28</w:t>
            </w:r>
          </w:p>
        </w:tc>
        <w:tc>
          <w:tcPr>
            <w:tcW w:w="673" w:type="pct"/>
            <w:tcBorders>
              <w:top w:val="single" w:sz="6" w:space="0" w:color="auto"/>
              <w:left w:val="single" w:sz="6" w:space="0" w:color="auto"/>
              <w:bottom w:val="single" w:sz="12" w:space="0" w:color="auto"/>
              <w:right w:val="single" w:sz="12" w:space="0" w:color="auto"/>
            </w:tcBorders>
          </w:tcPr>
          <w:p w:rsidR="00B10326" w:rsidRPr="00A063DE" w:rsidRDefault="00B10326" w:rsidP="00704753">
            <w:pPr>
              <w:rPr>
                <w:sz w:val="20"/>
                <w:szCs w:val="20"/>
              </w:rPr>
            </w:pPr>
            <w:r>
              <w:rPr>
                <w:sz w:val="20"/>
                <w:szCs w:val="20"/>
              </w:rPr>
              <w:t>34</w:t>
            </w:r>
          </w:p>
        </w:tc>
      </w:tr>
    </w:tbl>
    <w:p w:rsidR="00B10326" w:rsidRPr="00370B37" w:rsidRDefault="00B10326" w:rsidP="00370B37">
      <w:pPr>
        <w:rPr>
          <w:rFonts w:cstheme="minorHAnsi"/>
          <w:lang w:val="en-GB"/>
        </w:rPr>
      </w:pPr>
    </w:p>
    <w:p w:rsidR="005D6CC5" w:rsidRPr="00B766C7" w:rsidRDefault="005D6CC5" w:rsidP="00B766C7">
      <w:pPr>
        <w:pStyle w:val="Documenttitle4"/>
      </w:pPr>
      <w:r w:rsidRPr="00B766C7">
        <w:t>Stage two</w:t>
      </w:r>
    </w:p>
    <w:p w:rsidR="005D6CC5" w:rsidRDefault="007A2D52" w:rsidP="007A2D52">
      <w:pPr>
        <w:rPr>
          <w:rFonts w:cstheme="minorHAnsi"/>
        </w:rPr>
      </w:pPr>
      <w:r>
        <w:rPr>
          <w:rFonts w:cstheme="minorHAnsi"/>
        </w:rPr>
        <w:t xml:space="preserve">The second stage of the audit of portfolio regulation involved determining the regulatory cost imposed by Foreign Affairs and Trade on business, individuals and the community. </w:t>
      </w:r>
    </w:p>
    <w:p w:rsidR="007A2D52" w:rsidRDefault="007A2D52" w:rsidP="007A2D52">
      <w:pPr>
        <w:rPr>
          <w:rFonts w:cstheme="minorHAnsi"/>
        </w:rPr>
      </w:pPr>
    </w:p>
    <w:p w:rsidR="007A2D52" w:rsidRDefault="007A2D52" w:rsidP="007A2D52">
      <w:pPr>
        <w:rPr>
          <w:rFonts w:cstheme="minorHAnsi"/>
        </w:rPr>
      </w:pPr>
      <w:r>
        <w:rPr>
          <w:rFonts w:cstheme="minorHAnsi"/>
        </w:rPr>
        <w:t xml:space="preserve">Foreign Affairs and Trade chose to cost the entirety of the portfolio’s </w:t>
      </w:r>
      <w:r w:rsidR="0002609C">
        <w:rPr>
          <w:rFonts w:cstheme="minorHAnsi"/>
        </w:rPr>
        <w:t>regulatory footprint</w:t>
      </w:r>
      <w:r>
        <w:rPr>
          <w:rFonts w:cstheme="minorHAnsi"/>
        </w:rPr>
        <w:t>. The costings were completed in accordance with the guidelines issued by the Office of Deregulation within the Department of Prime Minister and Cabinet. The costing model applied the assumptions of the Regulatory Burden Measure designed by the Office of Best Practice Regulation.</w:t>
      </w:r>
    </w:p>
    <w:p w:rsidR="007A2D52" w:rsidRDefault="007A2D52" w:rsidP="007A2D52">
      <w:pPr>
        <w:rPr>
          <w:rFonts w:cstheme="minorHAnsi"/>
        </w:rPr>
      </w:pPr>
    </w:p>
    <w:p w:rsidR="003F5B36" w:rsidRDefault="003F5B36" w:rsidP="007A2D52">
      <w:pPr>
        <w:rPr>
          <w:rFonts w:cstheme="minorHAnsi"/>
        </w:rPr>
      </w:pPr>
      <w:r>
        <w:rPr>
          <w:rFonts w:cstheme="minorHAnsi"/>
        </w:rPr>
        <w:t>The portfolio’s total regulatory burden was costed at $351.9 million annually. This was determined</w:t>
      </w:r>
      <w:r w:rsidR="0002609C">
        <w:rPr>
          <w:rFonts w:cstheme="minorHAnsi"/>
        </w:rPr>
        <w:t xml:space="preserve"> by the Department of Prime Minister and Cabinet</w:t>
      </w:r>
      <w:r>
        <w:rPr>
          <w:rFonts w:cstheme="minorHAnsi"/>
        </w:rPr>
        <w:t xml:space="preserve"> to be 0.5 per cent of the </w:t>
      </w:r>
      <w:r w:rsidR="00140851">
        <w:rPr>
          <w:rFonts w:cstheme="minorHAnsi"/>
        </w:rPr>
        <w:t xml:space="preserve">total </w:t>
      </w:r>
      <w:r w:rsidR="0002609C">
        <w:rPr>
          <w:rFonts w:cstheme="minorHAnsi"/>
        </w:rPr>
        <w:t xml:space="preserve">cost of </w:t>
      </w:r>
      <w:r w:rsidR="00140851">
        <w:rPr>
          <w:rFonts w:cstheme="minorHAnsi"/>
        </w:rPr>
        <w:t>regulation across the Commonwealth.</w:t>
      </w:r>
    </w:p>
    <w:p w:rsidR="003F5B36" w:rsidRDefault="003F5B36" w:rsidP="007A2D52">
      <w:pPr>
        <w:rPr>
          <w:rFonts w:cstheme="minorHAnsi"/>
        </w:rPr>
      </w:pPr>
    </w:p>
    <w:p w:rsidR="005D6CC5" w:rsidRDefault="005D6CC5" w:rsidP="005D6CC5">
      <w:pPr>
        <w:rPr>
          <w:lang w:val="en-GB"/>
        </w:rPr>
      </w:pPr>
    </w:p>
    <w:p w:rsidR="00605140" w:rsidRDefault="00605140" w:rsidP="002939AC">
      <w:pPr>
        <w:pStyle w:val="ReportBodyText"/>
        <w:sectPr w:rsidR="00605140" w:rsidSect="00D22E68">
          <w:headerReference w:type="default" r:id="rId25"/>
          <w:pgSz w:w="11906" w:h="16838"/>
          <w:pgMar w:top="1440" w:right="1440" w:bottom="851" w:left="1440" w:header="709" w:footer="291" w:gutter="0"/>
          <w:cols w:space="708"/>
          <w:docGrid w:linePitch="360"/>
        </w:sectPr>
      </w:pPr>
    </w:p>
    <w:p w:rsidR="00162B60" w:rsidRDefault="00162B60" w:rsidP="00D4048A">
      <w:pPr>
        <w:pStyle w:val="Documenttitle02"/>
      </w:pPr>
      <w:bookmarkStart w:id="8" w:name="_Toc402873295"/>
      <w:r>
        <w:t>Appendix A</w:t>
      </w:r>
      <w:r w:rsidR="008009B5">
        <w:t>:</w:t>
      </w:r>
      <w:r w:rsidR="00005974">
        <w:t xml:space="preserve"> </w:t>
      </w:r>
      <w:r w:rsidRPr="00BF2DB7">
        <w:t xml:space="preserve">Measures </w:t>
      </w:r>
      <w:r w:rsidR="001839E9">
        <w:t>implemented</w:t>
      </w:r>
      <w:r w:rsidRPr="00BF2DB7">
        <w:t xml:space="preserve"> </w:t>
      </w:r>
      <w:r w:rsidR="00A61FC3">
        <w:t>in</w:t>
      </w:r>
      <w:r w:rsidRPr="00BF2DB7">
        <w:t xml:space="preserve"> 2014</w:t>
      </w:r>
      <w:bookmarkEnd w:id="8"/>
    </w:p>
    <w:tbl>
      <w:tblPr>
        <w:tblStyle w:val="LightList-Accent2"/>
        <w:tblW w:w="9322" w:type="dxa"/>
        <w:tblLook w:val="04A0" w:firstRow="1" w:lastRow="0" w:firstColumn="1" w:lastColumn="0" w:noHBand="0" w:noVBand="1"/>
      </w:tblPr>
      <w:tblGrid>
        <w:gridCol w:w="9322"/>
      </w:tblGrid>
      <w:tr w:rsidR="00554589" w:rsidRPr="008009B5" w:rsidTr="00E81DF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322" w:type="dxa"/>
            <w:tcBorders>
              <w:top w:val="nil"/>
              <w:left w:val="nil"/>
              <w:right w:val="nil"/>
            </w:tcBorders>
          </w:tcPr>
          <w:p w:rsidR="00554589" w:rsidRPr="008B0784" w:rsidRDefault="00F714B7" w:rsidP="002939AC">
            <w:pPr>
              <w:pStyle w:val="ReportMeasureTitle"/>
              <w:rPr>
                <w:noProof/>
              </w:rPr>
            </w:pPr>
            <w:r>
              <w:rPr>
                <w:noProof/>
              </w:rPr>
              <w:t xml:space="preserve">Deregulatory savings </w:t>
            </w:r>
          </w:p>
        </w:tc>
      </w:tr>
      <w:tr w:rsidR="008C7530" w:rsidRPr="00D92959" w:rsidTr="00E81DF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E3D7C2" w:themeFill="accent2" w:themeFillTint="66"/>
            <w:hideMark/>
          </w:tcPr>
          <w:p w:rsidR="008C7530" w:rsidRPr="00E81DF7" w:rsidRDefault="00F714B7" w:rsidP="002939AC">
            <w:pPr>
              <w:pStyle w:val="ReportMeasureTitle"/>
              <w:rPr>
                <w:lang w:eastAsia="en-AU"/>
              </w:rPr>
            </w:pPr>
            <w:r>
              <w:rPr>
                <w:noProof/>
              </w:rPr>
              <w:t>Korea-Australia Free Trade Agreement</w:t>
            </w:r>
            <w:r w:rsidR="00E6458E">
              <w:rPr>
                <w:noProof/>
              </w:rPr>
              <w:t xml:space="preserve"> (KAFTA)</w:t>
            </w:r>
          </w:p>
        </w:tc>
      </w:tr>
      <w:tr w:rsidR="008C7530" w:rsidRPr="00D92959" w:rsidTr="00E81DF7">
        <w:trPr>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hideMark/>
          </w:tcPr>
          <w:p w:rsidR="00F714B7" w:rsidRDefault="00DA469E" w:rsidP="00F714B7">
            <w:pPr>
              <w:pStyle w:val="ReportBulletPoint"/>
              <w:rPr>
                <w:noProof/>
              </w:rPr>
            </w:pPr>
            <w:r>
              <w:rPr>
                <w:noProof/>
              </w:rPr>
              <w:t>The Korea-Australia Free Trade Agreement entered into force on 12 December 2014.</w:t>
            </w:r>
          </w:p>
          <w:p w:rsidR="00F714B7" w:rsidRDefault="00F714B7" w:rsidP="00F714B7">
            <w:pPr>
              <w:pStyle w:val="ReportBulletPoint"/>
              <w:rPr>
                <w:noProof/>
              </w:rPr>
            </w:pPr>
            <w:r>
              <w:rPr>
                <w:noProof/>
              </w:rPr>
              <w:t>KAFTA is a comprehensive free trade agreement, which substantially liberalises Australia’s trade with a major market. It gives Australian exporters significantly improved market access in goods and services and substantially streamlines trading paperwork through a simplified certificate of origin process. For example, a potato farmer exporting to Korea will have the option to self-certify the origin of produce and will not require a certificate of origin, saving up to $70 per certificate.</w:t>
            </w:r>
          </w:p>
          <w:p w:rsidR="008C7530" w:rsidRPr="00D92959" w:rsidRDefault="00801FEE" w:rsidP="00E6458E">
            <w:pPr>
              <w:pStyle w:val="ReportBulletPoint"/>
              <w:rPr>
                <w:b/>
              </w:rPr>
            </w:pPr>
            <w:r>
              <w:rPr>
                <w:noProof/>
              </w:rPr>
              <w:t>The Office of Best Practice Regulation has agreed that this will lead to an annual saving of $</w:t>
            </w:r>
            <w:r w:rsidR="00E6458E">
              <w:rPr>
                <w:noProof/>
              </w:rPr>
              <w:t>0.09</w:t>
            </w:r>
            <w:r w:rsidR="00FB2046">
              <w:rPr>
                <w:noProof/>
              </w:rPr>
              <w:t>6</w:t>
            </w:r>
            <w:r w:rsidR="00E6458E">
              <w:rPr>
                <w:noProof/>
              </w:rPr>
              <w:t xml:space="preserve"> million in compliance costs.</w:t>
            </w:r>
          </w:p>
        </w:tc>
      </w:tr>
      <w:tr w:rsidR="00414229" w:rsidRPr="00D92959" w:rsidTr="00E81DF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E3D7C2" w:themeFill="accent2" w:themeFillTint="66"/>
          </w:tcPr>
          <w:p w:rsidR="00414229" w:rsidRPr="00414229" w:rsidRDefault="00414229" w:rsidP="002939AC">
            <w:pPr>
              <w:pStyle w:val="ReportMeasureTitle"/>
              <w:rPr>
                <w:lang w:eastAsia="en-AU"/>
              </w:rPr>
            </w:pPr>
            <w:r w:rsidRPr="00414229">
              <w:rPr>
                <w:lang w:eastAsia="en-AU"/>
              </w:rPr>
              <w:t>Japan-Australia Economic Partnership Agreement (JAEPA)</w:t>
            </w:r>
          </w:p>
        </w:tc>
      </w:tr>
      <w:tr w:rsidR="00414229" w:rsidRPr="00D92959" w:rsidTr="00D24814">
        <w:trPr>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F1EBE0" w:themeFill="accent2" w:themeFillTint="33"/>
          </w:tcPr>
          <w:p w:rsidR="00414229" w:rsidRDefault="00DA469E" w:rsidP="00414229">
            <w:pPr>
              <w:pStyle w:val="ReportBulletPoint"/>
              <w:rPr>
                <w:noProof/>
              </w:rPr>
            </w:pPr>
            <w:r>
              <w:rPr>
                <w:noProof/>
              </w:rPr>
              <w:t>T</w:t>
            </w:r>
            <w:r w:rsidR="00414229">
              <w:rPr>
                <w:noProof/>
              </w:rPr>
              <w:t xml:space="preserve">he Japan-Australia Economic Partnership Agreement </w:t>
            </w:r>
            <w:r>
              <w:rPr>
                <w:noProof/>
              </w:rPr>
              <w:t>began on 15 January 2015</w:t>
            </w:r>
            <w:r w:rsidR="00414229">
              <w:rPr>
                <w:noProof/>
              </w:rPr>
              <w:t xml:space="preserve">. </w:t>
            </w:r>
          </w:p>
          <w:p w:rsidR="00414229" w:rsidRDefault="00414229" w:rsidP="00414229">
            <w:pPr>
              <w:pStyle w:val="ReportBulletPoint"/>
              <w:rPr>
                <w:noProof/>
              </w:rPr>
            </w:pPr>
            <w:r>
              <w:rPr>
                <w:noProof/>
              </w:rPr>
              <w:t xml:space="preserve">JAEPA will substantially liberalise Australia’s trade with a major market. It will give Australian exporters significantly improved access to Japan’s goods and services and reduce regulatory burden by consolidating trading paperwork through a simplified certificate of origin process. Exporters to Japan will have the option to self-certify the origin of their goods and will no longer be required to pay up to $70 for certification of origin by third-party industry bodies. In addition, the agreement will deliver significant benefits to Australian farmers, manufacturers, exporters, service providers and consumers. More than 97 per cent of Australia’s exports to Japan will receive preferential access or enter duty-free when JAEPA is fully implemented. </w:t>
            </w:r>
          </w:p>
          <w:p w:rsidR="00414229" w:rsidRPr="00414229" w:rsidRDefault="00414229" w:rsidP="002939AC">
            <w:pPr>
              <w:pStyle w:val="ReportBulletPoint"/>
              <w:rPr>
                <w:noProof/>
              </w:rPr>
            </w:pPr>
            <w:r>
              <w:rPr>
                <w:noProof/>
              </w:rPr>
              <w:t xml:space="preserve">The </w:t>
            </w:r>
            <w:r w:rsidR="00E54B28">
              <w:rPr>
                <w:noProof/>
              </w:rPr>
              <w:t>Office of Best Practice Regulation</w:t>
            </w:r>
            <w:r>
              <w:rPr>
                <w:noProof/>
              </w:rPr>
              <w:t xml:space="preserve"> has agreed that this will lead to an annual saving of $0.03</w:t>
            </w:r>
            <w:r w:rsidR="00FB2046">
              <w:rPr>
                <w:noProof/>
              </w:rPr>
              <w:t>2</w:t>
            </w:r>
            <w:r>
              <w:rPr>
                <w:noProof/>
              </w:rPr>
              <w:t xml:space="preserve"> million in compliance costs. </w:t>
            </w:r>
          </w:p>
        </w:tc>
      </w:tr>
      <w:tr w:rsidR="008C7530" w:rsidRPr="00D92959" w:rsidTr="00E81DF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E3D7C2" w:themeFill="accent2" w:themeFillTint="66"/>
          </w:tcPr>
          <w:p w:rsidR="008C7530" w:rsidRPr="00E81DF7" w:rsidRDefault="00414229" w:rsidP="002939AC">
            <w:pPr>
              <w:pStyle w:val="ReportMeasureTitle"/>
              <w:rPr>
                <w:lang w:eastAsia="en-AU"/>
              </w:rPr>
            </w:pPr>
            <w:r w:rsidRPr="00414229">
              <w:rPr>
                <w:lang w:eastAsia="en-AU"/>
              </w:rPr>
              <w:t>Upgrade of Online Sanctions Administration System (OSAS)</w:t>
            </w:r>
          </w:p>
        </w:tc>
      </w:tr>
      <w:tr w:rsidR="00414229" w:rsidRPr="00D92959" w:rsidTr="00D24814">
        <w:trPr>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F1EBE0" w:themeFill="accent2" w:themeFillTint="33"/>
          </w:tcPr>
          <w:p w:rsidR="00414229" w:rsidRDefault="00414229" w:rsidP="00414229">
            <w:pPr>
              <w:pStyle w:val="ReportBulletPoint"/>
              <w:rPr>
                <w:noProof/>
              </w:rPr>
            </w:pPr>
            <w:r>
              <w:rPr>
                <w:noProof/>
              </w:rPr>
              <w:t>On 5 February 2014, the Department of Foreign Affairs and Trade released an upgrade of the OSAS.</w:t>
            </w:r>
          </w:p>
          <w:p w:rsidR="00414229" w:rsidRDefault="00414229" w:rsidP="00414229">
            <w:pPr>
              <w:pStyle w:val="ReportBulletPoint"/>
              <w:rPr>
                <w:noProof/>
              </w:rPr>
            </w:pPr>
            <w:r>
              <w:rPr>
                <w:noProof/>
              </w:rPr>
              <w:t>OSAS is the portal through which an applicant can make an inquiry about whether a proposed transaction is subject to Australian sanctions laws, and apply for sanctions permits to engage in activities regulated by these laws. The release of the upgraded OSAS makes it easier for businesses to comply with their obligations under Australian sanctions laws.</w:t>
            </w:r>
          </w:p>
          <w:p w:rsidR="00414229" w:rsidRPr="00371DDB" w:rsidRDefault="00371DDB" w:rsidP="00745849">
            <w:pPr>
              <w:pStyle w:val="ReportBulletPoint"/>
              <w:rPr>
                <w:lang w:eastAsia="en-AU"/>
              </w:rPr>
            </w:pPr>
            <w:r>
              <w:rPr>
                <w:noProof/>
              </w:rPr>
              <w:t>This upgrade recorded both deregulatory savings and regulatory costs. In total, t</w:t>
            </w:r>
            <w:r w:rsidR="00414229">
              <w:rPr>
                <w:noProof/>
              </w:rPr>
              <w:t>he Department of Foreign Affairs and Trade has estimated that this will l</w:t>
            </w:r>
            <w:r w:rsidR="00E6458E">
              <w:rPr>
                <w:noProof/>
              </w:rPr>
              <w:t>ead to an annual</w:t>
            </w:r>
            <w:r w:rsidR="0002609C">
              <w:rPr>
                <w:noProof/>
              </w:rPr>
              <w:t xml:space="preserve"> net</w:t>
            </w:r>
            <w:r w:rsidR="00E6458E">
              <w:rPr>
                <w:noProof/>
              </w:rPr>
              <w:t xml:space="preserve"> saving of $0.</w:t>
            </w:r>
            <w:r w:rsidR="00287FF4">
              <w:rPr>
                <w:noProof/>
              </w:rPr>
              <w:t>06</w:t>
            </w:r>
            <w:r w:rsidR="00414229">
              <w:rPr>
                <w:noProof/>
              </w:rPr>
              <w:t xml:space="preserve"> million in compliance costs.</w:t>
            </w:r>
            <w:r w:rsidR="00140851">
              <w:rPr>
                <w:noProof/>
              </w:rPr>
              <w:t xml:space="preserve"> </w:t>
            </w:r>
          </w:p>
        </w:tc>
      </w:tr>
      <w:tr w:rsidR="00414229" w:rsidRPr="00D92959" w:rsidTr="00414229">
        <w:trPr>
          <w:cnfStyle w:val="000000100000" w:firstRow="0" w:lastRow="0" w:firstColumn="0" w:lastColumn="0" w:oddVBand="0" w:evenVBand="0" w:oddHBand="1" w:evenHBand="0" w:firstRowFirstColumn="0" w:firstRowLastColumn="0" w:lastRowFirstColumn="0" w:lastRowLastColumn="0"/>
          <w:cantSplit/>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E3D7C2" w:themeFill="accent2" w:themeFillTint="66"/>
          </w:tcPr>
          <w:p w:rsidR="00414229" w:rsidRPr="00E81DF7" w:rsidRDefault="00414229" w:rsidP="002939AC">
            <w:pPr>
              <w:pStyle w:val="ReportMeasureTitle"/>
              <w:rPr>
                <w:lang w:eastAsia="en-AU"/>
              </w:rPr>
            </w:pPr>
            <w:r w:rsidRPr="00414229">
              <w:rPr>
                <w:lang w:eastAsia="en-AU"/>
              </w:rPr>
              <w:t>Improving online accreditation for Australian Non-Government Organisations (NGO)</w:t>
            </w:r>
          </w:p>
        </w:tc>
      </w:tr>
      <w:tr w:rsidR="00414229" w:rsidRPr="00D92959" w:rsidTr="00D24814">
        <w:trPr>
          <w:cantSplit/>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F1EBE0" w:themeFill="accent2" w:themeFillTint="33"/>
          </w:tcPr>
          <w:p w:rsidR="00414229" w:rsidRDefault="00414229" w:rsidP="00414229">
            <w:pPr>
              <w:pStyle w:val="ReportBulletPoint"/>
              <w:rPr>
                <w:noProof/>
              </w:rPr>
            </w:pPr>
            <w:r>
              <w:rPr>
                <w:noProof/>
              </w:rPr>
              <w:t>On 1 July 2014, the Department of Foreign Affairs and Trade implemented a new online accreditation process for Non-Government Organisations (NGOs) delivering overseas aid.</w:t>
            </w:r>
          </w:p>
          <w:p w:rsidR="00414229" w:rsidRDefault="00414229" w:rsidP="00414229">
            <w:pPr>
              <w:pStyle w:val="ReportBulletPoint"/>
              <w:rPr>
                <w:noProof/>
              </w:rPr>
            </w:pPr>
            <w:r>
              <w:rPr>
                <w:noProof/>
              </w:rPr>
              <w:t xml:space="preserve">The new online accreditation application system reduces duplication, requesting at least 10 per cent less information. Better guidance and requests for more targeted information decreases the need for </w:t>
            </w:r>
            <w:r w:rsidR="0002609C">
              <w:rPr>
                <w:noProof/>
              </w:rPr>
              <w:t xml:space="preserve">NGO </w:t>
            </w:r>
            <w:r>
              <w:rPr>
                <w:noProof/>
              </w:rPr>
              <w:t>applicant</w:t>
            </w:r>
            <w:r w:rsidR="0002609C">
              <w:rPr>
                <w:noProof/>
              </w:rPr>
              <w:t>s</w:t>
            </w:r>
            <w:r>
              <w:rPr>
                <w:noProof/>
              </w:rPr>
              <w:t xml:space="preserve"> to supply unnecessary documentation. The online system also automatically generates reports, requiring fewer interactions between the department, independent assessors and NGOs, leaving more time for quality assessment. Accredited NGOs must reapply for accreditation every five years. As at 1 July 2014, 49 Australian NGOs are currently accredited.</w:t>
            </w:r>
          </w:p>
          <w:p w:rsidR="00414229" w:rsidRPr="00E81DF7" w:rsidRDefault="00414229" w:rsidP="00414229">
            <w:pPr>
              <w:pStyle w:val="ReportBulletPoint"/>
              <w:rPr>
                <w:lang w:eastAsia="en-AU"/>
              </w:rPr>
            </w:pPr>
            <w:r>
              <w:rPr>
                <w:noProof/>
              </w:rPr>
              <w:t xml:space="preserve">The Department of Foreign Affairs and Trade has estimated that this will </w:t>
            </w:r>
            <w:r w:rsidR="00E6458E">
              <w:rPr>
                <w:noProof/>
              </w:rPr>
              <w:t>lead to an annual saving of $0.09</w:t>
            </w:r>
            <w:r w:rsidR="00FB2046">
              <w:rPr>
                <w:noProof/>
              </w:rPr>
              <w:t>9</w:t>
            </w:r>
            <w:r>
              <w:rPr>
                <w:noProof/>
              </w:rPr>
              <w:t xml:space="preserve"> million in compliance costs.</w:t>
            </w:r>
          </w:p>
        </w:tc>
      </w:tr>
      <w:tr w:rsidR="00414229" w:rsidRPr="00D92959" w:rsidTr="00E81DF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E3D7C2" w:themeFill="accent2" w:themeFillTint="66"/>
          </w:tcPr>
          <w:p w:rsidR="00414229" w:rsidRPr="00E81DF7" w:rsidRDefault="00414229" w:rsidP="002939AC">
            <w:pPr>
              <w:pStyle w:val="ReportMeasureTitle"/>
              <w:rPr>
                <w:lang w:eastAsia="en-AU"/>
              </w:rPr>
            </w:pPr>
            <w:r w:rsidRPr="00414229">
              <w:rPr>
                <w:lang w:eastAsia="en-AU"/>
              </w:rPr>
              <w:t>Simpler processes for small to medium enterprise (SME) clients</w:t>
            </w:r>
          </w:p>
        </w:tc>
      </w:tr>
      <w:tr w:rsidR="00414229" w:rsidRPr="00D92959" w:rsidTr="00D24814">
        <w:trPr>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F1EBE0" w:themeFill="accent2" w:themeFillTint="33"/>
          </w:tcPr>
          <w:p w:rsidR="00414229" w:rsidRDefault="00414229" w:rsidP="00414229">
            <w:pPr>
              <w:pStyle w:val="ReportBulletPoint"/>
              <w:rPr>
                <w:noProof/>
              </w:rPr>
            </w:pPr>
            <w:r>
              <w:rPr>
                <w:noProof/>
              </w:rPr>
              <w:t>During the period January to July 2014, the Export Finance and Insurance Corporation (EFIC) phased in a series of improvements to the way it provides services to SMEs.</w:t>
            </w:r>
          </w:p>
          <w:p w:rsidR="00414229" w:rsidRDefault="00414229" w:rsidP="00414229">
            <w:pPr>
              <w:pStyle w:val="ReportBulletPoint"/>
              <w:rPr>
                <w:noProof/>
              </w:rPr>
            </w:pPr>
            <w:r>
              <w:rPr>
                <w:noProof/>
              </w:rPr>
              <w:t>These improvements simplify the assessment of transactions for SMEs to better service smaller emerging exporters and have reduced the average execution time by 40 per cent. With continued reform, EFIC expects further reductions over time. EFIC estimates that an SME will save an average of $5,000 per export contract supported under the new process.</w:t>
            </w:r>
          </w:p>
          <w:p w:rsidR="00414229" w:rsidRDefault="00414229" w:rsidP="00414229">
            <w:pPr>
              <w:pStyle w:val="ReportBulletPoint"/>
              <w:rPr>
                <w:noProof/>
              </w:rPr>
            </w:pPr>
            <w:r>
              <w:rPr>
                <w:noProof/>
              </w:rPr>
              <w:t>EFIC has also simplified legal documentation for Performance Bonds and Export Working Capital Guarantees. SMEs will now benefit from shorter, simpler documentation with clients receiving standard terms and conditions and 3-5 pages of contract details specific to their facility, a significant reduction in documentation.</w:t>
            </w:r>
          </w:p>
          <w:p w:rsidR="00414229" w:rsidRPr="00E81DF7" w:rsidRDefault="00414229" w:rsidP="00414229">
            <w:pPr>
              <w:pStyle w:val="ReportBulletPoint"/>
              <w:rPr>
                <w:lang w:eastAsia="en-AU"/>
              </w:rPr>
            </w:pPr>
            <w:r>
              <w:rPr>
                <w:noProof/>
              </w:rPr>
              <w:t xml:space="preserve">The Department of Foreign Affairs and Trade has estimated that this will </w:t>
            </w:r>
            <w:r w:rsidR="00E6458E">
              <w:rPr>
                <w:noProof/>
              </w:rPr>
              <w:t>lead to an annual saving of $0.15</w:t>
            </w:r>
            <w:r w:rsidR="00FB2046">
              <w:rPr>
                <w:noProof/>
              </w:rPr>
              <w:t>5</w:t>
            </w:r>
            <w:r>
              <w:rPr>
                <w:noProof/>
              </w:rPr>
              <w:t xml:space="preserve"> million in compliance costs.</w:t>
            </w:r>
          </w:p>
        </w:tc>
      </w:tr>
      <w:tr w:rsidR="00D24814" w:rsidRPr="00D92959" w:rsidTr="00E81DF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E3D7C2" w:themeFill="accent2" w:themeFillTint="66"/>
          </w:tcPr>
          <w:p w:rsidR="00D24814" w:rsidRPr="00801FEE" w:rsidRDefault="00D24814" w:rsidP="00367772">
            <w:pPr>
              <w:pStyle w:val="ReportMeasureTitle"/>
              <w:rPr>
                <w:highlight w:val="yellow"/>
                <w:lang w:eastAsia="en-AU"/>
              </w:rPr>
            </w:pPr>
            <w:r w:rsidRPr="00FC0B5F">
              <w:rPr>
                <w:lang w:eastAsia="en-AU"/>
              </w:rPr>
              <w:t>Aust</w:t>
            </w:r>
            <w:r w:rsidR="00367772" w:rsidRPr="00FC0B5F">
              <w:rPr>
                <w:lang w:eastAsia="en-AU"/>
              </w:rPr>
              <w:t>rade – T-QUAL Accreditation</w:t>
            </w:r>
          </w:p>
        </w:tc>
      </w:tr>
      <w:tr w:rsidR="00414229" w:rsidRPr="00D92959" w:rsidTr="00367772">
        <w:trPr>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F1EBE0" w:themeFill="accent2" w:themeFillTint="33"/>
          </w:tcPr>
          <w:p w:rsidR="00414229" w:rsidRPr="00E81DF7" w:rsidRDefault="00FC0B5F" w:rsidP="00FC0B5F">
            <w:pPr>
              <w:pStyle w:val="ReportBulletPoint"/>
              <w:rPr>
                <w:lang w:eastAsia="en-AU"/>
              </w:rPr>
            </w:pPr>
            <w:r>
              <w:rPr>
                <w:noProof/>
              </w:rPr>
              <w:t>T-QUAL Accreditation ceased to operate on 30 June 2014.</w:t>
            </w:r>
            <w:r w:rsidR="0002609C">
              <w:rPr>
                <w:noProof/>
              </w:rPr>
              <w:t xml:space="preserve"> Austrade has estimated that this will lead to $0.22</w:t>
            </w:r>
            <w:r w:rsidR="00FB2046">
              <w:rPr>
                <w:noProof/>
              </w:rPr>
              <w:t>0</w:t>
            </w:r>
            <w:r w:rsidR="0002609C">
              <w:rPr>
                <w:noProof/>
              </w:rPr>
              <w:t xml:space="preserve"> million in compliance costs.</w:t>
            </w:r>
          </w:p>
        </w:tc>
      </w:tr>
      <w:tr w:rsidR="00D24814" w:rsidRPr="00D92959" w:rsidTr="00E81DF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E3D7C2" w:themeFill="accent2" w:themeFillTint="66"/>
          </w:tcPr>
          <w:p w:rsidR="00D24814" w:rsidRPr="00FC0B5F" w:rsidRDefault="00367772" w:rsidP="002939AC">
            <w:pPr>
              <w:pStyle w:val="ReportMeasureTitle"/>
              <w:rPr>
                <w:lang w:eastAsia="en-AU"/>
              </w:rPr>
            </w:pPr>
            <w:r w:rsidRPr="00FC0B5F">
              <w:rPr>
                <w:lang w:eastAsia="en-AU"/>
              </w:rPr>
              <w:t>Austrade - Strategic Tourism Investment Grant Programme</w:t>
            </w:r>
          </w:p>
        </w:tc>
      </w:tr>
      <w:tr w:rsidR="00D24814" w:rsidRPr="00D92959" w:rsidTr="00D24814">
        <w:trPr>
          <w:trHeight w:val="314"/>
        </w:trPr>
        <w:tc>
          <w:tcPr>
            <w:cnfStyle w:val="001000000000" w:firstRow="0" w:lastRow="0" w:firstColumn="1" w:lastColumn="0" w:oddVBand="0" w:evenVBand="0" w:oddHBand="0" w:evenHBand="0" w:firstRowFirstColumn="0" w:firstRowLastColumn="0" w:lastRowFirstColumn="0" w:lastRowLastColumn="0"/>
            <w:tcW w:w="9322" w:type="dxa"/>
            <w:tcBorders>
              <w:left w:val="nil"/>
              <w:right w:val="nil"/>
            </w:tcBorders>
            <w:shd w:val="clear" w:color="auto" w:fill="F1EBE0" w:themeFill="accent2" w:themeFillTint="33"/>
          </w:tcPr>
          <w:p w:rsidR="00D24814" w:rsidRPr="00FC0B5F" w:rsidRDefault="001239FD" w:rsidP="001239FD">
            <w:pPr>
              <w:pStyle w:val="ReportBulletPoint"/>
              <w:rPr>
                <w:lang w:eastAsia="en-AU"/>
              </w:rPr>
            </w:pPr>
            <w:r>
              <w:rPr>
                <w:noProof/>
              </w:rPr>
              <w:t>Uncommitted funds from the T-QUAL Grants programme (including T-QUAL Strategic Tourism Investment Grants) and the Tourism Industry Regional Development Fund (TIRF) programme have been refocussed to support Tourism Demand Driver Infrastructure (TDDI).</w:t>
            </w:r>
            <w:r w:rsidR="0002609C">
              <w:rPr>
                <w:noProof/>
              </w:rPr>
              <w:t xml:space="preserve"> Austrade has estimated that this will lead to $0.02</w:t>
            </w:r>
            <w:r w:rsidR="00FB2046">
              <w:rPr>
                <w:noProof/>
              </w:rPr>
              <w:t>3</w:t>
            </w:r>
            <w:r w:rsidR="0002609C">
              <w:rPr>
                <w:noProof/>
              </w:rPr>
              <w:t xml:space="preserve"> million in compliance costs.</w:t>
            </w:r>
          </w:p>
        </w:tc>
      </w:tr>
    </w:tbl>
    <w:p w:rsidR="00C177BC" w:rsidRDefault="00C177BC" w:rsidP="002939AC">
      <w:pPr>
        <w:pStyle w:val="ReportBodyText"/>
      </w:pPr>
    </w:p>
    <w:p w:rsidR="00C177BC" w:rsidRDefault="00C177BC">
      <w:pPr>
        <w:spacing w:after="200" w:line="276" w:lineRule="auto"/>
        <w:rPr>
          <w:rFonts w:ascii="Verdana" w:hAnsi="Verdana"/>
          <w:sz w:val="20"/>
          <w:szCs w:val="20"/>
        </w:rPr>
      </w:pPr>
      <w:r>
        <w:br w:type="page"/>
      </w:r>
    </w:p>
    <w:p w:rsidR="00D24814" w:rsidRDefault="00D24814" w:rsidP="002939AC">
      <w:pPr>
        <w:pStyle w:val="ReportBodyText"/>
      </w:pPr>
    </w:p>
    <w:p w:rsidR="00DA3924" w:rsidRDefault="00DA3924" w:rsidP="002939AC">
      <w:pPr>
        <w:pStyle w:val="ReportBodyText"/>
      </w:pPr>
    </w:p>
    <w:tbl>
      <w:tblPr>
        <w:tblStyle w:val="LightList-Accent21"/>
        <w:tblpPr w:leftFromText="180" w:rightFromText="180" w:vertAnchor="text" w:horzAnchor="margin" w:tblpY="635"/>
        <w:tblW w:w="9319" w:type="dxa"/>
        <w:tblLook w:val="04A0" w:firstRow="1" w:lastRow="0" w:firstColumn="1" w:lastColumn="0" w:noHBand="0" w:noVBand="1"/>
      </w:tblPr>
      <w:tblGrid>
        <w:gridCol w:w="5739"/>
        <w:gridCol w:w="1752"/>
        <w:gridCol w:w="1828"/>
      </w:tblGrid>
      <w:tr w:rsidR="00371DDB" w:rsidRPr="00371DDB" w:rsidTr="00371DDB">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739" w:type="dxa"/>
          </w:tcPr>
          <w:p w:rsidR="00371DDB" w:rsidRPr="00371DDB" w:rsidRDefault="00371DDB" w:rsidP="00371DDB">
            <w:pPr>
              <w:keepNext/>
              <w:keepLines/>
              <w:spacing w:before="80" w:after="80" w:line="288" w:lineRule="auto"/>
              <w:rPr>
                <w:rFonts w:ascii="Verdana" w:hAnsi="Verdana"/>
                <w:noProof/>
                <w:sz w:val="20"/>
                <w:szCs w:val="20"/>
              </w:rPr>
            </w:pPr>
            <w:r w:rsidRPr="00371DDB">
              <w:rPr>
                <w:rFonts w:ascii="Verdana" w:hAnsi="Verdana"/>
                <w:noProof/>
                <w:sz w:val="20"/>
                <w:szCs w:val="20"/>
              </w:rPr>
              <w:t>Measures Reported but not Implemented in 2014</w:t>
            </w:r>
          </w:p>
        </w:tc>
        <w:tc>
          <w:tcPr>
            <w:tcW w:w="1752" w:type="dxa"/>
          </w:tcPr>
          <w:p w:rsidR="00371DDB" w:rsidRPr="00371DDB" w:rsidRDefault="00371DDB" w:rsidP="00371DDB">
            <w:pPr>
              <w:keepNext/>
              <w:keepLines/>
              <w:spacing w:before="80" w:after="80" w:line="288" w:lineRule="auto"/>
              <w:cnfStyle w:val="100000000000" w:firstRow="1" w:lastRow="0" w:firstColumn="0" w:lastColumn="0" w:oddVBand="0" w:evenVBand="0" w:oddHBand="0" w:evenHBand="0" w:firstRowFirstColumn="0" w:firstRowLastColumn="0" w:lastRowFirstColumn="0" w:lastRowLastColumn="0"/>
              <w:rPr>
                <w:rFonts w:ascii="Verdana" w:hAnsi="Verdana"/>
                <w:noProof/>
                <w:sz w:val="20"/>
                <w:szCs w:val="20"/>
              </w:rPr>
            </w:pPr>
            <w:r w:rsidRPr="00371DDB">
              <w:rPr>
                <w:rFonts w:ascii="Verdana" w:hAnsi="Verdana"/>
                <w:noProof/>
                <w:sz w:val="20"/>
                <w:szCs w:val="20"/>
              </w:rPr>
              <w:t>Saving reported</w:t>
            </w:r>
          </w:p>
          <w:p w:rsidR="00371DDB" w:rsidRPr="00371DDB" w:rsidRDefault="00371DDB" w:rsidP="00371DDB">
            <w:pPr>
              <w:spacing w:before="80" w:after="80" w:line="288" w:lineRule="auto"/>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371DDB">
              <w:rPr>
                <w:rFonts w:ascii="Verdana" w:hAnsi="Verdana"/>
                <w:sz w:val="20"/>
                <w:szCs w:val="20"/>
              </w:rPr>
              <w:t>$m</w:t>
            </w:r>
            <w:r w:rsidR="00287FF4">
              <w:rPr>
                <w:rFonts w:ascii="Verdana" w:hAnsi="Verdana"/>
                <w:sz w:val="20"/>
                <w:szCs w:val="20"/>
              </w:rPr>
              <w:t>illion</w:t>
            </w:r>
          </w:p>
        </w:tc>
        <w:tc>
          <w:tcPr>
            <w:tcW w:w="1828" w:type="dxa"/>
          </w:tcPr>
          <w:p w:rsidR="00371DDB" w:rsidRPr="00371DDB" w:rsidRDefault="00371DDB" w:rsidP="00371DDB">
            <w:pPr>
              <w:keepNext/>
              <w:keepLines/>
              <w:spacing w:before="80" w:after="80" w:line="288" w:lineRule="auto"/>
              <w:cnfStyle w:val="100000000000" w:firstRow="1" w:lastRow="0" w:firstColumn="0" w:lastColumn="0" w:oddVBand="0" w:evenVBand="0" w:oddHBand="0" w:evenHBand="0" w:firstRowFirstColumn="0" w:firstRowLastColumn="0" w:lastRowFirstColumn="0" w:lastRowLastColumn="0"/>
              <w:rPr>
                <w:rFonts w:ascii="Verdana" w:hAnsi="Verdana"/>
                <w:noProof/>
                <w:sz w:val="20"/>
                <w:szCs w:val="20"/>
              </w:rPr>
            </w:pPr>
            <w:r w:rsidRPr="00371DDB">
              <w:rPr>
                <w:rFonts w:ascii="Verdana" w:hAnsi="Verdana"/>
                <w:noProof/>
                <w:sz w:val="20"/>
                <w:szCs w:val="20"/>
              </w:rPr>
              <w:t>Status</w:t>
            </w:r>
          </w:p>
        </w:tc>
      </w:tr>
      <w:tr w:rsidR="00371DDB" w:rsidRPr="00371DDB" w:rsidTr="00371DD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739" w:type="dxa"/>
          </w:tcPr>
          <w:p w:rsidR="00371DDB" w:rsidRPr="00371DDB" w:rsidRDefault="00371DDB" w:rsidP="00371DDB">
            <w:pPr>
              <w:spacing w:before="80" w:after="80" w:line="288" w:lineRule="auto"/>
              <w:rPr>
                <w:rFonts w:ascii="Verdana" w:hAnsi="Verdana"/>
                <w:sz w:val="20"/>
                <w:szCs w:val="20"/>
              </w:rPr>
            </w:pPr>
            <w:r w:rsidRPr="00371DDB">
              <w:rPr>
                <w:rFonts w:ascii="Verdana" w:hAnsi="Verdana"/>
                <w:sz w:val="20"/>
                <w:szCs w:val="20"/>
              </w:rPr>
              <w:t>Changes to Passport Application Forms</w:t>
            </w:r>
          </w:p>
        </w:tc>
        <w:tc>
          <w:tcPr>
            <w:tcW w:w="1752" w:type="dxa"/>
          </w:tcPr>
          <w:p w:rsidR="00371DDB" w:rsidRPr="00371DDB" w:rsidRDefault="00287FF4" w:rsidP="00287FF4">
            <w:pPr>
              <w:spacing w:before="80" w:after="80" w:line="288" w:lineRule="auto"/>
              <w:cnfStyle w:val="000000100000" w:firstRow="0" w:lastRow="0" w:firstColumn="0" w:lastColumn="0" w:oddVBand="0" w:evenVBand="0" w:oddHBand="1" w:evenHBand="0" w:firstRowFirstColumn="0" w:firstRowLastColumn="0" w:lastRowFirstColumn="0" w:lastRowLastColumn="0"/>
              <w:rPr>
                <w:rFonts w:ascii="Verdana" w:hAnsi="Verdana"/>
                <w:noProof/>
                <w:sz w:val="20"/>
                <w:szCs w:val="20"/>
              </w:rPr>
            </w:pPr>
            <w:r>
              <w:rPr>
                <w:rFonts w:ascii="Verdana" w:hAnsi="Verdana"/>
                <w:noProof/>
                <w:sz w:val="20"/>
                <w:szCs w:val="20"/>
              </w:rPr>
              <w:t>-$4.</w:t>
            </w:r>
            <w:r w:rsidR="00371DDB" w:rsidRPr="00371DDB">
              <w:rPr>
                <w:rFonts w:ascii="Verdana" w:hAnsi="Verdana"/>
                <w:noProof/>
                <w:sz w:val="20"/>
                <w:szCs w:val="20"/>
              </w:rPr>
              <w:t>668</w:t>
            </w:r>
          </w:p>
        </w:tc>
        <w:tc>
          <w:tcPr>
            <w:tcW w:w="1828" w:type="dxa"/>
          </w:tcPr>
          <w:p w:rsidR="00371DDB" w:rsidRPr="00371DDB" w:rsidRDefault="00371DDB" w:rsidP="00371DDB">
            <w:pPr>
              <w:spacing w:before="80" w:after="80" w:line="288" w:lineRule="auto"/>
              <w:cnfStyle w:val="000000100000" w:firstRow="0" w:lastRow="0" w:firstColumn="0" w:lastColumn="0" w:oddVBand="0" w:evenVBand="0" w:oddHBand="1" w:evenHBand="0" w:firstRowFirstColumn="0" w:firstRowLastColumn="0" w:lastRowFirstColumn="0" w:lastRowLastColumn="0"/>
              <w:rPr>
                <w:rFonts w:ascii="Verdana" w:hAnsi="Verdana"/>
                <w:noProof/>
                <w:sz w:val="20"/>
                <w:szCs w:val="20"/>
              </w:rPr>
            </w:pPr>
            <w:r w:rsidRPr="00371DDB">
              <w:rPr>
                <w:rFonts w:ascii="Verdana" w:hAnsi="Verdana"/>
                <w:noProof/>
                <w:sz w:val="20"/>
                <w:szCs w:val="20"/>
              </w:rPr>
              <w:t>Yet to be introduced</w:t>
            </w:r>
          </w:p>
        </w:tc>
      </w:tr>
      <w:tr w:rsidR="00371DDB" w:rsidRPr="00371DDB" w:rsidTr="00371DDB">
        <w:trPr>
          <w:trHeight w:val="314"/>
        </w:trPr>
        <w:tc>
          <w:tcPr>
            <w:cnfStyle w:val="001000000000" w:firstRow="0" w:lastRow="0" w:firstColumn="1" w:lastColumn="0" w:oddVBand="0" w:evenVBand="0" w:oddHBand="0" w:evenHBand="0" w:firstRowFirstColumn="0" w:firstRowLastColumn="0" w:lastRowFirstColumn="0" w:lastRowLastColumn="0"/>
            <w:tcW w:w="5739" w:type="dxa"/>
          </w:tcPr>
          <w:p w:rsidR="00371DDB" w:rsidRPr="00371DDB" w:rsidRDefault="00371DDB" w:rsidP="00371DDB">
            <w:pPr>
              <w:spacing w:before="80" w:after="80" w:line="288" w:lineRule="auto"/>
              <w:rPr>
                <w:rFonts w:ascii="Verdana" w:hAnsi="Verdana"/>
                <w:sz w:val="20"/>
                <w:szCs w:val="20"/>
              </w:rPr>
            </w:pPr>
            <w:r w:rsidRPr="00371DDB">
              <w:rPr>
                <w:rFonts w:ascii="Verdana" w:hAnsi="Verdana"/>
                <w:noProof/>
                <w:sz w:val="20"/>
                <w:szCs w:val="20"/>
              </w:rPr>
              <w:t>Amendment to the EFIC Act 1991 to allow direct lending for export transactions involving all goods not just capital goods</w:t>
            </w:r>
          </w:p>
        </w:tc>
        <w:tc>
          <w:tcPr>
            <w:tcW w:w="1752" w:type="dxa"/>
          </w:tcPr>
          <w:p w:rsidR="00371DDB" w:rsidRPr="00371DDB" w:rsidRDefault="00371DDB" w:rsidP="00C10F36">
            <w:pPr>
              <w:spacing w:before="80" w:after="80" w:line="288" w:lineRule="auto"/>
              <w:cnfStyle w:val="000000000000" w:firstRow="0" w:lastRow="0" w:firstColumn="0" w:lastColumn="0" w:oddVBand="0" w:evenVBand="0" w:oddHBand="0" w:evenHBand="0" w:firstRowFirstColumn="0" w:firstRowLastColumn="0" w:lastRowFirstColumn="0" w:lastRowLastColumn="0"/>
              <w:rPr>
                <w:rFonts w:ascii="Verdana" w:hAnsi="Verdana"/>
                <w:noProof/>
                <w:sz w:val="20"/>
                <w:szCs w:val="20"/>
              </w:rPr>
            </w:pPr>
            <w:r w:rsidRPr="00371DDB">
              <w:rPr>
                <w:rFonts w:ascii="Verdana" w:hAnsi="Verdana"/>
                <w:noProof/>
                <w:sz w:val="20"/>
                <w:szCs w:val="20"/>
              </w:rPr>
              <w:t>-$1</w:t>
            </w:r>
            <w:r w:rsidR="00C10F36">
              <w:rPr>
                <w:rFonts w:ascii="Verdana" w:hAnsi="Verdana"/>
                <w:noProof/>
                <w:sz w:val="20"/>
                <w:szCs w:val="20"/>
              </w:rPr>
              <w:t>.</w:t>
            </w:r>
            <w:r w:rsidRPr="00371DDB">
              <w:rPr>
                <w:rFonts w:ascii="Verdana" w:hAnsi="Verdana"/>
                <w:noProof/>
                <w:sz w:val="20"/>
                <w:szCs w:val="20"/>
              </w:rPr>
              <w:t>300</w:t>
            </w:r>
          </w:p>
        </w:tc>
        <w:tc>
          <w:tcPr>
            <w:tcW w:w="1828" w:type="dxa"/>
          </w:tcPr>
          <w:p w:rsidR="00371DDB" w:rsidRPr="00371DDB" w:rsidRDefault="00371DDB" w:rsidP="00371DDB">
            <w:pPr>
              <w:spacing w:before="80" w:after="80" w:line="288" w:lineRule="auto"/>
              <w:cnfStyle w:val="000000000000" w:firstRow="0" w:lastRow="0" w:firstColumn="0" w:lastColumn="0" w:oddVBand="0" w:evenVBand="0" w:oddHBand="0" w:evenHBand="0" w:firstRowFirstColumn="0" w:firstRowLastColumn="0" w:lastRowFirstColumn="0" w:lastRowLastColumn="0"/>
              <w:rPr>
                <w:rFonts w:ascii="Verdana" w:hAnsi="Verdana"/>
                <w:noProof/>
                <w:sz w:val="20"/>
                <w:szCs w:val="20"/>
              </w:rPr>
            </w:pPr>
            <w:r w:rsidRPr="00371DDB">
              <w:rPr>
                <w:rFonts w:ascii="Verdana" w:hAnsi="Verdana"/>
                <w:noProof/>
                <w:sz w:val="20"/>
                <w:szCs w:val="20"/>
              </w:rPr>
              <w:t>Before the Senate</w:t>
            </w:r>
          </w:p>
        </w:tc>
      </w:tr>
      <w:tr w:rsidR="00371DDB" w:rsidRPr="00371DDB" w:rsidTr="00371DD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739" w:type="dxa"/>
          </w:tcPr>
          <w:p w:rsidR="00371DDB" w:rsidRPr="00371DDB" w:rsidRDefault="00371DDB" w:rsidP="00371DDB">
            <w:pPr>
              <w:spacing w:before="80" w:after="80" w:line="288" w:lineRule="auto"/>
              <w:rPr>
                <w:rFonts w:ascii="Verdana" w:hAnsi="Verdana"/>
                <w:noProof/>
                <w:sz w:val="20"/>
                <w:szCs w:val="20"/>
              </w:rPr>
            </w:pPr>
            <w:r w:rsidRPr="00371DDB">
              <w:rPr>
                <w:rFonts w:ascii="Verdana" w:hAnsi="Verdana"/>
                <w:noProof/>
                <w:sz w:val="20"/>
                <w:szCs w:val="20"/>
              </w:rPr>
              <w:t>New Colombo Plan Update (Amalgamation of PM's Australia Asia Awards and undergraduate AsiaBound under NCP)</w:t>
            </w:r>
          </w:p>
        </w:tc>
        <w:tc>
          <w:tcPr>
            <w:tcW w:w="1752" w:type="dxa"/>
          </w:tcPr>
          <w:p w:rsidR="00371DDB" w:rsidRPr="00371DDB" w:rsidRDefault="00371DDB" w:rsidP="00C10F36">
            <w:pPr>
              <w:spacing w:before="80" w:after="80" w:line="288" w:lineRule="auto"/>
              <w:cnfStyle w:val="000000100000" w:firstRow="0" w:lastRow="0" w:firstColumn="0" w:lastColumn="0" w:oddVBand="0" w:evenVBand="0" w:oddHBand="1" w:evenHBand="0" w:firstRowFirstColumn="0" w:firstRowLastColumn="0" w:lastRowFirstColumn="0" w:lastRowLastColumn="0"/>
              <w:rPr>
                <w:rFonts w:ascii="Verdana" w:hAnsi="Verdana"/>
                <w:noProof/>
                <w:sz w:val="20"/>
                <w:szCs w:val="20"/>
              </w:rPr>
            </w:pPr>
            <w:r w:rsidRPr="00371DDB">
              <w:rPr>
                <w:rFonts w:ascii="Verdana" w:hAnsi="Verdana"/>
                <w:noProof/>
                <w:sz w:val="20"/>
                <w:szCs w:val="20"/>
              </w:rPr>
              <w:t>-$</w:t>
            </w:r>
            <w:r w:rsidR="00C10F36">
              <w:rPr>
                <w:rFonts w:ascii="Verdana" w:hAnsi="Verdana"/>
                <w:noProof/>
                <w:sz w:val="20"/>
                <w:szCs w:val="20"/>
              </w:rPr>
              <w:t>0.0</w:t>
            </w:r>
            <w:r w:rsidRPr="00371DDB">
              <w:rPr>
                <w:rFonts w:ascii="Verdana" w:hAnsi="Verdana"/>
                <w:noProof/>
                <w:sz w:val="20"/>
                <w:szCs w:val="20"/>
              </w:rPr>
              <w:t>6</w:t>
            </w:r>
          </w:p>
        </w:tc>
        <w:tc>
          <w:tcPr>
            <w:tcW w:w="1828" w:type="dxa"/>
          </w:tcPr>
          <w:p w:rsidR="00371DDB" w:rsidRPr="00371DDB" w:rsidRDefault="00371DDB" w:rsidP="00371DDB">
            <w:pPr>
              <w:spacing w:before="80" w:after="80" w:line="288" w:lineRule="auto"/>
              <w:cnfStyle w:val="000000100000" w:firstRow="0" w:lastRow="0" w:firstColumn="0" w:lastColumn="0" w:oddVBand="0" w:evenVBand="0" w:oddHBand="1" w:evenHBand="0" w:firstRowFirstColumn="0" w:firstRowLastColumn="0" w:lastRowFirstColumn="0" w:lastRowLastColumn="0"/>
              <w:rPr>
                <w:rFonts w:ascii="Verdana" w:hAnsi="Verdana"/>
                <w:noProof/>
                <w:sz w:val="20"/>
                <w:szCs w:val="20"/>
              </w:rPr>
            </w:pPr>
            <w:r w:rsidRPr="00371DDB">
              <w:rPr>
                <w:rFonts w:ascii="Verdana" w:hAnsi="Verdana"/>
                <w:noProof/>
                <w:sz w:val="20"/>
                <w:szCs w:val="20"/>
              </w:rPr>
              <w:t>Partially implemented</w:t>
            </w:r>
          </w:p>
        </w:tc>
      </w:tr>
      <w:tr w:rsidR="00371DDB" w:rsidRPr="00371DDB" w:rsidTr="00371DDB">
        <w:trPr>
          <w:trHeight w:val="314"/>
        </w:trPr>
        <w:tc>
          <w:tcPr>
            <w:cnfStyle w:val="001000000000" w:firstRow="0" w:lastRow="0" w:firstColumn="1" w:lastColumn="0" w:oddVBand="0" w:evenVBand="0" w:oddHBand="0" w:evenHBand="0" w:firstRowFirstColumn="0" w:firstRowLastColumn="0" w:lastRowFirstColumn="0" w:lastRowLastColumn="0"/>
            <w:tcW w:w="5739" w:type="dxa"/>
          </w:tcPr>
          <w:p w:rsidR="00371DDB" w:rsidRPr="00371DDB" w:rsidRDefault="00371DDB" w:rsidP="00371DDB">
            <w:pPr>
              <w:spacing w:before="80" w:after="80" w:line="288" w:lineRule="auto"/>
              <w:rPr>
                <w:rFonts w:ascii="Verdana" w:hAnsi="Verdana"/>
                <w:noProof/>
                <w:sz w:val="20"/>
                <w:szCs w:val="20"/>
              </w:rPr>
            </w:pPr>
            <w:r w:rsidRPr="00371DDB">
              <w:rPr>
                <w:rFonts w:ascii="Verdana" w:hAnsi="Verdana"/>
                <w:noProof/>
                <w:sz w:val="20"/>
                <w:szCs w:val="20"/>
              </w:rPr>
              <w:t>Austrade – Tourism Industry Regional Development Fund</w:t>
            </w:r>
          </w:p>
        </w:tc>
        <w:tc>
          <w:tcPr>
            <w:tcW w:w="1752" w:type="dxa"/>
          </w:tcPr>
          <w:p w:rsidR="00371DDB" w:rsidRPr="00371DDB" w:rsidRDefault="00C10F36" w:rsidP="00371DDB">
            <w:pPr>
              <w:spacing w:before="80" w:after="80" w:line="288" w:lineRule="auto"/>
              <w:cnfStyle w:val="000000000000" w:firstRow="0" w:lastRow="0" w:firstColumn="0" w:lastColumn="0" w:oddVBand="0" w:evenVBand="0" w:oddHBand="0" w:evenHBand="0" w:firstRowFirstColumn="0" w:firstRowLastColumn="0" w:lastRowFirstColumn="0" w:lastRowLastColumn="0"/>
              <w:rPr>
                <w:rFonts w:ascii="Verdana" w:hAnsi="Verdana"/>
                <w:noProof/>
                <w:sz w:val="20"/>
                <w:szCs w:val="20"/>
              </w:rPr>
            </w:pPr>
            <w:r>
              <w:rPr>
                <w:rFonts w:ascii="Verdana" w:hAnsi="Verdana"/>
                <w:noProof/>
                <w:sz w:val="20"/>
                <w:szCs w:val="20"/>
              </w:rPr>
              <w:t>-$0.228</w:t>
            </w:r>
          </w:p>
        </w:tc>
        <w:tc>
          <w:tcPr>
            <w:tcW w:w="1828" w:type="dxa"/>
          </w:tcPr>
          <w:p w:rsidR="00371DDB" w:rsidRPr="00371DDB" w:rsidRDefault="00371DDB" w:rsidP="00371DDB">
            <w:pPr>
              <w:spacing w:before="80" w:after="80" w:line="288" w:lineRule="auto"/>
              <w:cnfStyle w:val="000000000000" w:firstRow="0" w:lastRow="0" w:firstColumn="0" w:lastColumn="0" w:oddVBand="0" w:evenVBand="0" w:oddHBand="0" w:evenHBand="0" w:firstRowFirstColumn="0" w:firstRowLastColumn="0" w:lastRowFirstColumn="0" w:lastRowLastColumn="0"/>
              <w:rPr>
                <w:rFonts w:ascii="Verdana" w:hAnsi="Verdana"/>
                <w:noProof/>
                <w:sz w:val="20"/>
                <w:szCs w:val="20"/>
              </w:rPr>
            </w:pPr>
            <w:r w:rsidRPr="00371DDB">
              <w:rPr>
                <w:rFonts w:ascii="Verdana" w:hAnsi="Verdana"/>
                <w:noProof/>
                <w:sz w:val="20"/>
                <w:szCs w:val="20"/>
              </w:rPr>
              <w:t>Partially implemented</w:t>
            </w:r>
          </w:p>
        </w:tc>
      </w:tr>
      <w:tr w:rsidR="00371DDB" w:rsidRPr="00371DDB" w:rsidTr="00371DD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739" w:type="dxa"/>
          </w:tcPr>
          <w:p w:rsidR="00371DDB" w:rsidRPr="00371DDB" w:rsidRDefault="00371DDB" w:rsidP="00371DDB">
            <w:pPr>
              <w:spacing w:before="80" w:after="80" w:line="288" w:lineRule="auto"/>
              <w:rPr>
                <w:rFonts w:ascii="Verdana" w:hAnsi="Verdana"/>
                <w:noProof/>
                <w:sz w:val="20"/>
                <w:szCs w:val="20"/>
              </w:rPr>
            </w:pPr>
            <w:r w:rsidRPr="00371DDB">
              <w:rPr>
                <w:rFonts w:ascii="Verdana" w:hAnsi="Verdana"/>
                <w:noProof/>
                <w:sz w:val="20"/>
                <w:szCs w:val="20"/>
              </w:rPr>
              <w:t>Austrade – Tourism Quality Projects Grant Programme</w:t>
            </w:r>
          </w:p>
        </w:tc>
        <w:tc>
          <w:tcPr>
            <w:tcW w:w="1752" w:type="dxa"/>
          </w:tcPr>
          <w:p w:rsidR="00371DDB" w:rsidRPr="00371DDB" w:rsidRDefault="00371DDB" w:rsidP="00C10F36">
            <w:pPr>
              <w:spacing w:before="80" w:after="80" w:line="288" w:lineRule="auto"/>
              <w:cnfStyle w:val="000000100000" w:firstRow="0" w:lastRow="0" w:firstColumn="0" w:lastColumn="0" w:oddVBand="0" w:evenVBand="0" w:oddHBand="1" w:evenHBand="0" w:firstRowFirstColumn="0" w:firstRowLastColumn="0" w:lastRowFirstColumn="0" w:lastRowLastColumn="0"/>
              <w:rPr>
                <w:rFonts w:ascii="Verdana" w:hAnsi="Verdana"/>
                <w:noProof/>
                <w:sz w:val="20"/>
                <w:szCs w:val="20"/>
              </w:rPr>
            </w:pPr>
            <w:r w:rsidRPr="00371DDB">
              <w:rPr>
                <w:rFonts w:ascii="Verdana" w:hAnsi="Verdana"/>
                <w:noProof/>
                <w:sz w:val="20"/>
                <w:szCs w:val="20"/>
              </w:rPr>
              <w:t>-$</w:t>
            </w:r>
            <w:r w:rsidR="00C10F36">
              <w:rPr>
                <w:rFonts w:ascii="Verdana" w:hAnsi="Verdana"/>
                <w:noProof/>
                <w:sz w:val="20"/>
                <w:szCs w:val="20"/>
              </w:rPr>
              <w:t>0.0</w:t>
            </w:r>
            <w:r w:rsidRPr="00371DDB">
              <w:rPr>
                <w:rFonts w:ascii="Verdana" w:hAnsi="Verdana"/>
                <w:noProof/>
                <w:sz w:val="20"/>
                <w:szCs w:val="20"/>
              </w:rPr>
              <w:t>7</w:t>
            </w:r>
          </w:p>
        </w:tc>
        <w:tc>
          <w:tcPr>
            <w:tcW w:w="1828" w:type="dxa"/>
          </w:tcPr>
          <w:p w:rsidR="00371DDB" w:rsidRPr="00371DDB" w:rsidRDefault="00371DDB" w:rsidP="00371DDB">
            <w:pPr>
              <w:spacing w:before="80" w:after="80" w:line="288" w:lineRule="auto"/>
              <w:cnfStyle w:val="000000100000" w:firstRow="0" w:lastRow="0" w:firstColumn="0" w:lastColumn="0" w:oddVBand="0" w:evenVBand="0" w:oddHBand="1" w:evenHBand="0" w:firstRowFirstColumn="0" w:firstRowLastColumn="0" w:lastRowFirstColumn="0" w:lastRowLastColumn="0"/>
              <w:rPr>
                <w:rFonts w:ascii="Verdana" w:hAnsi="Verdana"/>
                <w:noProof/>
                <w:sz w:val="20"/>
                <w:szCs w:val="20"/>
              </w:rPr>
            </w:pPr>
            <w:r w:rsidRPr="00371DDB">
              <w:rPr>
                <w:rFonts w:ascii="Verdana" w:hAnsi="Verdana"/>
                <w:noProof/>
                <w:sz w:val="20"/>
                <w:szCs w:val="20"/>
              </w:rPr>
              <w:t>Partially implemented</w:t>
            </w:r>
          </w:p>
        </w:tc>
      </w:tr>
    </w:tbl>
    <w:p w:rsidR="00371DDB" w:rsidRDefault="00371DDB" w:rsidP="002939AC">
      <w:pPr>
        <w:pStyle w:val="ReportBodyText"/>
      </w:pPr>
    </w:p>
    <w:p w:rsidR="00DA3924" w:rsidRDefault="00DA3924">
      <w:pPr>
        <w:spacing w:after="200" w:line="276" w:lineRule="auto"/>
        <w:rPr>
          <w:rFonts w:ascii="Verdana" w:hAnsi="Verdana"/>
          <w:sz w:val="20"/>
          <w:szCs w:val="20"/>
        </w:rPr>
      </w:pPr>
      <w:r>
        <w:br w:type="page"/>
      </w:r>
    </w:p>
    <w:p w:rsidR="00BF2DB7" w:rsidRPr="00B766C7" w:rsidRDefault="00162B60" w:rsidP="00D4048A">
      <w:pPr>
        <w:pStyle w:val="Documenttitle02"/>
      </w:pPr>
      <w:bookmarkStart w:id="9" w:name="_Toc402873296"/>
      <w:r w:rsidRPr="00B766C7">
        <w:t>Appendix B</w:t>
      </w:r>
      <w:r w:rsidR="008009B5" w:rsidRPr="00B766C7">
        <w:t>:</w:t>
      </w:r>
      <w:r w:rsidR="00005974" w:rsidRPr="00B766C7">
        <w:t xml:space="preserve"> </w:t>
      </w:r>
      <w:r w:rsidR="00BF2DB7" w:rsidRPr="00B766C7">
        <w:t>Legislation administered</w:t>
      </w:r>
      <w:bookmarkEnd w:id="9"/>
    </w:p>
    <w:p w:rsidR="00B203CF" w:rsidRDefault="00B203CF" w:rsidP="00B203CF">
      <w:pPr>
        <w:pStyle w:val="Legislationadministered"/>
      </w:pPr>
      <w:r>
        <w:t>Anti-Personnel Mines Convention Act 1998</w:t>
      </w:r>
    </w:p>
    <w:p w:rsidR="00B203CF" w:rsidRDefault="00B203CF" w:rsidP="00B203CF">
      <w:pPr>
        <w:pStyle w:val="Legislationadministered"/>
      </w:pPr>
      <w:r>
        <w:t>Australian Centre for International Agricultural Research Act 1982</w:t>
      </w:r>
    </w:p>
    <w:p w:rsidR="00B203CF" w:rsidRDefault="00B203CF" w:rsidP="00B203CF">
      <w:pPr>
        <w:pStyle w:val="Legislationadministered"/>
      </w:pPr>
      <w:r>
        <w:t>Australian Civilian Corps Act 2011</w:t>
      </w:r>
    </w:p>
    <w:p w:rsidR="00B203CF" w:rsidRDefault="00B203CF" w:rsidP="00B203CF">
      <w:pPr>
        <w:pStyle w:val="Legislationadministered"/>
      </w:pPr>
      <w:r>
        <w:t>Australian Passports Act 2005</w:t>
      </w:r>
    </w:p>
    <w:p w:rsidR="00B203CF" w:rsidRDefault="00B203CF" w:rsidP="00B203CF">
      <w:pPr>
        <w:pStyle w:val="Legislationadministered"/>
      </w:pPr>
      <w:r>
        <w:t>Australian Passports (Application Fees) Act 2005</w:t>
      </w:r>
    </w:p>
    <w:p w:rsidR="00B203CF" w:rsidRDefault="00B203CF" w:rsidP="00B203CF">
      <w:pPr>
        <w:pStyle w:val="Legislationadministered"/>
      </w:pPr>
      <w:r>
        <w:t>Australian Passports (Transitionals and Consequentials) Act 2005</w:t>
      </w:r>
    </w:p>
    <w:p w:rsidR="00B203CF" w:rsidRDefault="00B203CF" w:rsidP="00B203CF">
      <w:pPr>
        <w:pStyle w:val="Legislationadministered"/>
      </w:pPr>
      <w:r>
        <w:t>Australian Trade Commission Act 1985</w:t>
      </w:r>
    </w:p>
    <w:p w:rsidR="00B203CF" w:rsidRDefault="00B203CF" w:rsidP="00B203CF">
      <w:pPr>
        <w:pStyle w:val="Legislationadministered"/>
      </w:pPr>
      <w:r>
        <w:t>Australian Trade Commission (Transitional Provisions and Consequential Amendments) Act 1985</w:t>
      </w:r>
    </w:p>
    <w:p w:rsidR="00B203CF" w:rsidRDefault="00B203CF" w:rsidP="00B203CF">
      <w:pPr>
        <w:pStyle w:val="Legislationadministered"/>
      </w:pPr>
      <w:r>
        <w:t>Autonomous Sanctions Act 2011</w:t>
      </w:r>
    </w:p>
    <w:p w:rsidR="00B203CF" w:rsidRDefault="00B203CF" w:rsidP="00B203CF">
      <w:pPr>
        <w:pStyle w:val="Legislationadministered"/>
      </w:pPr>
      <w:r>
        <w:t>Charter of the United Nations Act 1945</w:t>
      </w:r>
    </w:p>
    <w:p w:rsidR="00B203CF" w:rsidRDefault="00B203CF" w:rsidP="00B203CF">
      <w:pPr>
        <w:pStyle w:val="Legislationadministered"/>
      </w:pPr>
      <w:r>
        <w:t>Chemical Weapons (Prohibition) Act 1994</w:t>
      </w:r>
    </w:p>
    <w:p w:rsidR="00B203CF" w:rsidRDefault="00B203CF" w:rsidP="00B203CF">
      <w:pPr>
        <w:pStyle w:val="Legislationadministered"/>
      </w:pPr>
      <w:r>
        <w:t>Comprehensive Nuclear Test-Ban Treaty Act 1998</w:t>
      </w:r>
    </w:p>
    <w:p w:rsidR="00B203CF" w:rsidRDefault="00B203CF" w:rsidP="00B203CF">
      <w:pPr>
        <w:pStyle w:val="Legislationadministered"/>
      </w:pPr>
      <w:r>
        <w:t>Consular Fees Act 1955</w:t>
      </w:r>
    </w:p>
    <w:p w:rsidR="00B203CF" w:rsidRDefault="00B203CF" w:rsidP="00B203CF">
      <w:pPr>
        <w:pStyle w:val="Legislationadministered"/>
      </w:pPr>
      <w:r>
        <w:t>Consular Privileges and Immunities Act 1972</w:t>
      </w:r>
    </w:p>
    <w:p w:rsidR="00B203CF" w:rsidRDefault="00B203CF" w:rsidP="00B203CF">
      <w:pPr>
        <w:pStyle w:val="Legislationadministered"/>
      </w:pPr>
      <w:r>
        <w:t>Diplomatic and Consular Missions Act 1978</w:t>
      </w:r>
    </w:p>
    <w:p w:rsidR="00B203CF" w:rsidRDefault="00B203CF" w:rsidP="00B203CF">
      <w:pPr>
        <w:pStyle w:val="Legislationadministered"/>
      </w:pPr>
      <w:r>
        <w:t>Diplomatic Privileges and Immunities Act 1967</w:t>
      </w:r>
    </w:p>
    <w:p w:rsidR="00B203CF" w:rsidRDefault="00B203CF" w:rsidP="00B203CF">
      <w:pPr>
        <w:pStyle w:val="Legislationadministered"/>
      </w:pPr>
      <w:r>
        <w:t>Export Finance and Insurance Corporation Act 1991</w:t>
      </w:r>
    </w:p>
    <w:p w:rsidR="00B203CF" w:rsidRDefault="00B203CF" w:rsidP="00B203CF">
      <w:pPr>
        <w:pStyle w:val="Legislationadministered"/>
      </w:pPr>
      <w:r>
        <w:t>Export Finance and Insurance Corporation (Transitional Provisions and Consequential Amendments) Act 1991</w:t>
      </w:r>
    </w:p>
    <w:p w:rsidR="00B203CF" w:rsidRDefault="00B203CF" w:rsidP="00B203CF">
      <w:pPr>
        <w:pStyle w:val="Legislationadministered"/>
      </w:pPr>
      <w:r>
        <w:t>Export Market Development Grants Act 1997</w:t>
      </w:r>
    </w:p>
    <w:p w:rsidR="00B203CF" w:rsidRDefault="00B203CF" w:rsidP="00B203CF">
      <w:pPr>
        <w:pStyle w:val="Legislationadministered"/>
      </w:pPr>
      <w:r>
        <w:t>Export Market Development Grants (Repeal and Consequential Provisions) Act 1997</w:t>
      </w:r>
    </w:p>
    <w:p w:rsidR="00B203CF" w:rsidRDefault="00B203CF" w:rsidP="00B203CF">
      <w:pPr>
        <w:pStyle w:val="Legislationadministered"/>
      </w:pPr>
      <w:r>
        <w:t>Foreign Passports (Law Enforcement and Security) Act 2005</w:t>
      </w:r>
    </w:p>
    <w:p w:rsidR="00B203CF" w:rsidRDefault="00B203CF" w:rsidP="00B203CF">
      <w:pPr>
        <w:pStyle w:val="Legislationadministered"/>
      </w:pPr>
      <w:r>
        <w:t>Intelligence Services Act 2001</w:t>
      </w:r>
      <w:r>
        <w:rPr>
          <w:i w:val="0"/>
        </w:rPr>
        <w:t xml:space="preserve">, except to the extent administered by the </w:t>
      </w:r>
      <w:hyperlink r:id="rId26" w:anchor="_PART_15_THE" w:history="1">
        <w:r>
          <w:rPr>
            <w:rStyle w:val="Hyperlink"/>
            <w:i w:val="0"/>
          </w:rPr>
          <w:t>Prime Minister</w:t>
        </w:r>
      </w:hyperlink>
      <w:r>
        <w:rPr>
          <w:i w:val="0"/>
        </w:rPr>
        <w:t xml:space="preserve">, the </w:t>
      </w:r>
      <w:hyperlink r:id="rId27" w:anchor="_PART_2_THE" w:history="1">
        <w:r>
          <w:rPr>
            <w:rStyle w:val="Hyperlink"/>
            <w:i w:val="0"/>
          </w:rPr>
          <w:t>Attorney-General</w:t>
        </w:r>
      </w:hyperlink>
      <w:r>
        <w:rPr>
          <w:i w:val="0"/>
        </w:rPr>
        <w:t xml:space="preserve"> and the </w:t>
      </w:r>
      <w:hyperlink r:id="rId28" w:anchor="_PART_5_THE" w:history="1">
        <w:r>
          <w:rPr>
            <w:rStyle w:val="Hyperlink"/>
            <w:i w:val="0"/>
          </w:rPr>
          <w:t>Minister for Defence</w:t>
        </w:r>
      </w:hyperlink>
    </w:p>
    <w:p w:rsidR="00B203CF" w:rsidRDefault="00B203CF" w:rsidP="00B203CF">
      <w:pPr>
        <w:pStyle w:val="Legislationadministered"/>
      </w:pPr>
      <w:r>
        <w:t>International Development Association Act 1960</w:t>
      </w:r>
    </w:p>
    <w:p w:rsidR="00B203CF" w:rsidRDefault="00B203CF" w:rsidP="00B203CF">
      <w:pPr>
        <w:pStyle w:val="Legislationadministered"/>
      </w:pPr>
      <w:r>
        <w:t>International Fund for Agricultural Development Act 1977</w:t>
      </w:r>
    </w:p>
    <w:p w:rsidR="00B203CF" w:rsidRDefault="00B203CF" w:rsidP="00B203CF">
      <w:pPr>
        <w:pStyle w:val="Legislationadministered"/>
      </w:pPr>
      <w:r>
        <w:t>International Organisations (Privileges and Immunities) Act 1963</w:t>
      </w:r>
    </w:p>
    <w:p w:rsidR="00B203CF" w:rsidRDefault="00B203CF" w:rsidP="00B203CF">
      <w:pPr>
        <w:pStyle w:val="Legislationadministered"/>
      </w:pPr>
      <w:r>
        <w:t>Nauru Independence Act 1967</w:t>
      </w:r>
    </w:p>
    <w:p w:rsidR="00B203CF" w:rsidRDefault="00B203CF" w:rsidP="00B203CF">
      <w:pPr>
        <w:pStyle w:val="Legislationadministered"/>
      </w:pPr>
      <w:r>
        <w:t>Nuclear Non-Proliferation (Safeguards) Act 1987</w:t>
      </w:r>
    </w:p>
    <w:p w:rsidR="00B203CF" w:rsidRDefault="00B203CF" w:rsidP="00B203CF">
      <w:pPr>
        <w:pStyle w:val="Legislationadministered"/>
      </w:pPr>
      <w:r>
        <w:t>Nuclear Safeguards (Producers of Uranium Ore Concentrates) Charge Act 1993</w:t>
      </w:r>
    </w:p>
    <w:p w:rsidR="00B203CF" w:rsidRDefault="00B203CF" w:rsidP="00B203CF">
      <w:pPr>
        <w:pStyle w:val="Legislationadministered"/>
      </w:pPr>
      <w:r>
        <w:t>Overseas Missions (Privileges and Immunities) Act 1995</w:t>
      </w:r>
    </w:p>
    <w:p w:rsidR="00B203CF" w:rsidRDefault="00B203CF" w:rsidP="00B203CF">
      <w:pPr>
        <w:pStyle w:val="Legislationadministered"/>
      </w:pPr>
      <w:r>
        <w:t>Papua New Guinea Independence Act 1975</w:t>
      </w:r>
    </w:p>
    <w:p w:rsidR="00B203CF" w:rsidRDefault="00B203CF" w:rsidP="00B203CF">
      <w:pPr>
        <w:pStyle w:val="Legislationadministered"/>
      </w:pPr>
      <w:r>
        <w:t>Papua New Guinea (Staffing Assistance) Act 1973</w:t>
      </w:r>
      <w:r>
        <w:rPr>
          <w:i w:val="0"/>
        </w:rPr>
        <w:t xml:space="preserve">, except to the extent administered by the </w:t>
      </w:r>
      <w:hyperlink r:id="rId29" w:anchor="_PART_8_THE" w:history="1">
        <w:r>
          <w:rPr>
            <w:rStyle w:val="Hyperlink"/>
            <w:i w:val="0"/>
          </w:rPr>
          <w:t xml:space="preserve">Minister for Finance </w:t>
        </w:r>
      </w:hyperlink>
    </w:p>
    <w:p w:rsidR="00B203CF" w:rsidRDefault="00B203CF" w:rsidP="00B203CF">
      <w:pPr>
        <w:pStyle w:val="Legislationadministered"/>
      </w:pPr>
      <w:r>
        <w:t>Registration of Deaths Abroad Act 1984</w:t>
      </w:r>
    </w:p>
    <w:p w:rsidR="00B203CF" w:rsidRDefault="00B203CF" w:rsidP="00B203CF">
      <w:pPr>
        <w:pStyle w:val="Legislationadministered"/>
      </w:pPr>
      <w:r>
        <w:t>Security Treaty (Australia, New Zealand and the United States of America) Act 1952</w:t>
      </w:r>
    </w:p>
    <w:p w:rsidR="00B203CF" w:rsidRDefault="00B203CF" w:rsidP="00B203CF">
      <w:pPr>
        <w:pStyle w:val="Legislationadministered"/>
      </w:pPr>
      <w:r>
        <w:t>South Pacific Nuclear Free Zone Treaty Act 1986</w:t>
      </w:r>
    </w:p>
    <w:p w:rsidR="00B203CF" w:rsidRDefault="00B203CF" w:rsidP="00B203CF">
      <w:pPr>
        <w:pStyle w:val="Legislationadministered"/>
      </w:pPr>
      <w:r>
        <w:t>Tourism Australia Act 2004</w:t>
      </w:r>
    </w:p>
    <w:p w:rsidR="00B203CF" w:rsidRDefault="00B203CF" w:rsidP="00B203CF">
      <w:pPr>
        <w:pStyle w:val="Legislationadministered"/>
      </w:pPr>
      <w:r>
        <w:t>Tourism Australia (Repeal and Transitional Provisions) Act 2004</w:t>
      </w:r>
    </w:p>
    <w:p w:rsidR="00B203CF" w:rsidRDefault="00B203CF" w:rsidP="00B203CF">
      <w:pPr>
        <w:pStyle w:val="Legislationadministered"/>
      </w:pPr>
      <w:r>
        <w:t>Trade Representatives Act 1933</w:t>
      </w:r>
    </w:p>
    <w:p w:rsidR="00B203CF" w:rsidRDefault="00B203CF" w:rsidP="00B203CF">
      <w:pPr>
        <w:pStyle w:val="Legislationadministered"/>
      </w:pPr>
      <w:r>
        <w:t>United Nations Educational, Scientific and Cultural Organization Act 1947</w:t>
      </w:r>
    </w:p>
    <w:p w:rsidR="00B203CF" w:rsidRDefault="00B203CF" w:rsidP="00B203CF">
      <w:pPr>
        <w:pStyle w:val="Legislationadministered"/>
        <w:rPr>
          <w:i w:val="0"/>
        </w:rPr>
      </w:pPr>
      <w:r>
        <w:rPr>
          <w:i w:val="0"/>
        </w:rPr>
        <w:t>United States Naval Communications Station Agreement Acts</w:t>
      </w:r>
    </w:p>
    <w:p w:rsidR="00E6458E" w:rsidRPr="004F5E19" w:rsidRDefault="00B203CF" w:rsidP="00B203CF">
      <w:pPr>
        <w:pStyle w:val="Legislationadministered"/>
      </w:pPr>
      <w:r>
        <w:t>US Free Trade Agreement Implementation Act 2004</w:t>
      </w:r>
    </w:p>
    <w:sectPr w:rsidR="00E6458E" w:rsidRPr="004F5E19" w:rsidSect="00D22E68">
      <w:headerReference w:type="default" r:id="rId30"/>
      <w:pgSz w:w="11906" w:h="16838"/>
      <w:pgMar w:top="1440" w:right="1440" w:bottom="851" w:left="1440" w:header="709" w:footer="2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53" w:rsidRDefault="00704753" w:rsidP="0037361C">
      <w:r>
        <w:separator/>
      </w:r>
    </w:p>
  </w:endnote>
  <w:endnote w:type="continuationSeparator" w:id="0">
    <w:p w:rsidR="00704753" w:rsidRDefault="00704753" w:rsidP="003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35" w:rsidRDefault="006C6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704753" w:rsidTr="00874A3A">
      <w:tc>
        <w:tcPr>
          <w:tcW w:w="4500" w:type="pct"/>
        </w:tcPr>
        <w:p w:rsidR="00704753" w:rsidRPr="001014D7" w:rsidRDefault="00704753" w:rsidP="004D591F">
          <w:pPr>
            <w:pStyle w:val="Footer"/>
            <w:rPr>
              <w:szCs w:val="20"/>
            </w:rPr>
          </w:pPr>
          <w:r>
            <w:rPr>
              <w:szCs w:val="20"/>
            </w:rPr>
            <w:t>Foreign Affairs and Trade</w:t>
          </w:r>
          <w:r w:rsidRPr="001014D7">
            <w:rPr>
              <w:szCs w:val="20"/>
            </w:rPr>
            <w:t xml:space="preserve"> Portfolio                       Annual Deregulation Report 2014 </w:t>
          </w:r>
        </w:p>
      </w:tc>
      <w:tc>
        <w:tcPr>
          <w:tcW w:w="500" w:type="pct"/>
          <w:shd w:val="clear" w:color="auto" w:fill="FFFFFF" w:themeFill="background1"/>
        </w:tcPr>
        <w:p w:rsidR="00704753" w:rsidRPr="001014D7" w:rsidRDefault="00704753">
          <w:pPr>
            <w:pStyle w:val="Header"/>
            <w:rPr>
              <w:b/>
              <w:color w:val="FFFFFF" w:themeColor="background1"/>
            </w:rPr>
          </w:pPr>
          <w:r w:rsidRPr="001014D7">
            <w:rPr>
              <w:b/>
              <w:color w:val="E11E25"/>
            </w:rPr>
            <w:fldChar w:fldCharType="begin"/>
          </w:r>
          <w:r w:rsidRPr="001014D7">
            <w:rPr>
              <w:b/>
              <w:color w:val="E11E25"/>
            </w:rPr>
            <w:instrText xml:space="preserve"> PAGE   \* MERGEFORMAT </w:instrText>
          </w:r>
          <w:r w:rsidRPr="001014D7">
            <w:rPr>
              <w:b/>
              <w:color w:val="E11E25"/>
            </w:rPr>
            <w:fldChar w:fldCharType="separate"/>
          </w:r>
          <w:r w:rsidR="006C6535">
            <w:rPr>
              <w:b/>
              <w:noProof/>
              <w:color w:val="E11E25"/>
            </w:rPr>
            <w:t>9</w:t>
          </w:r>
          <w:r w:rsidRPr="001014D7">
            <w:rPr>
              <w:b/>
              <w:noProof/>
              <w:color w:val="E11E25"/>
            </w:rPr>
            <w:fldChar w:fldCharType="end"/>
          </w:r>
        </w:p>
      </w:tc>
    </w:tr>
  </w:tbl>
  <w:p w:rsidR="00704753" w:rsidRDefault="00704753" w:rsidP="003C6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35" w:rsidRDefault="006C6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53" w:rsidRDefault="00704753" w:rsidP="0037361C">
      <w:r>
        <w:separator/>
      </w:r>
    </w:p>
  </w:footnote>
  <w:footnote w:type="continuationSeparator" w:id="0">
    <w:p w:rsidR="00704753" w:rsidRDefault="00704753" w:rsidP="0037361C">
      <w:r>
        <w:continuationSeparator/>
      </w:r>
    </w:p>
  </w:footnote>
  <w:footnote w:id="1">
    <w:p w:rsidR="00287FF4" w:rsidRPr="003F5B36" w:rsidRDefault="00287FF4" w:rsidP="00287FF4">
      <w:pPr>
        <w:pStyle w:val="FootnoteText"/>
        <w:rPr>
          <w:sz w:val="18"/>
          <w:szCs w:val="18"/>
        </w:rPr>
      </w:pPr>
      <w:r w:rsidRPr="003F5B36">
        <w:rPr>
          <w:rStyle w:val="FootnoteReference"/>
          <w:sz w:val="18"/>
          <w:szCs w:val="18"/>
        </w:rPr>
        <w:footnoteRef/>
      </w:r>
      <w:r w:rsidRPr="003F5B36">
        <w:rPr>
          <w:sz w:val="18"/>
          <w:szCs w:val="18"/>
        </w:rPr>
        <w:t xml:space="preserve"> The upgrade of an online portal which makes it easier for businesses to comply with their obligations under Australian sanctions laws recorded both deregulatory savings and regulatory costs</w:t>
      </w:r>
      <w:r>
        <w:rPr>
          <w:sz w:val="18"/>
          <w:szCs w:val="18"/>
        </w:rPr>
        <w:t>, but resulted in a net saving</w:t>
      </w:r>
      <w:r w:rsidRPr="003F5B36">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35" w:rsidRDefault="006C6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35" w:rsidRDefault="006C65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35" w:rsidRDefault="006C65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53" w:rsidRPr="00DA3924" w:rsidRDefault="00704753" w:rsidP="00DA39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53" w:rsidRPr="00C10F36" w:rsidRDefault="00704753" w:rsidP="00C10F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53" w:rsidRPr="00C10F36" w:rsidRDefault="00704753" w:rsidP="00C10F3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53" w:rsidRPr="00C10F36" w:rsidRDefault="00704753" w:rsidP="00C10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55F2"/>
    <w:multiLevelType w:val="hybridMultilevel"/>
    <w:tmpl w:val="F0CEA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D482D8B"/>
    <w:multiLevelType w:val="hybridMultilevel"/>
    <w:tmpl w:val="A8AEC826"/>
    <w:lvl w:ilvl="0" w:tplc="2A16FB4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EFD0C56"/>
    <w:multiLevelType w:val="hybridMultilevel"/>
    <w:tmpl w:val="EB887A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A4D7649"/>
    <w:multiLevelType w:val="hybridMultilevel"/>
    <w:tmpl w:val="D6E6AFDC"/>
    <w:lvl w:ilvl="0" w:tplc="41ACF5E4">
      <w:start w:val="1"/>
      <w:numFmt w:val="bullet"/>
      <w:pStyle w:val="Bullet1linked"/>
      <w:lvlText w:val=""/>
      <w:lvlJc w:val="left"/>
      <w:pPr>
        <w:ind w:left="360" w:hanging="360"/>
      </w:pPr>
      <w:rPr>
        <w:rFonts w:ascii="Symbol" w:hAnsi="Symbol" w:hint="default"/>
        <w:sz w:val="18"/>
      </w:rPr>
    </w:lvl>
    <w:lvl w:ilvl="1" w:tplc="0C090001">
      <w:start w:val="1"/>
      <w:numFmt w:val="bullet"/>
      <w:pStyle w:val="Bullet2"/>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2F9F1BA3"/>
    <w:multiLevelType w:val="hybridMultilevel"/>
    <w:tmpl w:val="F34C71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30E5055D"/>
    <w:multiLevelType w:val="hybridMultilevel"/>
    <w:tmpl w:val="B4A24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6A04869"/>
    <w:multiLevelType w:val="hybridMultilevel"/>
    <w:tmpl w:val="2A2E9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AB31DB7"/>
    <w:multiLevelType w:val="hybridMultilevel"/>
    <w:tmpl w:val="E5A0E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470D792D"/>
    <w:multiLevelType w:val="hybridMultilevel"/>
    <w:tmpl w:val="25B4CA30"/>
    <w:lvl w:ilvl="0" w:tplc="31D65852">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4D805DCF"/>
    <w:multiLevelType w:val="hybridMultilevel"/>
    <w:tmpl w:val="737E4E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FA52448"/>
    <w:multiLevelType w:val="hybridMultilevel"/>
    <w:tmpl w:val="AE5809A6"/>
    <w:lvl w:ilvl="0" w:tplc="F31C41D8">
      <w:start w:val="1"/>
      <w:numFmt w:val="bullet"/>
      <w:pStyle w:val="ReportBulletPoin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83FE48E0">
      <w:numFmt w:val="bullet"/>
      <w:lvlText w:val="•"/>
      <w:lvlJc w:val="left"/>
      <w:pPr>
        <w:ind w:left="2160" w:hanging="720"/>
      </w:pPr>
      <w:rPr>
        <w:rFonts w:ascii="Calibri" w:eastAsia="Times New Roman"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12653B4"/>
    <w:multiLevelType w:val="hybridMultilevel"/>
    <w:tmpl w:val="2C566B6C"/>
    <w:lvl w:ilvl="0" w:tplc="6CE61F9E">
      <w:start w:val="1"/>
      <w:numFmt w:val="decimal"/>
      <w:pStyle w:val="OverviewSectionHeading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53AE078F"/>
    <w:multiLevelType w:val="hybridMultilevel"/>
    <w:tmpl w:val="13587464"/>
    <w:lvl w:ilvl="0" w:tplc="AAF4CDEE">
      <w:start w:val="1"/>
      <w:numFmt w:val="decimal"/>
      <w:lvlText w:val="%1."/>
      <w:lvlJc w:val="left"/>
      <w:pPr>
        <w:ind w:left="720" w:hanging="360"/>
      </w:pPr>
      <w:rPr>
        <w:rFonts w:ascii="Calibri" w:eastAsia="Times New Roman" w:hAnsi="Calibri" w:cs="Times New Roman"/>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3">
    <w:nsid w:val="55487E9B"/>
    <w:multiLevelType w:val="hybridMultilevel"/>
    <w:tmpl w:val="D74E5068"/>
    <w:lvl w:ilvl="0" w:tplc="39E446D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8771782"/>
    <w:multiLevelType w:val="hybridMultilevel"/>
    <w:tmpl w:val="8A402BE4"/>
    <w:lvl w:ilvl="0" w:tplc="0D1ADA96">
      <w:start w:val="1"/>
      <w:numFmt w:val="bullet"/>
      <w:pStyle w:val="ListParagraphleveltwo"/>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BCD2035"/>
    <w:multiLevelType w:val="hybridMultilevel"/>
    <w:tmpl w:val="7FA08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624374E0"/>
    <w:multiLevelType w:val="hybridMultilevel"/>
    <w:tmpl w:val="56683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2675A1B"/>
    <w:multiLevelType w:val="hybridMultilevel"/>
    <w:tmpl w:val="4E8A88E0"/>
    <w:lvl w:ilvl="0" w:tplc="85663E5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5C036E8"/>
    <w:multiLevelType w:val="multilevel"/>
    <w:tmpl w:val="E416BAD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9">
    <w:nsid w:val="6B461B56"/>
    <w:multiLevelType w:val="hybridMultilevel"/>
    <w:tmpl w:val="C6EE3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337445"/>
    <w:multiLevelType w:val="hybridMultilevel"/>
    <w:tmpl w:val="89F4EC18"/>
    <w:lvl w:ilvl="0" w:tplc="A74C9F36">
      <w:start w:val="1"/>
      <w:numFmt w:val="bullet"/>
      <w:lvlText w:val=""/>
      <w:lvlJc w:val="left"/>
      <w:pPr>
        <w:ind w:left="360" w:hanging="360"/>
      </w:pPr>
      <w:rPr>
        <w:rFonts w:ascii="Symbol" w:hAnsi="Symbol" w:hint="default"/>
      </w:rPr>
    </w:lvl>
    <w:lvl w:ilvl="1" w:tplc="9822CF6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F67136A"/>
    <w:multiLevelType w:val="hybridMultilevel"/>
    <w:tmpl w:val="7BF87B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713958B1"/>
    <w:multiLevelType w:val="hybridMultilevel"/>
    <w:tmpl w:val="9250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59D5069"/>
    <w:multiLevelType w:val="hybridMultilevel"/>
    <w:tmpl w:val="11D8E7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7A2D6226"/>
    <w:multiLevelType w:val="hybridMultilevel"/>
    <w:tmpl w:val="18F23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304869"/>
    <w:multiLevelType w:val="hybridMultilevel"/>
    <w:tmpl w:val="64B6F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1"/>
  </w:num>
  <w:num w:numId="5">
    <w:abstractNumId w:val="3"/>
  </w:num>
  <w:num w:numId="6">
    <w:abstractNumId w:val="10"/>
  </w:num>
  <w:num w:numId="7">
    <w:abstractNumId w:val="10"/>
  </w:num>
  <w:num w:numId="8">
    <w:abstractNumId w:val="11"/>
    <w:lvlOverride w:ilvl="0">
      <w:startOverride w:val="1"/>
    </w:lvlOverride>
  </w:num>
  <w:num w:numId="9">
    <w:abstractNumId w:val="20"/>
  </w:num>
  <w:num w:numId="10">
    <w:abstractNumId w:val="11"/>
  </w:num>
  <w:num w:numId="11">
    <w:abstractNumId w:val="11"/>
  </w:num>
  <w:num w:numId="12">
    <w:abstractNumId w:val="11"/>
  </w:num>
  <w:num w:numId="13">
    <w:abstractNumId w:val="22"/>
  </w:num>
  <w:num w:numId="14">
    <w:abstractNumId w:val="24"/>
  </w:num>
  <w:num w:numId="15">
    <w:abstractNumId w:val="3"/>
  </w:num>
  <w:num w:numId="16">
    <w:abstractNumId w:val="21"/>
  </w:num>
  <w:num w:numId="17">
    <w:abstractNumId w:val="3"/>
  </w:num>
  <w:num w:numId="18">
    <w:abstractNumId w:val="3"/>
  </w:num>
  <w:num w:numId="19">
    <w:abstractNumId w:val="3"/>
  </w:num>
  <w:num w:numId="20">
    <w:abstractNumId w:val="3"/>
  </w:num>
  <w:num w:numId="21">
    <w:abstractNumId w:val="4"/>
  </w:num>
  <w:num w:numId="22">
    <w:abstractNumId w:val="15"/>
  </w:num>
  <w:num w:numId="23">
    <w:abstractNumId w:val="5"/>
  </w:num>
  <w:num w:numId="24">
    <w:abstractNumId w:val="10"/>
  </w:num>
  <w:num w:numId="25">
    <w:abstractNumId w:val="10"/>
  </w:num>
  <w:num w:numId="26">
    <w:abstractNumId w:val="8"/>
  </w:num>
  <w:num w:numId="27">
    <w:abstractNumId w:val="7"/>
  </w:num>
  <w:num w:numId="28">
    <w:abstractNumId w:val="17"/>
  </w:num>
  <w:num w:numId="29">
    <w:abstractNumId w:val="6"/>
  </w:num>
  <w:num w:numId="30">
    <w:abstractNumId w:val="2"/>
  </w:num>
  <w:num w:numId="31">
    <w:abstractNumId w:val="23"/>
  </w:num>
  <w:num w:numId="32">
    <w:abstractNumId w:val="13"/>
  </w:num>
  <w:num w:numId="33">
    <w:abstractNumId w:val="14"/>
  </w:num>
  <w:num w:numId="34">
    <w:abstractNumId w:val="1"/>
  </w:num>
  <w:num w:numId="35">
    <w:abstractNumId w:val="0"/>
  </w:num>
  <w:num w:numId="36">
    <w:abstractNumId w:val="10"/>
  </w:num>
  <w:num w:numId="37">
    <w:abstractNumId w:val="10"/>
  </w:num>
  <w:num w:numId="38">
    <w:abstractNumId w:val="10"/>
  </w:num>
  <w:num w:numId="39">
    <w:abstractNumId w:val="10"/>
  </w:num>
  <w:num w:numId="40">
    <w:abstractNumId w:val="17"/>
  </w:num>
  <w:num w:numId="41">
    <w:abstractNumId w:val="15"/>
  </w:num>
  <w:num w:numId="42">
    <w:abstractNumId w:val="18"/>
  </w:num>
  <w:num w:numId="43">
    <w:abstractNumId w:val="12"/>
    <w:lvlOverride w:ilvl="0">
      <w:startOverride w:val="1"/>
    </w:lvlOverride>
    <w:lvlOverride w:ilvl="1"/>
    <w:lvlOverride w:ilvl="2"/>
    <w:lvlOverride w:ilvl="3"/>
    <w:lvlOverride w:ilvl="4"/>
    <w:lvlOverride w:ilvl="5"/>
    <w:lvlOverride w:ilvl="6"/>
    <w:lvlOverride w:ilvl="7"/>
    <w:lvlOverride w:ilvl="8"/>
  </w:num>
  <w:num w:numId="44">
    <w:abstractNumId w:val="19"/>
  </w:num>
  <w:num w:numId="45">
    <w:abstractNumId w:val="16"/>
  </w:num>
  <w:num w:numId="46">
    <w:abstractNumId w:val="10"/>
  </w:num>
  <w:num w:numId="47">
    <w:abstractNumId w:val="2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A5"/>
    <w:rsid w:val="0000057D"/>
    <w:rsid w:val="00001074"/>
    <w:rsid w:val="000032BE"/>
    <w:rsid w:val="00005974"/>
    <w:rsid w:val="000068D7"/>
    <w:rsid w:val="00010F9F"/>
    <w:rsid w:val="00020FEB"/>
    <w:rsid w:val="0002609C"/>
    <w:rsid w:val="000301D7"/>
    <w:rsid w:val="0003117C"/>
    <w:rsid w:val="00031855"/>
    <w:rsid w:val="0003247C"/>
    <w:rsid w:val="00052CEE"/>
    <w:rsid w:val="00053405"/>
    <w:rsid w:val="0006733D"/>
    <w:rsid w:val="000730C5"/>
    <w:rsid w:val="00075524"/>
    <w:rsid w:val="00086151"/>
    <w:rsid w:val="000908D7"/>
    <w:rsid w:val="0009100A"/>
    <w:rsid w:val="000913AB"/>
    <w:rsid w:val="00094A26"/>
    <w:rsid w:val="000A163C"/>
    <w:rsid w:val="000C3337"/>
    <w:rsid w:val="000C37C7"/>
    <w:rsid w:val="000C71AB"/>
    <w:rsid w:val="000D2815"/>
    <w:rsid w:val="000D2979"/>
    <w:rsid w:val="000D2CE2"/>
    <w:rsid w:val="000D408A"/>
    <w:rsid w:val="000E39E0"/>
    <w:rsid w:val="000F2A09"/>
    <w:rsid w:val="000F6698"/>
    <w:rsid w:val="000F6EB2"/>
    <w:rsid w:val="001014D7"/>
    <w:rsid w:val="00106722"/>
    <w:rsid w:val="00106ECF"/>
    <w:rsid w:val="00113C53"/>
    <w:rsid w:val="001239FD"/>
    <w:rsid w:val="00125506"/>
    <w:rsid w:val="00125EE3"/>
    <w:rsid w:val="00133332"/>
    <w:rsid w:val="00133502"/>
    <w:rsid w:val="0013435D"/>
    <w:rsid w:val="00140851"/>
    <w:rsid w:val="00144A12"/>
    <w:rsid w:val="00161BAD"/>
    <w:rsid w:val="00162B60"/>
    <w:rsid w:val="00163FE7"/>
    <w:rsid w:val="001676F7"/>
    <w:rsid w:val="00174ED5"/>
    <w:rsid w:val="001839E9"/>
    <w:rsid w:val="00186A26"/>
    <w:rsid w:val="00191C01"/>
    <w:rsid w:val="001A2D24"/>
    <w:rsid w:val="001B2898"/>
    <w:rsid w:val="001D064C"/>
    <w:rsid w:val="001D67E9"/>
    <w:rsid w:val="001E5EA5"/>
    <w:rsid w:val="001E78B2"/>
    <w:rsid w:val="001F7A79"/>
    <w:rsid w:val="0020066A"/>
    <w:rsid w:val="00203019"/>
    <w:rsid w:val="002112AF"/>
    <w:rsid w:val="0021400A"/>
    <w:rsid w:val="00220748"/>
    <w:rsid w:val="00224F68"/>
    <w:rsid w:val="0024055E"/>
    <w:rsid w:val="00240E13"/>
    <w:rsid w:val="00242F43"/>
    <w:rsid w:val="00247D21"/>
    <w:rsid w:val="00250EA6"/>
    <w:rsid w:val="00264A55"/>
    <w:rsid w:val="002700D5"/>
    <w:rsid w:val="00270404"/>
    <w:rsid w:val="0027131E"/>
    <w:rsid w:val="00272C52"/>
    <w:rsid w:val="00285B48"/>
    <w:rsid w:val="00287AEC"/>
    <w:rsid w:val="00287FF4"/>
    <w:rsid w:val="002939AC"/>
    <w:rsid w:val="00296C26"/>
    <w:rsid w:val="002A7752"/>
    <w:rsid w:val="002B1736"/>
    <w:rsid w:val="002B192C"/>
    <w:rsid w:val="002B271D"/>
    <w:rsid w:val="002C0729"/>
    <w:rsid w:val="002C5441"/>
    <w:rsid w:val="002C6E5B"/>
    <w:rsid w:val="002D7C06"/>
    <w:rsid w:val="002E45BB"/>
    <w:rsid w:val="002E7E3A"/>
    <w:rsid w:val="0031230B"/>
    <w:rsid w:val="00312C81"/>
    <w:rsid w:val="00322EEE"/>
    <w:rsid w:val="00335814"/>
    <w:rsid w:val="00340D69"/>
    <w:rsid w:val="003522BE"/>
    <w:rsid w:val="00353761"/>
    <w:rsid w:val="00355EC5"/>
    <w:rsid w:val="00360CCB"/>
    <w:rsid w:val="003649EC"/>
    <w:rsid w:val="00367772"/>
    <w:rsid w:val="00370B37"/>
    <w:rsid w:val="00371DDB"/>
    <w:rsid w:val="00371FE9"/>
    <w:rsid w:val="003732A7"/>
    <w:rsid w:val="0037361C"/>
    <w:rsid w:val="003736CE"/>
    <w:rsid w:val="003777EF"/>
    <w:rsid w:val="003803F0"/>
    <w:rsid w:val="0038053B"/>
    <w:rsid w:val="00385BE1"/>
    <w:rsid w:val="0039559B"/>
    <w:rsid w:val="00395649"/>
    <w:rsid w:val="00397DD1"/>
    <w:rsid w:val="00397E3F"/>
    <w:rsid w:val="003B4154"/>
    <w:rsid w:val="003C6DA7"/>
    <w:rsid w:val="003C7254"/>
    <w:rsid w:val="003D0E9F"/>
    <w:rsid w:val="003E2B30"/>
    <w:rsid w:val="003E5BB9"/>
    <w:rsid w:val="003F21BB"/>
    <w:rsid w:val="003F5B36"/>
    <w:rsid w:val="003F7DD8"/>
    <w:rsid w:val="00401BC7"/>
    <w:rsid w:val="004139A8"/>
    <w:rsid w:val="00414229"/>
    <w:rsid w:val="004209E9"/>
    <w:rsid w:val="0042679B"/>
    <w:rsid w:val="00426998"/>
    <w:rsid w:val="00431EE6"/>
    <w:rsid w:val="00432DDD"/>
    <w:rsid w:val="00437104"/>
    <w:rsid w:val="0043793C"/>
    <w:rsid w:val="00441F18"/>
    <w:rsid w:val="00442B41"/>
    <w:rsid w:val="00444023"/>
    <w:rsid w:val="00462253"/>
    <w:rsid w:val="004700F6"/>
    <w:rsid w:val="00473B2D"/>
    <w:rsid w:val="00494369"/>
    <w:rsid w:val="004A211A"/>
    <w:rsid w:val="004A692F"/>
    <w:rsid w:val="004B1667"/>
    <w:rsid w:val="004B3724"/>
    <w:rsid w:val="004B5B73"/>
    <w:rsid w:val="004C47C8"/>
    <w:rsid w:val="004D264D"/>
    <w:rsid w:val="004D591F"/>
    <w:rsid w:val="004D62C2"/>
    <w:rsid w:val="004F6F16"/>
    <w:rsid w:val="00501782"/>
    <w:rsid w:val="00506EB7"/>
    <w:rsid w:val="00507B54"/>
    <w:rsid w:val="005109EE"/>
    <w:rsid w:val="00511532"/>
    <w:rsid w:val="00520A63"/>
    <w:rsid w:val="00521F59"/>
    <w:rsid w:val="00530D44"/>
    <w:rsid w:val="005320CE"/>
    <w:rsid w:val="00533DFA"/>
    <w:rsid w:val="005361F9"/>
    <w:rsid w:val="00536A1F"/>
    <w:rsid w:val="00537BFE"/>
    <w:rsid w:val="005447A6"/>
    <w:rsid w:val="00554589"/>
    <w:rsid w:val="005612F6"/>
    <w:rsid w:val="00567AB1"/>
    <w:rsid w:val="0057495F"/>
    <w:rsid w:val="0058424E"/>
    <w:rsid w:val="005A2285"/>
    <w:rsid w:val="005A6A7F"/>
    <w:rsid w:val="005A6EA1"/>
    <w:rsid w:val="005A7211"/>
    <w:rsid w:val="005B5C74"/>
    <w:rsid w:val="005B5EA0"/>
    <w:rsid w:val="005B6321"/>
    <w:rsid w:val="005C2F9E"/>
    <w:rsid w:val="005C35EC"/>
    <w:rsid w:val="005C44CD"/>
    <w:rsid w:val="005D0566"/>
    <w:rsid w:val="005D3342"/>
    <w:rsid w:val="005D6CC5"/>
    <w:rsid w:val="005E1091"/>
    <w:rsid w:val="005F3B31"/>
    <w:rsid w:val="005F5932"/>
    <w:rsid w:val="00600B21"/>
    <w:rsid w:val="00605140"/>
    <w:rsid w:val="00605E02"/>
    <w:rsid w:val="006067B1"/>
    <w:rsid w:val="006105E3"/>
    <w:rsid w:val="00612080"/>
    <w:rsid w:val="0061260D"/>
    <w:rsid w:val="00622943"/>
    <w:rsid w:val="00623131"/>
    <w:rsid w:val="00635691"/>
    <w:rsid w:val="0064183B"/>
    <w:rsid w:val="0064624E"/>
    <w:rsid w:val="0065016B"/>
    <w:rsid w:val="006534DB"/>
    <w:rsid w:val="006539DB"/>
    <w:rsid w:val="00663681"/>
    <w:rsid w:val="00664098"/>
    <w:rsid w:val="006666BE"/>
    <w:rsid w:val="006722BC"/>
    <w:rsid w:val="00672BE5"/>
    <w:rsid w:val="00673EDE"/>
    <w:rsid w:val="006760A1"/>
    <w:rsid w:val="00683ECF"/>
    <w:rsid w:val="00684E32"/>
    <w:rsid w:val="006863FD"/>
    <w:rsid w:val="0068675F"/>
    <w:rsid w:val="006878E7"/>
    <w:rsid w:val="006C6535"/>
    <w:rsid w:val="006C7A1A"/>
    <w:rsid w:val="006D102B"/>
    <w:rsid w:val="006D1B32"/>
    <w:rsid w:val="006D1BFC"/>
    <w:rsid w:val="006D2963"/>
    <w:rsid w:val="006E2BB7"/>
    <w:rsid w:val="006E6F88"/>
    <w:rsid w:val="006F1E64"/>
    <w:rsid w:val="006F44DB"/>
    <w:rsid w:val="006F52DB"/>
    <w:rsid w:val="00702448"/>
    <w:rsid w:val="00704753"/>
    <w:rsid w:val="00711A38"/>
    <w:rsid w:val="00712683"/>
    <w:rsid w:val="007130D5"/>
    <w:rsid w:val="007207DC"/>
    <w:rsid w:val="00727608"/>
    <w:rsid w:val="007304E2"/>
    <w:rsid w:val="00744157"/>
    <w:rsid w:val="00745849"/>
    <w:rsid w:val="00753CF0"/>
    <w:rsid w:val="00754FE3"/>
    <w:rsid w:val="00765410"/>
    <w:rsid w:val="0076554B"/>
    <w:rsid w:val="007672C4"/>
    <w:rsid w:val="0077760D"/>
    <w:rsid w:val="00790502"/>
    <w:rsid w:val="00794839"/>
    <w:rsid w:val="00795EE2"/>
    <w:rsid w:val="007A0D02"/>
    <w:rsid w:val="007A2D52"/>
    <w:rsid w:val="007A3D18"/>
    <w:rsid w:val="007A707E"/>
    <w:rsid w:val="007C35B1"/>
    <w:rsid w:val="007D3B9B"/>
    <w:rsid w:val="007D4706"/>
    <w:rsid w:val="007D7B2D"/>
    <w:rsid w:val="007D7B54"/>
    <w:rsid w:val="007E481F"/>
    <w:rsid w:val="007E5ECE"/>
    <w:rsid w:val="007E6F22"/>
    <w:rsid w:val="007F1AD7"/>
    <w:rsid w:val="007F4958"/>
    <w:rsid w:val="007F5B4B"/>
    <w:rsid w:val="008009B5"/>
    <w:rsid w:val="0080142F"/>
    <w:rsid w:val="00801FEE"/>
    <w:rsid w:val="00804900"/>
    <w:rsid w:val="00815679"/>
    <w:rsid w:val="00843C4C"/>
    <w:rsid w:val="0085240A"/>
    <w:rsid w:val="008603B2"/>
    <w:rsid w:val="00861246"/>
    <w:rsid w:val="00871899"/>
    <w:rsid w:val="00874A3A"/>
    <w:rsid w:val="00881D52"/>
    <w:rsid w:val="0088492B"/>
    <w:rsid w:val="00897FF7"/>
    <w:rsid w:val="008B0784"/>
    <w:rsid w:val="008B676B"/>
    <w:rsid w:val="008B7C19"/>
    <w:rsid w:val="008C1335"/>
    <w:rsid w:val="008C2444"/>
    <w:rsid w:val="008C277B"/>
    <w:rsid w:val="008C3E22"/>
    <w:rsid w:val="008C6A78"/>
    <w:rsid w:val="008C7530"/>
    <w:rsid w:val="008D658A"/>
    <w:rsid w:val="008E67D0"/>
    <w:rsid w:val="00901493"/>
    <w:rsid w:val="009066DB"/>
    <w:rsid w:val="009079F1"/>
    <w:rsid w:val="00913613"/>
    <w:rsid w:val="009437B0"/>
    <w:rsid w:val="00946B00"/>
    <w:rsid w:val="00950855"/>
    <w:rsid w:val="00957926"/>
    <w:rsid w:val="009600C6"/>
    <w:rsid w:val="009615D9"/>
    <w:rsid w:val="0097535A"/>
    <w:rsid w:val="00981F3E"/>
    <w:rsid w:val="009834BB"/>
    <w:rsid w:val="00986A94"/>
    <w:rsid w:val="00992296"/>
    <w:rsid w:val="00993BC8"/>
    <w:rsid w:val="009943A0"/>
    <w:rsid w:val="0099744D"/>
    <w:rsid w:val="009A0DE2"/>
    <w:rsid w:val="009A6F15"/>
    <w:rsid w:val="009B5381"/>
    <w:rsid w:val="009B63A9"/>
    <w:rsid w:val="009C59EA"/>
    <w:rsid w:val="009D3E40"/>
    <w:rsid w:val="009D4C68"/>
    <w:rsid w:val="009E1512"/>
    <w:rsid w:val="009E6BA3"/>
    <w:rsid w:val="009F007B"/>
    <w:rsid w:val="009F097E"/>
    <w:rsid w:val="009F33DF"/>
    <w:rsid w:val="009F7345"/>
    <w:rsid w:val="00A01368"/>
    <w:rsid w:val="00A13E18"/>
    <w:rsid w:val="00A20683"/>
    <w:rsid w:val="00A20BF9"/>
    <w:rsid w:val="00A24FFF"/>
    <w:rsid w:val="00A2720B"/>
    <w:rsid w:val="00A50BE7"/>
    <w:rsid w:val="00A51D51"/>
    <w:rsid w:val="00A61FC3"/>
    <w:rsid w:val="00A644E1"/>
    <w:rsid w:val="00A80CEA"/>
    <w:rsid w:val="00A9347C"/>
    <w:rsid w:val="00A96F6E"/>
    <w:rsid w:val="00AA1893"/>
    <w:rsid w:val="00AA2F15"/>
    <w:rsid w:val="00AA5C0B"/>
    <w:rsid w:val="00AA6484"/>
    <w:rsid w:val="00AA71E9"/>
    <w:rsid w:val="00AA7EF5"/>
    <w:rsid w:val="00AB0B22"/>
    <w:rsid w:val="00AB209F"/>
    <w:rsid w:val="00AB32ED"/>
    <w:rsid w:val="00AB33F4"/>
    <w:rsid w:val="00AC199B"/>
    <w:rsid w:val="00AD03AF"/>
    <w:rsid w:val="00AD6208"/>
    <w:rsid w:val="00AE1E3B"/>
    <w:rsid w:val="00AE2135"/>
    <w:rsid w:val="00AF050B"/>
    <w:rsid w:val="00AF701C"/>
    <w:rsid w:val="00B031C7"/>
    <w:rsid w:val="00B050AF"/>
    <w:rsid w:val="00B10326"/>
    <w:rsid w:val="00B137B3"/>
    <w:rsid w:val="00B1517D"/>
    <w:rsid w:val="00B203CF"/>
    <w:rsid w:val="00B2040B"/>
    <w:rsid w:val="00B26952"/>
    <w:rsid w:val="00B31858"/>
    <w:rsid w:val="00B353E6"/>
    <w:rsid w:val="00B35E3D"/>
    <w:rsid w:val="00B44E31"/>
    <w:rsid w:val="00B54259"/>
    <w:rsid w:val="00B55913"/>
    <w:rsid w:val="00B56188"/>
    <w:rsid w:val="00B608A6"/>
    <w:rsid w:val="00B75E16"/>
    <w:rsid w:val="00B766C7"/>
    <w:rsid w:val="00B775ED"/>
    <w:rsid w:val="00B904C6"/>
    <w:rsid w:val="00B908E5"/>
    <w:rsid w:val="00B95165"/>
    <w:rsid w:val="00BA4E59"/>
    <w:rsid w:val="00BB062E"/>
    <w:rsid w:val="00BB0F5B"/>
    <w:rsid w:val="00BB3DE3"/>
    <w:rsid w:val="00BB4C1C"/>
    <w:rsid w:val="00BC333C"/>
    <w:rsid w:val="00BD13CF"/>
    <w:rsid w:val="00BD4D34"/>
    <w:rsid w:val="00BD71CD"/>
    <w:rsid w:val="00BE0D1C"/>
    <w:rsid w:val="00BF03F6"/>
    <w:rsid w:val="00BF2DB7"/>
    <w:rsid w:val="00BF7BD1"/>
    <w:rsid w:val="00C031F7"/>
    <w:rsid w:val="00C10F36"/>
    <w:rsid w:val="00C13C8E"/>
    <w:rsid w:val="00C146B3"/>
    <w:rsid w:val="00C177BC"/>
    <w:rsid w:val="00C20644"/>
    <w:rsid w:val="00C31083"/>
    <w:rsid w:val="00C356D5"/>
    <w:rsid w:val="00C42A0A"/>
    <w:rsid w:val="00C43258"/>
    <w:rsid w:val="00C503DB"/>
    <w:rsid w:val="00C51258"/>
    <w:rsid w:val="00C5410F"/>
    <w:rsid w:val="00C5626F"/>
    <w:rsid w:val="00C57A1F"/>
    <w:rsid w:val="00C60FD4"/>
    <w:rsid w:val="00C64203"/>
    <w:rsid w:val="00C73D88"/>
    <w:rsid w:val="00C76311"/>
    <w:rsid w:val="00C80DB1"/>
    <w:rsid w:val="00C81DE4"/>
    <w:rsid w:val="00C82D18"/>
    <w:rsid w:val="00C920F2"/>
    <w:rsid w:val="00C9411F"/>
    <w:rsid w:val="00CA1DEC"/>
    <w:rsid w:val="00CC074E"/>
    <w:rsid w:val="00CC1075"/>
    <w:rsid w:val="00CD288D"/>
    <w:rsid w:val="00CD4B73"/>
    <w:rsid w:val="00CD79FA"/>
    <w:rsid w:val="00CD7C89"/>
    <w:rsid w:val="00CF1CCC"/>
    <w:rsid w:val="00CF3BAA"/>
    <w:rsid w:val="00CF6614"/>
    <w:rsid w:val="00CF71B4"/>
    <w:rsid w:val="00D118C2"/>
    <w:rsid w:val="00D22E68"/>
    <w:rsid w:val="00D24814"/>
    <w:rsid w:val="00D33692"/>
    <w:rsid w:val="00D343DE"/>
    <w:rsid w:val="00D34BF9"/>
    <w:rsid w:val="00D4048A"/>
    <w:rsid w:val="00D40895"/>
    <w:rsid w:val="00D502E2"/>
    <w:rsid w:val="00D6146D"/>
    <w:rsid w:val="00D6307D"/>
    <w:rsid w:val="00D654DA"/>
    <w:rsid w:val="00D821CF"/>
    <w:rsid w:val="00D86F07"/>
    <w:rsid w:val="00D92959"/>
    <w:rsid w:val="00DA3924"/>
    <w:rsid w:val="00DA469E"/>
    <w:rsid w:val="00DA6B7B"/>
    <w:rsid w:val="00DB3A4B"/>
    <w:rsid w:val="00DB408D"/>
    <w:rsid w:val="00DB52D9"/>
    <w:rsid w:val="00DC2BA8"/>
    <w:rsid w:val="00DC4923"/>
    <w:rsid w:val="00DD3A5C"/>
    <w:rsid w:val="00DD5C59"/>
    <w:rsid w:val="00DD738A"/>
    <w:rsid w:val="00DE0219"/>
    <w:rsid w:val="00DE088E"/>
    <w:rsid w:val="00DE143A"/>
    <w:rsid w:val="00DF12C1"/>
    <w:rsid w:val="00E15F2F"/>
    <w:rsid w:val="00E16291"/>
    <w:rsid w:val="00E172E3"/>
    <w:rsid w:val="00E23033"/>
    <w:rsid w:val="00E30E93"/>
    <w:rsid w:val="00E33254"/>
    <w:rsid w:val="00E4427D"/>
    <w:rsid w:val="00E46C9C"/>
    <w:rsid w:val="00E47166"/>
    <w:rsid w:val="00E51B8A"/>
    <w:rsid w:val="00E54B28"/>
    <w:rsid w:val="00E57600"/>
    <w:rsid w:val="00E5775D"/>
    <w:rsid w:val="00E60A7F"/>
    <w:rsid w:val="00E60B22"/>
    <w:rsid w:val="00E626C2"/>
    <w:rsid w:val="00E6458E"/>
    <w:rsid w:val="00E65752"/>
    <w:rsid w:val="00E67C84"/>
    <w:rsid w:val="00E70006"/>
    <w:rsid w:val="00E761E3"/>
    <w:rsid w:val="00E76CE7"/>
    <w:rsid w:val="00E77881"/>
    <w:rsid w:val="00E810A0"/>
    <w:rsid w:val="00E81AAA"/>
    <w:rsid w:val="00E81DF7"/>
    <w:rsid w:val="00E9781B"/>
    <w:rsid w:val="00EA2E10"/>
    <w:rsid w:val="00EA78D3"/>
    <w:rsid w:val="00EB1B00"/>
    <w:rsid w:val="00EB44DE"/>
    <w:rsid w:val="00EC4F3C"/>
    <w:rsid w:val="00ED7155"/>
    <w:rsid w:val="00ED7AAA"/>
    <w:rsid w:val="00EF3481"/>
    <w:rsid w:val="00EF5209"/>
    <w:rsid w:val="00EF5CA8"/>
    <w:rsid w:val="00EF783E"/>
    <w:rsid w:val="00F00661"/>
    <w:rsid w:val="00F00732"/>
    <w:rsid w:val="00F00AA5"/>
    <w:rsid w:val="00F01597"/>
    <w:rsid w:val="00F1140B"/>
    <w:rsid w:val="00F1239A"/>
    <w:rsid w:val="00F14345"/>
    <w:rsid w:val="00F1491B"/>
    <w:rsid w:val="00F17B65"/>
    <w:rsid w:val="00F21B98"/>
    <w:rsid w:val="00F21BEC"/>
    <w:rsid w:val="00F22506"/>
    <w:rsid w:val="00F22FDE"/>
    <w:rsid w:val="00F23028"/>
    <w:rsid w:val="00F25476"/>
    <w:rsid w:val="00F25B7B"/>
    <w:rsid w:val="00F43368"/>
    <w:rsid w:val="00F5056A"/>
    <w:rsid w:val="00F55B6D"/>
    <w:rsid w:val="00F711D6"/>
    <w:rsid w:val="00F714B7"/>
    <w:rsid w:val="00F7247B"/>
    <w:rsid w:val="00F75EC4"/>
    <w:rsid w:val="00F80C37"/>
    <w:rsid w:val="00F81FC1"/>
    <w:rsid w:val="00F84E94"/>
    <w:rsid w:val="00F91E25"/>
    <w:rsid w:val="00F952A4"/>
    <w:rsid w:val="00F960C0"/>
    <w:rsid w:val="00F9742E"/>
    <w:rsid w:val="00FA1888"/>
    <w:rsid w:val="00FB096F"/>
    <w:rsid w:val="00FB0E54"/>
    <w:rsid w:val="00FB2046"/>
    <w:rsid w:val="00FB2654"/>
    <w:rsid w:val="00FC0B5F"/>
    <w:rsid w:val="00FC2245"/>
    <w:rsid w:val="00FC3659"/>
    <w:rsid w:val="00FC6F68"/>
    <w:rsid w:val="00FD3D12"/>
    <w:rsid w:val="00FD3EC4"/>
    <w:rsid w:val="00FE00D2"/>
    <w:rsid w:val="00FE1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272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AB33F4"/>
    <w:pPr>
      <w:keepNext/>
      <w:keepLines/>
      <w:spacing w:before="480"/>
      <w:outlineLvl w:val="0"/>
    </w:pPr>
    <w:rPr>
      <w:rFonts w:asciiTheme="majorHAnsi" w:eastAsiaTheme="majorEastAsia" w:hAnsiTheme="majorHAnsi" w:cstheme="majorBidi"/>
      <w:b/>
      <w:bCs/>
      <w:color w:val="2F3232" w:themeColor="accent1" w:themeShade="BF"/>
      <w:sz w:val="28"/>
      <w:szCs w:val="28"/>
    </w:rPr>
  </w:style>
  <w:style w:type="paragraph" w:styleId="Heading2">
    <w:name w:val="heading 2"/>
    <w:basedOn w:val="Normal"/>
    <w:next w:val="Normal"/>
    <w:link w:val="Heading2Char"/>
    <w:uiPriority w:val="9"/>
    <w:unhideWhenUsed/>
    <w:rsid w:val="00AB33F4"/>
    <w:pPr>
      <w:keepNext/>
      <w:keepLines/>
      <w:spacing w:before="200"/>
      <w:outlineLvl w:val="1"/>
    </w:pPr>
    <w:rPr>
      <w:rFonts w:asciiTheme="majorHAnsi" w:eastAsiaTheme="majorEastAsia" w:hAnsiTheme="majorHAnsi" w:cstheme="majorBidi"/>
      <w:b/>
      <w:bCs/>
      <w:color w:val="3F4444" w:themeColor="accent1"/>
      <w:sz w:val="26"/>
      <w:szCs w:val="26"/>
    </w:rPr>
  </w:style>
  <w:style w:type="paragraph" w:styleId="Heading3">
    <w:name w:val="heading 3"/>
    <w:basedOn w:val="Normal"/>
    <w:next w:val="Normal"/>
    <w:link w:val="Heading3Char"/>
    <w:uiPriority w:val="9"/>
    <w:semiHidden/>
    <w:unhideWhenUsed/>
    <w:rsid w:val="00765410"/>
    <w:pPr>
      <w:keepNext/>
      <w:keepLines/>
      <w:spacing w:before="200"/>
      <w:outlineLvl w:val="2"/>
    </w:pPr>
    <w:rPr>
      <w:rFonts w:asciiTheme="majorHAnsi" w:eastAsiaTheme="majorEastAsia" w:hAnsiTheme="majorHAnsi" w:cstheme="majorBidi"/>
      <w:b/>
      <w:bCs/>
      <w:color w:val="3F4444" w:themeColor="accent1"/>
    </w:rPr>
  </w:style>
  <w:style w:type="character" w:default="1" w:styleId="DefaultParagraphFont">
    <w:name w:val="Default Paragraph Font"/>
    <w:uiPriority w:val="1"/>
    <w:semiHidden/>
    <w:unhideWhenUsed/>
    <w:rsid w:val="00A272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720B"/>
  </w:style>
  <w:style w:type="paragraph" w:styleId="NormalWeb">
    <w:name w:val="Normal (Web)"/>
    <w:basedOn w:val="Normal"/>
    <w:uiPriority w:val="99"/>
    <w:semiHidden/>
    <w:unhideWhenUsed/>
    <w:rsid w:val="001E5EA5"/>
    <w:pPr>
      <w:spacing w:before="100" w:beforeAutospacing="1" w:after="100" w:afterAutospacing="1"/>
    </w:pPr>
    <w:rPr>
      <w:rFonts w:eastAsiaTheme="minorEastAsia"/>
      <w:lang w:eastAsia="en-AU"/>
    </w:rPr>
  </w:style>
  <w:style w:type="character" w:customStyle="1" w:styleId="Heading2Char">
    <w:name w:val="Heading 2 Char"/>
    <w:basedOn w:val="DefaultParagraphFont"/>
    <w:link w:val="Heading2"/>
    <w:uiPriority w:val="9"/>
    <w:rsid w:val="00AB33F4"/>
    <w:rPr>
      <w:rFonts w:asciiTheme="majorHAnsi" w:eastAsiaTheme="majorEastAsia" w:hAnsiTheme="majorHAnsi" w:cstheme="majorBidi"/>
      <w:b/>
      <w:bCs/>
      <w:color w:val="3F4444" w:themeColor="accent1"/>
      <w:sz w:val="26"/>
      <w:szCs w:val="26"/>
    </w:rPr>
  </w:style>
  <w:style w:type="paragraph" w:styleId="ListParagraph">
    <w:name w:val="List Paragraph"/>
    <w:basedOn w:val="Normal"/>
    <w:link w:val="ListParagraphChar"/>
    <w:autoRedefine/>
    <w:uiPriority w:val="34"/>
    <w:qFormat/>
    <w:rsid w:val="00D92959"/>
    <w:pPr>
      <w:numPr>
        <w:numId w:val="28"/>
      </w:numPr>
      <w:spacing w:line="288" w:lineRule="auto"/>
    </w:pPr>
    <w:rPr>
      <w:rFonts w:cstheme="minorHAnsi"/>
      <w:szCs w:val="20"/>
    </w:rPr>
  </w:style>
  <w:style w:type="character" w:customStyle="1" w:styleId="ListParagraphChar">
    <w:name w:val="List Paragraph Char"/>
    <w:basedOn w:val="DefaultParagraphFont"/>
    <w:link w:val="ListParagraph"/>
    <w:uiPriority w:val="34"/>
    <w:rsid w:val="00D92959"/>
    <w:rPr>
      <w:rFonts w:ascii="Verdana" w:hAnsi="Verdana" w:cstheme="minorHAnsi"/>
      <w:sz w:val="20"/>
      <w:szCs w:val="20"/>
    </w:rPr>
  </w:style>
  <w:style w:type="character" w:customStyle="1" w:styleId="Heading1Char">
    <w:name w:val="Heading 1 Char"/>
    <w:basedOn w:val="DefaultParagraphFont"/>
    <w:link w:val="Heading1"/>
    <w:uiPriority w:val="9"/>
    <w:rsid w:val="00AB33F4"/>
    <w:rPr>
      <w:rFonts w:asciiTheme="majorHAnsi" w:eastAsiaTheme="majorEastAsia" w:hAnsiTheme="majorHAnsi" w:cstheme="majorBidi"/>
      <w:b/>
      <w:bCs/>
      <w:color w:val="2F3232" w:themeColor="accent1" w:themeShade="BF"/>
      <w:sz w:val="28"/>
      <w:szCs w:val="28"/>
    </w:rPr>
  </w:style>
  <w:style w:type="paragraph" w:styleId="TOCHeading">
    <w:name w:val="TOC Heading"/>
    <w:basedOn w:val="Heading1"/>
    <w:next w:val="Normal"/>
    <w:uiPriority w:val="39"/>
    <w:semiHidden/>
    <w:unhideWhenUsed/>
    <w:qFormat/>
    <w:rsid w:val="00AB33F4"/>
    <w:pPr>
      <w:outlineLvl w:val="9"/>
    </w:pPr>
    <w:rPr>
      <w:lang w:val="en-US" w:eastAsia="ja-JP"/>
    </w:rPr>
  </w:style>
  <w:style w:type="character" w:styleId="Hyperlink">
    <w:name w:val="Hyperlink"/>
    <w:basedOn w:val="DefaultParagraphFont"/>
    <w:uiPriority w:val="99"/>
    <w:unhideWhenUsed/>
    <w:rsid w:val="00AB33F4"/>
    <w:rPr>
      <w:color w:val="3F4444" w:themeColor="hyperlink"/>
      <w:u w:val="single"/>
    </w:rPr>
  </w:style>
  <w:style w:type="paragraph" w:styleId="TOC2">
    <w:name w:val="toc 2"/>
    <w:basedOn w:val="Normal"/>
    <w:next w:val="Normal"/>
    <w:autoRedefine/>
    <w:uiPriority w:val="39"/>
    <w:unhideWhenUsed/>
    <w:rsid w:val="00AB33F4"/>
    <w:pPr>
      <w:spacing w:before="120" w:after="100"/>
      <w:ind w:left="240"/>
    </w:pPr>
  </w:style>
  <w:style w:type="paragraph" w:styleId="BalloonText">
    <w:name w:val="Balloon Text"/>
    <w:basedOn w:val="Normal"/>
    <w:link w:val="BalloonTextChar"/>
    <w:uiPriority w:val="99"/>
    <w:semiHidden/>
    <w:unhideWhenUsed/>
    <w:rsid w:val="00AB33F4"/>
    <w:rPr>
      <w:rFonts w:ascii="Tahoma" w:hAnsi="Tahoma" w:cs="Tahoma"/>
      <w:sz w:val="16"/>
      <w:szCs w:val="16"/>
    </w:rPr>
  </w:style>
  <w:style w:type="character" w:customStyle="1" w:styleId="BalloonTextChar">
    <w:name w:val="Balloon Text Char"/>
    <w:basedOn w:val="DefaultParagraphFont"/>
    <w:link w:val="BalloonText"/>
    <w:uiPriority w:val="99"/>
    <w:semiHidden/>
    <w:rsid w:val="00AB33F4"/>
    <w:rPr>
      <w:rFonts w:ascii="Tahoma" w:hAnsi="Tahoma" w:cs="Tahoma"/>
      <w:sz w:val="16"/>
      <w:szCs w:val="16"/>
    </w:rPr>
  </w:style>
  <w:style w:type="table" w:styleId="TableGrid">
    <w:name w:val="Table Grid"/>
    <w:basedOn w:val="TableNormal"/>
    <w:uiPriority w:val="59"/>
    <w:rsid w:val="003736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BulletPoint">
    <w:name w:val="Report Bullet Point"/>
    <w:basedOn w:val="ReportBodyText"/>
    <w:next w:val="ReportBodyText"/>
    <w:link w:val="ReportBulletPointChar"/>
    <w:rsid w:val="0037361C"/>
    <w:pPr>
      <w:numPr>
        <w:numId w:val="2"/>
      </w:numPr>
    </w:pPr>
  </w:style>
  <w:style w:type="paragraph" w:customStyle="1" w:styleId="ReportBodyText">
    <w:name w:val="Report Body Text"/>
    <w:link w:val="ReportBodyTextChar"/>
    <w:autoRedefine/>
    <w:rsid w:val="002939AC"/>
    <w:pPr>
      <w:spacing w:before="80" w:after="80" w:line="288" w:lineRule="auto"/>
    </w:pPr>
    <w:rPr>
      <w:rFonts w:ascii="Verdana" w:eastAsia="Times New Roman" w:hAnsi="Verdana" w:cs="Times New Roman"/>
      <w:sz w:val="20"/>
      <w:szCs w:val="20"/>
    </w:rPr>
  </w:style>
  <w:style w:type="character" w:customStyle="1" w:styleId="ReportBulletPointChar">
    <w:name w:val="Report Bullet Point Char"/>
    <w:basedOn w:val="DefaultParagraphFont"/>
    <w:link w:val="ReportBulletPoint"/>
    <w:rsid w:val="0037361C"/>
    <w:rPr>
      <w:rFonts w:ascii="Verdana" w:eastAsia="Times New Roman" w:hAnsi="Verdana" w:cs="Times New Roman"/>
      <w:sz w:val="20"/>
      <w:szCs w:val="20"/>
    </w:rPr>
  </w:style>
  <w:style w:type="paragraph" w:customStyle="1" w:styleId="ReportMetadata">
    <w:name w:val="Report Metadata"/>
    <w:basedOn w:val="ReportBodyText"/>
    <w:link w:val="ReportMetadataChar"/>
    <w:rsid w:val="0037361C"/>
    <w:pPr>
      <w:spacing w:before="60" w:after="60"/>
    </w:pPr>
    <w:rPr>
      <w:rFonts w:cstheme="minorHAnsi"/>
      <w:sz w:val="12"/>
      <w:szCs w:val="12"/>
      <w:lang w:eastAsia="en-AU"/>
    </w:rPr>
  </w:style>
  <w:style w:type="character" w:customStyle="1" w:styleId="ReportBodyTextChar">
    <w:name w:val="Report Body Text Char"/>
    <w:basedOn w:val="DefaultParagraphFont"/>
    <w:link w:val="ReportBodyText"/>
    <w:rsid w:val="002939AC"/>
    <w:rPr>
      <w:rFonts w:ascii="Verdana" w:eastAsia="Times New Roman" w:hAnsi="Verdana" w:cs="Times New Roman"/>
      <w:sz w:val="20"/>
      <w:szCs w:val="20"/>
    </w:rPr>
  </w:style>
  <w:style w:type="paragraph" w:customStyle="1" w:styleId="ReportMeasureTitle">
    <w:name w:val="Report Measure Title"/>
    <w:basedOn w:val="ReportBodyText"/>
    <w:next w:val="ReportBodyText"/>
    <w:link w:val="ReportMeasureTitleChar"/>
    <w:rsid w:val="0037361C"/>
    <w:pPr>
      <w:keepNext/>
      <w:keepLines/>
    </w:pPr>
  </w:style>
  <w:style w:type="character" w:customStyle="1" w:styleId="ReportMetadataChar">
    <w:name w:val="Report Metadata Char"/>
    <w:basedOn w:val="ReportBodyTextChar"/>
    <w:link w:val="ReportMetadata"/>
    <w:rsid w:val="0037361C"/>
    <w:rPr>
      <w:rFonts w:ascii="Calibri" w:eastAsia="Times New Roman" w:hAnsi="Calibri" w:cstheme="minorHAnsi"/>
      <w:sz w:val="12"/>
      <w:szCs w:val="12"/>
      <w:lang w:eastAsia="en-AU"/>
    </w:rPr>
  </w:style>
  <w:style w:type="character" w:customStyle="1" w:styleId="ReportMeasureTitleChar">
    <w:name w:val="Report Measure Title Char"/>
    <w:basedOn w:val="ReportBodyTextChar"/>
    <w:link w:val="ReportMeasureTitle"/>
    <w:rsid w:val="0037361C"/>
    <w:rPr>
      <w:rFonts w:ascii="Calibri" w:eastAsia="Times New Roman" w:hAnsi="Calibri" w:cs="Times New Roman"/>
      <w:sz w:val="20"/>
      <w:szCs w:val="20"/>
    </w:rPr>
  </w:style>
  <w:style w:type="paragraph" w:styleId="Header">
    <w:name w:val="header"/>
    <w:basedOn w:val="Normal"/>
    <w:link w:val="HeaderChar"/>
    <w:uiPriority w:val="99"/>
    <w:unhideWhenUsed/>
    <w:rsid w:val="0037361C"/>
    <w:pPr>
      <w:tabs>
        <w:tab w:val="center" w:pos="4513"/>
        <w:tab w:val="right" w:pos="9026"/>
      </w:tabs>
    </w:pPr>
  </w:style>
  <w:style w:type="character" w:customStyle="1" w:styleId="HeaderChar">
    <w:name w:val="Header Char"/>
    <w:basedOn w:val="DefaultParagraphFont"/>
    <w:link w:val="Header"/>
    <w:uiPriority w:val="99"/>
    <w:rsid w:val="0037361C"/>
  </w:style>
  <w:style w:type="paragraph" w:styleId="Footer">
    <w:name w:val="footer"/>
    <w:basedOn w:val="Normal"/>
    <w:link w:val="FooterChar"/>
    <w:uiPriority w:val="99"/>
    <w:unhideWhenUsed/>
    <w:rsid w:val="0037361C"/>
    <w:pPr>
      <w:tabs>
        <w:tab w:val="center" w:pos="4513"/>
        <w:tab w:val="right" w:pos="9026"/>
      </w:tabs>
    </w:pPr>
  </w:style>
  <w:style w:type="character" w:customStyle="1" w:styleId="FooterChar">
    <w:name w:val="Footer Char"/>
    <w:basedOn w:val="DefaultParagraphFont"/>
    <w:link w:val="Footer"/>
    <w:uiPriority w:val="99"/>
    <w:rsid w:val="0037361C"/>
  </w:style>
  <w:style w:type="paragraph" w:customStyle="1" w:styleId="OverviewSectionHeadings">
    <w:name w:val="Overview Section Headings"/>
    <w:next w:val="ReportBodyText"/>
    <w:link w:val="OverviewSectionHeadingsChar"/>
    <w:qFormat/>
    <w:rsid w:val="0037361C"/>
    <w:pPr>
      <w:keepNext/>
      <w:keepLines/>
      <w:numPr>
        <w:numId w:val="4"/>
      </w:numPr>
      <w:spacing w:before="200" w:after="320" w:line="240" w:lineRule="auto"/>
      <w:outlineLvl w:val="1"/>
    </w:pPr>
    <w:rPr>
      <w:rFonts w:eastAsiaTheme="majorEastAsia" w:cstheme="minorHAnsi"/>
      <w:b/>
      <w:bCs/>
      <w:caps/>
      <w:sz w:val="24"/>
    </w:rPr>
  </w:style>
  <w:style w:type="paragraph" w:customStyle="1" w:styleId="Bullet2">
    <w:name w:val="Bullet 2"/>
    <w:basedOn w:val="ListParagraph"/>
    <w:qFormat/>
    <w:rsid w:val="00E810A0"/>
    <w:pPr>
      <w:numPr>
        <w:ilvl w:val="1"/>
        <w:numId w:val="5"/>
      </w:numPr>
    </w:pPr>
    <w:rPr>
      <w:rFonts w:cs="Times New Roman"/>
      <w:lang w:eastAsia="en-AU"/>
    </w:rPr>
  </w:style>
  <w:style w:type="character" w:customStyle="1" w:styleId="OverviewSectionHeadingsChar">
    <w:name w:val="Overview Section Headings Char"/>
    <w:basedOn w:val="DefaultParagraphFont"/>
    <w:link w:val="OverviewSectionHeadings"/>
    <w:rsid w:val="0037361C"/>
    <w:rPr>
      <w:rFonts w:eastAsiaTheme="majorEastAsia" w:cstheme="minorHAnsi"/>
      <w:b/>
      <w:bCs/>
      <w:caps/>
      <w:sz w:val="24"/>
    </w:rPr>
  </w:style>
  <w:style w:type="character" w:customStyle="1" w:styleId="Bullet1linkedChar">
    <w:name w:val="Bullet 1 (linked) Char"/>
    <w:basedOn w:val="DefaultParagraphFont"/>
    <w:link w:val="Bullet1linked"/>
    <w:locked/>
    <w:rsid w:val="00E810A0"/>
    <w:rPr>
      <w:rFonts w:ascii="Times New Roman" w:eastAsia="Times New Roman" w:hAnsi="Times New Roman" w:cs="Times New Roman"/>
      <w:sz w:val="24"/>
      <w:szCs w:val="20"/>
      <w:lang w:eastAsia="en-AU"/>
    </w:rPr>
  </w:style>
  <w:style w:type="paragraph" w:customStyle="1" w:styleId="Bullet1linked">
    <w:name w:val="Bullet 1 (linked)"/>
    <w:basedOn w:val="Normal"/>
    <w:link w:val="Bullet1linkedChar"/>
    <w:qFormat/>
    <w:rsid w:val="00E810A0"/>
    <w:pPr>
      <w:numPr>
        <w:numId w:val="5"/>
      </w:numPr>
      <w:spacing w:before="120"/>
    </w:pPr>
    <w:rPr>
      <w:szCs w:val="20"/>
      <w:lang w:eastAsia="en-AU"/>
    </w:rPr>
  </w:style>
  <w:style w:type="paragraph" w:styleId="BlockText">
    <w:name w:val="Block Text"/>
    <w:basedOn w:val="Normal"/>
    <w:uiPriority w:val="99"/>
    <w:semiHidden/>
    <w:unhideWhenUsed/>
    <w:rsid w:val="00E810A0"/>
    <w:pPr>
      <w:pBdr>
        <w:top w:val="single" w:sz="2" w:space="10" w:color="3F4444" w:themeColor="accent1" w:shadow="1" w:frame="1"/>
        <w:left w:val="single" w:sz="2" w:space="10" w:color="3F4444" w:themeColor="accent1" w:shadow="1" w:frame="1"/>
        <w:bottom w:val="single" w:sz="2" w:space="10" w:color="3F4444" w:themeColor="accent1" w:shadow="1" w:frame="1"/>
        <w:right w:val="single" w:sz="2" w:space="10" w:color="3F4444" w:themeColor="accent1" w:shadow="1" w:frame="1"/>
      </w:pBdr>
      <w:spacing w:before="120"/>
      <w:ind w:left="1152" w:right="1152"/>
    </w:pPr>
    <w:rPr>
      <w:rFonts w:eastAsiaTheme="minorEastAsia"/>
      <w:i/>
      <w:iCs/>
      <w:color w:val="3F4444" w:themeColor="accent1"/>
    </w:rPr>
  </w:style>
  <w:style w:type="paragraph" w:styleId="TOC1">
    <w:name w:val="toc 1"/>
    <w:basedOn w:val="Normal"/>
    <w:next w:val="Normal"/>
    <w:autoRedefine/>
    <w:uiPriority w:val="39"/>
    <w:unhideWhenUsed/>
    <w:rsid w:val="00C51258"/>
    <w:pPr>
      <w:spacing w:after="100"/>
    </w:pPr>
  </w:style>
  <w:style w:type="paragraph" w:styleId="TOC3">
    <w:name w:val="toc 3"/>
    <w:basedOn w:val="Normal"/>
    <w:next w:val="Normal"/>
    <w:autoRedefine/>
    <w:uiPriority w:val="39"/>
    <w:unhideWhenUsed/>
    <w:rsid w:val="00C51258"/>
    <w:pPr>
      <w:spacing w:after="100"/>
      <w:ind w:left="440"/>
    </w:pPr>
  </w:style>
  <w:style w:type="character" w:styleId="CommentReference">
    <w:name w:val="annotation reference"/>
    <w:basedOn w:val="DefaultParagraphFont"/>
    <w:uiPriority w:val="99"/>
    <w:semiHidden/>
    <w:unhideWhenUsed/>
    <w:rsid w:val="00296C26"/>
    <w:rPr>
      <w:sz w:val="16"/>
      <w:szCs w:val="16"/>
    </w:rPr>
  </w:style>
  <w:style w:type="paragraph" w:styleId="CommentText">
    <w:name w:val="annotation text"/>
    <w:basedOn w:val="Normal"/>
    <w:link w:val="CommentTextChar"/>
    <w:uiPriority w:val="99"/>
    <w:semiHidden/>
    <w:unhideWhenUsed/>
    <w:rsid w:val="00296C26"/>
    <w:rPr>
      <w:szCs w:val="20"/>
    </w:rPr>
  </w:style>
  <w:style w:type="character" w:customStyle="1" w:styleId="CommentTextChar">
    <w:name w:val="Comment Text Char"/>
    <w:basedOn w:val="DefaultParagraphFont"/>
    <w:link w:val="CommentText"/>
    <w:uiPriority w:val="99"/>
    <w:semiHidden/>
    <w:rsid w:val="00296C26"/>
    <w:rPr>
      <w:sz w:val="20"/>
      <w:szCs w:val="20"/>
    </w:rPr>
  </w:style>
  <w:style w:type="paragraph" w:styleId="CommentSubject">
    <w:name w:val="annotation subject"/>
    <w:basedOn w:val="CommentText"/>
    <w:next w:val="CommentText"/>
    <w:link w:val="CommentSubjectChar"/>
    <w:uiPriority w:val="99"/>
    <w:semiHidden/>
    <w:unhideWhenUsed/>
    <w:rsid w:val="00296C26"/>
    <w:rPr>
      <w:b/>
      <w:bCs/>
    </w:rPr>
  </w:style>
  <w:style w:type="character" w:customStyle="1" w:styleId="CommentSubjectChar">
    <w:name w:val="Comment Subject Char"/>
    <w:basedOn w:val="CommentTextChar"/>
    <w:link w:val="CommentSubject"/>
    <w:uiPriority w:val="99"/>
    <w:semiHidden/>
    <w:rsid w:val="00296C26"/>
    <w:rPr>
      <w:b/>
      <w:bCs/>
      <w:sz w:val="20"/>
      <w:szCs w:val="20"/>
    </w:rPr>
  </w:style>
  <w:style w:type="paragraph" w:styleId="Revision">
    <w:name w:val="Revision"/>
    <w:hidden/>
    <w:uiPriority w:val="99"/>
    <w:semiHidden/>
    <w:rsid w:val="003736CE"/>
    <w:pPr>
      <w:spacing w:after="0" w:line="240" w:lineRule="auto"/>
    </w:pPr>
  </w:style>
  <w:style w:type="paragraph" w:styleId="FootnoteText">
    <w:name w:val="footnote text"/>
    <w:basedOn w:val="Normal"/>
    <w:link w:val="FootnoteTextChar"/>
    <w:uiPriority w:val="99"/>
    <w:semiHidden/>
    <w:unhideWhenUsed/>
    <w:rsid w:val="00125506"/>
    <w:rPr>
      <w:szCs w:val="20"/>
    </w:rPr>
  </w:style>
  <w:style w:type="character" w:customStyle="1" w:styleId="FootnoteTextChar">
    <w:name w:val="Footnote Text Char"/>
    <w:basedOn w:val="DefaultParagraphFont"/>
    <w:link w:val="FootnoteText"/>
    <w:uiPriority w:val="99"/>
    <w:semiHidden/>
    <w:rsid w:val="00125506"/>
    <w:rPr>
      <w:sz w:val="20"/>
      <w:szCs w:val="20"/>
    </w:rPr>
  </w:style>
  <w:style w:type="character" w:styleId="FootnoteReference">
    <w:name w:val="footnote reference"/>
    <w:basedOn w:val="DefaultParagraphFont"/>
    <w:uiPriority w:val="99"/>
    <w:semiHidden/>
    <w:unhideWhenUsed/>
    <w:rsid w:val="00125506"/>
    <w:rPr>
      <w:vertAlign w:val="superscript"/>
    </w:rPr>
  </w:style>
  <w:style w:type="paragraph" w:customStyle="1" w:styleId="Documenttitle02">
    <w:name w:val="Document title 02"/>
    <w:basedOn w:val="Normal"/>
    <w:link w:val="Documenttitle02Char"/>
    <w:qFormat/>
    <w:rsid w:val="00D4048A"/>
    <w:pPr>
      <w:spacing w:before="480" w:after="240"/>
      <w:contextualSpacing/>
      <w:outlineLvl w:val="1"/>
    </w:pPr>
    <w:rPr>
      <w:rFonts w:eastAsia="Cambria" w:cs="Kalinga"/>
      <w:b/>
      <w:color w:val="E11E25"/>
      <w:kern w:val="20"/>
      <w:sz w:val="30"/>
      <w:szCs w:val="30"/>
      <w:lang w:val="en-US" w:eastAsia="ja-JP"/>
    </w:rPr>
  </w:style>
  <w:style w:type="character" w:customStyle="1" w:styleId="Documenttitle02Char">
    <w:name w:val="Document title 02 Char"/>
    <w:basedOn w:val="DefaultParagraphFont"/>
    <w:link w:val="Documenttitle02"/>
    <w:rsid w:val="00D4048A"/>
    <w:rPr>
      <w:rFonts w:ascii="Verdana" w:eastAsia="Cambria" w:hAnsi="Verdana" w:cs="Kalinga"/>
      <w:b/>
      <w:color w:val="E11E25"/>
      <w:kern w:val="20"/>
      <w:sz w:val="30"/>
      <w:szCs w:val="30"/>
      <w:lang w:val="en-US" w:eastAsia="ja-JP"/>
    </w:rPr>
  </w:style>
  <w:style w:type="paragraph" w:customStyle="1" w:styleId="Documenttitle01">
    <w:name w:val="Document title 01"/>
    <w:basedOn w:val="Normal"/>
    <w:link w:val="Documenttitle01Char"/>
    <w:autoRedefine/>
    <w:qFormat/>
    <w:rsid w:val="00B35E3D"/>
    <w:pPr>
      <w:spacing w:before="800" w:after="240" w:line="288" w:lineRule="auto"/>
      <w:outlineLvl w:val="0"/>
    </w:pPr>
    <w:rPr>
      <w:rFonts w:eastAsia="Cambria" w:cs="Kalinga"/>
      <w:b/>
      <w:bCs/>
      <w:color w:val="BB9D67"/>
      <w:kern w:val="20"/>
      <w:sz w:val="42"/>
      <w:szCs w:val="70"/>
      <w:lang w:eastAsia="ja-JP"/>
    </w:rPr>
  </w:style>
  <w:style w:type="character" w:customStyle="1" w:styleId="Documenttitle01Char">
    <w:name w:val="Document title 01 Char"/>
    <w:basedOn w:val="DefaultParagraphFont"/>
    <w:link w:val="Documenttitle01"/>
    <w:rsid w:val="00B35E3D"/>
    <w:rPr>
      <w:rFonts w:ascii="Verdana" w:eastAsia="Cambria" w:hAnsi="Verdana" w:cs="Kalinga"/>
      <w:b/>
      <w:bCs/>
      <w:color w:val="BB9D67"/>
      <w:kern w:val="20"/>
      <w:sz w:val="42"/>
      <w:szCs w:val="70"/>
      <w:lang w:eastAsia="ja-JP"/>
    </w:rPr>
  </w:style>
  <w:style w:type="paragraph" w:styleId="Caption">
    <w:name w:val="caption"/>
    <w:basedOn w:val="Normal"/>
    <w:next w:val="Normal"/>
    <w:link w:val="CaptionChar"/>
    <w:uiPriority w:val="35"/>
    <w:unhideWhenUsed/>
    <w:rsid w:val="00861246"/>
    <w:rPr>
      <w:b/>
      <w:bCs/>
      <w:color w:val="3F4444" w:themeColor="accent1"/>
      <w:sz w:val="18"/>
      <w:szCs w:val="18"/>
    </w:rPr>
  </w:style>
  <w:style w:type="paragraph" w:customStyle="1" w:styleId="Default">
    <w:name w:val="Default"/>
    <w:rsid w:val="00473B2D"/>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765410"/>
    <w:rPr>
      <w:rFonts w:asciiTheme="majorHAnsi" w:eastAsiaTheme="majorEastAsia" w:hAnsiTheme="majorHAnsi" w:cstheme="majorBidi"/>
      <w:b/>
      <w:bCs/>
      <w:color w:val="3F4444" w:themeColor="accent1"/>
    </w:rPr>
  </w:style>
  <w:style w:type="paragraph" w:customStyle="1" w:styleId="Documenttitle3">
    <w:name w:val="Document title 3"/>
    <w:basedOn w:val="Caption"/>
    <w:link w:val="Documenttitle3Char"/>
    <w:qFormat/>
    <w:rsid w:val="00B35E3D"/>
    <w:pPr>
      <w:keepNext/>
      <w:spacing w:before="360" w:after="240"/>
      <w:outlineLvl w:val="2"/>
    </w:pPr>
    <w:rPr>
      <w:color w:val="BB9D67"/>
      <w:sz w:val="28"/>
      <w:szCs w:val="28"/>
    </w:rPr>
  </w:style>
  <w:style w:type="paragraph" w:customStyle="1" w:styleId="Tableheading">
    <w:name w:val="Table heading"/>
    <w:basedOn w:val="Caption"/>
    <w:link w:val="TableheadingChar"/>
    <w:qFormat/>
    <w:rsid w:val="00E15F2F"/>
    <w:pPr>
      <w:keepNext/>
      <w:spacing w:before="240" w:line="276" w:lineRule="auto"/>
    </w:pPr>
    <w:rPr>
      <w:sz w:val="20"/>
      <w:szCs w:val="20"/>
    </w:rPr>
  </w:style>
  <w:style w:type="character" w:customStyle="1" w:styleId="CaptionChar">
    <w:name w:val="Caption Char"/>
    <w:basedOn w:val="DefaultParagraphFont"/>
    <w:link w:val="Caption"/>
    <w:uiPriority w:val="35"/>
    <w:rsid w:val="002939AC"/>
    <w:rPr>
      <w:b/>
      <w:bCs/>
      <w:color w:val="3F4444" w:themeColor="accent1"/>
      <w:sz w:val="18"/>
      <w:szCs w:val="18"/>
    </w:rPr>
  </w:style>
  <w:style w:type="character" w:customStyle="1" w:styleId="Documenttitle3Char">
    <w:name w:val="Document title 3 Char"/>
    <w:basedOn w:val="CaptionChar"/>
    <w:link w:val="Documenttitle3"/>
    <w:rsid w:val="00B35E3D"/>
    <w:rPr>
      <w:rFonts w:ascii="Verdana" w:hAnsi="Verdana"/>
      <w:b/>
      <w:bCs/>
      <w:color w:val="BB9D67"/>
      <w:sz w:val="28"/>
      <w:szCs w:val="28"/>
    </w:rPr>
  </w:style>
  <w:style w:type="paragraph" w:customStyle="1" w:styleId="Documenttitle4">
    <w:name w:val="Document title 4"/>
    <w:next w:val="Normal"/>
    <w:link w:val="Documenttitle4Char"/>
    <w:autoRedefine/>
    <w:qFormat/>
    <w:rsid w:val="00B35E3D"/>
    <w:pPr>
      <w:spacing w:before="240" w:after="120" w:line="240" w:lineRule="auto"/>
      <w:contextualSpacing/>
      <w:outlineLvl w:val="3"/>
    </w:pPr>
    <w:rPr>
      <w:rFonts w:ascii="Verdana" w:eastAsia="Times New Roman" w:hAnsi="Verdana" w:cs="Arial"/>
      <w:b/>
      <w:color w:val="E11E25" w:themeColor="text2"/>
      <w:kern w:val="20"/>
      <w:sz w:val="24"/>
      <w:szCs w:val="24"/>
      <w:lang w:val="en-US" w:eastAsia="ja-JP"/>
    </w:rPr>
  </w:style>
  <w:style w:type="character" w:customStyle="1" w:styleId="TableheadingChar">
    <w:name w:val="Table heading Char"/>
    <w:basedOn w:val="CaptionChar"/>
    <w:link w:val="Tableheading"/>
    <w:rsid w:val="00E15F2F"/>
    <w:rPr>
      <w:rFonts w:ascii="Verdana" w:hAnsi="Verdana"/>
      <w:b/>
      <w:bCs/>
      <w:color w:val="3F4444" w:themeColor="accent1"/>
      <w:sz w:val="20"/>
      <w:szCs w:val="20"/>
    </w:rPr>
  </w:style>
  <w:style w:type="character" w:customStyle="1" w:styleId="Documenttitle4Char">
    <w:name w:val="Document title 4 Char"/>
    <w:basedOn w:val="DefaultParagraphFont"/>
    <w:link w:val="Documenttitle4"/>
    <w:rsid w:val="00B35E3D"/>
    <w:rPr>
      <w:rFonts w:ascii="Verdana" w:eastAsia="Times New Roman" w:hAnsi="Verdana" w:cs="Arial"/>
      <w:b/>
      <w:color w:val="E11E25" w:themeColor="text2"/>
      <w:kern w:val="20"/>
      <w:sz w:val="24"/>
      <w:szCs w:val="24"/>
      <w:lang w:val="en-US" w:eastAsia="ja-JP"/>
    </w:rPr>
  </w:style>
  <w:style w:type="paragraph" w:customStyle="1" w:styleId="ListParagraphleveltwo">
    <w:name w:val="List Paragraph level two"/>
    <w:basedOn w:val="ListParagraph"/>
    <w:link w:val="ListParagraphleveltwoChar"/>
    <w:qFormat/>
    <w:rsid w:val="008B7C19"/>
    <w:pPr>
      <w:numPr>
        <w:numId w:val="33"/>
      </w:numPr>
    </w:pPr>
  </w:style>
  <w:style w:type="table" w:styleId="ColorfulList-Accent2">
    <w:name w:val="Colorful List Accent 2"/>
    <w:basedOn w:val="TableNormal"/>
    <w:uiPriority w:val="72"/>
    <w:rsid w:val="00C5626F"/>
    <w:pPr>
      <w:spacing w:after="0" w:line="240" w:lineRule="auto"/>
    </w:pPr>
    <w:rPr>
      <w:color w:val="000000" w:themeColor="text1"/>
    </w:rPr>
    <w:tblPr>
      <w:tblStyleRowBandSize w:val="1"/>
      <w:tblStyleColBandSize w:val="1"/>
    </w:tblPr>
    <w:tcPr>
      <w:shd w:val="clear" w:color="auto" w:fill="F8F5F0" w:themeFill="accent2" w:themeFillTint="19"/>
    </w:tcPr>
    <w:tblStylePr w:type="firstRow">
      <w:rPr>
        <w:b/>
        <w:bCs/>
        <w:color w:val="FFFFFF" w:themeColor="background1"/>
      </w:rPr>
      <w:tblPr/>
      <w:tcPr>
        <w:tcBorders>
          <w:bottom w:val="single" w:sz="12" w:space="0" w:color="FFFFFF" w:themeColor="background1"/>
        </w:tcBorders>
        <w:shd w:val="clear" w:color="auto" w:fill="A08047" w:themeFill="accent2" w:themeFillShade="CC"/>
      </w:tcPr>
    </w:tblStylePr>
    <w:tblStylePr w:type="lastRow">
      <w:rPr>
        <w:b/>
        <w:bCs/>
        <w:color w:val="A080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6D9" w:themeFill="accent2" w:themeFillTint="3F"/>
      </w:tcPr>
    </w:tblStylePr>
    <w:tblStylePr w:type="band1Horz">
      <w:tblPr/>
      <w:tcPr>
        <w:shd w:val="clear" w:color="auto" w:fill="F1EBE0" w:themeFill="accent2" w:themeFillTint="33"/>
      </w:tcPr>
    </w:tblStylePr>
  </w:style>
  <w:style w:type="character" w:customStyle="1" w:styleId="ListParagraphleveltwoChar">
    <w:name w:val="List Paragraph level two Char"/>
    <w:basedOn w:val="ListParagraphChar"/>
    <w:link w:val="ListParagraphleveltwo"/>
    <w:rsid w:val="008B7C19"/>
    <w:rPr>
      <w:rFonts w:ascii="Verdana" w:hAnsi="Verdana" w:cstheme="minorHAnsi"/>
      <w:sz w:val="20"/>
      <w:szCs w:val="20"/>
    </w:rPr>
  </w:style>
  <w:style w:type="table" w:styleId="LightList-Accent2">
    <w:name w:val="Light List Accent 2"/>
    <w:basedOn w:val="TableNormal"/>
    <w:uiPriority w:val="61"/>
    <w:rsid w:val="007E6F22"/>
    <w:pPr>
      <w:spacing w:after="0" w:line="240" w:lineRule="auto"/>
    </w:pPr>
    <w:rPr>
      <w:rFonts w:ascii="Verdana" w:hAnsi="Verdana"/>
      <w:sz w:val="18"/>
    </w:rPr>
    <w:tblPr>
      <w:tblStyleRowBandSize w:val="1"/>
      <w:tblStyleColBandSize w:val="1"/>
      <w:tblBorders>
        <w:top w:val="single" w:sz="8" w:space="0" w:color="BB9D67" w:themeColor="accent2"/>
        <w:left w:val="single" w:sz="8" w:space="0" w:color="BB9D67" w:themeColor="accent2"/>
        <w:bottom w:val="single" w:sz="8" w:space="0" w:color="BB9D67" w:themeColor="accent2"/>
        <w:right w:val="single" w:sz="8" w:space="0" w:color="BB9D67" w:themeColor="accent2"/>
      </w:tblBorders>
    </w:tblPr>
    <w:tcPr>
      <w:shd w:val="clear" w:color="auto" w:fill="F1EBE0" w:themeFill="accent6" w:themeFillTint="33"/>
      <w:vAlign w:val="center"/>
    </w:tcPr>
    <w:tblStylePr w:type="firstRow">
      <w:pPr>
        <w:spacing w:before="0" w:after="0" w:line="240" w:lineRule="auto"/>
      </w:pPr>
      <w:rPr>
        <w:b/>
        <w:bCs/>
        <w:color w:val="FFFFFF" w:themeColor="background1"/>
      </w:rPr>
      <w:tblPr/>
      <w:tcPr>
        <w:shd w:val="clear" w:color="auto" w:fill="BB9D67" w:themeFill="accent2"/>
      </w:tcPr>
    </w:tblStylePr>
    <w:tblStylePr w:type="lastRow">
      <w:pPr>
        <w:spacing w:before="0" w:after="0" w:line="240" w:lineRule="auto"/>
      </w:pPr>
      <w:rPr>
        <w:b w:val="0"/>
        <w:bCs/>
      </w:rPr>
      <w:tblPr/>
      <w:tcPr>
        <w:tcBorders>
          <w:top w:val="double" w:sz="6" w:space="0" w:color="BB9D67" w:themeColor="accent2"/>
          <w:left w:val="single" w:sz="8" w:space="0" w:color="BB9D67" w:themeColor="accent2"/>
          <w:bottom w:val="single" w:sz="8" w:space="0" w:color="BB9D67" w:themeColor="accent2"/>
          <w:right w:val="single" w:sz="8" w:space="0" w:color="BB9D67" w:themeColor="accent2"/>
        </w:tcBorders>
      </w:tcPr>
    </w:tblStylePr>
    <w:tblStylePr w:type="firstCol">
      <w:pPr>
        <w:jc w:val="left"/>
      </w:pPr>
      <w:rPr>
        <w:b w:val="0"/>
        <w:bCs/>
      </w:rPr>
      <w:tblPr/>
      <w:tcPr>
        <w:vAlign w:val="top"/>
      </w:tcPr>
    </w:tblStylePr>
    <w:tblStylePr w:type="lastCol">
      <w:pPr>
        <w:jc w:val="left"/>
      </w:pPr>
      <w:rPr>
        <w:b w:val="0"/>
        <w:bCs/>
      </w:rPr>
      <w:tblPr/>
      <w:tcPr>
        <w:vAlign w:val="top"/>
      </w:tcPr>
    </w:tblStylePr>
    <w:tblStylePr w:type="band1Vert">
      <w:tblPr/>
      <w:tcPr>
        <w:tcBorders>
          <w:top w:val="single" w:sz="8" w:space="0" w:color="BB9D67" w:themeColor="accent2"/>
          <w:left w:val="single" w:sz="8" w:space="0" w:color="BB9D67" w:themeColor="accent2"/>
          <w:bottom w:val="single" w:sz="8" w:space="0" w:color="BB9D67" w:themeColor="accent2"/>
          <w:right w:val="single" w:sz="8" w:space="0" w:color="BB9D67" w:themeColor="accent2"/>
        </w:tcBorders>
      </w:tcPr>
    </w:tblStylePr>
    <w:tblStylePr w:type="band1Horz">
      <w:tblPr/>
      <w:tcPr>
        <w:tcBorders>
          <w:top w:val="single" w:sz="8" w:space="0" w:color="BB9D67" w:themeColor="accent2"/>
          <w:left w:val="single" w:sz="8" w:space="0" w:color="BB9D67" w:themeColor="accent2"/>
          <w:bottom w:val="single" w:sz="8" w:space="0" w:color="BB9D67" w:themeColor="accent2"/>
          <w:right w:val="single" w:sz="8" w:space="0" w:color="BB9D67" w:themeColor="accent2"/>
        </w:tcBorders>
      </w:tcPr>
    </w:tblStylePr>
  </w:style>
  <w:style w:type="table" w:styleId="LightList-Accent3">
    <w:name w:val="Light List Accent 3"/>
    <w:basedOn w:val="TableNormal"/>
    <w:uiPriority w:val="61"/>
    <w:rsid w:val="00C5626F"/>
    <w:pPr>
      <w:spacing w:after="0" w:line="240" w:lineRule="auto"/>
    </w:pPr>
    <w:tblPr>
      <w:tblStyleRowBandSize w:val="1"/>
      <w:tblStyleColBandSize w:val="1"/>
      <w:tblBorders>
        <w:top w:val="single" w:sz="8" w:space="0" w:color="BEBB98" w:themeColor="accent3"/>
        <w:left w:val="single" w:sz="8" w:space="0" w:color="BEBB98" w:themeColor="accent3"/>
        <w:bottom w:val="single" w:sz="8" w:space="0" w:color="BEBB98" w:themeColor="accent3"/>
        <w:right w:val="single" w:sz="8" w:space="0" w:color="BEBB98" w:themeColor="accent3"/>
      </w:tblBorders>
    </w:tblPr>
    <w:tblStylePr w:type="firstRow">
      <w:pPr>
        <w:spacing w:before="0" w:after="0" w:line="240" w:lineRule="auto"/>
      </w:pPr>
      <w:rPr>
        <w:b/>
        <w:bCs/>
        <w:color w:val="FFFFFF" w:themeColor="background1"/>
      </w:rPr>
      <w:tblPr/>
      <w:tcPr>
        <w:shd w:val="clear" w:color="auto" w:fill="BEBB98" w:themeFill="accent3"/>
      </w:tcPr>
    </w:tblStylePr>
    <w:tblStylePr w:type="lastRow">
      <w:pPr>
        <w:spacing w:before="0" w:after="0" w:line="240" w:lineRule="auto"/>
      </w:pPr>
      <w:rPr>
        <w:b/>
        <w:bCs/>
      </w:rPr>
      <w:tblPr/>
      <w:tcPr>
        <w:tcBorders>
          <w:top w:val="double" w:sz="6" w:space="0" w:color="BEBB98" w:themeColor="accent3"/>
          <w:left w:val="single" w:sz="8" w:space="0" w:color="BEBB98" w:themeColor="accent3"/>
          <w:bottom w:val="single" w:sz="8" w:space="0" w:color="BEBB98" w:themeColor="accent3"/>
          <w:right w:val="single" w:sz="8" w:space="0" w:color="BEBB98" w:themeColor="accent3"/>
        </w:tcBorders>
      </w:tcPr>
    </w:tblStylePr>
    <w:tblStylePr w:type="firstCol">
      <w:rPr>
        <w:b/>
        <w:bCs/>
      </w:rPr>
    </w:tblStylePr>
    <w:tblStylePr w:type="lastCol">
      <w:rPr>
        <w:b/>
        <w:bCs/>
      </w:rPr>
    </w:tblStylePr>
    <w:tblStylePr w:type="band1Vert">
      <w:tblPr/>
      <w:tcPr>
        <w:tcBorders>
          <w:top w:val="single" w:sz="8" w:space="0" w:color="BEBB98" w:themeColor="accent3"/>
          <w:left w:val="single" w:sz="8" w:space="0" w:color="BEBB98" w:themeColor="accent3"/>
          <w:bottom w:val="single" w:sz="8" w:space="0" w:color="BEBB98" w:themeColor="accent3"/>
          <w:right w:val="single" w:sz="8" w:space="0" w:color="BEBB98" w:themeColor="accent3"/>
        </w:tcBorders>
      </w:tcPr>
    </w:tblStylePr>
    <w:tblStylePr w:type="band1Horz">
      <w:tblPr/>
      <w:tcPr>
        <w:tcBorders>
          <w:top w:val="single" w:sz="8" w:space="0" w:color="BEBB98" w:themeColor="accent3"/>
          <w:left w:val="single" w:sz="8" w:space="0" w:color="BEBB98" w:themeColor="accent3"/>
          <w:bottom w:val="single" w:sz="8" w:space="0" w:color="BEBB98" w:themeColor="accent3"/>
          <w:right w:val="single" w:sz="8" w:space="0" w:color="BEBB98" w:themeColor="accent3"/>
        </w:tcBorders>
      </w:tcPr>
    </w:tblStylePr>
  </w:style>
  <w:style w:type="paragraph" w:customStyle="1" w:styleId="Emphasis01">
    <w:name w:val="Emphasis 01"/>
    <w:basedOn w:val="Normal"/>
    <w:link w:val="Emphasis01Char"/>
    <w:qFormat/>
    <w:rsid w:val="00B766C7"/>
    <w:rPr>
      <w:i/>
      <w:lang w:eastAsia="en-AU"/>
    </w:rPr>
  </w:style>
  <w:style w:type="paragraph" w:customStyle="1" w:styleId="IntenseEmphasis01">
    <w:name w:val="Intense Emphasis 01"/>
    <w:basedOn w:val="Emphasis01"/>
    <w:link w:val="IntenseEmphasis01Char"/>
    <w:qFormat/>
    <w:rsid w:val="00B766C7"/>
    <w:rPr>
      <w:b/>
    </w:rPr>
  </w:style>
  <w:style w:type="character" w:customStyle="1" w:styleId="Emphasis01Char">
    <w:name w:val="Emphasis 01 Char"/>
    <w:basedOn w:val="DefaultParagraphFont"/>
    <w:link w:val="Emphasis01"/>
    <w:rsid w:val="00B766C7"/>
    <w:rPr>
      <w:rFonts w:ascii="Verdana" w:hAnsi="Verdana"/>
      <w:i/>
      <w:sz w:val="20"/>
      <w:lang w:eastAsia="en-AU"/>
    </w:rPr>
  </w:style>
  <w:style w:type="character" w:styleId="Strong">
    <w:name w:val="Strong"/>
    <w:basedOn w:val="DefaultParagraphFont"/>
    <w:uiPriority w:val="22"/>
    <w:qFormat/>
    <w:rsid w:val="00B766C7"/>
    <w:rPr>
      <w:sz w:val="20"/>
      <w:szCs w:val="20"/>
    </w:rPr>
  </w:style>
  <w:style w:type="character" w:customStyle="1" w:styleId="IntenseEmphasis01Char">
    <w:name w:val="Intense Emphasis 01 Char"/>
    <w:basedOn w:val="Emphasis01Char"/>
    <w:link w:val="IntenseEmphasis01"/>
    <w:rsid w:val="00B766C7"/>
    <w:rPr>
      <w:rFonts w:ascii="Verdana" w:hAnsi="Verdana"/>
      <w:b/>
      <w:i/>
      <w:sz w:val="20"/>
      <w:lang w:eastAsia="en-AU"/>
    </w:rPr>
  </w:style>
  <w:style w:type="paragraph" w:customStyle="1" w:styleId="Reference">
    <w:name w:val="Reference"/>
    <w:basedOn w:val="Normal"/>
    <w:link w:val="ReferenceChar"/>
    <w:qFormat/>
    <w:rsid w:val="00B35E3D"/>
    <w:pPr>
      <w:spacing w:before="120"/>
    </w:pPr>
    <w:rPr>
      <w:i/>
      <w:sz w:val="18"/>
      <w:szCs w:val="18"/>
    </w:rPr>
  </w:style>
  <w:style w:type="character" w:customStyle="1" w:styleId="ReferenceChar">
    <w:name w:val="Reference Char"/>
    <w:basedOn w:val="DefaultParagraphFont"/>
    <w:link w:val="Reference"/>
    <w:rsid w:val="00B35E3D"/>
    <w:rPr>
      <w:rFonts w:ascii="Verdana" w:hAnsi="Verdana"/>
      <w:i/>
      <w:sz w:val="18"/>
      <w:szCs w:val="18"/>
    </w:rPr>
  </w:style>
  <w:style w:type="character" w:customStyle="1" w:styleId="LegislationadministeredChar">
    <w:name w:val="Legislation administered Char"/>
    <w:basedOn w:val="DefaultParagraphFont"/>
    <w:link w:val="Legislationadministered"/>
    <w:locked/>
    <w:rsid w:val="00B203CF"/>
    <w:rPr>
      <w:rFonts w:ascii="Times New Roman" w:hAnsi="Times New Roman" w:cs="Times New Roman"/>
      <w:i/>
      <w:iCs/>
      <w:sz w:val="26"/>
      <w:szCs w:val="26"/>
      <w:lang w:eastAsia="en-AU"/>
    </w:rPr>
  </w:style>
  <w:style w:type="paragraph" w:customStyle="1" w:styleId="Legislationadministered">
    <w:name w:val="Legislation administered"/>
    <w:basedOn w:val="Normal"/>
    <w:link w:val="LegislationadministeredChar"/>
    <w:qFormat/>
    <w:rsid w:val="00B203CF"/>
    <w:pPr>
      <w:keepLines/>
      <w:tabs>
        <w:tab w:val="left" w:pos="1304"/>
      </w:tabs>
      <w:autoSpaceDE w:val="0"/>
      <w:autoSpaceDN w:val="0"/>
      <w:ind w:left="181" w:hanging="181"/>
    </w:pPr>
    <w:rPr>
      <w:rFonts w:eastAsiaTheme="minorHAnsi"/>
      <w:i/>
      <w:iCs/>
      <w:sz w:val="26"/>
      <w:szCs w:val="26"/>
      <w:lang w:eastAsia="en-AU"/>
    </w:rPr>
  </w:style>
  <w:style w:type="table" w:customStyle="1" w:styleId="LightList-Accent21">
    <w:name w:val="Light List - Accent 21"/>
    <w:basedOn w:val="TableNormal"/>
    <w:next w:val="LightList-Accent2"/>
    <w:uiPriority w:val="61"/>
    <w:rsid w:val="00371DDB"/>
    <w:pPr>
      <w:spacing w:after="0" w:line="240" w:lineRule="auto"/>
    </w:pPr>
    <w:rPr>
      <w:rFonts w:ascii="Verdana" w:hAnsi="Verdana"/>
      <w:sz w:val="18"/>
    </w:rPr>
    <w:tblPr>
      <w:tblStyleRowBandSize w:val="1"/>
      <w:tblStyleColBandSize w:val="1"/>
      <w:tblBorders>
        <w:top w:val="single" w:sz="8" w:space="0" w:color="BB9D67" w:themeColor="accent2"/>
        <w:left w:val="single" w:sz="8" w:space="0" w:color="BB9D67" w:themeColor="accent2"/>
        <w:bottom w:val="single" w:sz="8" w:space="0" w:color="BB9D67" w:themeColor="accent2"/>
        <w:right w:val="single" w:sz="8" w:space="0" w:color="BB9D67" w:themeColor="accent2"/>
      </w:tblBorders>
    </w:tblPr>
    <w:tcPr>
      <w:shd w:val="clear" w:color="auto" w:fill="F1EBE0" w:themeFill="accent6" w:themeFillTint="33"/>
      <w:vAlign w:val="center"/>
    </w:tcPr>
    <w:tblStylePr w:type="firstRow">
      <w:pPr>
        <w:spacing w:before="0" w:after="0" w:line="240" w:lineRule="auto"/>
      </w:pPr>
      <w:rPr>
        <w:b/>
        <w:bCs/>
        <w:color w:val="FFFFFF" w:themeColor="background1"/>
      </w:rPr>
      <w:tblPr/>
      <w:tcPr>
        <w:shd w:val="clear" w:color="auto" w:fill="BB9D67" w:themeFill="accent2"/>
      </w:tcPr>
    </w:tblStylePr>
    <w:tblStylePr w:type="lastRow">
      <w:pPr>
        <w:spacing w:before="0" w:after="0" w:line="240" w:lineRule="auto"/>
      </w:pPr>
      <w:rPr>
        <w:b w:val="0"/>
        <w:bCs/>
      </w:rPr>
      <w:tblPr/>
      <w:tcPr>
        <w:tcBorders>
          <w:top w:val="double" w:sz="6" w:space="0" w:color="BB9D67" w:themeColor="accent2"/>
          <w:left w:val="single" w:sz="8" w:space="0" w:color="BB9D67" w:themeColor="accent2"/>
          <w:bottom w:val="single" w:sz="8" w:space="0" w:color="BB9D67" w:themeColor="accent2"/>
          <w:right w:val="single" w:sz="8" w:space="0" w:color="BB9D67" w:themeColor="accent2"/>
        </w:tcBorders>
      </w:tcPr>
    </w:tblStylePr>
    <w:tblStylePr w:type="firstCol">
      <w:pPr>
        <w:jc w:val="left"/>
      </w:pPr>
      <w:rPr>
        <w:b w:val="0"/>
        <w:bCs/>
      </w:rPr>
      <w:tblPr/>
      <w:tcPr>
        <w:vAlign w:val="top"/>
      </w:tcPr>
    </w:tblStylePr>
    <w:tblStylePr w:type="lastCol">
      <w:pPr>
        <w:jc w:val="left"/>
      </w:pPr>
      <w:rPr>
        <w:b w:val="0"/>
        <w:bCs/>
      </w:rPr>
      <w:tblPr/>
      <w:tcPr>
        <w:vAlign w:val="top"/>
      </w:tcPr>
    </w:tblStylePr>
    <w:tblStylePr w:type="band1Vert">
      <w:tblPr/>
      <w:tcPr>
        <w:tcBorders>
          <w:top w:val="single" w:sz="8" w:space="0" w:color="BB9D67" w:themeColor="accent2"/>
          <w:left w:val="single" w:sz="8" w:space="0" w:color="BB9D67" w:themeColor="accent2"/>
          <w:bottom w:val="single" w:sz="8" w:space="0" w:color="BB9D67" w:themeColor="accent2"/>
          <w:right w:val="single" w:sz="8" w:space="0" w:color="BB9D67" w:themeColor="accent2"/>
        </w:tcBorders>
      </w:tcPr>
    </w:tblStylePr>
    <w:tblStylePr w:type="band1Horz">
      <w:tblPr/>
      <w:tcPr>
        <w:tcBorders>
          <w:top w:val="single" w:sz="8" w:space="0" w:color="BB9D67" w:themeColor="accent2"/>
          <w:left w:val="single" w:sz="8" w:space="0" w:color="BB9D67" w:themeColor="accent2"/>
          <w:bottom w:val="single" w:sz="8" w:space="0" w:color="BB9D67" w:themeColor="accent2"/>
          <w:right w:val="single" w:sz="8" w:space="0" w:color="BB9D67"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272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AB33F4"/>
    <w:pPr>
      <w:keepNext/>
      <w:keepLines/>
      <w:spacing w:before="480"/>
      <w:outlineLvl w:val="0"/>
    </w:pPr>
    <w:rPr>
      <w:rFonts w:asciiTheme="majorHAnsi" w:eastAsiaTheme="majorEastAsia" w:hAnsiTheme="majorHAnsi" w:cstheme="majorBidi"/>
      <w:b/>
      <w:bCs/>
      <w:color w:val="2F3232" w:themeColor="accent1" w:themeShade="BF"/>
      <w:sz w:val="28"/>
      <w:szCs w:val="28"/>
    </w:rPr>
  </w:style>
  <w:style w:type="paragraph" w:styleId="Heading2">
    <w:name w:val="heading 2"/>
    <w:basedOn w:val="Normal"/>
    <w:next w:val="Normal"/>
    <w:link w:val="Heading2Char"/>
    <w:uiPriority w:val="9"/>
    <w:unhideWhenUsed/>
    <w:rsid w:val="00AB33F4"/>
    <w:pPr>
      <w:keepNext/>
      <w:keepLines/>
      <w:spacing w:before="200"/>
      <w:outlineLvl w:val="1"/>
    </w:pPr>
    <w:rPr>
      <w:rFonts w:asciiTheme="majorHAnsi" w:eastAsiaTheme="majorEastAsia" w:hAnsiTheme="majorHAnsi" w:cstheme="majorBidi"/>
      <w:b/>
      <w:bCs/>
      <w:color w:val="3F4444" w:themeColor="accent1"/>
      <w:sz w:val="26"/>
      <w:szCs w:val="26"/>
    </w:rPr>
  </w:style>
  <w:style w:type="paragraph" w:styleId="Heading3">
    <w:name w:val="heading 3"/>
    <w:basedOn w:val="Normal"/>
    <w:next w:val="Normal"/>
    <w:link w:val="Heading3Char"/>
    <w:uiPriority w:val="9"/>
    <w:semiHidden/>
    <w:unhideWhenUsed/>
    <w:rsid w:val="00765410"/>
    <w:pPr>
      <w:keepNext/>
      <w:keepLines/>
      <w:spacing w:before="200"/>
      <w:outlineLvl w:val="2"/>
    </w:pPr>
    <w:rPr>
      <w:rFonts w:asciiTheme="majorHAnsi" w:eastAsiaTheme="majorEastAsia" w:hAnsiTheme="majorHAnsi" w:cstheme="majorBidi"/>
      <w:b/>
      <w:bCs/>
      <w:color w:val="3F4444" w:themeColor="accent1"/>
    </w:rPr>
  </w:style>
  <w:style w:type="character" w:default="1" w:styleId="DefaultParagraphFont">
    <w:name w:val="Default Paragraph Font"/>
    <w:uiPriority w:val="1"/>
    <w:semiHidden/>
    <w:unhideWhenUsed/>
    <w:rsid w:val="00A272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720B"/>
  </w:style>
  <w:style w:type="paragraph" w:styleId="NormalWeb">
    <w:name w:val="Normal (Web)"/>
    <w:basedOn w:val="Normal"/>
    <w:uiPriority w:val="99"/>
    <w:semiHidden/>
    <w:unhideWhenUsed/>
    <w:rsid w:val="001E5EA5"/>
    <w:pPr>
      <w:spacing w:before="100" w:beforeAutospacing="1" w:after="100" w:afterAutospacing="1"/>
    </w:pPr>
    <w:rPr>
      <w:rFonts w:eastAsiaTheme="minorEastAsia"/>
      <w:lang w:eastAsia="en-AU"/>
    </w:rPr>
  </w:style>
  <w:style w:type="character" w:customStyle="1" w:styleId="Heading2Char">
    <w:name w:val="Heading 2 Char"/>
    <w:basedOn w:val="DefaultParagraphFont"/>
    <w:link w:val="Heading2"/>
    <w:uiPriority w:val="9"/>
    <w:rsid w:val="00AB33F4"/>
    <w:rPr>
      <w:rFonts w:asciiTheme="majorHAnsi" w:eastAsiaTheme="majorEastAsia" w:hAnsiTheme="majorHAnsi" w:cstheme="majorBidi"/>
      <w:b/>
      <w:bCs/>
      <w:color w:val="3F4444" w:themeColor="accent1"/>
      <w:sz w:val="26"/>
      <w:szCs w:val="26"/>
    </w:rPr>
  </w:style>
  <w:style w:type="paragraph" w:styleId="ListParagraph">
    <w:name w:val="List Paragraph"/>
    <w:basedOn w:val="Normal"/>
    <w:link w:val="ListParagraphChar"/>
    <w:autoRedefine/>
    <w:uiPriority w:val="34"/>
    <w:qFormat/>
    <w:rsid w:val="00D92959"/>
    <w:pPr>
      <w:numPr>
        <w:numId w:val="28"/>
      </w:numPr>
      <w:spacing w:line="288" w:lineRule="auto"/>
    </w:pPr>
    <w:rPr>
      <w:rFonts w:cstheme="minorHAnsi"/>
      <w:szCs w:val="20"/>
    </w:rPr>
  </w:style>
  <w:style w:type="character" w:customStyle="1" w:styleId="ListParagraphChar">
    <w:name w:val="List Paragraph Char"/>
    <w:basedOn w:val="DefaultParagraphFont"/>
    <w:link w:val="ListParagraph"/>
    <w:uiPriority w:val="34"/>
    <w:rsid w:val="00D92959"/>
    <w:rPr>
      <w:rFonts w:ascii="Verdana" w:hAnsi="Verdana" w:cstheme="minorHAnsi"/>
      <w:sz w:val="20"/>
      <w:szCs w:val="20"/>
    </w:rPr>
  </w:style>
  <w:style w:type="character" w:customStyle="1" w:styleId="Heading1Char">
    <w:name w:val="Heading 1 Char"/>
    <w:basedOn w:val="DefaultParagraphFont"/>
    <w:link w:val="Heading1"/>
    <w:uiPriority w:val="9"/>
    <w:rsid w:val="00AB33F4"/>
    <w:rPr>
      <w:rFonts w:asciiTheme="majorHAnsi" w:eastAsiaTheme="majorEastAsia" w:hAnsiTheme="majorHAnsi" w:cstheme="majorBidi"/>
      <w:b/>
      <w:bCs/>
      <w:color w:val="2F3232" w:themeColor="accent1" w:themeShade="BF"/>
      <w:sz w:val="28"/>
      <w:szCs w:val="28"/>
    </w:rPr>
  </w:style>
  <w:style w:type="paragraph" w:styleId="TOCHeading">
    <w:name w:val="TOC Heading"/>
    <w:basedOn w:val="Heading1"/>
    <w:next w:val="Normal"/>
    <w:uiPriority w:val="39"/>
    <w:semiHidden/>
    <w:unhideWhenUsed/>
    <w:qFormat/>
    <w:rsid w:val="00AB33F4"/>
    <w:pPr>
      <w:outlineLvl w:val="9"/>
    </w:pPr>
    <w:rPr>
      <w:lang w:val="en-US" w:eastAsia="ja-JP"/>
    </w:rPr>
  </w:style>
  <w:style w:type="character" w:styleId="Hyperlink">
    <w:name w:val="Hyperlink"/>
    <w:basedOn w:val="DefaultParagraphFont"/>
    <w:uiPriority w:val="99"/>
    <w:unhideWhenUsed/>
    <w:rsid w:val="00AB33F4"/>
    <w:rPr>
      <w:color w:val="3F4444" w:themeColor="hyperlink"/>
      <w:u w:val="single"/>
    </w:rPr>
  </w:style>
  <w:style w:type="paragraph" w:styleId="TOC2">
    <w:name w:val="toc 2"/>
    <w:basedOn w:val="Normal"/>
    <w:next w:val="Normal"/>
    <w:autoRedefine/>
    <w:uiPriority w:val="39"/>
    <w:unhideWhenUsed/>
    <w:rsid w:val="00AB33F4"/>
    <w:pPr>
      <w:spacing w:before="120" w:after="100"/>
      <w:ind w:left="240"/>
    </w:pPr>
  </w:style>
  <w:style w:type="paragraph" w:styleId="BalloonText">
    <w:name w:val="Balloon Text"/>
    <w:basedOn w:val="Normal"/>
    <w:link w:val="BalloonTextChar"/>
    <w:uiPriority w:val="99"/>
    <w:semiHidden/>
    <w:unhideWhenUsed/>
    <w:rsid w:val="00AB33F4"/>
    <w:rPr>
      <w:rFonts w:ascii="Tahoma" w:hAnsi="Tahoma" w:cs="Tahoma"/>
      <w:sz w:val="16"/>
      <w:szCs w:val="16"/>
    </w:rPr>
  </w:style>
  <w:style w:type="character" w:customStyle="1" w:styleId="BalloonTextChar">
    <w:name w:val="Balloon Text Char"/>
    <w:basedOn w:val="DefaultParagraphFont"/>
    <w:link w:val="BalloonText"/>
    <w:uiPriority w:val="99"/>
    <w:semiHidden/>
    <w:rsid w:val="00AB33F4"/>
    <w:rPr>
      <w:rFonts w:ascii="Tahoma" w:hAnsi="Tahoma" w:cs="Tahoma"/>
      <w:sz w:val="16"/>
      <w:szCs w:val="16"/>
    </w:rPr>
  </w:style>
  <w:style w:type="table" w:styleId="TableGrid">
    <w:name w:val="Table Grid"/>
    <w:basedOn w:val="TableNormal"/>
    <w:uiPriority w:val="59"/>
    <w:rsid w:val="003736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BulletPoint">
    <w:name w:val="Report Bullet Point"/>
    <w:basedOn w:val="ReportBodyText"/>
    <w:next w:val="ReportBodyText"/>
    <w:link w:val="ReportBulletPointChar"/>
    <w:rsid w:val="0037361C"/>
    <w:pPr>
      <w:numPr>
        <w:numId w:val="2"/>
      </w:numPr>
    </w:pPr>
  </w:style>
  <w:style w:type="paragraph" w:customStyle="1" w:styleId="ReportBodyText">
    <w:name w:val="Report Body Text"/>
    <w:link w:val="ReportBodyTextChar"/>
    <w:autoRedefine/>
    <w:rsid w:val="002939AC"/>
    <w:pPr>
      <w:spacing w:before="80" w:after="80" w:line="288" w:lineRule="auto"/>
    </w:pPr>
    <w:rPr>
      <w:rFonts w:ascii="Verdana" w:eastAsia="Times New Roman" w:hAnsi="Verdana" w:cs="Times New Roman"/>
      <w:sz w:val="20"/>
      <w:szCs w:val="20"/>
    </w:rPr>
  </w:style>
  <w:style w:type="character" w:customStyle="1" w:styleId="ReportBulletPointChar">
    <w:name w:val="Report Bullet Point Char"/>
    <w:basedOn w:val="DefaultParagraphFont"/>
    <w:link w:val="ReportBulletPoint"/>
    <w:rsid w:val="0037361C"/>
    <w:rPr>
      <w:rFonts w:ascii="Verdana" w:eastAsia="Times New Roman" w:hAnsi="Verdana" w:cs="Times New Roman"/>
      <w:sz w:val="20"/>
      <w:szCs w:val="20"/>
    </w:rPr>
  </w:style>
  <w:style w:type="paragraph" w:customStyle="1" w:styleId="ReportMetadata">
    <w:name w:val="Report Metadata"/>
    <w:basedOn w:val="ReportBodyText"/>
    <w:link w:val="ReportMetadataChar"/>
    <w:rsid w:val="0037361C"/>
    <w:pPr>
      <w:spacing w:before="60" w:after="60"/>
    </w:pPr>
    <w:rPr>
      <w:rFonts w:cstheme="minorHAnsi"/>
      <w:sz w:val="12"/>
      <w:szCs w:val="12"/>
      <w:lang w:eastAsia="en-AU"/>
    </w:rPr>
  </w:style>
  <w:style w:type="character" w:customStyle="1" w:styleId="ReportBodyTextChar">
    <w:name w:val="Report Body Text Char"/>
    <w:basedOn w:val="DefaultParagraphFont"/>
    <w:link w:val="ReportBodyText"/>
    <w:rsid w:val="002939AC"/>
    <w:rPr>
      <w:rFonts w:ascii="Verdana" w:eastAsia="Times New Roman" w:hAnsi="Verdana" w:cs="Times New Roman"/>
      <w:sz w:val="20"/>
      <w:szCs w:val="20"/>
    </w:rPr>
  </w:style>
  <w:style w:type="paragraph" w:customStyle="1" w:styleId="ReportMeasureTitle">
    <w:name w:val="Report Measure Title"/>
    <w:basedOn w:val="ReportBodyText"/>
    <w:next w:val="ReportBodyText"/>
    <w:link w:val="ReportMeasureTitleChar"/>
    <w:rsid w:val="0037361C"/>
    <w:pPr>
      <w:keepNext/>
      <w:keepLines/>
    </w:pPr>
  </w:style>
  <w:style w:type="character" w:customStyle="1" w:styleId="ReportMetadataChar">
    <w:name w:val="Report Metadata Char"/>
    <w:basedOn w:val="ReportBodyTextChar"/>
    <w:link w:val="ReportMetadata"/>
    <w:rsid w:val="0037361C"/>
    <w:rPr>
      <w:rFonts w:ascii="Calibri" w:eastAsia="Times New Roman" w:hAnsi="Calibri" w:cstheme="minorHAnsi"/>
      <w:sz w:val="12"/>
      <w:szCs w:val="12"/>
      <w:lang w:eastAsia="en-AU"/>
    </w:rPr>
  </w:style>
  <w:style w:type="character" w:customStyle="1" w:styleId="ReportMeasureTitleChar">
    <w:name w:val="Report Measure Title Char"/>
    <w:basedOn w:val="ReportBodyTextChar"/>
    <w:link w:val="ReportMeasureTitle"/>
    <w:rsid w:val="0037361C"/>
    <w:rPr>
      <w:rFonts w:ascii="Calibri" w:eastAsia="Times New Roman" w:hAnsi="Calibri" w:cs="Times New Roman"/>
      <w:sz w:val="20"/>
      <w:szCs w:val="20"/>
    </w:rPr>
  </w:style>
  <w:style w:type="paragraph" w:styleId="Header">
    <w:name w:val="header"/>
    <w:basedOn w:val="Normal"/>
    <w:link w:val="HeaderChar"/>
    <w:uiPriority w:val="99"/>
    <w:unhideWhenUsed/>
    <w:rsid w:val="0037361C"/>
    <w:pPr>
      <w:tabs>
        <w:tab w:val="center" w:pos="4513"/>
        <w:tab w:val="right" w:pos="9026"/>
      </w:tabs>
    </w:pPr>
  </w:style>
  <w:style w:type="character" w:customStyle="1" w:styleId="HeaderChar">
    <w:name w:val="Header Char"/>
    <w:basedOn w:val="DefaultParagraphFont"/>
    <w:link w:val="Header"/>
    <w:uiPriority w:val="99"/>
    <w:rsid w:val="0037361C"/>
  </w:style>
  <w:style w:type="paragraph" w:styleId="Footer">
    <w:name w:val="footer"/>
    <w:basedOn w:val="Normal"/>
    <w:link w:val="FooterChar"/>
    <w:uiPriority w:val="99"/>
    <w:unhideWhenUsed/>
    <w:rsid w:val="0037361C"/>
    <w:pPr>
      <w:tabs>
        <w:tab w:val="center" w:pos="4513"/>
        <w:tab w:val="right" w:pos="9026"/>
      </w:tabs>
    </w:pPr>
  </w:style>
  <w:style w:type="character" w:customStyle="1" w:styleId="FooterChar">
    <w:name w:val="Footer Char"/>
    <w:basedOn w:val="DefaultParagraphFont"/>
    <w:link w:val="Footer"/>
    <w:uiPriority w:val="99"/>
    <w:rsid w:val="0037361C"/>
  </w:style>
  <w:style w:type="paragraph" w:customStyle="1" w:styleId="OverviewSectionHeadings">
    <w:name w:val="Overview Section Headings"/>
    <w:next w:val="ReportBodyText"/>
    <w:link w:val="OverviewSectionHeadingsChar"/>
    <w:qFormat/>
    <w:rsid w:val="0037361C"/>
    <w:pPr>
      <w:keepNext/>
      <w:keepLines/>
      <w:numPr>
        <w:numId w:val="4"/>
      </w:numPr>
      <w:spacing w:before="200" w:after="320" w:line="240" w:lineRule="auto"/>
      <w:outlineLvl w:val="1"/>
    </w:pPr>
    <w:rPr>
      <w:rFonts w:eastAsiaTheme="majorEastAsia" w:cstheme="minorHAnsi"/>
      <w:b/>
      <w:bCs/>
      <w:caps/>
      <w:sz w:val="24"/>
    </w:rPr>
  </w:style>
  <w:style w:type="paragraph" w:customStyle="1" w:styleId="Bullet2">
    <w:name w:val="Bullet 2"/>
    <w:basedOn w:val="ListParagraph"/>
    <w:qFormat/>
    <w:rsid w:val="00E810A0"/>
    <w:pPr>
      <w:numPr>
        <w:ilvl w:val="1"/>
        <w:numId w:val="5"/>
      </w:numPr>
    </w:pPr>
    <w:rPr>
      <w:rFonts w:cs="Times New Roman"/>
      <w:lang w:eastAsia="en-AU"/>
    </w:rPr>
  </w:style>
  <w:style w:type="character" w:customStyle="1" w:styleId="OverviewSectionHeadingsChar">
    <w:name w:val="Overview Section Headings Char"/>
    <w:basedOn w:val="DefaultParagraphFont"/>
    <w:link w:val="OverviewSectionHeadings"/>
    <w:rsid w:val="0037361C"/>
    <w:rPr>
      <w:rFonts w:eastAsiaTheme="majorEastAsia" w:cstheme="minorHAnsi"/>
      <w:b/>
      <w:bCs/>
      <w:caps/>
      <w:sz w:val="24"/>
    </w:rPr>
  </w:style>
  <w:style w:type="character" w:customStyle="1" w:styleId="Bullet1linkedChar">
    <w:name w:val="Bullet 1 (linked) Char"/>
    <w:basedOn w:val="DefaultParagraphFont"/>
    <w:link w:val="Bullet1linked"/>
    <w:locked/>
    <w:rsid w:val="00E810A0"/>
    <w:rPr>
      <w:rFonts w:ascii="Times New Roman" w:eastAsia="Times New Roman" w:hAnsi="Times New Roman" w:cs="Times New Roman"/>
      <w:sz w:val="24"/>
      <w:szCs w:val="20"/>
      <w:lang w:eastAsia="en-AU"/>
    </w:rPr>
  </w:style>
  <w:style w:type="paragraph" w:customStyle="1" w:styleId="Bullet1linked">
    <w:name w:val="Bullet 1 (linked)"/>
    <w:basedOn w:val="Normal"/>
    <w:link w:val="Bullet1linkedChar"/>
    <w:qFormat/>
    <w:rsid w:val="00E810A0"/>
    <w:pPr>
      <w:numPr>
        <w:numId w:val="5"/>
      </w:numPr>
      <w:spacing w:before="120"/>
    </w:pPr>
    <w:rPr>
      <w:szCs w:val="20"/>
      <w:lang w:eastAsia="en-AU"/>
    </w:rPr>
  </w:style>
  <w:style w:type="paragraph" w:styleId="BlockText">
    <w:name w:val="Block Text"/>
    <w:basedOn w:val="Normal"/>
    <w:uiPriority w:val="99"/>
    <w:semiHidden/>
    <w:unhideWhenUsed/>
    <w:rsid w:val="00E810A0"/>
    <w:pPr>
      <w:pBdr>
        <w:top w:val="single" w:sz="2" w:space="10" w:color="3F4444" w:themeColor="accent1" w:shadow="1" w:frame="1"/>
        <w:left w:val="single" w:sz="2" w:space="10" w:color="3F4444" w:themeColor="accent1" w:shadow="1" w:frame="1"/>
        <w:bottom w:val="single" w:sz="2" w:space="10" w:color="3F4444" w:themeColor="accent1" w:shadow="1" w:frame="1"/>
        <w:right w:val="single" w:sz="2" w:space="10" w:color="3F4444" w:themeColor="accent1" w:shadow="1" w:frame="1"/>
      </w:pBdr>
      <w:spacing w:before="120"/>
      <w:ind w:left="1152" w:right="1152"/>
    </w:pPr>
    <w:rPr>
      <w:rFonts w:eastAsiaTheme="minorEastAsia"/>
      <w:i/>
      <w:iCs/>
      <w:color w:val="3F4444" w:themeColor="accent1"/>
    </w:rPr>
  </w:style>
  <w:style w:type="paragraph" w:styleId="TOC1">
    <w:name w:val="toc 1"/>
    <w:basedOn w:val="Normal"/>
    <w:next w:val="Normal"/>
    <w:autoRedefine/>
    <w:uiPriority w:val="39"/>
    <w:unhideWhenUsed/>
    <w:rsid w:val="00C51258"/>
    <w:pPr>
      <w:spacing w:after="100"/>
    </w:pPr>
  </w:style>
  <w:style w:type="paragraph" w:styleId="TOC3">
    <w:name w:val="toc 3"/>
    <w:basedOn w:val="Normal"/>
    <w:next w:val="Normal"/>
    <w:autoRedefine/>
    <w:uiPriority w:val="39"/>
    <w:unhideWhenUsed/>
    <w:rsid w:val="00C51258"/>
    <w:pPr>
      <w:spacing w:after="100"/>
      <w:ind w:left="440"/>
    </w:pPr>
  </w:style>
  <w:style w:type="character" w:styleId="CommentReference">
    <w:name w:val="annotation reference"/>
    <w:basedOn w:val="DefaultParagraphFont"/>
    <w:uiPriority w:val="99"/>
    <w:semiHidden/>
    <w:unhideWhenUsed/>
    <w:rsid w:val="00296C26"/>
    <w:rPr>
      <w:sz w:val="16"/>
      <w:szCs w:val="16"/>
    </w:rPr>
  </w:style>
  <w:style w:type="paragraph" w:styleId="CommentText">
    <w:name w:val="annotation text"/>
    <w:basedOn w:val="Normal"/>
    <w:link w:val="CommentTextChar"/>
    <w:uiPriority w:val="99"/>
    <w:semiHidden/>
    <w:unhideWhenUsed/>
    <w:rsid w:val="00296C26"/>
    <w:rPr>
      <w:szCs w:val="20"/>
    </w:rPr>
  </w:style>
  <w:style w:type="character" w:customStyle="1" w:styleId="CommentTextChar">
    <w:name w:val="Comment Text Char"/>
    <w:basedOn w:val="DefaultParagraphFont"/>
    <w:link w:val="CommentText"/>
    <w:uiPriority w:val="99"/>
    <w:semiHidden/>
    <w:rsid w:val="00296C26"/>
    <w:rPr>
      <w:sz w:val="20"/>
      <w:szCs w:val="20"/>
    </w:rPr>
  </w:style>
  <w:style w:type="paragraph" w:styleId="CommentSubject">
    <w:name w:val="annotation subject"/>
    <w:basedOn w:val="CommentText"/>
    <w:next w:val="CommentText"/>
    <w:link w:val="CommentSubjectChar"/>
    <w:uiPriority w:val="99"/>
    <w:semiHidden/>
    <w:unhideWhenUsed/>
    <w:rsid w:val="00296C26"/>
    <w:rPr>
      <w:b/>
      <w:bCs/>
    </w:rPr>
  </w:style>
  <w:style w:type="character" w:customStyle="1" w:styleId="CommentSubjectChar">
    <w:name w:val="Comment Subject Char"/>
    <w:basedOn w:val="CommentTextChar"/>
    <w:link w:val="CommentSubject"/>
    <w:uiPriority w:val="99"/>
    <w:semiHidden/>
    <w:rsid w:val="00296C26"/>
    <w:rPr>
      <w:b/>
      <w:bCs/>
      <w:sz w:val="20"/>
      <w:szCs w:val="20"/>
    </w:rPr>
  </w:style>
  <w:style w:type="paragraph" w:styleId="Revision">
    <w:name w:val="Revision"/>
    <w:hidden/>
    <w:uiPriority w:val="99"/>
    <w:semiHidden/>
    <w:rsid w:val="003736CE"/>
    <w:pPr>
      <w:spacing w:after="0" w:line="240" w:lineRule="auto"/>
    </w:pPr>
  </w:style>
  <w:style w:type="paragraph" w:styleId="FootnoteText">
    <w:name w:val="footnote text"/>
    <w:basedOn w:val="Normal"/>
    <w:link w:val="FootnoteTextChar"/>
    <w:uiPriority w:val="99"/>
    <w:semiHidden/>
    <w:unhideWhenUsed/>
    <w:rsid w:val="00125506"/>
    <w:rPr>
      <w:szCs w:val="20"/>
    </w:rPr>
  </w:style>
  <w:style w:type="character" w:customStyle="1" w:styleId="FootnoteTextChar">
    <w:name w:val="Footnote Text Char"/>
    <w:basedOn w:val="DefaultParagraphFont"/>
    <w:link w:val="FootnoteText"/>
    <w:uiPriority w:val="99"/>
    <w:semiHidden/>
    <w:rsid w:val="00125506"/>
    <w:rPr>
      <w:sz w:val="20"/>
      <w:szCs w:val="20"/>
    </w:rPr>
  </w:style>
  <w:style w:type="character" w:styleId="FootnoteReference">
    <w:name w:val="footnote reference"/>
    <w:basedOn w:val="DefaultParagraphFont"/>
    <w:uiPriority w:val="99"/>
    <w:semiHidden/>
    <w:unhideWhenUsed/>
    <w:rsid w:val="00125506"/>
    <w:rPr>
      <w:vertAlign w:val="superscript"/>
    </w:rPr>
  </w:style>
  <w:style w:type="paragraph" w:customStyle="1" w:styleId="Documenttitle02">
    <w:name w:val="Document title 02"/>
    <w:basedOn w:val="Normal"/>
    <w:link w:val="Documenttitle02Char"/>
    <w:qFormat/>
    <w:rsid w:val="00D4048A"/>
    <w:pPr>
      <w:spacing w:before="480" w:after="240"/>
      <w:contextualSpacing/>
      <w:outlineLvl w:val="1"/>
    </w:pPr>
    <w:rPr>
      <w:rFonts w:eastAsia="Cambria" w:cs="Kalinga"/>
      <w:b/>
      <w:color w:val="E11E25"/>
      <w:kern w:val="20"/>
      <w:sz w:val="30"/>
      <w:szCs w:val="30"/>
      <w:lang w:val="en-US" w:eastAsia="ja-JP"/>
    </w:rPr>
  </w:style>
  <w:style w:type="character" w:customStyle="1" w:styleId="Documenttitle02Char">
    <w:name w:val="Document title 02 Char"/>
    <w:basedOn w:val="DefaultParagraphFont"/>
    <w:link w:val="Documenttitle02"/>
    <w:rsid w:val="00D4048A"/>
    <w:rPr>
      <w:rFonts w:ascii="Verdana" w:eastAsia="Cambria" w:hAnsi="Verdana" w:cs="Kalinga"/>
      <w:b/>
      <w:color w:val="E11E25"/>
      <w:kern w:val="20"/>
      <w:sz w:val="30"/>
      <w:szCs w:val="30"/>
      <w:lang w:val="en-US" w:eastAsia="ja-JP"/>
    </w:rPr>
  </w:style>
  <w:style w:type="paragraph" w:customStyle="1" w:styleId="Documenttitle01">
    <w:name w:val="Document title 01"/>
    <w:basedOn w:val="Normal"/>
    <w:link w:val="Documenttitle01Char"/>
    <w:autoRedefine/>
    <w:qFormat/>
    <w:rsid w:val="00B35E3D"/>
    <w:pPr>
      <w:spacing w:before="800" w:after="240" w:line="288" w:lineRule="auto"/>
      <w:outlineLvl w:val="0"/>
    </w:pPr>
    <w:rPr>
      <w:rFonts w:eastAsia="Cambria" w:cs="Kalinga"/>
      <w:b/>
      <w:bCs/>
      <w:color w:val="BB9D67"/>
      <w:kern w:val="20"/>
      <w:sz w:val="42"/>
      <w:szCs w:val="70"/>
      <w:lang w:eastAsia="ja-JP"/>
    </w:rPr>
  </w:style>
  <w:style w:type="character" w:customStyle="1" w:styleId="Documenttitle01Char">
    <w:name w:val="Document title 01 Char"/>
    <w:basedOn w:val="DefaultParagraphFont"/>
    <w:link w:val="Documenttitle01"/>
    <w:rsid w:val="00B35E3D"/>
    <w:rPr>
      <w:rFonts w:ascii="Verdana" w:eastAsia="Cambria" w:hAnsi="Verdana" w:cs="Kalinga"/>
      <w:b/>
      <w:bCs/>
      <w:color w:val="BB9D67"/>
      <w:kern w:val="20"/>
      <w:sz w:val="42"/>
      <w:szCs w:val="70"/>
      <w:lang w:eastAsia="ja-JP"/>
    </w:rPr>
  </w:style>
  <w:style w:type="paragraph" w:styleId="Caption">
    <w:name w:val="caption"/>
    <w:basedOn w:val="Normal"/>
    <w:next w:val="Normal"/>
    <w:link w:val="CaptionChar"/>
    <w:uiPriority w:val="35"/>
    <w:unhideWhenUsed/>
    <w:rsid w:val="00861246"/>
    <w:rPr>
      <w:b/>
      <w:bCs/>
      <w:color w:val="3F4444" w:themeColor="accent1"/>
      <w:sz w:val="18"/>
      <w:szCs w:val="18"/>
    </w:rPr>
  </w:style>
  <w:style w:type="paragraph" w:customStyle="1" w:styleId="Default">
    <w:name w:val="Default"/>
    <w:rsid w:val="00473B2D"/>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765410"/>
    <w:rPr>
      <w:rFonts w:asciiTheme="majorHAnsi" w:eastAsiaTheme="majorEastAsia" w:hAnsiTheme="majorHAnsi" w:cstheme="majorBidi"/>
      <w:b/>
      <w:bCs/>
      <w:color w:val="3F4444" w:themeColor="accent1"/>
    </w:rPr>
  </w:style>
  <w:style w:type="paragraph" w:customStyle="1" w:styleId="Documenttitle3">
    <w:name w:val="Document title 3"/>
    <w:basedOn w:val="Caption"/>
    <w:link w:val="Documenttitle3Char"/>
    <w:qFormat/>
    <w:rsid w:val="00B35E3D"/>
    <w:pPr>
      <w:keepNext/>
      <w:spacing w:before="360" w:after="240"/>
      <w:outlineLvl w:val="2"/>
    </w:pPr>
    <w:rPr>
      <w:color w:val="BB9D67"/>
      <w:sz w:val="28"/>
      <w:szCs w:val="28"/>
    </w:rPr>
  </w:style>
  <w:style w:type="paragraph" w:customStyle="1" w:styleId="Tableheading">
    <w:name w:val="Table heading"/>
    <w:basedOn w:val="Caption"/>
    <w:link w:val="TableheadingChar"/>
    <w:qFormat/>
    <w:rsid w:val="00E15F2F"/>
    <w:pPr>
      <w:keepNext/>
      <w:spacing w:before="240" w:line="276" w:lineRule="auto"/>
    </w:pPr>
    <w:rPr>
      <w:sz w:val="20"/>
      <w:szCs w:val="20"/>
    </w:rPr>
  </w:style>
  <w:style w:type="character" w:customStyle="1" w:styleId="CaptionChar">
    <w:name w:val="Caption Char"/>
    <w:basedOn w:val="DefaultParagraphFont"/>
    <w:link w:val="Caption"/>
    <w:uiPriority w:val="35"/>
    <w:rsid w:val="002939AC"/>
    <w:rPr>
      <w:b/>
      <w:bCs/>
      <w:color w:val="3F4444" w:themeColor="accent1"/>
      <w:sz w:val="18"/>
      <w:szCs w:val="18"/>
    </w:rPr>
  </w:style>
  <w:style w:type="character" w:customStyle="1" w:styleId="Documenttitle3Char">
    <w:name w:val="Document title 3 Char"/>
    <w:basedOn w:val="CaptionChar"/>
    <w:link w:val="Documenttitle3"/>
    <w:rsid w:val="00B35E3D"/>
    <w:rPr>
      <w:rFonts w:ascii="Verdana" w:hAnsi="Verdana"/>
      <w:b/>
      <w:bCs/>
      <w:color w:val="BB9D67"/>
      <w:sz w:val="28"/>
      <w:szCs w:val="28"/>
    </w:rPr>
  </w:style>
  <w:style w:type="paragraph" w:customStyle="1" w:styleId="Documenttitle4">
    <w:name w:val="Document title 4"/>
    <w:next w:val="Normal"/>
    <w:link w:val="Documenttitle4Char"/>
    <w:autoRedefine/>
    <w:qFormat/>
    <w:rsid w:val="00B35E3D"/>
    <w:pPr>
      <w:spacing w:before="240" w:after="120" w:line="240" w:lineRule="auto"/>
      <w:contextualSpacing/>
      <w:outlineLvl w:val="3"/>
    </w:pPr>
    <w:rPr>
      <w:rFonts w:ascii="Verdana" w:eastAsia="Times New Roman" w:hAnsi="Verdana" w:cs="Arial"/>
      <w:b/>
      <w:color w:val="E11E25" w:themeColor="text2"/>
      <w:kern w:val="20"/>
      <w:sz w:val="24"/>
      <w:szCs w:val="24"/>
      <w:lang w:val="en-US" w:eastAsia="ja-JP"/>
    </w:rPr>
  </w:style>
  <w:style w:type="character" w:customStyle="1" w:styleId="TableheadingChar">
    <w:name w:val="Table heading Char"/>
    <w:basedOn w:val="CaptionChar"/>
    <w:link w:val="Tableheading"/>
    <w:rsid w:val="00E15F2F"/>
    <w:rPr>
      <w:rFonts w:ascii="Verdana" w:hAnsi="Verdana"/>
      <w:b/>
      <w:bCs/>
      <w:color w:val="3F4444" w:themeColor="accent1"/>
      <w:sz w:val="20"/>
      <w:szCs w:val="20"/>
    </w:rPr>
  </w:style>
  <w:style w:type="character" w:customStyle="1" w:styleId="Documenttitle4Char">
    <w:name w:val="Document title 4 Char"/>
    <w:basedOn w:val="DefaultParagraphFont"/>
    <w:link w:val="Documenttitle4"/>
    <w:rsid w:val="00B35E3D"/>
    <w:rPr>
      <w:rFonts w:ascii="Verdana" w:eastAsia="Times New Roman" w:hAnsi="Verdana" w:cs="Arial"/>
      <w:b/>
      <w:color w:val="E11E25" w:themeColor="text2"/>
      <w:kern w:val="20"/>
      <w:sz w:val="24"/>
      <w:szCs w:val="24"/>
      <w:lang w:val="en-US" w:eastAsia="ja-JP"/>
    </w:rPr>
  </w:style>
  <w:style w:type="paragraph" w:customStyle="1" w:styleId="ListParagraphleveltwo">
    <w:name w:val="List Paragraph level two"/>
    <w:basedOn w:val="ListParagraph"/>
    <w:link w:val="ListParagraphleveltwoChar"/>
    <w:qFormat/>
    <w:rsid w:val="008B7C19"/>
    <w:pPr>
      <w:numPr>
        <w:numId w:val="33"/>
      </w:numPr>
    </w:pPr>
  </w:style>
  <w:style w:type="table" w:styleId="ColorfulList-Accent2">
    <w:name w:val="Colorful List Accent 2"/>
    <w:basedOn w:val="TableNormal"/>
    <w:uiPriority w:val="72"/>
    <w:rsid w:val="00C5626F"/>
    <w:pPr>
      <w:spacing w:after="0" w:line="240" w:lineRule="auto"/>
    </w:pPr>
    <w:rPr>
      <w:color w:val="000000" w:themeColor="text1"/>
    </w:rPr>
    <w:tblPr>
      <w:tblStyleRowBandSize w:val="1"/>
      <w:tblStyleColBandSize w:val="1"/>
    </w:tblPr>
    <w:tcPr>
      <w:shd w:val="clear" w:color="auto" w:fill="F8F5F0" w:themeFill="accent2" w:themeFillTint="19"/>
    </w:tcPr>
    <w:tblStylePr w:type="firstRow">
      <w:rPr>
        <w:b/>
        <w:bCs/>
        <w:color w:val="FFFFFF" w:themeColor="background1"/>
      </w:rPr>
      <w:tblPr/>
      <w:tcPr>
        <w:tcBorders>
          <w:bottom w:val="single" w:sz="12" w:space="0" w:color="FFFFFF" w:themeColor="background1"/>
        </w:tcBorders>
        <w:shd w:val="clear" w:color="auto" w:fill="A08047" w:themeFill="accent2" w:themeFillShade="CC"/>
      </w:tcPr>
    </w:tblStylePr>
    <w:tblStylePr w:type="lastRow">
      <w:rPr>
        <w:b/>
        <w:bCs/>
        <w:color w:val="A080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6D9" w:themeFill="accent2" w:themeFillTint="3F"/>
      </w:tcPr>
    </w:tblStylePr>
    <w:tblStylePr w:type="band1Horz">
      <w:tblPr/>
      <w:tcPr>
        <w:shd w:val="clear" w:color="auto" w:fill="F1EBE0" w:themeFill="accent2" w:themeFillTint="33"/>
      </w:tcPr>
    </w:tblStylePr>
  </w:style>
  <w:style w:type="character" w:customStyle="1" w:styleId="ListParagraphleveltwoChar">
    <w:name w:val="List Paragraph level two Char"/>
    <w:basedOn w:val="ListParagraphChar"/>
    <w:link w:val="ListParagraphleveltwo"/>
    <w:rsid w:val="008B7C19"/>
    <w:rPr>
      <w:rFonts w:ascii="Verdana" w:hAnsi="Verdana" w:cstheme="minorHAnsi"/>
      <w:sz w:val="20"/>
      <w:szCs w:val="20"/>
    </w:rPr>
  </w:style>
  <w:style w:type="table" w:styleId="LightList-Accent2">
    <w:name w:val="Light List Accent 2"/>
    <w:basedOn w:val="TableNormal"/>
    <w:uiPriority w:val="61"/>
    <w:rsid w:val="007E6F22"/>
    <w:pPr>
      <w:spacing w:after="0" w:line="240" w:lineRule="auto"/>
    </w:pPr>
    <w:rPr>
      <w:rFonts w:ascii="Verdana" w:hAnsi="Verdana"/>
      <w:sz w:val="18"/>
    </w:rPr>
    <w:tblPr>
      <w:tblStyleRowBandSize w:val="1"/>
      <w:tblStyleColBandSize w:val="1"/>
      <w:tblBorders>
        <w:top w:val="single" w:sz="8" w:space="0" w:color="BB9D67" w:themeColor="accent2"/>
        <w:left w:val="single" w:sz="8" w:space="0" w:color="BB9D67" w:themeColor="accent2"/>
        <w:bottom w:val="single" w:sz="8" w:space="0" w:color="BB9D67" w:themeColor="accent2"/>
        <w:right w:val="single" w:sz="8" w:space="0" w:color="BB9D67" w:themeColor="accent2"/>
      </w:tblBorders>
    </w:tblPr>
    <w:tcPr>
      <w:shd w:val="clear" w:color="auto" w:fill="F1EBE0" w:themeFill="accent6" w:themeFillTint="33"/>
      <w:vAlign w:val="center"/>
    </w:tcPr>
    <w:tblStylePr w:type="firstRow">
      <w:pPr>
        <w:spacing w:before="0" w:after="0" w:line="240" w:lineRule="auto"/>
      </w:pPr>
      <w:rPr>
        <w:b/>
        <w:bCs/>
        <w:color w:val="FFFFFF" w:themeColor="background1"/>
      </w:rPr>
      <w:tblPr/>
      <w:tcPr>
        <w:shd w:val="clear" w:color="auto" w:fill="BB9D67" w:themeFill="accent2"/>
      </w:tcPr>
    </w:tblStylePr>
    <w:tblStylePr w:type="lastRow">
      <w:pPr>
        <w:spacing w:before="0" w:after="0" w:line="240" w:lineRule="auto"/>
      </w:pPr>
      <w:rPr>
        <w:b w:val="0"/>
        <w:bCs/>
      </w:rPr>
      <w:tblPr/>
      <w:tcPr>
        <w:tcBorders>
          <w:top w:val="double" w:sz="6" w:space="0" w:color="BB9D67" w:themeColor="accent2"/>
          <w:left w:val="single" w:sz="8" w:space="0" w:color="BB9D67" w:themeColor="accent2"/>
          <w:bottom w:val="single" w:sz="8" w:space="0" w:color="BB9D67" w:themeColor="accent2"/>
          <w:right w:val="single" w:sz="8" w:space="0" w:color="BB9D67" w:themeColor="accent2"/>
        </w:tcBorders>
      </w:tcPr>
    </w:tblStylePr>
    <w:tblStylePr w:type="firstCol">
      <w:pPr>
        <w:jc w:val="left"/>
      </w:pPr>
      <w:rPr>
        <w:b w:val="0"/>
        <w:bCs/>
      </w:rPr>
      <w:tblPr/>
      <w:tcPr>
        <w:vAlign w:val="top"/>
      </w:tcPr>
    </w:tblStylePr>
    <w:tblStylePr w:type="lastCol">
      <w:pPr>
        <w:jc w:val="left"/>
      </w:pPr>
      <w:rPr>
        <w:b w:val="0"/>
        <w:bCs/>
      </w:rPr>
      <w:tblPr/>
      <w:tcPr>
        <w:vAlign w:val="top"/>
      </w:tcPr>
    </w:tblStylePr>
    <w:tblStylePr w:type="band1Vert">
      <w:tblPr/>
      <w:tcPr>
        <w:tcBorders>
          <w:top w:val="single" w:sz="8" w:space="0" w:color="BB9D67" w:themeColor="accent2"/>
          <w:left w:val="single" w:sz="8" w:space="0" w:color="BB9D67" w:themeColor="accent2"/>
          <w:bottom w:val="single" w:sz="8" w:space="0" w:color="BB9D67" w:themeColor="accent2"/>
          <w:right w:val="single" w:sz="8" w:space="0" w:color="BB9D67" w:themeColor="accent2"/>
        </w:tcBorders>
      </w:tcPr>
    </w:tblStylePr>
    <w:tblStylePr w:type="band1Horz">
      <w:tblPr/>
      <w:tcPr>
        <w:tcBorders>
          <w:top w:val="single" w:sz="8" w:space="0" w:color="BB9D67" w:themeColor="accent2"/>
          <w:left w:val="single" w:sz="8" w:space="0" w:color="BB9D67" w:themeColor="accent2"/>
          <w:bottom w:val="single" w:sz="8" w:space="0" w:color="BB9D67" w:themeColor="accent2"/>
          <w:right w:val="single" w:sz="8" w:space="0" w:color="BB9D67" w:themeColor="accent2"/>
        </w:tcBorders>
      </w:tcPr>
    </w:tblStylePr>
  </w:style>
  <w:style w:type="table" w:styleId="LightList-Accent3">
    <w:name w:val="Light List Accent 3"/>
    <w:basedOn w:val="TableNormal"/>
    <w:uiPriority w:val="61"/>
    <w:rsid w:val="00C5626F"/>
    <w:pPr>
      <w:spacing w:after="0" w:line="240" w:lineRule="auto"/>
    </w:pPr>
    <w:tblPr>
      <w:tblStyleRowBandSize w:val="1"/>
      <w:tblStyleColBandSize w:val="1"/>
      <w:tblBorders>
        <w:top w:val="single" w:sz="8" w:space="0" w:color="BEBB98" w:themeColor="accent3"/>
        <w:left w:val="single" w:sz="8" w:space="0" w:color="BEBB98" w:themeColor="accent3"/>
        <w:bottom w:val="single" w:sz="8" w:space="0" w:color="BEBB98" w:themeColor="accent3"/>
        <w:right w:val="single" w:sz="8" w:space="0" w:color="BEBB98" w:themeColor="accent3"/>
      </w:tblBorders>
    </w:tblPr>
    <w:tblStylePr w:type="firstRow">
      <w:pPr>
        <w:spacing w:before="0" w:after="0" w:line="240" w:lineRule="auto"/>
      </w:pPr>
      <w:rPr>
        <w:b/>
        <w:bCs/>
        <w:color w:val="FFFFFF" w:themeColor="background1"/>
      </w:rPr>
      <w:tblPr/>
      <w:tcPr>
        <w:shd w:val="clear" w:color="auto" w:fill="BEBB98" w:themeFill="accent3"/>
      </w:tcPr>
    </w:tblStylePr>
    <w:tblStylePr w:type="lastRow">
      <w:pPr>
        <w:spacing w:before="0" w:after="0" w:line="240" w:lineRule="auto"/>
      </w:pPr>
      <w:rPr>
        <w:b/>
        <w:bCs/>
      </w:rPr>
      <w:tblPr/>
      <w:tcPr>
        <w:tcBorders>
          <w:top w:val="double" w:sz="6" w:space="0" w:color="BEBB98" w:themeColor="accent3"/>
          <w:left w:val="single" w:sz="8" w:space="0" w:color="BEBB98" w:themeColor="accent3"/>
          <w:bottom w:val="single" w:sz="8" w:space="0" w:color="BEBB98" w:themeColor="accent3"/>
          <w:right w:val="single" w:sz="8" w:space="0" w:color="BEBB98" w:themeColor="accent3"/>
        </w:tcBorders>
      </w:tcPr>
    </w:tblStylePr>
    <w:tblStylePr w:type="firstCol">
      <w:rPr>
        <w:b/>
        <w:bCs/>
      </w:rPr>
    </w:tblStylePr>
    <w:tblStylePr w:type="lastCol">
      <w:rPr>
        <w:b/>
        <w:bCs/>
      </w:rPr>
    </w:tblStylePr>
    <w:tblStylePr w:type="band1Vert">
      <w:tblPr/>
      <w:tcPr>
        <w:tcBorders>
          <w:top w:val="single" w:sz="8" w:space="0" w:color="BEBB98" w:themeColor="accent3"/>
          <w:left w:val="single" w:sz="8" w:space="0" w:color="BEBB98" w:themeColor="accent3"/>
          <w:bottom w:val="single" w:sz="8" w:space="0" w:color="BEBB98" w:themeColor="accent3"/>
          <w:right w:val="single" w:sz="8" w:space="0" w:color="BEBB98" w:themeColor="accent3"/>
        </w:tcBorders>
      </w:tcPr>
    </w:tblStylePr>
    <w:tblStylePr w:type="band1Horz">
      <w:tblPr/>
      <w:tcPr>
        <w:tcBorders>
          <w:top w:val="single" w:sz="8" w:space="0" w:color="BEBB98" w:themeColor="accent3"/>
          <w:left w:val="single" w:sz="8" w:space="0" w:color="BEBB98" w:themeColor="accent3"/>
          <w:bottom w:val="single" w:sz="8" w:space="0" w:color="BEBB98" w:themeColor="accent3"/>
          <w:right w:val="single" w:sz="8" w:space="0" w:color="BEBB98" w:themeColor="accent3"/>
        </w:tcBorders>
      </w:tcPr>
    </w:tblStylePr>
  </w:style>
  <w:style w:type="paragraph" w:customStyle="1" w:styleId="Emphasis01">
    <w:name w:val="Emphasis 01"/>
    <w:basedOn w:val="Normal"/>
    <w:link w:val="Emphasis01Char"/>
    <w:qFormat/>
    <w:rsid w:val="00B766C7"/>
    <w:rPr>
      <w:i/>
      <w:lang w:eastAsia="en-AU"/>
    </w:rPr>
  </w:style>
  <w:style w:type="paragraph" w:customStyle="1" w:styleId="IntenseEmphasis01">
    <w:name w:val="Intense Emphasis 01"/>
    <w:basedOn w:val="Emphasis01"/>
    <w:link w:val="IntenseEmphasis01Char"/>
    <w:qFormat/>
    <w:rsid w:val="00B766C7"/>
    <w:rPr>
      <w:b/>
    </w:rPr>
  </w:style>
  <w:style w:type="character" w:customStyle="1" w:styleId="Emphasis01Char">
    <w:name w:val="Emphasis 01 Char"/>
    <w:basedOn w:val="DefaultParagraphFont"/>
    <w:link w:val="Emphasis01"/>
    <w:rsid w:val="00B766C7"/>
    <w:rPr>
      <w:rFonts w:ascii="Verdana" w:hAnsi="Verdana"/>
      <w:i/>
      <w:sz w:val="20"/>
      <w:lang w:eastAsia="en-AU"/>
    </w:rPr>
  </w:style>
  <w:style w:type="character" w:styleId="Strong">
    <w:name w:val="Strong"/>
    <w:basedOn w:val="DefaultParagraphFont"/>
    <w:uiPriority w:val="22"/>
    <w:qFormat/>
    <w:rsid w:val="00B766C7"/>
    <w:rPr>
      <w:sz w:val="20"/>
      <w:szCs w:val="20"/>
    </w:rPr>
  </w:style>
  <w:style w:type="character" w:customStyle="1" w:styleId="IntenseEmphasis01Char">
    <w:name w:val="Intense Emphasis 01 Char"/>
    <w:basedOn w:val="Emphasis01Char"/>
    <w:link w:val="IntenseEmphasis01"/>
    <w:rsid w:val="00B766C7"/>
    <w:rPr>
      <w:rFonts w:ascii="Verdana" w:hAnsi="Verdana"/>
      <w:b/>
      <w:i/>
      <w:sz w:val="20"/>
      <w:lang w:eastAsia="en-AU"/>
    </w:rPr>
  </w:style>
  <w:style w:type="paragraph" w:customStyle="1" w:styleId="Reference">
    <w:name w:val="Reference"/>
    <w:basedOn w:val="Normal"/>
    <w:link w:val="ReferenceChar"/>
    <w:qFormat/>
    <w:rsid w:val="00B35E3D"/>
    <w:pPr>
      <w:spacing w:before="120"/>
    </w:pPr>
    <w:rPr>
      <w:i/>
      <w:sz w:val="18"/>
      <w:szCs w:val="18"/>
    </w:rPr>
  </w:style>
  <w:style w:type="character" w:customStyle="1" w:styleId="ReferenceChar">
    <w:name w:val="Reference Char"/>
    <w:basedOn w:val="DefaultParagraphFont"/>
    <w:link w:val="Reference"/>
    <w:rsid w:val="00B35E3D"/>
    <w:rPr>
      <w:rFonts w:ascii="Verdana" w:hAnsi="Verdana"/>
      <w:i/>
      <w:sz w:val="18"/>
      <w:szCs w:val="18"/>
    </w:rPr>
  </w:style>
  <w:style w:type="character" w:customStyle="1" w:styleId="LegislationadministeredChar">
    <w:name w:val="Legislation administered Char"/>
    <w:basedOn w:val="DefaultParagraphFont"/>
    <w:link w:val="Legislationadministered"/>
    <w:locked/>
    <w:rsid w:val="00B203CF"/>
    <w:rPr>
      <w:rFonts w:ascii="Times New Roman" w:hAnsi="Times New Roman" w:cs="Times New Roman"/>
      <w:i/>
      <w:iCs/>
      <w:sz w:val="26"/>
      <w:szCs w:val="26"/>
      <w:lang w:eastAsia="en-AU"/>
    </w:rPr>
  </w:style>
  <w:style w:type="paragraph" w:customStyle="1" w:styleId="Legislationadministered">
    <w:name w:val="Legislation administered"/>
    <w:basedOn w:val="Normal"/>
    <w:link w:val="LegislationadministeredChar"/>
    <w:qFormat/>
    <w:rsid w:val="00B203CF"/>
    <w:pPr>
      <w:keepLines/>
      <w:tabs>
        <w:tab w:val="left" w:pos="1304"/>
      </w:tabs>
      <w:autoSpaceDE w:val="0"/>
      <w:autoSpaceDN w:val="0"/>
      <w:ind w:left="181" w:hanging="181"/>
    </w:pPr>
    <w:rPr>
      <w:rFonts w:eastAsiaTheme="minorHAnsi"/>
      <w:i/>
      <w:iCs/>
      <w:sz w:val="26"/>
      <w:szCs w:val="26"/>
      <w:lang w:eastAsia="en-AU"/>
    </w:rPr>
  </w:style>
  <w:style w:type="table" w:customStyle="1" w:styleId="LightList-Accent21">
    <w:name w:val="Light List - Accent 21"/>
    <w:basedOn w:val="TableNormal"/>
    <w:next w:val="LightList-Accent2"/>
    <w:uiPriority w:val="61"/>
    <w:rsid w:val="00371DDB"/>
    <w:pPr>
      <w:spacing w:after="0" w:line="240" w:lineRule="auto"/>
    </w:pPr>
    <w:rPr>
      <w:rFonts w:ascii="Verdana" w:hAnsi="Verdana"/>
      <w:sz w:val="18"/>
    </w:rPr>
    <w:tblPr>
      <w:tblStyleRowBandSize w:val="1"/>
      <w:tblStyleColBandSize w:val="1"/>
      <w:tblBorders>
        <w:top w:val="single" w:sz="8" w:space="0" w:color="BB9D67" w:themeColor="accent2"/>
        <w:left w:val="single" w:sz="8" w:space="0" w:color="BB9D67" w:themeColor="accent2"/>
        <w:bottom w:val="single" w:sz="8" w:space="0" w:color="BB9D67" w:themeColor="accent2"/>
        <w:right w:val="single" w:sz="8" w:space="0" w:color="BB9D67" w:themeColor="accent2"/>
      </w:tblBorders>
    </w:tblPr>
    <w:tcPr>
      <w:shd w:val="clear" w:color="auto" w:fill="F1EBE0" w:themeFill="accent6" w:themeFillTint="33"/>
      <w:vAlign w:val="center"/>
    </w:tcPr>
    <w:tblStylePr w:type="firstRow">
      <w:pPr>
        <w:spacing w:before="0" w:after="0" w:line="240" w:lineRule="auto"/>
      </w:pPr>
      <w:rPr>
        <w:b/>
        <w:bCs/>
        <w:color w:val="FFFFFF" w:themeColor="background1"/>
      </w:rPr>
      <w:tblPr/>
      <w:tcPr>
        <w:shd w:val="clear" w:color="auto" w:fill="BB9D67" w:themeFill="accent2"/>
      </w:tcPr>
    </w:tblStylePr>
    <w:tblStylePr w:type="lastRow">
      <w:pPr>
        <w:spacing w:before="0" w:after="0" w:line="240" w:lineRule="auto"/>
      </w:pPr>
      <w:rPr>
        <w:b w:val="0"/>
        <w:bCs/>
      </w:rPr>
      <w:tblPr/>
      <w:tcPr>
        <w:tcBorders>
          <w:top w:val="double" w:sz="6" w:space="0" w:color="BB9D67" w:themeColor="accent2"/>
          <w:left w:val="single" w:sz="8" w:space="0" w:color="BB9D67" w:themeColor="accent2"/>
          <w:bottom w:val="single" w:sz="8" w:space="0" w:color="BB9D67" w:themeColor="accent2"/>
          <w:right w:val="single" w:sz="8" w:space="0" w:color="BB9D67" w:themeColor="accent2"/>
        </w:tcBorders>
      </w:tcPr>
    </w:tblStylePr>
    <w:tblStylePr w:type="firstCol">
      <w:pPr>
        <w:jc w:val="left"/>
      </w:pPr>
      <w:rPr>
        <w:b w:val="0"/>
        <w:bCs/>
      </w:rPr>
      <w:tblPr/>
      <w:tcPr>
        <w:vAlign w:val="top"/>
      </w:tcPr>
    </w:tblStylePr>
    <w:tblStylePr w:type="lastCol">
      <w:pPr>
        <w:jc w:val="left"/>
      </w:pPr>
      <w:rPr>
        <w:b w:val="0"/>
        <w:bCs/>
      </w:rPr>
      <w:tblPr/>
      <w:tcPr>
        <w:vAlign w:val="top"/>
      </w:tcPr>
    </w:tblStylePr>
    <w:tblStylePr w:type="band1Vert">
      <w:tblPr/>
      <w:tcPr>
        <w:tcBorders>
          <w:top w:val="single" w:sz="8" w:space="0" w:color="BB9D67" w:themeColor="accent2"/>
          <w:left w:val="single" w:sz="8" w:space="0" w:color="BB9D67" w:themeColor="accent2"/>
          <w:bottom w:val="single" w:sz="8" w:space="0" w:color="BB9D67" w:themeColor="accent2"/>
          <w:right w:val="single" w:sz="8" w:space="0" w:color="BB9D67" w:themeColor="accent2"/>
        </w:tcBorders>
      </w:tcPr>
    </w:tblStylePr>
    <w:tblStylePr w:type="band1Horz">
      <w:tblPr/>
      <w:tcPr>
        <w:tcBorders>
          <w:top w:val="single" w:sz="8" w:space="0" w:color="BB9D67" w:themeColor="accent2"/>
          <w:left w:val="single" w:sz="8" w:space="0" w:color="BB9D67" w:themeColor="accent2"/>
          <w:bottom w:val="single" w:sz="8" w:space="0" w:color="BB9D67" w:themeColor="accent2"/>
          <w:right w:val="single" w:sz="8" w:space="0" w:color="BB9D67"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729">
      <w:bodyDiv w:val="1"/>
      <w:marLeft w:val="0"/>
      <w:marRight w:val="0"/>
      <w:marTop w:val="0"/>
      <w:marBottom w:val="0"/>
      <w:divBdr>
        <w:top w:val="none" w:sz="0" w:space="0" w:color="auto"/>
        <w:left w:val="none" w:sz="0" w:space="0" w:color="auto"/>
        <w:bottom w:val="none" w:sz="0" w:space="0" w:color="auto"/>
        <w:right w:val="none" w:sz="0" w:space="0" w:color="auto"/>
      </w:divBdr>
      <w:divsChild>
        <w:div w:id="1115293566">
          <w:marLeft w:val="0"/>
          <w:marRight w:val="0"/>
          <w:marTop w:val="0"/>
          <w:marBottom w:val="0"/>
          <w:divBdr>
            <w:top w:val="none" w:sz="0" w:space="0" w:color="auto"/>
            <w:left w:val="none" w:sz="0" w:space="0" w:color="auto"/>
            <w:bottom w:val="none" w:sz="0" w:space="0" w:color="auto"/>
            <w:right w:val="none" w:sz="0" w:space="0" w:color="auto"/>
          </w:divBdr>
          <w:divsChild>
            <w:div w:id="493569648">
              <w:marLeft w:val="0"/>
              <w:marRight w:val="0"/>
              <w:marTop w:val="0"/>
              <w:marBottom w:val="0"/>
              <w:divBdr>
                <w:top w:val="none" w:sz="0" w:space="0" w:color="auto"/>
                <w:left w:val="none" w:sz="0" w:space="0" w:color="auto"/>
                <w:bottom w:val="none" w:sz="0" w:space="0" w:color="auto"/>
                <w:right w:val="none" w:sz="0" w:space="0" w:color="auto"/>
              </w:divBdr>
              <w:divsChild>
                <w:div w:id="480268348">
                  <w:marLeft w:val="0"/>
                  <w:marRight w:val="0"/>
                  <w:marTop w:val="195"/>
                  <w:marBottom w:val="0"/>
                  <w:divBdr>
                    <w:top w:val="none" w:sz="0" w:space="0" w:color="auto"/>
                    <w:left w:val="none" w:sz="0" w:space="0" w:color="auto"/>
                    <w:bottom w:val="none" w:sz="0" w:space="0" w:color="auto"/>
                    <w:right w:val="none" w:sz="0" w:space="0" w:color="auto"/>
                  </w:divBdr>
                  <w:divsChild>
                    <w:div w:id="279803052">
                      <w:marLeft w:val="0"/>
                      <w:marRight w:val="0"/>
                      <w:marTop w:val="0"/>
                      <w:marBottom w:val="180"/>
                      <w:divBdr>
                        <w:top w:val="none" w:sz="0" w:space="0" w:color="auto"/>
                        <w:left w:val="none" w:sz="0" w:space="0" w:color="auto"/>
                        <w:bottom w:val="none" w:sz="0" w:space="0" w:color="auto"/>
                        <w:right w:val="none" w:sz="0" w:space="0" w:color="auto"/>
                      </w:divBdr>
                      <w:divsChild>
                        <w:div w:id="860244961">
                          <w:marLeft w:val="0"/>
                          <w:marRight w:val="0"/>
                          <w:marTop w:val="0"/>
                          <w:marBottom w:val="0"/>
                          <w:divBdr>
                            <w:top w:val="none" w:sz="0" w:space="0" w:color="auto"/>
                            <w:left w:val="none" w:sz="0" w:space="0" w:color="auto"/>
                            <w:bottom w:val="none" w:sz="0" w:space="0" w:color="auto"/>
                            <w:right w:val="none" w:sz="0" w:space="0" w:color="auto"/>
                          </w:divBdr>
                          <w:divsChild>
                            <w:div w:id="1551915085">
                              <w:marLeft w:val="0"/>
                              <w:marRight w:val="0"/>
                              <w:marTop w:val="0"/>
                              <w:marBottom w:val="0"/>
                              <w:divBdr>
                                <w:top w:val="none" w:sz="0" w:space="0" w:color="auto"/>
                                <w:left w:val="none" w:sz="0" w:space="0" w:color="auto"/>
                                <w:bottom w:val="none" w:sz="0" w:space="0" w:color="auto"/>
                                <w:right w:val="none" w:sz="0" w:space="0" w:color="auto"/>
                              </w:divBdr>
                              <w:divsChild>
                                <w:div w:id="36856478">
                                  <w:marLeft w:val="0"/>
                                  <w:marRight w:val="0"/>
                                  <w:marTop w:val="0"/>
                                  <w:marBottom w:val="0"/>
                                  <w:divBdr>
                                    <w:top w:val="none" w:sz="0" w:space="0" w:color="auto"/>
                                    <w:left w:val="none" w:sz="0" w:space="0" w:color="auto"/>
                                    <w:bottom w:val="none" w:sz="0" w:space="0" w:color="auto"/>
                                    <w:right w:val="none" w:sz="0" w:space="0" w:color="auto"/>
                                  </w:divBdr>
                                  <w:divsChild>
                                    <w:div w:id="1487938669">
                                      <w:marLeft w:val="0"/>
                                      <w:marRight w:val="0"/>
                                      <w:marTop w:val="0"/>
                                      <w:marBottom w:val="0"/>
                                      <w:divBdr>
                                        <w:top w:val="none" w:sz="0" w:space="0" w:color="auto"/>
                                        <w:left w:val="none" w:sz="0" w:space="0" w:color="auto"/>
                                        <w:bottom w:val="none" w:sz="0" w:space="0" w:color="auto"/>
                                        <w:right w:val="none" w:sz="0" w:space="0" w:color="auto"/>
                                      </w:divBdr>
                                      <w:divsChild>
                                        <w:div w:id="344330333">
                                          <w:marLeft w:val="0"/>
                                          <w:marRight w:val="0"/>
                                          <w:marTop w:val="0"/>
                                          <w:marBottom w:val="0"/>
                                          <w:divBdr>
                                            <w:top w:val="none" w:sz="0" w:space="0" w:color="auto"/>
                                            <w:left w:val="none" w:sz="0" w:space="0" w:color="auto"/>
                                            <w:bottom w:val="none" w:sz="0" w:space="0" w:color="auto"/>
                                            <w:right w:val="none" w:sz="0" w:space="0" w:color="auto"/>
                                          </w:divBdr>
                                          <w:divsChild>
                                            <w:div w:id="1958564183">
                                              <w:marLeft w:val="0"/>
                                              <w:marRight w:val="0"/>
                                              <w:marTop w:val="0"/>
                                              <w:marBottom w:val="0"/>
                                              <w:divBdr>
                                                <w:top w:val="none" w:sz="0" w:space="0" w:color="auto"/>
                                                <w:left w:val="none" w:sz="0" w:space="0" w:color="auto"/>
                                                <w:bottom w:val="none" w:sz="0" w:space="0" w:color="auto"/>
                                                <w:right w:val="none" w:sz="0" w:space="0" w:color="auto"/>
                                              </w:divBdr>
                                              <w:divsChild>
                                                <w:div w:id="15003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594">
      <w:bodyDiv w:val="1"/>
      <w:marLeft w:val="0"/>
      <w:marRight w:val="0"/>
      <w:marTop w:val="0"/>
      <w:marBottom w:val="0"/>
      <w:divBdr>
        <w:top w:val="none" w:sz="0" w:space="0" w:color="auto"/>
        <w:left w:val="none" w:sz="0" w:space="0" w:color="auto"/>
        <w:bottom w:val="none" w:sz="0" w:space="0" w:color="auto"/>
        <w:right w:val="none" w:sz="0" w:space="0" w:color="auto"/>
      </w:divBdr>
    </w:div>
    <w:div w:id="63260710">
      <w:bodyDiv w:val="1"/>
      <w:marLeft w:val="0"/>
      <w:marRight w:val="0"/>
      <w:marTop w:val="0"/>
      <w:marBottom w:val="0"/>
      <w:divBdr>
        <w:top w:val="none" w:sz="0" w:space="0" w:color="auto"/>
        <w:left w:val="none" w:sz="0" w:space="0" w:color="auto"/>
        <w:bottom w:val="none" w:sz="0" w:space="0" w:color="auto"/>
        <w:right w:val="none" w:sz="0" w:space="0" w:color="auto"/>
      </w:divBdr>
    </w:div>
    <w:div w:id="102766665">
      <w:bodyDiv w:val="1"/>
      <w:marLeft w:val="0"/>
      <w:marRight w:val="0"/>
      <w:marTop w:val="0"/>
      <w:marBottom w:val="0"/>
      <w:divBdr>
        <w:top w:val="none" w:sz="0" w:space="0" w:color="auto"/>
        <w:left w:val="none" w:sz="0" w:space="0" w:color="auto"/>
        <w:bottom w:val="none" w:sz="0" w:space="0" w:color="auto"/>
        <w:right w:val="none" w:sz="0" w:space="0" w:color="auto"/>
      </w:divBdr>
    </w:div>
    <w:div w:id="136336365">
      <w:bodyDiv w:val="1"/>
      <w:marLeft w:val="0"/>
      <w:marRight w:val="0"/>
      <w:marTop w:val="0"/>
      <w:marBottom w:val="0"/>
      <w:divBdr>
        <w:top w:val="none" w:sz="0" w:space="0" w:color="auto"/>
        <w:left w:val="none" w:sz="0" w:space="0" w:color="auto"/>
        <w:bottom w:val="none" w:sz="0" w:space="0" w:color="auto"/>
        <w:right w:val="none" w:sz="0" w:space="0" w:color="auto"/>
      </w:divBdr>
    </w:div>
    <w:div w:id="141435076">
      <w:bodyDiv w:val="1"/>
      <w:marLeft w:val="0"/>
      <w:marRight w:val="0"/>
      <w:marTop w:val="0"/>
      <w:marBottom w:val="0"/>
      <w:divBdr>
        <w:top w:val="none" w:sz="0" w:space="0" w:color="auto"/>
        <w:left w:val="none" w:sz="0" w:space="0" w:color="auto"/>
        <w:bottom w:val="none" w:sz="0" w:space="0" w:color="auto"/>
        <w:right w:val="none" w:sz="0" w:space="0" w:color="auto"/>
      </w:divBdr>
    </w:div>
    <w:div w:id="188497125">
      <w:bodyDiv w:val="1"/>
      <w:marLeft w:val="0"/>
      <w:marRight w:val="0"/>
      <w:marTop w:val="0"/>
      <w:marBottom w:val="0"/>
      <w:divBdr>
        <w:top w:val="none" w:sz="0" w:space="0" w:color="auto"/>
        <w:left w:val="none" w:sz="0" w:space="0" w:color="auto"/>
        <w:bottom w:val="none" w:sz="0" w:space="0" w:color="auto"/>
        <w:right w:val="none" w:sz="0" w:space="0" w:color="auto"/>
      </w:divBdr>
    </w:div>
    <w:div w:id="232398290">
      <w:bodyDiv w:val="1"/>
      <w:marLeft w:val="0"/>
      <w:marRight w:val="0"/>
      <w:marTop w:val="0"/>
      <w:marBottom w:val="0"/>
      <w:divBdr>
        <w:top w:val="none" w:sz="0" w:space="0" w:color="auto"/>
        <w:left w:val="none" w:sz="0" w:space="0" w:color="auto"/>
        <w:bottom w:val="none" w:sz="0" w:space="0" w:color="auto"/>
        <w:right w:val="none" w:sz="0" w:space="0" w:color="auto"/>
      </w:divBdr>
      <w:divsChild>
        <w:div w:id="146556436">
          <w:marLeft w:val="0"/>
          <w:marRight w:val="0"/>
          <w:marTop w:val="0"/>
          <w:marBottom w:val="0"/>
          <w:divBdr>
            <w:top w:val="none" w:sz="0" w:space="0" w:color="auto"/>
            <w:left w:val="none" w:sz="0" w:space="0" w:color="auto"/>
            <w:bottom w:val="none" w:sz="0" w:space="0" w:color="auto"/>
            <w:right w:val="none" w:sz="0" w:space="0" w:color="auto"/>
          </w:divBdr>
          <w:divsChild>
            <w:div w:id="453643021">
              <w:marLeft w:val="0"/>
              <w:marRight w:val="0"/>
              <w:marTop w:val="0"/>
              <w:marBottom w:val="0"/>
              <w:divBdr>
                <w:top w:val="none" w:sz="0" w:space="0" w:color="auto"/>
                <w:left w:val="none" w:sz="0" w:space="0" w:color="auto"/>
                <w:bottom w:val="none" w:sz="0" w:space="0" w:color="auto"/>
                <w:right w:val="none" w:sz="0" w:space="0" w:color="auto"/>
              </w:divBdr>
              <w:divsChild>
                <w:div w:id="1213154479">
                  <w:marLeft w:val="0"/>
                  <w:marRight w:val="0"/>
                  <w:marTop w:val="0"/>
                  <w:marBottom w:val="0"/>
                  <w:divBdr>
                    <w:top w:val="none" w:sz="0" w:space="0" w:color="auto"/>
                    <w:left w:val="none" w:sz="0" w:space="0" w:color="auto"/>
                    <w:bottom w:val="none" w:sz="0" w:space="0" w:color="auto"/>
                    <w:right w:val="none" w:sz="0" w:space="0" w:color="auto"/>
                  </w:divBdr>
                  <w:divsChild>
                    <w:div w:id="783691621">
                      <w:marLeft w:val="0"/>
                      <w:marRight w:val="0"/>
                      <w:marTop w:val="0"/>
                      <w:marBottom w:val="0"/>
                      <w:divBdr>
                        <w:top w:val="none" w:sz="0" w:space="0" w:color="auto"/>
                        <w:left w:val="none" w:sz="0" w:space="0" w:color="auto"/>
                        <w:bottom w:val="none" w:sz="0" w:space="0" w:color="auto"/>
                        <w:right w:val="none" w:sz="0" w:space="0" w:color="auto"/>
                      </w:divBdr>
                      <w:divsChild>
                        <w:div w:id="384643063">
                          <w:marLeft w:val="0"/>
                          <w:marRight w:val="0"/>
                          <w:marTop w:val="0"/>
                          <w:marBottom w:val="0"/>
                          <w:divBdr>
                            <w:top w:val="single" w:sz="6" w:space="0" w:color="828282"/>
                            <w:left w:val="single" w:sz="6" w:space="0" w:color="828282"/>
                            <w:bottom w:val="single" w:sz="6" w:space="0" w:color="828282"/>
                            <w:right w:val="single" w:sz="6" w:space="0" w:color="828282"/>
                          </w:divBdr>
                          <w:divsChild>
                            <w:div w:id="848834904">
                              <w:marLeft w:val="0"/>
                              <w:marRight w:val="0"/>
                              <w:marTop w:val="0"/>
                              <w:marBottom w:val="0"/>
                              <w:divBdr>
                                <w:top w:val="none" w:sz="0" w:space="0" w:color="auto"/>
                                <w:left w:val="none" w:sz="0" w:space="0" w:color="auto"/>
                                <w:bottom w:val="none" w:sz="0" w:space="0" w:color="auto"/>
                                <w:right w:val="none" w:sz="0" w:space="0" w:color="auto"/>
                              </w:divBdr>
                              <w:divsChild>
                                <w:div w:id="1176730574">
                                  <w:marLeft w:val="0"/>
                                  <w:marRight w:val="0"/>
                                  <w:marTop w:val="0"/>
                                  <w:marBottom w:val="0"/>
                                  <w:divBdr>
                                    <w:top w:val="none" w:sz="0" w:space="0" w:color="auto"/>
                                    <w:left w:val="none" w:sz="0" w:space="0" w:color="auto"/>
                                    <w:bottom w:val="none" w:sz="0" w:space="0" w:color="auto"/>
                                    <w:right w:val="none" w:sz="0" w:space="0" w:color="auto"/>
                                  </w:divBdr>
                                  <w:divsChild>
                                    <w:div w:id="1068069325">
                                      <w:marLeft w:val="0"/>
                                      <w:marRight w:val="0"/>
                                      <w:marTop w:val="0"/>
                                      <w:marBottom w:val="0"/>
                                      <w:divBdr>
                                        <w:top w:val="none" w:sz="0" w:space="0" w:color="auto"/>
                                        <w:left w:val="none" w:sz="0" w:space="0" w:color="auto"/>
                                        <w:bottom w:val="none" w:sz="0" w:space="0" w:color="auto"/>
                                        <w:right w:val="none" w:sz="0" w:space="0" w:color="auto"/>
                                      </w:divBdr>
                                      <w:divsChild>
                                        <w:div w:id="185293542">
                                          <w:marLeft w:val="0"/>
                                          <w:marRight w:val="0"/>
                                          <w:marTop w:val="0"/>
                                          <w:marBottom w:val="0"/>
                                          <w:divBdr>
                                            <w:top w:val="none" w:sz="0" w:space="0" w:color="auto"/>
                                            <w:left w:val="none" w:sz="0" w:space="0" w:color="auto"/>
                                            <w:bottom w:val="none" w:sz="0" w:space="0" w:color="auto"/>
                                            <w:right w:val="none" w:sz="0" w:space="0" w:color="auto"/>
                                          </w:divBdr>
                                          <w:divsChild>
                                            <w:div w:id="1899852898">
                                              <w:marLeft w:val="0"/>
                                              <w:marRight w:val="0"/>
                                              <w:marTop w:val="0"/>
                                              <w:marBottom w:val="0"/>
                                              <w:divBdr>
                                                <w:top w:val="none" w:sz="0" w:space="0" w:color="auto"/>
                                                <w:left w:val="none" w:sz="0" w:space="0" w:color="auto"/>
                                                <w:bottom w:val="none" w:sz="0" w:space="0" w:color="auto"/>
                                                <w:right w:val="none" w:sz="0" w:space="0" w:color="auto"/>
                                              </w:divBdr>
                                              <w:divsChild>
                                                <w:div w:id="8965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949838">
      <w:bodyDiv w:val="1"/>
      <w:marLeft w:val="0"/>
      <w:marRight w:val="0"/>
      <w:marTop w:val="0"/>
      <w:marBottom w:val="0"/>
      <w:divBdr>
        <w:top w:val="none" w:sz="0" w:space="0" w:color="auto"/>
        <w:left w:val="none" w:sz="0" w:space="0" w:color="auto"/>
        <w:bottom w:val="none" w:sz="0" w:space="0" w:color="auto"/>
        <w:right w:val="none" w:sz="0" w:space="0" w:color="auto"/>
      </w:divBdr>
    </w:div>
    <w:div w:id="593249843">
      <w:bodyDiv w:val="1"/>
      <w:marLeft w:val="0"/>
      <w:marRight w:val="0"/>
      <w:marTop w:val="0"/>
      <w:marBottom w:val="0"/>
      <w:divBdr>
        <w:top w:val="none" w:sz="0" w:space="0" w:color="auto"/>
        <w:left w:val="none" w:sz="0" w:space="0" w:color="auto"/>
        <w:bottom w:val="none" w:sz="0" w:space="0" w:color="auto"/>
        <w:right w:val="none" w:sz="0" w:space="0" w:color="auto"/>
      </w:divBdr>
    </w:div>
    <w:div w:id="645280011">
      <w:bodyDiv w:val="1"/>
      <w:marLeft w:val="0"/>
      <w:marRight w:val="0"/>
      <w:marTop w:val="0"/>
      <w:marBottom w:val="0"/>
      <w:divBdr>
        <w:top w:val="none" w:sz="0" w:space="0" w:color="auto"/>
        <w:left w:val="none" w:sz="0" w:space="0" w:color="auto"/>
        <w:bottom w:val="none" w:sz="0" w:space="0" w:color="auto"/>
        <w:right w:val="none" w:sz="0" w:space="0" w:color="auto"/>
      </w:divBdr>
    </w:div>
    <w:div w:id="671101538">
      <w:bodyDiv w:val="1"/>
      <w:marLeft w:val="0"/>
      <w:marRight w:val="0"/>
      <w:marTop w:val="0"/>
      <w:marBottom w:val="0"/>
      <w:divBdr>
        <w:top w:val="none" w:sz="0" w:space="0" w:color="auto"/>
        <w:left w:val="none" w:sz="0" w:space="0" w:color="auto"/>
        <w:bottom w:val="none" w:sz="0" w:space="0" w:color="auto"/>
        <w:right w:val="none" w:sz="0" w:space="0" w:color="auto"/>
      </w:divBdr>
    </w:div>
    <w:div w:id="899747362">
      <w:bodyDiv w:val="1"/>
      <w:marLeft w:val="0"/>
      <w:marRight w:val="0"/>
      <w:marTop w:val="0"/>
      <w:marBottom w:val="0"/>
      <w:divBdr>
        <w:top w:val="none" w:sz="0" w:space="0" w:color="auto"/>
        <w:left w:val="none" w:sz="0" w:space="0" w:color="auto"/>
        <w:bottom w:val="none" w:sz="0" w:space="0" w:color="auto"/>
        <w:right w:val="none" w:sz="0" w:space="0" w:color="auto"/>
      </w:divBdr>
    </w:div>
    <w:div w:id="946692428">
      <w:bodyDiv w:val="1"/>
      <w:marLeft w:val="0"/>
      <w:marRight w:val="0"/>
      <w:marTop w:val="0"/>
      <w:marBottom w:val="0"/>
      <w:divBdr>
        <w:top w:val="none" w:sz="0" w:space="0" w:color="auto"/>
        <w:left w:val="none" w:sz="0" w:space="0" w:color="auto"/>
        <w:bottom w:val="none" w:sz="0" w:space="0" w:color="auto"/>
        <w:right w:val="none" w:sz="0" w:space="0" w:color="auto"/>
      </w:divBdr>
      <w:divsChild>
        <w:div w:id="1821380187">
          <w:marLeft w:val="0"/>
          <w:marRight w:val="0"/>
          <w:marTop w:val="0"/>
          <w:marBottom w:val="0"/>
          <w:divBdr>
            <w:top w:val="none" w:sz="0" w:space="0" w:color="auto"/>
            <w:left w:val="none" w:sz="0" w:space="0" w:color="auto"/>
            <w:bottom w:val="none" w:sz="0" w:space="0" w:color="auto"/>
            <w:right w:val="none" w:sz="0" w:space="0" w:color="auto"/>
          </w:divBdr>
          <w:divsChild>
            <w:div w:id="793409320">
              <w:marLeft w:val="0"/>
              <w:marRight w:val="0"/>
              <w:marTop w:val="0"/>
              <w:marBottom w:val="0"/>
              <w:divBdr>
                <w:top w:val="none" w:sz="0" w:space="0" w:color="auto"/>
                <w:left w:val="none" w:sz="0" w:space="0" w:color="auto"/>
                <w:bottom w:val="none" w:sz="0" w:space="0" w:color="auto"/>
                <w:right w:val="none" w:sz="0" w:space="0" w:color="auto"/>
              </w:divBdr>
              <w:divsChild>
                <w:div w:id="119999570">
                  <w:marLeft w:val="0"/>
                  <w:marRight w:val="0"/>
                  <w:marTop w:val="0"/>
                  <w:marBottom w:val="0"/>
                  <w:divBdr>
                    <w:top w:val="none" w:sz="0" w:space="0" w:color="auto"/>
                    <w:left w:val="none" w:sz="0" w:space="0" w:color="auto"/>
                    <w:bottom w:val="none" w:sz="0" w:space="0" w:color="auto"/>
                    <w:right w:val="none" w:sz="0" w:space="0" w:color="auto"/>
                  </w:divBdr>
                  <w:divsChild>
                    <w:div w:id="1580409528">
                      <w:marLeft w:val="0"/>
                      <w:marRight w:val="0"/>
                      <w:marTop w:val="0"/>
                      <w:marBottom w:val="0"/>
                      <w:divBdr>
                        <w:top w:val="none" w:sz="0" w:space="0" w:color="auto"/>
                        <w:left w:val="none" w:sz="0" w:space="0" w:color="auto"/>
                        <w:bottom w:val="none" w:sz="0" w:space="0" w:color="auto"/>
                        <w:right w:val="none" w:sz="0" w:space="0" w:color="auto"/>
                      </w:divBdr>
                      <w:divsChild>
                        <w:div w:id="1324628041">
                          <w:marLeft w:val="0"/>
                          <w:marRight w:val="0"/>
                          <w:marTop w:val="0"/>
                          <w:marBottom w:val="0"/>
                          <w:divBdr>
                            <w:top w:val="none" w:sz="0" w:space="0" w:color="auto"/>
                            <w:left w:val="none" w:sz="0" w:space="0" w:color="auto"/>
                            <w:bottom w:val="none" w:sz="0" w:space="0" w:color="auto"/>
                            <w:right w:val="none" w:sz="0" w:space="0" w:color="auto"/>
                          </w:divBdr>
                          <w:divsChild>
                            <w:div w:id="1877310328">
                              <w:marLeft w:val="0"/>
                              <w:marRight w:val="0"/>
                              <w:marTop w:val="0"/>
                              <w:marBottom w:val="0"/>
                              <w:divBdr>
                                <w:top w:val="none" w:sz="0" w:space="0" w:color="auto"/>
                                <w:left w:val="none" w:sz="0" w:space="0" w:color="auto"/>
                                <w:bottom w:val="none" w:sz="0" w:space="0" w:color="auto"/>
                                <w:right w:val="none" w:sz="0" w:space="0" w:color="auto"/>
                              </w:divBdr>
                              <w:divsChild>
                                <w:div w:id="1928734649">
                                  <w:marLeft w:val="0"/>
                                  <w:marRight w:val="0"/>
                                  <w:marTop w:val="0"/>
                                  <w:marBottom w:val="0"/>
                                  <w:divBdr>
                                    <w:top w:val="none" w:sz="0" w:space="0" w:color="auto"/>
                                    <w:left w:val="none" w:sz="0" w:space="0" w:color="auto"/>
                                    <w:bottom w:val="none" w:sz="0" w:space="0" w:color="auto"/>
                                    <w:right w:val="none" w:sz="0" w:space="0" w:color="auto"/>
                                  </w:divBdr>
                                  <w:divsChild>
                                    <w:div w:id="3842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213126">
      <w:bodyDiv w:val="1"/>
      <w:marLeft w:val="0"/>
      <w:marRight w:val="0"/>
      <w:marTop w:val="0"/>
      <w:marBottom w:val="0"/>
      <w:divBdr>
        <w:top w:val="none" w:sz="0" w:space="0" w:color="auto"/>
        <w:left w:val="none" w:sz="0" w:space="0" w:color="auto"/>
        <w:bottom w:val="none" w:sz="0" w:space="0" w:color="auto"/>
        <w:right w:val="none" w:sz="0" w:space="0" w:color="auto"/>
      </w:divBdr>
    </w:div>
    <w:div w:id="1236009381">
      <w:bodyDiv w:val="1"/>
      <w:marLeft w:val="0"/>
      <w:marRight w:val="0"/>
      <w:marTop w:val="0"/>
      <w:marBottom w:val="0"/>
      <w:divBdr>
        <w:top w:val="none" w:sz="0" w:space="0" w:color="auto"/>
        <w:left w:val="none" w:sz="0" w:space="0" w:color="auto"/>
        <w:bottom w:val="none" w:sz="0" w:space="0" w:color="auto"/>
        <w:right w:val="none" w:sz="0" w:space="0" w:color="auto"/>
      </w:divBdr>
      <w:divsChild>
        <w:div w:id="699933499">
          <w:marLeft w:val="547"/>
          <w:marRight w:val="0"/>
          <w:marTop w:val="0"/>
          <w:marBottom w:val="0"/>
          <w:divBdr>
            <w:top w:val="none" w:sz="0" w:space="0" w:color="auto"/>
            <w:left w:val="none" w:sz="0" w:space="0" w:color="auto"/>
            <w:bottom w:val="none" w:sz="0" w:space="0" w:color="auto"/>
            <w:right w:val="none" w:sz="0" w:space="0" w:color="auto"/>
          </w:divBdr>
        </w:div>
        <w:div w:id="378819728">
          <w:marLeft w:val="547"/>
          <w:marRight w:val="0"/>
          <w:marTop w:val="0"/>
          <w:marBottom w:val="0"/>
          <w:divBdr>
            <w:top w:val="none" w:sz="0" w:space="0" w:color="auto"/>
            <w:left w:val="none" w:sz="0" w:space="0" w:color="auto"/>
            <w:bottom w:val="none" w:sz="0" w:space="0" w:color="auto"/>
            <w:right w:val="none" w:sz="0" w:space="0" w:color="auto"/>
          </w:divBdr>
        </w:div>
      </w:divsChild>
    </w:div>
    <w:div w:id="1239709833">
      <w:bodyDiv w:val="1"/>
      <w:marLeft w:val="0"/>
      <w:marRight w:val="0"/>
      <w:marTop w:val="0"/>
      <w:marBottom w:val="0"/>
      <w:divBdr>
        <w:top w:val="none" w:sz="0" w:space="0" w:color="auto"/>
        <w:left w:val="none" w:sz="0" w:space="0" w:color="auto"/>
        <w:bottom w:val="none" w:sz="0" w:space="0" w:color="auto"/>
        <w:right w:val="none" w:sz="0" w:space="0" w:color="auto"/>
      </w:divBdr>
    </w:div>
    <w:div w:id="1264606274">
      <w:bodyDiv w:val="1"/>
      <w:marLeft w:val="0"/>
      <w:marRight w:val="0"/>
      <w:marTop w:val="0"/>
      <w:marBottom w:val="0"/>
      <w:divBdr>
        <w:top w:val="none" w:sz="0" w:space="0" w:color="auto"/>
        <w:left w:val="none" w:sz="0" w:space="0" w:color="auto"/>
        <w:bottom w:val="none" w:sz="0" w:space="0" w:color="auto"/>
        <w:right w:val="none" w:sz="0" w:space="0" w:color="auto"/>
      </w:divBdr>
    </w:div>
    <w:div w:id="1386754649">
      <w:bodyDiv w:val="1"/>
      <w:marLeft w:val="0"/>
      <w:marRight w:val="0"/>
      <w:marTop w:val="0"/>
      <w:marBottom w:val="0"/>
      <w:divBdr>
        <w:top w:val="none" w:sz="0" w:space="0" w:color="auto"/>
        <w:left w:val="none" w:sz="0" w:space="0" w:color="auto"/>
        <w:bottom w:val="none" w:sz="0" w:space="0" w:color="auto"/>
        <w:right w:val="none" w:sz="0" w:space="0" w:color="auto"/>
      </w:divBdr>
      <w:divsChild>
        <w:div w:id="329795044">
          <w:marLeft w:val="0"/>
          <w:marRight w:val="0"/>
          <w:marTop w:val="0"/>
          <w:marBottom w:val="0"/>
          <w:divBdr>
            <w:top w:val="none" w:sz="0" w:space="0" w:color="auto"/>
            <w:left w:val="none" w:sz="0" w:space="0" w:color="auto"/>
            <w:bottom w:val="none" w:sz="0" w:space="0" w:color="auto"/>
            <w:right w:val="none" w:sz="0" w:space="0" w:color="auto"/>
          </w:divBdr>
          <w:divsChild>
            <w:div w:id="2003459212">
              <w:marLeft w:val="0"/>
              <w:marRight w:val="0"/>
              <w:marTop w:val="0"/>
              <w:marBottom w:val="0"/>
              <w:divBdr>
                <w:top w:val="none" w:sz="0" w:space="0" w:color="auto"/>
                <w:left w:val="none" w:sz="0" w:space="0" w:color="auto"/>
                <w:bottom w:val="none" w:sz="0" w:space="0" w:color="auto"/>
                <w:right w:val="none" w:sz="0" w:space="0" w:color="auto"/>
              </w:divBdr>
              <w:divsChild>
                <w:div w:id="1215578119">
                  <w:marLeft w:val="0"/>
                  <w:marRight w:val="0"/>
                  <w:marTop w:val="0"/>
                  <w:marBottom w:val="0"/>
                  <w:divBdr>
                    <w:top w:val="none" w:sz="0" w:space="0" w:color="auto"/>
                    <w:left w:val="none" w:sz="0" w:space="0" w:color="auto"/>
                    <w:bottom w:val="none" w:sz="0" w:space="0" w:color="auto"/>
                    <w:right w:val="none" w:sz="0" w:space="0" w:color="auto"/>
                  </w:divBdr>
                  <w:divsChild>
                    <w:div w:id="873420551">
                      <w:marLeft w:val="0"/>
                      <w:marRight w:val="0"/>
                      <w:marTop w:val="0"/>
                      <w:marBottom w:val="0"/>
                      <w:divBdr>
                        <w:top w:val="none" w:sz="0" w:space="0" w:color="auto"/>
                        <w:left w:val="none" w:sz="0" w:space="0" w:color="auto"/>
                        <w:bottom w:val="none" w:sz="0" w:space="0" w:color="auto"/>
                        <w:right w:val="none" w:sz="0" w:space="0" w:color="auto"/>
                      </w:divBdr>
                      <w:divsChild>
                        <w:div w:id="2129464692">
                          <w:marLeft w:val="0"/>
                          <w:marRight w:val="0"/>
                          <w:marTop w:val="0"/>
                          <w:marBottom w:val="0"/>
                          <w:divBdr>
                            <w:top w:val="none" w:sz="0" w:space="0" w:color="auto"/>
                            <w:left w:val="none" w:sz="0" w:space="0" w:color="auto"/>
                            <w:bottom w:val="none" w:sz="0" w:space="0" w:color="auto"/>
                            <w:right w:val="none" w:sz="0" w:space="0" w:color="auto"/>
                          </w:divBdr>
                          <w:divsChild>
                            <w:div w:id="1379086513">
                              <w:marLeft w:val="0"/>
                              <w:marRight w:val="0"/>
                              <w:marTop w:val="2100"/>
                              <w:marBottom w:val="0"/>
                              <w:divBdr>
                                <w:top w:val="none" w:sz="0" w:space="0" w:color="auto"/>
                                <w:left w:val="none" w:sz="0" w:space="0" w:color="auto"/>
                                <w:bottom w:val="none" w:sz="0" w:space="0" w:color="auto"/>
                                <w:right w:val="none" w:sz="0" w:space="0" w:color="auto"/>
                              </w:divBdr>
                              <w:divsChild>
                                <w:div w:id="117534183">
                                  <w:marLeft w:val="0"/>
                                  <w:marRight w:val="0"/>
                                  <w:marTop w:val="0"/>
                                  <w:marBottom w:val="0"/>
                                  <w:divBdr>
                                    <w:top w:val="none" w:sz="0" w:space="0" w:color="auto"/>
                                    <w:left w:val="none" w:sz="0" w:space="0" w:color="auto"/>
                                    <w:bottom w:val="none" w:sz="0" w:space="0" w:color="auto"/>
                                    <w:right w:val="none" w:sz="0" w:space="0" w:color="auto"/>
                                  </w:divBdr>
                                  <w:divsChild>
                                    <w:div w:id="600071848">
                                      <w:marLeft w:val="0"/>
                                      <w:marRight w:val="0"/>
                                      <w:marTop w:val="0"/>
                                      <w:marBottom w:val="0"/>
                                      <w:divBdr>
                                        <w:top w:val="none" w:sz="0" w:space="0" w:color="auto"/>
                                        <w:left w:val="none" w:sz="0" w:space="0" w:color="auto"/>
                                        <w:bottom w:val="none" w:sz="0" w:space="0" w:color="auto"/>
                                        <w:right w:val="none" w:sz="0" w:space="0" w:color="auto"/>
                                      </w:divBdr>
                                      <w:divsChild>
                                        <w:div w:id="2124305832">
                                          <w:marLeft w:val="0"/>
                                          <w:marRight w:val="0"/>
                                          <w:marTop w:val="0"/>
                                          <w:marBottom w:val="0"/>
                                          <w:divBdr>
                                            <w:top w:val="none" w:sz="0" w:space="0" w:color="auto"/>
                                            <w:left w:val="none" w:sz="0" w:space="0" w:color="auto"/>
                                            <w:bottom w:val="none" w:sz="0" w:space="0" w:color="auto"/>
                                            <w:right w:val="none" w:sz="0" w:space="0" w:color="auto"/>
                                          </w:divBdr>
                                          <w:divsChild>
                                            <w:div w:id="16785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025182">
      <w:bodyDiv w:val="1"/>
      <w:marLeft w:val="0"/>
      <w:marRight w:val="0"/>
      <w:marTop w:val="0"/>
      <w:marBottom w:val="0"/>
      <w:divBdr>
        <w:top w:val="none" w:sz="0" w:space="0" w:color="auto"/>
        <w:left w:val="none" w:sz="0" w:space="0" w:color="auto"/>
        <w:bottom w:val="none" w:sz="0" w:space="0" w:color="auto"/>
        <w:right w:val="none" w:sz="0" w:space="0" w:color="auto"/>
      </w:divBdr>
    </w:div>
    <w:div w:id="1475633701">
      <w:bodyDiv w:val="1"/>
      <w:marLeft w:val="0"/>
      <w:marRight w:val="0"/>
      <w:marTop w:val="0"/>
      <w:marBottom w:val="0"/>
      <w:divBdr>
        <w:top w:val="none" w:sz="0" w:space="0" w:color="auto"/>
        <w:left w:val="none" w:sz="0" w:space="0" w:color="auto"/>
        <w:bottom w:val="none" w:sz="0" w:space="0" w:color="auto"/>
        <w:right w:val="none" w:sz="0" w:space="0" w:color="auto"/>
      </w:divBdr>
    </w:div>
    <w:div w:id="1509370913">
      <w:bodyDiv w:val="1"/>
      <w:marLeft w:val="0"/>
      <w:marRight w:val="0"/>
      <w:marTop w:val="0"/>
      <w:marBottom w:val="0"/>
      <w:divBdr>
        <w:top w:val="none" w:sz="0" w:space="0" w:color="auto"/>
        <w:left w:val="none" w:sz="0" w:space="0" w:color="auto"/>
        <w:bottom w:val="none" w:sz="0" w:space="0" w:color="auto"/>
        <w:right w:val="none" w:sz="0" w:space="0" w:color="auto"/>
      </w:divBdr>
    </w:div>
    <w:div w:id="1524436523">
      <w:bodyDiv w:val="1"/>
      <w:marLeft w:val="0"/>
      <w:marRight w:val="0"/>
      <w:marTop w:val="0"/>
      <w:marBottom w:val="0"/>
      <w:divBdr>
        <w:top w:val="none" w:sz="0" w:space="0" w:color="auto"/>
        <w:left w:val="none" w:sz="0" w:space="0" w:color="auto"/>
        <w:bottom w:val="none" w:sz="0" w:space="0" w:color="auto"/>
        <w:right w:val="none" w:sz="0" w:space="0" w:color="auto"/>
      </w:divBdr>
    </w:div>
    <w:div w:id="1548881726">
      <w:bodyDiv w:val="1"/>
      <w:marLeft w:val="0"/>
      <w:marRight w:val="0"/>
      <w:marTop w:val="0"/>
      <w:marBottom w:val="0"/>
      <w:divBdr>
        <w:top w:val="none" w:sz="0" w:space="0" w:color="auto"/>
        <w:left w:val="none" w:sz="0" w:space="0" w:color="auto"/>
        <w:bottom w:val="none" w:sz="0" w:space="0" w:color="auto"/>
        <w:right w:val="none" w:sz="0" w:space="0" w:color="auto"/>
      </w:divBdr>
    </w:div>
    <w:div w:id="1566452821">
      <w:bodyDiv w:val="1"/>
      <w:marLeft w:val="0"/>
      <w:marRight w:val="0"/>
      <w:marTop w:val="0"/>
      <w:marBottom w:val="0"/>
      <w:divBdr>
        <w:top w:val="none" w:sz="0" w:space="0" w:color="auto"/>
        <w:left w:val="none" w:sz="0" w:space="0" w:color="auto"/>
        <w:bottom w:val="none" w:sz="0" w:space="0" w:color="auto"/>
        <w:right w:val="none" w:sz="0" w:space="0" w:color="auto"/>
      </w:divBdr>
    </w:div>
    <w:div w:id="1623151958">
      <w:bodyDiv w:val="1"/>
      <w:marLeft w:val="0"/>
      <w:marRight w:val="0"/>
      <w:marTop w:val="0"/>
      <w:marBottom w:val="0"/>
      <w:divBdr>
        <w:top w:val="none" w:sz="0" w:space="0" w:color="auto"/>
        <w:left w:val="none" w:sz="0" w:space="0" w:color="auto"/>
        <w:bottom w:val="none" w:sz="0" w:space="0" w:color="auto"/>
        <w:right w:val="none" w:sz="0" w:space="0" w:color="auto"/>
      </w:divBdr>
    </w:div>
    <w:div w:id="1627614845">
      <w:bodyDiv w:val="1"/>
      <w:marLeft w:val="0"/>
      <w:marRight w:val="0"/>
      <w:marTop w:val="0"/>
      <w:marBottom w:val="0"/>
      <w:divBdr>
        <w:top w:val="none" w:sz="0" w:space="0" w:color="auto"/>
        <w:left w:val="none" w:sz="0" w:space="0" w:color="auto"/>
        <w:bottom w:val="none" w:sz="0" w:space="0" w:color="auto"/>
        <w:right w:val="none" w:sz="0" w:space="0" w:color="auto"/>
      </w:divBdr>
    </w:div>
    <w:div w:id="1631550828">
      <w:bodyDiv w:val="1"/>
      <w:marLeft w:val="0"/>
      <w:marRight w:val="0"/>
      <w:marTop w:val="0"/>
      <w:marBottom w:val="0"/>
      <w:divBdr>
        <w:top w:val="none" w:sz="0" w:space="0" w:color="auto"/>
        <w:left w:val="none" w:sz="0" w:space="0" w:color="auto"/>
        <w:bottom w:val="none" w:sz="0" w:space="0" w:color="auto"/>
        <w:right w:val="none" w:sz="0" w:space="0" w:color="auto"/>
      </w:divBdr>
    </w:div>
    <w:div w:id="1706562984">
      <w:bodyDiv w:val="1"/>
      <w:marLeft w:val="0"/>
      <w:marRight w:val="0"/>
      <w:marTop w:val="0"/>
      <w:marBottom w:val="0"/>
      <w:divBdr>
        <w:top w:val="none" w:sz="0" w:space="0" w:color="auto"/>
        <w:left w:val="none" w:sz="0" w:space="0" w:color="auto"/>
        <w:bottom w:val="none" w:sz="0" w:space="0" w:color="auto"/>
        <w:right w:val="none" w:sz="0" w:space="0" w:color="auto"/>
      </w:divBdr>
    </w:div>
    <w:div w:id="1789229037">
      <w:bodyDiv w:val="1"/>
      <w:marLeft w:val="0"/>
      <w:marRight w:val="0"/>
      <w:marTop w:val="0"/>
      <w:marBottom w:val="0"/>
      <w:divBdr>
        <w:top w:val="none" w:sz="0" w:space="0" w:color="auto"/>
        <w:left w:val="none" w:sz="0" w:space="0" w:color="auto"/>
        <w:bottom w:val="none" w:sz="0" w:space="0" w:color="auto"/>
        <w:right w:val="none" w:sz="0" w:space="0" w:color="auto"/>
      </w:divBdr>
    </w:div>
    <w:div w:id="1866870055">
      <w:bodyDiv w:val="1"/>
      <w:marLeft w:val="0"/>
      <w:marRight w:val="0"/>
      <w:marTop w:val="0"/>
      <w:marBottom w:val="0"/>
      <w:divBdr>
        <w:top w:val="none" w:sz="0" w:space="0" w:color="auto"/>
        <w:left w:val="none" w:sz="0" w:space="0" w:color="auto"/>
        <w:bottom w:val="none" w:sz="0" w:space="0" w:color="auto"/>
        <w:right w:val="none" w:sz="0" w:space="0" w:color="auto"/>
      </w:divBdr>
    </w:div>
    <w:div w:id="1961262632">
      <w:bodyDiv w:val="1"/>
      <w:marLeft w:val="0"/>
      <w:marRight w:val="0"/>
      <w:marTop w:val="0"/>
      <w:marBottom w:val="0"/>
      <w:divBdr>
        <w:top w:val="none" w:sz="0" w:space="0" w:color="auto"/>
        <w:left w:val="none" w:sz="0" w:space="0" w:color="auto"/>
        <w:bottom w:val="none" w:sz="0" w:space="0" w:color="auto"/>
        <w:right w:val="none" w:sz="0" w:space="0" w:color="auto"/>
      </w:divBdr>
    </w:div>
    <w:div w:id="2005471145">
      <w:bodyDiv w:val="1"/>
      <w:marLeft w:val="0"/>
      <w:marRight w:val="0"/>
      <w:marTop w:val="0"/>
      <w:marBottom w:val="0"/>
      <w:divBdr>
        <w:top w:val="none" w:sz="0" w:space="0" w:color="auto"/>
        <w:left w:val="none" w:sz="0" w:space="0" w:color="auto"/>
        <w:bottom w:val="none" w:sz="0" w:space="0" w:color="auto"/>
        <w:right w:val="none" w:sz="0" w:space="0" w:color="auto"/>
      </w:divBdr>
    </w:div>
    <w:div w:id="20253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hyperlink" Target="http://www.dpmc.gov.au/sites/default/files/publications/AAO_23_December_2014.rtf" TargetMode="Externa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eader" Target="header6.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diagramQuickStyle" Target="diagrams/quickStyle1.xml"/><Relationship Id="rId29" Type="http://schemas.openxmlformats.org/officeDocument/2006/relationships/hyperlink" Target="http://www.dpmc.gov.au/sites/default/files/publications/AAO_23_December_2014.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4.xml"/><Relationship Id="rId28" Type="http://schemas.openxmlformats.org/officeDocument/2006/relationships/hyperlink" Target="http://www.dpmc.gov.au/sites/default/files/publications/AAO_23_December_2014.rtf" TargetMode="External"/><Relationship Id="rId10" Type="http://schemas.openxmlformats.org/officeDocument/2006/relationships/header" Target="header2.xml"/><Relationship Id="rId19" Type="http://schemas.openxmlformats.org/officeDocument/2006/relationships/diagramLayout" Target="diagrams/layout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diagramDrawing" Target="diagrams/drawing1.xml"/><Relationship Id="rId27" Type="http://schemas.openxmlformats.org/officeDocument/2006/relationships/hyperlink" Target="http://www.dpmc.gov.au/sites/default/files/publications/AAO_23_December_2014.rtf" TargetMode="External"/><Relationship Id="rId30" Type="http://schemas.openxmlformats.org/officeDocument/2006/relationships/header" Target="header7.xml"/><Relationship Id="rId35" Type="http://schemas.openxmlformats.org/officeDocument/2006/relationships/customXml" Target="../customXml/item4.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5F9C6B-1AF9-4CC5-B82F-5F83E34566E7}" type="doc">
      <dgm:prSet loTypeId="urn:microsoft.com/office/officeart/2005/8/layout/equation1" loCatId="process" qsTypeId="urn:microsoft.com/office/officeart/2005/8/quickstyle/simple1" qsCatId="simple" csTypeId="urn:microsoft.com/office/officeart/2005/8/colors/colorful1" csCatId="colorful" phldr="1"/>
      <dgm:spPr/>
      <dgm:t>
        <a:bodyPr/>
        <a:lstStyle/>
        <a:p>
          <a:endParaRPr lang="en-AU"/>
        </a:p>
      </dgm:t>
    </dgm:pt>
    <dgm:pt modelId="{DA89E882-1737-49FC-A944-674DC7D74D88}">
      <dgm:prSet phldrT="[Text]"/>
      <dgm:spPr>
        <a:solidFill>
          <a:schemeClr val="accent1"/>
        </a:solidFill>
      </dgm:spPr>
      <dgm:t>
        <a:bodyPr/>
        <a:lstStyle/>
        <a:p>
          <a:pPr algn="ctr"/>
          <a:r>
            <a:rPr lang="en-AU"/>
            <a:t>Deregulatory Measures - $7.0m</a:t>
          </a:r>
        </a:p>
      </dgm:t>
    </dgm:pt>
    <dgm:pt modelId="{16BC6BFC-12BA-41A3-B8CF-3749F8840FAB}" type="parTrans" cxnId="{9E99ED19-02A4-4C6C-9A14-654BFA87D1AD}">
      <dgm:prSet/>
      <dgm:spPr/>
      <dgm:t>
        <a:bodyPr/>
        <a:lstStyle/>
        <a:p>
          <a:pPr algn="ctr"/>
          <a:endParaRPr lang="en-AU"/>
        </a:p>
      </dgm:t>
    </dgm:pt>
    <dgm:pt modelId="{E37AB2ED-98A0-46D3-AE22-81E25022E47B}" type="sibTrans" cxnId="{9E99ED19-02A4-4C6C-9A14-654BFA87D1AD}">
      <dgm:prSet/>
      <dgm:spPr>
        <a:solidFill>
          <a:schemeClr val="accent4"/>
        </a:solidFill>
      </dgm:spPr>
      <dgm:t>
        <a:bodyPr/>
        <a:lstStyle/>
        <a:p>
          <a:pPr algn="ctr"/>
          <a:endParaRPr lang="en-AU"/>
        </a:p>
      </dgm:t>
    </dgm:pt>
    <dgm:pt modelId="{68E257CA-CB0C-4914-B6C3-9DEA63288364}">
      <dgm:prSet phldrT="[Text]"/>
      <dgm:spPr>
        <a:solidFill>
          <a:schemeClr val="accent2"/>
        </a:solidFill>
      </dgm:spPr>
      <dgm:t>
        <a:bodyPr/>
        <a:lstStyle/>
        <a:p>
          <a:pPr algn="ctr"/>
          <a:r>
            <a:rPr lang="en-AU"/>
            <a:t>Regulatory Measures - $0.0m</a:t>
          </a:r>
        </a:p>
      </dgm:t>
    </dgm:pt>
    <dgm:pt modelId="{85BF5E8E-AA9D-4851-A506-1FC25C94AB54}" type="parTrans" cxnId="{8A0175A5-56F5-4B33-8A94-1F1792DF9CF1}">
      <dgm:prSet/>
      <dgm:spPr/>
      <dgm:t>
        <a:bodyPr/>
        <a:lstStyle/>
        <a:p>
          <a:pPr algn="ctr"/>
          <a:endParaRPr lang="en-AU"/>
        </a:p>
      </dgm:t>
    </dgm:pt>
    <dgm:pt modelId="{B98F5D12-7AA0-436C-B71C-073581D20F01}" type="sibTrans" cxnId="{8A0175A5-56F5-4B33-8A94-1F1792DF9CF1}">
      <dgm:prSet/>
      <dgm:spPr>
        <a:solidFill>
          <a:schemeClr val="accent3"/>
        </a:solidFill>
      </dgm:spPr>
      <dgm:t>
        <a:bodyPr/>
        <a:lstStyle/>
        <a:p>
          <a:pPr algn="ctr"/>
          <a:endParaRPr lang="en-AU"/>
        </a:p>
      </dgm:t>
    </dgm:pt>
    <dgm:pt modelId="{A1BE022F-9711-48A1-BDF0-AF4DE2487B54}">
      <dgm:prSet phldrT="[Text]"/>
      <dgm:spPr>
        <a:solidFill>
          <a:schemeClr val="accent5"/>
        </a:solidFill>
      </dgm:spPr>
      <dgm:t>
        <a:bodyPr/>
        <a:lstStyle/>
        <a:p>
          <a:pPr algn="ctr"/>
          <a:r>
            <a:rPr lang="en-AU"/>
            <a:t>Net Reduction in Regulation - $7.0m</a:t>
          </a:r>
        </a:p>
      </dgm:t>
    </dgm:pt>
    <dgm:pt modelId="{C6D65E7D-5296-4B19-9221-CA2EE97A43F7}" type="parTrans" cxnId="{518C4F9E-6C22-40CF-A5CA-26F71C5FD3A7}">
      <dgm:prSet/>
      <dgm:spPr/>
      <dgm:t>
        <a:bodyPr/>
        <a:lstStyle/>
        <a:p>
          <a:pPr algn="ctr"/>
          <a:endParaRPr lang="en-AU"/>
        </a:p>
      </dgm:t>
    </dgm:pt>
    <dgm:pt modelId="{670851E7-0BBD-4879-BA5A-16575A419E90}" type="sibTrans" cxnId="{518C4F9E-6C22-40CF-A5CA-26F71C5FD3A7}">
      <dgm:prSet/>
      <dgm:spPr/>
      <dgm:t>
        <a:bodyPr/>
        <a:lstStyle/>
        <a:p>
          <a:pPr algn="ctr"/>
          <a:endParaRPr lang="en-AU"/>
        </a:p>
      </dgm:t>
    </dgm:pt>
    <dgm:pt modelId="{12B0D12E-E0D9-4DC1-9F3C-C64018D5168B}" type="pres">
      <dgm:prSet presAssocID="{AD5F9C6B-1AF9-4CC5-B82F-5F83E34566E7}" presName="linearFlow" presStyleCnt="0">
        <dgm:presLayoutVars>
          <dgm:dir/>
          <dgm:resizeHandles val="exact"/>
        </dgm:presLayoutVars>
      </dgm:prSet>
      <dgm:spPr/>
      <dgm:t>
        <a:bodyPr/>
        <a:lstStyle/>
        <a:p>
          <a:endParaRPr lang="en-AU"/>
        </a:p>
      </dgm:t>
    </dgm:pt>
    <dgm:pt modelId="{F729E543-7E0A-4AD0-A791-F1884ACBBF9B}" type="pres">
      <dgm:prSet presAssocID="{DA89E882-1737-49FC-A944-674DC7D74D88}" presName="node" presStyleLbl="node1" presStyleIdx="0" presStyleCnt="3" custLinFactNeighborX="-928" custLinFactNeighborY="641">
        <dgm:presLayoutVars>
          <dgm:bulletEnabled val="1"/>
        </dgm:presLayoutVars>
      </dgm:prSet>
      <dgm:spPr/>
      <dgm:t>
        <a:bodyPr/>
        <a:lstStyle/>
        <a:p>
          <a:endParaRPr lang="en-AU"/>
        </a:p>
      </dgm:t>
    </dgm:pt>
    <dgm:pt modelId="{2EA3B017-D747-4692-BF30-15C955640136}" type="pres">
      <dgm:prSet presAssocID="{E37AB2ED-98A0-46D3-AE22-81E25022E47B}" presName="spacerL" presStyleCnt="0"/>
      <dgm:spPr/>
    </dgm:pt>
    <dgm:pt modelId="{15D0842D-5B91-4366-844C-DC836E9BFA8C}" type="pres">
      <dgm:prSet presAssocID="{E37AB2ED-98A0-46D3-AE22-81E25022E47B}" presName="sibTrans" presStyleLbl="sibTrans2D1" presStyleIdx="0" presStyleCnt="2"/>
      <dgm:spPr>
        <a:prstGeom prst="mathMinus">
          <a:avLst/>
        </a:prstGeom>
      </dgm:spPr>
      <dgm:t>
        <a:bodyPr/>
        <a:lstStyle/>
        <a:p>
          <a:endParaRPr lang="en-AU"/>
        </a:p>
      </dgm:t>
    </dgm:pt>
    <dgm:pt modelId="{53D9E2C3-7E90-43B2-9087-33142A6F81DF}" type="pres">
      <dgm:prSet presAssocID="{E37AB2ED-98A0-46D3-AE22-81E25022E47B}" presName="spacerR" presStyleCnt="0"/>
      <dgm:spPr/>
    </dgm:pt>
    <dgm:pt modelId="{9661FE93-8A18-4A2D-9A72-5101BF0F0E0E}" type="pres">
      <dgm:prSet presAssocID="{68E257CA-CB0C-4914-B6C3-9DEA63288364}" presName="node" presStyleLbl="node1" presStyleIdx="1" presStyleCnt="3">
        <dgm:presLayoutVars>
          <dgm:bulletEnabled val="1"/>
        </dgm:presLayoutVars>
      </dgm:prSet>
      <dgm:spPr/>
      <dgm:t>
        <a:bodyPr/>
        <a:lstStyle/>
        <a:p>
          <a:endParaRPr lang="en-AU"/>
        </a:p>
      </dgm:t>
    </dgm:pt>
    <dgm:pt modelId="{C7C062E6-0ADA-401B-8724-F5F67CE099F7}" type="pres">
      <dgm:prSet presAssocID="{B98F5D12-7AA0-436C-B71C-073581D20F01}" presName="spacerL" presStyleCnt="0"/>
      <dgm:spPr/>
    </dgm:pt>
    <dgm:pt modelId="{5B3C6B64-7E25-480E-868E-13136E5B634A}" type="pres">
      <dgm:prSet presAssocID="{B98F5D12-7AA0-436C-B71C-073581D20F01}" presName="sibTrans" presStyleLbl="sibTrans2D1" presStyleIdx="1" presStyleCnt="2"/>
      <dgm:spPr/>
      <dgm:t>
        <a:bodyPr/>
        <a:lstStyle/>
        <a:p>
          <a:endParaRPr lang="en-AU"/>
        </a:p>
      </dgm:t>
    </dgm:pt>
    <dgm:pt modelId="{06D121CF-D7A7-4B1E-B6EC-D89AF5EDD848}" type="pres">
      <dgm:prSet presAssocID="{B98F5D12-7AA0-436C-B71C-073581D20F01}" presName="spacerR" presStyleCnt="0"/>
      <dgm:spPr/>
    </dgm:pt>
    <dgm:pt modelId="{C86A5353-8479-45FF-BC44-A99B6EE185FB}" type="pres">
      <dgm:prSet presAssocID="{A1BE022F-9711-48A1-BDF0-AF4DE2487B54}" presName="node" presStyleLbl="node1" presStyleIdx="2" presStyleCnt="3">
        <dgm:presLayoutVars>
          <dgm:bulletEnabled val="1"/>
        </dgm:presLayoutVars>
      </dgm:prSet>
      <dgm:spPr/>
      <dgm:t>
        <a:bodyPr/>
        <a:lstStyle/>
        <a:p>
          <a:endParaRPr lang="en-AU"/>
        </a:p>
      </dgm:t>
    </dgm:pt>
  </dgm:ptLst>
  <dgm:cxnLst>
    <dgm:cxn modelId="{9AA7C58B-AB37-43B9-BE70-0DC2A043AD97}" type="presOf" srcId="{B98F5D12-7AA0-436C-B71C-073581D20F01}" destId="{5B3C6B64-7E25-480E-868E-13136E5B634A}" srcOrd="0" destOrd="0" presId="urn:microsoft.com/office/officeart/2005/8/layout/equation1"/>
    <dgm:cxn modelId="{1DD93E4C-0648-4F13-9D24-8270FA461D20}" type="presOf" srcId="{E37AB2ED-98A0-46D3-AE22-81E25022E47B}" destId="{15D0842D-5B91-4366-844C-DC836E9BFA8C}" srcOrd="0" destOrd="0" presId="urn:microsoft.com/office/officeart/2005/8/layout/equation1"/>
    <dgm:cxn modelId="{B990CB9C-85E6-42F3-BF3D-6E424A072530}" type="presOf" srcId="{DA89E882-1737-49FC-A944-674DC7D74D88}" destId="{F729E543-7E0A-4AD0-A791-F1884ACBBF9B}" srcOrd="0" destOrd="0" presId="urn:microsoft.com/office/officeart/2005/8/layout/equation1"/>
    <dgm:cxn modelId="{561AA8A1-2ED0-46BA-B5D2-1293DFE0AECB}" type="presOf" srcId="{68E257CA-CB0C-4914-B6C3-9DEA63288364}" destId="{9661FE93-8A18-4A2D-9A72-5101BF0F0E0E}" srcOrd="0" destOrd="0" presId="urn:microsoft.com/office/officeart/2005/8/layout/equation1"/>
    <dgm:cxn modelId="{CFA25138-6C84-4993-9AE7-4D506088B299}" type="presOf" srcId="{A1BE022F-9711-48A1-BDF0-AF4DE2487B54}" destId="{C86A5353-8479-45FF-BC44-A99B6EE185FB}" srcOrd="0" destOrd="0" presId="urn:microsoft.com/office/officeart/2005/8/layout/equation1"/>
    <dgm:cxn modelId="{518C4F9E-6C22-40CF-A5CA-26F71C5FD3A7}" srcId="{AD5F9C6B-1AF9-4CC5-B82F-5F83E34566E7}" destId="{A1BE022F-9711-48A1-BDF0-AF4DE2487B54}" srcOrd="2" destOrd="0" parTransId="{C6D65E7D-5296-4B19-9221-CA2EE97A43F7}" sibTransId="{670851E7-0BBD-4879-BA5A-16575A419E90}"/>
    <dgm:cxn modelId="{8A0175A5-56F5-4B33-8A94-1F1792DF9CF1}" srcId="{AD5F9C6B-1AF9-4CC5-B82F-5F83E34566E7}" destId="{68E257CA-CB0C-4914-B6C3-9DEA63288364}" srcOrd="1" destOrd="0" parTransId="{85BF5E8E-AA9D-4851-A506-1FC25C94AB54}" sibTransId="{B98F5D12-7AA0-436C-B71C-073581D20F01}"/>
    <dgm:cxn modelId="{3D4465BC-898D-48C0-A541-E17D2C7268FA}" type="presOf" srcId="{AD5F9C6B-1AF9-4CC5-B82F-5F83E34566E7}" destId="{12B0D12E-E0D9-4DC1-9F3C-C64018D5168B}" srcOrd="0" destOrd="0" presId="urn:microsoft.com/office/officeart/2005/8/layout/equation1"/>
    <dgm:cxn modelId="{9E99ED19-02A4-4C6C-9A14-654BFA87D1AD}" srcId="{AD5F9C6B-1AF9-4CC5-B82F-5F83E34566E7}" destId="{DA89E882-1737-49FC-A944-674DC7D74D88}" srcOrd="0" destOrd="0" parTransId="{16BC6BFC-12BA-41A3-B8CF-3749F8840FAB}" sibTransId="{E37AB2ED-98A0-46D3-AE22-81E25022E47B}"/>
    <dgm:cxn modelId="{FC15DFCD-D82C-4BB8-854C-DCB6ADD04C17}" type="presParOf" srcId="{12B0D12E-E0D9-4DC1-9F3C-C64018D5168B}" destId="{F729E543-7E0A-4AD0-A791-F1884ACBBF9B}" srcOrd="0" destOrd="0" presId="urn:microsoft.com/office/officeart/2005/8/layout/equation1"/>
    <dgm:cxn modelId="{A6AD5A36-0126-4FB9-9B24-D59385D21B96}" type="presParOf" srcId="{12B0D12E-E0D9-4DC1-9F3C-C64018D5168B}" destId="{2EA3B017-D747-4692-BF30-15C955640136}" srcOrd="1" destOrd="0" presId="urn:microsoft.com/office/officeart/2005/8/layout/equation1"/>
    <dgm:cxn modelId="{6818C405-B67F-49B9-8939-E908E09C298A}" type="presParOf" srcId="{12B0D12E-E0D9-4DC1-9F3C-C64018D5168B}" destId="{15D0842D-5B91-4366-844C-DC836E9BFA8C}" srcOrd="2" destOrd="0" presId="urn:microsoft.com/office/officeart/2005/8/layout/equation1"/>
    <dgm:cxn modelId="{BCA47678-3D51-433A-A7AA-F823BAF86554}" type="presParOf" srcId="{12B0D12E-E0D9-4DC1-9F3C-C64018D5168B}" destId="{53D9E2C3-7E90-43B2-9087-33142A6F81DF}" srcOrd="3" destOrd="0" presId="urn:microsoft.com/office/officeart/2005/8/layout/equation1"/>
    <dgm:cxn modelId="{1B673741-0E7A-4C53-B4F6-880E6C2B40AB}" type="presParOf" srcId="{12B0D12E-E0D9-4DC1-9F3C-C64018D5168B}" destId="{9661FE93-8A18-4A2D-9A72-5101BF0F0E0E}" srcOrd="4" destOrd="0" presId="urn:microsoft.com/office/officeart/2005/8/layout/equation1"/>
    <dgm:cxn modelId="{DD1ABA89-1448-4113-B24E-5A45CE159080}" type="presParOf" srcId="{12B0D12E-E0D9-4DC1-9F3C-C64018D5168B}" destId="{C7C062E6-0ADA-401B-8724-F5F67CE099F7}" srcOrd="5" destOrd="0" presId="urn:microsoft.com/office/officeart/2005/8/layout/equation1"/>
    <dgm:cxn modelId="{3BC341C2-19CB-40D1-B74B-D6DF9FF85543}" type="presParOf" srcId="{12B0D12E-E0D9-4DC1-9F3C-C64018D5168B}" destId="{5B3C6B64-7E25-480E-868E-13136E5B634A}" srcOrd="6" destOrd="0" presId="urn:microsoft.com/office/officeart/2005/8/layout/equation1"/>
    <dgm:cxn modelId="{81840720-9C83-422A-9106-91E7A83BF2F1}" type="presParOf" srcId="{12B0D12E-E0D9-4DC1-9F3C-C64018D5168B}" destId="{06D121CF-D7A7-4B1E-B6EC-D89AF5EDD848}" srcOrd="7" destOrd="0" presId="urn:microsoft.com/office/officeart/2005/8/layout/equation1"/>
    <dgm:cxn modelId="{AB099DF1-63C6-4E45-A761-372B2A287415}" type="presParOf" srcId="{12B0D12E-E0D9-4DC1-9F3C-C64018D5168B}" destId="{C86A5353-8479-45FF-BC44-A99B6EE185FB}" srcOrd="8" destOrd="0" presId="urn:microsoft.com/office/officeart/2005/8/layout/equati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29E543-7E0A-4AD0-A791-F1884ACBBF9B}">
      <dsp:nvSpPr>
        <dsp:cNvPr id="0" name=""/>
        <dsp:cNvSpPr/>
      </dsp:nvSpPr>
      <dsp:spPr>
        <a:xfrm>
          <a:off x="0" y="271708"/>
          <a:ext cx="908064" cy="908064"/>
        </a:xfrm>
        <a:prstGeom prst="ellipse">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Deregulatory Measures - $7.0m</a:t>
          </a:r>
        </a:p>
      </dsp:txBody>
      <dsp:txXfrm>
        <a:off x="132983" y="404691"/>
        <a:ext cx="642098" cy="642098"/>
      </dsp:txXfrm>
    </dsp:sp>
    <dsp:sp modelId="{15D0842D-5B91-4366-844C-DC836E9BFA8C}">
      <dsp:nvSpPr>
        <dsp:cNvPr id="0" name=""/>
        <dsp:cNvSpPr/>
      </dsp:nvSpPr>
      <dsp:spPr>
        <a:xfrm>
          <a:off x="982483" y="456580"/>
          <a:ext cx="526677" cy="526677"/>
        </a:xfrm>
        <a:prstGeom prst="mathMinus">
          <a:avLst/>
        </a:prstGeom>
        <a:solidFill>
          <a:schemeClr val="accent4"/>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p>
      </dsp:txBody>
      <dsp:txXfrm>
        <a:off x="1052294" y="657981"/>
        <a:ext cx="387055" cy="123875"/>
      </dsp:txXfrm>
    </dsp:sp>
    <dsp:sp modelId="{9661FE93-8A18-4A2D-9A72-5101BF0F0E0E}">
      <dsp:nvSpPr>
        <dsp:cNvPr id="0" name=""/>
        <dsp:cNvSpPr/>
      </dsp:nvSpPr>
      <dsp:spPr>
        <a:xfrm>
          <a:off x="1582895" y="265887"/>
          <a:ext cx="908064" cy="908064"/>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Regulatory Measures - $0.0m</a:t>
          </a:r>
        </a:p>
      </dsp:txBody>
      <dsp:txXfrm>
        <a:off x="1715878" y="398870"/>
        <a:ext cx="642098" cy="642098"/>
      </dsp:txXfrm>
    </dsp:sp>
    <dsp:sp modelId="{5B3C6B64-7E25-480E-868E-13136E5B634A}">
      <dsp:nvSpPr>
        <dsp:cNvPr id="0" name=""/>
        <dsp:cNvSpPr/>
      </dsp:nvSpPr>
      <dsp:spPr>
        <a:xfrm>
          <a:off x="2564694" y="456580"/>
          <a:ext cx="526677" cy="526677"/>
        </a:xfrm>
        <a:prstGeom prst="mathEqual">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p>
      </dsp:txBody>
      <dsp:txXfrm>
        <a:off x="2634505" y="565075"/>
        <a:ext cx="387055" cy="309687"/>
      </dsp:txXfrm>
    </dsp:sp>
    <dsp:sp modelId="{C86A5353-8479-45FF-BC44-A99B6EE185FB}">
      <dsp:nvSpPr>
        <dsp:cNvPr id="0" name=""/>
        <dsp:cNvSpPr/>
      </dsp:nvSpPr>
      <dsp:spPr>
        <a:xfrm>
          <a:off x="3165106" y="265887"/>
          <a:ext cx="908064" cy="908064"/>
        </a:xfrm>
        <a:prstGeom prst="ellipse">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Net Reduction in Regulation - $7.0m</a:t>
          </a:r>
        </a:p>
      </dsp:txBody>
      <dsp:txXfrm>
        <a:off x="3298089" y="398870"/>
        <a:ext cx="642098" cy="642098"/>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regulation colours">
      <a:dk1>
        <a:sysClr val="windowText" lastClr="000000"/>
      </a:dk1>
      <a:lt1>
        <a:sysClr val="window" lastClr="FFFFFF"/>
      </a:lt1>
      <a:dk2>
        <a:srgbClr val="E11E25"/>
      </a:dk2>
      <a:lt2>
        <a:srgbClr val="D8D2C5"/>
      </a:lt2>
      <a:accent1>
        <a:srgbClr val="3F4444"/>
      </a:accent1>
      <a:accent2>
        <a:srgbClr val="BB9D67"/>
      </a:accent2>
      <a:accent3>
        <a:srgbClr val="BEBB98"/>
      </a:accent3>
      <a:accent4>
        <a:srgbClr val="707372"/>
      </a:accent4>
      <a:accent5>
        <a:srgbClr val="E11E25"/>
      </a:accent5>
      <a:accent6>
        <a:srgbClr val="BB9D67"/>
      </a:accent6>
      <a:hlink>
        <a:srgbClr val="3F4444"/>
      </a:hlink>
      <a:folHlink>
        <a:srgbClr val="BEBB9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55AC9-F060-496E-9D4B-C4FC8C14942B}"/>
</file>

<file path=customXml/itemProps2.xml><?xml version="1.0" encoding="utf-8"?>
<ds:datastoreItem xmlns:ds="http://schemas.openxmlformats.org/officeDocument/2006/customXml" ds:itemID="{4A0D476D-099B-4B75-AA76-CD21FDAAE0C9}"/>
</file>

<file path=customXml/itemProps3.xml><?xml version="1.0" encoding="utf-8"?>
<ds:datastoreItem xmlns:ds="http://schemas.openxmlformats.org/officeDocument/2006/customXml" ds:itemID="{09F6E058-E070-4E15-9612-0001BE8646ED}"/>
</file>

<file path=customXml/itemProps4.xml><?xml version="1.0" encoding="utf-8"?>
<ds:datastoreItem xmlns:ds="http://schemas.openxmlformats.org/officeDocument/2006/customXml" ds:itemID="{E4D1E9A6-B6DA-4205-AAC9-581DB7800306}"/>
</file>

<file path=docProps/app.xml><?xml version="1.0" encoding="utf-8"?>
<Properties xmlns="http://schemas.openxmlformats.org/officeDocument/2006/extended-properties" xmlns:vt="http://schemas.openxmlformats.org/officeDocument/2006/docPropsVTypes">
  <Template>57DE503E.dotm</Template>
  <TotalTime>0</TotalTime>
  <Pages>11</Pages>
  <Words>2427</Words>
  <Characters>14616</Characters>
  <Application>Microsoft Office Word</Application>
  <DocSecurity>0</DocSecurity>
  <Lines>442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2015-06-04T05:24:00Z</dcterms:created>
  <dcterms:modified xsi:type="dcterms:W3CDTF">2015-06-04T05:24:00Z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944800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