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77427" w14:textId="50665370" w:rsidR="0055559A" w:rsidRPr="0055559A" w:rsidRDefault="0055559A" w:rsidP="00C7412C">
      <w:pPr>
        <w:pStyle w:val="Heading1"/>
        <w:spacing w:before="0" w:after="200" w:line="276" w:lineRule="auto"/>
        <w:jc w:val="both"/>
        <w:rPr>
          <w:sz w:val="28"/>
          <w:szCs w:val="28"/>
        </w:rPr>
      </w:pPr>
      <w:bookmarkStart w:id="0" w:name="_GoBack"/>
      <w:bookmarkEnd w:id="0"/>
      <w:r w:rsidRPr="0055559A">
        <w:rPr>
          <w:b/>
          <w:caps/>
          <w:sz w:val="28"/>
          <w:szCs w:val="28"/>
          <w:lang w:val="en-AU"/>
        </w:rPr>
        <w:t xml:space="preserve">chapter summary: development </w:t>
      </w:r>
      <w:r w:rsidRPr="0055559A">
        <w:rPr>
          <w:sz w:val="28"/>
          <w:szCs w:val="28"/>
        </w:rPr>
        <w:t xml:space="preserve"> </w:t>
      </w:r>
    </w:p>
    <w:p w14:paraId="5DCFE4B1" w14:textId="745E8580" w:rsidR="0055559A" w:rsidRPr="0055559A" w:rsidRDefault="0055559A" w:rsidP="00C7412C">
      <w:pPr>
        <w:spacing w:after="200" w:line="276" w:lineRule="auto"/>
        <w:jc w:val="both"/>
        <w:rPr>
          <w:sz w:val="22"/>
        </w:rPr>
      </w:pPr>
      <w:r w:rsidRPr="0055559A">
        <w:rPr>
          <w:sz w:val="22"/>
        </w:rPr>
        <w:t>The Development Chapter affirms TPP Parties’ commitment to promoting open trade and investment, as well as the contribution trade and investment makes to economic development and prosperity.</w:t>
      </w:r>
    </w:p>
    <w:p w14:paraId="0B85430E" w14:textId="49468A2F" w:rsidR="0055559A" w:rsidRPr="0055559A" w:rsidRDefault="0055559A" w:rsidP="00C7412C">
      <w:pPr>
        <w:spacing w:after="200" w:line="276" w:lineRule="auto"/>
        <w:jc w:val="both"/>
        <w:rPr>
          <w:sz w:val="22"/>
        </w:rPr>
      </w:pPr>
      <w:r w:rsidRPr="0055559A">
        <w:rPr>
          <w:sz w:val="22"/>
        </w:rPr>
        <w:t xml:space="preserve">The Chapter </w:t>
      </w:r>
      <w:proofErr w:type="spellStart"/>
      <w:r w:rsidRPr="0055559A">
        <w:rPr>
          <w:sz w:val="22"/>
        </w:rPr>
        <w:t>emphasises</w:t>
      </w:r>
      <w:proofErr w:type="spellEnd"/>
      <w:r w:rsidRPr="0055559A">
        <w:rPr>
          <w:sz w:val="22"/>
        </w:rPr>
        <w:t xml:space="preserve"> that </w:t>
      </w:r>
      <w:r w:rsidR="00C7401B">
        <w:rPr>
          <w:sz w:val="22"/>
        </w:rPr>
        <w:t xml:space="preserve">TPP </w:t>
      </w:r>
      <w:r w:rsidRPr="0055559A">
        <w:rPr>
          <w:sz w:val="22"/>
        </w:rPr>
        <w:t xml:space="preserve">Parties, which are at different stages of economic development, shall pursue national policies that </w:t>
      </w:r>
      <w:proofErr w:type="spellStart"/>
      <w:r w:rsidRPr="0055559A">
        <w:rPr>
          <w:sz w:val="22"/>
        </w:rPr>
        <w:t>maximise</w:t>
      </w:r>
      <w:proofErr w:type="spellEnd"/>
      <w:r w:rsidRPr="0055559A">
        <w:rPr>
          <w:sz w:val="22"/>
        </w:rPr>
        <w:t xml:space="preserve"> the opportunities </w:t>
      </w:r>
      <w:r w:rsidR="00F135F4">
        <w:rPr>
          <w:sz w:val="22"/>
        </w:rPr>
        <w:t xml:space="preserve">afforded by </w:t>
      </w:r>
      <w:r w:rsidRPr="0055559A">
        <w:rPr>
          <w:sz w:val="22"/>
        </w:rPr>
        <w:t xml:space="preserve">the TPP. </w:t>
      </w:r>
    </w:p>
    <w:p w14:paraId="1EFCB649" w14:textId="2A6960F2" w:rsidR="0055559A" w:rsidRPr="008C3C18" w:rsidRDefault="0055559A" w:rsidP="00C7412C">
      <w:pPr>
        <w:pStyle w:val="Heading1"/>
        <w:spacing w:before="0" w:after="200" w:line="276" w:lineRule="auto"/>
        <w:jc w:val="both"/>
        <w:rPr>
          <w:sz w:val="24"/>
          <w:szCs w:val="24"/>
        </w:rPr>
      </w:pPr>
      <w:r w:rsidRPr="008C3C18">
        <w:rPr>
          <w:b/>
          <w:caps/>
          <w:sz w:val="24"/>
          <w:szCs w:val="24"/>
          <w:lang w:val="en-AU"/>
        </w:rPr>
        <w:t xml:space="preserve">more information on the chapter  </w:t>
      </w:r>
      <w:r w:rsidRPr="008C3C18">
        <w:rPr>
          <w:sz w:val="24"/>
          <w:szCs w:val="24"/>
        </w:rPr>
        <w:t xml:space="preserve"> </w:t>
      </w:r>
    </w:p>
    <w:p w14:paraId="0C816163" w14:textId="1F336135" w:rsidR="0055559A" w:rsidRPr="0055559A" w:rsidRDefault="0055559A" w:rsidP="00C7412C">
      <w:pPr>
        <w:pStyle w:val="Heading2"/>
        <w:spacing w:before="0" w:after="200" w:line="276" w:lineRule="auto"/>
        <w:jc w:val="both"/>
        <w:rPr>
          <w:b w:val="0"/>
          <w:color w:val="auto"/>
          <w:sz w:val="22"/>
          <w:szCs w:val="22"/>
        </w:rPr>
      </w:pPr>
      <w:r w:rsidRPr="0055559A">
        <w:rPr>
          <w:b w:val="0"/>
          <w:color w:val="auto"/>
          <w:sz w:val="22"/>
          <w:szCs w:val="22"/>
        </w:rPr>
        <w:t xml:space="preserve">The Chapter </w:t>
      </w:r>
      <w:proofErr w:type="spellStart"/>
      <w:r w:rsidRPr="0055559A">
        <w:rPr>
          <w:b w:val="0"/>
          <w:color w:val="auto"/>
          <w:sz w:val="22"/>
          <w:szCs w:val="22"/>
        </w:rPr>
        <w:t>recognises</w:t>
      </w:r>
      <w:proofErr w:type="spellEnd"/>
      <w:r w:rsidRPr="0055559A">
        <w:rPr>
          <w:b w:val="0"/>
          <w:color w:val="auto"/>
          <w:sz w:val="22"/>
          <w:szCs w:val="22"/>
        </w:rPr>
        <w:t xml:space="preserve"> that broad-based economic growth require</w:t>
      </w:r>
      <w:r w:rsidR="00F135F4">
        <w:rPr>
          <w:b w:val="0"/>
          <w:color w:val="auto"/>
          <w:sz w:val="22"/>
          <w:szCs w:val="22"/>
        </w:rPr>
        <w:t>s</w:t>
      </w:r>
      <w:r w:rsidRPr="0055559A">
        <w:rPr>
          <w:b w:val="0"/>
          <w:color w:val="auto"/>
          <w:sz w:val="22"/>
          <w:szCs w:val="22"/>
        </w:rPr>
        <w:t xml:space="preserve"> the effective and efficient administration of public institutions, investment in public infrastructure, welfare, health and education systems, and promotion of entrepreneurship and access to economic opportunity. </w:t>
      </w:r>
    </w:p>
    <w:p w14:paraId="5A81B8A7" w14:textId="516A1848" w:rsidR="0055559A" w:rsidRPr="0055559A" w:rsidRDefault="0055559A" w:rsidP="00C7412C">
      <w:pPr>
        <w:spacing w:after="200" w:line="276" w:lineRule="auto"/>
        <w:jc w:val="both"/>
        <w:rPr>
          <w:sz w:val="22"/>
        </w:rPr>
      </w:pPr>
      <w:r w:rsidRPr="0055559A">
        <w:rPr>
          <w:sz w:val="22"/>
        </w:rPr>
        <w:t xml:space="preserve">The Chapter encourages cooperative activities that enhance the ability of women to fully access, and benefit from, the trade and investment opportunities created by the TPP. These activities may include advice or training, and exchanging information on programs aimed at helping women build their skills and capacities.  </w:t>
      </w:r>
    </w:p>
    <w:p w14:paraId="3D95C685" w14:textId="1FA958A9" w:rsidR="0055559A" w:rsidRPr="0055559A" w:rsidRDefault="0055559A" w:rsidP="00C7412C">
      <w:pPr>
        <w:spacing w:after="200" w:line="276" w:lineRule="auto"/>
        <w:jc w:val="both"/>
        <w:rPr>
          <w:sz w:val="22"/>
        </w:rPr>
      </w:pPr>
      <w:r w:rsidRPr="0055559A">
        <w:rPr>
          <w:sz w:val="22"/>
        </w:rPr>
        <w:t xml:space="preserve">The Chapter highlights the important that role education, science and technology, research and innovation can play in accelerating growth, enhancing competitiveness, creating jobs and expanding trade and investment. TPP Parties are encouraged to develop policies in these areas that take into account trade and investment opportunities arising from </w:t>
      </w:r>
      <w:r w:rsidR="00F135F4">
        <w:rPr>
          <w:sz w:val="22"/>
        </w:rPr>
        <w:t>the TPP</w:t>
      </w:r>
      <w:r w:rsidRPr="0055559A">
        <w:rPr>
          <w:sz w:val="22"/>
        </w:rPr>
        <w:t>.</w:t>
      </w:r>
    </w:p>
    <w:p w14:paraId="35EDACB7" w14:textId="77777777" w:rsidR="0055559A" w:rsidRPr="0055559A" w:rsidRDefault="0055559A" w:rsidP="00C7412C">
      <w:pPr>
        <w:spacing w:after="200" w:line="276" w:lineRule="auto"/>
        <w:jc w:val="both"/>
        <w:rPr>
          <w:sz w:val="22"/>
        </w:rPr>
      </w:pPr>
      <w:r w:rsidRPr="0055559A">
        <w:rPr>
          <w:sz w:val="22"/>
        </w:rPr>
        <w:t>The Chapter contains provisions encouraging joint development activities between two or more TPP Parties, and also private and multilateral institutions where appropriate. Possible joint activities include:</w:t>
      </w:r>
    </w:p>
    <w:p w14:paraId="7A07BE7F" w14:textId="322FF75E" w:rsidR="0055559A" w:rsidRPr="0055559A" w:rsidRDefault="00F135F4" w:rsidP="00C7412C">
      <w:pPr>
        <w:pStyle w:val="ListParagraph"/>
        <w:numPr>
          <w:ilvl w:val="0"/>
          <w:numId w:val="6"/>
        </w:numPr>
        <w:tabs>
          <w:tab w:val="left" w:pos="714"/>
        </w:tabs>
        <w:spacing w:after="200" w:line="276" w:lineRule="auto"/>
        <w:ind w:left="568" w:hanging="284"/>
        <w:contextualSpacing w:val="0"/>
        <w:jc w:val="both"/>
        <w:rPr>
          <w:sz w:val="22"/>
        </w:rPr>
      </w:pPr>
      <w:r>
        <w:rPr>
          <w:sz w:val="22"/>
        </w:rPr>
        <w:t>p</w:t>
      </w:r>
      <w:r w:rsidRPr="0055559A">
        <w:rPr>
          <w:sz w:val="22"/>
        </w:rPr>
        <w:t>romotion</w:t>
      </w:r>
      <w:r w:rsidR="0055559A" w:rsidRPr="0055559A">
        <w:rPr>
          <w:sz w:val="22"/>
        </w:rPr>
        <w:t xml:space="preserve">, where appropriate, of aligning a </w:t>
      </w:r>
      <w:r w:rsidR="00C7401B">
        <w:rPr>
          <w:sz w:val="22"/>
        </w:rPr>
        <w:t xml:space="preserve">TPP </w:t>
      </w:r>
      <w:r w:rsidR="0055559A" w:rsidRPr="0055559A">
        <w:rPr>
          <w:sz w:val="22"/>
        </w:rPr>
        <w:t>Parties’ development assistance and finance programs with national development priorities;</w:t>
      </w:r>
    </w:p>
    <w:p w14:paraId="7D8990E8" w14:textId="29DE5F82" w:rsidR="0055559A" w:rsidRPr="0055559A" w:rsidRDefault="00F135F4" w:rsidP="00C7412C">
      <w:pPr>
        <w:pStyle w:val="ListParagraph"/>
        <w:numPr>
          <w:ilvl w:val="0"/>
          <w:numId w:val="6"/>
        </w:numPr>
        <w:tabs>
          <w:tab w:val="left" w:pos="714"/>
        </w:tabs>
        <w:spacing w:after="200" w:line="276" w:lineRule="auto"/>
        <w:ind w:left="568" w:hanging="284"/>
        <w:contextualSpacing w:val="0"/>
        <w:jc w:val="both"/>
        <w:rPr>
          <w:sz w:val="22"/>
        </w:rPr>
      </w:pPr>
      <w:r>
        <w:rPr>
          <w:sz w:val="22"/>
        </w:rPr>
        <w:t>f</w:t>
      </w:r>
      <w:r w:rsidRPr="0055559A">
        <w:rPr>
          <w:sz w:val="22"/>
        </w:rPr>
        <w:t xml:space="preserve">acilitation </w:t>
      </w:r>
      <w:r w:rsidR="0055559A" w:rsidRPr="0055559A">
        <w:rPr>
          <w:sz w:val="22"/>
        </w:rPr>
        <w:t>of public and private sector partnerships; and</w:t>
      </w:r>
    </w:p>
    <w:p w14:paraId="1F5473B8" w14:textId="5302CF39" w:rsidR="0055559A" w:rsidRPr="0055559A" w:rsidRDefault="00F135F4" w:rsidP="00C7412C">
      <w:pPr>
        <w:pStyle w:val="ListParagraph"/>
        <w:numPr>
          <w:ilvl w:val="0"/>
          <w:numId w:val="6"/>
        </w:numPr>
        <w:tabs>
          <w:tab w:val="left" w:pos="714"/>
        </w:tabs>
        <w:spacing w:after="200" w:line="276" w:lineRule="auto"/>
        <w:ind w:left="568" w:hanging="284"/>
        <w:contextualSpacing w:val="0"/>
        <w:jc w:val="both"/>
        <w:rPr>
          <w:sz w:val="22"/>
        </w:rPr>
      </w:pPr>
      <w:proofErr w:type="gramStart"/>
      <w:r>
        <w:rPr>
          <w:sz w:val="22"/>
        </w:rPr>
        <w:t>i</w:t>
      </w:r>
      <w:r w:rsidRPr="0055559A">
        <w:rPr>
          <w:sz w:val="22"/>
        </w:rPr>
        <w:t>nvolvement</w:t>
      </w:r>
      <w:proofErr w:type="gramEnd"/>
      <w:r w:rsidRPr="0055559A">
        <w:rPr>
          <w:sz w:val="22"/>
        </w:rPr>
        <w:t xml:space="preserve"> </w:t>
      </w:r>
      <w:r w:rsidR="0055559A" w:rsidRPr="0055559A">
        <w:rPr>
          <w:sz w:val="22"/>
        </w:rPr>
        <w:t xml:space="preserve">of private sector, philanthropic </w:t>
      </w:r>
      <w:proofErr w:type="spellStart"/>
      <w:r w:rsidR="0055559A" w:rsidRPr="0055559A">
        <w:rPr>
          <w:sz w:val="22"/>
        </w:rPr>
        <w:t>organisations</w:t>
      </w:r>
      <w:proofErr w:type="spellEnd"/>
      <w:r w:rsidR="0055559A" w:rsidRPr="0055559A">
        <w:rPr>
          <w:sz w:val="22"/>
        </w:rPr>
        <w:t xml:space="preserve"> and non-governmental </w:t>
      </w:r>
      <w:proofErr w:type="spellStart"/>
      <w:r w:rsidR="0055559A" w:rsidRPr="0055559A">
        <w:rPr>
          <w:sz w:val="22"/>
        </w:rPr>
        <w:t>organisations</w:t>
      </w:r>
      <w:proofErr w:type="spellEnd"/>
      <w:r w:rsidR="0055559A" w:rsidRPr="0055559A">
        <w:rPr>
          <w:sz w:val="22"/>
        </w:rPr>
        <w:t xml:space="preserve"> to support development.  </w:t>
      </w:r>
    </w:p>
    <w:p w14:paraId="05E80EE6" w14:textId="1F12460A" w:rsidR="0055559A" w:rsidRPr="0055559A" w:rsidRDefault="00F135F4" w:rsidP="00C7412C">
      <w:pPr>
        <w:spacing w:after="200" w:line="276" w:lineRule="auto"/>
        <w:jc w:val="both"/>
        <w:rPr>
          <w:sz w:val="22"/>
        </w:rPr>
      </w:pPr>
      <w:r>
        <w:rPr>
          <w:sz w:val="22"/>
        </w:rPr>
        <w:t>A</w:t>
      </w:r>
      <w:r w:rsidR="0055559A" w:rsidRPr="0055559A">
        <w:rPr>
          <w:sz w:val="22"/>
        </w:rPr>
        <w:t xml:space="preserve"> Development Committee </w:t>
      </w:r>
      <w:r>
        <w:rPr>
          <w:sz w:val="22"/>
        </w:rPr>
        <w:t xml:space="preserve">will be established, </w:t>
      </w:r>
      <w:r w:rsidR="0055559A" w:rsidRPr="0055559A">
        <w:rPr>
          <w:sz w:val="22"/>
        </w:rPr>
        <w:t xml:space="preserve">comprising government representatives of each TPP Party. </w:t>
      </w:r>
      <w:r>
        <w:rPr>
          <w:sz w:val="22"/>
        </w:rPr>
        <w:t>The Committee will</w:t>
      </w:r>
      <w:r w:rsidR="0055559A" w:rsidRPr="0055559A">
        <w:rPr>
          <w:sz w:val="22"/>
        </w:rPr>
        <w:t>:</w:t>
      </w:r>
    </w:p>
    <w:p w14:paraId="329031BF" w14:textId="0B26785B" w:rsidR="0055559A" w:rsidRPr="0055559A" w:rsidRDefault="00F135F4" w:rsidP="00C7412C">
      <w:pPr>
        <w:pStyle w:val="ListParagraph"/>
        <w:numPr>
          <w:ilvl w:val="0"/>
          <w:numId w:val="6"/>
        </w:numPr>
        <w:tabs>
          <w:tab w:val="left" w:pos="714"/>
        </w:tabs>
        <w:spacing w:after="200" w:line="276" w:lineRule="auto"/>
        <w:ind w:left="568" w:hanging="284"/>
        <w:contextualSpacing w:val="0"/>
        <w:jc w:val="both"/>
        <w:rPr>
          <w:sz w:val="22"/>
        </w:rPr>
      </w:pPr>
      <w:r>
        <w:rPr>
          <w:sz w:val="22"/>
        </w:rPr>
        <w:t>e</w:t>
      </w:r>
      <w:r w:rsidRPr="0055559A">
        <w:rPr>
          <w:sz w:val="22"/>
        </w:rPr>
        <w:t>xchang</w:t>
      </w:r>
      <w:r>
        <w:rPr>
          <w:sz w:val="22"/>
        </w:rPr>
        <w:t>e</w:t>
      </w:r>
      <w:r w:rsidRPr="0055559A">
        <w:rPr>
          <w:sz w:val="22"/>
        </w:rPr>
        <w:t xml:space="preserve"> </w:t>
      </w:r>
      <w:r w:rsidR="0055559A" w:rsidRPr="0055559A">
        <w:rPr>
          <w:sz w:val="22"/>
        </w:rPr>
        <w:t xml:space="preserve">information on experiences regarding policies intended to derive the greatest possible benefits from the </w:t>
      </w:r>
      <w:r w:rsidR="00C7401B">
        <w:rPr>
          <w:sz w:val="22"/>
        </w:rPr>
        <w:t>TPP</w:t>
      </w:r>
      <w:r w:rsidR="0055559A" w:rsidRPr="0055559A">
        <w:rPr>
          <w:sz w:val="22"/>
        </w:rPr>
        <w:t>;</w:t>
      </w:r>
    </w:p>
    <w:p w14:paraId="55F62275" w14:textId="27EC5FAE" w:rsidR="0055559A" w:rsidRPr="0055559A" w:rsidRDefault="00F135F4" w:rsidP="00C7412C">
      <w:pPr>
        <w:pStyle w:val="ListParagraph"/>
        <w:numPr>
          <w:ilvl w:val="0"/>
          <w:numId w:val="6"/>
        </w:numPr>
        <w:tabs>
          <w:tab w:val="left" w:pos="714"/>
        </w:tabs>
        <w:spacing w:after="200" w:line="276" w:lineRule="auto"/>
        <w:ind w:left="568" w:hanging="284"/>
        <w:contextualSpacing w:val="0"/>
        <w:jc w:val="both"/>
        <w:rPr>
          <w:sz w:val="22"/>
        </w:rPr>
      </w:pPr>
      <w:r>
        <w:rPr>
          <w:sz w:val="22"/>
        </w:rPr>
        <w:t>s</w:t>
      </w:r>
      <w:r w:rsidRPr="0055559A">
        <w:rPr>
          <w:sz w:val="22"/>
        </w:rPr>
        <w:t>har</w:t>
      </w:r>
      <w:r>
        <w:rPr>
          <w:sz w:val="22"/>
        </w:rPr>
        <w:t>e</w:t>
      </w:r>
      <w:r w:rsidRPr="0055559A">
        <w:rPr>
          <w:sz w:val="22"/>
        </w:rPr>
        <w:t xml:space="preserve"> </w:t>
      </w:r>
      <w:r w:rsidR="0055559A" w:rsidRPr="0055559A">
        <w:rPr>
          <w:sz w:val="22"/>
        </w:rPr>
        <w:t>information in relation to joint development activities and discussing proposals of future joint development activities; and</w:t>
      </w:r>
    </w:p>
    <w:p w14:paraId="0F17FEF5" w14:textId="321F70E0" w:rsidR="0055559A" w:rsidRPr="0055559A" w:rsidRDefault="00F135F4" w:rsidP="00C7412C">
      <w:pPr>
        <w:pStyle w:val="ListParagraph"/>
        <w:numPr>
          <w:ilvl w:val="0"/>
          <w:numId w:val="6"/>
        </w:numPr>
        <w:tabs>
          <w:tab w:val="left" w:pos="714"/>
        </w:tabs>
        <w:spacing w:after="200" w:line="276" w:lineRule="auto"/>
        <w:ind w:left="568" w:hanging="284"/>
        <w:contextualSpacing w:val="0"/>
        <w:jc w:val="both"/>
        <w:rPr>
          <w:sz w:val="22"/>
        </w:rPr>
      </w:pPr>
      <w:proofErr w:type="gramStart"/>
      <w:r>
        <w:rPr>
          <w:sz w:val="22"/>
        </w:rPr>
        <w:lastRenderedPageBreak/>
        <w:t>i</w:t>
      </w:r>
      <w:r w:rsidRPr="0055559A">
        <w:rPr>
          <w:sz w:val="22"/>
        </w:rPr>
        <w:t>nvit</w:t>
      </w:r>
      <w:r>
        <w:rPr>
          <w:sz w:val="22"/>
        </w:rPr>
        <w:t>e</w:t>
      </w:r>
      <w:proofErr w:type="gramEnd"/>
      <w:r w:rsidRPr="0055559A">
        <w:rPr>
          <w:sz w:val="22"/>
        </w:rPr>
        <w:t xml:space="preserve"> </w:t>
      </w:r>
      <w:r w:rsidR="0055559A" w:rsidRPr="0055559A">
        <w:rPr>
          <w:sz w:val="22"/>
        </w:rPr>
        <w:t xml:space="preserve">international donor institutions, private sector entities and non-governmental </w:t>
      </w:r>
      <w:proofErr w:type="spellStart"/>
      <w:r w:rsidR="0055559A" w:rsidRPr="0055559A">
        <w:rPr>
          <w:sz w:val="22"/>
        </w:rPr>
        <w:t>organisations</w:t>
      </w:r>
      <w:proofErr w:type="spellEnd"/>
      <w:r w:rsidR="0055559A" w:rsidRPr="0055559A">
        <w:rPr>
          <w:sz w:val="22"/>
        </w:rPr>
        <w:t xml:space="preserve"> to assist in the development and implementation of joint development activities.</w:t>
      </w:r>
    </w:p>
    <w:p w14:paraId="5F59E03B" w14:textId="7BF705C9" w:rsidR="009E727B" w:rsidRPr="00F66622" w:rsidRDefault="0055559A" w:rsidP="00C7412C">
      <w:pPr>
        <w:spacing w:after="200" w:line="276" w:lineRule="auto"/>
        <w:jc w:val="both"/>
        <w:rPr>
          <w:sz w:val="22"/>
        </w:rPr>
      </w:pPr>
      <w:r w:rsidRPr="0055559A">
        <w:rPr>
          <w:sz w:val="22"/>
        </w:rPr>
        <w:t xml:space="preserve">The Development Chapter is not subject to the TPP </w:t>
      </w:r>
      <w:r w:rsidR="00C7412C">
        <w:rPr>
          <w:sz w:val="22"/>
        </w:rPr>
        <w:t>D</w:t>
      </w:r>
      <w:r w:rsidRPr="0055559A">
        <w:rPr>
          <w:sz w:val="22"/>
        </w:rPr>
        <w:t xml:space="preserve">ispute </w:t>
      </w:r>
      <w:r w:rsidR="00C7412C">
        <w:rPr>
          <w:sz w:val="22"/>
        </w:rPr>
        <w:t>S</w:t>
      </w:r>
      <w:r w:rsidRPr="0055559A">
        <w:rPr>
          <w:sz w:val="22"/>
        </w:rPr>
        <w:t xml:space="preserve">ettlement </w:t>
      </w:r>
      <w:r w:rsidR="00C7412C">
        <w:rPr>
          <w:sz w:val="22"/>
        </w:rPr>
        <w:t>Chapter</w:t>
      </w:r>
      <w:r w:rsidRPr="0055559A">
        <w:rPr>
          <w:sz w:val="22"/>
        </w:rPr>
        <w:t xml:space="preserve">. </w:t>
      </w:r>
    </w:p>
    <w:sectPr w:rsidR="009E727B" w:rsidRPr="00F66622" w:rsidSect="00032CE3">
      <w:headerReference w:type="even" r:id="rId9"/>
      <w:headerReference w:type="default" r:id="rId10"/>
      <w:footerReference w:type="even" r:id="rId11"/>
      <w:footerReference w:type="default" r:id="rId12"/>
      <w:headerReference w:type="first" r:id="rId13"/>
      <w:footerReference w:type="first" r:id="rId14"/>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491AE" w14:textId="77777777" w:rsidR="0009261C" w:rsidRDefault="0009261C" w:rsidP="00E8641D">
      <w:pPr>
        <w:spacing w:line="240" w:lineRule="auto"/>
      </w:pPr>
      <w:r>
        <w:separator/>
      </w:r>
    </w:p>
  </w:endnote>
  <w:endnote w:type="continuationSeparator" w:id="0">
    <w:p w14:paraId="2BBF974D" w14:textId="77777777" w:rsidR="0009261C" w:rsidRDefault="0009261C"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E3D41"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473BF" w14:textId="77777777" w:rsidR="0009261C" w:rsidRDefault="0009261C" w:rsidP="00401E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0A435"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7993">
      <w:rPr>
        <w:rStyle w:val="PageNumber"/>
        <w:noProof/>
      </w:rPr>
      <w:t>2</w:t>
    </w:r>
    <w:r>
      <w:rPr>
        <w:rStyle w:val="PageNumber"/>
      </w:rPr>
      <w:fldChar w:fldCharType="end"/>
    </w:r>
  </w:p>
  <w:p w14:paraId="05243470" w14:textId="4F381425"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8D7993">
      <w:rPr>
        <w:noProof/>
        <w:lang w:val="en-AU"/>
      </w:rPr>
      <w:t>12.11.2015</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1668" w14:textId="694EC5C1"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8D7993">
      <w:rPr>
        <w:noProof/>
        <w:lang w:val="en-AU"/>
      </w:rPr>
      <w:t>12.11.2015</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B4363" w14:textId="77777777" w:rsidR="0009261C" w:rsidRDefault="0009261C" w:rsidP="00E8641D">
      <w:pPr>
        <w:spacing w:line="240" w:lineRule="auto"/>
      </w:pPr>
      <w:r>
        <w:separator/>
      </w:r>
    </w:p>
  </w:footnote>
  <w:footnote w:type="continuationSeparator" w:id="0">
    <w:p w14:paraId="7C4004C9" w14:textId="77777777" w:rsidR="0009261C" w:rsidRDefault="0009261C" w:rsidP="00E864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2D5D9" w14:textId="77777777" w:rsidR="004C1D59" w:rsidRDefault="004C1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CF5DD" w14:textId="4EACE3E1" w:rsidR="0009261C" w:rsidRDefault="0009261C">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EAFCB" w14:textId="0CB042DD" w:rsidR="0009261C" w:rsidRDefault="0009261C">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1"/>
    <w:rsid w:val="00032CE3"/>
    <w:rsid w:val="0009261C"/>
    <w:rsid w:val="001C13A2"/>
    <w:rsid w:val="002E1149"/>
    <w:rsid w:val="00306851"/>
    <w:rsid w:val="00397DF5"/>
    <w:rsid w:val="00401E7C"/>
    <w:rsid w:val="00423641"/>
    <w:rsid w:val="004B2171"/>
    <w:rsid w:val="004C1D59"/>
    <w:rsid w:val="0055559A"/>
    <w:rsid w:val="00576FDA"/>
    <w:rsid w:val="005F2228"/>
    <w:rsid w:val="006F4F7E"/>
    <w:rsid w:val="00734E00"/>
    <w:rsid w:val="0079782B"/>
    <w:rsid w:val="007A6F6F"/>
    <w:rsid w:val="007C57D5"/>
    <w:rsid w:val="0089567B"/>
    <w:rsid w:val="008C3C18"/>
    <w:rsid w:val="008D7993"/>
    <w:rsid w:val="009606BB"/>
    <w:rsid w:val="009E727B"/>
    <w:rsid w:val="00AD4C0C"/>
    <w:rsid w:val="00B50F85"/>
    <w:rsid w:val="00B54C2A"/>
    <w:rsid w:val="00B95C02"/>
    <w:rsid w:val="00BB06F9"/>
    <w:rsid w:val="00C14483"/>
    <w:rsid w:val="00C7401B"/>
    <w:rsid w:val="00C7412C"/>
    <w:rsid w:val="00C81FC7"/>
    <w:rsid w:val="00C939D5"/>
    <w:rsid w:val="00DC5B75"/>
    <w:rsid w:val="00E8641D"/>
    <w:rsid w:val="00EC62D6"/>
    <w:rsid w:val="00EE7A01"/>
    <w:rsid w:val="00F135F4"/>
    <w:rsid w:val="00F14C62"/>
    <w:rsid w:val="00F202F2"/>
    <w:rsid w:val="00F66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D2E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locked/>
    <w:rsid w:val="0055559A"/>
    <w:rPr>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locked/>
    <w:rsid w:val="0055559A"/>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0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9A5D01-3855-4088-AF2E-E09129AD4041}"/>
</file>

<file path=customXml/itemProps2.xml><?xml version="1.0" encoding="utf-8"?>
<ds:datastoreItem xmlns:ds="http://schemas.openxmlformats.org/officeDocument/2006/customXml" ds:itemID="{5B4AA3C0-D234-47CD-ABEB-F3F5C796AAE4}"/>
</file>

<file path=customXml/itemProps3.xml><?xml version="1.0" encoding="utf-8"?>
<ds:datastoreItem xmlns:ds="http://schemas.openxmlformats.org/officeDocument/2006/customXml" ds:itemID="{95EEC58E-88EA-44A5-9495-7B40AA0D6C64}"/>
</file>

<file path=docProps/app.xml><?xml version="1.0" encoding="utf-8"?>
<Properties xmlns="http://schemas.openxmlformats.org/officeDocument/2006/extended-properties" xmlns:vt="http://schemas.openxmlformats.org/officeDocument/2006/docPropsVTypes">
  <Template>4A935FA7.dotm</Template>
  <TotalTime>0</TotalTime>
  <Pages>2</Pages>
  <Words>337</Words>
  <Characters>2212</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2015-11-12T03:48:00Z</dcterms:created>
  <dcterms:modified xsi:type="dcterms:W3CDTF">2015-11-12T03:48:00Z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Order">
    <vt:r8>3500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