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E77D0C" w:rsidRDefault="00B63639">
      <w:pPr>
        <w:pStyle w:val="Title"/>
        <w:tabs>
          <w:tab w:val="right" w:pos="7938"/>
        </w:tabs>
      </w:pPr>
      <w:r>
        <w:rPr>
          <w:noProof/>
          <w:spacing w:val="-200"/>
          <w:sz w:val="2"/>
          <w:szCs w:val="2"/>
          <w:lang w:val="en-US" w:eastAsia="en-US"/>
        </w:rPr>
        <w:drawing>
          <wp:anchor distT="0" distB="0" distL="114300" distR="114300" simplePos="0" relativeHeight="251654144" behindDoc="1" locked="0" layoutInCell="1" allowOverlap="1">
            <wp:simplePos x="0" y="0"/>
            <wp:positionH relativeFrom="page">
              <wp:posOffset>0</wp:posOffset>
            </wp:positionH>
            <wp:positionV relativeFrom="page">
              <wp:posOffset>0</wp:posOffset>
            </wp:positionV>
            <wp:extent cx="7560310" cy="3025140"/>
            <wp:effectExtent l="0" t="0" r="2540" b="3810"/>
            <wp:wrapNone/>
            <wp:docPr id="1182" name="Picture 1182" descr="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02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635">
        <w:t>Development Cooperation R</w:t>
      </w:r>
      <w:r w:rsidR="004B6157" w:rsidRPr="00E77D0C">
        <w:t>eport 20</w:t>
      </w:r>
      <w:r w:rsidR="00961811">
        <w:t>10</w:t>
      </w:r>
      <w:r w:rsidR="004B6157" w:rsidRPr="00E77D0C">
        <w:t>:</w:t>
      </w:r>
      <w:r w:rsidR="004B6157">
        <w:t xml:space="preserve"> </w:t>
      </w:r>
      <w:smartTag w:uri="urn:schemas-microsoft-com:office:smarttags" w:element="country-region">
        <w:smartTag w:uri="urn:schemas-microsoft-com:office:smarttags" w:element="place">
          <w:r w:rsidR="008318D0">
            <w:t>Afghanistan</w:t>
          </w:r>
        </w:smartTag>
      </w:smartTag>
    </w:p>
    <w:p w:rsidR="004B6157" w:rsidRPr="00BD1E79" w:rsidRDefault="0097787D">
      <w:pPr>
        <w:pStyle w:val="Date"/>
      </w:pPr>
      <w:r>
        <w:t>Ma</w:t>
      </w:r>
      <w:r w:rsidR="00EA5056">
        <w:t>y</w:t>
      </w:r>
      <w:r w:rsidR="008318D0">
        <w:t xml:space="preserve"> 2012</w:t>
      </w:r>
    </w:p>
    <w:p w:rsidR="00B9592D" w:rsidRDefault="00B9592D">
      <w:pPr>
        <w:pStyle w:val="TOCHeading"/>
      </w:pPr>
      <w:r>
        <w:t>Contents</w:t>
      </w:r>
    </w:p>
    <w:p w:rsidR="00B9592D" w:rsidRDefault="00B9592D">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974017" w:history="1">
        <w:r w:rsidRPr="00FB6BE7">
          <w:rPr>
            <w:rStyle w:val="Hyperlink"/>
            <w:noProof/>
          </w:rPr>
          <w:t>Context</w:t>
        </w:r>
        <w:r>
          <w:rPr>
            <w:noProof/>
            <w:webHidden/>
          </w:rPr>
          <w:tab/>
        </w:r>
        <w:r>
          <w:rPr>
            <w:rStyle w:val="Hyperlink"/>
            <w:noProof/>
            <w:rtl/>
          </w:rPr>
          <w:fldChar w:fldCharType="begin"/>
        </w:r>
        <w:r>
          <w:rPr>
            <w:noProof/>
            <w:webHidden/>
          </w:rPr>
          <w:instrText xml:space="preserve"> PAGEREF _Toc360974017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B9592D" w:rsidRDefault="00B9592D">
      <w:pPr>
        <w:pStyle w:val="TOC1"/>
        <w:rPr>
          <w:rFonts w:ascii="Calibri" w:hAnsi="Calibri" w:cs="Arial"/>
          <w:noProof/>
          <w:color w:val="auto"/>
          <w:sz w:val="22"/>
          <w:szCs w:val="22"/>
          <w:lang w:val="en-US" w:eastAsia="en-US"/>
        </w:rPr>
      </w:pPr>
      <w:hyperlink w:anchor="_Toc360974018" w:history="1">
        <w:r w:rsidRPr="00FB6BE7">
          <w:rPr>
            <w:rStyle w:val="Hyperlink"/>
            <w:noProof/>
          </w:rPr>
          <w:t>Program objectives</w:t>
        </w:r>
        <w:r>
          <w:rPr>
            <w:noProof/>
            <w:webHidden/>
          </w:rPr>
          <w:tab/>
        </w:r>
        <w:r>
          <w:rPr>
            <w:rStyle w:val="Hyperlink"/>
            <w:noProof/>
            <w:rtl/>
          </w:rPr>
          <w:fldChar w:fldCharType="begin"/>
        </w:r>
        <w:r>
          <w:rPr>
            <w:noProof/>
            <w:webHidden/>
          </w:rPr>
          <w:instrText xml:space="preserve"> PAGEREF _Toc360974018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B9592D" w:rsidRDefault="00B9592D">
      <w:pPr>
        <w:pStyle w:val="TOC1"/>
        <w:rPr>
          <w:rFonts w:ascii="Calibri" w:hAnsi="Calibri" w:cs="Arial"/>
          <w:noProof/>
          <w:color w:val="auto"/>
          <w:sz w:val="22"/>
          <w:szCs w:val="22"/>
          <w:lang w:val="en-US" w:eastAsia="en-US"/>
        </w:rPr>
      </w:pPr>
      <w:hyperlink w:anchor="_Toc360974019" w:history="1">
        <w:r w:rsidRPr="00FB6BE7">
          <w:rPr>
            <w:rStyle w:val="Hyperlink"/>
            <w:noProof/>
          </w:rPr>
          <w:t>Progress against objectives</w:t>
        </w:r>
        <w:r>
          <w:rPr>
            <w:noProof/>
            <w:webHidden/>
          </w:rPr>
          <w:tab/>
        </w:r>
        <w:r>
          <w:rPr>
            <w:rStyle w:val="Hyperlink"/>
            <w:noProof/>
            <w:rtl/>
          </w:rPr>
          <w:fldChar w:fldCharType="begin"/>
        </w:r>
        <w:r>
          <w:rPr>
            <w:noProof/>
            <w:webHidden/>
          </w:rPr>
          <w:instrText xml:space="preserve"> PAGEREF _Toc360974019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B9592D" w:rsidRDefault="00B9592D">
      <w:pPr>
        <w:pStyle w:val="TOC2"/>
        <w:rPr>
          <w:rFonts w:ascii="Calibri" w:hAnsi="Calibri" w:cs="Arial"/>
          <w:noProof/>
          <w:color w:val="auto"/>
          <w:sz w:val="22"/>
          <w:szCs w:val="22"/>
          <w:lang w:val="en-US" w:eastAsia="en-US"/>
        </w:rPr>
      </w:pPr>
      <w:hyperlink w:anchor="_Toc360974020" w:history="1">
        <w:r w:rsidRPr="00FB6BE7">
          <w:rPr>
            <w:rStyle w:val="Hyperlink"/>
            <w:noProof/>
          </w:rPr>
          <w:t>Objective Pillar 1: Enhancing basic service delivery in health and education</w:t>
        </w:r>
        <w:r>
          <w:rPr>
            <w:noProof/>
            <w:webHidden/>
          </w:rPr>
          <w:tab/>
        </w:r>
        <w:r>
          <w:rPr>
            <w:rStyle w:val="Hyperlink"/>
            <w:noProof/>
            <w:rtl/>
          </w:rPr>
          <w:fldChar w:fldCharType="begin"/>
        </w:r>
        <w:r>
          <w:rPr>
            <w:noProof/>
            <w:webHidden/>
          </w:rPr>
          <w:instrText xml:space="preserve"> PAGEREF _Toc360974020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B9592D" w:rsidRDefault="00B9592D">
      <w:pPr>
        <w:pStyle w:val="TOC2"/>
        <w:rPr>
          <w:rFonts w:ascii="Calibri" w:hAnsi="Calibri" w:cs="Arial"/>
          <w:noProof/>
          <w:color w:val="auto"/>
          <w:sz w:val="22"/>
          <w:szCs w:val="22"/>
          <w:lang w:val="en-US" w:eastAsia="en-US"/>
        </w:rPr>
      </w:pPr>
      <w:hyperlink w:anchor="_Toc360974021" w:history="1">
        <w:r w:rsidRPr="00FB6BE7">
          <w:rPr>
            <w:rStyle w:val="Hyperlink"/>
            <w:noProof/>
          </w:rPr>
          <w:t>Objective Pillar 2: Supporting rural development and livelihoods</w:t>
        </w:r>
        <w:r>
          <w:rPr>
            <w:noProof/>
            <w:webHidden/>
          </w:rPr>
          <w:tab/>
        </w:r>
        <w:r>
          <w:rPr>
            <w:rStyle w:val="Hyperlink"/>
            <w:noProof/>
            <w:rtl/>
          </w:rPr>
          <w:fldChar w:fldCharType="begin"/>
        </w:r>
        <w:r>
          <w:rPr>
            <w:noProof/>
            <w:webHidden/>
          </w:rPr>
          <w:instrText xml:space="preserve"> PAGEREF _Toc360974021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B9592D" w:rsidRDefault="00B9592D">
      <w:pPr>
        <w:pStyle w:val="TOC2"/>
        <w:rPr>
          <w:rFonts w:ascii="Calibri" w:hAnsi="Calibri" w:cs="Arial"/>
          <w:noProof/>
          <w:color w:val="auto"/>
          <w:sz w:val="22"/>
          <w:szCs w:val="22"/>
          <w:lang w:val="en-US" w:eastAsia="en-US"/>
        </w:rPr>
      </w:pPr>
      <w:hyperlink w:anchor="_Toc360974022" w:history="1">
        <w:r w:rsidRPr="00FB6BE7">
          <w:rPr>
            <w:rStyle w:val="Hyperlink"/>
            <w:noProof/>
          </w:rPr>
          <w:t>Objective Pillar 3: Improving governance and the effectiveness of the Afghan Government</w:t>
        </w:r>
        <w:r>
          <w:rPr>
            <w:noProof/>
            <w:webHidden/>
          </w:rPr>
          <w:tab/>
        </w:r>
        <w:r>
          <w:rPr>
            <w:rStyle w:val="Hyperlink"/>
            <w:noProof/>
            <w:rtl/>
          </w:rPr>
          <w:fldChar w:fldCharType="begin"/>
        </w:r>
        <w:r>
          <w:rPr>
            <w:noProof/>
            <w:webHidden/>
          </w:rPr>
          <w:instrText xml:space="preserve"> PAGEREF _Toc360974022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B9592D" w:rsidRDefault="00B9592D">
      <w:pPr>
        <w:pStyle w:val="TOC2"/>
        <w:rPr>
          <w:rFonts w:ascii="Calibri" w:hAnsi="Calibri" w:cs="Arial"/>
          <w:noProof/>
          <w:color w:val="auto"/>
          <w:sz w:val="22"/>
          <w:szCs w:val="22"/>
          <w:lang w:val="en-US" w:eastAsia="en-US"/>
        </w:rPr>
      </w:pPr>
      <w:hyperlink w:anchor="_Toc360974023" w:history="1">
        <w:r w:rsidRPr="00FB6BE7">
          <w:rPr>
            <w:rStyle w:val="Hyperlink"/>
            <w:noProof/>
          </w:rPr>
          <w:t>Objective Pillar 4: Supporting vulnerable populations</w:t>
        </w:r>
        <w:r>
          <w:rPr>
            <w:noProof/>
            <w:webHidden/>
          </w:rPr>
          <w:tab/>
        </w:r>
        <w:r>
          <w:rPr>
            <w:rStyle w:val="Hyperlink"/>
            <w:noProof/>
            <w:rtl/>
          </w:rPr>
          <w:fldChar w:fldCharType="begin"/>
        </w:r>
        <w:r>
          <w:rPr>
            <w:noProof/>
            <w:webHidden/>
          </w:rPr>
          <w:instrText xml:space="preserve"> PAGEREF _Toc360974023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B9592D" w:rsidRDefault="00B9592D">
      <w:pPr>
        <w:pStyle w:val="TOC2"/>
        <w:rPr>
          <w:rFonts w:ascii="Calibri" w:hAnsi="Calibri" w:cs="Arial"/>
          <w:noProof/>
          <w:color w:val="auto"/>
          <w:sz w:val="22"/>
          <w:szCs w:val="22"/>
          <w:lang w:val="en-US" w:eastAsia="en-US"/>
        </w:rPr>
      </w:pPr>
      <w:hyperlink w:anchor="_Toc360974024" w:history="1">
        <w:r w:rsidRPr="00FB6BE7">
          <w:rPr>
            <w:rStyle w:val="Hyperlink"/>
            <w:noProof/>
          </w:rPr>
          <w:t>Results in Uruzgan Province</w:t>
        </w:r>
        <w:r>
          <w:rPr>
            <w:noProof/>
            <w:webHidden/>
          </w:rPr>
          <w:tab/>
        </w:r>
        <w:r>
          <w:rPr>
            <w:rStyle w:val="Hyperlink"/>
            <w:noProof/>
            <w:rtl/>
          </w:rPr>
          <w:fldChar w:fldCharType="begin"/>
        </w:r>
        <w:r>
          <w:rPr>
            <w:noProof/>
            <w:webHidden/>
          </w:rPr>
          <w:instrText xml:space="preserve"> PAGEREF _Toc360974024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B9592D" w:rsidRDefault="00B9592D">
      <w:pPr>
        <w:pStyle w:val="TOC1"/>
        <w:rPr>
          <w:rFonts w:ascii="Calibri" w:hAnsi="Calibri" w:cs="Arial"/>
          <w:noProof/>
          <w:color w:val="auto"/>
          <w:sz w:val="22"/>
          <w:szCs w:val="22"/>
          <w:lang w:val="en-US" w:eastAsia="en-US"/>
        </w:rPr>
      </w:pPr>
      <w:hyperlink w:anchor="_Toc360974025" w:history="1">
        <w:r w:rsidRPr="00FB6BE7">
          <w:rPr>
            <w:rStyle w:val="Hyperlink"/>
            <w:noProof/>
          </w:rPr>
          <w:t>Quality of aid activities</w:t>
        </w:r>
        <w:r>
          <w:rPr>
            <w:noProof/>
            <w:webHidden/>
          </w:rPr>
          <w:tab/>
        </w:r>
        <w:r>
          <w:rPr>
            <w:rStyle w:val="Hyperlink"/>
            <w:noProof/>
            <w:rtl/>
          </w:rPr>
          <w:fldChar w:fldCharType="begin"/>
        </w:r>
        <w:r>
          <w:rPr>
            <w:noProof/>
            <w:webHidden/>
          </w:rPr>
          <w:instrText xml:space="preserve"> PAGEREF _Toc360974025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B9592D" w:rsidRDefault="00B9592D">
      <w:pPr>
        <w:pStyle w:val="TOC1"/>
        <w:rPr>
          <w:rFonts w:ascii="Calibri" w:hAnsi="Calibri" w:cs="Arial"/>
          <w:noProof/>
          <w:color w:val="auto"/>
          <w:sz w:val="22"/>
          <w:szCs w:val="22"/>
          <w:lang w:val="en-US" w:eastAsia="en-US"/>
        </w:rPr>
      </w:pPr>
      <w:hyperlink w:anchor="_Toc360974026" w:history="1">
        <w:r w:rsidRPr="00FB6BE7">
          <w:rPr>
            <w:rStyle w:val="Hyperlink"/>
            <w:noProof/>
          </w:rPr>
          <w:t>Next steps</w:t>
        </w:r>
        <w:r>
          <w:rPr>
            <w:noProof/>
            <w:webHidden/>
          </w:rPr>
          <w:tab/>
        </w:r>
        <w:r>
          <w:rPr>
            <w:rStyle w:val="Hyperlink"/>
            <w:noProof/>
            <w:rtl/>
          </w:rPr>
          <w:fldChar w:fldCharType="begin"/>
        </w:r>
        <w:r>
          <w:rPr>
            <w:noProof/>
            <w:webHidden/>
          </w:rPr>
          <w:instrText xml:space="preserve"> PAGEREF _Toc360974026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DB0857" w:rsidRPr="00DB0857" w:rsidRDefault="00B9592D" w:rsidP="00220DBE">
      <w:r>
        <w:fldChar w:fldCharType="end"/>
      </w:r>
      <w:r>
        <w:br w:type="page"/>
      </w:r>
      <w:r w:rsidR="00DB0857" w:rsidRPr="00DB0857">
        <w:lastRenderedPageBreak/>
        <w:t>T</w:t>
      </w:r>
      <w:r w:rsidR="00DB0857">
        <w:t>his report summarises progress during 201</w:t>
      </w:r>
      <w:r w:rsidR="00ED3B4A">
        <w:t>0 towards the objectives of</w:t>
      </w:r>
      <w:r w:rsidR="009A3601">
        <w:t xml:space="preserve"> </w:t>
      </w:r>
      <w:r w:rsidR="00ED3B4A">
        <w:t xml:space="preserve">the </w:t>
      </w:r>
      <w:r w:rsidR="00DB0857">
        <w:t>Australian aid</w:t>
      </w:r>
      <w:r w:rsidR="00ED3B4A">
        <w:t xml:space="preserve"> program</w:t>
      </w:r>
      <w:r w:rsidR="00DB0857">
        <w:t xml:space="preserve"> to Afghanistan.  It is the first report of its kind.  </w:t>
      </w:r>
      <w:r w:rsidR="00DB0857" w:rsidRPr="00DB0857">
        <w:t>M</w:t>
      </w:r>
      <w:r w:rsidR="00DB0857">
        <w:t xml:space="preserve">ore information regarding the program is available on the Australian Agency for International Development (AusAID) website: </w:t>
      </w:r>
      <w:hyperlink r:id="rId9" w:history="1">
        <w:r w:rsidR="00DB0857" w:rsidRPr="00DA7CD8">
          <w:rPr>
            <w:rStyle w:val="Hyperlink"/>
            <w:sz w:val="19"/>
            <w:szCs w:val="19"/>
          </w:rPr>
          <w:t>www.ausaid.gov.au</w:t>
        </w:r>
      </w:hyperlink>
      <w:r w:rsidR="00DB0857">
        <w:t>.</w:t>
      </w:r>
      <w:r w:rsidR="00DB0857" w:rsidRPr="00DB0857">
        <w:t xml:space="preserve"> </w:t>
      </w:r>
    </w:p>
    <w:p w:rsidR="00D04DD6" w:rsidRDefault="00DB0857" w:rsidP="00B63639">
      <w:pPr>
        <w:pStyle w:val="Heading1"/>
        <w:spacing w:before="240"/>
      </w:pPr>
      <w:bookmarkStart w:id="0" w:name="_Toc360974017"/>
      <w:r>
        <w:t>Context</w:t>
      </w:r>
      <w:bookmarkEnd w:id="0"/>
    </w:p>
    <w:p w:rsidR="003D638C" w:rsidRDefault="002827C8" w:rsidP="00D04DD6">
      <w:pPr>
        <w:pStyle w:val="BodyText"/>
      </w:pPr>
      <w:smartTag w:uri="urn:schemas-microsoft-com:office:smarttags" w:element="country-region">
        <w:smartTag w:uri="urn:schemas-microsoft-com:office:smarttags" w:element="place">
          <w:r>
            <w:t>Afghanistan</w:t>
          </w:r>
        </w:smartTag>
      </w:smartTag>
      <w:r>
        <w:t xml:space="preserve"> faces immense development challenges</w:t>
      </w:r>
      <w:r w:rsidR="003D638C">
        <w:t xml:space="preserve"> that have been</w:t>
      </w:r>
      <w:r>
        <w:t xml:space="preserve"> compounded by the effects of </w:t>
      </w:r>
      <w:r w:rsidR="00DB0857">
        <w:t xml:space="preserve">over </w:t>
      </w:r>
      <w:r>
        <w:t>three decades of conflict</w:t>
      </w:r>
      <w:r w:rsidR="007E5E54">
        <w:t>.  It</w:t>
      </w:r>
      <w:r w:rsidR="008318D0" w:rsidRPr="008318D0">
        <w:t xml:space="preserve"> ranks 155th (out of 169 countries) on </w:t>
      </w:r>
      <w:r w:rsidR="002B57D4">
        <w:t>the UN Human Development Index,</w:t>
      </w:r>
      <w:r w:rsidR="00ED1505" w:rsidRPr="0068756E">
        <w:rPr>
          <w:rStyle w:val="EndnoteReference"/>
        </w:rPr>
        <w:endnoteReference w:id="1"/>
      </w:r>
      <w:r w:rsidR="00ED1505" w:rsidRPr="008318D0">
        <w:t xml:space="preserve"> with some 36 per cent of the population living below the national poverty line.</w:t>
      </w:r>
      <w:r w:rsidR="00ED1505">
        <w:rPr>
          <w:rStyle w:val="EndnoteReference"/>
        </w:rPr>
        <w:endnoteReference w:id="2"/>
      </w:r>
      <w:r w:rsidR="00ED1505" w:rsidRPr="008318D0">
        <w:t xml:space="preserve">   Insecurity and weak governance, particularly corruption, impede development progress</w:t>
      </w:r>
      <w:r w:rsidR="00C416EF">
        <w:t>.</w:t>
      </w:r>
      <w:r w:rsidR="00ED1505" w:rsidRPr="008318D0">
        <w:t xml:space="preserve"> </w:t>
      </w:r>
      <w:r w:rsidR="00C416EF">
        <w:t>T</w:t>
      </w:r>
      <w:r w:rsidR="00ED1505" w:rsidRPr="008318D0">
        <w:t>he status of women</w:t>
      </w:r>
      <w:r w:rsidR="00C416EF">
        <w:t xml:space="preserve"> is of particular concern</w:t>
      </w:r>
      <w:r w:rsidR="00ED1505" w:rsidRPr="008318D0">
        <w:t>.</w:t>
      </w:r>
      <w:r w:rsidR="00F77351">
        <w:t xml:space="preserve">  Uruzgan, a special focus of Australian engagement, has some of the worst </w:t>
      </w:r>
      <w:r w:rsidR="00C416EF">
        <w:t xml:space="preserve">development </w:t>
      </w:r>
      <w:r w:rsidR="00F77351">
        <w:t>indicators in Afghanistan</w:t>
      </w:r>
      <w:r w:rsidR="00787C0C">
        <w:t xml:space="preserve"> (see Box below)</w:t>
      </w:r>
      <w:r w:rsidR="00F77351">
        <w:t xml:space="preserve">. </w:t>
      </w:r>
      <w:r w:rsidR="00ED1505" w:rsidRPr="008318D0">
        <w:t xml:space="preserve"> </w:t>
      </w:r>
    </w:p>
    <w:p w:rsidR="002827C8" w:rsidRDefault="00ED1505" w:rsidP="00D04DD6">
      <w:pPr>
        <w:pStyle w:val="BodyText"/>
      </w:pPr>
      <w:r w:rsidRPr="008318D0">
        <w:t>Despite these</w:t>
      </w:r>
      <w:r w:rsidR="007E5E54">
        <w:t xml:space="preserve"> challenges, </w:t>
      </w:r>
      <w:smartTag w:uri="urn:schemas-microsoft-com:office:smarttags" w:element="country-region">
        <w:smartTag w:uri="urn:schemas-microsoft-com:office:smarttags" w:element="place">
          <w:r w:rsidRPr="008318D0">
            <w:t>Afghanistan</w:t>
          </w:r>
        </w:smartTag>
      </w:smartTag>
      <w:r w:rsidRPr="008318D0">
        <w:t xml:space="preserve"> is on track to achieve, or partially achieve, some of the UN Mil</w:t>
      </w:r>
      <w:r w:rsidR="00374FCB">
        <w:t xml:space="preserve">lennium Development Goals.  </w:t>
      </w:r>
      <w:r w:rsidR="00C416EF">
        <w:t>From en exceptionally low base, t</w:t>
      </w:r>
      <w:r w:rsidRPr="008318D0">
        <w:t xml:space="preserve">here have been </w:t>
      </w:r>
      <w:r w:rsidR="00C416EF">
        <w:t xml:space="preserve">some </w:t>
      </w:r>
      <w:r w:rsidRPr="008318D0">
        <w:t>remarkable gains in social indicators in Afghanistan over the past ten years, together with s</w:t>
      </w:r>
      <w:r w:rsidR="007E5E54">
        <w:t>ignificant</w:t>
      </w:r>
      <w:r w:rsidRPr="008318D0">
        <w:t xml:space="preserve"> economic growth</w:t>
      </w:r>
      <w:r w:rsidR="00C416EF">
        <w:t>.  B</w:t>
      </w:r>
      <w:r w:rsidR="00374FCB">
        <w:t>ut the</w:t>
      </w:r>
      <w:r w:rsidR="00C416EF">
        <w:t>se</w:t>
      </w:r>
      <w:r w:rsidR="00374FCB">
        <w:t xml:space="preserve"> gains remain fragile.</w:t>
      </w:r>
      <w:r w:rsidRPr="008318D0">
        <w:t xml:space="preserve">  </w:t>
      </w:r>
    </w:p>
    <w:p w:rsidR="00BB7688" w:rsidRDefault="00787C0C" w:rsidP="004230E1">
      <w:pPr>
        <w:pStyle w:val="BodyText"/>
      </w:pPr>
      <w:r>
        <w:t xml:space="preserve">Afghanistan is one of the largest recipients of official development assistance in the world.  </w:t>
      </w:r>
      <w:r w:rsidR="00AB617D">
        <w:t>Since 2001, the international community has disbursed an estimated US$57 billion</w:t>
      </w:r>
      <w:r w:rsidR="00F45757" w:rsidRPr="00F45757">
        <w:t xml:space="preserve"> </w:t>
      </w:r>
      <w:r w:rsidR="00F45757">
        <w:t>for Afghanistan’s reconstruction</w:t>
      </w:r>
      <w:r w:rsidR="00AB617D">
        <w:t xml:space="preserve">. The donor landscape in </w:t>
      </w:r>
      <w:smartTag w:uri="urn:schemas-microsoft-com:office:smarttags" w:element="place">
        <w:smartTag w:uri="urn:schemas-microsoft-com:office:smarttags" w:element="country-region">
          <w:r w:rsidR="00AB617D">
            <w:t>Afghanistan</w:t>
          </w:r>
        </w:smartTag>
      </w:smartTag>
      <w:r w:rsidR="00AB617D">
        <w:t xml:space="preserve"> includes a large number of bilateral donors, multilateral organisations, UN and humanitarian agencies and Afghan, Australian and international NGOs. The United Nations Assistance Mission in Afghanistan (UNAMA) has lead responsibility for donor coordination. According to the</w:t>
      </w:r>
      <w:r w:rsidR="00813556">
        <w:t xml:space="preserve"> </w:t>
      </w:r>
      <w:r w:rsidR="00AB617D">
        <w:t>Ministry of Finance’s Development Cooperation Report for 2010, Australia ranked as the 10th largest bilateral donor (12th largest overall including the World Bank and Asian Development Bank).</w:t>
      </w:r>
    </w:p>
    <w:p w:rsidR="003D638C" w:rsidRDefault="003D638C" w:rsidP="003D638C">
      <w:pPr>
        <w:pStyle w:val="BodyText"/>
      </w:pPr>
      <w:r>
        <w:t xml:space="preserve">The aid program is an increasingly important component of </w:t>
      </w:r>
      <w:smartTag w:uri="urn:schemas-microsoft-com:office:smarttags" w:element="country-region">
        <w:r>
          <w:t>Australia</w:t>
        </w:r>
      </w:smartTag>
      <w:r>
        <w:t xml:space="preserve">’s whole-of-government commitment in </w:t>
      </w:r>
      <w:smartTag w:uri="urn:schemas-microsoft-com:office:smarttags" w:element="country-region">
        <w:smartTag w:uri="urn:schemas-microsoft-com:office:smarttags" w:element="place">
          <w:r>
            <w:t>Afghanistan</w:t>
          </w:r>
        </w:smartTag>
      </w:smartTag>
      <w:r>
        <w:t xml:space="preserve">. This commitment combines military action, development and diplomacy and aims to contribute, along with international partners, to the stabilisation of </w:t>
      </w:r>
      <w:smartTag w:uri="urn:schemas-microsoft-com:office:smarttags" w:element="country-region">
        <w:smartTag w:uri="urn:schemas-microsoft-com:office:smarttags" w:element="place">
          <w:r>
            <w:t>Afghanistan</w:t>
          </w:r>
        </w:smartTag>
      </w:smartTag>
      <w:r>
        <w:t xml:space="preserve"> and to preventing the country </w:t>
      </w:r>
      <w:r w:rsidR="00F77351">
        <w:t xml:space="preserve">from </w:t>
      </w:r>
      <w:r>
        <w:t xml:space="preserve">again becoming </w:t>
      </w:r>
      <w:r w:rsidR="00F77351">
        <w:t>a safe haven for terrorist</w:t>
      </w:r>
      <w:r>
        <w:t xml:space="preserve">s. </w:t>
      </w:r>
    </w:p>
    <w:p w:rsidR="004230E1" w:rsidRDefault="00526341" w:rsidP="004230E1">
      <w:pPr>
        <w:pStyle w:val="BodyText"/>
      </w:pPr>
      <w:r>
        <w:t>Following t</w:t>
      </w:r>
      <w:r w:rsidR="00DB5943">
        <w:t>he</w:t>
      </w:r>
      <w:r w:rsidR="008B7B7F">
        <w:t xml:space="preserve"> Australian Government’s</w:t>
      </w:r>
      <w:r w:rsidR="00DB5943">
        <w:t xml:space="preserve"> announcement in April</w:t>
      </w:r>
      <w:r w:rsidR="005106E8">
        <w:t xml:space="preserve"> 2010</w:t>
      </w:r>
      <w:r w:rsidR="00DB5943">
        <w:t xml:space="preserve"> </w:t>
      </w:r>
      <w:r w:rsidR="00ED1505">
        <w:t xml:space="preserve">of an increased civilian commitment to </w:t>
      </w:r>
      <w:smartTag w:uri="urn:schemas-microsoft-com:office:smarttags" w:element="country-region">
        <w:r w:rsidR="00ED1505">
          <w:t>Afghanistan</w:t>
        </w:r>
      </w:smartTag>
      <w:r>
        <w:t>, i</w:t>
      </w:r>
      <w:r w:rsidR="00ED1505">
        <w:t xml:space="preserve">n 2010-11, the </w:t>
      </w:r>
      <w:smartTag w:uri="urn:schemas-microsoft-com:office:smarttags" w:element="place">
        <w:smartTag w:uri="urn:schemas-microsoft-com:office:smarttags" w:element="country-region">
          <w:r w:rsidR="00ED1505">
            <w:t>Afghanistan</w:t>
          </w:r>
        </w:smartTag>
      </w:smartTag>
      <w:r w:rsidR="00ED1505">
        <w:t xml:space="preserve"> program grew almost 50 per cent to $77.7 million from $53.3 mi</w:t>
      </w:r>
      <w:r>
        <w:t xml:space="preserve">llion the previous year.  </w:t>
      </w:r>
      <w:r w:rsidR="00001AD1">
        <w:t>While the majority of AusAID programming was delivered at the national level, d</w:t>
      </w:r>
      <w:r w:rsidR="00ED1505">
        <w:t xml:space="preserve">irect AusAID assistance to Uruzgan </w:t>
      </w:r>
      <w:r w:rsidR="00001AD1">
        <w:t xml:space="preserve">increased markedly to </w:t>
      </w:r>
      <w:r w:rsidR="00ED1505">
        <w:t xml:space="preserve">$23 million in 2010-11, up from less than $1.6 </w:t>
      </w:r>
      <w:r w:rsidR="001F1F38">
        <w:t xml:space="preserve">million in the previous year.  </w:t>
      </w:r>
      <w:r w:rsidR="008B7B7F">
        <w:t xml:space="preserve">Further, </w:t>
      </w:r>
      <w:smartTag w:uri="urn:schemas-microsoft-com:office:smarttags" w:element="place">
        <w:smartTag w:uri="urn:schemas-microsoft-com:office:smarttags" w:element="country-region">
          <w:r w:rsidR="001F1F38">
            <w:t>Australia</w:t>
          </w:r>
        </w:smartTag>
      </w:smartTag>
      <w:r w:rsidR="001F1F38">
        <w:t xml:space="preserve"> assume</w:t>
      </w:r>
      <w:r w:rsidR="00412B84">
        <w:t>d</w:t>
      </w:r>
      <w:r w:rsidR="001F1F38">
        <w:t xml:space="preserve"> civilian leadership of the Uruzgan P</w:t>
      </w:r>
      <w:r w:rsidR="008B7B7F">
        <w:t xml:space="preserve">rovincial </w:t>
      </w:r>
      <w:r w:rsidR="001F1F38">
        <w:t>R</w:t>
      </w:r>
      <w:r w:rsidR="008B7B7F">
        <w:t xml:space="preserve">econstruction </w:t>
      </w:r>
      <w:r w:rsidR="001F1F38">
        <w:t>T</w:t>
      </w:r>
      <w:r w:rsidR="008B7B7F">
        <w:t>eam in August 2010</w:t>
      </w:r>
      <w:r w:rsidR="001F1F38">
        <w:t>.</w:t>
      </w:r>
      <w:r w:rsidR="00AB617D">
        <w:t xml:space="preserve">  </w:t>
      </w:r>
      <w:r w:rsidR="00001AD1">
        <w:t xml:space="preserve">Overall, </w:t>
      </w:r>
      <w:r w:rsidR="004230E1">
        <w:t>AusAID delivered around 70 per cent of total ODA ($109.7 million)</w:t>
      </w:r>
      <w:r w:rsidR="00F45757">
        <w:t xml:space="preserve"> </w:t>
      </w:r>
      <w:proofErr w:type="gramStart"/>
      <w:r w:rsidR="00F45757">
        <w:t xml:space="preserve">– </w:t>
      </w:r>
      <w:r w:rsidR="004230E1">
        <w:t xml:space="preserve"> a</w:t>
      </w:r>
      <w:proofErr w:type="gramEnd"/>
      <w:r w:rsidR="004230E1">
        <w:t xml:space="preserve"> substantial increase on previous years when the Australian Defence Force (ADF) had delivered a large proportion of Australian aid. Other government </w:t>
      </w:r>
      <w:r w:rsidR="00F45757">
        <w:t>agencies</w:t>
      </w:r>
      <w:r w:rsidR="004230E1">
        <w:t>, including the Australian Federal Police (AFP), ADF and Department of Immigration and Citize</w:t>
      </w:r>
      <w:r w:rsidR="00F45757">
        <w:t>n</w:t>
      </w:r>
      <w:r w:rsidR="004230E1">
        <w:t>ship (DIAC) continued to manage modest proportions of Australian ODA during 2010-11.</w:t>
      </w:r>
    </w:p>
    <w:p w:rsidR="00ED1505" w:rsidRPr="003D638C" w:rsidRDefault="003D638C" w:rsidP="003D638C">
      <w:pPr>
        <w:pStyle w:val="Heading1"/>
        <w:rPr>
          <w:highlight w:val="yellow"/>
        </w:rPr>
      </w:pPr>
      <w:bookmarkStart w:id="1" w:name="_Toc360974018"/>
      <w:r>
        <w:t>Program objectives</w:t>
      </w:r>
      <w:bookmarkEnd w:id="1"/>
    </w:p>
    <w:p w:rsidR="003D638C" w:rsidRDefault="003D638C" w:rsidP="003D638C">
      <w:pPr>
        <w:pStyle w:val="BodyText"/>
      </w:pPr>
      <w:smartTag w:uri="urn:schemas-microsoft-com:office:smarttags" w:element="country-region">
        <w:r>
          <w:t>Australia</w:t>
        </w:r>
      </w:smartTag>
      <w:r>
        <w:t xml:space="preserve">’s development objective in </w:t>
      </w:r>
      <w:smartTag w:uri="urn:schemas-microsoft-com:office:smarttags" w:element="place">
        <w:smartTag w:uri="urn:schemas-microsoft-com:office:smarttags" w:element="country-region">
          <w:r>
            <w:t>Afghanistan</w:t>
          </w:r>
        </w:smartTag>
      </w:smartTag>
      <w:r>
        <w:t xml:space="preserve"> is to build the Afghan Government’s capacity to deliver basic services and provide economic opportunities to its people. As articulated in </w:t>
      </w:r>
      <w:r w:rsidRPr="00582C59">
        <w:rPr>
          <w:i/>
        </w:rPr>
        <w:t>Australia’s Strategic Approach to Aid in Afghanistan 2010-2012</w:t>
      </w:r>
      <w:r w:rsidR="00001AD1">
        <w:t>,</w:t>
      </w:r>
      <w:r>
        <w:t xml:space="preserve"> AusAID focuses its support on four pillars:</w:t>
      </w:r>
    </w:p>
    <w:p w:rsidR="003D638C" w:rsidRDefault="003D638C" w:rsidP="00377478">
      <w:pPr>
        <w:pStyle w:val="BodyText"/>
        <w:numPr>
          <w:ilvl w:val="0"/>
          <w:numId w:val="41"/>
        </w:numPr>
      </w:pPr>
      <w:r>
        <w:t>enhancing basic service delivery in health and education;</w:t>
      </w:r>
    </w:p>
    <w:p w:rsidR="003D638C" w:rsidRDefault="003D638C" w:rsidP="00377478">
      <w:pPr>
        <w:pStyle w:val="BodyText"/>
        <w:numPr>
          <w:ilvl w:val="0"/>
          <w:numId w:val="41"/>
        </w:numPr>
      </w:pPr>
      <w:r>
        <w:lastRenderedPageBreak/>
        <w:t>supporting rural development and livelihoods;</w:t>
      </w:r>
    </w:p>
    <w:p w:rsidR="003D638C" w:rsidRDefault="003D638C" w:rsidP="00377478">
      <w:pPr>
        <w:pStyle w:val="BodyText"/>
        <w:numPr>
          <w:ilvl w:val="0"/>
          <w:numId w:val="41"/>
        </w:numPr>
      </w:pPr>
      <w:r>
        <w:t>improving governance and the effectiveness of the Afghan Government; and,</w:t>
      </w:r>
    </w:p>
    <w:p w:rsidR="003D638C" w:rsidRDefault="003D638C" w:rsidP="00377478">
      <w:pPr>
        <w:pStyle w:val="BodyText"/>
        <w:numPr>
          <w:ilvl w:val="0"/>
          <w:numId w:val="41"/>
        </w:numPr>
      </w:pPr>
      <w:proofErr w:type="gramStart"/>
      <w:r>
        <w:t>supporting</w:t>
      </w:r>
      <w:proofErr w:type="gramEnd"/>
      <w:r>
        <w:t xml:space="preserve"> vulnerable populations. </w:t>
      </w:r>
    </w:p>
    <w:p w:rsidR="00ED1505" w:rsidRDefault="003D638C" w:rsidP="00B63639">
      <w:pPr>
        <w:pStyle w:val="BodyText"/>
        <w:spacing w:after="240"/>
      </w:pPr>
      <w:r w:rsidRPr="008318D0">
        <w:t>Australia</w:t>
      </w:r>
      <w:r>
        <w:t>n aid to Afghanistan is largely delivered</w:t>
      </w:r>
      <w:r w:rsidRPr="008318D0">
        <w:t xml:space="preserve"> at the national level</w:t>
      </w:r>
      <w:r w:rsidR="00F46D4B">
        <w:t>, through national programs</w:t>
      </w:r>
      <w:r w:rsidRPr="008318D0">
        <w:t xml:space="preserve">, </w:t>
      </w:r>
      <w:r w:rsidR="00F46D4B">
        <w:t xml:space="preserve">but </w:t>
      </w:r>
      <w:r w:rsidRPr="008318D0">
        <w:t xml:space="preserve">with </w:t>
      </w:r>
      <w:r w:rsidR="00F46D4B">
        <w:t>an additional</w:t>
      </w:r>
      <w:r>
        <w:t xml:space="preserve"> </w:t>
      </w:r>
      <w:r w:rsidRPr="008318D0">
        <w:t>focus on Uruzgan Province</w:t>
      </w:r>
      <w:r>
        <w:t xml:space="preserve">, </w:t>
      </w:r>
      <w:r w:rsidRPr="008318D0">
        <w:t>on</w:t>
      </w:r>
      <w:r>
        <w:t xml:space="preserve">e of the poorest provinces </w:t>
      </w:r>
      <w:r w:rsidRPr="008318D0">
        <w:t>in Afghanistan</w:t>
      </w:r>
      <w:r>
        <w:t xml:space="preserve">, </w:t>
      </w:r>
      <w:r w:rsidRPr="008318D0">
        <w:t>where Australian military and civilian engagement is concentrated</w:t>
      </w:r>
      <w:r w:rsidR="004230E1">
        <w:t xml:space="preserve"> (see Box 1)</w:t>
      </w:r>
      <w:r w:rsidRPr="008318D0">
        <w:t xml:space="preserve">.    </w:t>
      </w:r>
    </w:p>
    <w:p w:rsidR="00AF2D38" w:rsidRPr="00A369B9" w:rsidRDefault="00AF2D38" w:rsidP="00AF2D38">
      <w:pPr>
        <w:pBdr>
          <w:top w:val="single" w:sz="4" w:space="1" w:color="auto"/>
          <w:left w:val="single" w:sz="4" w:space="4" w:color="auto"/>
          <w:bottom w:val="single" w:sz="4" w:space="1" w:color="auto"/>
          <w:right w:val="single" w:sz="4" w:space="4" w:color="auto"/>
        </w:pBdr>
        <w:shd w:val="clear" w:color="auto" w:fill="E0E0E0"/>
        <w:jc w:val="center"/>
        <w:rPr>
          <w:rFonts w:ascii="Georgia" w:hAnsi="Georgia"/>
          <w:b/>
          <w:sz w:val="18"/>
          <w:szCs w:val="18"/>
        </w:rPr>
      </w:pPr>
      <w:r w:rsidRPr="00A369B9">
        <w:rPr>
          <w:rFonts w:ascii="Georgia" w:hAnsi="Georgia"/>
          <w:b/>
          <w:sz w:val="18"/>
          <w:szCs w:val="18"/>
        </w:rPr>
        <w:t>Box 1: Uruzgan: a comprehensive development challenge</w:t>
      </w:r>
    </w:p>
    <w:p w:rsidR="00AF2D38" w:rsidRPr="00A369B9" w:rsidRDefault="00AF2D38" w:rsidP="00220DBE">
      <w:pPr>
        <w:pBdr>
          <w:top w:val="single" w:sz="4" w:space="1" w:color="auto"/>
          <w:left w:val="single" w:sz="4" w:space="4" w:color="auto"/>
          <w:bottom w:val="single" w:sz="4" w:space="1" w:color="auto"/>
          <w:right w:val="single" w:sz="4" w:space="4" w:color="auto"/>
        </w:pBdr>
        <w:shd w:val="clear" w:color="auto" w:fill="E0E0E0"/>
        <w:spacing w:before="120" w:after="120"/>
        <w:jc w:val="both"/>
        <w:rPr>
          <w:rFonts w:ascii="Georgia" w:hAnsi="Georgia"/>
          <w:sz w:val="18"/>
          <w:szCs w:val="18"/>
        </w:rPr>
      </w:pPr>
      <w:r w:rsidRPr="00A369B9">
        <w:rPr>
          <w:rFonts w:ascii="Georgia" w:hAnsi="Georgia"/>
          <w:sz w:val="18"/>
          <w:szCs w:val="18"/>
        </w:rPr>
        <w:t xml:space="preserve">Uruzgan’s development needs are immense. It is ranked as one of the least developed provinces in Afghanistan, </w:t>
      </w:r>
      <w:r>
        <w:rPr>
          <w:rFonts w:ascii="Georgia" w:hAnsi="Georgia"/>
          <w:sz w:val="18"/>
          <w:szCs w:val="18"/>
        </w:rPr>
        <w:t>and</w:t>
      </w:r>
      <w:r w:rsidRPr="00A369B9">
        <w:rPr>
          <w:rFonts w:ascii="Georgia" w:hAnsi="Georgia"/>
          <w:sz w:val="18"/>
          <w:szCs w:val="18"/>
        </w:rPr>
        <w:t xml:space="preserve"> has among</w:t>
      </w:r>
      <w:r>
        <w:rPr>
          <w:rFonts w:ascii="Georgia" w:hAnsi="Georgia"/>
          <w:sz w:val="18"/>
          <w:szCs w:val="18"/>
        </w:rPr>
        <w:t>st</w:t>
      </w:r>
      <w:r w:rsidRPr="00A369B9">
        <w:rPr>
          <w:rFonts w:ascii="Georgia" w:hAnsi="Georgia"/>
          <w:sz w:val="18"/>
          <w:szCs w:val="18"/>
        </w:rPr>
        <w:t xml:space="preserve"> the lowest development indicators in the world. While nearly ten per cent of men are literate, the literacy rate for women isclose to zero. Uruzgan has the second highest </w:t>
      </w:r>
      <w:proofErr w:type="gramStart"/>
      <w:r w:rsidRPr="00A369B9">
        <w:rPr>
          <w:rFonts w:ascii="Georgia" w:hAnsi="Georgia"/>
          <w:sz w:val="18"/>
          <w:szCs w:val="18"/>
        </w:rPr>
        <w:t>under</w:t>
      </w:r>
      <w:proofErr w:type="gramEnd"/>
      <w:r w:rsidRPr="00A369B9">
        <w:rPr>
          <w:rFonts w:ascii="Georgia" w:hAnsi="Georgia"/>
          <w:sz w:val="18"/>
          <w:szCs w:val="18"/>
        </w:rPr>
        <w:t xml:space="preserve"> five mortality rate in </w:t>
      </w:r>
      <w:smartTag w:uri="urn:schemas-microsoft-com:office:smarttags" w:element="place">
        <w:smartTag w:uri="urn:schemas-microsoft-com:office:smarttags" w:element="country-region">
          <w:r w:rsidRPr="00A369B9">
            <w:rPr>
              <w:rFonts w:ascii="Georgia" w:hAnsi="Georgia"/>
              <w:sz w:val="18"/>
              <w:szCs w:val="18"/>
            </w:rPr>
            <w:t>Afghanistan</w:t>
          </w:r>
        </w:smartTag>
      </w:smartTag>
      <w:r w:rsidRPr="00A369B9">
        <w:rPr>
          <w:rFonts w:ascii="Georgia" w:hAnsi="Georgia"/>
          <w:sz w:val="18"/>
          <w:szCs w:val="18"/>
        </w:rPr>
        <w:t xml:space="preserve">. Less than ten per cent of the population has access to clean water and just three per cent to safe sanitation facilities. </w:t>
      </w:r>
    </w:p>
    <w:p w:rsidR="00AF2D38" w:rsidRPr="00A369B9" w:rsidRDefault="00AF2D38" w:rsidP="00220DBE">
      <w:pPr>
        <w:pBdr>
          <w:top w:val="single" w:sz="4" w:space="1" w:color="auto"/>
          <w:left w:val="single" w:sz="4" w:space="4" w:color="auto"/>
          <w:bottom w:val="single" w:sz="4" w:space="1" w:color="auto"/>
          <w:right w:val="single" w:sz="4" w:space="4" w:color="auto"/>
        </w:pBdr>
        <w:shd w:val="clear" w:color="auto" w:fill="E0E0E0"/>
        <w:spacing w:before="120" w:after="120"/>
        <w:jc w:val="both"/>
        <w:rPr>
          <w:rFonts w:ascii="Georgia" w:hAnsi="Georgia"/>
          <w:sz w:val="18"/>
          <w:szCs w:val="18"/>
        </w:rPr>
      </w:pPr>
      <w:r w:rsidRPr="00A369B9">
        <w:rPr>
          <w:rFonts w:ascii="Georgia" w:hAnsi="Georgia"/>
          <w:sz w:val="18"/>
          <w:szCs w:val="18"/>
        </w:rPr>
        <w:t xml:space="preserve">Agriculture is central to the Uruzgan economy, but value chains are tenuous and production systems are largely focused on local consumption and subsistence. Access to and provision of basic services are hampered by the inadequacy of roads and rural infrastructure, and very few businesses, government offices, schools or clinics have a reliable electricity supply. </w:t>
      </w:r>
    </w:p>
    <w:p w:rsidR="00AF2D38" w:rsidRPr="00A369B9" w:rsidRDefault="00AF2D38" w:rsidP="00220DBE">
      <w:pPr>
        <w:pBdr>
          <w:top w:val="single" w:sz="4" w:space="1" w:color="auto"/>
          <w:left w:val="single" w:sz="4" w:space="4" w:color="auto"/>
          <w:bottom w:val="single" w:sz="4" w:space="1" w:color="auto"/>
          <w:right w:val="single" w:sz="4" w:space="4" w:color="auto"/>
        </w:pBdr>
        <w:shd w:val="clear" w:color="auto" w:fill="E0E0E0"/>
        <w:spacing w:before="120" w:after="120"/>
        <w:jc w:val="both"/>
        <w:rPr>
          <w:rFonts w:ascii="Georgia" w:hAnsi="Georgia"/>
          <w:sz w:val="18"/>
          <w:szCs w:val="18"/>
        </w:rPr>
      </w:pPr>
      <w:r w:rsidRPr="00A369B9">
        <w:rPr>
          <w:rFonts w:ascii="Georgia" w:hAnsi="Georgia"/>
          <w:sz w:val="18"/>
          <w:szCs w:val="18"/>
        </w:rPr>
        <w:t xml:space="preserve">Perhaps the biggest development challenge in Uruzgan is the weak provincial administration. The legitimacy and capacity of provincial departments remain extremely low. As of April 2011 only 235 (41.2 per cent) of 570 key government positions were filled (an increase from 30 per cent in 2009). Many government officials lack the literacy or training to perform their roles, making it very difficult for most departments to function even at a basic level. </w:t>
      </w:r>
    </w:p>
    <w:p w:rsidR="00AF2D38" w:rsidRPr="00A369B9" w:rsidRDefault="00AF2D38" w:rsidP="00220DBE">
      <w:pPr>
        <w:pBdr>
          <w:top w:val="single" w:sz="4" w:space="1" w:color="auto"/>
          <w:left w:val="single" w:sz="4" w:space="4" w:color="auto"/>
          <w:bottom w:val="single" w:sz="4" w:space="1" w:color="auto"/>
          <w:right w:val="single" w:sz="4" w:space="4" w:color="auto"/>
        </w:pBdr>
        <w:shd w:val="clear" w:color="auto" w:fill="E0E0E0"/>
        <w:spacing w:before="120" w:after="120"/>
        <w:jc w:val="both"/>
        <w:rPr>
          <w:rFonts w:ascii="Georgia" w:hAnsi="Georgia"/>
          <w:sz w:val="18"/>
          <w:szCs w:val="18"/>
        </w:rPr>
      </w:pPr>
      <w:r w:rsidRPr="00A369B9">
        <w:rPr>
          <w:rFonts w:ascii="Georgia" w:hAnsi="Georgia"/>
          <w:sz w:val="18"/>
          <w:szCs w:val="18"/>
        </w:rPr>
        <w:t>Compounding these challenges is the complexity of delivering development assistance in a</w:t>
      </w:r>
      <w:r>
        <w:rPr>
          <w:rFonts w:ascii="Georgia" w:hAnsi="Georgia"/>
          <w:sz w:val="18"/>
          <w:szCs w:val="18"/>
        </w:rPr>
        <w:t xml:space="preserve">n </w:t>
      </w:r>
      <w:r w:rsidR="00F46D4B">
        <w:rPr>
          <w:rFonts w:ascii="Georgia" w:hAnsi="Georgia"/>
          <w:sz w:val="18"/>
          <w:szCs w:val="18"/>
        </w:rPr>
        <w:t xml:space="preserve">insecure </w:t>
      </w:r>
      <w:r w:rsidRPr="00A369B9">
        <w:rPr>
          <w:rFonts w:ascii="Georgia" w:hAnsi="Georgia"/>
          <w:sz w:val="18"/>
          <w:szCs w:val="18"/>
        </w:rPr>
        <w:t xml:space="preserve">environment. Some gains have been achieved since 2006 – security has been enhanced across the province and many previously inaccessible communities have opened up to the Afghan Government and international assistance. But development activities in these areas remain nascent, focusing on short-term stabilisation activities and fostering Afghan Government legitimacy. </w:t>
      </w:r>
      <w:r w:rsidR="00F46D4B">
        <w:rPr>
          <w:rFonts w:ascii="Georgia" w:hAnsi="Georgia"/>
          <w:sz w:val="18"/>
          <w:szCs w:val="18"/>
        </w:rPr>
        <w:t>ISAF continues to assess that s</w:t>
      </w:r>
      <w:r w:rsidRPr="00A369B9">
        <w:rPr>
          <w:rFonts w:ascii="Georgia" w:hAnsi="Georgia"/>
          <w:sz w:val="18"/>
          <w:szCs w:val="18"/>
        </w:rPr>
        <w:t xml:space="preserve">ecurity gains </w:t>
      </w:r>
      <w:r w:rsidR="00F46D4B">
        <w:rPr>
          <w:rFonts w:ascii="Georgia" w:hAnsi="Georgia"/>
          <w:sz w:val="18"/>
          <w:szCs w:val="18"/>
        </w:rPr>
        <w:t>in the province</w:t>
      </w:r>
      <w:r>
        <w:rPr>
          <w:rFonts w:ascii="Georgia" w:hAnsi="Georgia"/>
          <w:sz w:val="18"/>
          <w:szCs w:val="18"/>
        </w:rPr>
        <w:t xml:space="preserve"> </w:t>
      </w:r>
      <w:r w:rsidRPr="00A369B9">
        <w:rPr>
          <w:rFonts w:ascii="Georgia" w:hAnsi="Georgia"/>
          <w:sz w:val="18"/>
          <w:szCs w:val="18"/>
        </w:rPr>
        <w:t xml:space="preserve">remain fragile. AusAID’s presence remains reliant on </w:t>
      </w:r>
      <w:r w:rsidR="00F46D4B">
        <w:rPr>
          <w:rFonts w:ascii="Georgia" w:hAnsi="Georgia"/>
          <w:sz w:val="18"/>
          <w:szCs w:val="18"/>
        </w:rPr>
        <w:t>ISAF</w:t>
      </w:r>
      <w:r w:rsidRPr="00A369B9">
        <w:rPr>
          <w:rFonts w:ascii="Georgia" w:hAnsi="Georgia"/>
          <w:sz w:val="18"/>
          <w:szCs w:val="18"/>
        </w:rPr>
        <w:t xml:space="preserve"> military force protection, and many experienced NGOs are unwilling or unable to operate in the Province. </w:t>
      </w:r>
    </w:p>
    <w:p w:rsidR="00AF2D38" w:rsidRPr="00A369B9" w:rsidRDefault="00AF2D38" w:rsidP="00220DBE">
      <w:pPr>
        <w:pBdr>
          <w:top w:val="single" w:sz="4" w:space="1" w:color="auto"/>
          <w:left w:val="single" w:sz="4" w:space="4" w:color="auto"/>
          <w:bottom w:val="single" w:sz="4" w:space="1" w:color="auto"/>
          <w:right w:val="single" w:sz="4" w:space="4" w:color="auto"/>
        </w:pBdr>
        <w:shd w:val="clear" w:color="auto" w:fill="E0E0E0"/>
        <w:spacing w:before="120" w:after="120"/>
        <w:jc w:val="both"/>
        <w:rPr>
          <w:rFonts w:ascii="Georgia" w:hAnsi="Georgia"/>
          <w:sz w:val="18"/>
          <w:szCs w:val="18"/>
        </w:rPr>
      </w:pPr>
      <w:r w:rsidRPr="00A369B9">
        <w:rPr>
          <w:rFonts w:ascii="Georgia" w:hAnsi="Georgia"/>
          <w:sz w:val="18"/>
          <w:szCs w:val="18"/>
        </w:rPr>
        <w:t>Given the scale of need in Uruzgan, Australia’s objectives are realistic. By the time Uruzgan transitions to Afghan</w:t>
      </w:r>
      <w:r w:rsidR="00F46D4B">
        <w:rPr>
          <w:rFonts w:ascii="Georgia" w:hAnsi="Georgia"/>
          <w:sz w:val="18"/>
          <w:szCs w:val="18"/>
        </w:rPr>
        <w:t>-led</w:t>
      </w:r>
      <w:r w:rsidRPr="00A369B9">
        <w:rPr>
          <w:rFonts w:ascii="Georgia" w:hAnsi="Georgia"/>
          <w:sz w:val="18"/>
          <w:szCs w:val="18"/>
        </w:rPr>
        <w:t xml:space="preserve"> security </w:t>
      </w:r>
      <w:r w:rsidR="00514A46">
        <w:rPr>
          <w:rFonts w:ascii="Georgia" w:hAnsi="Georgia"/>
          <w:sz w:val="18"/>
          <w:szCs w:val="18"/>
        </w:rPr>
        <w:t>responsibility</w:t>
      </w:r>
      <w:r w:rsidR="003A0E49">
        <w:rPr>
          <w:rFonts w:ascii="Georgia" w:hAnsi="Georgia"/>
          <w:sz w:val="18"/>
          <w:szCs w:val="18"/>
        </w:rPr>
        <w:t>,</w:t>
      </w:r>
      <w:r w:rsidRPr="00A369B9">
        <w:rPr>
          <w:rFonts w:ascii="Georgia" w:hAnsi="Georgia"/>
          <w:sz w:val="18"/>
          <w:szCs w:val="18"/>
        </w:rPr>
        <w:t xml:space="preserve"> we aim to have put in place a basic capacity with the </w:t>
      </w:r>
      <w:r w:rsidR="00514A46">
        <w:rPr>
          <w:rFonts w:ascii="Georgia" w:hAnsi="Georgia"/>
          <w:sz w:val="18"/>
          <w:szCs w:val="18"/>
        </w:rPr>
        <w:t>provincial</w:t>
      </w:r>
      <w:r w:rsidRPr="00A369B9">
        <w:rPr>
          <w:rFonts w:ascii="Georgia" w:hAnsi="Georgia"/>
          <w:sz w:val="18"/>
          <w:szCs w:val="18"/>
        </w:rPr>
        <w:t xml:space="preserve"> administration to deliver basic services and </w:t>
      </w:r>
      <w:r w:rsidR="00600A14">
        <w:rPr>
          <w:rFonts w:ascii="Georgia" w:hAnsi="Georgia"/>
          <w:sz w:val="18"/>
          <w:szCs w:val="18"/>
        </w:rPr>
        <w:t xml:space="preserve">to further develop </w:t>
      </w:r>
      <w:r w:rsidRPr="00A369B9">
        <w:rPr>
          <w:rFonts w:ascii="Georgia" w:hAnsi="Georgia"/>
          <w:sz w:val="18"/>
          <w:szCs w:val="18"/>
        </w:rPr>
        <w:t>essential infrastructure</w:t>
      </w:r>
      <w:r w:rsidR="003A0E49">
        <w:rPr>
          <w:rFonts w:ascii="Georgia" w:hAnsi="Georgia"/>
          <w:sz w:val="18"/>
          <w:szCs w:val="18"/>
        </w:rPr>
        <w:t>.</w:t>
      </w:r>
      <w:r w:rsidR="00B63BCA">
        <w:rPr>
          <w:rFonts w:ascii="Georgia" w:hAnsi="Georgia"/>
          <w:sz w:val="18"/>
          <w:szCs w:val="18"/>
        </w:rPr>
        <w:t xml:space="preserve"> </w:t>
      </w:r>
      <w:r w:rsidR="00514A46">
        <w:rPr>
          <w:rFonts w:ascii="Georgia" w:hAnsi="Georgia"/>
          <w:sz w:val="18"/>
          <w:szCs w:val="18"/>
        </w:rPr>
        <w:t>We</w:t>
      </w:r>
      <w:r w:rsidRPr="00A369B9">
        <w:rPr>
          <w:rFonts w:ascii="Georgia" w:hAnsi="Georgia"/>
          <w:sz w:val="18"/>
          <w:szCs w:val="18"/>
        </w:rPr>
        <w:t xml:space="preserve"> also</w:t>
      </w:r>
      <w:r w:rsidR="00600A14">
        <w:rPr>
          <w:rFonts w:ascii="Georgia" w:hAnsi="Georgia"/>
          <w:sz w:val="18"/>
          <w:szCs w:val="18"/>
        </w:rPr>
        <w:t xml:space="preserve"> aim</w:t>
      </w:r>
      <w:r w:rsidRPr="00A369B9">
        <w:rPr>
          <w:rFonts w:ascii="Georgia" w:hAnsi="Georgia"/>
          <w:sz w:val="18"/>
          <w:szCs w:val="18"/>
        </w:rPr>
        <w:t xml:space="preserve"> to</w:t>
      </w:r>
      <w:r w:rsidR="003A0E49">
        <w:rPr>
          <w:rFonts w:ascii="Georgia" w:hAnsi="Georgia"/>
          <w:sz w:val="18"/>
          <w:szCs w:val="18"/>
        </w:rPr>
        <w:t xml:space="preserve"> have</w:t>
      </w:r>
      <w:r w:rsidRPr="00A369B9">
        <w:rPr>
          <w:rFonts w:ascii="Georgia" w:hAnsi="Georgia"/>
          <w:sz w:val="18"/>
          <w:szCs w:val="18"/>
        </w:rPr>
        <w:t xml:space="preserve"> buil</w:t>
      </w:r>
      <w:r w:rsidR="003A0E49">
        <w:rPr>
          <w:rFonts w:ascii="Georgia" w:hAnsi="Georgia"/>
          <w:sz w:val="18"/>
          <w:szCs w:val="18"/>
        </w:rPr>
        <w:t>t</w:t>
      </w:r>
      <w:r w:rsidRPr="00A369B9">
        <w:rPr>
          <w:rFonts w:ascii="Georgia" w:hAnsi="Georgia"/>
          <w:sz w:val="18"/>
          <w:szCs w:val="18"/>
        </w:rPr>
        <w:t xml:space="preserve"> links between the provincial and national government to improve the</w:t>
      </w:r>
      <w:r w:rsidR="00600A14">
        <w:rPr>
          <w:rFonts w:ascii="Georgia" w:hAnsi="Georgia"/>
          <w:sz w:val="18"/>
          <w:szCs w:val="18"/>
        </w:rPr>
        <w:t xml:space="preserve"> drawdown of funding for</w:t>
      </w:r>
      <w:r w:rsidRPr="00A369B9">
        <w:rPr>
          <w:rFonts w:ascii="Georgia" w:hAnsi="Georgia"/>
          <w:sz w:val="18"/>
          <w:szCs w:val="18"/>
        </w:rPr>
        <w:t xml:space="preserve"> delivery of national development programs in Uruzgan. </w:t>
      </w:r>
    </w:p>
    <w:p w:rsidR="00ED1505" w:rsidRDefault="00493156" w:rsidP="004559D3">
      <w:pPr>
        <w:pStyle w:val="Heading1"/>
      </w:pPr>
      <w:bookmarkStart w:id="2" w:name="_Toc360974019"/>
      <w:r>
        <w:t>P</w:t>
      </w:r>
      <w:r w:rsidR="00A51552">
        <w:t>rogress against objectives</w:t>
      </w:r>
      <w:bookmarkEnd w:id="2"/>
    </w:p>
    <w:p w:rsidR="00ED1505" w:rsidRDefault="00ED1505" w:rsidP="008B61F7">
      <w:pPr>
        <w:pStyle w:val="BodyText"/>
      </w:pPr>
      <w:r>
        <w:t xml:space="preserve">This is the first </w:t>
      </w:r>
      <w:r w:rsidR="00A51552">
        <w:t>Development Cooperation Report</w:t>
      </w:r>
      <w:r>
        <w:t xml:space="preserve"> for </w:t>
      </w:r>
      <w:smartTag w:uri="urn:schemas-microsoft-com:office:smarttags" w:element="place">
        <w:smartTag w:uri="urn:schemas-microsoft-com:office:smarttags" w:element="country-region">
          <w:r>
            <w:t>Afghanistan</w:t>
          </w:r>
        </w:smartTag>
      </w:smartTag>
      <w:r>
        <w:t xml:space="preserve">. </w:t>
      </w:r>
      <w:r w:rsidR="00A51552">
        <w:t xml:space="preserve"> </w:t>
      </w:r>
      <w:r>
        <w:t xml:space="preserve">It covers a period of significant change in the Australian aid program, including the Government’s announcement of an increased civilian commitment to </w:t>
      </w:r>
      <w:smartTag w:uri="urn:schemas-microsoft-com:office:smarttags" w:element="place">
        <w:smartTag w:uri="urn:schemas-microsoft-com:office:smarttags" w:element="country-region">
          <w:r>
            <w:t>Afghanistan</w:t>
          </w:r>
        </w:smartTag>
      </w:smartTag>
      <w:r>
        <w:t xml:space="preserve"> in April 2010, and the subsequent rapid deployment of increased staff and resources. </w:t>
      </w:r>
      <w:r w:rsidR="00A51552">
        <w:t xml:space="preserve"> </w:t>
      </w:r>
      <w:r w:rsidR="00786D17">
        <w:t>O</w:t>
      </w:r>
      <w:r>
        <w:t>verall quality ratings for the delivery of the program</w:t>
      </w:r>
      <w:r w:rsidR="00786D17">
        <w:t>, including both high fiduciary and security risks</w:t>
      </w:r>
      <w:r>
        <w:t>,</w:t>
      </w:r>
      <w:r w:rsidR="00786D17">
        <w:t xml:space="preserve"> are assessed as reasonable,</w:t>
      </w:r>
      <w:r>
        <w:t xml:space="preserve"> recognising this period of transition and the difficult working environment.</w:t>
      </w:r>
      <w:r w:rsidR="00EC4F7A">
        <w:t xml:space="preserve">  </w:t>
      </w:r>
    </w:p>
    <w:p w:rsidR="00BB7688" w:rsidRDefault="00BB7688" w:rsidP="00BB7688">
      <w:pPr>
        <w:pStyle w:val="Caption"/>
      </w:pPr>
      <w:r>
        <w:t xml:space="preserve">Ratings of the program’s progress in 2010 towards the pillars of the </w:t>
      </w:r>
      <w:smartTag w:uri="urn:schemas-microsoft-com:office:smarttags" w:element="country-region">
        <w:smartTag w:uri="urn:schemas-microsoft-com:office:smarttags" w:element="place">
          <w:r>
            <w:t>Afghanistan</w:t>
          </w:r>
        </w:smartTag>
      </w:smartTag>
      <w:r>
        <w:t xml:space="preserve"> program</w:t>
      </w:r>
    </w:p>
    <w:tbl>
      <w:tblPr>
        <w:tblW w:w="0" w:type="auto"/>
        <w:tblInd w:w="57" w:type="dxa"/>
        <w:tblLook w:val="01E0" w:firstRow="1" w:lastRow="1" w:firstColumn="1" w:lastColumn="1" w:noHBand="0" w:noVBand="0"/>
      </w:tblPr>
      <w:tblGrid>
        <w:gridCol w:w="5468"/>
        <w:gridCol w:w="885"/>
        <w:gridCol w:w="1693"/>
      </w:tblGrid>
      <w:tr w:rsidR="00BB7688" w:rsidRPr="00D81B5B" w:rsidTr="00377478">
        <w:trPr>
          <w:cantSplit/>
          <w:tblHeader/>
        </w:trPr>
        <w:tc>
          <w:tcPr>
            <w:tcW w:w="5725" w:type="dxa"/>
            <w:tcBorders>
              <w:top w:val="single" w:sz="12" w:space="0" w:color="auto"/>
              <w:bottom w:val="single" w:sz="2" w:space="0" w:color="auto"/>
            </w:tcBorders>
            <w:tcMar>
              <w:left w:w="57" w:type="dxa"/>
              <w:right w:w="57" w:type="dxa"/>
            </w:tcMar>
          </w:tcPr>
          <w:p w:rsidR="00BB7688" w:rsidRPr="00D81B5B" w:rsidRDefault="00BB7688" w:rsidP="002F6E12">
            <w:pPr>
              <w:pStyle w:val="TableTextColumnHeading"/>
            </w:pPr>
            <w:r>
              <w:t>Pillar</w:t>
            </w:r>
          </w:p>
        </w:tc>
        <w:tc>
          <w:tcPr>
            <w:tcW w:w="896" w:type="dxa"/>
            <w:tcBorders>
              <w:top w:val="single" w:sz="12" w:space="0" w:color="auto"/>
              <w:bottom w:val="single" w:sz="2" w:space="0" w:color="auto"/>
            </w:tcBorders>
            <w:tcMar>
              <w:left w:w="57" w:type="dxa"/>
              <w:right w:w="57" w:type="dxa"/>
            </w:tcMar>
          </w:tcPr>
          <w:p w:rsidR="00BB7688" w:rsidRDefault="00BB7688" w:rsidP="002F6E12">
            <w:pPr>
              <w:pStyle w:val="TableTextColumnHeading"/>
              <w:jc w:val="center"/>
            </w:pPr>
            <w:r w:rsidRPr="00D81B5B">
              <w:t>Rating</w:t>
            </w:r>
            <w:r>
              <w:t xml:space="preserve"> in 2010</w:t>
            </w:r>
          </w:p>
        </w:tc>
        <w:tc>
          <w:tcPr>
            <w:tcW w:w="1743" w:type="dxa"/>
            <w:tcBorders>
              <w:top w:val="single" w:sz="12" w:space="0" w:color="auto"/>
              <w:bottom w:val="single" w:sz="2" w:space="0" w:color="auto"/>
            </w:tcBorders>
          </w:tcPr>
          <w:p w:rsidR="00BB7688" w:rsidRDefault="00BB7688" w:rsidP="002F6E12">
            <w:pPr>
              <w:pStyle w:val="TableTextColumnHeading"/>
              <w:jc w:val="center"/>
            </w:pPr>
            <w:r>
              <w:t>Relative to</w:t>
            </w:r>
            <w:r w:rsidRPr="00D81B5B">
              <w:t xml:space="preserve"> </w:t>
            </w:r>
            <w:r>
              <w:br/>
            </w:r>
            <w:r w:rsidRPr="00D81B5B">
              <w:t>previous rating</w:t>
            </w:r>
          </w:p>
        </w:tc>
      </w:tr>
      <w:tr w:rsidR="00BB7688" w:rsidRPr="00D81B5B" w:rsidTr="002F6E12">
        <w:trPr>
          <w:cantSplit/>
        </w:trPr>
        <w:tc>
          <w:tcPr>
            <w:tcW w:w="5725" w:type="dxa"/>
            <w:tcBorders>
              <w:top w:val="single" w:sz="2" w:space="0" w:color="auto"/>
            </w:tcBorders>
            <w:tcMar>
              <w:left w:w="57" w:type="dxa"/>
              <w:right w:w="57" w:type="dxa"/>
            </w:tcMar>
            <w:vAlign w:val="center"/>
          </w:tcPr>
          <w:p w:rsidR="00BB7688" w:rsidRPr="0058729F" w:rsidRDefault="00BB7688" w:rsidP="002F6E12">
            <w:pPr>
              <w:pStyle w:val="TableTextEntries"/>
            </w:pPr>
            <w:r>
              <w:t>Enhancing basic service delivery in health and education</w:t>
            </w:r>
          </w:p>
        </w:tc>
        <w:tc>
          <w:tcPr>
            <w:tcW w:w="896" w:type="dxa"/>
            <w:tcBorders>
              <w:top w:val="single" w:sz="2" w:space="0" w:color="auto"/>
            </w:tcBorders>
            <w:tcMar>
              <w:left w:w="57" w:type="dxa"/>
              <w:right w:w="57" w:type="dxa"/>
            </w:tcMar>
            <w:vAlign w:val="center"/>
          </w:tcPr>
          <w:p w:rsidR="00BB7688" w:rsidRPr="0058729F" w:rsidRDefault="00B63639" w:rsidP="002F6E12">
            <w:pPr>
              <w:pStyle w:val="Ratingbullet"/>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168275</wp:posOffset>
                      </wp:positionH>
                      <wp:positionV relativeFrom="paragraph">
                        <wp:posOffset>33020</wp:posOffset>
                      </wp:positionV>
                      <wp:extent cx="142875" cy="142875"/>
                      <wp:effectExtent l="0" t="0" r="635" b="4445"/>
                      <wp:wrapNone/>
                      <wp:docPr id="7" name="Rectangle 1183" descr="Amb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3" o:spid="_x0000_s1026" alt="Amber " style="position:absolute;margin-left:13.25pt;margin-top:2.6pt;width:11.2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" fillcolor="#f79646" stroked="f"/>
                  </w:pict>
                </mc:Fallback>
              </mc:AlternateContent>
            </w:r>
          </w:p>
        </w:tc>
        <w:tc>
          <w:tcPr>
            <w:tcW w:w="1743" w:type="dxa"/>
            <w:tcBorders>
              <w:top w:val="single" w:sz="2" w:space="0" w:color="auto"/>
            </w:tcBorders>
            <w:vAlign w:val="center"/>
          </w:tcPr>
          <w:p w:rsidR="00BB7688" w:rsidRPr="0058729F" w:rsidRDefault="00BB7688" w:rsidP="002F6E12">
            <w:pPr>
              <w:pStyle w:val="TableTextEntries"/>
              <w:jc w:val="center"/>
            </w:pPr>
            <w:r>
              <w:t>N/A</w:t>
            </w:r>
          </w:p>
        </w:tc>
      </w:tr>
      <w:tr w:rsidR="00BB7688" w:rsidRPr="00D81B5B" w:rsidTr="002F6E12">
        <w:trPr>
          <w:cantSplit/>
        </w:trPr>
        <w:tc>
          <w:tcPr>
            <w:tcW w:w="5725" w:type="dxa"/>
            <w:tcMar>
              <w:left w:w="57" w:type="dxa"/>
              <w:right w:w="57" w:type="dxa"/>
            </w:tcMar>
            <w:vAlign w:val="center"/>
          </w:tcPr>
          <w:p w:rsidR="00BB7688" w:rsidRPr="0058729F" w:rsidRDefault="00BB7688" w:rsidP="002F6E12">
            <w:pPr>
              <w:pStyle w:val="TableTextEntries"/>
            </w:pPr>
            <w:r>
              <w:t>Supporting rural development and livelihoods</w:t>
            </w:r>
          </w:p>
        </w:tc>
        <w:tc>
          <w:tcPr>
            <w:tcW w:w="896" w:type="dxa"/>
            <w:tcMar>
              <w:left w:w="57" w:type="dxa"/>
              <w:right w:w="57" w:type="dxa"/>
            </w:tcMar>
            <w:vAlign w:val="center"/>
          </w:tcPr>
          <w:p w:rsidR="00BB7688" w:rsidRPr="0058729F" w:rsidRDefault="00B63639" w:rsidP="002F6E12">
            <w:pPr>
              <w:pStyle w:val="Ratingbullet"/>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168910</wp:posOffset>
                      </wp:positionH>
                      <wp:positionV relativeFrom="paragraph">
                        <wp:posOffset>20955</wp:posOffset>
                      </wp:positionV>
                      <wp:extent cx="142875" cy="142875"/>
                      <wp:effectExtent l="0" t="1905" r="0" b="0"/>
                      <wp:wrapNone/>
                      <wp:docPr id="6" name="Rectangle 1184" descr="Amb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4" o:spid="_x0000_s1026" alt="Amber " style="position:absolute;margin-left:13.3pt;margin-top:1.6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" fillcolor="#f79646" stroked="f"/>
                  </w:pict>
                </mc:Fallback>
              </mc:AlternateContent>
            </w:r>
          </w:p>
        </w:tc>
        <w:tc>
          <w:tcPr>
            <w:tcW w:w="1743" w:type="dxa"/>
            <w:vAlign w:val="center"/>
          </w:tcPr>
          <w:p w:rsidR="00BB7688" w:rsidRPr="0058729F" w:rsidRDefault="00BB7688" w:rsidP="002F6E12">
            <w:pPr>
              <w:pStyle w:val="TableTextEntries"/>
              <w:jc w:val="center"/>
            </w:pPr>
            <w:r>
              <w:t>N/A</w:t>
            </w:r>
          </w:p>
        </w:tc>
      </w:tr>
      <w:tr w:rsidR="00BB7688" w:rsidRPr="00D81B5B" w:rsidTr="002F6E12">
        <w:trPr>
          <w:cantSplit/>
        </w:trPr>
        <w:tc>
          <w:tcPr>
            <w:tcW w:w="5725" w:type="dxa"/>
            <w:tcMar>
              <w:left w:w="57" w:type="dxa"/>
              <w:right w:w="57" w:type="dxa"/>
            </w:tcMar>
            <w:vAlign w:val="center"/>
          </w:tcPr>
          <w:p w:rsidR="00BB7688" w:rsidRPr="0058729F" w:rsidRDefault="00BB7688" w:rsidP="002F6E12">
            <w:pPr>
              <w:pStyle w:val="TableTextEntries"/>
            </w:pPr>
            <w:r>
              <w:t>Improving governance and the effectiveness of the Afghan Government</w:t>
            </w:r>
          </w:p>
        </w:tc>
        <w:tc>
          <w:tcPr>
            <w:tcW w:w="896" w:type="dxa"/>
            <w:tcMar>
              <w:left w:w="57" w:type="dxa"/>
              <w:right w:w="57" w:type="dxa"/>
            </w:tcMar>
            <w:vAlign w:val="center"/>
          </w:tcPr>
          <w:p w:rsidR="00BB7688" w:rsidRPr="0058729F" w:rsidRDefault="00B63639" w:rsidP="002F6E12">
            <w:pPr>
              <w:pStyle w:val="Ratingbullet"/>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164465</wp:posOffset>
                      </wp:positionH>
                      <wp:positionV relativeFrom="paragraph">
                        <wp:posOffset>5715</wp:posOffset>
                      </wp:positionV>
                      <wp:extent cx="142875" cy="142875"/>
                      <wp:effectExtent l="0" t="0" r="4445" b="3810"/>
                      <wp:wrapNone/>
                      <wp:docPr id="5" name="Rectangle 1185" descr="Amb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o:spid="_x0000_s1026" alt="Amber " style="position:absolute;margin-left:12.95pt;margin-top:.45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" fillcolor="#f79646" stroked="f"/>
                  </w:pict>
                </mc:Fallback>
              </mc:AlternateContent>
            </w:r>
          </w:p>
        </w:tc>
        <w:tc>
          <w:tcPr>
            <w:tcW w:w="1743" w:type="dxa"/>
            <w:vAlign w:val="center"/>
          </w:tcPr>
          <w:p w:rsidR="00BB7688" w:rsidRPr="0058729F" w:rsidRDefault="00BB7688" w:rsidP="002F6E12">
            <w:pPr>
              <w:pStyle w:val="TableTextEntries"/>
              <w:jc w:val="center"/>
            </w:pPr>
            <w:r>
              <w:t>N/A</w:t>
            </w:r>
          </w:p>
        </w:tc>
      </w:tr>
      <w:tr w:rsidR="00BB7688" w:rsidRPr="00D81B5B" w:rsidTr="002F6E12">
        <w:trPr>
          <w:cantSplit/>
        </w:trPr>
        <w:tc>
          <w:tcPr>
            <w:tcW w:w="5725" w:type="dxa"/>
            <w:tcBorders>
              <w:bottom w:val="single" w:sz="12" w:space="0" w:color="auto"/>
            </w:tcBorders>
            <w:tcMar>
              <w:left w:w="57" w:type="dxa"/>
              <w:right w:w="57" w:type="dxa"/>
            </w:tcMar>
            <w:vAlign w:val="center"/>
          </w:tcPr>
          <w:p w:rsidR="00BB7688" w:rsidRPr="00D81B5B" w:rsidRDefault="00BB7688" w:rsidP="002F6E12">
            <w:pPr>
              <w:pStyle w:val="TableTextEntries"/>
            </w:pPr>
            <w:r>
              <w:lastRenderedPageBreak/>
              <w:t>Supporting vulnerable populations</w:t>
            </w:r>
          </w:p>
        </w:tc>
        <w:tc>
          <w:tcPr>
            <w:tcW w:w="896" w:type="dxa"/>
            <w:tcBorders>
              <w:bottom w:val="single" w:sz="12" w:space="0" w:color="auto"/>
            </w:tcBorders>
            <w:tcMar>
              <w:left w:w="57" w:type="dxa"/>
              <w:right w:w="57" w:type="dxa"/>
            </w:tcMar>
            <w:vAlign w:val="center"/>
          </w:tcPr>
          <w:p w:rsidR="00BB7688" w:rsidRPr="0058729F" w:rsidRDefault="00B63639" w:rsidP="002F6E12">
            <w:pPr>
              <w:pStyle w:val="Ratingbullet"/>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165100</wp:posOffset>
                      </wp:positionH>
                      <wp:positionV relativeFrom="paragraph">
                        <wp:posOffset>0</wp:posOffset>
                      </wp:positionV>
                      <wp:extent cx="142875" cy="142875"/>
                      <wp:effectExtent l="0" t="0" r="3810" b="635"/>
                      <wp:wrapNone/>
                      <wp:docPr id="4" name="Rectangle 1186" descr="Amb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o:spid="_x0000_s1026" alt="Amber " style="position:absolute;margin-left:13pt;margin-top:0;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" fillcolor="#f79646" stroked="f"/>
                  </w:pict>
                </mc:Fallback>
              </mc:AlternateContent>
            </w:r>
          </w:p>
        </w:tc>
        <w:tc>
          <w:tcPr>
            <w:tcW w:w="1743" w:type="dxa"/>
            <w:tcBorders>
              <w:bottom w:val="single" w:sz="12" w:space="0" w:color="auto"/>
            </w:tcBorders>
            <w:vAlign w:val="center"/>
          </w:tcPr>
          <w:p w:rsidR="00BB7688" w:rsidRPr="0058729F" w:rsidRDefault="00BB7688" w:rsidP="002F6E12">
            <w:pPr>
              <w:pStyle w:val="TableTextEntries"/>
              <w:jc w:val="center"/>
            </w:pPr>
            <w:r>
              <w:t>N/A</w:t>
            </w:r>
          </w:p>
        </w:tc>
      </w:tr>
    </w:tbl>
    <w:p w:rsidR="00BB7688" w:rsidRDefault="00BB7688" w:rsidP="00BB7688">
      <w:pPr>
        <w:pStyle w:val="Note"/>
        <w:keepNext/>
      </w:pPr>
      <w:r w:rsidRPr="00D33DDE">
        <w:t xml:space="preserve">Note: </w:t>
      </w:r>
    </w:p>
    <w:p w:rsidR="00BB7688" w:rsidRPr="006D2818" w:rsidRDefault="00B63639" w:rsidP="00BB7688">
      <w:pPr>
        <w:pStyle w:val="Note"/>
        <w:keepNext/>
        <w:spacing w:before="0"/>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22860</wp:posOffset>
                </wp:positionV>
                <wp:extent cx="90805" cy="90805"/>
                <wp:effectExtent l="7620" t="9525" r="6350" b="13970"/>
                <wp:wrapNone/>
                <wp:docPr id="3" name="Rectangle 1188" descr="Gree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8" o:spid="_x0000_s1026" alt="Green " style="position:absolute;margin-left:1.4pt;margin-top:1.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" fillcolor="#92d050" strokecolor="#92d050"/>
            </w:pict>
          </mc:Fallback>
        </mc:AlternateContent>
      </w:r>
      <w:r w:rsidR="00695940">
        <w:rPr>
          <w:color w:val="99CC00"/>
          <w:sz w:val="18"/>
          <w:szCs w:val="18"/>
        </w:rPr>
        <w:t xml:space="preserve">    </w:t>
      </w:r>
      <w:r w:rsidR="00BB7688">
        <w:rPr>
          <w:rFonts w:ascii="Arial Unicode MS" w:eastAsia="Arial Unicode MS" w:hAnsi="Arial Unicode MS" w:cs="Arial Unicode MS" w:hint="eastAsia"/>
        </w:rPr>
        <w:t> </w:t>
      </w:r>
      <w:proofErr w:type="gramStart"/>
      <w:r w:rsidR="00BB7688" w:rsidRPr="00DC4BCB">
        <w:rPr>
          <w:rFonts w:ascii="Arial Unicode MS" w:eastAsia="Arial Unicode MS" w:hAnsi="Arial Unicode MS" w:cs="Arial Unicode MS"/>
        </w:rPr>
        <w:t>Will be fully achieved within the timeframe of the strategy.</w:t>
      </w:r>
      <w:proofErr w:type="gramEnd"/>
    </w:p>
    <w:p w:rsidR="00BB7688" w:rsidRPr="006D2818" w:rsidRDefault="00B63639" w:rsidP="00BB7688">
      <w:pPr>
        <w:pStyle w:val="Note"/>
        <w:keepNext/>
        <w:spacing w:before="0"/>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10795</wp:posOffset>
                </wp:positionV>
                <wp:extent cx="90805" cy="90805"/>
                <wp:effectExtent l="7620" t="9525" r="6350" b="13970"/>
                <wp:wrapNone/>
                <wp:docPr id="2" name="Rectangle 1190" descr="Amb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0" o:spid="_x0000_s1026" alt="Amber " style="position:absolute;margin-left:1.4pt;margin-top:.8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" fillcolor="#ffc000" strokecolor="#ffc000"/>
            </w:pict>
          </mc:Fallback>
        </mc:AlternateContent>
      </w:r>
      <w:r w:rsidR="00695940">
        <w:rPr>
          <w:rFonts w:ascii="Arial Unicode MS" w:eastAsia="Arial Unicode MS" w:hAnsi="Arial Unicode MS" w:cs="Arial Unicode MS"/>
        </w:rPr>
        <w:t xml:space="preserve">     </w:t>
      </w:r>
      <w:r w:rsidR="00BB7688">
        <w:rPr>
          <w:rFonts w:ascii="Arial Unicode MS" w:eastAsia="Arial Unicode MS" w:hAnsi="Arial Unicode MS" w:cs="Arial Unicode MS" w:hint="eastAsia"/>
        </w:rPr>
        <w:t> </w:t>
      </w:r>
      <w:proofErr w:type="gramStart"/>
      <w:r w:rsidR="00BB7688">
        <w:rPr>
          <w:rFonts w:ascii="Arial Unicode MS" w:eastAsia="Arial Unicode MS" w:hAnsi="Arial Unicode MS" w:cs="Arial Unicode MS"/>
        </w:rPr>
        <w:t>W</w:t>
      </w:r>
      <w:r w:rsidR="00BB7688" w:rsidRPr="00DC4BCB">
        <w:rPr>
          <w:rFonts w:ascii="Arial Unicode MS" w:eastAsia="Arial Unicode MS" w:hAnsi="Arial Unicode MS" w:cs="Arial Unicode MS"/>
        </w:rPr>
        <w:t>ill be partly achieved within the timeframe of the strategy.</w:t>
      </w:r>
      <w:proofErr w:type="gramEnd"/>
    </w:p>
    <w:p w:rsidR="00BB7688" w:rsidRDefault="00B63639" w:rsidP="00BB7688">
      <w:pPr>
        <w:pStyle w:val="Note"/>
        <w:spacing w:before="0"/>
      </w:pPr>
      <w:r>
        <w:rPr>
          <w:rFonts w:ascii="Arial Unicode MS" w:eastAsia="Arial Unicode MS" w:hAnsi="Arial Unicode MS" w:cs="Arial Unicode MS" w:hint="eastAsia"/>
          <w:noProof/>
          <w:lang w:val="en-US"/>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8255</wp:posOffset>
                </wp:positionV>
                <wp:extent cx="90805" cy="90805"/>
                <wp:effectExtent l="7620" t="9525" r="6350" b="13970"/>
                <wp:wrapNone/>
                <wp:docPr id="1" name="Rectangle 1191" descr="R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1" o:spid="_x0000_s1026" alt="Red " style="position:absolute;margin-left:1.4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" fillcolor="red" strokecolor="red"/>
            </w:pict>
          </mc:Fallback>
        </mc:AlternateContent>
      </w:r>
      <w:r w:rsidR="00695940">
        <w:rPr>
          <w:rFonts w:ascii="Arial Unicode MS" w:eastAsia="Arial Unicode MS" w:hAnsi="Arial Unicode MS" w:cs="Arial Unicode MS"/>
        </w:rPr>
        <w:t xml:space="preserve">      </w:t>
      </w:r>
      <w:proofErr w:type="gramStart"/>
      <w:r w:rsidR="00BB7688">
        <w:rPr>
          <w:rFonts w:ascii="Arial Unicode MS" w:eastAsia="Arial Unicode MS" w:hAnsi="Arial Unicode MS" w:cs="Arial Unicode MS"/>
        </w:rPr>
        <w:t>I</w:t>
      </w:r>
      <w:r w:rsidR="00BB7688" w:rsidRPr="006D2818">
        <w:t>s unlikely to be achieved within the timeframe of the strategy.</w:t>
      </w:r>
      <w:proofErr w:type="gramEnd"/>
    </w:p>
    <w:p w:rsidR="00ED1505" w:rsidRDefault="00ED1505" w:rsidP="00B63639">
      <w:pPr>
        <w:pStyle w:val="Heading2"/>
        <w:spacing w:before="360"/>
      </w:pPr>
      <w:bookmarkStart w:id="3" w:name="_Toc360974020"/>
      <w:r>
        <w:t>Objective</w:t>
      </w:r>
      <w:r w:rsidR="00493156">
        <w:t xml:space="preserve"> </w:t>
      </w:r>
      <w:r w:rsidRPr="00A369B9">
        <w:t>Pillar 1: Enhancing basic service delivery in health and education</w:t>
      </w:r>
      <w:bookmarkEnd w:id="3"/>
    </w:p>
    <w:p w:rsidR="00ED1505" w:rsidRDefault="00ED1505" w:rsidP="00A369B9">
      <w:pPr>
        <w:pStyle w:val="BodyText"/>
      </w:pPr>
      <w:r>
        <w:t xml:space="preserve">Work in health and education is critical to addressing </w:t>
      </w:r>
      <w:smartTag w:uri="urn:schemas-microsoft-com:office:smarttags" w:element="country-region">
        <w:smartTag w:uri="urn:schemas-microsoft-com:office:smarttags" w:element="place">
          <w:r>
            <w:t>Afghanistan</w:t>
          </w:r>
        </w:smartTag>
      </w:smartTag>
      <w:r>
        <w:t>’s poor development indicators. This pillar focuses on improving service delivery through enhancing access and quality, and comprises both the health and education sectors.</w:t>
      </w:r>
    </w:p>
    <w:p w:rsidR="00ED1505" w:rsidRDefault="00ED1505" w:rsidP="00A369B9">
      <w:pPr>
        <w:pStyle w:val="BodyText"/>
      </w:pPr>
      <w:r>
        <w:t xml:space="preserve">In 2010, the rapid growth in the program was managed by </w:t>
      </w:r>
      <w:r w:rsidR="00141D9E">
        <w:t>interim</w:t>
      </w:r>
      <w:r>
        <w:t xml:space="preserve"> extensions of support to existing health and education programs </w:t>
      </w:r>
      <w:r w:rsidR="009E1F54">
        <w:t>implemented by experienced</w:t>
      </w:r>
      <w:r>
        <w:t xml:space="preserve"> NGO partners. To better manage the scale-up and ensure effectiveness, multi-year programs were developed throughout 2010, and will be reviewed in the 2011 </w:t>
      </w:r>
      <w:r w:rsidR="00786D17">
        <w:t>annual performance report</w:t>
      </w:r>
      <w:r>
        <w:t xml:space="preserve">. </w:t>
      </w:r>
    </w:p>
    <w:p w:rsidR="00ED1505" w:rsidRPr="00377478" w:rsidRDefault="00ED1505" w:rsidP="00377478">
      <w:pPr>
        <w:pStyle w:val="H3"/>
      </w:pPr>
      <w:r w:rsidRPr="00377478">
        <w:t>Australia’s Contribution</w:t>
      </w:r>
    </w:p>
    <w:p w:rsidR="00ED1505" w:rsidRPr="00377478" w:rsidRDefault="00ED1505" w:rsidP="00377478">
      <w:pPr>
        <w:pStyle w:val="H4"/>
      </w:pPr>
      <w:r w:rsidRPr="00377478">
        <w:t>Health</w:t>
      </w:r>
    </w:p>
    <w:p w:rsidR="00ED1505" w:rsidRDefault="00ED1505" w:rsidP="00A369B9">
      <w:pPr>
        <w:pStyle w:val="BodyText"/>
      </w:pPr>
      <w:r>
        <w:t>1.</w:t>
      </w:r>
      <w:r>
        <w:tab/>
      </w:r>
      <w:r w:rsidRPr="005A5B2F">
        <w:rPr>
          <w:i/>
        </w:rPr>
        <w:t>Enhancing access to basic health services</w:t>
      </w:r>
    </w:p>
    <w:p w:rsidR="00786D17" w:rsidRDefault="00ED1505" w:rsidP="00A369B9">
      <w:pPr>
        <w:pStyle w:val="BodyText"/>
      </w:pPr>
      <w:r>
        <w:t>In 2010, AusAID extended its support to the International Federation of the Red Cross and the Afghan Red Crescent Society</w:t>
      </w:r>
      <w:r w:rsidR="00E67E6B">
        <w:t xml:space="preserve"> to improve access by remote communities to basic health care services.</w:t>
      </w:r>
      <w:r>
        <w:t xml:space="preserve"> During July to October the emergency mobile units provided services to over 30,000 patients while 37 clinics provided services to 141,500 patients and immunised over 79,000 women and children</w:t>
      </w:r>
      <w:r w:rsidR="000C51A5">
        <w:t>.</w:t>
      </w:r>
      <w:r w:rsidR="00493156">
        <w:t xml:space="preserve"> </w:t>
      </w:r>
    </w:p>
    <w:p w:rsidR="00F94E32" w:rsidRDefault="00F94E32" w:rsidP="00A369B9">
      <w:pPr>
        <w:pStyle w:val="BodyText"/>
      </w:pPr>
      <w:r>
        <w:t>Australian</w:t>
      </w:r>
      <w:r w:rsidR="00ED1505">
        <w:t xml:space="preserve"> contributions to the A</w:t>
      </w:r>
      <w:r>
        <w:t xml:space="preserve">fghanistan </w:t>
      </w:r>
      <w:r w:rsidR="00ED1505">
        <w:t>R</w:t>
      </w:r>
      <w:r>
        <w:t xml:space="preserve">econstruction </w:t>
      </w:r>
      <w:r w:rsidR="00ED1505">
        <w:t>T</w:t>
      </w:r>
      <w:r>
        <w:t xml:space="preserve">rust </w:t>
      </w:r>
      <w:r w:rsidR="00ED1505">
        <w:t>F</w:t>
      </w:r>
      <w:r>
        <w:t>und (ARTF</w:t>
      </w:r>
      <w:r w:rsidR="00786D17">
        <w:t>) also</w:t>
      </w:r>
      <w:r w:rsidR="00ED1505">
        <w:t xml:space="preserve"> supported increased access to basic health services, including maternal and child health, in 11 provinces. The ARTF-supported Strengthening Health Activities for the Rural Poor (SHARP) program, which implements the national Basic Package of Health Services (BPHS), started in April 2010. The project increased the immunisation coverage of children from 12-23 months from 34.6 per cent in 2006 to 43 per cent (the target was 40 per cent).</w:t>
      </w:r>
      <w:r>
        <w:t xml:space="preserve"> SHARP is also contributing to better access to health services for women, increasing the proportion of health facilities with female staff from 24.8 per cent in 2003 to 72 per cent in mid-2010. The number of patients accessing health services increased from 0.35 per cent of the population in 2005 to 1.3 per cent in June 2010.</w:t>
      </w:r>
      <w:r w:rsidR="00786D17">
        <w:t xml:space="preserve"> </w:t>
      </w:r>
      <w:r w:rsidR="00ED1505">
        <w:t xml:space="preserve">Progress against indicators in other areas, including coverage of antenatal care, </w:t>
      </w:r>
      <w:r>
        <w:t>wa</w:t>
      </w:r>
      <w:r w:rsidR="00ED1505">
        <w:t>s slow</w:t>
      </w:r>
      <w:r>
        <w:t>er,</w:t>
      </w:r>
      <w:r w:rsidR="00ED1505">
        <w:t xml:space="preserve"> with improvements recorded but anticipated targets not being met. </w:t>
      </w:r>
    </w:p>
    <w:p w:rsidR="00ED1505" w:rsidRDefault="00ED1505" w:rsidP="00A369B9">
      <w:pPr>
        <w:pStyle w:val="BodyText"/>
      </w:pPr>
      <w:r>
        <w:t>2.</w:t>
      </w:r>
      <w:r>
        <w:tab/>
      </w:r>
      <w:r w:rsidRPr="005A5B2F">
        <w:rPr>
          <w:i/>
        </w:rPr>
        <w:t>Improving the quality of basic health services</w:t>
      </w:r>
      <w:r>
        <w:t xml:space="preserve"> </w:t>
      </w:r>
    </w:p>
    <w:p w:rsidR="00ED1505" w:rsidRDefault="00ED1505" w:rsidP="00A369B9">
      <w:pPr>
        <w:pStyle w:val="BodyText"/>
      </w:pPr>
      <w:smartTag w:uri="urn:schemas-microsoft-com:office:smarttags" w:element="country-region">
        <w:smartTag w:uri="urn:schemas-microsoft-com:office:smarttags" w:element="place">
          <w:r>
            <w:t>Australia</w:t>
          </w:r>
        </w:smartTag>
      </w:smartTag>
      <w:r>
        <w:t>’s support also contributed to improved quality of health services through training and recruiting health workers. By the end of 2010, 361 midwives had received training under the BPHS and another 150 women were in training. Further, 30 students from Parwan, Panjshir and Kapisa provinces were undertaking training for female community nurses</w:t>
      </w:r>
      <w:r w:rsidR="00F94E32">
        <w:t>.</w:t>
      </w:r>
      <w:r w:rsidR="000C51A5">
        <w:t xml:space="preserve"> </w:t>
      </w:r>
      <w:r>
        <w:t>The Afghan Red Crescent Society</w:t>
      </w:r>
      <w:r w:rsidR="00F94E32">
        <w:t>, supported by Australia,</w:t>
      </w:r>
      <w:r>
        <w:t xml:space="preserve"> trained 275 volunteers in community-based health and first aid.</w:t>
      </w:r>
      <w:r w:rsidR="00F94E32">
        <w:t xml:space="preserve"> </w:t>
      </w:r>
      <w:r>
        <w:t>Activities managed through the</w:t>
      </w:r>
      <w:r w:rsidR="00957A98">
        <w:t xml:space="preserve"> bilateral</w:t>
      </w:r>
      <w:r>
        <w:t xml:space="preserve"> Development Assistance Facility for Afghanistan (DAFA) contributed to improved capacity of the Ministry of Public Health in records management, IT, human resources and policy development.</w:t>
      </w:r>
      <w:r w:rsidRPr="00ED1505">
        <w:rPr>
          <w:rStyle w:val="EndnoteReference"/>
        </w:rPr>
        <w:t xml:space="preserve"> </w:t>
      </w:r>
      <w:r>
        <w:rPr>
          <w:rStyle w:val="EndnoteReference"/>
        </w:rPr>
        <w:endnoteReference w:id="3"/>
      </w:r>
      <w:r>
        <w:t xml:space="preserve"> </w:t>
      </w:r>
    </w:p>
    <w:p w:rsidR="00ED1505" w:rsidRPr="00377478" w:rsidRDefault="00ED1505" w:rsidP="00377478">
      <w:pPr>
        <w:pStyle w:val="H4"/>
      </w:pPr>
      <w:r w:rsidRPr="00377478">
        <w:t>Education</w:t>
      </w:r>
    </w:p>
    <w:p w:rsidR="00ED1505" w:rsidRDefault="00ED1505" w:rsidP="00A369B9">
      <w:pPr>
        <w:pStyle w:val="BodyText"/>
      </w:pPr>
      <w:r>
        <w:lastRenderedPageBreak/>
        <w:t>1.</w:t>
      </w:r>
      <w:r>
        <w:tab/>
      </w:r>
      <w:r w:rsidRPr="005A5B2F">
        <w:rPr>
          <w:i/>
        </w:rPr>
        <w:t>Enhancing access to basic education</w:t>
      </w:r>
    </w:p>
    <w:p w:rsidR="00ED1505" w:rsidRDefault="00ED1505" w:rsidP="00A369B9">
      <w:pPr>
        <w:pStyle w:val="BodyText"/>
      </w:pPr>
      <w:r>
        <w:t>In 2010, AusAID extended support provided since 2008 (which will total $3.5 million over 2010-15) to CARE Australia’s Community Organised Primary Education Project (COPE). COPE enhances access to education for those children, particularly girls, who cannot access formal schooling, by supporting community managed classes with equipment, training teachers and village education committees. During 2009 and 2010 AusAID supported 3,655 s</w:t>
      </w:r>
      <w:r w:rsidR="00E67E6B">
        <w:t>tudents from remote communitie</w:t>
      </w:r>
      <w:r w:rsidR="009E1F54">
        <w:t>s – over 80 per cent</w:t>
      </w:r>
      <w:r w:rsidR="00E67E6B">
        <w:t xml:space="preserve"> of which were girls – </w:t>
      </w:r>
      <w:r>
        <w:t>to attend school.</w:t>
      </w:r>
    </w:p>
    <w:p w:rsidR="00ED1505" w:rsidRDefault="00ED1505" w:rsidP="00A369B9">
      <w:pPr>
        <w:pStyle w:val="BodyText"/>
      </w:pPr>
      <w:r>
        <w:t>Australia’s support to the ARTF also contributed to the increased number of children enrolled in basic education – nearly 7 million were enrolled in 2010, with 2.5 million of them girls</w:t>
      </w:r>
      <w:r w:rsidR="00586593">
        <w:t xml:space="preserve"> (an increase from less than one million in 2001, almost none of whom were girls)</w:t>
      </w:r>
      <w:r>
        <w:t>. By December 2010, 707 school constructions had been started and 105 completed with infrastructure grants from the ARTF-funded Education Quality Improvement Project (EQUIP).</w:t>
      </w:r>
    </w:p>
    <w:p w:rsidR="00ED1505" w:rsidRPr="005A5B2F" w:rsidRDefault="00ED1505" w:rsidP="00A369B9">
      <w:pPr>
        <w:pStyle w:val="BodyText"/>
        <w:rPr>
          <w:i/>
        </w:rPr>
      </w:pPr>
      <w:r>
        <w:t>2.</w:t>
      </w:r>
      <w:r>
        <w:tab/>
      </w:r>
      <w:r w:rsidRPr="005A5B2F">
        <w:rPr>
          <w:i/>
        </w:rPr>
        <w:t xml:space="preserve">Improving the quality of basic education services </w:t>
      </w:r>
    </w:p>
    <w:p w:rsidR="00ED1505" w:rsidRDefault="00ED1505" w:rsidP="00A369B9">
      <w:pPr>
        <w:pStyle w:val="BodyText"/>
      </w:pPr>
      <w:r>
        <w:t xml:space="preserve">In 2010, </w:t>
      </w:r>
      <w:smartTag w:uri="urn:schemas-microsoft-com:office:smarttags" w:element="place">
        <w:smartTag w:uri="urn:schemas-microsoft-com:office:smarttags" w:element="country-region">
          <w:r>
            <w:t>Australia</w:t>
          </w:r>
        </w:smartTag>
      </w:smartTag>
      <w:r>
        <w:t xml:space="preserve"> contributed to improved quality of education through training teachers. The COPE program trained and provided supplementary teaching materials to 273 teachers, of whom 23 per cent were female. EQUIP has increased the number of teacher training colleges in Afghanistan from 4 to 42 since the program started in 2004. During this period</w:t>
      </w:r>
      <w:r w:rsidR="00493156">
        <w:t>,</w:t>
      </w:r>
      <w:r>
        <w:t xml:space="preserve"> over 47,000 teachers have been trained. </w:t>
      </w:r>
    </w:p>
    <w:p w:rsidR="00ED1505" w:rsidRDefault="00ED1505" w:rsidP="00A369B9">
      <w:pPr>
        <w:pStyle w:val="BodyText"/>
      </w:pPr>
      <w:r>
        <w:t xml:space="preserve">The second phase of AusAID’s Malaysia-Australia Education Project for Afghanistan (MAEPA) provided customised training for 30 Afghan Master Teacher Trainers in contemporary teaching methods in </w:t>
      </w:r>
      <w:smartTag w:uri="urn:schemas-microsoft-com:office:smarttags" w:element="place">
        <w:smartTag w:uri="urn:schemas-microsoft-com:office:smarttags" w:element="country-region">
          <w:r>
            <w:t>Malaysia</w:t>
          </w:r>
        </w:smartTag>
      </w:smartTag>
      <w:r>
        <w:t xml:space="preserve">. This tri-lateral program aims to improve the quality of training that teachers receive in </w:t>
      </w:r>
      <w:smartTag w:uri="urn:schemas-microsoft-com:office:smarttags" w:element="country-region">
        <w:smartTag w:uri="urn:schemas-microsoft-com:office:smarttags" w:element="place">
          <w:r>
            <w:t>Afghanistan</w:t>
          </w:r>
        </w:smartTag>
      </w:smartTag>
      <w:r>
        <w:t xml:space="preserve"> through providing master teacher trainers with appropriate pedagogical and curriculum development skills. On return to Afghanistan in early 2011, the Master Teacher Trainers will</w:t>
      </w:r>
      <w:r w:rsidR="00FA56BA">
        <w:t xml:space="preserve"> have</w:t>
      </w:r>
      <w:r>
        <w:t xml:space="preserve"> train</w:t>
      </w:r>
      <w:r w:rsidR="00FA56BA">
        <w:t>ed</w:t>
      </w:r>
      <w:r>
        <w:t xml:space="preserve"> Teacher Trainers, from across Afghanistan. </w:t>
      </w:r>
    </w:p>
    <w:p w:rsidR="00ED1505" w:rsidRPr="003E5EC3" w:rsidRDefault="00ED1505" w:rsidP="00A369B9">
      <w:pPr>
        <w:pStyle w:val="BodyText"/>
      </w:pPr>
      <w:r>
        <w:t xml:space="preserve">Through the DAFA, </w:t>
      </w:r>
      <w:smartTag w:uri="urn:schemas-microsoft-com:office:smarttags" w:element="place">
        <w:smartTag w:uri="urn:schemas-microsoft-com:office:smarttags" w:element="country-region">
          <w:r>
            <w:t>Australia</w:t>
          </w:r>
        </w:smartTag>
      </w:smartTag>
      <w:r>
        <w:t xml:space="preserve"> supported capacity building of the Ministry of Education in planning and reporting and policy development in female teacher recruitment and devolution. These activities, requested by the Ministry of Education, will upgrade the Ministry’s ability to provide quality education services.</w:t>
      </w:r>
    </w:p>
    <w:p w:rsidR="00ED1505" w:rsidRDefault="00ED1505">
      <w:pPr>
        <w:pStyle w:val="Heading2"/>
        <w:spacing w:before="240"/>
      </w:pPr>
      <w:bookmarkStart w:id="4" w:name="_Toc360974021"/>
      <w:r>
        <w:t>Objective</w:t>
      </w:r>
      <w:r w:rsidR="00493156">
        <w:t xml:space="preserve"> </w:t>
      </w:r>
      <w:r w:rsidRPr="00A369B9">
        <w:t>Pillar 2: Supporting rural development and livelihoods</w:t>
      </w:r>
      <w:bookmarkEnd w:id="4"/>
    </w:p>
    <w:p w:rsidR="00ED1505" w:rsidRDefault="00ED1505" w:rsidP="00A369B9">
      <w:pPr>
        <w:pStyle w:val="BodyText"/>
      </w:pPr>
      <w:smartTag w:uri="urn:schemas-microsoft-com:office:smarttags" w:element="country-region">
        <w:smartTag w:uri="urn:schemas-microsoft-com:office:smarttags" w:element="place">
          <w:r>
            <w:t>Afghanistan</w:t>
          </w:r>
        </w:smartTag>
      </w:smartTag>
      <w:r>
        <w:t xml:space="preserve"> is a predominantly rural society, with 80 per cent of its population relying on agriculture for their livelihoods. However, only 12 to 15 per cent of the land is arable, putting farmers under pressure to improve their agricultural efficiency. Revitalising Afghanistan’s rural economy will be critical to the country’s long-term economic growth and</w:t>
      </w:r>
      <w:r w:rsidR="00A26201">
        <w:t xml:space="preserve"> to</w:t>
      </w:r>
      <w:r>
        <w:t xml:space="preserve"> food and national security. It is also important in providing alternative</w:t>
      </w:r>
      <w:r w:rsidR="00C044C5">
        <w:t>s</w:t>
      </w:r>
      <w:r>
        <w:t xml:space="preserve"> to poppy cultivation.</w:t>
      </w:r>
    </w:p>
    <w:p w:rsidR="00ED1505" w:rsidRPr="00377478" w:rsidRDefault="00ED1505" w:rsidP="00377478">
      <w:pPr>
        <w:pStyle w:val="H3"/>
      </w:pPr>
      <w:r w:rsidRPr="00377478">
        <w:t>Australia’s Contribution</w:t>
      </w:r>
    </w:p>
    <w:p w:rsidR="00ED1505" w:rsidRDefault="00ED1505" w:rsidP="00A369B9">
      <w:pPr>
        <w:pStyle w:val="BodyText"/>
      </w:pPr>
      <w:r>
        <w:t xml:space="preserve">The Afghan Government recognises </w:t>
      </w:r>
      <w:smartTag w:uri="urn:schemas-microsoft-com:office:smarttags" w:element="place">
        <w:smartTag w:uri="urn:schemas-microsoft-com:office:smarttags" w:element="country-region">
          <w:r>
            <w:t>Australia</w:t>
          </w:r>
        </w:smartTag>
      </w:smartTag>
      <w:r>
        <w:t xml:space="preserve">’s relevant agricultural expertise in dry-land farming and natural resource management and there has been a significant demand for Australian assistance in these sectors. As a result, supporting agriculture and rural development is a priority area under </w:t>
      </w:r>
      <w:r w:rsidRPr="00582C59">
        <w:rPr>
          <w:i/>
        </w:rPr>
        <w:t>Australia’s Strategic Approach to Aid in Afghanistan 2010-12</w:t>
      </w:r>
      <w:r>
        <w:t>.</w:t>
      </w:r>
    </w:p>
    <w:p w:rsidR="00ED1505" w:rsidRDefault="00ED1505" w:rsidP="00A369B9">
      <w:pPr>
        <w:pStyle w:val="BodyText"/>
      </w:pPr>
      <w:r>
        <w:t xml:space="preserve">Support for rural development is a relatively new component of AusAID’s country program. Only one program active in 2010 has been under implementation for more than two years. In </w:t>
      </w:r>
      <w:r>
        <w:lastRenderedPageBreak/>
        <w:t xml:space="preserve">these circumstances, gathering lessons learned and determining attribution is difficult. Despite these constraints, reasonable achievements </w:t>
      </w:r>
      <w:r w:rsidR="00A26201">
        <w:t>were</w:t>
      </w:r>
      <w:r>
        <w:t xml:space="preserve"> made in 2010 such as:</w:t>
      </w:r>
    </w:p>
    <w:p w:rsidR="00ED1505" w:rsidRDefault="00ED1505" w:rsidP="00A36CB6">
      <w:pPr>
        <w:pStyle w:val="ListBullet"/>
      </w:pPr>
      <w:r>
        <w:t xml:space="preserve">Agricultural productivity has increased as a result of a nine-year partnership with the Australian Centre for International Agricultural Research (ACIAR). This has targeted research which has resulted in </w:t>
      </w:r>
      <w:r w:rsidR="00493156">
        <w:t xml:space="preserve">improved </w:t>
      </w:r>
      <w:r>
        <w:t>production and disease resistance of wheat and maize varieties. Varieties r</w:t>
      </w:r>
      <w:r w:rsidR="00486EF9">
        <w:t>eleased under this project have resulted in an increase in</w:t>
      </w:r>
      <w:r>
        <w:t xml:space="preserve"> certified seed under production this season for commercial use in 2011-12, replacing old wheat and maize varieties in the seed production chain.</w:t>
      </w:r>
    </w:p>
    <w:p w:rsidR="00ED1505" w:rsidRDefault="00A36CB6" w:rsidP="00A36CB6">
      <w:pPr>
        <w:pStyle w:val="ListBullet"/>
      </w:pPr>
      <w:r>
        <w:t>S</w:t>
      </w:r>
      <w:r w:rsidR="00ED1505">
        <w:t xml:space="preserve">upport to the Aga Khan Foundation resulted in farmers in Bamyan and </w:t>
      </w:r>
      <w:smartTag w:uri="urn:schemas-microsoft-com:office:smarttags" w:element="place">
        <w:smartTag w:uri="urn:schemas-microsoft-com:office:smarttags" w:element="PlaceName">
          <w:r w:rsidR="00ED1505">
            <w:t>Parwan</w:t>
          </w:r>
        </w:smartTag>
        <w:r w:rsidR="00ED1505">
          <w:t xml:space="preserve"> </w:t>
        </w:r>
        <w:smartTag w:uri="urn:schemas-microsoft-com:office:smarttags" w:element="PlaceType">
          <w:r w:rsidR="00ED1505">
            <w:t>Provinces</w:t>
          </w:r>
        </w:smartTag>
      </w:smartTag>
      <w:r w:rsidR="00ED1505">
        <w:t xml:space="preserve"> adopting new varieties and technologies to increase productivity and reduce food insecurity. In 2010 they have seen increases of up to 30 per cent in crop yields and 14 per cent in animal populations, compared to the 2009 season. </w:t>
      </w:r>
    </w:p>
    <w:p w:rsidR="00ED1505" w:rsidRDefault="00A36CB6" w:rsidP="00A36CB6">
      <w:pPr>
        <w:pStyle w:val="ListBullet"/>
      </w:pPr>
      <w:r>
        <w:t>B</w:t>
      </w:r>
      <w:r w:rsidR="00ED1505">
        <w:t xml:space="preserve">etter functioning markets have improved livelihoods. AusAID support to the ARTF has contributed to improved services and infrastructure in rural communities, and created new economic opportunities for farmers. For example, the ARTF-funded National Solidarity Program enabled </w:t>
      </w:r>
      <w:r w:rsidR="00141D9E">
        <w:t>2</w:t>
      </w:r>
      <w:r w:rsidR="0054736E">
        <w:t>2</w:t>
      </w:r>
      <w:r w:rsidR="00141D9E">
        <w:t xml:space="preserve">,000 </w:t>
      </w:r>
      <w:r w:rsidR="00ED1505">
        <w:t xml:space="preserve">communities to identify and manage </w:t>
      </w:r>
      <w:r w:rsidR="0054736E">
        <w:t>39</w:t>
      </w:r>
      <w:r w:rsidR="00141D9E">
        <w:t xml:space="preserve">,000 of </w:t>
      </w:r>
      <w:r w:rsidR="00ED1505">
        <w:t xml:space="preserve">their own development projects such as canals for on-farm irrigation, while the National Rural Access Program has helped rehabilitate and build rural roads to improve access to markets and create employment for rural labourers. </w:t>
      </w:r>
    </w:p>
    <w:p w:rsidR="00ED1505" w:rsidRDefault="00ED1505" w:rsidP="00A36CB6">
      <w:pPr>
        <w:pStyle w:val="ListBullet"/>
      </w:pPr>
      <w:r>
        <w:t>Through the Asia Foundation, AusAID has continued to build the capacity of the national and provincial government to deliver agricultural activities as part of the Ministry of Agriculture, Irrigation and Livestock’s (MAIL) Change Management Program. In 2010, this capacity support resulted in MAIL leading the design of the ARTF On-Farm Water Management Program, which directly addresses the Afghanistan National Priority Program on National Water Management.</w:t>
      </w:r>
    </w:p>
    <w:p w:rsidR="00ED1505" w:rsidRPr="003E5EC3" w:rsidRDefault="00ED1505" w:rsidP="00A36CB6">
      <w:pPr>
        <w:pStyle w:val="ListBullet"/>
      </w:pPr>
      <w:r>
        <w:t xml:space="preserve">Through the DAFA, AusAID has worked </w:t>
      </w:r>
      <w:r w:rsidR="00586593">
        <w:t>directly to support the capacity of</w:t>
      </w:r>
      <w:r w:rsidR="00493156">
        <w:t xml:space="preserve"> </w:t>
      </w:r>
      <w:r>
        <w:t>MAIL</w:t>
      </w:r>
      <w:r w:rsidR="00586593">
        <w:t>, establishing</w:t>
      </w:r>
      <w:r>
        <w:t xml:space="preserve"> a Dryland Farming Policy Unit</w:t>
      </w:r>
      <w:r w:rsidR="00586593">
        <w:t xml:space="preserve"> and</w:t>
      </w:r>
      <w:r>
        <w:t xml:space="preserve"> support</w:t>
      </w:r>
      <w:r w:rsidR="00586593">
        <w:t>ing</w:t>
      </w:r>
      <w:r w:rsidR="00493156">
        <w:t xml:space="preserve"> </w:t>
      </w:r>
      <w:r w:rsidR="00586593">
        <w:t>the development of</w:t>
      </w:r>
      <w:r>
        <w:t xml:space="preserve"> a gender mainstreaming policy and a fully staffed Gender Unit. </w:t>
      </w:r>
    </w:p>
    <w:p w:rsidR="00ED1505" w:rsidRDefault="00493156">
      <w:pPr>
        <w:pStyle w:val="Heading2"/>
        <w:spacing w:before="240"/>
      </w:pPr>
      <w:bookmarkStart w:id="5" w:name="_Toc360974022"/>
      <w:r>
        <w:t xml:space="preserve">Objective </w:t>
      </w:r>
      <w:r w:rsidR="00ED1505" w:rsidRPr="005A5B2F">
        <w:t>Pillar 3: Improving governance and the effectiveness of the Afghan Government</w:t>
      </w:r>
      <w:bookmarkEnd w:id="5"/>
    </w:p>
    <w:p w:rsidR="00ED1505" w:rsidRDefault="00ED1505" w:rsidP="005A5B2F">
      <w:pPr>
        <w:pStyle w:val="BodyText"/>
      </w:pPr>
      <w:smartTag w:uri="urn:schemas-microsoft-com:office:smarttags" w:element="country-region">
        <w:smartTag w:uri="urn:schemas-microsoft-com:office:smarttags" w:element="place">
          <w:r>
            <w:t>Australia</w:t>
          </w:r>
        </w:smartTag>
      </w:smartTag>
      <w:r>
        <w:t xml:space="preserve">’s governance programming primarily supports capacity building of the Afghan Government and the strengthening of democratic processes through electoral support. AusAID has been working in the sector since 2003 when it commenced contributions to the ARTF. In 2010, over half of AusAID’s </w:t>
      </w:r>
      <w:smartTag w:uri="urn:schemas-microsoft-com:office:smarttags" w:element="country-region">
        <w:smartTag w:uri="urn:schemas-microsoft-com:office:smarttags" w:element="place">
          <w:r>
            <w:t>Afghanistan</w:t>
          </w:r>
        </w:smartTag>
      </w:smartTag>
      <w:r>
        <w:t xml:space="preserve"> funding went to activities which aim to improve governance and the effective operation of key line ministries.</w:t>
      </w:r>
    </w:p>
    <w:p w:rsidR="00ED1505" w:rsidRPr="00377478" w:rsidRDefault="00ED1505" w:rsidP="00377478">
      <w:pPr>
        <w:pStyle w:val="H3"/>
      </w:pPr>
      <w:r w:rsidRPr="00377478">
        <w:t xml:space="preserve">Australia’s contribution </w:t>
      </w:r>
    </w:p>
    <w:p w:rsidR="00ED1505" w:rsidRDefault="00586593" w:rsidP="005A5B2F">
      <w:pPr>
        <w:pStyle w:val="BodyText"/>
      </w:pPr>
      <w:r>
        <w:t>Through the</w:t>
      </w:r>
      <w:r w:rsidR="00493156">
        <w:t xml:space="preserve"> </w:t>
      </w:r>
      <w:r w:rsidR="00ED1505">
        <w:t>DAFA</w:t>
      </w:r>
      <w:r>
        <w:t>, Australia</w:t>
      </w:r>
      <w:r w:rsidR="00493156">
        <w:t xml:space="preserve"> </w:t>
      </w:r>
      <w:r>
        <w:t xml:space="preserve">provides direct </w:t>
      </w:r>
      <w:r w:rsidR="00ED1505">
        <w:t xml:space="preserve">capacity building </w:t>
      </w:r>
      <w:r>
        <w:t>assistance to</w:t>
      </w:r>
      <w:r w:rsidR="00ED1505">
        <w:t xml:space="preserve"> four Government ministries: Education; Public Health; Rural Rehabilitation and Development; and Agriculture, Irrigation and Livestock. </w:t>
      </w:r>
      <w:r>
        <w:t>This includes s</w:t>
      </w:r>
      <w:r w:rsidR="00ED1505">
        <w:t xml:space="preserve">upport is provided through the Australian Development Scholarship (ADS) program which targets these ministries. In 2010, 20 Afghans, including four women, were selected </w:t>
      </w:r>
      <w:proofErr w:type="gramStart"/>
      <w:r w:rsidR="00ED1505">
        <w:t>for an ADS</w:t>
      </w:r>
      <w:proofErr w:type="gramEnd"/>
      <w:r w:rsidR="00ED1505">
        <w:t xml:space="preserve">. The first awardee </w:t>
      </w:r>
      <w:r w:rsidR="00A26201">
        <w:t xml:space="preserve">has </w:t>
      </w:r>
      <w:r w:rsidR="00ED1505">
        <w:t>return</w:t>
      </w:r>
      <w:r w:rsidR="00A26201">
        <w:t>ed</w:t>
      </w:r>
      <w:r w:rsidR="00ED1505">
        <w:t xml:space="preserve"> to Afghanistan with Australian qualifications. </w:t>
      </w:r>
    </w:p>
    <w:p w:rsidR="00A26201" w:rsidRDefault="00ED1505" w:rsidP="005A5B2F">
      <w:pPr>
        <w:pStyle w:val="BodyText"/>
      </w:pPr>
      <w:r>
        <w:t xml:space="preserve">AusAID’s contribution to the strengthening of democratic processes included support to the multi-donor UNDP Enhancing Legal and Electoral Capacity for Tomorrow (ELECT) program and The Asia Foundation for election-related activities. In 2010, ELECT revised its program to </w:t>
      </w:r>
      <w:r>
        <w:lastRenderedPageBreak/>
        <w:t xml:space="preserve">focus on support for the Independent Election Commission and Electoral Complaints Commission. The </w:t>
      </w:r>
      <w:r w:rsidR="00586593">
        <w:t xml:space="preserve">2010 Parliamentary elections process was fraught with controversy, </w:t>
      </w:r>
      <w:r w:rsidR="00A26201">
        <w:t>underlining the importance of continued efforts in this area.  R</w:t>
      </w:r>
      <w:r>
        <w:t xml:space="preserve">esults </w:t>
      </w:r>
      <w:r w:rsidR="00586593">
        <w:t xml:space="preserve">from Australia’s program </w:t>
      </w:r>
      <w:r>
        <w:t>were mostly positive with these institutions demonstrating</w:t>
      </w:r>
      <w:r w:rsidR="00493156">
        <w:t xml:space="preserve"> </w:t>
      </w:r>
      <w:r w:rsidR="00A26201">
        <w:t xml:space="preserve">improved capacity and performance </w:t>
      </w:r>
      <w:r>
        <w:t xml:space="preserve">in adverse circumstances. </w:t>
      </w:r>
      <w:r w:rsidR="003A0E49">
        <w:t>Nevertheless, significant challenges remain, particularly in relation to voter registration.</w:t>
      </w:r>
    </w:p>
    <w:p w:rsidR="00ED1505" w:rsidRDefault="00ED1505" w:rsidP="005A5B2F">
      <w:pPr>
        <w:pStyle w:val="BodyText"/>
      </w:pPr>
      <w:r>
        <w:t xml:space="preserve">The programs delivered by The Asia Foundation provided a good complement to ELECT. Support for the media and election observation added to the level of scrutiny around the election, and civic awareness activities contributed to voter turn-out and a better understanding of democratic processes. Achievements of the program were </w:t>
      </w:r>
      <w:r w:rsidR="00B63BCA">
        <w:t>limited</w:t>
      </w:r>
      <w:r w:rsidR="00586593">
        <w:t>, however,</w:t>
      </w:r>
      <w:r w:rsidR="00493156">
        <w:t xml:space="preserve"> </w:t>
      </w:r>
      <w:r>
        <w:t>by delays and cancellations to activities, highlighting the very difficult contex</w:t>
      </w:r>
      <w:r w:rsidR="00493156">
        <w:t>t in which the program operates.</w:t>
      </w:r>
    </w:p>
    <w:p w:rsidR="00ED1505" w:rsidRDefault="00ED1505" w:rsidP="005A5B2F">
      <w:pPr>
        <w:pStyle w:val="BodyText"/>
      </w:pPr>
      <w:r>
        <w:t xml:space="preserve">With AusAID support, the Afghanistan Independent Human Rights Commission (AIHRC) was active in the promotion of human rights. Initiatives such as workshops on democracy, the rule of law, and the relationship between Islam and human rights, </w:t>
      </w:r>
      <w:r w:rsidR="00305F86">
        <w:t xml:space="preserve">attended by </w:t>
      </w:r>
      <w:r w:rsidR="00B63BCA">
        <w:t xml:space="preserve">a </w:t>
      </w:r>
      <w:r w:rsidR="00305F86">
        <w:t xml:space="preserve">cross section of stakeholders, including women, </w:t>
      </w:r>
      <w:r>
        <w:t xml:space="preserve">aimed to increase the demand for effective, equitable and inclusive governance. In 2010, donors, including </w:t>
      </w:r>
      <w:smartTag w:uri="urn:schemas-microsoft-com:office:smarttags" w:element="country-region">
        <w:smartTag w:uri="urn:schemas-microsoft-com:office:smarttags" w:element="place">
          <w:r>
            <w:t>Australia</w:t>
          </w:r>
        </w:smartTag>
      </w:smartTag>
      <w:r>
        <w:t xml:space="preserve">, worked with AIHRC to secure funding from the Afghan Government. The Afghan Government subsequently committed $500,000, but </w:t>
      </w:r>
      <w:r w:rsidR="00BC49D0">
        <w:t xml:space="preserve">the </w:t>
      </w:r>
      <w:r>
        <w:t>AIHRC remains reliant on external funding</w:t>
      </w:r>
      <w:r w:rsidR="00BC49D0">
        <w:t>, which Australia remains committed to providing</w:t>
      </w:r>
      <w:r>
        <w:t xml:space="preserve">. </w:t>
      </w:r>
      <w:r w:rsidR="00305F86">
        <w:t xml:space="preserve"> Enforcement of human rights and access to justice remain areas requiring considerable improvement, particularly</w:t>
      </w:r>
      <w:r w:rsidR="00B63BCA">
        <w:t xml:space="preserve"> for women and children.</w:t>
      </w:r>
      <w:r w:rsidR="00305F86">
        <w:t xml:space="preserve"> </w:t>
      </w:r>
    </w:p>
    <w:p w:rsidR="00ED1505" w:rsidRDefault="00493156">
      <w:pPr>
        <w:pStyle w:val="Heading2"/>
        <w:spacing w:before="240"/>
      </w:pPr>
      <w:bookmarkStart w:id="6" w:name="_Toc360974023"/>
      <w:r>
        <w:t xml:space="preserve">Objective </w:t>
      </w:r>
      <w:r w:rsidR="00ED1505" w:rsidRPr="005A5B2F">
        <w:t>Pillar 4: Supporting vulnerable populations</w:t>
      </w:r>
      <w:bookmarkEnd w:id="6"/>
    </w:p>
    <w:p w:rsidR="00ED1505" w:rsidRDefault="00ED1505" w:rsidP="005A5B2F">
      <w:pPr>
        <w:pStyle w:val="BodyText"/>
      </w:pPr>
      <w:smartTag w:uri="urn:schemas-microsoft-com:office:smarttags" w:element="country-region">
        <w:smartTag w:uri="urn:schemas-microsoft-com:office:smarttags" w:element="place">
          <w:r>
            <w:t>Afghanistan</w:t>
          </w:r>
        </w:smartTag>
      </w:smartTag>
      <w:r>
        <w:t xml:space="preserve"> faces enormous humanitarian challenges following decades of war, widespread poverty and frequent natural crises displacing many people. Over 430,000 people are internally displaced. </w:t>
      </w:r>
      <w:smartTag w:uri="urn:schemas-microsoft-com:office:smarttags" w:element="country-region">
        <w:smartTag w:uri="urn:schemas-microsoft-com:office:smarttags" w:element="place">
          <w:r>
            <w:t>Afghanistan</w:t>
          </w:r>
        </w:smartTag>
      </w:smartTag>
      <w:r>
        <w:t xml:space="preserve"> is also one of the most heavily contaminated countries in the world in terms of landmines and other explosive remnants of war. These pose serious obstacles to sustainable development, as they have been placed in houses, irrigation systems, on agricultural and grazing land and roads.</w:t>
      </w:r>
    </w:p>
    <w:p w:rsidR="00ED1505" w:rsidRPr="00377478" w:rsidRDefault="00ED1505" w:rsidP="00377478">
      <w:pPr>
        <w:pStyle w:val="H3"/>
      </w:pPr>
      <w:r w:rsidRPr="00377478">
        <w:t xml:space="preserve">Australia’s contribution </w:t>
      </w:r>
    </w:p>
    <w:p w:rsidR="00ED1505" w:rsidRPr="00377478" w:rsidRDefault="00ED1505" w:rsidP="00377478">
      <w:pPr>
        <w:pStyle w:val="H4"/>
      </w:pPr>
      <w:r w:rsidRPr="00377478">
        <w:t>Mine action</w:t>
      </w:r>
    </w:p>
    <w:p w:rsidR="00ED1505" w:rsidRDefault="00ED1505" w:rsidP="005A5B2F">
      <w:pPr>
        <w:pStyle w:val="BodyText"/>
      </w:pPr>
      <w:r>
        <w:t xml:space="preserve">Australia supports mine clearance, victim assistance and mine risk reduction education in Afghanistan, consistent with the Mine Ban Convention and our commitment to disability-inclusive development articulated in AusAID’s Development for All 2009–14 strategy. A key outcome of </w:t>
      </w:r>
      <w:smartTag w:uri="urn:schemas-microsoft-com:office:smarttags" w:element="country-region">
        <w:smartTag w:uri="urn:schemas-microsoft-com:office:smarttags" w:element="place">
          <w:r>
            <w:t>Australia</w:t>
          </w:r>
        </w:smartTag>
      </w:smartTag>
      <w:r>
        <w:t>’s support has been the establishment of community-based demining teams. In 2009, Australia provided $5 million over two years and</w:t>
      </w:r>
      <w:r w:rsidR="00BC49D0">
        <w:t>,</w:t>
      </w:r>
      <w:r>
        <w:t xml:space="preserve"> as a </w:t>
      </w:r>
      <w:proofErr w:type="gramStart"/>
      <w:r>
        <w:t>result</w:t>
      </w:r>
      <w:r w:rsidR="00BC49D0">
        <w:t>,</w:t>
      </w:r>
      <w:proofErr w:type="gramEnd"/>
      <w:r>
        <w:t xml:space="preserve"> demining teams cleared more than 800,000 square metres of land in Khost and Uruzgan Provinces. This support also meant that 6,252 people were given mine risk education in Uruzgan and Khost provinces, of which 77 per cent were children and over 205 were women and girls. 20 physiotherapists were trained through the Physiotherapy Institute in Kabul</w:t>
      </w:r>
      <w:r w:rsidR="003A0E49">
        <w:t xml:space="preserve"> in assisting </w:t>
      </w:r>
      <w:r w:rsidR="00AA15C6">
        <w:t>the recovery and capacity of victims of land mines</w:t>
      </w:r>
      <w:r>
        <w:t>.</w:t>
      </w:r>
    </w:p>
    <w:p w:rsidR="00ED1505" w:rsidRPr="00377478" w:rsidRDefault="00ED1505" w:rsidP="00377478">
      <w:pPr>
        <w:pStyle w:val="H4"/>
      </w:pPr>
      <w:r w:rsidRPr="00377478">
        <w:t>Support to food insecure populations</w:t>
      </w:r>
    </w:p>
    <w:p w:rsidR="00ED1505" w:rsidRDefault="00ED1505" w:rsidP="005A5B2F">
      <w:pPr>
        <w:pStyle w:val="BodyText"/>
      </w:pPr>
      <w:r>
        <w:t>Australia also supported vulnerable popula</w:t>
      </w:r>
      <w:r w:rsidR="009E1F54">
        <w:t>tions by providing $6 million through the World Food Program for food assistance</w:t>
      </w:r>
      <w:r w:rsidR="00ED3B4A">
        <w:t xml:space="preserve"> and $600,000 through</w:t>
      </w:r>
      <w:r>
        <w:t xml:space="preserve"> Oxfam for the emergency response and agricultural recovery in drought affected villages of Dai Kundi Province.</w:t>
      </w:r>
      <w:r w:rsidR="00BC49D0">
        <w:t xml:space="preserve"> </w:t>
      </w:r>
    </w:p>
    <w:p w:rsidR="00ED1505" w:rsidRDefault="00ED1505" w:rsidP="00DC66E9">
      <w:pPr>
        <w:pStyle w:val="Heading2"/>
        <w:numPr>
          <w:ilvl w:val="0"/>
          <w:numId w:val="0"/>
        </w:numPr>
        <w:spacing w:before="240"/>
      </w:pPr>
      <w:bookmarkStart w:id="7" w:name="_Toc360974024"/>
      <w:r>
        <w:lastRenderedPageBreak/>
        <w:t>Results in Uruzgan Province</w:t>
      </w:r>
      <w:bookmarkEnd w:id="7"/>
    </w:p>
    <w:p w:rsidR="00ED1505" w:rsidRDefault="00ED1505" w:rsidP="005A5B2F">
      <w:pPr>
        <w:pStyle w:val="BodyText"/>
      </w:pPr>
      <w:r>
        <w:t xml:space="preserve">AusAID’s assistance to Uruzgan only began to scale up substantially during the second half of 2010 and, as a result, this year’s </w:t>
      </w:r>
      <w:r w:rsidR="00AA15C6">
        <w:t>Development Cooperation Report</w:t>
      </w:r>
      <w:r>
        <w:t xml:space="preserve"> measures lower-level contributions from previous years. The goal of Australia’s assistance in Uruzgan, developed during the year, </w:t>
      </w:r>
      <w:r w:rsidR="00AA15C6">
        <w:t>has been</w:t>
      </w:r>
      <w:r w:rsidR="009E1F54">
        <w:t xml:space="preserve"> </w:t>
      </w:r>
      <w:r>
        <w:t>to build the capacity of the provincial administration to deliv</w:t>
      </w:r>
      <w:r w:rsidR="00B63BCA">
        <w:t xml:space="preserve">er basic services and essential </w:t>
      </w:r>
      <w:proofErr w:type="gramStart"/>
      <w:r>
        <w:t>infrastructure,</w:t>
      </w:r>
      <w:proofErr w:type="gramEnd"/>
      <w:r>
        <w:t xml:space="preserve"> and to build the links between the provincial and national government to improve the delivery of national programs in Uruzgan. </w:t>
      </w:r>
    </w:p>
    <w:p w:rsidR="00ED1505" w:rsidRDefault="00ED1505" w:rsidP="005A5B2F">
      <w:pPr>
        <w:pStyle w:val="BodyText"/>
      </w:pPr>
      <w:r>
        <w:t xml:space="preserve">Development efforts in Uruzgan continue to be constrained by the difficult security environment. </w:t>
      </w:r>
      <w:r w:rsidR="00AA15C6">
        <w:t>ISAF</w:t>
      </w:r>
      <w:r>
        <w:t xml:space="preserve"> force protection is required for AusAID</w:t>
      </w:r>
      <w:r w:rsidR="00AA15C6">
        <w:t xml:space="preserve"> personnel</w:t>
      </w:r>
      <w:r>
        <w:t xml:space="preserve"> to interact with key provincial government counter-parts, to meet with communities to establish their needs and priorities and to monitor activities. Few</w:t>
      </w:r>
      <w:r w:rsidR="00AA15C6">
        <w:t xml:space="preserve"> credible</w:t>
      </w:r>
      <w:r>
        <w:t xml:space="preserve"> implementing partners are able, or willing, to work in Uruzgan.</w:t>
      </w:r>
    </w:p>
    <w:p w:rsidR="00ED1505" w:rsidRPr="00377478" w:rsidRDefault="00ED1505" w:rsidP="00377478">
      <w:pPr>
        <w:pStyle w:val="H3"/>
      </w:pPr>
      <w:r w:rsidRPr="00377478">
        <w:t>Development leadership of the PRT</w:t>
      </w:r>
    </w:p>
    <w:p w:rsidR="00ED1505" w:rsidRDefault="00ED1505" w:rsidP="005A5B2F">
      <w:pPr>
        <w:pStyle w:val="BodyText"/>
      </w:pPr>
      <w:r>
        <w:t xml:space="preserve">AusAID’s main role in Uruzgan is as the lead for the development arm of the PRT. AusAID provides the PRT’s Deputy Director of Development and a supporting team of four Development Advisers. </w:t>
      </w:r>
      <w:r w:rsidR="00BC49D0">
        <w:t xml:space="preserve">These officers were mobilised to Afghanistan during the second half of 2010. </w:t>
      </w:r>
      <w:r>
        <w:t xml:space="preserve">The Development Advisers: mentor provincial and district Afghan Government officials; conduct key leader engagement throughout the province; and, facilitate Afghan Government engagement with the population. Development Advisers also work with the Afghan Government to identify potential projects and capacity building needs, liaise with implementing partners, and design, coordinate and monitor development activities. </w:t>
      </w:r>
    </w:p>
    <w:p w:rsidR="00ED1505" w:rsidRPr="00377478" w:rsidRDefault="00ED1505" w:rsidP="00377478">
      <w:pPr>
        <w:pStyle w:val="H3"/>
      </w:pPr>
      <w:r w:rsidRPr="00377478">
        <w:t>Uruzgan programming</w:t>
      </w:r>
    </w:p>
    <w:p w:rsidR="00ED1505" w:rsidRDefault="00ED1505" w:rsidP="005A5B2F">
      <w:pPr>
        <w:pStyle w:val="BodyText"/>
      </w:pPr>
      <w:r>
        <w:t>Late 2010</w:t>
      </w:r>
      <w:r w:rsidR="00ED3B4A">
        <w:t xml:space="preserve"> was</w:t>
      </w:r>
      <w:r>
        <w:t xml:space="preserve"> a period of intensive scaling up of the Uruzgan program, both in terms of increasing numbers of staff and designing and contracting a suite of initiatives in support of service delivery, capacity building, and rural development and livelihoods. Results from most of these programs will not be realised until later years, but achievements in 2010 included:</w:t>
      </w:r>
    </w:p>
    <w:p w:rsidR="00ED1505" w:rsidRDefault="00ED1505" w:rsidP="00A36CB6">
      <w:pPr>
        <w:pStyle w:val="ListBullet"/>
      </w:pPr>
      <w:r>
        <w:t>supporting basic health and hygiene education - provided to 1,780 primary school students, 34 per cent of whom were girls</w:t>
      </w:r>
    </w:p>
    <w:p w:rsidR="00ED1505" w:rsidRDefault="00ED1505" w:rsidP="00A36CB6">
      <w:pPr>
        <w:pStyle w:val="ListBullet"/>
      </w:pPr>
      <w:r>
        <w:t xml:space="preserve">distributing 4703 metric tonnes of food to food-insecure communities </w:t>
      </w:r>
    </w:p>
    <w:p w:rsidR="00ED1505" w:rsidRDefault="00ED1505" w:rsidP="00A36CB6">
      <w:pPr>
        <w:pStyle w:val="ListBullet"/>
      </w:pPr>
      <w:r>
        <w:t>supporting the World Health Organisation</w:t>
      </w:r>
      <w:r w:rsidR="00BC49D0">
        <w:t>’s</w:t>
      </w:r>
      <w:r>
        <w:t xml:space="preserve"> polio eradication program in Uruzgan, which immunised over 130,000 children in the province</w:t>
      </w:r>
    </w:p>
    <w:p w:rsidR="00ED1505" w:rsidRDefault="00ED1505" w:rsidP="00A36CB6">
      <w:pPr>
        <w:pStyle w:val="ListBullet"/>
      </w:pPr>
      <w:r>
        <w:t>building public sector capacity with the AusAID-funded civil service and public administration internship program, which trained 38 interns (graduating in April 2011)</w:t>
      </w:r>
    </w:p>
    <w:p w:rsidR="00ED1505" w:rsidRDefault="00ED1505" w:rsidP="00A36CB6">
      <w:pPr>
        <w:pStyle w:val="ListBullet"/>
      </w:pPr>
      <w:r>
        <w:t>rehabilitating 5.6km of gravel road north of Tarin Kowt centre – communities directly involved in the road building identified faster, (reduced from 1 hour to 40 mins), cheaper (one-way costs reduced by one quarter), all year access to basic services including health and markets as the key benefits, along with the direct economic and skills development benefits of working on the road</w:t>
      </w:r>
    </w:p>
    <w:p w:rsidR="00ED1505" w:rsidRDefault="00ED1505" w:rsidP="00A36CB6">
      <w:pPr>
        <w:pStyle w:val="ListBullet"/>
      </w:pPr>
      <w:proofErr w:type="gramStart"/>
      <w:r>
        <w:t>providing</w:t>
      </w:r>
      <w:proofErr w:type="gramEnd"/>
      <w:r>
        <w:t xml:space="preserve"> equipment and training to institutions supported by the ADF, such as the </w:t>
      </w:r>
      <w:smartTag w:uri="urn:schemas-microsoft-com:office:smarttags" w:element="PlaceName">
        <w:r>
          <w:t>Trade</w:t>
        </w:r>
      </w:smartTag>
      <w:r>
        <w:t xml:space="preserve"> </w:t>
      </w:r>
      <w:smartTag w:uri="urn:schemas-microsoft-com:office:smarttags" w:element="PlaceType">
        <w:r>
          <w:t>Training School</w:t>
        </w:r>
      </w:smartTag>
      <w:r>
        <w:t xml:space="preserve"> and the </w:t>
      </w:r>
      <w:smartTag w:uri="urn:schemas-microsoft-com:office:smarttags" w:element="place">
        <w:smartTag w:uri="urn:schemas-microsoft-com:office:smarttags" w:element="PlaceName">
          <w:r>
            <w:t>Tarin</w:t>
          </w:r>
        </w:smartTag>
        <w:r>
          <w:t xml:space="preserve"> </w:t>
        </w:r>
        <w:smartTag w:uri="urn:schemas-microsoft-com:office:smarttags" w:element="PlaceName">
          <w:r>
            <w:t>Kowt</w:t>
          </w:r>
        </w:smartTag>
        <w:r>
          <w:t xml:space="preserve"> </w:t>
        </w:r>
        <w:smartTag w:uri="urn:schemas-microsoft-com:office:smarttags" w:element="PlaceType">
          <w:r>
            <w:t>Hospital</w:t>
          </w:r>
        </w:smartTag>
      </w:smartTag>
      <w:r>
        <w:t>.</w:t>
      </w:r>
    </w:p>
    <w:p w:rsidR="00ED1505" w:rsidRPr="00377478" w:rsidRDefault="00ED1505" w:rsidP="00377478">
      <w:pPr>
        <w:pStyle w:val="H3"/>
      </w:pPr>
      <w:r w:rsidRPr="00377478">
        <w:t xml:space="preserve">National support and advocacy </w:t>
      </w:r>
    </w:p>
    <w:p w:rsidR="00ED1505" w:rsidRDefault="00ED1505" w:rsidP="005A5B2F">
      <w:pPr>
        <w:pStyle w:val="BodyText"/>
      </w:pPr>
      <w:r>
        <w:t xml:space="preserve">In addition to direct Uruzgan funding, AusAID also funds key national programs that are delivered in Uruzgan. These include the National Solidarity Program, National Rural Access Program and EQUIP. These programs have delivered results – for example, support from </w:t>
      </w:r>
      <w:r>
        <w:lastRenderedPageBreak/>
        <w:t>Australia and other donors through EQUIP has helped lift the number of schools operating in the province from 34 in 2006, to more than 160 in 2011. Over 40,000 children now regularly attend school, including over 6,000 girls.</w:t>
      </w:r>
    </w:p>
    <w:p w:rsidR="00ED1505" w:rsidRDefault="00ED1505" w:rsidP="005A5B2F">
      <w:pPr>
        <w:pStyle w:val="BodyText"/>
      </w:pPr>
      <w:r>
        <w:t>AusAID is also focusing on building better links between the provincial and national government to improve the delivery of national programs in Uruzgan. To this end, Australia supported the World Bank to undertake its first monitoring mission of EQUIP</w:t>
      </w:r>
      <w:r w:rsidR="00BC49D0">
        <w:t>, the major national education program,</w:t>
      </w:r>
      <w:r>
        <w:t xml:space="preserve"> </w:t>
      </w:r>
      <w:r w:rsidR="00BC49D0">
        <w:t>to</w:t>
      </w:r>
      <w:r>
        <w:t xml:space="preserve"> Uruzgan in December 2010, which contributed to an action plan to address national challenges. </w:t>
      </w:r>
    </w:p>
    <w:p w:rsidR="00ED1505" w:rsidRDefault="00ED1505" w:rsidP="00A369B9">
      <w:pPr>
        <w:pStyle w:val="BodyText"/>
      </w:pPr>
      <w:r>
        <w:t>In 2010, AusAID and the World Bank established the Trust Fund to Support Strengthened Service Delivery at the Community Level. By improving World Bank delivery mechanisms, the Trust Fund aims to achieve better program outcomes in Uruzgan and also leverage the resources and expertise of the Bank to improve ARTF programs nationwide.</w:t>
      </w:r>
    </w:p>
    <w:p w:rsidR="003216BA" w:rsidRDefault="003216BA" w:rsidP="00B63639">
      <w:pPr>
        <w:pStyle w:val="Heading1"/>
        <w:spacing w:before="360"/>
      </w:pPr>
      <w:bookmarkStart w:id="8" w:name="_Toc360974025"/>
      <w:r>
        <w:t>Q</w:t>
      </w:r>
      <w:r w:rsidRPr="00C07044">
        <w:t xml:space="preserve">uality of </w:t>
      </w:r>
      <w:r>
        <w:t>aid a</w:t>
      </w:r>
      <w:r w:rsidRPr="00C07044">
        <w:t>ctivities</w:t>
      </w:r>
      <w:bookmarkEnd w:id="8"/>
    </w:p>
    <w:p w:rsidR="003216BA" w:rsidRDefault="00BC49D0" w:rsidP="003216BA">
      <w:pPr>
        <w:pStyle w:val="BodyText"/>
      </w:pPr>
      <w:r>
        <w:t>The a</w:t>
      </w:r>
      <w:r w:rsidR="003216BA">
        <w:t>ssessment of the overall quality of the Afghanistan program in 2010 recognise</w:t>
      </w:r>
      <w:r>
        <w:t>s</w:t>
      </w:r>
      <w:r w:rsidR="003216BA">
        <w:t xml:space="preserve"> that Australia’s ‘Strategic Approach’ framework was finalised late in the year. Overall, the new strategy has forged strong alignment between Afghan Government priorities and Australian support, enabling the program to better meet aid effectiveness principles.</w:t>
      </w:r>
    </w:p>
    <w:p w:rsidR="003216BA" w:rsidRDefault="003216BA" w:rsidP="00220DBE">
      <w:pPr>
        <w:pStyle w:val="BodyText"/>
        <w:spacing w:after="240"/>
      </w:pPr>
      <w:r>
        <w:t>The analysis of the program for 2010 indicate</w:t>
      </w:r>
      <w:r w:rsidR="00F04691">
        <w:t>s</w:t>
      </w:r>
      <w:r>
        <w:t xml:space="preserve"> that overall program performance was satisfactory – over three quarters of the criteria were rated as “adequate quality” or better</w:t>
      </w:r>
      <w:r w:rsidR="00BC49D0">
        <w:t>. However,</w:t>
      </w:r>
      <w:r>
        <w:t xml:space="preserve"> improvements still need to be made. The scores highlight efficiency and gender equality as two areas that on average “need significant work” across the program. Encouragingly, the ARTF, which accounts for around half of the country program, was one of the best performing initiatives. This assessment supports AusAID’s decision to channel a large proportion of our funding through this program. </w:t>
      </w:r>
    </w:p>
    <w:p w:rsidR="00BB7688" w:rsidRPr="00A369B9" w:rsidRDefault="00BB7688" w:rsidP="00BB7688">
      <w:pPr>
        <w:pBdr>
          <w:top w:val="single" w:sz="4" w:space="1" w:color="auto"/>
          <w:left w:val="single" w:sz="4" w:space="4" w:color="auto"/>
          <w:bottom w:val="single" w:sz="4" w:space="1" w:color="auto"/>
          <w:right w:val="single" w:sz="4" w:space="4" w:color="auto"/>
        </w:pBdr>
        <w:shd w:val="clear" w:color="auto" w:fill="CCCCCC"/>
        <w:jc w:val="center"/>
        <w:rPr>
          <w:rFonts w:ascii="Georgia" w:hAnsi="Georgia"/>
          <w:b/>
          <w:sz w:val="18"/>
          <w:szCs w:val="18"/>
        </w:rPr>
      </w:pPr>
      <w:r w:rsidRPr="00A369B9">
        <w:rPr>
          <w:rFonts w:ascii="Georgia" w:hAnsi="Georgia"/>
          <w:b/>
          <w:sz w:val="18"/>
          <w:szCs w:val="18"/>
        </w:rPr>
        <w:t>Box 2: The Afghanistan Reconstruction Trust Fund</w:t>
      </w:r>
    </w:p>
    <w:p w:rsidR="00BB7688" w:rsidRPr="00A369B9" w:rsidRDefault="00BB7688" w:rsidP="00220DBE">
      <w:pPr>
        <w:pBdr>
          <w:top w:val="single" w:sz="4" w:space="1" w:color="auto"/>
          <w:left w:val="single" w:sz="4" w:space="4" w:color="auto"/>
          <w:bottom w:val="single" w:sz="4" w:space="1" w:color="auto"/>
          <w:right w:val="single" w:sz="4" w:space="4" w:color="auto"/>
        </w:pBdr>
        <w:shd w:val="clear" w:color="auto" w:fill="CCCCCC"/>
        <w:spacing w:before="120" w:after="120"/>
        <w:jc w:val="both"/>
        <w:rPr>
          <w:rFonts w:ascii="Georgia" w:hAnsi="Georgia"/>
          <w:sz w:val="18"/>
          <w:szCs w:val="18"/>
        </w:rPr>
      </w:pPr>
      <w:r w:rsidRPr="00A369B9">
        <w:rPr>
          <w:rFonts w:ascii="Georgia" w:hAnsi="Georgia"/>
          <w:sz w:val="18"/>
          <w:szCs w:val="18"/>
        </w:rPr>
        <w:t xml:space="preserve">The Afghanistan Reconstruction Trust Fund (ARTF) has been central to the Australian aid program in </w:t>
      </w:r>
      <w:smartTag w:uri="urn:schemas-microsoft-com:office:smarttags" w:element="place">
        <w:smartTag w:uri="urn:schemas-microsoft-com:office:smarttags" w:element="country-region">
          <w:r w:rsidRPr="00A369B9">
            <w:rPr>
              <w:rFonts w:ascii="Georgia" w:hAnsi="Georgia"/>
              <w:sz w:val="18"/>
              <w:szCs w:val="18"/>
            </w:rPr>
            <w:t>Afghanistan</w:t>
          </w:r>
        </w:smartTag>
      </w:smartTag>
      <w:r w:rsidRPr="00A369B9">
        <w:rPr>
          <w:rFonts w:ascii="Georgia" w:hAnsi="Georgia"/>
          <w:sz w:val="18"/>
          <w:szCs w:val="18"/>
        </w:rPr>
        <w:t xml:space="preserve"> since our first contribution in 2003.  It represents a </w:t>
      </w:r>
      <w:r w:rsidR="00ED3B4A">
        <w:rPr>
          <w:rFonts w:ascii="Georgia" w:hAnsi="Georgia"/>
          <w:sz w:val="18"/>
          <w:szCs w:val="18"/>
        </w:rPr>
        <w:t>reliable</w:t>
      </w:r>
      <w:r w:rsidRPr="00A369B9">
        <w:rPr>
          <w:rFonts w:ascii="Georgia" w:hAnsi="Georgia"/>
          <w:sz w:val="18"/>
          <w:szCs w:val="18"/>
        </w:rPr>
        <w:t xml:space="preserve"> vehicle for delivering international assistance </w:t>
      </w:r>
      <w:r w:rsidR="00BC49D0">
        <w:rPr>
          <w:rFonts w:ascii="Georgia" w:hAnsi="Georgia"/>
          <w:sz w:val="18"/>
          <w:szCs w:val="18"/>
        </w:rPr>
        <w:t>in support of the Afghan Government’s development priorities</w:t>
      </w:r>
      <w:r w:rsidR="00ED3B4A">
        <w:rPr>
          <w:rFonts w:ascii="Georgia" w:hAnsi="Georgia"/>
          <w:sz w:val="18"/>
          <w:szCs w:val="18"/>
        </w:rPr>
        <w:t xml:space="preserve"> and helps to coordinate donor assistance</w:t>
      </w:r>
      <w:r w:rsidRPr="00A369B9">
        <w:rPr>
          <w:rFonts w:ascii="Georgia" w:hAnsi="Georgia"/>
          <w:sz w:val="18"/>
          <w:szCs w:val="18"/>
        </w:rPr>
        <w:t xml:space="preserve">. It is currently the only feasible mechanism through which donors will meet international commitments to deliver 50 per cent of their assistance through Afghan Government systems. </w:t>
      </w:r>
    </w:p>
    <w:p w:rsidR="00BB7688" w:rsidRPr="00A369B9" w:rsidRDefault="00BB7688" w:rsidP="00220DBE">
      <w:pPr>
        <w:pBdr>
          <w:top w:val="single" w:sz="4" w:space="1" w:color="auto"/>
          <w:left w:val="single" w:sz="4" w:space="4" w:color="auto"/>
          <w:bottom w:val="single" w:sz="4" w:space="1" w:color="auto"/>
          <w:right w:val="single" w:sz="4" w:space="4" w:color="auto"/>
        </w:pBdr>
        <w:shd w:val="clear" w:color="auto" w:fill="CCCCCC"/>
        <w:spacing w:before="120" w:after="120"/>
        <w:jc w:val="both"/>
        <w:rPr>
          <w:rFonts w:ascii="Georgia" w:hAnsi="Georgia"/>
          <w:sz w:val="18"/>
          <w:szCs w:val="18"/>
        </w:rPr>
      </w:pPr>
      <w:r w:rsidRPr="00A369B9">
        <w:rPr>
          <w:rFonts w:ascii="Georgia" w:hAnsi="Georgia"/>
          <w:sz w:val="18"/>
          <w:szCs w:val="18"/>
        </w:rPr>
        <w:t>The ARTF has provided a mechanism for over 30 donors to pool resources (over US$4.3 billion since 2002) to contribute to strong development results across Afghanistan. These include: school and road construction; rural infrastructure investments; and supporting training for teachers, healthcare workers and civil servants. The ARTF has played a vital role in keeping the Afghan Government functioning, paying the salaries of around 250,000 non-uniformed civil servants including 150,000 teachers. Australian funding to the ARTF totalled $112 million by 2010.</w:t>
      </w:r>
    </w:p>
    <w:p w:rsidR="00BB7688" w:rsidRPr="00A369B9" w:rsidRDefault="00BB7688" w:rsidP="00220DBE">
      <w:pPr>
        <w:pBdr>
          <w:top w:val="single" w:sz="4" w:space="1" w:color="auto"/>
          <w:left w:val="single" w:sz="4" w:space="4" w:color="auto"/>
          <w:bottom w:val="single" w:sz="4" w:space="1" w:color="auto"/>
          <w:right w:val="single" w:sz="4" w:space="4" w:color="auto"/>
        </w:pBdr>
        <w:shd w:val="clear" w:color="auto" w:fill="CCCCCC"/>
        <w:spacing w:before="120" w:after="120"/>
        <w:jc w:val="both"/>
        <w:rPr>
          <w:rFonts w:ascii="Georgia" w:hAnsi="Georgia"/>
          <w:sz w:val="18"/>
          <w:szCs w:val="18"/>
        </w:rPr>
      </w:pPr>
      <w:r w:rsidRPr="00A369B9">
        <w:rPr>
          <w:rFonts w:ascii="Georgia" w:hAnsi="Georgia"/>
          <w:sz w:val="18"/>
          <w:szCs w:val="18"/>
        </w:rPr>
        <w:t>However, the ARTF has not been without its challenges. In some parts of the country progress of ARTF programs has been hampered by lengthy</w:t>
      </w:r>
      <w:r w:rsidR="00F04691">
        <w:rPr>
          <w:rFonts w:ascii="Georgia" w:hAnsi="Georgia"/>
          <w:sz w:val="18"/>
          <w:szCs w:val="18"/>
        </w:rPr>
        <w:t xml:space="preserve"> </w:t>
      </w:r>
      <w:r w:rsidRPr="00A369B9">
        <w:rPr>
          <w:rFonts w:ascii="Georgia" w:hAnsi="Georgia"/>
          <w:sz w:val="18"/>
          <w:szCs w:val="18"/>
        </w:rPr>
        <w:t>procurement procedures and at times</w:t>
      </w:r>
      <w:r w:rsidR="00ED3B4A">
        <w:rPr>
          <w:rFonts w:ascii="Georgia" w:hAnsi="Georgia"/>
          <w:sz w:val="18"/>
          <w:szCs w:val="18"/>
        </w:rPr>
        <w:t xml:space="preserve"> the</w:t>
      </w:r>
      <w:r w:rsidRPr="00A369B9">
        <w:rPr>
          <w:rFonts w:ascii="Georgia" w:hAnsi="Georgia"/>
          <w:sz w:val="18"/>
          <w:szCs w:val="18"/>
        </w:rPr>
        <w:t xml:space="preserve"> inadequate implementation support, particul</w:t>
      </w:r>
      <w:r w:rsidR="00ED3B4A">
        <w:rPr>
          <w:rFonts w:ascii="Georgia" w:hAnsi="Georgia"/>
          <w:sz w:val="18"/>
          <w:szCs w:val="18"/>
        </w:rPr>
        <w:t>arly in conflict-affected areas</w:t>
      </w:r>
      <w:r w:rsidRPr="00A369B9">
        <w:rPr>
          <w:rFonts w:ascii="Georgia" w:hAnsi="Georgia"/>
          <w:sz w:val="18"/>
          <w:szCs w:val="18"/>
        </w:rPr>
        <w:t>. The Afghan Government’s low absorptive capacity and fiscal performance also constrains the scale and pace of donor assistance through government systems.</w:t>
      </w:r>
    </w:p>
    <w:p w:rsidR="00BB7688" w:rsidRPr="00A369B9" w:rsidRDefault="00BB7688" w:rsidP="00220DBE">
      <w:pPr>
        <w:pBdr>
          <w:top w:val="single" w:sz="4" w:space="1" w:color="auto"/>
          <w:left w:val="single" w:sz="4" w:space="4" w:color="auto"/>
          <w:bottom w:val="single" w:sz="4" w:space="1" w:color="auto"/>
          <w:right w:val="single" w:sz="4" w:space="4" w:color="auto"/>
        </w:pBdr>
        <w:shd w:val="clear" w:color="auto" w:fill="CCCCCC"/>
        <w:spacing w:before="120" w:after="120"/>
        <w:jc w:val="both"/>
        <w:rPr>
          <w:rFonts w:ascii="Georgia" w:hAnsi="Georgia"/>
          <w:sz w:val="18"/>
          <w:szCs w:val="18"/>
        </w:rPr>
      </w:pPr>
      <w:r w:rsidRPr="00A369B9">
        <w:rPr>
          <w:rFonts w:ascii="Georgia" w:hAnsi="Georgia"/>
          <w:sz w:val="18"/>
          <w:szCs w:val="18"/>
        </w:rPr>
        <w:t xml:space="preserve">Recognising these challenges and the ARTF’s importance to Australia’s program and to Afghan development, AusAID will engage </w:t>
      </w:r>
      <w:r w:rsidR="00BC49D0">
        <w:rPr>
          <w:rFonts w:ascii="Georgia" w:hAnsi="Georgia"/>
          <w:sz w:val="18"/>
          <w:szCs w:val="18"/>
        </w:rPr>
        <w:t xml:space="preserve">closely </w:t>
      </w:r>
      <w:r w:rsidRPr="00A369B9">
        <w:rPr>
          <w:rFonts w:ascii="Georgia" w:hAnsi="Georgia"/>
          <w:sz w:val="18"/>
          <w:szCs w:val="18"/>
        </w:rPr>
        <w:t>with the ARTF and key stakeholders over the next three years to ensure that the ARTF remains an effective mechanism through which to support Afghan development p</w:t>
      </w:r>
      <w:bookmarkStart w:id="9" w:name="_GoBack"/>
      <w:bookmarkEnd w:id="9"/>
      <w:r w:rsidRPr="00A369B9">
        <w:rPr>
          <w:rFonts w:ascii="Georgia" w:hAnsi="Georgia"/>
          <w:sz w:val="18"/>
          <w:szCs w:val="18"/>
        </w:rPr>
        <w:t>riorities.</w:t>
      </w:r>
    </w:p>
    <w:p w:rsidR="003216BA" w:rsidRDefault="003216BA" w:rsidP="00B63639">
      <w:pPr>
        <w:pStyle w:val="Heading1"/>
        <w:spacing w:before="240"/>
      </w:pPr>
      <w:bookmarkStart w:id="10" w:name="_Toc360974026"/>
      <w:r>
        <w:lastRenderedPageBreak/>
        <w:t>Next steps</w:t>
      </w:r>
      <w:bookmarkEnd w:id="10"/>
    </w:p>
    <w:p w:rsidR="00440913" w:rsidRDefault="00BC49D0" w:rsidP="00A51552">
      <w:pPr>
        <w:pStyle w:val="BodyText"/>
      </w:pPr>
      <w:r>
        <w:t>Afghanistan is currently undergoing a process of transition to Afghan</w:t>
      </w:r>
      <w:r w:rsidR="00D71470">
        <w:t>-led</w:t>
      </w:r>
      <w:r>
        <w:t xml:space="preserve"> security </w:t>
      </w:r>
      <w:r w:rsidR="00D71470">
        <w:t>responsibility</w:t>
      </w:r>
      <w:r>
        <w:t xml:space="preserve">, which will be completed by 2014. </w:t>
      </w:r>
      <w:r w:rsidR="00440913">
        <w:t>Th</w:t>
      </w:r>
      <w:r>
        <w:t>is will have an impact on the volume and nature of international development assistance</w:t>
      </w:r>
      <w:r w:rsidR="006D60DA">
        <w:t xml:space="preserve">.  </w:t>
      </w:r>
      <w:r>
        <w:t>Australia has a long-term commitment to the delivery of assistance to Afghanistan, with t</w:t>
      </w:r>
      <w:r w:rsidR="00A51552">
        <w:t xml:space="preserve">he Prime Minister </w:t>
      </w:r>
      <w:r>
        <w:t>making</w:t>
      </w:r>
      <w:r w:rsidR="00A51552">
        <w:t xml:space="preserve"> clear </w:t>
      </w:r>
      <w:r>
        <w:t xml:space="preserve">that </w:t>
      </w:r>
      <w:r w:rsidR="00787C0C">
        <w:t xml:space="preserve">Australia’s </w:t>
      </w:r>
      <w:r w:rsidR="00A51552">
        <w:t xml:space="preserve">commitment to </w:t>
      </w:r>
      <w:r w:rsidR="00787C0C">
        <w:t xml:space="preserve">Afghanistan in a training and capacity development role </w:t>
      </w:r>
      <w:r>
        <w:t xml:space="preserve">will continue </w:t>
      </w:r>
      <w:r w:rsidR="00440913">
        <w:t>through this decade at least.</w:t>
      </w:r>
      <w:r w:rsidR="00A36CB6">
        <w:t xml:space="preserve"> </w:t>
      </w:r>
      <w:r w:rsidR="00A51552">
        <w:t xml:space="preserve"> </w:t>
      </w:r>
    </w:p>
    <w:p w:rsidR="00A51552" w:rsidRDefault="00A51552" w:rsidP="00A51552">
      <w:pPr>
        <w:pStyle w:val="BodyText"/>
      </w:pPr>
      <w:r>
        <w:t>The development implications of transition will be broad-based</w:t>
      </w:r>
      <w:r w:rsidR="00787C0C">
        <w:t>, but the economic impact will be particularly significant</w:t>
      </w:r>
      <w:r>
        <w:t xml:space="preserve">. </w:t>
      </w:r>
      <w:r w:rsidR="00A36CB6">
        <w:t xml:space="preserve"> </w:t>
      </w:r>
      <w:r>
        <w:t>Without a managed approach to declining international expenditure in parallel with efforts to spur the domestic economy and</w:t>
      </w:r>
      <w:r w:rsidR="00D258EC">
        <w:t xml:space="preserve">, in particular, </w:t>
      </w:r>
      <w:r>
        <w:t xml:space="preserve"> revenue generation</w:t>
      </w:r>
      <w:r w:rsidR="00D258EC">
        <w:t xml:space="preserve"> and management</w:t>
      </w:r>
      <w:r>
        <w:t xml:space="preserve">, the associated unemployment and economic fallout could </w:t>
      </w:r>
      <w:r w:rsidR="00D71470">
        <w:t>significantly affect the ability of Afghanistan to sustain, let alone improve, governance and development activities</w:t>
      </w:r>
    </w:p>
    <w:p w:rsidR="00A36CB6" w:rsidRDefault="00A51552" w:rsidP="00A51552">
      <w:pPr>
        <w:pStyle w:val="BodyText"/>
      </w:pPr>
      <w:r>
        <w:t xml:space="preserve">Transition will have a direct impact on </w:t>
      </w:r>
      <w:smartTag w:uri="urn:schemas-microsoft-com:office:smarttags" w:element="country-region">
        <w:r>
          <w:t>Australia</w:t>
        </w:r>
      </w:smartTag>
      <w:r>
        <w:t xml:space="preserve">’s assistance efforts in </w:t>
      </w:r>
      <w:smartTag w:uri="urn:schemas-microsoft-com:office:smarttags" w:element="place">
        <w:smartTag w:uri="urn:schemas-microsoft-com:office:smarttags" w:element="country-region">
          <w:r>
            <w:t>Afghanistan</w:t>
          </w:r>
        </w:smartTag>
      </w:smartTag>
      <w:r>
        <w:t xml:space="preserve">. When security transition occurs in Uruzgan, and </w:t>
      </w:r>
      <w:r w:rsidR="00D71470">
        <w:t>ISAF</w:t>
      </w:r>
      <w:r>
        <w:t xml:space="preserve"> forces withdraw, the </w:t>
      </w:r>
      <w:r w:rsidR="00D258EC">
        <w:t xml:space="preserve">current </w:t>
      </w:r>
      <w:r>
        <w:t>P</w:t>
      </w:r>
      <w:r w:rsidR="00D258EC">
        <w:t>rovincial Reconstruction Team will evolve and, over time, dissolve</w:t>
      </w:r>
      <w:r>
        <w:t>. AusAID will continue to manage a</w:t>
      </w:r>
      <w:r w:rsidR="00D258EC">
        <w:t xml:space="preserve"> substantial</w:t>
      </w:r>
      <w:r>
        <w:t xml:space="preserve"> aid program in Afghanistan</w:t>
      </w:r>
      <w:r w:rsidR="00D258EC">
        <w:t>, but delivered</w:t>
      </w:r>
      <w:r>
        <w:t xml:space="preserve"> from Kabul, </w:t>
      </w:r>
      <w:r w:rsidR="00D258EC">
        <w:t>and predominantly focussed on national-level development.</w:t>
      </w:r>
      <w:r w:rsidR="00493156">
        <w:t xml:space="preserve"> </w:t>
      </w:r>
      <w:r>
        <w:t>AusAID staff will no longer be based in Uruzgan. As a result, in the lead up to transition the PRT will increasingly focus on ensuring the sustainability of development gains, with a particular focus on building the links between the provincial and national government</w:t>
      </w:r>
      <w:r w:rsidR="00D258EC">
        <w:t>s</w:t>
      </w:r>
      <w:r>
        <w:t xml:space="preserve"> to improve the delivery of national</w:t>
      </w:r>
      <w:r w:rsidR="00D258EC">
        <w:t xml:space="preserve"> development</w:t>
      </w:r>
      <w:r>
        <w:t xml:space="preserve"> programs in Uruzgan. </w:t>
      </w:r>
      <w:r w:rsidR="00D258EC">
        <w:t xml:space="preserve">Afghanistan will remain a challenging place in which to deliver aid.  </w:t>
      </w:r>
      <w:r w:rsidR="00A36CB6" w:rsidRPr="004F1914">
        <w:t xml:space="preserve">In a context of insecurity, low capacity, corruption and gender inequality, there are no low risk programming options. </w:t>
      </w:r>
      <w:r w:rsidR="00D258EC">
        <w:t>New programs will</w:t>
      </w:r>
      <w:r w:rsidR="00A36CB6" w:rsidRPr="004F1914">
        <w:t xml:space="preserve"> need to be realistic, recognise the constraints of the Afghan operating environment and apply a ‘do n</w:t>
      </w:r>
      <w:r w:rsidR="00440913">
        <w:t xml:space="preserve">o harm approach’. </w:t>
      </w:r>
    </w:p>
    <w:p w:rsidR="003E5EC3" w:rsidRDefault="00A36CB6" w:rsidP="003E5EC3">
      <w:pPr>
        <w:pStyle w:val="BodyText"/>
      </w:pPr>
      <w:r>
        <w:t xml:space="preserve">Future actions </w:t>
      </w:r>
      <w:r w:rsidR="00D258EC">
        <w:t xml:space="preserve">for the Australian aid program to Afghanistan </w:t>
      </w:r>
      <w:r>
        <w:t>include:</w:t>
      </w:r>
    </w:p>
    <w:p w:rsidR="00A51552" w:rsidRDefault="00D258EC" w:rsidP="00A51552">
      <w:pPr>
        <w:pStyle w:val="ListBullet"/>
      </w:pPr>
      <w:r>
        <w:t>C</w:t>
      </w:r>
      <w:r w:rsidR="00A51552">
        <w:t>ontinu</w:t>
      </w:r>
      <w:r>
        <w:t>ing</w:t>
      </w:r>
      <w:r w:rsidR="00A51552">
        <w:t xml:space="preserve"> to </w:t>
      </w:r>
      <w:r w:rsidR="00787C0C">
        <w:t xml:space="preserve">shift </w:t>
      </w:r>
      <w:r w:rsidR="00A51552">
        <w:t>from small-scale</w:t>
      </w:r>
      <w:r w:rsidR="00787C0C">
        <w:t xml:space="preserve"> and short-term</w:t>
      </w:r>
      <w:r w:rsidR="00A51552">
        <w:t xml:space="preserve"> projects and grants to</w:t>
      </w:r>
      <w:r>
        <w:t xml:space="preserve"> larger,</w:t>
      </w:r>
      <w:r w:rsidR="00A51552">
        <w:t xml:space="preserve"> </w:t>
      </w:r>
      <w:r w:rsidR="00787C0C">
        <w:t xml:space="preserve">longer-term </w:t>
      </w:r>
      <w:r w:rsidR="00A51552">
        <w:t>programs</w:t>
      </w:r>
      <w:r w:rsidR="00787C0C">
        <w:t>. For example,</w:t>
      </w:r>
      <w:r w:rsidR="00A51552">
        <w:t xml:space="preserve"> </w:t>
      </w:r>
      <w:r>
        <w:t>AusAID has now established</w:t>
      </w:r>
      <w:r w:rsidR="00787C0C">
        <w:t xml:space="preserve"> four-year programs </w:t>
      </w:r>
      <w:r w:rsidR="00A51552">
        <w:t>with the International Federation of the Red Cross and the Afghan Red Crescent Society in health, and CARE Australia in education</w:t>
      </w:r>
      <w:r w:rsidR="008C27E2">
        <w:t>. Longer term programs have been shown to</w:t>
      </w:r>
      <w:r w:rsidR="00A51552">
        <w:t xml:space="preserve"> improve results </w:t>
      </w:r>
      <w:r w:rsidR="008C27E2">
        <w:t>due to the</w:t>
      </w:r>
      <w:r w:rsidR="00A51552">
        <w:t xml:space="preserve"> continuity of resources and </w:t>
      </w:r>
      <w:r w:rsidR="008C27E2">
        <w:t>the capacity</w:t>
      </w:r>
      <w:r w:rsidR="00F04691">
        <w:t xml:space="preserve"> </w:t>
      </w:r>
      <w:r w:rsidR="008C27E2">
        <w:t>this provides to measure progress and adapt</w:t>
      </w:r>
      <w:r w:rsidR="00A51552">
        <w:t xml:space="preserve"> </w:t>
      </w:r>
      <w:r w:rsidR="008C27E2">
        <w:t>intervention accordingly</w:t>
      </w:r>
      <w:r w:rsidR="00A51552">
        <w:t>.</w:t>
      </w:r>
    </w:p>
    <w:p w:rsidR="00A51552" w:rsidRDefault="008C27E2" w:rsidP="00A36CB6">
      <w:pPr>
        <w:pStyle w:val="ListBullet"/>
      </w:pPr>
      <w:r>
        <w:t>Increasing</w:t>
      </w:r>
      <w:r w:rsidR="00A51552">
        <w:t xml:space="preserve"> engagement in the education sector</w:t>
      </w:r>
      <w:r>
        <w:t>, including</w:t>
      </w:r>
      <w:r w:rsidR="00A51552">
        <w:t xml:space="preserve"> by seeking to expand support to improved quality of education through the third Malaysia-Australia Education Project for Afghanistan program.  </w:t>
      </w:r>
      <w:r>
        <w:t>Increased support will be provided to the</w:t>
      </w:r>
      <w:r w:rsidR="00A51552">
        <w:t xml:space="preserve"> Education Quality Improvement Project (EQUIP II)</w:t>
      </w:r>
      <w:r>
        <w:t xml:space="preserve">, including </w:t>
      </w:r>
      <w:proofErr w:type="gramStart"/>
      <w:r>
        <w:t>to support</w:t>
      </w:r>
      <w:proofErr w:type="gramEnd"/>
      <w:r>
        <w:t xml:space="preserve"> improved monitoring and implementation assistance.  Australia will also support </w:t>
      </w:r>
      <w:proofErr w:type="gramStart"/>
      <w:r>
        <w:t>the  Education</w:t>
      </w:r>
      <w:proofErr w:type="gramEnd"/>
      <w:r>
        <w:t xml:space="preserve"> for All</w:t>
      </w:r>
      <w:r w:rsidR="00A51552">
        <w:t xml:space="preserve"> Fast Track Initiative. </w:t>
      </w:r>
    </w:p>
    <w:p w:rsidR="003E5EC3" w:rsidRDefault="008C27E2" w:rsidP="003E5EC3">
      <w:pPr>
        <w:pStyle w:val="ListBullet"/>
      </w:pPr>
      <w:proofErr w:type="gramStart"/>
      <w:r>
        <w:t>P</w:t>
      </w:r>
      <w:r w:rsidR="003E5EC3">
        <w:t>rogress</w:t>
      </w:r>
      <w:r>
        <w:t>ing</w:t>
      </w:r>
      <w:proofErr w:type="gramEnd"/>
      <w:r w:rsidR="003E5EC3">
        <w:t xml:space="preserve"> a more strategic engagement in rural development and livelihoods, reflecting Australia’s </w:t>
      </w:r>
      <w:r>
        <w:t xml:space="preserve">and Afghanistan’s </w:t>
      </w:r>
      <w:r w:rsidR="003E5EC3">
        <w:t xml:space="preserve">common interest in farming semi-arid areas with significant water limitations. </w:t>
      </w:r>
      <w:r>
        <w:t xml:space="preserve"> The Australian Centre for International Agricultural Research will be a key partner in the sector.</w:t>
      </w:r>
    </w:p>
    <w:p w:rsidR="008C27E2" w:rsidRDefault="008C27E2" w:rsidP="003E5EC3">
      <w:pPr>
        <w:pStyle w:val="ListBullet"/>
      </w:pPr>
      <w:r>
        <w:t>Expanding support to the governance and administration of the mining sector, which has the potential, if properly managed</w:t>
      </w:r>
      <w:proofErr w:type="gramStart"/>
      <w:r>
        <w:t>,</w:t>
      </w:r>
      <w:proofErr w:type="gramEnd"/>
      <w:r>
        <w:t xml:space="preserve"> to generate </w:t>
      </w:r>
      <w:r w:rsidR="00026C70">
        <w:t xml:space="preserve">much needed </w:t>
      </w:r>
      <w:r>
        <w:t>revenue for the Af</w:t>
      </w:r>
      <w:r w:rsidR="00026C70">
        <w:t>g</w:t>
      </w:r>
      <w:r>
        <w:t>han Government and improve service provision for the Afghan people.</w:t>
      </w:r>
    </w:p>
    <w:p w:rsidR="003E5EC3" w:rsidRDefault="008C27E2" w:rsidP="003E5EC3">
      <w:pPr>
        <w:pStyle w:val="ListBullet"/>
      </w:pPr>
      <w:r>
        <w:lastRenderedPageBreak/>
        <w:t>Developing a new program of support to</w:t>
      </w:r>
      <w:r w:rsidR="00F04691">
        <w:t xml:space="preserve"> s</w:t>
      </w:r>
      <w:r w:rsidR="003E5EC3">
        <w:t>trengthen Public Financial Management</w:t>
      </w:r>
      <w:r>
        <w:t xml:space="preserve"> in Afghanistan, in recognition of the importance of effective revenue management and improved service delivery by the Afghan Government</w:t>
      </w:r>
      <w:r w:rsidR="00787C0C">
        <w:t>.</w:t>
      </w:r>
    </w:p>
    <w:p w:rsidR="00026C70" w:rsidRDefault="00026C70" w:rsidP="00A51552">
      <w:pPr>
        <w:pStyle w:val="ListBullet"/>
      </w:pPr>
      <w:r>
        <w:t>Committing substantial resources to</w:t>
      </w:r>
      <w:r w:rsidR="00F04691">
        <w:t xml:space="preserve"> </w:t>
      </w:r>
      <w:r>
        <w:t>s</w:t>
      </w:r>
      <w:r w:rsidR="003E5EC3">
        <w:t xml:space="preserve">trengthen the electoral process for the next Afghan Presidential election scheduled for 2014 and Parliamentary election in 2015,  </w:t>
      </w:r>
    </w:p>
    <w:p w:rsidR="003E5EC3" w:rsidRDefault="00026C70" w:rsidP="00A51552">
      <w:pPr>
        <w:pStyle w:val="ListBullet"/>
      </w:pPr>
      <w:r>
        <w:t>C</w:t>
      </w:r>
      <w:r w:rsidR="003E5EC3">
        <w:t>ontinu</w:t>
      </w:r>
      <w:r>
        <w:t>ing</w:t>
      </w:r>
      <w:r w:rsidR="003E5EC3">
        <w:t xml:space="preserve"> support for the Afghanistan Independent Human Rights Commission</w:t>
      </w:r>
      <w:r>
        <w:t xml:space="preserve"> and investigating options for supporting other accountability institutions and civil society groups</w:t>
      </w:r>
      <w:r w:rsidR="003E5EC3">
        <w:t>.</w:t>
      </w:r>
    </w:p>
    <w:p w:rsidR="003E5EC3" w:rsidRDefault="00026C70" w:rsidP="003E5EC3">
      <w:pPr>
        <w:pStyle w:val="ListBullet"/>
      </w:pPr>
      <w:r>
        <w:t>P</w:t>
      </w:r>
      <w:r w:rsidR="003E5EC3">
        <w:t>rovid</w:t>
      </w:r>
      <w:r>
        <w:t>ing ongoing</w:t>
      </w:r>
      <w:r w:rsidR="003E5EC3">
        <w:t xml:space="preserve"> humanitarian assistance to vulnerable populations and respond</w:t>
      </w:r>
      <w:r>
        <w:t>ing</w:t>
      </w:r>
      <w:r w:rsidR="003E5EC3">
        <w:t xml:space="preserve"> to humanitarian emergencies</w:t>
      </w:r>
      <w:r>
        <w:t xml:space="preserve"> as they arise</w:t>
      </w:r>
      <w:r w:rsidR="00787C0C">
        <w:t>.</w:t>
      </w:r>
    </w:p>
    <w:p w:rsidR="003216BA" w:rsidRDefault="00026C70" w:rsidP="00A36CB6">
      <w:pPr>
        <w:pStyle w:val="ListBullet"/>
      </w:pPr>
      <w:r>
        <w:t>Increasing support to demining through Australia’s</w:t>
      </w:r>
      <w:r w:rsidR="003E5EC3">
        <w:t xml:space="preserve"> largest ever single mine action activity</w:t>
      </w:r>
      <w:r>
        <w:t>,</w:t>
      </w:r>
      <w:r w:rsidR="003E5EC3">
        <w:t xml:space="preserve"> providing $20 million over four years (2011-15) to help to clear up to 7.8 million square metres of land, educate women and children on the dangers of mines, expand disability and rehabilitation services to assist people with a disability, including mine victims.</w:t>
      </w:r>
    </w:p>
    <w:p w:rsidR="00A36CB6" w:rsidRDefault="00026C70" w:rsidP="00B63639">
      <w:pPr>
        <w:pStyle w:val="ListBullet"/>
      </w:pPr>
      <w:r>
        <w:t>Increasing assistance to Uruzgan to around</w:t>
      </w:r>
      <w:r w:rsidR="00A36CB6">
        <w:t xml:space="preserve"> $30 million</w:t>
      </w:r>
      <w:r>
        <w:t xml:space="preserve"> in 2010-11, in recognition of the province’s serious development challenges. S</w:t>
      </w:r>
      <w:r w:rsidR="00A36CB6">
        <w:t xml:space="preserve">upport </w:t>
      </w:r>
      <w:r>
        <w:t xml:space="preserve">will be </w:t>
      </w:r>
      <w:r w:rsidR="00A36CB6">
        <w:t>directed toward</w:t>
      </w:r>
      <w:r>
        <w:t>s</w:t>
      </w:r>
      <w:r w:rsidR="00A36CB6">
        <w:t xml:space="preserve"> building Afghan Government capacity in service delivery, governance, and rural development and livelihoods. A major new program to facilitate access to basic education and health services will come on line in 2011, along with initiatives to improve community based infrastructure. </w:t>
      </w:r>
    </w:p>
    <w:sectPr w:rsidR="00A36CB6" w:rsidSect="002B57D4">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CB" w:rsidRDefault="004459CB">
      <w:r>
        <w:separator/>
      </w:r>
    </w:p>
    <w:p w:rsidR="004459CB" w:rsidRDefault="004459CB"/>
    <w:p w:rsidR="004459CB" w:rsidRDefault="004459CB"/>
  </w:endnote>
  <w:endnote w:type="continuationSeparator" w:id="0">
    <w:p w:rsidR="004459CB" w:rsidRDefault="004459CB">
      <w:r>
        <w:continuationSeparator/>
      </w:r>
    </w:p>
    <w:p w:rsidR="004459CB" w:rsidRDefault="004459CB"/>
    <w:p w:rsidR="004459CB" w:rsidRDefault="004459CB"/>
  </w:endnote>
  <w:endnote w:id="1">
    <w:p w:rsidR="001267B7" w:rsidRPr="00061BD1" w:rsidRDefault="001267B7" w:rsidP="002B57D4">
      <w:pPr>
        <w:pStyle w:val="EndnoteText"/>
      </w:pPr>
      <w:r w:rsidRPr="00061BD1">
        <w:rPr>
          <w:rStyle w:val="EndnoteReference"/>
        </w:rPr>
        <w:endnoteRef/>
      </w:r>
      <w:r w:rsidRPr="00061BD1">
        <w:t xml:space="preserve"> </w:t>
      </w:r>
      <w:r w:rsidRPr="00391793">
        <w:rPr>
          <w:rFonts w:ascii="Georgia" w:hAnsi="Georgia"/>
          <w:sz w:val="16"/>
          <w:szCs w:val="16"/>
        </w:rPr>
        <w:t>This is an improvement on its previous position of 181 out of 182 countries</w:t>
      </w:r>
      <w:r>
        <w:rPr>
          <w:rFonts w:ascii="Georgia" w:hAnsi="Georgia"/>
          <w:sz w:val="16"/>
          <w:szCs w:val="16"/>
        </w:rPr>
        <w:t xml:space="preserve">.  </w:t>
      </w:r>
      <w:r w:rsidRPr="00391793">
        <w:rPr>
          <w:rFonts w:ascii="Georgia" w:hAnsi="Georgia"/>
          <w:sz w:val="16"/>
          <w:szCs w:val="16"/>
        </w:rPr>
        <w:t>United Nat</w:t>
      </w:r>
      <w:r>
        <w:rPr>
          <w:rFonts w:ascii="Georgia" w:hAnsi="Georgia"/>
          <w:sz w:val="16"/>
          <w:szCs w:val="16"/>
        </w:rPr>
        <w:t xml:space="preserve">ions Development Programme, </w:t>
      </w:r>
      <w:r w:rsidRPr="00A00770">
        <w:rPr>
          <w:rFonts w:ascii="Georgia" w:hAnsi="Georgia"/>
          <w:i/>
          <w:sz w:val="16"/>
          <w:szCs w:val="16"/>
        </w:rPr>
        <w:t>Human Development Report 2010</w:t>
      </w:r>
      <w:r>
        <w:rPr>
          <w:rFonts w:ascii="Georgia" w:hAnsi="Georgia"/>
          <w:sz w:val="16"/>
          <w:szCs w:val="16"/>
        </w:rPr>
        <w:t>, p. 142</w:t>
      </w:r>
      <w:r w:rsidRPr="00391793">
        <w:rPr>
          <w:rFonts w:ascii="Georgia" w:hAnsi="Georgia"/>
          <w:sz w:val="16"/>
          <w:szCs w:val="16"/>
        </w:rPr>
        <w:t>.</w:t>
      </w:r>
    </w:p>
  </w:endnote>
  <w:endnote w:id="2">
    <w:p w:rsidR="001267B7" w:rsidRPr="00391793" w:rsidRDefault="001267B7" w:rsidP="002B57D4">
      <w:pPr>
        <w:pStyle w:val="EndnoteText"/>
        <w:rPr>
          <w:rFonts w:ascii="Georgia" w:hAnsi="Georgia"/>
          <w:sz w:val="16"/>
          <w:szCs w:val="16"/>
        </w:rPr>
      </w:pPr>
      <w:r>
        <w:rPr>
          <w:rStyle w:val="EndnoteReference"/>
        </w:rPr>
        <w:endnoteRef/>
      </w:r>
      <w:r>
        <w:t xml:space="preserve"> </w:t>
      </w:r>
      <w:proofErr w:type="gramStart"/>
      <w:r>
        <w:rPr>
          <w:rFonts w:ascii="Georgia" w:hAnsi="Georgia"/>
          <w:sz w:val="16"/>
          <w:szCs w:val="16"/>
        </w:rPr>
        <w:t>World Bank,</w:t>
      </w:r>
      <w:r w:rsidRPr="00391793">
        <w:rPr>
          <w:rFonts w:ascii="Georgia" w:hAnsi="Georgia"/>
          <w:sz w:val="16"/>
          <w:szCs w:val="16"/>
        </w:rPr>
        <w:t xml:space="preserve"> </w:t>
      </w:r>
      <w:r w:rsidRPr="00A00770">
        <w:rPr>
          <w:rFonts w:ascii="Georgia" w:hAnsi="Georgia"/>
          <w:i/>
          <w:sz w:val="16"/>
          <w:szCs w:val="16"/>
        </w:rPr>
        <w:t>World Bank Open Data 2011</w:t>
      </w:r>
      <w:r w:rsidRPr="00391793">
        <w:rPr>
          <w:rFonts w:ascii="Georgia" w:hAnsi="Georgia"/>
          <w:sz w:val="16"/>
          <w:szCs w:val="16"/>
        </w:rPr>
        <w:t>.</w:t>
      </w:r>
      <w:proofErr w:type="gramEnd"/>
      <w:r w:rsidRPr="00391793">
        <w:rPr>
          <w:rFonts w:ascii="Georgia" w:hAnsi="Georgia"/>
          <w:sz w:val="16"/>
          <w:szCs w:val="16"/>
        </w:rPr>
        <w:t xml:space="preserve"> </w:t>
      </w:r>
    </w:p>
  </w:endnote>
  <w:endnote w:id="3">
    <w:p w:rsidR="001267B7" w:rsidRPr="00E067C2" w:rsidRDefault="001267B7" w:rsidP="00ED1505">
      <w:pPr>
        <w:pStyle w:val="Bullet"/>
        <w:numPr>
          <w:ilvl w:val="0"/>
          <w:numId w:val="0"/>
        </w:numPr>
        <w:spacing w:after="0" w:line="240" w:lineRule="auto"/>
        <w:rPr>
          <w:rFonts w:ascii="Times New Roman" w:hAnsi="Times New Roman"/>
          <w:color w:val="auto"/>
          <w:sz w:val="20"/>
          <w:szCs w:val="20"/>
        </w:rPr>
      </w:pPr>
      <w:r w:rsidRPr="00421109">
        <w:rPr>
          <w:rStyle w:val="EndnoteReference"/>
          <w:rFonts w:ascii="Times New Roman" w:hAnsi="Times New Roman"/>
          <w:color w:val="auto"/>
          <w:sz w:val="20"/>
          <w:szCs w:val="20"/>
        </w:rPr>
        <w:endnoteRef/>
      </w:r>
      <w:r w:rsidRPr="00421109">
        <w:rPr>
          <w:rFonts w:ascii="Times New Roman" w:hAnsi="Times New Roman"/>
        </w:rPr>
        <w:t xml:space="preserve"> </w:t>
      </w:r>
      <w:r w:rsidRPr="00391793">
        <w:rPr>
          <w:rFonts w:ascii="Georgia" w:hAnsi="Georgia"/>
          <w:sz w:val="16"/>
          <w:szCs w:val="16"/>
        </w:rPr>
        <w:t xml:space="preserve">The DAFA is a bilateral contracted facility through which </w:t>
      </w:r>
      <w:smartTag w:uri="urn:schemas-microsoft-com:office:smarttags" w:element="place">
        <w:smartTag w:uri="urn:schemas-microsoft-com:office:smarttags" w:element="country-region">
          <w:r w:rsidRPr="00391793">
            <w:rPr>
              <w:rFonts w:ascii="Georgia" w:hAnsi="Georgia"/>
              <w:sz w:val="16"/>
              <w:szCs w:val="16"/>
            </w:rPr>
            <w:t>Australia</w:t>
          </w:r>
        </w:smartTag>
      </w:smartTag>
      <w:r w:rsidRPr="00391793">
        <w:rPr>
          <w:rFonts w:ascii="Georgia" w:hAnsi="Georgia"/>
          <w:sz w:val="16"/>
          <w:szCs w:val="16"/>
        </w:rPr>
        <w:t xml:space="preserve"> provides support, training and technical assistance to the Afghan Government. It aims to build capacity at the national and provincial level within the Afghan Ministries of: Rural Rehabilitation and Development; Education; Public Health; and, Agriculture, Irrigation and Livestock. It also supports Australian reconstruction efforts in Uruzgan. It provides flexible funding, using a broad range of modes of assistance covering: advisers deployed in counterpart Ministries; the provision of technical assistance through small projects; the provision of Australian Development Scholarships to public sector candidates; and, support for trilateral training through the Malaysia-Australia Education Project for </w:t>
      </w:r>
      <w:smartTag w:uri="urn:schemas-microsoft-com:office:smarttags" w:element="country-region">
        <w:smartTag w:uri="urn:schemas-microsoft-com:office:smarttags" w:element="place">
          <w:r w:rsidRPr="00391793">
            <w:rPr>
              <w:rFonts w:ascii="Georgia" w:hAnsi="Georgia"/>
              <w:sz w:val="16"/>
              <w:szCs w:val="16"/>
            </w:rPr>
            <w:t>Afghanistan</w:t>
          </w:r>
        </w:smartTag>
      </w:smartTag>
      <w:r w:rsidRPr="00391793">
        <w:rPr>
          <w:rFonts w:ascii="Georgia" w:hAnsi="Georgia"/>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440">
    <w:altName w:val="Times New Roman"/>
    <w:panose1 w:val="00000000000000000000"/>
    <w:charset w:val="00"/>
    <w:family w:val="auto"/>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B7" w:rsidRPr="00AD612A" w:rsidRDefault="00B63639">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7B7" w:rsidRPr="007C1ECE">
      <w:tab/>
    </w:r>
    <w:r w:rsidR="001267B7">
      <w:tab/>
    </w:r>
    <w:r w:rsidR="001267B7">
      <w:tab/>
    </w:r>
    <w:r w:rsidR="001267B7">
      <w:rPr>
        <w:rStyle w:val="PageNumber"/>
      </w:rPr>
      <w:fldChar w:fldCharType="begin"/>
    </w:r>
    <w:r w:rsidR="001267B7">
      <w:rPr>
        <w:rStyle w:val="PageNumber"/>
      </w:rPr>
      <w:instrText xml:space="preserve"> PAGE </w:instrText>
    </w:r>
    <w:r w:rsidR="001267B7">
      <w:rPr>
        <w:rStyle w:val="PageNumber"/>
      </w:rPr>
      <w:fldChar w:fldCharType="separate"/>
    </w:r>
    <w:r w:rsidR="001267B7">
      <w:rPr>
        <w:rStyle w:val="PageNumber"/>
        <w:noProof/>
      </w:rPr>
      <w:t>11</w:t>
    </w:r>
    <w:r w:rsidR="001267B7">
      <w:rPr>
        <w:rStyle w:val="PageNumber"/>
      </w:rPr>
      <w:fldChar w:fldCharType="end"/>
    </w:r>
  </w:p>
  <w:p w:rsidR="001267B7" w:rsidRDefault="001267B7" w:rsidP="002B25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B7" w:rsidRPr="004A4B6B" w:rsidRDefault="00B63639"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7B7">
      <w:tab/>
    </w:r>
    <w:r w:rsidR="001267B7">
      <w:fldChar w:fldCharType="begin"/>
    </w:r>
    <w:r w:rsidR="001267B7">
      <w:instrText xml:space="preserve"> STYLEREF  Title </w:instrText>
    </w:r>
    <w:r w:rsidR="001267B7">
      <w:fldChar w:fldCharType="separate"/>
    </w:r>
    <w:r w:rsidR="00220DBE">
      <w:rPr>
        <w:noProof/>
      </w:rPr>
      <w:t>Development Cooperation Report 2010: Afghanistan</w:t>
    </w:r>
    <w:r w:rsidR="001267B7">
      <w:fldChar w:fldCharType="end"/>
    </w:r>
    <w:r w:rsidR="001267B7">
      <w:rPr>
        <w:rStyle w:val="PageNumber"/>
      </w:rPr>
      <w:tab/>
    </w:r>
    <w:r w:rsidR="001267B7">
      <w:rPr>
        <w:rStyle w:val="PageNumber"/>
      </w:rPr>
      <w:tab/>
    </w:r>
    <w:r w:rsidR="001267B7" w:rsidRPr="004A26C9">
      <w:rPr>
        <w:rStyle w:val="PageNumber"/>
      </w:rPr>
      <w:fldChar w:fldCharType="begin"/>
    </w:r>
    <w:r w:rsidR="001267B7" w:rsidRPr="004A26C9">
      <w:rPr>
        <w:rStyle w:val="PageNumber"/>
      </w:rPr>
      <w:instrText xml:space="preserve"> PAGE </w:instrText>
    </w:r>
    <w:r w:rsidR="001267B7" w:rsidRPr="004A26C9">
      <w:rPr>
        <w:rStyle w:val="PageNumber"/>
      </w:rPr>
      <w:fldChar w:fldCharType="separate"/>
    </w:r>
    <w:r w:rsidR="00220DBE">
      <w:rPr>
        <w:rStyle w:val="PageNumber"/>
        <w:noProof/>
      </w:rPr>
      <w:t>11</w:t>
    </w:r>
    <w:r w:rsidR="001267B7" w:rsidRPr="004A26C9">
      <w:rPr>
        <w:rStyle w:val="PageNumber"/>
      </w:rPr>
      <w:fldChar w:fldCharType="end"/>
    </w:r>
  </w:p>
  <w:p w:rsidR="001267B7" w:rsidRDefault="001267B7" w:rsidP="002B25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B7" w:rsidRDefault="001267B7">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220DBE">
      <w:rPr>
        <w:rStyle w:val="PageNumber"/>
        <w:noProof/>
      </w:rPr>
      <w:t>1</w:t>
    </w:r>
    <w:r>
      <w:rPr>
        <w:rStyle w:val="PageNumber"/>
      </w:rPr>
      <w:fldChar w:fldCharType="end"/>
    </w:r>
  </w:p>
  <w:p w:rsidR="001267B7" w:rsidRDefault="00126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CB" w:rsidRDefault="004459CB" w:rsidP="00D62AA4">
      <w:pPr>
        <w:spacing w:before="60" w:after="40" w:line="180" w:lineRule="exact"/>
      </w:pPr>
      <w:r>
        <w:continuationSeparator/>
      </w:r>
    </w:p>
    <w:p w:rsidR="004459CB" w:rsidRDefault="004459CB"/>
  </w:footnote>
  <w:footnote w:type="continuationSeparator" w:id="0">
    <w:p w:rsidR="004459CB" w:rsidRDefault="004459CB">
      <w:r>
        <w:continuationSeparator/>
      </w:r>
    </w:p>
    <w:p w:rsidR="004459CB" w:rsidRDefault="004459CB"/>
    <w:p w:rsidR="004459CB" w:rsidRDefault="004459CB"/>
  </w:footnote>
  <w:footnote w:type="continuationNotice" w:id="1">
    <w:p w:rsidR="004459CB" w:rsidRDefault="004459CB"/>
    <w:p w:rsidR="004459CB" w:rsidRDefault="004459CB"/>
    <w:p w:rsidR="004459CB" w:rsidRDefault="004459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B7" w:rsidRDefault="00B63639"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7B7" w:rsidRDefault="001267B7" w:rsidP="00B744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B7" w:rsidRDefault="001267B7">
    <w:pPr>
      <w:pStyle w:val="Header"/>
    </w:pPr>
  </w:p>
  <w:p w:rsidR="001267B7" w:rsidRDefault="001267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B7" w:rsidRDefault="001267B7">
    <w:pPr>
      <w:pStyle w:val="Header"/>
    </w:pPr>
  </w:p>
  <w:p w:rsidR="001267B7" w:rsidRDefault="00126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FD4"/>
    <w:multiLevelType w:val="hybridMultilevel"/>
    <w:tmpl w:val="F83CDA08"/>
    <w:lvl w:ilvl="0" w:tplc="DB6678E8">
      <w:start w:val="1"/>
      <w:numFmt w:val="bullet"/>
      <w:lvlText w:val="&gt;"/>
      <w:lvlJc w:val="left"/>
      <w:pPr>
        <w:tabs>
          <w:tab w:val="num" w:pos="284"/>
        </w:tabs>
        <w:ind w:left="284" w:hanging="284"/>
      </w:pPr>
      <w:rPr>
        <w:rFonts w:ascii="font440" w:hAnsi="font440"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083C07"/>
    <w:multiLevelType w:val="hybridMultilevel"/>
    <w:tmpl w:val="1556F3E6"/>
    <w:lvl w:ilvl="0" w:tplc="DB6678E8">
      <w:start w:val="1"/>
      <w:numFmt w:val="bullet"/>
      <w:lvlText w:val="&gt;"/>
      <w:lvlJc w:val="left"/>
      <w:pPr>
        <w:tabs>
          <w:tab w:val="num" w:pos="284"/>
        </w:tabs>
        <w:ind w:left="284" w:hanging="284"/>
      </w:pPr>
      <w:rPr>
        <w:rFonts w:ascii="font440" w:hAnsi="font440"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nsid w:val="27965914"/>
    <w:multiLevelType w:val="multilevel"/>
    <w:tmpl w:val="E6A83EBE"/>
    <w:lvl w:ilvl="0">
      <w:start w:val="1"/>
      <w:numFmt w:val="lowerLetter"/>
      <w:lvlRestart w:val="0"/>
      <w:lvlText w:val="%1"/>
      <w:lvlJc w:val="left"/>
      <w:pPr>
        <w:tabs>
          <w:tab w:val="num" w:pos="170"/>
        </w:tabs>
        <w:ind w:left="0" w:firstLine="0"/>
      </w:pPr>
      <w:rPr>
        <w:rFonts w:hint="default"/>
        <w:b/>
        <w:i w:val="0"/>
        <w:color w:val="auto"/>
        <w:spacing w:val="0"/>
        <w:w w:val="100"/>
        <w:position w:val="4"/>
        <w:sz w:val="14"/>
        <w:szCs w:val="1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b w:val="0"/>
        <w:i w:val="0"/>
        <w:color w:val="auto"/>
        <w:spacing w:val="0"/>
        <w:w w:val="100"/>
        <w:position w:val="0"/>
        <w:sz w:val="44"/>
        <w:szCs w:val="44"/>
      </w:rPr>
    </w:lvl>
  </w:abstractNum>
  <w:abstractNum w:abstractNumId="8">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36E532F"/>
    <w:multiLevelType w:val="hybridMultilevel"/>
    <w:tmpl w:val="E6A84908"/>
    <w:lvl w:ilvl="0" w:tplc="DB6678E8">
      <w:start w:val="1"/>
      <w:numFmt w:val="bullet"/>
      <w:lvlText w:val="&gt;"/>
      <w:lvlJc w:val="left"/>
      <w:pPr>
        <w:tabs>
          <w:tab w:val="num" w:pos="284"/>
        </w:tabs>
        <w:ind w:left="284" w:hanging="284"/>
      </w:pPr>
      <w:rPr>
        <w:rFonts w:ascii="font440" w:hAnsi="font440"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AD675F2"/>
    <w:multiLevelType w:val="multilevel"/>
    <w:tmpl w:val="3F368AC4"/>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3">
    <w:nsid w:val="3B6D0946"/>
    <w:multiLevelType w:val="hybridMultilevel"/>
    <w:tmpl w:val="CE6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971EF"/>
    <w:multiLevelType w:val="hybridMultilevel"/>
    <w:tmpl w:val="3FBEC564"/>
    <w:lvl w:ilvl="0" w:tplc="DB6678E8">
      <w:start w:val="1"/>
      <w:numFmt w:val="bullet"/>
      <w:lvlText w:val="&gt;"/>
      <w:lvlJc w:val="left"/>
      <w:pPr>
        <w:tabs>
          <w:tab w:val="num" w:pos="284"/>
        </w:tabs>
        <w:ind w:left="284" w:hanging="284"/>
      </w:pPr>
      <w:rPr>
        <w:rFonts w:ascii="font440" w:hAnsi="font440"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0CB3D8B"/>
    <w:multiLevelType w:val="multilevel"/>
    <w:tmpl w:val="A7E0EF7E"/>
    <w:lvl w:ilvl="0">
      <w:start w:val="1"/>
      <w:numFmt w:val="lowerLetter"/>
      <w:lvlRestart w:val="0"/>
      <w:lvlText w:val="%1"/>
      <w:lvlJc w:val="left"/>
      <w:pPr>
        <w:tabs>
          <w:tab w:val="num" w:pos="170"/>
        </w:tabs>
        <w:ind w:left="0" w:firstLine="0"/>
      </w:pPr>
      <w:rPr>
        <w:rFonts w:hint="default"/>
        <w:b/>
        <w:i w:val="0"/>
        <w:color w:val="00497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21">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721239B"/>
    <w:multiLevelType w:val="multilevel"/>
    <w:tmpl w:val="7ACC421A"/>
    <w:lvl w:ilvl="0">
      <w:start w:val="1"/>
      <w:numFmt w:val="lowerLetter"/>
      <w:lvlRestart w:val="0"/>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8BB2AC9"/>
    <w:multiLevelType w:val="multilevel"/>
    <w:tmpl w:val="C36C7DC8"/>
    <w:lvl w:ilvl="0">
      <w:start w:val="1"/>
      <w:numFmt w:val="lowerLetter"/>
      <w:lvlRestart w:val="0"/>
      <w:lvlText w:val="%1"/>
      <w:lvlJc w:val="left"/>
      <w:pPr>
        <w:tabs>
          <w:tab w:val="num" w:pos="170"/>
        </w:tabs>
        <w:ind w:left="0" w:firstLine="0"/>
      </w:pPr>
      <w:rPr>
        <w:rFonts w:hint="default"/>
        <w:b/>
        <w:i w:val="0"/>
        <w:color w:val="00497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6">
    <w:nsid w:val="6CA95AF5"/>
    <w:multiLevelType w:val="multilevel"/>
    <w:tmpl w:val="83F24140"/>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536210"/>
    <w:multiLevelType w:val="multilevel"/>
    <w:tmpl w:val="DD688AB0"/>
    <w:lvl w:ilvl="0">
      <w:start w:val="1"/>
      <w:numFmt w:val="bullet"/>
      <w:lvlText w:val="&gt;"/>
      <w:lvlJc w:val="left"/>
      <w:pPr>
        <w:tabs>
          <w:tab w:val="num" w:pos="284"/>
        </w:tabs>
        <w:ind w:left="284" w:hanging="284"/>
      </w:pPr>
      <w:rPr>
        <w:rFonts w:hint="default"/>
        <w:color w:val="7C3D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1"/>
  </w:num>
  <w:num w:numId="4">
    <w:abstractNumId w:val="18"/>
  </w:num>
  <w:num w:numId="5">
    <w:abstractNumId w:val="15"/>
  </w:num>
  <w:num w:numId="6">
    <w:abstractNumId w:val="10"/>
  </w:num>
  <w:num w:numId="7">
    <w:abstractNumId w:val="22"/>
  </w:num>
  <w:num w:numId="8">
    <w:abstractNumId w:val="20"/>
  </w:num>
  <w:num w:numId="9">
    <w:abstractNumId w:val="23"/>
  </w:num>
  <w:num w:numId="10">
    <w:abstractNumId w:val="1"/>
  </w:num>
  <w:num w:numId="11">
    <w:abstractNumId w:val="17"/>
  </w:num>
  <w:num w:numId="12">
    <w:abstractNumId w:val="27"/>
  </w:num>
  <w:num w:numId="13">
    <w:abstractNumId w:val="5"/>
  </w:num>
  <w:num w:numId="14">
    <w:abstractNumId w:val="3"/>
  </w:num>
  <w:num w:numId="15">
    <w:abstractNumId w:val="29"/>
  </w:num>
  <w:num w:numId="16">
    <w:abstractNumId w:val="30"/>
  </w:num>
  <w:num w:numId="17">
    <w:abstractNumId w:val="30"/>
  </w:num>
  <w:num w:numId="18">
    <w:abstractNumId w:val="26"/>
  </w:num>
  <w:num w:numId="19">
    <w:abstractNumId w:val="28"/>
  </w:num>
  <w:num w:numId="20">
    <w:abstractNumId w:val="14"/>
  </w:num>
  <w:num w:numId="21">
    <w:abstractNumId w:val="4"/>
  </w:num>
  <w:num w:numId="22">
    <w:abstractNumId w:val="9"/>
  </w:num>
  <w:num w:numId="23">
    <w:abstractNumId w:val="0"/>
  </w:num>
  <w:num w:numId="24">
    <w:abstractNumId w:val="2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24"/>
  </w:num>
  <w:num w:numId="33">
    <w:abstractNumId w:val="26"/>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8"/>
  </w:num>
  <w:num w:numId="4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D0"/>
    <w:rsid w:val="00001AD1"/>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2054"/>
    <w:rsid w:val="0002235F"/>
    <w:rsid w:val="00022D41"/>
    <w:rsid w:val="000257E7"/>
    <w:rsid w:val="00026C70"/>
    <w:rsid w:val="00030588"/>
    <w:rsid w:val="0003385B"/>
    <w:rsid w:val="00034B41"/>
    <w:rsid w:val="00034E45"/>
    <w:rsid w:val="00035E2A"/>
    <w:rsid w:val="00037673"/>
    <w:rsid w:val="00040DC2"/>
    <w:rsid w:val="000433AB"/>
    <w:rsid w:val="00044EDD"/>
    <w:rsid w:val="000452A6"/>
    <w:rsid w:val="0004636D"/>
    <w:rsid w:val="00046974"/>
    <w:rsid w:val="000513B2"/>
    <w:rsid w:val="00053B2B"/>
    <w:rsid w:val="00053BB3"/>
    <w:rsid w:val="00053D8A"/>
    <w:rsid w:val="00060A32"/>
    <w:rsid w:val="00061389"/>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7A76"/>
    <w:rsid w:val="000A0794"/>
    <w:rsid w:val="000A3437"/>
    <w:rsid w:val="000A4433"/>
    <w:rsid w:val="000A5BCC"/>
    <w:rsid w:val="000A7400"/>
    <w:rsid w:val="000A7708"/>
    <w:rsid w:val="000A7AD4"/>
    <w:rsid w:val="000B0232"/>
    <w:rsid w:val="000B108C"/>
    <w:rsid w:val="000B13AB"/>
    <w:rsid w:val="000B146D"/>
    <w:rsid w:val="000B4054"/>
    <w:rsid w:val="000B56CF"/>
    <w:rsid w:val="000B5B55"/>
    <w:rsid w:val="000B6330"/>
    <w:rsid w:val="000B7FF7"/>
    <w:rsid w:val="000C0125"/>
    <w:rsid w:val="000C0807"/>
    <w:rsid w:val="000C0D83"/>
    <w:rsid w:val="000C45A2"/>
    <w:rsid w:val="000C51A5"/>
    <w:rsid w:val="000C6046"/>
    <w:rsid w:val="000D074E"/>
    <w:rsid w:val="000D32D5"/>
    <w:rsid w:val="000D444F"/>
    <w:rsid w:val="000D47A5"/>
    <w:rsid w:val="000E0333"/>
    <w:rsid w:val="000E2E8A"/>
    <w:rsid w:val="000E595E"/>
    <w:rsid w:val="000E5C21"/>
    <w:rsid w:val="000F706A"/>
    <w:rsid w:val="000F7DB9"/>
    <w:rsid w:val="000F7EBB"/>
    <w:rsid w:val="0010001A"/>
    <w:rsid w:val="001020A5"/>
    <w:rsid w:val="00104CCC"/>
    <w:rsid w:val="001104EF"/>
    <w:rsid w:val="00115A8C"/>
    <w:rsid w:val="00115D91"/>
    <w:rsid w:val="001204E2"/>
    <w:rsid w:val="001250BF"/>
    <w:rsid w:val="001260C2"/>
    <w:rsid w:val="001267B7"/>
    <w:rsid w:val="00127B7F"/>
    <w:rsid w:val="00132E41"/>
    <w:rsid w:val="00134D7D"/>
    <w:rsid w:val="00135A4C"/>
    <w:rsid w:val="001360A4"/>
    <w:rsid w:val="00136E47"/>
    <w:rsid w:val="00136FF9"/>
    <w:rsid w:val="00137BA1"/>
    <w:rsid w:val="0014049B"/>
    <w:rsid w:val="00141818"/>
    <w:rsid w:val="00141D9E"/>
    <w:rsid w:val="0014252B"/>
    <w:rsid w:val="0014282B"/>
    <w:rsid w:val="00142A4D"/>
    <w:rsid w:val="00142E47"/>
    <w:rsid w:val="00143525"/>
    <w:rsid w:val="001436A7"/>
    <w:rsid w:val="00144611"/>
    <w:rsid w:val="00144B1B"/>
    <w:rsid w:val="0014787F"/>
    <w:rsid w:val="00152D98"/>
    <w:rsid w:val="001564B4"/>
    <w:rsid w:val="00156521"/>
    <w:rsid w:val="00156A18"/>
    <w:rsid w:val="0016217F"/>
    <w:rsid w:val="001644AA"/>
    <w:rsid w:val="00165C4D"/>
    <w:rsid w:val="00166BE1"/>
    <w:rsid w:val="001702D7"/>
    <w:rsid w:val="001707ED"/>
    <w:rsid w:val="00170B04"/>
    <w:rsid w:val="00172093"/>
    <w:rsid w:val="0017313D"/>
    <w:rsid w:val="00174859"/>
    <w:rsid w:val="001756DD"/>
    <w:rsid w:val="00175CFE"/>
    <w:rsid w:val="00176846"/>
    <w:rsid w:val="001772C7"/>
    <w:rsid w:val="00177AE1"/>
    <w:rsid w:val="00180E63"/>
    <w:rsid w:val="00180EC6"/>
    <w:rsid w:val="0018104F"/>
    <w:rsid w:val="00181302"/>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64D6"/>
    <w:rsid w:val="001A676A"/>
    <w:rsid w:val="001A76CD"/>
    <w:rsid w:val="001A7A00"/>
    <w:rsid w:val="001B0BC3"/>
    <w:rsid w:val="001B11EB"/>
    <w:rsid w:val="001B1559"/>
    <w:rsid w:val="001B3A25"/>
    <w:rsid w:val="001B40B6"/>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F0E53"/>
    <w:rsid w:val="001F0E62"/>
    <w:rsid w:val="001F1365"/>
    <w:rsid w:val="001F1F38"/>
    <w:rsid w:val="001F353B"/>
    <w:rsid w:val="001F39C9"/>
    <w:rsid w:val="001F4CD3"/>
    <w:rsid w:val="001F4E51"/>
    <w:rsid w:val="001F5AA9"/>
    <w:rsid w:val="0020245F"/>
    <w:rsid w:val="002028B6"/>
    <w:rsid w:val="00203160"/>
    <w:rsid w:val="0020383B"/>
    <w:rsid w:val="0020410B"/>
    <w:rsid w:val="00205AA6"/>
    <w:rsid w:val="0021017E"/>
    <w:rsid w:val="00212975"/>
    <w:rsid w:val="00213176"/>
    <w:rsid w:val="00214C9D"/>
    <w:rsid w:val="002178C9"/>
    <w:rsid w:val="00220DBE"/>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5441"/>
    <w:rsid w:val="0024630C"/>
    <w:rsid w:val="00247D70"/>
    <w:rsid w:val="00247F6A"/>
    <w:rsid w:val="002505BE"/>
    <w:rsid w:val="00250D70"/>
    <w:rsid w:val="002515F6"/>
    <w:rsid w:val="0025173D"/>
    <w:rsid w:val="00253146"/>
    <w:rsid w:val="00253B3E"/>
    <w:rsid w:val="00254E43"/>
    <w:rsid w:val="00254E51"/>
    <w:rsid w:val="00255DD2"/>
    <w:rsid w:val="00257199"/>
    <w:rsid w:val="002600C7"/>
    <w:rsid w:val="00260CE2"/>
    <w:rsid w:val="0026347A"/>
    <w:rsid w:val="00263B78"/>
    <w:rsid w:val="00263F56"/>
    <w:rsid w:val="00266A89"/>
    <w:rsid w:val="00266B56"/>
    <w:rsid w:val="00266C05"/>
    <w:rsid w:val="002702DD"/>
    <w:rsid w:val="00272699"/>
    <w:rsid w:val="0027351E"/>
    <w:rsid w:val="0027441E"/>
    <w:rsid w:val="0027483C"/>
    <w:rsid w:val="00281D52"/>
    <w:rsid w:val="002820D7"/>
    <w:rsid w:val="002827C8"/>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57D4"/>
    <w:rsid w:val="002B7D4C"/>
    <w:rsid w:val="002C018F"/>
    <w:rsid w:val="002C0F44"/>
    <w:rsid w:val="002C159E"/>
    <w:rsid w:val="002C23D1"/>
    <w:rsid w:val="002C257C"/>
    <w:rsid w:val="002C5AF0"/>
    <w:rsid w:val="002C7822"/>
    <w:rsid w:val="002C79E4"/>
    <w:rsid w:val="002D1394"/>
    <w:rsid w:val="002D468F"/>
    <w:rsid w:val="002D5DED"/>
    <w:rsid w:val="002D657C"/>
    <w:rsid w:val="002D6E19"/>
    <w:rsid w:val="002D7A0A"/>
    <w:rsid w:val="002E000E"/>
    <w:rsid w:val="002E0115"/>
    <w:rsid w:val="002E1AC2"/>
    <w:rsid w:val="002E2CDD"/>
    <w:rsid w:val="002E499B"/>
    <w:rsid w:val="002E626C"/>
    <w:rsid w:val="002E7F6A"/>
    <w:rsid w:val="002F056E"/>
    <w:rsid w:val="002F1AB4"/>
    <w:rsid w:val="002F3393"/>
    <w:rsid w:val="002F36D2"/>
    <w:rsid w:val="002F3C1A"/>
    <w:rsid w:val="002F3E97"/>
    <w:rsid w:val="002F4300"/>
    <w:rsid w:val="002F489A"/>
    <w:rsid w:val="002F6E12"/>
    <w:rsid w:val="003023FD"/>
    <w:rsid w:val="0030414F"/>
    <w:rsid w:val="00305213"/>
    <w:rsid w:val="00305565"/>
    <w:rsid w:val="00305F86"/>
    <w:rsid w:val="00310C02"/>
    <w:rsid w:val="0031131B"/>
    <w:rsid w:val="00312B95"/>
    <w:rsid w:val="00312E50"/>
    <w:rsid w:val="003147DD"/>
    <w:rsid w:val="00315D84"/>
    <w:rsid w:val="00316AAC"/>
    <w:rsid w:val="003216BA"/>
    <w:rsid w:val="00321C81"/>
    <w:rsid w:val="00322444"/>
    <w:rsid w:val="003225AB"/>
    <w:rsid w:val="00323965"/>
    <w:rsid w:val="00327331"/>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A5A"/>
    <w:rsid w:val="00345C2F"/>
    <w:rsid w:val="00346B48"/>
    <w:rsid w:val="0034794C"/>
    <w:rsid w:val="00347D10"/>
    <w:rsid w:val="00347E04"/>
    <w:rsid w:val="0035098F"/>
    <w:rsid w:val="003522B0"/>
    <w:rsid w:val="00352A66"/>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74FCB"/>
    <w:rsid w:val="00377478"/>
    <w:rsid w:val="003813B0"/>
    <w:rsid w:val="00381894"/>
    <w:rsid w:val="00382BC2"/>
    <w:rsid w:val="003852FD"/>
    <w:rsid w:val="003864C0"/>
    <w:rsid w:val="00386714"/>
    <w:rsid w:val="00386BBA"/>
    <w:rsid w:val="00386D59"/>
    <w:rsid w:val="003870E2"/>
    <w:rsid w:val="003908F2"/>
    <w:rsid w:val="0039171C"/>
    <w:rsid w:val="00391793"/>
    <w:rsid w:val="00393C49"/>
    <w:rsid w:val="00395037"/>
    <w:rsid w:val="003950F3"/>
    <w:rsid w:val="00396AAB"/>
    <w:rsid w:val="00396E51"/>
    <w:rsid w:val="00396FEE"/>
    <w:rsid w:val="00397842"/>
    <w:rsid w:val="003A0E49"/>
    <w:rsid w:val="003A12E4"/>
    <w:rsid w:val="003A1A4E"/>
    <w:rsid w:val="003A2AFB"/>
    <w:rsid w:val="003A3E3B"/>
    <w:rsid w:val="003A437D"/>
    <w:rsid w:val="003A5F6E"/>
    <w:rsid w:val="003A7415"/>
    <w:rsid w:val="003B01D4"/>
    <w:rsid w:val="003B0602"/>
    <w:rsid w:val="003B3833"/>
    <w:rsid w:val="003B3C18"/>
    <w:rsid w:val="003B5B3A"/>
    <w:rsid w:val="003B669E"/>
    <w:rsid w:val="003B6AF8"/>
    <w:rsid w:val="003C4418"/>
    <w:rsid w:val="003D277A"/>
    <w:rsid w:val="003D3401"/>
    <w:rsid w:val="003D41D9"/>
    <w:rsid w:val="003D638C"/>
    <w:rsid w:val="003D7C66"/>
    <w:rsid w:val="003E15BE"/>
    <w:rsid w:val="003E4703"/>
    <w:rsid w:val="003E4C57"/>
    <w:rsid w:val="003E4E42"/>
    <w:rsid w:val="003E5EC3"/>
    <w:rsid w:val="003E6A24"/>
    <w:rsid w:val="003E74A4"/>
    <w:rsid w:val="003F0648"/>
    <w:rsid w:val="003F159A"/>
    <w:rsid w:val="003F23B0"/>
    <w:rsid w:val="003F291D"/>
    <w:rsid w:val="003F2F80"/>
    <w:rsid w:val="003F4406"/>
    <w:rsid w:val="003F4998"/>
    <w:rsid w:val="003F6535"/>
    <w:rsid w:val="003F7DFD"/>
    <w:rsid w:val="003F7F13"/>
    <w:rsid w:val="00403EC1"/>
    <w:rsid w:val="00404981"/>
    <w:rsid w:val="00404EA8"/>
    <w:rsid w:val="004069E3"/>
    <w:rsid w:val="00407CFC"/>
    <w:rsid w:val="00410D4E"/>
    <w:rsid w:val="00411191"/>
    <w:rsid w:val="00412989"/>
    <w:rsid w:val="00412B84"/>
    <w:rsid w:val="004131F2"/>
    <w:rsid w:val="00414418"/>
    <w:rsid w:val="004146C9"/>
    <w:rsid w:val="00416765"/>
    <w:rsid w:val="004174E5"/>
    <w:rsid w:val="00420072"/>
    <w:rsid w:val="004202ED"/>
    <w:rsid w:val="0042107B"/>
    <w:rsid w:val="0042222F"/>
    <w:rsid w:val="00422524"/>
    <w:rsid w:val="00422662"/>
    <w:rsid w:val="004226D0"/>
    <w:rsid w:val="004229B0"/>
    <w:rsid w:val="004230E1"/>
    <w:rsid w:val="00425388"/>
    <w:rsid w:val="00427DB3"/>
    <w:rsid w:val="0043018B"/>
    <w:rsid w:val="00433FEB"/>
    <w:rsid w:val="0043622D"/>
    <w:rsid w:val="00440913"/>
    <w:rsid w:val="00442BE6"/>
    <w:rsid w:val="0044452B"/>
    <w:rsid w:val="00445908"/>
    <w:rsid w:val="004459CB"/>
    <w:rsid w:val="00446BFE"/>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797"/>
    <w:rsid w:val="00464228"/>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5975"/>
    <w:rsid w:val="00486E8C"/>
    <w:rsid w:val="00486EF9"/>
    <w:rsid w:val="004872E3"/>
    <w:rsid w:val="00487630"/>
    <w:rsid w:val="004900C1"/>
    <w:rsid w:val="00490743"/>
    <w:rsid w:val="00491178"/>
    <w:rsid w:val="004914D1"/>
    <w:rsid w:val="00492FC4"/>
    <w:rsid w:val="00493037"/>
    <w:rsid w:val="00493156"/>
    <w:rsid w:val="00494CD3"/>
    <w:rsid w:val="00494FB3"/>
    <w:rsid w:val="004955A5"/>
    <w:rsid w:val="00495EF4"/>
    <w:rsid w:val="00496D19"/>
    <w:rsid w:val="00496DF9"/>
    <w:rsid w:val="00497240"/>
    <w:rsid w:val="004A00F8"/>
    <w:rsid w:val="004A154E"/>
    <w:rsid w:val="004A15DE"/>
    <w:rsid w:val="004A2EFC"/>
    <w:rsid w:val="004A472E"/>
    <w:rsid w:val="004A4B6B"/>
    <w:rsid w:val="004B0361"/>
    <w:rsid w:val="004B3904"/>
    <w:rsid w:val="004B42F1"/>
    <w:rsid w:val="004B6157"/>
    <w:rsid w:val="004B7492"/>
    <w:rsid w:val="004B7C61"/>
    <w:rsid w:val="004C0E63"/>
    <w:rsid w:val="004C3546"/>
    <w:rsid w:val="004C3568"/>
    <w:rsid w:val="004C4638"/>
    <w:rsid w:val="004C60B8"/>
    <w:rsid w:val="004C7DD7"/>
    <w:rsid w:val="004D18D0"/>
    <w:rsid w:val="004D27D6"/>
    <w:rsid w:val="004D2F5D"/>
    <w:rsid w:val="004D5771"/>
    <w:rsid w:val="004D79AD"/>
    <w:rsid w:val="004E493E"/>
    <w:rsid w:val="004E6274"/>
    <w:rsid w:val="004E63CC"/>
    <w:rsid w:val="004F096E"/>
    <w:rsid w:val="004F0BE2"/>
    <w:rsid w:val="004F1914"/>
    <w:rsid w:val="004F256B"/>
    <w:rsid w:val="004F72C7"/>
    <w:rsid w:val="004F75A1"/>
    <w:rsid w:val="004F79BD"/>
    <w:rsid w:val="00502E98"/>
    <w:rsid w:val="005031B6"/>
    <w:rsid w:val="00506BC4"/>
    <w:rsid w:val="00507A63"/>
    <w:rsid w:val="00507D05"/>
    <w:rsid w:val="005106E8"/>
    <w:rsid w:val="00510FCB"/>
    <w:rsid w:val="00513602"/>
    <w:rsid w:val="00514A46"/>
    <w:rsid w:val="005157A6"/>
    <w:rsid w:val="0052067C"/>
    <w:rsid w:val="005215CE"/>
    <w:rsid w:val="00522F30"/>
    <w:rsid w:val="00526341"/>
    <w:rsid w:val="00531479"/>
    <w:rsid w:val="005335EE"/>
    <w:rsid w:val="005343DE"/>
    <w:rsid w:val="005348EF"/>
    <w:rsid w:val="005351E9"/>
    <w:rsid w:val="005353FE"/>
    <w:rsid w:val="005363D4"/>
    <w:rsid w:val="005374AC"/>
    <w:rsid w:val="005443EB"/>
    <w:rsid w:val="005445D6"/>
    <w:rsid w:val="00545090"/>
    <w:rsid w:val="00546C44"/>
    <w:rsid w:val="0054736E"/>
    <w:rsid w:val="005510FE"/>
    <w:rsid w:val="00556B35"/>
    <w:rsid w:val="00561EE2"/>
    <w:rsid w:val="005631AD"/>
    <w:rsid w:val="005639EA"/>
    <w:rsid w:val="00564BCE"/>
    <w:rsid w:val="005667D5"/>
    <w:rsid w:val="00567B5E"/>
    <w:rsid w:val="005722A1"/>
    <w:rsid w:val="00572319"/>
    <w:rsid w:val="005727B1"/>
    <w:rsid w:val="00572841"/>
    <w:rsid w:val="00573B43"/>
    <w:rsid w:val="00574314"/>
    <w:rsid w:val="00575350"/>
    <w:rsid w:val="00575D08"/>
    <w:rsid w:val="00580DC4"/>
    <w:rsid w:val="00582C59"/>
    <w:rsid w:val="0058536F"/>
    <w:rsid w:val="00585433"/>
    <w:rsid w:val="0058659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A4DCD"/>
    <w:rsid w:val="005A5B2F"/>
    <w:rsid w:val="005B2981"/>
    <w:rsid w:val="005B522F"/>
    <w:rsid w:val="005B71E9"/>
    <w:rsid w:val="005B7710"/>
    <w:rsid w:val="005C10C7"/>
    <w:rsid w:val="005C206D"/>
    <w:rsid w:val="005C2C17"/>
    <w:rsid w:val="005C349D"/>
    <w:rsid w:val="005C39E2"/>
    <w:rsid w:val="005C4005"/>
    <w:rsid w:val="005C4BD3"/>
    <w:rsid w:val="005C6FD6"/>
    <w:rsid w:val="005C7A9F"/>
    <w:rsid w:val="005D0AF9"/>
    <w:rsid w:val="005D1E18"/>
    <w:rsid w:val="005D244B"/>
    <w:rsid w:val="005D2B37"/>
    <w:rsid w:val="005D4715"/>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483A"/>
    <w:rsid w:val="005F5193"/>
    <w:rsid w:val="005F5C10"/>
    <w:rsid w:val="005F5C2F"/>
    <w:rsid w:val="005F710E"/>
    <w:rsid w:val="005F7879"/>
    <w:rsid w:val="006007F6"/>
    <w:rsid w:val="00600A14"/>
    <w:rsid w:val="00600A18"/>
    <w:rsid w:val="00600B0F"/>
    <w:rsid w:val="00601D94"/>
    <w:rsid w:val="00602D21"/>
    <w:rsid w:val="00604147"/>
    <w:rsid w:val="00605815"/>
    <w:rsid w:val="00605C82"/>
    <w:rsid w:val="0060617B"/>
    <w:rsid w:val="006071B2"/>
    <w:rsid w:val="00607E92"/>
    <w:rsid w:val="00614A27"/>
    <w:rsid w:val="00615247"/>
    <w:rsid w:val="006155FC"/>
    <w:rsid w:val="00615695"/>
    <w:rsid w:val="0061714E"/>
    <w:rsid w:val="006203BD"/>
    <w:rsid w:val="0062059B"/>
    <w:rsid w:val="00621C70"/>
    <w:rsid w:val="006247BA"/>
    <w:rsid w:val="00624C5C"/>
    <w:rsid w:val="00627E76"/>
    <w:rsid w:val="006323A6"/>
    <w:rsid w:val="00632B1F"/>
    <w:rsid w:val="006343B2"/>
    <w:rsid w:val="00635A99"/>
    <w:rsid w:val="00636A86"/>
    <w:rsid w:val="00643638"/>
    <w:rsid w:val="00645987"/>
    <w:rsid w:val="0065046E"/>
    <w:rsid w:val="006504EE"/>
    <w:rsid w:val="00650B00"/>
    <w:rsid w:val="0065259E"/>
    <w:rsid w:val="0065282A"/>
    <w:rsid w:val="00652F48"/>
    <w:rsid w:val="006536A9"/>
    <w:rsid w:val="00657C61"/>
    <w:rsid w:val="00657CB6"/>
    <w:rsid w:val="00657E00"/>
    <w:rsid w:val="006613A9"/>
    <w:rsid w:val="006625B4"/>
    <w:rsid w:val="006640FE"/>
    <w:rsid w:val="006650D3"/>
    <w:rsid w:val="00671255"/>
    <w:rsid w:val="00672BEE"/>
    <w:rsid w:val="00674467"/>
    <w:rsid w:val="0067448D"/>
    <w:rsid w:val="006762E5"/>
    <w:rsid w:val="006764C8"/>
    <w:rsid w:val="006777A0"/>
    <w:rsid w:val="006813C8"/>
    <w:rsid w:val="00681A3E"/>
    <w:rsid w:val="00682A07"/>
    <w:rsid w:val="00683B97"/>
    <w:rsid w:val="00683CCF"/>
    <w:rsid w:val="00683DC7"/>
    <w:rsid w:val="00683E06"/>
    <w:rsid w:val="0068434E"/>
    <w:rsid w:val="006846ED"/>
    <w:rsid w:val="0068568E"/>
    <w:rsid w:val="00685B51"/>
    <w:rsid w:val="00685E07"/>
    <w:rsid w:val="0069068B"/>
    <w:rsid w:val="006931D5"/>
    <w:rsid w:val="00694103"/>
    <w:rsid w:val="00695940"/>
    <w:rsid w:val="006974FC"/>
    <w:rsid w:val="006A0482"/>
    <w:rsid w:val="006A13BF"/>
    <w:rsid w:val="006A1DCF"/>
    <w:rsid w:val="006A4046"/>
    <w:rsid w:val="006A53F6"/>
    <w:rsid w:val="006B380C"/>
    <w:rsid w:val="006B432F"/>
    <w:rsid w:val="006B7C24"/>
    <w:rsid w:val="006B7CF9"/>
    <w:rsid w:val="006C0139"/>
    <w:rsid w:val="006C111C"/>
    <w:rsid w:val="006C1AEE"/>
    <w:rsid w:val="006C27E2"/>
    <w:rsid w:val="006C3927"/>
    <w:rsid w:val="006C51F7"/>
    <w:rsid w:val="006C6452"/>
    <w:rsid w:val="006C6761"/>
    <w:rsid w:val="006D0368"/>
    <w:rsid w:val="006D2333"/>
    <w:rsid w:val="006D2DEC"/>
    <w:rsid w:val="006D3DBE"/>
    <w:rsid w:val="006D571E"/>
    <w:rsid w:val="006D60DA"/>
    <w:rsid w:val="006D6CC7"/>
    <w:rsid w:val="006D70CD"/>
    <w:rsid w:val="006D7C85"/>
    <w:rsid w:val="006E1CA2"/>
    <w:rsid w:val="006E2C81"/>
    <w:rsid w:val="006E343F"/>
    <w:rsid w:val="006E42F5"/>
    <w:rsid w:val="006E4AA9"/>
    <w:rsid w:val="006E53D1"/>
    <w:rsid w:val="006E6DB3"/>
    <w:rsid w:val="006E7CC1"/>
    <w:rsid w:val="006F0B6B"/>
    <w:rsid w:val="006F1E01"/>
    <w:rsid w:val="006F47C8"/>
    <w:rsid w:val="006F4AF5"/>
    <w:rsid w:val="006F51F9"/>
    <w:rsid w:val="006F5539"/>
    <w:rsid w:val="006F715C"/>
    <w:rsid w:val="006F7A23"/>
    <w:rsid w:val="0070010D"/>
    <w:rsid w:val="007004DA"/>
    <w:rsid w:val="00701726"/>
    <w:rsid w:val="007031E2"/>
    <w:rsid w:val="00703733"/>
    <w:rsid w:val="00711B43"/>
    <w:rsid w:val="007122CC"/>
    <w:rsid w:val="00716799"/>
    <w:rsid w:val="0072229D"/>
    <w:rsid w:val="0073117F"/>
    <w:rsid w:val="007339FC"/>
    <w:rsid w:val="00733A81"/>
    <w:rsid w:val="0073548A"/>
    <w:rsid w:val="007375CF"/>
    <w:rsid w:val="00737F14"/>
    <w:rsid w:val="00740BD4"/>
    <w:rsid w:val="00742F5B"/>
    <w:rsid w:val="0074328B"/>
    <w:rsid w:val="007500A2"/>
    <w:rsid w:val="00751A18"/>
    <w:rsid w:val="0075426C"/>
    <w:rsid w:val="00754B6C"/>
    <w:rsid w:val="007609DE"/>
    <w:rsid w:val="00760D7B"/>
    <w:rsid w:val="00762176"/>
    <w:rsid w:val="007624E7"/>
    <w:rsid w:val="0076664B"/>
    <w:rsid w:val="00766D48"/>
    <w:rsid w:val="00773ADD"/>
    <w:rsid w:val="00774FA0"/>
    <w:rsid w:val="00777A11"/>
    <w:rsid w:val="0078013B"/>
    <w:rsid w:val="00780E9B"/>
    <w:rsid w:val="00783DE4"/>
    <w:rsid w:val="00784027"/>
    <w:rsid w:val="007848F3"/>
    <w:rsid w:val="00784C7B"/>
    <w:rsid w:val="007857B4"/>
    <w:rsid w:val="007864C1"/>
    <w:rsid w:val="00786718"/>
    <w:rsid w:val="00786D17"/>
    <w:rsid w:val="00787C0C"/>
    <w:rsid w:val="00791CE4"/>
    <w:rsid w:val="00794312"/>
    <w:rsid w:val="0079518B"/>
    <w:rsid w:val="00797D46"/>
    <w:rsid w:val="007A01CC"/>
    <w:rsid w:val="007A0524"/>
    <w:rsid w:val="007A2597"/>
    <w:rsid w:val="007A25C9"/>
    <w:rsid w:val="007A2D4A"/>
    <w:rsid w:val="007A32BB"/>
    <w:rsid w:val="007A4679"/>
    <w:rsid w:val="007A4C9D"/>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D0C84"/>
    <w:rsid w:val="007D1A32"/>
    <w:rsid w:val="007D3FA4"/>
    <w:rsid w:val="007D5153"/>
    <w:rsid w:val="007D620F"/>
    <w:rsid w:val="007E14BD"/>
    <w:rsid w:val="007E31EA"/>
    <w:rsid w:val="007E3B25"/>
    <w:rsid w:val="007E3B7D"/>
    <w:rsid w:val="007E5A22"/>
    <w:rsid w:val="007E5E54"/>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06717"/>
    <w:rsid w:val="0081042F"/>
    <w:rsid w:val="008120AF"/>
    <w:rsid w:val="008125B6"/>
    <w:rsid w:val="00812625"/>
    <w:rsid w:val="00813556"/>
    <w:rsid w:val="00814DBF"/>
    <w:rsid w:val="00817759"/>
    <w:rsid w:val="00817C8F"/>
    <w:rsid w:val="00820982"/>
    <w:rsid w:val="008213C2"/>
    <w:rsid w:val="0082170D"/>
    <w:rsid w:val="0082187A"/>
    <w:rsid w:val="00822223"/>
    <w:rsid w:val="00822802"/>
    <w:rsid w:val="00822807"/>
    <w:rsid w:val="00825521"/>
    <w:rsid w:val="008318D0"/>
    <w:rsid w:val="00831989"/>
    <w:rsid w:val="00831EBD"/>
    <w:rsid w:val="00836BE4"/>
    <w:rsid w:val="008378B4"/>
    <w:rsid w:val="008401E9"/>
    <w:rsid w:val="00840A1A"/>
    <w:rsid w:val="00840D02"/>
    <w:rsid w:val="0084270D"/>
    <w:rsid w:val="008431E0"/>
    <w:rsid w:val="00843A16"/>
    <w:rsid w:val="00844665"/>
    <w:rsid w:val="00845E4B"/>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4730"/>
    <w:rsid w:val="008751CE"/>
    <w:rsid w:val="00875F84"/>
    <w:rsid w:val="008773C3"/>
    <w:rsid w:val="00877623"/>
    <w:rsid w:val="008824EE"/>
    <w:rsid w:val="00882B7E"/>
    <w:rsid w:val="00882D96"/>
    <w:rsid w:val="00883EFA"/>
    <w:rsid w:val="00885A80"/>
    <w:rsid w:val="008867F6"/>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61F7"/>
    <w:rsid w:val="008B7A52"/>
    <w:rsid w:val="008B7B7F"/>
    <w:rsid w:val="008B7F12"/>
    <w:rsid w:val="008C00EC"/>
    <w:rsid w:val="008C0773"/>
    <w:rsid w:val="008C0CE5"/>
    <w:rsid w:val="008C1F78"/>
    <w:rsid w:val="008C27E2"/>
    <w:rsid w:val="008C5ABC"/>
    <w:rsid w:val="008C5C88"/>
    <w:rsid w:val="008D095A"/>
    <w:rsid w:val="008D1FCD"/>
    <w:rsid w:val="008D2635"/>
    <w:rsid w:val="008D64EF"/>
    <w:rsid w:val="008D75EB"/>
    <w:rsid w:val="008E0A3D"/>
    <w:rsid w:val="008E0A75"/>
    <w:rsid w:val="008E0EAF"/>
    <w:rsid w:val="008E1805"/>
    <w:rsid w:val="008E6453"/>
    <w:rsid w:val="009027ED"/>
    <w:rsid w:val="00903409"/>
    <w:rsid w:val="00903846"/>
    <w:rsid w:val="0090525F"/>
    <w:rsid w:val="00911B9C"/>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415E"/>
    <w:rsid w:val="0094416B"/>
    <w:rsid w:val="00946625"/>
    <w:rsid w:val="00951733"/>
    <w:rsid w:val="009519FC"/>
    <w:rsid w:val="00952317"/>
    <w:rsid w:val="00953A8D"/>
    <w:rsid w:val="0095692A"/>
    <w:rsid w:val="00957A98"/>
    <w:rsid w:val="00957D8E"/>
    <w:rsid w:val="0096040D"/>
    <w:rsid w:val="009606C6"/>
    <w:rsid w:val="00960AA9"/>
    <w:rsid w:val="00960D9D"/>
    <w:rsid w:val="00961811"/>
    <w:rsid w:val="009622C7"/>
    <w:rsid w:val="009663D4"/>
    <w:rsid w:val="00966C48"/>
    <w:rsid w:val="00970F6A"/>
    <w:rsid w:val="009712C8"/>
    <w:rsid w:val="0097190C"/>
    <w:rsid w:val="009765DD"/>
    <w:rsid w:val="009775E7"/>
    <w:rsid w:val="0097787D"/>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608"/>
    <w:rsid w:val="009A28D5"/>
    <w:rsid w:val="009A3393"/>
    <w:rsid w:val="009A3601"/>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11D6"/>
    <w:rsid w:val="009D3AF6"/>
    <w:rsid w:val="009D4019"/>
    <w:rsid w:val="009D628C"/>
    <w:rsid w:val="009E11BA"/>
    <w:rsid w:val="009E141B"/>
    <w:rsid w:val="009E1F54"/>
    <w:rsid w:val="009E2D6C"/>
    <w:rsid w:val="009E660D"/>
    <w:rsid w:val="009F50D8"/>
    <w:rsid w:val="009F7E80"/>
    <w:rsid w:val="00A00770"/>
    <w:rsid w:val="00A03535"/>
    <w:rsid w:val="00A045A2"/>
    <w:rsid w:val="00A04B6D"/>
    <w:rsid w:val="00A06DD7"/>
    <w:rsid w:val="00A12BCC"/>
    <w:rsid w:val="00A14318"/>
    <w:rsid w:val="00A14F4E"/>
    <w:rsid w:val="00A15BE3"/>
    <w:rsid w:val="00A167FB"/>
    <w:rsid w:val="00A174F5"/>
    <w:rsid w:val="00A20E1D"/>
    <w:rsid w:val="00A241E3"/>
    <w:rsid w:val="00A26201"/>
    <w:rsid w:val="00A32095"/>
    <w:rsid w:val="00A32C7A"/>
    <w:rsid w:val="00A32E70"/>
    <w:rsid w:val="00A33E33"/>
    <w:rsid w:val="00A34D08"/>
    <w:rsid w:val="00A369B9"/>
    <w:rsid w:val="00A36CB6"/>
    <w:rsid w:val="00A43557"/>
    <w:rsid w:val="00A44D85"/>
    <w:rsid w:val="00A45025"/>
    <w:rsid w:val="00A45844"/>
    <w:rsid w:val="00A51077"/>
    <w:rsid w:val="00A510DC"/>
    <w:rsid w:val="00A51224"/>
    <w:rsid w:val="00A51552"/>
    <w:rsid w:val="00A53A6B"/>
    <w:rsid w:val="00A5433B"/>
    <w:rsid w:val="00A54C60"/>
    <w:rsid w:val="00A54E1A"/>
    <w:rsid w:val="00A55441"/>
    <w:rsid w:val="00A56A48"/>
    <w:rsid w:val="00A56DEC"/>
    <w:rsid w:val="00A60B48"/>
    <w:rsid w:val="00A60DE4"/>
    <w:rsid w:val="00A612FF"/>
    <w:rsid w:val="00A61393"/>
    <w:rsid w:val="00A614D0"/>
    <w:rsid w:val="00A62BFB"/>
    <w:rsid w:val="00A6462A"/>
    <w:rsid w:val="00A65FDE"/>
    <w:rsid w:val="00A6602B"/>
    <w:rsid w:val="00A66E8A"/>
    <w:rsid w:val="00A71943"/>
    <w:rsid w:val="00A730EF"/>
    <w:rsid w:val="00A733E4"/>
    <w:rsid w:val="00A7361D"/>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15C6"/>
    <w:rsid w:val="00AA2F4F"/>
    <w:rsid w:val="00AA4BFF"/>
    <w:rsid w:val="00AB0069"/>
    <w:rsid w:val="00AB18A3"/>
    <w:rsid w:val="00AB24E1"/>
    <w:rsid w:val="00AB2AB3"/>
    <w:rsid w:val="00AB3D71"/>
    <w:rsid w:val="00AB617D"/>
    <w:rsid w:val="00AB6EAC"/>
    <w:rsid w:val="00AC07A4"/>
    <w:rsid w:val="00AC271E"/>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2D38"/>
    <w:rsid w:val="00AF4251"/>
    <w:rsid w:val="00AF4AEB"/>
    <w:rsid w:val="00AF539D"/>
    <w:rsid w:val="00AF59B9"/>
    <w:rsid w:val="00AF5A5E"/>
    <w:rsid w:val="00AF7241"/>
    <w:rsid w:val="00B001E4"/>
    <w:rsid w:val="00B0153A"/>
    <w:rsid w:val="00B03CE1"/>
    <w:rsid w:val="00B045F0"/>
    <w:rsid w:val="00B04889"/>
    <w:rsid w:val="00B04DC4"/>
    <w:rsid w:val="00B04E52"/>
    <w:rsid w:val="00B05CA8"/>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37FF8"/>
    <w:rsid w:val="00B40BE8"/>
    <w:rsid w:val="00B41994"/>
    <w:rsid w:val="00B42655"/>
    <w:rsid w:val="00B44BDA"/>
    <w:rsid w:val="00B4503B"/>
    <w:rsid w:val="00B453F2"/>
    <w:rsid w:val="00B462E6"/>
    <w:rsid w:val="00B46EBD"/>
    <w:rsid w:val="00B51489"/>
    <w:rsid w:val="00B5163B"/>
    <w:rsid w:val="00B51651"/>
    <w:rsid w:val="00B525EE"/>
    <w:rsid w:val="00B53BD1"/>
    <w:rsid w:val="00B55021"/>
    <w:rsid w:val="00B562C4"/>
    <w:rsid w:val="00B571D5"/>
    <w:rsid w:val="00B57273"/>
    <w:rsid w:val="00B6012E"/>
    <w:rsid w:val="00B6112C"/>
    <w:rsid w:val="00B61C6C"/>
    <w:rsid w:val="00B622E7"/>
    <w:rsid w:val="00B62C96"/>
    <w:rsid w:val="00B63639"/>
    <w:rsid w:val="00B6380C"/>
    <w:rsid w:val="00B63BCA"/>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EEC"/>
    <w:rsid w:val="00B950A5"/>
    <w:rsid w:val="00B9592D"/>
    <w:rsid w:val="00B97541"/>
    <w:rsid w:val="00BA1CA0"/>
    <w:rsid w:val="00BA455A"/>
    <w:rsid w:val="00BA5528"/>
    <w:rsid w:val="00BA688E"/>
    <w:rsid w:val="00BB0742"/>
    <w:rsid w:val="00BB1B0D"/>
    <w:rsid w:val="00BB4BF9"/>
    <w:rsid w:val="00BB6818"/>
    <w:rsid w:val="00BB7688"/>
    <w:rsid w:val="00BC013C"/>
    <w:rsid w:val="00BC0541"/>
    <w:rsid w:val="00BC0C96"/>
    <w:rsid w:val="00BC328D"/>
    <w:rsid w:val="00BC395B"/>
    <w:rsid w:val="00BC3F67"/>
    <w:rsid w:val="00BC45BA"/>
    <w:rsid w:val="00BC49D0"/>
    <w:rsid w:val="00BC5F4E"/>
    <w:rsid w:val="00BC5FDE"/>
    <w:rsid w:val="00BC7297"/>
    <w:rsid w:val="00BC72EA"/>
    <w:rsid w:val="00BD0240"/>
    <w:rsid w:val="00BD0822"/>
    <w:rsid w:val="00BD1E79"/>
    <w:rsid w:val="00BD2C19"/>
    <w:rsid w:val="00BD5E01"/>
    <w:rsid w:val="00BD799F"/>
    <w:rsid w:val="00BE0125"/>
    <w:rsid w:val="00BE0A98"/>
    <w:rsid w:val="00BE1867"/>
    <w:rsid w:val="00BE5FB6"/>
    <w:rsid w:val="00BE79DB"/>
    <w:rsid w:val="00BF11D7"/>
    <w:rsid w:val="00BF467C"/>
    <w:rsid w:val="00BF59B0"/>
    <w:rsid w:val="00BF7D62"/>
    <w:rsid w:val="00C0130E"/>
    <w:rsid w:val="00C0272E"/>
    <w:rsid w:val="00C02B41"/>
    <w:rsid w:val="00C02E0B"/>
    <w:rsid w:val="00C044C5"/>
    <w:rsid w:val="00C04D36"/>
    <w:rsid w:val="00C04DB4"/>
    <w:rsid w:val="00C05EB3"/>
    <w:rsid w:val="00C06FCE"/>
    <w:rsid w:val="00C07C03"/>
    <w:rsid w:val="00C10747"/>
    <w:rsid w:val="00C10EB5"/>
    <w:rsid w:val="00C12025"/>
    <w:rsid w:val="00C133C8"/>
    <w:rsid w:val="00C1447E"/>
    <w:rsid w:val="00C15F7E"/>
    <w:rsid w:val="00C21159"/>
    <w:rsid w:val="00C21650"/>
    <w:rsid w:val="00C265C0"/>
    <w:rsid w:val="00C27482"/>
    <w:rsid w:val="00C27872"/>
    <w:rsid w:val="00C30595"/>
    <w:rsid w:val="00C30AAD"/>
    <w:rsid w:val="00C311B3"/>
    <w:rsid w:val="00C3317F"/>
    <w:rsid w:val="00C33D9D"/>
    <w:rsid w:val="00C35637"/>
    <w:rsid w:val="00C36AC4"/>
    <w:rsid w:val="00C416EF"/>
    <w:rsid w:val="00C418FA"/>
    <w:rsid w:val="00C44424"/>
    <w:rsid w:val="00C44FA7"/>
    <w:rsid w:val="00C472A4"/>
    <w:rsid w:val="00C537EB"/>
    <w:rsid w:val="00C61A21"/>
    <w:rsid w:val="00C62EDF"/>
    <w:rsid w:val="00C630B4"/>
    <w:rsid w:val="00C654F4"/>
    <w:rsid w:val="00C66654"/>
    <w:rsid w:val="00C706EC"/>
    <w:rsid w:val="00C71F95"/>
    <w:rsid w:val="00C72C64"/>
    <w:rsid w:val="00C73585"/>
    <w:rsid w:val="00C73C0D"/>
    <w:rsid w:val="00C7436B"/>
    <w:rsid w:val="00C7586A"/>
    <w:rsid w:val="00C76480"/>
    <w:rsid w:val="00C77547"/>
    <w:rsid w:val="00C778E6"/>
    <w:rsid w:val="00C81E07"/>
    <w:rsid w:val="00C8388D"/>
    <w:rsid w:val="00C839A9"/>
    <w:rsid w:val="00C83FB4"/>
    <w:rsid w:val="00C849C6"/>
    <w:rsid w:val="00C85D6A"/>
    <w:rsid w:val="00C874E9"/>
    <w:rsid w:val="00C9040A"/>
    <w:rsid w:val="00C90AFC"/>
    <w:rsid w:val="00C94693"/>
    <w:rsid w:val="00C94898"/>
    <w:rsid w:val="00CA2D32"/>
    <w:rsid w:val="00CA3FE6"/>
    <w:rsid w:val="00CA6414"/>
    <w:rsid w:val="00CA74DC"/>
    <w:rsid w:val="00CB2AB7"/>
    <w:rsid w:val="00CC0083"/>
    <w:rsid w:val="00CC1D08"/>
    <w:rsid w:val="00CC27F3"/>
    <w:rsid w:val="00CC3194"/>
    <w:rsid w:val="00CC3562"/>
    <w:rsid w:val="00CC4D63"/>
    <w:rsid w:val="00CC5E5B"/>
    <w:rsid w:val="00CC61A5"/>
    <w:rsid w:val="00CC772A"/>
    <w:rsid w:val="00CC7E08"/>
    <w:rsid w:val="00CD14DB"/>
    <w:rsid w:val="00CD6D72"/>
    <w:rsid w:val="00CD7B93"/>
    <w:rsid w:val="00CE0348"/>
    <w:rsid w:val="00CE2E0F"/>
    <w:rsid w:val="00CE42E6"/>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4EBD"/>
    <w:rsid w:val="00CF5A64"/>
    <w:rsid w:val="00CF6622"/>
    <w:rsid w:val="00CF749A"/>
    <w:rsid w:val="00D0089A"/>
    <w:rsid w:val="00D014C7"/>
    <w:rsid w:val="00D01548"/>
    <w:rsid w:val="00D04D5F"/>
    <w:rsid w:val="00D04DD6"/>
    <w:rsid w:val="00D04DFA"/>
    <w:rsid w:val="00D0597F"/>
    <w:rsid w:val="00D05F35"/>
    <w:rsid w:val="00D06393"/>
    <w:rsid w:val="00D06E5E"/>
    <w:rsid w:val="00D06F79"/>
    <w:rsid w:val="00D10597"/>
    <w:rsid w:val="00D120A3"/>
    <w:rsid w:val="00D13288"/>
    <w:rsid w:val="00D13AF8"/>
    <w:rsid w:val="00D1584B"/>
    <w:rsid w:val="00D20601"/>
    <w:rsid w:val="00D219E9"/>
    <w:rsid w:val="00D2205B"/>
    <w:rsid w:val="00D23418"/>
    <w:rsid w:val="00D24606"/>
    <w:rsid w:val="00D258EC"/>
    <w:rsid w:val="00D2620A"/>
    <w:rsid w:val="00D30000"/>
    <w:rsid w:val="00D3056A"/>
    <w:rsid w:val="00D3064D"/>
    <w:rsid w:val="00D30AED"/>
    <w:rsid w:val="00D30F84"/>
    <w:rsid w:val="00D31091"/>
    <w:rsid w:val="00D335C1"/>
    <w:rsid w:val="00D33CFE"/>
    <w:rsid w:val="00D33DDE"/>
    <w:rsid w:val="00D34DA4"/>
    <w:rsid w:val="00D35C1D"/>
    <w:rsid w:val="00D3752F"/>
    <w:rsid w:val="00D40DDE"/>
    <w:rsid w:val="00D42D78"/>
    <w:rsid w:val="00D43970"/>
    <w:rsid w:val="00D43CA5"/>
    <w:rsid w:val="00D44CA5"/>
    <w:rsid w:val="00D46E12"/>
    <w:rsid w:val="00D50734"/>
    <w:rsid w:val="00D507C0"/>
    <w:rsid w:val="00D513CC"/>
    <w:rsid w:val="00D5172A"/>
    <w:rsid w:val="00D56435"/>
    <w:rsid w:val="00D62755"/>
    <w:rsid w:val="00D62AA4"/>
    <w:rsid w:val="00D6318F"/>
    <w:rsid w:val="00D650BB"/>
    <w:rsid w:val="00D6540A"/>
    <w:rsid w:val="00D674AF"/>
    <w:rsid w:val="00D70107"/>
    <w:rsid w:val="00D70438"/>
    <w:rsid w:val="00D71470"/>
    <w:rsid w:val="00D717AD"/>
    <w:rsid w:val="00D720AD"/>
    <w:rsid w:val="00D72D1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71EF"/>
    <w:rsid w:val="00DA7A18"/>
    <w:rsid w:val="00DB0857"/>
    <w:rsid w:val="00DB1347"/>
    <w:rsid w:val="00DB28CE"/>
    <w:rsid w:val="00DB29BC"/>
    <w:rsid w:val="00DB2A2A"/>
    <w:rsid w:val="00DB479F"/>
    <w:rsid w:val="00DB55B6"/>
    <w:rsid w:val="00DB5943"/>
    <w:rsid w:val="00DB5EA7"/>
    <w:rsid w:val="00DB5F21"/>
    <w:rsid w:val="00DB6D7C"/>
    <w:rsid w:val="00DB7183"/>
    <w:rsid w:val="00DC090A"/>
    <w:rsid w:val="00DC0E7E"/>
    <w:rsid w:val="00DC2D72"/>
    <w:rsid w:val="00DC30EA"/>
    <w:rsid w:val="00DC4FE9"/>
    <w:rsid w:val="00DC5918"/>
    <w:rsid w:val="00DC66E9"/>
    <w:rsid w:val="00DC6C8D"/>
    <w:rsid w:val="00DC73A5"/>
    <w:rsid w:val="00DD0236"/>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30C0"/>
    <w:rsid w:val="00E0080A"/>
    <w:rsid w:val="00E00F31"/>
    <w:rsid w:val="00E02242"/>
    <w:rsid w:val="00E0300E"/>
    <w:rsid w:val="00E04AE0"/>
    <w:rsid w:val="00E066DE"/>
    <w:rsid w:val="00E070D0"/>
    <w:rsid w:val="00E11517"/>
    <w:rsid w:val="00E12834"/>
    <w:rsid w:val="00E13727"/>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7502"/>
    <w:rsid w:val="00E40127"/>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2717"/>
    <w:rsid w:val="00E638CD"/>
    <w:rsid w:val="00E6570E"/>
    <w:rsid w:val="00E66638"/>
    <w:rsid w:val="00E6706E"/>
    <w:rsid w:val="00E67E6B"/>
    <w:rsid w:val="00E7211D"/>
    <w:rsid w:val="00E754C2"/>
    <w:rsid w:val="00E757CA"/>
    <w:rsid w:val="00E75D48"/>
    <w:rsid w:val="00E76750"/>
    <w:rsid w:val="00E773CD"/>
    <w:rsid w:val="00E774C9"/>
    <w:rsid w:val="00E77D0C"/>
    <w:rsid w:val="00E80964"/>
    <w:rsid w:val="00E83D43"/>
    <w:rsid w:val="00E841A6"/>
    <w:rsid w:val="00E84BCB"/>
    <w:rsid w:val="00E85905"/>
    <w:rsid w:val="00E85D20"/>
    <w:rsid w:val="00E87C0D"/>
    <w:rsid w:val="00E90DC4"/>
    <w:rsid w:val="00E9163F"/>
    <w:rsid w:val="00E91CB7"/>
    <w:rsid w:val="00E955B0"/>
    <w:rsid w:val="00E956E8"/>
    <w:rsid w:val="00E9655C"/>
    <w:rsid w:val="00EA022D"/>
    <w:rsid w:val="00EA0D10"/>
    <w:rsid w:val="00EA0F2C"/>
    <w:rsid w:val="00EA19CB"/>
    <w:rsid w:val="00EA2C8F"/>
    <w:rsid w:val="00EA5045"/>
    <w:rsid w:val="00EA5056"/>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C4F7A"/>
    <w:rsid w:val="00ED0919"/>
    <w:rsid w:val="00ED139E"/>
    <w:rsid w:val="00ED1505"/>
    <w:rsid w:val="00ED1759"/>
    <w:rsid w:val="00ED27A5"/>
    <w:rsid w:val="00ED3B4A"/>
    <w:rsid w:val="00ED3ECB"/>
    <w:rsid w:val="00ED445D"/>
    <w:rsid w:val="00ED461C"/>
    <w:rsid w:val="00ED5482"/>
    <w:rsid w:val="00ED5E2B"/>
    <w:rsid w:val="00EE01C2"/>
    <w:rsid w:val="00EE2FEA"/>
    <w:rsid w:val="00EE37A2"/>
    <w:rsid w:val="00EE3B12"/>
    <w:rsid w:val="00EE5AF3"/>
    <w:rsid w:val="00EE5E91"/>
    <w:rsid w:val="00EE5F8C"/>
    <w:rsid w:val="00EE73BC"/>
    <w:rsid w:val="00EE7AC8"/>
    <w:rsid w:val="00EF00AA"/>
    <w:rsid w:val="00EF3996"/>
    <w:rsid w:val="00F0026A"/>
    <w:rsid w:val="00F021E7"/>
    <w:rsid w:val="00F026C1"/>
    <w:rsid w:val="00F039D1"/>
    <w:rsid w:val="00F0469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5757"/>
    <w:rsid w:val="00F46014"/>
    <w:rsid w:val="00F46D4B"/>
    <w:rsid w:val="00F47670"/>
    <w:rsid w:val="00F5073C"/>
    <w:rsid w:val="00F51371"/>
    <w:rsid w:val="00F51AF6"/>
    <w:rsid w:val="00F551E9"/>
    <w:rsid w:val="00F55A95"/>
    <w:rsid w:val="00F56113"/>
    <w:rsid w:val="00F5640F"/>
    <w:rsid w:val="00F56735"/>
    <w:rsid w:val="00F56B3A"/>
    <w:rsid w:val="00F60F94"/>
    <w:rsid w:val="00F615F9"/>
    <w:rsid w:val="00F62055"/>
    <w:rsid w:val="00F620BE"/>
    <w:rsid w:val="00F64DC5"/>
    <w:rsid w:val="00F73938"/>
    <w:rsid w:val="00F73E87"/>
    <w:rsid w:val="00F74224"/>
    <w:rsid w:val="00F747A9"/>
    <w:rsid w:val="00F76696"/>
    <w:rsid w:val="00F76BDE"/>
    <w:rsid w:val="00F77295"/>
    <w:rsid w:val="00F77351"/>
    <w:rsid w:val="00F77A84"/>
    <w:rsid w:val="00F80438"/>
    <w:rsid w:val="00F87905"/>
    <w:rsid w:val="00F91A0D"/>
    <w:rsid w:val="00F9229E"/>
    <w:rsid w:val="00F92724"/>
    <w:rsid w:val="00F92A12"/>
    <w:rsid w:val="00F942E2"/>
    <w:rsid w:val="00F94E32"/>
    <w:rsid w:val="00F9523B"/>
    <w:rsid w:val="00F9546E"/>
    <w:rsid w:val="00F9560B"/>
    <w:rsid w:val="00F95755"/>
    <w:rsid w:val="00F96E67"/>
    <w:rsid w:val="00F96E92"/>
    <w:rsid w:val="00FA0700"/>
    <w:rsid w:val="00FA13CB"/>
    <w:rsid w:val="00FA2BE9"/>
    <w:rsid w:val="00FA31AE"/>
    <w:rsid w:val="00FA4FCD"/>
    <w:rsid w:val="00FA56BA"/>
    <w:rsid w:val="00FB1DA4"/>
    <w:rsid w:val="00FB2973"/>
    <w:rsid w:val="00FB42CF"/>
    <w:rsid w:val="00FB511E"/>
    <w:rsid w:val="00FB7B5E"/>
    <w:rsid w:val="00FC07DD"/>
    <w:rsid w:val="00FC2B86"/>
    <w:rsid w:val="00FC48B5"/>
    <w:rsid w:val="00FC4CA2"/>
    <w:rsid w:val="00FC6FF3"/>
    <w:rsid w:val="00FC7629"/>
    <w:rsid w:val="00FC7B2A"/>
    <w:rsid w:val="00FD3D67"/>
    <w:rsid w:val="00FD536A"/>
    <w:rsid w:val="00FD74FF"/>
    <w:rsid w:val="00FE3CEC"/>
    <w:rsid w:val="00FE4145"/>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24"/>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rsid w:val="002C5AF0"/>
    <w:pPr>
      <w:numPr>
        <w:numId w:val="17"/>
      </w:numPr>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2"/>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34"/>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aliases w:val="b,b + line"/>
    <w:basedOn w:val="Normal"/>
    <w:link w:val="BulletChar"/>
    <w:rsid w:val="008B61F7"/>
    <w:pPr>
      <w:numPr>
        <w:numId w:val="39"/>
      </w:numPr>
      <w:spacing w:after="240" w:line="320" w:lineRule="exact"/>
    </w:pPr>
    <w:rPr>
      <w:rFonts w:ascii="Palatino" w:hAnsi="Palatino"/>
      <w:color w:val="000000"/>
      <w:sz w:val="22"/>
      <w:szCs w:val="22"/>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ash">
    <w:name w:val="Dash"/>
    <w:basedOn w:val="Normal"/>
    <w:rsid w:val="008B61F7"/>
    <w:pPr>
      <w:numPr>
        <w:ilvl w:val="1"/>
        <w:numId w:val="39"/>
      </w:numPr>
      <w:spacing w:after="240" w:line="320" w:lineRule="exact"/>
    </w:pPr>
    <w:rPr>
      <w:rFonts w:ascii="Palatino" w:hAnsi="Palatino"/>
      <w:color w:val="000000"/>
      <w:sz w:val="22"/>
      <w:szCs w:val="22"/>
    </w:rPr>
  </w:style>
  <w:style w:type="paragraph" w:customStyle="1" w:styleId="DoubleDot">
    <w:name w:val="Double Dot"/>
    <w:basedOn w:val="Normal"/>
    <w:rsid w:val="008B61F7"/>
    <w:pPr>
      <w:numPr>
        <w:ilvl w:val="2"/>
        <w:numId w:val="39"/>
      </w:numPr>
      <w:spacing w:after="240" w:line="320" w:lineRule="exact"/>
    </w:pPr>
    <w:rPr>
      <w:rFonts w:ascii="Palatino" w:hAnsi="Palatino"/>
      <w:color w:val="000000"/>
      <w:sz w:val="22"/>
      <w:szCs w:val="22"/>
    </w:rPr>
  </w:style>
  <w:style w:type="paragraph" w:styleId="NormalWeb">
    <w:name w:val="Normal (Web)"/>
    <w:basedOn w:val="Normal"/>
    <w:rsid w:val="008B61F7"/>
    <w:pPr>
      <w:spacing w:before="120" w:after="135"/>
    </w:pPr>
    <w:rPr>
      <w:sz w:val="24"/>
    </w:rPr>
  </w:style>
  <w:style w:type="paragraph" w:customStyle="1" w:styleId="List-number-2">
    <w:name w:val="List-number-2"/>
    <w:basedOn w:val="Normal"/>
    <w:rsid w:val="008B61F7"/>
    <w:pPr>
      <w:numPr>
        <w:ilvl w:val="1"/>
        <w:numId w:val="40"/>
      </w:numPr>
      <w:spacing w:before="60"/>
    </w:pPr>
    <w:rPr>
      <w:rFonts w:ascii="Arial" w:hAnsi="Arial"/>
      <w:lang w:eastAsia="en-US"/>
    </w:rPr>
  </w:style>
  <w:style w:type="paragraph" w:customStyle="1" w:styleId="List-number-1">
    <w:name w:val="List-number-1"/>
    <w:basedOn w:val="Normal"/>
    <w:rsid w:val="008B61F7"/>
    <w:pPr>
      <w:numPr>
        <w:numId w:val="40"/>
      </w:numPr>
      <w:spacing w:before="160"/>
    </w:pPr>
    <w:rPr>
      <w:rFonts w:ascii="Arial" w:hAnsi="Arial"/>
      <w:lang w:eastAsia="en-US"/>
    </w:rPr>
  </w:style>
  <w:style w:type="character" w:customStyle="1" w:styleId="FootnoteTextChar">
    <w:name w:val="Footnote Text Char"/>
    <w:link w:val="FootnoteText"/>
    <w:rsid w:val="002B57D4"/>
    <w:rPr>
      <w:rFonts w:ascii="Franklin Gothic Book" w:hAnsi="Franklin Gothic Book"/>
      <w:sz w:val="14"/>
      <w:szCs w:val="14"/>
      <w:lang w:val="en-AU" w:eastAsia="en-AU" w:bidi="ar-SA"/>
    </w:rPr>
  </w:style>
  <w:style w:type="paragraph" w:styleId="EndnoteText">
    <w:name w:val="endnote text"/>
    <w:basedOn w:val="Normal"/>
    <w:semiHidden/>
    <w:rsid w:val="002B57D4"/>
    <w:rPr>
      <w:szCs w:val="20"/>
    </w:rPr>
  </w:style>
  <w:style w:type="character" w:styleId="EndnoteReference">
    <w:name w:val="endnote reference"/>
    <w:semiHidden/>
    <w:rsid w:val="002B57D4"/>
    <w:rPr>
      <w:vertAlign w:val="superscript"/>
    </w:rPr>
  </w:style>
  <w:style w:type="character" w:customStyle="1" w:styleId="BulletChar">
    <w:name w:val="Bullet Char"/>
    <w:aliases w:val="b Char"/>
    <w:link w:val="Bullet"/>
    <w:rsid w:val="00ED1505"/>
    <w:rPr>
      <w:rFonts w:ascii="Palatino" w:hAnsi="Palatino"/>
      <w:color w:val="000000"/>
      <w:sz w:val="22"/>
      <w:szCs w:val="22"/>
      <w:lang w:val="en-AU" w:eastAsia="en-AU" w:bidi="ar-SA"/>
    </w:rPr>
  </w:style>
  <w:style w:type="paragraph" w:customStyle="1" w:styleId="H3">
    <w:name w:val="H3"/>
    <w:basedOn w:val="BodyText"/>
    <w:qFormat/>
    <w:rsid w:val="00377478"/>
    <w:rPr>
      <w:b/>
    </w:rPr>
  </w:style>
  <w:style w:type="paragraph" w:customStyle="1" w:styleId="H4">
    <w:name w:val="H4"/>
    <w:basedOn w:val="BodyText"/>
    <w:qFormat/>
    <w:rsid w:val="00377478"/>
    <w:rPr>
      <w:i/>
    </w:rPr>
  </w:style>
  <w:style w:type="paragraph" w:styleId="TOCHeading">
    <w:name w:val="TOC Heading"/>
    <w:basedOn w:val="Heading1"/>
    <w:next w:val="Normal"/>
    <w:uiPriority w:val="39"/>
    <w:semiHidden/>
    <w:unhideWhenUsed/>
    <w:qFormat/>
    <w:rsid w:val="00B9592D"/>
    <w:pPr>
      <w:keepLines/>
      <w:numPr>
        <w:numId w:val="0"/>
      </w:numPr>
      <w:spacing w:before="480" w:after="0" w:line="276" w:lineRule="auto"/>
      <w:outlineLvl w:val="9"/>
    </w:pPr>
    <w:rPr>
      <w:rFonts w:ascii="Cambria" w:hAnsi="Cambria"/>
      <w:b/>
      <w:bCs/>
      <w:color w:val="365F91"/>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24"/>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rsid w:val="002C5AF0"/>
    <w:pPr>
      <w:numPr>
        <w:numId w:val="17"/>
      </w:numPr>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2"/>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34"/>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aliases w:val="b,b + line"/>
    <w:basedOn w:val="Normal"/>
    <w:link w:val="BulletChar"/>
    <w:rsid w:val="008B61F7"/>
    <w:pPr>
      <w:numPr>
        <w:numId w:val="39"/>
      </w:numPr>
      <w:spacing w:after="240" w:line="320" w:lineRule="exact"/>
    </w:pPr>
    <w:rPr>
      <w:rFonts w:ascii="Palatino" w:hAnsi="Palatino"/>
      <w:color w:val="000000"/>
      <w:sz w:val="22"/>
      <w:szCs w:val="22"/>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ash">
    <w:name w:val="Dash"/>
    <w:basedOn w:val="Normal"/>
    <w:rsid w:val="008B61F7"/>
    <w:pPr>
      <w:numPr>
        <w:ilvl w:val="1"/>
        <w:numId w:val="39"/>
      </w:numPr>
      <w:spacing w:after="240" w:line="320" w:lineRule="exact"/>
    </w:pPr>
    <w:rPr>
      <w:rFonts w:ascii="Palatino" w:hAnsi="Palatino"/>
      <w:color w:val="000000"/>
      <w:sz w:val="22"/>
      <w:szCs w:val="22"/>
    </w:rPr>
  </w:style>
  <w:style w:type="paragraph" w:customStyle="1" w:styleId="DoubleDot">
    <w:name w:val="Double Dot"/>
    <w:basedOn w:val="Normal"/>
    <w:rsid w:val="008B61F7"/>
    <w:pPr>
      <w:numPr>
        <w:ilvl w:val="2"/>
        <w:numId w:val="39"/>
      </w:numPr>
      <w:spacing w:after="240" w:line="320" w:lineRule="exact"/>
    </w:pPr>
    <w:rPr>
      <w:rFonts w:ascii="Palatino" w:hAnsi="Palatino"/>
      <w:color w:val="000000"/>
      <w:sz w:val="22"/>
      <w:szCs w:val="22"/>
    </w:rPr>
  </w:style>
  <w:style w:type="paragraph" w:styleId="NormalWeb">
    <w:name w:val="Normal (Web)"/>
    <w:basedOn w:val="Normal"/>
    <w:rsid w:val="008B61F7"/>
    <w:pPr>
      <w:spacing w:before="120" w:after="135"/>
    </w:pPr>
    <w:rPr>
      <w:sz w:val="24"/>
    </w:rPr>
  </w:style>
  <w:style w:type="paragraph" w:customStyle="1" w:styleId="List-number-2">
    <w:name w:val="List-number-2"/>
    <w:basedOn w:val="Normal"/>
    <w:rsid w:val="008B61F7"/>
    <w:pPr>
      <w:numPr>
        <w:ilvl w:val="1"/>
        <w:numId w:val="40"/>
      </w:numPr>
      <w:spacing w:before="60"/>
    </w:pPr>
    <w:rPr>
      <w:rFonts w:ascii="Arial" w:hAnsi="Arial"/>
      <w:lang w:eastAsia="en-US"/>
    </w:rPr>
  </w:style>
  <w:style w:type="paragraph" w:customStyle="1" w:styleId="List-number-1">
    <w:name w:val="List-number-1"/>
    <w:basedOn w:val="Normal"/>
    <w:rsid w:val="008B61F7"/>
    <w:pPr>
      <w:numPr>
        <w:numId w:val="40"/>
      </w:numPr>
      <w:spacing w:before="160"/>
    </w:pPr>
    <w:rPr>
      <w:rFonts w:ascii="Arial" w:hAnsi="Arial"/>
      <w:lang w:eastAsia="en-US"/>
    </w:rPr>
  </w:style>
  <w:style w:type="character" w:customStyle="1" w:styleId="FootnoteTextChar">
    <w:name w:val="Footnote Text Char"/>
    <w:link w:val="FootnoteText"/>
    <w:rsid w:val="002B57D4"/>
    <w:rPr>
      <w:rFonts w:ascii="Franklin Gothic Book" w:hAnsi="Franklin Gothic Book"/>
      <w:sz w:val="14"/>
      <w:szCs w:val="14"/>
      <w:lang w:val="en-AU" w:eastAsia="en-AU" w:bidi="ar-SA"/>
    </w:rPr>
  </w:style>
  <w:style w:type="paragraph" w:styleId="EndnoteText">
    <w:name w:val="endnote text"/>
    <w:basedOn w:val="Normal"/>
    <w:semiHidden/>
    <w:rsid w:val="002B57D4"/>
    <w:rPr>
      <w:szCs w:val="20"/>
    </w:rPr>
  </w:style>
  <w:style w:type="character" w:styleId="EndnoteReference">
    <w:name w:val="endnote reference"/>
    <w:semiHidden/>
    <w:rsid w:val="002B57D4"/>
    <w:rPr>
      <w:vertAlign w:val="superscript"/>
    </w:rPr>
  </w:style>
  <w:style w:type="character" w:customStyle="1" w:styleId="BulletChar">
    <w:name w:val="Bullet Char"/>
    <w:aliases w:val="b Char"/>
    <w:link w:val="Bullet"/>
    <w:rsid w:val="00ED1505"/>
    <w:rPr>
      <w:rFonts w:ascii="Palatino" w:hAnsi="Palatino"/>
      <w:color w:val="000000"/>
      <w:sz w:val="22"/>
      <w:szCs w:val="22"/>
      <w:lang w:val="en-AU" w:eastAsia="en-AU" w:bidi="ar-SA"/>
    </w:rPr>
  </w:style>
  <w:style w:type="paragraph" w:customStyle="1" w:styleId="H3">
    <w:name w:val="H3"/>
    <w:basedOn w:val="BodyText"/>
    <w:qFormat/>
    <w:rsid w:val="00377478"/>
    <w:rPr>
      <w:b/>
    </w:rPr>
  </w:style>
  <w:style w:type="paragraph" w:customStyle="1" w:styleId="H4">
    <w:name w:val="H4"/>
    <w:basedOn w:val="BodyText"/>
    <w:qFormat/>
    <w:rsid w:val="00377478"/>
    <w:rPr>
      <w:i/>
    </w:rPr>
  </w:style>
  <w:style w:type="paragraph" w:styleId="TOCHeading">
    <w:name w:val="TOC Heading"/>
    <w:basedOn w:val="Heading1"/>
    <w:next w:val="Normal"/>
    <w:uiPriority w:val="39"/>
    <w:semiHidden/>
    <w:unhideWhenUsed/>
    <w:qFormat/>
    <w:rsid w:val="00B9592D"/>
    <w:pPr>
      <w:keepLines/>
      <w:numPr>
        <w:numId w:val="0"/>
      </w:numPr>
      <w:spacing w:before="480" w:after="0" w:line="276" w:lineRule="auto"/>
      <w:outlineLvl w:val="9"/>
    </w:pPr>
    <w:rPr>
      <w:rFonts w:ascii="Cambria" w:hAnsi="Cambria"/>
      <w:b/>
      <w:bCs/>
      <w:color w:val="365F91"/>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llma\My%20Documents\APPR\T-AnnualProgramPerformance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76C40-8F1A-4D7B-96B9-14811F107DC2}"/>
</file>

<file path=customXml/itemProps2.xml><?xml version="1.0" encoding="utf-8"?>
<ds:datastoreItem xmlns:ds="http://schemas.openxmlformats.org/officeDocument/2006/customXml" ds:itemID="{2DEAAEBB-FC4C-44FB-A9E1-773517F63BDA}"/>
</file>

<file path=customXml/itemProps3.xml><?xml version="1.0" encoding="utf-8"?>
<ds:datastoreItem xmlns:ds="http://schemas.openxmlformats.org/officeDocument/2006/customXml" ds:itemID="{F1DFD995-4EC6-41EB-AB22-CA70BB1A17A2}"/>
</file>

<file path=docProps/app.xml><?xml version="1.0" encoding="utf-8"?>
<Properties xmlns="http://schemas.openxmlformats.org/officeDocument/2006/extended-properties" xmlns:vt="http://schemas.openxmlformats.org/officeDocument/2006/docPropsVTypes">
  <Template>T-AnnualProgramPerformanceTemplate-123</Template>
  <TotalTime>3</TotalTime>
  <Pages>11</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34164</CharactersWithSpaces>
  <SharedDoc>false</SharedDoc>
  <HLinks>
    <vt:vector size="66" baseType="variant">
      <vt:variant>
        <vt:i4>4849744</vt:i4>
      </vt:variant>
      <vt:variant>
        <vt:i4>63</vt:i4>
      </vt:variant>
      <vt:variant>
        <vt:i4>0</vt:i4>
      </vt:variant>
      <vt:variant>
        <vt:i4>5</vt:i4>
      </vt:variant>
      <vt:variant>
        <vt:lpwstr>http://www.ausaid.gov.au/</vt:lpwstr>
      </vt:variant>
      <vt:variant>
        <vt:lpwstr/>
      </vt:variant>
      <vt:variant>
        <vt:i4>1966132</vt:i4>
      </vt:variant>
      <vt:variant>
        <vt:i4>56</vt:i4>
      </vt:variant>
      <vt:variant>
        <vt:i4>0</vt:i4>
      </vt:variant>
      <vt:variant>
        <vt:i4>5</vt:i4>
      </vt:variant>
      <vt:variant>
        <vt:lpwstr/>
      </vt:variant>
      <vt:variant>
        <vt:lpwstr>_Toc360974026</vt:lpwstr>
      </vt:variant>
      <vt:variant>
        <vt:i4>1966132</vt:i4>
      </vt:variant>
      <vt:variant>
        <vt:i4>50</vt:i4>
      </vt:variant>
      <vt:variant>
        <vt:i4>0</vt:i4>
      </vt:variant>
      <vt:variant>
        <vt:i4>5</vt:i4>
      </vt:variant>
      <vt:variant>
        <vt:lpwstr/>
      </vt:variant>
      <vt:variant>
        <vt:lpwstr>_Toc360974025</vt:lpwstr>
      </vt:variant>
      <vt:variant>
        <vt:i4>1966132</vt:i4>
      </vt:variant>
      <vt:variant>
        <vt:i4>44</vt:i4>
      </vt:variant>
      <vt:variant>
        <vt:i4>0</vt:i4>
      </vt:variant>
      <vt:variant>
        <vt:i4>5</vt:i4>
      </vt:variant>
      <vt:variant>
        <vt:lpwstr/>
      </vt:variant>
      <vt:variant>
        <vt:lpwstr>_Toc360974024</vt:lpwstr>
      </vt:variant>
      <vt:variant>
        <vt:i4>1966132</vt:i4>
      </vt:variant>
      <vt:variant>
        <vt:i4>38</vt:i4>
      </vt:variant>
      <vt:variant>
        <vt:i4>0</vt:i4>
      </vt:variant>
      <vt:variant>
        <vt:i4>5</vt:i4>
      </vt:variant>
      <vt:variant>
        <vt:lpwstr/>
      </vt:variant>
      <vt:variant>
        <vt:lpwstr>_Toc360974023</vt:lpwstr>
      </vt:variant>
      <vt:variant>
        <vt:i4>1966132</vt:i4>
      </vt:variant>
      <vt:variant>
        <vt:i4>32</vt:i4>
      </vt:variant>
      <vt:variant>
        <vt:i4>0</vt:i4>
      </vt:variant>
      <vt:variant>
        <vt:i4>5</vt:i4>
      </vt:variant>
      <vt:variant>
        <vt:lpwstr/>
      </vt:variant>
      <vt:variant>
        <vt:lpwstr>_Toc360974022</vt:lpwstr>
      </vt:variant>
      <vt:variant>
        <vt:i4>1966132</vt:i4>
      </vt:variant>
      <vt:variant>
        <vt:i4>26</vt:i4>
      </vt:variant>
      <vt:variant>
        <vt:i4>0</vt:i4>
      </vt:variant>
      <vt:variant>
        <vt:i4>5</vt:i4>
      </vt:variant>
      <vt:variant>
        <vt:lpwstr/>
      </vt:variant>
      <vt:variant>
        <vt:lpwstr>_Toc360974021</vt:lpwstr>
      </vt:variant>
      <vt:variant>
        <vt:i4>1966132</vt:i4>
      </vt:variant>
      <vt:variant>
        <vt:i4>20</vt:i4>
      </vt:variant>
      <vt:variant>
        <vt:i4>0</vt:i4>
      </vt:variant>
      <vt:variant>
        <vt:i4>5</vt:i4>
      </vt:variant>
      <vt:variant>
        <vt:lpwstr/>
      </vt:variant>
      <vt:variant>
        <vt:lpwstr>_Toc360974020</vt:lpwstr>
      </vt:variant>
      <vt:variant>
        <vt:i4>1900596</vt:i4>
      </vt:variant>
      <vt:variant>
        <vt:i4>14</vt:i4>
      </vt:variant>
      <vt:variant>
        <vt:i4>0</vt:i4>
      </vt:variant>
      <vt:variant>
        <vt:i4>5</vt:i4>
      </vt:variant>
      <vt:variant>
        <vt:lpwstr/>
      </vt:variant>
      <vt:variant>
        <vt:lpwstr>_Toc360974019</vt:lpwstr>
      </vt:variant>
      <vt:variant>
        <vt:i4>1900596</vt:i4>
      </vt:variant>
      <vt:variant>
        <vt:i4>8</vt:i4>
      </vt:variant>
      <vt:variant>
        <vt:i4>0</vt:i4>
      </vt:variant>
      <vt:variant>
        <vt:i4>5</vt:i4>
      </vt:variant>
      <vt:variant>
        <vt:lpwstr/>
      </vt:variant>
      <vt:variant>
        <vt:lpwstr>_Toc360974018</vt:lpwstr>
      </vt:variant>
      <vt:variant>
        <vt:i4>1900596</vt:i4>
      </vt:variant>
      <vt:variant>
        <vt:i4>2</vt:i4>
      </vt:variant>
      <vt:variant>
        <vt:i4>0</vt:i4>
      </vt:variant>
      <vt:variant>
        <vt:i4>5</vt:i4>
      </vt:variant>
      <vt:variant>
        <vt:lpwstr/>
      </vt:variant>
      <vt:variant>
        <vt:lpwstr>_Toc360974017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Maryam Bell</dc:creator>
  <cp:keywords>APPR</cp:keywords>
  <dc:description>Current to August 2011</dc:description>
  <cp:lastModifiedBy>MKhattab</cp:lastModifiedBy>
  <cp:revision>3</cp:revision>
  <cp:lastPrinted>2012-06-01T09:56:00Z</cp:lastPrinted>
  <dcterms:created xsi:type="dcterms:W3CDTF">2013-07-09T13:27:00Z</dcterms:created>
  <dcterms:modified xsi:type="dcterms:W3CDTF">2013-07-09T13:30:00Z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y fmtid="{D5CDD505-2E9C-101B-9397-08002B2CF9AE}" pid="3" name="xd_Signature">
    <vt:lpwstr/>
  </property>
  <property fmtid="{D5CDD505-2E9C-101B-9397-08002B2CF9AE}" pid="4" name="Order">
    <vt:r8>195200</vt:r8>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0x01010050F19AC2165D2E47A5E6B7F563E4CF00</vt:lpwstr>
  </property>
  <property fmtid="{D5CDD505-2E9C-101B-9397-08002B2CF9AE}" pid="12" name="PublishingContact">
    <vt:lpwstr/>
  </property>
  <property fmtid="{D5CDD505-2E9C-101B-9397-08002B2CF9AE}" pid="13" name="WCMSPublicationSubCategory">
    <vt:lpwstr/>
  </property>
  <property fmtid="{D5CDD505-2E9C-101B-9397-08002B2CF9AE}" pid="14" name="WCMSIPSSubCategory">
    <vt:lpwstr/>
  </property>
  <property fmtid="{D5CDD505-2E9C-101B-9397-08002B2CF9AE}" pid="15" name="PublishingRollupImage">
    <vt:lpwstr/>
  </property>
  <property fmtid="{D5CDD505-2E9C-101B-9397-08002B2CF9AE}" pid="16" name="AusAIDAggregationLevel">
    <vt:lpwstr/>
  </property>
  <property fmtid="{D5CDD505-2E9C-101B-9397-08002B2CF9AE}" pid="17" name="WCMSStatus">
    <vt:lpwstr/>
  </property>
  <property fmtid="{D5CDD505-2E9C-101B-9397-08002B2CF9AE}" pid="18" name="PublishingContactEmail">
    <vt:lpwstr/>
  </property>
  <property fmtid="{D5CDD505-2E9C-101B-9397-08002B2CF9AE}" pid="19" name="WCMSPrintedMedia">
    <vt:bool>false</vt:bool>
  </property>
  <property fmtid="{D5CDD505-2E9C-101B-9397-08002B2CF9AE}" pid="20" name="WCMSIPSCategory">
    <vt:lpwstr/>
  </property>
  <property fmtid="{D5CDD505-2E9C-101B-9397-08002B2CF9AE}" pid="21" name="RSS Feed Link">
    <vt:lpwstr/>
  </property>
  <property fmtid="{D5CDD505-2E9C-101B-9397-08002B2CF9AE}" pid="22" name="WCMSDocumentLink">
    <vt:lpwstr/>
  </property>
  <property fmtid="{D5CDD505-2E9C-101B-9397-08002B2CF9AE}" pid="23" name="WCMSReportDisclaimer">
    <vt:bool>false</vt:bool>
  </property>
  <property fmtid="{D5CDD505-2E9C-101B-9397-08002B2CF9AE}" pid="24" name="PublishingContactName">
    <vt:lpwstr/>
  </property>
  <property fmtid="{D5CDD505-2E9C-101B-9397-08002B2CF9AE}" pid="25" name="PublishingVariationRelationshipLinkFieldID">
    <vt:lpwstr/>
  </property>
  <property fmtid="{D5CDD505-2E9C-101B-9397-08002B2CF9AE}" pid="26" name="WCMSPublicationCategory">
    <vt:lpwstr/>
  </property>
  <property fmtid="{D5CDD505-2E9C-101B-9397-08002B2CF9AE}" pid="27" name="WCMSRegion">
    <vt:lpwstr/>
  </property>
  <property fmtid="{D5CDD505-2E9C-101B-9397-08002B2CF9AE}" pid="28" name="WCMSPublicationAuthor">
    <vt:lpwstr/>
  </property>
  <property fmtid="{D5CDD505-2E9C-101B-9397-08002B2CF9AE}" pid="29" name="WCMSElectronicMedia">
    <vt:bool>false</vt:bool>
  </property>
  <property fmtid="{D5CDD505-2E9C-101B-9397-08002B2CF9AE}" pid="30" name="Comments">
    <vt:lpwstr/>
  </property>
  <property fmtid="{D5CDD505-2E9C-101B-9397-08002B2CF9AE}" pid="31" name="PublishingPageLayout">
    <vt:lpwstr/>
  </property>
  <property fmtid="{D5CDD505-2E9C-101B-9397-08002B2CF9AE}" pid="32" name="WCMSCountry">
    <vt:lpwstr/>
  </property>
  <property fmtid="{D5CDD505-2E9C-101B-9397-08002B2CF9AE}" pid="33" name="WCMSSourceId">
    <vt:lpwstr/>
  </property>
  <property fmtid="{D5CDD505-2E9C-101B-9397-08002B2CF9AE}" pid="34" name="WCMSLatest">
    <vt:bool>false</vt:bool>
  </property>
  <property fmtid="{D5CDD505-2E9C-101B-9397-08002B2CF9AE}" pid="35" name="WCMSPublicationFormat">
    <vt:lpwstr/>
  </property>
  <property fmtid="{D5CDD505-2E9C-101B-9397-08002B2CF9AE}" pid="36" name="AusAIDPageSubjectMetadata">
    <vt:lpwstr/>
  </property>
  <property fmtid="{D5CDD505-2E9C-101B-9397-08002B2CF9AE}" pid="37" name="AusAIDCategoryMetadata">
    <vt:lpwstr/>
  </property>
  <property fmtid="{D5CDD505-2E9C-101B-9397-08002B2CF9AE}" pid="38" name="AusAIDDocumentTypeMetaData">
    <vt:lpwstr/>
  </property>
  <property fmtid="{D5CDD505-2E9C-101B-9397-08002B2CF9AE}" pid="39" name="WCMSLanguage">
    <vt:lpwstr/>
  </property>
  <property fmtid="{D5CDD505-2E9C-101B-9397-08002B2CF9AE}" pid="40" name="Audience">
    <vt:lpwstr/>
  </property>
  <property fmtid="{D5CDD505-2E9C-101B-9397-08002B2CF9AE}" pid="41" name="WCMSDescription">
    <vt:lpwstr/>
  </property>
  <property fmtid="{D5CDD505-2E9C-101B-9397-08002B2CF9AE}" pid="43" name="WCMSOtherCategory">
    <vt:lpwstr/>
  </property>
  <property fmtid="{D5CDD505-2E9C-101B-9397-08002B2CF9AE}" pid="44" name="AusAIDPageDescriptionMetadata">
    <vt:lpwstr/>
  </property>
  <property fmtid="{D5CDD505-2E9C-101B-9397-08002B2CF9AE}" pid="45" name="WCMSTheme">
    <vt:lpwstr/>
  </property>
  <property fmtid="{D5CDD505-2E9C-101B-9397-08002B2CF9AE}" pid="46"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