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5C1E2F15" w14:textId="6CC7790E" w:rsidR="00E84101" w:rsidRPr="00E84101" w:rsidRDefault="007952E5" w:rsidP="0091100D">
      <w:pPr>
        <w:pStyle w:val="Heading2"/>
        <w:rPr>
          <w:rStyle w:val="Heading2Char"/>
          <w:sz w:val="80"/>
          <w:szCs w:val="80"/>
        </w:rPr>
      </w:pPr>
      <w:r>
        <w:rPr>
          <w:rStyle w:val="Heading2Char"/>
          <w:sz w:val="80"/>
          <w:szCs w:val="80"/>
        </w:rPr>
        <w:t>Tonga</w:t>
      </w:r>
    </w:p>
    <w:p w14:paraId="41A452FD" w14:textId="37173EED" w:rsidR="004516E0" w:rsidRPr="00F959D5" w:rsidRDefault="00123E7B" w:rsidP="00F76B6A">
      <w:pPr>
        <w:spacing w:before="0"/>
      </w:pPr>
      <w:r>
        <w:t>MAY</w:t>
      </w:r>
      <w:r w:rsidR="00E84101">
        <w:t xml:space="preserve"> 2025</w:t>
      </w:r>
    </w:p>
    <w:p w14:paraId="579AFDE6" w14:textId="1A0C72AA" w:rsidR="00965509" w:rsidRDefault="007952E5" w:rsidP="004A4242">
      <w:pPr>
        <w:rPr>
          <w:rFonts w:asciiTheme="majorHAnsi" w:hAnsiTheme="majorHAnsi"/>
        </w:rPr>
      </w:pPr>
      <w:r>
        <w:rPr>
          <w:noProof/>
        </w:rPr>
        <w:drawing>
          <wp:inline distT="0" distB="0" distL="0" distR="0" wp14:anchorId="419A1605" wp14:editId="0AE7B45F">
            <wp:extent cx="914400" cy="457200"/>
            <wp:effectExtent l="0" t="0" r="0" b="0"/>
            <wp:docPr id="1728459601" name="Picture 1" descr="Tong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59601" name="Picture 1" descr="Tonga fl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2685FC2B" w14:textId="7D7DA11E" w:rsidR="00AF7C26" w:rsidRPr="00AF7C26" w:rsidRDefault="004516E0" w:rsidP="00C13173">
      <w:pPr>
        <w:pStyle w:val="Heading3"/>
      </w:pPr>
      <w:r w:rsidRPr="00C13173">
        <w:t>Overview</w:t>
      </w:r>
    </w:p>
    <w:p w14:paraId="7CD1B7C1" w14:textId="4C0B804C" w:rsidR="004516E0" w:rsidRPr="004516E0" w:rsidRDefault="004516E0" w:rsidP="00B35181">
      <w:pPr>
        <w:pStyle w:val="Overview"/>
        <w:rPr>
          <w:caps/>
        </w:rPr>
      </w:pPr>
      <w:r w:rsidRPr="00545268">
        <w:t>Estimated Australian ODA:</w:t>
      </w:r>
      <w:r w:rsidR="00545268" w:rsidRPr="00545268">
        <w:t xml:space="preserve"> </w:t>
      </w:r>
      <w:r w:rsidRPr="00C33D8D">
        <w:rPr>
          <w:b w:val="0"/>
          <w:bCs w:val="0"/>
        </w:rPr>
        <w:t>$</w:t>
      </w:r>
      <w:r w:rsidR="00174D1D">
        <w:rPr>
          <w:b w:val="0"/>
          <w:bCs w:val="0"/>
        </w:rPr>
        <w:t>69.7</w:t>
      </w:r>
      <w:r w:rsidRPr="00C33D8D">
        <w:rPr>
          <w:b w:val="0"/>
          <w:bCs w:val="0"/>
        </w:rPr>
        <w:t>m</w:t>
      </w:r>
      <w:r w:rsidR="00BB7E09">
        <w:rPr>
          <w:b w:val="0"/>
          <w:bCs w:val="0"/>
        </w:rPr>
        <w:t xml:space="preserve"> </w:t>
      </w:r>
      <w:r w:rsidR="00BB7E09" w:rsidRPr="00BB7E09">
        <w:rPr>
          <w:b w:val="0"/>
          <w:bCs w:val="0"/>
        </w:rPr>
        <w:t>(20</w:t>
      </w:r>
      <w:r w:rsidR="00D13E7A">
        <w:rPr>
          <w:b w:val="0"/>
          <w:bCs w:val="0"/>
        </w:rPr>
        <w:t>25</w:t>
      </w:r>
      <w:r w:rsidR="00B4776F">
        <w:rPr>
          <w:b w:val="0"/>
          <w:bCs w:val="0"/>
        </w:rPr>
        <w:t>-26</w:t>
      </w:r>
      <w:r w:rsidR="00BB7E09" w:rsidRPr="00BB7E09">
        <w:rPr>
          <w:b w:val="0"/>
          <w:bCs w:val="0"/>
        </w:rPr>
        <w:t>)</w:t>
      </w:r>
    </w:p>
    <w:p w14:paraId="1483716F" w14:textId="76F46C26" w:rsidR="004516E0" w:rsidRPr="004516E0" w:rsidRDefault="004516E0" w:rsidP="00B35181">
      <w:pPr>
        <w:pStyle w:val="Overview"/>
        <w:rPr>
          <w:caps/>
        </w:rPr>
      </w:pPr>
      <w:r w:rsidRPr="00545268">
        <w:t>Gross National Income Per Capita:</w:t>
      </w:r>
      <w:r w:rsidR="00545268">
        <w:t xml:space="preserve"> </w:t>
      </w:r>
      <w:r w:rsidRPr="00C33D8D">
        <w:rPr>
          <w:b w:val="0"/>
          <w:bCs w:val="0"/>
        </w:rPr>
        <w:t>US$</w:t>
      </w:r>
      <w:r w:rsidR="00E17D01">
        <w:rPr>
          <w:b w:val="0"/>
          <w:bCs w:val="0"/>
        </w:rPr>
        <w:t>5,260</w:t>
      </w:r>
      <w:r w:rsidR="00887FD5">
        <w:rPr>
          <w:b w:val="0"/>
          <w:bCs w:val="0"/>
        </w:rPr>
        <w:t xml:space="preserve"> (202</w:t>
      </w:r>
      <w:r w:rsidR="00E17D01">
        <w:rPr>
          <w:b w:val="0"/>
          <w:bCs w:val="0"/>
        </w:rPr>
        <w:t>2</w:t>
      </w:r>
      <w:r w:rsidR="00887FD5">
        <w:rPr>
          <w:b w:val="0"/>
          <w:bCs w:val="0"/>
        </w:rPr>
        <w:t>)</w:t>
      </w:r>
    </w:p>
    <w:p w14:paraId="7303A756" w14:textId="27F9BB5D" w:rsidR="004516E0" w:rsidRDefault="004516E0" w:rsidP="00B35181">
      <w:pPr>
        <w:pStyle w:val="Overview"/>
        <w:rPr>
          <w:caps/>
        </w:rPr>
      </w:pPr>
      <w:r w:rsidRPr="00545268">
        <w:t>Population:</w:t>
      </w:r>
      <w:r w:rsidRPr="004516E0">
        <w:t xml:space="preserve"> </w:t>
      </w:r>
      <w:r w:rsidR="007419ED">
        <w:rPr>
          <w:b w:val="0"/>
          <w:bCs w:val="0"/>
        </w:rPr>
        <w:t>0.1m</w:t>
      </w:r>
      <w:r w:rsidRPr="00C33D8D">
        <w:rPr>
          <w:b w:val="0"/>
          <w:bCs w:val="0"/>
        </w:rPr>
        <w:t xml:space="preserve"> (202</w:t>
      </w:r>
      <w:r w:rsidR="00BC1722">
        <w:rPr>
          <w:b w:val="0"/>
          <w:bCs w:val="0"/>
        </w:rPr>
        <w:t>3</w:t>
      </w:r>
      <w:r w:rsidRPr="00C33D8D">
        <w:rPr>
          <w:b w:val="0"/>
          <w:bCs w:val="0"/>
        </w:rPr>
        <w:t>)</w:t>
      </w:r>
    </w:p>
    <w:p w14:paraId="3EDD18B8" w14:textId="0AF4E837" w:rsidR="004516E0" w:rsidRPr="00E62203" w:rsidRDefault="00C12648" w:rsidP="007D53CA">
      <w:pPr>
        <w:pStyle w:val="Heading4"/>
        <w:spacing w:before="360"/>
        <w:rPr>
          <w:b w:val="0"/>
          <w:bCs/>
        </w:rPr>
      </w:pPr>
      <w:r w:rsidRPr="00E62203">
        <w:rPr>
          <w:b w:val="0"/>
          <w:bCs/>
        </w:rPr>
        <w:t xml:space="preserve">Table 1: </w:t>
      </w:r>
      <w:r w:rsidR="00B4776F">
        <w:rPr>
          <w:b w:val="0"/>
          <w:bCs/>
        </w:rPr>
        <w:t xml:space="preserve">Australian ODA to </w:t>
      </w:r>
      <w:r w:rsidR="00084169">
        <w:rPr>
          <w:b w:val="0"/>
          <w:bCs/>
        </w:rPr>
        <w:t>Tonga</w:t>
      </w:r>
      <w:r w:rsidR="00B4776F">
        <w:rPr>
          <w:b w:val="0"/>
          <w:bCs/>
        </w:rPr>
        <w:t>,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Tonga, 2023-24 to 2025-26"/>
        <w:tblDescription w:val="This table represents the total Australian ODA to Tonga, budget and estimate by funding type, 2023 to 2026 – four columns, six rows."/>
      </w:tblPr>
      <w:tblGrid>
        <w:gridCol w:w="3397"/>
        <w:gridCol w:w="2265"/>
        <w:gridCol w:w="2266"/>
        <w:gridCol w:w="2266"/>
      </w:tblGrid>
      <w:tr w:rsidR="00B4776F" w14:paraId="5EF5CF55" w14:textId="21157455" w:rsidTr="0030387C">
        <w:trPr>
          <w:cantSplit/>
          <w:trHeight w:val="70"/>
          <w:tblHeader/>
        </w:trPr>
        <w:tc>
          <w:tcPr>
            <w:tcW w:w="3397" w:type="dxa"/>
            <w:shd w:val="clear" w:color="auto" w:fill="313E48" w:themeFill="text1"/>
          </w:tcPr>
          <w:p w14:paraId="4CEC1D0F" w14:textId="618CDC75" w:rsidR="00B4776F" w:rsidRPr="0079728E" w:rsidRDefault="00B4776F" w:rsidP="00B4776F">
            <w:pPr>
              <w:pStyle w:val="TableHeading"/>
            </w:pPr>
            <w:r>
              <w:t>Australian ODA</w:t>
            </w:r>
          </w:p>
        </w:tc>
        <w:tc>
          <w:tcPr>
            <w:tcW w:w="2265" w:type="dxa"/>
            <w:shd w:val="clear" w:color="auto" w:fill="313E48" w:themeFill="text1"/>
          </w:tcPr>
          <w:p w14:paraId="1923A36A" w14:textId="45343566" w:rsidR="00B4776F" w:rsidRDefault="00B4776F" w:rsidP="00B4776F">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740E09E" w14:textId="7EF1556E" w:rsidR="00B4776F" w:rsidRPr="007332ED" w:rsidRDefault="00B4776F" w:rsidP="00B4776F">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4F1CAE94" w14:textId="5A863B41" w:rsidR="00B4776F" w:rsidRPr="007332ED" w:rsidRDefault="00B4776F" w:rsidP="00B4776F">
            <w:pPr>
              <w:pStyle w:val="TableHeading"/>
              <w:jc w:val="center"/>
            </w:pPr>
            <w:r w:rsidRPr="001E6A8F">
              <w:t>202</w:t>
            </w:r>
            <w:r>
              <w:t>5-26</w:t>
            </w:r>
            <w:r w:rsidRPr="001E6A8F">
              <w:t xml:space="preserve"> Budget Estimate ($</w:t>
            </w:r>
            <w:proofErr w:type="gramStart"/>
            <w:r w:rsidRPr="001E6A8F">
              <w:t>m)*</w:t>
            </w:r>
            <w:proofErr w:type="gramEnd"/>
          </w:p>
        </w:tc>
      </w:tr>
      <w:tr w:rsidR="00C02F9A" w14:paraId="45E770B3" w14:textId="1A624B78">
        <w:tc>
          <w:tcPr>
            <w:tcW w:w="3397" w:type="dxa"/>
          </w:tcPr>
          <w:p w14:paraId="12D343CB" w14:textId="0865BCBD" w:rsidR="00C02F9A" w:rsidRPr="00030679" w:rsidRDefault="00C02F9A" w:rsidP="00C02F9A">
            <w:pPr>
              <w:pStyle w:val="TableBodyCopy"/>
            </w:pPr>
            <w:r w:rsidRPr="001E6A8F">
              <w:t>Country Programs</w:t>
            </w:r>
          </w:p>
        </w:tc>
        <w:tc>
          <w:tcPr>
            <w:tcW w:w="2265" w:type="dxa"/>
            <w:vAlign w:val="center"/>
          </w:tcPr>
          <w:p w14:paraId="0D3F5049" w14:textId="022EED94" w:rsidR="00C02F9A" w:rsidRPr="00D34ADE" w:rsidRDefault="00EB25ED" w:rsidP="00C02F9A">
            <w:pPr>
              <w:pStyle w:val="TableBodyCopy"/>
              <w:jc w:val="center"/>
            </w:pPr>
            <w:r>
              <w:t>52.1</w:t>
            </w:r>
          </w:p>
        </w:tc>
        <w:tc>
          <w:tcPr>
            <w:tcW w:w="2266" w:type="dxa"/>
            <w:vAlign w:val="center"/>
          </w:tcPr>
          <w:p w14:paraId="7E455C00" w14:textId="0E4E8CD8" w:rsidR="00C02F9A" w:rsidRPr="00D34ADE" w:rsidRDefault="005E06AD" w:rsidP="00C02F9A">
            <w:pPr>
              <w:pStyle w:val="TableBodyCopy"/>
              <w:jc w:val="center"/>
            </w:pPr>
            <w:r>
              <w:t>22.1</w:t>
            </w:r>
          </w:p>
        </w:tc>
        <w:tc>
          <w:tcPr>
            <w:tcW w:w="2266" w:type="dxa"/>
            <w:vAlign w:val="center"/>
          </w:tcPr>
          <w:p w14:paraId="47F5FD0E" w14:textId="5C0823BE" w:rsidR="00C02F9A" w:rsidRPr="00D34ADE" w:rsidRDefault="00260771" w:rsidP="00C02F9A">
            <w:pPr>
              <w:pStyle w:val="TableBodyCopy"/>
              <w:jc w:val="center"/>
            </w:pPr>
            <w:r>
              <w:t>27.1</w:t>
            </w:r>
          </w:p>
        </w:tc>
      </w:tr>
      <w:tr w:rsidR="00C02F9A" w14:paraId="417E46F0" w14:textId="42F9E059">
        <w:tc>
          <w:tcPr>
            <w:tcW w:w="3397" w:type="dxa"/>
          </w:tcPr>
          <w:p w14:paraId="604B5B7E" w14:textId="2B4FA06A" w:rsidR="00C02F9A" w:rsidRPr="00030679" w:rsidRDefault="00C02F9A" w:rsidP="00C02F9A">
            <w:pPr>
              <w:pStyle w:val="TableBodyCopy"/>
            </w:pPr>
            <w:r>
              <w:t>Regional</w:t>
            </w:r>
          </w:p>
        </w:tc>
        <w:tc>
          <w:tcPr>
            <w:tcW w:w="2265" w:type="dxa"/>
            <w:vAlign w:val="center"/>
          </w:tcPr>
          <w:p w14:paraId="12CB39EC" w14:textId="0156CFB1" w:rsidR="00C02F9A" w:rsidRPr="00D34ADE" w:rsidRDefault="00EB25ED" w:rsidP="00C02F9A">
            <w:pPr>
              <w:pStyle w:val="TableBodyCopy"/>
              <w:jc w:val="center"/>
            </w:pPr>
            <w:r>
              <w:t>54.5</w:t>
            </w:r>
          </w:p>
        </w:tc>
        <w:tc>
          <w:tcPr>
            <w:tcW w:w="2266" w:type="dxa"/>
            <w:vAlign w:val="center"/>
          </w:tcPr>
          <w:p w14:paraId="4E5F8501" w14:textId="22616D9F" w:rsidR="00C02F9A" w:rsidRPr="00D34ADE" w:rsidRDefault="005E06AD" w:rsidP="00C02F9A">
            <w:pPr>
              <w:pStyle w:val="TableBodyCopy"/>
              <w:jc w:val="center"/>
            </w:pPr>
            <w:r>
              <w:t>18.3</w:t>
            </w:r>
          </w:p>
        </w:tc>
        <w:tc>
          <w:tcPr>
            <w:tcW w:w="2266" w:type="dxa"/>
            <w:vAlign w:val="center"/>
          </w:tcPr>
          <w:p w14:paraId="07207D25" w14:textId="048B1A33" w:rsidR="00C02F9A" w:rsidRPr="00D34ADE" w:rsidRDefault="00260771" w:rsidP="00C02F9A">
            <w:pPr>
              <w:pStyle w:val="TableBodyCopy"/>
              <w:jc w:val="center"/>
            </w:pPr>
            <w:r>
              <w:t>37.9</w:t>
            </w:r>
          </w:p>
        </w:tc>
      </w:tr>
      <w:tr w:rsidR="00C02F9A" w14:paraId="2B1333F4" w14:textId="77777777">
        <w:tc>
          <w:tcPr>
            <w:tcW w:w="3397" w:type="dxa"/>
          </w:tcPr>
          <w:p w14:paraId="38890A56" w14:textId="3085080F" w:rsidR="00C02F9A" w:rsidRDefault="00C02F9A" w:rsidP="00C02F9A">
            <w:pPr>
              <w:pStyle w:val="TableBodyCopy"/>
            </w:pPr>
            <w:r>
              <w:t>Global / Other</w:t>
            </w:r>
          </w:p>
        </w:tc>
        <w:tc>
          <w:tcPr>
            <w:tcW w:w="2265" w:type="dxa"/>
            <w:vAlign w:val="center"/>
          </w:tcPr>
          <w:p w14:paraId="7C5E60F3" w14:textId="0165FE86" w:rsidR="00C02F9A" w:rsidRPr="00D34ADE" w:rsidRDefault="005E06AD" w:rsidP="00C02F9A">
            <w:pPr>
              <w:pStyle w:val="TableBodyCopy"/>
              <w:jc w:val="center"/>
            </w:pPr>
            <w:r>
              <w:t>3.3</w:t>
            </w:r>
          </w:p>
        </w:tc>
        <w:tc>
          <w:tcPr>
            <w:tcW w:w="2266" w:type="dxa"/>
            <w:vAlign w:val="center"/>
          </w:tcPr>
          <w:p w14:paraId="4BBA5711" w14:textId="292D63E1" w:rsidR="00C02F9A" w:rsidRPr="00D34ADE" w:rsidRDefault="005E06AD" w:rsidP="00C02F9A">
            <w:pPr>
              <w:pStyle w:val="TableBodyCopy"/>
              <w:jc w:val="center"/>
            </w:pPr>
            <w:r>
              <w:t>2.1</w:t>
            </w:r>
          </w:p>
        </w:tc>
        <w:tc>
          <w:tcPr>
            <w:tcW w:w="2266" w:type="dxa"/>
            <w:vAlign w:val="center"/>
          </w:tcPr>
          <w:p w14:paraId="46AB0CB4" w14:textId="441FD26D" w:rsidR="00C02F9A" w:rsidRPr="00D34ADE" w:rsidRDefault="00260771" w:rsidP="00C02F9A">
            <w:pPr>
              <w:pStyle w:val="TableBodyCopy"/>
              <w:jc w:val="center"/>
            </w:pPr>
            <w:r>
              <w:t>2.3</w:t>
            </w:r>
          </w:p>
        </w:tc>
      </w:tr>
      <w:tr w:rsidR="00C02F9A" w14:paraId="6B771DA6" w14:textId="77777777">
        <w:tc>
          <w:tcPr>
            <w:tcW w:w="3397" w:type="dxa"/>
          </w:tcPr>
          <w:p w14:paraId="1651DA14" w14:textId="472B242D" w:rsidR="00C02F9A" w:rsidRDefault="00C02F9A" w:rsidP="00C02F9A">
            <w:pPr>
              <w:pStyle w:val="TableBodyCopy"/>
            </w:pPr>
            <w:r>
              <w:t>Other Government Departments</w:t>
            </w:r>
          </w:p>
        </w:tc>
        <w:tc>
          <w:tcPr>
            <w:tcW w:w="2265" w:type="dxa"/>
            <w:vAlign w:val="center"/>
          </w:tcPr>
          <w:p w14:paraId="5D27E890" w14:textId="5CD5C1FE" w:rsidR="00C02F9A" w:rsidRPr="00D34ADE" w:rsidRDefault="005E06AD" w:rsidP="00C02F9A">
            <w:pPr>
              <w:pStyle w:val="TableBodyCopy"/>
              <w:jc w:val="center"/>
            </w:pPr>
            <w:r>
              <w:t>3.0</w:t>
            </w:r>
          </w:p>
        </w:tc>
        <w:tc>
          <w:tcPr>
            <w:tcW w:w="2266" w:type="dxa"/>
            <w:vAlign w:val="center"/>
          </w:tcPr>
          <w:p w14:paraId="5F11B819" w14:textId="090FB905" w:rsidR="00C02F9A" w:rsidRPr="00D34ADE" w:rsidRDefault="005E06AD" w:rsidP="00C02F9A">
            <w:pPr>
              <w:pStyle w:val="TableBodyCopy"/>
              <w:jc w:val="center"/>
            </w:pPr>
            <w:r>
              <w:t>2.5</w:t>
            </w:r>
          </w:p>
        </w:tc>
        <w:tc>
          <w:tcPr>
            <w:tcW w:w="2266" w:type="dxa"/>
            <w:vAlign w:val="center"/>
          </w:tcPr>
          <w:p w14:paraId="45D0847A" w14:textId="497244FF" w:rsidR="00C02F9A" w:rsidRPr="00D34ADE" w:rsidRDefault="00260771" w:rsidP="00C02F9A">
            <w:pPr>
              <w:pStyle w:val="TableBodyCopy"/>
              <w:jc w:val="center"/>
            </w:pPr>
            <w:r>
              <w:t>2.4</w:t>
            </w:r>
          </w:p>
        </w:tc>
      </w:tr>
      <w:tr w:rsidR="00C02F9A" w14:paraId="3BDCC9B5" w14:textId="77777777">
        <w:tc>
          <w:tcPr>
            <w:tcW w:w="3397" w:type="dxa"/>
          </w:tcPr>
          <w:p w14:paraId="4E8483EB" w14:textId="0CD991E1" w:rsidR="00C02F9A" w:rsidRPr="001E6A8F" w:rsidRDefault="00C02F9A" w:rsidP="00C02F9A">
            <w:pPr>
              <w:pStyle w:val="TableBodyCopy"/>
              <w:rPr>
                <w:b/>
                <w:bCs/>
              </w:rPr>
            </w:pPr>
            <w:r w:rsidRPr="001E6A8F">
              <w:rPr>
                <w:b/>
                <w:bCs/>
              </w:rPr>
              <w:t xml:space="preserve">Total ODA to </w:t>
            </w:r>
            <w:r w:rsidR="00CD509E">
              <w:rPr>
                <w:b/>
                <w:bCs/>
              </w:rPr>
              <w:t>Tonga</w:t>
            </w:r>
          </w:p>
        </w:tc>
        <w:tc>
          <w:tcPr>
            <w:tcW w:w="2265" w:type="dxa"/>
            <w:vAlign w:val="center"/>
          </w:tcPr>
          <w:p w14:paraId="4CC5A42A" w14:textId="7886A52D" w:rsidR="00C02F9A" w:rsidRPr="00D34ADE" w:rsidRDefault="004F6FEF" w:rsidP="00C02F9A">
            <w:pPr>
              <w:pStyle w:val="TableBodyCopy"/>
              <w:jc w:val="center"/>
              <w:rPr>
                <w:b/>
                <w:bCs/>
              </w:rPr>
            </w:pPr>
            <w:r>
              <w:rPr>
                <w:b/>
                <w:bCs/>
              </w:rPr>
              <w:t>1</w:t>
            </w:r>
            <w:r w:rsidR="005E06AD">
              <w:rPr>
                <w:b/>
                <w:bCs/>
              </w:rPr>
              <w:t>12.8</w:t>
            </w:r>
          </w:p>
        </w:tc>
        <w:tc>
          <w:tcPr>
            <w:tcW w:w="2266" w:type="dxa"/>
            <w:vAlign w:val="center"/>
          </w:tcPr>
          <w:p w14:paraId="5537B846" w14:textId="73F9BED0" w:rsidR="00C02F9A" w:rsidRPr="00D34ADE" w:rsidRDefault="005E06AD" w:rsidP="00C02F9A">
            <w:pPr>
              <w:pStyle w:val="TableBodyCopy"/>
              <w:jc w:val="center"/>
              <w:rPr>
                <w:b/>
                <w:bCs/>
              </w:rPr>
            </w:pPr>
            <w:r>
              <w:rPr>
                <w:b/>
                <w:bCs/>
              </w:rPr>
              <w:t>44.9</w:t>
            </w:r>
          </w:p>
        </w:tc>
        <w:tc>
          <w:tcPr>
            <w:tcW w:w="2266" w:type="dxa"/>
            <w:vAlign w:val="center"/>
          </w:tcPr>
          <w:p w14:paraId="55A5272D" w14:textId="774CC9BC" w:rsidR="00C02F9A" w:rsidRPr="00D34ADE" w:rsidRDefault="00260771" w:rsidP="00C02F9A">
            <w:pPr>
              <w:pStyle w:val="TableBodyCopy"/>
              <w:jc w:val="center"/>
              <w:rPr>
                <w:b/>
                <w:bCs/>
              </w:rPr>
            </w:pPr>
            <w:r>
              <w:rPr>
                <w:b/>
                <w:bCs/>
              </w:rPr>
              <w:t>69.7</w:t>
            </w:r>
          </w:p>
        </w:tc>
      </w:tr>
      <w:tr w:rsidR="00C02F9A" w14:paraId="489272C2" w14:textId="77777777">
        <w:tc>
          <w:tcPr>
            <w:tcW w:w="3397" w:type="dxa"/>
          </w:tcPr>
          <w:p w14:paraId="0D034212" w14:textId="30C654FB" w:rsidR="00C02F9A" w:rsidRPr="001E6A8F" w:rsidRDefault="00780DC2" w:rsidP="00C02F9A">
            <w:pPr>
              <w:pStyle w:val="TableBodyCopy"/>
              <w:rPr>
                <w:b/>
                <w:bCs/>
              </w:rPr>
            </w:pPr>
            <w:r w:rsidRPr="00780DC2">
              <w:rPr>
                <w:b/>
                <w:bCs/>
                <w:iCs/>
              </w:rPr>
              <w:t>Percentage total Aust</w:t>
            </w:r>
            <w:r w:rsidR="00D34ADE">
              <w:rPr>
                <w:b/>
                <w:bCs/>
                <w:iCs/>
              </w:rPr>
              <w:t>ralian</w:t>
            </w:r>
            <w:r w:rsidRPr="00780DC2">
              <w:rPr>
                <w:b/>
                <w:bCs/>
                <w:iCs/>
              </w:rPr>
              <w:t xml:space="preserve"> ODA</w:t>
            </w:r>
          </w:p>
        </w:tc>
        <w:tc>
          <w:tcPr>
            <w:tcW w:w="2265" w:type="dxa"/>
            <w:vAlign w:val="center"/>
          </w:tcPr>
          <w:p w14:paraId="510A5CB8" w14:textId="3DFA70D4" w:rsidR="00C02F9A" w:rsidRPr="00D34ADE" w:rsidRDefault="005E06AD" w:rsidP="00C02F9A">
            <w:pPr>
              <w:pStyle w:val="TableBodyCopy"/>
              <w:jc w:val="center"/>
              <w:rPr>
                <w:b/>
                <w:bCs/>
              </w:rPr>
            </w:pPr>
            <w:r>
              <w:rPr>
                <w:b/>
                <w:bCs/>
              </w:rPr>
              <w:t>2.3</w:t>
            </w:r>
            <w:r w:rsidR="004F6FEF">
              <w:rPr>
                <w:b/>
                <w:bCs/>
              </w:rPr>
              <w:t>%</w:t>
            </w:r>
          </w:p>
        </w:tc>
        <w:tc>
          <w:tcPr>
            <w:tcW w:w="2266" w:type="dxa"/>
            <w:vAlign w:val="center"/>
          </w:tcPr>
          <w:p w14:paraId="1593D0D1" w14:textId="076BB9F1" w:rsidR="00C02F9A" w:rsidRPr="00D34ADE" w:rsidRDefault="00260771" w:rsidP="00C02F9A">
            <w:pPr>
              <w:pStyle w:val="TableBodyCopy"/>
              <w:jc w:val="center"/>
              <w:rPr>
                <w:b/>
                <w:bCs/>
              </w:rPr>
            </w:pPr>
            <w:r>
              <w:rPr>
                <w:b/>
                <w:bCs/>
              </w:rPr>
              <w:t>0.9%</w:t>
            </w:r>
          </w:p>
        </w:tc>
        <w:tc>
          <w:tcPr>
            <w:tcW w:w="2266" w:type="dxa"/>
            <w:vAlign w:val="center"/>
          </w:tcPr>
          <w:p w14:paraId="62BEB0D3" w14:textId="468592C0" w:rsidR="00C02F9A" w:rsidRPr="00D34ADE" w:rsidRDefault="00260771" w:rsidP="00C02F9A">
            <w:pPr>
              <w:pStyle w:val="TableBodyCopy"/>
              <w:jc w:val="center"/>
              <w:rPr>
                <w:b/>
                <w:bCs/>
              </w:rPr>
            </w:pPr>
            <w:r>
              <w:rPr>
                <w:b/>
                <w:bCs/>
              </w:rPr>
              <w:t>1.4%</w:t>
            </w:r>
          </w:p>
        </w:tc>
      </w:tr>
    </w:tbl>
    <w:p w14:paraId="1173533E" w14:textId="3AA1E64D" w:rsidR="00771669" w:rsidRDefault="001E6A8F" w:rsidP="00E84101">
      <w:pPr>
        <w:pStyle w:val="Caption"/>
      </w:pPr>
      <w:r w:rsidRPr="00771669">
        <w:t xml:space="preserve">*Due to rounding, </w:t>
      </w:r>
      <w:r w:rsidRPr="003575EF">
        <w:t>discrepancies</w:t>
      </w:r>
      <w:r w:rsidRPr="00771669">
        <w:t xml:space="preserve"> may occur between sums of the component items in totals</w:t>
      </w:r>
    </w:p>
    <w:p w14:paraId="7100DF7D" w14:textId="34DBE811" w:rsidR="00F40F77" w:rsidRDefault="00C12648" w:rsidP="00F40F77">
      <w:pPr>
        <w:pStyle w:val="Heading4"/>
        <w:rPr>
          <w:b w:val="0"/>
          <w:bCs/>
        </w:rPr>
      </w:pPr>
      <w:r>
        <w:rPr>
          <w:b w:val="0"/>
          <w:bCs/>
        </w:rPr>
        <w:t xml:space="preserve">Figure 1: </w:t>
      </w:r>
      <w:r w:rsidR="003575EF" w:rsidRPr="00E5168F">
        <w:rPr>
          <w:b w:val="0"/>
          <w:bCs/>
        </w:rPr>
        <w:t xml:space="preserve">Australian ODA to </w:t>
      </w:r>
      <w:r w:rsidR="00CA65FD">
        <w:rPr>
          <w:b w:val="0"/>
          <w:bCs/>
        </w:rPr>
        <w:t>Tonga</w:t>
      </w:r>
      <w:r w:rsidR="003575EF" w:rsidRPr="00E5168F">
        <w:rPr>
          <w:b w:val="0"/>
          <w:bCs/>
        </w:rPr>
        <w:t xml:space="preserve"> by Sector Group, 20</w:t>
      </w:r>
      <w:r w:rsidR="007F312B" w:rsidRPr="00E5168F">
        <w:rPr>
          <w:b w:val="0"/>
          <w:bCs/>
        </w:rPr>
        <w:t>25</w:t>
      </w:r>
      <w:r w:rsidR="00B4776F">
        <w:rPr>
          <w:b w:val="0"/>
          <w:bCs/>
        </w:rPr>
        <w:t>-26</w:t>
      </w:r>
      <w:r w:rsidR="003575EF" w:rsidRPr="00E5168F">
        <w:rPr>
          <w:b w:val="0"/>
          <w:bCs/>
        </w:rPr>
        <w:t xml:space="preserve"> budget estimate</w:t>
      </w:r>
    </w:p>
    <w:p w14:paraId="374C4279" w14:textId="3650DA88" w:rsidR="00AE0BCF" w:rsidRPr="00AE0BCF" w:rsidRDefault="00AE0BCF" w:rsidP="00AE0BCF">
      <w:pPr>
        <w:rPr>
          <w:lang w:val="en-US"/>
        </w:rPr>
      </w:pPr>
    </w:p>
    <w:p w14:paraId="1C879D59" w14:textId="6778D803" w:rsidR="0098690D" w:rsidRDefault="0091565F" w:rsidP="0098690D">
      <w:r>
        <w:rPr>
          <w:noProof/>
          <w:lang w:val="en-US"/>
        </w:rPr>
        <w:drawing>
          <wp:anchor distT="0" distB="0" distL="114300" distR="114300" simplePos="0" relativeHeight="251658240" behindDoc="1" locked="0" layoutInCell="1" allowOverlap="1" wp14:anchorId="6F77FA5D" wp14:editId="28C8267D">
            <wp:simplePos x="0" y="0"/>
            <wp:positionH relativeFrom="margin">
              <wp:align>left</wp:align>
            </wp:positionH>
            <wp:positionV relativeFrom="paragraph">
              <wp:posOffset>-309245</wp:posOffset>
            </wp:positionV>
            <wp:extent cx="6019800" cy="2390775"/>
            <wp:effectExtent l="0" t="0" r="0" b="9525"/>
            <wp:wrapTight wrapText="bothSides">
              <wp:wrapPolygon edited="0">
                <wp:start x="0" y="0"/>
                <wp:lineTo x="0" y="21514"/>
                <wp:lineTo x="21532" y="21514"/>
                <wp:lineTo x="21532" y="0"/>
                <wp:lineTo x="0" y="0"/>
              </wp:wrapPolygon>
            </wp:wrapTight>
            <wp:docPr id="1368170423" name="Picture 1" descr="Figure 1 presents the percentage of Australia’s Official Development Assistance (ODA) to Tonga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4%&#10;Economic infrastructure and services 44%&#10;Education 8%&#10;Governance 28%&#10;Health 12%&#10;Humanitarian 3%&#10;Multisector and General Development Suppo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70423" name="Picture 1" descr="Figure 1 presents the percentage of Australia’s Official Development Assistance (ODA) to Tonga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4%&#10;Economic infrastructure and services 44%&#10;Education 8%&#10;Governance 28%&#10;Health 12%&#10;Humanitarian 3%&#10;Multisector and General Development Suppor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3C65D" w14:textId="2559984F" w:rsidR="00C700DC" w:rsidRDefault="00E84101" w:rsidP="00C700DC">
      <w:pPr>
        <w:pStyle w:val="Heading3"/>
        <w:rPr>
          <w:rFonts w:eastAsia="Calibri"/>
        </w:rPr>
      </w:pPr>
      <w:r w:rsidRPr="00E50E59">
        <w:br w:type="page"/>
      </w:r>
      <w:r w:rsidR="00C700DC" w:rsidRPr="00CC4616">
        <w:lastRenderedPageBreak/>
        <w:t>Sustainable Development Goals</w:t>
      </w:r>
    </w:p>
    <w:p w14:paraId="5FDBE9C1" w14:textId="1B82A813"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370CC8C" wp14:editId="3B14187B">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2CA1E9F" wp14:editId="5232F3A0">
            <wp:extent cx="548640" cy="548640"/>
            <wp:effectExtent l="0" t="0" r="3810" b="3810"/>
            <wp:docPr id="1891109307" name="Picture 7" descr="SDG 7 -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9307" name="Picture 7" descr="SDG 7 - Affordable and clean energ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385053F">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51273F17" wp14:editId="69AC4346">
            <wp:extent cx="548640" cy="548640"/>
            <wp:effectExtent l="0" t="0" r="3810" b="3810"/>
            <wp:docPr id="935052166"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2166" name="Picture 10" descr="SDG 10 - Reduced inequalitie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0EE25FD5">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7B9529B6">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A35C9B" wp14:editId="7E7696FF">
            <wp:extent cx="548640" cy="548640"/>
            <wp:effectExtent l="0" t="0" r="3810" b="3810"/>
            <wp:docPr id="1492329656" name="Picture 9" descr="SDG 16 -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9656" name="Picture 9" descr="SDG 16 - Peace, justice and strong institution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54B8E459" w14:textId="35A6F08A" w:rsidR="005A7A60" w:rsidRDefault="005A7A60" w:rsidP="001D7F3A">
      <w:pPr>
        <w:rPr>
          <w:b/>
          <w:bCs/>
        </w:rPr>
      </w:pPr>
      <w:r w:rsidRPr="005A7A60">
        <w:rPr>
          <w:b/>
          <w:bCs/>
        </w:rPr>
        <w:t xml:space="preserve">Australia’s partnership with Tonga is anchored in shared values, respect and mutual benefit. </w:t>
      </w:r>
    </w:p>
    <w:p w14:paraId="3C2C5376" w14:textId="60BF8548" w:rsidR="001D7F3A" w:rsidRDefault="006602AD" w:rsidP="001D7F3A">
      <w:r>
        <w:t xml:space="preserve">We have a long history of working together to </w:t>
      </w:r>
      <w:r w:rsidRPr="00132B04">
        <w:t>address shared social, economic and security priorities, including enhanced resilience, improved human development and climate action</w:t>
      </w:r>
      <w:r>
        <w:t>.</w:t>
      </w:r>
      <w:r w:rsidR="0042690C">
        <w:t xml:space="preserve"> </w:t>
      </w:r>
      <w:r w:rsidR="00E92BD3" w:rsidRPr="00E92BD3">
        <w:t>Australia and Tonga recognise that our respective national interests are served by a strong and enduring bilateral partnership and a peaceful, stable and prosperous Pacific.</w:t>
      </w:r>
      <w:r w:rsidR="0042690C">
        <w:t xml:space="preserve"> </w:t>
      </w:r>
      <w:r w:rsidR="00BD5A2A">
        <w:t>Australia is proud to partner with the Government and people of the Kingdom of Tonga to</w:t>
      </w:r>
      <w:r w:rsidR="00653C1C">
        <w:t xml:space="preserve"> support </w:t>
      </w:r>
      <w:r w:rsidR="005A208E">
        <w:t>its</w:t>
      </w:r>
      <w:r w:rsidR="00653C1C">
        <w:t xml:space="preserve"> development priorities. </w:t>
      </w:r>
    </w:p>
    <w:p w14:paraId="14B56AE6" w14:textId="333766A8" w:rsidR="00671161" w:rsidRPr="004D1D85" w:rsidRDefault="001E6A8F" w:rsidP="00C700DC">
      <w:pPr>
        <w:pStyle w:val="Heading3"/>
      </w:pPr>
      <w:r>
        <w:t>Strategic direction</w:t>
      </w:r>
    </w:p>
    <w:p w14:paraId="5719A185" w14:textId="77777777" w:rsidR="001079FE" w:rsidRDefault="006C4DE8" w:rsidP="00702718">
      <w:r>
        <w:t xml:space="preserve">Our bilateral </w:t>
      </w:r>
      <w:r w:rsidR="00F8028B">
        <w:t>partnership</w:t>
      </w:r>
      <w:r>
        <w:t xml:space="preserve"> is guide</w:t>
      </w:r>
      <w:r w:rsidR="00F8028B">
        <w:t>d</w:t>
      </w:r>
      <w:r>
        <w:t xml:space="preserve"> by values of </w:t>
      </w:r>
      <w:proofErr w:type="spellStart"/>
      <w:r w:rsidR="00F8028B" w:rsidRPr="00F8028B">
        <w:rPr>
          <w:i/>
          <w:iCs/>
        </w:rPr>
        <w:t>Feveitokai’aki</w:t>
      </w:r>
      <w:proofErr w:type="spellEnd"/>
      <w:r w:rsidR="00F8028B" w:rsidRPr="00F8028B">
        <w:t xml:space="preserve"> (sharing and cooperating), </w:t>
      </w:r>
      <w:proofErr w:type="spellStart"/>
      <w:r w:rsidR="00F8028B" w:rsidRPr="00F8028B">
        <w:rPr>
          <w:i/>
          <w:iCs/>
        </w:rPr>
        <w:t>Falala’anga</w:t>
      </w:r>
      <w:proofErr w:type="spellEnd"/>
      <w:r w:rsidR="00F8028B" w:rsidRPr="00F8028B">
        <w:rPr>
          <w:i/>
          <w:iCs/>
        </w:rPr>
        <w:t xml:space="preserve"> </w:t>
      </w:r>
      <w:r w:rsidR="00F8028B" w:rsidRPr="00F8028B">
        <w:t xml:space="preserve">(trust) and </w:t>
      </w:r>
      <w:proofErr w:type="spellStart"/>
      <w:r w:rsidR="00F8028B" w:rsidRPr="00F8028B">
        <w:rPr>
          <w:i/>
          <w:iCs/>
        </w:rPr>
        <w:t>Fefaka’apa’apa’aki</w:t>
      </w:r>
      <w:proofErr w:type="spellEnd"/>
      <w:r w:rsidR="00F8028B" w:rsidRPr="00F8028B">
        <w:t xml:space="preserve"> (mutual respect)</w:t>
      </w:r>
      <w:r w:rsidR="00F8028B">
        <w:t xml:space="preserve">. </w:t>
      </w:r>
      <w:r w:rsidR="0072655A">
        <w:t xml:space="preserve">Australia will </w:t>
      </w:r>
      <w:r w:rsidR="0072655A" w:rsidRPr="0072655A">
        <w:t>continue to invest in what we know is working, while making changes to reflect the needs and voices of Tongans and focus where Australia can truly make a positive and sustainable impact.</w:t>
      </w:r>
      <w:r w:rsidR="00805B73">
        <w:t xml:space="preserve"> </w:t>
      </w:r>
    </w:p>
    <w:p w14:paraId="21B26E86" w14:textId="0A9A8C1B" w:rsidR="00805B73" w:rsidRDefault="004F426B" w:rsidP="00702718">
      <w:r>
        <w:t>Australia’s</w:t>
      </w:r>
      <w:r w:rsidR="005C4D61">
        <w:t xml:space="preserve"> long-term vision</w:t>
      </w:r>
      <w:r w:rsidR="00922CA6">
        <w:t>, priorities and strategies</w:t>
      </w:r>
      <w:r w:rsidR="005C4D61">
        <w:t xml:space="preserve"> for</w:t>
      </w:r>
      <w:r w:rsidR="003366AA">
        <w:t xml:space="preserve"> </w:t>
      </w:r>
      <w:r w:rsidR="000618BE">
        <w:t>our development p</w:t>
      </w:r>
      <w:r w:rsidR="003F7559">
        <w:t>artnership with</w:t>
      </w:r>
      <w:r w:rsidR="000618BE">
        <w:t xml:space="preserve"> </w:t>
      </w:r>
      <w:r w:rsidR="003F7559">
        <w:t xml:space="preserve">the Kingdom of </w:t>
      </w:r>
      <w:r w:rsidR="000618BE">
        <w:t xml:space="preserve">Tonga </w:t>
      </w:r>
      <w:r w:rsidR="003F7559">
        <w:t xml:space="preserve">is highlighted in the </w:t>
      </w:r>
      <w:hyperlink r:id="rId25" w:history="1">
        <w:r w:rsidR="003F7559" w:rsidRPr="003F7559">
          <w:rPr>
            <w:rStyle w:val="Hyperlink"/>
          </w:rPr>
          <w:t>Australia – Kingdom of Tonga Development Partnership Plan 2024–2029</w:t>
        </w:r>
      </w:hyperlink>
      <w:r w:rsidR="003F7559">
        <w:t>.</w:t>
      </w:r>
      <w:r w:rsidR="003366AA">
        <w:t xml:space="preserve"> </w:t>
      </w:r>
    </w:p>
    <w:p w14:paraId="0BC5204A" w14:textId="335BFDCA" w:rsidR="000202EF" w:rsidRDefault="00DB4B86" w:rsidP="00DB4B86">
      <w:pPr>
        <w:pStyle w:val="Heading3"/>
      </w:pPr>
      <w:r>
        <w:t>Program highlights</w:t>
      </w:r>
    </w:p>
    <w:p w14:paraId="74A7906A" w14:textId="5517100F" w:rsidR="001E6A8F" w:rsidRDefault="00595B92" w:rsidP="003575EF">
      <w:r>
        <w:t xml:space="preserve">Key activities in our development partnership </w:t>
      </w:r>
      <w:r w:rsidR="005E1B03">
        <w:t>include:</w:t>
      </w:r>
    </w:p>
    <w:p w14:paraId="5523DE90" w14:textId="5FC6B23B" w:rsidR="00BC78F6" w:rsidRDefault="00110E62" w:rsidP="00C77021">
      <w:pPr>
        <w:pStyle w:val="ListBullet"/>
      </w:pPr>
      <w:r>
        <w:t xml:space="preserve">ongoing </w:t>
      </w:r>
      <w:r w:rsidR="00BA2DF0">
        <w:t xml:space="preserve">support for </w:t>
      </w:r>
      <w:r w:rsidR="007F6241">
        <w:t xml:space="preserve">economic recovery and </w:t>
      </w:r>
      <w:r w:rsidR="00570277">
        <w:t xml:space="preserve">humanitarian relief </w:t>
      </w:r>
      <w:r w:rsidR="004B5C0F">
        <w:t xml:space="preserve">efforts after the devastating Hung-Tonga Hunga </w:t>
      </w:r>
      <w:proofErr w:type="spellStart"/>
      <w:r w:rsidR="004B5C0F">
        <w:t>Ha’apai</w:t>
      </w:r>
      <w:proofErr w:type="spellEnd"/>
      <w:r w:rsidR="00084E99">
        <w:t xml:space="preserve"> volcanic eruption and tsunami </w:t>
      </w:r>
      <w:r>
        <w:t>in 2022</w:t>
      </w:r>
      <w:r w:rsidR="007F6241">
        <w:t xml:space="preserve"> and the COVID-19 pandemic</w:t>
      </w:r>
    </w:p>
    <w:p w14:paraId="14FDEC58" w14:textId="19A92CAA" w:rsidR="00D73EB4" w:rsidRDefault="00BF460C" w:rsidP="00C77021">
      <w:pPr>
        <w:pStyle w:val="ListBullet"/>
      </w:pPr>
      <w:r>
        <w:t xml:space="preserve">$85 million budget support package to </w:t>
      </w:r>
      <w:r w:rsidR="00DC6777">
        <w:t xml:space="preserve">the Government of </w:t>
      </w:r>
      <w:r>
        <w:t xml:space="preserve">Tonga over </w:t>
      </w:r>
      <w:r w:rsidR="002B221A">
        <w:t>4 years from FY2024-25</w:t>
      </w:r>
      <w:r w:rsidR="00DC6777">
        <w:t xml:space="preserve"> to </w:t>
      </w:r>
      <w:r w:rsidR="008B7E8D">
        <w:t xml:space="preserve">support Tonga manage </w:t>
      </w:r>
      <w:proofErr w:type="gramStart"/>
      <w:r w:rsidR="008B7E8D">
        <w:t>it’s</w:t>
      </w:r>
      <w:proofErr w:type="gramEnd"/>
      <w:r w:rsidR="008B7E8D">
        <w:t xml:space="preserve"> significant debt repayments an</w:t>
      </w:r>
      <w:r w:rsidR="0013687A">
        <w:t>d recover from economic shocks</w:t>
      </w:r>
      <w:r w:rsidR="00B561CD">
        <w:t xml:space="preserve"> </w:t>
      </w:r>
    </w:p>
    <w:p w14:paraId="609660F3" w14:textId="39E6078D" w:rsidR="0013687A" w:rsidRDefault="00127618" w:rsidP="00C77021">
      <w:pPr>
        <w:pStyle w:val="ListBullet"/>
      </w:pPr>
      <w:r>
        <w:t>$69.7 million committed in Official Development Assistance in FY2025-26</w:t>
      </w:r>
      <w:r w:rsidR="00034E4B">
        <w:t xml:space="preserve"> to support new and ongoing development programs across climate, economic development, infrastructure, sports, </w:t>
      </w:r>
      <w:r w:rsidR="00630398">
        <w:t>gender and social inclusion, health, and security</w:t>
      </w:r>
    </w:p>
    <w:p w14:paraId="44520C0D" w14:textId="23586C66" w:rsidR="00CD509E" w:rsidRPr="00CD509E" w:rsidRDefault="00CD509E" w:rsidP="00CD509E">
      <w:pPr>
        <w:pStyle w:val="ListBullet"/>
        <w:rPr>
          <w:sz w:val="24"/>
          <w:szCs w:val="24"/>
          <w:lang w:eastAsia="ko-KR"/>
        </w:rPr>
      </w:pPr>
      <w:r w:rsidRPr="00CD509E">
        <w:t>approximately $75 million worth of infrastructure support through the Australian Infrastructure Financing Facility for the Pacific – including the Tonga Hawaiki Submarine Cable Branch System, and financial support to the upgrading Tonga’s international port, and the reconstruction of Tonga’s Parliament House and the Office of the Legislative Assembly</w:t>
      </w:r>
    </w:p>
    <w:p w14:paraId="2DE54BA5" w14:textId="6BE03313" w:rsidR="002501F4" w:rsidRDefault="008C27F6" w:rsidP="00C77021">
      <w:pPr>
        <w:pStyle w:val="ListBullet"/>
      </w:pPr>
      <w:r>
        <w:t>ongoing</w:t>
      </w:r>
      <w:r w:rsidR="00BA02AB">
        <w:t xml:space="preserve"> capability uplift and security </w:t>
      </w:r>
      <w:r w:rsidR="00CC4787">
        <w:t>cooperation, including through the Defence Cooperation Program, Tonga-Australia</w:t>
      </w:r>
      <w:r w:rsidR="00232350">
        <w:t xml:space="preserve"> Policing Partnership,</w:t>
      </w:r>
      <w:r w:rsidR="00CC4787">
        <w:t xml:space="preserve"> Pacific</w:t>
      </w:r>
      <w:r w:rsidR="00232350">
        <w:t xml:space="preserve"> Maritime Security Program and </w:t>
      </w:r>
      <w:r w:rsidR="00F358E6">
        <w:t>other cyber programs</w:t>
      </w:r>
      <w:r w:rsidR="00257CBA">
        <w:t xml:space="preserve"> </w:t>
      </w:r>
    </w:p>
    <w:p w14:paraId="371DFB74" w14:textId="09A56D6F" w:rsidR="00795437" w:rsidRDefault="001C215F" w:rsidP="00C77021">
      <w:pPr>
        <w:pStyle w:val="ListBullet"/>
      </w:pPr>
      <w:r>
        <w:t>3,</w:t>
      </w:r>
      <w:r w:rsidR="00C82922">
        <w:t>480</w:t>
      </w:r>
      <w:r>
        <w:t xml:space="preserve"> </w:t>
      </w:r>
      <w:r w:rsidR="00CB61B7">
        <w:t xml:space="preserve">workers from Tonga participating in the Pacific-Australia Labour Mobility scheme (as </w:t>
      </w:r>
      <w:r w:rsidR="009E7928">
        <w:t>of</w:t>
      </w:r>
      <w:r w:rsidR="00C82922">
        <w:t xml:space="preserve"> March 2025</w:t>
      </w:r>
      <w:r w:rsidR="00CB61B7">
        <w:t>)</w:t>
      </w:r>
    </w:p>
    <w:p w14:paraId="7E959F7C" w14:textId="0AAB590D" w:rsidR="00B14A84" w:rsidRPr="00B14A84" w:rsidRDefault="00353499" w:rsidP="00B14A84">
      <w:pPr>
        <w:pStyle w:val="ListBullet"/>
      </w:pPr>
      <w:r>
        <w:t>over 600</w:t>
      </w:r>
      <w:r w:rsidR="00B32440">
        <w:t xml:space="preserve"> Australian Awards scholarships</w:t>
      </w:r>
      <w:r w:rsidR="00C371F4">
        <w:t xml:space="preserve"> to Tongan students since 1997.</w:t>
      </w:r>
    </w:p>
    <w:sectPr w:rsidR="00B14A84" w:rsidRPr="00B14A84" w:rsidSect="0095740E">
      <w:headerReference w:type="default" r:id="rId26"/>
      <w:footerReference w:type="default" r:id="rId27"/>
      <w:headerReference w:type="first" r:id="rId28"/>
      <w:footerReference w:type="first" r:id="rId29"/>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F372E" w14:textId="77777777" w:rsidR="00862AA2" w:rsidRDefault="00862AA2" w:rsidP="00EE32FE">
      <w:pPr>
        <w:spacing w:after="0" w:line="240" w:lineRule="auto"/>
      </w:pPr>
      <w:r>
        <w:separator/>
      </w:r>
    </w:p>
  </w:endnote>
  <w:endnote w:type="continuationSeparator" w:id="0">
    <w:p w14:paraId="66D18B62" w14:textId="77777777" w:rsidR="00862AA2" w:rsidRDefault="00862AA2" w:rsidP="00EE32FE">
      <w:pPr>
        <w:spacing w:after="0" w:line="240" w:lineRule="auto"/>
      </w:pPr>
      <w:r>
        <w:continuationSeparator/>
      </w:r>
    </w:p>
  </w:endnote>
  <w:endnote w:type="continuationNotice" w:id="1">
    <w:p w14:paraId="32B58DE1" w14:textId="77777777" w:rsidR="00862AA2" w:rsidRDefault="00862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4"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ABF7" w14:textId="77777777" w:rsidR="00862AA2" w:rsidRDefault="00862AA2" w:rsidP="00EE32FE">
      <w:pPr>
        <w:spacing w:after="0" w:line="240" w:lineRule="auto"/>
      </w:pPr>
      <w:bookmarkStart w:id="0" w:name="_Hlk127364773"/>
      <w:bookmarkEnd w:id="0"/>
      <w:r>
        <w:separator/>
      </w:r>
    </w:p>
  </w:footnote>
  <w:footnote w:type="continuationSeparator" w:id="0">
    <w:p w14:paraId="6D528EBA" w14:textId="77777777" w:rsidR="00862AA2" w:rsidRDefault="00862AA2" w:rsidP="00EE32FE">
      <w:pPr>
        <w:spacing w:after="0" w:line="240" w:lineRule="auto"/>
      </w:pPr>
      <w:r>
        <w:continuationSeparator/>
      </w:r>
    </w:p>
  </w:footnote>
  <w:footnote w:type="continuationNotice" w:id="1">
    <w:p w14:paraId="447D21FC" w14:textId="77777777" w:rsidR="00862AA2" w:rsidRDefault="00862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5" behindDoc="1" locked="0" layoutInCell="1" allowOverlap="1" wp14:anchorId="3030DA87" wp14:editId="22E758BE">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7D82132C" w:rsidR="00704573" w:rsidRDefault="00235C52">
    <w:pPr>
      <w:pStyle w:val="Header"/>
    </w:pPr>
    <w:r>
      <w:rPr>
        <w:noProof/>
      </w:rPr>
      <w:drawing>
        <wp:anchor distT="0" distB="0" distL="114300" distR="114300" simplePos="0" relativeHeight="251658242"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454F2BDA">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6CE9A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2"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5"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CB2506"/>
    <w:multiLevelType w:val="hybridMultilevel"/>
    <w:tmpl w:val="FC0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A0C97"/>
    <w:multiLevelType w:val="hybridMultilevel"/>
    <w:tmpl w:val="3C9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315745">
    <w:abstractNumId w:val="8"/>
  </w:num>
  <w:num w:numId="2" w16cid:durableId="768818958">
    <w:abstractNumId w:val="8"/>
    <w:lvlOverride w:ilvl="0">
      <w:startOverride w:val="1"/>
    </w:lvlOverride>
  </w:num>
  <w:num w:numId="3" w16cid:durableId="1890258398">
    <w:abstractNumId w:val="8"/>
    <w:lvlOverride w:ilvl="0">
      <w:startOverride w:val="1"/>
    </w:lvlOverride>
  </w:num>
  <w:num w:numId="4" w16cid:durableId="649091149">
    <w:abstractNumId w:val="10"/>
  </w:num>
  <w:num w:numId="5" w16cid:durableId="934098631">
    <w:abstractNumId w:val="3"/>
  </w:num>
  <w:num w:numId="6" w16cid:durableId="151024048">
    <w:abstractNumId w:val="8"/>
    <w:lvlOverride w:ilvl="0">
      <w:startOverride w:val="1"/>
    </w:lvlOverride>
  </w:num>
  <w:num w:numId="7" w16cid:durableId="1836610287">
    <w:abstractNumId w:val="8"/>
    <w:lvlOverride w:ilvl="0">
      <w:startOverride w:val="1"/>
    </w:lvlOverride>
  </w:num>
  <w:num w:numId="8" w16cid:durableId="2006547766">
    <w:abstractNumId w:val="8"/>
    <w:lvlOverride w:ilvl="0">
      <w:startOverride w:val="1"/>
    </w:lvlOverride>
  </w:num>
  <w:num w:numId="9" w16cid:durableId="1379822385">
    <w:abstractNumId w:val="14"/>
  </w:num>
  <w:num w:numId="10" w16cid:durableId="1276981909">
    <w:abstractNumId w:val="9"/>
  </w:num>
  <w:num w:numId="11" w16cid:durableId="1977682116">
    <w:abstractNumId w:val="10"/>
  </w:num>
  <w:num w:numId="12" w16cid:durableId="1696269951">
    <w:abstractNumId w:val="10"/>
  </w:num>
  <w:num w:numId="13" w16cid:durableId="1555584703">
    <w:abstractNumId w:val="0"/>
  </w:num>
  <w:num w:numId="14" w16cid:durableId="366376057">
    <w:abstractNumId w:val="13"/>
  </w:num>
  <w:num w:numId="15" w16cid:durableId="1909922326">
    <w:abstractNumId w:val="5"/>
  </w:num>
  <w:num w:numId="16" w16cid:durableId="2124684593">
    <w:abstractNumId w:val="4"/>
  </w:num>
  <w:num w:numId="17" w16cid:durableId="906037808">
    <w:abstractNumId w:val="2"/>
  </w:num>
  <w:num w:numId="18" w16cid:durableId="1378120932">
    <w:abstractNumId w:val="6"/>
  </w:num>
  <w:num w:numId="19" w16cid:durableId="219564270">
    <w:abstractNumId w:val="1"/>
  </w:num>
  <w:num w:numId="20" w16cid:durableId="1372995176">
    <w:abstractNumId w:val="7"/>
  </w:num>
  <w:num w:numId="21" w16cid:durableId="922035707">
    <w:abstractNumId w:val="11"/>
  </w:num>
  <w:num w:numId="22" w16cid:durableId="783621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12FD8"/>
    <w:rsid w:val="00014E5F"/>
    <w:rsid w:val="00017776"/>
    <w:rsid w:val="000202EF"/>
    <w:rsid w:val="00021DCB"/>
    <w:rsid w:val="00025428"/>
    <w:rsid w:val="00025DF3"/>
    <w:rsid w:val="00030679"/>
    <w:rsid w:val="00034E4B"/>
    <w:rsid w:val="00045E13"/>
    <w:rsid w:val="000502CA"/>
    <w:rsid w:val="00055F8D"/>
    <w:rsid w:val="000618BE"/>
    <w:rsid w:val="00065484"/>
    <w:rsid w:val="0007092D"/>
    <w:rsid w:val="00074F02"/>
    <w:rsid w:val="00077882"/>
    <w:rsid w:val="00080BCC"/>
    <w:rsid w:val="00084169"/>
    <w:rsid w:val="00084E99"/>
    <w:rsid w:val="0008585A"/>
    <w:rsid w:val="00094F36"/>
    <w:rsid w:val="000A3684"/>
    <w:rsid w:val="000B7CE5"/>
    <w:rsid w:val="000C1AA4"/>
    <w:rsid w:val="000C2D16"/>
    <w:rsid w:val="000C5833"/>
    <w:rsid w:val="000C6D02"/>
    <w:rsid w:val="000D06A3"/>
    <w:rsid w:val="000D496F"/>
    <w:rsid w:val="000E5A2E"/>
    <w:rsid w:val="000F1407"/>
    <w:rsid w:val="0010098A"/>
    <w:rsid w:val="00100CEB"/>
    <w:rsid w:val="001079FE"/>
    <w:rsid w:val="00110E62"/>
    <w:rsid w:val="001168F4"/>
    <w:rsid w:val="00123E7B"/>
    <w:rsid w:val="001242AD"/>
    <w:rsid w:val="00127618"/>
    <w:rsid w:val="00130FA7"/>
    <w:rsid w:val="00132B04"/>
    <w:rsid w:val="00133CD1"/>
    <w:rsid w:val="0013687A"/>
    <w:rsid w:val="00140363"/>
    <w:rsid w:val="001405B7"/>
    <w:rsid w:val="00144289"/>
    <w:rsid w:val="00152BF7"/>
    <w:rsid w:val="00155730"/>
    <w:rsid w:val="00156F0A"/>
    <w:rsid w:val="00163AE3"/>
    <w:rsid w:val="00174D1D"/>
    <w:rsid w:val="001869DB"/>
    <w:rsid w:val="00190D34"/>
    <w:rsid w:val="0019463F"/>
    <w:rsid w:val="00195FD7"/>
    <w:rsid w:val="00196ECE"/>
    <w:rsid w:val="00197CF8"/>
    <w:rsid w:val="001A3856"/>
    <w:rsid w:val="001B3A98"/>
    <w:rsid w:val="001B3B4C"/>
    <w:rsid w:val="001B3D6A"/>
    <w:rsid w:val="001B461C"/>
    <w:rsid w:val="001B6E81"/>
    <w:rsid w:val="001C215F"/>
    <w:rsid w:val="001D0846"/>
    <w:rsid w:val="001D29C1"/>
    <w:rsid w:val="001D7F3A"/>
    <w:rsid w:val="001E0A36"/>
    <w:rsid w:val="001E0D67"/>
    <w:rsid w:val="001E22AD"/>
    <w:rsid w:val="001E6A8F"/>
    <w:rsid w:val="00201345"/>
    <w:rsid w:val="00206BB9"/>
    <w:rsid w:val="0021483C"/>
    <w:rsid w:val="0021791D"/>
    <w:rsid w:val="00221299"/>
    <w:rsid w:val="00222C6E"/>
    <w:rsid w:val="00232350"/>
    <w:rsid w:val="00232F10"/>
    <w:rsid w:val="00233F1A"/>
    <w:rsid w:val="00235C52"/>
    <w:rsid w:val="0023702A"/>
    <w:rsid w:val="002449A4"/>
    <w:rsid w:val="00246196"/>
    <w:rsid w:val="002468A3"/>
    <w:rsid w:val="002501F4"/>
    <w:rsid w:val="00257CBA"/>
    <w:rsid w:val="00260771"/>
    <w:rsid w:val="00264B5E"/>
    <w:rsid w:val="00265727"/>
    <w:rsid w:val="00274B14"/>
    <w:rsid w:val="002903BA"/>
    <w:rsid w:val="00290E4E"/>
    <w:rsid w:val="002923D5"/>
    <w:rsid w:val="00292A6D"/>
    <w:rsid w:val="002965B1"/>
    <w:rsid w:val="002A027E"/>
    <w:rsid w:val="002A03E7"/>
    <w:rsid w:val="002B221A"/>
    <w:rsid w:val="002C03C0"/>
    <w:rsid w:val="002C1236"/>
    <w:rsid w:val="002C1E1B"/>
    <w:rsid w:val="002E0364"/>
    <w:rsid w:val="002E6F0C"/>
    <w:rsid w:val="002F21F5"/>
    <w:rsid w:val="002F3A6A"/>
    <w:rsid w:val="002F65B2"/>
    <w:rsid w:val="0030387C"/>
    <w:rsid w:val="00306A56"/>
    <w:rsid w:val="00306BCA"/>
    <w:rsid w:val="003108B2"/>
    <w:rsid w:val="0032242F"/>
    <w:rsid w:val="003227DD"/>
    <w:rsid w:val="00327C4D"/>
    <w:rsid w:val="00332955"/>
    <w:rsid w:val="003366AA"/>
    <w:rsid w:val="00341FBF"/>
    <w:rsid w:val="00343F6F"/>
    <w:rsid w:val="00344586"/>
    <w:rsid w:val="00346743"/>
    <w:rsid w:val="00353499"/>
    <w:rsid w:val="00353A69"/>
    <w:rsid w:val="00353EBF"/>
    <w:rsid w:val="003575EF"/>
    <w:rsid w:val="00357C23"/>
    <w:rsid w:val="00363489"/>
    <w:rsid w:val="003638A3"/>
    <w:rsid w:val="003816EA"/>
    <w:rsid w:val="003872A8"/>
    <w:rsid w:val="00391C2C"/>
    <w:rsid w:val="003A1CEC"/>
    <w:rsid w:val="003C0D0F"/>
    <w:rsid w:val="003C29FC"/>
    <w:rsid w:val="003C4C08"/>
    <w:rsid w:val="003C5770"/>
    <w:rsid w:val="003E3DA3"/>
    <w:rsid w:val="003F62F1"/>
    <w:rsid w:val="003F7559"/>
    <w:rsid w:val="0040062A"/>
    <w:rsid w:val="00401597"/>
    <w:rsid w:val="004041C7"/>
    <w:rsid w:val="00413D08"/>
    <w:rsid w:val="0042690C"/>
    <w:rsid w:val="00426B9A"/>
    <w:rsid w:val="00427AF0"/>
    <w:rsid w:val="0043194D"/>
    <w:rsid w:val="00432798"/>
    <w:rsid w:val="004411D8"/>
    <w:rsid w:val="00443150"/>
    <w:rsid w:val="00444134"/>
    <w:rsid w:val="0044497F"/>
    <w:rsid w:val="004516E0"/>
    <w:rsid w:val="0045791E"/>
    <w:rsid w:val="00461828"/>
    <w:rsid w:val="004641A7"/>
    <w:rsid w:val="0046667F"/>
    <w:rsid w:val="00466FB3"/>
    <w:rsid w:val="00467643"/>
    <w:rsid w:val="004740DD"/>
    <w:rsid w:val="00480980"/>
    <w:rsid w:val="004A0B2C"/>
    <w:rsid w:val="004A4242"/>
    <w:rsid w:val="004B2F7F"/>
    <w:rsid w:val="004B5C0F"/>
    <w:rsid w:val="004C24E5"/>
    <w:rsid w:val="004C403F"/>
    <w:rsid w:val="004D0049"/>
    <w:rsid w:val="004D1D85"/>
    <w:rsid w:val="004D38A2"/>
    <w:rsid w:val="004D49FE"/>
    <w:rsid w:val="004D79B1"/>
    <w:rsid w:val="004E2304"/>
    <w:rsid w:val="004E6FA1"/>
    <w:rsid w:val="004F21C3"/>
    <w:rsid w:val="004F426B"/>
    <w:rsid w:val="004F6FEF"/>
    <w:rsid w:val="00505BDA"/>
    <w:rsid w:val="00511714"/>
    <w:rsid w:val="00513FF9"/>
    <w:rsid w:val="00515159"/>
    <w:rsid w:val="00521152"/>
    <w:rsid w:val="005220C7"/>
    <w:rsid w:val="005258B3"/>
    <w:rsid w:val="0053464B"/>
    <w:rsid w:val="00540B0E"/>
    <w:rsid w:val="00541E4A"/>
    <w:rsid w:val="00545268"/>
    <w:rsid w:val="00570277"/>
    <w:rsid w:val="00585B8E"/>
    <w:rsid w:val="00592C35"/>
    <w:rsid w:val="00592E1A"/>
    <w:rsid w:val="00595180"/>
    <w:rsid w:val="00595B92"/>
    <w:rsid w:val="005A208E"/>
    <w:rsid w:val="005A4153"/>
    <w:rsid w:val="005A7A60"/>
    <w:rsid w:val="005C40BA"/>
    <w:rsid w:val="005C4D61"/>
    <w:rsid w:val="005E06AD"/>
    <w:rsid w:val="005E1B03"/>
    <w:rsid w:val="005E2754"/>
    <w:rsid w:val="005E65BF"/>
    <w:rsid w:val="005F5549"/>
    <w:rsid w:val="005F7732"/>
    <w:rsid w:val="005F7B84"/>
    <w:rsid w:val="00614114"/>
    <w:rsid w:val="006141B4"/>
    <w:rsid w:val="00616B35"/>
    <w:rsid w:val="00630398"/>
    <w:rsid w:val="00633110"/>
    <w:rsid w:val="006337A3"/>
    <w:rsid w:val="00634CC1"/>
    <w:rsid w:val="006414B2"/>
    <w:rsid w:val="00653C1C"/>
    <w:rsid w:val="006602AD"/>
    <w:rsid w:val="0066074C"/>
    <w:rsid w:val="00661961"/>
    <w:rsid w:val="00665E07"/>
    <w:rsid w:val="0066646F"/>
    <w:rsid w:val="00671161"/>
    <w:rsid w:val="00685065"/>
    <w:rsid w:val="00687044"/>
    <w:rsid w:val="006927FF"/>
    <w:rsid w:val="00694C27"/>
    <w:rsid w:val="006A1920"/>
    <w:rsid w:val="006A3040"/>
    <w:rsid w:val="006A721C"/>
    <w:rsid w:val="006A7D3F"/>
    <w:rsid w:val="006B1B6F"/>
    <w:rsid w:val="006B7E81"/>
    <w:rsid w:val="006C13E7"/>
    <w:rsid w:val="006C18CD"/>
    <w:rsid w:val="006C4DE8"/>
    <w:rsid w:val="006D49BC"/>
    <w:rsid w:val="006E4A7E"/>
    <w:rsid w:val="006E7828"/>
    <w:rsid w:val="006F20E3"/>
    <w:rsid w:val="007018A3"/>
    <w:rsid w:val="00701EFD"/>
    <w:rsid w:val="00702718"/>
    <w:rsid w:val="00704573"/>
    <w:rsid w:val="0071149B"/>
    <w:rsid w:val="00712C82"/>
    <w:rsid w:val="00713C3B"/>
    <w:rsid w:val="0072314C"/>
    <w:rsid w:val="0072655A"/>
    <w:rsid w:val="00727373"/>
    <w:rsid w:val="007332ED"/>
    <w:rsid w:val="007419ED"/>
    <w:rsid w:val="0076381C"/>
    <w:rsid w:val="00766FF5"/>
    <w:rsid w:val="00770B31"/>
    <w:rsid w:val="00771669"/>
    <w:rsid w:val="0077707D"/>
    <w:rsid w:val="00780DC2"/>
    <w:rsid w:val="00790F87"/>
    <w:rsid w:val="00791418"/>
    <w:rsid w:val="007952E5"/>
    <w:rsid w:val="00795437"/>
    <w:rsid w:val="0079728E"/>
    <w:rsid w:val="007C25AE"/>
    <w:rsid w:val="007C5166"/>
    <w:rsid w:val="007C76D3"/>
    <w:rsid w:val="007D3457"/>
    <w:rsid w:val="007D43DA"/>
    <w:rsid w:val="007D522F"/>
    <w:rsid w:val="007D53CA"/>
    <w:rsid w:val="007E5CBB"/>
    <w:rsid w:val="007F312B"/>
    <w:rsid w:val="007F6241"/>
    <w:rsid w:val="007F6492"/>
    <w:rsid w:val="008009CE"/>
    <w:rsid w:val="00801B1F"/>
    <w:rsid w:val="00802C46"/>
    <w:rsid w:val="00805B73"/>
    <w:rsid w:val="00806243"/>
    <w:rsid w:val="00824397"/>
    <w:rsid w:val="00827BFC"/>
    <w:rsid w:val="0083220B"/>
    <w:rsid w:val="00845374"/>
    <w:rsid w:val="008519E9"/>
    <w:rsid w:val="008545B8"/>
    <w:rsid w:val="00862AA2"/>
    <w:rsid w:val="00865EA9"/>
    <w:rsid w:val="008662C1"/>
    <w:rsid w:val="00870A3F"/>
    <w:rsid w:val="008714F6"/>
    <w:rsid w:val="008728F0"/>
    <w:rsid w:val="00877949"/>
    <w:rsid w:val="00887FD5"/>
    <w:rsid w:val="00890C17"/>
    <w:rsid w:val="00892737"/>
    <w:rsid w:val="00895053"/>
    <w:rsid w:val="00895DD6"/>
    <w:rsid w:val="008A1F79"/>
    <w:rsid w:val="008A226C"/>
    <w:rsid w:val="008A403B"/>
    <w:rsid w:val="008A7873"/>
    <w:rsid w:val="008A7880"/>
    <w:rsid w:val="008B0839"/>
    <w:rsid w:val="008B0F13"/>
    <w:rsid w:val="008B1B19"/>
    <w:rsid w:val="008B209D"/>
    <w:rsid w:val="008B68E7"/>
    <w:rsid w:val="008B7E8D"/>
    <w:rsid w:val="008C27F6"/>
    <w:rsid w:val="008C2F65"/>
    <w:rsid w:val="008C3BB8"/>
    <w:rsid w:val="008D25CF"/>
    <w:rsid w:val="008E290E"/>
    <w:rsid w:val="008E6244"/>
    <w:rsid w:val="00900C4B"/>
    <w:rsid w:val="00901F0F"/>
    <w:rsid w:val="009026A6"/>
    <w:rsid w:val="00907E14"/>
    <w:rsid w:val="0091100D"/>
    <w:rsid w:val="0091565F"/>
    <w:rsid w:val="00922CA6"/>
    <w:rsid w:val="00927A6C"/>
    <w:rsid w:val="00930833"/>
    <w:rsid w:val="00947AD0"/>
    <w:rsid w:val="009526F7"/>
    <w:rsid w:val="0095495A"/>
    <w:rsid w:val="0095740E"/>
    <w:rsid w:val="00965509"/>
    <w:rsid w:val="00970628"/>
    <w:rsid w:val="00983607"/>
    <w:rsid w:val="0098690D"/>
    <w:rsid w:val="0099135A"/>
    <w:rsid w:val="009952A4"/>
    <w:rsid w:val="009A030D"/>
    <w:rsid w:val="009A649F"/>
    <w:rsid w:val="009A6CEA"/>
    <w:rsid w:val="009B2A87"/>
    <w:rsid w:val="009C29CC"/>
    <w:rsid w:val="009D13AB"/>
    <w:rsid w:val="009D7B89"/>
    <w:rsid w:val="009E7928"/>
    <w:rsid w:val="009F4957"/>
    <w:rsid w:val="00A01D6E"/>
    <w:rsid w:val="00A0518F"/>
    <w:rsid w:val="00A17774"/>
    <w:rsid w:val="00A2698E"/>
    <w:rsid w:val="00A36309"/>
    <w:rsid w:val="00A4001E"/>
    <w:rsid w:val="00A55E83"/>
    <w:rsid w:val="00A63A07"/>
    <w:rsid w:val="00A735CF"/>
    <w:rsid w:val="00A7750B"/>
    <w:rsid w:val="00A86075"/>
    <w:rsid w:val="00A903E4"/>
    <w:rsid w:val="00AA6ACC"/>
    <w:rsid w:val="00AB1C02"/>
    <w:rsid w:val="00AB655F"/>
    <w:rsid w:val="00AC6062"/>
    <w:rsid w:val="00AC7A86"/>
    <w:rsid w:val="00AD1A8D"/>
    <w:rsid w:val="00AE0BCF"/>
    <w:rsid w:val="00AE166C"/>
    <w:rsid w:val="00AF79DF"/>
    <w:rsid w:val="00AF7C26"/>
    <w:rsid w:val="00B01FA6"/>
    <w:rsid w:val="00B043E0"/>
    <w:rsid w:val="00B057A4"/>
    <w:rsid w:val="00B07B6B"/>
    <w:rsid w:val="00B12A73"/>
    <w:rsid w:val="00B14A84"/>
    <w:rsid w:val="00B32440"/>
    <w:rsid w:val="00B35181"/>
    <w:rsid w:val="00B36FC8"/>
    <w:rsid w:val="00B45010"/>
    <w:rsid w:val="00B4776F"/>
    <w:rsid w:val="00B54411"/>
    <w:rsid w:val="00B54BE6"/>
    <w:rsid w:val="00B561CD"/>
    <w:rsid w:val="00B578F2"/>
    <w:rsid w:val="00B67212"/>
    <w:rsid w:val="00B70538"/>
    <w:rsid w:val="00B76033"/>
    <w:rsid w:val="00B772ED"/>
    <w:rsid w:val="00B818B4"/>
    <w:rsid w:val="00B92A48"/>
    <w:rsid w:val="00BA02AB"/>
    <w:rsid w:val="00BA2DF0"/>
    <w:rsid w:val="00BA6B78"/>
    <w:rsid w:val="00BB6C40"/>
    <w:rsid w:val="00BB7E09"/>
    <w:rsid w:val="00BC1722"/>
    <w:rsid w:val="00BC1B3F"/>
    <w:rsid w:val="00BC50D3"/>
    <w:rsid w:val="00BC78F6"/>
    <w:rsid w:val="00BD1D28"/>
    <w:rsid w:val="00BD5A2A"/>
    <w:rsid w:val="00BD7256"/>
    <w:rsid w:val="00BE7DC3"/>
    <w:rsid w:val="00BF2972"/>
    <w:rsid w:val="00BF460C"/>
    <w:rsid w:val="00C01E47"/>
    <w:rsid w:val="00C02DDF"/>
    <w:rsid w:val="00C02F9A"/>
    <w:rsid w:val="00C04725"/>
    <w:rsid w:val="00C107A8"/>
    <w:rsid w:val="00C12648"/>
    <w:rsid w:val="00C13173"/>
    <w:rsid w:val="00C15223"/>
    <w:rsid w:val="00C25FBE"/>
    <w:rsid w:val="00C30326"/>
    <w:rsid w:val="00C33D8D"/>
    <w:rsid w:val="00C34E5D"/>
    <w:rsid w:val="00C371F4"/>
    <w:rsid w:val="00C403E0"/>
    <w:rsid w:val="00C40760"/>
    <w:rsid w:val="00C52EC4"/>
    <w:rsid w:val="00C60EBF"/>
    <w:rsid w:val="00C65D7E"/>
    <w:rsid w:val="00C700DC"/>
    <w:rsid w:val="00C71682"/>
    <w:rsid w:val="00C77021"/>
    <w:rsid w:val="00C82922"/>
    <w:rsid w:val="00C829EE"/>
    <w:rsid w:val="00C8771C"/>
    <w:rsid w:val="00C92BA8"/>
    <w:rsid w:val="00C94B61"/>
    <w:rsid w:val="00CA65FD"/>
    <w:rsid w:val="00CB02DE"/>
    <w:rsid w:val="00CB23F5"/>
    <w:rsid w:val="00CB6192"/>
    <w:rsid w:val="00CB61B7"/>
    <w:rsid w:val="00CB7C57"/>
    <w:rsid w:val="00CC1D1F"/>
    <w:rsid w:val="00CC2B03"/>
    <w:rsid w:val="00CC4616"/>
    <w:rsid w:val="00CC4787"/>
    <w:rsid w:val="00CC5EEC"/>
    <w:rsid w:val="00CC6139"/>
    <w:rsid w:val="00CD19DE"/>
    <w:rsid w:val="00CD260F"/>
    <w:rsid w:val="00CD509E"/>
    <w:rsid w:val="00CD624F"/>
    <w:rsid w:val="00CE0A83"/>
    <w:rsid w:val="00CF14DB"/>
    <w:rsid w:val="00CF2F96"/>
    <w:rsid w:val="00CF56CE"/>
    <w:rsid w:val="00CF5E36"/>
    <w:rsid w:val="00D1292B"/>
    <w:rsid w:val="00D13E7A"/>
    <w:rsid w:val="00D21205"/>
    <w:rsid w:val="00D26781"/>
    <w:rsid w:val="00D3023D"/>
    <w:rsid w:val="00D31BD6"/>
    <w:rsid w:val="00D32B6E"/>
    <w:rsid w:val="00D34ADE"/>
    <w:rsid w:val="00D44CAE"/>
    <w:rsid w:val="00D5007C"/>
    <w:rsid w:val="00D50262"/>
    <w:rsid w:val="00D51D2E"/>
    <w:rsid w:val="00D53B69"/>
    <w:rsid w:val="00D5578E"/>
    <w:rsid w:val="00D6301C"/>
    <w:rsid w:val="00D64C8B"/>
    <w:rsid w:val="00D700C8"/>
    <w:rsid w:val="00D708FA"/>
    <w:rsid w:val="00D73EB4"/>
    <w:rsid w:val="00D93F61"/>
    <w:rsid w:val="00DA3F0A"/>
    <w:rsid w:val="00DA5275"/>
    <w:rsid w:val="00DA6024"/>
    <w:rsid w:val="00DB4B86"/>
    <w:rsid w:val="00DB608B"/>
    <w:rsid w:val="00DC3C96"/>
    <w:rsid w:val="00DC6777"/>
    <w:rsid w:val="00DE4391"/>
    <w:rsid w:val="00DF4403"/>
    <w:rsid w:val="00DF79EE"/>
    <w:rsid w:val="00E03446"/>
    <w:rsid w:val="00E035AF"/>
    <w:rsid w:val="00E07E75"/>
    <w:rsid w:val="00E100FE"/>
    <w:rsid w:val="00E13AE1"/>
    <w:rsid w:val="00E1662A"/>
    <w:rsid w:val="00E17D01"/>
    <w:rsid w:val="00E363E8"/>
    <w:rsid w:val="00E371BE"/>
    <w:rsid w:val="00E467E1"/>
    <w:rsid w:val="00E50E59"/>
    <w:rsid w:val="00E5168F"/>
    <w:rsid w:val="00E5206F"/>
    <w:rsid w:val="00E62203"/>
    <w:rsid w:val="00E712E3"/>
    <w:rsid w:val="00E73CE7"/>
    <w:rsid w:val="00E83793"/>
    <w:rsid w:val="00E84101"/>
    <w:rsid w:val="00E87452"/>
    <w:rsid w:val="00E92BD3"/>
    <w:rsid w:val="00EA636B"/>
    <w:rsid w:val="00EB2090"/>
    <w:rsid w:val="00EB25ED"/>
    <w:rsid w:val="00EB31D3"/>
    <w:rsid w:val="00EC1229"/>
    <w:rsid w:val="00EC28B8"/>
    <w:rsid w:val="00ED1DB4"/>
    <w:rsid w:val="00EE0299"/>
    <w:rsid w:val="00EE1C84"/>
    <w:rsid w:val="00EE32FE"/>
    <w:rsid w:val="00EF025A"/>
    <w:rsid w:val="00F00164"/>
    <w:rsid w:val="00F119EF"/>
    <w:rsid w:val="00F12273"/>
    <w:rsid w:val="00F12B1C"/>
    <w:rsid w:val="00F13C3B"/>
    <w:rsid w:val="00F17335"/>
    <w:rsid w:val="00F24563"/>
    <w:rsid w:val="00F349DE"/>
    <w:rsid w:val="00F358E6"/>
    <w:rsid w:val="00F40F77"/>
    <w:rsid w:val="00F43AE0"/>
    <w:rsid w:val="00F46B16"/>
    <w:rsid w:val="00F63247"/>
    <w:rsid w:val="00F65F39"/>
    <w:rsid w:val="00F706BB"/>
    <w:rsid w:val="00F74B5D"/>
    <w:rsid w:val="00F76B6A"/>
    <w:rsid w:val="00F8028B"/>
    <w:rsid w:val="00F8242E"/>
    <w:rsid w:val="00F83FB0"/>
    <w:rsid w:val="00F959D5"/>
    <w:rsid w:val="00FA4115"/>
    <w:rsid w:val="00FA6592"/>
    <w:rsid w:val="00FB22C4"/>
    <w:rsid w:val="00FC00A2"/>
    <w:rsid w:val="00FC77FE"/>
    <w:rsid w:val="00FF1544"/>
    <w:rsid w:val="00FF28D3"/>
    <w:rsid w:val="00FF4863"/>
    <w:rsid w:val="00FF795D"/>
    <w:rsid w:val="03533D87"/>
    <w:rsid w:val="43B5191B"/>
    <w:rsid w:val="531D9677"/>
    <w:rsid w:val="582A4B99"/>
    <w:rsid w:val="7D5C2FB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000ADC9A-D84E-4EE2-A3F5-121A991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1"/>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3"/>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paragraph" w:styleId="ListParagraph">
    <w:name w:val="List Paragraph"/>
    <w:basedOn w:val="Normal"/>
    <w:uiPriority w:val="34"/>
    <w:qFormat/>
    <w:rsid w:val="00DE4391"/>
    <w:pPr>
      <w:ind w:left="720"/>
      <w:contextualSpacing/>
    </w:pPr>
  </w:style>
  <w:style w:type="character" w:styleId="FollowedHyperlink">
    <w:name w:val="FollowedHyperlink"/>
    <w:basedOn w:val="DefaultParagraphFont"/>
    <w:uiPriority w:val="99"/>
    <w:semiHidden/>
    <w:unhideWhenUsed/>
    <w:rsid w:val="00085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865">
      <w:bodyDiv w:val="1"/>
      <w:marLeft w:val="0"/>
      <w:marRight w:val="0"/>
      <w:marTop w:val="0"/>
      <w:marBottom w:val="0"/>
      <w:divBdr>
        <w:top w:val="none" w:sz="0" w:space="0" w:color="auto"/>
        <w:left w:val="none" w:sz="0" w:space="0" w:color="auto"/>
        <w:bottom w:val="none" w:sz="0" w:space="0" w:color="auto"/>
        <w:right w:val="none" w:sz="0" w:space="0" w:color="auto"/>
      </w:divBdr>
      <w:divsChild>
        <w:div w:id="767579002">
          <w:marLeft w:val="0"/>
          <w:marRight w:val="0"/>
          <w:marTop w:val="0"/>
          <w:marBottom w:val="0"/>
          <w:divBdr>
            <w:top w:val="none" w:sz="0" w:space="0" w:color="auto"/>
            <w:left w:val="none" w:sz="0" w:space="0" w:color="auto"/>
            <w:bottom w:val="none" w:sz="0" w:space="0" w:color="auto"/>
            <w:right w:val="none" w:sz="0" w:space="0" w:color="auto"/>
          </w:divBdr>
        </w:div>
      </w:divsChild>
    </w:div>
    <w:div w:id="926303970">
      <w:bodyDiv w:val="1"/>
      <w:marLeft w:val="0"/>
      <w:marRight w:val="0"/>
      <w:marTop w:val="0"/>
      <w:marBottom w:val="0"/>
      <w:divBdr>
        <w:top w:val="none" w:sz="0" w:space="0" w:color="auto"/>
        <w:left w:val="none" w:sz="0" w:space="0" w:color="auto"/>
        <w:bottom w:val="none" w:sz="0" w:space="0" w:color="auto"/>
        <w:right w:val="none" w:sz="0" w:space="0" w:color="auto"/>
      </w:divBdr>
      <w:divsChild>
        <w:div w:id="1118185716">
          <w:marLeft w:val="0"/>
          <w:marRight w:val="0"/>
          <w:marTop w:val="0"/>
          <w:marBottom w:val="0"/>
          <w:divBdr>
            <w:top w:val="none" w:sz="0" w:space="0" w:color="auto"/>
            <w:left w:val="none" w:sz="0" w:space="0" w:color="auto"/>
            <w:bottom w:val="none" w:sz="0" w:space="0" w:color="auto"/>
            <w:right w:val="none" w:sz="0" w:space="0" w:color="auto"/>
          </w:divBdr>
        </w:div>
      </w:divsChild>
    </w:div>
    <w:div w:id="1052339743">
      <w:bodyDiv w:val="1"/>
      <w:marLeft w:val="0"/>
      <w:marRight w:val="0"/>
      <w:marTop w:val="0"/>
      <w:marBottom w:val="0"/>
      <w:divBdr>
        <w:top w:val="none" w:sz="0" w:space="0" w:color="auto"/>
        <w:left w:val="none" w:sz="0" w:space="0" w:color="auto"/>
        <w:bottom w:val="none" w:sz="0" w:space="0" w:color="auto"/>
        <w:right w:val="none" w:sz="0" w:space="0" w:color="auto"/>
      </w:divBdr>
      <w:divsChild>
        <w:div w:id="637342349">
          <w:marLeft w:val="0"/>
          <w:marRight w:val="0"/>
          <w:marTop w:val="0"/>
          <w:marBottom w:val="0"/>
          <w:divBdr>
            <w:top w:val="none" w:sz="0" w:space="0" w:color="auto"/>
            <w:left w:val="none" w:sz="0" w:space="0" w:color="auto"/>
            <w:bottom w:val="none" w:sz="0" w:space="0" w:color="auto"/>
            <w:right w:val="none" w:sz="0" w:space="0" w:color="auto"/>
          </w:divBdr>
        </w:div>
      </w:divsChild>
    </w:div>
    <w:div w:id="1434470357">
      <w:bodyDiv w:val="1"/>
      <w:marLeft w:val="0"/>
      <w:marRight w:val="0"/>
      <w:marTop w:val="0"/>
      <w:marBottom w:val="0"/>
      <w:divBdr>
        <w:top w:val="none" w:sz="0" w:space="0" w:color="auto"/>
        <w:left w:val="none" w:sz="0" w:space="0" w:color="auto"/>
        <w:bottom w:val="none" w:sz="0" w:space="0" w:color="auto"/>
        <w:right w:val="none" w:sz="0" w:space="0" w:color="auto"/>
      </w:divBdr>
      <w:divsChild>
        <w:div w:id="1350059322">
          <w:marLeft w:val="0"/>
          <w:marRight w:val="0"/>
          <w:marTop w:val="0"/>
          <w:marBottom w:val="0"/>
          <w:divBdr>
            <w:top w:val="none" w:sz="0" w:space="0" w:color="auto"/>
            <w:left w:val="none" w:sz="0" w:space="0" w:color="auto"/>
            <w:bottom w:val="none" w:sz="0" w:space="0" w:color="auto"/>
            <w:right w:val="none" w:sz="0" w:space="0" w:color="auto"/>
          </w:divBdr>
        </w:div>
      </w:divsChild>
    </w:div>
    <w:div w:id="1482038666">
      <w:bodyDiv w:val="1"/>
      <w:marLeft w:val="0"/>
      <w:marRight w:val="0"/>
      <w:marTop w:val="0"/>
      <w:marBottom w:val="0"/>
      <w:divBdr>
        <w:top w:val="none" w:sz="0" w:space="0" w:color="auto"/>
        <w:left w:val="none" w:sz="0" w:space="0" w:color="auto"/>
        <w:bottom w:val="none" w:sz="0" w:space="0" w:color="auto"/>
        <w:right w:val="none" w:sz="0" w:space="0" w:color="auto"/>
      </w:divBdr>
      <w:divsChild>
        <w:div w:id="240720616">
          <w:marLeft w:val="0"/>
          <w:marRight w:val="0"/>
          <w:marTop w:val="0"/>
          <w:marBottom w:val="0"/>
          <w:divBdr>
            <w:top w:val="none" w:sz="0" w:space="0" w:color="auto"/>
            <w:left w:val="none" w:sz="0" w:space="0" w:color="auto"/>
            <w:bottom w:val="none" w:sz="0" w:space="0" w:color="auto"/>
            <w:right w:val="none" w:sz="0" w:space="0" w:color="auto"/>
          </w:divBdr>
        </w:div>
      </w:divsChild>
    </w:div>
    <w:div w:id="1799758113">
      <w:bodyDiv w:val="1"/>
      <w:marLeft w:val="0"/>
      <w:marRight w:val="0"/>
      <w:marTop w:val="0"/>
      <w:marBottom w:val="0"/>
      <w:divBdr>
        <w:top w:val="none" w:sz="0" w:space="0" w:color="auto"/>
        <w:left w:val="none" w:sz="0" w:space="0" w:color="auto"/>
        <w:bottom w:val="none" w:sz="0" w:space="0" w:color="auto"/>
        <w:right w:val="none" w:sz="0" w:space="0" w:color="auto"/>
      </w:divBdr>
      <w:divsChild>
        <w:div w:id="1261259694">
          <w:marLeft w:val="0"/>
          <w:marRight w:val="0"/>
          <w:marTop w:val="0"/>
          <w:marBottom w:val="0"/>
          <w:divBdr>
            <w:top w:val="none" w:sz="0" w:space="0" w:color="auto"/>
            <w:left w:val="none" w:sz="0" w:space="0" w:color="auto"/>
            <w:bottom w:val="none" w:sz="0" w:space="0" w:color="auto"/>
            <w:right w:val="none" w:sz="0" w:space="0" w:color="auto"/>
          </w:divBdr>
        </w:div>
      </w:divsChild>
    </w:div>
    <w:div w:id="20991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dfat.gov.au/sites/default/files/australia-tonga-development-partnership-plan-2024-2029.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2" Type="http://schemas.openxmlformats.org/officeDocument/2006/relationships/image" Target="media/image18.jpg"/><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03871-8934-4198-a088-14ac5c5d1c31">
      <Terms xmlns="http://schemas.microsoft.com/office/infopath/2007/PartnerControls"/>
    </lcf76f155ced4ddcb4097134ff3c332f>
    <TaxCatchAll xmlns="6f2ae4e0-94e8-4b28-8f95-861d59f7ae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F2E9F171-59A6-4022-A46D-27C25069926A}">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6f2ae4e0-94e8-4b28-8f95-861d59f7ae70"/>
    <ds:schemaRef ds:uri="99303871-8934-4198-a088-14ac5c5d1c31"/>
  </ds:schemaRefs>
</ds:datastoreItem>
</file>

<file path=customXml/itemProps3.xml><?xml version="1.0" encoding="utf-8"?>
<ds:datastoreItem xmlns:ds="http://schemas.openxmlformats.org/officeDocument/2006/customXml" ds:itemID="{4C200AFD-619D-4AC2-99E5-D3228B5F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618DC-A08C-4C5C-9A07-FABF5202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2818</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[Country] Development Coorporation Facsheet 2025-26</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38</cp:revision>
  <dcterms:created xsi:type="dcterms:W3CDTF">2025-05-09T19:58:00Z</dcterms:created>
  <dcterms:modified xsi:type="dcterms:W3CDTF">2025-05-21T00:47:00Z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v=2022.1;a=SHA256;h=5D60E7161EE6804CFDECCB20C20B27446CD8C71071B2C3B6F954490F8E6FF066</vt:lpwstr>
  </property>
  <property fmtid="{D5CDD505-2E9C-101B-9397-08002B2CF9AE}" pid="28" name="PM_Hash_Salt_Prev">
    <vt:lpwstr>E5600150DFD8E80FD7C651FE90294DD2</vt:lpwstr>
  </property>
  <property fmtid="{D5CDD505-2E9C-101B-9397-08002B2CF9AE}" pid="29" name="PM_Hash_Salt">
    <vt:lpwstr>449CD989EE99A56B00BCE45B75CBA64B</vt:lpwstr>
  </property>
  <property fmtid="{D5CDD505-2E9C-101B-9397-08002B2CF9AE}" pid="30" name="PM_Hash_SHA1">
    <vt:lpwstr>3380012AD53303C265429A41E434E976583B01C4</vt:lpwstr>
  </property>
</Properties>
</file>