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4F4" w14:textId="77777777" w:rsidR="00545268" w:rsidRPr="00545268" w:rsidRDefault="004516E0" w:rsidP="00545268">
      <w:pPr>
        <w:pStyle w:val="Heading1"/>
      </w:pPr>
      <w:r w:rsidRPr="00545268">
        <w:t>Development Cooperation Factsheet</w:t>
      </w:r>
    </w:p>
    <w:p w14:paraId="4259A234" w14:textId="77777777" w:rsidR="009E2520" w:rsidRPr="00E84101" w:rsidRDefault="009E2520" w:rsidP="009E2520">
      <w:pPr>
        <w:pStyle w:val="Heading2"/>
        <w:rPr>
          <w:rStyle w:val="Heading2Char"/>
          <w:sz w:val="80"/>
          <w:szCs w:val="80"/>
        </w:rPr>
      </w:pPr>
      <w:r>
        <w:rPr>
          <w:rStyle w:val="Heading2Char"/>
          <w:sz w:val="80"/>
          <w:szCs w:val="80"/>
        </w:rPr>
        <w:t>Solomon Islands</w:t>
      </w:r>
    </w:p>
    <w:p w14:paraId="03B06DF3" w14:textId="77777777" w:rsidR="009E2520" w:rsidRPr="00F959D5" w:rsidRDefault="009E2520" w:rsidP="009E2520">
      <w:pPr>
        <w:spacing w:before="0"/>
      </w:pPr>
      <w:r>
        <w:t>MAY 2025</w:t>
      </w:r>
    </w:p>
    <w:p w14:paraId="2276BA94" w14:textId="77777777" w:rsidR="009E2520" w:rsidRDefault="009E2520" w:rsidP="009E2520">
      <w:pPr>
        <w:rPr>
          <w:rFonts w:asciiTheme="majorHAnsi" w:hAnsiTheme="majorHAnsi"/>
        </w:rPr>
      </w:pPr>
      <w:r>
        <w:rPr>
          <w:noProof/>
        </w:rPr>
        <w:drawing>
          <wp:inline distT="0" distB="0" distL="0" distR="0" wp14:anchorId="0305D4F6" wp14:editId="4B88A6F1">
            <wp:extent cx="914400" cy="605118"/>
            <wp:effectExtent l="0" t="0" r="0" b="5080"/>
            <wp:docPr id="1415932204" name="Picture 1" descr="Solomon Islan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2204" name="Picture 1" descr="Solomon Island flag"/>
                    <pic:cNvPicPr>
                      <a:picLocks noChangeAspect="1" noChangeArrowheads="1"/>
                    </pic:cNvPicPr>
                  </pic:nvPicPr>
                  <pic:blipFill>
                    <a:blip r:embed="rId11"/>
                    <a:stretch>
                      <a:fillRect/>
                    </a:stretch>
                  </pic:blipFill>
                  <pic:spPr bwMode="auto">
                    <a:xfrm>
                      <a:off x="0" y="0"/>
                      <a:ext cx="914400" cy="605118"/>
                    </a:xfrm>
                    <a:prstGeom prst="rect">
                      <a:avLst/>
                    </a:prstGeom>
                    <a:noFill/>
                  </pic:spPr>
                </pic:pic>
              </a:graphicData>
            </a:graphic>
          </wp:inline>
        </w:drawing>
      </w:r>
    </w:p>
    <w:p w14:paraId="3FE07531" w14:textId="77777777" w:rsidR="009E2520" w:rsidRPr="00AF7C26" w:rsidRDefault="009E2520" w:rsidP="009E2520">
      <w:pPr>
        <w:pStyle w:val="Heading3"/>
      </w:pPr>
      <w:r w:rsidRPr="00C13173">
        <w:t>Overview</w:t>
      </w:r>
    </w:p>
    <w:p w14:paraId="20FC9FD6" w14:textId="77777777" w:rsidR="009E2520" w:rsidRPr="004516E0" w:rsidRDefault="009E2520" w:rsidP="009E2520">
      <w:pPr>
        <w:pStyle w:val="Overview"/>
        <w:rPr>
          <w:caps/>
        </w:rPr>
      </w:pPr>
      <w:r w:rsidRPr="00545268">
        <w:t xml:space="preserve">Estimated Australian ODA: </w:t>
      </w:r>
      <w:r w:rsidRPr="00C33D8D">
        <w:rPr>
          <w:b w:val="0"/>
          <w:bCs w:val="0"/>
        </w:rPr>
        <w:t>$1</w:t>
      </w:r>
      <w:r>
        <w:rPr>
          <w:b w:val="0"/>
          <w:bCs w:val="0"/>
        </w:rPr>
        <w:t>70</w:t>
      </w:r>
      <w:r w:rsidRPr="00C33D8D">
        <w:rPr>
          <w:b w:val="0"/>
          <w:bCs w:val="0"/>
        </w:rPr>
        <w:t>.</w:t>
      </w:r>
      <w:r>
        <w:rPr>
          <w:b w:val="0"/>
          <w:bCs w:val="0"/>
        </w:rPr>
        <w:t>9</w:t>
      </w:r>
      <w:r w:rsidRPr="00C33D8D">
        <w:rPr>
          <w:b w:val="0"/>
          <w:bCs w:val="0"/>
        </w:rPr>
        <w:t>m</w:t>
      </w:r>
      <w:r>
        <w:rPr>
          <w:b w:val="0"/>
          <w:bCs w:val="0"/>
        </w:rPr>
        <w:t xml:space="preserve"> </w:t>
      </w:r>
      <w:r w:rsidRPr="00BB7E09">
        <w:rPr>
          <w:b w:val="0"/>
          <w:bCs w:val="0"/>
        </w:rPr>
        <w:t>(20</w:t>
      </w:r>
      <w:r>
        <w:rPr>
          <w:b w:val="0"/>
          <w:bCs w:val="0"/>
        </w:rPr>
        <w:t>25-26</w:t>
      </w:r>
      <w:r w:rsidRPr="00BB7E09">
        <w:rPr>
          <w:b w:val="0"/>
          <w:bCs w:val="0"/>
        </w:rPr>
        <w:t>)</w:t>
      </w:r>
    </w:p>
    <w:p w14:paraId="168C8FB7" w14:textId="77777777" w:rsidR="009E2520" w:rsidRPr="004516E0" w:rsidRDefault="009E2520" w:rsidP="009E2520">
      <w:pPr>
        <w:pStyle w:val="Overview"/>
        <w:rPr>
          <w:caps/>
        </w:rPr>
      </w:pPr>
      <w:r w:rsidRPr="00545268">
        <w:t>Gross National Income Per Capita:</w:t>
      </w:r>
      <w:r>
        <w:t xml:space="preserve"> </w:t>
      </w:r>
      <w:r w:rsidRPr="00C33D8D">
        <w:rPr>
          <w:b w:val="0"/>
          <w:bCs w:val="0"/>
        </w:rPr>
        <w:t>US$</w:t>
      </w:r>
      <w:r>
        <w:rPr>
          <w:b w:val="0"/>
          <w:bCs w:val="0"/>
        </w:rPr>
        <w:t>2</w:t>
      </w:r>
      <w:r w:rsidRPr="00C33D8D">
        <w:rPr>
          <w:b w:val="0"/>
          <w:bCs w:val="0"/>
        </w:rPr>
        <w:t>,</w:t>
      </w:r>
      <w:r>
        <w:rPr>
          <w:b w:val="0"/>
          <w:bCs w:val="0"/>
        </w:rPr>
        <w:t>10</w:t>
      </w:r>
      <w:r w:rsidRPr="00C33D8D">
        <w:rPr>
          <w:b w:val="0"/>
          <w:bCs w:val="0"/>
        </w:rPr>
        <w:t>0 (202</w:t>
      </w:r>
      <w:r>
        <w:rPr>
          <w:b w:val="0"/>
          <w:bCs w:val="0"/>
        </w:rPr>
        <w:t>3</w:t>
      </w:r>
      <w:r w:rsidRPr="00C33D8D">
        <w:rPr>
          <w:b w:val="0"/>
          <w:bCs w:val="0"/>
        </w:rPr>
        <w:t>)</w:t>
      </w:r>
    </w:p>
    <w:p w14:paraId="29721116" w14:textId="49466FB9" w:rsidR="009E2520" w:rsidRDefault="009E2520" w:rsidP="009E2520">
      <w:pPr>
        <w:pStyle w:val="Overview"/>
        <w:rPr>
          <w:caps/>
        </w:rPr>
      </w:pPr>
      <w:r w:rsidRPr="00545268">
        <w:t>Population:</w:t>
      </w:r>
      <w:r w:rsidRPr="004516E0">
        <w:t xml:space="preserve"> </w:t>
      </w:r>
      <w:r w:rsidR="0089204B" w:rsidRPr="00661750">
        <w:rPr>
          <w:b w:val="0"/>
          <w:bCs w:val="0"/>
        </w:rPr>
        <w:t>0.</w:t>
      </w:r>
      <w:r w:rsidRPr="00661750">
        <w:rPr>
          <w:b w:val="0"/>
          <w:bCs w:val="0"/>
        </w:rPr>
        <w:t>8</w:t>
      </w:r>
      <w:r w:rsidR="00661750" w:rsidRPr="00661750">
        <w:rPr>
          <w:b w:val="0"/>
          <w:bCs w:val="0"/>
        </w:rPr>
        <w:t>m</w:t>
      </w:r>
      <w:r w:rsidRPr="00C33D8D">
        <w:rPr>
          <w:b w:val="0"/>
          <w:bCs w:val="0"/>
        </w:rPr>
        <w:t xml:space="preserve"> (202</w:t>
      </w:r>
      <w:r>
        <w:rPr>
          <w:b w:val="0"/>
          <w:bCs w:val="0"/>
        </w:rPr>
        <w:t>3</w:t>
      </w:r>
      <w:r w:rsidRPr="00C33D8D">
        <w:rPr>
          <w:b w:val="0"/>
          <w:bCs w:val="0"/>
        </w:rPr>
        <w:t>)</w:t>
      </w:r>
    </w:p>
    <w:p w14:paraId="180635E9" w14:textId="77777777" w:rsidR="009E2520" w:rsidRPr="00E62203" w:rsidRDefault="009E2520" w:rsidP="009E2520">
      <w:pPr>
        <w:pStyle w:val="Heading4"/>
        <w:spacing w:before="360"/>
        <w:rPr>
          <w:b w:val="0"/>
          <w:bCs/>
        </w:rPr>
      </w:pPr>
      <w:r w:rsidRPr="00E62203">
        <w:rPr>
          <w:b w:val="0"/>
          <w:bCs/>
        </w:rPr>
        <w:t xml:space="preserve">Table 1: </w:t>
      </w:r>
      <w:r>
        <w:rPr>
          <w:b w:val="0"/>
          <w:bCs/>
        </w:rPr>
        <w:t>Australian ODA to Solomon Islands, 2023-24 to 2025-26</w:t>
      </w:r>
    </w:p>
    <w:tbl>
      <w:tblPr>
        <w:tblStyle w:val="TableGrid"/>
        <w:tblW w:w="0" w:type="auto"/>
        <w:tblBorders>
          <w:top w:val="single" w:sz="4" w:space="0" w:color="98A0A0" w:themeColor="background2" w:themeShade="BF"/>
          <w:left w:val="single" w:sz="4" w:space="0" w:color="98A0A0" w:themeColor="background2" w:themeShade="BF"/>
          <w:bottom w:val="single" w:sz="4" w:space="0" w:color="98A0A0" w:themeColor="background2" w:themeShade="BF"/>
          <w:right w:val="single" w:sz="4" w:space="0" w:color="98A0A0" w:themeColor="background2" w:themeShade="BF"/>
          <w:insideH w:val="single" w:sz="4" w:space="0" w:color="98A0A0" w:themeColor="background2" w:themeShade="BF"/>
          <w:insideV w:val="single" w:sz="4" w:space="0" w:color="98A0A0" w:themeColor="background2" w:themeShade="BF"/>
        </w:tblBorders>
        <w:tblCellMar>
          <w:top w:w="113" w:type="dxa"/>
          <w:bottom w:w="113" w:type="dxa"/>
        </w:tblCellMar>
        <w:tblLook w:val="04A0" w:firstRow="1" w:lastRow="0" w:firstColumn="1" w:lastColumn="0" w:noHBand="0" w:noVBand="1"/>
        <w:tblCaption w:val="Table 1: Australian ODA to Solomon Islands, 2023-24 to 2025-26"/>
        <w:tblDescription w:val="This table represents the total Australian ODA to Solomon Islands, budget and estimate by funding type, 2023 to 2026 – four columns, six rows."/>
      </w:tblPr>
      <w:tblGrid>
        <w:gridCol w:w="3397"/>
        <w:gridCol w:w="2265"/>
        <w:gridCol w:w="2266"/>
        <w:gridCol w:w="2266"/>
      </w:tblGrid>
      <w:tr w:rsidR="009E2520" w14:paraId="77A02E4F" w14:textId="77777777" w:rsidTr="00917FE4">
        <w:trPr>
          <w:cantSplit/>
          <w:trHeight w:val="70"/>
          <w:tblHeader/>
        </w:trPr>
        <w:tc>
          <w:tcPr>
            <w:tcW w:w="3397" w:type="dxa"/>
            <w:shd w:val="clear" w:color="auto" w:fill="313E48" w:themeFill="text1"/>
          </w:tcPr>
          <w:p w14:paraId="414EF8F9" w14:textId="77777777" w:rsidR="009E2520" w:rsidRPr="0079728E" w:rsidRDefault="009E2520" w:rsidP="00917FE4">
            <w:pPr>
              <w:pStyle w:val="TableHeading"/>
            </w:pPr>
            <w:r>
              <w:t>Australian ODA</w:t>
            </w:r>
          </w:p>
        </w:tc>
        <w:tc>
          <w:tcPr>
            <w:tcW w:w="2265" w:type="dxa"/>
            <w:shd w:val="clear" w:color="auto" w:fill="313E48" w:themeFill="text1"/>
          </w:tcPr>
          <w:p w14:paraId="0DB22D52" w14:textId="77777777" w:rsidR="009E2520" w:rsidRDefault="009E2520" w:rsidP="00917FE4">
            <w:pPr>
              <w:pStyle w:val="TableHeading"/>
              <w:jc w:val="center"/>
            </w:pPr>
            <w:r>
              <w:t>2</w:t>
            </w:r>
            <w:r w:rsidRPr="001E6A8F">
              <w:t>02</w:t>
            </w:r>
            <w:r>
              <w:t>3-24</w:t>
            </w:r>
            <w:r w:rsidRPr="001E6A8F">
              <w:t xml:space="preserve"> Actual ($</w:t>
            </w:r>
            <w:proofErr w:type="gramStart"/>
            <w:r w:rsidRPr="001E6A8F">
              <w:t>m)*</w:t>
            </w:r>
            <w:proofErr w:type="gramEnd"/>
          </w:p>
        </w:tc>
        <w:tc>
          <w:tcPr>
            <w:tcW w:w="2266" w:type="dxa"/>
            <w:shd w:val="clear" w:color="auto" w:fill="313E48" w:themeFill="text1"/>
          </w:tcPr>
          <w:p w14:paraId="0781537F" w14:textId="77777777" w:rsidR="009E2520" w:rsidRPr="007332ED" w:rsidRDefault="009E2520" w:rsidP="00917FE4">
            <w:pPr>
              <w:pStyle w:val="TableHeading"/>
              <w:jc w:val="center"/>
            </w:pPr>
            <w:r w:rsidRPr="001E6A8F">
              <w:t>202</w:t>
            </w:r>
            <w:r>
              <w:t>4-25</w:t>
            </w:r>
            <w:r w:rsidRPr="001E6A8F">
              <w:t xml:space="preserve"> Budget Estimate ($</w:t>
            </w:r>
            <w:proofErr w:type="gramStart"/>
            <w:r w:rsidRPr="001E6A8F">
              <w:t>m)*</w:t>
            </w:r>
            <w:proofErr w:type="gramEnd"/>
          </w:p>
        </w:tc>
        <w:tc>
          <w:tcPr>
            <w:tcW w:w="2266" w:type="dxa"/>
            <w:shd w:val="clear" w:color="auto" w:fill="313E48" w:themeFill="text1"/>
          </w:tcPr>
          <w:p w14:paraId="076CE52A" w14:textId="77777777" w:rsidR="009E2520" w:rsidRPr="007332ED" w:rsidRDefault="009E2520" w:rsidP="00917FE4">
            <w:pPr>
              <w:pStyle w:val="TableHeading"/>
              <w:jc w:val="center"/>
            </w:pPr>
            <w:r w:rsidRPr="001E6A8F">
              <w:t>202</w:t>
            </w:r>
            <w:r>
              <w:t>5-26</w:t>
            </w:r>
            <w:r w:rsidRPr="001E6A8F">
              <w:t xml:space="preserve"> Budget Estimate ($</w:t>
            </w:r>
            <w:proofErr w:type="gramStart"/>
            <w:r w:rsidRPr="001E6A8F">
              <w:t>m)*</w:t>
            </w:r>
            <w:proofErr w:type="gramEnd"/>
          </w:p>
        </w:tc>
      </w:tr>
      <w:tr w:rsidR="009E2520" w14:paraId="11338F09" w14:textId="77777777" w:rsidTr="00917FE4">
        <w:tc>
          <w:tcPr>
            <w:tcW w:w="3397" w:type="dxa"/>
          </w:tcPr>
          <w:p w14:paraId="571D736D" w14:textId="77777777" w:rsidR="009E2520" w:rsidRPr="00030679" w:rsidRDefault="009E2520" w:rsidP="00917FE4">
            <w:pPr>
              <w:pStyle w:val="TableBodyCopy"/>
            </w:pPr>
            <w:r w:rsidRPr="001E6A8F">
              <w:t>Country Programs</w:t>
            </w:r>
          </w:p>
        </w:tc>
        <w:tc>
          <w:tcPr>
            <w:tcW w:w="2265" w:type="dxa"/>
            <w:vAlign w:val="center"/>
          </w:tcPr>
          <w:p w14:paraId="1FE1F7A3" w14:textId="77777777" w:rsidR="009E2520" w:rsidRPr="00D34ADE" w:rsidRDefault="009E2520" w:rsidP="00917FE4">
            <w:pPr>
              <w:pStyle w:val="TableBodyCopy"/>
              <w:jc w:val="center"/>
            </w:pPr>
            <w:r>
              <w:t>103.3</w:t>
            </w:r>
          </w:p>
        </w:tc>
        <w:tc>
          <w:tcPr>
            <w:tcW w:w="2266" w:type="dxa"/>
            <w:vAlign w:val="center"/>
          </w:tcPr>
          <w:p w14:paraId="3AE5F64A" w14:textId="77777777" w:rsidR="009E2520" w:rsidRPr="00D34ADE" w:rsidRDefault="009E2520" w:rsidP="00917FE4">
            <w:pPr>
              <w:pStyle w:val="TableBodyCopy"/>
              <w:jc w:val="center"/>
            </w:pPr>
            <w:r>
              <w:t>103.6</w:t>
            </w:r>
          </w:p>
        </w:tc>
        <w:tc>
          <w:tcPr>
            <w:tcW w:w="2266" w:type="dxa"/>
            <w:vAlign w:val="center"/>
          </w:tcPr>
          <w:p w14:paraId="23265910" w14:textId="77777777" w:rsidR="009E2520" w:rsidRPr="00D34ADE" w:rsidRDefault="009E2520" w:rsidP="00917FE4">
            <w:pPr>
              <w:pStyle w:val="TableBodyCopy"/>
              <w:jc w:val="center"/>
            </w:pPr>
            <w:r>
              <w:t>103.6</w:t>
            </w:r>
          </w:p>
        </w:tc>
      </w:tr>
      <w:tr w:rsidR="009E2520" w14:paraId="694615EC" w14:textId="77777777" w:rsidTr="00917FE4">
        <w:tc>
          <w:tcPr>
            <w:tcW w:w="3397" w:type="dxa"/>
          </w:tcPr>
          <w:p w14:paraId="0203060B" w14:textId="77777777" w:rsidR="009E2520" w:rsidRPr="00030679" w:rsidRDefault="009E2520" w:rsidP="00917FE4">
            <w:pPr>
              <w:pStyle w:val="TableBodyCopy"/>
            </w:pPr>
            <w:r>
              <w:t>Regional</w:t>
            </w:r>
          </w:p>
        </w:tc>
        <w:tc>
          <w:tcPr>
            <w:tcW w:w="2265" w:type="dxa"/>
            <w:vAlign w:val="center"/>
          </w:tcPr>
          <w:p w14:paraId="490B8932" w14:textId="77777777" w:rsidR="009E2520" w:rsidRPr="00D34ADE" w:rsidRDefault="009E2520" w:rsidP="00917FE4">
            <w:pPr>
              <w:pStyle w:val="TableBodyCopy"/>
              <w:jc w:val="center"/>
            </w:pPr>
            <w:r>
              <w:t>26.0</w:t>
            </w:r>
          </w:p>
        </w:tc>
        <w:tc>
          <w:tcPr>
            <w:tcW w:w="2266" w:type="dxa"/>
            <w:vAlign w:val="center"/>
          </w:tcPr>
          <w:p w14:paraId="5A9B1BA8" w14:textId="77777777" w:rsidR="009E2520" w:rsidRPr="00D34ADE" w:rsidRDefault="009E2520" w:rsidP="00917FE4">
            <w:pPr>
              <w:pStyle w:val="TableBodyCopy"/>
              <w:jc w:val="center"/>
            </w:pPr>
            <w:r>
              <w:t>34.5</w:t>
            </w:r>
          </w:p>
        </w:tc>
        <w:tc>
          <w:tcPr>
            <w:tcW w:w="2266" w:type="dxa"/>
            <w:vAlign w:val="center"/>
          </w:tcPr>
          <w:p w14:paraId="0B80DA5F" w14:textId="77777777" w:rsidR="009E2520" w:rsidRPr="00D34ADE" w:rsidRDefault="009E2520" w:rsidP="00917FE4">
            <w:pPr>
              <w:pStyle w:val="TableBodyCopy"/>
              <w:jc w:val="center"/>
            </w:pPr>
            <w:r>
              <w:t>30.6</w:t>
            </w:r>
          </w:p>
        </w:tc>
      </w:tr>
      <w:tr w:rsidR="009E2520" w14:paraId="22E52471" w14:textId="77777777" w:rsidTr="00917FE4">
        <w:tc>
          <w:tcPr>
            <w:tcW w:w="3397" w:type="dxa"/>
          </w:tcPr>
          <w:p w14:paraId="40C3ED67" w14:textId="77777777" w:rsidR="009E2520" w:rsidRDefault="009E2520" w:rsidP="00917FE4">
            <w:pPr>
              <w:pStyle w:val="TableBodyCopy"/>
            </w:pPr>
            <w:r>
              <w:t>Global / Other</w:t>
            </w:r>
          </w:p>
        </w:tc>
        <w:tc>
          <w:tcPr>
            <w:tcW w:w="2265" w:type="dxa"/>
            <w:vAlign w:val="center"/>
          </w:tcPr>
          <w:p w14:paraId="37776D1F" w14:textId="77777777" w:rsidR="009E2520" w:rsidRPr="00D34ADE" w:rsidRDefault="009E2520" w:rsidP="00917FE4">
            <w:pPr>
              <w:pStyle w:val="TableBodyCopy"/>
              <w:jc w:val="center"/>
            </w:pPr>
            <w:r>
              <w:t>11.9</w:t>
            </w:r>
          </w:p>
        </w:tc>
        <w:tc>
          <w:tcPr>
            <w:tcW w:w="2266" w:type="dxa"/>
            <w:vAlign w:val="center"/>
          </w:tcPr>
          <w:p w14:paraId="7BA21CE5" w14:textId="77777777" w:rsidR="009E2520" w:rsidRPr="00D34ADE" w:rsidRDefault="009E2520" w:rsidP="00917FE4">
            <w:pPr>
              <w:pStyle w:val="TableBodyCopy"/>
              <w:jc w:val="center"/>
            </w:pPr>
            <w:r>
              <w:t>11.8</w:t>
            </w:r>
          </w:p>
        </w:tc>
        <w:tc>
          <w:tcPr>
            <w:tcW w:w="2266" w:type="dxa"/>
            <w:vAlign w:val="center"/>
          </w:tcPr>
          <w:p w14:paraId="153B66D8" w14:textId="77777777" w:rsidR="009E2520" w:rsidRPr="00D34ADE" w:rsidRDefault="009E2520" w:rsidP="00917FE4">
            <w:pPr>
              <w:pStyle w:val="TableBodyCopy"/>
              <w:jc w:val="center"/>
            </w:pPr>
            <w:r>
              <w:t>11.2</w:t>
            </w:r>
          </w:p>
        </w:tc>
      </w:tr>
      <w:tr w:rsidR="009E2520" w14:paraId="0F63EE82" w14:textId="77777777" w:rsidTr="00917FE4">
        <w:tc>
          <w:tcPr>
            <w:tcW w:w="3397" w:type="dxa"/>
          </w:tcPr>
          <w:p w14:paraId="4BB3D0D3" w14:textId="77777777" w:rsidR="009E2520" w:rsidRDefault="009E2520" w:rsidP="00917FE4">
            <w:pPr>
              <w:pStyle w:val="TableBodyCopy"/>
            </w:pPr>
            <w:r>
              <w:t>Other Government Departments</w:t>
            </w:r>
          </w:p>
        </w:tc>
        <w:tc>
          <w:tcPr>
            <w:tcW w:w="2265" w:type="dxa"/>
            <w:vAlign w:val="center"/>
          </w:tcPr>
          <w:p w14:paraId="4C5F1D52" w14:textId="77777777" w:rsidR="009E2520" w:rsidRPr="00D34ADE" w:rsidRDefault="009E2520" w:rsidP="00917FE4">
            <w:pPr>
              <w:pStyle w:val="TableBodyCopy"/>
              <w:jc w:val="center"/>
            </w:pPr>
            <w:r>
              <w:t>18.7</w:t>
            </w:r>
          </w:p>
        </w:tc>
        <w:tc>
          <w:tcPr>
            <w:tcW w:w="2266" w:type="dxa"/>
            <w:vAlign w:val="center"/>
          </w:tcPr>
          <w:p w14:paraId="77F4B77D" w14:textId="77777777" w:rsidR="009E2520" w:rsidRPr="00D34ADE" w:rsidRDefault="009E2520" w:rsidP="00917FE4">
            <w:pPr>
              <w:pStyle w:val="TableBodyCopy"/>
              <w:jc w:val="center"/>
            </w:pPr>
            <w:r>
              <w:t>21.3</w:t>
            </w:r>
          </w:p>
        </w:tc>
        <w:tc>
          <w:tcPr>
            <w:tcW w:w="2266" w:type="dxa"/>
            <w:vAlign w:val="center"/>
          </w:tcPr>
          <w:p w14:paraId="02303B69" w14:textId="77777777" w:rsidR="009E2520" w:rsidRPr="00D34ADE" w:rsidRDefault="009E2520" w:rsidP="00917FE4">
            <w:pPr>
              <w:pStyle w:val="TableBodyCopy"/>
              <w:jc w:val="center"/>
            </w:pPr>
            <w:r>
              <w:t>25.4</w:t>
            </w:r>
          </w:p>
        </w:tc>
      </w:tr>
      <w:tr w:rsidR="009E2520" w14:paraId="0C93689F" w14:textId="77777777" w:rsidTr="00917FE4">
        <w:tc>
          <w:tcPr>
            <w:tcW w:w="3397" w:type="dxa"/>
          </w:tcPr>
          <w:p w14:paraId="07C1B006" w14:textId="77777777" w:rsidR="009E2520" w:rsidRPr="001E6A8F" w:rsidRDefault="009E2520" w:rsidP="00917FE4">
            <w:pPr>
              <w:pStyle w:val="TableBodyCopy"/>
              <w:rPr>
                <w:b/>
                <w:bCs/>
              </w:rPr>
            </w:pPr>
            <w:r w:rsidRPr="001E6A8F">
              <w:rPr>
                <w:b/>
                <w:bCs/>
              </w:rPr>
              <w:t xml:space="preserve">Total ODA to </w:t>
            </w:r>
            <w:r>
              <w:rPr>
                <w:b/>
                <w:bCs/>
              </w:rPr>
              <w:t>Solomon Islands</w:t>
            </w:r>
          </w:p>
        </w:tc>
        <w:tc>
          <w:tcPr>
            <w:tcW w:w="2265" w:type="dxa"/>
            <w:vAlign w:val="center"/>
          </w:tcPr>
          <w:p w14:paraId="2C8A828A" w14:textId="77777777" w:rsidR="009E2520" w:rsidRPr="00D34ADE" w:rsidRDefault="009E2520" w:rsidP="00917FE4">
            <w:pPr>
              <w:pStyle w:val="TableBodyCopy"/>
              <w:jc w:val="center"/>
              <w:rPr>
                <w:b/>
                <w:bCs/>
              </w:rPr>
            </w:pPr>
            <w:r>
              <w:rPr>
                <w:b/>
                <w:bCs/>
              </w:rPr>
              <w:t>159.9</w:t>
            </w:r>
          </w:p>
        </w:tc>
        <w:tc>
          <w:tcPr>
            <w:tcW w:w="2266" w:type="dxa"/>
            <w:vAlign w:val="center"/>
          </w:tcPr>
          <w:p w14:paraId="58BEAFFD" w14:textId="77777777" w:rsidR="009E2520" w:rsidRPr="00D34ADE" w:rsidRDefault="009E2520" w:rsidP="00917FE4">
            <w:pPr>
              <w:pStyle w:val="TableBodyCopy"/>
              <w:jc w:val="center"/>
              <w:rPr>
                <w:b/>
                <w:bCs/>
              </w:rPr>
            </w:pPr>
            <w:r>
              <w:rPr>
                <w:b/>
                <w:bCs/>
              </w:rPr>
              <w:t>171.2</w:t>
            </w:r>
          </w:p>
        </w:tc>
        <w:tc>
          <w:tcPr>
            <w:tcW w:w="2266" w:type="dxa"/>
            <w:vAlign w:val="center"/>
          </w:tcPr>
          <w:p w14:paraId="26725E2B" w14:textId="77777777" w:rsidR="009E2520" w:rsidRPr="00D34ADE" w:rsidRDefault="009E2520" w:rsidP="00917FE4">
            <w:pPr>
              <w:pStyle w:val="TableBodyCopy"/>
              <w:jc w:val="center"/>
              <w:rPr>
                <w:b/>
                <w:bCs/>
              </w:rPr>
            </w:pPr>
            <w:r>
              <w:rPr>
                <w:b/>
                <w:bCs/>
              </w:rPr>
              <w:t>170.9</w:t>
            </w:r>
          </w:p>
        </w:tc>
      </w:tr>
      <w:tr w:rsidR="009E2520" w14:paraId="7E3FD049" w14:textId="77777777" w:rsidTr="00917FE4">
        <w:tc>
          <w:tcPr>
            <w:tcW w:w="3397" w:type="dxa"/>
          </w:tcPr>
          <w:p w14:paraId="0E215CCE" w14:textId="77777777" w:rsidR="009E2520" w:rsidRPr="001E6A8F" w:rsidRDefault="009E2520" w:rsidP="00917FE4">
            <w:pPr>
              <w:pStyle w:val="TableBodyCopy"/>
              <w:rPr>
                <w:b/>
                <w:bCs/>
              </w:rPr>
            </w:pPr>
            <w:r w:rsidRPr="00780DC2">
              <w:rPr>
                <w:b/>
                <w:bCs/>
                <w:iCs/>
              </w:rPr>
              <w:t>Percentage total Aust</w:t>
            </w:r>
            <w:r>
              <w:rPr>
                <w:b/>
                <w:bCs/>
                <w:iCs/>
              </w:rPr>
              <w:t>ralian</w:t>
            </w:r>
            <w:r w:rsidRPr="00780DC2">
              <w:rPr>
                <w:b/>
                <w:bCs/>
                <w:iCs/>
              </w:rPr>
              <w:t xml:space="preserve"> ODA</w:t>
            </w:r>
          </w:p>
        </w:tc>
        <w:tc>
          <w:tcPr>
            <w:tcW w:w="2265" w:type="dxa"/>
            <w:vAlign w:val="center"/>
          </w:tcPr>
          <w:p w14:paraId="30F1F16D" w14:textId="77777777" w:rsidR="009E2520" w:rsidRPr="00D34ADE" w:rsidRDefault="009E2520" w:rsidP="00917FE4">
            <w:pPr>
              <w:pStyle w:val="TableBodyCopy"/>
              <w:jc w:val="center"/>
              <w:rPr>
                <w:b/>
                <w:bCs/>
              </w:rPr>
            </w:pPr>
            <w:r>
              <w:rPr>
                <w:b/>
                <w:bCs/>
              </w:rPr>
              <w:t>3.3%</w:t>
            </w:r>
          </w:p>
        </w:tc>
        <w:tc>
          <w:tcPr>
            <w:tcW w:w="2266" w:type="dxa"/>
            <w:vAlign w:val="center"/>
          </w:tcPr>
          <w:p w14:paraId="4CC7AAFA" w14:textId="77777777" w:rsidR="009E2520" w:rsidRPr="00D34ADE" w:rsidRDefault="009E2520" w:rsidP="00917FE4">
            <w:pPr>
              <w:pStyle w:val="TableBodyCopy"/>
              <w:jc w:val="center"/>
              <w:rPr>
                <w:b/>
                <w:bCs/>
              </w:rPr>
            </w:pPr>
            <w:r>
              <w:rPr>
                <w:b/>
                <w:bCs/>
              </w:rPr>
              <w:t>3.5%</w:t>
            </w:r>
          </w:p>
        </w:tc>
        <w:tc>
          <w:tcPr>
            <w:tcW w:w="2266" w:type="dxa"/>
            <w:vAlign w:val="center"/>
          </w:tcPr>
          <w:p w14:paraId="22F7247F" w14:textId="77777777" w:rsidR="009E2520" w:rsidRPr="00D34ADE" w:rsidRDefault="009E2520" w:rsidP="00917FE4">
            <w:pPr>
              <w:pStyle w:val="TableBodyCopy"/>
              <w:jc w:val="center"/>
              <w:rPr>
                <w:b/>
                <w:bCs/>
              </w:rPr>
            </w:pPr>
            <w:r>
              <w:rPr>
                <w:b/>
                <w:bCs/>
              </w:rPr>
              <w:t>3.4%</w:t>
            </w:r>
          </w:p>
        </w:tc>
      </w:tr>
    </w:tbl>
    <w:p w14:paraId="71266A8A" w14:textId="73327EA9" w:rsidR="009E2520" w:rsidRDefault="009E2520" w:rsidP="009E2520">
      <w:pPr>
        <w:pStyle w:val="Caption"/>
      </w:pPr>
      <w:r w:rsidRPr="00771669">
        <w:t xml:space="preserve">*Due to rounding, </w:t>
      </w:r>
      <w:r w:rsidRPr="003575EF">
        <w:t>discrepancies</w:t>
      </w:r>
      <w:r w:rsidRPr="00771669">
        <w:t xml:space="preserve"> may occur between sums of the component items in totals</w:t>
      </w:r>
    </w:p>
    <w:p w14:paraId="69D2313B" w14:textId="49B5F2F7" w:rsidR="009E2520" w:rsidRDefault="009E2520" w:rsidP="009E2520">
      <w:pPr>
        <w:pStyle w:val="Heading4"/>
        <w:rPr>
          <w:b w:val="0"/>
          <w:bCs/>
        </w:rPr>
      </w:pPr>
      <w:r>
        <w:rPr>
          <w:b w:val="0"/>
          <w:bCs/>
        </w:rPr>
        <w:t xml:space="preserve">Figure 1: </w:t>
      </w:r>
      <w:r w:rsidRPr="00E5168F">
        <w:rPr>
          <w:b w:val="0"/>
          <w:bCs/>
        </w:rPr>
        <w:t xml:space="preserve">Australian ODA to </w:t>
      </w:r>
      <w:r>
        <w:rPr>
          <w:b w:val="0"/>
          <w:bCs/>
        </w:rPr>
        <w:t>Solomon Islands</w:t>
      </w:r>
      <w:r w:rsidRPr="00E5168F">
        <w:rPr>
          <w:b w:val="0"/>
          <w:bCs/>
        </w:rPr>
        <w:t xml:space="preserve"> by Sector Group, 2025</w:t>
      </w:r>
      <w:r>
        <w:rPr>
          <w:b w:val="0"/>
          <w:bCs/>
        </w:rPr>
        <w:t>-26</w:t>
      </w:r>
      <w:r w:rsidRPr="00E5168F">
        <w:rPr>
          <w:b w:val="0"/>
          <w:bCs/>
        </w:rPr>
        <w:t xml:space="preserve"> budget estimate</w:t>
      </w:r>
    </w:p>
    <w:p w14:paraId="7CC3C65D" w14:textId="477D0F43" w:rsidR="00C700DC" w:rsidRPr="0036265B" w:rsidRDefault="0036265B" w:rsidP="0036265B">
      <w:pPr>
        <w:rPr>
          <w:rFonts w:asciiTheme="majorHAnsi" w:eastAsiaTheme="majorEastAsia" w:hAnsiTheme="majorHAnsi" w:cstheme="majorBidi"/>
          <w:b/>
          <w:sz w:val="32"/>
          <w:szCs w:val="24"/>
        </w:rPr>
      </w:pPr>
      <w:r>
        <w:rPr>
          <w:rFonts w:asciiTheme="minorHAnsi" w:hAnsiTheme="minorHAnsi"/>
          <w:b/>
          <w:bCs/>
          <w:noProof/>
          <w:color w:val="44546A"/>
          <w:kern w:val="24"/>
        </w:rPr>
        <w:drawing>
          <wp:inline distT="0" distB="0" distL="0" distR="0" wp14:anchorId="0D617D72" wp14:editId="7B7D8B51">
            <wp:extent cx="5330825" cy="2019300"/>
            <wp:effectExtent l="0" t="0" r="3175" b="0"/>
            <wp:docPr id="2057178271" name="Picture 1" descr="Figure 1 presents the percentage of Australia’s Official Development Assistance (ODA) to Solomon Islands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10%&#10;Economic infrastructure and services 37%&#10;Education 10%&#10;Governance 27%&#10;Health 5%&#10;Humanitarian 3%&#10;Multisector and General Development Suppo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78271" name="Picture 1" descr="Figure 1 presents the percentage of Australia’s Official Development Assistance (ODA) to Solomon Islands for the financial year 2025-26 attributable to seven sector groups.&#10;&#10;This information is presented in a doughnut chart, where the seven primary Sector Groups take a portion of shading in the doughnut in direct proportion to the total percentage attributable to each Sector Group.&#10;&#10;The percentages of total Australian ODA by Sector Groups are:&#10;Agriculture, trade and other production services 10%&#10;Economic infrastructure and services 37%&#10;Education 10%&#10;Governance 27%&#10;Health 5%&#10;Humanitarian 3%&#10;Multisector and General Development Support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0825" cy="2019300"/>
                    </a:xfrm>
                    <a:prstGeom prst="rect">
                      <a:avLst/>
                    </a:prstGeom>
                    <a:noFill/>
                    <a:ln>
                      <a:noFill/>
                    </a:ln>
                  </pic:spPr>
                </pic:pic>
              </a:graphicData>
            </a:graphic>
          </wp:inline>
        </w:drawing>
      </w:r>
      <w:r w:rsidR="00E84101" w:rsidRPr="00E50E59">
        <w:br w:type="page"/>
      </w:r>
      <w:r w:rsidR="00C700DC" w:rsidRPr="0036265B">
        <w:rPr>
          <w:rFonts w:asciiTheme="majorHAnsi" w:eastAsiaTheme="majorEastAsia" w:hAnsiTheme="majorHAnsi" w:cstheme="majorBidi"/>
          <w:b/>
          <w:sz w:val="32"/>
          <w:szCs w:val="24"/>
        </w:rPr>
        <w:lastRenderedPageBreak/>
        <w:t>Sustainable Development Goals</w:t>
      </w:r>
    </w:p>
    <w:p w14:paraId="5FDBE9C1" w14:textId="5C41C5EB" w:rsidR="00634CC1" w:rsidRPr="00C700DC" w:rsidRDefault="00634CC1" w:rsidP="00634CC1">
      <w:r>
        <w:rPr>
          <w:noProof/>
        </w:rPr>
        <w:drawing>
          <wp:inline distT="0" distB="0" distL="0" distR="0" wp14:anchorId="12A37465" wp14:editId="23B51405">
            <wp:extent cx="548640" cy="548640"/>
            <wp:effectExtent l="0" t="0" r="3810" b="3810"/>
            <wp:docPr id="1378027091" name="Picture 1" descr="Goal 1 - No pov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27091" name="Picture 1" descr="Goal 1 - No povert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370CC8C" wp14:editId="1E3B7AC9">
            <wp:extent cx="548640" cy="548640"/>
            <wp:effectExtent l="0" t="0" r="3810" b="3810"/>
            <wp:docPr id="1335721681" name="Picture 3" descr="SDG 3 -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721681" name="Picture 3" descr="SDG 3 - Good health and well-be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6362151" wp14:editId="55A8FC23">
            <wp:extent cx="548640" cy="548640"/>
            <wp:effectExtent l="0" t="0" r="3810" b="3810"/>
            <wp:docPr id="662642502" name="Picture 4" descr="SDG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502" name="Picture 4" descr="SDG 4 - Quality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DDB124" wp14:editId="29E19788">
            <wp:extent cx="548640" cy="548640"/>
            <wp:effectExtent l="0" t="0" r="3810" b="3810"/>
            <wp:docPr id="193567487" name="Picture 5"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487" name="Picture 5" descr="SDG 5 - Gender Equalit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4E7F13FF" wp14:editId="225BD047">
            <wp:extent cx="548640" cy="548640"/>
            <wp:effectExtent l="0" t="0" r="3810" b="3810"/>
            <wp:docPr id="635455102" name="Picture 6" descr="SDG 6 - Clean water and san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55102" name="Picture 6" descr="SDG 6 - Clean water and sanitati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2CA1E9F" wp14:editId="0F057CD3">
            <wp:extent cx="548640" cy="548640"/>
            <wp:effectExtent l="0" t="0" r="3810" b="3810"/>
            <wp:docPr id="1891109307" name="Picture 7" descr="SDG 7 - Affordable and clean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09307" name="Picture 7" descr="SDG 7 - Affordable and clean energ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609273EE" wp14:editId="6D766406">
            <wp:extent cx="548640" cy="548640"/>
            <wp:effectExtent l="0" t="0" r="3810" b="3810"/>
            <wp:docPr id="322758550"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58550" name="Picture 8" descr="SDG 8 - Decent work and economic growth"/>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71E82FF7" wp14:editId="74FBA4DC">
            <wp:extent cx="548640" cy="548640"/>
            <wp:effectExtent l="0" t="0" r="3810" b="3810"/>
            <wp:docPr id="532045198"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45198" name="Picture 9" descr="SDG 9 - Industry, innovation and infrastruc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109DC02E" wp14:editId="0EE25FD5">
            <wp:extent cx="548640" cy="548640"/>
            <wp:effectExtent l="0" t="0" r="3810" b="3810"/>
            <wp:docPr id="510153799" name="Picture 4"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3799" name="Picture 4" descr="SDG 11 - Sustainable cities and communitie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5766939" wp14:editId="1AAF6D87">
            <wp:extent cx="548640" cy="548640"/>
            <wp:effectExtent l="0" t="0" r="3810" b="3810"/>
            <wp:docPr id="67511417" name="Picture 6"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1417" name="Picture 6" descr="SDG 13 - Climate acti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A35C9B" wp14:editId="340A9605">
            <wp:extent cx="548640" cy="548640"/>
            <wp:effectExtent l="0" t="0" r="3810" b="3810"/>
            <wp:docPr id="1492329656" name="Picture 9" descr="SDG 16 -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29656" name="Picture 9" descr="SDG 16 - Peace, justice and strong institution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rPr>
          <w:noProof/>
        </w:rPr>
        <w:drawing>
          <wp:inline distT="0" distB="0" distL="0" distR="0" wp14:anchorId="3EE208A6" wp14:editId="63644500">
            <wp:extent cx="548640" cy="548640"/>
            <wp:effectExtent l="0" t="0" r="3810" b="3810"/>
            <wp:docPr id="1117766149" name="Picture 10" descr="SDG 17 - Partnerships for the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66149" name="Picture 10" descr="SDG 17 - Partnerships for the Goal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p w14:paraId="7C0E31A1" w14:textId="4FA7819B" w:rsidR="009E2520" w:rsidRPr="003F4BD0" w:rsidRDefault="009E2520" w:rsidP="003F4BD0">
      <w:pPr>
        <w:rPr>
          <w:b/>
          <w:bCs/>
        </w:rPr>
      </w:pPr>
      <w:r w:rsidRPr="77E83E84">
        <w:rPr>
          <w:b/>
          <w:bCs/>
        </w:rPr>
        <w:t xml:space="preserve">Australia is </w:t>
      </w:r>
      <w:r w:rsidR="00017825" w:rsidRPr="77E83E84">
        <w:rPr>
          <w:b/>
          <w:bCs/>
        </w:rPr>
        <w:t xml:space="preserve">proud to be </w:t>
      </w:r>
      <w:r w:rsidRPr="77E83E84">
        <w:rPr>
          <w:b/>
          <w:bCs/>
        </w:rPr>
        <w:t xml:space="preserve">Solomon Islands’ </w:t>
      </w:r>
      <w:r w:rsidR="00843885" w:rsidRPr="77E83E84">
        <w:rPr>
          <w:b/>
          <w:bCs/>
        </w:rPr>
        <w:t xml:space="preserve">number one </w:t>
      </w:r>
      <w:r w:rsidRPr="77E83E84">
        <w:rPr>
          <w:b/>
          <w:bCs/>
        </w:rPr>
        <w:t>partner – with the largest economic, development and security cooperation programs in Solomon Islands. Our development cooperation program supports priority sectors including infrastructure, jobs and skills, private sector development, health, education, governance and elections, access to justice, and women’s leadership.</w:t>
      </w:r>
    </w:p>
    <w:p w14:paraId="65F90303" w14:textId="6B7C44FD" w:rsidR="009E2520" w:rsidRPr="003F4BD0" w:rsidRDefault="009E2520" w:rsidP="003F4BD0">
      <w:r w:rsidRPr="003F4BD0">
        <w:t>Australia and Solomon Islands are family with interconnected futures – we share a region, an ocean, and a history of partnership. Our development program is our second largest in the Pacific, and third largest globally. Australia’s 2017 bilateral security treaty with Solomon Islands provides an enduring framework for security assistance. Two-way trade between Solomon Islands and Australia continues to grow. Australia and Solomon Islands also have substantial infrastructure cooperation, with close to AUD1</w:t>
      </w:r>
      <w:r w:rsidR="00236B73" w:rsidRPr="003F4BD0">
        <w:t>.2</w:t>
      </w:r>
      <w:r w:rsidRPr="003F4BD0">
        <w:t> billion invested by Australia in high-quality, disaster-resilient infrastructure across Solomon Islands since 2019. Thousands of Solomon Islanders have participated in Australia’s labour mobility program, transforming the lives of many Solomon Islanders.</w:t>
      </w:r>
    </w:p>
    <w:p w14:paraId="14B56AE6" w14:textId="333766A8" w:rsidR="00671161" w:rsidRPr="004D1D85" w:rsidRDefault="001E6A8F" w:rsidP="00C700DC">
      <w:pPr>
        <w:pStyle w:val="Heading3"/>
      </w:pPr>
      <w:r>
        <w:t>Strategic direction</w:t>
      </w:r>
    </w:p>
    <w:p w14:paraId="3EAC8ED5" w14:textId="2E857307" w:rsidR="009E2520" w:rsidRDefault="009E2520" w:rsidP="009E2520">
      <w:r>
        <w:t xml:space="preserve">As one of Solomon Islands’ longest standing and most comprehensive development partners, Australia has a proud track record of supporting Solomon Islands across nearly every sector of the economy and society.  </w:t>
      </w:r>
      <w:r w:rsidRPr="32F92373">
        <w:t>Australi</w:t>
      </w:r>
      <w:r>
        <w:t>a</w:t>
      </w:r>
      <w:r w:rsidRPr="32F92373">
        <w:t xml:space="preserve"> </w:t>
      </w:r>
      <w:r w:rsidR="2EF2ED8A">
        <w:t xml:space="preserve">has </w:t>
      </w:r>
      <w:r>
        <w:t xml:space="preserve">refocused </w:t>
      </w:r>
      <w:r w:rsidRPr="32F92373">
        <w:t xml:space="preserve">bilateral </w:t>
      </w:r>
      <w:r w:rsidR="30AFBFFF">
        <w:t>programs</w:t>
      </w:r>
      <w:r w:rsidRPr="32F92373">
        <w:t xml:space="preserve"> to better align with Solomon Islands Government priorities of infrastructure, economic growth and job</w:t>
      </w:r>
      <w:r>
        <w:t xml:space="preserve"> creation,</w:t>
      </w:r>
      <w:r w:rsidRPr="32F92373">
        <w:t xml:space="preserve"> while maintaining support to human development investments </w:t>
      </w:r>
      <w:r>
        <w:t xml:space="preserve">in areas </w:t>
      </w:r>
      <w:r w:rsidRPr="32F92373">
        <w:t>such as health, education</w:t>
      </w:r>
      <w:r>
        <w:t>,</w:t>
      </w:r>
      <w:r w:rsidRPr="32F92373">
        <w:t xml:space="preserve"> and </w:t>
      </w:r>
      <w:r>
        <w:t>gender equality</w:t>
      </w:r>
      <w:r w:rsidRPr="32F92373">
        <w:t>.</w:t>
      </w:r>
    </w:p>
    <w:p w14:paraId="7CF05033" w14:textId="1C6C8954" w:rsidR="009E2520" w:rsidRDefault="009E2520" w:rsidP="009E2520">
      <w:r>
        <w:t>The overarching goal for the Australia-Solomon Islands development partnership is supporting a stable and prosperous Solomon Islands through inclusive economic growth, infrastructure and job creation</w:t>
      </w:r>
      <w:r w:rsidR="00072A34">
        <w:t>;</w:t>
      </w:r>
      <w:r>
        <w:t xml:space="preserve"> investing in people, communities and links to Australia and the region</w:t>
      </w:r>
      <w:r w:rsidR="00072A34">
        <w:t>;</w:t>
      </w:r>
      <w:r>
        <w:t xml:space="preserve"> and improved stability, security and resilience. </w:t>
      </w:r>
    </w:p>
    <w:p w14:paraId="4572847D" w14:textId="2908EE81" w:rsidR="002923D5" w:rsidRPr="004D1D85" w:rsidRDefault="001E6A8F" w:rsidP="00C700DC">
      <w:pPr>
        <w:pStyle w:val="Heading3"/>
      </w:pPr>
      <w:r>
        <w:t>Program highlights</w:t>
      </w:r>
    </w:p>
    <w:p w14:paraId="74A7906A" w14:textId="1C7CF6EA" w:rsidR="001E6A8F" w:rsidRDefault="001E6A8F" w:rsidP="003575EF">
      <w:r>
        <w:t>Australia supported:</w:t>
      </w:r>
    </w:p>
    <w:p w14:paraId="7294DE95" w14:textId="0CE7BDD3" w:rsidR="003F4BD0" w:rsidRPr="00AE31D0" w:rsidRDefault="009E2520" w:rsidP="00634CC1">
      <w:pPr>
        <w:pStyle w:val="ListBullet"/>
      </w:pPr>
      <w:r>
        <w:t>A record number of remittances to Solomon Islands by Pacific Australia Labour Mobility scheme workers in Australia, which directly benefits local Solomon Islands communities</w:t>
      </w:r>
      <w:r w:rsidR="006F0C09">
        <w:t xml:space="preserve"> (2024)</w:t>
      </w:r>
      <w:r>
        <w:t xml:space="preserve">. </w:t>
      </w:r>
    </w:p>
    <w:p w14:paraId="70D2618E" w14:textId="540BF775" w:rsidR="003F4BD0" w:rsidRPr="00AE31D0" w:rsidRDefault="009E2520" w:rsidP="00634CC1">
      <w:pPr>
        <w:pStyle w:val="ListBullet"/>
      </w:pPr>
      <w:r>
        <w:t>A significant uplift in delivery of small</w:t>
      </w:r>
      <w:r w:rsidR="44B9559C">
        <w:t>-</w:t>
      </w:r>
      <w:r>
        <w:t>scale community infrastructure projects across Solomon Islands th</w:t>
      </w:r>
      <w:r w:rsidR="34DDA412">
        <w:t>r</w:t>
      </w:r>
      <w:r>
        <w:t>ough the Solomon Islands-Australia Community Partnerships program</w:t>
      </w:r>
      <w:r w:rsidR="006F0C09">
        <w:t xml:space="preserve"> (2024)</w:t>
      </w:r>
      <w:r>
        <w:t>.</w:t>
      </w:r>
    </w:p>
    <w:p w14:paraId="4186ADBA" w14:textId="5570861B" w:rsidR="003F4BD0" w:rsidRPr="00AE31D0" w:rsidRDefault="22554C32" w:rsidP="00634CC1">
      <w:pPr>
        <w:pStyle w:val="ListBullet"/>
      </w:pPr>
      <w:r>
        <w:t xml:space="preserve">The new Solomon Islands Australia Health Partnership </w:t>
      </w:r>
      <w:r w:rsidR="012C5D46">
        <w:t>i</w:t>
      </w:r>
      <w:r w:rsidR="5D2198EF">
        <w:t>nvests</w:t>
      </w:r>
      <w:r>
        <w:t xml:space="preserve"> in essential health service delivery, targeted health infrastructure improvements, leadership and responding to emerging national health priorities</w:t>
      </w:r>
      <w:r w:rsidR="21EE999D">
        <w:t xml:space="preserve"> </w:t>
      </w:r>
      <w:r w:rsidR="7580C4E7">
        <w:t>(2025)</w:t>
      </w:r>
      <w:r w:rsidR="21EE999D">
        <w:t>.</w:t>
      </w:r>
    </w:p>
    <w:p w14:paraId="3507BD9C" w14:textId="0795DA65" w:rsidR="6A00F44E" w:rsidRDefault="6A00F44E" w:rsidP="77E83E84">
      <w:pPr>
        <w:pStyle w:val="ListBullet"/>
      </w:pPr>
      <w:r>
        <w:t xml:space="preserve">The largest ever cohort of Solomon Islanders to undertake study through Australia Awards (2025). </w:t>
      </w:r>
    </w:p>
    <w:p w14:paraId="47C4BE40" w14:textId="01A0D1FA" w:rsidR="6A00F44E" w:rsidRDefault="6A00F44E" w:rsidP="77E83E84">
      <w:pPr>
        <w:pStyle w:val="ListBullet"/>
      </w:pPr>
      <w:r>
        <w:t>A major increase in the value of Solomon Islands exports to Australia, enabled by the duty free and quota free access provided under PACER Plus (2025).</w:t>
      </w:r>
    </w:p>
    <w:sectPr w:rsidR="6A00F44E" w:rsidSect="0095740E">
      <w:headerReference w:type="default" r:id="rId25"/>
      <w:footerReference w:type="default" r:id="rId26"/>
      <w:headerReference w:type="first" r:id="rId27"/>
      <w:footerReference w:type="first" r:id="rId28"/>
      <w:pgSz w:w="11906" w:h="16838" w:code="9"/>
      <w:pgMar w:top="1872" w:right="850" w:bottom="990" w:left="850" w:header="85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4009" w14:textId="77777777" w:rsidR="001312A9" w:rsidRDefault="001312A9" w:rsidP="00EE32FE">
      <w:pPr>
        <w:spacing w:after="0" w:line="240" w:lineRule="auto"/>
      </w:pPr>
      <w:r>
        <w:separator/>
      </w:r>
    </w:p>
  </w:endnote>
  <w:endnote w:type="continuationSeparator" w:id="0">
    <w:p w14:paraId="7CBD806C" w14:textId="77777777" w:rsidR="001312A9" w:rsidRDefault="001312A9" w:rsidP="00EE32FE">
      <w:pPr>
        <w:spacing w:after="0" w:line="240" w:lineRule="auto"/>
      </w:pPr>
      <w:r>
        <w:continuationSeparator/>
      </w:r>
    </w:p>
  </w:endnote>
  <w:endnote w:type="continuationNotice" w:id="1">
    <w:p w14:paraId="23AD39FC" w14:textId="77777777" w:rsidR="001312A9" w:rsidRDefault="00131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08438124"/>
      <w:docPartObj>
        <w:docPartGallery w:val="Page Numbers (Bottom of Page)"/>
        <w:docPartUnique/>
      </w:docPartObj>
    </w:sdtPr>
    <w:sdtEndPr>
      <w:rPr>
        <w:noProof/>
      </w:rPr>
    </w:sdtEndPr>
    <w:sdtContent>
      <w:p w14:paraId="02CD4674" w14:textId="2DD6A0D1" w:rsidR="00F40F77" w:rsidRPr="004D49FE" w:rsidRDefault="008E290E">
        <w:pPr>
          <w:pStyle w:val="Footer"/>
          <w:rPr>
            <w:color w:val="FFFFFF" w:themeColor="background1"/>
          </w:rPr>
        </w:pPr>
        <w:r w:rsidRPr="00C71682">
          <w:rPr>
            <w:noProof/>
            <w:color w:val="FFFFFF" w:themeColor="background1"/>
          </w:rPr>
          <w:drawing>
            <wp:anchor distT="0" distB="0" distL="114300" distR="114300" simplePos="0" relativeHeight="251658243" behindDoc="1" locked="0" layoutInCell="1" allowOverlap="1" wp14:anchorId="1DE43D9B" wp14:editId="4A81363D">
              <wp:simplePos x="0" y="0"/>
              <wp:positionH relativeFrom="page">
                <wp:align>center</wp:align>
              </wp:positionH>
              <wp:positionV relativeFrom="page">
                <wp:align>bottom</wp:align>
              </wp:positionV>
              <wp:extent cx="7558095" cy="576000"/>
              <wp:effectExtent l="0" t="0" r="5080" b="0"/>
              <wp:wrapNone/>
              <wp:docPr id="383988066" name="Picture 38398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88066" name="Picture 38398806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BD1D28" w:rsidRPr="004D49FE">
          <w:rPr>
            <w:color w:val="FFFFFF" w:themeColor="background1"/>
          </w:rPr>
          <w:fldChar w:fldCharType="begin"/>
        </w:r>
        <w:r w:rsidR="00BD1D28" w:rsidRPr="004D49FE">
          <w:rPr>
            <w:color w:val="FFFFFF" w:themeColor="background1"/>
          </w:rPr>
          <w:instrText xml:space="preserve"> PAGE   \* MERGEFORMAT </w:instrText>
        </w:r>
        <w:r w:rsidR="00BD1D28" w:rsidRPr="004D49FE">
          <w:rPr>
            <w:color w:val="FFFFFF" w:themeColor="background1"/>
          </w:rPr>
          <w:fldChar w:fldCharType="separate"/>
        </w:r>
        <w:r w:rsidR="00BD1D28" w:rsidRPr="004D49FE">
          <w:rPr>
            <w:noProof/>
            <w:color w:val="FFFFFF" w:themeColor="background1"/>
          </w:rPr>
          <w:t>2</w:t>
        </w:r>
        <w:r w:rsidR="00BD1D28" w:rsidRPr="004D49FE">
          <w:rPr>
            <w:noProof/>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410306763"/>
      <w:docPartObj>
        <w:docPartGallery w:val="Page Numbers (Bottom of Page)"/>
        <w:docPartUnique/>
      </w:docPartObj>
    </w:sdtPr>
    <w:sdtEndPr>
      <w:rPr>
        <w:noProof/>
      </w:rPr>
    </w:sdtEndPr>
    <w:sdtContent>
      <w:p w14:paraId="38984756" w14:textId="18EE118E" w:rsidR="00E50E59" w:rsidRPr="00C71682" w:rsidRDefault="00C71682">
        <w:pPr>
          <w:pStyle w:val="Footer"/>
          <w:rPr>
            <w:color w:val="FFFFFF" w:themeColor="background1"/>
          </w:rPr>
        </w:pPr>
        <w:r w:rsidRPr="00C71682">
          <w:rPr>
            <w:noProof/>
            <w:color w:val="FFFFFF" w:themeColor="background1"/>
          </w:rPr>
          <w:drawing>
            <wp:anchor distT="0" distB="0" distL="114300" distR="114300" simplePos="0" relativeHeight="251658242" behindDoc="1" locked="0" layoutInCell="1" allowOverlap="1" wp14:anchorId="57098BE2" wp14:editId="06078AE4">
              <wp:simplePos x="0" y="0"/>
              <wp:positionH relativeFrom="page">
                <wp:align>center</wp:align>
              </wp:positionH>
              <wp:positionV relativeFrom="page">
                <wp:align>bottom</wp:align>
              </wp:positionV>
              <wp:extent cx="7558095" cy="576000"/>
              <wp:effectExtent l="0" t="0" r="5080" b="0"/>
              <wp:wrapNone/>
              <wp:docPr id="1702243087" name="Picture 1702243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43087" name="Picture 170224308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r w:rsidR="00F46B16" w:rsidRPr="00C71682">
          <w:rPr>
            <w:color w:val="FFFFFF" w:themeColor="background1"/>
          </w:rPr>
          <w:fldChar w:fldCharType="begin"/>
        </w:r>
        <w:r w:rsidR="00F46B16" w:rsidRPr="00C71682">
          <w:rPr>
            <w:color w:val="FFFFFF" w:themeColor="background1"/>
          </w:rPr>
          <w:instrText xml:space="preserve"> PAGE   \* MERGEFORMAT </w:instrText>
        </w:r>
        <w:r w:rsidR="00F46B16" w:rsidRPr="00C71682">
          <w:rPr>
            <w:color w:val="FFFFFF" w:themeColor="background1"/>
          </w:rPr>
          <w:fldChar w:fldCharType="separate"/>
        </w:r>
        <w:r w:rsidR="00F46B16" w:rsidRPr="00C71682">
          <w:rPr>
            <w:noProof/>
            <w:color w:val="FFFFFF" w:themeColor="background1"/>
          </w:rPr>
          <w:t>2</w:t>
        </w:r>
        <w:r w:rsidR="00F46B16" w:rsidRPr="00C7168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F678" w14:textId="77777777" w:rsidR="001312A9" w:rsidRDefault="001312A9" w:rsidP="00EE32FE">
      <w:pPr>
        <w:spacing w:after="0" w:line="240" w:lineRule="auto"/>
      </w:pPr>
      <w:bookmarkStart w:id="0" w:name="_Hlk127364773"/>
      <w:bookmarkEnd w:id="0"/>
      <w:r>
        <w:separator/>
      </w:r>
    </w:p>
  </w:footnote>
  <w:footnote w:type="continuationSeparator" w:id="0">
    <w:p w14:paraId="2890D5A4" w14:textId="77777777" w:rsidR="001312A9" w:rsidRDefault="001312A9" w:rsidP="00EE32FE">
      <w:pPr>
        <w:spacing w:after="0" w:line="240" w:lineRule="auto"/>
      </w:pPr>
      <w:r>
        <w:continuationSeparator/>
      </w:r>
    </w:p>
  </w:footnote>
  <w:footnote w:type="continuationNotice" w:id="1">
    <w:p w14:paraId="32C86B00" w14:textId="77777777" w:rsidR="001312A9" w:rsidRDefault="00131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F6E9" w14:textId="4D8987F0" w:rsidR="00306BCA" w:rsidRDefault="0076381C">
    <w:pPr>
      <w:pStyle w:val="Header"/>
    </w:pPr>
    <w:r>
      <w:rPr>
        <w:noProof/>
      </w:rPr>
      <w:drawing>
        <wp:anchor distT="0" distB="0" distL="114300" distR="114300" simplePos="0" relativeHeight="251658244" behindDoc="1" locked="0" layoutInCell="1" allowOverlap="1" wp14:anchorId="3030DA87" wp14:editId="1797351A">
          <wp:simplePos x="541606" y="618978"/>
          <wp:positionH relativeFrom="page">
            <wp:align>center</wp:align>
          </wp:positionH>
          <wp:positionV relativeFrom="page">
            <wp:align>top</wp:align>
          </wp:positionV>
          <wp:extent cx="7558095" cy="576000"/>
          <wp:effectExtent l="0" t="0" r="5080" b="0"/>
          <wp:wrapNone/>
          <wp:docPr id="1721380403" name="Picture 1" descr="Page two header banner text includes Australia’s International Development Program on dar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80403" name="Picture 1" descr="Page two header banner text includes Australia’s International Development Program on dark background"/>
                  <pic:cNvPicPr/>
                </pic:nvPicPr>
                <pic:blipFill>
                  <a:blip r:embed="rId1"/>
                  <a:stretch>
                    <a:fillRect/>
                  </a:stretch>
                </pic:blipFill>
                <pic:spPr>
                  <a:xfrm>
                    <a:off x="0" y="0"/>
                    <a:ext cx="7558095"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360E" w14:textId="3E821AE7" w:rsidR="00704573" w:rsidRDefault="00235C52">
    <w:pPr>
      <w:pStyle w:val="Header"/>
    </w:pPr>
    <w:r>
      <w:rPr>
        <w:noProof/>
      </w:rPr>
      <w:drawing>
        <wp:anchor distT="0" distB="0" distL="114300" distR="114300" simplePos="0" relativeHeight="251658241" behindDoc="0" locked="0" layoutInCell="1" allowOverlap="1" wp14:anchorId="76BA3015" wp14:editId="43712648">
          <wp:simplePos x="0" y="0"/>
          <wp:positionH relativeFrom="page">
            <wp:posOffset>10937875</wp:posOffset>
          </wp:positionH>
          <wp:positionV relativeFrom="page">
            <wp:posOffset>112395</wp:posOffset>
          </wp:positionV>
          <wp:extent cx="7689850" cy="585470"/>
          <wp:effectExtent l="0" t="0" r="6350" b="5080"/>
          <wp:wrapNone/>
          <wp:docPr id="1131797426" name="Picture 113179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97426" name="Picture 1131797426">
                    <a:extLst>
                      <a:ext uri="{C183D7F6-B498-43B3-948B-1728B52AA6E4}">
                        <adec:decorative xmlns:adec="http://schemas.microsoft.com/office/drawing/2017/decorative" val="1"/>
                      </a:ext>
                    </a:extLst>
                  </pic:cNvPr>
                  <pic:cNvPicPr/>
                </pic:nvPicPr>
                <pic:blipFill>
                  <a:blip r:embed="rId1"/>
                  <a:stretch>
                    <a:fillRect/>
                  </a:stretch>
                </pic:blipFill>
                <pic:spPr>
                  <a:xfrm>
                    <a:off x="0" y="0"/>
                    <a:ext cx="7689850" cy="585470"/>
                  </a:xfrm>
                  <a:prstGeom prst="rect">
                    <a:avLst/>
                  </a:prstGeom>
                </pic:spPr>
              </pic:pic>
            </a:graphicData>
          </a:graphic>
          <wp14:sizeRelH relativeFrom="margin">
            <wp14:pctWidth>0</wp14:pctWidth>
          </wp14:sizeRelH>
          <wp14:sizeRelV relativeFrom="margin">
            <wp14:pctHeight>0</wp14:pctHeight>
          </wp14:sizeRelV>
        </wp:anchor>
      </w:drawing>
    </w:r>
    <w:r w:rsidR="008728F0">
      <w:rPr>
        <w:noProof/>
      </w:rPr>
      <w:drawing>
        <wp:anchor distT="0" distB="0" distL="114300" distR="114300" simplePos="0" relativeHeight="251658240" behindDoc="0" locked="0" layoutInCell="1" allowOverlap="1" wp14:anchorId="57FCDF50" wp14:editId="4E75F17F">
          <wp:simplePos x="0" y="0"/>
          <wp:positionH relativeFrom="page">
            <wp:align>center</wp:align>
          </wp:positionH>
          <wp:positionV relativeFrom="page">
            <wp:align>top</wp:align>
          </wp:positionV>
          <wp:extent cx="7560000" cy="1080000"/>
          <wp:effectExtent l="0" t="0" r="3175" b="6350"/>
          <wp:wrapNone/>
          <wp:docPr id="2129509291" name="Picture 2129509291" descr="Header banner including Australian Government Department of Foreign Affairs and Trade logos and Australian Aid identifier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09291" name="Picture 2129509291" descr="Header banner including Australian Government Department of Foreign Affairs and Trade logos and Australian Aid identifier on the right hand side">
                    <a:extLst>
                      <a:ext uri="{C183D7F6-B498-43B3-948B-1728B52AA6E4}">
                        <adec:decorative xmlns:adec="http://schemas.microsoft.com/office/drawing/2017/decorative" val="0"/>
                      </a:ext>
                    </a:extLst>
                  </pic:cNvPr>
                  <pic:cNvPicPr/>
                </pic:nvPicPr>
                <pic:blipFill>
                  <a:blip r:embed="rId2"/>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9A5F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5CFC"/>
    <w:multiLevelType w:val="hybridMultilevel"/>
    <w:tmpl w:val="E38E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2D46"/>
    <w:multiLevelType w:val="hybridMultilevel"/>
    <w:tmpl w:val="4AB6AC2E"/>
    <w:lvl w:ilvl="0" w:tplc="018A84B8">
      <w:start w:val="1"/>
      <w:numFmt w:val="decimal"/>
      <w:lvlText w:val="%1."/>
      <w:lvlJc w:val="left"/>
      <w:pPr>
        <w:ind w:left="1020" w:hanging="360"/>
      </w:pPr>
    </w:lvl>
    <w:lvl w:ilvl="1" w:tplc="F83812DE">
      <w:start w:val="1"/>
      <w:numFmt w:val="decimal"/>
      <w:lvlText w:val="%2."/>
      <w:lvlJc w:val="left"/>
      <w:pPr>
        <w:ind w:left="1020" w:hanging="360"/>
      </w:pPr>
    </w:lvl>
    <w:lvl w:ilvl="2" w:tplc="33B408C8">
      <w:start w:val="1"/>
      <w:numFmt w:val="decimal"/>
      <w:lvlText w:val="%3."/>
      <w:lvlJc w:val="left"/>
      <w:pPr>
        <w:ind w:left="1020" w:hanging="360"/>
      </w:pPr>
    </w:lvl>
    <w:lvl w:ilvl="3" w:tplc="52948C7C">
      <w:start w:val="1"/>
      <w:numFmt w:val="decimal"/>
      <w:lvlText w:val="%4."/>
      <w:lvlJc w:val="left"/>
      <w:pPr>
        <w:ind w:left="1020" w:hanging="360"/>
      </w:pPr>
    </w:lvl>
    <w:lvl w:ilvl="4" w:tplc="1D26C1C4">
      <w:start w:val="1"/>
      <w:numFmt w:val="decimal"/>
      <w:lvlText w:val="%5."/>
      <w:lvlJc w:val="left"/>
      <w:pPr>
        <w:ind w:left="1020" w:hanging="360"/>
      </w:pPr>
    </w:lvl>
    <w:lvl w:ilvl="5" w:tplc="07803DD6">
      <w:start w:val="1"/>
      <w:numFmt w:val="decimal"/>
      <w:lvlText w:val="%6."/>
      <w:lvlJc w:val="left"/>
      <w:pPr>
        <w:ind w:left="1020" w:hanging="360"/>
      </w:pPr>
    </w:lvl>
    <w:lvl w:ilvl="6" w:tplc="8D881B56">
      <w:start w:val="1"/>
      <w:numFmt w:val="decimal"/>
      <w:lvlText w:val="%7."/>
      <w:lvlJc w:val="left"/>
      <w:pPr>
        <w:ind w:left="1020" w:hanging="360"/>
      </w:pPr>
    </w:lvl>
    <w:lvl w:ilvl="7" w:tplc="0142917C">
      <w:start w:val="1"/>
      <w:numFmt w:val="decimal"/>
      <w:lvlText w:val="%8."/>
      <w:lvlJc w:val="left"/>
      <w:pPr>
        <w:ind w:left="1020" w:hanging="360"/>
      </w:pPr>
    </w:lvl>
    <w:lvl w:ilvl="8" w:tplc="B7082D96">
      <w:start w:val="1"/>
      <w:numFmt w:val="decimal"/>
      <w:lvlText w:val="%9."/>
      <w:lvlJc w:val="left"/>
      <w:pPr>
        <w:ind w:left="1020" w:hanging="360"/>
      </w:pPr>
    </w:lvl>
  </w:abstractNum>
  <w:abstractNum w:abstractNumId="3" w15:restartNumberingAfterBreak="0">
    <w:nsid w:val="0C0A00A4"/>
    <w:multiLevelType w:val="hybridMultilevel"/>
    <w:tmpl w:val="97949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DE1159"/>
    <w:multiLevelType w:val="hybridMultilevel"/>
    <w:tmpl w:val="FFFFFFFF"/>
    <w:lvl w:ilvl="0" w:tplc="F822CCC4">
      <w:start w:val="1"/>
      <w:numFmt w:val="bullet"/>
      <w:lvlText w:val=""/>
      <w:lvlJc w:val="left"/>
      <w:pPr>
        <w:ind w:left="720" w:hanging="360"/>
      </w:pPr>
      <w:rPr>
        <w:rFonts w:ascii="Symbol" w:hAnsi="Symbol" w:hint="default"/>
      </w:rPr>
    </w:lvl>
    <w:lvl w:ilvl="1" w:tplc="06287B28">
      <w:start w:val="1"/>
      <w:numFmt w:val="bullet"/>
      <w:lvlText w:val="o"/>
      <w:lvlJc w:val="left"/>
      <w:pPr>
        <w:ind w:left="1440" w:hanging="360"/>
      </w:pPr>
      <w:rPr>
        <w:rFonts w:ascii="Courier New" w:hAnsi="Courier New" w:hint="default"/>
      </w:rPr>
    </w:lvl>
    <w:lvl w:ilvl="2" w:tplc="1F2AFDD6">
      <w:start w:val="1"/>
      <w:numFmt w:val="bullet"/>
      <w:lvlText w:val=""/>
      <w:lvlJc w:val="left"/>
      <w:pPr>
        <w:ind w:left="2160" w:hanging="360"/>
      </w:pPr>
      <w:rPr>
        <w:rFonts w:ascii="Wingdings" w:hAnsi="Wingdings" w:hint="default"/>
      </w:rPr>
    </w:lvl>
    <w:lvl w:ilvl="3" w:tplc="BCE06532">
      <w:start w:val="1"/>
      <w:numFmt w:val="bullet"/>
      <w:lvlText w:val=""/>
      <w:lvlJc w:val="left"/>
      <w:pPr>
        <w:ind w:left="2880" w:hanging="360"/>
      </w:pPr>
      <w:rPr>
        <w:rFonts w:ascii="Symbol" w:hAnsi="Symbol" w:hint="default"/>
      </w:rPr>
    </w:lvl>
    <w:lvl w:ilvl="4" w:tplc="84AC634C">
      <w:start w:val="1"/>
      <w:numFmt w:val="bullet"/>
      <w:lvlText w:val="o"/>
      <w:lvlJc w:val="left"/>
      <w:pPr>
        <w:ind w:left="3600" w:hanging="360"/>
      </w:pPr>
      <w:rPr>
        <w:rFonts w:ascii="Courier New" w:hAnsi="Courier New" w:hint="default"/>
      </w:rPr>
    </w:lvl>
    <w:lvl w:ilvl="5" w:tplc="C30C21AC">
      <w:start w:val="1"/>
      <w:numFmt w:val="bullet"/>
      <w:lvlText w:val=""/>
      <w:lvlJc w:val="left"/>
      <w:pPr>
        <w:ind w:left="4320" w:hanging="360"/>
      </w:pPr>
      <w:rPr>
        <w:rFonts w:ascii="Wingdings" w:hAnsi="Wingdings" w:hint="default"/>
      </w:rPr>
    </w:lvl>
    <w:lvl w:ilvl="6" w:tplc="0EBA662A">
      <w:start w:val="1"/>
      <w:numFmt w:val="bullet"/>
      <w:lvlText w:val=""/>
      <w:lvlJc w:val="left"/>
      <w:pPr>
        <w:ind w:left="5040" w:hanging="360"/>
      </w:pPr>
      <w:rPr>
        <w:rFonts w:ascii="Symbol" w:hAnsi="Symbol" w:hint="default"/>
      </w:rPr>
    </w:lvl>
    <w:lvl w:ilvl="7" w:tplc="F91E99C2">
      <w:start w:val="1"/>
      <w:numFmt w:val="bullet"/>
      <w:lvlText w:val="o"/>
      <w:lvlJc w:val="left"/>
      <w:pPr>
        <w:ind w:left="5760" w:hanging="360"/>
      </w:pPr>
      <w:rPr>
        <w:rFonts w:ascii="Courier New" w:hAnsi="Courier New" w:hint="default"/>
      </w:rPr>
    </w:lvl>
    <w:lvl w:ilvl="8" w:tplc="1160F2D8">
      <w:start w:val="1"/>
      <w:numFmt w:val="bullet"/>
      <w:lvlText w:val=""/>
      <w:lvlJc w:val="left"/>
      <w:pPr>
        <w:ind w:left="6480" w:hanging="360"/>
      </w:pPr>
      <w:rPr>
        <w:rFonts w:ascii="Wingdings" w:hAnsi="Wingdings" w:hint="default"/>
      </w:rPr>
    </w:lvl>
  </w:abstractNum>
  <w:abstractNum w:abstractNumId="6" w15:restartNumberingAfterBreak="0">
    <w:nsid w:val="196321E9"/>
    <w:multiLevelType w:val="hybridMultilevel"/>
    <w:tmpl w:val="389AC8A6"/>
    <w:lvl w:ilvl="0" w:tplc="259AD006">
      <w:start w:val="1"/>
      <w:numFmt w:val="decimal"/>
      <w:lvlText w:val="%1."/>
      <w:lvlJc w:val="left"/>
      <w:pPr>
        <w:ind w:left="1020" w:hanging="360"/>
      </w:pPr>
    </w:lvl>
    <w:lvl w:ilvl="1" w:tplc="30241C60">
      <w:start w:val="1"/>
      <w:numFmt w:val="decimal"/>
      <w:lvlText w:val="%2."/>
      <w:lvlJc w:val="left"/>
      <w:pPr>
        <w:ind w:left="1020" w:hanging="360"/>
      </w:pPr>
    </w:lvl>
    <w:lvl w:ilvl="2" w:tplc="0842401C">
      <w:start w:val="1"/>
      <w:numFmt w:val="decimal"/>
      <w:lvlText w:val="%3."/>
      <w:lvlJc w:val="left"/>
      <w:pPr>
        <w:ind w:left="1020" w:hanging="360"/>
      </w:pPr>
    </w:lvl>
    <w:lvl w:ilvl="3" w:tplc="DDA47CE2">
      <w:start w:val="1"/>
      <w:numFmt w:val="decimal"/>
      <w:lvlText w:val="%4."/>
      <w:lvlJc w:val="left"/>
      <w:pPr>
        <w:ind w:left="1020" w:hanging="360"/>
      </w:pPr>
    </w:lvl>
    <w:lvl w:ilvl="4" w:tplc="8F6A5CA4">
      <w:start w:val="1"/>
      <w:numFmt w:val="decimal"/>
      <w:lvlText w:val="%5."/>
      <w:lvlJc w:val="left"/>
      <w:pPr>
        <w:ind w:left="1020" w:hanging="360"/>
      </w:pPr>
    </w:lvl>
    <w:lvl w:ilvl="5" w:tplc="9550A5B6">
      <w:start w:val="1"/>
      <w:numFmt w:val="decimal"/>
      <w:lvlText w:val="%6."/>
      <w:lvlJc w:val="left"/>
      <w:pPr>
        <w:ind w:left="1020" w:hanging="360"/>
      </w:pPr>
    </w:lvl>
    <w:lvl w:ilvl="6" w:tplc="E97836DE">
      <w:start w:val="1"/>
      <w:numFmt w:val="decimal"/>
      <w:lvlText w:val="%7."/>
      <w:lvlJc w:val="left"/>
      <w:pPr>
        <w:ind w:left="1020" w:hanging="360"/>
      </w:pPr>
    </w:lvl>
    <w:lvl w:ilvl="7" w:tplc="4FFA85CC">
      <w:start w:val="1"/>
      <w:numFmt w:val="decimal"/>
      <w:lvlText w:val="%8."/>
      <w:lvlJc w:val="left"/>
      <w:pPr>
        <w:ind w:left="1020" w:hanging="360"/>
      </w:pPr>
    </w:lvl>
    <w:lvl w:ilvl="8" w:tplc="4EE86F6C">
      <w:start w:val="1"/>
      <w:numFmt w:val="decimal"/>
      <w:lvlText w:val="%9."/>
      <w:lvlJc w:val="left"/>
      <w:pPr>
        <w:ind w:left="1020" w:hanging="360"/>
      </w:pPr>
    </w:lvl>
  </w:abstractNum>
  <w:abstractNum w:abstractNumId="7" w15:restartNumberingAfterBreak="0">
    <w:nsid w:val="2354785C"/>
    <w:multiLevelType w:val="hybridMultilevel"/>
    <w:tmpl w:val="63704D7C"/>
    <w:lvl w:ilvl="0" w:tplc="05389998">
      <w:start w:val="1"/>
      <w:numFmt w:val="bullet"/>
      <w:lvlText w:val=""/>
      <w:lvlJc w:val="left"/>
      <w:pPr>
        <w:tabs>
          <w:tab w:val="num" w:pos="720"/>
        </w:tabs>
        <w:ind w:left="720" w:hanging="360"/>
      </w:pPr>
      <w:rPr>
        <w:rFonts w:ascii="Symbol" w:hAnsi="Symbol" w:hint="default"/>
      </w:rPr>
    </w:lvl>
    <w:lvl w:ilvl="1" w:tplc="E95C26FA" w:tentative="1">
      <w:start w:val="1"/>
      <w:numFmt w:val="bullet"/>
      <w:lvlText w:val=""/>
      <w:lvlJc w:val="left"/>
      <w:pPr>
        <w:tabs>
          <w:tab w:val="num" w:pos="1440"/>
        </w:tabs>
        <w:ind w:left="1440" w:hanging="360"/>
      </w:pPr>
      <w:rPr>
        <w:rFonts w:ascii="Symbol" w:hAnsi="Symbol" w:hint="default"/>
      </w:rPr>
    </w:lvl>
    <w:lvl w:ilvl="2" w:tplc="A75CE94C" w:tentative="1">
      <w:start w:val="1"/>
      <w:numFmt w:val="bullet"/>
      <w:lvlText w:val=""/>
      <w:lvlJc w:val="left"/>
      <w:pPr>
        <w:tabs>
          <w:tab w:val="num" w:pos="2160"/>
        </w:tabs>
        <w:ind w:left="2160" w:hanging="360"/>
      </w:pPr>
      <w:rPr>
        <w:rFonts w:ascii="Symbol" w:hAnsi="Symbol" w:hint="default"/>
      </w:rPr>
    </w:lvl>
    <w:lvl w:ilvl="3" w:tplc="C4241174" w:tentative="1">
      <w:start w:val="1"/>
      <w:numFmt w:val="bullet"/>
      <w:lvlText w:val=""/>
      <w:lvlJc w:val="left"/>
      <w:pPr>
        <w:tabs>
          <w:tab w:val="num" w:pos="2880"/>
        </w:tabs>
        <w:ind w:left="2880" w:hanging="360"/>
      </w:pPr>
      <w:rPr>
        <w:rFonts w:ascii="Symbol" w:hAnsi="Symbol" w:hint="default"/>
      </w:rPr>
    </w:lvl>
    <w:lvl w:ilvl="4" w:tplc="F322F270" w:tentative="1">
      <w:start w:val="1"/>
      <w:numFmt w:val="bullet"/>
      <w:lvlText w:val=""/>
      <w:lvlJc w:val="left"/>
      <w:pPr>
        <w:tabs>
          <w:tab w:val="num" w:pos="3600"/>
        </w:tabs>
        <w:ind w:left="3600" w:hanging="360"/>
      </w:pPr>
      <w:rPr>
        <w:rFonts w:ascii="Symbol" w:hAnsi="Symbol" w:hint="default"/>
      </w:rPr>
    </w:lvl>
    <w:lvl w:ilvl="5" w:tplc="7A847960" w:tentative="1">
      <w:start w:val="1"/>
      <w:numFmt w:val="bullet"/>
      <w:lvlText w:val=""/>
      <w:lvlJc w:val="left"/>
      <w:pPr>
        <w:tabs>
          <w:tab w:val="num" w:pos="4320"/>
        </w:tabs>
        <w:ind w:left="4320" w:hanging="360"/>
      </w:pPr>
      <w:rPr>
        <w:rFonts w:ascii="Symbol" w:hAnsi="Symbol" w:hint="default"/>
      </w:rPr>
    </w:lvl>
    <w:lvl w:ilvl="6" w:tplc="E97CF78C" w:tentative="1">
      <w:start w:val="1"/>
      <w:numFmt w:val="bullet"/>
      <w:lvlText w:val=""/>
      <w:lvlJc w:val="left"/>
      <w:pPr>
        <w:tabs>
          <w:tab w:val="num" w:pos="5040"/>
        </w:tabs>
        <w:ind w:left="5040" w:hanging="360"/>
      </w:pPr>
      <w:rPr>
        <w:rFonts w:ascii="Symbol" w:hAnsi="Symbol" w:hint="default"/>
      </w:rPr>
    </w:lvl>
    <w:lvl w:ilvl="7" w:tplc="67606C76" w:tentative="1">
      <w:start w:val="1"/>
      <w:numFmt w:val="bullet"/>
      <w:lvlText w:val=""/>
      <w:lvlJc w:val="left"/>
      <w:pPr>
        <w:tabs>
          <w:tab w:val="num" w:pos="5760"/>
        </w:tabs>
        <w:ind w:left="5760" w:hanging="360"/>
      </w:pPr>
      <w:rPr>
        <w:rFonts w:ascii="Symbol" w:hAnsi="Symbol" w:hint="default"/>
      </w:rPr>
    </w:lvl>
    <w:lvl w:ilvl="8" w:tplc="6AF8411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79A7FC3"/>
    <w:multiLevelType w:val="hybridMultilevel"/>
    <w:tmpl w:val="63E853C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3341A"/>
    <w:multiLevelType w:val="hybridMultilevel"/>
    <w:tmpl w:val="948C41E2"/>
    <w:lvl w:ilvl="0" w:tplc="476EC8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472A5"/>
    <w:multiLevelType w:val="hybridMultilevel"/>
    <w:tmpl w:val="E3408DC2"/>
    <w:lvl w:ilvl="0" w:tplc="B0683738">
      <w:start w:val="1"/>
      <w:numFmt w:val="decimal"/>
      <w:lvlText w:val="%1."/>
      <w:lvlJc w:val="left"/>
      <w:pPr>
        <w:ind w:left="1020" w:hanging="360"/>
      </w:pPr>
    </w:lvl>
    <w:lvl w:ilvl="1" w:tplc="A6802ABE">
      <w:start w:val="1"/>
      <w:numFmt w:val="decimal"/>
      <w:lvlText w:val="%2."/>
      <w:lvlJc w:val="left"/>
      <w:pPr>
        <w:ind w:left="1020" w:hanging="360"/>
      </w:pPr>
    </w:lvl>
    <w:lvl w:ilvl="2" w:tplc="2F74BCDC">
      <w:start w:val="1"/>
      <w:numFmt w:val="decimal"/>
      <w:lvlText w:val="%3."/>
      <w:lvlJc w:val="left"/>
      <w:pPr>
        <w:ind w:left="1020" w:hanging="360"/>
      </w:pPr>
    </w:lvl>
    <w:lvl w:ilvl="3" w:tplc="FE6ADC6E">
      <w:start w:val="1"/>
      <w:numFmt w:val="decimal"/>
      <w:lvlText w:val="%4."/>
      <w:lvlJc w:val="left"/>
      <w:pPr>
        <w:ind w:left="1020" w:hanging="360"/>
      </w:pPr>
    </w:lvl>
    <w:lvl w:ilvl="4" w:tplc="03029E9E">
      <w:start w:val="1"/>
      <w:numFmt w:val="decimal"/>
      <w:lvlText w:val="%5."/>
      <w:lvlJc w:val="left"/>
      <w:pPr>
        <w:ind w:left="1020" w:hanging="360"/>
      </w:pPr>
    </w:lvl>
    <w:lvl w:ilvl="5" w:tplc="90105E3E">
      <w:start w:val="1"/>
      <w:numFmt w:val="decimal"/>
      <w:lvlText w:val="%6."/>
      <w:lvlJc w:val="left"/>
      <w:pPr>
        <w:ind w:left="1020" w:hanging="360"/>
      </w:pPr>
    </w:lvl>
    <w:lvl w:ilvl="6" w:tplc="F4F2A512">
      <w:start w:val="1"/>
      <w:numFmt w:val="decimal"/>
      <w:lvlText w:val="%7."/>
      <w:lvlJc w:val="left"/>
      <w:pPr>
        <w:ind w:left="1020" w:hanging="360"/>
      </w:pPr>
    </w:lvl>
    <w:lvl w:ilvl="7" w:tplc="1100ACDA">
      <w:start w:val="1"/>
      <w:numFmt w:val="decimal"/>
      <w:lvlText w:val="%8."/>
      <w:lvlJc w:val="left"/>
      <w:pPr>
        <w:ind w:left="1020" w:hanging="360"/>
      </w:pPr>
    </w:lvl>
    <w:lvl w:ilvl="8" w:tplc="D44610F4">
      <w:start w:val="1"/>
      <w:numFmt w:val="decimal"/>
      <w:lvlText w:val="%9."/>
      <w:lvlJc w:val="left"/>
      <w:pPr>
        <w:ind w:left="1020" w:hanging="360"/>
      </w:pPr>
    </w:lvl>
  </w:abstractNum>
  <w:abstractNum w:abstractNumId="1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5F4CFF"/>
    <w:multiLevelType w:val="hybridMultilevel"/>
    <w:tmpl w:val="556C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AE029F"/>
    <w:multiLevelType w:val="hybridMultilevel"/>
    <w:tmpl w:val="9BA4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324A3"/>
    <w:multiLevelType w:val="hybridMultilevel"/>
    <w:tmpl w:val="72A46C1C"/>
    <w:lvl w:ilvl="0" w:tplc="0EECF498">
      <w:start w:val="1"/>
      <w:numFmt w:val="bullet"/>
      <w:lvlText w:val=""/>
      <w:lvlJc w:val="left"/>
      <w:pPr>
        <w:tabs>
          <w:tab w:val="num" w:pos="720"/>
        </w:tabs>
        <w:ind w:left="720" w:hanging="360"/>
      </w:pPr>
      <w:rPr>
        <w:rFonts w:ascii="Symbol" w:hAnsi="Symbol" w:hint="default"/>
      </w:rPr>
    </w:lvl>
    <w:lvl w:ilvl="1" w:tplc="F72A89A6" w:tentative="1">
      <w:start w:val="1"/>
      <w:numFmt w:val="bullet"/>
      <w:lvlText w:val=""/>
      <w:lvlJc w:val="left"/>
      <w:pPr>
        <w:tabs>
          <w:tab w:val="num" w:pos="1440"/>
        </w:tabs>
        <w:ind w:left="1440" w:hanging="360"/>
      </w:pPr>
      <w:rPr>
        <w:rFonts w:ascii="Symbol" w:hAnsi="Symbol" w:hint="default"/>
      </w:rPr>
    </w:lvl>
    <w:lvl w:ilvl="2" w:tplc="32B47676" w:tentative="1">
      <w:start w:val="1"/>
      <w:numFmt w:val="bullet"/>
      <w:lvlText w:val=""/>
      <w:lvlJc w:val="left"/>
      <w:pPr>
        <w:tabs>
          <w:tab w:val="num" w:pos="2160"/>
        </w:tabs>
        <w:ind w:left="2160" w:hanging="360"/>
      </w:pPr>
      <w:rPr>
        <w:rFonts w:ascii="Symbol" w:hAnsi="Symbol" w:hint="default"/>
      </w:rPr>
    </w:lvl>
    <w:lvl w:ilvl="3" w:tplc="1E38B5B8" w:tentative="1">
      <w:start w:val="1"/>
      <w:numFmt w:val="bullet"/>
      <w:lvlText w:val=""/>
      <w:lvlJc w:val="left"/>
      <w:pPr>
        <w:tabs>
          <w:tab w:val="num" w:pos="2880"/>
        </w:tabs>
        <w:ind w:left="2880" w:hanging="360"/>
      </w:pPr>
      <w:rPr>
        <w:rFonts w:ascii="Symbol" w:hAnsi="Symbol" w:hint="default"/>
      </w:rPr>
    </w:lvl>
    <w:lvl w:ilvl="4" w:tplc="D9A88F04" w:tentative="1">
      <w:start w:val="1"/>
      <w:numFmt w:val="bullet"/>
      <w:lvlText w:val=""/>
      <w:lvlJc w:val="left"/>
      <w:pPr>
        <w:tabs>
          <w:tab w:val="num" w:pos="3600"/>
        </w:tabs>
        <w:ind w:left="3600" w:hanging="360"/>
      </w:pPr>
      <w:rPr>
        <w:rFonts w:ascii="Symbol" w:hAnsi="Symbol" w:hint="default"/>
      </w:rPr>
    </w:lvl>
    <w:lvl w:ilvl="5" w:tplc="2870DF34" w:tentative="1">
      <w:start w:val="1"/>
      <w:numFmt w:val="bullet"/>
      <w:lvlText w:val=""/>
      <w:lvlJc w:val="left"/>
      <w:pPr>
        <w:tabs>
          <w:tab w:val="num" w:pos="4320"/>
        </w:tabs>
        <w:ind w:left="4320" w:hanging="360"/>
      </w:pPr>
      <w:rPr>
        <w:rFonts w:ascii="Symbol" w:hAnsi="Symbol" w:hint="default"/>
      </w:rPr>
    </w:lvl>
    <w:lvl w:ilvl="6" w:tplc="70D8A0A2" w:tentative="1">
      <w:start w:val="1"/>
      <w:numFmt w:val="bullet"/>
      <w:lvlText w:val=""/>
      <w:lvlJc w:val="left"/>
      <w:pPr>
        <w:tabs>
          <w:tab w:val="num" w:pos="5040"/>
        </w:tabs>
        <w:ind w:left="5040" w:hanging="360"/>
      </w:pPr>
      <w:rPr>
        <w:rFonts w:ascii="Symbol" w:hAnsi="Symbol" w:hint="default"/>
      </w:rPr>
    </w:lvl>
    <w:lvl w:ilvl="7" w:tplc="0FFA5184" w:tentative="1">
      <w:start w:val="1"/>
      <w:numFmt w:val="bullet"/>
      <w:lvlText w:val=""/>
      <w:lvlJc w:val="left"/>
      <w:pPr>
        <w:tabs>
          <w:tab w:val="num" w:pos="5760"/>
        </w:tabs>
        <w:ind w:left="5760" w:hanging="360"/>
      </w:pPr>
      <w:rPr>
        <w:rFonts w:ascii="Symbol" w:hAnsi="Symbol" w:hint="default"/>
      </w:rPr>
    </w:lvl>
    <w:lvl w:ilvl="8" w:tplc="BB1259A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E252072"/>
    <w:multiLevelType w:val="hybridMultilevel"/>
    <w:tmpl w:val="FE1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5894141">
    <w:abstractNumId w:val="5"/>
  </w:num>
  <w:num w:numId="2" w16cid:durableId="411315745">
    <w:abstractNumId w:val="11"/>
  </w:num>
  <w:num w:numId="3" w16cid:durableId="768818958">
    <w:abstractNumId w:val="11"/>
    <w:lvlOverride w:ilvl="0">
      <w:startOverride w:val="1"/>
    </w:lvlOverride>
  </w:num>
  <w:num w:numId="4" w16cid:durableId="1890258398">
    <w:abstractNumId w:val="11"/>
    <w:lvlOverride w:ilvl="0">
      <w:startOverride w:val="1"/>
    </w:lvlOverride>
  </w:num>
  <w:num w:numId="5" w16cid:durableId="649091149">
    <w:abstractNumId w:val="13"/>
  </w:num>
  <w:num w:numId="6" w16cid:durableId="934098631">
    <w:abstractNumId w:val="4"/>
  </w:num>
  <w:num w:numId="7" w16cid:durableId="151024048">
    <w:abstractNumId w:val="11"/>
    <w:lvlOverride w:ilvl="0">
      <w:startOverride w:val="1"/>
    </w:lvlOverride>
  </w:num>
  <w:num w:numId="8" w16cid:durableId="1836610287">
    <w:abstractNumId w:val="11"/>
    <w:lvlOverride w:ilvl="0">
      <w:startOverride w:val="1"/>
    </w:lvlOverride>
  </w:num>
  <w:num w:numId="9" w16cid:durableId="2006547766">
    <w:abstractNumId w:val="11"/>
    <w:lvlOverride w:ilvl="0">
      <w:startOverride w:val="1"/>
    </w:lvlOverride>
  </w:num>
  <w:num w:numId="10" w16cid:durableId="1379822385">
    <w:abstractNumId w:val="16"/>
  </w:num>
  <w:num w:numId="11" w16cid:durableId="1276981909">
    <w:abstractNumId w:val="12"/>
  </w:num>
  <w:num w:numId="12" w16cid:durableId="1977682116">
    <w:abstractNumId w:val="13"/>
  </w:num>
  <w:num w:numId="13" w16cid:durableId="1696269951">
    <w:abstractNumId w:val="13"/>
  </w:num>
  <w:num w:numId="14" w16cid:durableId="1555584703">
    <w:abstractNumId w:val="0"/>
  </w:num>
  <w:num w:numId="15" w16cid:durableId="366376057">
    <w:abstractNumId w:val="15"/>
  </w:num>
  <w:num w:numId="16" w16cid:durableId="1909922326">
    <w:abstractNumId w:val="7"/>
  </w:num>
  <w:num w:numId="17" w16cid:durableId="2124684593">
    <w:abstractNumId w:val="6"/>
  </w:num>
  <w:num w:numId="18" w16cid:durableId="906037808">
    <w:abstractNumId w:val="3"/>
  </w:num>
  <w:num w:numId="19" w16cid:durableId="1378120932">
    <w:abstractNumId w:val="9"/>
  </w:num>
  <w:num w:numId="20" w16cid:durableId="219564270">
    <w:abstractNumId w:val="2"/>
  </w:num>
  <w:num w:numId="21" w16cid:durableId="1372995176">
    <w:abstractNumId w:val="10"/>
  </w:num>
  <w:num w:numId="22" w16cid:durableId="156461346">
    <w:abstractNumId w:val="1"/>
  </w:num>
  <w:num w:numId="23" w16cid:durableId="129251663">
    <w:abstractNumId w:val="14"/>
  </w:num>
  <w:num w:numId="24" w16cid:durableId="814756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0077E"/>
    <w:rsid w:val="00006FDF"/>
    <w:rsid w:val="00017776"/>
    <w:rsid w:val="00017825"/>
    <w:rsid w:val="00021DCB"/>
    <w:rsid w:val="00025428"/>
    <w:rsid w:val="00025DF3"/>
    <w:rsid w:val="00030679"/>
    <w:rsid w:val="00045E13"/>
    <w:rsid w:val="000502CA"/>
    <w:rsid w:val="00055F8D"/>
    <w:rsid w:val="00065484"/>
    <w:rsid w:val="00066589"/>
    <w:rsid w:val="0007092D"/>
    <w:rsid w:val="00072A34"/>
    <w:rsid w:val="00074F02"/>
    <w:rsid w:val="00077882"/>
    <w:rsid w:val="00080BCC"/>
    <w:rsid w:val="00094F36"/>
    <w:rsid w:val="000A2356"/>
    <w:rsid w:val="000A3684"/>
    <w:rsid w:val="000B7CE5"/>
    <w:rsid w:val="000C1AA4"/>
    <w:rsid w:val="000C6D02"/>
    <w:rsid w:val="000E07A0"/>
    <w:rsid w:val="000E2B01"/>
    <w:rsid w:val="000E5A2E"/>
    <w:rsid w:val="000F1407"/>
    <w:rsid w:val="0010098A"/>
    <w:rsid w:val="00100CEB"/>
    <w:rsid w:val="001220C9"/>
    <w:rsid w:val="00123E7B"/>
    <w:rsid w:val="00130FA7"/>
    <w:rsid w:val="001312A9"/>
    <w:rsid w:val="00133CD1"/>
    <w:rsid w:val="001405B7"/>
    <w:rsid w:val="00144289"/>
    <w:rsid w:val="00152BF7"/>
    <w:rsid w:val="00153682"/>
    <w:rsid w:val="00155730"/>
    <w:rsid w:val="00156F0A"/>
    <w:rsid w:val="00163AE3"/>
    <w:rsid w:val="001869DB"/>
    <w:rsid w:val="0019463F"/>
    <w:rsid w:val="00197CF8"/>
    <w:rsid w:val="001A3856"/>
    <w:rsid w:val="001B3A98"/>
    <w:rsid w:val="001B3B4C"/>
    <w:rsid w:val="001B3D6A"/>
    <w:rsid w:val="001B461C"/>
    <w:rsid w:val="001D0846"/>
    <w:rsid w:val="001D0DE0"/>
    <w:rsid w:val="001D29C1"/>
    <w:rsid w:val="001D39A4"/>
    <w:rsid w:val="001D6660"/>
    <w:rsid w:val="001D7F3A"/>
    <w:rsid w:val="001E0A36"/>
    <w:rsid w:val="001E0D67"/>
    <w:rsid w:val="001E6A8F"/>
    <w:rsid w:val="00206BB9"/>
    <w:rsid w:val="0021791D"/>
    <w:rsid w:val="00222C6E"/>
    <w:rsid w:val="00232F10"/>
    <w:rsid w:val="00233F1A"/>
    <w:rsid w:val="00235C52"/>
    <w:rsid w:val="00236B73"/>
    <w:rsid w:val="0023702A"/>
    <w:rsid w:val="002449A4"/>
    <w:rsid w:val="00246196"/>
    <w:rsid w:val="00265727"/>
    <w:rsid w:val="00274B14"/>
    <w:rsid w:val="002903BA"/>
    <w:rsid w:val="00290E4E"/>
    <w:rsid w:val="002923D5"/>
    <w:rsid w:val="00292A6D"/>
    <w:rsid w:val="002965B1"/>
    <w:rsid w:val="002A027E"/>
    <w:rsid w:val="002A03E7"/>
    <w:rsid w:val="002B6690"/>
    <w:rsid w:val="002C03C0"/>
    <w:rsid w:val="002C1236"/>
    <w:rsid w:val="002C1E1B"/>
    <w:rsid w:val="002C30F0"/>
    <w:rsid w:val="002D2DB4"/>
    <w:rsid w:val="002F21F5"/>
    <w:rsid w:val="002F3A6A"/>
    <w:rsid w:val="002F65B2"/>
    <w:rsid w:val="0030387C"/>
    <w:rsid w:val="00306A56"/>
    <w:rsid w:val="00306BCA"/>
    <w:rsid w:val="003108B2"/>
    <w:rsid w:val="003203CB"/>
    <w:rsid w:val="0032242F"/>
    <w:rsid w:val="003227DD"/>
    <w:rsid w:val="00322D8A"/>
    <w:rsid w:val="00327C4D"/>
    <w:rsid w:val="00332955"/>
    <w:rsid w:val="00341FBF"/>
    <w:rsid w:val="00343F6F"/>
    <w:rsid w:val="00344586"/>
    <w:rsid w:val="00353A69"/>
    <w:rsid w:val="00353EBF"/>
    <w:rsid w:val="003575EF"/>
    <w:rsid w:val="00357C23"/>
    <w:rsid w:val="0036265B"/>
    <w:rsid w:val="00363489"/>
    <w:rsid w:val="003754A2"/>
    <w:rsid w:val="003816EA"/>
    <w:rsid w:val="003872A8"/>
    <w:rsid w:val="003A1CEC"/>
    <w:rsid w:val="003C0D0F"/>
    <w:rsid w:val="003C29FC"/>
    <w:rsid w:val="003C4C08"/>
    <w:rsid w:val="003C5770"/>
    <w:rsid w:val="003D1714"/>
    <w:rsid w:val="003F4BD0"/>
    <w:rsid w:val="003F62F1"/>
    <w:rsid w:val="0040062A"/>
    <w:rsid w:val="00401597"/>
    <w:rsid w:val="004041C7"/>
    <w:rsid w:val="00413D08"/>
    <w:rsid w:val="00426B9A"/>
    <w:rsid w:val="0043194D"/>
    <w:rsid w:val="00432798"/>
    <w:rsid w:val="00434D39"/>
    <w:rsid w:val="004411D8"/>
    <w:rsid w:val="00443150"/>
    <w:rsid w:val="00444134"/>
    <w:rsid w:val="004459C2"/>
    <w:rsid w:val="004516E0"/>
    <w:rsid w:val="00461828"/>
    <w:rsid w:val="004641A7"/>
    <w:rsid w:val="0046667F"/>
    <w:rsid w:val="004666B5"/>
    <w:rsid w:val="00467643"/>
    <w:rsid w:val="00473F21"/>
    <w:rsid w:val="004740DD"/>
    <w:rsid w:val="00480980"/>
    <w:rsid w:val="00480A9A"/>
    <w:rsid w:val="00491DB2"/>
    <w:rsid w:val="004957B7"/>
    <w:rsid w:val="004A0B2C"/>
    <w:rsid w:val="004A4242"/>
    <w:rsid w:val="004B2F7F"/>
    <w:rsid w:val="004C24E5"/>
    <w:rsid w:val="004C403F"/>
    <w:rsid w:val="004D0049"/>
    <w:rsid w:val="004D1D85"/>
    <w:rsid w:val="004D38A2"/>
    <w:rsid w:val="004D49FE"/>
    <w:rsid w:val="004E2304"/>
    <w:rsid w:val="004E34CD"/>
    <w:rsid w:val="004E4453"/>
    <w:rsid w:val="004E6FA1"/>
    <w:rsid w:val="004F3848"/>
    <w:rsid w:val="004F3CFA"/>
    <w:rsid w:val="004F6FEF"/>
    <w:rsid w:val="00511714"/>
    <w:rsid w:val="00513FF9"/>
    <w:rsid w:val="00515159"/>
    <w:rsid w:val="00521152"/>
    <w:rsid w:val="005220C7"/>
    <w:rsid w:val="005258B3"/>
    <w:rsid w:val="0053464B"/>
    <w:rsid w:val="00545268"/>
    <w:rsid w:val="005854C5"/>
    <w:rsid w:val="00585B8E"/>
    <w:rsid w:val="00592C35"/>
    <w:rsid w:val="00592E1A"/>
    <w:rsid w:val="00595180"/>
    <w:rsid w:val="005A2EB8"/>
    <w:rsid w:val="005A4153"/>
    <w:rsid w:val="005B7E80"/>
    <w:rsid w:val="005C76A5"/>
    <w:rsid w:val="005D1C23"/>
    <w:rsid w:val="005E2754"/>
    <w:rsid w:val="005E31A1"/>
    <w:rsid w:val="005E65BF"/>
    <w:rsid w:val="005F7B84"/>
    <w:rsid w:val="00616B35"/>
    <w:rsid w:val="00617769"/>
    <w:rsid w:val="00623875"/>
    <w:rsid w:val="00633110"/>
    <w:rsid w:val="006337A3"/>
    <w:rsid w:val="00634CC1"/>
    <w:rsid w:val="0066074C"/>
    <w:rsid w:val="00661750"/>
    <w:rsid w:val="00661961"/>
    <w:rsid w:val="00665E07"/>
    <w:rsid w:val="0066646F"/>
    <w:rsid w:val="00671161"/>
    <w:rsid w:val="00685065"/>
    <w:rsid w:val="00687044"/>
    <w:rsid w:val="006927FF"/>
    <w:rsid w:val="006A1920"/>
    <w:rsid w:val="006A3040"/>
    <w:rsid w:val="006A721C"/>
    <w:rsid w:val="006A7D3F"/>
    <w:rsid w:val="006B082A"/>
    <w:rsid w:val="006B1B6F"/>
    <w:rsid w:val="006B7206"/>
    <w:rsid w:val="006B7E81"/>
    <w:rsid w:val="006C13E7"/>
    <w:rsid w:val="006D49BC"/>
    <w:rsid w:val="006E0A0A"/>
    <w:rsid w:val="006F0C09"/>
    <w:rsid w:val="007018A3"/>
    <w:rsid w:val="00702718"/>
    <w:rsid w:val="00703D87"/>
    <w:rsid w:val="00704573"/>
    <w:rsid w:val="0071149B"/>
    <w:rsid w:val="00712C82"/>
    <w:rsid w:val="0072314C"/>
    <w:rsid w:val="007332ED"/>
    <w:rsid w:val="00742833"/>
    <w:rsid w:val="0076381C"/>
    <w:rsid w:val="00766FF5"/>
    <w:rsid w:val="00770B31"/>
    <w:rsid w:val="00771669"/>
    <w:rsid w:val="00780DC2"/>
    <w:rsid w:val="00790F87"/>
    <w:rsid w:val="00791418"/>
    <w:rsid w:val="0079728E"/>
    <w:rsid w:val="007A0F9E"/>
    <w:rsid w:val="007B7427"/>
    <w:rsid w:val="007C5166"/>
    <w:rsid w:val="007C76D3"/>
    <w:rsid w:val="007D0774"/>
    <w:rsid w:val="007D3457"/>
    <w:rsid w:val="007D43DA"/>
    <w:rsid w:val="007D522F"/>
    <w:rsid w:val="007D53CA"/>
    <w:rsid w:val="007F312B"/>
    <w:rsid w:val="007F6492"/>
    <w:rsid w:val="007F6A17"/>
    <w:rsid w:val="008009CE"/>
    <w:rsid w:val="00801B1F"/>
    <w:rsid w:val="00823359"/>
    <w:rsid w:val="00827BFC"/>
    <w:rsid w:val="0083220B"/>
    <w:rsid w:val="0083C6B1"/>
    <w:rsid w:val="00843885"/>
    <w:rsid w:val="00845374"/>
    <w:rsid w:val="008519E9"/>
    <w:rsid w:val="00857F11"/>
    <w:rsid w:val="00865EA9"/>
    <w:rsid w:val="008662C1"/>
    <w:rsid w:val="00870A3F"/>
    <w:rsid w:val="008714F6"/>
    <w:rsid w:val="008728F0"/>
    <w:rsid w:val="00877949"/>
    <w:rsid w:val="00890C17"/>
    <w:rsid w:val="0089204B"/>
    <w:rsid w:val="00892737"/>
    <w:rsid w:val="00895DD6"/>
    <w:rsid w:val="008A1F79"/>
    <w:rsid w:val="008A226C"/>
    <w:rsid w:val="008A403B"/>
    <w:rsid w:val="008A7873"/>
    <w:rsid w:val="008A7880"/>
    <w:rsid w:val="008B0839"/>
    <w:rsid w:val="008B0F13"/>
    <w:rsid w:val="008B1B19"/>
    <w:rsid w:val="008B68E7"/>
    <w:rsid w:val="008B7D16"/>
    <w:rsid w:val="008C2F65"/>
    <w:rsid w:val="008C3BB8"/>
    <w:rsid w:val="008D065E"/>
    <w:rsid w:val="008D25CF"/>
    <w:rsid w:val="008D2815"/>
    <w:rsid w:val="008D2F59"/>
    <w:rsid w:val="008D5FFE"/>
    <w:rsid w:val="008E290E"/>
    <w:rsid w:val="008F6E18"/>
    <w:rsid w:val="00900C4B"/>
    <w:rsid w:val="00901F0F"/>
    <w:rsid w:val="009026A6"/>
    <w:rsid w:val="00907E14"/>
    <w:rsid w:val="0091100D"/>
    <w:rsid w:val="00917FE4"/>
    <w:rsid w:val="00923F90"/>
    <w:rsid w:val="009277FB"/>
    <w:rsid w:val="00947AD0"/>
    <w:rsid w:val="009526F7"/>
    <w:rsid w:val="0095495A"/>
    <w:rsid w:val="0095740E"/>
    <w:rsid w:val="00965509"/>
    <w:rsid w:val="0099135A"/>
    <w:rsid w:val="009952A4"/>
    <w:rsid w:val="009A030D"/>
    <w:rsid w:val="009A649F"/>
    <w:rsid w:val="009B2A87"/>
    <w:rsid w:val="009B5A0B"/>
    <w:rsid w:val="009C29CC"/>
    <w:rsid w:val="009D13AB"/>
    <w:rsid w:val="009D7B89"/>
    <w:rsid w:val="009E2520"/>
    <w:rsid w:val="009F4957"/>
    <w:rsid w:val="00A01D6E"/>
    <w:rsid w:val="00A10BF3"/>
    <w:rsid w:val="00A17774"/>
    <w:rsid w:val="00A218F1"/>
    <w:rsid w:val="00A2698E"/>
    <w:rsid w:val="00A4001E"/>
    <w:rsid w:val="00A63A07"/>
    <w:rsid w:val="00A71100"/>
    <w:rsid w:val="00A735CF"/>
    <w:rsid w:val="00A7750B"/>
    <w:rsid w:val="00A80E11"/>
    <w:rsid w:val="00A874EB"/>
    <w:rsid w:val="00AA1E9B"/>
    <w:rsid w:val="00AA6ACC"/>
    <w:rsid w:val="00AB6314"/>
    <w:rsid w:val="00AC6062"/>
    <w:rsid w:val="00AC7A86"/>
    <w:rsid w:val="00AE166C"/>
    <w:rsid w:val="00AE31D0"/>
    <w:rsid w:val="00AF7C26"/>
    <w:rsid w:val="00B057A4"/>
    <w:rsid w:val="00B12A73"/>
    <w:rsid w:val="00B16B6A"/>
    <w:rsid w:val="00B24C7F"/>
    <w:rsid w:val="00B34701"/>
    <w:rsid w:val="00B35181"/>
    <w:rsid w:val="00B36FC8"/>
    <w:rsid w:val="00B45010"/>
    <w:rsid w:val="00B4776F"/>
    <w:rsid w:val="00B50550"/>
    <w:rsid w:val="00B50FBF"/>
    <w:rsid w:val="00B54BE6"/>
    <w:rsid w:val="00B578F2"/>
    <w:rsid w:val="00B63BA1"/>
    <w:rsid w:val="00B76033"/>
    <w:rsid w:val="00B772ED"/>
    <w:rsid w:val="00B818B4"/>
    <w:rsid w:val="00B92A48"/>
    <w:rsid w:val="00B9603E"/>
    <w:rsid w:val="00BA064E"/>
    <w:rsid w:val="00BB6C40"/>
    <w:rsid w:val="00BB7E09"/>
    <w:rsid w:val="00BC50D3"/>
    <w:rsid w:val="00BD1D28"/>
    <w:rsid w:val="00BE1E5B"/>
    <w:rsid w:val="00BE7DC3"/>
    <w:rsid w:val="00C02DDF"/>
    <w:rsid w:val="00C02F9A"/>
    <w:rsid w:val="00C107A8"/>
    <w:rsid w:val="00C12648"/>
    <w:rsid w:val="00C13173"/>
    <w:rsid w:val="00C33D8D"/>
    <w:rsid w:val="00C403E0"/>
    <w:rsid w:val="00C40760"/>
    <w:rsid w:val="00C43F39"/>
    <w:rsid w:val="00C510A1"/>
    <w:rsid w:val="00C521F6"/>
    <w:rsid w:val="00C52EC4"/>
    <w:rsid w:val="00C60EBF"/>
    <w:rsid w:val="00C60EE9"/>
    <w:rsid w:val="00C700DC"/>
    <w:rsid w:val="00C71682"/>
    <w:rsid w:val="00C77021"/>
    <w:rsid w:val="00C8771C"/>
    <w:rsid w:val="00C92326"/>
    <w:rsid w:val="00C94B61"/>
    <w:rsid w:val="00C954B3"/>
    <w:rsid w:val="00CB02DE"/>
    <w:rsid w:val="00CB23F5"/>
    <w:rsid w:val="00CB7C57"/>
    <w:rsid w:val="00CC2B03"/>
    <w:rsid w:val="00CC4616"/>
    <w:rsid w:val="00CC5EEC"/>
    <w:rsid w:val="00CD19DE"/>
    <w:rsid w:val="00CD260F"/>
    <w:rsid w:val="00CD59B1"/>
    <w:rsid w:val="00CD624F"/>
    <w:rsid w:val="00CF14DB"/>
    <w:rsid w:val="00CF2F96"/>
    <w:rsid w:val="00CF56CE"/>
    <w:rsid w:val="00CF5E36"/>
    <w:rsid w:val="00D1292B"/>
    <w:rsid w:val="00D13E7A"/>
    <w:rsid w:val="00D21205"/>
    <w:rsid w:val="00D26781"/>
    <w:rsid w:val="00D3023D"/>
    <w:rsid w:val="00D32B6E"/>
    <w:rsid w:val="00D33E33"/>
    <w:rsid w:val="00D34ADE"/>
    <w:rsid w:val="00D44CAE"/>
    <w:rsid w:val="00D5007C"/>
    <w:rsid w:val="00D50262"/>
    <w:rsid w:val="00D51D2E"/>
    <w:rsid w:val="00D53B69"/>
    <w:rsid w:val="00D53E1D"/>
    <w:rsid w:val="00D6301C"/>
    <w:rsid w:val="00D700C8"/>
    <w:rsid w:val="00D708FA"/>
    <w:rsid w:val="00D87013"/>
    <w:rsid w:val="00D93F61"/>
    <w:rsid w:val="00D96ED4"/>
    <w:rsid w:val="00DA3F0A"/>
    <w:rsid w:val="00DA6024"/>
    <w:rsid w:val="00DB608B"/>
    <w:rsid w:val="00DC08A6"/>
    <w:rsid w:val="00DC250A"/>
    <w:rsid w:val="00DC3C96"/>
    <w:rsid w:val="00DF79EE"/>
    <w:rsid w:val="00E03446"/>
    <w:rsid w:val="00E035AF"/>
    <w:rsid w:val="00E04E90"/>
    <w:rsid w:val="00E0758F"/>
    <w:rsid w:val="00E07E75"/>
    <w:rsid w:val="00E100FE"/>
    <w:rsid w:val="00E13AE1"/>
    <w:rsid w:val="00E363E8"/>
    <w:rsid w:val="00E4499B"/>
    <w:rsid w:val="00E467E1"/>
    <w:rsid w:val="00E50E59"/>
    <w:rsid w:val="00E5168F"/>
    <w:rsid w:val="00E62203"/>
    <w:rsid w:val="00E83793"/>
    <w:rsid w:val="00E84101"/>
    <w:rsid w:val="00E87006"/>
    <w:rsid w:val="00E924C4"/>
    <w:rsid w:val="00E974D1"/>
    <w:rsid w:val="00EA467A"/>
    <w:rsid w:val="00EA636B"/>
    <w:rsid w:val="00EB31D3"/>
    <w:rsid w:val="00EC1229"/>
    <w:rsid w:val="00EC28B8"/>
    <w:rsid w:val="00EE0299"/>
    <w:rsid w:val="00EE32FE"/>
    <w:rsid w:val="00EF025A"/>
    <w:rsid w:val="00F10947"/>
    <w:rsid w:val="00F119EF"/>
    <w:rsid w:val="00F12B1C"/>
    <w:rsid w:val="00F17335"/>
    <w:rsid w:val="00F24563"/>
    <w:rsid w:val="00F40F77"/>
    <w:rsid w:val="00F42973"/>
    <w:rsid w:val="00F4424D"/>
    <w:rsid w:val="00F46B16"/>
    <w:rsid w:val="00F5A847"/>
    <w:rsid w:val="00F63247"/>
    <w:rsid w:val="00F65EBF"/>
    <w:rsid w:val="00F65F39"/>
    <w:rsid w:val="00F74B5D"/>
    <w:rsid w:val="00F76B6A"/>
    <w:rsid w:val="00F83FB0"/>
    <w:rsid w:val="00F959D5"/>
    <w:rsid w:val="00FA6592"/>
    <w:rsid w:val="00FB22C4"/>
    <w:rsid w:val="00FB27C3"/>
    <w:rsid w:val="00FB4867"/>
    <w:rsid w:val="00FC00A2"/>
    <w:rsid w:val="00FC77FE"/>
    <w:rsid w:val="00FF1544"/>
    <w:rsid w:val="00FF28D3"/>
    <w:rsid w:val="00FF2C25"/>
    <w:rsid w:val="00FF4863"/>
    <w:rsid w:val="00FF5526"/>
    <w:rsid w:val="00FF795D"/>
    <w:rsid w:val="012C5D46"/>
    <w:rsid w:val="03533D87"/>
    <w:rsid w:val="0E1B02E2"/>
    <w:rsid w:val="13F6F11A"/>
    <w:rsid w:val="15D7561F"/>
    <w:rsid w:val="1A024770"/>
    <w:rsid w:val="1B69BED3"/>
    <w:rsid w:val="1F5E481A"/>
    <w:rsid w:val="21EE999D"/>
    <w:rsid w:val="22554C32"/>
    <w:rsid w:val="2BD92E81"/>
    <w:rsid w:val="2EF2ED8A"/>
    <w:rsid w:val="30AFBFFF"/>
    <w:rsid w:val="34DDA412"/>
    <w:rsid w:val="3C6A0DD8"/>
    <w:rsid w:val="43B5191B"/>
    <w:rsid w:val="44B9559C"/>
    <w:rsid w:val="4BF6591C"/>
    <w:rsid w:val="4C0D498A"/>
    <w:rsid w:val="4ECE68D8"/>
    <w:rsid w:val="57328C9E"/>
    <w:rsid w:val="57B99753"/>
    <w:rsid w:val="59122314"/>
    <w:rsid w:val="5942FBD1"/>
    <w:rsid w:val="5A3AA898"/>
    <w:rsid w:val="5D2198EF"/>
    <w:rsid w:val="66E7490B"/>
    <w:rsid w:val="68457FBC"/>
    <w:rsid w:val="6A00F44E"/>
    <w:rsid w:val="6B901473"/>
    <w:rsid w:val="6BA1570D"/>
    <w:rsid w:val="6E1DB7EC"/>
    <w:rsid w:val="707C761B"/>
    <w:rsid w:val="72E61B75"/>
    <w:rsid w:val="7580C4E7"/>
    <w:rsid w:val="77E83E84"/>
    <w:rsid w:val="7F641F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2E4187"/>
  <w14:defaultImageDpi w14:val="32767"/>
  <w15:chartTrackingRefBased/>
  <w15:docId w15:val="{6F8BB9B8-E0F6-4570-94C4-FFBD0946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01"/>
    <w:pPr>
      <w:spacing w:before="120" w:after="120" w:line="259" w:lineRule="auto"/>
    </w:pPr>
    <w:rPr>
      <w:sz w:val="22"/>
      <w:szCs w:val="22"/>
      <w:lang w:eastAsia="en-US"/>
    </w:rPr>
  </w:style>
  <w:style w:type="paragraph" w:styleId="Heading1">
    <w:name w:val="heading 1"/>
    <w:basedOn w:val="Normal"/>
    <w:next w:val="Normal"/>
    <w:link w:val="Heading1Char"/>
    <w:uiPriority w:val="9"/>
    <w:qFormat/>
    <w:rsid w:val="00704573"/>
    <w:pPr>
      <w:keepNext/>
      <w:keepLines/>
      <w:spacing w:before="240" w:after="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965509"/>
    <w:pPr>
      <w:spacing w:before="0"/>
      <w:outlineLvl w:val="1"/>
    </w:pPr>
    <w:rPr>
      <w:b w:val="0"/>
      <w:caps w:val="0"/>
      <w:sz w:val="96"/>
    </w:rPr>
  </w:style>
  <w:style w:type="paragraph" w:styleId="Heading3">
    <w:name w:val="heading 3"/>
    <w:basedOn w:val="Normal"/>
    <w:next w:val="Normal"/>
    <w:link w:val="Heading3Char"/>
    <w:uiPriority w:val="9"/>
    <w:unhideWhenUsed/>
    <w:qFormat/>
    <w:rsid w:val="003575EF"/>
    <w:pPr>
      <w:keepNext/>
      <w:keepLines/>
      <w:spacing w:before="240" w:after="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3575EF"/>
    <w:pPr>
      <w:keepNext/>
      <w:keepLines/>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val="0"/>
      <w:bCs/>
      <w:caps w:val="0"/>
      <w:color w:val="313E48"/>
      <w:sz w:val="40"/>
      <w:szCs w:val="40"/>
    </w:rPr>
  </w:style>
  <w:style w:type="paragraph" w:customStyle="1" w:styleId="BodyCopy">
    <w:name w:val="Body Copy"/>
    <w:next w:val="Normal"/>
    <w:qFormat/>
    <w:rsid w:val="003575EF"/>
    <w:pPr>
      <w:spacing w:before="40" w:after="120"/>
    </w:pPr>
    <w:rPr>
      <w:rFonts w:ascii="Calibri Light" w:hAnsi="Calibri Light" w:cs="Calibri Light"/>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rPr>
  </w:style>
  <w:style w:type="paragraph" w:customStyle="1" w:styleId="H4-Heading4">
    <w:name w:val="H4 - Heading 4"/>
    <w:basedOn w:val="Heading4"/>
    <w:next w:val="BodyCopy"/>
    <w:qFormat/>
    <w:rsid w:val="004D1D85"/>
    <w:pPr>
      <w:spacing w:before="160"/>
    </w:pPr>
    <w:rPr>
      <w:rFonts w:asciiTheme="minorHAnsi" w:hAnsiTheme="minorHAnsi" w:cstheme="minorHAnsi"/>
      <w:b w:val="0"/>
      <w:bCs/>
      <w:i w:val="0"/>
      <w:iCs w:val="0"/>
      <w:color w:val="313E48"/>
      <w:sz w:val="24"/>
      <w:szCs w:val="24"/>
    </w:rPr>
  </w:style>
  <w:style w:type="paragraph" w:customStyle="1" w:styleId="H3-Heading3">
    <w:name w:val="H3 - Heading 3"/>
    <w:basedOn w:val="Heading3"/>
    <w:qFormat/>
    <w:rsid w:val="00771669"/>
    <w:pPr>
      <w:spacing w:before="120" w:after="120"/>
    </w:pPr>
    <w:rPr>
      <w:rFonts w:asciiTheme="minorHAnsi" w:hAnsiTheme="minorHAnsi" w:cstheme="minorHAnsi"/>
      <w:b w:val="0"/>
      <w:bCs/>
      <w:sz w:val="28"/>
      <w:szCs w:val="28"/>
    </w:rPr>
  </w:style>
  <w:style w:type="paragraph" w:customStyle="1" w:styleId="BodycopyNumberedBullets">
    <w:name w:val="Body copy Numbered Bullets"/>
    <w:basedOn w:val="BodyCopy"/>
    <w:qFormat/>
    <w:rsid w:val="00D32B6E"/>
    <w:pPr>
      <w:numPr>
        <w:numId w:val="2"/>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D32B6E"/>
    <w:pPr>
      <w:numPr>
        <w:numId w:val="5"/>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71669"/>
    <w:pPr>
      <w:spacing w:before="0"/>
    </w:pPr>
    <w:rPr>
      <w:rFonts w:asciiTheme="minorHAnsi" w:hAnsiTheme="minorHAnsi" w:cstheme="minorHAnsi"/>
      <w:b/>
      <w:bCs/>
      <w:sz w:val="20"/>
    </w:rPr>
  </w:style>
  <w:style w:type="paragraph" w:customStyle="1" w:styleId="TableBodyCopy">
    <w:name w:val="Table Body Copy"/>
    <w:basedOn w:val="Normal"/>
    <w:next w:val="Normal"/>
    <w:qFormat/>
    <w:rsid w:val="009D13AB"/>
    <w:pPr>
      <w:spacing w:before="0" w:after="0"/>
    </w:pPr>
    <w:rPr>
      <w:sz w:val="20"/>
    </w:r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47763B"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704573"/>
    <w:rPr>
      <w:rFonts w:asciiTheme="majorHAnsi" w:eastAsiaTheme="majorEastAsia" w:hAnsiTheme="majorHAnsi" w:cstheme="majorBidi"/>
      <w:b/>
      <w:caps/>
      <w:sz w:val="32"/>
      <w:szCs w:val="32"/>
      <w:lang w:eastAsia="en-US"/>
    </w:rPr>
  </w:style>
  <w:style w:type="character" w:customStyle="1" w:styleId="Heading2Char">
    <w:name w:val="Heading 2 Char"/>
    <w:basedOn w:val="DefaultParagraphFont"/>
    <w:link w:val="Heading2"/>
    <w:uiPriority w:val="9"/>
    <w:rsid w:val="00965509"/>
    <w:rPr>
      <w:rFonts w:asciiTheme="majorHAnsi" w:eastAsiaTheme="majorEastAsia" w:hAnsiTheme="majorHAnsi" w:cstheme="majorBidi"/>
      <w:sz w:val="96"/>
      <w:szCs w:val="32"/>
      <w:lang w:eastAsia="en-US"/>
    </w:rPr>
  </w:style>
  <w:style w:type="character" w:customStyle="1" w:styleId="Heading3Char">
    <w:name w:val="Heading 3 Char"/>
    <w:basedOn w:val="DefaultParagraphFont"/>
    <w:link w:val="Heading3"/>
    <w:uiPriority w:val="9"/>
    <w:rsid w:val="003575EF"/>
    <w:rPr>
      <w:rFonts w:asciiTheme="majorHAnsi" w:eastAsiaTheme="majorEastAsia" w:hAnsiTheme="majorHAnsi" w:cstheme="majorBidi"/>
      <w:b/>
      <w:sz w:val="32"/>
      <w:szCs w:val="24"/>
      <w:lang w:eastAsia="en-US"/>
    </w:rPr>
  </w:style>
  <w:style w:type="character" w:customStyle="1" w:styleId="Heading4Char">
    <w:name w:val="Heading 4 Char"/>
    <w:basedOn w:val="DefaultParagraphFont"/>
    <w:link w:val="Heading4"/>
    <w:uiPriority w:val="9"/>
    <w:rsid w:val="003575EF"/>
    <w:rPr>
      <w:rFonts w:asciiTheme="majorHAnsi" w:eastAsiaTheme="majorEastAsia" w:hAnsiTheme="majorHAnsi" w:cstheme="majorBidi"/>
      <w:b/>
      <w:i/>
      <w:iCs/>
      <w:sz w:val="22"/>
      <w:szCs w:val="22"/>
      <w:lang w:eastAsia="en-US"/>
    </w:rPr>
  </w:style>
  <w:style w:type="character" w:styleId="IntenseEmphasis">
    <w:name w:val="Intense Emphasis"/>
    <w:basedOn w:val="DefaultParagraphFont"/>
    <w:uiPriority w:val="21"/>
    <w:qFormat/>
    <w:rsid w:val="00AF7C26"/>
    <w:rPr>
      <w:i/>
      <w:iCs/>
      <w:color w:val="00837C" w:themeColor="accent1"/>
    </w:rPr>
  </w:style>
  <w:style w:type="table" w:styleId="ListTable4-Accent4">
    <w:name w:val="List Table 4 Accent 4"/>
    <w:basedOn w:val="TableNormal"/>
    <w:uiPriority w:val="49"/>
    <w:rsid w:val="004516E0"/>
    <w:tblPr>
      <w:tblStyleRowBandSize w:val="1"/>
      <w:tblStyleColBandSize w:val="1"/>
      <w:tblBorders>
        <w:top w:val="single" w:sz="4" w:space="0" w:color="F3CC79" w:themeColor="accent4" w:themeTint="99"/>
        <w:left w:val="single" w:sz="4" w:space="0" w:color="F3CC79" w:themeColor="accent4" w:themeTint="99"/>
        <w:bottom w:val="single" w:sz="4" w:space="0" w:color="F3CC79" w:themeColor="accent4" w:themeTint="99"/>
        <w:right w:val="single" w:sz="4" w:space="0" w:color="F3CC79" w:themeColor="accent4" w:themeTint="99"/>
        <w:insideH w:val="single" w:sz="4" w:space="0" w:color="F3CC79" w:themeColor="accent4" w:themeTint="99"/>
      </w:tblBorders>
    </w:tblPr>
    <w:tblStylePr w:type="firstRow">
      <w:rPr>
        <w:b/>
        <w:bCs/>
        <w:color w:val="FFFFFF" w:themeColor="background1"/>
      </w:rPr>
      <w:tblPr/>
      <w:tcPr>
        <w:tcBorders>
          <w:top w:val="single" w:sz="4" w:space="0" w:color="EBAB21" w:themeColor="accent4"/>
          <w:left w:val="single" w:sz="4" w:space="0" w:color="EBAB21" w:themeColor="accent4"/>
          <w:bottom w:val="single" w:sz="4" w:space="0" w:color="EBAB21" w:themeColor="accent4"/>
          <w:right w:val="single" w:sz="4" w:space="0" w:color="EBAB21" w:themeColor="accent4"/>
          <w:insideH w:val="nil"/>
        </w:tcBorders>
        <w:shd w:val="clear" w:color="auto" w:fill="EBAB21" w:themeFill="accent4"/>
      </w:tcPr>
    </w:tblStylePr>
    <w:tblStylePr w:type="lastRow">
      <w:rPr>
        <w:b/>
        <w:bCs/>
      </w:rPr>
      <w:tblPr/>
      <w:tcPr>
        <w:tcBorders>
          <w:top w:val="double" w:sz="4" w:space="0" w:color="F3CC79" w:themeColor="accent4" w:themeTint="99"/>
        </w:tcBorders>
      </w:tcPr>
    </w:tblStylePr>
    <w:tblStylePr w:type="firstCol">
      <w:rPr>
        <w:b/>
        <w:bCs/>
      </w:rPr>
    </w:tblStylePr>
    <w:tblStylePr w:type="lastCol">
      <w:rPr>
        <w:b/>
        <w:bCs/>
      </w:rPr>
    </w:tblStylePr>
    <w:tblStylePr w:type="band1Vert">
      <w:tblPr/>
      <w:tcPr>
        <w:shd w:val="clear" w:color="auto" w:fill="FBEED2" w:themeFill="accent4" w:themeFillTint="33"/>
      </w:tcPr>
    </w:tblStylePr>
    <w:tblStylePr w:type="band1Horz">
      <w:tblPr/>
      <w:tcPr>
        <w:shd w:val="clear" w:color="auto" w:fill="FBEED2" w:themeFill="accent4" w:themeFillTint="33"/>
      </w:tcPr>
    </w:tblStylePr>
  </w:style>
  <w:style w:type="character" w:styleId="CommentReference">
    <w:name w:val="annotation reference"/>
    <w:basedOn w:val="DefaultParagraphFont"/>
    <w:uiPriority w:val="99"/>
    <w:semiHidden/>
    <w:unhideWhenUsed/>
    <w:rsid w:val="00045E13"/>
    <w:rPr>
      <w:sz w:val="16"/>
      <w:szCs w:val="16"/>
    </w:rPr>
  </w:style>
  <w:style w:type="paragraph" w:styleId="CommentText">
    <w:name w:val="annotation text"/>
    <w:basedOn w:val="Normal"/>
    <w:link w:val="CommentTextChar"/>
    <w:uiPriority w:val="99"/>
    <w:unhideWhenUsed/>
    <w:rsid w:val="00045E13"/>
    <w:pPr>
      <w:spacing w:line="240" w:lineRule="auto"/>
    </w:pPr>
    <w:rPr>
      <w:sz w:val="20"/>
      <w:szCs w:val="20"/>
    </w:rPr>
  </w:style>
  <w:style w:type="character" w:customStyle="1" w:styleId="CommentTextChar">
    <w:name w:val="Comment Text Char"/>
    <w:basedOn w:val="DefaultParagraphFont"/>
    <w:link w:val="CommentText"/>
    <w:uiPriority w:val="99"/>
    <w:rsid w:val="00045E13"/>
    <w:rPr>
      <w:lang w:eastAsia="en-US"/>
    </w:rPr>
  </w:style>
  <w:style w:type="paragraph" w:styleId="CommentSubject">
    <w:name w:val="annotation subject"/>
    <w:basedOn w:val="CommentText"/>
    <w:next w:val="CommentText"/>
    <w:link w:val="CommentSubjectChar"/>
    <w:uiPriority w:val="99"/>
    <w:semiHidden/>
    <w:unhideWhenUsed/>
    <w:rsid w:val="00045E13"/>
    <w:rPr>
      <w:b/>
      <w:bCs/>
    </w:rPr>
  </w:style>
  <w:style w:type="character" w:customStyle="1" w:styleId="CommentSubjectChar">
    <w:name w:val="Comment Subject Char"/>
    <w:basedOn w:val="CommentTextChar"/>
    <w:link w:val="CommentSubject"/>
    <w:uiPriority w:val="99"/>
    <w:semiHidden/>
    <w:rsid w:val="00045E13"/>
    <w:rPr>
      <w:b/>
      <w:bCs/>
      <w:lang w:eastAsia="en-US"/>
    </w:rPr>
  </w:style>
  <w:style w:type="character" w:styleId="Mention">
    <w:name w:val="Mention"/>
    <w:basedOn w:val="DefaultParagraphFont"/>
    <w:uiPriority w:val="99"/>
    <w:unhideWhenUsed/>
    <w:rsid w:val="00045E13"/>
    <w:rPr>
      <w:color w:val="2B579A"/>
      <w:shd w:val="clear" w:color="auto" w:fill="E1DFDD"/>
    </w:rPr>
  </w:style>
  <w:style w:type="paragraph" w:styleId="ListBullet">
    <w:name w:val="List Bullet"/>
    <w:basedOn w:val="Normal"/>
    <w:uiPriority w:val="99"/>
    <w:unhideWhenUsed/>
    <w:rsid w:val="003575EF"/>
    <w:pPr>
      <w:numPr>
        <w:numId w:val="14"/>
      </w:numPr>
      <w:contextualSpacing/>
    </w:pPr>
  </w:style>
  <w:style w:type="paragraph" w:styleId="Caption">
    <w:name w:val="caption"/>
    <w:basedOn w:val="Normal"/>
    <w:next w:val="Normal"/>
    <w:uiPriority w:val="35"/>
    <w:unhideWhenUsed/>
    <w:qFormat/>
    <w:rsid w:val="00E84101"/>
    <w:pPr>
      <w:spacing w:before="0" w:after="200" w:line="240" w:lineRule="auto"/>
    </w:pPr>
    <w:rPr>
      <w:i/>
      <w:iCs/>
      <w:sz w:val="18"/>
      <w:szCs w:val="18"/>
    </w:rPr>
  </w:style>
  <w:style w:type="paragraph" w:styleId="Index3">
    <w:name w:val="index 3"/>
    <w:basedOn w:val="Normal"/>
    <w:next w:val="Normal"/>
    <w:autoRedefine/>
    <w:uiPriority w:val="99"/>
    <w:unhideWhenUsed/>
    <w:rsid w:val="00E84101"/>
    <w:pPr>
      <w:spacing w:before="0" w:after="0" w:line="240" w:lineRule="auto"/>
      <w:ind w:left="660" w:hanging="220"/>
    </w:pPr>
  </w:style>
  <w:style w:type="paragraph" w:customStyle="1" w:styleId="Overview">
    <w:name w:val="Overview"/>
    <w:basedOn w:val="Normal"/>
    <w:qFormat/>
    <w:rsid w:val="00F24563"/>
    <w:pPr>
      <w:pBdr>
        <w:top w:val="single" w:sz="4" w:space="1" w:color="auto"/>
        <w:bottom w:val="single" w:sz="4" w:space="1" w:color="auto"/>
      </w:pBdr>
      <w:shd w:val="clear" w:color="auto" w:fill="D6E8D2" w:themeFill="accent2" w:themeFillTint="33"/>
    </w:pPr>
    <w:rPr>
      <w:b/>
      <w:bCs/>
    </w:rPr>
  </w:style>
  <w:style w:type="character" w:styleId="PlaceholderText">
    <w:name w:val="Placeholder Text"/>
    <w:basedOn w:val="DefaultParagraphFont"/>
    <w:uiPriority w:val="99"/>
    <w:semiHidden/>
    <w:rsid w:val="00D13E7A"/>
    <w:rPr>
      <w:color w:val="666666"/>
    </w:rPr>
  </w:style>
  <w:style w:type="character" w:styleId="Hyperlink">
    <w:name w:val="Hyperlink"/>
    <w:basedOn w:val="DefaultParagraphFont"/>
    <w:uiPriority w:val="99"/>
    <w:unhideWhenUsed/>
    <w:rsid w:val="00100CEB"/>
    <w:rPr>
      <w:color w:val="034A90" w:themeColor="hyperlink"/>
      <w:u w:val="single"/>
    </w:rPr>
  </w:style>
  <w:style w:type="character" w:styleId="UnresolvedMention">
    <w:name w:val="Unresolved Mention"/>
    <w:basedOn w:val="DefaultParagraphFont"/>
    <w:uiPriority w:val="99"/>
    <w:semiHidden/>
    <w:unhideWhenUsed/>
    <w:rsid w:val="00100CEB"/>
    <w:rPr>
      <w:color w:val="605E5C"/>
      <w:shd w:val="clear" w:color="auto" w:fill="E1DFDD"/>
    </w:rPr>
  </w:style>
  <w:style w:type="paragraph" w:styleId="Revision">
    <w:name w:val="Revision"/>
    <w:hidden/>
    <w:uiPriority w:val="99"/>
    <w:semiHidden/>
    <w:rsid w:val="00344586"/>
    <w:rPr>
      <w:sz w:val="22"/>
      <w:szCs w:val="22"/>
      <w:lang w:eastAsia="en-US"/>
    </w:rPr>
  </w:style>
  <w:style w:type="character" w:customStyle="1" w:styleId="normaltextrun">
    <w:name w:val="normaltextrun"/>
    <w:basedOn w:val="DefaultParagraphFont"/>
    <w:rsid w:val="009E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_rels/footer2.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2" Type="http://schemas.openxmlformats.org/officeDocument/2006/relationships/image" Target="media/image18.jpg"/><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DFAT Colour palette">
      <a:dk1>
        <a:srgbClr val="313E48"/>
      </a:dk1>
      <a:lt1>
        <a:sysClr val="window" lastClr="FFFFFF"/>
      </a:lt1>
      <a:dk2>
        <a:srgbClr val="3A586E"/>
      </a:dk2>
      <a:lt2>
        <a:srgbClr val="CFD3D3"/>
      </a:lt2>
      <a:accent1>
        <a:srgbClr val="00837C"/>
      </a:accent1>
      <a:accent2>
        <a:srgbClr val="47763B"/>
      </a:accent2>
      <a:accent3>
        <a:srgbClr val="AA5739"/>
      </a:accent3>
      <a:accent4>
        <a:srgbClr val="EBAB21"/>
      </a:accent4>
      <a:accent5>
        <a:srgbClr val="065157"/>
      </a:accent5>
      <a:accent6>
        <a:srgbClr val="014429"/>
      </a:accent6>
      <a:hlink>
        <a:srgbClr val="034A90"/>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2ae4e0-94e8-4b28-8f95-861d59f7ae70" xsi:nil="true"/>
    <lcf76f155ced4ddcb4097134ff3c332f xmlns="99303871-8934-4198-a088-14ac5c5d1c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D63B06336DD48B4944551E1A7B4D8" ma:contentTypeVersion="17" ma:contentTypeDescription="Create a new document." ma:contentTypeScope="" ma:versionID="c1a333d4e903e34c23f0605c9024b49d">
  <xsd:schema xmlns:xsd="http://www.w3.org/2001/XMLSchema" xmlns:xs="http://www.w3.org/2001/XMLSchema" xmlns:p="http://schemas.microsoft.com/office/2006/metadata/properties" xmlns:ns2="99303871-8934-4198-a088-14ac5c5d1c31" xmlns:ns3="6f2ae4e0-94e8-4b28-8f95-861d59f7ae70" targetNamespace="http://schemas.microsoft.com/office/2006/metadata/properties" ma:root="true" ma:fieldsID="50b6f57787fb9933e749b1241302e2ad" ns2:_="" ns3:_="">
    <xsd:import namespace="99303871-8934-4198-a088-14ac5c5d1c31"/>
    <xsd:import namespace="6f2ae4e0-94e8-4b28-8f95-861d59f7ae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03871-8934-4198-a088-14ac5c5d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ae4e0-94e8-4b28-8f95-861d59f7ae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809fa2-c2da-453f-9c3e-eead0055a1b0}" ma:internalName="TaxCatchAll" ma:showField="CatchAllData" ma:web="6f2ae4e0-94e8-4b28-8f95-861d59f7a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9F171-59A6-4022-A46D-27C25069926A}">
  <ds:schemaRefs>
    <ds:schemaRef ds:uri="http://schemas.microsoft.com/office/2006/metadata/properties"/>
    <ds:schemaRef ds:uri="http://schemas.microsoft.com/office/infopath/2007/PartnerControls"/>
    <ds:schemaRef ds:uri="6f2ae4e0-94e8-4b28-8f95-861d59f7ae70"/>
    <ds:schemaRef ds:uri="99303871-8934-4198-a088-14ac5c5d1c31"/>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8BF957CD-9E45-4FF4-B903-9A144DDB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03871-8934-4198-a088-14ac5c5d1c31"/>
    <ds:schemaRef ds:uri="6f2ae4e0-94e8-4b28-8f95-861d59f7a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618DC-A08C-4C5C-9A07-FABF52023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3146</Characters>
  <Application>Microsoft Office Word</Application>
  <DocSecurity>0</DocSecurity>
  <Lines>78</Lines>
  <Paragraphs>58</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Development Coorporation Facsheet 2025-26</dc:title>
  <dc:subject>Development Coorporation Facsheet 2025-26</dc:subject>
  <dc:creator>Department of Foreign Affairs and Trade</dc:creator>
  <cp:keywords>International development; development coorperation; DFAT, Australian Aid; Australian Department of Foreign Affairs and Trade; ODA; Australian Government [SEC=OFFICIAL]</cp:keywords>
  <dc:description/>
  <cp:lastModifiedBy>Linda Roche</cp:lastModifiedBy>
  <cp:revision>40</cp:revision>
  <dcterms:created xsi:type="dcterms:W3CDTF">2025-05-09T05:19:00Z</dcterms:created>
  <dcterms:modified xsi:type="dcterms:W3CDTF">2025-05-21T04:56:00Z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4DFB2A45D0ABC223771DA158D4192358D096AA7E</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2023-02-15T22:12:19Z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Uuid">
    <vt:lpwstr>v=2022.2;d=gov.au;g=46DD6D7C-8107-577B-BC6E-F348953B2E44</vt:lpwstr>
  </property>
  <property fmtid="{D5CDD505-2E9C-101B-9397-08002B2CF9AE}" pid="22" name="PM_OriginatorUserAccountName_SHA256">
    <vt:lpwstr>2FBBEB0D07DA66FB32ADEBC0EE9E9C465FDB83D3B7358F7A76537B8BF5FB863E</vt:lpwstr>
  </property>
  <property fmtid="{D5CDD505-2E9C-101B-9397-08002B2CF9AE}" pid="23" name="PM_OriginatorDomainName_SHA256">
    <vt:lpwstr>6F3591835F3B2A8A025B00B5BA6418010DA3A17C9C26EA9C049FFD28039489A2</vt:lpwstr>
  </property>
  <property fmtid="{D5CDD505-2E9C-101B-9397-08002B2CF9AE}" pid="24" name="PM_Caveats_Count">
    <vt:lpwstr>0</vt:lpwstr>
  </property>
  <property fmtid="{D5CDD505-2E9C-101B-9397-08002B2CF9AE}" pid="25" name="ContentTypeId">
    <vt:lpwstr>0x010100D6BD63B06336DD48B4944551E1A7B4D8</vt:lpwstr>
  </property>
  <property fmtid="{D5CDD505-2E9C-101B-9397-08002B2CF9AE}" pid="26" name="MediaServiceImageTags">
    <vt:lpwstr/>
  </property>
  <property fmtid="{D5CDD505-2E9C-101B-9397-08002B2CF9AE}" pid="27" name="PMHMAC">
    <vt:lpwstr>v=2022.1;a=SHA256;h=83ADFF59D22EE63E8291D2012588A8C2ADAFBD38E854F7DE430181CAE92239F8</vt:lpwstr>
  </property>
  <property fmtid="{D5CDD505-2E9C-101B-9397-08002B2CF9AE}" pid="28" name="PM_Hash_Salt_Prev">
    <vt:lpwstr>BFE8330F4479C097BB3CE0E0AB9C1D66</vt:lpwstr>
  </property>
  <property fmtid="{D5CDD505-2E9C-101B-9397-08002B2CF9AE}" pid="29" name="PM_Hash_Salt">
    <vt:lpwstr>7328D83684939105782751043FBF3BF9</vt:lpwstr>
  </property>
  <property fmtid="{D5CDD505-2E9C-101B-9397-08002B2CF9AE}" pid="30" name="PM_Hash_SHA1">
    <vt:lpwstr>0E0DC204FC0D5F2A1A88BD4FE85162608AB5BA3E</vt:lpwstr>
  </property>
</Properties>
</file>