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67"/>
        <w:tblW w:w="5098" w:type="dxa"/>
        <w:tblLook w:val="04A0" w:firstRow="1" w:lastRow="0" w:firstColumn="1" w:lastColumn="0" w:noHBand="0" w:noVBand="1"/>
        <w:tblCaption w:val="Graph: Australian Private Sector Development ODA by Region"/>
        <w:tblDescription w:val="2018-19 Actual spend: &#10;Pacific: $648.9 million; Southeast, East and Other Asia: $418.5 million; South and West Asia: $62.8 million; Africa and Middle East: $22.1 million; Rest of the world: $415.8 million. Total Australian Private Sector Development ODA: $1,568.1 million. &#10;&#10;2019-20 Actual spend: &#10;Pacific: $561.3 million; Southeast, East and Other Asia: $388.6 million; South and West Asia: $50.9 million; Africa and Middle East: $13.7 million; Rest of the world: $230.1 million. Total Australian Private Sector Development ODA: $1,244.6 million. &#10;&#10;2020-21 Budget Estimate: &#10;Pacific: $621.2 million; Southeast, East and Other Asia: $407.6 million; South and West Asia: $31.9 million; Africa and Middle East: $28.1 million; Rest of the world: $145.5 million. Total Australian Private Sector Development ODA: $1,234.2 million.  &#10;&#10;These figures include ODA that is not attributed to particular countries or regions. &#10;Due to rouding, discrepencies may occure between sums of the component items and totals. "/>
      </w:tblPr>
      <w:tblGrid>
        <w:gridCol w:w="1479"/>
        <w:gridCol w:w="1302"/>
        <w:gridCol w:w="1302"/>
        <w:gridCol w:w="1015"/>
      </w:tblGrid>
      <w:tr w:rsidR="0004280B" w:rsidRPr="005C1321" w14:paraId="5D7CAB91" w14:textId="77777777" w:rsidTr="0004280B">
        <w:trPr>
          <w:trHeight w:val="563"/>
        </w:trPr>
        <w:tc>
          <w:tcPr>
            <w:tcW w:w="1479" w:type="dxa"/>
            <w:shd w:val="clear" w:color="auto" w:fill="44546A"/>
          </w:tcPr>
          <w:p w14:paraId="353ADAA9" w14:textId="77777777" w:rsidR="0004280B" w:rsidRPr="00165DB6" w:rsidRDefault="0004280B" w:rsidP="0004280B">
            <w:pPr>
              <w:rPr>
                <w:b/>
                <w:color w:val="FFFFFF" w:themeColor="background1"/>
                <w:sz w:val="20"/>
                <w:szCs w:val="20"/>
              </w:rPr>
            </w:pPr>
            <w:bookmarkStart w:id="0" w:name="_Hlk66281917"/>
            <w:r w:rsidRPr="00165DB6">
              <w:rPr>
                <w:b/>
                <w:color w:val="FFFFFF" w:themeColor="background1"/>
                <w:sz w:val="20"/>
                <w:szCs w:val="20"/>
              </w:rPr>
              <w:t>Australian Private Sector Development ODA* by Region</w:t>
            </w:r>
          </w:p>
        </w:tc>
        <w:tc>
          <w:tcPr>
            <w:tcW w:w="1302" w:type="dxa"/>
            <w:shd w:val="clear" w:color="auto" w:fill="44546A"/>
          </w:tcPr>
          <w:p w14:paraId="2DE34EE7" w14:textId="6AED75AE" w:rsidR="0004280B" w:rsidRPr="00165DB6" w:rsidRDefault="00C353B9" w:rsidP="0004280B">
            <w:pPr>
              <w:rPr>
                <w:b/>
                <w:color w:val="FFFFFF" w:themeColor="background1"/>
                <w:sz w:val="20"/>
                <w:szCs w:val="20"/>
              </w:rPr>
            </w:pPr>
            <w:r>
              <w:rPr>
                <w:b/>
                <w:color w:val="FFFFFF" w:themeColor="background1"/>
                <w:sz w:val="20"/>
                <w:szCs w:val="20"/>
              </w:rPr>
              <w:t>2019-20</w:t>
            </w:r>
            <w:r w:rsidR="0004280B" w:rsidRPr="00165DB6">
              <w:rPr>
                <w:b/>
                <w:color w:val="FFFFFF" w:themeColor="background1"/>
                <w:sz w:val="20"/>
                <w:szCs w:val="20"/>
              </w:rPr>
              <w:t xml:space="preserve"> </w:t>
            </w:r>
            <w:r w:rsidR="0004280B">
              <w:rPr>
                <w:b/>
                <w:color w:val="FFFFFF" w:themeColor="background1"/>
                <w:sz w:val="20"/>
                <w:szCs w:val="20"/>
              </w:rPr>
              <w:t>Actual</w:t>
            </w:r>
            <w:r w:rsidR="0004280B" w:rsidRPr="00165DB6">
              <w:rPr>
                <w:b/>
                <w:color w:val="FFFFFF" w:themeColor="background1"/>
                <w:sz w:val="20"/>
                <w:szCs w:val="20"/>
              </w:rPr>
              <w:t>($m)**</w:t>
            </w:r>
          </w:p>
        </w:tc>
        <w:tc>
          <w:tcPr>
            <w:tcW w:w="1302" w:type="dxa"/>
            <w:shd w:val="clear" w:color="auto" w:fill="44546A"/>
          </w:tcPr>
          <w:p w14:paraId="0456AEAA" w14:textId="24807430" w:rsidR="0004280B" w:rsidRPr="00165DB6" w:rsidRDefault="00C353B9" w:rsidP="0004280B">
            <w:pPr>
              <w:rPr>
                <w:b/>
                <w:color w:val="FFFFFF" w:themeColor="background1"/>
                <w:sz w:val="20"/>
                <w:szCs w:val="20"/>
              </w:rPr>
            </w:pPr>
            <w:r>
              <w:rPr>
                <w:b/>
                <w:color w:val="FFFFFF" w:themeColor="background1"/>
                <w:sz w:val="20"/>
                <w:szCs w:val="20"/>
              </w:rPr>
              <w:t>2020-21 Budget Estimate</w:t>
            </w:r>
            <w:r w:rsidR="0004280B">
              <w:rPr>
                <w:b/>
                <w:color w:val="FFFFFF" w:themeColor="background1"/>
                <w:sz w:val="20"/>
                <w:szCs w:val="20"/>
              </w:rPr>
              <w:t xml:space="preserve"> </w:t>
            </w:r>
            <w:r w:rsidR="0004280B" w:rsidRPr="00165DB6">
              <w:rPr>
                <w:b/>
                <w:color w:val="FFFFFF" w:themeColor="background1"/>
                <w:sz w:val="20"/>
                <w:szCs w:val="20"/>
              </w:rPr>
              <w:t>($m)**</w:t>
            </w:r>
          </w:p>
        </w:tc>
        <w:tc>
          <w:tcPr>
            <w:tcW w:w="1015" w:type="dxa"/>
            <w:shd w:val="clear" w:color="auto" w:fill="44546A"/>
          </w:tcPr>
          <w:p w14:paraId="0C7772D2" w14:textId="29F27167" w:rsidR="0004280B" w:rsidRPr="00165DB6" w:rsidRDefault="0004280B" w:rsidP="0004280B">
            <w:pPr>
              <w:rPr>
                <w:b/>
                <w:color w:val="FFFFFF" w:themeColor="background1"/>
                <w:sz w:val="20"/>
                <w:szCs w:val="20"/>
              </w:rPr>
            </w:pPr>
            <w:r w:rsidRPr="00165DB6">
              <w:rPr>
                <w:b/>
                <w:color w:val="FFFFFF" w:themeColor="background1"/>
                <w:sz w:val="20"/>
                <w:szCs w:val="20"/>
              </w:rPr>
              <w:t>20</w:t>
            </w:r>
            <w:r>
              <w:rPr>
                <w:b/>
                <w:color w:val="FFFFFF" w:themeColor="background1"/>
                <w:sz w:val="20"/>
                <w:szCs w:val="20"/>
              </w:rPr>
              <w:t>2</w:t>
            </w:r>
            <w:r w:rsidR="00C353B9">
              <w:rPr>
                <w:b/>
                <w:color w:val="FFFFFF" w:themeColor="background1"/>
                <w:sz w:val="20"/>
                <w:szCs w:val="20"/>
              </w:rPr>
              <w:t>1</w:t>
            </w:r>
            <w:r w:rsidRPr="00165DB6">
              <w:rPr>
                <w:b/>
                <w:color w:val="FFFFFF" w:themeColor="background1"/>
                <w:sz w:val="20"/>
                <w:szCs w:val="20"/>
              </w:rPr>
              <w:t>-</w:t>
            </w:r>
            <w:r>
              <w:rPr>
                <w:b/>
                <w:color w:val="FFFFFF" w:themeColor="background1"/>
                <w:sz w:val="20"/>
                <w:szCs w:val="20"/>
              </w:rPr>
              <w:t>2</w:t>
            </w:r>
            <w:r w:rsidR="00C353B9">
              <w:rPr>
                <w:b/>
                <w:color w:val="FFFFFF" w:themeColor="background1"/>
                <w:sz w:val="20"/>
                <w:szCs w:val="20"/>
              </w:rPr>
              <w:t>2</w:t>
            </w:r>
            <w:r w:rsidRPr="00165DB6">
              <w:rPr>
                <w:b/>
                <w:color w:val="FFFFFF" w:themeColor="background1"/>
                <w:sz w:val="20"/>
                <w:szCs w:val="20"/>
              </w:rPr>
              <w:t xml:space="preserve"> Budget Estimate ($m)**</w:t>
            </w:r>
          </w:p>
        </w:tc>
      </w:tr>
      <w:tr w:rsidR="0004280B" w:rsidRPr="005C1321" w14:paraId="4324993B" w14:textId="77777777" w:rsidTr="0004280B">
        <w:trPr>
          <w:trHeight w:val="216"/>
        </w:trPr>
        <w:tc>
          <w:tcPr>
            <w:tcW w:w="1479" w:type="dxa"/>
          </w:tcPr>
          <w:p w14:paraId="12CECC3F" w14:textId="77777777" w:rsidR="0004280B" w:rsidRPr="00165DB6" w:rsidRDefault="0004280B" w:rsidP="0004280B">
            <w:pPr>
              <w:spacing w:before="0" w:line="240" w:lineRule="auto"/>
              <w:rPr>
                <w:color w:val="44546A"/>
                <w:sz w:val="20"/>
                <w:szCs w:val="20"/>
              </w:rPr>
            </w:pPr>
            <w:r w:rsidRPr="00165DB6">
              <w:rPr>
                <w:color w:val="44546A"/>
                <w:sz w:val="20"/>
                <w:szCs w:val="20"/>
              </w:rPr>
              <w:t>Pacific</w:t>
            </w:r>
          </w:p>
        </w:tc>
        <w:tc>
          <w:tcPr>
            <w:tcW w:w="1302" w:type="dxa"/>
          </w:tcPr>
          <w:p w14:paraId="227E35F3" w14:textId="54F5337D" w:rsidR="0004280B" w:rsidRPr="00165DB6" w:rsidRDefault="00C353B9" w:rsidP="0004280B">
            <w:pPr>
              <w:spacing w:before="0" w:line="240" w:lineRule="auto"/>
              <w:jc w:val="center"/>
              <w:rPr>
                <w:color w:val="44546A"/>
                <w:sz w:val="20"/>
                <w:szCs w:val="20"/>
              </w:rPr>
            </w:pPr>
            <w:r>
              <w:rPr>
                <w:color w:val="44546A"/>
                <w:sz w:val="20"/>
                <w:szCs w:val="20"/>
              </w:rPr>
              <w:t>561.3</w:t>
            </w:r>
          </w:p>
        </w:tc>
        <w:tc>
          <w:tcPr>
            <w:tcW w:w="1302" w:type="dxa"/>
          </w:tcPr>
          <w:p w14:paraId="5EE8736F" w14:textId="5DC52FA7" w:rsidR="0004280B" w:rsidRPr="00165DB6" w:rsidRDefault="00C353B9" w:rsidP="0004280B">
            <w:pPr>
              <w:spacing w:before="0" w:line="240" w:lineRule="auto"/>
              <w:jc w:val="center"/>
              <w:rPr>
                <w:color w:val="44546A"/>
                <w:sz w:val="20"/>
                <w:szCs w:val="20"/>
              </w:rPr>
            </w:pPr>
            <w:r>
              <w:rPr>
                <w:color w:val="44546A"/>
                <w:sz w:val="20"/>
                <w:szCs w:val="20"/>
              </w:rPr>
              <w:t>621.9</w:t>
            </w:r>
          </w:p>
        </w:tc>
        <w:tc>
          <w:tcPr>
            <w:tcW w:w="1015" w:type="dxa"/>
          </w:tcPr>
          <w:p w14:paraId="16A14018" w14:textId="60701CCE" w:rsidR="0004280B" w:rsidRPr="00165DB6" w:rsidRDefault="0004280B" w:rsidP="0004280B">
            <w:pPr>
              <w:spacing w:before="0" w:line="240" w:lineRule="auto"/>
              <w:jc w:val="center"/>
              <w:rPr>
                <w:color w:val="44546A"/>
                <w:sz w:val="20"/>
                <w:szCs w:val="20"/>
              </w:rPr>
            </w:pPr>
            <w:r>
              <w:rPr>
                <w:color w:val="44546A"/>
                <w:sz w:val="20"/>
                <w:szCs w:val="20"/>
              </w:rPr>
              <w:t>6</w:t>
            </w:r>
            <w:r w:rsidR="00C353B9">
              <w:rPr>
                <w:color w:val="44546A"/>
                <w:sz w:val="20"/>
                <w:szCs w:val="20"/>
              </w:rPr>
              <w:t>67</w:t>
            </w:r>
            <w:r>
              <w:rPr>
                <w:color w:val="44546A"/>
                <w:sz w:val="20"/>
                <w:szCs w:val="20"/>
              </w:rPr>
              <w:t>.</w:t>
            </w:r>
            <w:r w:rsidR="00C353B9">
              <w:rPr>
                <w:color w:val="44546A"/>
                <w:sz w:val="20"/>
                <w:szCs w:val="20"/>
              </w:rPr>
              <w:t>9</w:t>
            </w:r>
          </w:p>
        </w:tc>
      </w:tr>
      <w:tr w:rsidR="0004280B" w:rsidRPr="005C1321" w14:paraId="7CEA5AE7" w14:textId="77777777" w:rsidTr="0004280B">
        <w:trPr>
          <w:trHeight w:val="67"/>
        </w:trPr>
        <w:tc>
          <w:tcPr>
            <w:tcW w:w="1479" w:type="dxa"/>
          </w:tcPr>
          <w:p w14:paraId="6E175555" w14:textId="77777777" w:rsidR="0004280B" w:rsidRPr="00165DB6" w:rsidRDefault="0004280B" w:rsidP="0004280B">
            <w:pPr>
              <w:spacing w:before="0" w:line="240" w:lineRule="auto"/>
              <w:rPr>
                <w:color w:val="44546A"/>
                <w:sz w:val="20"/>
                <w:szCs w:val="20"/>
              </w:rPr>
            </w:pPr>
            <w:r>
              <w:rPr>
                <w:color w:val="44546A"/>
                <w:sz w:val="20"/>
                <w:szCs w:val="20"/>
              </w:rPr>
              <w:t>Southe</w:t>
            </w:r>
            <w:r w:rsidRPr="00165DB6">
              <w:rPr>
                <w:color w:val="44546A"/>
                <w:sz w:val="20"/>
                <w:szCs w:val="20"/>
              </w:rPr>
              <w:t>ast</w:t>
            </w:r>
            <w:r>
              <w:rPr>
                <w:color w:val="44546A"/>
                <w:sz w:val="20"/>
                <w:szCs w:val="20"/>
              </w:rPr>
              <w:t>, East and Other</w:t>
            </w:r>
            <w:r w:rsidRPr="00165DB6">
              <w:rPr>
                <w:color w:val="44546A"/>
                <w:sz w:val="20"/>
                <w:szCs w:val="20"/>
              </w:rPr>
              <w:t xml:space="preserve"> Asia</w:t>
            </w:r>
          </w:p>
        </w:tc>
        <w:tc>
          <w:tcPr>
            <w:tcW w:w="1302" w:type="dxa"/>
          </w:tcPr>
          <w:p w14:paraId="1031831C" w14:textId="480DED5E" w:rsidR="0004280B" w:rsidRPr="00165DB6" w:rsidRDefault="00C353B9" w:rsidP="0004280B">
            <w:pPr>
              <w:spacing w:before="0" w:line="240" w:lineRule="auto"/>
              <w:jc w:val="center"/>
              <w:rPr>
                <w:color w:val="44546A"/>
                <w:sz w:val="20"/>
                <w:szCs w:val="20"/>
              </w:rPr>
            </w:pPr>
            <w:r>
              <w:rPr>
                <w:color w:val="44546A"/>
                <w:sz w:val="20"/>
                <w:szCs w:val="20"/>
              </w:rPr>
              <w:t>388.6</w:t>
            </w:r>
          </w:p>
        </w:tc>
        <w:tc>
          <w:tcPr>
            <w:tcW w:w="1302" w:type="dxa"/>
          </w:tcPr>
          <w:p w14:paraId="567F8BEF" w14:textId="59580384" w:rsidR="0004280B" w:rsidRPr="00165DB6" w:rsidRDefault="00C353B9" w:rsidP="0004280B">
            <w:pPr>
              <w:spacing w:before="0" w:line="240" w:lineRule="auto"/>
              <w:jc w:val="center"/>
              <w:rPr>
                <w:color w:val="44546A"/>
                <w:sz w:val="20"/>
                <w:szCs w:val="20"/>
              </w:rPr>
            </w:pPr>
            <w:r>
              <w:rPr>
                <w:color w:val="44546A"/>
                <w:sz w:val="20"/>
                <w:szCs w:val="20"/>
              </w:rPr>
              <w:t>407.6</w:t>
            </w:r>
          </w:p>
        </w:tc>
        <w:tc>
          <w:tcPr>
            <w:tcW w:w="1015" w:type="dxa"/>
          </w:tcPr>
          <w:p w14:paraId="76282397" w14:textId="208BCD06" w:rsidR="0004280B" w:rsidRPr="00165DB6" w:rsidRDefault="00C353B9" w:rsidP="0004280B">
            <w:pPr>
              <w:spacing w:before="0" w:line="240" w:lineRule="auto"/>
              <w:jc w:val="center"/>
              <w:rPr>
                <w:color w:val="44546A"/>
                <w:sz w:val="20"/>
                <w:szCs w:val="20"/>
              </w:rPr>
            </w:pPr>
            <w:r>
              <w:rPr>
                <w:color w:val="44546A"/>
                <w:sz w:val="20"/>
                <w:szCs w:val="20"/>
              </w:rPr>
              <w:t>368.1</w:t>
            </w:r>
          </w:p>
        </w:tc>
      </w:tr>
      <w:tr w:rsidR="0004280B" w:rsidRPr="005C1321" w14:paraId="0D4794E9" w14:textId="77777777" w:rsidTr="0004280B">
        <w:trPr>
          <w:trHeight w:val="216"/>
        </w:trPr>
        <w:tc>
          <w:tcPr>
            <w:tcW w:w="1479" w:type="dxa"/>
          </w:tcPr>
          <w:p w14:paraId="45AE4448" w14:textId="77777777" w:rsidR="0004280B" w:rsidRPr="00165DB6" w:rsidRDefault="0004280B" w:rsidP="0004280B">
            <w:pPr>
              <w:spacing w:before="0" w:line="240" w:lineRule="auto"/>
              <w:rPr>
                <w:color w:val="44546A"/>
                <w:sz w:val="20"/>
                <w:szCs w:val="20"/>
              </w:rPr>
            </w:pPr>
            <w:r w:rsidRPr="00165DB6">
              <w:rPr>
                <w:color w:val="44546A"/>
                <w:sz w:val="20"/>
                <w:szCs w:val="20"/>
              </w:rPr>
              <w:t>South and West Asia</w:t>
            </w:r>
          </w:p>
        </w:tc>
        <w:tc>
          <w:tcPr>
            <w:tcW w:w="1302" w:type="dxa"/>
          </w:tcPr>
          <w:p w14:paraId="497E5B71" w14:textId="6E42FF0E" w:rsidR="0004280B" w:rsidRPr="00165DB6" w:rsidRDefault="00C353B9" w:rsidP="0004280B">
            <w:pPr>
              <w:spacing w:before="0" w:line="240" w:lineRule="auto"/>
              <w:jc w:val="center"/>
              <w:rPr>
                <w:color w:val="44546A"/>
                <w:sz w:val="20"/>
                <w:szCs w:val="20"/>
              </w:rPr>
            </w:pPr>
            <w:r>
              <w:rPr>
                <w:color w:val="44546A"/>
                <w:sz w:val="20"/>
                <w:szCs w:val="20"/>
              </w:rPr>
              <w:t>50.9</w:t>
            </w:r>
          </w:p>
        </w:tc>
        <w:tc>
          <w:tcPr>
            <w:tcW w:w="1302" w:type="dxa"/>
          </w:tcPr>
          <w:p w14:paraId="0F86DD5D" w14:textId="40F55B9A" w:rsidR="0004280B" w:rsidRPr="00165DB6" w:rsidRDefault="00C353B9" w:rsidP="0004280B">
            <w:pPr>
              <w:spacing w:before="0" w:line="240" w:lineRule="auto"/>
              <w:jc w:val="center"/>
              <w:rPr>
                <w:color w:val="44546A"/>
                <w:sz w:val="20"/>
                <w:szCs w:val="20"/>
              </w:rPr>
            </w:pPr>
            <w:r>
              <w:rPr>
                <w:color w:val="44546A"/>
                <w:sz w:val="20"/>
                <w:szCs w:val="20"/>
              </w:rPr>
              <w:t>31.9</w:t>
            </w:r>
          </w:p>
        </w:tc>
        <w:tc>
          <w:tcPr>
            <w:tcW w:w="1015" w:type="dxa"/>
          </w:tcPr>
          <w:p w14:paraId="43E6EE0F" w14:textId="59792A8C" w:rsidR="0004280B" w:rsidRPr="00165DB6" w:rsidRDefault="00C353B9" w:rsidP="0004280B">
            <w:pPr>
              <w:spacing w:before="0" w:line="240" w:lineRule="auto"/>
              <w:jc w:val="center"/>
              <w:rPr>
                <w:color w:val="44546A"/>
                <w:sz w:val="20"/>
                <w:szCs w:val="20"/>
              </w:rPr>
            </w:pPr>
            <w:r>
              <w:rPr>
                <w:color w:val="44546A"/>
                <w:sz w:val="20"/>
                <w:szCs w:val="20"/>
              </w:rPr>
              <w:t>28.1</w:t>
            </w:r>
          </w:p>
        </w:tc>
      </w:tr>
      <w:tr w:rsidR="0004280B" w:rsidRPr="005C1321" w14:paraId="1A178E80" w14:textId="77777777" w:rsidTr="0004280B">
        <w:trPr>
          <w:trHeight w:val="329"/>
        </w:trPr>
        <w:tc>
          <w:tcPr>
            <w:tcW w:w="1479" w:type="dxa"/>
          </w:tcPr>
          <w:p w14:paraId="0E2871DC" w14:textId="77777777" w:rsidR="0004280B" w:rsidRPr="00165DB6" w:rsidRDefault="0004280B" w:rsidP="0004280B">
            <w:pPr>
              <w:spacing w:before="0" w:line="240" w:lineRule="auto"/>
              <w:rPr>
                <w:color w:val="44546A"/>
                <w:sz w:val="20"/>
                <w:szCs w:val="20"/>
              </w:rPr>
            </w:pPr>
            <w:r w:rsidRPr="00165DB6">
              <w:rPr>
                <w:color w:val="44546A"/>
                <w:sz w:val="20"/>
                <w:szCs w:val="20"/>
              </w:rPr>
              <w:t>Africa and the Middle East</w:t>
            </w:r>
          </w:p>
        </w:tc>
        <w:tc>
          <w:tcPr>
            <w:tcW w:w="1302" w:type="dxa"/>
          </w:tcPr>
          <w:p w14:paraId="40A4B5C7" w14:textId="29A3F104" w:rsidR="0004280B" w:rsidRPr="00165DB6" w:rsidRDefault="00C353B9" w:rsidP="0004280B">
            <w:pPr>
              <w:spacing w:before="0" w:line="240" w:lineRule="auto"/>
              <w:jc w:val="center"/>
              <w:rPr>
                <w:color w:val="44546A"/>
                <w:sz w:val="20"/>
                <w:szCs w:val="20"/>
              </w:rPr>
            </w:pPr>
            <w:r>
              <w:rPr>
                <w:color w:val="44546A"/>
                <w:sz w:val="20"/>
                <w:szCs w:val="20"/>
              </w:rPr>
              <w:t>13.7</w:t>
            </w:r>
          </w:p>
        </w:tc>
        <w:tc>
          <w:tcPr>
            <w:tcW w:w="1302" w:type="dxa"/>
          </w:tcPr>
          <w:p w14:paraId="09DE5742" w14:textId="1161EC24" w:rsidR="0004280B" w:rsidRPr="00165DB6" w:rsidRDefault="00C353B9" w:rsidP="0004280B">
            <w:pPr>
              <w:spacing w:before="0" w:line="240" w:lineRule="auto"/>
              <w:jc w:val="center"/>
              <w:rPr>
                <w:color w:val="44546A"/>
                <w:sz w:val="20"/>
                <w:szCs w:val="20"/>
              </w:rPr>
            </w:pPr>
            <w:r>
              <w:rPr>
                <w:color w:val="44546A"/>
                <w:sz w:val="20"/>
                <w:szCs w:val="20"/>
              </w:rPr>
              <w:t>28.1</w:t>
            </w:r>
          </w:p>
        </w:tc>
        <w:tc>
          <w:tcPr>
            <w:tcW w:w="1015" w:type="dxa"/>
          </w:tcPr>
          <w:p w14:paraId="31C628CA" w14:textId="74ACD1B4" w:rsidR="0004280B" w:rsidRPr="00165DB6" w:rsidRDefault="00C353B9" w:rsidP="0004280B">
            <w:pPr>
              <w:spacing w:before="0" w:line="240" w:lineRule="auto"/>
              <w:jc w:val="center"/>
              <w:rPr>
                <w:color w:val="44546A"/>
                <w:sz w:val="20"/>
                <w:szCs w:val="20"/>
              </w:rPr>
            </w:pPr>
            <w:r>
              <w:rPr>
                <w:color w:val="44546A"/>
                <w:sz w:val="20"/>
                <w:szCs w:val="20"/>
              </w:rPr>
              <w:t>8.7</w:t>
            </w:r>
          </w:p>
        </w:tc>
      </w:tr>
      <w:tr w:rsidR="0004280B" w:rsidRPr="005C1321" w14:paraId="31FB78A7" w14:textId="77777777" w:rsidTr="0004280B">
        <w:trPr>
          <w:trHeight w:val="109"/>
        </w:trPr>
        <w:tc>
          <w:tcPr>
            <w:tcW w:w="1479" w:type="dxa"/>
          </w:tcPr>
          <w:p w14:paraId="14C2720F" w14:textId="77777777" w:rsidR="0004280B" w:rsidRPr="00165DB6" w:rsidRDefault="0004280B" w:rsidP="0004280B">
            <w:pPr>
              <w:spacing w:before="0" w:line="240" w:lineRule="auto"/>
              <w:rPr>
                <w:color w:val="44546A"/>
                <w:sz w:val="20"/>
                <w:szCs w:val="20"/>
              </w:rPr>
            </w:pPr>
            <w:r w:rsidRPr="00165DB6">
              <w:rPr>
                <w:color w:val="44546A"/>
                <w:sz w:val="20"/>
                <w:szCs w:val="20"/>
              </w:rPr>
              <w:t>Rest of the World*</w:t>
            </w:r>
          </w:p>
        </w:tc>
        <w:tc>
          <w:tcPr>
            <w:tcW w:w="1302" w:type="dxa"/>
          </w:tcPr>
          <w:p w14:paraId="029E6DB7" w14:textId="24F5E22D" w:rsidR="0004280B" w:rsidRPr="00165DB6" w:rsidRDefault="00C353B9" w:rsidP="0004280B">
            <w:pPr>
              <w:spacing w:before="0" w:line="240" w:lineRule="auto"/>
              <w:jc w:val="center"/>
              <w:rPr>
                <w:color w:val="44546A"/>
                <w:sz w:val="20"/>
                <w:szCs w:val="20"/>
              </w:rPr>
            </w:pPr>
            <w:r>
              <w:rPr>
                <w:color w:val="44546A"/>
                <w:sz w:val="20"/>
                <w:szCs w:val="20"/>
              </w:rPr>
              <w:t>230.1</w:t>
            </w:r>
          </w:p>
        </w:tc>
        <w:tc>
          <w:tcPr>
            <w:tcW w:w="1302" w:type="dxa"/>
          </w:tcPr>
          <w:p w14:paraId="12E3A4CE" w14:textId="07F28E86" w:rsidR="0004280B" w:rsidRPr="00165DB6" w:rsidRDefault="00C353B9" w:rsidP="0004280B">
            <w:pPr>
              <w:spacing w:before="0" w:line="240" w:lineRule="auto"/>
              <w:jc w:val="center"/>
              <w:rPr>
                <w:color w:val="44546A"/>
                <w:sz w:val="20"/>
                <w:szCs w:val="20"/>
              </w:rPr>
            </w:pPr>
            <w:r>
              <w:rPr>
                <w:color w:val="44546A"/>
                <w:sz w:val="20"/>
                <w:szCs w:val="20"/>
              </w:rPr>
              <w:t>145.5</w:t>
            </w:r>
          </w:p>
        </w:tc>
        <w:tc>
          <w:tcPr>
            <w:tcW w:w="1015" w:type="dxa"/>
          </w:tcPr>
          <w:p w14:paraId="42362378" w14:textId="7F526AAA" w:rsidR="0004280B" w:rsidRPr="00165DB6" w:rsidRDefault="00C353B9" w:rsidP="0004280B">
            <w:pPr>
              <w:spacing w:before="0" w:line="240" w:lineRule="auto"/>
              <w:jc w:val="center"/>
              <w:rPr>
                <w:color w:val="44546A"/>
                <w:sz w:val="20"/>
                <w:szCs w:val="20"/>
              </w:rPr>
            </w:pPr>
            <w:r>
              <w:rPr>
                <w:color w:val="44546A"/>
                <w:sz w:val="20"/>
                <w:szCs w:val="20"/>
              </w:rPr>
              <w:t>190.6</w:t>
            </w:r>
          </w:p>
        </w:tc>
      </w:tr>
      <w:tr w:rsidR="0004280B" w:rsidRPr="005C1321" w14:paraId="575B7C77" w14:textId="77777777" w:rsidTr="0004280B">
        <w:trPr>
          <w:trHeight w:val="109"/>
        </w:trPr>
        <w:tc>
          <w:tcPr>
            <w:tcW w:w="1479" w:type="dxa"/>
          </w:tcPr>
          <w:p w14:paraId="17507224" w14:textId="77777777" w:rsidR="0004280B" w:rsidRPr="00165DB6" w:rsidRDefault="0004280B" w:rsidP="0004280B">
            <w:pPr>
              <w:spacing w:before="0" w:line="240" w:lineRule="auto"/>
              <w:rPr>
                <w:b/>
                <w:color w:val="44546A"/>
                <w:sz w:val="20"/>
                <w:szCs w:val="20"/>
              </w:rPr>
            </w:pPr>
            <w:r w:rsidRPr="00165DB6">
              <w:rPr>
                <w:b/>
                <w:color w:val="44546A"/>
                <w:sz w:val="20"/>
                <w:szCs w:val="20"/>
              </w:rPr>
              <w:t xml:space="preserve">Total Australian Private Sector Development ODA </w:t>
            </w:r>
          </w:p>
        </w:tc>
        <w:tc>
          <w:tcPr>
            <w:tcW w:w="1302" w:type="dxa"/>
          </w:tcPr>
          <w:p w14:paraId="04378FE5" w14:textId="14CB1619" w:rsidR="0004280B" w:rsidRPr="00165DB6" w:rsidRDefault="0004280B" w:rsidP="0004280B">
            <w:pPr>
              <w:spacing w:before="0" w:line="240" w:lineRule="auto"/>
              <w:jc w:val="center"/>
              <w:rPr>
                <w:b/>
                <w:color w:val="44546A"/>
                <w:sz w:val="20"/>
                <w:szCs w:val="20"/>
              </w:rPr>
            </w:pPr>
            <w:r>
              <w:rPr>
                <w:b/>
                <w:color w:val="44546A"/>
                <w:sz w:val="20"/>
                <w:szCs w:val="20"/>
              </w:rPr>
              <w:t>1,</w:t>
            </w:r>
            <w:r w:rsidR="00C353B9">
              <w:rPr>
                <w:b/>
                <w:color w:val="44546A"/>
                <w:sz w:val="20"/>
                <w:szCs w:val="20"/>
              </w:rPr>
              <w:t>244</w:t>
            </w:r>
            <w:r>
              <w:rPr>
                <w:b/>
                <w:color w:val="44546A"/>
                <w:sz w:val="20"/>
                <w:szCs w:val="20"/>
              </w:rPr>
              <w:t>.</w:t>
            </w:r>
            <w:r w:rsidR="00C353B9">
              <w:rPr>
                <w:b/>
                <w:color w:val="44546A"/>
                <w:sz w:val="20"/>
                <w:szCs w:val="20"/>
              </w:rPr>
              <w:t>6</w:t>
            </w:r>
          </w:p>
        </w:tc>
        <w:tc>
          <w:tcPr>
            <w:tcW w:w="1302" w:type="dxa"/>
          </w:tcPr>
          <w:p w14:paraId="6297FC3C" w14:textId="10A82DDF" w:rsidR="0004280B" w:rsidRPr="00165DB6" w:rsidRDefault="0004280B" w:rsidP="0004280B">
            <w:pPr>
              <w:spacing w:before="0" w:line="240" w:lineRule="auto"/>
              <w:jc w:val="center"/>
              <w:rPr>
                <w:b/>
                <w:color w:val="44546A"/>
                <w:sz w:val="20"/>
                <w:szCs w:val="20"/>
              </w:rPr>
            </w:pPr>
            <w:r>
              <w:rPr>
                <w:b/>
                <w:color w:val="44546A"/>
                <w:sz w:val="20"/>
                <w:szCs w:val="20"/>
              </w:rPr>
              <w:t>1,2</w:t>
            </w:r>
            <w:r w:rsidR="00C353B9">
              <w:rPr>
                <w:b/>
                <w:color w:val="44546A"/>
                <w:sz w:val="20"/>
                <w:szCs w:val="20"/>
              </w:rPr>
              <w:t>34</w:t>
            </w:r>
            <w:r>
              <w:rPr>
                <w:b/>
                <w:color w:val="44546A"/>
                <w:sz w:val="20"/>
                <w:szCs w:val="20"/>
              </w:rPr>
              <w:t>.</w:t>
            </w:r>
            <w:r w:rsidR="00C353B9">
              <w:rPr>
                <w:b/>
                <w:color w:val="44546A"/>
                <w:sz w:val="20"/>
                <w:szCs w:val="20"/>
              </w:rPr>
              <w:t>9</w:t>
            </w:r>
          </w:p>
        </w:tc>
        <w:tc>
          <w:tcPr>
            <w:tcW w:w="1015" w:type="dxa"/>
          </w:tcPr>
          <w:p w14:paraId="7BB484E7" w14:textId="2350EB51" w:rsidR="0004280B" w:rsidRPr="00165DB6" w:rsidRDefault="0004280B" w:rsidP="0004280B">
            <w:pPr>
              <w:spacing w:before="0" w:line="240" w:lineRule="auto"/>
              <w:jc w:val="center"/>
              <w:rPr>
                <w:b/>
                <w:color w:val="44546A"/>
                <w:sz w:val="20"/>
                <w:szCs w:val="20"/>
              </w:rPr>
            </w:pPr>
            <w:r>
              <w:rPr>
                <w:b/>
                <w:color w:val="44546A"/>
                <w:sz w:val="20"/>
                <w:szCs w:val="20"/>
              </w:rPr>
              <w:t>1,2</w:t>
            </w:r>
            <w:r w:rsidR="00C353B9">
              <w:rPr>
                <w:b/>
                <w:color w:val="44546A"/>
                <w:sz w:val="20"/>
                <w:szCs w:val="20"/>
              </w:rPr>
              <w:t>63</w:t>
            </w:r>
            <w:r>
              <w:rPr>
                <w:b/>
                <w:color w:val="44546A"/>
                <w:sz w:val="20"/>
                <w:szCs w:val="20"/>
              </w:rPr>
              <w:t>.</w:t>
            </w:r>
            <w:r w:rsidR="00C353B9">
              <w:rPr>
                <w:b/>
                <w:color w:val="44546A"/>
                <w:sz w:val="20"/>
                <w:szCs w:val="20"/>
              </w:rPr>
              <w:t>3</w:t>
            </w:r>
          </w:p>
        </w:tc>
      </w:tr>
      <w:tr w:rsidR="0004280B" w:rsidRPr="005C1321" w14:paraId="1C12978A" w14:textId="77777777" w:rsidTr="0004280B">
        <w:trPr>
          <w:trHeight w:val="109"/>
        </w:trPr>
        <w:tc>
          <w:tcPr>
            <w:tcW w:w="5098" w:type="dxa"/>
            <w:gridSpan w:val="4"/>
          </w:tcPr>
          <w:p w14:paraId="6BC2C675" w14:textId="77777777" w:rsidR="0004280B" w:rsidRPr="00165DB6" w:rsidRDefault="0004280B" w:rsidP="0004280B">
            <w:pPr>
              <w:spacing w:before="0" w:after="0" w:line="240" w:lineRule="auto"/>
              <w:rPr>
                <w:i/>
                <w:color w:val="44546A"/>
                <w:sz w:val="15"/>
                <w:szCs w:val="15"/>
              </w:rPr>
            </w:pPr>
            <w:r w:rsidRPr="00165DB6">
              <w:rPr>
                <w:color w:val="44546A"/>
                <w:kern w:val="24"/>
                <w:sz w:val="15"/>
                <w:szCs w:val="15"/>
              </w:rPr>
              <w:t>*</w:t>
            </w:r>
            <w:r w:rsidRPr="00165DB6">
              <w:rPr>
                <w:i/>
                <w:color w:val="44546A"/>
                <w:sz w:val="15"/>
                <w:szCs w:val="15"/>
              </w:rPr>
              <w:t xml:space="preserve"> </w:t>
            </w:r>
            <w:r>
              <w:rPr>
                <w:i/>
                <w:color w:val="44546A"/>
                <w:sz w:val="15"/>
                <w:szCs w:val="15"/>
              </w:rPr>
              <w:t>Includes ODA that is not attributed to particular countries or regions</w:t>
            </w:r>
          </w:p>
          <w:p w14:paraId="2A445F8E" w14:textId="77777777" w:rsidR="0004280B" w:rsidRPr="00165DB6" w:rsidRDefault="0004280B" w:rsidP="0004280B">
            <w:pPr>
              <w:pStyle w:val="NormalWeb"/>
              <w:spacing w:before="0" w:beforeAutospacing="0" w:after="0" w:afterAutospacing="0"/>
              <w:rPr>
                <w:rFonts w:asciiTheme="minorHAnsi" w:hAnsiTheme="minorHAnsi" w:cstheme="minorBidi"/>
                <w:i/>
                <w:color w:val="44546A"/>
                <w:kern w:val="24"/>
                <w:sz w:val="15"/>
                <w:szCs w:val="15"/>
              </w:rPr>
            </w:pPr>
            <w:r w:rsidRPr="00165DB6">
              <w:rPr>
                <w:rFonts w:asciiTheme="minorHAnsi" w:hAnsiTheme="minorHAnsi" w:cstheme="minorBidi"/>
                <w:color w:val="44546A"/>
                <w:kern w:val="24"/>
                <w:sz w:val="15"/>
                <w:szCs w:val="15"/>
              </w:rPr>
              <w:t>**</w:t>
            </w:r>
            <w:r w:rsidRPr="00165DB6">
              <w:rPr>
                <w:rFonts w:asciiTheme="minorHAnsi" w:hAnsiTheme="minorHAnsi" w:cstheme="minorBidi"/>
                <w:i/>
                <w:color w:val="44546A"/>
                <w:kern w:val="24"/>
                <w:sz w:val="15"/>
                <w:szCs w:val="15"/>
              </w:rPr>
              <w:t>Due to rounding, discrepancies may occur between sums of the component items and totals.</w:t>
            </w:r>
            <w:r w:rsidRPr="00165DB6">
              <w:rPr>
                <w:rFonts w:asciiTheme="minorHAnsi" w:hAnsiTheme="minorHAnsi"/>
                <w:i/>
                <w:color w:val="44546A"/>
                <w:sz w:val="15"/>
                <w:szCs w:val="15"/>
              </w:rPr>
              <w:t xml:space="preserve"> </w:t>
            </w:r>
          </w:p>
        </w:tc>
      </w:tr>
    </w:tbl>
    <w:bookmarkEnd w:id="0"/>
    <w:p w14:paraId="6A1BDCED" w14:textId="46DC8D9F" w:rsidR="000F158D" w:rsidRPr="00200551" w:rsidRDefault="00535A0A" w:rsidP="00535A0A">
      <w:pPr>
        <w:pStyle w:val="Heading3"/>
        <w:spacing w:before="0" w:after="0" w:line="240" w:lineRule="auto"/>
        <w:ind w:left="-142" w:right="298"/>
        <w:rPr>
          <w:rFonts w:asciiTheme="minorHAnsi" w:hAnsiTheme="minorHAnsi"/>
          <w:b/>
          <w:color w:val="44546A"/>
          <w:sz w:val="26"/>
        </w:rPr>
      </w:pPr>
      <w:r>
        <w:rPr>
          <w:rFonts w:asciiTheme="minorHAnsi" w:hAnsiTheme="minorHAnsi"/>
          <w:b/>
          <w:color w:val="44546A"/>
          <w:sz w:val="26"/>
        </w:rPr>
        <w:t xml:space="preserve">The </w:t>
      </w:r>
      <w:r w:rsidR="00AD60C0">
        <w:rPr>
          <w:rFonts w:asciiTheme="minorHAnsi" w:hAnsiTheme="minorHAnsi"/>
          <w:b/>
          <w:color w:val="44546A"/>
          <w:sz w:val="26"/>
        </w:rPr>
        <w:t xml:space="preserve">Australian Government’s development policy </w:t>
      </w:r>
      <w:hyperlink r:id="rId8" w:history="1">
        <w:r w:rsidR="00AD60C0" w:rsidRPr="00AD60C0">
          <w:rPr>
            <w:rStyle w:val="Hyperlink"/>
            <w:rFonts w:cstheme="majorBidi"/>
            <w:b/>
            <w:i/>
            <w:iCs/>
            <w:sz w:val="26"/>
          </w:rPr>
          <w:t>Partnerships for Recovery – Australia’s COVID-19 Development Response</w:t>
        </w:r>
      </w:hyperlink>
      <w:r w:rsidR="00AD60C0">
        <w:rPr>
          <w:rFonts w:asciiTheme="minorHAnsi" w:hAnsiTheme="minorHAnsi"/>
          <w:b/>
          <w:i/>
          <w:iCs/>
          <w:color w:val="44546A"/>
          <w:sz w:val="26"/>
        </w:rPr>
        <w:t xml:space="preserve"> </w:t>
      </w:r>
      <w:r w:rsidR="00AD60C0">
        <w:rPr>
          <w:rFonts w:asciiTheme="minorHAnsi" w:hAnsiTheme="minorHAnsi"/>
          <w:b/>
          <w:color w:val="44546A"/>
          <w:sz w:val="26"/>
        </w:rPr>
        <w:t xml:space="preserve">and performance framework outline how DFAT is working with businesses to support economic recovery. We are working with the private sector to create livelihood opportunities, support inclusive business practices, enhance gender equality and </w:t>
      </w:r>
      <w:r w:rsidR="00B60AD4">
        <w:rPr>
          <w:rFonts w:asciiTheme="minorHAnsi" w:hAnsiTheme="minorHAnsi"/>
          <w:b/>
          <w:color w:val="44546A"/>
          <w:sz w:val="26"/>
        </w:rPr>
        <w:t>collaborate with</w:t>
      </w:r>
      <w:r w:rsidR="00AD60C0">
        <w:rPr>
          <w:rFonts w:asciiTheme="minorHAnsi" w:hAnsiTheme="minorHAnsi"/>
          <w:b/>
          <w:color w:val="44546A"/>
          <w:sz w:val="26"/>
        </w:rPr>
        <w:t xml:space="preserve"> countries to build back better and strengthen resilient economic recovery. </w:t>
      </w:r>
    </w:p>
    <w:p w14:paraId="49F755A0" w14:textId="77777777" w:rsidR="000F158D" w:rsidRPr="00200551" w:rsidRDefault="000F158D" w:rsidP="00A72786">
      <w:pPr>
        <w:widowControl w:val="0"/>
        <w:ind w:left="-142"/>
        <w:jc w:val="both"/>
        <w:rPr>
          <w:b/>
          <w:iCs/>
          <w:color w:val="44546A"/>
          <w:sz w:val="28"/>
          <w:szCs w:val="28"/>
        </w:rPr>
      </w:pPr>
      <w:r w:rsidRPr="00200551">
        <w:rPr>
          <w:b/>
          <w:iCs/>
          <w:color w:val="44546A"/>
          <w:sz w:val="28"/>
          <w:szCs w:val="28"/>
        </w:rPr>
        <w:t xml:space="preserve">Strategic direction </w:t>
      </w:r>
    </w:p>
    <w:p w14:paraId="309CB9B0" w14:textId="77777777" w:rsidR="00A7436B" w:rsidRDefault="000F158D" w:rsidP="00A72786">
      <w:pPr>
        <w:widowControl w:val="0"/>
        <w:spacing w:before="0" w:after="0"/>
        <w:ind w:left="-142" w:right="298"/>
        <w:jc w:val="both"/>
        <w:rPr>
          <w:iCs/>
          <w:color w:val="44546A"/>
          <w:sz w:val="21"/>
          <w:szCs w:val="21"/>
        </w:rPr>
      </w:pPr>
      <w:r w:rsidRPr="005C1321">
        <w:rPr>
          <w:iCs/>
          <w:color w:val="44546A"/>
          <w:sz w:val="21"/>
          <w:szCs w:val="21"/>
        </w:rPr>
        <w:t>The private sector is critical to achieving th</w:t>
      </w:r>
      <w:r w:rsidR="00843294" w:rsidRPr="005C1321">
        <w:rPr>
          <w:iCs/>
          <w:color w:val="44546A"/>
          <w:sz w:val="21"/>
          <w:szCs w:val="21"/>
        </w:rPr>
        <w:t>e Sustainable Development Goals.</w:t>
      </w:r>
      <w:r w:rsidRPr="005C1321">
        <w:rPr>
          <w:iCs/>
          <w:color w:val="44546A"/>
          <w:sz w:val="21"/>
          <w:szCs w:val="21"/>
        </w:rPr>
        <w:t xml:space="preserve"> </w:t>
      </w:r>
      <w:r w:rsidR="00843294" w:rsidRPr="005C1321">
        <w:rPr>
          <w:iCs/>
          <w:color w:val="44546A"/>
          <w:sz w:val="21"/>
          <w:szCs w:val="21"/>
        </w:rPr>
        <w:t>S</w:t>
      </w:r>
      <w:r w:rsidRPr="005C1321">
        <w:rPr>
          <w:iCs/>
          <w:color w:val="44546A"/>
          <w:sz w:val="21"/>
          <w:szCs w:val="21"/>
        </w:rPr>
        <w:t xml:space="preserve">ustainability </w:t>
      </w:r>
      <w:r w:rsidR="00843294" w:rsidRPr="005C1321">
        <w:rPr>
          <w:iCs/>
          <w:color w:val="44546A"/>
          <w:sz w:val="21"/>
          <w:szCs w:val="21"/>
        </w:rPr>
        <w:t xml:space="preserve">has emerged </w:t>
      </w:r>
      <w:r w:rsidRPr="005C1321">
        <w:rPr>
          <w:iCs/>
          <w:color w:val="44546A"/>
          <w:sz w:val="21"/>
          <w:szCs w:val="21"/>
        </w:rPr>
        <w:t>as a key priority for the business sector.</w:t>
      </w:r>
      <w:r w:rsidR="00A72786">
        <w:rPr>
          <w:iCs/>
          <w:color w:val="44546A"/>
          <w:sz w:val="21"/>
          <w:szCs w:val="21"/>
        </w:rPr>
        <w:t xml:space="preserve"> </w:t>
      </w:r>
    </w:p>
    <w:p w14:paraId="078C5142" w14:textId="1631E46E" w:rsidR="000F158D" w:rsidRPr="005C1321" w:rsidRDefault="00A7436B" w:rsidP="00A7436B">
      <w:pPr>
        <w:widowControl w:val="0"/>
        <w:spacing w:before="60" w:after="0"/>
        <w:ind w:left="-142" w:right="301"/>
        <w:jc w:val="both"/>
        <w:rPr>
          <w:iCs/>
          <w:color w:val="44546A"/>
          <w:sz w:val="21"/>
          <w:szCs w:val="21"/>
        </w:rPr>
      </w:pPr>
      <w:r w:rsidRPr="00A7436B">
        <w:rPr>
          <w:b/>
          <w:iCs/>
          <w:color w:val="44546A"/>
          <w:sz w:val="21"/>
          <w:szCs w:val="21"/>
        </w:rPr>
        <w:t>Private sector development:</w:t>
      </w:r>
      <w:r>
        <w:rPr>
          <w:iCs/>
          <w:color w:val="44546A"/>
          <w:sz w:val="21"/>
          <w:szCs w:val="21"/>
        </w:rPr>
        <w:t xml:space="preserve"> </w:t>
      </w:r>
      <w:r w:rsidR="00A72786">
        <w:rPr>
          <w:iCs/>
          <w:color w:val="44546A"/>
          <w:sz w:val="21"/>
          <w:szCs w:val="21"/>
        </w:rPr>
        <w:t>T</w:t>
      </w:r>
      <w:r w:rsidR="000F158D" w:rsidRPr="005C1321">
        <w:rPr>
          <w:iCs/>
          <w:color w:val="44546A"/>
          <w:sz w:val="21"/>
          <w:szCs w:val="21"/>
        </w:rPr>
        <w:t xml:space="preserve">he private sector is a core partner supporting the </w:t>
      </w:r>
      <w:r w:rsidR="0022664B">
        <w:rPr>
          <w:iCs/>
          <w:color w:val="44546A"/>
          <w:sz w:val="21"/>
          <w:szCs w:val="21"/>
        </w:rPr>
        <w:t xml:space="preserve">development </w:t>
      </w:r>
      <w:r w:rsidR="000F158D" w:rsidRPr="005C1321">
        <w:rPr>
          <w:iCs/>
          <w:color w:val="44546A"/>
          <w:sz w:val="21"/>
          <w:szCs w:val="21"/>
        </w:rPr>
        <w:t xml:space="preserve">program’s objective to increase sustainable economic growth and reduce poverty. The goal of private sector development is to </w:t>
      </w:r>
      <w:r w:rsidR="00525A19">
        <w:rPr>
          <w:iCs/>
          <w:color w:val="44546A"/>
          <w:sz w:val="21"/>
          <w:szCs w:val="21"/>
        </w:rPr>
        <w:t>expand trade and business opportunities for our partner</w:t>
      </w:r>
      <w:r w:rsidR="000F158D" w:rsidRPr="005C1321">
        <w:rPr>
          <w:iCs/>
          <w:color w:val="44546A"/>
          <w:sz w:val="21"/>
          <w:szCs w:val="21"/>
        </w:rPr>
        <w:t xml:space="preserve"> countries through the following approaches: </w:t>
      </w:r>
    </w:p>
    <w:p w14:paraId="2D160CEC" w14:textId="4AB59038" w:rsidR="000F158D" w:rsidRPr="005C1321" w:rsidRDefault="000F158D" w:rsidP="00A72786">
      <w:pPr>
        <w:pStyle w:val="ListParagraph"/>
        <w:widowControl w:val="0"/>
        <w:numPr>
          <w:ilvl w:val="0"/>
          <w:numId w:val="33"/>
        </w:numPr>
        <w:spacing w:before="60"/>
        <w:ind w:left="142" w:right="298" w:hanging="284"/>
        <w:jc w:val="both"/>
        <w:rPr>
          <w:iCs/>
          <w:color w:val="44546A"/>
          <w:sz w:val="21"/>
          <w:szCs w:val="21"/>
        </w:rPr>
      </w:pPr>
      <w:r w:rsidRPr="005C1321">
        <w:rPr>
          <w:b/>
          <w:iCs/>
          <w:color w:val="44546A"/>
          <w:sz w:val="21"/>
          <w:szCs w:val="21"/>
        </w:rPr>
        <w:t>building better business and investment environments</w:t>
      </w:r>
      <w:r w:rsidRPr="005C1321">
        <w:rPr>
          <w:iCs/>
          <w:color w:val="44546A"/>
          <w:sz w:val="21"/>
          <w:szCs w:val="21"/>
        </w:rPr>
        <w:t xml:space="preserve">: for example, improving access to finance; </w:t>
      </w:r>
    </w:p>
    <w:p w14:paraId="41FA7933" w14:textId="77777777" w:rsidR="000F158D" w:rsidRPr="005C1321" w:rsidRDefault="000F158D" w:rsidP="00A72786">
      <w:pPr>
        <w:pStyle w:val="ListParagraph"/>
        <w:widowControl w:val="0"/>
        <w:numPr>
          <w:ilvl w:val="0"/>
          <w:numId w:val="33"/>
        </w:numPr>
        <w:spacing w:before="60"/>
        <w:ind w:left="142" w:right="298" w:hanging="284"/>
        <w:jc w:val="both"/>
        <w:rPr>
          <w:iCs/>
          <w:color w:val="44546A"/>
          <w:sz w:val="21"/>
          <w:szCs w:val="21"/>
        </w:rPr>
      </w:pPr>
      <w:r w:rsidRPr="005C1321">
        <w:rPr>
          <w:b/>
          <w:iCs/>
          <w:color w:val="44546A"/>
          <w:sz w:val="21"/>
          <w:szCs w:val="21"/>
        </w:rPr>
        <w:t>supporting growth in specific markets</w:t>
      </w:r>
      <w:r w:rsidRPr="005C1321">
        <w:rPr>
          <w:iCs/>
          <w:color w:val="44546A"/>
          <w:sz w:val="21"/>
          <w:szCs w:val="21"/>
        </w:rPr>
        <w:t xml:space="preserve">: for example, removing barriers to efficient market operation; and </w:t>
      </w:r>
    </w:p>
    <w:p w14:paraId="41086D99" w14:textId="0B7070C9" w:rsidR="000F158D" w:rsidRPr="005C1321" w:rsidRDefault="000F158D" w:rsidP="00A72786">
      <w:pPr>
        <w:pStyle w:val="ListParagraph"/>
        <w:widowControl w:val="0"/>
        <w:numPr>
          <w:ilvl w:val="0"/>
          <w:numId w:val="34"/>
        </w:numPr>
        <w:spacing w:before="60"/>
        <w:ind w:left="142" w:right="298" w:hanging="284"/>
        <w:jc w:val="both"/>
        <w:rPr>
          <w:iCs/>
          <w:color w:val="44546A"/>
          <w:sz w:val="21"/>
          <w:szCs w:val="21"/>
        </w:rPr>
      </w:pPr>
      <w:r w:rsidRPr="005C1321">
        <w:rPr>
          <w:b/>
          <w:iCs/>
          <w:color w:val="44546A"/>
          <w:sz w:val="21"/>
          <w:szCs w:val="21"/>
        </w:rPr>
        <w:t>maximising the development impact of individual businesses</w:t>
      </w:r>
      <w:r w:rsidRPr="005C1321">
        <w:rPr>
          <w:iCs/>
          <w:color w:val="44546A"/>
          <w:sz w:val="21"/>
          <w:szCs w:val="21"/>
        </w:rPr>
        <w:t xml:space="preserve">: partnering with businesses that </w:t>
      </w:r>
      <w:r w:rsidR="00BE272B">
        <w:rPr>
          <w:iCs/>
          <w:color w:val="44546A"/>
          <w:sz w:val="21"/>
          <w:szCs w:val="21"/>
        </w:rPr>
        <w:t xml:space="preserve">engage the poor as employees and </w:t>
      </w:r>
      <w:r w:rsidRPr="005C1321">
        <w:rPr>
          <w:iCs/>
          <w:color w:val="44546A"/>
          <w:sz w:val="21"/>
          <w:szCs w:val="21"/>
        </w:rPr>
        <w:t>consumers.</w:t>
      </w:r>
    </w:p>
    <w:p w14:paraId="7B6158C6" w14:textId="1C2AC38D" w:rsidR="000F158D" w:rsidRPr="005C1321" w:rsidRDefault="000F158D" w:rsidP="00A72786">
      <w:pPr>
        <w:widowControl w:val="0"/>
        <w:spacing w:before="60"/>
        <w:ind w:left="-142" w:right="298"/>
        <w:jc w:val="both"/>
        <w:rPr>
          <w:color w:val="44546A"/>
          <w:sz w:val="21"/>
          <w:szCs w:val="21"/>
        </w:rPr>
      </w:pPr>
      <w:r w:rsidRPr="005C1321">
        <w:rPr>
          <w:b/>
          <w:color w:val="44546A"/>
          <w:sz w:val="21"/>
          <w:szCs w:val="21"/>
        </w:rPr>
        <w:t>Private sector engagement</w:t>
      </w:r>
      <w:r w:rsidRPr="005C1321">
        <w:rPr>
          <w:color w:val="44546A"/>
          <w:sz w:val="21"/>
          <w:szCs w:val="21"/>
        </w:rPr>
        <w:t xml:space="preserve">: the private sector brings a wealth of knowledge, innovative ideas, capabilities and resources that can improve the effectiveness of Australia’s </w:t>
      </w:r>
      <w:r w:rsidR="0022664B">
        <w:rPr>
          <w:color w:val="44546A"/>
          <w:sz w:val="21"/>
          <w:szCs w:val="21"/>
        </w:rPr>
        <w:t xml:space="preserve">development cooperation </w:t>
      </w:r>
      <w:r w:rsidRPr="005C1321">
        <w:rPr>
          <w:color w:val="44546A"/>
          <w:sz w:val="21"/>
          <w:szCs w:val="21"/>
        </w:rPr>
        <w:t>program. Working with business enables us to leverage each other’s assets, connections, creativity and expertise to achieve mutually beneficial outcomes</w:t>
      </w:r>
      <w:r w:rsidR="004D2F9C">
        <w:rPr>
          <w:color w:val="44546A"/>
          <w:sz w:val="21"/>
          <w:szCs w:val="21"/>
        </w:rPr>
        <w:t xml:space="preserve"> that achieve both development and commercial objectives.</w:t>
      </w:r>
      <w:r w:rsidR="00A0648C">
        <w:rPr>
          <w:color w:val="44546A"/>
          <w:sz w:val="21"/>
          <w:szCs w:val="21"/>
        </w:rPr>
        <w:t xml:space="preserve"> </w:t>
      </w:r>
      <w:r w:rsidRPr="005C1321">
        <w:rPr>
          <w:color w:val="44546A"/>
          <w:sz w:val="21"/>
          <w:szCs w:val="21"/>
        </w:rPr>
        <w:t xml:space="preserve">In practice, the </w:t>
      </w:r>
      <w:r w:rsidR="0022664B">
        <w:rPr>
          <w:color w:val="44546A"/>
          <w:sz w:val="21"/>
          <w:szCs w:val="21"/>
        </w:rPr>
        <w:t xml:space="preserve">development </w:t>
      </w:r>
      <w:r w:rsidRPr="005C1321">
        <w:rPr>
          <w:color w:val="44546A"/>
          <w:sz w:val="21"/>
          <w:szCs w:val="21"/>
        </w:rPr>
        <w:t xml:space="preserve">program is: </w:t>
      </w:r>
    </w:p>
    <w:p w14:paraId="6097AE19" w14:textId="77777777" w:rsidR="000F158D" w:rsidRPr="00A72786" w:rsidRDefault="000F158D" w:rsidP="00A72786">
      <w:pPr>
        <w:pStyle w:val="ListParagraph"/>
        <w:widowControl w:val="0"/>
        <w:numPr>
          <w:ilvl w:val="0"/>
          <w:numId w:val="33"/>
        </w:numPr>
        <w:spacing w:before="60"/>
        <w:ind w:left="142" w:right="298" w:hanging="284"/>
        <w:jc w:val="both"/>
        <w:rPr>
          <w:iCs/>
          <w:color w:val="44546A"/>
          <w:sz w:val="21"/>
          <w:szCs w:val="21"/>
        </w:rPr>
      </w:pPr>
      <w:r w:rsidRPr="00A72786">
        <w:rPr>
          <w:iCs/>
          <w:color w:val="44546A"/>
          <w:sz w:val="21"/>
          <w:szCs w:val="21"/>
        </w:rPr>
        <w:t xml:space="preserve">increasing focus on </w:t>
      </w:r>
      <w:r w:rsidR="00E0024B" w:rsidRPr="00A72786">
        <w:rPr>
          <w:iCs/>
          <w:color w:val="44546A"/>
          <w:sz w:val="21"/>
          <w:szCs w:val="21"/>
        </w:rPr>
        <w:t xml:space="preserve">sustainably </w:t>
      </w:r>
      <w:r w:rsidRPr="00A7436B">
        <w:rPr>
          <w:b/>
          <w:iCs/>
          <w:color w:val="44546A"/>
          <w:sz w:val="21"/>
          <w:szCs w:val="21"/>
        </w:rPr>
        <w:t>growing the private sector in developing countries</w:t>
      </w:r>
      <w:r w:rsidRPr="00A72786">
        <w:rPr>
          <w:iCs/>
          <w:color w:val="44546A"/>
          <w:sz w:val="21"/>
          <w:szCs w:val="21"/>
        </w:rPr>
        <w:t xml:space="preserve"> in the region; and </w:t>
      </w:r>
    </w:p>
    <w:p w14:paraId="35FECCD3" w14:textId="77777777" w:rsidR="000F158D" w:rsidRPr="00A72786" w:rsidRDefault="000F158D" w:rsidP="00A72786">
      <w:pPr>
        <w:pStyle w:val="ListParagraph"/>
        <w:widowControl w:val="0"/>
        <w:numPr>
          <w:ilvl w:val="0"/>
          <w:numId w:val="33"/>
        </w:numPr>
        <w:spacing w:before="60"/>
        <w:ind w:left="142" w:right="298" w:hanging="284"/>
        <w:jc w:val="both"/>
        <w:rPr>
          <w:iCs/>
          <w:color w:val="44546A"/>
          <w:sz w:val="21"/>
          <w:szCs w:val="21"/>
        </w:rPr>
      </w:pPr>
      <w:r w:rsidRPr="00A7436B">
        <w:rPr>
          <w:b/>
          <w:iCs/>
          <w:color w:val="44546A"/>
          <w:sz w:val="21"/>
          <w:szCs w:val="21"/>
        </w:rPr>
        <w:t>increasing engagement with the private sector</w:t>
      </w:r>
      <w:r w:rsidRPr="00A72786">
        <w:rPr>
          <w:iCs/>
          <w:color w:val="44546A"/>
          <w:sz w:val="21"/>
          <w:szCs w:val="21"/>
        </w:rPr>
        <w:t xml:space="preserve"> across the full range of Australia’s </w:t>
      </w:r>
      <w:r w:rsidR="0022664B">
        <w:rPr>
          <w:iCs/>
          <w:color w:val="44546A"/>
          <w:sz w:val="21"/>
          <w:szCs w:val="21"/>
        </w:rPr>
        <w:t>development cooperation</w:t>
      </w:r>
      <w:r w:rsidRPr="00A72786">
        <w:rPr>
          <w:iCs/>
          <w:color w:val="44546A"/>
          <w:sz w:val="21"/>
          <w:szCs w:val="21"/>
        </w:rPr>
        <w:t xml:space="preserve"> priorities.</w:t>
      </w:r>
    </w:p>
    <w:p w14:paraId="6838D565" w14:textId="6838D04C" w:rsidR="00F774DE" w:rsidRPr="00200551" w:rsidRDefault="000F158D" w:rsidP="004C31A2">
      <w:pPr>
        <w:widowControl w:val="0"/>
        <w:spacing w:before="240"/>
        <w:ind w:left="-142" w:right="298"/>
        <w:jc w:val="both"/>
        <w:rPr>
          <w:b/>
          <w:iCs/>
          <w:color w:val="44546A"/>
          <w:sz w:val="28"/>
          <w:szCs w:val="28"/>
        </w:rPr>
      </w:pPr>
      <w:r w:rsidRPr="00200551">
        <w:rPr>
          <w:b/>
          <w:iCs/>
          <w:color w:val="44546A"/>
          <w:sz w:val="28"/>
          <w:szCs w:val="28"/>
        </w:rPr>
        <w:t xml:space="preserve">Sector performance </w:t>
      </w:r>
    </w:p>
    <w:p w14:paraId="152AD880" w14:textId="7582AA98" w:rsidR="00A67A6A" w:rsidRDefault="00A67A6A" w:rsidP="0004280B">
      <w:pPr>
        <w:widowControl w:val="0"/>
        <w:spacing w:line="240" w:lineRule="auto"/>
        <w:ind w:left="-142" w:right="301" w:hanging="142"/>
        <w:jc w:val="both"/>
        <w:rPr>
          <w:iCs/>
          <w:color w:val="44546A"/>
          <w:sz w:val="21"/>
          <w:szCs w:val="21"/>
        </w:rPr>
      </w:pPr>
    </w:p>
    <w:p w14:paraId="5BD79673" w14:textId="4CDA45C9" w:rsidR="001D4068" w:rsidRDefault="00AF612F" w:rsidP="00B60AD4">
      <w:pPr>
        <w:ind w:left="-142"/>
        <w:jc w:val="both"/>
        <w:rPr>
          <w:iCs/>
          <w:color w:val="44546A"/>
          <w:sz w:val="21"/>
          <w:szCs w:val="21"/>
        </w:rPr>
      </w:pPr>
      <w:r>
        <w:rPr>
          <w:noProof/>
        </w:rPr>
        <w:lastRenderedPageBreak/>
        <w:drawing>
          <wp:inline distT="0" distB="0" distL="0" distR="0" wp14:anchorId="6CB411CC" wp14:editId="1036B64D">
            <wp:extent cx="3128617" cy="2154693"/>
            <wp:effectExtent l="0" t="0" r="15240" b="17145"/>
            <wp:docPr id="4" name="Chart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B9FEFF" w14:textId="3CE2976A" w:rsidR="00DB07CB" w:rsidRPr="00B60AD4" w:rsidRDefault="00DB07CB" w:rsidP="00B60AD4">
      <w:pPr>
        <w:ind w:left="-142"/>
        <w:jc w:val="both"/>
        <w:rPr>
          <w:iCs/>
          <w:color w:val="44546A"/>
          <w:sz w:val="21"/>
          <w:szCs w:val="21"/>
        </w:rPr>
      </w:pPr>
      <w:r w:rsidRPr="00B60AD4">
        <w:rPr>
          <w:iCs/>
          <w:color w:val="44546A"/>
          <w:sz w:val="21"/>
          <w:szCs w:val="21"/>
        </w:rPr>
        <w:t xml:space="preserve">In 2020, DFAT established the </w:t>
      </w:r>
      <w:hyperlink r:id="rId10" w:history="1">
        <w:r w:rsidRPr="00B60AD4">
          <w:rPr>
            <w:rStyle w:val="Hyperlink"/>
            <w:rFonts w:cstheme="minorBidi"/>
            <w:b/>
            <w:iCs/>
            <w:color w:val="44546A"/>
            <w:sz w:val="21"/>
            <w:szCs w:val="21"/>
          </w:rPr>
          <w:t>Emerging Markets Impact Investment Fund</w:t>
        </w:r>
      </w:hyperlink>
      <w:r w:rsidRPr="00B60AD4">
        <w:rPr>
          <w:iCs/>
          <w:color w:val="44546A"/>
          <w:sz w:val="21"/>
          <w:szCs w:val="21"/>
        </w:rPr>
        <w:t xml:space="preserve"> (EMIIF). This AUD40 million initiative will enhance DFAT’s bilateral investment capability, enabling the use of non-grant finance to crowd in private capital and address access to finance challenges for small and medium enterprises in South Asia, South East Asia and the Pacific. As a central part of its investment strategy, EMIIF will adopt a ‘gender lens investing’ approach that will encourage investment in enterprises that positively impact women.</w:t>
      </w:r>
    </w:p>
    <w:p w14:paraId="00F1640D" w14:textId="48B71D93" w:rsidR="00B60AD4" w:rsidRDefault="00B60AD4" w:rsidP="00A67A6A">
      <w:pPr>
        <w:widowControl w:val="0"/>
        <w:spacing w:line="240" w:lineRule="auto"/>
        <w:ind w:left="-142" w:right="14"/>
        <w:jc w:val="both"/>
        <w:rPr>
          <w:iCs/>
          <w:color w:val="44546A"/>
          <w:sz w:val="21"/>
          <w:szCs w:val="21"/>
        </w:rPr>
      </w:pPr>
    </w:p>
    <w:p w14:paraId="738DDC7A" w14:textId="77777777" w:rsidR="0038447E" w:rsidRDefault="0038447E" w:rsidP="00A67A6A">
      <w:pPr>
        <w:widowControl w:val="0"/>
        <w:spacing w:line="240" w:lineRule="auto"/>
        <w:ind w:left="-142" w:right="14"/>
        <w:jc w:val="both"/>
        <w:rPr>
          <w:iCs/>
          <w:color w:val="44546A"/>
          <w:sz w:val="21"/>
          <w:szCs w:val="21"/>
        </w:rPr>
      </w:pPr>
    </w:p>
    <w:p w14:paraId="4809AB3B" w14:textId="44DD2980" w:rsidR="00200551" w:rsidRPr="005C1321" w:rsidRDefault="000F158D" w:rsidP="00A67A6A">
      <w:pPr>
        <w:widowControl w:val="0"/>
        <w:spacing w:line="240" w:lineRule="auto"/>
        <w:ind w:left="-142" w:right="14"/>
        <w:jc w:val="both"/>
        <w:rPr>
          <w:iCs/>
          <w:color w:val="44546A"/>
          <w:sz w:val="21"/>
          <w:szCs w:val="21"/>
        </w:rPr>
      </w:pPr>
      <w:r w:rsidRPr="005C1321">
        <w:rPr>
          <w:iCs/>
          <w:color w:val="44546A"/>
          <w:sz w:val="21"/>
          <w:szCs w:val="21"/>
        </w:rPr>
        <w:t xml:space="preserve">Under the </w:t>
      </w:r>
      <w:hyperlink r:id="rId11" w:history="1">
        <w:r w:rsidRPr="005C1321">
          <w:rPr>
            <w:rStyle w:val="Hyperlink"/>
            <w:rFonts w:cstheme="minorBidi"/>
            <w:b/>
            <w:iCs/>
            <w:color w:val="44546A"/>
            <w:sz w:val="21"/>
            <w:szCs w:val="21"/>
          </w:rPr>
          <w:t>Business Partnerships Platform</w:t>
        </w:r>
      </w:hyperlink>
      <w:r w:rsidRPr="005C1321">
        <w:rPr>
          <w:iCs/>
          <w:color w:val="44546A"/>
          <w:sz w:val="21"/>
          <w:szCs w:val="21"/>
        </w:rPr>
        <w:t xml:space="preserve">, </w:t>
      </w:r>
      <w:r w:rsidR="00525A19">
        <w:rPr>
          <w:iCs/>
          <w:color w:val="44546A"/>
          <w:sz w:val="21"/>
          <w:szCs w:val="21"/>
        </w:rPr>
        <w:t>Australia’s</w:t>
      </w:r>
      <w:r w:rsidRPr="005C1321">
        <w:rPr>
          <w:iCs/>
          <w:color w:val="44546A"/>
          <w:sz w:val="21"/>
          <w:szCs w:val="21"/>
        </w:rPr>
        <w:t xml:space="preserve"> </w:t>
      </w:r>
      <w:r w:rsidR="0022664B">
        <w:rPr>
          <w:iCs/>
          <w:color w:val="44546A"/>
          <w:sz w:val="21"/>
          <w:szCs w:val="21"/>
        </w:rPr>
        <w:t xml:space="preserve">development </w:t>
      </w:r>
      <w:r w:rsidRPr="005C1321">
        <w:rPr>
          <w:iCs/>
          <w:color w:val="44546A"/>
          <w:sz w:val="21"/>
          <w:szCs w:val="21"/>
        </w:rPr>
        <w:t>program has inv</w:t>
      </w:r>
      <w:r w:rsidR="00E36686">
        <w:rPr>
          <w:iCs/>
          <w:color w:val="44546A"/>
          <w:sz w:val="21"/>
          <w:szCs w:val="21"/>
        </w:rPr>
        <w:t xml:space="preserve">ested </w:t>
      </w:r>
      <w:r w:rsidR="004D2F9C">
        <w:rPr>
          <w:iCs/>
          <w:color w:val="44546A"/>
          <w:sz w:val="21"/>
          <w:szCs w:val="21"/>
        </w:rPr>
        <w:t>approximately</w:t>
      </w:r>
      <w:r w:rsidR="00525A19">
        <w:rPr>
          <w:iCs/>
          <w:color w:val="44546A"/>
          <w:sz w:val="21"/>
          <w:szCs w:val="21"/>
        </w:rPr>
        <w:t xml:space="preserve"> </w:t>
      </w:r>
      <w:r w:rsidR="00B60AD4">
        <w:rPr>
          <w:iCs/>
          <w:color w:val="44546A"/>
          <w:sz w:val="21"/>
          <w:szCs w:val="21"/>
        </w:rPr>
        <w:t>AUD</w:t>
      </w:r>
      <w:r w:rsidR="004D2F9C">
        <w:rPr>
          <w:iCs/>
          <w:color w:val="44546A"/>
          <w:sz w:val="21"/>
          <w:szCs w:val="21"/>
        </w:rPr>
        <w:t>9.5</w:t>
      </w:r>
      <w:r w:rsidR="00E36686">
        <w:rPr>
          <w:iCs/>
          <w:color w:val="44546A"/>
          <w:sz w:val="21"/>
          <w:szCs w:val="21"/>
        </w:rPr>
        <w:t xml:space="preserve"> million to establish </w:t>
      </w:r>
      <w:r w:rsidR="001B5EAB">
        <w:rPr>
          <w:iCs/>
          <w:color w:val="44546A"/>
          <w:sz w:val="21"/>
          <w:szCs w:val="21"/>
        </w:rPr>
        <w:t>33</w:t>
      </w:r>
      <w:r w:rsidR="001B5EAB" w:rsidRPr="005C1321">
        <w:rPr>
          <w:iCs/>
          <w:color w:val="44546A"/>
          <w:sz w:val="21"/>
          <w:szCs w:val="21"/>
        </w:rPr>
        <w:t> </w:t>
      </w:r>
      <w:r w:rsidRPr="005C1321">
        <w:rPr>
          <w:iCs/>
          <w:color w:val="44546A"/>
          <w:sz w:val="21"/>
          <w:szCs w:val="21"/>
        </w:rPr>
        <w:t>partnerships with business</w:t>
      </w:r>
      <w:r w:rsidR="00525A19">
        <w:rPr>
          <w:iCs/>
          <w:color w:val="44546A"/>
          <w:sz w:val="21"/>
          <w:szCs w:val="21"/>
        </w:rPr>
        <w:t>es</w:t>
      </w:r>
      <w:r w:rsidRPr="005C1321">
        <w:rPr>
          <w:iCs/>
          <w:color w:val="44546A"/>
          <w:sz w:val="21"/>
          <w:szCs w:val="21"/>
        </w:rPr>
        <w:t xml:space="preserve">, </w:t>
      </w:r>
      <w:r w:rsidR="004D2F9C">
        <w:rPr>
          <w:iCs/>
          <w:color w:val="44546A"/>
          <w:sz w:val="21"/>
          <w:szCs w:val="21"/>
        </w:rPr>
        <w:t>across 14</w:t>
      </w:r>
      <w:r w:rsidR="00064F55">
        <w:rPr>
          <w:iCs/>
          <w:color w:val="44546A"/>
          <w:sz w:val="21"/>
          <w:szCs w:val="21"/>
        </w:rPr>
        <w:t> </w:t>
      </w:r>
      <w:r w:rsidR="004D2F9C">
        <w:rPr>
          <w:iCs/>
          <w:color w:val="44546A"/>
          <w:sz w:val="21"/>
          <w:szCs w:val="21"/>
        </w:rPr>
        <w:t xml:space="preserve">countries, </w:t>
      </w:r>
      <w:r w:rsidRPr="005C1321">
        <w:rPr>
          <w:iCs/>
          <w:color w:val="44546A"/>
          <w:sz w:val="21"/>
          <w:szCs w:val="21"/>
        </w:rPr>
        <w:t xml:space="preserve">leveraging </w:t>
      </w:r>
      <w:r w:rsidR="001B5EAB">
        <w:rPr>
          <w:iCs/>
          <w:color w:val="44546A"/>
          <w:sz w:val="21"/>
          <w:szCs w:val="21"/>
        </w:rPr>
        <w:t xml:space="preserve">AUD25.9 </w:t>
      </w:r>
      <w:r w:rsidRPr="005C1321">
        <w:rPr>
          <w:iCs/>
          <w:color w:val="44546A"/>
          <w:sz w:val="21"/>
          <w:szCs w:val="21"/>
        </w:rPr>
        <w:t>million in additional</w:t>
      </w:r>
      <w:r w:rsidR="004C31A2">
        <w:rPr>
          <w:iCs/>
          <w:color w:val="44546A"/>
          <w:sz w:val="21"/>
          <w:szCs w:val="21"/>
        </w:rPr>
        <w:t xml:space="preserve"> </w:t>
      </w:r>
      <w:r w:rsidR="00200551">
        <w:rPr>
          <w:iCs/>
          <w:color w:val="44546A"/>
          <w:sz w:val="21"/>
          <w:szCs w:val="21"/>
        </w:rPr>
        <w:t>resources</w:t>
      </w:r>
      <w:r w:rsidR="00200551" w:rsidRPr="005C1321">
        <w:rPr>
          <w:iCs/>
          <w:color w:val="44546A"/>
          <w:sz w:val="21"/>
          <w:szCs w:val="21"/>
        </w:rPr>
        <w:t xml:space="preserve"> for development in the region.</w:t>
      </w:r>
      <w:r w:rsidR="00ED0AE6" w:rsidRPr="00ED0AE6">
        <w:rPr>
          <w:rFonts w:hAnsi="Calibri Light"/>
          <w:color w:val="44546A"/>
          <w:kern w:val="24"/>
          <w:sz w:val="21"/>
          <w:szCs w:val="21"/>
        </w:rPr>
        <w:t xml:space="preserve"> </w:t>
      </w:r>
      <w:r w:rsidR="00ED0AE6" w:rsidRPr="00843294">
        <w:rPr>
          <w:rFonts w:hAnsi="Calibri Light"/>
          <w:color w:val="44546A"/>
          <w:kern w:val="24"/>
          <w:sz w:val="21"/>
          <w:szCs w:val="21"/>
        </w:rPr>
        <w:t>The BPP brings the private sector’s financing, knowledge and capabilities to bear on development challe</w:t>
      </w:r>
      <w:r w:rsidR="00ED0AE6">
        <w:rPr>
          <w:rFonts w:hAnsi="Calibri Light"/>
          <w:color w:val="44546A"/>
          <w:kern w:val="24"/>
          <w:sz w:val="21"/>
          <w:szCs w:val="21"/>
        </w:rPr>
        <w:t>nges in our region.</w:t>
      </w:r>
    </w:p>
    <w:p w14:paraId="35FAE088" w14:textId="1806052E" w:rsidR="009458F1" w:rsidRPr="00FC7D09" w:rsidRDefault="009458F1" w:rsidP="009458F1">
      <w:pPr>
        <w:ind w:left="-142" w:right="-74"/>
        <w:jc w:val="both"/>
        <w:rPr>
          <w:color w:val="44546A"/>
          <w:sz w:val="21"/>
          <w:szCs w:val="21"/>
        </w:rPr>
      </w:pPr>
      <w:r>
        <w:rPr>
          <w:color w:val="44546A"/>
          <w:sz w:val="21"/>
          <w:szCs w:val="21"/>
        </w:rPr>
        <w:t>In</w:t>
      </w:r>
      <w:r w:rsidRPr="00FC7D09">
        <w:rPr>
          <w:color w:val="44546A"/>
          <w:sz w:val="21"/>
          <w:szCs w:val="21"/>
        </w:rPr>
        <w:t xml:space="preserve"> 201</w:t>
      </w:r>
      <w:r w:rsidR="004C31A2">
        <w:rPr>
          <w:color w:val="44546A"/>
          <w:sz w:val="21"/>
          <w:szCs w:val="21"/>
        </w:rPr>
        <w:t>9</w:t>
      </w:r>
      <w:r w:rsidRPr="00FC7D09">
        <w:rPr>
          <w:color w:val="44546A"/>
          <w:sz w:val="21"/>
          <w:szCs w:val="21"/>
        </w:rPr>
        <w:t>,</w:t>
      </w:r>
      <w:r>
        <w:rPr>
          <w:color w:val="44546A"/>
          <w:sz w:val="21"/>
          <w:szCs w:val="21"/>
        </w:rPr>
        <w:t xml:space="preserve"> the </w:t>
      </w:r>
      <w:hyperlink r:id="rId12" w:history="1">
        <w:r w:rsidRPr="00910608">
          <w:rPr>
            <w:rStyle w:val="Hyperlink"/>
            <w:rFonts w:cstheme="minorBidi"/>
            <w:b/>
            <w:iCs/>
            <w:color w:val="44546A"/>
            <w:sz w:val="21"/>
            <w:szCs w:val="21"/>
          </w:rPr>
          <w:t>Market Development Facility</w:t>
        </w:r>
      </w:hyperlink>
      <w:r w:rsidRPr="00FC7D09">
        <w:rPr>
          <w:color w:val="44546A"/>
          <w:sz w:val="21"/>
          <w:szCs w:val="21"/>
        </w:rPr>
        <w:t xml:space="preserve"> </w:t>
      </w:r>
      <w:r>
        <w:rPr>
          <w:color w:val="44546A"/>
          <w:sz w:val="21"/>
          <w:szCs w:val="21"/>
        </w:rPr>
        <w:t>ge</w:t>
      </w:r>
      <w:r w:rsidRPr="00FC7D09">
        <w:rPr>
          <w:color w:val="44546A"/>
          <w:sz w:val="21"/>
          <w:szCs w:val="21"/>
        </w:rPr>
        <w:t xml:space="preserve">nerated </w:t>
      </w:r>
      <w:r>
        <w:rPr>
          <w:color w:val="44546A"/>
          <w:sz w:val="21"/>
          <w:szCs w:val="21"/>
        </w:rPr>
        <w:t xml:space="preserve">approximately </w:t>
      </w:r>
      <w:r w:rsidR="00B60AD4">
        <w:rPr>
          <w:color w:val="44546A"/>
          <w:sz w:val="21"/>
          <w:szCs w:val="21"/>
        </w:rPr>
        <w:t>AUD</w:t>
      </w:r>
      <w:r w:rsidR="004C31A2">
        <w:rPr>
          <w:color w:val="44546A"/>
          <w:sz w:val="21"/>
          <w:szCs w:val="21"/>
        </w:rPr>
        <w:t>111</w:t>
      </w:r>
      <w:r>
        <w:rPr>
          <w:color w:val="44546A"/>
          <w:sz w:val="21"/>
          <w:szCs w:val="21"/>
        </w:rPr>
        <w:t xml:space="preserve"> </w:t>
      </w:r>
      <w:r w:rsidRPr="00FC7D09">
        <w:rPr>
          <w:color w:val="44546A"/>
          <w:sz w:val="21"/>
          <w:szCs w:val="21"/>
        </w:rPr>
        <w:t>m</w:t>
      </w:r>
      <w:r>
        <w:rPr>
          <w:color w:val="44546A"/>
          <w:sz w:val="21"/>
          <w:szCs w:val="21"/>
        </w:rPr>
        <w:t>illion</w:t>
      </w:r>
      <w:r w:rsidRPr="00FC7D09">
        <w:rPr>
          <w:color w:val="44546A"/>
          <w:sz w:val="21"/>
          <w:szCs w:val="21"/>
        </w:rPr>
        <w:t xml:space="preserve"> </w:t>
      </w:r>
      <w:r>
        <w:rPr>
          <w:color w:val="44546A"/>
          <w:sz w:val="21"/>
          <w:szCs w:val="21"/>
        </w:rPr>
        <w:t>in</w:t>
      </w:r>
      <w:r w:rsidRPr="00FC7D09">
        <w:rPr>
          <w:color w:val="44546A"/>
          <w:sz w:val="21"/>
          <w:szCs w:val="21"/>
        </w:rPr>
        <w:t xml:space="preserve"> additional income </w:t>
      </w:r>
      <w:r w:rsidR="004C31A2">
        <w:rPr>
          <w:color w:val="44546A"/>
          <w:sz w:val="21"/>
          <w:szCs w:val="21"/>
        </w:rPr>
        <w:t xml:space="preserve">and reached some 242,000 </w:t>
      </w:r>
      <w:r w:rsidRPr="00FC7D09">
        <w:rPr>
          <w:color w:val="44546A"/>
          <w:sz w:val="21"/>
          <w:szCs w:val="21"/>
        </w:rPr>
        <w:t>disadvantaged and vulnerable individuals across five countries.</w:t>
      </w:r>
    </w:p>
    <w:p w14:paraId="7484A309" w14:textId="4FDA1B9F" w:rsidR="00200551" w:rsidRDefault="00200551" w:rsidP="0022664B">
      <w:pPr>
        <w:widowControl w:val="0"/>
        <w:spacing w:line="240" w:lineRule="auto"/>
        <w:ind w:left="-142"/>
        <w:jc w:val="both"/>
        <w:rPr>
          <w:iCs/>
          <w:color w:val="44546A"/>
          <w:sz w:val="21"/>
          <w:szCs w:val="21"/>
        </w:rPr>
      </w:pPr>
      <w:r w:rsidRPr="005C1321">
        <w:rPr>
          <w:iCs/>
          <w:color w:val="44546A"/>
          <w:sz w:val="21"/>
          <w:szCs w:val="21"/>
        </w:rPr>
        <w:t xml:space="preserve">The </w:t>
      </w:r>
      <w:hyperlink r:id="rId13" w:history="1">
        <w:r w:rsidRPr="005C1321">
          <w:rPr>
            <w:rStyle w:val="Hyperlink"/>
            <w:rFonts w:cstheme="minorBidi"/>
            <w:b/>
            <w:iCs/>
            <w:color w:val="44546A"/>
            <w:sz w:val="21"/>
            <w:szCs w:val="21"/>
          </w:rPr>
          <w:t>Pacific Readiness for Investment in Social Enterprise</w:t>
        </w:r>
      </w:hyperlink>
      <w:r w:rsidRPr="005C1321">
        <w:rPr>
          <w:iCs/>
          <w:color w:val="44546A"/>
          <w:sz w:val="21"/>
          <w:szCs w:val="21"/>
        </w:rPr>
        <w:t xml:space="preserve"> </w:t>
      </w:r>
      <w:r>
        <w:rPr>
          <w:iCs/>
          <w:color w:val="44546A"/>
          <w:sz w:val="21"/>
          <w:szCs w:val="21"/>
        </w:rPr>
        <w:t xml:space="preserve">(Pacific RISE) </w:t>
      </w:r>
      <w:r w:rsidRPr="005C1321">
        <w:rPr>
          <w:iCs/>
          <w:color w:val="44546A"/>
          <w:sz w:val="21"/>
          <w:szCs w:val="21"/>
        </w:rPr>
        <w:t xml:space="preserve">program </w:t>
      </w:r>
      <w:r w:rsidR="00B7616C">
        <w:rPr>
          <w:iCs/>
          <w:color w:val="44546A"/>
          <w:sz w:val="21"/>
          <w:szCs w:val="21"/>
        </w:rPr>
        <w:t>seeks to connect</w:t>
      </w:r>
      <w:r w:rsidRPr="005C1321">
        <w:rPr>
          <w:iCs/>
          <w:color w:val="44546A"/>
          <w:sz w:val="21"/>
          <w:szCs w:val="21"/>
        </w:rPr>
        <w:t xml:space="preserve"> investors to social enterprises, with the aim of securing investment deals and attracting </w:t>
      </w:r>
      <w:r w:rsidR="00B60AD4">
        <w:rPr>
          <w:iCs/>
          <w:color w:val="44546A"/>
          <w:sz w:val="21"/>
          <w:szCs w:val="21"/>
        </w:rPr>
        <w:t>AUD</w:t>
      </w:r>
      <w:r w:rsidR="00B7616C">
        <w:rPr>
          <w:iCs/>
          <w:color w:val="44546A"/>
          <w:sz w:val="21"/>
          <w:szCs w:val="21"/>
        </w:rPr>
        <w:t>10</w:t>
      </w:r>
      <w:r w:rsidRPr="005C1321">
        <w:rPr>
          <w:iCs/>
          <w:color w:val="44546A"/>
          <w:sz w:val="21"/>
          <w:szCs w:val="21"/>
        </w:rPr>
        <w:t xml:space="preserve"> million private capital into the Pacific. For example, </w:t>
      </w:r>
      <w:r w:rsidR="00B60AD4" w:rsidRPr="005C1321">
        <w:rPr>
          <w:iCs/>
          <w:color w:val="44546A"/>
          <w:sz w:val="21"/>
          <w:szCs w:val="21"/>
        </w:rPr>
        <w:t>an</w:t>
      </w:r>
      <w:r w:rsidRPr="005C1321">
        <w:rPr>
          <w:iCs/>
          <w:color w:val="44546A"/>
          <w:sz w:val="21"/>
          <w:szCs w:val="21"/>
        </w:rPr>
        <w:t xml:space="preserve"> </w:t>
      </w:r>
      <w:r w:rsidR="00B60AD4">
        <w:rPr>
          <w:iCs/>
          <w:color w:val="44546A"/>
          <w:sz w:val="21"/>
          <w:szCs w:val="21"/>
        </w:rPr>
        <w:t>AUD</w:t>
      </w:r>
      <w:r w:rsidRPr="005C1321">
        <w:rPr>
          <w:iCs/>
          <w:color w:val="44546A"/>
          <w:sz w:val="21"/>
          <w:szCs w:val="21"/>
        </w:rPr>
        <w:t>656,000 investment into a Vanuatu coffee producer will expand operations and generate employment for farmers</w:t>
      </w:r>
      <w:r w:rsidR="0022664B">
        <w:rPr>
          <w:iCs/>
          <w:color w:val="44546A"/>
          <w:sz w:val="21"/>
          <w:szCs w:val="21"/>
        </w:rPr>
        <w:t>.</w:t>
      </w:r>
    </w:p>
    <w:p w14:paraId="1187BA89" w14:textId="6F0F6737" w:rsidR="000F158D" w:rsidRPr="00014459" w:rsidRDefault="000F158D" w:rsidP="007351CD">
      <w:pPr>
        <w:widowControl w:val="0"/>
        <w:spacing w:before="240"/>
        <w:ind w:right="298" w:hanging="142"/>
        <w:jc w:val="both"/>
        <w:rPr>
          <w:b/>
          <w:iCs/>
          <w:color w:val="44546A"/>
          <w:sz w:val="28"/>
          <w:szCs w:val="28"/>
        </w:rPr>
      </w:pPr>
      <w:r w:rsidRPr="00014459">
        <w:rPr>
          <w:b/>
          <w:iCs/>
          <w:color w:val="44546A"/>
          <w:sz w:val="28"/>
          <w:szCs w:val="28"/>
        </w:rPr>
        <w:t xml:space="preserve">Current Priorities </w:t>
      </w:r>
    </w:p>
    <w:p w14:paraId="3246B312" w14:textId="6EB43470" w:rsidR="00B60AD4" w:rsidRPr="001C1C33" w:rsidRDefault="00B60AD4" w:rsidP="00DB07CB">
      <w:pPr>
        <w:pStyle w:val="ListParagraph"/>
        <w:numPr>
          <w:ilvl w:val="0"/>
          <w:numId w:val="31"/>
        </w:numPr>
        <w:ind w:left="142" w:right="-74" w:hanging="284"/>
        <w:jc w:val="both"/>
        <w:rPr>
          <w:color w:val="44546A"/>
          <w:sz w:val="21"/>
          <w:szCs w:val="21"/>
        </w:rPr>
      </w:pPr>
      <w:r>
        <w:rPr>
          <w:color w:val="44546A"/>
          <w:sz w:val="21"/>
          <w:szCs w:val="21"/>
        </w:rPr>
        <w:t xml:space="preserve">Deliver the </w:t>
      </w:r>
      <w:hyperlink r:id="rId14" w:history="1">
        <w:r w:rsidRPr="001D4068">
          <w:rPr>
            <w:rStyle w:val="Hyperlink"/>
            <w:rFonts w:cstheme="minorBidi"/>
            <w:b/>
            <w:iCs/>
            <w:color w:val="44546A"/>
            <w:sz w:val="21"/>
            <w:szCs w:val="21"/>
          </w:rPr>
          <w:t>Emerging Market Impact Investing Fund</w:t>
        </w:r>
      </w:hyperlink>
      <w:r>
        <w:rPr>
          <w:color w:val="44546A"/>
          <w:sz w:val="21"/>
          <w:szCs w:val="21"/>
        </w:rPr>
        <w:t xml:space="preserve"> (EMIIF) to </w:t>
      </w:r>
      <w:r w:rsidRPr="001D4068">
        <w:rPr>
          <w:color w:val="44546A"/>
          <w:sz w:val="21"/>
          <w:szCs w:val="21"/>
        </w:rPr>
        <w:t xml:space="preserve">provide investment capital and technical assistance to financial intermediaries who in turn </w:t>
      </w:r>
      <w:r w:rsidR="001D4068">
        <w:rPr>
          <w:color w:val="44546A"/>
          <w:sz w:val="21"/>
          <w:szCs w:val="21"/>
        </w:rPr>
        <w:t xml:space="preserve">will </w:t>
      </w:r>
      <w:r w:rsidRPr="001D4068">
        <w:rPr>
          <w:color w:val="44546A"/>
          <w:sz w:val="21"/>
          <w:szCs w:val="21"/>
        </w:rPr>
        <w:t xml:space="preserve">provide access to </w:t>
      </w:r>
      <w:r w:rsidRPr="001D4068">
        <w:rPr>
          <w:color w:val="44546A"/>
          <w:sz w:val="21"/>
          <w:szCs w:val="21"/>
        </w:rPr>
        <w:t>financing for SMEs in South Asia, Southeast Asia and the Pacific.</w:t>
      </w:r>
    </w:p>
    <w:p w14:paraId="20FBC2DC" w14:textId="798B2C06" w:rsidR="00B60AD4" w:rsidRPr="005C1321" w:rsidRDefault="00123D18" w:rsidP="00B60AD4">
      <w:pPr>
        <w:pStyle w:val="ListParagraph"/>
        <w:numPr>
          <w:ilvl w:val="0"/>
          <w:numId w:val="31"/>
        </w:numPr>
        <w:ind w:left="142" w:hanging="284"/>
        <w:contextualSpacing w:val="0"/>
        <w:jc w:val="both"/>
        <w:rPr>
          <w:color w:val="44546A"/>
          <w:sz w:val="21"/>
          <w:szCs w:val="21"/>
        </w:rPr>
      </w:pPr>
      <w:r w:rsidRPr="00B60AD4">
        <w:rPr>
          <w:color w:val="44546A"/>
          <w:sz w:val="21"/>
          <w:szCs w:val="21"/>
        </w:rPr>
        <w:t>Support impact</w:t>
      </w:r>
      <w:r w:rsidR="001C1C33" w:rsidRPr="00B60AD4">
        <w:rPr>
          <w:color w:val="44546A"/>
          <w:sz w:val="21"/>
          <w:szCs w:val="21"/>
        </w:rPr>
        <w:t>-focused</w:t>
      </w:r>
      <w:r w:rsidRPr="00B60AD4">
        <w:rPr>
          <w:color w:val="44546A"/>
          <w:sz w:val="21"/>
          <w:szCs w:val="21"/>
        </w:rPr>
        <w:t xml:space="preserve"> businesses </w:t>
      </w:r>
      <w:r w:rsidR="001C1C33" w:rsidRPr="00B60AD4">
        <w:rPr>
          <w:color w:val="44546A"/>
          <w:sz w:val="21"/>
          <w:szCs w:val="21"/>
        </w:rPr>
        <w:t xml:space="preserve">in Asia and the Pacific to scale their development impact through better incubation and acceleration services and increased access to appropriate finance </w:t>
      </w:r>
      <w:r w:rsidRPr="00B60AD4">
        <w:rPr>
          <w:color w:val="44546A"/>
          <w:sz w:val="21"/>
          <w:szCs w:val="21"/>
        </w:rPr>
        <w:t>through the</w:t>
      </w:r>
      <w:r w:rsidR="001E0F85" w:rsidRPr="00B60AD4">
        <w:rPr>
          <w:color w:val="44546A"/>
          <w:sz w:val="21"/>
          <w:szCs w:val="21"/>
        </w:rPr>
        <w:t xml:space="preserve"> </w:t>
      </w:r>
      <w:hyperlink r:id="rId15" w:history="1">
        <w:r w:rsidR="001E0F85" w:rsidRPr="00B60AD4">
          <w:rPr>
            <w:rStyle w:val="Hyperlink"/>
            <w:rFonts w:cstheme="minorBidi"/>
            <w:b/>
            <w:iCs/>
            <w:color w:val="44546A"/>
            <w:sz w:val="21"/>
            <w:szCs w:val="21"/>
          </w:rPr>
          <w:t>Scaling Frontier Innovation Program</w:t>
        </w:r>
      </w:hyperlink>
      <w:r w:rsidR="001E0F85" w:rsidRPr="00B60AD4">
        <w:rPr>
          <w:color w:val="44546A"/>
          <w:sz w:val="21"/>
          <w:szCs w:val="21"/>
        </w:rPr>
        <w:t>.</w:t>
      </w:r>
    </w:p>
    <w:p w14:paraId="5AA9898B" w14:textId="76EF9B0C" w:rsidR="00112C91" w:rsidRPr="00B60AD4" w:rsidRDefault="00211288" w:rsidP="00B60AD4">
      <w:pPr>
        <w:pStyle w:val="ListParagraph"/>
        <w:numPr>
          <w:ilvl w:val="0"/>
          <w:numId w:val="31"/>
        </w:numPr>
        <w:ind w:left="142" w:hanging="284"/>
        <w:contextualSpacing w:val="0"/>
        <w:jc w:val="both"/>
        <w:rPr>
          <w:b/>
          <w:color w:val="44546A"/>
          <w:sz w:val="21"/>
          <w:szCs w:val="21"/>
        </w:rPr>
      </w:pPr>
      <w:r w:rsidRPr="00B60AD4">
        <w:rPr>
          <w:color w:val="44546A"/>
          <w:sz w:val="21"/>
          <w:szCs w:val="21"/>
        </w:rPr>
        <w:t xml:space="preserve">Build on existing market knowledge and partnerships to stimulate new investment, business innovation and regulatory reform to support inclusive growth in rural and urban areas in the Indo-Pacific region through the </w:t>
      </w:r>
      <w:hyperlink r:id="rId16" w:history="1">
        <w:r w:rsidRPr="00B60AD4">
          <w:rPr>
            <w:rStyle w:val="Hyperlink"/>
            <w:rFonts w:cstheme="minorBidi"/>
            <w:b/>
            <w:iCs/>
            <w:color w:val="44546A"/>
            <w:sz w:val="21"/>
            <w:szCs w:val="21"/>
          </w:rPr>
          <w:t>Market Development Facility</w:t>
        </w:r>
      </w:hyperlink>
      <w:r w:rsidRPr="00B60AD4">
        <w:rPr>
          <w:b/>
          <w:color w:val="44546A"/>
          <w:sz w:val="21"/>
          <w:szCs w:val="21"/>
        </w:rPr>
        <w:t xml:space="preserve">. </w:t>
      </w:r>
    </w:p>
    <w:p w14:paraId="03FEA0BC" w14:textId="55C2BEA8" w:rsidR="00ED7041" w:rsidRDefault="001D4068" w:rsidP="00464510">
      <w:pPr>
        <w:pStyle w:val="ListParagraph"/>
        <w:numPr>
          <w:ilvl w:val="0"/>
          <w:numId w:val="31"/>
        </w:numPr>
        <w:ind w:left="142" w:hanging="284"/>
        <w:contextualSpacing w:val="0"/>
        <w:jc w:val="both"/>
        <w:rPr>
          <w:color w:val="44546A"/>
          <w:sz w:val="21"/>
          <w:szCs w:val="21"/>
        </w:rPr>
      </w:pPr>
      <w:r>
        <w:rPr>
          <w:noProof/>
          <w:lang w:eastAsia="en-AU"/>
        </w:rPr>
        <w:drawing>
          <wp:anchor distT="0" distB="0" distL="114300" distR="114300" simplePos="0" relativeHeight="251708928" behindDoc="0" locked="0" layoutInCell="1" allowOverlap="1" wp14:anchorId="103EBD63" wp14:editId="6A78CE2D">
            <wp:simplePos x="0" y="0"/>
            <wp:positionH relativeFrom="column">
              <wp:posOffset>3513455</wp:posOffset>
            </wp:positionH>
            <wp:positionV relativeFrom="paragraph">
              <wp:posOffset>868474</wp:posOffset>
            </wp:positionV>
            <wp:extent cx="3069590"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69590" cy="577850"/>
                    </a:xfrm>
                    <a:prstGeom prst="rect">
                      <a:avLst/>
                    </a:prstGeom>
                  </pic:spPr>
                </pic:pic>
              </a:graphicData>
            </a:graphic>
          </wp:anchor>
        </w:drawing>
      </w:r>
      <w:r w:rsidR="00B60AD4">
        <w:rPr>
          <w:noProof/>
          <w:lang w:eastAsia="en-AU"/>
        </w:rPr>
        <w:drawing>
          <wp:anchor distT="0" distB="0" distL="114300" distR="114300" simplePos="0" relativeHeight="251685376" behindDoc="0" locked="0" layoutInCell="1" allowOverlap="1" wp14:anchorId="08D71FE7" wp14:editId="1BCFF6DD">
            <wp:simplePos x="0" y="0"/>
            <wp:positionH relativeFrom="margin">
              <wp:posOffset>3381375</wp:posOffset>
            </wp:positionH>
            <wp:positionV relativeFrom="paragraph">
              <wp:posOffset>381429</wp:posOffset>
            </wp:positionV>
            <wp:extent cx="2590800" cy="533400"/>
            <wp:effectExtent l="0" t="0" r="0" b="0"/>
            <wp:wrapNone/>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7"/>
                    <pic:cNvPicPr>
                      <a:picLocks noChangeAspect="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14:sizeRelH relativeFrom="margin">
              <wp14:pctWidth>0</wp14:pctWidth>
            </wp14:sizeRelH>
            <wp14:sizeRelV relativeFrom="margin">
              <wp14:pctHeight>0</wp14:pctHeight>
            </wp14:sizeRelV>
          </wp:anchor>
        </w:drawing>
      </w:r>
      <w:r w:rsidR="000F158D" w:rsidRPr="005C1321">
        <w:rPr>
          <w:color w:val="44546A"/>
          <w:sz w:val="21"/>
          <w:szCs w:val="21"/>
        </w:rPr>
        <w:t xml:space="preserve">Continue to </w:t>
      </w:r>
      <w:r w:rsidR="000F158D" w:rsidRPr="00464510">
        <w:rPr>
          <w:b/>
          <w:color w:val="44546A"/>
          <w:sz w:val="21"/>
          <w:szCs w:val="21"/>
        </w:rPr>
        <w:t>help business better connect</w:t>
      </w:r>
      <w:r w:rsidR="000F158D" w:rsidRPr="005C1321">
        <w:rPr>
          <w:color w:val="44546A"/>
          <w:sz w:val="21"/>
          <w:szCs w:val="21"/>
        </w:rPr>
        <w:t xml:space="preserve"> with government, NGOs, universities, philanthropic organisations, and other stakeholder groups by creating opportunities for partnering with Australia’s </w:t>
      </w:r>
      <w:r w:rsidR="0022664B">
        <w:rPr>
          <w:color w:val="44546A"/>
          <w:sz w:val="21"/>
          <w:szCs w:val="21"/>
        </w:rPr>
        <w:t>development cooperation</w:t>
      </w:r>
      <w:r w:rsidR="000F158D" w:rsidRPr="005C1321">
        <w:rPr>
          <w:color w:val="44546A"/>
          <w:sz w:val="21"/>
          <w:szCs w:val="21"/>
        </w:rPr>
        <w:t xml:space="preserve"> program.</w:t>
      </w:r>
    </w:p>
    <w:p w14:paraId="176AF4C8" w14:textId="32F498A7" w:rsidR="00B60AD4" w:rsidRDefault="00B60AD4" w:rsidP="00B60AD4">
      <w:pPr>
        <w:pStyle w:val="ListParagraph"/>
        <w:numPr>
          <w:ilvl w:val="0"/>
          <w:numId w:val="31"/>
        </w:numPr>
        <w:ind w:left="142" w:hanging="284"/>
        <w:contextualSpacing w:val="0"/>
        <w:jc w:val="both"/>
        <w:rPr>
          <w:color w:val="44546A"/>
          <w:sz w:val="21"/>
          <w:szCs w:val="21"/>
        </w:rPr>
      </w:pPr>
      <w:r w:rsidRPr="00863B1E">
        <w:rPr>
          <w:color w:val="44546A"/>
          <w:sz w:val="21"/>
          <w:szCs w:val="21"/>
        </w:rPr>
        <w:t xml:space="preserve">Helping grow the private sector and developing countries by </w:t>
      </w:r>
      <w:r w:rsidRPr="00863B1E">
        <w:rPr>
          <w:b/>
          <w:color w:val="44546A"/>
          <w:sz w:val="21"/>
          <w:szCs w:val="21"/>
        </w:rPr>
        <w:t>increasing opportunities to export</w:t>
      </w:r>
      <w:r w:rsidRPr="00863B1E">
        <w:rPr>
          <w:color w:val="44546A"/>
          <w:sz w:val="21"/>
          <w:szCs w:val="21"/>
        </w:rPr>
        <w:t xml:space="preserve"> goods and services and improving the regulatory and enabling environments through </w:t>
      </w:r>
      <w:r w:rsidRPr="00863B1E">
        <w:rPr>
          <w:b/>
          <w:color w:val="44546A"/>
          <w:sz w:val="21"/>
          <w:szCs w:val="21"/>
        </w:rPr>
        <w:t>Aid for Trade</w:t>
      </w:r>
      <w:r w:rsidRPr="00863B1E">
        <w:rPr>
          <w:color w:val="44546A"/>
          <w:sz w:val="21"/>
          <w:szCs w:val="21"/>
        </w:rPr>
        <w:t xml:space="preserve">. </w:t>
      </w:r>
    </w:p>
    <w:p w14:paraId="735BBBA6" w14:textId="2D201DA2" w:rsidR="00B60AD4" w:rsidRDefault="00B60AD4" w:rsidP="001D4068">
      <w:pPr>
        <w:jc w:val="both"/>
        <w:rPr>
          <w:color w:val="44546A"/>
          <w:sz w:val="21"/>
          <w:szCs w:val="21"/>
        </w:rPr>
      </w:pPr>
      <w:r w:rsidRPr="006040E2">
        <w:rPr>
          <w:noProof/>
          <w:lang w:eastAsia="en-AU"/>
        </w:rPr>
        <w:drawing>
          <wp:anchor distT="0" distB="0" distL="114300" distR="114300" simplePos="0" relativeHeight="251639296" behindDoc="0" locked="0" layoutInCell="1" allowOverlap="1" wp14:anchorId="62B4A075" wp14:editId="539D0FD3">
            <wp:simplePos x="0" y="0"/>
            <wp:positionH relativeFrom="column">
              <wp:posOffset>59782</wp:posOffset>
            </wp:positionH>
            <wp:positionV relativeFrom="paragraph">
              <wp:posOffset>5631</wp:posOffset>
            </wp:positionV>
            <wp:extent cx="1949450" cy="600075"/>
            <wp:effectExtent l="0" t="0" r="0" b="9525"/>
            <wp:wrapNone/>
            <wp:docPr id="32" name="Picture 31"/>
            <wp:cNvGraphicFramePr/>
            <a:graphic xmlns:a="http://schemas.openxmlformats.org/drawingml/2006/main">
              <a:graphicData uri="http://schemas.openxmlformats.org/drawingml/2006/picture">
                <pic:pic xmlns:pic="http://schemas.openxmlformats.org/drawingml/2006/picture">
                  <pic:nvPicPr>
                    <pic:cNvPr id="32" name="Picture 3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9450" cy="600075"/>
                    </a:xfrm>
                    <a:prstGeom prst="rect">
                      <a:avLst/>
                    </a:prstGeom>
                  </pic:spPr>
                </pic:pic>
              </a:graphicData>
            </a:graphic>
            <wp14:sizeRelH relativeFrom="page">
              <wp14:pctWidth>0</wp14:pctWidth>
            </wp14:sizeRelH>
            <wp14:sizeRelV relativeFrom="page">
              <wp14:pctHeight>0</wp14:pctHeight>
            </wp14:sizeRelV>
          </wp:anchor>
        </w:drawing>
      </w:r>
    </w:p>
    <w:p w14:paraId="646BEBAF" w14:textId="517302F4" w:rsidR="00B60AD4" w:rsidRDefault="00B60AD4" w:rsidP="001D4068">
      <w:pPr>
        <w:jc w:val="both"/>
        <w:rPr>
          <w:color w:val="44546A"/>
          <w:sz w:val="21"/>
          <w:szCs w:val="21"/>
        </w:rPr>
      </w:pPr>
    </w:p>
    <w:p w14:paraId="221B5E7F" w14:textId="7686D704" w:rsidR="00B60AD4" w:rsidRDefault="00B60AD4" w:rsidP="001D4068">
      <w:pPr>
        <w:jc w:val="both"/>
        <w:rPr>
          <w:color w:val="44546A"/>
          <w:sz w:val="21"/>
          <w:szCs w:val="21"/>
        </w:rPr>
      </w:pPr>
    </w:p>
    <w:p w14:paraId="3F8C0CC2" w14:textId="5CA4D314" w:rsidR="00B60AD4" w:rsidRDefault="00B60AD4" w:rsidP="001D4068">
      <w:pPr>
        <w:jc w:val="both"/>
        <w:rPr>
          <w:color w:val="44546A"/>
          <w:sz w:val="21"/>
          <w:szCs w:val="21"/>
        </w:rPr>
      </w:pPr>
    </w:p>
    <w:p w14:paraId="7814D0ED" w14:textId="5B71BAB6" w:rsidR="00B60AD4" w:rsidRDefault="001B5EAB" w:rsidP="001D4068">
      <w:pPr>
        <w:jc w:val="both"/>
        <w:rPr>
          <w:color w:val="44546A"/>
          <w:sz w:val="21"/>
          <w:szCs w:val="21"/>
        </w:rPr>
      </w:pPr>
      <w:r w:rsidRPr="005C1321">
        <w:rPr>
          <w:noProof/>
          <w:color w:val="44546A"/>
          <w:lang w:eastAsia="en-AU"/>
        </w:rPr>
        <mc:AlternateContent>
          <mc:Choice Requires="wps">
            <w:drawing>
              <wp:anchor distT="0" distB="0" distL="114300" distR="114300" simplePos="0" relativeHeight="251622912" behindDoc="0" locked="0" layoutInCell="1" allowOverlap="1" wp14:anchorId="4BEB2568" wp14:editId="4CD0C0AC">
                <wp:simplePos x="0" y="0"/>
                <wp:positionH relativeFrom="page">
                  <wp:posOffset>4030942</wp:posOffset>
                </wp:positionH>
                <wp:positionV relativeFrom="paragraph">
                  <wp:posOffset>-214800</wp:posOffset>
                </wp:positionV>
                <wp:extent cx="3178810" cy="4447117"/>
                <wp:effectExtent l="0" t="0" r="2540" b="0"/>
                <wp:wrapNone/>
                <wp:docPr id="13" name="TextBox 1"/>
                <wp:cNvGraphicFramePr/>
                <a:graphic xmlns:a="http://schemas.openxmlformats.org/drawingml/2006/main">
                  <a:graphicData uri="http://schemas.microsoft.com/office/word/2010/wordprocessingShape">
                    <wps:wsp>
                      <wps:cNvSpPr txBox="1"/>
                      <wps:spPr>
                        <a:xfrm>
                          <a:off x="0" y="0"/>
                          <a:ext cx="3178810" cy="4447117"/>
                        </a:xfrm>
                        <a:prstGeom prst="rect">
                          <a:avLst/>
                        </a:prstGeom>
                        <a:solidFill>
                          <a:srgbClr val="FDD37F"/>
                        </a:solidFill>
                      </wps:spPr>
                      <wps:txbx>
                        <w:txbxContent>
                          <w:p w14:paraId="59033585" w14:textId="291A9387" w:rsidR="00ED0AE6" w:rsidRPr="00ED0AE6" w:rsidRDefault="00FF1B58" w:rsidP="00ED0AE6">
                            <w:pPr>
                              <w:rPr>
                                <w:rFonts w:hAnsi="Calibri Light"/>
                                <w:color w:val="44546A"/>
                                <w:kern w:val="24"/>
                                <w:sz w:val="21"/>
                                <w:szCs w:val="21"/>
                              </w:rPr>
                            </w:pPr>
                            <w:r w:rsidRPr="00843294">
                              <w:rPr>
                                <w:rFonts w:hAnsi="Calibri Light"/>
                                <w:color w:val="44546A"/>
                                <w:kern w:val="24"/>
                                <w:sz w:val="21"/>
                                <w:szCs w:val="21"/>
                              </w:rPr>
                              <w:t xml:space="preserve">The </w:t>
                            </w:r>
                            <w:hyperlink r:id="rId20" w:history="1">
                              <w:r w:rsidRPr="00910608">
                                <w:rPr>
                                  <w:rStyle w:val="Hyperlink"/>
                                  <w:rFonts w:cstheme="minorBidi"/>
                                  <w:b/>
                                  <w:iCs/>
                                  <w:color w:val="44546A"/>
                                  <w:sz w:val="21"/>
                                  <w:szCs w:val="21"/>
                                </w:rPr>
                                <w:t>Business Partnership Platform</w:t>
                              </w:r>
                            </w:hyperlink>
                            <w:r w:rsidRPr="00843294">
                              <w:rPr>
                                <w:rFonts w:hAnsi="Calibri Light"/>
                                <w:b/>
                                <w:bCs/>
                                <w:color w:val="44546A"/>
                                <w:kern w:val="24"/>
                                <w:sz w:val="21"/>
                                <w:szCs w:val="21"/>
                              </w:rPr>
                              <w:t xml:space="preserve"> </w:t>
                            </w:r>
                            <w:r w:rsidRPr="00843294">
                              <w:rPr>
                                <w:rFonts w:hAnsi="Calibri Light"/>
                                <w:color w:val="44546A"/>
                                <w:kern w:val="24"/>
                                <w:sz w:val="21"/>
                                <w:szCs w:val="21"/>
                              </w:rPr>
                              <w:t xml:space="preserve">(BPP) </w:t>
                            </w:r>
                            <w:r w:rsidR="00843294">
                              <w:rPr>
                                <w:rFonts w:hAnsi="Calibri Light"/>
                                <w:color w:val="44546A"/>
                                <w:kern w:val="24"/>
                                <w:sz w:val="21"/>
                                <w:szCs w:val="21"/>
                              </w:rPr>
                              <w:t>enables DFAT to partner</w:t>
                            </w:r>
                            <w:r w:rsidRPr="00843294">
                              <w:rPr>
                                <w:rFonts w:hAnsi="Calibri Light"/>
                                <w:color w:val="44546A"/>
                                <w:kern w:val="24"/>
                                <w:sz w:val="21"/>
                                <w:szCs w:val="21"/>
                              </w:rPr>
                              <w:t xml:space="preserve"> with business to deliver Australia’s </w:t>
                            </w:r>
                            <w:r w:rsidR="0022664B" w:rsidRPr="0022664B">
                              <w:rPr>
                                <w:rFonts w:hAnsi="Calibri Light"/>
                                <w:color w:val="44546A"/>
                                <w:kern w:val="24"/>
                                <w:sz w:val="21"/>
                                <w:szCs w:val="21"/>
                              </w:rPr>
                              <w:t>development cooperation</w:t>
                            </w:r>
                            <w:r w:rsidRPr="00843294">
                              <w:rPr>
                                <w:rFonts w:hAnsi="Calibri Light"/>
                                <w:color w:val="44546A"/>
                                <w:kern w:val="24"/>
                                <w:sz w:val="21"/>
                                <w:szCs w:val="21"/>
                              </w:rPr>
                              <w:t xml:space="preserve"> program</w:t>
                            </w:r>
                            <w:r w:rsidR="00ED0AE6">
                              <w:rPr>
                                <w:rFonts w:hAnsi="Calibri Light"/>
                                <w:color w:val="44546A"/>
                                <w:kern w:val="24"/>
                                <w:sz w:val="21"/>
                                <w:szCs w:val="21"/>
                              </w:rPr>
                              <w:t xml:space="preserve"> and is pivoting projects to respond to the impacts of COVID-19</w:t>
                            </w:r>
                            <w:r w:rsidRPr="00843294">
                              <w:rPr>
                                <w:rFonts w:hAnsi="Calibri Light"/>
                                <w:color w:val="44546A"/>
                                <w:kern w:val="24"/>
                                <w:sz w:val="21"/>
                                <w:szCs w:val="21"/>
                              </w:rPr>
                              <w:t xml:space="preserve">. </w:t>
                            </w:r>
                            <w:r w:rsidR="00ED0AE6">
                              <w:rPr>
                                <w:rFonts w:hAnsi="Calibri Light"/>
                                <w:color w:val="44546A"/>
                                <w:kern w:val="24"/>
                                <w:sz w:val="21"/>
                                <w:szCs w:val="21"/>
                              </w:rPr>
                              <w:t xml:space="preserve">For example, </w:t>
                            </w:r>
                            <w:hyperlink r:id="rId21" w:history="1">
                              <w:r w:rsidR="00ED0AE6" w:rsidRPr="001D4068">
                                <w:rPr>
                                  <w:rStyle w:val="Hyperlink"/>
                                  <w:rFonts w:cstheme="minorBidi"/>
                                  <w:b/>
                                  <w:iCs/>
                                  <w:color w:val="44546A"/>
                                  <w:sz w:val="21"/>
                                  <w:szCs w:val="21"/>
                                </w:rPr>
                                <w:t>BPP business partner, Karma Healthcare</w:t>
                              </w:r>
                            </w:hyperlink>
                            <w:r w:rsidR="00ED0AE6" w:rsidRPr="00ED0AE6">
                              <w:rPr>
                                <w:rFonts w:hAnsi="Calibri Light"/>
                                <w:color w:val="44546A"/>
                                <w:kern w:val="24"/>
                                <w:sz w:val="21"/>
                                <w:szCs w:val="21"/>
                              </w:rPr>
                              <w:t xml:space="preserve"> faced challenges when clinics were forced to close due to nation-wide restrictions in India. With DFAT’s support, Karma Healthcare and NGO partner, Smile Foundation rapidly pivoted their model from clinic consultation</w:t>
                            </w:r>
                            <w:r w:rsidR="00113903">
                              <w:rPr>
                                <w:rFonts w:hAnsi="Calibri Light"/>
                                <w:color w:val="44546A"/>
                                <w:kern w:val="24"/>
                                <w:sz w:val="21"/>
                                <w:szCs w:val="21"/>
                              </w:rPr>
                              <w:t>s</w:t>
                            </w:r>
                            <w:r w:rsidR="00ED0AE6" w:rsidRPr="00ED0AE6">
                              <w:rPr>
                                <w:rFonts w:hAnsi="Calibri Light"/>
                                <w:color w:val="44546A"/>
                                <w:kern w:val="24"/>
                                <w:sz w:val="21"/>
                                <w:szCs w:val="21"/>
                              </w:rPr>
                              <w:t xml:space="preserve"> to at</w:t>
                            </w:r>
                            <w:r w:rsidR="00113903">
                              <w:rPr>
                                <w:rFonts w:hAnsi="Calibri Light"/>
                                <w:color w:val="44546A"/>
                                <w:kern w:val="24"/>
                                <w:sz w:val="21"/>
                                <w:szCs w:val="21"/>
                              </w:rPr>
                              <w:t>-</w:t>
                            </w:r>
                            <w:r w:rsidR="00ED0AE6" w:rsidRPr="00ED0AE6">
                              <w:rPr>
                                <w:rFonts w:hAnsi="Calibri Light"/>
                                <w:color w:val="44546A"/>
                                <w:kern w:val="24"/>
                                <w:sz w:val="21"/>
                                <w:szCs w:val="21"/>
                              </w:rPr>
                              <w:t>home telehealth consultations through a mobile application and increase</w:t>
                            </w:r>
                            <w:r w:rsidR="00ED0AE6">
                              <w:rPr>
                                <w:rFonts w:hAnsi="Calibri Light"/>
                                <w:color w:val="44546A"/>
                                <w:kern w:val="24"/>
                                <w:sz w:val="21"/>
                                <w:szCs w:val="21"/>
                              </w:rPr>
                              <w:t>d</w:t>
                            </w:r>
                            <w:r w:rsidR="00ED0AE6" w:rsidRPr="00ED0AE6">
                              <w:rPr>
                                <w:rFonts w:hAnsi="Calibri Light"/>
                                <w:color w:val="44546A"/>
                                <w:kern w:val="24"/>
                                <w:sz w:val="21"/>
                                <w:szCs w:val="21"/>
                              </w:rPr>
                              <w:t xml:space="preserve"> the availability of doctors through their platform. Once restrictions were lifted, Karma Healthcare continued providing both at-home or in-clinic consultations. </w:t>
                            </w:r>
                            <w:r w:rsidR="00113903">
                              <w:rPr>
                                <w:rFonts w:hAnsi="Calibri Light"/>
                                <w:color w:val="44546A"/>
                                <w:kern w:val="24"/>
                                <w:sz w:val="21"/>
                                <w:szCs w:val="21"/>
                              </w:rPr>
                              <w:t>Karma</w:t>
                            </w:r>
                            <w:r w:rsidR="00ED0AE6" w:rsidRPr="00ED0AE6">
                              <w:rPr>
                                <w:rFonts w:hAnsi="Calibri Light"/>
                                <w:color w:val="44546A"/>
                                <w:kern w:val="24"/>
                                <w:sz w:val="21"/>
                                <w:szCs w:val="21"/>
                              </w:rPr>
                              <w:t xml:space="preserve"> see</w:t>
                            </w:r>
                            <w:r w:rsidR="00113903">
                              <w:rPr>
                                <w:rFonts w:hAnsi="Calibri Light"/>
                                <w:color w:val="44546A"/>
                                <w:kern w:val="24"/>
                                <w:sz w:val="21"/>
                                <w:szCs w:val="21"/>
                              </w:rPr>
                              <w:t>s</w:t>
                            </w:r>
                            <w:r w:rsidR="00ED0AE6" w:rsidRPr="00ED0AE6">
                              <w:rPr>
                                <w:rFonts w:hAnsi="Calibri Light"/>
                                <w:color w:val="44546A"/>
                                <w:kern w:val="24"/>
                                <w:sz w:val="21"/>
                                <w:szCs w:val="21"/>
                              </w:rPr>
                              <w:t xml:space="preserve"> both options as complementary services to reach the under-served communities they operate in. Smile Foundation has increased the flexibility of its clinics by re-fitting its outreach van as a fully mobile telehealth clinic. </w:t>
                            </w:r>
                          </w:p>
                          <w:p w14:paraId="6B29148B" w14:textId="29A546FC" w:rsidR="00ED0AE6" w:rsidRPr="00ED0AE6" w:rsidRDefault="00ED0AE6" w:rsidP="00ED0AE6">
                            <w:pPr>
                              <w:rPr>
                                <w:rFonts w:hAnsi="Calibri Light"/>
                                <w:color w:val="44546A"/>
                                <w:kern w:val="24"/>
                                <w:sz w:val="21"/>
                                <w:szCs w:val="21"/>
                              </w:rPr>
                            </w:pPr>
                            <w:r w:rsidRPr="00ED0AE6">
                              <w:rPr>
                                <w:rFonts w:hAnsi="Calibri Light"/>
                                <w:color w:val="44546A"/>
                                <w:kern w:val="24"/>
                                <w:sz w:val="21"/>
                                <w:szCs w:val="21"/>
                              </w:rPr>
                              <w:t>In the past six months, despite the challenges of COVID</w:t>
                            </w:r>
                            <w:r w:rsidR="00113903">
                              <w:rPr>
                                <w:rFonts w:hAnsi="Calibri Light"/>
                                <w:color w:val="44546A"/>
                                <w:kern w:val="24"/>
                                <w:sz w:val="21"/>
                                <w:szCs w:val="21"/>
                              </w:rPr>
                              <w:noBreakHyphen/>
                            </w:r>
                            <w:r w:rsidRPr="00ED0AE6">
                              <w:rPr>
                                <w:rFonts w:hAnsi="Calibri Light"/>
                                <w:color w:val="44546A"/>
                                <w:kern w:val="24"/>
                                <w:sz w:val="21"/>
                                <w:szCs w:val="21"/>
                              </w:rPr>
                              <w:t xml:space="preserve">19, Karma Healthcare has served over 1,000 patients, (52% female) and with DFAT’s support has increased the availability doctors. This has kept wait times for a consult (at-home or in-clinic) under 15 minutes. </w:t>
                            </w:r>
                          </w:p>
                          <w:p w14:paraId="27687002" w14:textId="799BBACA" w:rsidR="004B3B85" w:rsidRPr="00843294" w:rsidRDefault="00113903" w:rsidP="00B60AD4">
                            <w:pPr>
                              <w:pStyle w:val="NormalWeb"/>
                              <w:spacing w:before="0" w:beforeAutospacing="0" w:after="0" w:afterAutospacing="0"/>
                              <w:rPr>
                                <w:color w:val="44546A"/>
                                <w:sz w:val="21"/>
                                <w:szCs w:val="21"/>
                              </w:rPr>
                            </w:pPr>
                            <w:r w:rsidRPr="001D4068">
                              <w:rPr>
                                <w:rFonts w:asciiTheme="minorHAnsi" w:eastAsiaTheme="minorHAnsi" w:hAnsi="Calibri Light" w:cstheme="minorBidi"/>
                                <w:color w:val="44546A"/>
                                <w:kern w:val="24"/>
                                <w:sz w:val="21"/>
                                <w:szCs w:val="21"/>
                                <w:lang w:eastAsia="en-US"/>
                              </w:rPr>
                              <w:t>For more information,</w:t>
                            </w:r>
                            <w:r>
                              <w:rPr>
                                <w:rFonts w:hAnsi="Calibri Light"/>
                                <w:color w:val="44546A"/>
                                <w:kern w:val="24"/>
                                <w:sz w:val="21"/>
                                <w:szCs w:val="21"/>
                              </w:rPr>
                              <w:t xml:space="preserve"> </w:t>
                            </w:r>
                            <w:hyperlink r:id="rId22" w:history="1">
                              <w:r w:rsidR="004B3B85" w:rsidRPr="00843294">
                                <w:rPr>
                                  <w:rStyle w:val="Hyperlink"/>
                                  <w:rFonts w:eastAsiaTheme="majorEastAsia" w:hAnsi="Calibri Light" w:cstheme="minorBidi"/>
                                  <w:color w:val="44546A"/>
                                  <w:kern w:val="24"/>
                                  <w:sz w:val="21"/>
                                  <w:szCs w:val="21"/>
                                </w:rPr>
                                <w:t>visit our website</w:t>
                              </w:r>
                            </w:hyperlink>
                            <w:r w:rsidR="004B3B85" w:rsidRPr="00843294">
                              <w:rPr>
                                <w:rFonts w:asciiTheme="minorHAnsi" w:hAnsi="Calibri Light" w:cstheme="minorBidi"/>
                                <w:color w:val="44546A"/>
                                <w:kern w:val="24"/>
                                <w:sz w:val="21"/>
                                <w:szCs w:val="21"/>
                              </w:rPr>
                              <w:t>.</w:t>
                            </w:r>
                          </w:p>
                          <w:p w14:paraId="6C9DBE96" w14:textId="77777777" w:rsidR="004B3B85" w:rsidRPr="00843294" w:rsidRDefault="004B3B85" w:rsidP="004A5820">
                            <w:pPr>
                              <w:pStyle w:val="NormalWeb"/>
                              <w:spacing w:before="0" w:beforeAutospacing="0" w:after="0" w:afterAutospacing="0"/>
                              <w:rPr>
                                <w:rFonts w:ascii="Calibri Light" w:hAnsi="Calibri Light"/>
                                <w:sz w:val="21"/>
                                <w:szCs w:val="21"/>
                              </w:rPr>
                            </w:pPr>
                          </w:p>
                          <w:p w14:paraId="7AA573BB" w14:textId="77777777" w:rsidR="00FF1B58" w:rsidRPr="00843294" w:rsidRDefault="00FF1B58" w:rsidP="00FF1B58">
                            <w:pPr>
                              <w:pStyle w:val="NormalWeb"/>
                              <w:spacing w:before="0" w:beforeAutospacing="0" w:after="0" w:afterAutospacing="0"/>
                              <w:rPr>
                                <w:color w:val="44546A"/>
                                <w:sz w:val="2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BEB2568" id="_x0000_t202" coordsize="21600,21600" o:spt="202" path="m,l,21600r21600,l21600,xe">
                <v:stroke joinstyle="miter"/>
                <v:path gradientshapeok="t" o:connecttype="rect"/>
              </v:shapetype>
              <v:shape id="TextBox 1" o:spid="_x0000_s1026" type="#_x0000_t202" style="position:absolute;left:0;text-align:left;margin-left:317.4pt;margin-top:-16.9pt;width:250.3pt;height:350.1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" fillcolor="#fdd37f" stroked="f">
                <v:textbox>
                  <w:txbxContent>
                    <w:p w14:paraId="59033585" w14:textId="291A9387" w:rsidR="00ED0AE6" w:rsidRPr="00ED0AE6" w:rsidRDefault="00FF1B58" w:rsidP="00ED0AE6">
                      <w:pPr>
                        <w:rPr>
                          <w:rFonts w:hAnsi="Calibri Light"/>
                          <w:color w:val="44546A"/>
                          <w:kern w:val="24"/>
                          <w:sz w:val="21"/>
                          <w:szCs w:val="21"/>
                        </w:rPr>
                      </w:pPr>
                      <w:r w:rsidRPr="00843294">
                        <w:rPr>
                          <w:rFonts w:hAnsi="Calibri Light"/>
                          <w:color w:val="44546A"/>
                          <w:kern w:val="24"/>
                          <w:sz w:val="21"/>
                          <w:szCs w:val="21"/>
                        </w:rPr>
                        <w:t xml:space="preserve">The </w:t>
                      </w:r>
                      <w:hyperlink r:id="rId23" w:history="1">
                        <w:r w:rsidRPr="00910608">
                          <w:rPr>
                            <w:rStyle w:val="Hyperlink"/>
                            <w:rFonts w:cstheme="minorBidi"/>
                            <w:b/>
                            <w:iCs/>
                            <w:color w:val="44546A"/>
                            <w:sz w:val="21"/>
                            <w:szCs w:val="21"/>
                          </w:rPr>
                          <w:t>Business Partnership Platform</w:t>
                        </w:r>
                      </w:hyperlink>
                      <w:r w:rsidRPr="00843294">
                        <w:rPr>
                          <w:rFonts w:hAnsi="Calibri Light"/>
                          <w:b/>
                          <w:bCs/>
                          <w:color w:val="44546A"/>
                          <w:kern w:val="24"/>
                          <w:sz w:val="21"/>
                          <w:szCs w:val="21"/>
                        </w:rPr>
                        <w:t xml:space="preserve"> </w:t>
                      </w:r>
                      <w:r w:rsidRPr="00843294">
                        <w:rPr>
                          <w:rFonts w:hAnsi="Calibri Light"/>
                          <w:color w:val="44546A"/>
                          <w:kern w:val="24"/>
                          <w:sz w:val="21"/>
                          <w:szCs w:val="21"/>
                        </w:rPr>
                        <w:t xml:space="preserve">(BPP) </w:t>
                      </w:r>
                      <w:r w:rsidR="00843294">
                        <w:rPr>
                          <w:rFonts w:hAnsi="Calibri Light"/>
                          <w:color w:val="44546A"/>
                          <w:kern w:val="24"/>
                          <w:sz w:val="21"/>
                          <w:szCs w:val="21"/>
                        </w:rPr>
                        <w:t>enables DFAT to partner</w:t>
                      </w:r>
                      <w:r w:rsidRPr="00843294">
                        <w:rPr>
                          <w:rFonts w:hAnsi="Calibri Light"/>
                          <w:color w:val="44546A"/>
                          <w:kern w:val="24"/>
                          <w:sz w:val="21"/>
                          <w:szCs w:val="21"/>
                        </w:rPr>
                        <w:t xml:space="preserve"> with business to deliver Australia’s </w:t>
                      </w:r>
                      <w:r w:rsidR="0022664B" w:rsidRPr="0022664B">
                        <w:rPr>
                          <w:rFonts w:hAnsi="Calibri Light"/>
                          <w:color w:val="44546A"/>
                          <w:kern w:val="24"/>
                          <w:sz w:val="21"/>
                          <w:szCs w:val="21"/>
                        </w:rPr>
                        <w:t>development cooperation</w:t>
                      </w:r>
                      <w:r w:rsidRPr="00843294">
                        <w:rPr>
                          <w:rFonts w:hAnsi="Calibri Light"/>
                          <w:color w:val="44546A"/>
                          <w:kern w:val="24"/>
                          <w:sz w:val="21"/>
                          <w:szCs w:val="21"/>
                        </w:rPr>
                        <w:t xml:space="preserve"> program</w:t>
                      </w:r>
                      <w:r w:rsidR="00ED0AE6">
                        <w:rPr>
                          <w:rFonts w:hAnsi="Calibri Light"/>
                          <w:color w:val="44546A"/>
                          <w:kern w:val="24"/>
                          <w:sz w:val="21"/>
                          <w:szCs w:val="21"/>
                        </w:rPr>
                        <w:t xml:space="preserve"> and is pivoting projects to respond to the impacts of COVID-19</w:t>
                      </w:r>
                      <w:r w:rsidRPr="00843294">
                        <w:rPr>
                          <w:rFonts w:hAnsi="Calibri Light"/>
                          <w:color w:val="44546A"/>
                          <w:kern w:val="24"/>
                          <w:sz w:val="21"/>
                          <w:szCs w:val="21"/>
                        </w:rPr>
                        <w:t xml:space="preserve">. </w:t>
                      </w:r>
                      <w:r w:rsidR="00ED0AE6">
                        <w:rPr>
                          <w:rFonts w:hAnsi="Calibri Light"/>
                          <w:color w:val="44546A"/>
                          <w:kern w:val="24"/>
                          <w:sz w:val="21"/>
                          <w:szCs w:val="21"/>
                        </w:rPr>
                        <w:t xml:space="preserve">For example, </w:t>
                      </w:r>
                      <w:hyperlink r:id="rId24" w:history="1">
                        <w:r w:rsidR="00ED0AE6" w:rsidRPr="001D4068">
                          <w:rPr>
                            <w:rStyle w:val="Hyperlink"/>
                            <w:rFonts w:cstheme="minorBidi"/>
                            <w:b/>
                            <w:iCs/>
                            <w:color w:val="44546A"/>
                            <w:sz w:val="21"/>
                            <w:szCs w:val="21"/>
                          </w:rPr>
                          <w:t>BPP business partner, Karma Healthcare</w:t>
                        </w:r>
                      </w:hyperlink>
                      <w:r w:rsidR="00ED0AE6" w:rsidRPr="00ED0AE6">
                        <w:rPr>
                          <w:rFonts w:hAnsi="Calibri Light"/>
                          <w:color w:val="44546A"/>
                          <w:kern w:val="24"/>
                          <w:sz w:val="21"/>
                          <w:szCs w:val="21"/>
                        </w:rPr>
                        <w:t xml:space="preserve"> faced challenges when clinics were forced to close due to nation-wide restrictions in India. With DFAT’s support, Karma Healthcare and NGO partner, Smile Foundation rapidly pivoted their model from clinic consultation</w:t>
                      </w:r>
                      <w:r w:rsidR="00113903">
                        <w:rPr>
                          <w:rFonts w:hAnsi="Calibri Light"/>
                          <w:color w:val="44546A"/>
                          <w:kern w:val="24"/>
                          <w:sz w:val="21"/>
                          <w:szCs w:val="21"/>
                        </w:rPr>
                        <w:t>s</w:t>
                      </w:r>
                      <w:r w:rsidR="00ED0AE6" w:rsidRPr="00ED0AE6">
                        <w:rPr>
                          <w:rFonts w:hAnsi="Calibri Light"/>
                          <w:color w:val="44546A"/>
                          <w:kern w:val="24"/>
                          <w:sz w:val="21"/>
                          <w:szCs w:val="21"/>
                        </w:rPr>
                        <w:t xml:space="preserve"> to at</w:t>
                      </w:r>
                      <w:r w:rsidR="00113903">
                        <w:rPr>
                          <w:rFonts w:hAnsi="Calibri Light"/>
                          <w:color w:val="44546A"/>
                          <w:kern w:val="24"/>
                          <w:sz w:val="21"/>
                          <w:szCs w:val="21"/>
                        </w:rPr>
                        <w:t>-</w:t>
                      </w:r>
                      <w:r w:rsidR="00ED0AE6" w:rsidRPr="00ED0AE6">
                        <w:rPr>
                          <w:rFonts w:hAnsi="Calibri Light"/>
                          <w:color w:val="44546A"/>
                          <w:kern w:val="24"/>
                          <w:sz w:val="21"/>
                          <w:szCs w:val="21"/>
                        </w:rPr>
                        <w:t>home telehealth consultations through a mobile application and increase</w:t>
                      </w:r>
                      <w:r w:rsidR="00ED0AE6">
                        <w:rPr>
                          <w:rFonts w:hAnsi="Calibri Light"/>
                          <w:color w:val="44546A"/>
                          <w:kern w:val="24"/>
                          <w:sz w:val="21"/>
                          <w:szCs w:val="21"/>
                        </w:rPr>
                        <w:t>d</w:t>
                      </w:r>
                      <w:r w:rsidR="00ED0AE6" w:rsidRPr="00ED0AE6">
                        <w:rPr>
                          <w:rFonts w:hAnsi="Calibri Light"/>
                          <w:color w:val="44546A"/>
                          <w:kern w:val="24"/>
                          <w:sz w:val="21"/>
                          <w:szCs w:val="21"/>
                        </w:rPr>
                        <w:t xml:space="preserve"> the availability of doctors through their platform. Once restrictions were lifted, Karma Healthcare continued providing both at-home or in-clinic consultations. </w:t>
                      </w:r>
                      <w:r w:rsidR="00113903">
                        <w:rPr>
                          <w:rFonts w:hAnsi="Calibri Light"/>
                          <w:color w:val="44546A"/>
                          <w:kern w:val="24"/>
                          <w:sz w:val="21"/>
                          <w:szCs w:val="21"/>
                        </w:rPr>
                        <w:t>Karma</w:t>
                      </w:r>
                      <w:r w:rsidR="00ED0AE6" w:rsidRPr="00ED0AE6">
                        <w:rPr>
                          <w:rFonts w:hAnsi="Calibri Light"/>
                          <w:color w:val="44546A"/>
                          <w:kern w:val="24"/>
                          <w:sz w:val="21"/>
                          <w:szCs w:val="21"/>
                        </w:rPr>
                        <w:t xml:space="preserve"> see</w:t>
                      </w:r>
                      <w:r w:rsidR="00113903">
                        <w:rPr>
                          <w:rFonts w:hAnsi="Calibri Light"/>
                          <w:color w:val="44546A"/>
                          <w:kern w:val="24"/>
                          <w:sz w:val="21"/>
                          <w:szCs w:val="21"/>
                        </w:rPr>
                        <w:t>s</w:t>
                      </w:r>
                      <w:r w:rsidR="00ED0AE6" w:rsidRPr="00ED0AE6">
                        <w:rPr>
                          <w:rFonts w:hAnsi="Calibri Light"/>
                          <w:color w:val="44546A"/>
                          <w:kern w:val="24"/>
                          <w:sz w:val="21"/>
                          <w:szCs w:val="21"/>
                        </w:rPr>
                        <w:t xml:space="preserve"> both options as complementary services to reach the under-served communities they operate in. Smile Foundation has increased the flexibility of its clinics by re-fitting its outreach van as a fully mobile telehealth clinic. </w:t>
                      </w:r>
                    </w:p>
                    <w:p w14:paraId="6B29148B" w14:textId="29A546FC" w:rsidR="00ED0AE6" w:rsidRPr="00ED0AE6" w:rsidRDefault="00ED0AE6" w:rsidP="00ED0AE6">
                      <w:pPr>
                        <w:rPr>
                          <w:rFonts w:hAnsi="Calibri Light"/>
                          <w:color w:val="44546A"/>
                          <w:kern w:val="24"/>
                          <w:sz w:val="21"/>
                          <w:szCs w:val="21"/>
                        </w:rPr>
                      </w:pPr>
                      <w:r w:rsidRPr="00ED0AE6">
                        <w:rPr>
                          <w:rFonts w:hAnsi="Calibri Light"/>
                          <w:color w:val="44546A"/>
                          <w:kern w:val="24"/>
                          <w:sz w:val="21"/>
                          <w:szCs w:val="21"/>
                        </w:rPr>
                        <w:t>In the past six months, despite the challenges of COVID</w:t>
                      </w:r>
                      <w:r w:rsidR="00113903">
                        <w:rPr>
                          <w:rFonts w:hAnsi="Calibri Light"/>
                          <w:color w:val="44546A"/>
                          <w:kern w:val="24"/>
                          <w:sz w:val="21"/>
                          <w:szCs w:val="21"/>
                        </w:rPr>
                        <w:noBreakHyphen/>
                      </w:r>
                      <w:r w:rsidRPr="00ED0AE6">
                        <w:rPr>
                          <w:rFonts w:hAnsi="Calibri Light"/>
                          <w:color w:val="44546A"/>
                          <w:kern w:val="24"/>
                          <w:sz w:val="21"/>
                          <w:szCs w:val="21"/>
                        </w:rPr>
                        <w:t xml:space="preserve">19, Karma Healthcare has served over 1,000 patients, (52% female) and with DFAT’s support has increased the availability doctors. This has kept wait times for a consult (at-home or in-clinic) under 15 minutes. </w:t>
                      </w:r>
                    </w:p>
                    <w:p w14:paraId="27687002" w14:textId="799BBACA" w:rsidR="004B3B85" w:rsidRPr="00843294" w:rsidRDefault="00113903" w:rsidP="00B60AD4">
                      <w:pPr>
                        <w:pStyle w:val="NormalWeb"/>
                        <w:spacing w:before="0" w:beforeAutospacing="0" w:after="0" w:afterAutospacing="0"/>
                        <w:rPr>
                          <w:color w:val="44546A"/>
                          <w:sz w:val="21"/>
                          <w:szCs w:val="21"/>
                        </w:rPr>
                      </w:pPr>
                      <w:r w:rsidRPr="001D4068">
                        <w:rPr>
                          <w:rFonts w:asciiTheme="minorHAnsi" w:eastAsiaTheme="minorHAnsi" w:hAnsi="Calibri Light" w:cstheme="minorBidi"/>
                          <w:color w:val="44546A"/>
                          <w:kern w:val="24"/>
                          <w:sz w:val="21"/>
                          <w:szCs w:val="21"/>
                          <w:lang w:eastAsia="en-US"/>
                        </w:rPr>
                        <w:t>For more information,</w:t>
                      </w:r>
                      <w:r>
                        <w:rPr>
                          <w:rFonts w:hAnsi="Calibri Light"/>
                          <w:color w:val="44546A"/>
                          <w:kern w:val="24"/>
                          <w:sz w:val="21"/>
                          <w:szCs w:val="21"/>
                        </w:rPr>
                        <w:t xml:space="preserve"> </w:t>
                      </w:r>
                      <w:hyperlink r:id="rId25" w:history="1">
                        <w:r w:rsidR="004B3B85" w:rsidRPr="00843294">
                          <w:rPr>
                            <w:rStyle w:val="Hyperlink"/>
                            <w:rFonts w:eastAsiaTheme="majorEastAsia" w:hAnsi="Calibri Light" w:cstheme="minorBidi"/>
                            <w:color w:val="44546A"/>
                            <w:kern w:val="24"/>
                            <w:sz w:val="21"/>
                            <w:szCs w:val="21"/>
                          </w:rPr>
                          <w:t>visit our website</w:t>
                        </w:r>
                      </w:hyperlink>
                      <w:r w:rsidR="004B3B85" w:rsidRPr="00843294">
                        <w:rPr>
                          <w:rFonts w:asciiTheme="minorHAnsi" w:hAnsi="Calibri Light" w:cstheme="minorBidi"/>
                          <w:color w:val="44546A"/>
                          <w:kern w:val="24"/>
                          <w:sz w:val="21"/>
                          <w:szCs w:val="21"/>
                        </w:rPr>
                        <w:t>.</w:t>
                      </w:r>
                    </w:p>
                    <w:p w14:paraId="6C9DBE96" w14:textId="77777777" w:rsidR="004B3B85" w:rsidRPr="00843294" w:rsidRDefault="004B3B85" w:rsidP="004A5820">
                      <w:pPr>
                        <w:pStyle w:val="NormalWeb"/>
                        <w:spacing w:before="0" w:beforeAutospacing="0" w:after="0" w:afterAutospacing="0"/>
                        <w:rPr>
                          <w:rFonts w:ascii="Calibri Light" w:hAnsi="Calibri Light"/>
                          <w:sz w:val="21"/>
                          <w:szCs w:val="21"/>
                        </w:rPr>
                      </w:pPr>
                    </w:p>
                    <w:p w14:paraId="7AA573BB" w14:textId="77777777" w:rsidR="00FF1B58" w:rsidRPr="00843294" w:rsidRDefault="00FF1B58" w:rsidP="00FF1B58">
                      <w:pPr>
                        <w:pStyle w:val="NormalWeb"/>
                        <w:spacing w:before="0" w:beforeAutospacing="0" w:after="0" w:afterAutospacing="0"/>
                        <w:rPr>
                          <w:color w:val="44546A"/>
                          <w:sz w:val="21"/>
                          <w:szCs w:val="21"/>
                        </w:rPr>
                      </w:pPr>
                    </w:p>
                  </w:txbxContent>
                </v:textbox>
                <w10:wrap anchorx="page"/>
              </v:shape>
            </w:pict>
          </mc:Fallback>
        </mc:AlternateContent>
      </w:r>
    </w:p>
    <w:p w14:paraId="050F6189" w14:textId="15FE9988" w:rsidR="00B60AD4" w:rsidRDefault="00B60AD4" w:rsidP="001D4068">
      <w:pPr>
        <w:jc w:val="both"/>
        <w:rPr>
          <w:color w:val="44546A"/>
          <w:sz w:val="21"/>
          <w:szCs w:val="21"/>
        </w:rPr>
      </w:pPr>
    </w:p>
    <w:p w14:paraId="15BAD029" w14:textId="57A1FCA7" w:rsidR="00B60AD4" w:rsidRPr="001D4068" w:rsidRDefault="00B60AD4" w:rsidP="001D4068">
      <w:pPr>
        <w:jc w:val="both"/>
        <w:rPr>
          <w:color w:val="44546A"/>
          <w:sz w:val="21"/>
          <w:szCs w:val="21"/>
        </w:rPr>
      </w:pPr>
    </w:p>
    <w:p w14:paraId="5A7814F9" w14:textId="69A93BD0" w:rsidR="000F158D" w:rsidRPr="006040E2" w:rsidRDefault="000F158D" w:rsidP="000F158D">
      <w:pPr>
        <w:spacing w:after="0" w:line="240" w:lineRule="auto"/>
        <w:ind w:right="-74"/>
        <w:rPr>
          <w:b/>
          <w:bCs/>
          <w:sz w:val="21"/>
          <w:szCs w:val="21"/>
        </w:rPr>
      </w:pPr>
    </w:p>
    <w:p w14:paraId="4BC971AB" w14:textId="71F8E034" w:rsidR="000F158D" w:rsidRPr="006040E2" w:rsidRDefault="000F158D" w:rsidP="000F158D">
      <w:pPr>
        <w:spacing w:after="0" w:line="240" w:lineRule="auto"/>
        <w:ind w:right="-74"/>
        <w:rPr>
          <w:b/>
          <w:bCs/>
          <w:sz w:val="21"/>
          <w:szCs w:val="21"/>
        </w:rPr>
      </w:pPr>
    </w:p>
    <w:p w14:paraId="0A1A8577" w14:textId="089D9F60" w:rsidR="000F158D" w:rsidRPr="006040E2" w:rsidRDefault="000F158D" w:rsidP="000F158D">
      <w:pPr>
        <w:spacing w:after="0" w:line="240" w:lineRule="auto"/>
        <w:ind w:right="-74"/>
        <w:rPr>
          <w:b/>
          <w:bCs/>
          <w:sz w:val="21"/>
          <w:szCs w:val="21"/>
        </w:rPr>
      </w:pPr>
    </w:p>
    <w:p w14:paraId="367EDFA0" w14:textId="7480219F" w:rsidR="000F158D" w:rsidRPr="006040E2" w:rsidRDefault="000F158D" w:rsidP="000F158D">
      <w:pPr>
        <w:spacing w:after="0" w:line="240" w:lineRule="auto"/>
        <w:ind w:right="-74"/>
        <w:rPr>
          <w:b/>
          <w:bCs/>
          <w:sz w:val="21"/>
          <w:szCs w:val="21"/>
        </w:rPr>
      </w:pPr>
    </w:p>
    <w:p w14:paraId="3C55DC36" w14:textId="378B7422" w:rsidR="000F158D" w:rsidRDefault="000F158D" w:rsidP="000F158D">
      <w:pPr>
        <w:spacing w:after="0" w:line="240" w:lineRule="auto"/>
        <w:ind w:right="-74"/>
        <w:rPr>
          <w:b/>
          <w:bCs/>
          <w:sz w:val="21"/>
          <w:szCs w:val="21"/>
        </w:rPr>
      </w:pPr>
    </w:p>
    <w:p w14:paraId="44EDCA59" w14:textId="68BA8AA5" w:rsidR="000F158D" w:rsidRPr="00F46BDE" w:rsidRDefault="000F158D" w:rsidP="000F158D">
      <w:pPr>
        <w:spacing w:after="0" w:line="240" w:lineRule="auto"/>
        <w:ind w:right="-74"/>
        <w:rPr>
          <w:b/>
          <w:bCs/>
          <w:sz w:val="21"/>
          <w:szCs w:val="21"/>
        </w:rPr>
      </w:pPr>
    </w:p>
    <w:p w14:paraId="7178A427" w14:textId="487A6A72" w:rsidR="000F158D" w:rsidRPr="00097C91" w:rsidRDefault="000F158D" w:rsidP="000F158D">
      <w:pPr>
        <w:rPr>
          <w:i/>
        </w:rPr>
      </w:pPr>
    </w:p>
    <w:p w14:paraId="3C3E549E" w14:textId="010C3634" w:rsidR="000F158D" w:rsidRDefault="000F158D" w:rsidP="000F158D"/>
    <w:p w14:paraId="3E411355" w14:textId="3451CC11" w:rsidR="000F158D" w:rsidRDefault="000F158D" w:rsidP="000F158D">
      <w:pPr>
        <w:spacing w:before="0"/>
      </w:pPr>
    </w:p>
    <w:p w14:paraId="618F66DD" w14:textId="36ABEC05" w:rsidR="000F158D" w:rsidRDefault="000F158D" w:rsidP="000F158D">
      <w:pPr>
        <w:spacing w:before="0"/>
      </w:pPr>
    </w:p>
    <w:p w14:paraId="556A14F6" w14:textId="401F2362" w:rsidR="000F158D" w:rsidRPr="00B42519" w:rsidRDefault="000F158D" w:rsidP="000F158D">
      <w:pPr>
        <w:rPr>
          <w:b/>
        </w:rPr>
      </w:pPr>
    </w:p>
    <w:p w14:paraId="61B2F1B0" w14:textId="131D2988" w:rsidR="000F158D" w:rsidRDefault="000F158D" w:rsidP="000F158D"/>
    <w:p w14:paraId="28EEE25A" w14:textId="3355D630" w:rsidR="000F158D" w:rsidRPr="00C24A44" w:rsidRDefault="000F158D" w:rsidP="000F158D">
      <w:pPr>
        <w:suppressAutoHyphens w:val="0"/>
        <w:spacing w:before="0" w:after="0" w:line="240" w:lineRule="auto"/>
        <w:rPr>
          <w:rStyle w:val="Green"/>
          <w:color w:val="495965" w:themeColor="text2"/>
          <w:sz w:val="20"/>
          <w:szCs w:val="20"/>
        </w:rPr>
      </w:pPr>
    </w:p>
    <w:p w14:paraId="6F6E625F" w14:textId="13AFD457" w:rsidR="004A0669" w:rsidRPr="000F158D" w:rsidRDefault="00B60AD4" w:rsidP="000F158D">
      <w:pPr>
        <w:rPr>
          <w:rStyle w:val="Green"/>
          <w:color w:val="495965" w:themeColor="text2"/>
        </w:rPr>
      </w:pPr>
      <w:r w:rsidRPr="000F420D">
        <w:rPr>
          <w:noProof/>
          <w:lang w:eastAsia="en-AU"/>
        </w:rPr>
        <w:lastRenderedPageBreak/>
        <mc:AlternateContent>
          <mc:Choice Requires="wps">
            <w:drawing>
              <wp:anchor distT="45720" distB="45720" distL="114300" distR="114300" simplePos="0" relativeHeight="251659776" behindDoc="0" locked="0" layoutInCell="1" allowOverlap="1" wp14:anchorId="7F511501" wp14:editId="49A84D54">
                <wp:simplePos x="0" y="0"/>
                <wp:positionH relativeFrom="page">
                  <wp:posOffset>4130169</wp:posOffset>
                </wp:positionH>
                <wp:positionV relativeFrom="paragraph">
                  <wp:posOffset>833807</wp:posOffset>
                </wp:positionV>
                <wp:extent cx="3133725" cy="23749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74900"/>
                        </a:xfrm>
                        <a:prstGeom prst="rect">
                          <a:avLst/>
                        </a:prstGeom>
                        <a:noFill/>
                        <a:ln w="9525">
                          <a:noFill/>
                          <a:miter lim="800000"/>
                          <a:headEnd/>
                          <a:tailEnd/>
                        </a:ln>
                      </wps:spPr>
                      <wps:txbx>
                        <w:txbxContent>
                          <w:p w14:paraId="14A74FA7" w14:textId="77777777" w:rsidR="000F420D" w:rsidRPr="00200551" w:rsidRDefault="000F420D" w:rsidP="000F420D">
                            <w:pPr>
                              <w:widowControl w:val="0"/>
                              <w:spacing w:before="0" w:after="0"/>
                              <w:ind w:hanging="142"/>
                              <w:rPr>
                                <w:b/>
                                <w:iCs/>
                                <w:color w:val="44546A"/>
                                <w:sz w:val="28"/>
                                <w:szCs w:val="28"/>
                              </w:rPr>
                            </w:pPr>
                            <w:r w:rsidRPr="00200551">
                              <w:rPr>
                                <w:b/>
                                <w:iCs/>
                                <w:color w:val="44546A"/>
                                <w:sz w:val="28"/>
                                <w:szCs w:val="28"/>
                              </w:rPr>
                              <w:t>For more details:</w:t>
                            </w:r>
                          </w:p>
                          <w:p w14:paraId="41696723" w14:textId="77777777" w:rsidR="00EA1E5C" w:rsidRPr="001D4068" w:rsidRDefault="00651469" w:rsidP="00501072">
                            <w:pPr>
                              <w:pStyle w:val="ListParagraph"/>
                              <w:numPr>
                                <w:ilvl w:val="0"/>
                                <w:numId w:val="34"/>
                              </w:numPr>
                              <w:spacing w:before="0" w:after="0" w:line="240" w:lineRule="auto"/>
                              <w:ind w:left="142" w:right="-74" w:hanging="284"/>
                              <w:rPr>
                                <w:rStyle w:val="Hyperlink"/>
                                <w:rFonts w:cstheme="minorBidi"/>
                                <w:sz w:val="18"/>
                                <w:szCs w:val="18"/>
                              </w:rPr>
                            </w:pPr>
                            <w:hyperlink r:id="rId26" w:history="1">
                              <w:r w:rsidR="00EA1E5C" w:rsidRPr="001D4068">
                                <w:rPr>
                                  <w:rStyle w:val="Hyperlink"/>
                                  <w:rFonts w:cstheme="minorBidi"/>
                                  <w:sz w:val="18"/>
                                  <w:szCs w:val="18"/>
                                </w:rPr>
                                <w:t>Partnerships for Recovery – Australia’s COVID-19 Development Response</w:t>
                              </w:r>
                            </w:hyperlink>
                          </w:p>
                          <w:p w14:paraId="71A77D7A" w14:textId="44DF310C" w:rsidR="000F420D" w:rsidRDefault="00651469" w:rsidP="00501072">
                            <w:pPr>
                              <w:pStyle w:val="ListParagraph"/>
                              <w:numPr>
                                <w:ilvl w:val="0"/>
                                <w:numId w:val="34"/>
                              </w:numPr>
                              <w:spacing w:before="0" w:after="0" w:line="240" w:lineRule="auto"/>
                              <w:ind w:left="142" w:right="-74" w:hanging="284"/>
                              <w:rPr>
                                <w:color w:val="44546A"/>
                                <w:sz w:val="18"/>
                                <w:szCs w:val="18"/>
                                <w:u w:color="0070C0"/>
                              </w:rPr>
                            </w:pPr>
                            <w:hyperlink r:id="rId27" w:history="1">
                              <w:r w:rsidR="000F420D" w:rsidRPr="005D52ED">
                                <w:rPr>
                                  <w:rStyle w:val="Hyperlink"/>
                                  <w:rFonts w:cstheme="minorBidi"/>
                                  <w:sz w:val="18"/>
                                  <w:szCs w:val="18"/>
                                </w:rPr>
                                <w:t>2017 Foreign Policy White Paper: advancing Australia’s interests</w:t>
                              </w:r>
                            </w:hyperlink>
                            <w:r w:rsidR="000F420D">
                              <w:rPr>
                                <w:color w:val="44546A"/>
                                <w:sz w:val="18"/>
                                <w:szCs w:val="18"/>
                                <w:u w:color="0070C0"/>
                              </w:rPr>
                              <w:t xml:space="preserve"> </w:t>
                            </w:r>
                          </w:p>
                          <w:p w14:paraId="418599EC" w14:textId="77777777" w:rsidR="000F420D" w:rsidRPr="00B427C7" w:rsidRDefault="00651469" w:rsidP="00501072">
                            <w:pPr>
                              <w:pStyle w:val="ListParagraph"/>
                              <w:numPr>
                                <w:ilvl w:val="0"/>
                                <w:numId w:val="34"/>
                              </w:numPr>
                              <w:spacing w:before="0" w:after="0" w:line="240" w:lineRule="auto"/>
                              <w:ind w:left="142" w:right="-74" w:hanging="284"/>
                              <w:rPr>
                                <w:color w:val="44546A"/>
                                <w:sz w:val="18"/>
                                <w:szCs w:val="18"/>
                                <w:u w:color="0070C0"/>
                              </w:rPr>
                            </w:pPr>
                            <w:hyperlink r:id="rId28" w:history="1">
                              <w:r w:rsidR="000F420D" w:rsidRPr="00B427C7">
                                <w:rPr>
                                  <w:rStyle w:val="Hyperlink"/>
                                  <w:rFonts w:cstheme="minorBidi"/>
                                  <w:sz w:val="18"/>
                                  <w:szCs w:val="18"/>
                                </w:rPr>
                                <w:t>Ministerial Statement on engaging the private sector in aid and development – Creating Shared Value through Partnership</w:t>
                              </w:r>
                            </w:hyperlink>
                            <w:r w:rsidR="000F420D" w:rsidRPr="00B427C7">
                              <w:rPr>
                                <w:color w:val="44546A"/>
                                <w:sz w:val="18"/>
                                <w:szCs w:val="18"/>
                                <w:u w:color="0070C0"/>
                              </w:rPr>
                              <w:t xml:space="preserve"> </w:t>
                            </w:r>
                          </w:p>
                          <w:p w14:paraId="3D6EBC17" w14:textId="77777777" w:rsidR="000F420D" w:rsidRPr="00B427C7" w:rsidRDefault="00651469" w:rsidP="00501072">
                            <w:pPr>
                              <w:pStyle w:val="ListParagraph"/>
                              <w:numPr>
                                <w:ilvl w:val="0"/>
                                <w:numId w:val="34"/>
                              </w:numPr>
                              <w:spacing w:before="0" w:after="0" w:line="240" w:lineRule="auto"/>
                              <w:ind w:left="142" w:right="-74" w:hanging="284"/>
                              <w:rPr>
                                <w:color w:val="44546A"/>
                                <w:sz w:val="18"/>
                                <w:szCs w:val="18"/>
                                <w:u w:color="0070C0"/>
                              </w:rPr>
                            </w:pPr>
                            <w:hyperlink r:id="rId29" w:history="1">
                              <w:r w:rsidR="000F420D" w:rsidRPr="00B427C7">
                                <w:rPr>
                                  <w:rStyle w:val="Hyperlink"/>
                                  <w:rFonts w:cstheme="minorBidi"/>
                                  <w:sz w:val="18"/>
                                  <w:szCs w:val="18"/>
                                </w:rPr>
                                <w:t>Strategy for Australia's aid investments in private sector development</w:t>
                              </w:r>
                            </w:hyperlink>
                            <w:r w:rsidR="000F420D" w:rsidRPr="00B427C7">
                              <w:rPr>
                                <w:color w:val="44546A"/>
                                <w:sz w:val="18"/>
                                <w:szCs w:val="18"/>
                                <w:u w:color="0070C0"/>
                              </w:rPr>
                              <w:t xml:space="preserve"> </w:t>
                            </w:r>
                          </w:p>
                          <w:p w14:paraId="5C329186" w14:textId="16EFEB41" w:rsidR="000F420D" w:rsidRPr="00165DB6" w:rsidRDefault="00651469" w:rsidP="00501072">
                            <w:pPr>
                              <w:pStyle w:val="ListParagraph"/>
                              <w:numPr>
                                <w:ilvl w:val="0"/>
                                <w:numId w:val="34"/>
                              </w:numPr>
                              <w:spacing w:before="0" w:after="0" w:line="240" w:lineRule="auto"/>
                              <w:ind w:left="142" w:right="-74" w:hanging="284"/>
                              <w:rPr>
                                <w:rStyle w:val="Hyperlink"/>
                                <w:rFonts w:cstheme="minorBidi"/>
                                <w:color w:val="44546A"/>
                                <w:sz w:val="18"/>
                                <w:szCs w:val="18"/>
                                <w:u w:val="none"/>
                              </w:rPr>
                            </w:pPr>
                            <w:hyperlink r:id="rId30" w:history="1">
                              <w:r w:rsidR="000F420D" w:rsidRPr="004B3B85">
                                <w:rPr>
                                  <w:rStyle w:val="Hyperlink"/>
                                  <w:rFonts w:cstheme="minorBidi"/>
                                  <w:sz w:val="18"/>
                                  <w:szCs w:val="18"/>
                                </w:rPr>
                                <w:t xml:space="preserve">Operational Framework for </w:t>
                              </w:r>
                              <w:r w:rsidR="004B3B85" w:rsidRPr="004B3B85">
                                <w:rPr>
                                  <w:rStyle w:val="Hyperlink"/>
                                  <w:rFonts w:cstheme="minorBidi"/>
                                  <w:sz w:val="18"/>
                                  <w:szCs w:val="18"/>
                                </w:rPr>
                                <w:t>private sector engagement in Australia’s aid program</w:t>
                              </w:r>
                            </w:hyperlink>
                            <w:r w:rsidR="004B3B85" w:rsidRPr="004B3B85">
                              <w:rPr>
                                <w:sz w:val="18"/>
                                <w:szCs w:val="18"/>
                                <w:u w:color="0070C0"/>
                              </w:rPr>
                              <w:t xml:space="preserve"> </w:t>
                            </w:r>
                          </w:p>
                          <w:p w14:paraId="22F6B340" w14:textId="07B1D39E" w:rsidR="00EA1E5C" w:rsidRPr="001D4068" w:rsidRDefault="00651469" w:rsidP="001D4068">
                            <w:pPr>
                              <w:pStyle w:val="ListParagraph"/>
                              <w:numPr>
                                <w:ilvl w:val="0"/>
                                <w:numId w:val="34"/>
                              </w:numPr>
                              <w:spacing w:before="0" w:after="0" w:line="240" w:lineRule="auto"/>
                              <w:ind w:left="142" w:right="-74" w:hanging="284"/>
                              <w:rPr>
                                <w:rStyle w:val="Hyperlink"/>
                                <w:rFonts w:cstheme="minorBidi"/>
                                <w:sz w:val="18"/>
                                <w:szCs w:val="18"/>
                              </w:rPr>
                            </w:pPr>
                            <w:hyperlink r:id="rId31" w:history="1">
                              <w:r w:rsidR="00EA1E5C" w:rsidRPr="001D4068">
                                <w:rPr>
                                  <w:rStyle w:val="Hyperlink"/>
                                  <w:rFonts w:cstheme="minorBidi"/>
                                  <w:sz w:val="18"/>
                                  <w:szCs w:val="18"/>
                                </w:rPr>
                                <w:t>Guidance note for engaging the private sector</w:t>
                              </w:r>
                            </w:hyperlink>
                          </w:p>
                          <w:p w14:paraId="1B05B359" w14:textId="0010E390" w:rsidR="000F420D" w:rsidRPr="00200551" w:rsidRDefault="00651469" w:rsidP="00501072">
                            <w:pPr>
                              <w:pStyle w:val="ListParagraph"/>
                              <w:widowControl w:val="0"/>
                              <w:numPr>
                                <w:ilvl w:val="0"/>
                                <w:numId w:val="34"/>
                              </w:numPr>
                              <w:spacing w:before="60" w:after="0" w:line="240" w:lineRule="auto"/>
                              <w:ind w:left="142" w:right="-74" w:hanging="284"/>
                              <w:rPr>
                                <w:rStyle w:val="Hyperlink"/>
                                <w:rFonts w:cstheme="minorBidi"/>
                                <w:iCs/>
                                <w:color w:val="44546A"/>
                                <w:sz w:val="21"/>
                                <w:szCs w:val="21"/>
                                <w:u w:val="none"/>
                              </w:rPr>
                            </w:pPr>
                            <w:hyperlink r:id="rId32" w:history="1">
                              <w:r w:rsidR="000F420D" w:rsidRPr="00200551">
                                <w:rPr>
                                  <w:rStyle w:val="Hyperlink"/>
                                  <w:rFonts w:cstheme="minorBidi"/>
                                  <w:sz w:val="18"/>
                                  <w:szCs w:val="18"/>
                                </w:rPr>
                                <w:t>Australian aid: promoting prosperity, reducing poverty, enhancing stability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11501" id="Text Box 2" o:spid="_x0000_s1027" type="#_x0000_t202" style="position:absolute;margin-left:325.2pt;margin-top:65.65pt;width:246.75pt;height:187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" filled="f" stroked="f">
                <v:textbox>
                  <w:txbxContent>
                    <w:p w14:paraId="14A74FA7" w14:textId="77777777" w:rsidR="000F420D" w:rsidRPr="00200551" w:rsidRDefault="000F420D" w:rsidP="000F420D">
                      <w:pPr>
                        <w:widowControl w:val="0"/>
                        <w:spacing w:before="0" w:after="0"/>
                        <w:ind w:hanging="142"/>
                        <w:rPr>
                          <w:b/>
                          <w:iCs/>
                          <w:color w:val="44546A"/>
                          <w:sz w:val="28"/>
                          <w:szCs w:val="28"/>
                        </w:rPr>
                      </w:pPr>
                      <w:r w:rsidRPr="00200551">
                        <w:rPr>
                          <w:b/>
                          <w:iCs/>
                          <w:color w:val="44546A"/>
                          <w:sz w:val="28"/>
                          <w:szCs w:val="28"/>
                        </w:rPr>
                        <w:t>For more details:</w:t>
                      </w:r>
                    </w:p>
                    <w:p w14:paraId="41696723" w14:textId="77777777" w:rsidR="00EA1E5C" w:rsidRPr="001D4068" w:rsidRDefault="00651469" w:rsidP="00501072">
                      <w:pPr>
                        <w:pStyle w:val="ListParagraph"/>
                        <w:numPr>
                          <w:ilvl w:val="0"/>
                          <w:numId w:val="34"/>
                        </w:numPr>
                        <w:spacing w:before="0" w:after="0" w:line="240" w:lineRule="auto"/>
                        <w:ind w:left="142" w:right="-74" w:hanging="284"/>
                        <w:rPr>
                          <w:rStyle w:val="Hyperlink"/>
                          <w:rFonts w:cstheme="minorBidi"/>
                          <w:sz w:val="18"/>
                          <w:szCs w:val="18"/>
                        </w:rPr>
                      </w:pPr>
                      <w:hyperlink r:id="rId33" w:history="1">
                        <w:r w:rsidR="00EA1E5C" w:rsidRPr="001D4068">
                          <w:rPr>
                            <w:rStyle w:val="Hyperlink"/>
                            <w:rFonts w:cstheme="minorBidi"/>
                            <w:sz w:val="18"/>
                            <w:szCs w:val="18"/>
                          </w:rPr>
                          <w:t>Partnerships for Recovery – Australia’s COVID-19 Development Response</w:t>
                        </w:r>
                      </w:hyperlink>
                    </w:p>
                    <w:p w14:paraId="71A77D7A" w14:textId="44DF310C" w:rsidR="000F420D" w:rsidRDefault="00651469" w:rsidP="00501072">
                      <w:pPr>
                        <w:pStyle w:val="ListParagraph"/>
                        <w:numPr>
                          <w:ilvl w:val="0"/>
                          <w:numId w:val="34"/>
                        </w:numPr>
                        <w:spacing w:before="0" w:after="0" w:line="240" w:lineRule="auto"/>
                        <w:ind w:left="142" w:right="-74" w:hanging="284"/>
                        <w:rPr>
                          <w:color w:val="44546A"/>
                          <w:sz w:val="18"/>
                          <w:szCs w:val="18"/>
                          <w:u w:color="0070C0"/>
                        </w:rPr>
                      </w:pPr>
                      <w:hyperlink r:id="rId34" w:history="1">
                        <w:r w:rsidR="000F420D" w:rsidRPr="005D52ED">
                          <w:rPr>
                            <w:rStyle w:val="Hyperlink"/>
                            <w:rFonts w:cstheme="minorBidi"/>
                            <w:sz w:val="18"/>
                            <w:szCs w:val="18"/>
                          </w:rPr>
                          <w:t>2017 Foreign Policy White Paper: advancing Australia’s interests</w:t>
                        </w:r>
                      </w:hyperlink>
                      <w:r w:rsidR="000F420D">
                        <w:rPr>
                          <w:color w:val="44546A"/>
                          <w:sz w:val="18"/>
                          <w:szCs w:val="18"/>
                          <w:u w:color="0070C0"/>
                        </w:rPr>
                        <w:t xml:space="preserve"> </w:t>
                      </w:r>
                    </w:p>
                    <w:p w14:paraId="418599EC" w14:textId="77777777" w:rsidR="000F420D" w:rsidRPr="00B427C7" w:rsidRDefault="00651469" w:rsidP="00501072">
                      <w:pPr>
                        <w:pStyle w:val="ListParagraph"/>
                        <w:numPr>
                          <w:ilvl w:val="0"/>
                          <w:numId w:val="34"/>
                        </w:numPr>
                        <w:spacing w:before="0" w:after="0" w:line="240" w:lineRule="auto"/>
                        <w:ind w:left="142" w:right="-74" w:hanging="284"/>
                        <w:rPr>
                          <w:color w:val="44546A"/>
                          <w:sz w:val="18"/>
                          <w:szCs w:val="18"/>
                          <w:u w:color="0070C0"/>
                        </w:rPr>
                      </w:pPr>
                      <w:hyperlink r:id="rId35" w:history="1">
                        <w:r w:rsidR="000F420D" w:rsidRPr="00B427C7">
                          <w:rPr>
                            <w:rStyle w:val="Hyperlink"/>
                            <w:rFonts w:cstheme="minorBidi"/>
                            <w:sz w:val="18"/>
                            <w:szCs w:val="18"/>
                          </w:rPr>
                          <w:t>Ministerial Statement on engaging the private sector in aid and development – Creating Shared Value through Partnership</w:t>
                        </w:r>
                      </w:hyperlink>
                      <w:r w:rsidR="000F420D" w:rsidRPr="00B427C7">
                        <w:rPr>
                          <w:color w:val="44546A"/>
                          <w:sz w:val="18"/>
                          <w:szCs w:val="18"/>
                          <w:u w:color="0070C0"/>
                        </w:rPr>
                        <w:t xml:space="preserve"> </w:t>
                      </w:r>
                    </w:p>
                    <w:p w14:paraId="3D6EBC17" w14:textId="77777777" w:rsidR="000F420D" w:rsidRPr="00B427C7" w:rsidRDefault="00651469" w:rsidP="00501072">
                      <w:pPr>
                        <w:pStyle w:val="ListParagraph"/>
                        <w:numPr>
                          <w:ilvl w:val="0"/>
                          <w:numId w:val="34"/>
                        </w:numPr>
                        <w:spacing w:before="0" w:after="0" w:line="240" w:lineRule="auto"/>
                        <w:ind w:left="142" w:right="-74" w:hanging="284"/>
                        <w:rPr>
                          <w:color w:val="44546A"/>
                          <w:sz w:val="18"/>
                          <w:szCs w:val="18"/>
                          <w:u w:color="0070C0"/>
                        </w:rPr>
                      </w:pPr>
                      <w:hyperlink r:id="rId36" w:history="1">
                        <w:r w:rsidR="000F420D" w:rsidRPr="00B427C7">
                          <w:rPr>
                            <w:rStyle w:val="Hyperlink"/>
                            <w:rFonts w:cstheme="minorBidi"/>
                            <w:sz w:val="18"/>
                            <w:szCs w:val="18"/>
                          </w:rPr>
                          <w:t>Strategy for Australia's aid investments in private sector development</w:t>
                        </w:r>
                      </w:hyperlink>
                      <w:r w:rsidR="000F420D" w:rsidRPr="00B427C7">
                        <w:rPr>
                          <w:color w:val="44546A"/>
                          <w:sz w:val="18"/>
                          <w:szCs w:val="18"/>
                          <w:u w:color="0070C0"/>
                        </w:rPr>
                        <w:t xml:space="preserve"> </w:t>
                      </w:r>
                    </w:p>
                    <w:p w14:paraId="5C329186" w14:textId="16EFEB41" w:rsidR="000F420D" w:rsidRPr="00165DB6" w:rsidRDefault="00651469" w:rsidP="00501072">
                      <w:pPr>
                        <w:pStyle w:val="ListParagraph"/>
                        <w:numPr>
                          <w:ilvl w:val="0"/>
                          <w:numId w:val="34"/>
                        </w:numPr>
                        <w:spacing w:before="0" w:after="0" w:line="240" w:lineRule="auto"/>
                        <w:ind w:left="142" w:right="-74" w:hanging="284"/>
                        <w:rPr>
                          <w:rStyle w:val="Hyperlink"/>
                          <w:rFonts w:cstheme="minorBidi"/>
                          <w:color w:val="44546A"/>
                          <w:sz w:val="18"/>
                          <w:szCs w:val="18"/>
                          <w:u w:val="none"/>
                        </w:rPr>
                      </w:pPr>
                      <w:hyperlink r:id="rId37" w:history="1">
                        <w:r w:rsidR="000F420D" w:rsidRPr="004B3B85">
                          <w:rPr>
                            <w:rStyle w:val="Hyperlink"/>
                            <w:rFonts w:cstheme="minorBidi"/>
                            <w:sz w:val="18"/>
                            <w:szCs w:val="18"/>
                          </w:rPr>
                          <w:t xml:space="preserve">Operational Framework for </w:t>
                        </w:r>
                        <w:r w:rsidR="004B3B85" w:rsidRPr="004B3B85">
                          <w:rPr>
                            <w:rStyle w:val="Hyperlink"/>
                            <w:rFonts w:cstheme="minorBidi"/>
                            <w:sz w:val="18"/>
                            <w:szCs w:val="18"/>
                          </w:rPr>
                          <w:t>private sector engagement in Australia’s aid program</w:t>
                        </w:r>
                      </w:hyperlink>
                      <w:r w:rsidR="004B3B85" w:rsidRPr="004B3B85">
                        <w:rPr>
                          <w:sz w:val="18"/>
                          <w:szCs w:val="18"/>
                          <w:u w:color="0070C0"/>
                        </w:rPr>
                        <w:t xml:space="preserve"> </w:t>
                      </w:r>
                    </w:p>
                    <w:p w14:paraId="22F6B340" w14:textId="07B1D39E" w:rsidR="00EA1E5C" w:rsidRPr="001D4068" w:rsidRDefault="00651469" w:rsidP="001D4068">
                      <w:pPr>
                        <w:pStyle w:val="ListParagraph"/>
                        <w:numPr>
                          <w:ilvl w:val="0"/>
                          <w:numId w:val="34"/>
                        </w:numPr>
                        <w:spacing w:before="0" w:after="0" w:line="240" w:lineRule="auto"/>
                        <w:ind w:left="142" w:right="-74" w:hanging="284"/>
                        <w:rPr>
                          <w:rStyle w:val="Hyperlink"/>
                          <w:rFonts w:cstheme="minorBidi"/>
                          <w:sz w:val="18"/>
                          <w:szCs w:val="18"/>
                        </w:rPr>
                      </w:pPr>
                      <w:hyperlink r:id="rId38" w:history="1">
                        <w:r w:rsidR="00EA1E5C" w:rsidRPr="001D4068">
                          <w:rPr>
                            <w:rStyle w:val="Hyperlink"/>
                            <w:rFonts w:cstheme="minorBidi"/>
                            <w:sz w:val="18"/>
                            <w:szCs w:val="18"/>
                          </w:rPr>
                          <w:t>Guidance note for engaging the private sector</w:t>
                        </w:r>
                      </w:hyperlink>
                    </w:p>
                    <w:p w14:paraId="1B05B359" w14:textId="0010E390" w:rsidR="000F420D" w:rsidRPr="00200551" w:rsidRDefault="00651469" w:rsidP="00501072">
                      <w:pPr>
                        <w:pStyle w:val="ListParagraph"/>
                        <w:widowControl w:val="0"/>
                        <w:numPr>
                          <w:ilvl w:val="0"/>
                          <w:numId w:val="34"/>
                        </w:numPr>
                        <w:spacing w:before="60" w:after="0" w:line="240" w:lineRule="auto"/>
                        <w:ind w:left="142" w:right="-74" w:hanging="284"/>
                        <w:rPr>
                          <w:rStyle w:val="Hyperlink"/>
                          <w:rFonts w:cstheme="minorBidi"/>
                          <w:iCs/>
                          <w:color w:val="44546A"/>
                          <w:sz w:val="21"/>
                          <w:szCs w:val="21"/>
                          <w:u w:val="none"/>
                        </w:rPr>
                      </w:pPr>
                      <w:hyperlink r:id="rId39" w:history="1">
                        <w:r w:rsidR="000F420D" w:rsidRPr="00200551">
                          <w:rPr>
                            <w:rStyle w:val="Hyperlink"/>
                            <w:rFonts w:cstheme="minorBidi"/>
                            <w:sz w:val="18"/>
                            <w:szCs w:val="18"/>
                          </w:rPr>
                          <w:t>Australian aid: promoting prosperity, reducing poverty, enhancing stability</w:t>
                        </w:r>
                      </w:hyperlink>
                    </w:p>
                  </w:txbxContent>
                </v:textbox>
                <w10:wrap type="square" anchorx="page"/>
              </v:shape>
            </w:pict>
          </mc:Fallback>
        </mc:AlternateContent>
      </w:r>
    </w:p>
    <w:sectPr w:rsidR="004A0669" w:rsidRPr="000F158D" w:rsidSect="00165DB6">
      <w:headerReference w:type="default" r:id="rId40"/>
      <w:footerReference w:type="default" r:id="rId41"/>
      <w:headerReference w:type="first" r:id="rId42"/>
      <w:footerReference w:type="first" r:id="rId43"/>
      <w:type w:val="continuous"/>
      <w:pgSz w:w="11906" w:h="16838" w:code="9"/>
      <w:pgMar w:top="1418" w:right="707" w:bottom="709" w:left="1134" w:header="1814" w:footer="567"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43D43" w14:textId="77777777" w:rsidR="005A67C9" w:rsidRDefault="005A67C9" w:rsidP="00EF4574">
      <w:pPr>
        <w:spacing w:before="0" w:after="0" w:line="240" w:lineRule="auto"/>
      </w:pPr>
      <w:r>
        <w:separator/>
      </w:r>
    </w:p>
  </w:endnote>
  <w:endnote w:type="continuationSeparator" w:id="0">
    <w:p w14:paraId="4F740CD0" w14:textId="77777777" w:rsidR="005A67C9" w:rsidRDefault="005A67C9"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Lucida Grande">
    <w:altName w:val="Microsoft Sans Serif"/>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737D" w14:textId="77777777" w:rsidR="00EC3366" w:rsidRPr="00556C33" w:rsidRDefault="00EC3366" w:rsidP="006040E2">
    <w:pPr>
      <w:pStyle w:val="Footer"/>
      <w:ind w:right="567"/>
      <w:rPr>
        <w:rFonts w:ascii="Calibri" w:hAnsi="Calibri"/>
        <w:b/>
      </w:rPr>
    </w:pPr>
    <w:r w:rsidRPr="00556C33">
      <w:rPr>
        <w:rFonts w:ascii="Calibri" w:hAnsi="Calibri"/>
        <w:b/>
        <w:noProof/>
        <w:lang w:eastAsia="en-AU"/>
      </w:rPr>
      <w:drawing>
        <wp:inline distT="0" distB="0" distL="0" distR="0" wp14:anchorId="74BF2FCE" wp14:editId="6599EA2B">
          <wp:extent cx="90000" cy="74520"/>
          <wp:effectExtent l="0" t="0" r="571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BEBA8EAE-BF5A-486C-A8C5-ECC9F3942E4B}">
                        <a14:imgProps xmlns:a14="http://schemas.microsoft.com/office/drawing/2010/main">
                          <a14:imgLayer r:embed="rId2">
                            <a14:imgEffect>
                              <a14:brightnessContrast bright="-60000"/>
                            </a14:imgEffect>
                          </a14:imgLayer>
                        </a14:imgProps>
                      </a:ex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556C33">
      <w:rPr>
        <w:rFonts w:ascii="Calibri" w:hAnsi="Calibri"/>
        <w:b/>
      </w:rPr>
      <w:t>@DFAT</w:t>
    </w:r>
  </w:p>
  <w:p w14:paraId="42925AFA" w14:textId="77777777" w:rsidR="00EC3366" w:rsidRPr="00556C33" w:rsidRDefault="009E0666" w:rsidP="009E0666">
    <w:pPr>
      <w:pStyle w:val="Footer"/>
      <w:ind w:right="426"/>
      <w:jc w:val="left"/>
      <w:rPr>
        <w:rFonts w:ascii="Calibri" w:hAnsi="Calibri"/>
        <w:b/>
      </w:rPr>
    </w:pPr>
    <w:r>
      <w:rPr>
        <w:rFonts w:ascii="Calibri" w:hAnsi="Calibri"/>
        <w:b/>
      </w:rPr>
      <w:t xml:space="preserve">ODA = Official Development Assistance            </w:t>
    </w:r>
    <w:r>
      <w:rPr>
        <w:rFonts w:ascii="Calibri" w:hAnsi="Calibri"/>
        <w:b/>
      </w:rPr>
      <w:softHyphen/>
    </w:r>
    <w:r>
      <w:rPr>
        <w:rFonts w:ascii="Calibri" w:hAnsi="Calibri"/>
        <w:b/>
        <w:vertAlign w:val="subscript"/>
      </w:rPr>
      <w:t xml:space="preserve"> </w:t>
    </w:r>
    <w:r>
      <w:rPr>
        <w:rFonts w:ascii="Calibri" w:hAnsi="Calibri"/>
      </w:rPr>
      <w:tab/>
    </w:r>
    <w:r w:rsidR="00BD0BCB" w:rsidRPr="0016690B">
      <w:rPr>
        <w:rFonts w:ascii="Calibri" w:hAnsi="Calibri"/>
      </w:rPr>
      <w:t xml:space="preserve">Page </w:t>
    </w:r>
    <w:r w:rsidR="0016690B">
      <w:rPr>
        <w:rFonts w:ascii="Calibri" w:hAnsi="Calibri"/>
      </w:rPr>
      <w:t>2</w:t>
    </w:r>
    <w:r w:rsidR="0016690B" w:rsidRPr="0016690B">
      <w:rPr>
        <w:rFonts w:ascii="Calibri" w:hAnsi="Calibri"/>
      </w:rPr>
      <w:t xml:space="preserve"> of 2</w:t>
    </w:r>
    <w:r w:rsidR="0016690B">
      <w:rPr>
        <w:rFonts w:ascii="Calibri" w:hAnsi="Calibri"/>
        <w:b/>
      </w:rPr>
      <w:t xml:space="preserve"> </w:t>
    </w:r>
    <w:r w:rsidR="0016690B">
      <w:rPr>
        <w:rFonts w:ascii="Calibri" w:hAnsi="Calibri"/>
        <w:b/>
      </w:rPr>
      <w:tab/>
    </w:r>
    <w:r w:rsidR="0016690B">
      <w:rPr>
        <w:rFonts w:ascii="Calibri" w:hAnsi="Calibri"/>
        <w:b/>
      </w:rPr>
      <w:tab/>
    </w:r>
    <w:r w:rsidR="0016690B">
      <w:rPr>
        <w:rFonts w:ascii="Calibri" w:hAnsi="Calibri"/>
        <w:b/>
      </w:rPr>
      <w:tab/>
    </w:r>
    <w:r>
      <w:rPr>
        <w:rFonts w:ascii="Calibri" w:hAnsi="Calibri"/>
        <w:b/>
      </w:rPr>
      <w:tab/>
      <w:t xml:space="preserve">      </w:t>
    </w:r>
    <w:r w:rsidR="00EC3366" w:rsidRPr="00556C33">
      <w:rPr>
        <w:rFonts w:ascii="Calibri" w:hAnsi="Calibri"/>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47DE" w14:textId="77777777" w:rsidR="00EC3366" w:rsidRPr="00556C33" w:rsidRDefault="00EC3366" w:rsidP="00837EF5">
    <w:pPr>
      <w:pStyle w:val="Footer"/>
      <w:tabs>
        <w:tab w:val="right" w:pos="9354"/>
      </w:tabs>
      <w:jc w:val="left"/>
      <w:rPr>
        <w:rFonts w:ascii="Calibri" w:hAnsi="Calibri"/>
        <w:b/>
      </w:rPr>
    </w:pPr>
    <w:r>
      <w:rPr>
        <w:rFonts w:ascii="Calibri" w:hAnsi="Calibri"/>
        <w:b/>
      </w:rPr>
      <w:tab/>
    </w:r>
    <w:r w:rsidRPr="00556C33">
      <w:rPr>
        <w:rFonts w:ascii="Calibri" w:hAnsi="Calibri"/>
        <w:b/>
        <w:noProof/>
        <w:lang w:eastAsia="en-AU"/>
      </w:rPr>
      <w:drawing>
        <wp:inline distT="0" distB="0" distL="0" distR="0" wp14:anchorId="62BC9DD3" wp14:editId="78FF80D0">
          <wp:extent cx="90000" cy="74520"/>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BEBA8EAE-BF5A-486C-A8C5-ECC9F3942E4B}">
                        <a14:imgProps xmlns:a14="http://schemas.microsoft.com/office/drawing/2010/main">
                          <a14:imgLayer r:embed="rId2">
                            <a14:imgEffect>
                              <a14:brightnessContrast bright="-60000"/>
                            </a14:imgEffect>
                          </a14:imgLayer>
                        </a14:imgProps>
                      </a:ex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556C33">
      <w:rPr>
        <w:rFonts w:ascii="Calibri" w:hAnsi="Calibri"/>
        <w:b/>
      </w:rPr>
      <w:t>@DFAT</w:t>
    </w:r>
  </w:p>
  <w:p w14:paraId="5E5F02F6" w14:textId="77777777" w:rsidR="00EC3366" w:rsidRPr="00556C33" w:rsidRDefault="009E0666" w:rsidP="00BD0BCB">
    <w:pPr>
      <w:pStyle w:val="Footer"/>
      <w:jc w:val="left"/>
      <w:rPr>
        <w:rFonts w:ascii="Calibri" w:hAnsi="Calibri"/>
        <w:b/>
      </w:rPr>
    </w:pPr>
    <w:r>
      <w:rPr>
        <w:rFonts w:ascii="Calibri" w:hAnsi="Calibri"/>
        <w:b/>
      </w:rPr>
      <w:t>ODA = Official Development Assistance</w:t>
    </w:r>
    <w:r>
      <w:rPr>
        <w:rFonts w:ascii="Calibri" w:hAnsi="Calibri"/>
        <w:b/>
      </w:rPr>
      <w:tab/>
    </w:r>
    <w:r w:rsidR="00BD0BCB">
      <w:rPr>
        <w:rFonts w:ascii="Calibri" w:hAnsi="Calibri"/>
      </w:rPr>
      <w:tab/>
    </w:r>
    <w:r w:rsidR="0016690B" w:rsidRPr="0016690B">
      <w:rPr>
        <w:rFonts w:ascii="Calibri" w:hAnsi="Calibri"/>
      </w:rPr>
      <w:t>Page 1 of 2</w:t>
    </w:r>
    <w:r w:rsidR="0016690B">
      <w:rPr>
        <w:rFonts w:ascii="Calibri" w:hAnsi="Calibri"/>
        <w:b/>
      </w:rPr>
      <w:t xml:space="preserve"> </w:t>
    </w:r>
    <w:r w:rsidR="0016690B">
      <w:rPr>
        <w:rFonts w:ascii="Calibri" w:hAnsi="Calibri"/>
        <w:b/>
      </w:rPr>
      <w:tab/>
    </w:r>
    <w:r w:rsidR="0016690B">
      <w:rPr>
        <w:rFonts w:ascii="Calibri" w:hAnsi="Calibri"/>
        <w:b/>
      </w:rPr>
      <w:tab/>
    </w:r>
    <w:r w:rsidR="0016690B">
      <w:rPr>
        <w:rFonts w:ascii="Calibri" w:hAnsi="Calibri"/>
        <w:b/>
      </w:rPr>
      <w:tab/>
    </w:r>
    <w:r w:rsidR="0016690B">
      <w:rPr>
        <w:rFonts w:ascii="Calibri" w:hAnsi="Calibri"/>
        <w:b/>
      </w:rPr>
      <w:tab/>
    </w:r>
    <w:r w:rsidR="00BD0BCB">
      <w:rPr>
        <w:rFonts w:ascii="Calibri" w:hAnsi="Calibri"/>
        <w:b/>
      </w:rPr>
      <w:t xml:space="preserve">  </w:t>
    </w:r>
    <w:r w:rsidR="00EC3366" w:rsidRPr="00556C33">
      <w:rPr>
        <w:rFonts w:ascii="Calibri" w:hAnsi="Calibri"/>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55893" w14:textId="77777777" w:rsidR="005A67C9" w:rsidRPr="008C5A0E" w:rsidRDefault="005A67C9" w:rsidP="001D663E">
      <w:pPr>
        <w:pStyle w:val="Footer"/>
        <w:pBdr>
          <w:top w:val="single" w:sz="4" w:space="1" w:color="495965" w:themeColor="text2"/>
        </w:pBdr>
      </w:pPr>
    </w:p>
  </w:footnote>
  <w:footnote w:type="continuationSeparator" w:id="0">
    <w:p w14:paraId="47F2CEFF" w14:textId="77777777" w:rsidR="005A67C9" w:rsidRDefault="005A67C9"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FDF1" w14:textId="77777777" w:rsidR="00EC3366" w:rsidRPr="00333501" w:rsidRDefault="00EC3366" w:rsidP="00333501">
    <w:pPr>
      <w:pStyle w:val="Header"/>
    </w:pPr>
    <w:r>
      <w:rPr>
        <w:noProof/>
        <w:lang w:eastAsia="en-AU"/>
      </w:rPr>
      <w:drawing>
        <wp:anchor distT="0" distB="0" distL="114300" distR="114300" simplePos="0" relativeHeight="251669504" behindDoc="1" locked="1" layoutInCell="1" allowOverlap="1" wp14:anchorId="03D2F810" wp14:editId="4F832214">
          <wp:simplePos x="0" y="0"/>
          <wp:positionH relativeFrom="page">
            <wp:align>center</wp:align>
          </wp:positionH>
          <wp:positionV relativeFrom="page">
            <wp:align>center</wp:align>
          </wp:positionV>
          <wp:extent cx="7559675" cy="1069340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32FB" w14:textId="77777777" w:rsidR="00EC3366" w:rsidRPr="00FA664C" w:rsidRDefault="00EC3366" w:rsidP="00535A0A">
    <w:pPr>
      <w:pStyle w:val="Title"/>
      <w:spacing w:line="240" w:lineRule="auto"/>
      <w:rPr>
        <w:sz w:val="42"/>
        <w:szCs w:val="42"/>
      </w:rPr>
    </w:pPr>
    <w:r>
      <w:rPr>
        <w:noProof/>
        <w:lang w:eastAsia="en-AU"/>
      </w:rPr>
      <w:drawing>
        <wp:anchor distT="0" distB="0" distL="114300" distR="114300" simplePos="0" relativeHeight="251671552" behindDoc="0" locked="0" layoutInCell="1" allowOverlap="1" wp14:anchorId="5CB96908" wp14:editId="4FFF49F2">
          <wp:simplePos x="0" y="0"/>
          <wp:positionH relativeFrom="page">
            <wp:posOffset>665006</wp:posOffset>
          </wp:positionH>
          <wp:positionV relativeFrom="page">
            <wp:posOffset>559498</wp:posOffset>
          </wp:positionV>
          <wp:extent cx="3168000" cy="554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A1466D">
      <w:t xml:space="preserve"> </w:t>
    </w:r>
    <w:r w:rsidR="00A1466D" w:rsidRPr="00FA664C">
      <w:rPr>
        <w:sz w:val="42"/>
        <w:szCs w:val="42"/>
      </w:rPr>
      <w:t xml:space="preserve">Private </w:t>
    </w:r>
    <w:r w:rsidR="004A0669" w:rsidRPr="00FA664C">
      <w:rPr>
        <w:sz w:val="42"/>
        <w:szCs w:val="42"/>
      </w:rPr>
      <w:t>SECTOR</w:t>
    </w:r>
    <w:r w:rsidR="00E13BE3" w:rsidRPr="00FA664C">
      <w:rPr>
        <w:sz w:val="42"/>
        <w:szCs w:val="42"/>
      </w:rPr>
      <w:t xml:space="preserve"> Development</w:t>
    </w:r>
    <w:r w:rsidR="004A0669" w:rsidRPr="00FA664C">
      <w:rPr>
        <w:sz w:val="42"/>
        <w:szCs w:val="42"/>
      </w:rPr>
      <w:t xml:space="preserve"> </w:t>
    </w:r>
  </w:p>
  <w:p w14:paraId="144111AE" w14:textId="6BFBC95A" w:rsidR="00EC3366" w:rsidRPr="0004280B" w:rsidRDefault="00FA664C" w:rsidP="0004280B">
    <w:pPr>
      <w:pStyle w:val="Subtitle"/>
      <w:spacing w:line="240" w:lineRule="auto"/>
      <w:jc w:val="left"/>
      <w:rPr>
        <w:b w:val="0"/>
        <w:sz w:val="18"/>
        <w:szCs w:val="18"/>
      </w:rPr>
    </w:pPr>
    <w:r w:rsidRPr="00465434">
      <w:rPr>
        <w:b w:val="0"/>
        <w:sz w:val="18"/>
        <w:szCs w:val="18"/>
      </w:rPr>
      <w:t xml:space="preserve">                                                                                                                         </w:t>
    </w:r>
    <w:r w:rsidR="0022664B" w:rsidRPr="00465434">
      <w:rPr>
        <w:b w:val="0"/>
        <w:sz w:val="18"/>
        <w:szCs w:val="18"/>
      </w:rPr>
      <w:t xml:space="preserve">Development </w:t>
    </w:r>
    <w:r w:rsidR="0038447E">
      <w:rPr>
        <w:b w:val="0"/>
        <w:sz w:val="18"/>
        <w:szCs w:val="18"/>
      </w:rPr>
      <w:t>Cooperation Factsheet</w:t>
    </w:r>
    <w:r w:rsidR="00465434" w:rsidRPr="00465434">
      <w:rPr>
        <w:b w:val="0"/>
        <w:sz w:val="18"/>
        <w:szCs w:val="18"/>
      </w:rPr>
      <w:t>:</w:t>
    </w:r>
    <w:r w:rsidR="00EC3366" w:rsidRPr="00465434">
      <w:rPr>
        <w:b w:val="0"/>
        <w:sz w:val="18"/>
        <w:szCs w:val="18"/>
      </w:rPr>
      <w:t xml:space="preserve"> </w:t>
    </w:r>
    <w:r w:rsidR="00AF612F">
      <w:rPr>
        <w:b w:val="0"/>
        <w:sz w:val="18"/>
        <w:szCs w:val="18"/>
      </w:rPr>
      <w:t xml:space="preserve">May </w:t>
    </w:r>
    <w:r w:rsidR="0004280B">
      <w:rPr>
        <w:b w:val="0"/>
        <w:sz w:val="18"/>
        <w:szCs w:val="18"/>
      </w:rPr>
      <w:t>202</w:t>
    </w:r>
    <w:r w:rsidR="00EC3366">
      <w:rPr>
        <w:noProof/>
        <w:lang w:eastAsia="en-AU"/>
      </w:rPr>
      <w:drawing>
        <wp:anchor distT="0" distB="0" distL="114300" distR="114300" simplePos="0" relativeHeight="251670528" behindDoc="1" locked="1" layoutInCell="1" allowOverlap="1" wp14:anchorId="0FC4B44A" wp14:editId="78514B9D">
          <wp:simplePos x="0" y="0"/>
          <wp:positionH relativeFrom="page">
            <wp:align>center</wp:align>
          </wp:positionH>
          <wp:positionV relativeFrom="page">
            <wp:align>center</wp:align>
          </wp:positionV>
          <wp:extent cx="7559675" cy="1069340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r w:rsidR="0038447E">
      <w:rPr>
        <w:b w:val="0"/>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A345F"/>
    <w:multiLevelType w:val="hybridMultilevel"/>
    <w:tmpl w:val="1ED64C7E"/>
    <w:lvl w:ilvl="0" w:tplc="D0EA2DCA">
      <w:start w:val="1"/>
      <w:numFmt w:val="bullet"/>
      <w:lvlText w:val=""/>
      <w:lvlJc w:val="left"/>
      <w:pPr>
        <w:ind w:left="720" w:hanging="360"/>
      </w:pPr>
      <w:rPr>
        <w:rFonts w:ascii="Webdings" w:hAnsi="Webdings" w:hint="default"/>
        <w:color w:val="495965" w:themeColor="text2"/>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684B12"/>
    <w:multiLevelType w:val="hybridMultilevel"/>
    <w:tmpl w:val="0C5ED922"/>
    <w:lvl w:ilvl="0" w:tplc="60DE9FBA">
      <w:start w:val="1"/>
      <w:numFmt w:val="bullet"/>
      <w:lvlText w:val=""/>
      <w:lvlJc w:val="left"/>
      <w:pPr>
        <w:ind w:left="720" w:hanging="360"/>
      </w:pPr>
      <w:rPr>
        <w:rFonts w:ascii="Webdings" w:hAnsi="Webdings"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6904B9"/>
    <w:multiLevelType w:val="hybridMultilevel"/>
    <w:tmpl w:val="FC70F558"/>
    <w:lvl w:ilvl="0" w:tplc="0C090001">
      <w:start w:val="1"/>
      <w:numFmt w:val="bullet"/>
      <w:lvlText w:val=""/>
      <w:lvlJc w:val="left"/>
      <w:pPr>
        <w:ind w:left="720" w:hanging="360"/>
      </w:pPr>
      <w:rPr>
        <w:rFonts w:ascii="Symbol" w:hAnsi="Symbol" w:hint="default"/>
      </w:rPr>
    </w:lvl>
    <w:lvl w:ilvl="1" w:tplc="C0D2DC32">
      <w:numFmt w:val="bullet"/>
      <w:lvlText w:val="-"/>
      <w:lvlJc w:val="left"/>
      <w:pPr>
        <w:ind w:left="1440" w:hanging="360"/>
      </w:pPr>
      <w:rPr>
        <w:rFonts w:ascii="Calibri Light" w:eastAsiaTheme="minorHAnsi" w:hAnsi="Calibri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CAD35AE"/>
    <w:multiLevelType w:val="hybridMultilevel"/>
    <w:tmpl w:val="0432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E1232C"/>
    <w:multiLevelType w:val="hybridMultilevel"/>
    <w:tmpl w:val="253E4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65A7A"/>
    <w:multiLevelType w:val="hybridMultilevel"/>
    <w:tmpl w:val="7D64E716"/>
    <w:lvl w:ilvl="0" w:tplc="FB801986">
      <w:start w:val="1"/>
      <w:numFmt w:val="bullet"/>
      <w:lvlText w:val="•"/>
      <w:lvlJc w:val="left"/>
      <w:pPr>
        <w:tabs>
          <w:tab w:val="num" w:pos="720"/>
        </w:tabs>
        <w:ind w:left="720" w:hanging="360"/>
      </w:pPr>
      <w:rPr>
        <w:rFonts w:ascii="Arial" w:hAnsi="Arial" w:hint="default"/>
      </w:rPr>
    </w:lvl>
    <w:lvl w:ilvl="1" w:tplc="6BE47F86" w:tentative="1">
      <w:start w:val="1"/>
      <w:numFmt w:val="bullet"/>
      <w:lvlText w:val="•"/>
      <w:lvlJc w:val="left"/>
      <w:pPr>
        <w:tabs>
          <w:tab w:val="num" w:pos="1440"/>
        </w:tabs>
        <w:ind w:left="1440" w:hanging="360"/>
      </w:pPr>
      <w:rPr>
        <w:rFonts w:ascii="Arial" w:hAnsi="Arial" w:hint="default"/>
      </w:rPr>
    </w:lvl>
    <w:lvl w:ilvl="2" w:tplc="B204CE02" w:tentative="1">
      <w:start w:val="1"/>
      <w:numFmt w:val="bullet"/>
      <w:lvlText w:val="•"/>
      <w:lvlJc w:val="left"/>
      <w:pPr>
        <w:tabs>
          <w:tab w:val="num" w:pos="2160"/>
        </w:tabs>
        <w:ind w:left="2160" w:hanging="360"/>
      </w:pPr>
      <w:rPr>
        <w:rFonts w:ascii="Arial" w:hAnsi="Arial" w:hint="default"/>
      </w:rPr>
    </w:lvl>
    <w:lvl w:ilvl="3" w:tplc="D5188A92" w:tentative="1">
      <w:start w:val="1"/>
      <w:numFmt w:val="bullet"/>
      <w:lvlText w:val="•"/>
      <w:lvlJc w:val="left"/>
      <w:pPr>
        <w:tabs>
          <w:tab w:val="num" w:pos="2880"/>
        </w:tabs>
        <w:ind w:left="2880" w:hanging="360"/>
      </w:pPr>
      <w:rPr>
        <w:rFonts w:ascii="Arial" w:hAnsi="Arial" w:hint="default"/>
      </w:rPr>
    </w:lvl>
    <w:lvl w:ilvl="4" w:tplc="A3C2D9EE" w:tentative="1">
      <w:start w:val="1"/>
      <w:numFmt w:val="bullet"/>
      <w:lvlText w:val="•"/>
      <w:lvlJc w:val="left"/>
      <w:pPr>
        <w:tabs>
          <w:tab w:val="num" w:pos="3600"/>
        </w:tabs>
        <w:ind w:left="3600" w:hanging="360"/>
      </w:pPr>
      <w:rPr>
        <w:rFonts w:ascii="Arial" w:hAnsi="Arial" w:hint="default"/>
      </w:rPr>
    </w:lvl>
    <w:lvl w:ilvl="5" w:tplc="0F7EA41C" w:tentative="1">
      <w:start w:val="1"/>
      <w:numFmt w:val="bullet"/>
      <w:lvlText w:val="•"/>
      <w:lvlJc w:val="left"/>
      <w:pPr>
        <w:tabs>
          <w:tab w:val="num" w:pos="4320"/>
        </w:tabs>
        <w:ind w:left="4320" w:hanging="360"/>
      </w:pPr>
      <w:rPr>
        <w:rFonts w:ascii="Arial" w:hAnsi="Arial" w:hint="default"/>
      </w:rPr>
    </w:lvl>
    <w:lvl w:ilvl="6" w:tplc="51AE146A" w:tentative="1">
      <w:start w:val="1"/>
      <w:numFmt w:val="bullet"/>
      <w:lvlText w:val="•"/>
      <w:lvlJc w:val="left"/>
      <w:pPr>
        <w:tabs>
          <w:tab w:val="num" w:pos="5040"/>
        </w:tabs>
        <w:ind w:left="5040" w:hanging="360"/>
      </w:pPr>
      <w:rPr>
        <w:rFonts w:ascii="Arial" w:hAnsi="Arial" w:hint="default"/>
      </w:rPr>
    </w:lvl>
    <w:lvl w:ilvl="7" w:tplc="AC666AB8" w:tentative="1">
      <w:start w:val="1"/>
      <w:numFmt w:val="bullet"/>
      <w:lvlText w:val="•"/>
      <w:lvlJc w:val="left"/>
      <w:pPr>
        <w:tabs>
          <w:tab w:val="num" w:pos="5760"/>
        </w:tabs>
        <w:ind w:left="5760" w:hanging="360"/>
      </w:pPr>
      <w:rPr>
        <w:rFonts w:ascii="Arial" w:hAnsi="Arial" w:hint="default"/>
      </w:rPr>
    </w:lvl>
    <w:lvl w:ilvl="8" w:tplc="B56C73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B75F13"/>
    <w:multiLevelType w:val="hybridMultilevel"/>
    <w:tmpl w:val="2D300842"/>
    <w:lvl w:ilvl="0" w:tplc="92288272">
      <w:start w:val="1"/>
      <w:numFmt w:val="bullet"/>
      <w:lvlText w:val=""/>
      <w:lvlJc w:val="left"/>
      <w:pPr>
        <w:ind w:left="720" w:hanging="360"/>
      </w:pPr>
      <w:rPr>
        <w:rFonts w:ascii="Webdings" w:hAnsi="Web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3364B"/>
    <w:multiLevelType w:val="hybridMultilevel"/>
    <w:tmpl w:val="143817F8"/>
    <w:lvl w:ilvl="0" w:tplc="6A9E9B12">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161DD8"/>
    <w:multiLevelType w:val="hybridMultilevel"/>
    <w:tmpl w:val="42A64FAC"/>
    <w:lvl w:ilvl="0" w:tplc="F70E886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3BA015F"/>
    <w:multiLevelType w:val="hybridMultilevel"/>
    <w:tmpl w:val="7482181C"/>
    <w:lvl w:ilvl="0" w:tplc="C88881D6">
      <w:start w:val="15"/>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AB4593"/>
    <w:multiLevelType w:val="hybridMultilevel"/>
    <w:tmpl w:val="BE320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5A6BD8"/>
    <w:multiLevelType w:val="hybridMultilevel"/>
    <w:tmpl w:val="14CC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43428892"/>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72336FCC"/>
    <w:multiLevelType w:val="hybridMultilevel"/>
    <w:tmpl w:val="71728F9E"/>
    <w:lvl w:ilvl="0" w:tplc="2976F448">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C20357B"/>
    <w:multiLevelType w:val="hybridMultilevel"/>
    <w:tmpl w:val="F6B62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0"/>
  </w:num>
  <w:num w:numId="23">
    <w:abstractNumId w:val="24"/>
  </w:num>
  <w:num w:numId="24">
    <w:abstractNumId w:val="22"/>
  </w:num>
  <w:num w:numId="25">
    <w:abstractNumId w:val="13"/>
  </w:num>
  <w:num w:numId="26">
    <w:abstractNumId w:val="19"/>
  </w:num>
  <w:num w:numId="27">
    <w:abstractNumId w:val="10"/>
  </w:num>
  <w:num w:numId="28">
    <w:abstractNumId w:val="24"/>
  </w:num>
  <w:num w:numId="29">
    <w:abstractNumId w:val="21"/>
  </w:num>
  <w:num w:numId="30">
    <w:abstractNumId w:val="20"/>
  </w:num>
  <w:num w:numId="31">
    <w:abstractNumId w:val="17"/>
  </w:num>
  <w:num w:numId="32">
    <w:abstractNumId w:val="16"/>
  </w:num>
  <w:num w:numId="33">
    <w:abstractNumId w:val="14"/>
  </w:num>
  <w:num w:numId="34">
    <w:abstractNumId w:val="28"/>
  </w:num>
  <w:num w:numId="35">
    <w:abstractNumId w:val="1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7B8"/>
    <w:rsid w:val="00013865"/>
    <w:rsid w:val="00014459"/>
    <w:rsid w:val="00016DF8"/>
    <w:rsid w:val="0002080A"/>
    <w:rsid w:val="00024FDA"/>
    <w:rsid w:val="0002782F"/>
    <w:rsid w:val="0004280B"/>
    <w:rsid w:val="00054E4D"/>
    <w:rsid w:val="00056C03"/>
    <w:rsid w:val="00060073"/>
    <w:rsid w:val="00061A0A"/>
    <w:rsid w:val="00064F55"/>
    <w:rsid w:val="00070906"/>
    <w:rsid w:val="00072FB6"/>
    <w:rsid w:val="00092319"/>
    <w:rsid w:val="000928AE"/>
    <w:rsid w:val="00092E47"/>
    <w:rsid w:val="00095932"/>
    <w:rsid w:val="00097C91"/>
    <w:rsid w:val="000A30E9"/>
    <w:rsid w:val="000A3B9E"/>
    <w:rsid w:val="000B21C8"/>
    <w:rsid w:val="000D52A9"/>
    <w:rsid w:val="000E193A"/>
    <w:rsid w:val="000E256A"/>
    <w:rsid w:val="000E2A74"/>
    <w:rsid w:val="000F158D"/>
    <w:rsid w:val="000F2AC1"/>
    <w:rsid w:val="000F420D"/>
    <w:rsid w:val="000F4F76"/>
    <w:rsid w:val="000F6C5B"/>
    <w:rsid w:val="00111A53"/>
    <w:rsid w:val="00112C91"/>
    <w:rsid w:val="00113903"/>
    <w:rsid w:val="001233C6"/>
    <w:rsid w:val="00123D18"/>
    <w:rsid w:val="0013469D"/>
    <w:rsid w:val="00151323"/>
    <w:rsid w:val="001541EA"/>
    <w:rsid w:val="00156500"/>
    <w:rsid w:val="00165DB6"/>
    <w:rsid w:val="0016690B"/>
    <w:rsid w:val="00193840"/>
    <w:rsid w:val="00195A62"/>
    <w:rsid w:val="001B5EAB"/>
    <w:rsid w:val="001C1C33"/>
    <w:rsid w:val="001D4068"/>
    <w:rsid w:val="001D663E"/>
    <w:rsid w:val="001E0F85"/>
    <w:rsid w:val="001E190B"/>
    <w:rsid w:val="001E1DC0"/>
    <w:rsid w:val="00200551"/>
    <w:rsid w:val="00203990"/>
    <w:rsid w:val="00211288"/>
    <w:rsid w:val="00211E0B"/>
    <w:rsid w:val="0022664B"/>
    <w:rsid w:val="00230934"/>
    <w:rsid w:val="00243B78"/>
    <w:rsid w:val="00245879"/>
    <w:rsid w:val="0025052F"/>
    <w:rsid w:val="00252B44"/>
    <w:rsid w:val="00252D53"/>
    <w:rsid w:val="00256797"/>
    <w:rsid w:val="002576A4"/>
    <w:rsid w:val="0025799E"/>
    <w:rsid w:val="00264FEE"/>
    <w:rsid w:val="00265392"/>
    <w:rsid w:val="00270C09"/>
    <w:rsid w:val="0028602A"/>
    <w:rsid w:val="002A3E12"/>
    <w:rsid w:val="002A4041"/>
    <w:rsid w:val="002A7479"/>
    <w:rsid w:val="002A7F0B"/>
    <w:rsid w:val="002B5E10"/>
    <w:rsid w:val="002D5AA8"/>
    <w:rsid w:val="002D5D0C"/>
    <w:rsid w:val="002E1EBA"/>
    <w:rsid w:val="002E4C45"/>
    <w:rsid w:val="002F03E7"/>
    <w:rsid w:val="002F346C"/>
    <w:rsid w:val="002F7548"/>
    <w:rsid w:val="003002C0"/>
    <w:rsid w:val="0030034B"/>
    <w:rsid w:val="00301144"/>
    <w:rsid w:val="0031076E"/>
    <w:rsid w:val="00311158"/>
    <w:rsid w:val="0031218E"/>
    <w:rsid w:val="003148B7"/>
    <w:rsid w:val="003158C3"/>
    <w:rsid w:val="00320E83"/>
    <w:rsid w:val="003274CD"/>
    <w:rsid w:val="00333224"/>
    <w:rsid w:val="00333501"/>
    <w:rsid w:val="00340517"/>
    <w:rsid w:val="00343486"/>
    <w:rsid w:val="003457C4"/>
    <w:rsid w:val="0035119D"/>
    <w:rsid w:val="003536FE"/>
    <w:rsid w:val="00356586"/>
    <w:rsid w:val="003619E2"/>
    <w:rsid w:val="0038447E"/>
    <w:rsid w:val="0038608B"/>
    <w:rsid w:val="00394088"/>
    <w:rsid w:val="00395AEC"/>
    <w:rsid w:val="00397DCA"/>
    <w:rsid w:val="003A2EC3"/>
    <w:rsid w:val="003B0E3C"/>
    <w:rsid w:val="003B276B"/>
    <w:rsid w:val="003B4F12"/>
    <w:rsid w:val="003B781B"/>
    <w:rsid w:val="003C07CD"/>
    <w:rsid w:val="003C2449"/>
    <w:rsid w:val="003C6A67"/>
    <w:rsid w:val="003E5B5F"/>
    <w:rsid w:val="004120EC"/>
    <w:rsid w:val="00423F31"/>
    <w:rsid w:val="004315EA"/>
    <w:rsid w:val="00431899"/>
    <w:rsid w:val="00464510"/>
    <w:rsid w:val="00464A53"/>
    <w:rsid w:val="00465434"/>
    <w:rsid w:val="0046706B"/>
    <w:rsid w:val="00470F09"/>
    <w:rsid w:val="00486804"/>
    <w:rsid w:val="004A0669"/>
    <w:rsid w:val="004A4789"/>
    <w:rsid w:val="004A4D4C"/>
    <w:rsid w:val="004A560D"/>
    <w:rsid w:val="004A5820"/>
    <w:rsid w:val="004B3775"/>
    <w:rsid w:val="004B3B85"/>
    <w:rsid w:val="004C26C7"/>
    <w:rsid w:val="004C31A2"/>
    <w:rsid w:val="004C76FD"/>
    <w:rsid w:val="004D0BA0"/>
    <w:rsid w:val="004D110F"/>
    <w:rsid w:val="004D2F9C"/>
    <w:rsid w:val="004E058F"/>
    <w:rsid w:val="004E2363"/>
    <w:rsid w:val="004E3B87"/>
    <w:rsid w:val="004E6545"/>
    <w:rsid w:val="004E72C3"/>
    <w:rsid w:val="004E7717"/>
    <w:rsid w:val="004F3C0C"/>
    <w:rsid w:val="004F7AA4"/>
    <w:rsid w:val="00501072"/>
    <w:rsid w:val="00510921"/>
    <w:rsid w:val="00510AD3"/>
    <w:rsid w:val="00513348"/>
    <w:rsid w:val="00523839"/>
    <w:rsid w:val="00525A19"/>
    <w:rsid w:val="0053098A"/>
    <w:rsid w:val="00531A63"/>
    <w:rsid w:val="00532271"/>
    <w:rsid w:val="00533B5D"/>
    <w:rsid w:val="005346E3"/>
    <w:rsid w:val="0053576F"/>
    <w:rsid w:val="00535A0A"/>
    <w:rsid w:val="00535B2A"/>
    <w:rsid w:val="00544706"/>
    <w:rsid w:val="00547312"/>
    <w:rsid w:val="00556C33"/>
    <w:rsid w:val="005758D6"/>
    <w:rsid w:val="0057726A"/>
    <w:rsid w:val="0058255E"/>
    <w:rsid w:val="005876B5"/>
    <w:rsid w:val="005940B8"/>
    <w:rsid w:val="005A67C9"/>
    <w:rsid w:val="005B1D41"/>
    <w:rsid w:val="005C1321"/>
    <w:rsid w:val="005C4C84"/>
    <w:rsid w:val="005D187A"/>
    <w:rsid w:val="005D2963"/>
    <w:rsid w:val="005D52ED"/>
    <w:rsid w:val="005E5C81"/>
    <w:rsid w:val="00603A36"/>
    <w:rsid w:val="006040E2"/>
    <w:rsid w:val="006131AE"/>
    <w:rsid w:val="00621D52"/>
    <w:rsid w:val="006235AF"/>
    <w:rsid w:val="00623BA1"/>
    <w:rsid w:val="006247B4"/>
    <w:rsid w:val="006346BC"/>
    <w:rsid w:val="006366AE"/>
    <w:rsid w:val="00637F39"/>
    <w:rsid w:val="00651469"/>
    <w:rsid w:val="00652148"/>
    <w:rsid w:val="00660FA7"/>
    <w:rsid w:val="00665375"/>
    <w:rsid w:val="00666026"/>
    <w:rsid w:val="0066652A"/>
    <w:rsid w:val="006670EB"/>
    <w:rsid w:val="00670FE4"/>
    <w:rsid w:val="006726EC"/>
    <w:rsid w:val="00672920"/>
    <w:rsid w:val="00680460"/>
    <w:rsid w:val="00680522"/>
    <w:rsid w:val="00682167"/>
    <w:rsid w:val="00693617"/>
    <w:rsid w:val="006A3D63"/>
    <w:rsid w:val="006C2F79"/>
    <w:rsid w:val="006C42AF"/>
    <w:rsid w:val="006C7026"/>
    <w:rsid w:val="006D02FA"/>
    <w:rsid w:val="006D4210"/>
    <w:rsid w:val="006F0026"/>
    <w:rsid w:val="006F20EE"/>
    <w:rsid w:val="006F4D97"/>
    <w:rsid w:val="007000EB"/>
    <w:rsid w:val="00711D8E"/>
    <w:rsid w:val="00712672"/>
    <w:rsid w:val="007273B3"/>
    <w:rsid w:val="00734E3F"/>
    <w:rsid w:val="007351CD"/>
    <w:rsid w:val="007364F4"/>
    <w:rsid w:val="00736985"/>
    <w:rsid w:val="007401D9"/>
    <w:rsid w:val="00745DF5"/>
    <w:rsid w:val="0076250F"/>
    <w:rsid w:val="00767BF6"/>
    <w:rsid w:val="00781343"/>
    <w:rsid w:val="00785219"/>
    <w:rsid w:val="0079060A"/>
    <w:rsid w:val="00791685"/>
    <w:rsid w:val="00791BFA"/>
    <w:rsid w:val="00792A03"/>
    <w:rsid w:val="00794452"/>
    <w:rsid w:val="007B4395"/>
    <w:rsid w:val="007B6200"/>
    <w:rsid w:val="007D749D"/>
    <w:rsid w:val="007E4928"/>
    <w:rsid w:val="007F3395"/>
    <w:rsid w:val="007F788F"/>
    <w:rsid w:val="00801B9F"/>
    <w:rsid w:val="00821B23"/>
    <w:rsid w:val="00823421"/>
    <w:rsid w:val="00826692"/>
    <w:rsid w:val="00831EE1"/>
    <w:rsid w:val="00835F2B"/>
    <w:rsid w:val="00837EF5"/>
    <w:rsid w:val="0084033F"/>
    <w:rsid w:val="00843294"/>
    <w:rsid w:val="00875766"/>
    <w:rsid w:val="00875A29"/>
    <w:rsid w:val="00886FEF"/>
    <w:rsid w:val="008A37EA"/>
    <w:rsid w:val="008B0288"/>
    <w:rsid w:val="008B4FAC"/>
    <w:rsid w:val="008C5A0E"/>
    <w:rsid w:val="008E3381"/>
    <w:rsid w:val="008E5DB7"/>
    <w:rsid w:val="008E7F4F"/>
    <w:rsid w:val="008F5939"/>
    <w:rsid w:val="00902571"/>
    <w:rsid w:val="00910608"/>
    <w:rsid w:val="00911FCE"/>
    <w:rsid w:val="00914C16"/>
    <w:rsid w:val="00922F4E"/>
    <w:rsid w:val="00940AC0"/>
    <w:rsid w:val="0094217A"/>
    <w:rsid w:val="009458F1"/>
    <w:rsid w:val="009534EE"/>
    <w:rsid w:val="00957B9E"/>
    <w:rsid w:val="0096051D"/>
    <w:rsid w:val="009658BC"/>
    <w:rsid w:val="00982587"/>
    <w:rsid w:val="00997CA7"/>
    <w:rsid w:val="009A013F"/>
    <w:rsid w:val="009A14C3"/>
    <w:rsid w:val="009A79EB"/>
    <w:rsid w:val="009B0351"/>
    <w:rsid w:val="009B4D3B"/>
    <w:rsid w:val="009B53FE"/>
    <w:rsid w:val="009B616C"/>
    <w:rsid w:val="009C10F2"/>
    <w:rsid w:val="009C4C93"/>
    <w:rsid w:val="009C6CD4"/>
    <w:rsid w:val="009D7407"/>
    <w:rsid w:val="009E0666"/>
    <w:rsid w:val="009E0866"/>
    <w:rsid w:val="009E1424"/>
    <w:rsid w:val="009E6B45"/>
    <w:rsid w:val="009F133D"/>
    <w:rsid w:val="009F4056"/>
    <w:rsid w:val="009F6423"/>
    <w:rsid w:val="00A02EB6"/>
    <w:rsid w:val="00A0648C"/>
    <w:rsid w:val="00A06F88"/>
    <w:rsid w:val="00A1466D"/>
    <w:rsid w:val="00A178A7"/>
    <w:rsid w:val="00A214CF"/>
    <w:rsid w:val="00A24A62"/>
    <w:rsid w:val="00A31C9F"/>
    <w:rsid w:val="00A32795"/>
    <w:rsid w:val="00A4144F"/>
    <w:rsid w:val="00A46CF4"/>
    <w:rsid w:val="00A52BD1"/>
    <w:rsid w:val="00A550B3"/>
    <w:rsid w:val="00A62C2E"/>
    <w:rsid w:val="00A67A6A"/>
    <w:rsid w:val="00A72786"/>
    <w:rsid w:val="00A7436B"/>
    <w:rsid w:val="00A76E5A"/>
    <w:rsid w:val="00A90846"/>
    <w:rsid w:val="00AA6F2B"/>
    <w:rsid w:val="00AC164A"/>
    <w:rsid w:val="00AC47BB"/>
    <w:rsid w:val="00AD3415"/>
    <w:rsid w:val="00AD60C0"/>
    <w:rsid w:val="00AD6E3B"/>
    <w:rsid w:val="00AE48A8"/>
    <w:rsid w:val="00AF2050"/>
    <w:rsid w:val="00AF612F"/>
    <w:rsid w:val="00B03CA8"/>
    <w:rsid w:val="00B20569"/>
    <w:rsid w:val="00B30779"/>
    <w:rsid w:val="00B31CAA"/>
    <w:rsid w:val="00B42519"/>
    <w:rsid w:val="00B427C7"/>
    <w:rsid w:val="00B45B60"/>
    <w:rsid w:val="00B52F1B"/>
    <w:rsid w:val="00B55E19"/>
    <w:rsid w:val="00B57571"/>
    <w:rsid w:val="00B60AD4"/>
    <w:rsid w:val="00B61D4A"/>
    <w:rsid w:val="00B6478F"/>
    <w:rsid w:val="00B65F1A"/>
    <w:rsid w:val="00B677A2"/>
    <w:rsid w:val="00B71B3C"/>
    <w:rsid w:val="00B7616C"/>
    <w:rsid w:val="00B95E2B"/>
    <w:rsid w:val="00B9789F"/>
    <w:rsid w:val="00B978AB"/>
    <w:rsid w:val="00BA4B6D"/>
    <w:rsid w:val="00BA614B"/>
    <w:rsid w:val="00BB26C5"/>
    <w:rsid w:val="00BC5C37"/>
    <w:rsid w:val="00BD0BCB"/>
    <w:rsid w:val="00BE272B"/>
    <w:rsid w:val="00BE3191"/>
    <w:rsid w:val="00BE6B86"/>
    <w:rsid w:val="00BE7CDF"/>
    <w:rsid w:val="00BF0BED"/>
    <w:rsid w:val="00BF127F"/>
    <w:rsid w:val="00BF4DE6"/>
    <w:rsid w:val="00C15D8D"/>
    <w:rsid w:val="00C22B6F"/>
    <w:rsid w:val="00C24A44"/>
    <w:rsid w:val="00C274BA"/>
    <w:rsid w:val="00C31F5E"/>
    <w:rsid w:val="00C353B9"/>
    <w:rsid w:val="00C35B52"/>
    <w:rsid w:val="00C42CDE"/>
    <w:rsid w:val="00C505FB"/>
    <w:rsid w:val="00C5182A"/>
    <w:rsid w:val="00C52815"/>
    <w:rsid w:val="00C62FC9"/>
    <w:rsid w:val="00C63781"/>
    <w:rsid w:val="00C63E74"/>
    <w:rsid w:val="00C63EE9"/>
    <w:rsid w:val="00C7569A"/>
    <w:rsid w:val="00C75CD3"/>
    <w:rsid w:val="00C81AA1"/>
    <w:rsid w:val="00C93535"/>
    <w:rsid w:val="00C95624"/>
    <w:rsid w:val="00C966E0"/>
    <w:rsid w:val="00CA37B1"/>
    <w:rsid w:val="00CB1959"/>
    <w:rsid w:val="00CB671A"/>
    <w:rsid w:val="00CC65CB"/>
    <w:rsid w:val="00CD0E4B"/>
    <w:rsid w:val="00CD6B2C"/>
    <w:rsid w:val="00CE1415"/>
    <w:rsid w:val="00CE2C37"/>
    <w:rsid w:val="00CF0858"/>
    <w:rsid w:val="00CF39BB"/>
    <w:rsid w:val="00D0296C"/>
    <w:rsid w:val="00D164CD"/>
    <w:rsid w:val="00D21008"/>
    <w:rsid w:val="00D21044"/>
    <w:rsid w:val="00D2152B"/>
    <w:rsid w:val="00D234A0"/>
    <w:rsid w:val="00D76AB7"/>
    <w:rsid w:val="00D85385"/>
    <w:rsid w:val="00D93C95"/>
    <w:rsid w:val="00D94DBA"/>
    <w:rsid w:val="00D97C42"/>
    <w:rsid w:val="00DA61D5"/>
    <w:rsid w:val="00DB07CB"/>
    <w:rsid w:val="00DC28EE"/>
    <w:rsid w:val="00DD6E60"/>
    <w:rsid w:val="00DE084C"/>
    <w:rsid w:val="00DF2228"/>
    <w:rsid w:val="00DF6A27"/>
    <w:rsid w:val="00DF6D78"/>
    <w:rsid w:val="00E0024B"/>
    <w:rsid w:val="00E0708E"/>
    <w:rsid w:val="00E13BE3"/>
    <w:rsid w:val="00E273EE"/>
    <w:rsid w:val="00E357B7"/>
    <w:rsid w:val="00E36686"/>
    <w:rsid w:val="00E53800"/>
    <w:rsid w:val="00E54A46"/>
    <w:rsid w:val="00E56467"/>
    <w:rsid w:val="00E6081F"/>
    <w:rsid w:val="00E76197"/>
    <w:rsid w:val="00E87A03"/>
    <w:rsid w:val="00EA04B2"/>
    <w:rsid w:val="00EA0BF5"/>
    <w:rsid w:val="00EA1E5C"/>
    <w:rsid w:val="00EA20F3"/>
    <w:rsid w:val="00EC30C4"/>
    <w:rsid w:val="00EC3366"/>
    <w:rsid w:val="00EC4B70"/>
    <w:rsid w:val="00ED0AE6"/>
    <w:rsid w:val="00ED43D1"/>
    <w:rsid w:val="00ED7041"/>
    <w:rsid w:val="00EE4134"/>
    <w:rsid w:val="00EE4EE1"/>
    <w:rsid w:val="00EE5128"/>
    <w:rsid w:val="00EF0827"/>
    <w:rsid w:val="00EF4574"/>
    <w:rsid w:val="00F23AD0"/>
    <w:rsid w:val="00F25452"/>
    <w:rsid w:val="00F2684E"/>
    <w:rsid w:val="00F2767D"/>
    <w:rsid w:val="00F300CC"/>
    <w:rsid w:val="00F31709"/>
    <w:rsid w:val="00F36AEA"/>
    <w:rsid w:val="00F46BDE"/>
    <w:rsid w:val="00F5079F"/>
    <w:rsid w:val="00F52E6A"/>
    <w:rsid w:val="00F5404C"/>
    <w:rsid w:val="00F61170"/>
    <w:rsid w:val="00F61B10"/>
    <w:rsid w:val="00F64522"/>
    <w:rsid w:val="00F64D8B"/>
    <w:rsid w:val="00F729EF"/>
    <w:rsid w:val="00F72C92"/>
    <w:rsid w:val="00F734E4"/>
    <w:rsid w:val="00F774DE"/>
    <w:rsid w:val="00F77CAE"/>
    <w:rsid w:val="00F80F6E"/>
    <w:rsid w:val="00F83428"/>
    <w:rsid w:val="00F9038A"/>
    <w:rsid w:val="00F93FA1"/>
    <w:rsid w:val="00F96BB9"/>
    <w:rsid w:val="00F97707"/>
    <w:rsid w:val="00FA664C"/>
    <w:rsid w:val="00FB3F60"/>
    <w:rsid w:val="00FC4245"/>
    <w:rsid w:val="00FD1F45"/>
    <w:rsid w:val="00FD56D8"/>
    <w:rsid w:val="00FE4371"/>
    <w:rsid w:val="00FE6B61"/>
    <w:rsid w:val="00FE6D51"/>
    <w:rsid w:val="00FF1B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3E9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95"/>
    <w:pPr>
      <w:suppressAutoHyphens/>
      <w:spacing w:before="120" w:after="60" w:line="200" w:lineRule="atLeast"/>
    </w:pPr>
    <w:rPr>
      <w:color w:val="495965" w:themeColor="text2"/>
      <w:sz w:val="16"/>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A4144F"/>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A4144F"/>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4120EC"/>
    <w:pPr>
      <w:pageBreakBefore w:val="0"/>
      <w:spacing w:after="0" w:line="460" w:lineRule="exact"/>
      <w:jc w:val="right"/>
    </w:pPr>
    <w:rPr>
      <w:spacing w:val="-20"/>
      <w:kern w:val="28"/>
      <w:sz w:val="46"/>
      <w:szCs w:val="52"/>
    </w:rPr>
  </w:style>
  <w:style w:type="character" w:customStyle="1" w:styleId="TitleChar">
    <w:name w:val="Title Char"/>
    <w:basedOn w:val="DefaultParagraphFont"/>
    <w:link w:val="Title"/>
    <w:uiPriority w:val="10"/>
    <w:rsid w:val="004120EC"/>
    <w:rPr>
      <w:rFonts w:asciiTheme="majorHAnsi" w:eastAsiaTheme="majorEastAsia" w:hAnsiTheme="majorHAnsi" w:cstheme="majorBidi"/>
      <w:b/>
      <w:bCs/>
      <w:caps/>
      <w:color w:val="495965" w:themeColor="text2"/>
      <w:spacing w:val="-20"/>
      <w:kern w:val="28"/>
      <w:sz w:val="46"/>
      <w:szCs w:val="52"/>
    </w:rPr>
  </w:style>
  <w:style w:type="paragraph" w:styleId="Subtitle">
    <w:name w:val="Subtitle"/>
    <w:basedOn w:val="Title"/>
    <w:next w:val="Normal"/>
    <w:link w:val="SubtitleChar"/>
    <w:uiPriority w:val="11"/>
    <w:qFormat/>
    <w:rsid w:val="004120EC"/>
    <w:pPr>
      <w:numPr>
        <w:ilvl w:val="1"/>
      </w:numPr>
      <w:spacing w:line="200" w:lineRule="atLeast"/>
    </w:pPr>
    <w:rPr>
      <w:rFonts w:asciiTheme="minorHAnsi" w:hAnsiTheme="minorHAnsi"/>
      <w:iCs/>
      <w:caps w:val="0"/>
      <w:spacing w:val="0"/>
      <w:sz w:val="16"/>
      <w:szCs w:val="24"/>
    </w:rPr>
  </w:style>
  <w:style w:type="character" w:customStyle="1" w:styleId="SubtitleChar">
    <w:name w:val="Subtitle Char"/>
    <w:basedOn w:val="DefaultParagraphFont"/>
    <w:link w:val="Subtitle"/>
    <w:uiPriority w:val="11"/>
    <w:rsid w:val="004120EC"/>
    <w:rPr>
      <w:rFonts w:eastAsiaTheme="majorEastAsia" w:cstheme="majorBidi"/>
      <w:b/>
      <w:bCs/>
      <w:iCs/>
      <w:color w:val="495965" w:themeColor="text2"/>
      <w:kern w:val="28"/>
      <w:sz w:val="16"/>
      <w:szCs w:val="24"/>
    </w:rPr>
  </w:style>
  <w:style w:type="paragraph" w:customStyle="1" w:styleId="Bullet1">
    <w:name w:val="Bullet 1"/>
    <w:basedOn w:val="Normal"/>
    <w:qFormat/>
    <w:rsid w:val="001D663E"/>
    <w:pPr>
      <w:numPr>
        <w:numId w:val="2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1E1DC0"/>
    <w:pPr>
      <w:numPr>
        <w:ilvl w:val="1"/>
        <w:numId w:val="5"/>
      </w:numPr>
      <w:spacing w:before="120" w:after="60"/>
    </w:pPr>
    <w:rPr>
      <w:b/>
      <w:bCs/>
    </w:rPr>
  </w:style>
  <w:style w:type="paragraph" w:customStyle="1" w:styleId="Heading3Numbered">
    <w:name w:val="Heading 3 Numbered"/>
    <w:basedOn w:val="Heading3"/>
    <w:next w:val="Normal"/>
    <w:qFormat/>
    <w:rsid w:val="001E1DC0"/>
    <w:pPr>
      <w:numPr>
        <w:ilvl w:val="2"/>
        <w:numId w:val="5"/>
      </w:numPr>
      <w:spacing w:before="12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 w:val="32"/>
      <w:szCs w:val="32"/>
      <w:lang w:val="en-US"/>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sz w:val="22"/>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B5E10"/>
    <w:pPr>
      <w:spacing w:before="400" w:after="400" w:line="240" w:lineRule="exact"/>
      <w:ind w:right="6519"/>
    </w:pPr>
    <w:rPr>
      <w:sz w:val="28"/>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3457C4"/>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FD56D8"/>
    <w:pPr>
      <w:spacing w:before="0" w:after="0" w:line="240" w:lineRule="exact"/>
      <w:ind w:right="284"/>
      <w:jc w:val="right"/>
    </w:pPr>
    <w:rPr>
      <w:sz w:val="22"/>
    </w:rPr>
  </w:style>
  <w:style w:type="character" w:customStyle="1" w:styleId="FooterChar">
    <w:name w:val="Footer Char"/>
    <w:basedOn w:val="DefaultParagraphFont"/>
    <w:link w:val="Footer"/>
    <w:uiPriority w:val="99"/>
    <w:rsid w:val="00FD56D8"/>
    <w:rPr>
      <w:color w:val="495965" w:themeColor="text2"/>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F5404C"/>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C5182A"/>
    <w:pPr>
      <w:spacing w:after="120"/>
      <w:ind w:left="397" w:right="397"/>
    </w:pPr>
    <w:rPr>
      <w:iCs/>
    </w:rPr>
  </w:style>
  <w:style w:type="character" w:customStyle="1" w:styleId="QuoteChar">
    <w:name w:val="Quote Char"/>
    <w:basedOn w:val="DefaultParagraphFont"/>
    <w:link w:val="Quote"/>
    <w:uiPriority w:val="29"/>
    <w:rsid w:val="00C5182A"/>
    <w:rPr>
      <w:iCs/>
      <w:color w:val="495965" w:themeColor="text2"/>
      <w:sz w:val="16"/>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556C33"/>
    <w:pPr>
      <w:spacing w:before="600" w:after="120"/>
      <w:ind w:left="284" w:right="284"/>
    </w:pPr>
    <w:rPr>
      <w:rFonts w:ascii="Calibri" w:hAnsi="Calibri"/>
      <w:b/>
      <w:caps/>
      <w:color w:val="FFFFFF" w:themeColor="background1"/>
      <w:sz w:val="18"/>
    </w:rPr>
  </w:style>
  <w:style w:type="character" w:customStyle="1" w:styleId="Green">
    <w:name w:val="Green"/>
    <w:basedOn w:val="DefaultParagraphFont"/>
    <w:uiPriority w:val="1"/>
    <w:qFormat/>
    <w:rsid w:val="00FD56D8"/>
    <w:rPr>
      <w:color w:val="65C5B4" w:themeColor="accent1"/>
    </w:rPr>
  </w:style>
  <w:style w:type="paragraph" w:styleId="BalloonText">
    <w:name w:val="Balloon Text"/>
    <w:basedOn w:val="Normal"/>
    <w:link w:val="BalloonTextChar"/>
    <w:uiPriority w:val="99"/>
    <w:semiHidden/>
    <w:unhideWhenUsed/>
    <w:rsid w:val="00556C3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C33"/>
    <w:rPr>
      <w:rFonts w:ascii="Lucida Grande" w:hAnsi="Lucida Grande" w:cs="Lucida Grande"/>
      <w:color w:val="495965" w:themeColor="text2"/>
      <w:sz w:val="18"/>
      <w:szCs w:val="18"/>
    </w:rPr>
  </w:style>
  <w:style w:type="paragraph" w:styleId="ListParagraph">
    <w:name w:val="List Paragraph"/>
    <w:aliases w:val="List Paragraph (numbered (a)),Normal 2,Main numbered paragraph,List Paragraph1,Recommendation,List Paragraph11,L,CV text,Table text,F5 List Paragraph,Dot pt,List Paragraph111,Medium Grid 1 - Accent 21,Numbered Paragraph,Bullet List"/>
    <w:basedOn w:val="Normal"/>
    <w:link w:val="ListParagraphChar"/>
    <w:uiPriority w:val="34"/>
    <w:qFormat/>
    <w:rsid w:val="0013469D"/>
    <w:pPr>
      <w:ind w:left="720"/>
      <w:contextualSpacing/>
    </w:pPr>
  </w:style>
  <w:style w:type="character" w:styleId="CommentReference">
    <w:name w:val="annotation reference"/>
    <w:basedOn w:val="DefaultParagraphFont"/>
    <w:uiPriority w:val="99"/>
    <w:semiHidden/>
    <w:unhideWhenUsed/>
    <w:rsid w:val="00A550B3"/>
    <w:rPr>
      <w:sz w:val="16"/>
      <w:szCs w:val="16"/>
    </w:rPr>
  </w:style>
  <w:style w:type="paragraph" w:styleId="CommentText">
    <w:name w:val="annotation text"/>
    <w:basedOn w:val="Normal"/>
    <w:link w:val="CommentTextChar"/>
    <w:uiPriority w:val="99"/>
    <w:semiHidden/>
    <w:unhideWhenUsed/>
    <w:rsid w:val="00A550B3"/>
    <w:pPr>
      <w:spacing w:line="240" w:lineRule="auto"/>
    </w:pPr>
    <w:rPr>
      <w:sz w:val="20"/>
      <w:szCs w:val="20"/>
    </w:rPr>
  </w:style>
  <w:style w:type="character" w:customStyle="1" w:styleId="CommentTextChar">
    <w:name w:val="Comment Text Char"/>
    <w:basedOn w:val="DefaultParagraphFont"/>
    <w:link w:val="CommentText"/>
    <w:uiPriority w:val="99"/>
    <w:semiHidden/>
    <w:rsid w:val="00A550B3"/>
    <w:rPr>
      <w:color w:val="495965" w:themeColor="text2"/>
      <w:sz w:val="20"/>
      <w:szCs w:val="20"/>
    </w:rPr>
  </w:style>
  <w:style w:type="paragraph" w:styleId="CommentSubject">
    <w:name w:val="annotation subject"/>
    <w:basedOn w:val="CommentText"/>
    <w:next w:val="CommentText"/>
    <w:link w:val="CommentSubjectChar"/>
    <w:uiPriority w:val="99"/>
    <w:semiHidden/>
    <w:unhideWhenUsed/>
    <w:rsid w:val="00A550B3"/>
    <w:rPr>
      <w:b/>
      <w:bCs/>
    </w:rPr>
  </w:style>
  <w:style w:type="character" w:customStyle="1" w:styleId="CommentSubjectChar">
    <w:name w:val="Comment Subject Char"/>
    <w:basedOn w:val="CommentTextChar"/>
    <w:link w:val="CommentSubject"/>
    <w:uiPriority w:val="99"/>
    <w:semiHidden/>
    <w:rsid w:val="00A550B3"/>
    <w:rPr>
      <w:b/>
      <w:bCs/>
      <w:color w:val="495965" w:themeColor="text2"/>
      <w:sz w:val="20"/>
      <w:szCs w:val="20"/>
    </w:rPr>
  </w:style>
  <w:style w:type="paragraph" w:styleId="BodyText">
    <w:name w:val="Body Text"/>
    <w:link w:val="BodyTextChar"/>
    <w:uiPriority w:val="99"/>
    <w:semiHidden/>
    <w:unhideWhenUsed/>
    <w:rsid w:val="006A3D63"/>
    <w:pPr>
      <w:spacing w:line="264" w:lineRule="auto"/>
    </w:pPr>
    <w:rPr>
      <w:rFonts w:ascii="Calibri" w:eastAsia="Times New Roman" w:hAnsi="Calibri" w:cs="Times New Roman"/>
      <w:color w:val="000000"/>
      <w:kern w:val="28"/>
      <w:sz w:val="20"/>
      <w:szCs w:val="20"/>
      <w:lang w:eastAsia="en-AU"/>
      <w14:ligatures w14:val="standard"/>
      <w14:cntxtAlts/>
    </w:rPr>
  </w:style>
  <w:style w:type="character" w:customStyle="1" w:styleId="BodyTextChar">
    <w:name w:val="Body Text Char"/>
    <w:basedOn w:val="DefaultParagraphFont"/>
    <w:link w:val="BodyText"/>
    <w:uiPriority w:val="99"/>
    <w:semiHidden/>
    <w:rsid w:val="006A3D63"/>
    <w:rPr>
      <w:rFonts w:ascii="Calibri" w:eastAsia="Times New Roman" w:hAnsi="Calibri" w:cs="Times New Roman"/>
      <w:color w:val="000000"/>
      <w:kern w:val="28"/>
      <w:sz w:val="20"/>
      <w:szCs w:val="20"/>
      <w:lang w:eastAsia="en-AU"/>
      <w14:ligatures w14:val="standard"/>
      <w14:cntxtAlts/>
    </w:rPr>
  </w:style>
  <w:style w:type="character" w:customStyle="1" w:styleId="ListParagraphChar">
    <w:name w:val="List Paragraph Char"/>
    <w:aliases w:val="List Paragraph (numbered (a)) Char,Normal 2 Char,Main numbered paragraph Char,List Paragraph1 Char,Recommendation Char,List Paragraph11 Char,L Char,CV text Char,Table text Char,F5 List Paragraph Char,Dot pt Char,Bullet List Char"/>
    <w:basedOn w:val="DefaultParagraphFont"/>
    <w:link w:val="ListParagraph"/>
    <w:uiPriority w:val="34"/>
    <w:qFormat/>
    <w:locked/>
    <w:rsid w:val="00397DCA"/>
    <w:rPr>
      <w:color w:val="495965" w:themeColor="text2"/>
      <w:sz w:val="16"/>
    </w:rPr>
  </w:style>
  <w:style w:type="paragraph" w:styleId="NoSpacing">
    <w:name w:val="No Spacing"/>
    <w:link w:val="NoSpacingChar"/>
    <w:uiPriority w:val="1"/>
    <w:qFormat/>
    <w:rsid w:val="00464A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4A53"/>
    <w:rPr>
      <w:rFonts w:eastAsiaTheme="minorEastAsia"/>
      <w:lang w:val="en-US"/>
    </w:rPr>
  </w:style>
  <w:style w:type="paragraph" w:styleId="NormalWeb">
    <w:name w:val="Normal (Web)"/>
    <w:basedOn w:val="Normal"/>
    <w:uiPriority w:val="99"/>
    <w:unhideWhenUsed/>
    <w:rsid w:val="004A066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B427C7"/>
    <w:rPr>
      <w:color w:val="800080" w:themeColor="followedHyperlink"/>
      <w:u w:val="single"/>
    </w:rPr>
  </w:style>
  <w:style w:type="paragraph" w:styleId="Revision">
    <w:name w:val="Revision"/>
    <w:hidden/>
    <w:uiPriority w:val="99"/>
    <w:semiHidden/>
    <w:rsid w:val="00165DB6"/>
    <w:pPr>
      <w:spacing w:after="0" w:line="240" w:lineRule="auto"/>
    </w:pPr>
    <w:rPr>
      <w:color w:val="495965" w:themeColor="text2"/>
      <w:sz w:val="16"/>
    </w:rPr>
  </w:style>
  <w:style w:type="character" w:styleId="UnresolvedMention">
    <w:name w:val="Unresolved Mention"/>
    <w:basedOn w:val="DefaultParagraphFont"/>
    <w:uiPriority w:val="99"/>
    <w:semiHidden/>
    <w:unhideWhenUsed/>
    <w:rsid w:val="00AD6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5710">
      <w:bodyDiv w:val="1"/>
      <w:marLeft w:val="0"/>
      <w:marRight w:val="0"/>
      <w:marTop w:val="0"/>
      <w:marBottom w:val="0"/>
      <w:divBdr>
        <w:top w:val="none" w:sz="0" w:space="0" w:color="auto"/>
        <w:left w:val="none" w:sz="0" w:space="0" w:color="auto"/>
        <w:bottom w:val="none" w:sz="0" w:space="0" w:color="auto"/>
        <w:right w:val="none" w:sz="0" w:space="0" w:color="auto"/>
      </w:divBdr>
    </w:div>
    <w:div w:id="92670402">
      <w:bodyDiv w:val="1"/>
      <w:marLeft w:val="0"/>
      <w:marRight w:val="0"/>
      <w:marTop w:val="0"/>
      <w:marBottom w:val="0"/>
      <w:divBdr>
        <w:top w:val="none" w:sz="0" w:space="0" w:color="auto"/>
        <w:left w:val="none" w:sz="0" w:space="0" w:color="auto"/>
        <w:bottom w:val="none" w:sz="0" w:space="0" w:color="auto"/>
        <w:right w:val="none" w:sz="0" w:space="0" w:color="auto"/>
      </w:divBdr>
    </w:div>
    <w:div w:id="99647263">
      <w:bodyDiv w:val="1"/>
      <w:marLeft w:val="0"/>
      <w:marRight w:val="0"/>
      <w:marTop w:val="0"/>
      <w:marBottom w:val="0"/>
      <w:divBdr>
        <w:top w:val="none" w:sz="0" w:space="0" w:color="auto"/>
        <w:left w:val="none" w:sz="0" w:space="0" w:color="auto"/>
        <w:bottom w:val="none" w:sz="0" w:space="0" w:color="auto"/>
        <w:right w:val="none" w:sz="0" w:space="0" w:color="auto"/>
      </w:divBdr>
    </w:div>
    <w:div w:id="203443225">
      <w:bodyDiv w:val="1"/>
      <w:marLeft w:val="0"/>
      <w:marRight w:val="0"/>
      <w:marTop w:val="0"/>
      <w:marBottom w:val="0"/>
      <w:divBdr>
        <w:top w:val="none" w:sz="0" w:space="0" w:color="auto"/>
        <w:left w:val="none" w:sz="0" w:space="0" w:color="auto"/>
        <w:bottom w:val="none" w:sz="0" w:space="0" w:color="auto"/>
        <w:right w:val="none" w:sz="0" w:space="0" w:color="auto"/>
      </w:divBdr>
    </w:div>
    <w:div w:id="372079753">
      <w:bodyDiv w:val="1"/>
      <w:marLeft w:val="0"/>
      <w:marRight w:val="0"/>
      <w:marTop w:val="0"/>
      <w:marBottom w:val="0"/>
      <w:divBdr>
        <w:top w:val="none" w:sz="0" w:space="0" w:color="auto"/>
        <w:left w:val="none" w:sz="0" w:space="0" w:color="auto"/>
        <w:bottom w:val="none" w:sz="0" w:space="0" w:color="auto"/>
        <w:right w:val="none" w:sz="0" w:space="0" w:color="auto"/>
      </w:divBdr>
    </w:div>
    <w:div w:id="529300039">
      <w:bodyDiv w:val="1"/>
      <w:marLeft w:val="0"/>
      <w:marRight w:val="0"/>
      <w:marTop w:val="0"/>
      <w:marBottom w:val="0"/>
      <w:divBdr>
        <w:top w:val="none" w:sz="0" w:space="0" w:color="auto"/>
        <w:left w:val="none" w:sz="0" w:space="0" w:color="auto"/>
        <w:bottom w:val="none" w:sz="0" w:space="0" w:color="auto"/>
        <w:right w:val="none" w:sz="0" w:space="0" w:color="auto"/>
      </w:divBdr>
    </w:div>
    <w:div w:id="556355868">
      <w:bodyDiv w:val="1"/>
      <w:marLeft w:val="0"/>
      <w:marRight w:val="0"/>
      <w:marTop w:val="0"/>
      <w:marBottom w:val="0"/>
      <w:divBdr>
        <w:top w:val="none" w:sz="0" w:space="0" w:color="auto"/>
        <w:left w:val="none" w:sz="0" w:space="0" w:color="auto"/>
        <w:bottom w:val="none" w:sz="0" w:space="0" w:color="auto"/>
        <w:right w:val="none" w:sz="0" w:space="0" w:color="auto"/>
      </w:divBdr>
      <w:divsChild>
        <w:div w:id="829979670">
          <w:marLeft w:val="274"/>
          <w:marRight w:val="0"/>
          <w:marTop w:val="0"/>
          <w:marBottom w:val="0"/>
          <w:divBdr>
            <w:top w:val="none" w:sz="0" w:space="0" w:color="auto"/>
            <w:left w:val="none" w:sz="0" w:space="0" w:color="auto"/>
            <w:bottom w:val="none" w:sz="0" w:space="0" w:color="auto"/>
            <w:right w:val="none" w:sz="0" w:space="0" w:color="auto"/>
          </w:divBdr>
        </w:div>
        <w:div w:id="547109823">
          <w:marLeft w:val="274"/>
          <w:marRight w:val="0"/>
          <w:marTop w:val="0"/>
          <w:marBottom w:val="0"/>
          <w:divBdr>
            <w:top w:val="none" w:sz="0" w:space="0" w:color="auto"/>
            <w:left w:val="none" w:sz="0" w:space="0" w:color="auto"/>
            <w:bottom w:val="none" w:sz="0" w:space="0" w:color="auto"/>
            <w:right w:val="none" w:sz="0" w:space="0" w:color="auto"/>
          </w:divBdr>
        </w:div>
      </w:divsChild>
    </w:div>
    <w:div w:id="765155538">
      <w:bodyDiv w:val="1"/>
      <w:marLeft w:val="0"/>
      <w:marRight w:val="0"/>
      <w:marTop w:val="0"/>
      <w:marBottom w:val="0"/>
      <w:divBdr>
        <w:top w:val="none" w:sz="0" w:space="0" w:color="auto"/>
        <w:left w:val="none" w:sz="0" w:space="0" w:color="auto"/>
        <w:bottom w:val="none" w:sz="0" w:space="0" w:color="auto"/>
        <w:right w:val="none" w:sz="0" w:space="0" w:color="auto"/>
      </w:divBdr>
    </w:div>
    <w:div w:id="782530397">
      <w:bodyDiv w:val="1"/>
      <w:marLeft w:val="0"/>
      <w:marRight w:val="0"/>
      <w:marTop w:val="0"/>
      <w:marBottom w:val="0"/>
      <w:divBdr>
        <w:top w:val="none" w:sz="0" w:space="0" w:color="auto"/>
        <w:left w:val="none" w:sz="0" w:space="0" w:color="auto"/>
        <w:bottom w:val="none" w:sz="0" w:space="0" w:color="auto"/>
        <w:right w:val="none" w:sz="0" w:space="0" w:color="auto"/>
      </w:divBdr>
    </w:div>
    <w:div w:id="991182584">
      <w:bodyDiv w:val="1"/>
      <w:marLeft w:val="0"/>
      <w:marRight w:val="0"/>
      <w:marTop w:val="0"/>
      <w:marBottom w:val="0"/>
      <w:divBdr>
        <w:top w:val="none" w:sz="0" w:space="0" w:color="auto"/>
        <w:left w:val="none" w:sz="0" w:space="0" w:color="auto"/>
        <w:bottom w:val="none" w:sz="0" w:space="0" w:color="auto"/>
        <w:right w:val="none" w:sz="0" w:space="0" w:color="auto"/>
      </w:divBdr>
    </w:div>
    <w:div w:id="1036391755">
      <w:bodyDiv w:val="1"/>
      <w:marLeft w:val="0"/>
      <w:marRight w:val="0"/>
      <w:marTop w:val="0"/>
      <w:marBottom w:val="0"/>
      <w:divBdr>
        <w:top w:val="none" w:sz="0" w:space="0" w:color="auto"/>
        <w:left w:val="none" w:sz="0" w:space="0" w:color="auto"/>
        <w:bottom w:val="none" w:sz="0" w:space="0" w:color="auto"/>
        <w:right w:val="none" w:sz="0" w:space="0" w:color="auto"/>
      </w:divBdr>
    </w:div>
    <w:div w:id="1121874857">
      <w:bodyDiv w:val="1"/>
      <w:marLeft w:val="0"/>
      <w:marRight w:val="0"/>
      <w:marTop w:val="0"/>
      <w:marBottom w:val="0"/>
      <w:divBdr>
        <w:top w:val="none" w:sz="0" w:space="0" w:color="auto"/>
        <w:left w:val="none" w:sz="0" w:space="0" w:color="auto"/>
        <w:bottom w:val="none" w:sz="0" w:space="0" w:color="auto"/>
        <w:right w:val="none" w:sz="0" w:space="0" w:color="auto"/>
      </w:divBdr>
    </w:div>
    <w:div w:id="1173567178">
      <w:bodyDiv w:val="1"/>
      <w:marLeft w:val="0"/>
      <w:marRight w:val="0"/>
      <w:marTop w:val="0"/>
      <w:marBottom w:val="0"/>
      <w:divBdr>
        <w:top w:val="none" w:sz="0" w:space="0" w:color="auto"/>
        <w:left w:val="none" w:sz="0" w:space="0" w:color="auto"/>
        <w:bottom w:val="none" w:sz="0" w:space="0" w:color="auto"/>
        <w:right w:val="none" w:sz="0" w:space="0" w:color="auto"/>
      </w:divBdr>
    </w:div>
    <w:div w:id="1231889440">
      <w:bodyDiv w:val="1"/>
      <w:marLeft w:val="0"/>
      <w:marRight w:val="0"/>
      <w:marTop w:val="0"/>
      <w:marBottom w:val="0"/>
      <w:divBdr>
        <w:top w:val="none" w:sz="0" w:space="0" w:color="auto"/>
        <w:left w:val="none" w:sz="0" w:space="0" w:color="auto"/>
        <w:bottom w:val="none" w:sz="0" w:space="0" w:color="auto"/>
        <w:right w:val="none" w:sz="0" w:space="0" w:color="auto"/>
      </w:divBdr>
    </w:div>
    <w:div w:id="1335298467">
      <w:bodyDiv w:val="1"/>
      <w:marLeft w:val="0"/>
      <w:marRight w:val="0"/>
      <w:marTop w:val="0"/>
      <w:marBottom w:val="0"/>
      <w:divBdr>
        <w:top w:val="none" w:sz="0" w:space="0" w:color="auto"/>
        <w:left w:val="none" w:sz="0" w:space="0" w:color="auto"/>
        <w:bottom w:val="none" w:sz="0" w:space="0" w:color="auto"/>
        <w:right w:val="none" w:sz="0" w:space="0" w:color="auto"/>
      </w:divBdr>
    </w:div>
    <w:div w:id="1357997821">
      <w:bodyDiv w:val="1"/>
      <w:marLeft w:val="0"/>
      <w:marRight w:val="0"/>
      <w:marTop w:val="0"/>
      <w:marBottom w:val="0"/>
      <w:divBdr>
        <w:top w:val="none" w:sz="0" w:space="0" w:color="auto"/>
        <w:left w:val="none" w:sz="0" w:space="0" w:color="auto"/>
        <w:bottom w:val="none" w:sz="0" w:space="0" w:color="auto"/>
        <w:right w:val="none" w:sz="0" w:space="0" w:color="auto"/>
      </w:divBdr>
    </w:div>
    <w:div w:id="1395010075">
      <w:bodyDiv w:val="1"/>
      <w:marLeft w:val="0"/>
      <w:marRight w:val="0"/>
      <w:marTop w:val="0"/>
      <w:marBottom w:val="0"/>
      <w:divBdr>
        <w:top w:val="none" w:sz="0" w:space="0" w:color="auto"/>
        <w:left w:val="none" w:sz="0" w:space="0" w:color="auto"/>
        <w:bottom w:val="none" w:sz="0" w:space="0" w:color="auto"/>
        <w:right w:val="none" w:sz="0" w:space="0" w:color="auto"/>
      </w:divBdr>
    </w:div>
    <w:div w:id="1403799229">
      <w:bodyDiv w:val="1"/>
      <w:marLeft w:val="0"/>
      <w:marRight w:val="0"/>
      <w:marTop w:val="0"/>
      <w:marBottom w:val="0"/>
      <w:divBdr>
        <w:top w:val="none" w:sz="0" w:space="0" w:color="auto"/>
        <w:left w:val="none" w:sz="0" w:space="0" w:color="auto"/>
        <w:bottom w:val="none" w:sz="0" w:space="0" w:color="auto"/>
        <w:right w:val="none" w:sz="0" w:space="0" w:color="auto"/>
      </w:divBdr>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0622349">
          <w:marLeft w:val="274"/>
          <w:marRight w:val="0"/>
          <w:marTop w:val="0"/>
          <w:marBottom w:val="0"/>
          <w:divBdr>
            <w:top w:val="none" w:sz="0" w:space="0" w:color="auto"/>
            <w:left w:val="none" w:sz="0" w:space="0" w:color="auto"/>
            <w:bottom w:val="none" w:sz="0" w:space="0" w:color="auto"/>
            <w:right w:val="none" w:sz="0" w:space="0" w:color="auto"/>
          </w:divBdr>
        </w:div>
        <w:div w:id="736363312">
          <w:marLeft w:val="274"/>
          <w:marRight w:val="0"/>
          <w:marTop w:val="0"/>
          <w:marBottom w:val="0"/>
          <w:divBdr>
            <w:top w:val="none" w:sz="0" w:space="0" w:color="auto"/>
            <w:left w:val="none" w:sz="0" w:space="0" w:color="auto"/>
            <w:bottom w:val="none" w:sz="0" w:space="0" w:color="auto"/>
            <w:right w:val="none" w:sz="0" w:space="0" w:color="auto"/>
          </w:divBdr>
        </w:div>
        <w:div w:id="794372341">
          <w:marLeft w:val="274"/>
          <w:marRight w:val="0"/>
          <w:marTop w:val="0"/>
          <w:marBottom w:val="0"/>
          <w:divBdr>
            <w:top w:val="none" w:sz="0" w:space="0" w:color="auto"/>
            <w:left w:val="none" w:sz="0" w:space="0" w:color="auto"/>
            <w:bottom w:val="none" w:sz="0" w:space="0" w:color="auto"/>
            <w:right w:val="none" w:sz="0" w:space="0" w:color="auto"/>
          </w:divBdr>
        </w:div>
        <w:div w:id="1622955579">
          <w:marLeft w:val="274"/>
          <w:marRight w:val="0"/>
          <w:marTop w:val="0"/>
          <w:marBottom w:val="0"/>
          <w:divBdr>
            <w:top w:val="none" w:sz="0" w:space="0" w:color="auto"/>
            <w:left w:val="none" w:sz="0" w:space="0" w:color="auto"/>
            <w:bottom w:val="none" w:sz="0" w:space="0" w:color="auto"/>
            <w:right w:val="none" w:sz="0" w:space="0" w:color="auto"/>
          </w:divBdr>
        </w:div>
        <w:div w:id="46030869">
          <w:marLeft w:val="274"/>
          <w:marRight w:val="0"/>
          <w:marTop w:val="0"/>
          <w:marBottom w:val="0"/>
          <w:divBdr>
            <w:top w:val="none" w:sz="0" w:space="0" w:color="auto"/>
            <w:left w:val="none" w:sz="0" w:space="0" w:color="auto"/>
            <w:bottom w:val="none" w:sz="0" w:space="0" w:color="auto"/>
            <w:right w:val="none" w:sz="0" w:space="0" w:color="auto"/>
          </w:divBdr>
        </w:div>
        <w:div w:id="1190483437">
          <w:marLeft w:val="274"/>
          <w:marRight w:val="0"/>
          <w:marTop w:val="0"/>
          <w:marBottom w:val="0"/>
          <w:divBdr>
            <w:top w:val="none" w:sz="0" w:space="0" w:color="auto"/>
            <w:left w:val="none" w:sz="0" w:space="0" w:color="auto"/>
            <w:bottom w:val="none" w:sz="0" w:space="0" w:color="auto"/>
            <w:right w:val="none" w:sz="0" w:space="0" w:color="auto"/>
          </w:divBdr>
        </w:div>
        <w:div w:id="1903061252">
          <w:marLeft w:val="274"/>
          <w:marRight w:val="0"/>
          <w:marTop w:val="0"/>
          <w:marBottom w:val="0"/>
          <w:divBdr>
            <w:top w:val="none" w:sz="0" w:space="0" w:color="auto"/>
            <w:left w:val="none" w:sz="0" w:space="0" w:color="auto"/>
            <w:bottom w:val="none" w:sz="0" w:space="0" w:color="auto"/>
            <w:right w:val="none" w:sz="0" w:space="0" w:color="auto"/>
          </w:divBdr>
        </w:div>
      </w:divsChild>
    </w:div>
    <w:div w:id="1534685086">
      <w:bodyDiv w:val="1"/>
      <w:marLeft w:val="0"/>
      <w:marRight w:val="0"/>
      <w:marTop w:val="0"/>
      <w:marBottom w:val="0"/>
      <w:divBdr>
        <w:top w:val="none" w:sz="0" w:space="0" w:color="auto"/>
        <w:left w:val="none" w:sz="0" w:space="0" w:color="auto"/>
        <w:bottom w:val="none" w:sz="0" w:space="0" w:color="auto"/>
        <w:right w:val="none" w:sz="0" w:space="0" w:color="auto"/>
      </w:divBdr>
    </w:div>
    <w:div w:id="1603562091">
      <w:bodyDiv w:val="1"/>
      <w:marLeft w:val="0"/>
      <w:marRight w:val="0"/>
      <w:marTop w:val="0"/>
      <w:marBottom w:val="0"/>
      <w:divBdr>
        <w:top w:val="none" w:sz="0" w:space="0" w:color="auto"/>
        <w:left w:val="none" w:sz="0" w:space="0" w:color="auto"/>
        <w:bottom w:val="none" w:sz="0" w:space="0" w:color="auto"/>
        <w:right w:val="none" w:sz="0" w:space="0" w:color="auto"/>
      </w:divBdr>
    </w:div>
    <w:div w:id="1681273540">
      <w:bodyDiv w:val="1"/>
      <w:marLeft w:val="0"/>
      <w:marRight w:val="0"/>
      <w:marTop w:val="0"/>
      <w:marBottom w:val="0"/>
      <w:divBdr>
        <w:top w:val="none" w:sz="0" w:space="0" w:color="auto"/>
        <w:left w:val="none" w:sz="0" w:space="0" w:color="auto"/>
        <w:bottom w:val="none" w:sz="0" w:space="0" w:color="auto"/>
        <w:right w:val="none" w:sz="0" w:space="0" w:color="auto"/>
      </w:divBdr>
    </w:div>
    <w:div w:id="1684700810">
      <w:bodyDiv w:val="1"/>
      <w:marLeft w:val="0"/>
      <w:marRight w:val="0"/>
      <w:marTop w:val="0"/>
      <w:marBottom w:val="0"/>
      <w:divBdr>
        <w:top w:val="none" w:sz="0" w:space="0" w:color="auto"/>
        <w:left w:val="none" w:sz="0" w:space="0" w:color="auto"/>
        <w:bottom w:val="none" w:sz="0" w:space="0" w:color="auto"/>
        <w:right w:val="none" w:sz="0" w:space="0" w:color="auto"/>
      </w:divBdr>
    </w:div>
    <w:div w:id="1774086440">
      <w:bodyDiv w:val="1"/>
      <w:marLeft w:val="0"/>
      <w:marRight w:val="0"/>
      <w:marTop w:val="0"/>
      <w:marBottom w:val="0"/>
      <w:divBdr>
        <w:top w:val="none" w:sz="0" w:space="0" w:color="auto"/>
        <w:left w:val="none" w:sz="0" w:space="0" w:color="auto"/>
        <w:bottom w:val="none" w:sz="0" w:space="0" w:color="auto"/>
        <w:right w:val="none" w:sz="0" w:space="0" w:color="auto"/>
      </w:divBdr>
    </w:div>
    <w:div w:id="1952736026">
      <w:bodyDiv w:val="1"/>
      <w:marLeft w:val="0"/>
      <w:marRight w:val="0"/>
      <w:marTop w:val="0"/>
      <w:marBottom w:val="0"/>
      <w:divBdr>
        <w:top w:val="none" w:sz="0" w:space="0" w:color="auto"/>
        <w:left w:val="none" w:sz="0" w:space="0" w:color="auto"/>
        <w:bottom w:val="none" w:sz="0" w:space="0" w:color="auto"/>
        <w:right w:val="none" w:sz="0" w:space="0" w:color="auto"/>
      </w:divBdr>
    </w:div>
    <w:div w:id="2007005577">
      <w:bodyDiv w:val="1"/>
      <w:marLeft w:val="0"/>
      <w:marRight w:val="0"/>
      <w:marTop w:val="0"/>
      <w:marBottom w:val="0"/>
      <w:divBdr>
        <w:top w:val="none" w:sz="0" w:space="0" w:color="auto"/>
        <w:left w:val="none" w:sz="0" w:space="0" w:color="auto"/>
        <w:bottom w:val="none" w:sz="0" w:space="0" w:color="auto"/>
        <w:right w:val="none" w:sz="0" w:space="0" w:color="auto"/>
      </w:divBdr>
    </w:div>
    <w:div w:id="2099054806">
      <w:bodyDiv w:val="1"/>
      <w:marLeft w:val="0"/>
      <w:marRight w:val="0"/>
      <w:marTop w:val="0"/>
      <w:marBottom w:val="0"/>
      <w:divBdr>
        <w:top w:val="none" w:sz="0" w:space="0" w:color="auto"/>
        <w:left w:val="none" w:sz="0" w:space="0" w:color="auto"/>
        <w:bottom w:val="none" w:sz="0" w:space="0" w:color="auto"/>
        <w:right w:val="none" w:sz="0" w:space="0" w:color="auto"/>
      </w:divBdr>
    </w:div>
    <w:div w:id="213374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publications/aid/partnerships-recovery-australias-covid-19-development-response" TargetMode="External"/><Relationship Id="rId13" Type="http://schemas.openxmlformats.org/officeDocument/2006/relationships/hyperlink" Target="http://www.pacificrise.org/" TargetMode="External"/><Relationship Id="rId18" Type="http://schemas.openxmlformats.org/officeDocument/2006/relationships/image" Target="media/image2.jpg"/><Relationship Id="rId26" Type="http://schemas.openxmlformats.org/officeDocument/2006/relationships/hyperlink" Target="https://www.dfat.gov.au/publications/aid/partnerships-recovery-australias-covid-19-development-response" TargetMode="External"/><Relationship Id="rId39" Type="http://schemas.openxmlformats.org/officeDocument/2006/relationships/hyperlink" Target="https://dfat.gov.au/about-us/publications/Pages/australian-aid-promoting-prosperity-reducing-poverty-enhancing-stability.aspx" TargetMode="External"/><Relationship Id="rId3" Type="http://schemas.openxmlformats.org/officeDocument/2006/relationships/styles" Target="styles.xml"/><Relationship Id="rId21" Type="http://schemas.openxmlformats.org/officeDocument/2006/relationships/hyperlink" Target="https://thebpp.com.au/blog/telehealth-platform-developed-in-india-to-be-trialed-in-indigenous-communities-in-australia/" TargetMode="External"/><Relationship Id="rId34" Type="http://schemas.openxmlformats.org/officeDocument/2006/relationships/hyperlink" Target="https://blog.dfat.gov.au/2017/11/22/2017-foreign-policy-white-paper-advancing-australias-interests/"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arketdevelopmentfacility.org/" TargetMode="External"/><Relationship Id="rId17" Type="http://schemas.openxmlformats.org/officeDocument/2006/relationships/image" Target="media/image1.png"/><Relationship Id="rId25" Type="http://schemas.openxmlformats.org/officeDocument/2006/relationships/hyperlink" Target="http://thebpp.com.au/" TargetMode="External"/><Relationship Id="rId33" Type="http://schemas.openxmlformats.org/officeDocument/2006/relationships/hyperlink" Target="https://www.dfat.gov.au/publications/aid/partnerships-recovery-australias-covid-19-development-response" TargetMode="External"/><Relationship Id="rId38" Type="http://schemas.openxmlformats.org/officeDocument/2006/relationships/hyperlink" Target="https://www.dfat.gov.au/publications/aid/guidance-note-engaging-private-sector" TargetMode="External"/><Relationship Id="rId2" Type="http://schemas.openxmlformats.org/officeDocument/2006/relationships/numbering" Target="numbering.xml"/><Relationship Id="rId16" Type="http://schemas.openxmlformats.org/officeDocument/2006/relationships/hyperlink" Target="https://marketdevelopmentfacility.org" TargetMode="External"/><Relationship Id="rId20" Type="http://schemas.openxmlformats.org/officeDocument/2006/relationships/hyperlink" Target="https://dfat.gov.au/aid/who-we-work-with/private-sector-partnerships/bpp/Pages/business-partnerships-platform.aspx" TargetMode="External"/><Relationship Id="rId29" Type="http://schemas.openxmlformats.org/officeDocument/2006/relationships/hyperlink" Target="https://dfat.gov.au/about-us/publications/Pages/strategy-for-australias-aid-investments-in-private-sector-development.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gov.au/aid/who-we-work-with/private-sector-partnerships/bpp/Pages/business-partnerships-platform.aspx" TargetMode="External"/><Relationship Id="rId24" Type="http://schemas.openxmlformats.org/officeDocument/2006/relationships/hyperlink" Target="https://thebpp.com.au/blog/telehealth-platform-developed-in-india-to-be-trialed-in-indigenous-communities-in-australia/" TargetMode="External"/><Relationship Id="rId32" Type="http://schemas.openxmlformats.org/officeDocument/2006/relationships/hyperlink" Target="https://dfat.gov.au/about-us/publications/Pages/australian-aid-promoting-prosperity-reducing-poverty-enhancing-stability.aspx" TargetMode="External"/><Relationship Id="rId37" Type="http://schemas.openxmlformats.org/officeDocument/2006/relationships/hyperlink" Target="https://dfat.gov.au/about-us/publications/Pages/private-sector-engagement-in-australias-aid-program-operational-framework.aspx"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alingfrontierinnovation.org" TargetMode="External"/><Relationship Id="rId23" Type="http://schemas.openxmlformats.org/officeDocument/2006/relationships/hyperlink" Target="https://dfat.gov.au/aid/who-we-work-with/private-sector-partnerships/bpp/Pages/business-partnerships-platform.aspx" TargetMode="External"/><Relationship Id="rId28" Type="http://schemas.openxmlformats.org/officeDocument/2006/relationships/hyperlink" Target="https://dfat.gov.au/news/news/Pages/engaging-the-private-sector-in-aid-and-development.aspx" TargetMode="External"/><Relationship Id="rId36" Type="http://schemas.openxmlformats.org/officeDocument/2006/relationships/hyperlink" Target="https://dfat.gov.au/about-us/publications/Pages/strategy-for-australias-aid-investments-in-private-sector-development.aspx" TargetMode="External"/><Relationship Id="rId10" Type="http://schemas.openxmlformats.org/officeDocument/2006/relationships/hyperlink" Target="https://emiif.fund/" TargetMode="External"/><Relationship Id="rId19" Type="http://schemas.openxmlformats.org/officeDocument/2006/relationships/image" Target="media/image3.png"/><Relationship Id="rId31" Type="http://schemas.openxmlformats.org/officeDocument/2006/relationships/hyperlink" Target="https://www.dfat.gov.au/publications/aid/guidance-note-engaging-private-secto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emiif.fund/" TargetMode="External"/><Relationship Id="rId22" Type="http://schemas.openxmlformats.org/officeDocument/2006/relationships/hyperlink" Target="http://thebpp.com.au/" TargetMode="External"/><Relationship Id="rId27" Type="http://schemas.openxmlformats.org/officeDocument/2006/relationships/hyperlink" Target="https://blog.dfat.gov.au/2017/11/22/2017-foreign-policy-white-paper-advancing-australias-interests/" TargetMode="External"/><Relationship Id="rId30" Type="http://schemas.openxmlformats.org/officeDocument/2006/relationships/hyperlink" Target="https://dfat.gov.au/about-us/publications/Pages/private-sector-engagement-in-australias-aid-program-operational-framework.aspx" TargetMode="External"/><Relationship Id="rId35" Type="http://schemas.openxmlformats.org/officeDocument/2006/relationships/hyperlink" Target="https://dfat.gov.au/news/news/Pages/engaging-the-private-sector-in-aid-and-development.aspx"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http://collaboration.titan.satin.lo/AidStatistics/Thematic%20Data/Private%20Sector%20Development%20Data%20Fi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AU" sz="1000"/>
              <a:t>Australian Private</a:t>
            </a:r>
            <a:r>
              <a:rPr lang="en-AU" sz="1000" baseline="0"/>
              <a:t> Sector Development </a:t>
            </a:r>
            <a:r>
              <a:rPr lang="en-AU" sz="1000"/>
              <a:t>ODA,</a:t>
            </a:r>
            <a:br>
              <a:rPr lang="en-AU" sz="1000"/>
            </a:br>
            <a:r>
              <a:rPr lang="en-AU" sz="1000"/>
              <a:t> by Partner Type 2019-20</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7.7262678788921541E-2"/>
          <c:y val="0.29924106944259093"/>
          <c:w val="0.37198198188000597"/>
          <c:h val="0.58476845055385029"/>
        </c:manualLayout>
      </c:layout>
      <c:pieChart>
        <c:varyColors val="1"/>
        <c:ser>
          <c:idx val="0"/>
          <c:order val="0"/>
          <c:tx>
            <c:strRef>
              <c:f>'Aid Fact Sheet'!$F$20</c:f>
              <c:strCache>
                <c:ptCount val="1"/>
                <c:pt idx="0">
                  <c:v>2019-20</c:v>
                </c:pt>
              </c:strCache>
            </c:strRef>
          </c:tx>
          <c:dPt>
            <c:idx val="0"/>
            <c:bubble3D val="0"/>
            <c:spPr>
              <a:solidFill>
                <a:schemeClr val="accent1"/>
              </a:solidFill>
              <a:ln>
                <a:noFill/>
              </a:ln>
              <a:effectLst/>
            </c:spPr>
            <c:extLst>
              <c:ext xmlns:c16="http://schemas.microsoft.com/office/drawing/2014/chart" uri="{C3380CC4-5D6E-409C-BE32-E72D297353CC}">
                <c16:uniqueId val="{00000001-9CEF-41B2-8566-3284DA172F6C}"/>
              </c:ext>
            </c:extLst>
          </c:dPt>
          <c:dPt>
            <c:idx val="1"/>
            <c:bubble3D val="0"/>
            <c:spPr>
              <a:solidFill>
                <a:schemeClr val="accent2"/>
              </a:solidFill>
              <a:ln>
                <a:noFill/>
              </a:ln>
              <a:effectLst/>
            </c:spPr>
            <c:extLst>
              <c:ext xmlns:c16="http://schemas.microsoft.com/office/drawing/2014/chart" uri="{C3380CC4-5D6E-409C-BE32-E72D297353CC}">
                <c16:uniqueId val="{00000003-9CEF-41B2-8566-3284DA172F6C}"/>
              </c:ext>
            </c:extLst>
          </c:dPt>
          <c:dPt>
            <c:idx val="2"/>
            <c:bubble3D val="0"/>
            <c:spPr>
              <a:solidFill>
                <a:schemeClr val="accent3"/>
              </a:solidFill>
              <a:ln>
                <a:noFill/>
              </a:ln>
              <a:effectLst/>
            </c:spPr>
            <c:extLst>
              <c:ext xmlns:c16="http://schemas.microsoft.com/office/drawing/2014/chart" uri="{C3380CC4-5D6E-409C-BE32-E72D297353CC}">
                <c16:uniqueId val="{00000005-9CEF-41B2-8566-3284DA172F6C}"/>
              </c:ext>
            </c:extLst>
          </c:dPt>
          <c:dPt>
            <c:idx val="3"/>
            <c:bubble3D val="0"/>
            <c:spPr>
              <a:solidFill>
                <a:schemeClr val="accent4"/>
              </a:solidFill>
              <a:ln>
                <a:noFill/>
              </a:ln>
              <a:effectLst/>
            </c:spPr>
            <c:extLst>
              <c:ext xmlns:c16="http://schemas.microsoft.com/office/drawing/2014/chart" uri="{C3380CC4-5D6E-409C-BE32-E72D297353CC}">
                <c16:uniqueId val="{00000007-9CEF-41B2-8566-3284DA172F6C}"/>
              </c:ext>
            </c:extLst>
          </c:dPt>
          <c:dPt>
            <c:idx val="4"/>
            <c:bubble3D val="0"/>
            <c:spPr>
              <a:solidFill>
                <a:schemeClr val="accent5"/>
              </a:solidFill>
              <a:ln>
                <a:noFill/>
              </a:ln>
              <a:effectLst/>
            </c:spPr>
            <c:extLst>
              <c:ext xmlns:c16="http://schemas.microsoft.com/office/drawing/2014/chart" uri="{C3380CC4-5D6E-409C-BE32-E72D297353CC}">
                <c16:uniqueId val="{00000009-9CEF-41B2-8566-3284DA172F6C}"/>
              </c:ext>
            </c:extLst>
          </c:dPt>
          <c:dPt>
            <c:idx val="5"/>
            <c:bubble3D val="0"/>
            <c:spPr>
              <a:solidFill>
                <a:schemeClr val="accent6"/>
              </a:solidFill>
              <a:ln>
                <a:noFill/>
              </a:ln>
              <a:effectLst/>
            </c:spPr>
            <c:extLst>
              <c:ext xmlns:c16="http://schemas.microsoft.com/office/drawing/2014/chart" uri="{C3380CC4-5D6E-409C-BE32-E72D297353CC}">
                <c16:uniqueId val="{0000000B-9CEF-41B2-8566-3284DA172F6C}"/>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9CEF-41B2-8566-3284DA172F6C}"/>
              </c:ext>
            </c:extLst>
          </c:dPt>
          <c:dLbls>
            <c:dLbl>
              <c:idx val="0"/>
              <c:layout>
                <c:manualLayout>
                  <c:x val="-1.9950119465085459E-2"/>
                  <c:y val="-3.515845241567031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EF-41B2-8566-3284DA172F6C}"/>
                </c:ext>
              </c:extLst>
            </c:dLbl>
            <c:dLbl>
              <c:idx val="1"/>
              <c:layout>
                <c:manualLayout>
                  <c:x val="2.6669904147444124E-2"/>
                  <c:y val="-3.7690288713910759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9.5140156025735639E-2"/>
                      <c:h val="0.10620394672888112"/>
                    </c:manualLayout>
                  </c15:layout>
                </c:ext>
                <c:ext xmlns:c16="http://schemas.microsoft.com/office/drawing/2014/chart" uri="{C3380CC4-5D6E-409C-BE32-E72D297353CC}">
                  <c16:uniqueId val="{00000003-9CEF-41B2-8566-3284DA172F6C}"/>
                </c:ext>
              </c:extLst>
            </c:dLbl>
            <c:dLbl>
              <c:idx val="2"/>
              <c:layout>
                <c:manualLayout>
                  <c:x val="5.8433245344356845E-3"/>
                  <c:y val="6.172839506172839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F-41B2-8566-3284DA172F6C}"/>
                </c:ext>
              </c:extLst>
            </c:dLbl>
            <c:dLbl>
              <c:idx val="3"/>
              <c:layout>
                <c:manualLayout>
                  <c:x val="9.9750597325427293E-3"/>
                  <c:y val="2.14707883736755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F-41B2-8566-3284DA172F6C}"/>
                </c:ext>
              </c:extLst>
            </c:dLbl>
            <c:dLbl>
              <c:idx val="4"/>
              <c:layout>
                <c:manualLayout>
                  <c:x val="6.6500398216951372E-3"/>
                  <c:y val="-6.7094390978905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F-41B2-8566-3284DA172F6C}"/>
                </c:ext>
              </c:extLst>
            </c:dLbl>
            <c:dLbl>
              <c:idx val="5"/>
              <c:layout>
                <c:manualLayout>
                  <c:x val="1.9950119465085427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CEF-41B2-8566-3284DA172F6C}"/>
                </c:ext>
              </c:extLst>
            </c:dLbl>
            <c:dLbl>
              <c:idx val="6"/>
              <c:layout>
                <c:manualLayout>
                  <c:x val="5.7502229909309442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CEF-41B2-8566-3284DA172F6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'Aid Fact Sheet'!$A$23:$A$28</c:f>
              <c:strCache>
                <c:ptCount val="6"/>
                <c:pt idx="0">
                  <c:v>Multilateral Organisations</c:v>
                </c:pt>
                <c:pt idx="1">
                  <c:v>Commercial Suppliers</c:v>
                </c:pt>
                <c:pt idx="2">
                  <c:v>Australian Public Sector Organisations </c:v>
                </c:pt>
                <c:pt idx="3">
                  <c:v>Non-Government Organisations</c:v>
                </c:pt>
                <c:pt idx="4">
                  <c:v>Developing Country Governments</c:v>
                </c:pt>
                <c:pt idx="5">
                  <c:v>Other Partners</c:v>
                </c:pt>
              </c:strCache>
            </c:strRef>
          </c:cat>
          <c:val>
            <c:numRef>
              <c:f>'Aid Fact Sheet'!$F$23:$F$28</c:f>
              <c:numCache>
                <c:formatCode>0.0</c:formatCode>
                <c:ptCount val="6"/>
                <c:pt idx="0">
                  <c:v>38.067727649042936</c:v>
                </c:pt>
                <c:pt idx="1">
                  <c:v>30.754026487651398</c:v>
                </c:pt>
                <c:pt idx="2">
                  <c:v>8.2968148439939515</c:v>
                </c:pt>
                <c:pt idx="3">
                  <c:v>6.22143491518319</c:v>
                </c:pt>
                <c:pt idx="4">
                  <c:v>7.4190351326859485</c:v>
                </c:pt>
                <c:pt idx="5">
                  <c:v>9.2409609714425862</c:v>
                </c:pt>
              </c:numCache>
            </c:numRef>
          </c:val>
          <c:extLst>
            <c:ext xmlns:c16="http://schemas.microsoft.com/office/drawing/2014/chart" uri="{C3380CC4-5D6E-409C-BE32-E72D297353CC}">
              <c16:uniqueId val="{0000000E-9CEF-41B2-8566-3284DA172F6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9755597945923125"/>
          <c:y val="0.2033006961086386"/>
          <c:w val="0.45839120330223038"/>
          <c:h val="0.721049124178626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3">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8754-0C53-4CC0-A194-B3DDF5C9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4450</Characters>
  <Application>Microsoft Office Word</Application>
  <DocSecurity>0</DocSecurity>
  <Lines>171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2021-05-28T02:18:00Z</dcterms:created>
  <dcterms:modified xsi:type="dcterms:W3CDTF">2021-05-28T02:18:00Z</dcterms:modified>
  <cp:category/>
</cp:coreProperties>
</file>