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DA6F7" w14:textId="77777777" w:rsidR="00873C2B" w:rsidRPr="00545268" w:rsidRDefault="00873C2B" w:rsidP="00873C2B">
      <w:pPr>
        <w:pStyle w:val="Heading1"/>
      </w:pPr>
      <w:r w:rsidRPr="00545268">
        <w:t>Development Cooperation Factsheet</w:t>
      </w:r>
    </w:p>
    <w:p w14:paraId="5C1E2F15" w14:textId="33B20F7B" w:rsidR="00E84101" w:rsidRPr="00E84101" w:rsidRDefault="00775D36" w:rsidP="0091100D">
      <w:pPr>
        <w:pStyle w:val="Heading2"/>
        <w:rPr>
          <w:rStyle w:val="Heading2Char"/>
          <w:sz w:val="80"/>
          <w:szCs w:val="80"/>
        </w:rPr>
      </w:pPr>
      <w:r>
        <w:rPr>
          <w:rStyle w:val="Heading2Char"/>
          <w:sz w:val="80"/>
          <w:szCs w:val="80"/>
        </w:rPr>
        <w:t>Niue</w:t>
      </w:r>
      <w:r w:rsidR="00DF009E">
        <w:rPr>
          <w:rStyle w:val="Heading2Char"/>
          <w:sz w:val="80"/>
          <w:szCs w:val="80"/>
        </w:rPr>
        <w:t xml:space="preserve"> and Tokelau</w:t>
      </w:r>
    </w:p>
    <w:p w14:paraId="41A452FD" w14:textId="3C716893" w:rsidR="004516E0" w:rsidRPr="00F959D5" w:rsidRDefault="00123E7B" w:rsidP="00F76B6A">
      <w:pPr>
        <w:spacing w:before="0"/>
      </w:pPr>
      <w:r>
        <w:t>M</w:t>
      </w:r>
      <w:r w:rsidR="005E5F4A">
        <w:t>ay</w:t>
      </w:r>
      <w:r w:rsidR="00E84101">
        <w:t xml:space="preserve"> 2025</w:t>
      </w:r>
    </w:p>
    <w:p w14:paraId="579AFDE6" w14:textId="65C5A8F1" w:rsidR="00965509" w:rsidRDefault="00F37868" w:rsidP="004A4242">
      <w:pPr>
        <w:rPr>
          <w:rFonts w:asciiTheme="majorHAnsi" w:hAnsiTheme="majorHAnsi"/>
        </w:rPr>
      </w:pPr>
      <w:r w:rsidRPr="00873C2B">
        <w:rPr>
          <w:rStyle w:val="Heading2Char"/>
          <w:noProof/>
          <w:sz w:val="80"/>
          <w:szCs w:val="80"/>
        </w:rPr>
        <w:drawing>
          <wp:anchor distT="0" distB="0" distL="114300" distR="114300" simplePos="0" relativeHeight="251658241" behindDoc="0" locked="0" layoutInCell="1" allowOverlap="1" wp14:anchorId="2B9D1199" wp14:editId="62BD8D99">
            <wp:simplePos x="0" y="0"/>
            <wp:positionH relativeFrom="margin">
              <wp:align>left</wp:align>
            </wp:positionH>
            <wp:positionV relativeFrom="paragraph">
              <wp:posOffset>8890</wp:posOffset>
            </wp:positionV>
            <wp:extent cx="942975" cy="483870"/>
            <wp:effectExtent l="0" t="0" r="0" b="0"/>
            <wp:wrapSquare wrapText="bothSides"/>
            <wp:docPr id="47854687" name="Picture 3" descr="Tokelau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54687" name="Picture 3" descr="Tokelau fla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6048" cy="485610"/>
                    </a:xfrm>
                    <a:prstGeom prst="rect">
                      <a:avLst/>
                    </a:prstGeom>
                    <a:noFill/>
                    <a:ln>
                      <a:noFill/>
                    </a:ln>
                  </pic:spPr>
                </pic:pic>
              </a:graphicData>
            </a:graphic>
            <wp14:sizeRelH relativeFrom="page">
              <wp14:pctWidth>0</wp14:pctWidth>
            </wp14:sizeRelH>
            <wp14:sizeRelV relativeFrom="page">
              <wp14:pctHeight>0</wp14:pctHeight>
            </wp14:sizeRelV>
          </wp:anchor>
        </w:drawing>
      </w:r>
      <w:r w:rsidR="00765F89" w:rsidRPr="00873C2B">
        <w:rPr>
          <w:rFonts w:asciiTheme="majorHAnsi" w:eastAsiaTheme="majorEastAsia" w:hAnsiTheme="majorHAnsi" w:cstheme="majorBidi"/>
          <w:b/>
          <w:caps/>
          <w:noProof/>
          <w:sz w:val="32"/>
          <w:szCs w:val="32"/>
        </w:rPr>
        <w:drawing>
          <wp:anchor distT="0" distB="0" distL="114300" distR="114300" simplePos="0" relativeHeight="251658240" behindDoc="0" locked="0" layoutInCell="1" allowOverlap="1" wp14:anchorId="380620AF" wp14:editId="755FB40F">
            <wp:simplePos x="0" y="0"/>
            <wp:positionH relativeFrom="column">
              <wp:posOffset>1066800</wp:posOffset>
            </wp:positionH>
            <wp:positionV relativeFrom="paragraph">
              <wp:posOffset>8255</wp:posOffset>
            </wp:positionV>
            <wp:extent cx="966470" cy="482600"/>
            <wp:effectExtent l="0" t="0" r="5080" b="0"/>
            <wp:wrapSquare wrapText="bothSides"/>
            <wp:docPr id="393610755" name="Picture 1" descr="Niue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610755" name="Picture 1" descr="Niue flag"/>
                    <pic:cNvPicPr/>
                  </pic:nvPicPr>
                  <pic:blipFill>
                    <a:blip r:embed="rId12"/>
                    <a:stretch>
                      <a:fillRect/>
                    </a:stretch>
                  </pic:blipFill>
                  <pic:spPr>
                    <a:xfrm>
                      <a:off x="0" y="0"/>
                      <a:ext cx="966470" cy="482600"/>
                    </a:xfrm>
                    <a:prstGeom prst="rect">
                      <a:avLst/>
                    </a:prstGeom>
                  </pic:spPr>
                </pic:pic>
              </a:graphicData>
            </a:graphic>
            <wp14:sizeRelH relativeFrom="page">
              <wp14:pctWidth>0</wp14:pctWidth>
            </wp14:sizeRelH>
            <wp14:sizeRelV relativeFrom="page">
              <wp14:pctHeight>0</wp14:pctHeight>
            </wp14:sizeRelV>
          </wp:anchor>
        </w:drawing>
      </w:r>
    </w:p>
    <w:p w14:paraId="66F3B7D6" w14:textId="1C7BFA69" w:rsidR="00873C2B" w:rsidRDefault="00873C2B" w:rsidP="005E5F4A">
      <w:pPr>
        <w:pStyle w:val="Heading3"/>
      </w:pPr>
    </w:p>
    <w:p w14:paraId="7303A756" w14:textId="498E640E" w:rsidR="004516E0" w:rsidRDefault="004516E0" w:rsidP="005E5F4A">
      <w:pPr>
        <w:pStyle w:val="Heading3"/>
      </w:pPr>
      <w:r w:rsidRPr="00C13173">
        <w:t>Overview</w:t>
      </w:r>
      <w:r w:rsidRPr="00545268">
        <w:t xml:space="preserve"> </w:t>
      </w:r>
    </w:p>
    <w:p w14:paraId="04E13C9C" w14:textId="10B5617C" w:rsidR="00873C2B" w:rsidRDefault="00873C2B" w:rsidP="00873C2B">
      <w:pPr>
        <w:pStyle w:val="Overview"/>
        <w:rPr>
          <w:caps/>
        </w:rPr>
      </w:pPr>
      <w:r w:rsidRPr="00545268">
        <w:t xml:space="preserve">Estimated Australian ODA: </w:t>
      </w:r>
      <w:r w:rsidRPr="00C33D8D">
        <w:rPr>
          <w:b w:val="0"/>
          <w:bCs w:val="0"/>
        </w:rPr>
        <w:t>$</w:t>
      </w:r>
      <w:r w:rsidR="001D5CA8">
        <w:rPr>
          <w:b w:val="0"/>
          <w:bCs w:val="0"/>
        </w:rPr>
        <w:t>2.</w:t>
      </w:r>
      <w:r w:rsidR="00D221A7">
        <w:rPr>
          <w:b w:val="0"/>
          <w:bCs w:val="0"/>
        </w:rPr>
        <w:t>5</w:t>
      </w:r>
      <w:r w:rsidR="00893207">
        <w:rPr>
          <w:b w:val="0"/>
          <w:bCs w:val="0"/>
        </w:rPr>
        <w:t>m</w:t>
      </w:r>
      <w:r>
        <w:rPr>
          <w:b w:val="0"/>
          <w:bCs w:val="0"/>
        </w:rPr>
        <w:t xml:space="preserve"> </w:t>
      </w:r>
      <w:r w:rsidRPr="00BB7E09">
        <w:rPr>
          <w:b w:val="0"/>
          <w:bCs w:val="0"/>
        </w:rPr>
        <w:t>(20</w:t>
      </w:r>
      <w:r>
        <w:rPr>
          <w:b w:val="0"/>
          <w:bCs w:val="0"/>
        </w:rPr>
        <w:t>25-26</w:t>
      </w:r>
      <w:r w:rsidRPr="00BB7E09">
        <w:rPr>
          <w:b w:val="0"/>
          <w:bCs w:val="0"/>
        </w:rPr>
        <w:t>)</w:t>
      </w:r>
    </w:p>
    <w:p w14:paraId="3EDD18B8" w14:textId="1BC48E60" w:rsidR="004516E0" w:rsidRDefault="00C12648" w:rsidP="00765F89">
      <w:pPr>
        <w:pStyle w:val="Heading4"/>
        <w:spacing w:before="360" w:after="0"/>
        <w:rPr>
          <w:b w:val="0"/>
          <w:bCs/>
        </w:rPr>
      </w:pPr>
      <w:r w:rsidRPr="00873C2B">
        <w:rPr>
          <w:b w:val="0"/>
          <w:bCs/>
        </w:rPr>
        <w:t xml:space="preserve">Table 1: </w:t>
      </w:r>
      <w:r w:rsidR="00B4776F" w:rsidRPr="00873C2B">
        <w:rPr>
          <w:b w:val="0"/>
          <w:bCs/>
        </w:rPr>
        <w:t xml:space="preserve">Australian ODA to </w:t>
      </w:r>
      <w:r w:rsidR="008574C1" w:rsidRPr="00873C2B">
        <w:rPr>
          <w:b w:val="0"/>
          <w:bCs/>
        </w:rPr>
        <w:t xml:space="preserve">Niue and </w:t>
      </w:r>
      <w:r w:rsidR="003C3FEF" w:rsidRPr="00873C2B">
        <w:rPr>
          <w:b w:val="0"/>
          <w:bCs/>
        </w:rPr>
        <w:t>Tokelau</w:t>
      </w:r>
      <w:r w:rsidR="008574C1" w:rsidRPr="00873C2B">
        <w:rPr>
          <w:b w:val="0"/>
          <w:bCs/>
        </w:rPr>
        <w:t xml:space="preserve"> </w:t>
      </w:r>
      <w:r w:rsidR="00B4776F" w:rsidRPr="00873C2B">
        <w:rPr>
          <w:b w:val="0"/>
          <w:bCs/>
        </w:rPr>
        <w:t>2023-24 to 2025-26</w:t>
      </w:r>
    </w:p>
    <w:tbl>
      <w:tblPr>
        <w:tblStyle w:val="TableGrid"/>
        <w:tblW w:w="0" w:type="auto"/>
        <w:tblBorders>
          <w:top w:val="single" w:sz="4" w:space="0" w:color="98A0A0" w:themeColor="background2" w:themeShade="BF"/>
          <w:left w:val="single" w:sz="4" w:space="0" w:color="98A0A0" w:themeColor="background2" w:themeShade="BF"/>
          <w:bottom w:val="single" w:sz="4" w:space="0" w:color="98A0A0" w:themeColor="background2" w:themeShade="BF"/>
          <w:right w:val="single" w:sz="4" w:space="0" w:color="98A0A0" w:themeColor="background2" w:themeShade="BF"/>
          <w:insideH w:val="single" w:sz="4" w:space="0" w:color="98A0A0" w:themeColor="background2" w:themeShade="BF"/>
          <w:insideV w:val="single" w:sz="4" w:space="0" w:color="98A0A0" w:themeColor="background2" w:themeShade="BF"/>
        </w:tblBorders>
        <w:tblCellMar>
          <w:top w:w="113" w:type="dxa"/>
          <w:bottom w:w="113" w:type="dxa"/>
        </w:tblCellMar>
        <w:tblLook w:val="04A0" w:firstRow="1" w:lastRow="0" w:firstColumn="1" w:lastColumn="0" w:noHBand="0" w:noVBand="1"/>
        <w:tblCaption w:val="Table 1: Australian ODA to Niue and Tokelau 2023-24 to 2025-26"/>
        <w:tblDescription w:val="This table represents the total Australian ODA to Niue and Tokelau, budget and estimate by funding type, 2023 to 2026 – four columns, six rows."/>
      </w:tblPr>
      <w:tblGrid>
        <w:gridCol w:w="3397"/>
        <w:gridCol w:w="2265"/>
        <w:gridCol w:w="2266"/>
        <w:gridCol w:w="2266"/>
      </w:tblGrid>
      <w:tr w:rsidR="00765F89" w14:paraId="529CBF27" w14:textId="77777777" w:rsidTr="00442155">
        <w:trPr>
          <w:cantSplit/>
          <w:trHeight w:val="70"/>
          <w:tblHeader/>
        </w:trPr>
        <w:tc>
          <w:tcPr>
            <w:tcW w:w="3397" w:type="dxa"/>
            <w:shd w:val="clear" w:color="auto" w:fill="313E48" w:themeFill="text1"/>
          </w:tcPr>
          <w:p w14:paraId="3300E010" w14:textId="77777777" w:rsidR="00765F89" w:rsidRPr="0079728E" w:rsidRDefault="00765F89" w:rsidP="00442155">
            <w:pPr>
              <w:pStyle w:val="TableHeading"/>
            </w:pPr>
            <w:r>
              <w:t>Australian ODA</w:t>
            </w:r>
          </w:p>
        </w:tc>
        <w:tc>
          <w:tcPr>
            <w:tcW w:w="2265" w:type="dxa"/>
            <w:shd w:val="clear" w:color="auto" w:fill="313E48" w:themeFill="text1"/>
          </w:tcPr>
          <w:p w14:paraId="43A08700" w14:textId="77777777" w:rsidR="00765F89" w:rsidRDefault="00765F89" w:rsidP="00442155">
            <w:pPr>
              <w:pStyle w:val="TableHeading"/>
              <w:jc w:val="center"/>
            </w:pPr>
            <w:r>
              <w:t>2</w:t>
            </w:r>
            <w:r w:rsidRPr="001E6A8F">
              <w:t>02</w:t>
            </w:r>
            <w:r>
              <w:t>3-24</w:t>
            </w:r>
            <w:r w:rsidRPr="001E6A8F">
              <w:t xml:space="preserve"> Actual ($</w:t>
            </w:r>
            <w:proofErr w:type="gramStart"/>
            <w:r w:rsidRPr="001E6A8F">
              <w:t>m)*</w:t>
            </w:r>
            <w:proofErr w:type="gramEnd"/>
          </w:p>
        </w:tc>
        <w:tc>
          <w:tcPr>
            <w:tcW w:w="2266" w:type="dxa"/>
            <w:shd w:val="clear" w:color="auto" w:fill="313E48" w:themeFill="text1"/>
          </w:tcPr>
          <w:p w14:paraId="0067E5E4" w14:textId="77777777" w:rsidR="00765F89" w:rsidRPr="007332ED" w:rsidRDefault="00765F89" w:rsidP="00442155">
            <w:pPr>
              <w:pStyle w:val="TableHeading"/>
              <w:jc w:val="center"/>
            </w:pPr>
            <w:r w:rsidRPr="001E6A8F">
              <w:t>202</w:t>
            </w:r>
            <w:r>
              <w:t>4-25</w:t>
            </w:r>
            <w:r w:rsidRPr="001E6A8F">
              <w:t xml:space="preserve"> Budget Estimate ($</w:t>
            </w:r>
            <w:proofErr w:type="gramStart"/>
            <w:r w:rsidRPr="001E6A8F">
              <w:t>m)*</w:t>
            </w:r>
            <w:proofErr w:type="gramEnd"/>
          </w:p>
        </w:tc>
        <w:tc>
          <w:tcPr>
            <w:tcW w:w="2266" w:type="dxa"/>
            <w:shd w:val="clear" w:color="auto" w:fill="313E48" w:themeFill="text1"/>
          </w:tcPr>
          <w:p w14:paraId="2CEB1BF8" w14:textId="77777777" w:rsidR="00765F89" w:rsidRPr="007332ED" w:rsidRDefault="00765F89" w:rsidP="00442155">
            <w:pPr>
              <w:pStyle w:val="TableHeading"/>
              <w:jc w:val="center"/>
            </w:pPr>
            <w:r w:rsidRPr="001E6A8F">
              <w:t>202</w:t>
            </w:r>
            <w:r>
              <w:t>5-26</w:t>
            </w:r>
            <w:r w:rsidRPr="001E6A8F">
              <w:t xml:space="preserve"> Budget Estimate ($</w:t>
            </w:r>
            <w:proofErr w:type="gramStart"/>
            <w:r w:rsidRPr="001E6A8F">
              <w:t>m)*</w:t>
            </w:r>
            <w:proofErr w:type="gramEnd"/>
          </w:p>
        </w:tc>
      </w:tr>
      <w:tr w:rsidR="00765F89" w14:paraId="601147D0" w14:textId="77777777" w:rsidTr="00442155">
        <w:tc>
          <w:tcPr>
            <w:tcW w:w="3397" w:type="dxa"/>
          </w:tcPr>
          <w:p w14:paraId="625E1D06" w14:textId="72C9C873" w:rsidR="00765F89" w:rsidRPr="00030679" w:rsidRDefault="00765F89" w:rsidP="00765F89">
            <w:pPr>
              <w:pStyle w:val="TableBodyCopy"/>
            </w:pPr>
            <w:r w:rsidRPr="001E6A8F">
              <w:t>Country Programs</w:t>
            </w:r>
          </w:p>
        </w:tc>
        <w:tc>
          <w:tcPr>
            <w:tcW w:w="2265" w:type="dxa"/>
            <w:vAlign w:val="center"/>
          </w:tcPr>
          <w:p w14:paraId="4F8C518F" w14:textId="17F7FC19" w:rsidR="00765F89" w:rsidRPr="00D34ADE" w:rsidRDefault="00492091" w:rsidP="00765F89">
            <w:pPr>
              <w:pStyle w:val="TableBodyCopy"/>
              <w:jc w:val="center"/>
            </w:pPr>
            <w:r>
              <w:t>3.9</w:t>
            </w:r>
          </w:p>
        </w:tc>
        <w:tc>
          <w:tcPr>
            <w:tcW w:w="2266" w:type="dxa"/>
            <w:vAlign w:val="center"/>
          </w:tcPr>
          <w:p w14:paraId="5521C7BE" w14:textId="0FB69E6B" w:rsidR="00765F89" w:rsidRPr="00D34ADE" w:rsidRDefault="00C54E24" w:rsidP="00765F89">
            <w:pPr>
              <w:pStyle w:val="TableBodyCopy"/>
              <w:jc w:val="center"/>
            </w:pPr>
            <w:r>
              <w:rPr>
                <w:rFonts w:cs="Calibri"/>
                <w:szCs w:val="20"/>
              </w:rPr>
              <w:t>1</w:t>
            </w:r>
            <w:r w:rsidR="00765F89">
              <w:rPr>
                <w:rFonts w:cs="Calibri"/>
                <w:szCs w:val="20"/>
              </w:rPr>
              <w:t>.9</w:t>
            </w:r>
          </w:p>
        </w:tc>
        <w:tc>
          <w:tcPr>
            <w:tcW w:w="2266" w:type="dxa"/>
            <w:vAlign w:val="center"/>
          </w:tcPr>
          <w:p w14:paraId="0BF8BA57" w14:textId="180DA4E9" w:rsidR="00765F89" w:rsidRPr="00D34ADE" w:rsidRDefault="00765F89" w:rsidP="00765F89">
            <w:pPr>
              <w:pStyle w:val="TableBodyCopy"/>
              <w:jc w:val="center"/>
            </w:pPr>
            <w:r>
              <w:rPr>
                <w:rFonts w:cs="Calibri"/>
                <w:szCs w:val="20"/>
              </w:rPr>
              <w:t>1.9</w:t>
            </w:r>
          </w:p>
        </w:tc>
      </w:tr>
      <w:tr w:rsidR="00765F89" w14:paraId="29FC3D86" w14:textId="77777777" w:rsidTr="00442155">
        <w:tc>
          <w:tcPr>
            <w:tcW w:w="3397" w:type="dxa"/>
          </w:tcPr>
          <w:p w14:paraId="11FCD6D9" w14:textId="41599946" w:rsidR="00765F89" w:rsidRPr="00030679" w:rsidRDefault="00765F89" w:rsidP="00765F89">
            <w:pPr>
              <w:pStyle w:val="TableBodyCopy"/>
            </w:pPr>
            <w:r>
              <w:t>Regional</w:t>
            </w:r>
          </w:p>
        </w:tc>
        <w:tc>
          <w:tcPr>
            <w:tcW w:w="2265" w:type="dxa"/>
            <w:vAlign w:val="center"/>
          </w:tcPr>
          <w:p w14:paraId="2BCB05F8" w14:textId="65CAA0BA" w:rsidR="00765F89" w:rsidRPr="00D34ADE" w:rsidRDefault="00765F89" w:rsidP="00765F89">
            <w:pPr>
              <w:pStyle w:val="TableBodyCopy"/>
              <w:jc w:val="center"/>
            </w:pPr>
            <w:r>
              <w:rPr>
                <w:rFonts w:cs="Calibri"/>
                <w:szCs w:val="20"/>
              </w:rPr>
              <w:t>0.</w:t>
            </w:r>
            <w:r w:rsidR="007D395A">
              <w:rPr>
                <w:rFonts w:cs="Calibri"/>
                <w:szCs w:val="20"/>
              </w:rPr>
              <w:t>5</w:t>
            </w:r>
          </w:p>
        </w:tc>
        <w:tc>
          <w:tcPr>
            <w:tcW w:w="2266" w:type="dxa"/>
            <w:vAlign w:val="center"/>
          </w:tcPr>
          <w:p w14:paraId="26B0CB58" w14:textId="44DC1D99" w:rsidR="00765F89" w:rsidRPr="00D34ADE" w:rsidRDefault="00765F89" w:rsidP="00765F89">
            <w:pPr>
              <w:pStyle w:val="TableBodyCopy"/>
              <w:jc w:val="center"/>
            </w:pPr>
            <w:r>
              <w:rPr>
                <w:rFonts w:cs="Calibri"/>
                <w:szCs w:val="20"/>
              </w:rPr>
              <w:t>0.</w:t>
            </w:r>
            <w:r w:rsidR="00C54E24">
              <w:rPr>
                <w:rFonts w:cs="Calibri"/>
                <w:szCs w:val="20"/>
              </w:rPr>
              <w:t>2</w:t>
            </w:r>
          </w:p>
        </w:tc>
        <w:tc>
          <w:tcPr>
            <w:tcW w:w="2266" w:type="dxa"/>
            <w:vAlign w:val="center"/>
          </w:tcPr>
          <w:p w14:paraId="6775B70C" w14:textId="1D03CF91" w:rsidR="00765F89" w:rsidRPr="00D34ADE" w:rsidRDefault="00765F89" w:rsidP="00765F89">
            <w:pPr>
              <w:pStyle w:val="TableBodyCopy"/>
              <w:jc w:val="center"/>
            </w:pPr>
            <w:r>
              <w:rPr>
                <w:rFonts w:cs="Calibri"/>
                <w:szCs w:val="20"/>
              </w:rPr>
              <w:t>0.</w:t>
            </w:r>
            <w:r w:rsidR="006F6FCD">
              <w:rPr>
                <w:rFonts w:cs="Calibri"/>
                <w:szCs w:val="20"/>
              </w:rPr>
              <w:t>4</w:t>
            </w:r>
          </w:p>
        </w:tc>
      </w:tr>
      <w:tr w:rsidR="00765F89" w14:paraId="4ED0EFDA" w14:textId="77777777" w:rsidTr="00442155">
        <w:tc>
          <w:tcPr>
            <w:tcW w:w="3397" w:type="dxa"/>
          </w:tcPr>
          <w:p w14:paraId="4CD10250" w14:textId="07D7ED13" w:rsidR="00765F89" w:rsidRDefault="00765F89" w:rsidP="00765F89">
            <w:pPr>
              <w:pStyle w:val="TableBodyCopy"/>
            </w:pPr>
            <w:r>
              <w:t>Global / Other</w:t>
            </w:r>
          </w:p>
        </w:tc>
        <w:tc>
          <w:tcPr>
            <w:tcW w:w="2265" w:type="dxa"/>
            <w:vAlign w:val="center"/>
          </w:tcPr>
          <w:p w14:paraId="09529F97" w14:textId="7FA2D096" w:rsidR="00765F89" w:rsidRPr="00D34ADE" w:rsidRDefault="007D395A" w:rsidP="00765F89">
            <w:pPr>
              <w:pStyle w:val="TableBodyCopy"/>
              <w:jc w:val="center"/>
            </w:pPr>
            <w:r>
              <w:t>0.5</w:t>
            </w:r>
          </w:p>
        </w:tc>
        <w:tc>
          <w:tcPr>
            <w:tcW w:w="2266" w:type="dxa"/>
            <w:vAlign w:val="center"/>
          </w:tcPr>
          <w:p w14:paraId="41C1263E" w14:textId="7CCDC64C" w:rsidR="00765F89" w:rsidRPr="00D34ADE" w:rsidRDefault="00765F89" w:rsidP="00765F89">
            <w:pPr>
              <w:pStyle w:val="TableBodyCopy"/>
              <w:jc w:val="center"/>
            </w:pPr>
            <w:r>
              <w:rPr>
                <w:rFonts w:cs="Calibri"/>
                <w:szCs w:val="20"/>
              </w:rPr>
              <w:t>0.</w:t>
            </w:r>
            <w:r w:rsidR="00C54E24">
              <w:rPr>
                <w:rFonts w:cs="Calibri"/>
                <w:szCs w:val="20"/>
              </w:rPr>
              <w:t>2</w:t>
            </w:r>
          </w:p>
        </w:tc>
        <w:tc>
          <w:tcPr>
            <w:tcW w:w="2266" w:type="dxa"/>
            <w:vAlign w:val="center"/>
          </w:tcPr>
          <w:p w14:paraId="29E4EFD1" w14:textId="5A5527F4" w:rsidR="00765F89" w:rsidRPr="00D34ADE" w:rsidRDefault="00765F89" w:rsidP="00765F89">
            <w:pPr>
              <w:pStyle w:val="TableBodyCopy"/>
              <w:jc w:val="center"/>
            </w:pPr>
            <w:r>
              <w:rPr>
                <w:rFonts w:cs="Calibri"/>
                <w:szCs w:val="20"/>
              </w:rPr>
              <w:t>0.2</w:t>
            </w:r>
          </w:p>
        </w:tc>
      </w:tr>
      <w:tr w:rsidR="00765F89" w14:paraId="75A9BE13" w14:textId="77777777" w:rsidTr="00442155">
        <w:tc>
          <w:tcPr>
            <w:tcW w:w="3397" w:type="dxa"/>
          </w:tcPr>
          <w:p w14:paraId="408E709C" w14:textId="25F1160E" w:rsidR="00765F89" w:rsidRDefault="00765F89" w:rsidP="00765F89">
            <w:pPr>
              <w:pStyle w:val="TableBodyCopy"/>
            </w:pPr>
            <w:r>
              <w:t>Other Government Departments</w:t>
            </w:r>
          </w:p>
        </w:tc>
        <w:tc>
          <w:tcPr>
            <w:tcW w:w="2265" w:type="dxa"/>
            <w:vAlign w:val="center"/>
          </w:tcPr>
          <w:p w14:paraId="3382F886" w14:textId="38E4F9C8" w:rsidR="00765F89" w:rsidRPr="00D34ADE" w:rsidRDefault="00765F89" w:rsidP="00765F89">
            <w:pPr>
              <w:pStyle w:val="TableBodyCopy"/>
              <w:jc w:val="center"/>
            </w:pPr>
            <w:r>
              <w:rPr>
                <w:rFonts w:cs="Calibri"/>
                <w:szCs w:val="20"/>
              </w:rPr>
              <w:t>-</w:t>
            </w:r>
          </w:p>
        </w:tc>
        <w:tc>
          <w:tcPr>
            <w:tcW w:w="2266" w:type="dxa"/>
            <w:vAlign w:val="center"/>
          </w:tcPr>
          <w:p w14:paraId="4284FD14" w14:textId="54231D0C" w:rsidR="00765F89" w:rsidRPr="00D34ADE" w:rsidRDefault="00765F89" w:rsidP="00765F89">
            <w:pPr>
              <w:pStyle w:val="TableBodyCopy"/>
              <w:jc w:val="center"/>
            </w:pPr>
            <w:r>
              <w:rPr>
                <w:rFonts w:cs="Calibri"/>
                <w:szCs w:val="20"/>
              </w:rPr>
              <w:t>-</w:t>
            </w:r>
          </w:p>
        </w:tc>
        <w:tc>
          <w:tcPr>
            <w:tcW w:w="2266" w:type="dxa"/>
            <w:vAlign w:val="center"/>
          </w:tcPr>
          <w:p w14:paraId="02EDBE4A" w14:textId="3E24A53F" w:rsidR="00765F89" w:rsidRPr="00D34ADE" w:rsidRDefault="00765F89" w:rsidP="00765F89">
            <w:pPr>
              <w:pStyle w:val="TableBodyCopy"/>
              <w:jc w:val="center"/>
            </w:pPr>
            <w:r>
              <w:rPr>
                <w:rFonts w:cs="Calibri"/>
                <w:szCs w:val="20"/>
              </w:rPr>
              <w:t>-</w:t>
            </w:r>
          </w:p>
        </w:tc>
      </w:tr>
      <w:tr w:rsidR="00765F89" w14:paraId="71762374" w14:textId="77777777" w:rsidTr="00442155">
        <w:tc>
          <w:tcPr>
            <w:tcW w:w="3397" w:type="dxa"/>
          </w:tcPr>
          <w:p w14:paraId="0BEDCAA8" w14:textId="581E47C4" w:rsidR="00765F89" w:rsidRPr="001E6A8F" w:rsidRDefault="00765F89" w:rsidP="00765F89">
            <w:pPr>
              <w:pStyle w:val="TableBodyCopy"/>
              <w:rPr>
                <w:b/>
                <w:bCs/>
              </w:rPr>
            </w:pPr>
            <w:r w:rsidRPr="001E6A8F">
              <w:rPr>
                <w:b/>
                <w:bCs/>
              </w:rPr>
              <w:t xml:space="preserve">Total ODA to </w:t>
            </w:r>
            <w:r w:rsidRPr="00FB51E4">
              <w:rPr>
                <w:b/>
                <w:bCs/>
              </w:rPr>
              <w:t>Niue and Tokelau</w:t>
            </w:r>
          </w:p>
        </w:tc>
        <w:tc>
          <w:tcPr>
            <w:tcW w:w="2265" w:type="dxa"/>
            <w:vAlign w:val="bottom"/>
          </w:tcPr>
          <w:p w14:paraId="3C843ADD" w14:textId="61202B87" w:rsidR="00765F89" w:rsidRPr="00D34ADE" w:rsidRDefault="007D395A" w:rsidP="00765F89">
            <w:pPr>
              <w:pStyle w:val="TableBodyCopy"/>
              <w:jc w:val="center"/>
              <w:rPr>
                <w:b/>
                <w:bCs/>
              </w:rPr>
            </w:pPr>
            <w:r>
              <w:rPr>
                <w:b/>
                <w:bCs/>
              </w:rPr>
              <w:t>4.9</w:t>
            </w:r>
          </w:p>
        </w:tc>
        <w:tc>
          <w:tcPr>
            <w:tcW w:w="2266" w:type="dxa"/>
            <w:vAlign w:val="bottom"/>
          </w:tcPr>
          <w:p w14:paraId="37D31417" w14:textId="75404EDA" w:rsidR="00765F89" w:rsidRPr="00D34ADE" w:rsidRDefault="00981C22" w:rsidP="00765F89">
            <w:pPr>
              <w:pStyle w:val="TableBodyCopy"/>
              <w:jc w:val="center"/>
              <w:rPr>
                <w:b/>
                <w:bCs/>
              </w:rPr>
            </w:pPr>
            <w:r>
              <w:rPr>
                <w:b/>
                <w:bCs/>
              </w:rPr>
              <w:t>2.3</w:t>
            </w:r>
          </w:p>
        </w:tc>
        <w:tc>
          <w:tcPr>
            <w:tcW w:w="2266" w:type="dxa"/>
            <w:vAlign w:val="bottom"/>
          </w:tcPr>
          <w:p w14:paraId="37B68E19" w14:textId="1C90BD25" w:rsidR="00765F89" w:rsidRPr="00D34ADE" w:rsidRDefault="00765F89" w:rsidP="00765F89">
            <w:pPr>
              <w:pStyle w:val="TableBodyCopy"/>
              <w:jc w:val="center"/>
              <w:rPr>
                <w:b/>
                <w:bCs/>
              </w:rPr>
            </w:pPr>
            <w:r>
              <w:rPr>
                <w:rFonts w:cs="Calibri"/>
                <w:b/>
                <w:bCs/>
                <w:szCs w:val="20"/>
              </w:rPr>
              <w:t>2.</w:t>
            </w:r>
            <w:r w:rsidR="006F6FCD">
              <w:rPr>
                <w:rFonts w:cs="Calibri"/>
                <w:b/>
                <w:bCs/>
                <w:szCs w:val="20"/>
              </w:rPr>
              <w:t>5</w:t>
            </w:r>
          </w:p>
        </w:tc>
      </w:tr>
      <w:tr w:rsidR="00765F89" w14:paraId="40D10902" w14:textId="77777777" w:rsidTr="00442155">
        <w:tc>
          <w:tcPr>
            <w:tcW w:w="3397" w:type="dxa"/>
          </w:tcPr>
          <w:p w14:paraId="5C3B1931" w14:textId="405F736E" w:rsidR="00765F89" w:rsidRPr="001E6A8F" w:rsidRDefault="00765F89" w:rsidP="00765F89">
            <w:pPr>
              <w:pStyle w:val="TableBodyCopy"/>
              <w:rPr>
                <w:b/>
                <w:bCs/>
              </w:rPr>
            </w:pPr>
            <w:r w:rsidRPr="00780DC2">
              <w:rPr>
                <w:b/>
                <w:bCs/>
                <w:iCs/>
              </w:rPr>
              <w:t>Percentage total Aust</w:t>
            </w:r>
            <w:r>
              <w:rPr>
                <w:b/>
                <w:bCs/>
                <w:iCs/>
              </w:rPr>
              <w:t>ralian</w:t>
            </w:r>
            <w:r w:rsidRPr="00780DC2">
              <w:rPr>
                <w:b/>
                <w:bCs/>
                <w:iCs/>
              </w:rPr>
              <w:t xml:space="preserve"> ODA</w:t>
            </w:r>
          </w:p>
        </w:tc>
        <w:tc>
          <w:tcPr>
            <w:tcW w:w="2265" w:type="dxa"/>
            <w:vAlign w:val="bottom"/>
          </w:tcPr>
          <w:p w14:paraId="624256F9" w14:textId="3C02B4D1" w:rsidR="00765F89" w:rsidRPr="00D34ADE" w:rsidRDefault="00765F89" w:rsidP="00765F89">
            <w:pPr>
              <w:pStyle w:val="TableBodyCopy"/>
              <w:jc w:val="center"/>
              <w:rPr>
                <w:b/>
                <w:bCs/>
              </w:rPr>
            </w:pPr>
            <w:r>
              <w:rPr>
                <w:rFonts w:cs="Calibri"/>
                <w:b/>
                <w:bCs/>
                <w:szCs w:val="20"/>
              </w:rPr>
              <w:t>0.1%</w:t>
            </w:r>
          </w:p>
        </w:tc>
        <w:tc>
          <w:tcPr>
            <w:tcW w:w="2266" w:type="dxa"/>
            <w:vAlign w:val="bottom"/>
          </w:tcPr>
          <w:p w14:paraId="260F770F" w14:textId="7B316E5B" w:rsidR="00765F89" w:rsidRPr="00D34ADE" w:rsidRDefault="00765F89" w:rsidP="00765F89">
            <w:pPr>
              <w:pStyle w:val="TableBodyCopy"/>
              <w:jc w:val="center"/>
              <w:rPr>
                <w:b/>
                <w:bCs/>
              </w:rPr>
            </w:pPr>
            <w:r>
              <w:rPr>
                <w:rFonts w:cs="Calibri"/>
                <w:b/>
                <w:bCs/>
                <w:szCs w:val="20"/>
              </w:rPr>
              <w:t>0.</w:t>
            </w:r>
            <w:r w:rsidR="00981C22">
              <w:rPr>
                <w:rFonts w:cs="Calibri"/>
                <w:b/>
                <w:bCs/>
                <w:szCs w:val="20"/>
              </w:rPr>
              <w:t>0</w:t>
            </w:r>
            <w:r>
              <w:rPr>
                <w:rFonts w:cs="Calibri"/>
                <w:b/>
                <w:bCs/>
                <w:szCs w:val="20"/>
              </w:rPr>
              <w:t>%</w:t>
            </w:r>
          </w:p>
        </w:tc>
        <w:tc>
          <w:tcPr>
            <w:tcW w:w="2266" w:type="dxa"/>
            <w:vAlign w:val="bottom"/>
          </w:tcPr>
          <w:p w14:paraId="3A5743CE" w14:textId="0483CF10" w:rsidR="00765F89" w:rsidRPr="00D34ADE" w:rsidRDefault="00765F89" w:rsidP="00765F89">
            <w:pPr>
              <w:pStyle w:val="TableBodyCopy"/>
              <w:jc w:val="center"/>
              <w:rPr>
                <w:b/>
                <w:bCs/>
              </w:rPr>
            </w:pPr>
            <w:r>
              <w:rPr>
                <w:rFonts w:cs="Calibri"/>
                <w:b/>
                <w:bCs/>
                <w:szCs w:val="20"/>
              </w:rPr>
              <w:t>0.0%</w:t>
            </w:r>
          </w:p>
        </w:tc>
      </w:tr>
    </w:tbl>
    <w:p w14:paraId="1BFAA7F7" w14:textId="77777777" w:rsidR="00821275" w:rsidRDefault="00821275" w:rsidP="00821275">
      <w:pPr>
        <w:pStyle w:val="Caption"/>
      </w:pPr>
      <w:r w:rsidRPr="00771669">
        <w:t xml:space="preserve">*Due to rounding, </w:t>
      </w:r>
      <w:r w:rsidRPr="003575EF">
        <w:t>discrepancies</w:t>
      </w:r>
      <w:r w:rsidRPr="00771669">
        <w:t xml:space="preserve"> may occur between sums of the component items in totals</w:t>
      </w:r>
    </w:p>
    <w:p w14:paraId="7E10FA8D" w14:textId="01344B50" w:rsidR="00821275" w:rsidRDefault="00821275" w:rsidP="00821275">
      <w:pPr>
        <w:pStyle w:val="Heading4"/>
        <w:rPr>
          <w:b w:val="0"/>
          <w:bCs/>
        </w:rPr>
      </w:pPr>
      <w:r>
        <w:rPr>
          <w:b w:val="0"/>
          <w:bCs/>
        </w:rPr>
        <w:t xml:space="preserve">Figure 1: </w:t>
      </w:r>
      <w:r w:rsidRPr="00E5168F">
        <w:rPr>
          <w:b w:val="0"/>
          <w:bCs/>
        </w:rPr>
        <w:t xml:space="preserve">Australian ODA to </w:t>
      </w:r>
      <w:r>
        <w:rPr>
          <w:b w:val="0"/>
          <w:bCs/>
        </w:rPr>
        <w:t xml:space="preserve">Niue and Tokelau </w:t>
      </w:r>
      <w:r w:rsidRPr="00E5168F">
        <w:rPr>
          <w:b w:val="0"/>
          <w:bCs/>
        </w:rPr>
        <w:t>by Sector Group, 2025</w:t>
      </w:r>
      <w:r>
        <w:rPr>
          <w:b w:val="0"/>
          <w:bCs/>
        </w:rPr>
        <w:t>-26</w:t>
      </w:r>
      <w:r w:rsidRPr="00E5168F">
        <w:rPr>
          <w:b w:val="0"/>
          <w:bCs/>
        </w:rPr>
        <w:t xml:space="preserve"> budget estimate</w:t>
      </w:r>
      <w:r>
        <w:rPr>
          <w:noProof/>
        </w:rPr>
        <w:t xml:space="preserve"> </w:t>
      </w:r>
    </w:p>
    <w:p w14:paraId="7041CBA3" w14:textId="76F6D41B" w:rsidR="00CA5C22" w:rsidRPr="00CA5C22" w:rsidRDefault="00CA5C22" w:rsidP="00CA5C22">
      <w:pPr>
        <w:spacing w:before="0" w:after="0" w:line="240" w:lineRule="auto"/>
        <w:rPr>
          <w:lang w:val="en-US"/>
        </w:rPr>
      </w:pPr>
      <w:r w:rsidRPr="00CA5C22">
        <w:rPr>
          <w:noProof/>
          <w:lang w:val="en-US"/>
        </w:rPr>
        <w:drawing>
          <wp:inline distT="0" distB="0" distL="0" distR="0" wp14:anchorId="248A7F49" wp14:editId="1D17D7BB">
            <wp:extent cx="6480810" cy="2354580"/>
            <wp:effectExtent l="0" t="0" r="0" b="7620"/>
            <wp:docPr id="1517440197" name="Picture 2" descr="Figure 1 presents the percentage of Australia’s Official Development Assistance (ODA) to Niue and Tokelau for the financial year 2025-26 attributable to seven sector groups.&#10;&#10;This information is presented in a doughnut chart, where the seven primary Sector Groups take a portion of shading in the doughnut in direct proportion to the total percentage attributable to each Sector Group.&#10;&#10;The percentages of total Australian ODA by Sector Groups are:&#10;Agriculture, trade and other production services 0%&#10;Economic infrastructure and services 4%&#10;Education 74%&#10;Governance 10%&#10;Health 12%&#10;Humanitarian 0%&#10;Multisector and General Development Support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440197" name="Picture 2" descr="Figure 1 presents the percentage of Australia’s Official Development Assistance (ODA) to Niue and Tokelau for the financial year 2025-26 attributable to seven sector groups.&#10;&#10;This information is presented in a doughnut chart, where the seven primary Sector Groups take a portion of shading in the doughnut in direct proportion to the total percentage attributable to each Sector Group.&#10;&#10;The percentages of total Australian ODA by Sector Groups are:&#10;Agriculture, trade and other production services 0%&#10;Economic infrastructure and services 4%&#10;Education 74%&#10;Governance 10%&#10;Health 12%&#10;Humanitarian 0%&#10;Multisector and General Development Support 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80810" cy="2354580"/>
                    </a:xfrm>
                    <a:prstGeom prst="rect">
                      <a:avLst/>
                    </a:prstGeom>
                    <a:noFill/>
                    <a:ln>
                      <a:noFill/>
                    </a:ln>
                  </pic:spPr>
                </pic:pic>
              </a:graphicData>
            </a:graphic>
          </wp:inline>
        </w:drawing>
      </w:r>
    </w:p>
    <w:p w14:paraId="0E12DFBD" w14:textId="6565897E" w:rsidR="005E0494" w:rsidRPr="000C255A" w:rsidRDefault="005E0494" w:rsidP="005E0494">
      <w:pPr>
        <w:pStyle w:val="Heading3"/>
      </w:pPr>
      <w:r w:rsidRPr="000C255A">
        <w:lastRenderedPageBreak/>
        <w:t>Sustainable Development Goals</w:t>
      </w:r>
    </w:p>
    <w:p w14:paraId="051E1427" w14:textId="77777777" w:rsidR="005E0494" w:rsidRPr="008574C1" w:rsidRDefault="005E0494" w:rsidP="005E0494">
      <w:pPr>
        <w:rPr>
          <w:sz w:val="18"/>
          <w:szCs w:val="18"/>
        </w:rPr>
      </w:pPr>
      <w:r w:rsidRPr="008574C1">
        <w:rPr>
          <w:noProof/>
          <w:sz w:val="18"/>
          <w:szCs w:val="18"/>
        </w:rPr>
        <w:drawing>
          <wp:inline distT="0" distB="0" distL="0" distR="0" wp14:anchorId="6BBFA01F" wp14:editId="316EAB64">
            <wp:extent cx="548640" cy="548640"/>
            <wp:effectExtent l="0" t="0" r="3810" b="3810"/>
            <wp:docPr id="1335721681" name="Picture 3" descr="SDG 3 - Good health and 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721681" name="Picture 3" descr="SDG 3 - Good health and well-be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sidRPr="008574C1">
        <w:rPr>
          <w:noProof/>
          <w:sz w:val="18"/>
          <w:szCs w:val="18"/>
        </w:rPr>
        <w:drawing>
          <wp:inline distT="0" distB="0" distL="0" distR="0" wp14:anchorId="7DB1E4FB" wp14:editId="2CAA603B">
            <wp:extent cx="548640" cy="548640"/>
            <wp:effectExtent l="0" t="0" r="3810" b="3810"/>
            <wp:docPr id="662642502" name="Picture 4" descr="SDG 4 - Qualit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642502" name="Picture 4" descr="SDG 4 - Quality Education"/>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sidRPr="008574C1">
        <w:rPr>
          <w:noProof/>
          <w:sz w:val="18"/>
          <w:szCs w:val="18"/>
        </w:rPr>
        <w:drawing>
          <wp:inline distT="0" distB="0" distL="0" distR="0" wp14:anchorId="1F3A7268" wp14:editId="2043B163">
            <wp:extent cx="548640" cy="548640"/>
            <wp:effectExtent l="0" t="0" r="3810" b="3810"/>
            <wp:docPr id="635455102" name="Picture 6" descr="SDG 6 - Clean water and san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455102" name="Picture 6" descr="SDG 6 - Clean water and sanitatio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sidRPr="008574C1">
        <w:rPr>
          <w:noProof/>
          <w:sz w:val="18"/>
          <w:szCs w:val="18"/>
        </w:rPr>
        <w:drawing>
          <wp:inline distT="0" distB="0" distL="0" distR="0" wp14:anchorId="5FF8DFE1" wp14:editId="69B1AE6D">
            <wp:extent cx="548640" cy="548640"/>
            <wp:effectExtent l="0" t="0" r="3810" b="3810"/>
            <wp:docPr id="1453189815" name="Picture 5" descr="SDG 12 - Responsible consumption and pro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189815" name="Picture 5" descr="SDG 12 - Responsible consumption and production"/>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sidRPr="008574C1">
        <w:rPr>
          <w:noProof/>
          <w:sz w:val="18"/>
          <w:szCs w:val="18"/>
        </w:rPr>
        <w:drawing>
          <wp:inline distT="0" distB="0" distL="0" distR="0" wp14:anchorId="607D76D2" wp14:editId="48442D5B">
            <wp:extent cx="548640" cy="548640"/>
            <wp:effectExtent l="0" t="0" r="3810" b="3810"/>
            <wp:docPr id="1492329656" name="Picture 9" descr="SDG 16 - Peace, justice and strong instit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329656" name="Picture 9" descr="SDG 16 - Peace, justice and strong institutions"/>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p>
    <w:p w14:paraId="6DF7E260" w14:textId="795809B2" w:rsidR="005E0494" w:rsidRPr="003118A6" w:rsidRDefault="005E0494" w:rsidP="005E0494">
      <w:pPr>
        <w:pStyle w:val="Heading3"/>
        <w:rPr>
          <w:rFonts w:eastAsia="Calibri" w:cstheme="majorHAnsi"/>
          <w:b w:val="0"/>
          <w:bCs/>
          <w:sz w:val="22"/>
          <w:szCs w:val="22"/>
        </w:rPr>
      </w:pPr>
      <w:r w:rsidRPr="003118A6">
        <w:rPr>
          <w:rFonts w:eastAsia="Calibri" w:cstheme="majorHAnsi"/>
          <w:b w:val="0"/>
          <w:bCs/>
          <w:sz w:val="22"/>
          <w:szCs w:val="22"/>
        </w:rPr>
        <w:t>Australia’s development assistance to Niue is carefully targeted to ensure it contributes to the prosperity and sustainability of Niue. We will provide an estimated $</w:t>
      </w:r>
      <w:r w:rsidR="00C569A4" w:rsidRPr="003118A6">
        <w:rPr>
          <w:rFonts w:eastAsia="Calibri" w:cstheme="majorHAnsi"/>
          <w:b w:val="0"/>
          <w:bCs/>
          <w:sz w:val="22"/>
          <w:szCs w:val="22"/>
        </w:rPr>
        <w:t>2.</w:t>
      </w:r>
      <w:r w:rsidR="004C3EF5" w:rsidRPr="003118A6">
        <w:rPr>
          <w:rFonts w:eastAsia="Calibri" w:cstheme="majorHAnsi"/>
          <w:b w:val="0"/>
          <w:bCs/>
          <w:sz w:val="22"/>
          <w:szCs w:val="22"/>
        </w:rPr>
        <w:t>5</w:t>
      </w:r>
      <w:r w:rsidRPr="003118A6">
        <w:rPr>
          <w:rFonts w:eastAsia="Calibri" w:cstheme="majorHAnsi"/>
          <w:b w:val="0"/>
          <w:bCs/>
          <w:sz w:val="22"/>
          <w:szCs w:val="22"/>
        </w:rPr>
        <w:t xml:space="preserve"> million in official development assistance (ODA) in 202</w:t>
      </w:r>
      <w:r w:rsidR="004C3EF5" w:rsidRPr="003118A6">
        <w:rPr>
          <w:rFonts w:eastAsia="Calibri" w:cstheme="majorHAnsi"/>
          <w:b w:val="0"/>
          <w:bCs/>
          <w:sz w:val="22"/>
          <w:szCs w:val="22"/>
        </w:rPr>
        <w:t>5</w:t>
      </w:r>
      <w:r w:rsidRPr="003118A6">
        <w:rPr>
          <w:rFonts w:eastAsia="Calibri" w:cstheme="majorHAnsi"/>
          <w:b w:val="0"/>
          <w:bCs/>
          <w:sz w:val="22"/>
          <w:szCs w:val="22"/>
        </w:rPr>
        <w:t>-2</w:t>
      </w:r>
      <w:r w:rsidR="004C3EF5" w:rsidRPr="003118A6">
        <w:rPr>
          <w:rFonts w:eastAsia="Calibri" w:cstheme="majorHAnsi"/>
          <w:b w:val="0"/>
          <w:bCs/>
          <w:sz w:val="22"/>
          <w:szCs w:val="22"/>
        </w:rPr>
        <w:t>6</w:t>
      </w:r>
      <w:r w:rsidRPr="003118A6">
        <w:rPr>
          <w:rFonts w:eastAsia="Calibri" w:cstheme="majorHAnsi"/>
          <w:b w:val="0"/>
          <w:bCs/>
          <w:sz w:val="22"/>
          <w:szCs w:val="22"/>
        </w:rPr>
        <w:t xml:space="preserve"> to Niue</w:t>
      </w:r>
      <w:r w:rsidR="004C3EF5" w:rsidRPr="003118A6">
        <w:rPr>
          <w:rFonts w:eastAsia="Calibri" w:cstheme="majorHAnsi"/>
          <w:b w:val="0"/>
          <w:bCs/>
          <w:sz w:val="22"/>
          <w:szCs w:val="22"/>
        </w:rPr>
        <w:t xml:space="preserve"> and Tokelau. </w:t>
      </w:r>
      <w:r w:rsidRPr="003118A6">
        <w:rPr>
          <w:rFonts w:eastAsia="Calibri" w:cstheme="majorHAnsi"/>
          <w:b w:val="0"/>
          <w:bCs/>
          <w:sz w:val="22"/>
          <w:szCs w:val="22"/>
        </w:rPr>
        <w:t>We support priority sectors of economic growth, health, education, water and sanitation, waste management, and effective governance. Australia’s development partnership with Tokelau delivers $400,000 in ODA each year through a delegated cooperation agreement with New Zealand. Our priority sectors are health and education.</w:t>
      </w:r>
    </w:p>
    <w:p w14:paraId="59B45E48" w14:textId="77777777" w:rsidR="005E0494" w:rsidRPr="000C255A" w:rsidRDefault="005E0494" w:rsidP="005E0494">
      <w:pPr>
        <w:pStyle w:val="Heading3"/>
      </w:pPr>
      <w:r w:rsidRPr="000C255A">
        <w:t>Strategic direction</w:t>
      </w:r>
    </w:p>
    <w:p w14:paraId="7791CF16" w14:textId="77777777" w:rsidR="005E0494" w:rsidRPr="003118A6" w:rsidRDefault="005E0494" w:rsidP="005E0494">
      <w:pPr>
        <w:pStyle w:val="Heading3"/>
        <w:rPr>
          <w:rFonts w:eastAsia="Calibri" w:cstheme="majorHAnsi"/>
          <w:b w:val="0"/>
          <w:bCs/>
          <w:sz w:val="22"/>
          <w:szCs w:val="22"/>
        </w:rPr>
      </w:pPr>
      <w:r w:rsidRPr="003118A6">
        <w:rPr>
          <w:rFonts w:eastAsia="Calibri" w:cstheme="majorHAnsi"/>
          <w:b w:val="0"/>
          <w:bCs/>
          <w:sz w:val="22"/>
          <w:szCs w:val="22"/>
        </w:rPr>
        <w:t xml:space="preserve">Following the opening of Australia’s High Commission in Alofi in 2020, Australia has transitioned to the direct management of its ODA in partnership with Niue. Niue also benefits from a range of regional and global initiatives funded by Australia, including the University of the South Pacific (USP), the Australian Pacific Training Coalition (APTC) and the Education Quality and Assessment Program (EQAP) of the Pacific Community. </w:t>
      </w:r>
    </w:p>
    <w:p w14:paraId="2FC28484" w14:textId="77777777" w:rsidR="005E0494" w:rsidRPr="000C255A" w:rsidRDefault="005E0494" w:rsidP="005E0494">
      <w:pPr>
        <w:pStyle w:val="Heading3"/>
      </w:pPr>
      <w:r w:rsidRPr="000C255A">
        <w:t>Program highlights</w:t>
      </w:r>
    </w:p>
    <w:p w14:paraId="546289CD" w14:textId="6D91CB43" w:rsidR="005E0494" w:rsidRPr="003118A6" w:rsidRDefault="005E0494" w:rsidP="005E0494">
      <w:pPr>
        <w:pStyle w:val="BodyCopy"/>
        <w:rPr>
          <w:rFonts w:asciiTheme="majorHAnsi" w:hAnsiTheme="majorHAnsi" w:cstheme="majorHAnsi"/>
          <w:szCs w:val="22"/>
        </w:rPr>
      </w:pPr>
      <w:r w:rsidRPr="003118A6">
        <w:rPr>
          <w:rFonts w:asciiTheme="majorHAnsi" w:hAnsiTheme="majorHAnsi" w:cstheme="majorHAnsi"/>
          <w:szCs w:val="22"/>
        </w:rPr>
        <w:t>In 202</w:t>
      </w:r>
      <w:r w:rsidR="006F6E82" w:rsidRPr="003118A6">
        <w:rPr>
          <w:rFonts w:asciiTheme="majorHAnsi" w:hAnsiTheme="majorHAnsi" w:cstheme="majorHAnsi"/>
          <w:szCs w:val="22"/>
        </w:rPr>
        <w:t>4</w:t>
      </w:r>
      <w:r w:rsidRPr="003118A6">
        <w:rPr>
          <w:rFonts w:asciiTheme="majorHAnsi" w:hAnsiTheme="majorHAnsi" w:cstheme="majorHAnsi"/>
          <w:szCs w:val="22"/>
        </w:rPr>
        <w:t>-2</w:t>
      </w:r>
      <w:r w:rsidR="006F6E82" w:rsidRPr="003118A6">
        <w:rPr>
          <w:rFonts w:asciiTheme="majorHAnsi" w:hAnsiTheme="majorHAnsi" w:cstheme="majorHAnsi"/>
          <w:szCs w:val="22"/>
        </w:rPr>
        <w:t>5</w:t>
      </w:r>
      <w:r w:rsidRPr="003118A6">
        <w:rPr>
          <w:rFonts w:asciiTheme="majorHAnsi" w:hAnsiTheme="majorHAnsi" w:cstheme="majorHAnsi"/>
          <w:szCs w:val="22"/>
        </w:rPr>
        <w:t>, Australia supported:</w:t>
      </w:r>
    </w:p>
    <w:p w14:paraId="634D731C" w14:textId="321437FD" w:rsidR="005E0494" w:rsidRPr="003118A6" w:rsidRDefault="005E0494" w:rsidP="005E0494">
      <w:pPr>
        <w:pStyle w:val="BodyCopy"/>
        <w:numPr>
          <w:ilvl w:val="0"/>
          <w:numId w:val="24"/>
        </w:numPr>
        <w:rPr>
          <w:rFonts w:asciiTheme="majorHAnsi" w:hAnsiTheme="majorHAnsi" w:cstheme="majorHAnsi"/>
          <w:szCs w:val="22"/>
        </w:rPr>
      </w:pPr>
      <w:r w:rsidRPr="003118A6">
        <w:rPr>
          <w:rFonts w:asciiTheme="majorHAnsi" w:hAnsiTheme="majorHAnsi" w:cstheme="majorHAnsi"/>
          <w:szCs w:val="22"/>
        </w:rPr>
        <w:t>Australia sits as a Trustee on the Board of the Niue International Trust Fund (NITF) and has contributed over $</w:t>
      </w:r>
      <w:r w:rsidR="00AC5DE2">
        <w:rPr>
          <w:rFonts w:asciiTheme="majorHAnsi" w:hAnsiTheme="majorHAnsi" w:cstheme="majorHAnsi"/>
          <w:szCs w:val="22"/>
        </w:rPr>
        <w:t>12</w:t>
      </w:r>
      <w:r w:rsidRPr="003118A6">
        <w:rPr>
          <w:rFonts w:asciiTheme="majorHAnsi" w:hAnsiTheme="majorHAnsi" w:cstheme="majorHAnsi"/>
          <w:szCs w:val="22"/>
        </w:rPr>
        <w:t xml:space="preserve"> million to the NITF since it was established in 2006 – underscoring our commitment to Niue’s economic development, self-governance, and resilience. </w:t>
      </w:r>
    </w:p>
    <w:p w14:paraId="7C3DD788" w14:textId="5EABA3C2" w:rsidR="005E0494" w:rsidRPr="003118A6" w:rsidRDefault="005E0494" w:rsidP="005E0494">
      <w:pPr>
        <w:pStyle w:val="BodyCopy"/>
        <w:numPr>
          <w:ilvl w:val="0"/>
          <w:numId w:val="24"/>
        </w:numPr>
        <w:rPr>
          <w:rFonts w:asciiTheme="majorHAnsi" w:hAnsiTheme="majorHAnsi" w:cstheme="majorHAnsi"/>
          <w:szCs w:val="22"/>
        </w:rPr>
      </w:pPr>
      <w:r w:rsidRPr="003118A6">
        <w:rPr>
          <w:rFonts w:asciiTheme="majorHAnsi" w:hAnsiTheme="majorHAnsi" w:cstheme="majorHAnsi"/>
          <w:szCs w:val="22"/>
        </w:rPr>
        <w:t>Australia is partnering with Niue to ensure the people of Niue have access to safe drinking water and upgrading critical Water, Sanitation and Hygiene (</w:t>
      </w:r>
      <w:proofErr w:type="spellStart"/>
      <w:r w:rsidRPr="003118A6">
        <w:rPr>
          <w:rFonts w:asciiTheme="majorHAnsi" w:hAnsiTheme="majorHAnsi" w:cstheme="majorHAnsi"/>
          <w:szCs w:val="22"/>
        </w:rPr>
        <w:t>WaSH</w:t>
      </w:r>
      <w:proofErr w:type="spellEnd"/>
      <w:r w:rsidRPr="003118A6">
        <w:rPr>
          <w:rFonts w:asciiTheme="majorHAnsi" w:hAnsiTheme="majorHAnsi" w:cstheme="majorHAnsi"/>
          <w:szCs w:val="22"/>
        </w:rPr>
        <w:t>) projects of significance.</w:t>
      </w:r>
    </w:p>
    <w:p w14:paraId="6B826946" w14:textId="023C6807" w:rsidR="005E0494" w:rsidRPr="003118A6" w:rsidRDefault="005E0494" w:rsidP="005E0494">
      <w:pPr>
        <w:pStyle w:val="BodyCopy"/>
        <w:numPr>
          <w:ilvl w:val="0"/>
          <w:numId w:val="24"/>
        </w:numPr>
        <w:rPr>
          <w:rFonts w:asciiTheme="majorHAnsi" w:hAnsiTheme="majorHAnsi" w:cstheme="majorHAnsi"/>
          <w:szCs w:val="22"/>
        </w:rPr>
      </w:pPr>
      <w:r w:rsidRPr="003118A6">
        <w:rPr>
          <w:rFonts w:asciiTheme="majorHAnsi" w:hAnsiTheme="majorHAnsi" w:cstheme="majorHAnsi"/>
          <w:szCs w:val="22"/>
        </w:rPr>
        <w:t xml:space="preserve">Australia runs an annual Direct Aid Program to support local organisations in Niue. </w:t>
      </w:r>
    </w:p>
    <w:p w14:paraId="76B7B782" w14:textId="2F6BA0BF" w:rsidR="005E0494" w:rsidRPr="003118A6" w:rsidRDefault="005E0494" w:rsidP="005E0494">
      <w:pPr>
        <w:pStyle w:val="BodyCopy"/>
        <w:numPr>
          <w:ilvl w:val="0"/>
          <w:numId w:val="24"/>
        </w:numPr>
        <w:rPr>
          <w:rFonts w:asciiTheme="majorHAnsi" w:hAnsiTheme="majorHAnsi" w:cstheme="majorHAnsi"/>
          <w:szCs w:val="22"/>
        </w:rPr>
      </w:pPr>
      <w:r w:rsidRPr="003118A6">
        <w:rPr>
          <w:rFonts w:asciiTheme="majorHAnsi" w:hAnsiTheme="majorHAnsi" w:cstheme="majorHAnsi"/>
          <w:szCs w:val="22"/>
        </w:rPr>
        <w:t>Australia supported construction of a recycling centre to improve waste management in Niue</w:t>
      </w:r>
      <w:r w:rsidR="008A1B3A">
        <w:rPr>
          <w:rFonts w:asciiTheme="majorHAnsi" w:hAnsiTheme="majorHAnsi" w:cstheme="majorHAnsi"/>
          <w:szCs w:val="22"/>
        </w:rPr>
        <w:t>.</w:t>
      </w:r>
    </w:p>
    <w:p w14:paraId="68B805AF" w14:textId="37C83E2A" w:rsidR="00F37868" w:rsidRDefault="005E0494" w:rsidP="002661EF">
      <w:pPr>
        <w:pStyle w:val="BodyCopy"/>
        <w:numPr>
          <w:ilvl w:val="0"/>
          <w:numId w:val="24"/>
        </w:numPr>
        <w:rPr>
          <w:rFonts w:asciiTheme="majorHAnsi" w:hAnsiTheme="majorHAnsi" w:cstheme="majorHAnsi"/>
          <w:szCs w:val="22"/>
        </w:rPr>
      </w:pPr>
      <w:r w:rsidRPr="003118A6">
        <w:rPr>
          <w:rFonts w:asciiTheme="majorHAnsi" w:hAnsiTheme="majorHAnsi" w:cstheme="majorHAnsi"/>
          <w:szCs w:val="22"/>
        </w:rPr>
        <w:t>Australia is upgrading the studio of the Broadcasting Corporation of Niue, increasing capacity and extending media coverage across Niue and increasing access to Australian content</w:t>
      </w:r>
      <w:r w:rsidR="008A1B3A">
        <w:rPr>
          <w:rFonts w:asciiTheme="majorHAnsi" w:hAnsiTheme="majorHAnsi" w:cstheme="majorHAnsi"/>
          <w:szCs w:val="22"/>
        </w:rPr>
        <w:t>.</w:t>
      </w:r>
    </w:p>
    <w:sectPr w:rsidR="00F37868" w:rsidSect="0095740E">
      <w:headerReference w:type="default" r:id="rId19"/>
      <w:footerReference w:type="default" r:id="rId20"/>
      <w:headerReference w:type="first" r:id="rId21"/>
      <w:footerReference w:type="first" r:id="rId22"/>
      <w:pgSz w:w="11906" w:h="16838" w:code="9"/>
      <w:pgMar w:top="1872" w:right="850" w:bottom="990" w:left="850" w:header="850"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B0B19" w14:textId="77777777" w:rsidR="005405E7" w:rsidRDefault="005405E7" w:rsidP="00EE32FE">
      <w:pPr>
        <w:spacing w:after="0" w:line="240" w:lineRule="auto"/>
      </w:pPr>
      <w:r>
        <w:separator/>
      </w:r>
    </w:p>
  </w:endnote>
  <w:endnote w:type="continuationSeparator" w:id="0">
    <w:p w14:paraId="73AD89E3" w14:textId="77777777" w:rsidR="005405E7" w:rsidRDefault="005405E7" w:rsidP="00EE32FE">
      <w:pPr>
        <w:spacing w:after="0" w:line="240" w:lineRule="auto"/>
      </w:pPr>
      <w:r>
        <w:continuationSeparator/>
      </w:r>
    </w:p>
  </w:endnote>
  <w:endnote w:type="continuationNotice" w:id="1">
    <w:p w14:paraId="1BAED419" w14:textId="77777777" w:rsidR="005405E7" w:rsidRDefault="005405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FFFFFF" w:themeColor="background1"/>
      </w:rPr>
      <w:id w:val="-108438124"/>
      <w:docPartObj>
        <w:docPartGallery w:val="Page Numbers (Bottom of Page)"/>
        <w:docPartUnique/>
      </w:docPartObj>
    </w:sdtPr>
    <w:sdtEndPr>
      <w:rPr>
        <w:noProof/>
      </w:rPr>
    </w:sdtEndPr>
    <w:sdtContent>
      <w:p w14:paraId="02CD4674" w14:textId="2DD6A0D1" w:rsidR="00F40F77" w:rsidRPr="004D49FE" w:rsidRDefault="008E290E">
        <w:pPr>
          <w:pStyle w:val="Footer"/>
          <w:rPr>
            <w:color w:val="FFFFFF" w:themeColor="background1"/>
          </w:rPr>
        </w:pPr>
        <w:r w:rsidRPr="00C71682">
          <w:rPr>
            <w:noProof/>
            <w:color w:val="FFFFFF" w:themeColor="background1"/>
          </w:rPr>
          <w:drawing>
            <wp:anchor distT="0" distB="0" distL="114300" distR="114300" simplePos="0" relativeHeight="251658244" behindDoc="1" locked="0" layoutInCell="1" allowOverlap="1" wp14:anchorId="1DE43D9B" wp14:editId="4A81363D">
              <wp:simplePos x="0" y="0"/>
              <wp:positionH relativeFrom="page">
                <wp:align>center</wp:align>
              </wp:positionH>
              <wp:positionV relativeFrom="page">
                <wp:align>bottom</wp:align>
              </wp:positionV>
              <wp:extent cx="7558095" cy="576000"/>
              <wp:effectExtent l="0" t="0" r="5080" b="0"/>
              <wp:wrapNone/>
              <wp:docPr id="1550669449" name="Picture 15506694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988066" name="Picture 383988066">
                        <a:extLst>
                          <a:ext uri="{C183D7F6-B498-43B3-948B-1728B52AA6E4}">
                            <adec:decorative xmlns:adec="http://schemas.microsoft.com/office/drawing/2017/decorative" val="1"/>
                          </a:ext>
                        </a:extLst>
                      </pic:cNvPr>
                      <pic:cNvPicPr/>
                    </pic:nvPicPr>
                    <pic:blipFill>
                      <a:blip r:embed="rId1"/>
                      <a:stretch>
                        <a:fillRect/>
                      </a:stretch>
                    </pic:blipFill>
                    <pic:spPr>
                      <a:xfrm>
                        <a:off x="0" y="0"/>
                        <a:ext cx="7558095" cy="576000"/>
                      </a:xfrm>
                      <a:prstGeom prst="rect">
                        <a:avLst/>
                      </a:prstGeom>
                    </pic:spPr>
                  </pic:pic>
                </a:graphicData>
              </a:graphic>
              <wp14:sizeRelH relativeFrom="margin">
                <wp14:pctWidth>0</wp14:pctWidth>
              </wp14:sizeRelH>
              <wp14:sizeRelV relativeFrom="margin">
                <wp14:pctHeight>0</wp14:pctHeight>
              </wp14:sizeRelV>
            </wp:anchor>
          </w:drawing>
        </w:r>
        <w:r w:rsidR="00BD1D28" w:rsidRPr="004D49FE">
          <w:rPr>
            <w:color w:val="FFFFFF" w:themeColor="background1"/>
          </w:rPr>
          <w:fldChar w:fldCharType="begin"/>
        </w:r>
        <w:r w:rsidR="00BD1D28" w:rsidRPr="004D49FE">
          <w:rPr>
            <w:color w:val="FFFFFF" w:themeColor="background1"/>
          </w:rPr>
          <w:instrText xml:space="preserve"> PAGE   \* MERGEFORMAT </w:instrText>
        </w:r>
        <w:r w:rsidR="00BD1D28" w:rsidRPr="004D49FE">
          <w:rPr>
            <w:color w:val="FFFFFF" w:themeColor="background1"/>
          </w:rPr>
          <w:fldChar w:fldCharType="separate"/>
        </w:r>
        <w:r w:rsidR="00BD1D28" w:rsidRPr="004D49FE">
          <w:rPr>
            <w:noProof/>
            <w:color w:val="FFFFFF" w:themeColor="background1"/>
          </w:rPr>
          <w:t>2</w:t>
        </w:r>
        <w:r w:rsidR="00BD1D28" w:rsidRPr="004D49FE">
          <w:rPr>
            <w:noProof/>
            <w:color w:val="FFFFFF" w:themeColor="background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FFFFFF" w:themeColor="background1"/>
      </w:rPr>
      <w:id w:val="-1410306763"/>
      <w:docPartObj>
        <w:docPartGallery w:val="Page Numbers (Bottom of Page)"/>
        <w:docPartUnique/>
      </w:docPartObj>
    </w:sdtPr>
    <w:sdtEndPr>
      <w:rPr>
        <w:noProof/>
      </w:rPr>
    </w:sdtEndPr>
    <w:sdtContent>
      <w:p w14:paraId="38984756" w14:textId="18EE118E" w:rsidR="00E50E59" w:rsidRPr="00C71682" w:rsidRDefault="00C71682">
        <w:pPr>
          <w:pStyle w:val="Footer"/>
          <w:rPr>
            <w:color w:val="FFFFFF" w:themeColor="background1"/>
          </w:rPr>
        </w:pPr>
        <w:r w:rsidRPr="00C71682">
          <w:rPr>
            <w:noProof/>
            <w:color w:val="FFFFFF" w:themeColor="background1"/>
          </w:rPr>
          <w:drawing>
            <wp:anchor distT="0" distB="0" distL="114300" distR="114300" simplePos="0" relativeHeight="251658243" behindDoc="1" locked="0" layoutInCell="1" allowOverlap="1" wp14:anchorId="57098BE2" wp14:editId="06078AE4">
              <wp:simplePos x="0" y="0"/>
              <wp:positionH relativeFrom="page">
                <wp:align>center</wp:align>
              </wp:positionH>
              <wp:positionV relativeFrom="page">
                <wp:align>bottom</wp:align>
              </wp:positionV>
              <wp:extent cx="7558095" cy="576000"/>
              <wp:effectExtent l="0" t="0" r="5080" b="0"/>
              <wp:wrapNone/>
              <wp:docPr id="1134524701" name="Picture 11345247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243087" name="Picture 1702243087">
                        <a:extLst>
                          <a:ext uri="{C183D7F6-B498-43B3-948B-1728B52AA6E4}">
                            <adec:decorative xmlns:adec="http://schemas.microsoft.com/office/drawing/2017/decorative" val="1"/>
                          </a:ext>
                        </a:extLst>
                      </pic:cNvPr>
                      <pic:cNvPicPr/>
                    </pic:nvPicPr>
                    <pic:blipFill>
                      <a:blip r:embed="rId1"/>
                      <a:stretch>
                        <a:fillRect/>
                      </a:stretch>
                    </pic:blipFill>
                    <pic:spPr>
                      <a:xfrm>
                        <a:off x="0" y="0"/>
                        <a:ext cx="7558095" cy="576000"/>
                      </a:xfrm>
                      <a:prstGeom prst="rect">
                        <a:avLst/>
                      </a:prstGeom>
                    </pic:spPr>
                  </pic:pic>
                </a:graphicData>
              </a:graphic>
              <wp14:sizeRelH relativeFrom="margin">
                <wp14:pctWidth>0</wp14:pctWidth>
              </wp14:sizeRelH>
              <wp14:sizeRelV relativeFrom="margin">
                <wp14:pctHeight>0</wp14:pctHeight>
              </wp14:sizeRelV>
            </wp:anchor>
          </w:drawing>
        </w:r>
        <w:r w:rsidR="00F46B16" w:rsidRPr="00C71682">
          <w:rPr>
            <w:color w:val="FFFFFF" w:themeColor="background1"/>
          </w:rPr>
          <w:fldChar w:fldCharType="begin"/>
        </w:r>
        <w:r w:rsidR="00F46B16" w:rsidRPr="00C71682">
          <w:rPr>
            <w:color w:val="FFFFFF" w:themeColor="background1"/>
          </w:rPr>
          <w:instrText xml:space="preserve"> PAGE   \* MERGEFORMAT </w:instrText>
        </w:r>
        <w:r w:rsidR="00F46B16" w:rsidRPr="00C71682">
          <w:rPr>
            <w:color w:val="FFFFFF" w:themeColor="background1"/>
          </w:rPr>
          <w:fldChar w:fldCharType="separate"/>
        </w:r>
        <w:r w:rsidR="00F46B16" w:rsidRPr="00C71682">
          <w:rPr>
            <w:noProof/>
            <w:color w:val="FFFFFF" w:themeColor="background1"/>
          </w:rPr>
          <w:t>2</w:t>
        </w:r>
        <w:r w:rsidR="00F46B16" w:rsidRPr="00C71682">
          <w:rPr>
            <w:noProof/>
            <w:color w:val="FFFFFF"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F0AAC" w14:textId="77777777" w:rsidR="005405E7" w:rsidRDefault="005405E7" w:rsidP="00EE32FE">
      <w:pPr>
        <w:spacing w:after="0" w:line="240" w:lineRule="auto"/>
      </w:pPr>
      <w:bookmarkStart w:id="0" w:name="_Hlk127364773"/>
      <w:bookmarkEnd w:id="0"/>
      <w:r>
        <w:separator/>
      </w:r>
    </w:p>
  </w:footnote>
  <w:footnote w:type="continuationSeparator" w:id="0">
    <w:p w14:paraId="19C96C74" w14:textId="77777777" w:rsidR="005405E7" w:rsidRDefault="005405E7" w:rsidP="00EE32FE">
      <w:pPr>
        <w:spacing w:after="0" w:line="240" w:lineRule="auto"/>
      </w:pPr>
      <w:r>
        <w:continuationSeparator/>
      </w:r>
    </w:p>
  </w:footnote>
  <w:footnote w:type="continuationNotice" w:id="1">
    <w:p w14:paraId="763F92FA" w14:textId="77777777" w:rsidR="005405E7" w:rsidRDefault="005405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8F6E9" w14:textId="4D8987F0" w:rsidR="00306BCA" w:rsidRDefault="0076381C">
    <w:pPr>
      <w:pStyle w:val="Header"/>
    </w:pPr>
    <w:r>
      <w:rPr>
        <w:noProof/>
      </w:rPr>
      <w:drawing>
        <wp:anchor distT="0" distB="0" distL="114300" distR="114300" simplePos="0" relativeHeight="251658245" behindDoc="1" locked="0" layoutInCell="1" allowOverlap="1" wp14:anchorId="3030DA87" wp14:editId="0EA53782">
          <wp:simplePos x="541606" y="618978"/>
          <wp:positionH relativeFrom="page">
            <wp:align>center</wp:align>
          </wp:positionH>
          <wp:positionV relativeFrom="page">
            <wp:align>top</wp:align>
          </wp:positionV>
          <wp:extent cx="7558095" cy="576000"/>
          <wp:effectExtent l="0" t="0" r="5080" b="0"/>
          <wp:wrapNone/>
          <wp:docPr id="64353" name="Picture 1" descr="Page two header banner text includes Australia’s International Development Program on dar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53" name="Picture 1" descr="Page two header banner text includes Australia’s International Development Program on dark background"/>
                  <pic:cNvPicPr/>
                </pic:nvPicPr>
                <pic:blipFill>
                  <a:blip r:embed="rId1"/>
                  <a:stretch>
                    <a:fillRect/>
                  </a:stretch>
                </pic:blipFill>
                <pic:spPr>
                  <a:xfrm>
                    <a:off x="0" y="0"/>
                    <a:ext cx="7558095" cy="57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8360E" w14:textId="1F6CF065" w:rsidR="00704573" w:rsidRDefault="00235C52">
    <w:pPr>
      <w:pStyle w:val="Header"/>
    </w:pPr>
    <w:r>
      <w:rPr>
        <w:noProof/>
      </w:rPr>
      <w:drawing>
        <wp:anchor distT="0" distB="0" distL="114300" distR="114300" simplePos="0" relativeHeight="251658242" behindDoc="0" locked="0" layoutInCell="1" allowOverlap="1" wp14:anchorId="76BA3015" wp14:editId="43712648">
          <wp:simplePos x="0" y="0"/>
          <wp:positionH relativeFrom="page">
            <wp:posOffset>10937875</wp:posOffset>
          </wp:positionH>
          <wp:positionV relativeFrom="page">
            <wp:posOffset>112395</wp:posOffset>
          </wp:positionV>
          <wp:extent cx="7689850" cy="585470"/>
          <wp:effectExtent l="0" t="0" r="6350" b="5080"/>
          <wp:wrapNone/>
          <wp:docPr id="1220911630" name="Picture 12209116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797426" name="Picture 1131797426">
                    <a:extLst>
                      <a:ext uri="{C183D7F6-B498-43B3-948B-1728B52AA6E4}">
                        <adec:decorative xmlns:adec="http://schemas.microsoft.com/office/drawing/2017/decorative" val="1"/>
                      </a:ext>
                    </a:extLst>
                  </pic:cNvPr>
                  <pic:cNvPicPr/>
                </pic:nvPicPr>
                <pic:blipFill>
                  <a:blip r:embed="rId1"/>
                  <a:stretch>
                    <a:fillRect/>
                  </a:stretch>
                </pic:blipFill>
                <pic:spPr>
                  <a:xfrm>
                    <a:off x="0" y="0"/>
                    <a:ext cx="7689850" cy="585470"/>
                  </a:xfrm>
                  <a:prstGeom prst="rect">
                    <a:avLst/>
                  </a:prstGeom>
                </pic:spPr>
              </pic:pic>
            </a:graphicData>
          </a:graphic>
          <wp14:sizeRelH relativeFrom="margin">
            <wp14:pctWidth>0</wp14:pctWidth>
          </wp14:sizeRelH>
          <wp14:sizeRelV relativeFrom="margin">
            <wp14:pctHeight>0</wp14:pctHeight>
          </wp14:sizeRelV>
        </wp:anchor>
      </w:drawing>
    </w:r>
    <w:r w:rsidR="008728F0">
      <w:rPr>
        <w:noProof/>
      </w:rPr>
      <w:drawing>
        <wp:anchor distT="0" distB="0" distL="114300" distR="114300" simplePos="0" relativeHeight="251658240" behindDoc="0" locked="0" layoutInCell="1" allowOverlap="1" wp14:anchorId="57FCDF50" wp14:editId="70409529">
          <wp:simplePos x="0" y="0"/>
          <wp:positionH relativeFrom="page">
            <wp:align>center</wp:align>
          </wp:positionH>
          <wp:positionV relativeFrom="page">
            <wp:align>top</wp:align>
          </wp:positionV>
          <wp:extent cx="7560000" cy="1080000"/>
          <wp:effectExtent l="0" t="0" r="3175" b="6350"/>
          <wp:wrapNone/>
          <wp:docPr id="1026823461" name="Picture 1026823461" descr="Header banner including Australian Government Department of Foreign Affairs and Trade logos and Australian Aid identifier on the right hand sid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823461" name="Picture 1026823461" descr="Header banner including Australian Government Department of Foreign Affairs and Trade logos and Australian Aid identifier on the right hand side">
                    <a:extLst>
                      <a:ext uri="{C183D7F6-B498-43B3-948B-1728B52AA6E4}">
                        <adec:decorative xmlns:adec="http://schemas.microsoft.com/office/drawing/2017/decorative" val="0"/>
                      </a:ext>
                    </a:extLst>
                  </pic:cNvPr>
                  <pic:cNvPicPr/>
                </pic:nvPicPr>
                <pic:blipFill>
                  <a:blip r:embed="rId2"/>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C6835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A2D46"/>
    <w:multiLevelType w:val="hybridMultilevel"/>
    <w:tmpl w:val="4AB6AC2E"/>
    <w:lvl w:ilvl="0" w:tplc="018A84B8">
      <w:start w:val="1"/>
      <w:numFmt w:val="decimal"/>
      <w:lvlText w:val="%1."/>
      <w:lvlJc w:val="left"/>
      <w:pPr>
        <w:ind w:left="1020" w:hanging="360"/>
      </w:pPr>
    </w:lvl>
    <w:lvl w:ilvl="1" w:tplc="F83812DE">
      <w:start w:val="1"/>
      <w:numFmt w:val="decimal"/>
      <w:lvlText w:val="%2."/>
      <w:lvlJc w:val="left"/>
      <w:pPr>
        <w:ind w:left="1020" w:hanging="360"/>
      </w:pPr>
    </w:lvl>
    <w:lvl w:ilvl="2" w:tplc="33B408C8">
      <w:start w:val="1"/>
      <w:numFmt w:val="decimal"/>
      <w:lvlText w:val="%3."/>
      <w:lvlJc w:val="left"/>
      <w:pPr>
        <w:ind w:left="1020" w:hanging="360"/>
      </w:pPr>
    </w:lvl>
    <w:lvl w:ilvl="3" w:tplc="52948C7C">
      <w:start w:val="1"/>
      <w:numFmt w:val="decimal"/>
      <w:lvlText w:val="%4."/>
      <w:lvlJc w:val="left"/>
      <w:pPr>
        <w:ind w:left="1020" w:hanging="360"/>
      </w:pPr>
    </w:lvl>
    <w:lvl w:ilvl="4" w:tplc="1D26C1C4">
      <w:start w:val="1"/>
      <w:numFmt w:val="decimal"/>
      <w:lvlText w:val="%5."/>
      <w:lvlJc w:val="left"/>
      <w:pPr>
        <w:ind w:left="1020" w:hanging="360"/>
      </w:pPr>
    </w:lvl>
    <w:lvl w:ilvl="5" w:tplc="07803DD6">
      <w:start w:val="1"/>
      <w:numFmt w:val="decimal"/>
      <w:lvlText w:val="%6."/>
      <w:lvlJc w:val="left"/>
      <w:pPr>
        <w:ind w:left="1020" w:hanging="360"/>
      </w:pPr>
    </w:lvl>
    <w:lvl w:ilvl="6" w:tplc="8D881B56">
      <w:start w:val="1"/>
      <w:numFmt w:val="decimal"/>
      <w:lvlText w:val="%7."/>
      <w:lvlJc w:val="left"/>
      <w:pPr>
        <w:ind w:left="1020" w:hanging="360"/>
      </w:pPr>
    </w:lvl>
    <w:lvl w:ilvl="7" w:tplc="0142917C">
      <w:start w:val="1"/>
      <w:numFmt w:val="decimal"/>
      <w:lvlText w:val="%8."/>
      <w:lvlJc w:val="left"/>
      <w:pPr>
        <w:ind w:left="1020" w:hanging="360"/>
      </w:pPr>
    </w:lvl>
    <w:lvl w:ilvl="8" w:tplc="B7082D96">
      <w:start w:val="1"/>
      <w:numFmt w:val="decimal"/>
      <w:lvlText w:val="%9."/>
      <w:lvlJc w:val="left"/>
      <w:pPr>
        <w:ind w:left="1020" w:hanging="360"/>
      </w:pPr>
    </w:lvl>
  </w:abstractNum>
  <w:abstractNum w:abstractNumId="2" w15:restartNumberingAfterBreak="0">
    <w:nsid w:val="0C0A00A4"/>
    <w:multiLevelType w:val="hybridMultilevel"/>
    <w:tmpl w:val="979494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5E63D02"/>
    <w:multiLevelType w:val="hybridMultilevel"/>
    <w:tmpl w:val="87241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45489E"/>
    <w:multiLevelType w:val="hybridMultilevel"/>
    <w:tmpl w:val="55F070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96321E9"/>
    <w:multiLevelType w:val="hybridMultilevel"/>
    <w:tmpl w:val="389AC8A6"/>
    <w:lvl w:ilvl="0" w:tplc="259AD006">
      <w:start w:val="1"/>
      <w:numFmt w:val="decimal"/>
      <w:lvlText w:val="%1."/>
      <w:lvlJc w:val="left"/>
      <w:pPr>
        <w:ind w:left="1020" w:hanging="360"/>
      </w:pPr>
    </w:lvl>
    <w:lvl w:ilvl="1" w:tplc="30241C60">
      <w:start w:val="1"/>
      <w:numFmt w:val="decimal"/>
      <w:lvlText w:val="%2."/>
      <w:lvlJc w:val="left"/>
      <w:pPr>
        <w:ind w:left="1020" w:hanging="360"/>
      </w:pPr>
    </w:lvl>
    <w:lvl w:ilvl="2" w:tplc="0842401C">
      <w:start w:val="1"/>
      <w:numFmt w:val="decimal"/>
      <w:lvlText w:val="%3."/>
      <w:lvlJc w:val="left"/>
      <w:pPr>
        <w:ind w:left="1020" w:hanging="360"/>
      </w:pPr>
    </w:lvl>
    <w:lvl w:ilvl="3" w:tplc="DDA47CE2">
      <w:start w:val="1"/>
      <w:numFmt w:val="decimal"/>
      <w:lvlText w:val="%4."/>
      <w:lvlJc w:val="left"/>
      <w:pPr>
        <w:ind w:left="1020" w:hanging="360"/>
      </w:pPr>
    </w:lvl>
    <w:lvl w:ilvl="4" w:tplc="8F6A5CA4">
      <w:start w:val="1"/>
      <w:numFmt w:val="decimal"/>
      <w:lvlText w:val="%5."/>
      <w:lvlJc w:val="left"/>
      <w:pPr>
        <w:ind w:left="1020" w:hanging="360"/>
      </w:pPr>
    </w:lvl>
    <w:lvl w:ilvl="5" w:tplc="9550A5B6">
      <w:start w:val="1"/>
      <w:numFmt w:val="decimal"/>
      <w:lvlText w:val="%6."/>
      <w:lvlJc w:val="left"/>
      <w:pPr>
        <w:ind w:left="1020" w:hanging="360"/>
      </w:pPr>
    </w:lvl>
    <w:lvl w:ilvl="6" w:tplc="E97836DE">
      <w:start w:val="1"/>
      <w:numFmt w:val="decimal"/>
      <w:lvlText w:val="%7."/>
      <w:lvlJc w:val="left"/>
      <w:pPr>
        <w:ind w:left="1020" w:hanging="360"/>
      </w:pPr>
    </w:lvl>
    <w:lvl w:ilvl="7" w:tplc="4FFA85CC">
      <w:start w:val="1"/>
      <w:numFmt w:val="decimal"/>
      <w:lvlText w:val="%8."/>
      <w:lvlJc w:val="left"/>
      <w:pPr>
        <w:ind w:left="1020" w:hanging="360"/>
      </w:pPr>
    </w:lvl>
    <w:lvl w:ilvl="8" w:tplc="4EE86F6C">
      <w:start w:val="1"/>
      <w:numFmt w:val="decimal"/>
      <w:lvlText w:val="%9."/>
      <w:lvlJc w:val="left"/>
      <w:pPr>
        <w:ind w:left="1020" w:hanging="360"/>
      </w:pPr>
    </w:lvl>
  </w:abstractNum>
  <w:abstractNum w:abstractNumId="6" w15:restartNumberingAfterBreak="0">
    <w:nsid w:val="2354785C"/>
    <w:multiLevelType w:val="hybridMultilevel"/>
    <w:tmpl w:val="63704D7C"/>
    <w:lvl w:ilvl="0" w:tplc="05389998">
      <w:start w:val="1"/>
      <w:numFmt w:val="bullet"/>
      <w:lvlText w:val=""/>
      <w:lvlJc w:val="left"/>
      <w:pPr>
        <w:tabs>
          <w:tab w:val="num" w:pos="720"/>
        </w:tabs>
        <w:ind w:left="720" w:hanging="360"/>
      </w:pPr>
      <w:rPr>
        <w:rFonts w:ascii="Symbol" w:hAnsi="Symbol" w:hint="default"/>
      </w:rPr>
    </w:lvl>
    <w:lvl w:ilvl="1" w:tplc="E95C26FA" w:tentative="1">
      <w:start w:val="1"/>
      <w:numFmt w:val="bullet"/>
      <w:lvlText w:val=""/>
      <w:lvlJc w:val="left"/>
      <w:pPr>
        <w:tabs>
          <w:tab w:val="num" w:pos="1440"/>
        </w:tabs>
        <w:ind w:left="1440" w:hanging="360"/>
      </w:pPr>
      <w:rPr>
        <w:rFonts w:ascii="Symbol" w:hAnsi="Symbol" w:hint="default"/>
      </w:rPr>
    </w:lvl>
    <w:lvl w:ilvl="2" w:tplc="A75CE94C" w:tentative="1">
      <w:start w:val="1"/>
      <w:numFmt w:val="bullet"/>
      <w:lvlText w:val=""/>
      <w:lvlJc w:val="left"/>
      <w:pPr>
        <w:tabs>
          <w:tab w:val="num" w:pos="2160"/>
        </w:tabs>
        <w:ind w:left="2160" w:hanging="360"/>
      </w:pPr>
      <w:rPr>
        <w:rFonts w:ascii="Symbol" w:hAnsi="Symbol" w:hint="default"/>
      </w:rPr>
    </w:lvl>
    <w:lvl w:ilvl="3" w:tplc="C4241174" w:tentative="1">
      <w:start w:val="1"/>
      <w:numFmt w:val="bullet"/>
      <w:lvlText w:val=""/>
      <w:lvlJc w:val="left"/>
      <w:pPr>
        <w:tabs>
          <w:tab w:val="num" w:pos="2880"/>
        </w:tabs>
        <w:ind w:left="2880" w:hanging="360"/>
      </w:pPr>
      <w:rPr>
        <w:rFonts w:ascii="Symbol" w:hAnsi="Symbol" w:hint="default"/>
      </w:rPr>
    </w:lvl>
    <w:lvl w:ilvl="4" w:tplc="F322F270" w:tentative="1">
      <w:start w:val="1"/>
      <w:numFmt w:val="bullet"/>
      <w:lvlText w:val=""/>
      <w:lvlJc w:val="left"/>
      <w:pPr>
        <w:tabs>
          <w:tab w:val="num" w:pos="3600"/>
        </w:tabs>
        <w:ind w:left="3600" w:hanging="360"/>
      </w:pPr>
      <w:rPr>
        <w:rFonts w:ascii="Symbol" w:hAnsi="Symbol" w:hint="default"/>
      </w:rPr>
    </w:lvl>
    <w:lvl w:ilvl="5" w:tplc="7A847960" w:tentative="1">
      <w:start w:val="1"/>
      <w:numFmt w:val="bullet"/>
      <w:lvlText w:val=""/>
      <w:lvlJc w:val="left"/>
      <w:pPr>
        <w:tabs>
          <w:tab w:val="num" w:pos="4320"/>
        </w:tabs>
        <w:ind w:left="4320" w:hanging="360"/>
      </w:pPr>
      <w:rPr>
        <w:rFonts w:ascii="Symbol" w:hAnsi="Symbol" w:hint="default"/>
      </w:rPr>
    </w:lvl>
    <w:lvl w:ilvl="6" w:tplc="E97CF78C" w:tentative="1">
      <w:start w:val="1"/>
      <w:numFmt w:val="bullet"/>
      <w:lvlText w:val=""/>
      <w:lvlJc w:val="left"/>
      <w:pPr>
        <w:tabs>
          <w:tab w:val="num" w:pos="5040"/>
        </w:tabs>
        <w:ind w:left="5040" w:hanging="360"/>
      </w:pPr>
      <w:rPr>
        <w:rFonts w:ascii="Symbol" w:hAnsi="Symbol" w:hint="default"/>
      </w:rPr>
    </w:lvl>
    <w:lvl w:ilvl="7" w:tplc="67606C76" w:tentative="1">
      <w:start w:val="1"/>
      <w:numFmt w:val="bullet"/>
      <w:lvlText w:val=""/>
      <w:lvlJc w:val="left"/>
      <w:pPr>
        <w:tabs>
          <w:tab w:val="num" w:pos="5760"/>
        </w:tabs>
        <w:ind w:left="5760" w:hanging="360"/>
      </w:pPr>
      <w:rPr>
        <w:rFonts w:ascii="Symbol" w:hAnsi="Symbol" w:hint="default"/>
      </w:rPr>
    </w:lvl>
    <w:lvl w:ilvl="8" w:tplc="6AF8411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9D3341A"/>
    <w:multiLevelType w:val="hybridMultilevel"/>
    <w:tmpl w:val="948C41E2"/>
    <w:lvl w:ilvl="0" w:tplc="476EC80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D472A5"/>
    <w:multiLevelType w:val="hybridMultilevel"/>
    <w:tmpl w:val="E3408DC2"/>
    <w:lvl w:ilvl="0" w:tplc="B0683738">
      <w:start w:val="1"/>
      <w:numFmt w:val="decimal"/>
      <w:lvlText w:val="%1."/>
      <w:lvlJc w:val="left"/>
      <w:pPr>
        <w:ind w:left="1020" w:hanging="360"/>
      </w:pPr>
    </w:lvl>
    <w:lvl w:ilvl="1" w:tplc="A6802ABE">
      <w:start w:val="1"/>
      <w:numFmt w:val="decimal"/>
      <w:lvlText w:val="%2."/>
      <w:lvlJc w:val="left"/>
      <w:pPr>
        <w:ind w:left="1020" w:hanging="360"/>
      </w:pPr>
    </w:lvl>
    <w:lvl w:ilvl="2" w:tplc="2F74BCDC">
      <w:start w:val="1"/>
      <w:numFmt w:val="decimal"/>
      <w:lvlText w:val="%3."/>
      <w:lvlJc w:val="left"/>
      <w:pPr>
        <w:ind w:left="1020" w:hanging="360"/>
      </w:pPr>
    </w:lvl>
    <w:lvl w:ilvl="3" w:tplc="FE6ADC6E">
      <w:start w:val="1"/>
      <w:numFmt w:val="decimal"/>
      <w:lvlText w:val="%4."/>
      <w:lvlJc w:val="left"/>
      <w:pPr>
        <w:ind w:left="1020" w:hanging="360"/>
      </w:pPr>
    </w:lvl>
    <w:lvl w:ilvl="4" w:tplc="03029E9E">
      <w:start w:val="1"/>
      <w:numFmt w:val="decimal"/>
      <w:lvlText w:val="%5."/>
      <w:lvlJc w:val="left"/>
      <w:pPr>
        <w:ind w:left="1020" w:hanging="360"/>
      </w:pPr>
    </w:lvl>
    <w:lvl w:ilvl="5" w:tplc="90105E3E">
      <w:start w:val="1"/>
      <w:numFmt w:val="decimal"/>
      <w:lvlText w:val="%6."/>
      <w:lvlJc w:val="left"/>
      <w:pPr>
        <w:ind w:left="1020" w:hanging="360"/>
      </w:pPr>
    </w:lvl>
    <w:lvl w:ilvl="6" w:tplc="F4F2A512">
      <w:start w:val="1"/>
      <w:numFmt w:val="decimal"/>
      <w:lvlText w:val="%7."/>
      <w:lvlJc w:val="left"/>
      <w:pPr>
        <w:ind w:left="1020" w:hanging="360"/>
      </w:pPr>
    </w:lvl>
    <w:lvl w:ilvl="7" w:tplc="1100ACDA">
      <w:start w:val="1"/>
      <w:numFmt w:val="decimal"/>
      <w:lvlText w:val="%8."/>
      <w:lvlJc w:val="left"/>
      <w:pPr>
        <w:ind w:left="1020" w:hanging="360"/>
      </w:pPr>
    </w:lvl>
    <w:lvl w:ilvl="8" w:tplc="D44610F4">
      <w:start w:val="1"/>
      <w:numFmt w:val="decimal"/>
      <w:lvlText w:val="%9."/>
      <w:lvlJc w:val="left"/>
      <w:pPr>
        <w:ind w:left="1020" w:hanging="360"/>
      </w:pPr>
    </w:lvl>
  </w:abstractNum>
  <w:abstractNum w:abstractNumId="9"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85F4CFF"/>
    <w:multiLevelType w:val="hybridMultilevel"/>
    <w:tmpl w:val="556C9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580FB7"/>
    <w:multiLevelType w:val="hybridMultilevel"/>
    <w:tmpl w:val="055ACAB4"/>
    <w:lvl w:ilvl="0" w:tplc="2FE82136">
      <w:start w:val="1"/>
      <w:numFmt w:val="bullet"/>
      <w:pStyle w:val="BodyCopy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0324A3"/>
    <w:multiLevelType w:val="hybridMultilevel"/>
    <w:tmpl w:val="72A46C1C"/>
    <w:lvl w:ilvl="0" w:tplc="0EECF498">
      <w:start w:val="1"/>
      <w:numFmt w:val="bullet"/>
      <w:lvlText w:val=""/>
      <w:lvlJc w:val="left"/>
      <w:pPr>
        <w:tabs>
          <w:tab w:val="num" w:pos="720"/>
        </w:tabs>
        <w:ind w:left="720" w:hanging="360"/>
      </w:pPr>
      <w:rPr>
        <w:rFonts w:ascii="Symbol" w:hAnsi="Symbol" w:hint="default"/>
      </w:rPr>
    </w:lvl>
    <w:lvl w:ilvl="1" w:tplc="F72A89A6" w:tentative="1">
      <w:start w:val="1"/>
      <w:numFmt w:val="bullet"/>
      <w:lvlText w:val=""/>
      <w:lvlJc w:val="left"/>
      <w:pPr>
        <w:tabs>
          <w:tab w:val="num" w:pos="1440"/>
        </w:tabs>
        <w:ind w:left="1440" w:hanging="360"/>
      </w:pPr>
      <w:rPr>
        <w:rFonts w:ascii="Symbol" w:hAnsi="Symbol" w:hint="default"/>
      </w:rPr>
    </w:lvl>
    <w:lvl w:ilvl="2" w:tplc="32B47676" w:tentative="1">
      <w:start w:val="1"/>
      <w:numFmt w:val="bullet"/>
      <w:lvlText w:val=""/>
      <w:lvlJc w:val="left"/>
      <w:pPr>
        <w:tabs>
          <w:tab w:val="num" w:pos="2160"/>
        </w:tabs>
        <w:ind w:left="2160" w:hanging="360"/>
      </w:pPr>
      <w:rPr>
        <w:rFonts w:ascii="Symbol" w:hAnsi="Symbol" w:hint="default"/>
      </w:rPr>
    </w:lvl>
    <w:lvl w:ilvl="3" w:tplc="1E38B5B8" w:tentative="1">
      <w:start w:val="1"/>
      <w:numFmt w:val="bullet"/>
      <w:lvlText w:val=""/>
      <w:lvlJc w:val="left"/>
      <w:pPr>
        <w:tabs>
          <w:tab w:val="num" w:pos="2880"/>
        </w:tabs>
        <w:ind w:left="2880" w:hanging="360"/>
      </w:pPr>
      <w:rPr>
        <w:rFonts w:ascii="Symbol" w:hAnsi="Symbol" w:hint="default"/>
      </w:rPr>
    </w:lvl>
    <w:lvl w:ilvl="4" w:tplc="D9A88F04" w:tentative="1">
      <w:start w:val="1"/>
      <w:numFmt w:val="bullet"/>
      <w:lvlText w:val=""/>
      <w:lvlJc w:val="left"/>
      <w:pPr>
        <w:tabs>
          <w:tab w:val="num" w:pos="3600"/>
        </w:tabs>
        <w:ind w:left="3600" w:hanging="360"/>
      </w:pPr>
      <w:rPr>
        <w:rFonts w:ascii="Symbol" w:hAnsi="Symbol" w:hint="default"/>
      </w:rPr>
    </w:lvl>
    <w:lvl w:ilvl="5" w:tplc="2870DF34" w:tentative="1">
      <w:start w:val="1"/>
      <w:numFmt w:val="bullet"/>
      <w:lvlText w:val=""/>
      <w:lvlJc w:val="left"/>
      <w:pPr>
        <w:tabs>
          <w:tab w:val="num" w:pos="4320"/>
        </w:tabs>
        <w:ind w:left="4320" w:hanging="360"/>
      </w:pPr>
      <w:rPr>
        <w:rFonts w:ascii="Symbol" w:hAnsi="Symbol" w:hint="default"/>
      </w:rPr>
    </w:lvl>
    <w:lvl w:ilvl="6" w:tplc="70D8A0A2" w:tentative="1">
      <w:start w:val="1"/>
      <w:numFmt w:val="bullet"/>
      <w:lvlText w:val=""/>
      <w:lvlJc w:val="left"/>
      <w:pPr>
        <w:tabs>
          <w:tab w:val="num" w:pos="5040"/>
        </w:tabs>
        <w:ind w:left="5040" w:hanging="360"/>
      </w:pPr>
      <w:rPr>
        <w:rFonts w:ascii="Symbol" w:hAnsi="Symbol" w:hint="default"/>
      </w:rPr>
    </w:lvl>
    <w:lvl w:ilvl="7" w:tplc="0FFA5184" w:tentative="1">
      <w:start w:val="1"/>
      <w:numFmt w:val="bullet"/>
      <w:lvlText w:val=""/>
      <w:lvlJc w:val="left"/>
      <w:pPr>
        <w:tabs>
          <w:tab w:val="num" w:pos="5760"/>
        </w:tabs>
        <w:ind w:left="5760" w:hanging="360"/>
      </w:pPr>
      <w:rPr>
        <w:rFonts w:ascii="Symbol" w:hAnsi="Symbol" w:hint="default"/>
      </w:rPr>
    </w:lvl>
    <w:lvl w:ilvl="8" w:tplc="BB1259A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7E252072"/>
    <w:multiLevelType w:val="hybridMultilevel"/>
    <w:tmpl w:val="FE1E5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11315745">
    <w:abstractNumId w:val="9"/>
  </w:num>
  <w:num w:numId="2" w16cid:durableId="768818958">
    <w:abstractNumId w:val="9"/>
    <w:lvlOverride w:ilvl="0">
      <w:startOverride w:val="1"/>
    </w:lvlOverride>
  </w:num>
  <w:num w:numId="3" w16cid:durableId="1890258398">
    <w:abstractNumId w:val="9"/>
    <w:lvlOverride w:ilvl="0">
      <w:startOverride w:val="1"/>
    </w:lvlOverride>
  </w:num>
  <w:num w:numId="4" w16cid:durableId="649091149">
    <w:abstractNumId w:val="11"/>
  </w:num>
  <w:num w:numId="5" w16cid:durableId="934098631">
    <w:abstractNumId w:val="3"/>
  </w:num>
  <w:num w:numId="6" w16cid:durableId="151024048">
    <w:abstractNumId w:val="9"/>
    <w:lvlOverride w:ilvl="0">
      <w:startOverride w:val="1"/>
    </w:lvlOverride>
  </w:num>
  <w:num w:numId="7" w16cid:durableId="1836610287">
    <w:abstractNumId w:val="9"/>
    <w:lvlOverride w:ilvl="0">
      <w:startOverride w:val="1"/>
    </w:lvlOverride>
  </w:num>
  <w:num w:numId="8" w16cid:durableId="2006547766">
    <w:abstractNumId w:val="9"/>
    <w:lvlOverride w:ilvl="0">
      <w:startOverride w:val="1"/>
    </w:lvlOverride>
  </w:num>
  <w:num w:numId="9" w16cid:durableId="1379822385">
    <w:abstractNumId w:val="13"/>
  </w:num>
  <w:num w:numId="10" w16cid:durableId="1276981909">
    <w:abstractNumId w:val="10"/>
  </w:num>
  <w:num w:numId="11" w16cid:durableId="1977682116">
    <w:abstractNumId w:val="11"/>
  </w:num>
  <w:num w:numId="12" w16cid:durableId="1696269951">
    <w:abstractNumId w:val="11"/>
  </w:num>
  <w:num w:numId="13" w16cid:durableId="1555584703">
    <w:abstractNumId w:val="0"/>
  </w:num>
  <w:num w:numId="14" w16cid:durableId="366376057">
    <w:abstractNumId w:val="12"/>
  </w:num>
  <w:num w:numId="15" w16cid:durableId="1909922326">
    <w:abstractNumId w:val="6"/>
  </w:num>
  <w:num w:numId="16" w16cid:durableId="2124684593">
    <w:abstractNumId w:val="5"/>
  </w:num>
  <w:num w:numId="17" w16cid:durableId="906037808">
    <w:abstractNumId w:val="2"/>
  </w:num>
  <w:num w:numId="18" w16cid:durableId="1378120932">
    <w:abstractNumId w:val="7"/>
  </w:num>
  <w:num w:numId="19" w16cid:durableId="219564270">
    <w:abstractNumId w:val="1"/>
  </w:num>
  <w:num w:numId="20" w16cid:durableId="1372995176">
    <w:abstractNumId w:val="8"/>
  </w:num>
  <w:num w:numId="21" w16cid:durableId="1293170212">
    <w:abstractNumId w:val="0"/>
  </w:num>
  <w:num w:numId="22" w16cid:durableId="8147329">
    <w:abstractNumId w:val="0"/>
  </w:num>
  <w:num w:numId="23" w16cid:durableId="98571385">
    <w:abstractNumId w:val="0"/>
  </w:num>
  <w:num w:numId="24" w16cid:durableId="17346247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B5D"/>
    <w:rsid w:val="0000077E"/>
    <w:rsid w:val="00017776"/>
    <w:rsid w:val="00021DCB"/>
    <w:rsid w:val="00025428"/>
    <w:rsid w:val="00025DF3"/>
    <w:rsid w:val="00030679"/>
    <w:rsid w:val="00045E13"/>
    <w:rsid w:val="000502CA"/>
    <w:rsid w:val="00055F8D"/>
    <w:rsid w:val="0006514B"/>
    <w:rsid w:val="00065484"/>
    <w:rsid w:val="0007092D"/>
    <w:rsid w:val="00074F02"/>
    <w:rsid w:val="00077882"/>
    <w:rsid w:val="00080BCC"/>
    <w:rsid w:val="0009098B"/>
    <w:rsid w:val="00094F36"/>
    <w:rsid w:val="000A3684"/>
    <w:rsid w:val="000B7CE5"/>
    <w:rsid w:val="000C1AA4"/>
    <w:rsid w:val="000C255A"/>
    <w:rsid w:val="000C6D02"/>
    <w:rsid w:val="000D64A5"/>
    <w:rsid w:val="000E02D6"/>
    <w:rsid w:val="000E5A2E"/>
    <w:rsid w:val="000F1407"/>
    <w:rsid w:val="0010098A"/>
    <w:rsid w:val="00100CEB"/>
    <w:rsid w:val="00123D8B"/>
    <w:rsid w:val="00123E7B"/>
    <w:rsid w:val="00130FA7"/>
    <w:rsid w:val="00133CD1"/>
    <w:rsid w:val="001405B7"/>
    <w:rsid w:val="00144289"/>
    <w:rsid w:val="00152BF7"/>
    <w:rsid w:val="00155730"/>
    <w:rsid w:val="00156F0A"/>
    <w:rsid w:val="00163AE3"/>
    <w:rsid w:val="001865E2"/>
    <w:rsid w:val="001869DB"/>
    <w:rsid w:val="0019463F"/>
    <w:rsid w:val="00197CF8"/>
    <w:rsid w:val="001A3856"/>
    <w:rsid w:val="001B3A98"/>
    <w:rsid w:val="001B3B4C"/>
    <w:rsid w:val="001B3D6A"/>
    <w:rsid w:val="001B461C"/>
    <w:rsid w:val="001C2657"/>
    <w:rsid w:val="001D0846"/>
    <w:rsid w:val="001D29C1"/>
    <w:rsid w:val="001D5CA8"/>
    <w:rsid w:val="001D7F3A"/>
    <w:rsid w:val="001E0A36"/>
    <w:rsid w:val="001E0D67"/>
    <w:rsid w:val="001E6A8F"/>
    <w:rsid w:val="00206BB9"/>
    <w:rsid w:val="002147ED"/>
    <w:rsid w:val="0021791D"/>
    <w:rsid w:val="00222C6E"/>
    <w:rsid w:val="002276AA"/>
    <w:rsid w:val="00232F10"/>
    <w:rsid w:val="00233F1A"/>
    <w:rsid w:val="00234A24"/>
    <w:rsid w:val="00235C52"/>
    <w:rsid w:val="00236F1C"/>
    <w:rsid w:val="0023702A"/>
    <w:rsid w:val="002449A4"/>
    <w:rsid w:val="00246196"/>
    <w:rsid w:val="00264B5E"/>
    <w:rsid w:val="00265727"/>
    <w:rsid w:val="002661EF"/>
    <w:rsid w:val="00271663"/>
    <w:rsid w:val="00274B14"/>
    <w:rsid w:val="002903BA"/>
    <w:rsid w:val="00290E4E"/>
    <w:rsid w:val="002923D5"/>
    <w:rsid w:val="00292A6D"/>
    <w:rsid w:val="002965B1"/>
    <w:rsid w:val="002966C2"/>
    <w:rsid w:val="002A027E"/>
    <w:rsid w:val="002A03E7"/>
    <w:rsid w:val="002B5FA3"/>
    <w:rsid w:val="002C03C0"/>
    <w:rsid w:val="002C1236"/>
    <w:rsid w:val="002C1E1B"/>
    <w:rsid w:val="002C5150"/>
    <w:rsid w:val="002D38C3"/>
    <w:rsid w:val="002F21F5"/>
    <w:rsid w:val="002F3A6A"/>
    <w:rsid w:val="002F65B2"/>
    <w:rsid w:val="0030387C"/>
    <w:rsid w:val="00306A56"/>
    <w:rsid w:val="00306BCA"/>
    <w:rsid w:val="003108B2"/>
    <w:rsid w:val="003118A6"/>
    <w:rsid w:val="0031638D"/>
    <w:rsid w:val="0032242F"/>
    <w:rsid w:val="003227DD"/>
    <w:rsid w:val="00327C4D"/>
    <w:rsid w:val="00332955"/>
    <w:rsid w:val="00341FBF"/>
    <w:rsid w:val="00343F6F"/>
    <w:rsid w:val="00344586"/>
    <w:rsid w:val="00353A69"/>
    <w:rsid w:val="00353EBF"/>
    <w:rsid w:val="003575EF"/>
    <w:rsid w:val="00357C23"/>
    <w:rsid w:val="00363489"/>
    <w:rsid w:val="00376816"/>
    <w:rsid w:val="003816EA"/>
    <w:rsid w:val="003872A8"/>
    <w:rsid w:val="003A1CEC"/>
    <w:rsid w:val="003B2DFA"/>
    <w:rsid w:val="003C0D0F"/>
    <w:rsid w:val="003C29FC"/>
    <w:rsid w:val="003C3FEF"/>
    <w:rsid w:val="003C4C08"/>
    <w:rsid w:val="003C5770"/>
    <w:rsid w:val="003F62F1"/>
    <w:rsid w:val="0040062A"/>
    <w:rsid w:val="00401597"/>
    <w:rsid w:val="004041C7"/>
    <w:rsid w:val="00413D08"/>
    <w:rsid w:val="00414F58"/>
    <w:rsid w:val="004226B1"/>
    <w:rsid w:val="00426B9A"/>
    <w:rsid w:val="0043194D"/>
    <w:rsid w:val="00432798"/>
    <w:rsid w:val="004344E1"/>
    <w:rsid w:val="004411D8"/>
    <w:rsid w:val="00442155"/>
    <w:rsid w:val="00443150"/>
    <w:rsid w:val="00444134"/>
    <w:rsid w:val="004516E0"/>
    <w:rsid w:val="00461828"/>
    <w:rsid w:val="004641A7"/>
    <w:rsid w:val="0046667F"/>
    <w:rsid w:val="00467643"/>
    <w:rsid w:val="004740DD"/>
    <w:rsid w:val="00480980"/>
    <w:rsid w:val="00492091"/>
    <w:rsid w:val="004A0B2C"/>
    <w:rsid w:val="004A4242"/>
    <w:rsid w:val="004B2F7F"/>
    <w:rsid w:val="004C24E5"/>
    <w:rsid w:val="004C3EF5"/>
    <w:rsid w:val="004C403F"/>
    <w:rsid w:val="004D0049"/>
    <w:rsid w:val="004D1D85"/>
    <w:rsid w:val="004D38A2"/>
    <w:rsid w:val="004D49FE"/>
    <w:rsid w:val="004E2304"/>
    <w:rsid w:val="004E6FA1"/>
    <w:rsid w:val="004F6FEF"/>
    <w:rsid w:val="00511714"/>
    <w:rsid w:val="00513FF9"/>
    <w:rsid w:val="00515159"/>
    <w:rsid w:val="00521152"/>
    <w:rsid w:val="005220C7"/>
    <w:rsid w:val="005258B3"/>
    <w:rsid w:val="0053464B"/>
    <w:rsid w:val="005405E7"/>
    <w:rsid w:val="00545268"/>
    <w:rsid w:val="0056279F"/>
    <w:rsid w:val="00585B8E"/>
    <w:rsid w:val="00592C35"/>
    <w:rsid w:val="00592E1A"/>
    <w:rsid w:val="00595180"/>
    <w:rsid w:val="0059623F"/>
    <w:rsid w:val="005A4153"/>
    <w:rsid w:val="005A76A7"/>
    <w:rsid w:val="005D0338"/>
    <w:rsid w:val="005E0494"/>
    <w:rsid w:val="005E2754"/>
    <w:rsid w:val="005E436C"/>
    <w:rsid w:val="005E5F4A"/>
    <w:rsid w:val="005E65BF"/>
    <w:rsid w:val="005F1057"/>
    <w:rsid w:val="005F7B84"/>
    <w:rsid w:val="005F7E14"/>
    <w:rsid w:val="00616B35"/>
    <w:rsid w:val="00633110"/>
    <w:rsid w:val="006337A3"/>
    <w:rsid w:val="00634CC1"/>
    <w:rsid w:val="00636ED2"/>
    <w:rsid w:val="0066074C"/>
    <w:rsid w:val="00661961"/>
    <w:rsid w:val="00665E07"/>
    <w:rsid w:val="0066646F"/>
    <w:rsid w:val="00671161"/>
    <w:rsid w:val="0067309D"/>
    <w:rsid w:val="006812CE"/>
    <w:rsid w:val="00685065"/>
    <w:rsid w:val="00687044"/>
    <w:rsid w:val="006927FF"/>
    <w:rsid w:val="00697759"/>
    <w:rsid w:val="006A1920"/>
    <w:rsid w:val="006A3040"/>
    <w:rsid w:val="006A721C"/>
    <w:rsid w:val="006A7D3F"/>
    <w:rsid w:val="006B1B6F"/>
    <w:rsid w:val="006B7E81"/>
    <w:rsid w:val="006C13E7"/>
    <w:rsid w:val="006C291A"/>
    <w:rsid w:val="006C5B81"/>
    <w:rsid w:val="006D49BC"/>
    <w:rsid w:val="006F6E82"/>
    <w:rsid w:val="006F6FCD"/>
    <w:rsid w:val="006F7D33"/>
    <w:rsid w:val="007018A3"/>
    <w:rsid w:val="00702718"/>
    <w:rsid w:val="00704573"/>
    <w:rsid w:val="007055F4"/>
    <w:rsid w:val="0071149B"/>
    <w:rsid w:val="00712C82"/>
    <w:rsid w:val="0072314C"/>
    <w:rsid w:val="007332ED"/>
    <w:rsid w:val="00737D71"/>
    <w:rsid w:val="00741E2B"/>
    <w:rsid w:val="0076381C"/>
    <w:rsid w:val="00765F89"/>
    <w:rsid w:val="00766FF5"/>
    <w:rsid w:val="00770B31"/>
    <w:rsid w:val="00771669"/>
    <w:rsid w:val="00775D36"/>
    <w:rsid w:val="00780DC2"/>
    <w:rsid w:val="00790F87"/>
    <w:rsid w:val="00791418"/>
    <w:rsid w:val="0079728E"/>
    <w:rsid w:val="007C5166"/>
    <w:rsid w:val="007C76D3"/>
    <w:rsid w:val="007D3457"/>
    <w:rsid w:val="007D395A"/>
    <w:rsid w:val="007D43DA"/>
    <w:rsid w:val="007D522F"/>
    <w:rsid w:val="007D53CA"/>
    <w:rsid w:val="007F312B"/>
    <w:rsid w:val="007F6492"/>
    <w:rsid w:val="007F7F33"/>
    <w:rsid w:val="008009CE"/>
    <w:rsid w:val="00801B1F"/>
    <w:rsid w:val="00805CE7"/>
    <w:rsid w:val="00817884"/>
    <w:rsid w:val="00821275"/>
    <w:rsid w:val="00827BFC"/>
    <w:rsid w:val="0083220B"/>
    <w:rsid w:val="00845374"/>
    <w:rsid w:val="008455D8"/>
    <w:rsid w:val="008519E9"/>
    <w:rsid w:val="008574C1"/>
    <w:rsid w:val="00865EA9"/>
    <w:rsid w:val="008662C1"/>
    <w:rsid w:val="00870A3F"/>
    <w:rsid w:val="008714F6"/>
    <w:rsid w:val="008728F0"/>
    <w:rsid w:val="00873C2B"/>
    <w:rsid w:val="00877949"/>
    <w:rsid w:val="00887EE4"/>
    <w:rsid w:val="00890C17"/>
    <w:rsid w:val="00892737"/>
    <w:rsid w:val="00893207"/>
    <w:rsid w:val="00895DD6"/>
    <w:rsid w:val="008A16CB"/>
    <w:rsid w:val="008A1B3A"/>
    <w:rsid w:val="008A1F79"/>
    <w:rsid w:val="008A226C"/>
    <w:rsid w:val="008A403B"/>
    <w:rsid w:val="008A7873"/>
    <w:rsid w:val="008A7880"/>
    <w:rsid w:val="008B0839"/>
    <w:rsid w:val="008B0F13"/>
    <w:rsid w:val="008B1B19"/>
    <w:rsid w:val="008B68E7"/>
    <w:rsid w:val="008C2F65"/>
    <w:rsid w:val="008C3BB8"/>
    <w:rsid w:val="008D25CF"/>
    <w:rsid w:val="008E290E"/>
    <w:rsid w:val="008E6D66"/>
    <w:rsid w:val="00900C4B"/>
    <w:rsid w:val="00901F0F"/>
    <w:rsid w:val="009026A6"/>
    <w:rsid w:val="00907E14"/>
    <w:rsid w:val="0091100D"/>
    <w:rsid w:val="00947AD0"/>
    <w:rsid w:val="009526F7"/>
    <w:rsid w:val="0095495A"/>
    <w:rsid w:val="0095740E"/>
    <w:rsid w:val="0096136B"/>
    <w:rsid w:val="00965509"/>
    <w:rsid w:val="0097318B"/>
    <w:rsid w:val="00980E30"/>
    <w:rsid w:val="00981C22"/>
    <w:rsid w:val="0099135A"/>
    <w:rsid w:val="0099319E"/>
    <w:rsid w:val="00993606"/>
    <w:rsid w:val="009952A4"/>
    <w:rsid w:val="009A030D"/>
    <w:rsid w:val="009A649F"/>
    <w:rsid w:val="009B2A87"/>
    <w:rsid w:val="009B5A7E"/>
    <w:rsid w:val="009B6879"/>
    <w:rsid w:val="009C29CC"/>
    <w:rsid w:val="009C32FB"/>
    <w:rsid w:val="009D13AB"/>
    <w:rsid w:val="009D7B89"/>
    <w:rsid w:val="009F03BE"/>
    <w:rsid w:val="009F4957"/>
    <w:rsid w:val="00A01D6E"/>
    <w:rsid w:val="00A17774"/>
    <w:rsid w:val="00A20E4E"/>
    <w:rsid w:val="00A243CA"/>
    <w:rsid w:val="00A246B6"/>
    <w:rsid w:val="00A2698E"/>
    <w:rsid w:val="00A4001E"/>
    <w:rsid w:val="00A60749"/>
    <w:rsid w:val="00A63A07"/>
    <w:rsid w:val="00A735CF"/>
    <w:rsid w:val="00A749F5"/>
    <w:rsid w:val="00A75679"/>
    <w:rsid w:val="00A7750B"/>
    <w:rsid w:val="00AA6ACC"/>
    <w:rsid w:val="00AC5DE2"/>
    <w:rsid w:val="00AC6062"/>
    <w:rsid w:val="00AC7A86"/>
    <w:rsid w:val="00AE166C"/>
    <w:rsid w:val="00AE701F"/>
    <w:rsid w:val="00AF7C26"/>
    <w:rsid w:val="00B057A4"/>
    <w:rsid w:val="00B12A73"/>
    <w:rsid w:val="00B35181"/>
    <w:rsid w:val="00B36FC8"/>
    <w:rsid w:val="00B45010"/>
    <w:rsid w:val="00B4776F"/>
    <w:rsid w:val="00B54BE6"/>
    <w:rsid w:val="00B578F2"/>
    <w:rsid w:val="00B718C3"/>
    <w:rsid w:val="00B73B74"/>
    <w:rsid w:val="00B76033"/>
    <w:rsid w:val="00B772ED"/>
    <w:rsid w:val="00B818B4"/>
    <w:rsid w:val="00B92A48"/>
    <w:rsid w:val="00BB113D"/>
    <w:rsid w:val="00BB6330"/>
    <w:rsid w:val="00BB6C40"/>
    <w:rsid w:val="00BB7E09"/>
    <w:rsid w:val="00BC3C4D"/>
    <w:rsid w:val="00BC50D3"/>
    <w:rsid w:val="00BD1D28"/>
    <w:rsid w:val="00BE7DC3"/>
    <w:rsid w:val="00C02DDF"/>
    <w:rsid w:val="00C02F9A"/>
    <w:rsid w:val="00C107A8"/>
    <w:rsid w:val="00C12648"/>
    <w:rsid w:val="00C13173"/>
    <w:rsid w:val="00C33D8D"/>
    <w:rsid w:val="00C34328"/>
    <w:rsid w:val="00C403E0"/>
    <w:rsid w:val="00C40760"/>
    <w:rsid w:val="00C45016"/>
    <w:rsid w:val="00C52EC4"/>
    <w:rsid w:val="00C54E24"/>
    <w:rsid w:val="00C569A4"/>
    <w:rsid w:val="00C60EBF"/>
    <w:rsid w:val="00C6509F"/>
    <w:rsid w:val="00C700DC"/>
    <w:rsid w:val="00C71682"/>
    <w:rsid w:val="00C73664"/>
    <w:rsid w:val="00C77021"/>
    <w:rsid w:val="00C8771C"/>
    <w:rsid w:val="00C94B61"/>
    <w:rsid w:val="00CA41C2"/>
    <w:rsid w:val="00CA47AD"/>
    <w:rsid w:val="00CA5C22"/>
    <w:rsid w:val="00CB02DE"/>
    <w:rsid w:val="00CB23F5"/>
    <w:rsid w:val="00CB60BD"/>
    <w:rsid w:val="00CB7C57"/>
    <w:rsid w:val="00CC0631"/>
    <w:rsid w:val="00CC2B03"/>
    <w:rsid w:val="00CC2FB4"/>
    <w:rsid w:val="00CC4616"/>
    <w:rsid w:val="00CC5EEC"/>
    <w:rsid w:val="00CD19DE"/>
    <w:rsid w:val="00CD260F"/>
    <w:rsid w:val="00CD624F"/>
    <w:rsid w:val="00CE6F94"/>
    <w:rsid w:val="00CF14DB"/>
    <w:rsid w:val="00CF2F96"/>
    <w:rsid w:val="00CF56CE"/>
    <w:rsid w:val="00CF5E36"/>
    <w:rsid w:val="00D02028"/>
    <w:rsid w:val="00D1292B"/>
    <w:rsid w:val="00D13E7A"/>
    <w:rsid w:val="00D21205"/>
    <w:rsid w:val="00D221A7"/>
    <w:rsid w:val="00D26781"/>
    <w:rsid w:val="00D3023D"/>
    <w:rsid w:val="00D32B6E"/>
    <w:rsid w:val="00D34ADE"/>
    <w:rsid w:val="00D44CAE"/>
    <w:rsid w:val="00D5007C"/>
    <w:rsid w:val="00D50262"/>
    <w:rsid w:val="00D51D2E"/>
    <w:rsid w:val="00D52B7E"/>
    <w:rsid w:val="00D53A9A"/>
    <w:rsid w:val="00D53B69"/>
    <w:rsid w:val="00D6301C"/>
    <w:rsid w:val="00D700C8"/>
    <w:rsid w:val="00D708FA"/>
    <w:rsid w:val="00D9398C"/>
    <w:rsid w:val="00D93F61"/>
    <w:rsid w:val="00D9677D"/>
    <w:rsid w:val="00DA3F0A"/>
    <w:rsid w:val="00DA6024"/>
    <w:rsid w:val="00DB608B"/>
    <w:rsid w:val="00DC3C96"/>
    <w:rsid w:val="00DC773F"/>
    <w:rsid w:val="00DF009E"/>
    <w:rsid w:val="00DF79EE"/>
    <w:rsid w:val="00E03446"/>
    <w:rsid w:val="00E035AF"/>
    <w:rsid w:val="00E07E75"/>
    <w:rsid w:val="00E100FE"/>
    <w:rsid w:val="00E13AE1"/>
    <w:rsid w:val="00E2607B"/>
    <w:rsid w:val="00E363E8"/>
    <w:rsid w:val="00E467E1"/>
    <w:rsid w:val="00E50E59"/>
    <w:rsid w:val="00E5168F"/>
    <w:rsid w:val="00E62203"/>
    <w:rsid w:val="00E83793"/>
    <w:rsid w:val="00E84101"/>
    <w:rsid w:val="00E90D3F"/>
    <w:rsid w:val="00E91FCF"/>
    <w:rsid w:val="00EA3E33"/>
    <w:rsid w:val="00EA4B13"/>
    <w:rsid w:val="00EA636B"/>
    <w:rsid w:val="00EB31D3"/>
    <w:rsid w:val="00EC1229"/>
    <w:rsid w:val="00EC28B8"/>
    <w:rsid w:val="00EE0299"/>
    <w:rsid w:val="00EE0864"/>
    <w:rsid w:val="00EE32FE"/>
    <w:rsid w:val="00EF025A"/>
    <w:rsid w:val="00F119EF"/>
    <w:rsid w:val="00F12B1C"/>
    <w:rsid w:val="00F17335"/>
    <w:rsid w:val="00F22AC8"/>
    <w:rsid w:val="00F24563"/>
    <w:rsid w:val="00F37868"/>
    <w:rsid w:val="00F40F77"/>
    <w:rsid w:val="00F4108A"/>
    <w:rsid w:val="00F46B16"/>
    <w:rsid w:val="00F63247"/>
    <w:rsid w:val="00F65F39"/>
    <w:rsid w:val="00F74B5D"/>
    <w:rsid w:val="00F76B6A"/>
    <w:rsid w:val="00F83FB0"/>
    <w:rsid w:val="00F959D5"/>
    <w:rsid w:val="00FA6592"/>
    <w:rsid w:val="00FB22C4"/>
    <w:rsid w:val="00FB51E4"/>
    <w:rsid w:val="00FC00A2"/>
    <w:rsid w:val="00FC5427"/>
    <w:rsid w:val="00FC6DE9"/>
    <w:rsid w:val="00FC77FE"/>
    <w:rsid w:val="00FD2F00"/>
    <w:rsid w:val="00FF1544"/>
    <w:rsid w:val="00FF28D3"/>
    <w:rsid w:val="00FF4863"/>
    <w:rsid w:val="00FF795D"/>
    <w:rsid w:val="03533D87"/>
    <w:rsid w:val="43B5191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2E4187"/>
  <w14:defaultImageDpi w14:val="32767"/>
  <w15:chartTrackingRefBased/>
  <w15:docId w15:val="{6E2E1E19-40E9-4CA2-A208-2DCED1EC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101"/>
    <w:pPr>
      <w:spacing w:before="120" w:after="120" w:line="259" w:lineRule="auto"/>
    </w:pPr>
    <w:rPr>
      <w:sz w:val="22"/>
      <w:szCs w:val="22"/>
      <w:lang w:eastAsia="en-US"/>
    </w:rPr>
  </w:style>
  <w:style w:type="paragraph" w:styleId="Heading1">
    <w:name w:val="heading 1"/>
    <w:basedOn w:val="Normal"/>
    <w:next w:val="Normal"/>
    <w:link w:val="Heading1Char"/>
    <w:uiPriority w:val="9"/>
    <w:qFormat/>
    <w:rsid w:val="00704573"/>
    <w:pPr>
      <w:keepNext/>
      <w:keepLines/>
      <w:spacing w:before="240" w:after="0"/>
      <w:outlineLvl w:val="0"/>
    </w:pPr>
    <w:rPr>
      <w:rFonts w:asciiTheme="majorHAnsi" w:eastAsiaTheme="majorEastAsia" w:hAnsiTheme="majorHAnsi" w:cstheme="majorBidi"/>
      <w:b/>
      <w:caps/>
      <w:sz w:val="32"/>
      <w:szCs w:val="32"/>
    </w:rPr>
  </w:style>
  <w:style w:type="paragraph" w:styleId="Heading2">
    <w:name w:val="heading 2"/>
    <w:basedOn w:val="Heading1"/>
    <w:next w:val="Normal"/>
    <w:link w:val="Heading2Char"/>
    <w:uiPriority w:val="9"/>
    <w:unhideWhenUsed/>
    <w:qFormat/>
    <w:rsid w:val="00965509"/>
    <w:pPr>
      <w:spacing w:before="0"/>
      <w:outlineLvl w:val="1"/>
    </w:pPr>
    <w:rPr>
      <w:b w:val="0"/>
      <w:caps w:val="0"/>
      <w:sz w:val="96"/>
    </w:rPr>
  </w:style>
  <w:style w:type="paragraph" w:styleId="Heading3">
    <w:name w:val="heading 3"/>
    <w:basedOn w:val="Normal"/>
    <w:next w:val="Normal"/>
    <w:link w:val="Heading3Char"/>
    <w:uiPriority w:val="9"/>
    <w:unhideWhenUsed/>
    <w:qFormat/>
    <w:rsid w:val="003575EF"/>
    <w:pPr>
      <w:keepNext/>
      <w:keepLines/>
      <w:spacing w:before="240" w:after="0"/>
      <w:outlineLvl w:val="2"/>
    </w:pPr>
    <w:rPr>
      <w:rFonts w:asciiTheme="majorHAnsi" w:eastAsiaTheme="majorEastAsia" w:hAnsiTheme="majorHAnsi" w:cstheme="majorBidi"/>
      <w:b/>
      <w:sz w:val="32"/>
      <w:szCs w:val="24"/>
    </w:rPr>
  </w:style>
  <w:style w:type="paragraph" w:styleId="Heading4">
    <w:name w:val="heading 4"/>
    <w:basedOn w:val="Normal"/>
    <w:next w:val="Normal"/>
    <w:link w:val="Heading4Char"/>
    <w:uiPriority w:val="9"/>
    <w:unhideWhenUsed/>
    <w:qFormat/>
    <w:rsid w:val="003575EF"/>
    <w:pPr>
      <w:keepNext/>
      <w:keepLines/>
      <w:outlineLvl w:val="3"/>
    </w:pPr>
    <w:rPr>
      <w:rFonts w:asciiTheme="majorHAnsi" w:eastAsiaTheme="majorEastAsia" w:hAnsiTheme="majorHAnsi"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Heading1"/>
    <w:qFormat/>
    <w:rsid w:val="00F959D5"/>
    <w:pPr>
      <w:spacing w:before="480"/>
      <w:jc w:val="center"/>
    </w:pPr>
    <w:rPr>
      <w:rFonts w:asciiTheme="minorHAnsi" w:hAnsiTheme="minorHAnsi" w:cstheme="minorHAnsi"/>
      <w:b w:val="0"/>
      <w:bCs/>
      <w:caps w:val="0"/>
      <w:color w:val="313E48"/>
      <w:sz w:val="40"/>
      <w:szCs w:val="40"/>
    </w:rPr>
  </w:style>
  <w:style w:type="paragraph" w:customStyle="1" w:styleId="BodyCopy">
    <w:name w:val="Body Copy"/>
    <w:next w:val="Normal"/>
    <w:qFormat/>
    <w:rsid w:val="003575EF"/>
    <w:pPr>
      <w:spacing w:before="40" w:after="120"/>
    </w:pPr>
    <w:rPr>
      <w:rFonts w:ascii="Calibri Light" w:hAnsi="Calibri Light" w:cs="Calibri Light"/>
      <w:sz w:val="22"/>
      <w:szCs w:val="21"/>
      <w:lang w:eastAsia="en-US"/>
    </w:rPr>
  </w:style>
  <w:style w:type="paragraph" w:customStyle="1" w:styleId="H2-Heading2">
    <w:name w:val="H2 - Heading 2"/>
    <w:basedOn w:val="Heading2"/>
    <w:next w:val="BodyCopy"/>
    <w:qFormat/>
    <w:rsid w:val="00AF7C26"/>
    <w:pPr>
      <w:spacing w:before="240"/>
    </w:pPr>
    <w:rPr>
      <w:rFonts w:cstheme="majorHAnsi"/>
      <w:b/>
      <w:bCs/>
      <w:caps/>
      <w:color w:val="313E48"/>
      <w:sz w:val="32"/>
    </w:rPr>
  </w:style>
  <w:style w:type="paragraph" w:customStyle="1" w:styleId="H4-Heading4">
    <w:name w:val="H4 - Heading 4"/>
    <w:basedOn w:val="Heading4"/>
    <w:next w:val="BodyCopy"/>
    <w:qFormat/>
    <w:rsid w:val="004D1D85"/>
    <w:pPr>
      <w:spacing w:before="160"/>
    </w:pPr>
    <w:rPr>
      <w:rFonts w:asciiTheme="minorHAnsi" w:hAnsiTheme="minorHAnsi" w:cstheme="minorHAnsi"/>
      <w:b w:val="0"/>
      <w:bCs/>
      <w:i w:val="0"/>
      <w:iCs w:val="0"/>
      <w:color w:val="313E48"/>
      <w:sz w:val="24"/>
      <w:szCs w:val="24"/>
    </w:rPr>
  </w:style>
  <w:style w:type="paragraph" w:customStyle="1" w:styleId="H3-Heading3">
    <w:name w:val="H3 - Heading 3"/>
    <w:basedOn w:val="Heading3"/>
    <w:qFormat/>
    <w:rsid w:val="00771669"/>
    <w:pPr>
      <w:spacing w:before="120" w:after="120"/>
    </w:pPr>
    <w:rPr>
      <w:rFonts w:asciiTheme="minorHAnsi" w:hAnsiTheme="minorHAnsi" w:cstheme="minorHAnsi"/>
      <w:b w:val="0"/>
      <w:bCs/>
      <w:sz w:val="28"/>
      <w:szCs w:val="28"/>
    </w:rPr>
  </w:style>
  <w:style w:type="paragraph" w:customStyle="1" w:styleId="BodycopyNumberedBullets">
    <w:name w:val="Body copy Numbered Bullets"/>
    <w:basedOn w:val="BodyCopy"/>
    <w:qFormat/>
    <w:rsid w:val="00D32B6E"/>
    <w:pPr>
      <w:numPr>
        <w:numId w:val="1"/>
      </w:numPr>
      <w:ind w:left="641" w:hanging="357"/>
    </w:pPr>
  </w:style>
  <w:style w:type="paragraph" w:customStyle="1" w:styleId="BodyCopyPrebulletsandnumberedbullets">
    <w:name w:val="Body Copy Pre bullets and numbered bullets"/>
    <w:basedOn w:val="BodyCopy"/>
    <w:qFormat/>
    <w:rsid w:val="00845374"/>
    <w:pPr>
      <w:spacing w:before="160"/>
    </w:pPr>
  </w:style>
  <w:style w:type="paragraph" w:customStyle="1" w:styleId="BodyCopyBullets">
    <w:name w:val="Body Copy Bullets"/>
    <w:basedOn w:val="BodyCopy"/>
    <w:qFormat/>
    <w:rsid w:val="00D32B6E"/>
    <w:pPr>
      <w:numPr>
        <w:numId w:val="4"/>
      </w:numPr>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er"/>
    <w:qFormat/>
    <w:rsid w:val="00771669"/>
    <w:pPr>
      <w:spacing w:before="0"/>
    </w:pPr>
    <w:rPr>
      <w:rFonts w:asciiTheme="minorHAnsi" w:hAnsiTheme="minorHAnsi" w:cstheme="minorHAnsi"/>
      <w:b/>
      <w:bCs/>
      <w:sz w:val="20"/>
    </w:rPr>
  </w:style>
  <w:style w:type="paragraph" w:customStyle="1" w:styleId="TableBodyCopy">
    <w:name w:val="Table Body Copy"/>
    <w:basedOn w:val="Normal"/>
    <w:next w:val="Normal"/>
    <w:qFormat/>
    <w:rsid w:val="009D13AB"/>
    <w:pPr>
      <w:spacing w:before="0" w:after="0"/>
    </w:pPr>
    <w:rPr>
      <w:sz w:val="20"/>
    </w:rPr>
  </w:style>
  <w:style w:type="paragraph" w:customStyle="1" w:styleId="PostBulletsBodyCopy">
    <w:name w:val="Post Bullets Body Copy"/>
    <w:basedOn w:val="BodyCopy"/>
    <w:qFormat/>
    <w:rsid w:val="00F63247"/>
    <w:pPr>
      <w:spacing w:before="160" w:after="160"/>
    </w:pPr>
  </w:style>
  <w:style w:type="paragraph" w:styleId="Header">
    <w:name w:val="header"/>
    <w:basedOn w:val="Normal"/>
    <w:link w:val="HeaderChar"/>
    <w:uiPriority w:val="99"/>
    <w:unhideWhenUsed/>
    <w:rsid w:val="001D2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47763B" w:themeColor="accent2"/>
    </w:rPr>
  </w:style>
  <w:style w:type="character" w:styleId="Emphasis">
    <w:name w:val="Emphasis"/>
    <w:basedOn w:val="IntenseEmphasis"/>
    <w:uiPriority w:val="20"/>
    <w:qFormat/>
    <w:rsid w:val="00AF7C26"/>
    <w:rPr>
      <w:rFonts w:asciiTheme="minorHAnsi" w:hAnsiTheme="minorHAnsi" w:cstheme="minorHAnsi"/>
      <w:b/>
      <w:bCs/>
      <w:i w:val="0"/>
      <w:iCs/>
      <w:color w:val="313E48"/>
      <w:sz w:val="22"/>
    </w:rPr>
  </w:style>
  <w:style w:type="character" w:customStyle="1" w:styleId="Heading1Char">
    <w:name w:val="Heading 1 Char"/>
    <w:basedOn w:val="DefaultParagraphFont"/>
    <w:link w:val="Heading1"/>
    <w:uiPriority w:val="9"/>
    <w:rsid w:val="00704573"/>
    <w:rPr>
      <w:rFonts w:asciiTheme="majorHAnsi" w:eastAsiaTheme="majorEastAsia" w:hAnsiTheme="majorHAnsi" w:cstheme="majorBidi"/>
      <w:b/>
      <w:caps/>
      <w:sz w:val="32"/>
      <w:szCs w:val="32"/>
      <w:lang w:eastAsia="en-US"/>
    </w:rPr>
  </w:style>
  <w:style w:type="character" w:customStyle="1" w:styleId="Heading2Char">
    <w:name w:val="Heading 2 Char"/>
    <w:basedOn w:val="DefaultParagraphFont"/>
    <w:link w:val="Heading2"/>
    <w:uiPriority w:val="9"/>
    <w:rsid w:val="00965509"/>
    <w:rPr>
      <w:rFonts w:asciiTheme="majorHAnsi" w:eastAsiaTheme="majorEastAsia" w:hAnsiTheme="majorHAnsi" w:cstheme="majorBidi"/>
      <w:sz w:val="96"/>
      <w:szCs w:val="32"/>
      <w:lang w:eastAsia="en-US"/>
    </w:rPr>
  </w:style>
  <w:style w:type="character" w:customStyle="1" w:styleId="Heading3Char">
    <w:name w:val="Heading 3 Char"/>
    <w:basedOn w:val="DefaultParagraphFont"/>
    <w:link w:val="Heading3"/>
    <w:uiPriority w:val="9"/>
    <w:rsid w:val="003575EF"/>
    <w:rPr>
      <w:rFonts w:asciiTheme="majorHAnsi" w:eastAsiaTheme="majorEastAsia" w:hAnsiTheme="majorHAnsi" w:cstheme="majorBidi"/>
      <w:b/>
      <w:sz w:val="32"/>
      <w:szCs w:val="24"/>
      <w:lang w:eastAsia="en-US"/>
    </w:rPr>
  </w:style>
  <w:style w:type="character" w:customStyle="1" w:styleId="Heading4Char">
    <w:name w:val="Heading 4 Char"/>
    <w:basedOn w:val="DefaultParagraphFont"/>
    <w:link w:val="Heading4"/>
    <w:uiPriority w:val="9"/>
    <w:rsid w:val="003575EF"/>
    <w:rPr>
      <w:rFonts w:asciiTheme="majorHAnsi" w:eastAsiaTheme="majorEastAsia" w:hAnsiTheme="majorHAnsi" w:cstheme="majorBidi"/>
      <w:b/>
      <w:i/>
      <w:iCs/>
      <w:sz w:val="22"/>
      <w:szCs w:val="22"/>
      <w:lang w:eastAsia="en-US"/>
    </w:rPr>
  </w:style>
  <w:style w:type="character" w:styleId="IntenseEmphasis">
    <w:name w:val="Intense Emphasis"/>
    <w:basedOn w:val="DefaultParagraphFont"/>
    <w:uiPriority w:val="21"/>
    <w:qFormat/>
    <w:rsid w:val="00AF7C26"/>
    <w:rPr>
      <w:i/>
      <w:iCs/>
      <w:color w:val="00837C" w:themeColor="accent1"/>
    </w:rPr>
  </w:style>
  <w:style w:type="table" w:styleId="ListTable4-Accent4">
    <w:name w:val="List Table 4 Accent 4"/>
    <w:basedOn w:val="TableNormal"/>
    <w:uiPriority w:val="49"/>
    <w:rsid w:val="004516E0"/>
    <w:tblPr>
      <w:tblStyleRowBandSize w:val="1"/>
      <w:tblStyleColBandSize w:val="1"/>
      <w:tblBorders>
        <w:top w:val="single" w:sz="4" w:space="0" w:color="F3CC79" w:themeColor="accent4" w:themeTint="99"/>
        <w:left w:val="single" w:sz="4" w:space="0" w:color="F3CC79" w:themeColor="accent4" w:themeTint="99"/>
        <w:bottom w:val="single" w:sz="4" w:space="0" w:color="F3CC79" w:themeColor="accent4" w:themeTint="99"/>
        <w:right w:val="single" w:sz="4" w:space="0" w:color="F3CC79" w:themeColor="accent4" w:themeTint="99"/>
        <w:insideH w:val="single" w:sz="4" w:space="0" w:color="F3CC79" w:themeColor="accent4" w:themeTint="99"/>
      </w:tblBorders>
    </w:tblPr>
    <w:tblStylePr w:type="firstRow">
      <w:rPr>
        <w:b/>
        <w:bCs/>
        <w:color w:val="FFFFFF" w:themeColor="background1"/>
      </w:rPr>
      <w:tblPr/>
      <w:tcPr>
        <w:tcBorders>
          <w:top w:val="single" w:sz="4" w:space="0" w:color="EBAB21" w:themeColor="accent4"/>
          <w:left w:val="single" w:sz="4" w:space="0" w:color="EBAB21" w:themeColor="accent4"/>
          <w:bottom w:val="single" w:sz="4" w:space="0" w:color="EBAB21" w:themeColor="accent4"/>
          <w:right w:val="single" w:sz="4" w:space="0" w:color="EBAB21" w:themeColor="accent4"/>
          <w:insideH w:val="nil"/>
        </w:tcBorders>
        <w:shd w:val="clear" w:color="auto" w:fill="EBAB21" w:themeFill="accent4"/>
      </w:tcPr>
    </w:tblStylePr>
    <w:tblStylePr w:type="lastRow">
      <w:rPr>
        <w:b/>
        <w:bCs/>
      </w:rPr>
      <w:tblPr/>
      <w:tcPr>
        <w:tcBorders>
          <w:top w:val="double" w:sz="4" w:space="0" w:color="F3CC79" w:themeColor="accent4" w:themeTint="99"/>
        </w:tcBorders>
      </w:tcPr>
    </w:tblStylePr>
    <w:tblStylePr w:type="firstCol">
      <w:rPr>
        <w:b/>
        <w:bCs/>
      </w:rPr>
    </w:tblStylePr>
    <w:tblStylePr w:type="lastCol">
      <w:rPr>
        <w:b/>
        <w:bCs/>
      </w:rPr>
    </w:tblStylePr>
    <w:tblStylePr w:type="band1Vert">
      <w:tblPr/>
      <w:tcPr>
        <w:shd w:val="clear" w:color="auto" w:fill="FBEED2" w:themeFill="accent4" w:themeFillTint="33"/>
      </w:tcPr>
    </w:tblStylePr>
    <w:tblStylePr w:type="band1Horz">
      <w:tblPr/>
      <w:tcPr>
        <w:shd w:val="clear" w:color="auto" w:fill="FBEED2" w:themeFill="accent4" w:themeFillTint="33"/>
      </w:tcPr>
    </w:tblStylePr>
  </w:style>
  <w:style w:type="character" w:styleId="CommentReference">
    <w:name w:val="annotation reference"/>
    <w:basedOn w:val="DefaultParagraphFont"/>
    <w:uiPriority w:val="99"/>
    <w:semiHidden/>
    <w:unhideWhenUsed/>
    <w:rsid w:val="00045E13"/>
    <w:rPr>
      <w:sz w:val="16"/>
      <w:szCs w:val="16"/>
    </w:rPr>
  </w:style>
  <w:style w:type="paragraph" w:styleId="CommentText">
    <w:name w:val="annotation text"/>
    <w:basedOn w:val="Normal"/>
    <w:link w:val="CommentTextChar"/>
    <w:uiPriority w:val="99"/>
    <w:unhideWhenUsed/>
    <w:rsid w:val="00045E13"/>
    <w:pPr>
      <w:spacing w:line="240" w:lineRule="auto"/>
    </w:pPr>
    <w:rPr>
      <w:sz w:val="20"/>
      <w:szCs w:val="20"/>
    </w:rPr>
  </w:style>
  <w:style w:type="character" w:customStyle="1" w:styleId="CommentTextChar">
    <w:name w:val="Comment Text Char"/>
    <w:basedOn w:val="DefaultParagraphFont"/>
    <w:link w:val="CommentText"/>
    <w:uiPriority w:val="99"/>
    <w:rsid w:val="00045E13"/>
    <w:rPr>
      <w:lang w:eastAsia="en-US"/>
    </w:rPr>
  </w:style>
  <w:style w:type="paragraph" w:styleId="CommentSubject">
    <w:name w:val="annotation subject"/>
    <w:basedOn w:val="CommentText"/>
    <w:next w:val="CommentText"/>
    <w:link w:val="CommentSubjectChar"/>
    <w:uiPriority w:val="99"/>
    <w:semiHidden/>
    <w:unhideWhenUsed/>
    <w:rsid w:val="00045E13"/>
    <w:rPr>
      <w:b/>
      <w:bCs/>
    </w:rPr>
  </w:style>
  <w:style w:type="character" w:customStyle="1" w:styleId="CommentSubjectChar">
    <w:name w:val="Comment Subject Char"/>
    <w:basedOn w:val="CommentTextChar"/>
    <w:link w:val="CommentSubject"/>
    <w:uiPriority w:val="99"/>
    <w:semiHidden/>
    <w:rsid w:val="00045E13"/>
    <w:rPr>
      <w:b/>
      <w:bCs/>
      <w:lang w:eastAsia="en-US"/>
    </w:rPr>
  </w:style>
  <w:style w:type="character" w:styleId="Mention">
    <w:name w:val="Mention"/>
    <w:basedOn w:val="DefaultParagraphFont"/>
    <w:uiPriority w:val="99"/>
    <w:unhideWhenUsed/>
    <w:rsid w:val="00045E13"/>
    <w:rPr>
      <w:color w:val="2B579A"/>
      <w:shd w:val="clear" w:color="auto" w:fill="E1DFDD"/>
    </w:rPr>
  </w:style>
  <w:style w:type="paragraph" w:styleId="ListBullet">
    <w:name w:val="List Bullet"/>
    <w:basedOn w:val="Normal"/>
    <w:uiPriority w:val="99"/>
    <w:unhideWhenUsed/>
    <w:rsid w:val="003575EF"/>
    <w:pPr>
      <w:numPr>
        <w:numId w:val="13"/>
      </w:numPr>
      <w:contextualSpacing/>
    </w:pPr>
  </w:style>
  <w:style w:type="paragraph" w:styleId="Caption">
    <w:name w:val="caption"/>
    <w:basedOn w:val="Normal"/>
    <w:next w:val="Normal"/>
    <w:uiPriority w:val="35"/>
    <w:unhideWhenUsed/>
    <w:qFormat/>
    <w:rsid w:val="00E84101"/>
    <w:pPr>
      <w:spacing w:before="0" w:after="200" w:line="240" w:lineRule="auto"/>
    </w:pPr>
    <w:rPr>
      <w:i/>
      <w:iCs/>
      <w:sz w:val="18"/>
      <w:szCs w:val="18"/>
    </w:rPr>
  </w:style>
  <w:style w:type="paragraph" w:styleId="Index3">
    <w:name w:val="index 3"/>
    <w:basedOn w:val="Normal"/>
    <w:next w:val="Normal"/>
    <w:autoRedefine/>
    <w:uiPriority w:val="99"/>
    <w:unhideWhenUsed/>
    <w:rsid w:val="00E84101"/>
    <w:pPr>
      <w:spacing w:before="0" w:after="0" w:line="240" w:lineRule="auto"/>
      <w:ind w:left="660" w:hanging="220"/>
    </w:pPr>
  </w:style>
  <w:style w:type="paragraph" w:customStyle="1" w:styleId="Overview">
    <w:name w:val="Overview"/>
    <w:basedOn w:val="Normal"/>
    <w:qFormat/>
    <w:rsid w:val="00F24563"/>
    <w:pPr>
      <w:pBdr>
        <w:top w:val="single" w:sz="4" w:space="1" w:color="auto"/>
        <w:bottom w:val="single" w:sz="4" w:space="1" w:color="auto"/>
      </w:pBdr>
      <w:shd w:val="clear" w:color="auto" w:fill="D6E8D2" w:themeFill="accent2" w:themeFillTint="33"/>
    </w:pPr>
    <w:rPr>
      <w:b/>
      <w:bCs/>
    </w:rPr>
  </w:style>
  <w:style w:type="character" w:styleId="PlaceholderText">
    <w:name w:val="Placeholder Text"/>
    <w:basedOn w:val="DefaultParagraphFont"/>
    <w:uiPriority w:val="99"/>
    <w:semiHidden/>
    <w:rsid w:val="00D13E7A"/>
    <w:rPr>
      <w:color w:val="666666"/>
    </w:rPr>
  </w:style>
  <w:style w:type="character" w:styleId="Hyperlink">
    <w:name w:val="Hyperlink"/>
    <w:basedOn w:val="DefaultParagraphFont"/>
    <w:uiPriority w:val="99"/>
    <w:unhideWhenUsed/>
    <w:rsid w:val="00100CEB"/>
    <w:rPr>
      <w:color w:val="034A90" w:themeColor="hyperlink"/>
      <w:u w:val="single"/>
    </w:rPr>
  </w:style>
  <w:style w:type="character" w:styleId="UnresolvedMention">
    <w:name w:val="Unresolved Mention"/>
    <w:basedOn w:val="DefaultParagraphFont"/>
    <w:uiPriority w:val="99"/>
    <w:semiHidden/>
    <w:unhideWhenUsed/>
    <w:rsid w:val="00100CEB"/>
    <w:rPr>
      <w:color w:val="605E5C"/>
      <w:shd w:val="clear" w:color="auto" w:fill="E1DFDD"/>
    </w:rPr>
  </w:style>
  <w:style w:type="paragraph" w:styleId="Revision">
    <w:name w:val="Revision"/>
    <w:hidden/>
    <w:uiPriority w:val="99"/>
    <w:semiHidden/>
    <w:rsid w:val="0034458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89202">
      <w:bodyDiv w:val="1"/>
      <w:marLeft w:val="0"/>
      <w:marRight w:val="0"/>
      <w:marTop w:val="0"/>
      <w:marBottom w:val="0"/>
      <w:divBdr>
        <w:top w:val="none" w:sz="0" w:space="0" w:color="auto"/>
        <w:left w:val="none" w:sz="0" w:space="0" w:color="auto"/>
        <w:bottom w:val="none" w:sz="0" w:space="0" w:color="auto"/>
        <w:right w:val="none" w:sz="0" w:space="0" w:color="auto"/>
      </w:divBdr>
    </w:div>
    <w:div w:id="772551381">
      <w:bodyDiv w:val="1"/>
      <w:marLeft w:val="0"/>
      <w:marRight w:val="0"/>
      <w:marTop w:val="0"/>
      <w:marBottom w:val="0"/>
      <w:divBdr>
        <w:top w:val="none" w:sz="0" w:space="0" w:color="auto"/>
        <w:left w:val="none" w:sz="0" w:space="0" w:color="auto"/>
        <w:bottom w:val="none" w:sz="0" w:space="0" w:color="auto"/>
        <w:right w:val="none" w:sz="0" w:space="0" w:color="auto"/>
      </w:divBdr>
    </w:div>
    <w:div w:id="1249466938">
      <w:bodyDiv w:val="1"/>
      <w:marLeft w:val="0"/>
      <w:marRight w:val="0"/>
      <w:marTop w:val="0"/>
      <w:marBottom w:val="0"/>
      <w:divBdr>
        <w:top w:val="none" w:sz="0" w:space="0" w:color="auto"/>
        <w:left w:val="none" w:sz="0" w:space="0" w:color="auto"/>
        <w:bottom w:val="none" w:sz="0" w:space="0" w:color="auto"/>
        <w:right w:val="none" w:sz="0" w:space="0" w:color="auto"/>
      </w:divBdr>
    </w:div>
    <w:div w:id="155958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0.jpg"/></Relationships>
</file>

<file path=word/_rels/footer2.xml.rels><?xml version="1.0" encoding="UTF-8" standalone="yes"?>
<Relationships xmlns="http://schemas.openxmlformats.org/package/2006/relationships"><Relationship Id="rId1" Type="http://schemas.openxmlformats.org/officeDocument/2006/relationships/image" Target="media/image10.jpg"/></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_rels/header2.xml.rels><?xml version="1.0" encoding="UTF-8" standalone="yes"?>
<Relationships xmlns="http://schemas.openxmlformats.org/package/2006/relationships"><Relationship Id="rId2" Type="http://schemas.openxmlformats.org/officeDocument/2006/relationships/image" Target="media/image12.jpg"/><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DFAT Colour palette">
      <a:dk1>
        <a:srgbClr val="313E48"/>
      </a:dk1>
      <a:lt1>
        <a:sysClr val="window" lastClr="FFFFFF"/>
      </a:lt1>
      <a:dk2>
        <a:srgbClr val="3A586E"/>
      </a:dk2>
      <a:lt2>
        <a:srgbClr val="CFD3D3"/>
      </a:lt2>
      <a:accent1>
        <a:srgbClr val="00837C"/>
      </a:accent1>
      <a:accent2>
        <a:srgbClr val="47763B"/>
      </a:accent2>
      <a:accent3>
        <a:srgbClr val="AA5739"/>
      </a:accent3>
      <a:accent4>
        <a:srgbClr val="EBAB21"/>
      </a:accent4>
      <a:accent5>
        <a:srgbClr val="065157"/>
      </a:accent5>
      <a:accent6>
        <a:srgbClr val="014429"/>
      </a:accent6>
      <a:hlink>
        <a:srgbClr val="034A90"/>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303871-8934-4198-a088-14ac5c5d1c31">
      <Terms xmlns="http://schemas.microsoft.com/office/infopath/2007/PartnerControls"/>
    </lcf76f155ced4ddcb4097134ff3c332f>
    <TaxCatchAll xmlns="6f2ae4e0-94e8-4b28-8f95-861d59f7ae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BD63B06336DD48B4944551E1A7B4D8" ma:contentTypeVersion="17" ma:contentTypeDescription="Create a new document." ma:contentTypeScope="" ma:versionID="c1a333d4e903e34c23f0605c9024b49d">
  <xsd:schema xmlns:xsd="http://www.w3.org/2001/XMLSchema" xmlns:xs="http://www.w3.org/2001/XMLSchema" xmlns:p="http://schemas.microsoft.com/office/2006/metadata/properties" xmlns:ns2="99303871-8934-4198-a088-14ac5c5d1c31" xmlns:ns3="6f2ae4e0-94e8-4b28-8f95-861d59f7ae70" targetNamespace="http://schemas.microsoft.com/office/2006/metadata/properties" ma:root="true" ma:fieldsID="50b6f57787fb9933e749b1241302e2ad" ns2:_="" ns3:_="">
    <xsd:import namespace="99303871-8934-4198-a088-14ac5c5d1c31"/>
    <xsd:import namespace="6f2ae4e0-94e8-4b28-8f95-861d59f7ae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SearchProperties" minOccurs="0"/>
                <xsd:element ref="ns2:MediaServiceOCR"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03871-8934-4198-a088-14ac5c5d1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2ae4e0-94e8-4b28-8f95-861d59f7ae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3809fa2-c2da-453f-9c3e-eead0055a1b0}" ma:internalName="TaxCatchAll" ma:showField="CatchAllData" ma:web="6f2ae4e0-94e8-4b28-8f95-861d59f7ae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618DC-A08C-4C5C-9A07-FABF52023C4A}">
  <ds:schemaRefs>
    <ds:schemaRef ds:uri="http://schemas.microsoft.com/sharepoint/v3/contenttype/forms"/>
  </ds:schemaRefs>
</ds:datastoreItem>
</file>

<file path=customXml/itemProps2.xml><?xml version="1.0" encoding="utf-8"?>
<ds:datastoreItem xmlns:ds="http://schemas.openxmlformats.org/officeDocument/2006/customXml" ds:itemID="{F2E9F171-59A6-4022-A46D-27C25069926A}">
  <ds:schemaRefs>
    <ds:schemaRef ds:uri="http://schemas.microsoft.com/office/2006/metadata/properties"/>
    <ds:schemaRef ds:uri="http://schemas.microsoft.com/office/infopath/2007/PartnerControls"/>
    <ds:schemaRef ds:uri="99303871-8934-4198-a088-14ac5c5d1c31"/>
    <ds:schemaRef ds:uri="6f2ae4e0-94e8-4b28-8f95-861d59f7ae70"/>
  </ds:schemaRefs>
</ds:datastoreItem>
</file>

<file path=customXml/itemProps3.xml><?xml version="1.0" encoding="utf-8"?>
<ds:datastoreItem xmlns:ds="http://schemas.openxmlformats.org/officeDocument/2006/customXml" ds:itemID="{F2C78DD2-111A-46F1-854F-A255B9D25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03871-8934-4198-a088-14ac5c5d1c31"/>
    <ds:schemaRef ds:uri="6f2ae4e0-94e8-4b28-8f95-861d59f7a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Pages>
  <Words>378</Words>
  <Characters>2183</Characters>
  <Application>Microsoft Office Word</Application>
  <DocSecurity>0</DocSecurity>
  <Lines>65</Lines>
  <Paragraphs>47</Paragraphs>
  <ScaleCrop>false</ScaleCrop>
  <HeadingPairs>
    <vt:vector size="2" baseType="variant">
      <vt:variant>
        <vt:lpstr>Title</vt:lpstr>
      </vt:variant>
      <vt:variant>
        <vt:i4>1</vt:i4>
      </vt:variant>
    </vt:vector>
  </HeadingPairs>
  <TitlesOfParts>
    <vt:vector size="1" baseType="lpstr">
      <vt:lpstr>[Country] Development Coorporation Facsheet 2025-26</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Niue and Tokelau Development Coorporation Facsheet 2025-26</dc:title>
  <dc:subject>Development Coorporation Facsheet 2025-26</dc:subject>
  <dc:creator>Department of Foreign Affairs and Trade</dc:creator>
  <cp:keywords>International development; development coorperation; DFAT, Australian Aid; Australian Department of Foreign Affairs and Trade; ODA; Australian Government [SEC=OFFICIAL]</cp:keywords>
  <dc:description/>
  <cp:lastModifiedBy>Linda Roche</cp:lastModifiedBy>
  <cp:revision>94</cp:revision>
  <dcterms:created xsi:type="dcterms:W3CDTF">2025-04-21T08:01:00Z</dcterms:created>
  <dcterms:modified xsi:type="dcterms:W3CDTF">2025-05-19T02:16:00Z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SecurityClassification">
    <vt:lpwstr>OFFICIAL</vt:lpwstr>
  </property>
  <property fmtid="{D5CDD505-2E9C-101B-9397-08002B2CF9AE}" pid="4" name="PM_Qualifier">
    <vt:lpwstr/>
  </property>
  <property fmtid="{D5CDD505-2E9C-101B-9397-08002B2CF9AE}" pid="5" name="PM_DisplayValueSecClassificationWithQualifier">
    <vt:lpwstr>OFFICIAL</vt:lpwstr>
  </property>
  <property fmtid="{D5CDD505-2E9C-101B-9397-08002B2CF9AE}" pid="6" name="PM_InsertionValue">
    <vt:lpwstr>OFFICIAL</vt:lpwstr>
  </property>
  <property fmtid="{D5CDD505-2E9C-101B-9397-08002B2CF9AE}" pid="7" name="PM_Originator_Hash_SHA1">
    <vt:lpwstr>4DFB2A45D0ABC223771DA158D4192358D096AA7E</vt:lpwstr>
  </property>
  <property fmtid="{D5CDD505-2E9C-101B-9397-08002B2CF9AE}" pid="8" name="PM_Originating_FileId">
    <vt:lpwstr>A04407B03FB3406E91B16F76B50D491D</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OriginationTimeStamp">
    <vt:lpwstr>2023-02-15T22:12:19Z</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Hash_Version">
    <vt:lpwstr>2022.1</vt:lpwstr>
  </property>
  <property fmtid="{D5CDD505-2E9C-101B-9397-08002B2CF9AE}" pid="18" name="PM_SecurityClassification_Prev">
    <vt:lpwstr>OFFICIAL</vt:lpwstr>
  </property>
  <property fmtid="{D5CDD505-2E9C-101B-9397-08002B2CF9AE}" pid="19" name="PM_Qualifier_Prev">
    <vt:lpwstr/>
  </property>
  <property fmtid="{D5CDD505-2E9C-101B-9397-08002B2CF9AE}" pid="20" name="PM_Display">
    <vt:lpwstr>OFFICIAL</vt:lpwstr>
  </property>
  <property fmtid="{D5CDD505-2E9C-101B-9397-08002B2CF9AE}" pid="21" name="PMUuid">
    <vt:lpwstr>v=2022.2;d=gov.au;g=46DD6D7C-8107-577B-BC6E-F348953B2E44</vt:lpwstr>
  </property>
  <property fmtid="{D5CDD505-2E9C-101B-9397-08002B2CF9AE}" pid="22" name="PM_OriginatorUserAccountName_SHA256">
    <vt:lpwstr>2FBBEB0D07DA66FB32ADEBC0EE9E9C465FDB83D3B7358F7A76537B8BF5FB863E</vt:lpwstr>
  </property>
  <property fmtid="{D5CDD505-2E9C-101B-9397-08002B2CF9AE}" pid="23" name="PM_OriginatorDomainName_SHA256">
    <vt:lpwstr>6F3591835F3B2A8A025B00B5BA6418010DA3A17C9C26EA9C049FFD28039489A2</vt:lpwstr>
  </property>
  <property fmtid="{D5CDD505-2E9C-101B-9397-08002B2CF9AE}" pid="24" name="PM_Caveats_Count">
    <vt:lpwstr>0</vt:lpwstr>
  </property>
  <property fmtid="{D5CDD505-2E9C-101B-9397-08002B2CF9AE}" pid="25" name="ContentTypeId">
    <vt:lpwstr>0x010100D6BD63B06336DD48B4944551E1A7B4D8</vt:lpwstr>
  </property>
  <property fmtid="{D5CDD505-2E9C-101B-9397-08002B2CF9AE}" pid="26" name="MediaServiceImageTags">
    <vt:lpwstr/>
  </property>
  <property fmtid="{D5CDD505-2E9C-101B-9397-08002B2CF9AE}" pid="27" name="PMHMAC">
    <vt:lpwstr>v=2022.1;a=SHA256;h=C4A832F705CF69DE4A0B910FC564B26489F543BC1A88F7E9369FE5E3EF321743</vt:lpwstr>
  </property>
  <property fmtid="{D5CDD505-2E9C-101B-9397-08002B2CF9AE}" pid="28" name="PM_Hash_Salt_Prev">
    <vt:lpwstr>BF4E0993E469D276D5259D9C37009600</vt:lpwstr>
  </property>
  <property fmtid="{D5CDD505-2E9C-101B-9397-08002B2CF9AE}" pid="29" name="PM_Hash_Salt">
    <vt:lpwstr>B51136F02303B707D2C42A4A0D4CCE96</vt:lpwstr>
  </property>
  <property fmtid="{D5CDD505-2E9C-101B-9397-08002B2CF9AE}" pid="30" name="PM_Hash_SHA1">
    <vt:lpwstr>32D9716A9F9EEF31E128A1CDD1539DB311FFD3F8</vt:lpwstr>
  </property>
</Properties>
</file>