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9E4F4" w14:textId="77777777" w:rsidR="00545268" w:rsidRPr="00545268" w:rsidRDefault="004516E0" w:rsidP="00545268">
      <w:pPr>
        <w:pStyle w:val="Heading1"/>
      </w:pPr>
      <w:r w:rsidRPr="00545268">
        <w:t>Development Cooperation Factsheet</w:t>
      </w:r>
    </w:p>
    <w:p w14:paraId="5C1E2F15" w14:textId="2B54A809" w:rsidR="00E84101" w:rsidRPr="00E84101" w:rsidRDefault="00B80474" w:rsidP="0091100D">
      <w:pPr>
        <w:pStyle w:val="Heading2"/>
        <w:rPr>
          <w:rStyle w:val="Heading2Char"/>
          <w:sz w:val="80"/>
          <w:szCs w:val="80"/>
        </w:rPr>
      </w:pPr>
      <w:r>
        <w:rPr>
          <w:rStyle w:val="Heading2Char"/>
          <w:sz w:val="80"/>
          <w:szCs w:val="80"/>
        </w:rPr>
        <w:t>Indonesia</w:t>
      </w:r>
    </w:p>
    <w:p w14:paraId="41A452FD" w14:textId="59915D2E" w:rsidR="004516E0" w:rsidRPr="00F959D5" w:rsidRDefault="00123E7B" w:rsidP="00F76B6A">
      <w:pPr>
        <w:spacing w:before="0"/>
      </w:pPr>
      <w:r>
        <w:t>MAY</w:t>
      </w:r>
      <w:r w:rsidR="00E84101">
        <w:t xml:space="preserve"> 2025</w:t>
      </w:r>
    </w:p>
    <w:p w14:paraId="579AFDE6" w14:textId="4EE2A8F2" w:rsidR="00965509" w:rsidRDefault="00965509" w:rsidP="004A4242">
      <w:pPr>
        <w:rPr>
          <w:rFonts w:asciiTheme="majorHAnsi" w:hAnsiTheme="majorHAnsi"/>
        </w:rPr>
      </w:pPr>
      <w:r>
        <w:rPr>
          <w:noProof/>
        </w:rPr>
        <w:drawing>
          <wp:inline distT="0" distB="0" distL="0" distR="0" wp14:anchorId="7AA67C88" wp14:editId="4BAAB3EA">
            <wp:extent cx="869644" cy="542756"/>
            <wp:effectExtent l="0" t="0" r="6985" b="0"/>
            <wp:docPr id="1415932204" name="Picture 1" descr="Indonesian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932204" name="Picture 1" descr="Indonesian fla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644" cy="5427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85FC2B" w14:textId="7D7DA11E" w:rsidR="00AF7C26" w:rsidRPr="00AF7C26" w:rsidRDefault="004516E0" w:rsidP="2CFFB0D6">
      <w:pPr>
        <w:pStyle w:val="Heading3"/>
      </w:pPr>
      <w:r>
        <w:t>Overview</w:t>
      </w:r>
    </w:p>
    <w:p w14:paraId="7CD1B7C1" w14:textId="5885074A" w:rsidR="004516E0" w:rsidRPr="004516E0" w:rsidRDefault="004516E0" w:rsidP="00B35181">
      <w:pPr>
        <w:pStyle w:val="Overview"/>
        <w:rPr>
          <w:caps/>
        </w:rPr>
      </w:pPr>
      <w:r w:rsidRPr="00545268">
        <w:t>Estimated Australian ODA:</w:t>
      </w:r>
      <w:r w:rsidR="00545268" w:rsidRPr="00545268">
        <w:t xml:space="preserve"> </w:t>
      </w:r>
      <w:r w:rsidRPr="00C33D8D">
        <w:rPr>
          <w:b w:val="0"/>
          <w:bCs w:val="0"/>
        </w:rPr>
        <w:t>$</w:t>
      </w:r>
      <w:r w:rsidR="005900D4">
        <w:rPr>
          <w:b w:val="0"/>
          <w:bCs w:val="0"/>
        </w:rPr>
        <w:t>351.4 million</w:t>
      </w:r>
      <w:r w:rsidR="00BB7E09">
        <w:rPr>
          <w:b w:val="0"/>
          <w:bCs w:val="0"/>
        </w:rPr>
        <w:t xml:space="preserve"> </w:t>
      </w:r>
      <w:r w:rsidR="00BB7E09" w:rsidRPr="00BB7E09">
        <w:rPr>
          <w:b w:val="0"/>
          <w:bCs w:val="0"/>
        </w:rPr>
        <w:t>(20</w:t>
      </w:r>
      <w:r w:rsidR="00D13E7A">
        <w:rPr>
          <w:b w:val="0"/>
          <w:bCs w:val="0"/>
        </w:rPr>
        <w:t>25</w:t>
      </w:r>
      <w:r w:rsidR="00B4776F">
        <w:rPr>
          <w:b w:val="0"/>
          <w:bCs w:val="0"/>
        </w:rPr>
        <w:t>-26</w:t>
      </w:r>
      <w:r w:rsidR="00BB7E09" w:rsidRPr="00BB7E09">
        <w:rPr>
          <w:b w:val="0"/>
          <w:bCs w:val="0"/>
        </w:rPr>
        <w:t>)</w:t>
      </w:r>
    </w:p>
    <w:p w14:paraId="1483716F" w14:textId="7428D686" w:rsidR="004516E0" w:rsidRPr="004516E0" w:rsidRDefault="004516E0" w:rsidP="00B35181">
      <w:pPr>
        <w:pStyle w:val="Overview"/>
        <w:rPr>
          <w:caps/>
        </w:rPr>
      </w:pPr>
      <w:r w:rsidRPr="00545268">
        <w:t>Gross National Income Per Capita:</w:t>
      </w:r>
      <w:r w:rsidR="00545268">
        <w:t xml:space="preserve"> </w:t>
      </w:r>
      <w:r w:rsidRPr="00C33D8D">
        <w:rPr>
          <w:b w:val="0"/>
          <w:bCs w:val="0"/>
        </w:rPr>
        <w:t>US$</w:t>
      </w:r>
      <w:r w:rsidR="005900D4">
        <w:rPr>
          <w:b w:val="0"/>
          <w:bCs w:val="0"/>
        </w:rPr>
        <w:t>4,810</w:t>
      </w:r>
      <w:r w:rsidRPr="00C33D8D">
        <w:rPr>
          <w:b w:val="0"/>
          <w:bCs w:val="0"/>
        </w:rPr>
        <w:t xml:space="preserve"> (202</w:t>
      </w:r>
      <w:r w:rsidR="005900D4">
        <w:rPr>
          <w:b w:val="0"/>
          <w:bCs w:val="0"/>
        </w:rPr>
        <w:t>3</w:t>
      </w:r>
      <w:r w:rsidRPr="00C33D8D">
        <w:rPr>
          <w:b w:val="0"/>
          <w:bCs w:val="0"/>
        </w:rPr>
        <w:t>)</w:t>
      </w:r>
    </w:p>
    <w:p w14:paraId="7303A756" w14:textId="6E27927F" w:rsidR="004516E0" w:rsidRDefault="004516E0" w:rsidP="00B35181">
      <w:pPr>
        <w:pStyle w:val="Overview"/>
        <w:rPr>
          <w:caps/>
        </w:rPr>
      </w:pPr>
      <w:r w:rsidRPr="00545268">
        <w:t>Population:</w:t>
      </w:r>
      <w:r w:rsidRPr="004516E0">
        <w:t xml:space="preserve"> </w:t>
      </w:r>
      <w:r w:rsidRPr="00C33D8D">
        <w:rPr>
          <w:b w:val="0"/>
          <w:bCs w:val="0"/>
        </w:rPr>
        <w:t>2</w:t>
      </w:r>
      <w:r w:rsidR="005900D4">
        <w:rPr>
          <w:b w:val="0"/>
          <w:bCs w:val="0"/>
        </w:rPr>
        <w:t>81</w:t>
      </w:r>
      <w:r w:rsidRPr="00C33D8D">
        <w:rPr>
          <w:b w:val="0"/>
          <w:bCs w:val="0"/>
        </w:rPr>
        <w:t>.</w:t>
      </w:r>
      <w:r w:rsidR="005900D4">
        <w:rPr>
          <w:b w:val="0"/>
          <w:bCs w:val="0"/>
        </w:rPr>
        <w:t>2</w:t>
      </w:r>
      <w:r w:rsidRPr="00C33D8D">
        <w:rPr>
          <w:b w:val="0"/>
          <w:bCs w:val="0"/>
        </w:rPr>
        <w:t>m (</w:t>
      </w:r>
      <w:r w:rsidR="005900D4" w:rsidRPr="00C33D8D">
        <w:rPr>
          <w:b w:val="0"/>
          <w:bCs w:val="0"/>
        </w:rPr>
        <w:t>202</w:t>
      </w:r>
      <w:r w:rsidR="005900D4">
        <w:rPr>
          <w:b w:val="0"/>
          <w:bCs w:val="0"/>
        </w:rPr>
        <w:t>3</w:t>
      </w:r>
      <w:r w:rsidRPr="00C33D8D">
        <w:rPr>
          <w:b w:val="0"/>
          <w:bCs w:val="0"/>
        </w:rPr>
        <w:t>)</w:t>
      </w:r>
    </w:p>
    <w:p w14:paraId="3EDD18B8" w14:textId="5D480A8E" w:rsidR="004516E0" w:rsidRPr="00E62203" w:rsidRDefault="00C12648" w:rsidP="007D53CA">
      <w:pPr>
        <w:pStyle w:val="Heading4"/>
        <w:spacing w:before="360"/>
        <w:rPr>
          <w:b w:val="0"/>
          <w:bCs/>
        </w:rPr>
      </w:pPr>
      <w:r w:rsidRPr="00E62203">
        <w:rPr>
          <w:b w:val="0"/>
          <w:bCs/>
        </w:rPr>
        <w:t xml:space="preserve">Table 1: </w:t>
      </w:r>
      <w:r w:rsidR="00B4776F">
        <w:rPr>
          <w:b w:val="0"/>
          <w:bCs/>
        </w:rPr>
        <w:t>Australia</w:t>
      </w:r>
      <w:r w:rsidR="00B4776F" w:rsidRPr="00C2042F">
        <w:rPr>
          <w:b w:val="0"/>
          <w:bCs/>
        </w:rPr>
        <w:t xml:space="preserve">n ODA to </w:t>
      </w:r>
      <w:r w:rsidR="008A7E65" w:rsidRPr="00C2042F">
        <w:rPr>
          <w:b w:val="0"/>
          <w:bCs/>
        </w:rPr>
        <w:t>Indonesia</w:t>
      </w:r>
      <w:r w:rsidR="00B4776F" w:rsidRPr="00C2042F">
        <w:rPr>
          <w:b w:val="0"/>
          <w:bCs/>
        </w:rPr>
        <w:t>,</w:t>
      </w:r>
      <w:r w:rsidR="00B4776F">
        <w:rPr>
          <w:b w:val="0"/>
          <w:bCs/>
        </w:rPr>
        <w:t xml:space="preserve"> 2023-24 to 2025-26</w:t>
      </w:r>
    </w:p>
    <w:tbl>
      <w:tblPr>
        <w:tblStyle w:val="TableGrid"/>
        <w:tblW w:w="0" w:type="auto"/>
        <w:tblBorders>
          <w:top w:val="single" w:sz="4" w:space="0" w:color="98A0A0" w:themeColor="background2" w:themeShade="BF"/>
          <w:left w:val="single" w:sz="4" w:space="0" w:color="98A0A0" w:themeColor="background2" w:themeShade="BF"/>
          <w:bottom w:val="single" w:sz="4" w:space="0" w:color="98A0A0" w:themeColor="background2" w:themeShade="BF"/>
          <w:right w:val="single" w:sz="4" w:space="0" w:color="98A0A0" w:themeColor="background2" w:themeShade="BF"/>
          <w:insideH w:val="single" w:sz="4" w:space="0" w:color="98A0A0" w:themeColor="background2" w:themeShade="BF"/>
          <w:insideV w:val="single" w:sz="4" w:space="0" w:color="98A0A0" w:themeColor="background2" w:themeShade="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Table 1: Australian ODA to Indonesia, 2023-24 to 2025-26"/>
        <w:tblDescription w:val="This table represents the total Australian ODA to Indonesia, budget and estimate by funding type, 2023 to 2026 – four columns, six rows."/>
      </w:tblPr>
      <w:tblGrid>
        <w:gridCol w:w="3397"/>
        <w:gridCol w:w="2265"/>
        <w:gridCol w:w="2266"/>
        <w:gridCol w:w="2266"/>
      </w:tblGrid>
      <w:tr w:rsidR="00B4776F" w14:paraId="5EF5CF55" w14:textId="21157455" w:rsidTr="0030387C">
        <w:trPr>
          <w:cantSplit/>
          <w:trHeight w:val="70"/>
          <w:tblHeader/>
        </w:trPr>
        <w:tc>
          <w:tcPr>
            <w:tcW w:w="3397" w:type="dxa"/>
            <w:shd w:val="clear" w:color="auto" w:fill="313E48" w:themeFill="text1"/>
          </w:tcPr>
          <w:p w14:paraId="4CEC1D0F" w14:textId="618CDC75" w:rsidR="00B4776F" w:rsidRPr="0079728E" w:rsidRDefault="00B4776F" w:rsidP="00B4776F">
            <w:pPr>
              <w:pStyle w:val="TableHeading"/>
            </w:pPr>
            <w:r>
              <w:t>Australian ODA</w:t>
            </w:r>
          </w:p>
        </w:tc>
        <w:tc>
          <w:tcPr>
            <w:tcW w:w="2265" w:type="dxa"/>
            <w:shd w:val="clear" w:color="auto" w:fill="313E48" w:themeFill="text1"/>
          </w:tcPr>
          <w:p w14:paraId="1923A36A" w14:textId="45343566" w:rsidR="00B4776F" w:rsidRDefault="00B4776F" w:rsidP="00B4776F">
            <w:pPr>
              <w:pStyle w:val="TableHeading"/>
              <w:jc w:val="center"/>
            </w:pPr>
            <w:r>
              <w:t>2</w:t>
            </w:r>
            <w:r w:rsidRPr="001E6A8F">
              <w:t>02</w:t>
            </w:r>
            <w:r>
              <w:t>3-24</w:t>
            </w:r>
            <w:r w:rsidRPr="001E6A8F">
              <w:t xml:space="preserve"> Actual ($</w:t>
            </w:r>
            <w:proofErr w:type="gramStart"/>
            <w:r w:rsidRPr="001E6A8F">
              <w:t>m)*</w:t>
            </w:r>
            <w:proofErr w:type="gramEnd"/>
          </w:p>
        </w:tc>
        <w:tc>
          <w:tcPr>
            <w:tcW w:w="2266" w:type="dxa"/>
            <w:shd w:val="clear" w:color="auto" w:fill="313E48" w:themeFill="text1"/>
          </w:tcPr>
          <w:p w14:paraId="0740E09E" w14:textId="7EF1556E" w:rsidR="00B4776F" w:rsidRPr="007332ED" w:rsidRDefault="00B4776F" w:rsidP="00B4776F">
            <w:pPr>
              <w:pStyle w:val="TableHeading"/>
              <w:jc w:val="center"/>
            </w:pPr>
            <w:r w:rsidRPr="001E6A8F">
              <w:t>202</w:t>
            </w:r>
            <w:r>
              <w:t>4-25</w:t>
            </w:r>
            <w:r w:rsidRPr="001E6A8F">
              <w:t xml:space="preserve"> Budget Estimate ($</w:t>
            </w:r>
            <w:proofErr w:type="gramStart"/>
            <w:r w:rsidRPr="001E6A8F">
              <w:t>m)*</w:t>
            </w:r>
            <w:proofErr w:type="gramEnd"/>
          </w:p>
        </w:tc>
        <w:tc>
          <w:tcPr>
            <w:tcW w:w="2266" w:type="dxa"/>
            <w:shd w:val="clear" w:color="auto" w:fill="313E48" w:themeFill="text1"/>
          </w:tcPr>
          <w:p w14:paraId="4F1CAE94" w14:textId="0B6752D4" w:rsidR="00B4776F" w:rsidRPr="007332ED" w:rsidRDefault="00B4776F" w:rsidP="00B4776F">
            <w:pPr>
              <w:pStyle w:val="TableHeading"/>
              <w:jc w:val="center"/>
            </w:pPr>
            <w:r w:rsidRPr="001E6A8F">
              <w:t>202</w:t>
            </w:r>
            <w:r>
              <w:t>5-26</w:t>
            </w:r>
            <w:r w:rsidRPr="001E6A8F">
              <w:t xml:space="preserve"> Budget Estimate ($</w:t>
            </w:r>
            <w:proofErr w:type="gramStart"/>
            <w:r w:rsidRPr="001E6A8F">
              <w:t>m)*</w:t>
            </w:r>
            <w:proofErr w:type="gramEnd"/>
          </w:p>
        </w:tc>
      </w:tr>
      <w:tr w:rsidR="00C02F9A" w14:paraId="45E770B3" w14:textId="1A624B78" w:rsidTr="00C03CAA">
        <w:tc>
          <w:tcPr>
            <w:tcW w:w="3397" w:type="dxa"/>
          </w:tcPr>
          <w:p w14:paraId="12D343CB" w14:textId="0865BCBD" w:rsidR="00C02F9A" w:rsidRPr="00030679" w:rsidRDefault="00C02F9A" w:rsidP="00C02F9A">
            <w:pPr>
              <w:pStyle w:val="TableBodyCopy"/>
            </w:pPr>
            <w:r w:rsidRPr="001E6A8F">
              <w:t>Country Programs</w:t>
            </w:r>
          </w:p>
        </w:tc>
        <w:tc>
          <w:tcPr>
            <w:tcW w:w="2265" w:type="dxa"/>
            <w:vAlign w:val="center"/>
          </w:tcPr>
          <w:p w14:paraId="0D3F5049" w14:textId="2299C5DD" w:rsidR="00C02F9A" w:rsidRPr="00D34ADE" w:rsidRDefault="006A6D2E" w:rsidP="00C02F9A">
            <w:pPr>
              <w:pStyle w:val="TableBodyCopy"/>
              <w:jc w:val="center"/>
            </w:pPr>
            <w:r>
              <w:t>293.2</w:t>
            </w:r>
          </w:p>
        </w:tc>
        <w:tc>
          <w:tcPr>
            <w:tcW w:w="2266" w:type="dxa"/>
            <w:vAlign w:val="center"/>
          </w:tcPr>
          <w:p w14:paraId="7E455C00" w14:textId="72324D30" w:rsidR="00C02F9A" w:rsidRPr="00D34ADE" w:rsidRDefault="006A6D2E" w:rsidP="00C02F9A">
            <w:pPr>
              <w:pStyle w:val="TableBodyCopy"/>
              <w:jc w:val="center"/>
            </w:pPr>
            <w:r>
              <w:t>312.1</w:t>
            </w:r>
          </w:p>
        </w:tc>
        <w:tc>
          <w:tcPr>
            <w:tcW w:w="2266" w:type="dxa"/>
            <w:vAlign w:val="center"/>
          </w:tcPr>
          <w:p w14:paraId="47F5FD0E" w14:textId="5E86E2D8" w:rsidR="00C02F9A" w:rsidRPr="00D34ADE" w:rsidRDefault="006A6D2E" w:rsidP="00C02F9A">
            <w:pPr>
              <w:pStyle w:val="TableBodyCopy"/>
              <w:jc w:val="center"/>
            </w:pPr>
            <w:r>
              <w:t>319.3</w:t>
            </w:r>
          </w:p>
        </w:tc>
      </w:tr>
      <w:tr w:rsidR="00C02F9A" w14:paraId="417E46F0" w14:textId="42F9E059" w:rsidTr="00C03CAA">
        <w:tc>
          <w:tcPr>
            <w:tcW w:w="3397" w:type="dxa"/>
          </w:tcPr>
          <w:p w14:paraId="604B5B7E" w14:textId="2B4FA06A" w:rsidR="00C02F9A" w:rsidRPr="00030679" w:rsidRDefault="00C02F9A" w:rsidP="00C02F9A">
            <w:pPr>
              <w:pStyle w:val="TableBodyCopy"/>
            </w:pPr>
            <w:r>
              <w:t>Regional</w:t>
            </w:r>
          </w:p>
        </w:tc>
        <w:tc>
          <w:tcPr>
            <w:tcW w:w="2265" w:type="dxa"/>
            <w:vAlign w:val="center"/>
          </w:tcPr>
          <w:p w14:paraId="12CB39EC" w14:textId="0B6B6283" w:rsidR="00C02F9A" w:rsidRPr="00D34ADE" w:rsidRDefault="006A6D2E" w:rsidP="00C02F9A">
            <w:pPr>
              <w:pStyle w:val="TableBodyCopy"/>
              <w:jc w:val="center"/>
            </w:pPr>
            <w:r>
              <w:t>17.5</w:t>
            </w:r>
          </w:p>
        </w:tc>
        <w:tc>
          <w:tcPr>
            <w:tcW w:w="2266" w:type="dxa"/>
            <w:vAlign w:val="center"/>
          </w:tcPr>
          <w:p w14:paraId="4E5F8501" w14:textId="2A300D51" w:rsidR="00C02F9A" w:rsidRPr="00D34ADE" w:rsidRDefault="006A6D2E" w:rsidP="00C02F9A">
            <w:pPr>
              <w:pStyle w:val="TableBodyCopy"/>
              <w:jc w:val="center"/>
            </w:pPr>
            <w:r>
              <w:t>23.4</w:t>
            </w:r>
          </w:p>
        </w:tc>
        <w:tc>
          <w:tcPr>
            <w:tcW w:w="2266" w:type="dxa"/>
            <w:vAlign w:val="center"/>
          </w:tcPr>
          <w:p w14:paraId="07207D25" w14:textId="5D5FE458" w:rsidR="00C02F9A" w:rsidRPr="00D34ADE" w:rsidRDefault="006A6D2E" w:rsidP="00C02F9A">
            <w:pPr>
              <w:pStyle w:val="TableBodyCopy"/>
              <w:jc w:val="center"/>
            </w:pPr>
            <w:r>
              <w:t>12.7</w:t>
            </w:r>
          </w:p>
        </w:tc>
      </w:tr>
      <w:tr w:rsidR="00C02F9A" w14:paraId="2B1333F4" w14:textId="77777777" w:rsidTr="00C03CAA">
        <w:tc>
          <w:tcPr>
            <w:tcW w:w="3397" w:type="dxa"/>
          </w:tcPr>
          <w:p w14:paraId="38890A56" w14:textId="3085080F" w:rsidR="00C02F9A" w:rsidRDefault="00C02F9A" w:rsidP="00C02F9A">
            <w:pPr>
              <w:pStyle w:val="TableBodyCopy"/>
            </w:pPr>
            <w:r>
              <w:t>Global / Other</w:t>
            </w:r>
          </w:p>
        </w:tc>
        <w:tc>
          <w:tcPr>
            <w:tcW w:w="2265" w:type="dxa"/>
            <w:vAlign w:val="center"/>
          </w:tcPr>
          <w:p w14:paraId="7C5E60F3" w14:textId="44B9D552" w:rsidR="00C02F9A" w:rsidRPr="00D34ADE" w:rsidRDefault="006A6D2E" w:rsidP="00C02F9A">
            <w:pPr>
              <w:pStyle w:val="TableBodyCopy"/>
              <w:jc w:val="center"/>
            </w:pPr>
            <w:r>
              <w:t>10.4</w:t>
            </w:r>
          </w:p>
        </w:tc>
        <w:tc>
          <w:tcPr>
            <w:tcW w:w="2266" w:type="dxa"/>
            <w:vAlign w:val="center"/>
          </w:tcPr>
          <w:p w14:paraId="4BBA5711" w14:textId="1C291A86" w:rsidR="00C02F9A" w:rsidRPr="00D34ADE" w:rsidRDefault="006A6D2E" w:rsidP="00C02F9A">
            <w:pPr>
              <w:pStyle w:val="TableBodyCopy"/>
              <w:jc w:val="center"/>
            </w:pPr>
            <w:r>
              <w:t>11.2</w:t>
            </w:r>
          </w:p>
        </w:tc>
        <w:tc>
          <w:tcPr>
            <w:tcW w:w="2266" w:type="dxa"/>
            <w:vAlign w:val="center"/>
          </w:tcPr>
          <w:p w14:paraId="46AB0CB4" w14:textId="73506FEC" w:rsidR="00C02F9A" w:rsidRPr="00D34ADE" w:rsidRDefault="006A6D2E" w:rsidP="00C02F9A">
            <w:pPr>
              <w:pStyle w:val="TableBodyCopy"/>
              <w:jc w:val="center"/>
            </w:pPr>
            <w:r>
              <w:t>11.8</w:t>
            </w:r>
          </w:p>
        </w:tc>
      </w:tr>
      <w:tr w:rsidR="00C02F9A" w14:paraId="6B771DA6" w14:textId="77777777" w:rsidTr="00C03CAA">
        <w:tc>
          <w:tcPr>
            <w:tcW w:w="3397" w:type="dxa"/>
          </w:tcPr>
          <w:p w14:paraId="1651DA14" w14:textId="472B242D" w:rsidR="00C02F9A" w:rsidRDefault="00C02F9A" w:rsidP="00C02F9A">
            <w:pPr>
              <w:pStyle w:val="TableBodyCopy"/>
            </w:pPr>
            <w:r>
              <w:t>Other Government Departments</w:t>
            </w:r>
          </w:p>
        </w:tc>
        <w:tc>
          <w:tcPr>
            <w:tcW w:w="2265" w:type="dxa"/>
            <w:vAlign w:val="center"/>
          </w:tcPr>
          <w:p w14:paraId="5D27E890" w14:textId="3E116FD0" w:rsidR="00C02F9A" w:rsidRPr="00D34ADE" w:rsidRDefault="006A6D2E" w:rsidP="00C02F9A">
            <w:pPr>
              <w:pStyle w:val="TableBodyCopy"/>
              <w:jc w:val="center"/>
            </w:pPr>
            <w:r>
              <w:t>7.9</w:t>
            </w:r>
          </w:p>
        </w:tc>
        <w:tc>
          <w:tcPr>
            <w:tcW w:w="2266" w:type="dxa"/>
            <w:vAlign w:val="center"/>
          </w:tcPr>
          <w:p w14:paraId="5F11B819" w14:textId="6BA0CEBB" w:rsidR="00C02F9A" w:rsidRPr="00D34ADE" w:rsidRDefault="006A6D2E" w:rsidP="00C02F9A">
            <w:pPr>
              <w:pStyle w:val="TableBodyCopy"/>
              <w:jc w:val="center"/>
            </w:pPr>
            <w:r>
              <w:t>6.9</w:t>
            </w:r>
          </w:p>
        </w:tc>
        <w:tc>
          <w:tcPr>
            <w:tcW w:w="2266" w:type="dxa"/>
            <w:vAlign w:val="center"/>
          </w:tcPr>
          <w:p w14:paraId="45D0847A" w14:textId="2C2F03BA" w:rsidR="00C02F9A" w:rsidRPr="00D34ADE" w:rsidRDefault="006A6D2E" w:rsidP="00C02F9A">
            <w:pPr>
              <w:pStyle w:val="TableBodyCopy"/>
              <w:jc w:val="center"/>
            </w:pPr>
            <w:r>
              <w:t>7.7</w:t>
            </w:r>
          </w:p>
        </w:tc>
      </w:tr>
      <w:tr w:rsidR="00C02F9A" w14:paraId="3BDCC9B5" w14:textId="77777777" w:rsidTr="00C03CAA">
        <w:tc>
          <w:tcPr>
            <w:tcW w:w="3397" w:type="dxa"/>
          </w:tcPr>
          <w:p w14:paraId="4E8483EB" w14:textId="1B4B45E6" w:rsidR="00C02F9A" w:rsidRPr="001E6A8F" w:rsidRDefault="00C02F9A" w:rsidP="00C02F9A">
            <w:pPr>
              <w:pStyle w:val="TableBodyCopy"/>
              <w:rPr>
                <w:b/>
                <w:bCs/>
              </w:rPr>
            </w:pPr>
            <w:r w:rsidRPr="001E6A8F">
              <w:rPr>
                <w:b/>
                <w:bCs/>
              </w:rPr>
              <w:t xml:space="preserve">Total ODA to </w:t>
            </w:r>
            <w:r w:rsidR="006A6D2E">
              <w:rPr>
                <w:b/>
                <w:bCs/>
              </w:rPr>
              <w:t>Indonesia</w:t>
            </w:r>
          </w:p>
        </w:tc>
        <w:tc>
          <w:tcPr>
            <w:tcW w:w="2265" w:type="dxa"/>
            <w:vAlign w:val="center"/>
          </w:tcPr>
          <w:p w14:paraId="4CC5A42A" w14:textId="5AA27AF4" w:rsidR="00C02F9A" w:rsidRPr="00D34ADE" w:rsidRDefault="006A6D2E" w:rsidP="00C02F9A">
            <w:pPr>
              <w:pStyle w:val="TableBodyCop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329.1</w:t>
            </w:r>
          </w:p>
        </w:tc>
        <w:tc>
          <w:tcPr>
            <w:tcW w:w="2266" w:type="dxa"/>
            <w:vAlign w:val="center"/>
          </w:tcPr>
          <w:p w14:paraId="5537B846" w14:textId="6DB6BDF0" w:rsidR="00C02F9A" w:rsidRPr="00D34ADE" w:rsidRDefault="006A6D2E" w:rsidP="00C02F9A">
            <w:pPr>
              <w:pStyle w:val="TableBodyCop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353.7</w:t>
            </w:r>
          </w:p>
        </w:tc>
        <w:tc>
          <w:tcPr>
            <w:tcW w:w="2266" w:type="dxa"/>
            <w:vAlign w:val="center"/>
          </w:tcPr>
          <w:p w14:paraId="55A5272D" w14:textId="6729AB94" w:rsidR="00C02F9A" w:rsidRPr="00D34ADE" w:rsidRDefault="006A6D2E" w:rsidP="00C02F9A">
            <w:pPr>
              <w:pStyle w:val="TableBodyCop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351.4</w:t>
            </w:r>
          </w:p>
        </w:tc>
      </w:tr>
      <w:tr w:rsidR="00C02F9A" w14:paraId="489272C2" w14:textId="77777777" w:rsidTr="00C03CAA">
        <w:tc>
          <w:tcPr>
            <w:tcW w:w="3397" w:type="dxa"/>
          </w:tcPr>
          <w:p w14:paraId="0D034212" w14:textId="30C654FB" w:rsidR="00C02F9A" w:rsidRPr="001E6A8F" w:rsidRDefault="00780DC2" w:rsidP="00C02F9A">
            <w:pPr>
              <w:pStyle w:val="TableBodyCopy"/>
              <w:rPr>
                <w:b/>
                <w:bCs/>
              </w:rPr>
            </w:pPr>
            <w:r w:rsidRPr="00780DC2">
              <w:rPr>
                <w:b/>
                <w:bCs/>
                <w:iCs/>
              </w:rPr>
              <w:t>Percentage total Aust</w:t>
            </w:r>
            <w:r w:rsidR="00D34ADE">
              <w:rPr>
                <w:b/>
                <w:bCs/>
                <w:iCs/>
              </w:rPr>
              <w:t>ralian</w:t>
            </w:r>
            <w:r w:rsidRPr="00780DC2">
              <w:rPr>
                <w:b/>
                <w:bCs/>
                <w:iCs/>
              </w:rPr>
              <w:t xml:space="preserve"> ODA</w:t>
            </w:r>
          </w:p>
        </w:tc>
        <w:tc>
          <w:tcPr>
            <w:tcW w:w="2265" w:type="dxa"/>
            <w:vAlign w:val="center"/>
          </w:tcPr>
          <w:p w14:paraId="510A5CB8" w14:textId="68B555AC" w:rsidR="00C02F9A" w:rsidRPr="00D34ADE" w:rsidRDefault="006A6D2E" w:rsidP="00C02F9A">
            <w:pPr>
              <w:pStyle w:val="TableBodyCop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4F6FEF">
              <w:rPr>
                <w:b/>
                <w:bCs/>
              </w:rPr>
              <w:t>.</w:t>
            </w:r>
            <w:r>
              <w:rPr>
                <w:b/>
                <w:bCs/>
              </w:rPr>
              <w:t>8</w:t>
            </w:r>
            <w:r w:rsidR="004F6FEF">
              <w:rPr>
                <w:b/>
                <w:bCs/>
              </w:rPr>
              <w:t>%</w:t>
            </w:r>
          </w:p>
        </w:tc>
        <w:tc>
          <w:tcPr>
            <w:tcW w:w="2266" w:type="dxa"/>
            <w:vAlign w:val="center"/>
          </w:tcPr>
          <w:p w14:paraId="1593D0D1" w14:textId="1B5FA364" w:rsidR="00C02F9A" w:rsidRPr="00D34ADE" w:rsidRDefault="006A6D2E" w:rsidP="00C02F9A">
            <w:pPr>
              <w:pStyle w:val="TableBodyCop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7.1</w:t>
            </w:r>
            <w:r w:rsidR="00426B9A">
              <w:rPr>
                <w:b/>
                <w:bCs/>
              </w:rPr>
              <w:t>%</w:t>
            </w:r>
          </w:p>
        </w:tc>
        <w:tc>
          <w:tcPr>
            <w:tcW w:w="2266" w:type="dxa"/>
            <w:vAlign w:val="center"/>
          </w:tcPr>
          <w:p w14:paraId="62BEB0D3" w14:textId="6CD8BF80" w:rsidR="00C02F9A" w:rsidRPr="00D34ADE" w:rsidRDefault="006A6D2E" w:rsidP="00C02F9A">
            <w:pPr>
              <w:pStyle w:val="TableBodyCop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6.9</w:t>
            </w:r>
            <w:r w:rsidR="00426B9A">
              <w:rPr>
                <w:b/>
                <w:bCs/>
              </w:rPr>
              <w:t>%</w:t>
            </w:r>
          </w:p>
        </w:tc>
      </w:tr>
    </w:tbl>
    <w:p w14:paraId="1173533E" w14:textId="0E6E4024" w:rsidR="00771669" w:rsidRDefault="0021323D" w:rsidP="00E84101">
      <w:pPr>
        <w:pStyle w:val="Caption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1226C6" wp14:editId="72E91FF5">
            <wp:simplePos x="0" y="0"/>
            <wp:positionH relativeFrom="margin">
              <wp:align>left</wp:align>
            </wp:positionH>
            <wp:positionV relativeFrom="paragraph">
              <wp:posOffset>438785</wp:posOffset>
            </wp:positionV>
            <wp:extent cx="6115050" cy="2418715"/>
            <wp:effectExtent l="0" t="0" r="0" b="635"/>
            <wp:wrapTight wrapText="bothSides">
              <wp:wrapPolygon edited="0">
                <wp:start x="0" y="0"/>
                <wp:lineTo x="0" y="21436"/>
                <wp:lineTo x="21533" y="21436"/>
                <wp:lineTo x="21533" y="0"/>
                <wp:lineTo x="0" y="0"/>
              </wp:wrapPolygon>
            </wp:wrapTight>
            <wp:docPr id="258537433" name="Picture 1" descr="Figure 1 presents the percentage of Australia’s Official Development Assistance (ODA) to Indonesia for the financial year 2025-26 attributable to seven sector groups.&#10;&#10;This information is presented in a doughnut chart, where the seven primary Sector Groups take a portion of shading in the doughnut in direct proportion to the total percentage attributable to each Sector Group.&#10;&#10;The percentages of total Australian ODA by Sector Groups are:&#10;Agriculture, trade and other production services 5%&#10;Economic infrastructure and services 29%&#10;Education 20%&#10;Governance 36%&#10;Health 3%&#10;Humanitarian 4%&#10;Multisector and General Development Support 3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537433" name="Picture 1" descr="Figure 1 presents the percentage of Australia’s Official Development Assistance (ODA) to Indonesia for the financial year 2025-26 attributable to seven sector groups.&#10;&#10;This information is presented in a doughnut chart, where the seven primary Sector Groups take a portion of shading in the doughnut in direct proportion to the total percentage attributable to each Sector Group.&#10;&#10;The percentages of total Australian ODA by Sector Groups are:&#10;Agriculture, trade and other production services 5%&#10;Economic infrastructure and services 29%&#10;Education 20%&#10;Governance 36%&#10;Health 3%&#10;Humanitarian 4%&#10;Multisector and General Development Support 3%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2418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6A8F" w:rsidRPr="00771669">
        <w:t xml:space="preserve">*Due to rounding, </w:t>
      </w:r>
      <w:r w:rsidR="001E6A8F" w:rsidRPr="003575EF">
        <w:t>discrepancies</w:t>
      </w:r>
      <w:r w:rsidR="001E6A8F" w:rsidRPr="00771669">
        <w:t xml:space="preserve"> may occur between sums of the component items in totals</w:t>
      </w:r>
    </w:p>
    <w:p w14:paraId="7100DF7D" w14:textId="163F135D" w:rsidR="00F40F77" w:rsidRPr="00F40F77" w:rsidRDefault="00C12648" w:rsidP="00F40F77">
      <w:pPr>
        <w:pStyle w:val="Heading4"/>
        <w:rPr>
          <w:b w:val="0"/>
          <w:bCs/>
        </w:rPr>
      </w:pPr>
      <w:r>
        <w:rPr>
          <w:b w:val="0"/>
          <w:bCs/>
        </w:rPr>
        <w:t xml:space="preserve">Figure 1: </w:t>
      </w:r>
      <w:r w:rsidR="003575EF" w:rsidRPr="00E5168F">
        <w:rPr>
          <w:b w:val="0"/>
          <w:bCs/>
        </w:rPr>
        <w:t xml:space="preserve">Australian ODA to </w:t>
      </w:r>
      <w:r w:rsidR="006A6D2E">
        <w:rPr>
          <w:b w:val="0"/>
          <w:bCs/>
        </w:rPr>
        <w:t>Indonesia</w:t>
      </w:r>
      <w:r w:rsidR="003575EF" w:rsidRPr="00E5168F">
        <w:rPr>
          <w:b w:val="0"/>
          <w:bCs/>
        </w:rPr>
        <w:t xml:space="preserve"> by Sector Group, 20</w:t>
      </w:r>
      <w:r w:rsidR="007F312B" w:rsidRPr="00E5168F">
        <w:rPr>
          <w:b w:val="0"/>
          <w:bCs/>
        </w:rPr>
        <w:t>25</w:t>
      </w:r>
      <w:r w:rsidR="00B4776F">
        <w:rPr>
          <w:b w:val="0"/>
          <w:bCs/>
        </w:rPr>
        <w:t>-26</w:t>
      </w:r>
      <w:r w:rsidR="003575EF" w:rsidRPr="00E5168F">
        <w:rPr>
          <w:b w:val="0"/>
          <w:bCs/>
        </w:rPr>
        <w:t xml:space="preserve"> budget estimate</w:t>
      </w:r>
    </w:p>
    <w:p w14:paraId="7CC3C65D" w14:textId="3E6F1392" w:rsidR="00C700DC" w:rsidRDefault="00E84101" w:rsidP="00C700DC">
      <w:pPr>
        <w:pStyle w:val="Heading3"/>
        <w:rPr>
          <w:rFonts w:eastAsia="Calibri"/>
        </w:rPr>
      </w:pPr>
      <w:r w:rsidRPr="00E50E59">
        <w:br w:type="page"/>
      </w:r>
      <w:r w:rsidR="00C700DC" w:rsidRPr="00CC4616">
        <w:lastRenderedPageBreak/>
        <w:t>Sustainable Development Goals</w:t>
      </w:r>
    </w:p>
    <w:p w14:paraId="2890F54D" w14:textId="7958C5F8" w:rsidR="00C62A28" w:rsidRDefault="00634CC1" w:rsidP="005230F8">
      <w:pPr>
        <w:rPr>
          <w:b/>
          <w:bCs/>
          <w:highlight w:val="yellow"/>
          <w:lang w:val="en-US"/>
        </w:rPr>
      </w:pPr>
      <w:r>
        <w:rPr>
          <w:noProof/>
        </w:rPr>
        <w:drawing>
          <wp:inline distT="0" distB="0" distL="0" distR="0" wp14:anchorId="12A37465" wp14:editId="23B51405">
            <wp:extent cx="548640" cy="548640"/>
            <wp:effectExtent l="0" t="0" r="3810" b="3810"/>
            <wp:docPr id="1378027091" name="Picture 1" descr="Goal 1 - No pove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027091" name="Picture 1" descr="Goal 1 - No poverty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70CC8C" wp14:editId="151AFEDF">
            <wp:extent cx="548640" cy="548640"/>
            <wp:effectExtent l="0" t="0" r="3810" b="3810"/>
            <wp:docPr id="1335721681" name="Picture 3" descr="SDG 3 - Good health and well-be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721681" name="Picture 3" descr="SDG 3 - Good health and well-bei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362151" wp14:editId="55A8FC23">
            <wp:extent cx="548640" cy="548640"/>
            <wp:effectExtent l="0" t="0" r="3810" b="3810"/>
            <wp:docPr id="662642502" name="Picture 4" descr="SDG 4 - Quality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642502" name="Picture 4" descr="SDG 4 - Quality Education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DDB124" wp14:editId="29E19788">
            <wp:extent cx="548640" cy="548640"/>
            <wp:effectExtent l="0" t="0" r="3810" b="3810"/>
            <wp:docPr id="193567487" name="Picture 5" descr="SDG 5 - Gender Equa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67487" name="Picture 5" descr="SDG 5 - Gender Equality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7F13FF" wp14:editId="225BD047">
            <wp:extent cx="548640" cy="548640"/>
            <wp:effectExtent l="0" t="0" r="3810" b="3810"/>
            <wp:docPr id="635455102" name="Picture 6" descr="SDG 6 - Clean water and sani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455102" name="Picture 6" descr="SDG 6 - Clean water and sanitation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9273EE" wp14:editId="54178C13">
            <wp:extent cx="548640" cy="548640"/>
            <wp:effectExtent l="0" t="0" r="3810" b="3810"/>
            <wp:docPr id="322758550" name="Picture 8" descr="SDG 8 - Decent work and economic grow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758550" name="Picture 8" descr="SDG 8 - Decent work and economic growth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E82FF7" wp14:editId="7385053F">
            <wp:extent cx="548640" cy="548640"/>
            <wp:effectExtent l="0" t="0" r="3810" b="3810"/>
            <wp:docPr id="532045198" name="Picture 9" descr="SDG 9 - Industry, innovation and infrastru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045198" name="Picture 9" descr="SDG 9 - Industry, innovation and infrastructure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273F17" wp14:editId="69AC4346">
            <wp:extent cx="548640" cy="548640"/>
            <wp:effectExtent l="0" t="0" r="3810" b="3810"/>
            <wp:docPr id="935052166" name="Picture 10" descr="SDG 10 - Reduced inequa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052166" name="Picture 10" descr="SDG 10 - Reduced inequalities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766939" wp14:editId="457691AE">
            <wp:extent cx="548640" cy="548640"/>
            <wp:effectExtent l="0" t="0" r="3810" b="3810"/>
            <wp:docPr id="67511417" name="Picture 6" descr="SDG 13 - Climate 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11417" name="Picture 6" descr="SDG 13 - Climate action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E208A6" wp14:editId="10584BA8">
            <wp:extent cx="548640" cy="548640"/>
            <wp:effectExtent l="0" t="0" r="3810" b="3810"/>
            <wp:docPr id="1117766149" name="Picture 10" descr="SDG 17 - Partnerships for the Go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766149" name="Picture 10" descr="SDG 17 - Partnerships for the Goals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BD460" w14:textId="2C2D8947" w:rsidR="00927B1F" w:rsidRPr="00757CF3" w:rsidRDefault="00C62A28" w:rsidP="00C62A28">
      <w:pPr>
        <w:rPr>
          <w:b/>
          <w:bCs/>
        </w:rPr>
      </w:pPr>
      <w:r w:rsidRPr="00757CF3">
        <w:rPr>
          <w:b/>
          <w:bCs/>
        </w:rPr>
        <w:t>Australia and Indonesia are close neighbours, strategic partners and friends.</w:t>
      </w:r>
    </w:p>
    <w:p w14:paraId="5DE63BE1" w14:textId="79BD5E1F" w:rsidR="00957C07" w:rsidRPr="00757CF3" w:rsidRDefault="00C62A28" w:rsidP="005900D4">
      <w:r w:rsidRPr="00757CF3">
        <w:t xml:space="preserve">Australia and </w:t>
      </w:r>
      <w:r w:rsidRPr="00BD0784">
        <w:t>Indonesia have a long history of working together</w:t>
      </w:r>
      <w:r w:rsidR="00EB4E21" w:rsidRPr="00BD0784">
        <w:t xml:space="preserve"> on </w:t>
      </w:r>
      <w:r w:rsidR="00EB4E21" w:rsidRPr="00C2042F">
        <w:t>shared priorities</w:t>
      </w:r>
      <w:r w:rsidR="005900D4" w:rsidRPr="00BD0784">
        <w:t xml:space="preserve">. </w:t>
      </w:r>
      <w:r w:rsidRPr="00BD0784">
        <w:t>We work in true partnership</w:t>
      </w:r>
      <w:r w:rsidR="00EB4E21" w:rsidRPr="00BD0784">
        <w:t xml:space="preserve"> and have</w:t>
      </w:r>
      <w:r w:rsidRPr="00BD0784">
        <w:t xml:space="preserve"> evolv</w:t>
      </w:r>
      <w:r w:rsidR="00EB4E21" w:rsidRPr="00BD0784">
        <w:t>ed</w:t>
      </w:r>
      <w:r w:rsidRPr="00BD0784">
        <w:t xml:space="preserve"> </w:t>
      </w:r>
      <w:r w:rsidR="00181E34">
        <w:t xml:space="preserve">the way we operate </w:t>
      </w:r>
      <w:r w:rsidRPr="00BD0784">
        <w:t>to keep pace with Indonesia’s rapid development</w:t>
      </w:r>
      <w:r w:rsidR="005D017B">
        <w:t xml:space="preserve"> and growing leadership role in the region</w:t>
      </w:r>
      <w:r w:rsidRPr="00BD0784">
        <w:t xml:space="preserve">. </w:t>
      </w:r>
      <w:r w:rsidR="005D017B">
        <w:t xml:space="preserve">Our </w:t>
      </w:r>
      <w:proofErr w:type="gramStart"/>
      <w:r w:rsidR="005D017B">
        <w:t>locally-led</w:t>
      </w:r>
      <w:proofErr w:type="gramEnd"/>
      <w:r w:rsidR="005D017B">
        <w:t xml:space="preserve"> </w:t>
      </w:r>
      <w:r w:rsidR="004E2CA9">
        <w:t>approach</w:t>
      </w:r>
      <w:r w:rsidR="005D017B">
        <w:t xml:space="preserve"> builds on Indonesia’s strengths and enables us to work together to address shared challenges. </w:t>
      </w:r>
    </w:p>
    <w:p w14:paraId="14B56AE6" w14:textId="333766A8" w:rsidR="00671161" w:rsidRPr="00757CF3" w:rsidRDefault="001E6A8F" w:rsidP="00C700DC">
      <w:pPr>
        <w:pStyle w:val="Heading3"/>
      </w:pPr>
      <w:r w:rsidRPr="00757CF3">
        <w:t>Strategic direction</w:t>
      </w:r>
    </w:p>
    <w:p w14:paraId="72EA2E5D" w14:textId="77777777" w:rsidR="009A3182" w:rsidRPr="00757CF3" w:rsidRDefault="00C62A28" w:rsidP="00957C07">
      <w:r w:rsidRPr="00757CF3">
        <w:rPr>
          <w:b/>
          <w:bCs/>
          <w:lang w:val="en-US"/>
        </w:rPr>
        <w:t>The overarching goal for the Australia-Indonesia development partnership is to promote Indonesia's prosperity, stability and resilience, and build strong links between our two countries.</w:t>
      </w:r>
      <w:r w:rsidRPr="00757CF3">
        <w:t xml:space="preserve"> </w:t>
      </w:r>
    </w:p>
    <w:p w14:paraId="4ED78AA3" w14:textId="78900B54" w:rsidR="009A3182" w:rsidRPr="00757CF3" w:rsidRDefault="00057189" w:rsidP="009A3182">
      <w:pPr>
        <w:rPr>
          <w:lang w:val="en-US"/>
        </w:rPr>
      </w:pPr>
      <w:hyperlink r:id="rId23" w:history="1">
        <w:r w:rsidRPr="00757CF3">
          <w:rPr>
            <w:rStyle w:val="Hyperlink"/>
            <w:lang w:val="en-US"/>
          </w:rPr>
          <w:t>T</w:t>
        </w:r>
        <w:r w:rsidR="00C62A28" w:rsidRPr="00757CF3">
          <w:rPr>
            <w:rStyle w:val="Hyperlink"/>
            <w:lang w:val="en-US"/>
          </w:rPr>
          <w:t>he Australia–Indonesia Development Partnership Plan 2024–2028</w:t>
        </w:r>
      </w:hyperlink>
      <w:r w:rsidR="00957C07" w:rsidRPr="00757CF3">
        <w:rPr>
          <w:lang w:val="en-US"/>
        </w:rPr>
        <w:t xml:space="preserve"> </w:t>
      </w:r>
      <w:r w:rsidR="001569E2" w:rsidRPr="00757CF3">
        <w:rPr>
          <w:lang w:val="en-US"/>
        </w:rPr>
        <w:t xml:space="preserve">(DPP) </w:t>
      </w:r>
      <w:r w:rsidR="00957C07" w:rsidRPr="00757CF3">
        <w:rPr>
          <w:lang w:val="en-US"/>
        </w:rPr>
        <w:t xml:space="preserve">translates into action </w:t>
      </w:r>
      <w:r w:rsidR="005900D4" w:rsidRPr="00757CF3">
        <w:rPr>
          <w:lang w:val="en-US"/>
        </w:rPr>
        <w:t>shared</w:t>
      </w:r>
      <w:r w:rsidR="00957C07" w:rsidRPr="00757CF3">
        <w:rPr>
          <w:lang w:val="en-US"/>
        </w:rPr>
        <w:t xml:space="preserve"> development priorities. </w:t>
      </w:r>
      <w:r w:rsidR="00C62A28" w:rsidRPr="00757CF3">
        <w:rPr>
          <w:lang w:val="en-US"/>
        </w:rPr>
        <w:t>It</w:t>
      </w:r>
      <w:r w:rsidR="00957C07" w:rsidRPr="00757CF3">
        <w:rPr>
          <w:lang w:val="en-US"/>
        </w:rPr>
        <w:t xml:space="preserve"> sets out </w:t>
      </w:r>
      <w:r w:rsidR="00B71F91" w:rsidRPr="00757CF3">
        <w:rPr>
          <w:lang w:val="en-US"/>
        </w:rPr>
        <w:t>three overarching</w:t>
      </w:r>
      <w:r w:rsidR="00957C07" w:rsidRPr="00757CF3">
        <w:rPr>
          <w:lang w:val="en-US"/>
        </w:rPr>
        <w:t xml:space="preserve"> objectives</w:t>
      </w:r>
      <w:r w:rsidR="000F35E6" w:rsidRPr="00757CF3">
        <w:rPr>
          <w:lang w:val="en-US"/>
        </w:rPr>
        <w:t xml:space="preserve"> </w:t>
      </w:r>
      <w:r w:rsidR="00CB099B">
        <w:rPr>
          <w:lang w:val="en-US"/>
        </w:rPr>
        <w:t>(</w:t>
      </w:r>
      <w:r w:rsidR="00DE5343" w:rsidRPr="00757CF3">
        <w:rPr>
          <w:lang w:val="en-US"/>
        </w:rPr>
        <w:t>s</w:t>
      </w:r>
      <w:r w:rsidR="000F35E6" w:rsidRPr="00757CF3">
        <w:rPr>
          <w:lang w:val="en-US"/>
        </w:rPr>
        <w:t xml:space="preserve">ustainable and equitable economic transformation, </w:t>
      </w:r>
      <w:r w:rsidR="00DE5343" w:rsidRPr="00757CF3">
        <w:rPr>
          <w:lang w:val="en-US"/>
        </w:rPr>
        <w:t>c</w:t>
      </w:r>
      <w:r w:rsidR="000F35E6" w:rsidRPr="00757CF3">
        <w:rPr>
          <w:lang w:val="en-US"/>
        </w:rPr>
        <w:t xml:space="preserve">limate resilient communities, and </w:t>
      </w:r>
      <w:r w:rsidR="00DE5343" w:rsidRPr="00757CF3">
        <w:rPr>
          <w:lang w:val="en-US"/>
        </w:rPr>
        <w:t>s</w:t>
      </w:r>
      <w:r w:rsidR="000F35E6" w:rsidRPr="00757CF3">
        <w:rPr>
          <w:lang w:val="en-US"/>
        </w:rPr>
        <w:t>trong institutions</w:t>
      </w:r>
      <w:r w:rsidR="00CB099B">
        <w:rPr>
          <w:lang w:val="en-US"/>
        </w:rPr>
        <w:t>),</w:t>
      </w:r>
      <w:r w:rsidR="00957C07" w:rsidRPr="00757CF3">
        <w:rPr>
          <w:lang w:val="en-US"/>
        </w:rPr>
        <w:t xml:space="preserve"> how we will work together to deliver shared outcomes, and how progress will be monitored.</w:t>
      </w:r>
    </w:p>
    <w:p w14:paraId="20ED8E8F" w14:textId="14F2CF83" w:rsidR="00957C07" w:rsidRPr="00757CF3" w:rsidRDefault="00656337" w:rsidP="009A3182">
      <w:pPr>
        <w:rPr>
          <w:lang w:val="en-US"/>
        </w:rPr>
      </w:pPr>
      <w:r>
        <w:t xml:space="preserve">Development </w:t>
      </w:r>
      <w:r w:rsidR="007E0167">
        <w:t>initiatives</w:t>
      </w:r>
      <w:r>
        <w:t xml:space="preserve"> under the DPP are designed to </w:t>
      </w:r>
      <w:r w:rsidR="007E0167" w:rsidRPr="00757CF3">
        <w:t>flexibly</w:t>
      </w:r>
      <w:r w:rsidR="009A3182" w:rsidRPr="00757CF3">
        <w:t xml:space="preserve"> </w:t>
      </w:r>
      <w:r>
        <w:t>respond to</w:t>
      </w:r>
      <w:r w:rsidR="009A3182" w:rsidRPr="00757CF3">
        <w:t xml:space="preserve"> </w:t>
      </w:r>
      <w:r w:rsidR="007E0167">
        <w:t xml:space="preserve">new </w:t>
      </w:r>
      <w:r w:rsidR="009A3182" w:rsidRPr="00757CF3">
        <w:t xml:space="preserve">opportunities for collaboration that are </w:t>
      </w:r>
      <w:r w:rsidR="001569E2" w:rsidRPr="00757CF3">
        <w:t>of</w:t>
      </w:r>
      <w:r w:rsidR="009A3182" w:rsidRPr="00757CF3">
        <w:t xml:space="preserve"> mutual interest. Our </w:t>
      </w:r>
      <w:r w:rsidR="007E0167">
        <w:t>initiatives</w:t>
      </w:r>
      <w:r w:rsidR="007E0167" w:rsidRPr="00757CF3">
        <w:t xml:space="preserve"> </w:t>
      </w:r>
      <w:r w:rsidR="009A3182" w:rsidRPr="00757CF3">
        <w:t>provide a positive mechanism to engage with the Government of Indonesia</w:t>
      </w:r>
      <w:r w:rsidR="007E0167">
        <w:t xml:space="preserve"> and a range of other stakeholders, including civil society organisations, academia and private sector</w:t>
      </w:r>
      <w:r w:rsidR="009A3182" w:rsidRPr="00757CF3">
        <w:t xml:space="preserve"> </w:t>
      </w:r>
      <w:r w:rsidR="007E0167">
        <w:t>to promote a participatory approach to sustainable development</w:t>
      </w:r>
      <w:r w:rsidR="009A3182" w:rsidRPr="00757CF3">
        <w:t>.</w:t>
      </w:r>
    </w:p>
    <w:p w14:paraId="4572847D" w14:textId="2908EE81" w:rsidR="002923D5" w:rsidRPr="00757CF3" w:rsidRDefault="001E6A8F" w:rsidP="00C700DC">
      <w:pPr>
        <w:pStyle w:val="Heading3"/>
      </w:pPr>
      <w:r w:rsidRPr="00757CF3">
        <w:t>Program highlights</w:t>
      </w:r>
    </w:p>
    <w:p w14:paraId="74A7906A" w14:textId="77777777" w:rsidR="001E6A8F" w:rsidRPr="00757CF3" w:rsidRDefault="001E6A8F" w:rsidP="003575EF">
      <w:r w:rsidRPr="00757CF3">
        <w:t xml:space="preserve">In 2023-24, Australia </w:t>
      </w:r>
      <w:r w:rsidRPr="008A7E65">
        <w:t>supported</w:t>
      </w:r>
      <w:r w:rsidRPr="00757CF3">
        <w:t>:</w:t>
      </w:r>
    </w:p>
    <w:p w14:paraId="6F4FF640" w14:textId="5B3F46A5" w:rsidR="002D694C" w:rsidRPr="002D6631" w:rsidRDefault="009D0CE8" w:rsidP="00757CF3">
      <w:pPr>
        <w:pStyle w:val="ListBullet"/>
        <w:numPr>
          <w:ilvl w:val="0"/>
          <w:numId w:val="0"/>
        </w:numPr>
        <w:ind w:left="360" w:hanging="360"/>
        <w:rPr>
          <w:i/>
          <w:iCs/>
        </w:rPr>
      </w:pPr>
      <w:r w:rsidRPr="002D6631">
        <w:rPr>
          <w:i/>
          <w:iCs/>
        </w:rPr>
        <w:t>Sustainable and equitable economic transformation</w:t>
      </w:r>
    </w:p>
    <w:p w14:paraId="565C4C6C" w14:textId="5003BE78" w:rsidR="00057189" w:rsidRPr="00757CF3" w:rsidRDefault="00DE5343" w:rsidP="00757CF3">
      <w:pPr>
        <w:pStyle w:val="ListBullet"/>
      </w:pPr>
      <w:r w:rsidRPr="00757CF3">
        <w:t>Indonesia’s accession to the Financial Action Task Force through</w:t>
      </w:r>
      <w:r w:rsidR="00057189" w:rsidRPr="00757CF3">
        <w:t xml:space="preserve"> PROSPERA [$259 million 2018-2026]</w:t>
      </w:r>
    </w:p>
    <w:p w14:paraId="6F4242A1" w14:textId="2280C75E" w:rsidR="005D017B" w:rsidRDefault="00487FE4" w:rsidP="002D6631">
      <w:pPr>
        <w:pStyle w:val="ListBullet"/>
      </w:pPr>
      <w:r>
        <w:t>15 million children vaccinated against Polio through</w:t>
      </w:r>
      <w:r w:rsidR="009D0CE8" w:rsidRPr="00757CF3">
        <w:t xml:space="preserve"> </w:t>
      </w:r>
      <w:r w:rsidR="00466549">
        <w:t>our Health Partnership</w:t>
      </w:r>
      <w:r w:rsidR="00466549" w:rsidRPr="00757CF3">
        <w:t xml:space="preserve"> </w:t>
      </w:r>
      <w:r w:rsidR="009D0CE8" w:rsidRPr="00757CF3">
        <w:t>[$72 million 2020-2025</w:t>
      </w:r>
      <w:r w:rsidR="003F1CF4">
        <w:t>]</w:t>
      </w:r>
      <w:r w:rsidR="009D0CE8" w:rsidRPr="00757CF3">
        <w:t>.</w:t>
      </w:r>
    </w:p>
    <w:p w14:paraId="1AC0F26E" w14:textId="77777777" w:rsidR="002D6631" w:rsidRDefault="002D6631" w:rsidP="00757CF3">
      <w:pPr>
        <w:pStyle w:val="ListBullet"/>
        <w:numPr>
          <w:ilvl w:val="0"/>
          <w:numId w:val="0"/>
        </w:numPr>
      </w:pPr>
    </w:p>
    <w:p w14:paraId="10E3E39D" w14:textId="46DB89CC" w:rsidR="009D0CE8" w:rsidRPr="002D6631" w:rsidRDefault="009D0CE8" w:rsidP="00757CF3">
      <w:pPr>
        <w:pStyle w:val="ListBullet"/>
        <w:numPr>
          <w:ilvl w:val="0"/>
          <w:numId w:val="0"/>
        </w:numPr>
        <w:rPr>
          <w:i/>
          <w:iCs/>
        </w:rPr>
      </w:pPr>
      <w:r w:rsidRPr="002D6631">
        <w:rPr>
          <w:i/>
          <w:iCs/>
        </w:rPr>
        <w:t>Climate-resilient communities</w:t>
      </w:r>
    </w:p>
    <w:p w14:paraId="69D26628" w14:textId="72C08FCD" w:rsidR="002D694C" w:rsidRDefault="00EA38D3" w:rsidP="00757CF3">
      <w:pPr>
        <w:pStyle w:val="ListBullet"/>
      </w:pPr>
      <w:r w:rsidRPr="00757CF3">
        <w:t xml:space="preserve">climate change </w:t>
      </w:r>
      <w:r w:rsidR="008A7E65">
        <w:t xml:space="preserve">research partnerships </w:t>
      </w:r>
      <w:r w:rsidR="002D694C" w:rsidRPr="00757CF3">
        <w:t xml:space="preserve">worth $11.9 million </w:t>
      </w:r>
      <w:r w:rsidR="006D1721" w:rsidRPr="00757CF3">
        <w:t>through KONEKSI [$80 million 2021-2029]</w:t>
      </w:r>
    </w:p>
    <w:p w14:paraId="76F9C312" w14:textId="34FF9E6E" w:rsidR="002D6631" w:rsidRPr="00757CF3" w:rsidRDefault="00466549" w:rsidP="00757CF3">
      <w:pPr>
        <w:pStyle w:val="ListBullet"/>
      </w:pPr>
      <w:r>
        <w:t xml:space="preserve">strengthened Indonesia’s climate disaster response capability </w:t>
      </w:r>
      <w:r w:rsidR="002D6631">
        <w:t>through SIAP SIAGA [$64 million 2019-2024].</w:t>
      </w:r>
    </w:p>
    <w:p w14:paraId="041B082D" w14:textId="77777777" w:rsidR="005D017B" w:rsidRDefault="005D017B" w:rsidP="00757CF3">
      <w:pPr>
        <w:pStyle w:val="ListBullet"/>
        <w:numPr>
          <w:ilvl w:val="0"/>
          <w:numId w:val="0"/>
        </w:numPr>
        <w:ind w:left="360" w:hanging="360"/>
      </w:pPr>
    </w:p>
    <w:p w14:paraId="2C310A5D" w14:textId="5FCF6B57" w:rsidR="009D0CE8" w:rsidRPr="002D6631" w:rsidRDefault="009D0CE8" w:rsidP="00757CF3">
      <w:pPr>
        <w:pStyle w:val="ListBullet"/>
        <w:numPr>
          <w:ilvl w:val="0"/>
          <w:numId w:val="0"/>
        </w:numPr>
        <w:ind w:left="360" w:hanging="360"/>
        <w:rPr>
          <w:i/>
          <w:iCs/>
        </w:rPr>
      </w:pPr>
      <w:r w:rsidRPr="002D6631">
        <w:rPr>
          <w:i/>
          <w:iCs/>
        </w:rPr>
        <w:t xml:space="preserve">Strong </w:t>
      </w:r>
      <w:r w:rsidR="005D017B" w:rsidRPr="002D6631">
        <w:rPr>
          <w:i/>
          <w:iCs/>
        </w:rPr>
        <w:t>i</w:t>
      </w:r>
      <w:r w:rsidRPr="002D6631">
        <w:rPr>
          <w:i/>
          <w:iCs/>
        </w:rPr>
        <w:t>nstitutions and cross-cutting</w:t>
      </w:r>
    </w:p>
    <w:p w14:paraId="608A0593" w14:textId="6F218ABB" w:rsidR="00757CF3" w:rsidRPr="00757CF3" w:rsidRDefault="00466549" w:rsidP="00C03CAA">
      <w:pPr>
        <w:pStyle w:val="ListBullet"/>
      </w:pPr>
      <w:bookmarkStart w:id="1" w:name="_Hlk197340279"/>
      <w:r>
        <w:t xml:space="preserve">improved </w:t>
      </w:r>
      <w:r w:rsidR="0037434A" w:rsidRPr="00757CF3">
        <w:t xml:space="preserve">access </w:t>
      </w:r>
      <w:r w:rsidR="00DF60C8" w:rsidRPr="00757CF3">
        <w:t xml:space="preserve">to justice </w:t>
      </w:r>
      <w:r w:rsidR="0037434A" w:rsidRPr="00757CF3">
        <w:t xml:space="preserve">for </w:t>
      </w:r>
      <w:r w:rsidRPr="00757CF3">
        <w:t>women</w:t>
      </w:r>
      <w:r>
        <w:t xml:space="preserve"> and</w:t>
      </w:r>
      <w:r w:rsidRPr="00757CF3">
        <w:t xml:space="preserve"> </w:t>
      </w:r>
      <w:r w:rsidR="0037434A" w:rsidRPr="00757CF3">
        <w:t>persons with disabilities</w:t>
      </w:r>
      <w:r w:rsidR="00230C10" w:rsidRPr="00757CF3">
        <w:t xml:space="preserve"> </w:t>
      </w:r>
      <w:r w:rsidR="0037434A" w:rsidRPr="00757CF3">
        <w:t xml:space="preserve">through AIPJ </w:t>
      </w:r>
      <w:r w:rsidR="00C62A28" w:rsidRPr="00757CF3">
        <w:t>[</w:t>
      </w:r>
      <w:r w:rsidR="0037434A" w:rsidRPr="00757CF3">
        <w:t>$</w:t>
      </w:r>
      <w:r w:rsidR="00C62A28" w:rsidRPr="00757CF3">
        <w:t>74.5 million</w:t>
      </w:r>
      <w:r w:rsidR="0037434A" w:rsidRPr="00757CF3">
        <w:t xml:space="preserve"> 20</w:t>
      </w:r>
      <w:r w:rsidR="00C62A28" w:rsidRPr="00757CF3">
        <w:t>17</w:t>
      </w:r>
      <w:r w:rsidR="0037434A" w:rsidRPr="00757CF3">
        <w:t>-20</w:t>
      </w:r>
      <w:r w:rsidR="00C62A28" w:rsidRPr="00757CF3">
        <w:t>25]</w:t>
      </w:r>
    </w:p>
    <w:p w14:paraId="2A64E22A" w14:textId="7CD757EF" w:rsidR="00634CC1" w:rsidRDefault="007F0D77" w:rsidP="00596C83">
      <w:pPr>
        <w:pStyle w:val="ListBullet"/>
      </w:pPr>
      <w:bookmarkStart w:id="2" w:name="_Hlk197688231"/>
      <w:r>
        <w:t>620</w:t>
      </w:r>
      <w:r w:rsidR="007F1257" w:rsidRPr="008531C0">
        <w:t xml:space="preserve"> </w:t>
      </w:r>
      <w:r w:rsidR="00DD225B">
        <w:t xml:space="preserve">Indonesian </w:t>
      </w:r>
      <w:proofErr w:type="gramStart"/>
      <w:r w:rsidR="009B4F3B" w:rsidRPr="008531C0">
        <w:t>students</w:t>
      </w:r>
      <w:proofErr w:type="gramEnd"/>
      <w:r w:rsidR="007F1257">
        <w:t xml:space="preserve"> </w:t>
      </w:r>
      <w:r w:rsidR="00EA38D3">
        <w:t>study in Australia through</w:t>
      </w:r>
      <w:r w:rsidR="00E475B4" w:rsidRPr="00757CF3">
        <w:t xml:space="preserve"> Australia Awards Indonesia [$128 million 2022-203</w:t>
      </w:r>
      <w:bookmarkEnd w:id="1"/>
      <w:r w:rsidR="00757CF3" w:rsidRPr="00757CF3">
        <w:t>0]</w:t>
      </w:r>
      <w:r w:rsidR="00EB4E21">
        <w:t>.</w:t>
      </w:r>
      <w:bookmarkEnd w:id="2"/>
    </w:p>
    <w:sectPr w:rsidR="00634CC1" w:rsidSect="0095740E">
      <w:headerReference w:type="default" r:id="rId24"/>
      <w:footerReference w:type="default" r:id="rId25"/>
      <w:headerReference w:type="first" r:id="rId26"/>
      <w:footerReference w:type="first" r:id="rId27"/>
      <w:pgSz w:w="11906" w:h="16838" w:code="9"/>
      <w:pgMar w:top="1872" w:right="850" w:bottom="990" w:left="850" w:header="850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41F8F" w14:textId="77777777" w:rsidR="00550F54" w:rsidRDefault="00550F54" w:rsidP="00EE32FE">
      <w:pPr>
        <w:spacing w:after="0" w:line="240" w:lineRule="auto"/>
      </w:pPr>
      <w:r>
        <w:separator/>
      </w:r>
    </w:p>
  </w:endnote>
  <w:endnote w:type="continuationSeparator" w:id="0">
    <w:p w14:paraId="4A4BBCDC" w14:textId="77777777" w:rsidR="00550F54" w:rsidRDefault="00550F54" w:rsidP="00EE32FE">
      <w:pPr>
        <w:spacing w:after="0" w:line="240" w:lineRule="auto"/>
      </w:pPr>
      <w:r>
        <w:continuationSeparator/>
      </w:r>
    </w:p>
  </w:endnote>
  <w:endnote w:type="continuationNotice" w:id="1">
    <w:p w14:paraId="4D50B9E8" w14:textId="77777777" w:rsidR="00550F54" w:rsidRDefault="00550F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FFFFFF" w:themeColor="background1"/>
      </w:rPr>
      <w:id w:val="-1084381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CD4674" w14:textId="2DD6A0D1" w:rsidR="00F40F77" w:rsidRPr="004D49FE" w:rsidRDefault="008E290E">
        <w:pPr>
          <w:pStyle w:val="Footer"/>
          <w:rPr>
            <w:color w:val="FFFFFF" w:themeColor="background1"/>
          </w:rPr>
        </w:pPr>
        <w:r w:rsidRPr="00C71682">
          <w:rPr>
            <w:noProof/>
            <w:color w:val="FFFFFF" w:themeColor="background1"/>
          </w:rPr>
          <w:drawing>
            <wp:anchor distT="0" distB="0" distL="114300" distR="114300" simplePos="0" relativeHeight="251658244" behindDoc="1" locked="0" layoutInCell="1" allowOverlap="1" wp14:anchorId="1DE43D9B" wp14:editId="4A81363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58095" cy="576000"/>
              <wp:effectExtent l="0" t="0" r="5080" b="0"/>
              <wp:wrapNone/>
              <wp:docPr id="383988066" name="Picture 38398806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3988066" name="Picture 38398806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095" cy="57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D1D28" w:rsidRPr="004D49FE">
          <w:rPr>
            <w:color w:val="FFFFFF" w:themeColor="background1"/>
          </w:rPr>
          <w:fldChar w:fldCharType="begin"/>
        </w:r>
        <w:r w:rsidR="00BD1D28" w:rsidRPr="004D49FE">
          <w:rPr>
            <w:color w:val="FFFFFF" w:themeColor="background1"/>
          </w:rPr>
          <w:instrText xml:space="preserve"> PAGE   \* MERGEFORMAT </w:instrText>
        </w:r>
        <w:r w:rsidR="00BD1D28" w:rsidRPr="004D49FE">
          <w:rPr>
            <w:color w:val="FFFFFF" w:themeColor="background1"/>
          </w:rPr>
          <w:fldChar w:fldCharType="separate"/>
        </w:r>
        <w:r w:rsidR="00BD1D28" w:rsidRPr="004D49FE">
          <w:rPr>
            <w:noProof/>
            <w:color w:val="FFFFFF" w:themeColor="background1"/>
          </w:rPr>
          <w:t>2</w:t>
        </w:r>
        <w:r w:rsidR="00BD1D28" w:rsidRPr="004D49FE">
          <w:rPr>
            <w:noProof/>
            <w:color w:val="FFFFFF" w:themeColor="background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FFFFFF" w:themeColor="background1"/>
      </w:rPr>
      <w:id w:val="-14103067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984756" w14:textId="18EE118E" w:rsidR="00E50E59" w:rsidRPr="00C71682" w:rsidRDefault="00C71682">
        <w:pPr>
          <w:pStyle w:val="Footer"/>
          <w:rPr>
            <w:color w:val="FFFFFF" w:themeColor="background1"/>
          </w:rPr>
        </w:pPr>
        <w:r w:rsidRPr="00C71682">
          <w:rPr>
            <w:noProof/>
            <w:color w:val="FFFFFF" w:themeColor="background1"/>
          </w:rPr>
          <w:drawing>
            <wp:anchor distT="0" distB="0" distL="114300" distR="114300" simplePos="0" relativeHeight="251658243" behindDoc="1" locked="0" layoutInCell="1" allowOverlap="1" wp14:anchorId="57098BE2" wp14:editId="06078AE4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58095" cy="576000"/>
              <wp:effectExtent l="0" t="0" r="5080" b="0"/>
              <wp:wrapNone/>
              <wp:docPr id="1702243087" name="Picture 170224308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02243087" name="Picture 170224308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095" cy="57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46B16" w:rsidRPr="00C71682">
          <w:rPr>
            <w:color w:val="FFFFFF" w:themeColor="background1"/>
          </w:rPr>
          <w:fldChar w:fldCharType="begin"/>
        </w:r>
        <w:r w:rsidR="00F46B16" w:rsidRPr="00C71682">
          <w:rPr>
            <w:color w:val="FFFFFF" w:themeColor="background1"/>
          </w:rPr>
          <w:instrText xml:space="preserve"> PAGE   \* MERGEFORMAT </w:instrText>
        </w:r>
        <w:r w:rsidR="00F46B16" w:rsidRPr="00C71682">
          <w:rPr>
            <w:color w:val="FFFFFF" w:themeColor="background1"/>
          </w:rPr>
          <w:fldChar w:fldCharType="separate"/>
        </w:r>
        <w:r w:rsidR="00F46B16" w:rsidRPr="00C71682">
          <w:rPr>
            <w:noProof/>
            <w:color w:val="FFFFFF" w:themeColor="background1"/>
          </w:rPr>
          <w:t>2</w:t>
        </w:r>
        <w:r w:rsidR="00F46B16" w:rsidRPr="00C71682">
          <w:rPr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FC057" w14:textId="77777777" w:rsidR="00550F54" w:rsidRDefault="00550F54" w:rsidP="00EE32FE">
      <w:pPr>
        <w:spacing w:after="0" w:line="240" w:lineRule="auto"/>
      </w:pPr>
      <w:bookmarkStart w:id="0" w:name="_Hlk127364773"/>
      <w:bookmarkEnd w:id="0"/>
      <w:r>
        <w:separator/>
      </w:r>
    </w:p>
  </w:footnote>
  <w:footnote w:type="continuationSeparator" w:id="0">
    <w:p w14:paraId="7C7233CF" w14:textId="77777777" w:rsidR="00550F54" w:rsidRDefault="00550F54" w:rsidP="00EE32FE">
      <w:pPr>
        <w:spacing w:after="0" w:line="240" w:lineRule="auto"/>
      </w:pPr>
      <w:r>
        <w:continuationSeparator/>
      </w:r>
    </w:p>
  </w:footnote>
  <w:footnote w:type="continuationNotice" w:id="1">
    <w:p w14:paraId="15629A95" w14:textId="77777777" w:rsidR="00550F54" w:rsidRDefault="00550F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8F6E9" w14:textId="4D8987F0" w:rsidR="00306BCA" w:rsidRDefault="0076381C">
    <w:pPr>
      <w:pStyle w:val="Header"/>
    </w:pPr>
    <w:r>
      <w:rPr>
        <w:noProof/>
      </w:rPr>
      <w:drawing>
        <wp:anchor distT="0" distB="0" distL="114300" distR="114300" simplePos="0" relativeHeight="251658245" behindDoc="1" locked="0" layoutInCell="1" allowOverlap="1" wp14:anchorId="3030DA87" wp14:editId="042334CD">
          <wp:simplePos x="541606" y="618978"/>
          <wp:positionH relativeFrom="page">
            <wp:align>center</wp:align>
          </wp:positionH>
          <wp:positionV relativeFrom="page">
            <wp:align>top</wp:align>
          </wp:positionV>
          <wp:extent cx="7558095" cy="576000"/>
          <wp:effectExtent l="0" t="0" r="5080" b="0"/>
          <wp:wrapNone/>
          <wp:docPr id="1721380403" name="Picture 1" descr="Page two header banner text includes Australia’s International Development Program on dark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1380403" name="Picture 1" descr="Page two header banner text includes Australia’s International Development Program on dark backgroun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8095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8360E" w14:textId="15A796B3" w:rsidR="00704573" w:rsidRDefault="00235C52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76BA3015" wp14:editId="43712648">
          <wp:simplePos x="0" y="0"/>
          <wp:positionH relativeFrom="page">
            <wp:posOffset>10937875</wp:posOffset>
          </wp:positionH>
          <wp:positionV relativeFrom="page">
            <wp:posOffset>112395</wp:posOffset>
          </wp:positionV>
          <wp:extent cx="7689850" cy="585470"/>
          <wp:effectExtent l="0" t="0" r="6350" b="5080"/>
          <wp:wrapNone/>
          <wp:docPr id="1131797426" name="Picture 11317974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1797426" name="Picture 113179742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9850" cy="58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28F0">
      <w:rPr>
        <w:noProof/>
      </w:rPr>
      <w:drawing>
        <wp:anchor distT="0" distB="0" distL="114300" distR="114300" simplePos="0" relativeHeight="251658240" behindDoc="0" locked="0" layoutInCell="1" allowOverlap="1" wp14:anchorId="57FCDF50" wp14:editId="4EA0D71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80000"/>
          <wp:effectExtent l="0" t="0" r="3175" b="6350"/>
          <wp:wrapNone/>
          <wp:docPr id="2129509291" name="Picture 2129509291" descr="Header banner including Australian Government Department of Foreign Affairs and Trade logos and Australian Aid identifier on the right hand sid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509291" name="Picture 2129509291" descr="Header banner including Australian Government Department of Foreign Affairs and Trade logos and Australian Aid identifier on the right hand sid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B44B0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A2D46"/>
    <w:multiLevelType w:val="hybridMultilevel"/>
    <w:tmpl w:val="4AB6AC2E"/>
    <w:lvl w:ilvl="0" w:tplc="018A84B8">
      <w:start w:val="1"/>
      <w:numFmt w:val="decimal"/>
      <w:lvlText w:val="%1."/>
      <w:lvlJc w:val="left"/>
      <w:pPr>
        <w:ind w:left="1020" w:hanging="360"/>
      </w:pPr>
    </w:lvl>
    <w:lvl w:ilvl="1" w:tplc="F83812DE">
      <w:start w:val="1"/>
      <w:numFmt w:val="decimal"/>
      <w:lvlText w:val="%2."/>
      <w:lvlJc w:val="left"/>
      <w:pPr>
        <w:ind w:left="1020" w:hanging="360"/>
      </w:pPr>
    </w:lvl>
    <w:lvl w:ilvl="2" w:tplc="33B408C8">
      <w:start w:val="1"/>
      <w:numFmt w:val="decimal"/>
      <w:lvlText w:val="%3."/>
      <w:lvlJc w:val="left"/>
      <w:pPr>
        <w:ind w:left="1020" w:hanging="360"/>
      </w:pPr>
    </w:lvl>
    <w:lvl w:ilvl="3" w:tplc="52948C7C">
      <w:start w:val="1"/>
      <w:numFmt w:val="decimal"/>
      <w:lvlText w:val="%4."/>
      <w:lvlJc w:val="left"/>
      <w:pPr>
        <w:ind w:left="1020" w:hanging="360"/>
      </w:pPr>
    </w:lvl>
    <w:lvl w:ilvl="4" w:tplc="1D26C1C4">
      <w:start w:val="1"/>
      <w:numFmt w:val="decimal"/>
      <w:lvlText w:val="%5."/>
      <w:lvlJc w:val="left"/>
      <w:pPr>
        <w:ind w:left="1020" w:hanging="360"/>
      </w:pPr>
    </w:lvl>
    <w:lvl w:ilvl="5" w:tplc="07803DD6">
      <w:start w:val="1"/>
      <w:numFmt w:val="decimal"/>
      <w:lvlText w:val="%6."/>
      <w:lvlJc w:val="left"/>
      <w:pPr>
        <w:ind w:left="1020" w:hanging="360"/>
      </w:pPr>
    </w:lvl>
    <w:lvl w:ilvl="6" w:tplc="8D881B56">
      <w:start w:val="1"/>
      <w:numFmt w:val="decimal"/>
      <w:lvlText w:val="%7."/>
      <w:lvlJc w:val="left"/>
      <w:pPr>
        <w:ind w:left="1020" w:hanging="360"/>
      </w:pPr>
    </w:lvl>
    <w:lvl w:ilvl="7" w:tplc="0142917C">
      <w:start w:val="1"/>
      <w:numFmt w:val="decimal"/>
      <w:lvlText w:val="%8."/>
      <w:lvlJc w:val="left"/>
      <w:pPr>
        <w:ind w:left="1020" w:hanging="360"/>
      </w:pPr>
    </w:lvl>
    <w:lvl w:ilvl="8" w:tplc="B7082D96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0C0A00A4"/>
    <w:multiLevelType w:val="hybridMultilevel"/>
    <w:tmpl w:val="979494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E63D02"/>
    <w:multiLevelType w:val="hybridMultilevel"/>
    <w:tmpl w:val="872410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321E9"/>
    <w:multiLevelType w:val="hybridMultilevel"/>
    <w:tmpl w:val="389AC8A6"/>
    <w:lvl w:ilvl="0" w:tplc="259AD006">
      <w:start w:val="1"/>
      <w:numFmt w:val="decimal"/>
      <w:lvlText w:val="%1."/>
      <w:lvlJc w:val="left"/>
      <w:pPr>
        <w:ind w:left="1020" w:hanging="360"/>
      </w:pPr>
    </w:lvl>
    <w:lvl w:ilvl="1" w:tplc="30241C60">
      <w:start w:val="1"/>
      <w:numFmt w:val="decimal"/>
      <w:lvlText w:val="%2."/>
      <w:lvlJc w:val="left"/>
      <w:pPr>
        <w:ind w:left="1020" w:hanging="360"/>
      </w:pPr>
    </w:lvl>
    <w:lvl w:ilvl="2" w:tplc="0842401C">
      <w:start w:val="1"/>
      <w:numFmt w:val="decimal"/>
      <w:lvlText w:val="%3."/>
      <w:lvlJc w:val="left"/>
      <w:pPr>
        <w:ind w:left="1020" w:hanging="360"/>
      </w:pPr>
    </w:lvl>
    <w:lvl w:ilvl="3" w:tplc="DDA47CE2">
      <w:start w:val="1"/>
      <w:numFmt w:val="decimal"/>
      <w:lvlText w:val="%4."/>
      <w:lvlJc w:val="left"/>
      <w:pPr>
        <w:ind w:left="1020" w:hanging="360"/>
      </w:pPr>
    </w:lvl>
    <w:lvl w:ilvl="4" w:tplc="8F6A5CA4">
      <w:start w:val="1"/>
      <w:numFmt w:val="decimal"/>
      <w:lvlText w:val="%5."/>
      <w:lvlJc w:val="left"/>
      <w:pPr>
        <w:ind w:left="1020" w:hanging="360"/>
      </w:pPr>
    </w:lvl>
    <w:lvl w:ilvl="5" w:tplc="9550A5B6">
      <w:start w:val="1"/>
      <w:numFmt w:val="decimal"/>
      <w:lvlText w:val="%6."/>
      <w:lvlJc w:val="left"/>
      <w:pPr>
        <w:ind w:left="1020" w:hanging="360"/>
      </w:pPr>
    </w:lvl>
    <w:lvl w:ilvl="6" w:tplc="E97836DE">
      <w:start w:val="1"/>
      <w:numFmt w:val="decimal"/>
      <w:lvlText w:val="%7."/>
      <w:lvlJc w:val="left"/>
      <w:pPr>
        <w:ind w:left="1020" w:hanging="360"/>
      </w:pPr>
    </w:lvl>
    <w:lvl w:ilvl="7" w:tplc="4FFA85CC">
      <w:start w:val="1"/>
      <w:numFmt w:val="decimal"/>
      <w:lvlText w:val="%8."/>
      <w:lvlJc w:val="left"/>
      <w:pPr>
        <w:ind w:left="1020" w:hanging="360"/>
      </w:pPr>
    </w:lvl>
    <w:lvl w:ilvl="8" w:tplc="4EE86F6C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2354785C"/>
    <w:multiLevelType w:val="hybridMultilevel"/>
    <w:tmpl w:val="63704D7C"/>
    <w:lvl w:ilvl="0" w:tplc="053899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5C26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5CE9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2411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22F2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8479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7CF7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606C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F841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9D3341A"/>
    <w:multiLevelType w:val="hybridMultilevel"/>
    <w:tmpl w:val="948C41E2"/>
    <w:lvl w:ilvl="0" w:tplc="476EC8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472A5"/>
    <w:multiLevelType w:val="hybridMultilevel"/>
    <w:tmpl w:val="E3408DC2"/>
    <w:lvl w:ilvl="0" w:tplc="B0683738">
      <w:start w:val="1"/>
      <w:numFmt w:val="decimal"/>
      <w:lvlText w:val="%1."/>
      <w:lvlJc w:val="left"/>
      <w:pPr>
        <w:ind w:left="1020" w:hanging="360"/>
      </w:pPr>
    </w:lvl>
    <w:lvl w:ilvl="1" w:tplc="A6802ABE">
      <w:start w:val="1"/>
      <w:numFmt w:val="decimal"/>
      <w:lvlText w:val="%2."/>
      <w:lvlJc w:val="left"/>
      <w:pPr>
        <w:ind w:left="1020" w:hanging="360"/>
      </w:pPr>
    </w:lvl>
    <w:lvl w:ilvl="2" w:tplc="2F74BCDC">
      <w:start w:val="1"/>
      <w:numFmt w:val="decimal"/>
      <w:lvlText w:val="%3."/>
      <w:lvlJc w:val="left"/>
      <w:pPr>
        <w:ind w:left="1020" w:hanging="360"/>
      </w:pPr>
    </w:lvl>
    <w:lvl w:ilvl="3" w:tplc="FE6ADC6E">
      <w:start w:val="1"/>
      <w:numFmt w:val="decimal"/>
      <w:lvlText w:val="%4."/>
      <w:lvlJc w:val="left"/>
      <w:pPr>
        <w:ind w:left="1020" w:hanging="360"/>
      </w:pPr>
    </w:lvl>
    <w:lvl w:ilvl="4" w:tplc="03029E9E">
      <w:start w:val="1"/>
      <w:numFmt w:val="decimal"/>
      <w:lvlText w:val="%5."/>
      <w:lvlJc w:val="left"/>
      <w:pPr>
        <w:ind w:left="1020" w:hanging="360"/>
      </w:pPr>
    </w:lvl>
    <w:lvl w:ilvl="5" w:tplc="90105E3E">
      <w:start w:val="1"/>
      <w:numFmt w:val="decimal"/>
      <w:lvlText w:val="%6."/>
      <w:lvlJc w:val="left"/>
      <w:pPr>
        <w:ind w:left="1020" w:hanging="360"/>
      </w:pPr>
    </w:lvl>
    <w:lvl w:ilvl="6" w:tplc="F4F2A512">
      <w:start w:val="1"/>
      <w:numFmt w:val="decimal"/>
      <w:lvlText w:val="%7."/>
      <w:lvlJc w:val="left"/>
      <w:pPr>
        <w:ind w:left="1020" w:hanging="360"/>
      </w:pPr>
    </w:lvl>
    <w:lvl w:ilvl="7" w:tplc="1100ACDA">
      <w:start w:val="1"/>
      <w:numFmt w:val="decimal"/>
      <w:lvlText w:val="%8."/>
      <w:lvlJc w:val="left"/>
      <w:pPr>
        <w:ind w:left="1020" w:hanging="360"/>
      </w:pPr>
    </w:lvl>
    <w:lvl w:ilvl="8" w:tplc="D44610F4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30266D68"/>
    <w:multiLevelType w:val="hybridMultilevel"/>
    <w:tmpl w:val="9E5A5624"/>
    <w:lvl w:ilvl="0" w:tplc="04DA5E22">
      <w:start w:val="1"/>
      <w:numFmt w:val="decimal"/>
      <w:pStyle w:val="BodycopyNumberedBullets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F4CFF"/>
    <w:multiLevelType w:val="hybridMultilevel"/>
    <w:tmpl w:val="556C92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80FB7"/>
    <w:multiLevelType w:val="hybridMultilevel"/>
    <w:tmpl w:val="055ACAB4"/>
    <w:lvl w:ilvl="0" w:tplc="2FE82136">
      <w:start w:val="1"/>
      <w:numFmt w:val="bullet"/>
      <w:pStyle w:val="BodyCopy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324A3"/>
    <w:multiLevelType w:val="hybridMultilevel"/>
    <w:tmpl w:val="72A46C1C"/>
    <w:lvl w:ilvl="0" w:tplc="0EECF4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2A89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B476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38B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A88F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70DF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D8A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FA51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1259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E252072"/>
    <w:multiLevelType w:val="hybridMultilevel"/>
    <w:tmpl w:val="FE1E5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315745">
    <w:abstractNumId w:val="8"/>
  </w:num>
  <w:num w:numId="2" w16cid:durableId="768818958">
    <w:abstractNumId w:val="8"/>
    <w:lvlOverride w:ilvl="0">
      <w:startOverride w:val="1"/>
    </w:lvlOverride>
  </w:num>
  <w:num w:numId="3" w16cid:durableId="1890258398">
    <w:abstractNumId w:val="8"/>
    <w:lvlOverride w:ilvl="0">
      <w:startOverride w:val="1"/>
    </w:lvlOverride>
  </w:num>
  <w:num w:numId="4" w16cid:durableId="649091149">
    <w:abstractNumId w:val="10"/>
  </w:num>
  <w:num w:numId="5" w16cid:durableId="934098631">
    <w:abstractNumId w:val="3"/>
  </w:num>
  <w:num w:numId="6" w16cid:durableId="151024048">
    <w:abstractNumId w:val="8"/>
    <w:lvlOverride w:ilvl="0">
      <w:startOverride w:val="1"/>
    </w:lvlOverride>
  </w:num>
  <w:num w:numId="7" w16cid:durableId="1836610287">
    <w:abstractNumId w:val="8"/>
    <w:lvlOverride w:ilvl="0">
      <w:startOverride w:val="1"/>
    </w:lvlOverride>
  </w:num>
  <w:num w:numId="8" w16cid:durableId="2006547766">
    <w:abstractNumId w:val="8"/>
    <w:lvlOverride w:ilvl="0">
      <w:startOverride w:val="1"/>
    </w:lvlOverride>
  </w:num>
  <w:num w:numId="9" w16cid:durableId="1379822385">
    <w:abstractNumId w:val="12"/>
  </w:num>
  <w:num w:numId="10" w16cid:durableId="1276981909">
    <w:abstractNumId w:val="9"/>
  </w:num>
  <w:num w:numId="11" w16cid:durableId="1977682116">
    <w:abstractNumId w:val="10"/>
  </w:num>
  <w:num w:numId="12" w16cid:durableId="1696269951">
    <w:abstractNumId w:val="10"/>
  </w:num>
  <w:num w:numId="13" w16cid:durableId="1555584703">
    <w:abstractNumId w:val="0"/>
  </w:num>
  <w:num w:numId="14" w16cid:durableId="366376057">
    <w:abstractNumId w:val="11"/>
  </w:num>
  <w:num w:numId="15" w16cid:durableId="1909922326">
    <w:abstractNumId w:val="5"/>
  </w:num>
  <w:num w:numId="16" w16cid:durableId="2124684593">
    <w:abstractNumId w:val="4"/>
  </w:num>
  <w:num w:numId="17" w16cid:durableId="906037808">
    <w:abstractNumId w:val="2"/>
  </w:num>
  <w:num w:numId="18" w16cid:durableId="1378120932">
    <w:abstractNumId w:val="6"/>
  </w:num>
  <w:num w:numId="19" w16cid:durableId="219564270">
    <w:abstractNumId w:val="1"/>
  </w:num>
  <w:num w:numId="20" w16cid:durableId="1372995176">
    <w:abstractNumId w:val="7"/>
  </w:num>
  <w:num w:numId="21" w16cid:durableId="2095005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5D"/>
    <w:rsid w:val="0000077E"/>
    <w:rsid w:val="00017776"/>
    <w:rsid w:val="0002107B"/>
    <w:rsid w:val="000219CD"/>
    <w:rsid w:val="00021DCB"/>
    <w:rsid w:val="00025428"/>
    <w:rsid w:val="00025DF3"/>
    <w:rsid w:val="00030679"/>
    <w:rsid w:val="00045E13"/>
    <w:rsid w:val="000502CA"/>
    <w:rsid w:val="00055F8D"/>
    <w:rsid w:val="00057189"/>
    <w:rsid w:val="00065484"/>
    <w:rsid w:val="0007092D"/>
    <w:rsid w:val="00074F02"/>
    <w:rsid w:val="00077882"/>
    <w:rsid w:val="00080BCC"/>
    <w:rsid w:val="00094F36"/>
    <w:rsid w:val="00097081"/>
    <w:rsid w:val="000976C9"/>
    <w:rsid w:val="000A0C2B"/>
    <w:rsid w:val="000A3684"/>
    <w:rsid w:val="000A43B1"/>
    <w:rsid w:val="000B3C3E"/>
    <w:rsid w:val="000B7CE5"/>
    <w:rsid w:val="000C1AA4"/>
    <w:rsid w:val="000C5FB5"/>
    <w:rsid w:val="000C6D02"/>
    <w:rsid w:val="000E5A2E"/>
    <w:rsid w:val="000F1407"/>
    <w:rsid w:val="000F35E6"/>
    <w:rsid w:val="001006D4"/>
    <w:rsid w:val="0010098A"/>
    <w:rsid w:val="00100CEB"/>
    <w:rsid w:val="00110DBA"/>
    <w:rsid w:val="0012106D"/>
    <w:rsid w:val="00123E7B"/>
    <w:rsid w:val="00130FA7"/>
    <w:rsid w:val="00133CD1"/>
    <w:rsid w:val="001405B7"/>
    <w:rsid w:val="00144289"/>
    <w:rsid w:val="00152BF7"/>
    <w:rsid w:val="00154C96"/>
    <w:rsid w:val="00155730"/>
    <w:rsid w:val="00155D32"/>
    <w:rsid w:val="001569E2"/>
    <w:rsid w:val="00156F0A"/>
    <w:rsid w:val="00163AE3"/>
    <w:rsid w:val="00181E34"/>
    <w:rsid w:val="001869DB"/>
    <w:rsid w:val="0019463F"/>
    <w:rsid w:val="00197CF8"/>
    <w:rsid w:val="001A3856"/>
    <w:rsid w:val="001B3A98"/>
    <w:rsid w:val="001B3B4C"/>
    <w:rsid w:val="001B3D6A"/>
    <w:rsid w:val="001B461C"/>
    <w:rsid w:val="001B704D"/>
    <w:rsid w:val="001D061F"/>
    <w:rsid w:val="001D0846"/>
    <w:rsid w:val="001D29C1"/>
    <w:rsid w:val="001D7F3A"/>
    <w:rsid w:val="001E0A36"/>
    <w:rsid w:val="001E0D67"/>
    <w:rsid w:val="001E59C4"/>
    <w:rsid w:val="001E6A8F"/>
    <w:rsid w:val="00206BB9"/>
    <w:rsid w:val="00211E94"/>
    <w:rsid w:val="0021323D"/>
    <w:rsid w:val="00216B27"/>
    <w:rsid w:val="0021791D"/>
    <w:rsid w:val="00222C6E"/>
    <w:rsid w:val="00230C10"/>
    <w:rsid w:val="00232F10"/>
    <w:rsid w:val="00233F1A"/>
    <w:rsid w:val="002354C2"/>
    <w:rsid w:val="00235C52"/>
    <w:rsid w:val="0023702A"/>
    <w:rsid w:val="002449A4"/>
    <w:rsid w:val="00246196"/>
    <w:rsid w:val="00252BBF"/>
    <w:rsid w:val="00264B5E"/>
    <w:rsid w:val="00265727"/>
    <w:rsid w:val="00274B14"/>
    <w:rsid w:val="002903BA"/>
    <w:rsid w:val="00290E4E"/>
    <w:rsid w:val="002923D5"/>
    <w:rsid w:val="00292A6D"/>
    <w:rsid w:val="00295A8E"/>
    <w:rsid w:val="002965B1"/>
    <w:rsid w:val="002A027E"/>
    <w:rsid w:val="002A03E7"/>
    <w:rsid w:val="002A783B"/>
    <w:rsid w:val="002C03C0"/>
    <w:rsid w:val="002C1236"/>
    <w:rsid w:val="002C1E1B"/>
    <w:rsid w:val="002D6631"/>
    <w:rsid w:val="002D694C"/>
    <w:rsid w:val="002F21F5"/>
    <w:rsid w:val="002F3A6A"/>
    <w:rsid w:val="002F65B2"/>
    <w:rsid w:val="00303259"/>
    <w:rsid w:val="0030387C"/>
    <w:rsid w:val="00306A56"/>
    <w:rsid w:val="00306BCA"/>
    <w:rsid w:val="003108B2"/>
    <w:rsid w:val="0032242F"/>
    <w:rsid w:val="003227DD"/>
    <w:rsid w:val="00327C4D"/>
    <w:rsid w:val="003315D7"/>
    <w:rsid w:val="00332955"/>
    <w:rsid w:val="00341FBF"/>
    <w:rsid w:val="00343F6F"/>
    <w:rsid w:val="00344586"/>
    <w:rsid w:val="003536F7"/>
    <w:rsid w:val="00353A69"/>
    <w:rsid w:val="00353EBF"/>
    <w:rsid w:val="003575EF"/>
    <w:rsid w:val="00357C23"/>
    <w:rsid w:val="00362066"/>
    <w:rsid w:val="00363489"/>
    <w:rsid w:val="0037434A"/>
    <w:rsid w:val="003816EA"/>
    <w:rsid w:val="00381736"/>
    <w:rsid w:val="003872A8"/>
    <w:rsid w:val="003A1CEC"/>
    <w:rsid w:val="003C0D0F"/>
    <w:rsid w:val="003C29FC"/>
    <w:rsid w:val="003C4C08"/>
    <w:rsid w:val="003C5770"/>
    <w:rsid w:val="003D2034"/>
    <w:rsid w:val="003D5435"/>
    <w:rsid w:val="003F1CF4"/>
    <w:rsid w:val="003F62F1"/>
    <w:rsid w:val="0040062A"/>
    <w:rsid w:val="00401597"/>
    <w:rsid w:val="004041C7"/>
    <w:rsid w:val="004118B3"/>
    <w:rsid w:val="00413D08"/>
    <w:rsid w:val="00424B2E"/>
    <w:rsid w:val="00426B9A"/>
    <w:rsid w:val="0043194D"/>
    <w:rsid w:val="00432798"/>
    <w:rsid w:val="004411D8"/>
    <w:rsid w:val="00443150"/>
    <w:rsid w:val="00444134"/>
    <w:rsid w:val="004516E0"/>
    <w:rsid w:val="00457D26"/>
    <w:rsid w:val="00461828"/>
    <w:rsid w:val="004641A7"/>
    <w:rsid w:val="00465767"/>
    <w:rsid w:val="00466549"/>
    <w:rsid w:val="0046667F"/>
    <w:rsid w:val="00467643"/>
    <w:rsid w:val="004740DD"/>
    <w:rsid w:val="004762DD"/>
    <w:rsid w:val="004801C0"/>
    <w:rsid w:val="00480980"/>
    <w:rsid w:val="00481A4E"/>
    <w:rsid w:val="00481D98"/>
    <w:rsid w:val="00487FE4"/>
    <w:rsid w:val="004A0B2C"/>
    <w:rsid w:val="004A4242"/>
    <w:rsid w:val="004B2F7F"/>
    <w:rsid w:val="004B3279"/>
    <w:rsid w:val="004C24E5"/>
    <w:rsid w:val="004C403F"/>
    <w:rsid w:val="004D0049"/>
    <w:rsid w:val="004D1245"/>
    <w:rsid w:val="004D1D85"/>
    <w:rsid w:val="004D38A2"/>
    <w:rsid w:val="004D49FE"/>
    <w:rsid w:val="004D7545"/>
    <w:rsid w:val="004E2304"/>
    <w:rsid w:val="004E2CA9"/>
    <w:rsid w:val="004E594D"/>
    <w:rsid w:val="004E5C65"/>
    <w:rsid w:val="004E6FA1"/>
    <w:rsid w:val="004F6FEF"/>
    <w:rsid w:val="00511714"/>
    <w:rsid w:val="00513FF9"/>
    <w:rsid w:val="00515159"/>
    <w:rsid w:val="00521152"/>
    <w:rsid w:val="005220C7"/>
    <w:rsid w:val="005230F8"/>
    <w:rsid w:val="005258B3"/>
    <w:rsid w:val="0053464B"/>
    <w:rsid w:val="00545268"/>
    <w:rsid w:val="00550F54"/>
    <w:rsid w:val="00576957"/>
    <w:rsid w:val="00585B8E"/>
    <w:rsid w:val="005900D4"/>
    <w:rsid w:val="00592C35"/>
    <w:rsid w:val="00592E1A"/>
    <w:rsid w:val="00595180"/>
    <w:rsid w:val="005953E6"/>
    <w:rsid w:val="00596C83"/>
    <w:rsid w:val="0059734C"/>
    <w:rsid w:val="005A4153"/>
    <w:rsid w:val="005A59D7"/>
    <w:rsid w:val="005B1BD4"/>
    <w:rsid w:val="005D017B"/>
    <w:rsid w:val="005E2754"/>
    <w:rsid w:val="005E5AB3"/>
    <w:rsid w:val="005E65BF"/>
    <w:rsid w:val="005F7B84"/>
    <w:rsid w:val="006072A4"/>
    <w:rsid w:val="00616B35"/>
    <w:rsid w:val="00633110"/>
    <w:rsid w:val="006337A3"/>
    <w:rsid w:val="00634CC1"/>
    <w:rsid w:val="00647210"/>
    <w:rsid w:val="006517F0"/>
    <w:rsid w:val="00656337"/>
    <w:rsid w:val="0066074C"/>
    <w:rsid w:val="00661961"/>
    <w:rsid w:val="00665E07"/>
    <w:rsid w:val="0066646F"/>
    <w:rsid w:val="00671161"/>
    <w:rsid w:val="00683279"/>
    <w:rsid w:val="00685065"/>
    <w:rsid w:val="00685156"/>
    <w:rsid w:val="00687044"/>
    <w:rsid w:val="00691899"/>
    <w:rsid w:val="006927FF"/>
    <w:rsid w:val="006A1920"/>
    <w:rsid w:val="006A3040"/>
    <w:rsid w:val="006A6D2E"/>
    <w:rsid w:val="006A721C"/>
    <w:rsid w:val="006A7D3F"/>
    <w:rsid w:val="006B11FA"/>
    <w:rsid w:val="006B1B6F"/>
    <w:rsid w:val="006B7E81"/>
    <w:rsid w:val="006C13E7"/>
    <w:rsid w:val="006C718E"/>
    <w:rsid w:val="006D1721"/>
    <w:rsid w:val="006D49BC"/>
    <w:rsid w:val="007018A3"/>
    <w:rsid w:val="00702718"/>
    <w:rsid w:val="00704573"/>
    <w:rsid w:val="0071149B"/>
    <w:rsid w:val="00712C82"/>
    <w:rsid w:val="00721EAD"/>
    <w:rsid w:val="00722540"/>
    <w:rsid w:val="0072314C"/>
    <w:rsid w:val="007332ED"/>
    <w:rsid w:val="00745B84"/>
    <w:rsid w:val="00757CF3"/>
    <w:rsid w:val="0076381C"/>
    <w:rsid w:val="00763FFD"/>
    <w:rsid w:val="00766FF5"/>
    <w:rsid w:val="00770B31"/>
    <w:rsid w:val="00771669"/>
    <w:rsid w:val="00780DC2"/>
    <w:rsid w:val="00790F87"/>
    <w:rsid w:val="00791418"/>
    <w:rsid w:val="0079728E"/>
    <w:rsid w:val="007C5166"/>
    <w:rsid w:val="007C5445"/>
    <w:rsid w:val="007C76D3"/>
    <w:rsid w:val="007D3457"/>
    <w:rsid w:val="007D43DA"/>
    <w:rsid w:val="007D522F"/>
    <w:rsid w:val="007D53CA"/>
    <w:rsid w:val="007E0167"/>
    <w:rsid w:val="007E1724"/>
    <w:rsid w:val="007F0D77"/>
    <w:rsid w:val="007F1257"/>
    <w:rsid w:val="007F312B"/>
    <w:rsid w:val="007F6492"/>
    <w:rsid w:val="008009CE"/>
    <w:rsid w:val="00801B1F"/>
    <w:rsid w:val="0080262B"/>
    <w:rsid w:val="008174B8"/>
    <w:rsid w:val="00817BB4"/>
    <w:rsid w:val="00825786"/>
    <w:rsid w:val="00827BFC"/>
    <w:rsid w:val="0083220B"/>
    <w:rsid w:val="00845374"/>
    <w:rsid w:val="008519C9"/>
    <w:rsid w:val="008519E9"/>
    <w:rsid w:val="008519FF"/>
    <w:rsid w:val="008531C0"/>
    <w:rsid w:val="008579B4"/>
    <w:rsid w:val="00865EA9"/>
    <w:rsid w:val="008662C1"/>
    <w:rsid w:val="00870A3F"/>
    <w:rsid w:val="008714F6"/>
    <w:rsid w:val="008728F0"/>
    <w:rsid w:val="00877949"/>
    <w:rsid w:val="00890C17"/>
    <w:rsid w:val="00892737"/>
    <w:rsid w:val="00895DD6"/>
    <w:rsid w:val="008A1F79"/>
    <w:rsid w:val="008A226C"/>
    <w:rsid w:val="008A37B5"/>
    <w:rsid w:val="008A403B"/>
    <w:rsid w:val="008A7873"/>
    <w:rsid w:val="008A7880"/>
    <w:rsid w:val="008A7E65"/>
    <w:rsid w:val="008B0839"/>
    <w:rsid w:val="008B0F13"/>
    <w:rsid w:val="008B1B19"/>
    <w:rsid w:val="008B68E7"/>
    <w:rsid w:val="008C2F65"/>
    <w:rsid w:val="008C3BB8"/>
    <w:rsid w:val="008C3C87"/>
    <w:rsid w:val="008D25CF"/>
    <w:rsid w:val="008E290E"/>
    <w:rsid w:val="00900C4B"/>
    <w:rsid w:val="00901F0F"/>
    <w:rsid w:val="009026A6"/>
    <w:rsid w:val="00907E14"/>
    <w:rsid w:val="0091100D"/>
    <w:rsid w:val="00927B1F"/>
    <w:rsid w:val="00932252"/>
    <w:rsid w:val="00947AD0"/>
    <w:rsid w:val="009526F7"/>
    <w:rsid w:val="0095495A"/>
    <w:rsid w:val="0095740E"/>
    <w:rsid w:val="00957C07"/>
    <w:rsid w:val="00965509"/>
    <w:rsid w:val="0099135A"/>
    <w:rsid w:val="009952A4"/>
    <w:rsid w:val="009A030D"/>
    <w:rsid w:val="009A3182"/>
    <w:rsid w:val="009A50C8"/>
    <w:rsid w:val="009A649F"/>
    <w:rsid w:val="009B2A87"/>
    <w:rsid w:val="009B4F3B"/>
    <w:rsid w:val="009B7902"/>
    <w:rsid w:val="009C210D"/>
    <w:rsid w:val="009C29CC"/>
    <w:rsid w:val="009D0CE8"/>
    <w:rsid w:val="009D13AB"/>
    <w:rsid w:val="009D7B89"/>
    <w:rsid w:val="009E41A8"/>
    <w:rsid w:val="009F4957"/>
    <w:rsid w:val="009F5AAB"/>
    <w:rsid w:val="00A01D6E"/>
    <w:rsid w:val="00A10AA9"/>
    <w:rsid w:val="00A11030"/>
    <w:rsid w:val="00A17774"/>
    <w:rsid w:val="00A2698E"/>
    <w:rsid w:val="00A26BB2"/>
    <w:rsid w:val="00A35A09"/>
    <w:rsid w:val="00A4001E"/>
    <w:rsid w:val="00A53208"/>
    <w:rsid w:val="00A63A07"/>
    <w:rsid w:val="00A6764A"/>
    <w:rsid w:val="00A735CF"/>
    <w:rsid w:val="00A7750B"/>
    <w:rsid w:val="00AA06BE"/>
    <w:rsid w:val="00AA6ACC"/>
    <w:rsid w:val="00AB154C"/>
    <w:rsid w:val="00AB1822"/>
    <w:rsid w:val="00AC6062"/>
    <w:rsid w:val="00AC7A86"/>
    <w:rsid w:val="00AD7043"/>
    <w:rsid w:val="00AE166C"/>
    <w:rsid w:val="00AF7C26"/>
    <w:rsid w:val="00B057A4"/>
    <w:rsid w:val="00B12A73"/>
    <w:rsid w:val="00B35181"/>
    <w:rsid w:val="00B36FC8"/>
    <w:rsid w:val="00B45010"/>
    <w:rsid w:val="00B4776F"/>
    <w:rsid w:val="00B530BA"/>
    <w:rsid w:val="00B5457A"/>
    <w:rsid w:val="00B54BE6"/>
    <w:rsid w:val="00B578F2"/>
    <w:rsid w:val="00B71F91"/>
    <w:rsid w:val="00B75BF3"/>
    <w:rsid w:val="00B76033"/>
    <w:rsid w:val="00B772ED"/>
    <w:rsid w:val="00B80474"/>
    <w:rsid w:val="00B818B4"/>
    <w:rsid w:val="00B92A48"/>
    <w:rsid w:val="00BB6C40"/>
    <w:rsid w:val="00BB7E09"/>
    <w:rsid w:val="00BC50D3"/>
    <w:rsid w:val="00BC6633"/>
    <w:rsid w:val="00BD0784"/>
    <w:rsid w:val="00BD1D28"/>
    <w:rsid w:val="00BD6178"/>
    <w:rsid w:val="00BE7DC3"/>
    <w:rsid w:val="00C02D53"/>
    <w:rsid w:val="00C02DDF"/>
    <w:rsid w:val="00C02F9A"/>
    <w:rsid w:val="00C03CAA"/>
    <w:rsid w:val="00C107A8"/>
    <w:rsid w:val="00C12648"/>
    <w:rsid w:val="00C13173"/>
    <w:rsid w:val="00C15308"/>
    <w:rsid w:val="00C2042F"/>
    <w:rsid w:val="00C33D8D"/>
    <w:rsid w:val="00C403E0"/>
    <w:rsid w:val="00C40760"/>
    <w:rsid w:val="00C52EC4"/>
    <w:rsid w:val="00C60EBF"/>
    <w:rsid w:val="00C62A28"/>
    <w:rsid w:val="00C700DC"/>
    <w:rsid w:val="00C71682"/>
    <w:rsid w:val="00C77021"/>
    <w:rsid w:val="00C8771C"/>
    <w:rsid w:val="00C94B61"/>
    <w:rsid w:val="00CA167C"/>
    <w:rsid w:val="00CB02DE"/>
    <w:rsid w:val="00CB099B"/>
    <w:rsid w:val="00CB23F5"/>
    <w:rsid w:val="00CB7C57"/>
    <w:rsid w:val="00CC1668"/>
    <w:rsid w:val="00CC2B03"/>
    <w:rsid w:val="00CC4616"/>
    <w:rsid w:val="00CC5EEC"/>
    <w:rsid w:val="00CC7AAA"/>
    <w:rsid w:val="00CD19DE"/>
    <w:rsid w:val="00CD260F"/>
    <w:rsid w:val="00CD624F"/>
    <w:rsid w:val="00CF14DB"/>
    <w:rsid w:val="00CF2F96"/>
    <w:rsid w:val="00CF56CE"/>
    <w:rsid w:val="00CF5E36"/>
    <w:rsid w:val="00D07325"/>
    <w:rsid w:val="00D1292B"/>
    <w:rsid w:val="00D13342"/>
    <w:rsid w:val="00D13E7A"/>
    <w:rsid w:val="00D21205"/>
    <w:rsid w:val="00D26781"/>
    <w:rsid w:val="00D3023D"/>
    <w:rsid w:val="00D32B6E"/>
    <w:rsid w:val="00D34ADE"/>
    <w:rsid w:val="00D44CAE"/>
    <w:rsid w:val="00D45EB6"/>
    <w:rsid w:val="00D5007C"/>
    <w:rsid w:val="00D50262"/>
    <w:rsid w:val="00D51D2E"/>
    <w:rsid w:val="00D51FAA"/>
    <w:rsid w:val="00D52587"/>
    <w:rsid w:val="00D53B69"/>
    <w:rsid w:val="00D6301C"/>
    <w:rsid w:val="00D700C8"/>
    <w:rsid w:val="00D708FA"/>
    <w:rsid w:val="00D93F61"/>
    <w:rsid w:val="00DA0595"/>
    <w:rsid w:val="00DA3F0A"/>
    <w:rsid w:val="00DA54EC"/>
    <w:rsid w:val="00DA6024"/>
    <w:rsid w:val="00DB608B"/>
    <w:rsid w:val="00DC3C96"/>
    <w:rsid w:val="00DD225B"/>
    <w:rsid w:val="00DE5343"/>
    <w:rsid w:val="00DF60C8"/>
    <w:rsid w:val="00DF79EE"/>
    <w:rsid w:val="00E03446"/>
    <w:rsid w:val="00E035AF"/>
    <w:rsid w:val="00E07E75"/>
    <w:rsid w:val="00E100FE"/>
    <w:rsid w:val="00E1206A"/>
    <w:rsid w:val="00E13AE1"/>
    <w:rsid w:val="00E15264"/>
    <w:rsid w:val="00E34E5E"/>
    <w:rsid w:val="00E363E8"/>
    <w:rsid w:val="00E44DFB"/>
    <w:rsid w:val="00E467E1"/>
    <w:rsid w:val="00E475B4"/>
    <w:rsid w:val="00E50E59"/>
    <w:rsid w:val="00E5168F"/>
    <w:rsid w:val="00E62203"/>
    <w:rsid w:val="00E71426"/>
    <w:rsid w:val="00E83793"/>
    <w:rsid w:val="00E84101"/>
    <w:rsid w:val="00EA38D3"/>
    <w:rsid w:val="00EA636B"/>
    <w:rsid w:val="00EB31D3"/>
    <w:rsid w:val="00EB4E21"/>
    <w:rsid w:val="00EC1229"/>
    <w:rsid w:val="00EC28B8"/>
    <w:rsid w:val="00EE0299"/>
    <w:rsid w:val="00EE32FE"/>
    <w:rsid w:val="00EE6505"/>
    <w:rsid w:val="00EF025A"/>
    <w:rsid w:val="00EF161B"/>
    <w:rsid w:val="00F119EF"/>
    <w:rsid w:val="00F12B1C"/>
    <w:rsid w:val="00F17335"/>
    <w:rsid w:val="00F24563"/>
    <w:rsid w:val="00F40F77"/>
    <w:rsid w:val="00F46B16"/>
    <w:rsid w:val="00F631B5"/>
    <w:rsid w:val="00F63247"/>
    <w:rsid w:val="00F65F39"/>
    <w:rsid w:val="00F67DDD"/>
    <w:rsid w:val="00F74B5D"/>
    <w:rsid w:val="00F76B6A"/>
    <w:rsid w:val="00F83FB0"/>
    <w:rsid w:val="00F86FDA"/>
    <w:rsid w:val="00F926B6"/>
    <w:rsid w:val="00F959D5"/>
    <w:rsid w:val="00FA6592"/>
    <w:rsid w:val="00FB22C4"/>
    <w:rsid w:val="00FB5055"/>
    <w:rsid w:val="00FC00A2"/>
    <w:rsid w:val="00FC3A7F"/>
    <w:rsid w:val="00FC77FE"/>
    <w:rsid w:val="00FE1271"/>
    <w:rsid w:val="00FE146C"/>
    <w:rsid w:val="00FF1544"/>
    <w:rsid w:val="00FF28D3"/>
    <w:rsid w:val="00FF4863"/>
    <w:rsid w:val="00FF795D"/>
    <w:rsid w:val="03533D87"/>
    <w:rsid w:val="2CFFB0D6"/>
    <w:rsid w:val="43B5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2E4187"/>
  <w14:defaultImageDpi w14:val="32767"/>
  <w15:chartTrackingRefBased/>
  <w15:docId w15:val="{86510E8A-2708-44B5-B564-A06597F5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101"/>
    <w:pPr>
      <w:spacing w:before="120" w:after="12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45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aps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65509"/>
    <w:pPr>
      <w:spacing w:before="0"/>
      <w:outlineLvl w:val="1"/>
    </w:pPr>
    <w:rPr>
      <w:b w:val="0"/>
      <w:caps w:val="0"/>
      <w:sz w:val="9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75EF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75EF"/>
    <w:pPr>
      <w:keepNext/>
      <w:keepLines/>
      <w:outlineLvl w:val="3"/>
    </w:pPr>
    <w:rPr>
      <w:rFonts w:asciiTheme="majorHAnsi" w:eastAsiaTheme="majorEastAsia" w:hAnsiTheme="majorHAnsi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-Heading1">
    <w:name w:val="H1 - Heading 1"/>
    <w:basedOn w:val="Heading1"/>
    <w:qFormat/>
    <w:rsid w:val="00F959D5"/>
    <w:pPr>
      <w:spacing w:before="480"/>
      <w:jc w:val="center"/>
    </w:pPr>
    <w:rPr>
      <w:rFonts w:asciiTheme="minorHAnsi" w:hAnsiTheme="minorHAnsi" w:cstheme="minorHAnsi"/>
      <w:b w:val="0"/>
      <w:bCs/>
      <w:caps w:val="0"/>
      <w:color w:val="313E48"/>
      <w:sz w:val="40"/>
      <w:szCs w:val="40"/>
    </w:rPr>
  </w:style>
  <w:style w:type="paragraph" w:customStyle="1" w:styleId="BodyCopy">
    <w:name w:val="Body Copy"/>
    <w:next w:val="Normal"/>
    <w:qFormat/>
    <w:rsid w:val="003575EF"/>
    <w:pPr>
      <w:spacing w:before="40" w:after="120"/>
    </w:pPr>
    <w:rPr>
      <w:rFonts w:ascii="Calibri Light" w:hAnsi="Calibri Light" w:cs="Calibri Light"/>
      <w:sz w:val="22"/>
      <w:szCs w:val="21"/>
      <w:lang w:eastAsia="en-US"/>
    </w:rPr>
  </w:style>
  <w:style w:type="paragraph" w:customStyle="1" w:styleId="H2-Heading2">
    <w:name w:val="H2 - Heading 2"/>
    <w:basedOn w:val="Heading2"/>
    <w:next w:val="BodyCopy"/>
    <w:qFormat/>
    <w:rsid w:val="00AF7C26"/>
    <w:pPr>
      <w:spacing w:before="240"/>
    </w:pPr>
    <w:rPr>
      <w:rFonts w:cstheme="majorHAnsi"/>
      <w:b/>
      <w:bCs/>
      <w:caps/>
      <w:color w:val="313E48"/>
      <w:sz w:val="32"/>
    </w:rPr>
  </w:style>
  <w:style w:type="paragraph" w:customStyle="1" w:styleId="H4-Heading4">
    <w:name w:val="H4 - Heading 4"/>
    <w:basedOn w:val="Heading4"/>
    <w:next w:val="BodyCopy"/>
    <w:qFormat/>
    <w:rsid w:val="004D1D85"/>
    <w:pPr>
      <w:spacing w:before="160"/>
    </w:pPr>
    <w:rPr>
      <w:rFonts w:asciiTheme="minorHAnsi" w:hAnsiTheme="minorHAnsi" w:cstheme="minorHAnsi"/>
      <w:b w:val="0"/>
      <w:bCs/>
      <w:i w:val="0"/>
      <w:iCs w:val="0"/>
      <w:color w:val="313E48"/>
      <w:sz w:val="24"/>
      <w:szCs w:val="24"/>
    </w:rPr>
  </w:style>
  <w:style w:type="paragraph" w:customStyle="1" w:styleId="H3-Heading3">
    <w:name w:val="H3 - Heading 3"/>
    <w:basedOn w:val="Heading3"/>
    <w:qFormat/>
    <w:rsid w:val="00771669"/>
    <w:pPr>
      <w:spacing w:before="120" w:after="120"/>
    </w:pPr>
    <w:rPr>
      <w:rFonts w:asciiTheme="minorHAnsi" w:hAnsiTheme="minorHAnsi" w:cstheme="minorHAnsi"/>
      <w:b w:val="0"/>
      <w:bCs/>
      <w:sz w:val="28"/>
      <w:szCs w:val="28"/>
    </w:rPr>
  </w:style>
  <w:style w:type="paragraph" w:customStyle="1" w:styleId="BodycopyNumberedBullets">
    <w:name w:val="Body copy Numbered Bullets"/>
    <w:basedOn w:val="BodyCopy"/>
    <w:qFormat/>
    <w:rsid w:val="00D32B6E"/>
    <w:pPr>
      <w:numPr>
        <w:numId w:val="1"/>
      </w:numPr>
      <w:ind w:left="641" w:hanging="357"/>
    </w:pPr>
  </w:style>
  <w:style w:type="paragraph" w:customStyle="1" w:styleId="BodyCopyPrebulletsandnumberedbullets">
    <w:name w:val="Body Copy Pre bullets and numbered bullets"/>
    <w:basedOn w:val="BodyCopy"/>
    <w:qFormat/>
    <w:rsid w:val="00845374"/>
    <w:pPr>
      <w:spacing w:before="160"/>
    </w:pPr>
  </w:style>
  <w:style w:type="paragraph" w:customStyle="1" w:styleId="BodyCopyBullets">
    <w:name w:val="Body Copy Bullets"/>
    <w:basedOn w:val="BodyCopy"/>
    <w:qFormat/>
    <w:rsid w:val="00D32B6E"/>
    <w:pPr>
      <w:numPr>
        <w:numId w:val="4"/>
      </w:numPr>
    </w:pPr>
  </w:style>
  <w:style w:type="table" w:styleId="TableGrid">
    <w:name w:val="Table Grid"/>
    <w:basedOn w:val="TableNormal"/>
    <w:uiPriority w:val="39"/>
    <w:rsid w:val="00797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er"/>
    <w:qFormat/>
    <w:rsid w:val="00771669"/>
    <w:pPr>
      <w:spacing w:before="0"/>
    </w:pPr>
    <w:rPr>
      <w:rFonts w:asciiTheme="minorHAnsi" w:hAnsiTheme="minorHAnsi" w:cstheme="minorHAnsi"/>
      <w:b/>
      <w:bCs/>
      <w:sz w:val="20"/>
    </w:rPr>
  </w:style>
  <w:style w:type="paragraph" w:customStyle="1" w:styleId="TableBodyCopy">
    <w:name w:val="Table Body Copy"/>
    <w:basedOn w:val="Normal"/>
    <w:next w:val="Normal"/>
    <w:qFormat/>
    <w:rsid w:val="009D13AB"/>
    <w:pPr>
      <w:spacing w:before="0" w:after="0"/>
    </w:pPr>
    <w:rPr>
      <w:sz w:val="20"/>
    </w:rPr>
  </w:style>
  <w:style w:type="paragraph" w:customStyle="1" w:styleId="PostBulletsBodyCopy">
    <w:name w:val="Post Bullets Body Copy"/>
    <w:basedOn w:val="BodyCopy"/>
    <w:qFormat/>
    <w:rsid w:val="00F63247"/>
    <w:pPr>
      <w:spacing w:before="160" w:after="160"/>
    </w:pPr>
  </w:style>
  <w:style w:type="paragraph" w:styleId="Header">
    <w:name w:val="header"/>
    <w:basedOn w:val="Normal"/>
    <w:link w:val="HeaderChar"/>
    <w:uiPriority w:val="99"/>
    <w:unhideWhenUsed/>
    <w:rsid w:val="001D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9C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D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9C1"/>
    <w:rPr>
      <w:sz w:val="22"/>
      <w:szCs w:val="22"/>
      <w:lang w:eastAsia="en-US"/>
    </w:rPr>
  </w:style>
  <w:style w:type="character" w:customStyle="1" w:styleId="Green">
    <w:name w:val="Green"/>
    <w:basedOn w:val="DefaultParagraphFont"/>
    <w:uiPriority w:val="1"/>
    <w:qFormat/>
    <w:rsid w:val="00E363E8"/>
    <w:rPr>
      <w:color w:val="47763B" w:themeColor="accent2"/>
    </w:rPr>
  </w:style>
  <w:style w:type="character" w:styleId="Emphasis">
    <w:name w:val="Emphasis"/>
    <w:basedOn w:val="IntenseEmphasis"/>
    <w:uiPriority w:val="20"/>
    <w:qFormat/>
    <w:rsid w:val="00AF7C26"/>
    <w:rPr>
      <w:rFonts w:asciiTheme="minorHAnsi" w:hAnsiTheme="minorHAnsi" w:cstheme="minorHAnsi"/>
      <w:b/>
      <w:bCs/>
      <w:i w:val="0"/>
      <w:iCs/>
      <w:color w:val="313E48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04573"/>
    <w:rPr>
      <w:rFonts w:asciiTheme="majorHAnsi" w:eastAsiaTheme="majorEastAsia" w:hAnsiTheme="majorHAnsi" w:cstheme="majorBidi"/>
      <w:b/>
      <w:caps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65509"/>
    <w:rPr>
      <w:rFonts w:asciiTheme="majorHAnsi" w:eastAsiaTheme="majorEastAsia" w:hAnsiTheme="majorHAnsi" w:cstheme="majorBidi"/>
      <w:sz w:val="96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575EF"/>
    <w:rPr>
      <w:rFonts w:asciiTheme="majorHAnsi" w:eastAsiaTheme="majorEastAsia" w:hAnsiTheme="majorHAnsi" w:cstheme="majorBidi"/>
      <w:b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575EF"/>
    <w:rPr>
      <w:rFonts w:asciiTheme="majorHAnsi" w:eastAsiaTheme="majorEastAsia" w:hAnsiTheme="majorHAnsi" w:cstheme="majorBidi"/>
      <w:b/>
      <w:i/>
      <w:iCs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AF7C26"/>
    <w:rPr>
      <w:i/>
      <w:iCs/>
      <w:color w:val="00837C" w:themeColor="accent1"/>
    </w:rPr>
  </w:style>
  <w:style w:type="table" w:styleId="ListTable4-Accent4">
    <w:name w:val="List Table 4 Accent 4"/>
    <w:basedOn w:val="TableNormal"/>
    <w:uiPriority w:val="49"/>
    <w:rsid w:val="004516E0"/>
    <w:tblPr>
      <w:tblStyleRowBandSize w:val="1"/>
      <w:tblStyleColBandSize w:val="1"/>
      <w:tblBorders>
        <w:top w:val="single" w:sz="4" w:space="0" w:color="F3CC79" w:themeColor="accent4" w:themeTint="99"/>
        <w:left w:val="single" w:sz="4" w:space="0" w:color="F3CC79" w:themeColor="accent4" w:themeTint="99"/>
        <w:bottom w:val="single" w:sz="4" w:space="0" w:color="F3CC79" w:themeColor="accent4" w:themeTint="99"/>
        <w:right w:val="single" w:sz="4" w:space="0" w:color="F3CC79" w:themeColor="accent4" w:themeTint="99"/>
        <w:insideH w:val="single" w:sz="4" w:space="0" w:color="F3CC7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AB21" w:themeColor="accent4"/>
          <w:left w:val="single" w:sz="4" w:space="0" w:color="EBAB21" w:themeColor="accent4"/>
          <w:bottom w:val="single" w:sz="4" w:space="0" w:color="EBAB21" w:themeColor="accent4"/>
          <w:right w:val="single" w:sz="4" w:space="0" w:color="EBAB21" w:themeColor="accent4"/>
          <w:insideH w:val="nil"/>
        </w:tcBorders>
        <w:shd w:val="clear" w:color="auto" w:fill="EBAB21" w:themeFill="accent4"/>
      </w:tcPr>
    </w:tblStylePr>
    <w:tblStylePr w:type="lastRow">
      <w:rPr>
        <w:b/>
        <w:bCs/>
      </w:rPr>
      <w:tblPr/>
      <w:tcPr>
        <w:tcBorders>
          <w:top w:val="double" w:sz="4" w:space="0" w:color="F3CC7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4" w:themeFillTint="33"/>
      </w:tcPr>
    </w:tblStylePr>
    <w:tblStylePr w:type="band1Horz">
      <w:tblPr/>
      <w:tcPr>
        <w:shd w:val="clear" w:color="auto" w:fill="FBEED2" w:themeFill="accent4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45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5E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E1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E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E13"/>
    <w:rPr>
      <w:b/>
      <w:bCs/>
      <w:lang w:eastAsia="en-US"/>
    </w:rPr>
  </w:style>
  <w:style w:type="character" w:styleId="Mention">
    <w:name w:val="Mention"/>
    <w:basedOn w:val="DefaultParagraphFont"/>
    <w:uiPriority w:val="99"/>
    <w:unhideWhenUsed/>
    <w:rsid w:val="00045E13"/>
    <w:rPr>
      <w:color w:val="2B579A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3575EF"/>
    <w:pPr>
      <w:numPr>
        <w:numId w:val="13"/>
      </w:numPr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E84101"/>
    <w:pPr>
      <w:spacing w:before="0" w:after="200" w:line="240" w:lineRule="auto"/>
    </w:pPr>
    <w:rPr>
      <w:i/>
      <w:iCs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E84101"/>
    <w:pPr>
      <w:spacing w:before="0" w:after="0" w:line="240" w:lineRule="auto"/>
      <w:ind w:left="660" w:hanging="220"/>
    </w:pPr>
  </w:style>
  <w:style w:type="paragraph" w:customStyle="1" w:styleId="Overview">
    <w:name w:val="Overview"/>
    <w:basedOn w:val="Normal"/>
    <w:qFormat/>
    <w:rsid w:val="00F24563"/>
    <w:pPr>
      <w:pBdr>
        <w:top w:val="single" w:sz="4" w:space="1" w:color="auto"/>
        <w:bottom w:val="single" w:sz="4" w:space="1" w:color="auto"/>
      </w:pBdr>
      <w:shd w:val="clear" w:color="auto" w:fill="D6E8D2" w:themeFill="accent2" w:themeFillTint="33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13E7A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100CEB"/>
    <w:rPr>
      <w:color w:val="034A9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0CE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44586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35A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yperlink" Target="https://www.dfat.gov.au/publications/development/australia-indonesia-development-partnership-plan-2024-2028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g"/><Relationship Id="rId1" Type="http://schemas.openxmlformats.org/officeDocument/2006/relationships/image" Target="media/image15.jpg"/></Relationships>
</file>

<file path=word/theme/theme1.xml><?xml version="1.0" encoding="utf-8"?>
<a:theme xmlns:a="http://schemas.openxmlformats.org/drawingml/2006/main" name="Office Theme">
  <a:themeElements>
    <a:clrScheme name="DFAT Colour palette">
      <a:dk1>
        <a:srgbClr val="313E48"/>
      </a:dk1>
      <a:lt1>
        <a:sysClr val="window" lastClr="FFFFFF"/>
      </a:lt1>
      <a:dk2>
        <a:srgbClr val="3A586E"/>
      </a:dk2>
      <a:lt2>
        <a:srgbClr val="CFD3D3"/>
      </a:lt2>
      <a:accent1>
        <a:srgbClr val="00837C"/>
      </a:accent1>
      <a:accent2>
        <a:srgbClr val="47763B"/>
      </a:accent2>
      <a:accent3>
        <a:srgbClr val="AA5739"/>
      </a:accent3>
      <a:accent4>
        <a:srgbClr val="EBAB21"/>
      </a:accent4>
      <a:accent5>
        <a:srgbClr val="065157"/>
      </a:accent5>
      <a:accent6>
        <a:srgbClr val="014429"/>
      </a:accent6>
      <a:hlink>
        <a:srgbClr val="034A90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D63B06336DD48B4944551E1A7B4D8" ma:contentTypeVersion="17" ma:contentTypeDescription="Create a new document." ma:contentTypeScope="" ma:versionID="c1a333d4e903e34c23f0605c9024b49d">
  <xsd:schema xmlns:xsd="http://www.w3.org/2001/XMLSchema" xmlns:xs="http://www.w3.org/2001/XMLSchema" xmlns:p="http://schemas.microsoft.com/office/2006/metadata/properties" xmlns:ns2="99303871-8934-4198-a088-14ac5c5d1c31" xmlns:ns3="6f2ae4e0-94e8-4b28-8f95-861d59f7ae70" targetNamespace="http://schemas.microsoft.com/office/2006/metadata/properties" ma:root="true" ma:fieldsID="50b6f57787fb9933e749b1241302e2ad" ns2:_="" ns3:_="">
    <xsd:import namespace="99303871-8934-4198-a088-14ac5c5d1c31"/>
    <xsd:import namespace="6f2ae4e0-94e8-4b28-8f95-861d59f7ae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03871-8934-4198-a088-14ac5c5d1c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ae4e0-94e8-4b28-8f95-861d59f7ae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809fa2-c2da-453f-9c3e-eead0055a1b0}" ma:internalName="TaxCatchAll" ma:showField="CatchAllData" ma:web="6f2ae4e0-94e8-4b28-8f95-861d59f7ae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2ae4e0-94e8-4b28-8f95-861d59f7ae70" xsi:nil="true"/>
    <lcf76f155ced4ddcb4097134ff3c332f xmlns="99303871-8934-4198-a088-14ac5c5d1c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0618DC-A08C-4C5C-9A07-FABF52023C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F957CD-9E45-4FF4-B903-9A144DDB6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303871-8934-4198-a088-14ac5c5d1c31"/>
    <ds:schemaRef ds:uri="6f2ae4e0-94e8-4b28-8f95-861d59f7a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FC48A1-C301-40FF-930E-9B84B9EA17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E9F171-59A6-4022-A46D-27C25069926A}">
  <ds:schemaRefs>
    <ds:schemaRef ds:uri="http://schemas.microsoft.com/office/2006/documentManagement/types"/>
    <ds:schemaRef ds:uri="http://schemas.microsoft.com/office/2006/metadata/properties"/>
    <ds:schemaRef ds:uri="99303871-8934-4198-a088-14ac5c5d1c31"/>
    <ds:schemaRef ds:uri="6f2ae4e0-94e8-4b28-8f95-861d59f7ae70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398</Words>
  <Characters>2551</Characters>
  <Application>Microsoft Office Word</Application>
  <DocSecurity>0</DocSecurity>
  <Lines>73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[Country] Development Coorporation Facsheet 2025-26</vt:lpstr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Indonesia Development Coorporation Facsheet 2025-26</dc:title>
  <dc:subject>Development Coorporation Facsheet 2025-26</dc:subject>
  <dc:creator>Department of Foreign Affairs and Trade</dc:creator>
  <cp:keywords>International development; development coorperation; DFAT, Australian Aid; Australian Department of Foreign Affairs and Trade; ODA; Australian Government [SEC=OFFICIAL]</cp:keywords>
  <dc:description/>
  <cp:lastModifiedBy>Linda Roche</cp:lastModifiedBy>
  <cp:revision>31</cp:revision>
  <cp:lastPrinted>2025-05-12T20:23:00Z</cp:lastPrinted>
  <dcterms:created xsi:type="dcterms:W3CDTF">2025-05-12T17:58:00Z</dcterms:created>
  <dcterms:modified xsi:type="dcterms:W3CDTF">2025-05-16T07:21:00Z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_Qualifier">
    <vt:lpwstr/>
  </property>
  <property fmtid="{D5CDD505-2E9C-101B-9397-08002B2CF9AE}" pid="5" name="PM_DisplayValueSecClassificationWithQualifier">
    <vt:lpwstr>OFFICIAL</vt:lpwstr>
  </property>
  <property fmtid="{D5CDD505-2E9C-101B-9397-08002B2CF9AE}" pid="6" name="PM_InsertionValue">
    <vt:lpwstr>OFFICIAL</vt:lpwstr>
  </property>
  <property fmtid="{D5CDD505-2E9C-101B-9397-08002B2CF9AE}" pid="7" name="PM_Originator_Hash_SHA1">
    <vt:lpwstr>4DFB2A45D0ABC223771DA158D4192358D096AA7E</vt:lpwstr>
  </property>
  <property fmtid="{D5CDD505-2E9C-101B-9397-08002B2CF9AE}" pid="8" name="PM_Originating_FileId">
    <vt:lpwstr>A04407B03FB3406E91B16F76B50D491D</vt:lpwstr>
  </property>
  <property fmtid="{D5CDD505-2E9C-101B-9397-08002B2CF9AE}" pid="9" name="PM_ProtectiveMarkingValue_Footer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2023-02-15T22:12:19Z</vt:lpwstr>
  </property>
  <property fmtid="{D5CDD505-2E9C-101B-9397-08002B2CF9AE}" pid="12" name="PM_ProtectiveMarkingImage_Footer">
    <vt:lpwstr>C:\Program Files\Common Files\janusNET Shared\janusSEAL\Images\DocumentSlashBlue.png</vt:lpwstr>
  </property>
  <property fmtid="{D5CDD505-2E9C-101B-9397-08002B2CF9AE}" pid="13" name="PM_Namespace">
    <vt:lpwstr>gov.au</vt:lpwstr>
  </property>
  <property fmtid="{D5CDD505-2E9C-101B-9397-08002B2CF9AE}" pid="14" name="PM_Version">
    <vt:lpwstr>2018.4</vt:lpwstr>
  </property>
  <property fmtid="{D5CDD505-2E9C-101B-9397-08002B2CF9AE}" pid="15" name="PM_Note">
    <vt:lpwstr/>
  </property>
  <property fmtid="{D5CDD505-2E9C-101B-9397-08002B2CF9AE}" pid="16" name="PM_Markers">
    <vt:lpwstr/>
  </property>
  <property fmtid="{D5CDD505-2E9C-101B-9397-08002B2CF9AE}" pid="17" name="PM_Hash_Version">
    <vt:lpwstr>2022.1</vt:lpwstr>
  </property>
  <property fmtid="{D5CDD505-2E9C-101B-9397-08002B2CF9AE}" pid="18" name="PM_SecurityClassification_Prev">
    <vt:lpwstr>OFFICIAL</vt:lpwstr>
  </property>
  <property fmtid="{D5CDD505-2E9C-101B-9397-08002B2CF9AE}" pid="19" name="PM_Qualifier_Prev">
    <vt:lpwstr/>
  </property>
  <property fmtid="{D5CDD505-2E9C-101B-9397-08002B2CF9AE}" pid="20" name="PM_Display">
    <vt:lpwstr>OFFICIAL</vt:lpwstr>
  </property>
  <property fmtid="{D5CDD505-2E9C-101B-9397-08002B2CF9AE}" pid="21" name="PMUuid">
    <vt:lpwstr>v=2022.2;d=gov.au;g=46DD6D7C-8107-577B-BC6E-F348953B2E44</vt:lpwstr>
  </property>
  <property fmtid="{D5CDD505-2E9C-101B-9397-08002B2CF9AE}" pid="22" name="PM_OriginatorUserAccountName_SHA256">
    <vt:lpwstr>2FBBEB0D07DA66FB32ADEBC0EE9E9C465FDB83D3B7358F7A76537B8BF5FB863E</vt:lpwstr>
  </property>
  <property fmtid="{D5CDD505-2E9C-101B-9397-08002B2CF9AE}" pid="23" name="PM_OriginatorDomainName_SHA256">
    <vt:lpwstr>6F3591835F3B2A8A025B00B5BA6418010DA3A17C9C26EA9C049FFD28039489A2</vt:lpwstr>
  </property>
  <property fmtid="{D5CDD505-2E9C-101B-9397-08002B2CF9AE}" pid="24" name="PM_Caveats_Count">
    <vt:lpwstr>0</vt:lpwstr>
  </property>
  <property fmtid="{D5CDD505-2E9C-101B-9397-08002B2CF9AE}" pid="25" name="ContentTypeId">
    <vt:lpwstr>0x010100D6BD63B06336DD48B4944551E1A7B4D8</vt:lpwstr>
  </property>
  <property fmtid="{D5CDD505-2E9C-101B-9397-08002B2CF9AE}" pid="26" name="MediaServiceImageTags">
    <vt:lpwstr/>
  </property>
  <property fmtid="{D5CDD505-2E9C-101B-9397-08002B2CF9AE}" pid="27" name="PMHMAC">
    <vt:lpwstr>v=2022.1;a=SHA256;h=C15208BBB635FE227E7052A3A2248D4382E770B54E060792D8F2506593D9DC26</vt:lpwstr>
  </property>
  <property fmtid="{D5CDD505-2E9C-101B-9397-08002B2CF9AE}" pid="28" name="PM_Hash_Salt_Prev">
    <vt:lpwstr>92EF3AD9517685B904CFD0F8265F74E5</vt:lpwstr>
  </property>
  <property fmtid="{D5CDD505-2E9C-101B-9397-08002B2CF9AE}" pid="29" name="PM_Hash_Salt">
    <vt:lpwstr>B8CA1E5E80CA29B19C5694ABF683A8A3</vt:lpwstr>
  </property>
  <property fmtid="{D5CDD505-2E9C-101B-9397-08002B2CF9AE}" pid="30" name="PM_Hash_SHA1">
    <vt:lpwstr>2783CDF7A57E966159AAAD99B8AE31AFEA5D3A77</vt:lpwstr>
  </property>
</Properties>
</file>