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E4F4" w14:textId="77777777" w:rsidR="00545268" w:rsidRPr="00545268" w:rsidRDefault="004516E0" w:rsidP="00545268">
      <w:pPr>
        <w:pStyle w:val="Heading1"/>
      </w:pPr>
      <w:r w:rsidRPr="00545268">
        <w:t>Development Cooperation Factsheet</w:t>
      </w:r>
    </w:p>
    <w:p w14:paraId="5C1E2F15" w14:textId="43B6528D" w:rsidR="00E84101" w:rsidRPr="00E84101" w:rsidRDefault="005633C2" w:rsidP="0091100D">
      <w:pPr>
        <w:pStyle w:val="Heading2"/>
        <w:rPr>
          <w:rStyle w:val="Heading2Char"/>
          <w:sz w:val="80"/>
          <w:szCs w:val="80"/>
        </w:rPr>
      </w:pPr>
      <w:r>
        <w:rPr>
          <w:rStyle w:val="Heading2Char"/>
          <w:sz w:val="80"/>
          <w:szCs w:val="80"/>
        </w:rPr>
        <w:t>Health</w:t>
      </w:r>
    </w:p>
    <w:p w14:paraId="41A452FD" w14:textId="37173EED" w:rsidR="004516E0" w:rsidRPr="00F959D5" w:rsidRDefault="00123E7B" w:rsidP="00F76B6A">
      <w:pPr>
        <w:spacing w:before="0"/>
      </w:pPr>
      <w:r>
        <w:t>MAY</w:t>
      </w:r>
      <w:r w:rsidR="00E84101">
        <w:t xml:space="preserve"> 2025</w:t>
      </w:r>
    </w:p>
    <w:p w14:paraId="6069383C" w14:textId="1E83AE9B" w:rsidR="00375EA4" w:rsidRPr="00AF7C26" w:rsidRDefault="00375EA4" w:rsidP="00375EA4">
      <w:pPr>
        <w:pStyle w:val="Heading3"/>
      </w:pPr>
      <w:r w:rsidRPr="00C13173">
        <w:t>Overview</w:t>
      </w:r>
    </w:p>
    <w:p w14:paraId="7CD1B7C1" w14:textId="633ABA28" w:rsidR="004516E0" w:rsidRPr="004516E0" w:rsidRDefault="004516E0" w:rsidP="00B35181">
      <w:pPr>
        <w:pStyle w:val="Overview"/>
        <w:rPr>
          <w:caps/>
        </w:rPr>
      </w:pPr>
      <w:r w:rsidRPr="00545268">
        <w:t>Estimated Australian</w:t>
      </w:r>
      <w:r w:rsidR="005633C2">
        <w:t xml:space="preserve"> </w:t>
      </w:r>
      <w:r w:rsidRPr="00545268">
        <w:t>ODA:</w:t>
      </w:r>
      <w:r w:rsidR="00545268" w:rsidRPr="00545268">
        <w:t xml:space="preserve"> </w:t>
      </w:r>
      <w:r w:rsidRPr="00C33D8D">
        <w:rPr>
          <w:b w:val="0"/>
          <w:bCs w:val="0"/>
        </w:rPr>
        <w:t>$</w:t>
      </w:r>
      <w:r w:rsidR="005633C2">
        <w:rPr>
          <w:b w:val="0"/>
          <w:bCs w:val="0"/>
        </w:rPr>
        <w:t>639.4</w:t>
      </w:r>
      <w:r w:rsidRPr="00C33D8D">
        <w:rPr>
          <w:b w:val="0"/>
          <w:bCs w:val="0"/>
        </w:rPr>
        <w:t>m</w:t>
      </w:r>
      <w:r w:rsidR="00BB7E09">
        <w:rPr>
          <w:b w:val="0"/>
          <w:bCs w:val="0"/>
        </w:rPr>
        <w:t xml:space="preserve"> </w:t>
      </w:r>
      <w:r w:rsidR="00BB7E09" w:rsidRPr="00BB7E09">
        <w:rPr>
          <w:b w:val="0"/>
          <w:bCs w:val="0"/>
        </w:rPr>
        <w:t>(20</w:t>
      </w:r>
      <w:r w:rsidR="00D13E7A">
        <w:rPr>
          <w:b w:val="0"/>
          <w:bCs w:val="0"/>
        </w:rPr>
        <w:t>25</w:t>
      </w:r>
      <w:r w:rsidR="00B4776F">
        <w:rPr>
          <w:b w:val="0"/>
          <w:bCs w:val="0"/>
        </w:rPr>
        <w:t>-26</w:t>
      </w:r>
      <w:r w:rsidR="00BB7E09" w:rsidRPr="00BB7E09">
        <w:rPr>
          <w:b w:val="0"/>
          <w:bCs w:val="0"/>
        </w:rPr>
        <w:t>)</w:t>
      </w:r>
    </w:p>
    <w:p w14:paraId="3EDD18B8" w14:textId="0DEF9DB1" w:rsidR="004516E0" w:rsidRPr="00E62203" w:rsidRDefault="00C12648" w:rsidP="007D53CA">
      <w:pPr>
        <w:pStyle w:val="Heading4"/>
        <w:spacing w:before="360"/>
        <w:rPr>
          <w:b w:val="0"/>
          <w:bCs/>
        </w:rPr>
      </w:pPr>
      <w:r w:rsidRPr="00E62203">
        <w:rPr>
          <w:b w:val="0"/>
          <w:bCs/>
        </w:rPr>
        <w:t xml:space="preserve">Table 1: </w:t>
      </w:r>
      <w:r w:rsidR="00B4776F">
        <w:rPr>
          <w:b w:val="0"/>
          <w:bCs/>
        </w:rPr>
        <w:t xml:space="preserve">Australian </w:t>
      </w:r>
      <w:r w:rsidR="005633C2">
        <w:rPr>
          <w:b w:val="0"/>
          <w:bCs/>
        </w:rPr>
        <w:t xml:space="preserve">Health </w:t>
      </w:r>
      <w:r w:rsidR="00B4776F">
        <w:rPr>
          <w:b w:val="0"/>
          <w:bCs/>
        </w:rPr>
        <w:t>ODA</w:t>
      </w:r>
      <w:r w:rsidR="00375EA4">
        <w:rPr>
          <w:b w:val="0"/>
          <w:bCs/>
        </w:rPr>
        <w:t xml:space="preserve"> by region</w:t>
      </w:r>
      <w:r w:rsidR="00B4776F">
        <w:rPr>
          <w:b w:val="0"/>
          <w:bCs/>
        </w:rPr>
        <w:t>, 2023-24 to 2025-26</w:t>
      </w:r>
    </w:p>
    <w:tbl>
      <w:tblPr>
        <w:tblStyle w:val="TableGrid"/>
        <w:tblW w:w="0" w:type="auto"/>
        <w:tblBorders>
          <w:top w:val="single" w:sz="4" w:space="0" w:color="98A0A0" w:themeColor="background2" w:themeShade="BF"/>
          <w:left w:val="single" w:sz="4" w:space="0" w:color="98A0A0" w:themeColor="background2" w:themeShade="BF"/>
          <w:right w:val="single" w:sz="4" w:space="0" w:color="98A0A0" w:themeColor="background2" w:themeShade="BF"/>
          <w:insideH w:val="single" w:sz="4" w:space="0" w:color="98A0A0" w:themeColor="background2" w:themeShade="BF"/>
          <w:insideV w:val="single" w:sz="4" w:space="0" w:color="98A0A0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le 1: Australian Health ODA by region, 2023-24 to 2025-26"/>
        <w:tblDescription w:val="This table represents the total Australian ODA to Health, budget and estimate by region, 2023 to 2026 – four columns, six rows."/>
      </w:tblPr>
      <w:tblGrid>
        <w:gridCol w:w="3397"/>
        <w:gridCol w:w="2265"/>
        <w:gridCol w:w="2266"/>
        <w:gridCol w:w="2266"/>
      </w:tblGrid>
      <w:tr w:rsidR="00B4776F" w14:paraId="5EF5CF55" w14:textId="21157455" w:rsidTr="00375EA4">
        <w:trPr>
          <w:cantSplit/>
          <w:trHeight w:val="70"/>
          <w:tblHeader/>
        </w:trPr>
        <w:tc>
          <w:tcPr>
            <w:tcW w:w="3397" w:type="dxa"/>
            <w:shd w:val="clear" w:color="auto" w:fill="313E48" w:themeFill="text1"/>
          </w:tcPr>
          <w:p w14:paraId="4CEC1D0F" w14:textId="7371B103" w:rsidR="00B4776F" w:rsidRPr="0079728E" w:rsidRDefault="00375EA4" w:rsidP="00B4776F">
            <w:pPr>
              <w:pStyle w:val="TableHeading"/>
            </w:pPr>
            <w:r>
              <w:t>Region</w:t>
            </w:r>
          </w:p>
        </w:tc>
        <w:tc>
          <w:tcPr>
            <w:tcW w:w="2265" w:type="dxa"/>
            <w:shd w:val="clear" w:color="auto" w:fill="313E48" w:themeFill="text1"/>
          </w:tcPr>
          <w:p w14:paraId="1923A36A" w14:textId="45343566" w:rsidR="00B4776F" w:rsidRDefault="00B4776F" w:rsidP="00B4776F">
            <w:pPr>
              <w:pStyle w:val="TableHeading"/>
              <w:jc w:val="center"/>
            </w:pPr>
            <w:r>
              <w:t>2</w:t>
            </w:r>
            <w:r w:rsidRPr="001E6A8F">
              <w:t>02</w:t>
            </w:r>
            <w:r>
              <w:t>3-24</w:t>
            </w:r>
            <w:r w:rsidRPr="001E6A8F">
              <w:t xml:space="preserve"> Actual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0740E09E" w14:textId="7EF1556E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4-25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  <w:tc>
          <w:tcPr>
            <w:tcW w:w="2266" w:type="dxa"/>
            <w:shd w:val="clear" w:color="auto" w:fill="313E48" w:themeFill="text1"/>
          </w:tcPr>
          <w:p w14:paraId="4F1CAE94" w14:textId="0B6752D4" w:rsidR="00B4776F" w:rsidRPr="007332ED" w:rsidRDefault="00B4776F" w:rsidP="00B4776F">
            <w:pPr>
              <w:pStyle w:val="TableHeading"/>
              <w:jc w:val="center"/>
            </w:pPr>
            <w:r w:rsidRPr="001E6A8F">
              <w:t>202</w:t>
            </w:r>
            <w:r>
              <w:t>5-26</w:t>
            </w:r>
            <w:r w:rsidRPr="001E6A8F">
              <w:t xml:space="preserve"> Budget Estimate ($</w:t>
            </w:r>
            <w:proofErr w:type="gramStart"/>
            <w:r w:rsidRPr="001E6A8F">
              <w:t>m)*</w:t>
            </w:r>
            <w:proofErr w:type="gramEnd"/>
          </w:p>
        </w:tc>
      </w:tr>
      <w:tr w:rsidR="005633C2" w14:paraId="45E770B3" w14:textId="1A624B78" w:rsidTr="00375EA4">
        <w:tc>
          <w:tcPr>
            <w:tcW w:w="3397" w:type="dxa"/>
            <w:vAlign w:val="center"/>
          </w:tcPr>
          <w:p w14:paraId="12D343CB" w14:textId="2AAA47C2" w:rsidR="005633C2" w:rsidRPr="00030679" w:rsidRDefault="005633C2" w:rsidP="005633C2">
            <w:pPr>
              <w:pStyle w:val="TableBodyCopy"/>
            </w:pPr>
            <w:r>
              <w:rPr>
                <w:rFonts w:cs="Calibri"/>
                <w:szCs w:val="20"/>
              </w:rPr>
              <w:t>Pacific</w:t>
            </w:r>
          </w:p>
        </w:tc>
        <w:tc>
          <w:tcPr>
            <w:tcW w:w="2265" w:type="dxa"/>
            <w:vAlign w:val="center"/>
          </w:tcPr>
          <w:p w14:paraId="0D3F5049" w14:textId="7D7E0BEC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220.3</w:t>
            </w:r>
          </w:p>
        </w:tc>
        <w:tc>
          <w:tcPr>
            <w:tcW w:w="2266" w:type="dxa"/>
            <w:vAlign w:val="center"/>
          </w:tcPr>
          <w:p w14:paraId="7E455C00" w14:textId="73E2BDBA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225.2</w:t>
            </w:r>
          </w:p>
        </w:tc>
        <w:tc>
          <w:tcPr>
            <w:tcW w:w="2266" w:type="dxa"/>
            <w:vAlign w:val="center"/>
          </w:tcPr>
          <w:p w14:paraId="47F5FD0E" w14:textId="6CA7A88A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255.7</w:t>
            </w:r>
          </w:p>
        </w:tc>
      </w:tr>
      <w:tr w:rsidR="005633C2" w14:paraId="1B588D2F" w14:textId="77777777" w:rsidTr="00375EA4">
        <w:tc>
          <w:tcPr>
            <w:tcW w:w="3397" w:type="dxa"/>
            <w:vAlign w:val="center"/>
          </w:tcPr>
          <w:p w14:paraId="7FE517A9" w14:textId="618FA21C" w:rsidR="005633C2" w:rsidRPr="001E6A8F" w:rsidRDefault="005633C2" w:rsidP="005633C2">
            <w:pPr>
              <w:pStyle w:val="TableBodyCopy"/>
            </w:pPr>
            <w:r>
              <w:rPr>
                <w:rFonts w:cs="Calibri"/>
                <w:szCs w:val="20"/>
              </w:rPr>
              <w:t>Southeast Asia</w:t>
            </w:r>
          </w:p>
        </w:tc>
        <w:tc>
          <w:tcPr>
            <w:tcW w:w="2265" w:type="dxa"/>
            <w:vAlign w:val="center"/>
          </w:tcPr>
          <w:p w14:paraId="12C99ABF" w14:textId="76F9997C" w:rsidR="005633C2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113.6</w:t>
            </w:r>
          </w:p>
        </w:tc>
        <w:tc>
          <w:tcPr>
            <w:tcW w:w="2266" w:type="dxa"/>
            <w:vAlign w:val="center"/>
          </w:tcPr>
          <w:p w14:paraId="5B424E9A" w14:textId="608224DA" w:rsidR="005633C2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100.0</w:t>
            </w:r>
          </w:p>
        </w:tc>
        <w:tc>
          <w:tcPr>
            <w:tcW w:w="2266" w:type="dxa"/>
            <w:vAlign w:val="center"/>
          </w:tcPr>
          <w:p w14:paraId="19CE5326" w14:textId="7BCCB44E" w:rsidR="005633C2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116.5</w:t>
            </w:r>
          </w:p>
        </w:tc>
      </w:tr>
      <w:tr w:rsidR="005633C2" w14:paraId="417E46F0" w14:textId="42F9E059" w:rsidTr="00375EA4">
        <w:tc>
          <w:tcPr>
            <w:tcW w:w="3397" w:type="dxa"/>
            <w:vAlign w:val="center"/>
          </w:tcPr>
          <w:p w14:paraId="604B5B7E" w14:textId="7C9A3969" w:rsidR="005633C2" w:rsidRPr="00030679" w:rsidRDefault="005633C2" w:rsidP="005633C2">
            <w:pPr>
              <w:pStyle w:val="TableBodyCopy"/>
            </w:pPr>
            <w:r>
              <w:rPr>
                <w:rFonts w:cs="Calibri"/>
                <w:szCs w:val="20"/>
              </w:rPr>
              <w:t>South and Central Asia</w:t>
            </w:r>
          </w:p>
        </w:tc>
        <w:tc>
          <w:tcPr>
            <w:tcW w:w="2265" w:type="dxa"/>
            <w:vAlign w:val="center"/>
          </w:tcPr>
          <w:p w14:paraId="12CB39EC" w14:textId="3D49EA4B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22.8</w:t>
            </w:r>
          </w:p>
        </w:tc>
        <w:tc>
          <w:tcPr>
            <w:tcW w:w="2266" w:type="dxa"/>
            <w:vAlign w:val="center"/>
          </w:tcPr>
          <w:p w14:paraId="4E5F8501" w14:textId="4AD1CC03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22.9</w:t>
            </w:r>
          </w:p>
        </w:tc>
        <w:tc>
          <w:tcPr>
            <w:tcW w:w="2266" w:type="dxa"/>
            <w:vAlign w:val="center"/>
          </w:tcPr>
          <w:p w14:paraId="07207D25" w14:textId="3EE1814A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19.9</w:t>
            </w:r>
          </w:p>
        </w:tc>
      </w:tr>
      <w:tr w:rsidR="005633C2" w14:paraId="2B1333F4" w14:textId="77777777" w:rsidTr="00375EA4">
        <w:tc>
          <w:tcPr>
            <w:tcW w:w="3397" w:type="dxa"/>
            <w:vAlign w:val="center"/>
          </w:tcPr>
          <w:p w14:paraId="38890A56" w14:textId="703C7979" w:rsidR="005633C2" w:rsidRDefault="005633C2" w:rsidP="005633C2">
            <w:pPr>
              <w:pStyle w:val="TableBodyCopy"/>
            </w:pPr>
            <w:r>
              <w:rPr>
                <w:rFonts w:cs="Calibri"/>
                <w:szCs w:val="20"/>
              </w:rPr>
              <w:t>Middle East and Africa</w:t>
            </w:r>
          </w:p>
        </w:tc>
        <w:tc>
          <w:tcPr>
            <w:tcW w:w="2265" w:type="dxa"/>
            <w:vAlign w:val="center"/>
          </w:tcPr>
          <w:p w14:paraId="7C5E60F3" w14:textId="189E1CB6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17.1</w:t>
            </w:r>
          </w:p>
        </w:tc>
        <w:tc>
          <w:tcPr>
            <w:tcW w:w="2266" w:type="dxa"/>
            <w:vAlign w:val="center"/>
          </w:tcPr>
          <w:p w14:paraId="4BBA5711" w14:textId="5DFB6106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13.4</w:t>
            </w:r>
          </w:p>
        </w:tc>
        <w:tc>
          <w:tcPr>
            <w:tcW w:w="2266" w:type="dxa"/>
            <w:vAlign w:val="center"/>
          </w:tcPr>
          <w:p w14:paraId="46AB0CB4" w14:textId="39C7B7A5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17.5</w:t>
            </w:r>
          </w:p>
        </w:tc>
      </w:tr>
      <w:tr w:rsidR="005633C2" w14:paraId="6B771DA6" w14:textId="77777777" w:rsidTr="00375EA4">
        <w:tc>
          <w:tcPr>
            <w:tcW w:w="3397" w:type="dxa"/>
            <w:vAlign w:val="center"/>
          </w:tcPr>
          <w:p w14:paraId="1651DA14" w14:textId="71822163" w:rsidR="005633C2" w:rsidRDefault="005633C2" w:rsidP="005633C2">
            <w:pPr>
              <w:pStyle w:val="TableBodyCopy"/>
            </w:pPr>
            <w:r>
              <w:rPr>
                <w:rFonts w:cs="Calibri"/>
                <w:szCs w:val="20"/>
              </w:rPr>
              <w:t>Rest of the World</w:t>
            </w:r>
            <w:r w:rsidR="00C90D22">
              <w:rPr>
                <w:rFonts w:cs="Calibri"/>
                <w:szCs w:val="20"/>
              </w:rPr>
              <w:t>^</w:t>
            </w:r>
          </w:p>
        </w:tc>
        <w:tc>
          <w:tcPr>
            <w:tcW w:w="2265" w:type="dxa"/>
            <w:vAlign w:val="center"/>
          </w:tcPr>
          <w:p w14:paraId="5D27E890" w14:textId="6264F928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316.2</w:t>
            </w:r>
          </w:p>
        </w:tc>
        <w:tc>
          <w:tcPr>
            <w:tcW w:w="2266" w:type="dxa"/>
            <w:vAlign w:val="center"/>
          </w:tcPr>
          <w:p w14:paraId="5F11B819" w14:textId="54A69E93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294.4</w:t>
            </w:r>
          </w:p>
        </w:tc>
        <w:tc>
          <w:tcPr>
            <w:tcW w:w="2266" w:type="dxa"/>
            <w:vAlign w:val="center"/>
          </w:tcPr>
          <w:p w14:paraId="45D0847A" w14:textId="011B5621" w:rsidR="005633C2" w:rsidRPr="00D34ADE" w:rsidRDefault="005633C2" w:rsidP="005633C2">
            <w:pPr>
              <w:pStyle w:val="TableBodyCopy"/>
              <w:jc w:val="center"/>
            </w:pPr>
            <w:r>
              <w:rPr>
                <w:rFonts w:cs="Calibri"/>
                <w:szCs w:val="20"/>
              </w:rPr>
              <w:t>229.7</w:t>
            </w:r>
          </w:p>
        </w:tc>
      </w:tr>
      <w:tr w:rsidR="005633C2" w14:paraId="3BDCC9B5" w14:textId="77777777" w:rsidTr="00375EA4">
        <w:tc>
          <w:tcPr>
            <w:tcW w:w="3397" w:type="dxa"/>
          </w:tcPr>
          <w:p w14:paraId="4E8483EB" w14:textId="52BA90D2" w:rsidR="005633C2" w:rsidRPr="001E6A8F" w:rsidRDefault="005633C2" w:rsidP="005633C2">
            <w:pPr>
              <w:pStyle w:val="TableBodyCopy"/>
              <w:rPr>
                <w:b/>
                <w:bCs/>
              </w:rPr>
            </w:pPr>
            <w:r w:rsidRPr="001E6A8F">
              <w:rPr>
                <w:b/>
                <w:bCs/>
              </w:rPr>
              <w:t xml:space="preserve">Total </w:t>
            </w:r>
            <w:r w:rsidR="00375EA4">
              <w:rPr>
                <w:b/>
                <w:bCs/>
              </w:rPr>
              <w:t xml:space="preserve">Health </w:t>
            </w:r>
            <w:r>
              <w:rPr>
                <w:b/>
                <w:bCs/>
              </w:rPr>
              <w:t>ODA</w:t>
            </w:r>
          </w:p>
        </w:tc>
        <w:tc>
          <w:tcPr>
            <w:tcW w:w="2265" w:type="dxa"/>
            <w:vAlign w:val="center"/>
          </w:tcPr>
          <w:p w14:paraId="4CC5A42A" w14:textId="7F83124B" w:rsidR="005633C2" w:rsidRPr="00D34ADE" w:rsidRDefault="005633C2" w:rsidP="005633C2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689.9</w:t>
            </w:r>
          </w:p>
        </w:tc>
        <w:tc>
          <w:tcPr>
            <w:tcW w:w="2266" w:type="dxa"/>
            <w:vAlign w:val="center"/>
          </w:tcPr>
          <w:p w14:paraId="5537B846" w14:textId="5CCE5148" w:rsidR="005633C2" w:rsidRPr="00D34ADE" w:rsidRDefault="005633C2" w:rsidP="005633C2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655.9</w:t>
            </w:r>
          </w:p>
        </w:tc>
        <w:tc>
          <w:tcPr>
            <w:tcW w:w="2266" w:type="dxa"/>
            <w:vAlign w:val="center"/>
          </w:tcPr>
          <w:p w14:paraId="55A5272D" w14:textId="14A8EE18" w:rsidR="005633C2" w:rsidRPr="00D34ADE" w:rsidRDefault="005633C2" w:rsidP="005633C2">
            <w:pPr>
              <w:pStyle w:val="TableBodyCopy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szCs w:val="20"/>
              </w:rPr>
              <w:t>639.4</w:t>
            </w:r>
          </w:p>
        </w:tc>
      </w:tr>
    </w:tbl>
    <w:p w14:paraId="1173533E" w14:textId="036BB11E" w:rsidR="00771669" w:rsidRDefault="001E6A8F" w:rsidP="00E84101">
      <w:pPr>
        <w:pStyle w:val="Caption"/>
      </w:pPr>
      <w:r w:rsidRPr="00771669">
        <w:t>*</w:t>
      </w:r>
      <w:r w:rsidR="005633C2">
        <w:t xml:space="preserve"> </w:t>
      </w:r>
      <w:r w:rsidR="00A6347B" w:rsidRPr="00A6347B">
        <w:t>Due to rounding, discrepancies may occur between sums of the component items in totals.</w:t>
      </w:r>
    </w:p>
    <w:p w14:paraId="676E5F81" w14:textId="27547EBB" w:rsidR="00C90D22" w:rsidRPr="00C90D22" w:rsidRDefault="00B354FD" w:rsidP="00B354FD">
      <w:pPr>
        <w:pStyle w:val="Caption"/>
      </w:pPr>
      <w:r w:rsidRPr="00B354FD">
        <w:t xml:space="preserve">^Includes ODA that is not attributed to </w:t>
      </w:r>
      <w:proofErr w:type="gramStart"/>
      <w:r w:rsidRPr="00B354FD">
        <w:t>particular countries</w:t>
      </w:r>
      <w:proofErr w:type="gramEnd"/>
      <w:r w:rsidRPr="00B354FD">
        <w:t xml:space="preserve"> or regions.</w:t>
      </w:r>
    </w:p>
    <w:p w14:paraId="7100DF7D" w14:textId="68A24D8A" w:rsidR="00F40F77" w:rsidRPr="00F40F77" w:rsidRDefault="00950DA9" w:rsidP="00F40F77">
      <w:pPr>
        <w:pStyle w:val="Heading4"/>
        <w:rPr>
          <w:b w:val="0"/>
          <w:bCs/>
        </w:rPr>
      </w:pPr>
      <w:r>
        <w:rPr>
          <w:rFonts w:asciiTheme="minorHAnsi" w:hAnsiTheme="minorHAnsi"/>
          <w:b w:val="0"/>
          <w:bCs/>
          <w:noProof/>
          <w:color w:val="44546A"/>
          <w:kern w:val="24"/>
        </w:rPr>
        <w:drawing>
          <wp:anchor distT="0" distB="0" distL="114300" distR="114300" simplePos="0" relativeHeight="251658240" behindDoc="1" locked="0" layoutInCell="1" allowOverlap="1" wp14:anchorId="07DEBF75" wp14:editId="4029E905">
            <wp:simplePos x="0" y="0"/>
            <wp:positionH relativeFrom="margin">
              <wp:posOffset>39370</wp:posOffset>
            </wp:positionH>
            <wp:positionV relativeFrom="paragraph">
              <wp:posOffset>219710</wp:posOffset>
            </wp:positionV>
            <wp:extent cx="604139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1790661924" name="Picture 1" descr="Figure 1 presents the percentage of Australia’s Official Development Assistance (ODA) for health for the financial year 2025-26 across five regions. &#10;&#10;This information is presented in a doughnut chart, where the five regions take a portion of shading in the doughnut in direct proportion to the total percentage attributable to each region. &#10;&#10;The percentages of total Australian health assistance ODA by region are:&#10;Pacific 40% &#10;Southeast Asia 18% &#10;South and Central Asia 3%&#10;Middle East and Africa 3% &#10;Rest of the World* 36%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1924" name="Picture 1" descr="Figure 1 presents the percentage of Australia’s Official Development Assistance (ODA) for health for the financial year 2025-26 across five regions. &#10;&#10;This information is presented in a doughnut chart, where the five regions take a portion of shading in the doughnut in direct proportion to the total percentage attributable to each region. &#10;&#10;The percentages of total Australian health assistance ODA by region are:&#10;Pacific 40% &#10;Southeast Asia 18% &#10;South and Central Asia 3%&#10;Middle East and Africa 3% &#10;Rest of the World* 36%&#10;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648">
        <w:rPr>
          <w:b w:val="0"/>
          <w:bCs/>
        </w:rPr>
        <w:t xml:space="preserve">Figure 1: </w:t>
      </w:r>
      <w:r w:rsidR="003575EF" w:rsidRPr="00E5168F">
        <w:rPr>
          <w:b w:val="0"/>
          <w:bCs/>
        </w:rPr>
        <w:t>Australian</w:t>
      </w:r>
      <w:r w:rsidR="005633C2">
        <w:rPr>
          <w:b w:val="0"/>
          <w:bCs/>
        </w:rPr>
        <w:t xml:space="preserve"> Health</w:t>
      </w:r>
      <w:r w:rsidR="003575EF" w:rsidRPr="00E5168F">
        <w:rPr>
          <w:b w:val="0"/>
          <w:bCs/>
        </w:rPr>
        <w:t xml:space="preserve"> ODA by </w:t>
      </w:r>
      <w:r w:rsidR="005633C2">
        <w:rPr>
          <w:b w:val="0"/>
          <w:bCs/>
        </w:rPr>
        <w:t>Region</w:t>
      </w:r>
      <w:r w:rsidR="003575EF" w:rsidRPr="00E5168F">
        <w:rPr>
          <w:b w:val="0"/>
          <w:bCs/>
        </w:rPr>
        <w:t>, 20</w:t>
      </w:r>
      <w:r w:rsidR="007F312B" w:rsidRPr="00E5168F">
        <w:rPr>
          <w:b w:val="0"/>
          <w:bCs/>
        </w:rPr>
        <w:t>25</w:t>
      </w:r>
      <w:r w:rsidR="00B4776F">
        <w:rPr>
          <w:b w:val="0"/>
          <w:bCs/>
        </w:rPr>
        <w:t>-26</w:t>
      </w:r>
      <w:r w:rsidR="003575EF" w:rsidRPr="00E5168F">
        <w:rPr>
          <w:b w:val="0"/>
          <w:bCs/>
        </w:rPr>
        <w:t xml:space="preserve"> budget estimate</w:t>
      </w:r>
    </w:p>
    <w:p w14:paraId="0882E8AF" w14:textId="77777777" w:rsidR="00950DA9" w:rsidRDefault="00950DA9" w:rsidP="00C700DC">
      <w:pPr>
        <w:pStyle w:val="Heading3"/>
      </w:pPr>
    </w:p>
    <w:p w14:paraId="2E930150" w14:textId="77777777" w:rsidR="00950DA9" w:rsidRDefault="00950DA9" w:rsidP="00C700DC">
      <w:pPr>
        <w:pStyle w:val="Heading3"/>
      </w:pPr>
    </w:p>
    <w:p w14:paraId="70450A44" w14:textId="77777777" w:rsidR="00950DA9" w:rsidRDefault="00950DA9" w:rsidP="00950DA9"/>
    <w:p w14:paraId="77E5A4F0" w14:textId="77777777" w:rsidR="00950DA9" w:rsidRDefault="00950DA9" w:rsidP="00950DA9"/>
    <w:p w14:paraId="4B641C51" w14:textId="77777777" w:rsidR="00950DA9" w:rsidRDefault="00950DA9" w:rsidP="00950DA9"/>
    <w:p w14:paraId="27BF7EB6" w14:textId="77777777" w:rsidR="00950DA9" w:rsidRDefault="00950DA9" w:rsidP="00950DA9"/>
    <w:p w14:paraId="038B2785" w14:textId="77777777" w:rsidR="00950DA9" w:rsidRDefault="00950DA9" w:rsidP="00950DA9"/>
    <w:p w14:paraId="68017B8F" w14:textId="77777777" w:rsidR="00950DA9" w:rsidRDefault="00950DA9" w:rsidP="00950DA9"/>
    <w:p w14:paraId="75FBCF4A" w14:textId="77777777" w:rsidR="00950DA9" w:rsidRPr="00B334CB" w:rsidRDefault="00950DA9" w:rsidP="00950DA9">
      <w:pPr>
        <w:spacing w:before="0" w:after="0"/>
        <w:rPr>
          <w:i/>
          <w:iCs/>
          <w:sz w:val="18"/>
          <w:szCs w:val="18"/>
        </w:rPr>
      </w:pPr>
      <w:r w:rsidRPr="00B334CB">
        <w:rPr>
          <w:i/>
          <w:iCs/>
          <w:sz w:val="18"/>
          <w:szCs w:val="18"/>
        </w:rPr>
        <w:t xml:space="preserve">*Includes ODA that is not attributed to </w:t>
      </w:r>
      <w:proofErr w:type="gramStart"/>
      <w:r w:rsidRPr="00B334CB">
        <w:rPr>
          <w:i/>
          <w:iCs/>
          <w:sz w:val="18"/>
          <w:szCs w:val="18"/>
        </w:rPr>
        <w:t>particular countries</w:t>
      </w:r>
      <w:proofErr w:type="gramEnd"/>
      <w:r w:rsidRPr="00B334CB">
        <w:rPr>
          <w:i/>
          <w:iCs/>
          <w:sz w:val="18"/>
          <w:szCs w:val="18"/>
        </w:rPr>
        <w:t xml:space="preserve"> or regions.</w:t>
      </w:r>
    </w:p>
    <w:p w14:paraId="762EA1A3" w14:textId="77777777" w:rsidR="00950DA9" w:rsidRPr="00950DA9" w:rsidRDefault="00950DA9" w:rsidP="00950DA9"/>
    <w:p w14:paraId="7CC3C65D" w14:textId="007D7947" w:rsidR="00C700DC" w:rsidRDefault="00E84101" w:rsidP="00C700DC">
      <w:pPr>
        <w:pStyle w:val="Heading3"/>
        <w:rPr>
          <w:rFonts w:eastAsia="Calibri"/>
        </w:rPr>
      </w:pPr>
      <w:r w:rsidRPr="00E50E59">
        <w:br w:type="page"/>
      </w:r>
      <w:r w:rsidR="00C700DC" w:rsidRPr="00CC4616">
        <w:lastRenderedPageBreak/>
        <w:t>Sustainable Development Goals</w:t>
      </w:r>
    </w:p>
    <w:p w14:paraId="5FDBE9C1" w14:textId="4B85CB09" w:rsidR="00634CC1" w:rsidRPr="00C700DC" w:rsidRDefault="00634CC1" w:rsidP="00634CC1">
      <w:r>
        <w:rPr>
          <w:noProof/>
        </w:rPr>
        <w:drawing>
          <wp:inline distT="0" distB="0" distL="0" distR="0" wp14:anchorId="12A37465" wp14:editId="23B51405">
            <wp:extent cx="548640" cy="548640"/>
            <wp:effectExtent l="0" t="0" r="3810" b="3810"/>
            <wp:docPr id="1378027091" name="Picture 1" descr="Goal 1 - No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27091" name="Picture 1" descr="Goal 1 - No povert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0CC8C" wp14:editId="3B7A0345">
            <wp:extent cx="548640" cy="548640"/>
            <wp:effectExtent l="0" t="0" r="3810" b="3810"/>
            <wp:docPr id="1335721681" name="Picture 3" descr="SDG 3 - Good health and well-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21681" name="Picture 3" descr="SDG 3 - Good health and well-be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62151" wp14:editId="55A8FC23">
            <wp:extent cx="548640" cy="548640"/>
            <wp:effectExtent l="0" t="0" r="3810" b="3810"/>
            <wp:docPr id="662642502" name="Picture 4" descr="SDG 4 - Qualit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42502" name="Picture 4" descr="SDG 4 - Quality Educatio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DB124" wp14:editId="44531F56">
            <wp:extent cx="548640" cy="548640"/>
            <wp:effectExtent l="0" t="0" r="3810" b="3810"/>
            <wp:docPr id="193567487" name="Picture 5" descr="SDG 5 - Gender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7487" name="Picture 5" descr="SDG 5 - Gender Equalit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273EE" wp14:editId="5B1FBDDC">
            <wp:extent cx="548640" cy="548640"/>
            <wp:effectExtent l="0" t="0" r="3810" b="3810"/>
            <wp:docPr id="322758550" name="Picture 8" descr="SDG 8 - Decent work and economic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58550" name="Picture 8" descr="SDG 8 - Decent work and economic growth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82FF7" wp14:editId="7385053F">
            <wp:extent cx="548640" cy="548640"/>
            <wp:effectExtent l="0" t="0" r="3810" b="3810"/>
            <wp:docPr id="532045198" name="Picture 9" descr="SDG 9 - Industry, innovation and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45198" name="Picture 9" descr="SDG 9 - Industry, innovation and infrastructur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3F17" wp14:editId="0AF69C98">
            <wp:extent cx="548640" cy="548640"/>
            <wp:effectExtent l="0" t="0" r="3810" b="3810"/>
            <wp:docPr id="935052166" name="Picture 10" descr="SDG 10 - Reduced inequa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52166" name="Picture 10" descr="SDG 10 - Reduced inequalitie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DC02E" wp14:editId="0EE25FD5">
            <wp:extent cx="548640" cy="548640"/>
            <wp:effectExtent l="0" t="0" r="3810" b="3810"/>
            <wp:docPr id="510153799" name="Picture 4" descr="SDG 11 - Sustainable cities and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153799" name="Picture 4" descr="SDG 11 - Sustainable cities and communiti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66939" wp14:editId="456626AF">
            <wp:extent cx="548640" cy="548640"/>
            <wp:effectExtent l="0" t="0" r="3810" b="3810"/>
            <wp:docPr id="67511417" name="Picture 6" descr="SDG 13 - Climat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1417" name="Picture 6" descr="SDG 13 - Climate actio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208A6" wp14:editId="5340C2CB">
            <wp:extent cx="548640" cy="548640"/>
            <wp:effectExtent l="0" t="0" r="3810" b="3810"/>
            <wp:docPr id="1117766149" name="Picture 10" descr="SDG 17 - Partnerships for the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6149" name="Picture 10" descr="SDG 17 - Partnerships for the Goal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DEF7A" w14:textId="77777777" w:rsidR="000B0889" w:rsidRDefault="00C33441" w:rsidP="000502CA">
      <w:pPr>
        <w:spacing w:before="360"/>
      </w:pPr>
      <w:r w:rsidRPr="00C33441">
        <w:rPr>
          <w:b/>
          <w:bCs/>
        </w:rPr>
        <w:t>Australia supports governments and communities, particularly in the Pacific and Southeast Asia, to build resilient, equitable and inclusive health systems</w:t>
      </w:r>
      <w:r>
        <w:rPr>
          <w:b/>
          <w:bCs/>
        </w:rPr>
        <w:t>.</w:t>
      </w:r>
      <w:r w:rsidR="000B0889" w:rsidRPr="000B0889">
        <w:t xml:space="preserve"> </w:t>
      </w:r>
    </w:p>
    <w:p w14:paraId="22320D55" w14:textId="451B792D" w:rsidR="00A13FC0" w:rsidRDefault="000B0889" w:rsidP="00A13FC0">
      <w:r w:rsidRPr="00C33441">
        <w:t>We are listening to the priorities of our region and supporting local leadership</w:t>
      </w:r>
      <w:r w:rsidR="005C1974">
        <w:t xml:space="preserve"> to respond to health challenges</w:t>
      </w:r>
      <w:r w:rsidR="00375EA4">
        <w:t xml:space="preserve"> through responsive bilateral and regional programming.</w:t>
      </w:r>
      <w:r w:rsidR="005C1974">
        <w:t xml:space="preserve"> </w:t>
      </w:r>
      <w:r w:rsidR="00A13FC0" w:rsidRPr="00C33441">
        <w:t>We also partner with global health organisations to extend our reach and impact, and advocate for our region in the global health system.</w:t>
      </w:r>
    </w:p>
    <w:p w14:paraId="14B56AE6" w14:textId="333766A8" w:rsidR="00671161" w:rsidRPr="004D1D85" w:rsidRDefault="001E6A8F" w:rsidP="00C700DC">
      <w:pPr>
        <w:pStyle w:val="Heading3"/>
      </w:pPr>
      <w:r>
        <w:t>Strategic direction</w:t>
      </w:r>
    </w:p>
    <w:p w14:paraId="3E119A98" w14:textId="6E13A9EF" w:rsidR="00C33441" w:rsidRDefault="00A13FC0" w:rsidP="00C33441">
      <w:r w:rsidRPr="00C33441">
        <w:t xml:space="preserve">Our assistance for health is guided by Australia’s International Development Policy. </w:t>
      </w:r>
      <w:r w:rsidR="00C33441" w:rsidRPr="00C33441">
        <w:t>We work at national, regional, and global levels</w:t>
      </w:r>
      <w:r>
        <w:t xml:space="preserve"> to support </w:t>
      </w:r>
      <w:r w:rsidR="00C33441" w:rsidRPr="00C33441">
        <w:t xml:space="preserve">partner countries to </w:t>
      </w:r>
      <w:r w:rsidR="005C1974">
        <w:t xml:space="preserve">achieve their ambitions to deliver </w:t>
      </w:r>
      <w:r w:rsidR="00C33441" w:rsidRPr="00C33441">
        <w:t>equitable access to quality, essential health services</w:t>
      </w:r>
      <w:r>
        <w:t xml:space="preserve">, help </w:t>
      </w:r>
      <w:r w:rsidR="00C33441" w:rsidRPr="00C33441">
        <w:t xml:space="preserve">to prevent and respond to communicable and non-communicable diseases, and to advance sexual and reproductive health and rights. </w:t>
      </w:r>
    </w:p>
    <w:p w14:paraId="73A71C82" w14:textId="36F3B3C0" w:rsidR="000B0889" w:rsidRDefault="00C33441" w:rsidP="000B0889">
      <w:r w:rsidRPr="00C33441">
        <w:t xml:space="preserve">We work with governments, civil society organisations and </w:t>
      </w:r>
      <w:r w:rsidR="005C1974">
        <w:t xml:space="preserve">Australian, </w:t>
      </w:r>
      <w:r w:rsidRPr="00C33441">
        <w:t xml:space="preserve">regional and multilateral partners to respond to our shared health challenges – including the risk of pandemics, antimicrobial resistance and the health impacts of climate change. </w:t>
      </w:r>
      <w:r w:rsidR="00A13FC0" w:rsidRPr="00C33441">
        <w:t xml:space="preserve">Our </w:t>
      </w:r>
      <w:r w:rsidR="00A13FC0">
        <w:t xml:space="preserve">health assistance supports </w:t>
      </w:r>
      <w:r w:rsidR="00A13FC0" w:rsidRPr="00C33441">
        <w:t>inclusive health systems that aim to meet the needs of women and girls, people with disabilit</w:t>
      </w:r>
      <w:r w:rsidR="00A13FC0">
        <w:t>y</w:t>
      </w:r>
      <w:r w:rsidR="00A13FC0" w:rsidRPr="00C33441">
        <w:t xml:space="preserve"> and other groups experiencing marginalisation.</w:t>
      </w:r>
      <w:r w:rsidR="00A13FC0" w:rsidRPr="00A13FC0">
        <w:t xml:space="preserve"> </w:t>
      </w:r>
      <w:r w:rsidR="000B0889" w:rsidRPr="00C33441">
        <w:t>We</w:t>
      </w:r>
      <w:r w:rsidR="000B0889">
        <w:t xml:space="preserve"> also</w:t>
      </w:r>
      <w:r w:rsidR="000B0889" w:rsidRPr="00C33441">
        <w:t xml:space="preserve"> seek to incorporate First Nations Australian perspectives in our investments. </w:t>
      </w:r>
    </w:p>
    <w:p w14:paraId="4572847D" w14:textId="2908EE81" w:rsidR="002923D5" w:rsidRPr="004D1D85" w:rsidRDefault="001E6A8F" w:rsidP="00C700DC">
      <w:pPr>
        <w:pStyle w:val="Heading3"/>
      </w:pPr>
      <w:r>
        <w:t>Program highlights</w:t>
      </w:r>
    </w:p>
    <w:p w14:paraId="74A7906A" w14:textId="255BC405" w:rsidR="001E6A8F" w:rsidRDefault="001E6A8F" w:rsidP="003575EF">
      <w:bookmarkStart w:id="1" w:name="_Hlk197607877"/>
      <w:r>
        <w:t>In 202</w:t>
      </w:r>
      <w:r w:rsidR="00375EA4">
        <w:t>3</w:t>
      </w:r>
      <w:r>
        <w:t>-2</w:t>
      </w:r>
      <w:r w:rsidR="00375EA4">
        <w:t>4</w:t>
      </w:r>
      <w:r>
        <w:t>, Australia supported:</w:t>
      </w:r>
    </w:p>
    <w:p w14:paraId="5C545B2F" w14:textId="1D5DDFF3" w:rsidR="00375EA4" w:rsidRDefault="00375EA4" w:rsidP="00375EA4">
      <w:pPr>
        <w:pStyle w:val="ListBullet"/>
      </w:pPr>
      <w:r w:rsidRPr="00D00C4E">
        <w:t xml:space="preserve">46 countries to </w:t>
      </w:r>
      <w:r w:rsidRPr="00375EA4">
        <w:t>improve the capacity of their health systems</w:t>
      </w:r>
      <w:r>
        <w:t xml:space="preserve"> to </w:t>
      </w:r>
      <w:r w:rsidRPr="00D00C4E">
        <w:t>provide quality, accessible and affordable health services</w:t>
      </w:r>
      <w:r>
        <w:t xml:space="preserve"> through our bilateral and regional programs</w:t>
      </w:r>
      <w:r w:rsidRPr="00D00C4E">
        <w:t>. The support we deliver through global health partnerships</w:t>
      </w:r>
      <w:r>
        <w:t xml:space="preserve">, including Gavi and the Global Fund, </w:t>
      </w:r>
      <w:r w:rsidRPr="00D00C4E">
        <w:t>reache</w:t>
      </w:r>
      <w:r>
        <w:t>s</w:t>
      </w:r>
      <w:r w:rsidRPr="00D00C4E">
        <w:t xml:space="preserve"> many more. </w:t>
      </w:r>
    </w:p>
    <w:p w14:paraId="4D3B5AE9" w14:textId="7D4134C8" w:rsidR="00375EA4" w:rsidRDefault="00375EA4" w:rsidP="00375EA4">
      <w:pPr>
        <w:pStyle w:val="ListBullet"/>
      </w:pPr>
      <w:r w:rsidRPr="0062672D">
        <w:t>30 countries to improve their ability to anticipate, prevent, detect, and control communicable disease threats</w:t>
      </w:r>
      <w:r>
        <w:t xml:space="preserve">. </w:t>
      </w:r>
      <w:r w:rsidRPr="00375EA4">
        <w:t>For example,</w:t>
      </w:r>
      <w:r>
        <w:t xml:space="preserve"> our support</w:t>
      </w:r>
      <w:r w:rsidR="00AA4C38">
        <w:t xml:space="preserve"> helped</w:t>
      </w:r>
      <w:r>
        <w:t xml:space="preserve"> enable the </w:t>
      </w:r>
      <w:r w:rsidRPr="00375EA4">
        <w:t>Solomon Islands to</w:t>
      </w:r>
      <w:r>
        <w:t xml:space="preserve"> immunise an additional 71,447 children against measles and rubella in the lead up to hosting the 2023 Pacific Games, achieving 94.4% coverage. </w:t>
      </w:r>
    </w:p>
    <w:p w14:paraId="31C52D3A" w14:textId="184821DE" w:rsidR="00375EA4" w:rsidRPr="00D00C4E" w:rsidRDefault="00375EA4" w:rsidP="00D00C4E">
      <w:pPr>
        <w:pStyle w:val="ListBullet"/>
      </w:pPr>
      <w:r>
        <w:t xml:space="preserve">Over </w:t>
      </w:r>
      <w:r w:rsidRPr="00375EA4">
        <w:t>3</w:t>
      </w:r>
      <w:r>
        <w:t>.</w:t>
      </w:r>
      <w:r w:rsidRPr="00375EA4">
        <w:t>3</w:t>
      </w:r>
      <w:r>
        <w:t xml:space="preserve"> million</w:t>
      </w:r>
      <w:r w:rsidRPr="00375EA4">
        <w:t xml:space="preserve"> couple-years of contraceptive protection</w:t>
      </w:r>
      <w:r>
        <w:t xml:space="preserve"> from unplanned pregnancies</w:t>
      </w:r>
      <w:r w:rsidR="001B17AF">
        <w:t xml:space="preserve"> </w:t>
      </w:r>
      <w:r w:rsidR="00FF26DC">
        <w:t xml:space="preserve">being </w:t>
      </w:r>
      <w:r w:rsidR="001B17AF">
        <w:t>made available for sexual and reproductive health</w:t>
      </w:r>
      <w:r>
        <w:t xml:space="preserve">. </w:t>
      </w:r>
    </w:p>
    <w:bookmarkEnd w:id="1"/>
    <w:sectPr w:rsidR="00375EA4" w:rsidRPr="00D00C4E" w:rsidSect="0095740E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872" w:right="850" w:bottom="990" w:left="85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586C" w14:textId="77777777" w:rsidR="00A77A54" w:rsidRDefault="00A77A54" w:rsidP="00EE32FE">
      <w:pPr>
        <w:spacing w:after="0" w:line="240" w:lineRule="auto"/>
      </w:pPr>
      <w:r>
        <w:separator/>
      </w:r>
    </w:p>
  </w:endnote>
  <w:endnote w:type="continuationSeparator" w:id="0">
    <w:p w14:paraId="46F67DBF" w14:textId="77777777" w:rsidR="00A77A54" w:rsidRDefault="00A77A54" w:rsidP="00EE32FE">
      <w:pPr>
        <w:spacing w:after="0" w:line="240" w:lineRule="auto"/>
      </w:pPr>
      <w:r>
        <w:continuationSeparator/>
      </w:r>
    </w:p>
  </w:endnote>
  <w:endnote w:type="continuationNotice" w:id="1">
    <w:p w14:paraId="14EAE862" w14:textId="77777777" w:rsidR="00A77A54" w:rsidRDefault="00A77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0843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D4674" w14:textId="2DD6A0D1" w:rsidR="00F40F77" w:rsidRPr="004D49FE" w:rsidRDefault="008E290E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4" behindDoc="1" locked="0" layoutInCell="1" allowOverlap="1" wp14:anchorId="1DE43D9B" wp14:editId="4A8136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383988066" name="Picture 3839880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988066" name="Picture 38398806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1D28" w:rsidRPr="004D49FE">
          <w:rPr>
            <w:color w:val="FFFFFF" w:themeColor="background1"/>
          </w:rPr>
          <w:fldChar w:fldCharType="begin"/>
        </w:r>
        <w:r w:rsidR="00BD1D28" w:rsidRPr="004D49FE">
          <w:rPr>
            <w:color w:val="FFFFFF" w:themeColor="background1"/>
          </w:rPr>
          <w:instrText xml:space="preserve"> PAGE   \* MERGEFORMAT </w:instrText>
        </w:r>
        <w:r w:rsidR="00BD1D28" w:rsidRPr="004D49FE">
          <w:rPr>
            <w:color w:val="FFFFFF" w:themeColor="background1"/>
          </w:rPr>
          <w:fldChar w:fldCharType="separate"/>
        </w:r>
        <w:r w:rsidR="00BD1D28" w:rsidRPr="004D49FE">
          <w:rPr>
            <w:noProof/>
            <w:color w:val="FFFFFF" w:themeColor="background1"/>
          </w:rPr>
          <w:t>2</w:t>
        </w:r>
        <w:r w:rsidR="00BD1D28" w:rsidRPr="004D49FE">
          <w:rPr>
            <w:noProof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FFFF" w:themeColor="background1"/>
      </w:rPr>
      <w:id w:val="-141030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4756" w14:textId="18EE118E" w:rsidR="00E50E59" w:rsidRPr="00C71682" w:rsidRDefault="00C71682">
        <w:pPr>
          <w:pStyle w:val="Footer"/>
          <w:rPr>
            <w:color w:val="FFFFFF" w:themeColor="background1"/>
          </w:rPr>
        </w:pPr>
        <w:r w:rsidRPr="00C71682">
          <w:rPr>
            <w:noProof/>
            <w:color w:val="FFFFFF" w:themeColor="background1"/>
          </w:rPr>
          <w:drawing>
            <wp:anchor distT="0" distB="0" distL="114300" distR="114300" simplePos="0" relativeHeight="251658243" behindDoc="1" locked="0" layoutInCell="1" allowOverlap="1" wp14:anchorId="57098BE2" wp14:editId="06078AE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095" cy="576000"/>
              <wp:effectExtent l="0" t="0" r="5080" b="0"/>
              <wp:wrapNone/>
              <wp:docPr id="1702243087" name="Picture 170224308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243087" name="Picture 170224308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095" cy="57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6B16" w:rsidRPr="00C71682">
          <w:rPr>
            <w:color w:val="FFFFFF" w:themeColor="background1"/>
          </w:rPr>
          <w:fldChar w:fldCharType="begin"/>
        </w:r>
        <w:r w:rsidR="00F46B16" w:rsidRPr="00C71682">
          <w:rPr>
            <w:color w:val="FFFFFF" w:themeColor="background1"/>
          </w:rPr>
          <w:instrText xml:space="preserve"> PAGE   \* MERGEFORMAT </w:instrText>
        </w:r>
        <w:r w:rsidR="00F46B16" w:rsidRPr="00C71682">
          <w:rPr>
            <w:color w:val="FFFFFF" w:themeColor="background1"/>
          </w:rPr>
          <w:fldChar w:fldCharType="separate"/>
        </w:r>
        <w:r w:rsidR="00F46B16" w:rsidRPr="00C71682">
          <w:rPr>
            <w:noProof/>
            <w:color w:val="FFFFFF" w:themeColor="background1"/>
          </w:rPr>
          <w:t>2</w:t>
        </w:r>
        <w:r w:rsidR="00F46B16" w:rsidRPr="00C7168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EB3E" w14:textId="77777777" w:rsidR="00A77A54" w:rsidRDefault="00A77A54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5CC10584" w14:textId="77777777" w:rsidR="00A77A54" w:rsidRDefault="00A77A54" w:rsidP="00EE32FE">
      <w:pPr>
        <w:spacing w:after="0" w:line="240" w:lineRule="auto"/>
      </w:pPr>
      <w:r>
        <w:continuationSeparator/>
      </w:r>
    </w:p>
  </w:footnote>
  <w:footnote w:type="continuationNotice" w:id="1">
    <w:p w14:paraId="61FACFEF" w14:textId="77777777" w:rsidR="00A77A54" w:rsidRDefault="00A77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F6E9" w14:textId="4D8987F0" w:rsidR="00306BCA" w:rsidRDefault="0076381C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030DA87" wp14:editId="2362C4B1">
          <wp:simplePos x="541606" y="618978"/>
          <wp:positionH relativeFrom="page">
            <wp:align>center</wp:align>
          </wp:positionH>
          <wp:positionV relativeFrom="page">
            <wp:align>top</wp:align>
          </wp:positionV>
          <wp:extent cx="7558095" cy="576000"/>
          <wp:effectExtent l="0" t="0" r="5080" b="0"/>
          <wp:wrapNone/>
          <wp:docPr id="1721380403" name="Picture 1" descr="Page two header banner text includes Australia’s International Development Program on dar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80403" name="Picture 1" descr="Page two header banner text includes Australia’s International Development Program on dar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09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360E" w14:textId="59A0C48D" w:rsidR="00704573" w:rsidRDefault="00235C5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BA3015" wp14:editId="43712648">
          <wp:simplePos x="0" y="0"/>
          <wp:positionH relativeFrom="page">
            <wp:posOffset>10937875</wp:posOffset>
          </wp:positionH>
          <wp:positionV relativeFrom="page">
            <wp:posOffset>112395</wp:posOffset>
          </wp:positionV>
          <wp:extent cx="7689850" cy="585470"/>
          <wp:effectExtent l="0" t="0" r="6350" b="5080"/>
          <wp:wrapNone/>
          <wp:docPr id="1131797426" name="Picture 1131797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797426" name="Picture 11317974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9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8F0">
      <w:rPr>
        <w:noProof/>
      </w:rPr>
      <w:drawing>
        <wp:anchor distT="0" distB="0" distL="114300" distR="114300" simplePos="0" relativeHeight="251658240" behindDoc="0" locked="0" layoutInCell="1" allowOverlap="1" wp14:anchorId="57FCDF50" wp14:editId="7571F53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2129509291" name="Picture 2129509291" descr="Header banner including Australian Government Department of Foreign Affairs and Trade logos and Australian Aid identifier on the right hand s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09291" name="Picture 2129509291" descr="Header banner including Australian Government Department of Foreign Affairs and Trade logos and Australian Aid identifier on the right hand s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F4C7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A2D46"/>
    <w:multiLevelType w:val="hybridMultilevel"/>
    <w:tmpl w:val="4AB6AC2E"/>
    <w:lvl w:ilvl="0" w:tplc="018A84B8">
      <w:start w:val="1"/>
      <w:numFmt w:val="decimal"/>
      <w:lvlText w:val="%1."/>
      <w:lvlJc w:val="left"/>
      <w:pPr>
        <w:ind w:left="1020" w:hanging="360"/>
      </w:pPr>
    </w:lvl>
    <w:lvl w:ilvl="1" w:tplc="F83812DE">
      <w:start w:val="1"/>
      <w:numFmt w:val="decimal"/>
      <w:lvlText w:val="%2."/>
      <w:lvlJc w:val="left"/>
      <w:pPr>
        <w:ind w:left="1020" w:hanging="360"/>
      </w:pPr>
    </w:lvl>
    <w:lvl w:ilvl="2" w:tplc="33B408C8">
      <w:start w:val="1"/>
      <w:numFmt w:val="decimal"/>
      <w:lvlText w:val="%3."/>
      <w:lvlJc w:val="left"/>
      <w:pPr>
        <w:ind w:left="1020" w:hanging="360"/>
      </w:pPr>
    </w:lvl>
    <w:lvl w:ilvl="3" w:tplc="52948C7C">
      <w:start w:val="1"/>
      <w:numFmt w:val="decimal"/>
      <w:lvlText w:val="%4."/>
      <w:lvlJc w:val="left"/>
      <w:pPr>
        <w:ind w:left="1020" w:hanging="360"/>
      </w:pPr>
    </w:lvl>
    <w:lvl w:ilvl="4" w:tplc="1D26C1C4">
      <w:start w:val="1"/>
      <w:numFmt w:val="decimal"/>
      <w:lvlText w:val="%5."/>
      <w:lvlJc w:val="left"/>
      <w:pPr>
        <w:ind w:left="1020" w:hanging="360"/>
      </w:pPr>
    </w:lvl>
    <w:lvl w:ilvl="5" w:tplc="07803DD6">
      <w:start w:val="1"/>
      <w:numFmt w:val="decimal"/>
      <w:lvlText w:val="%6."/>
      <w:lvlJc w:val="left"/>
      <w:pPr>
        <w:ind w:left="1020" w:hanging="360"/>
      </w:pPr>
    </w:lvl>
    <w:lvl w:ilvl="6" w:tplc="8D881B56">
      <w:start w:val="1"/>
      <w:numFmt w:val="decimal"/>
      <w:lvlText w:val="%7."/>
      <w:lvlJc w:val="left"/>
      <w:pPr>
        <w:ind w:left="1020" w:hanging="360"/>
      </w:pPr>
    </w:lvl>
    <w:lvl w:ilvl="7" w:tplc="0142917C">
      <w:start w:val="1"/>
      <w:numFmt w:val="decimal"/>
      <w:lvlText w:val="%8."/>
      <w:lvlJc w:val="left"/>
      <w:pPr>
        <w:ind w:left="1020" w:hanging="360"/>
      </w:pPr>
    </w:lvl>
    <w:lvl w:ilvl="8" w:tplc="B7082D9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C0A00A4"/>
    <w:multiLevelType w:val="hybridMultilevel"/>
    <w:tmpl w:val="97949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1E9"/>
    <w:multiLevelType w:val="hybridMultilevel"/>
    <w:tmpl w:val="389AC8A6"/>
    <w:lvl w:ilvl="0" w:tplc="259AD006">
      <w:start w:val="1"/>
      <w:numFmt w:val="decimal"/>
      <w:lvlText w:val="%1."/>
      <w:lvlJc w:val="left"/>
      <w:pPr>
        <w:ind w:left="1020" w:hanging="360"/>
      </w:pPr>
    </w:lvl>
    <w:lvl w:ilvl="1" w:tplc="30241C60">
      <w:start w:val="1"/>
      <w:numFmt w:val="decimal"/>
      <w:lvlText w:val="%2."/>
      <w:lvlJc w:val="left"/>
      <w:pPr>
        <w:ind w:left="1020" w:hanging="360"/>
      </w:pPr>
    </w:lvl>
    <w:lvl w:ilvl="2" w:tplc="0842401C">
      <w:start w:val="1"/>
      <w:numFmt w:val="decimal"/>
      <w:lvlText w:val="%3."/>
      <w:lvlJc w:val="left"/>
      <w:pPr>
        <w:ind w:left="1020" w:hanging="360"/>
      </w:pPr>
    </w:lvl>
    <w:lvl w:ilvl="3" w:tplc="DDA47CE2">
      <w:start w:val="1"/>
      <w:numFmt w:val="decimal"/>
      <w:lvlText w:val="%4."/>
      <w:lvlJc w:val="left"/>
      <w:pPr>
        <w:ind w:left="1020" w:hanging="360"/>
      </w:pPr>
    </w:lvl>
    <w:lvl w:ilvl="4" w:tplc="8F6A5CA4">
      <w:start w:val="1"/>
      <w:numFmt w:val="decimal"/>
      <w:lvlText w:val="%5."/>
      <w:lvlJc w:val="left"/>
      <w:pPr>
        <w:ind w:left="1020" w:hanging="360"/>
      </w:pPr>
    </w:lvl>
    <w:lvl w:ilvl="5" w:tplc="9550A5B6">
      <w:start w:val="1"/>
      <w:numFmt w:val="decimal"/>
      <w:lvlText w:val="%6."/>
      <w:lvlJc w:val="left"/>
      <w:pPr>
        <w:ind w:left="1020" w:hanging="360"/>
      </w:pPr>
    </w:lvl>
    <w:lvl w:ilvl="6" w:tplc="E97836DE">
      <w:start w:val="1"/>
      <w:numFmt w:val="decimal"/>
      <w:lvlText w:val="%7."/>
      <w:lvlJc w:val="left"/>
      <w:pPr>
        <w:ind w:left="1020" w:hanging="360"/>
      </w:pPr>
    </w:lvl>
    <w:lvl w:ilvl="7" w:tplc="4FFA85CC">
      <w:start w:val="1"/>
      <w:numFmt w:val="decimal"/>
      <w:lvlText w:val="%8."/>
      <w:lvlJc w:val="left"/>
      <w:pPr>
        <w:ind w:left="1020" w:hanging="360"/>
      </w:pPr>
    </w:lvl>
    <w:lvl w:ilvl="8" w:tplc="4EE86F6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354785C"/>
    <w:multiLevelType w:val="hybridMultilevel"/>
    <w:tmpl w:val="63704D7C"/>
    <w:lvl w:ilvl="0" w:tplc="05389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2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C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24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2F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84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C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06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F84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D3341A"/>
    <w:multiLevelType w:val="hybridMultilevel"/>
    <w:tmpl w:val="948C41E2"/>
    <w:lvl w:ilvl="0" w:tplc="476EC8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72A5"/>
    <w:multiLevelType w:val="hybridMultilevel"/>
    <w:tmpl w:val="E3408DC2"/>
    <w:lvl w:ilvl="0" w:tplc="B0683738">
      <w:start w:val="1"/>
      <w:numFmt w:val="decimal"/>
      <w:lvlText w:val="%1."/>
      <w:lvlJc w:val="left"/>
      <w:pPr>
        <w:ind w:left="1020" w:hanging="360"/>
      </w:pPr>
    </w:lvl>
    <w:lvl w:ilvl="1" w:tplc="A6802ABE">
      <w:start w:val="1"/>
      <w:numFmt w:val="decimal"/>
      <w:lvlText w:val="%2."/>
      <w:lvlJc w:val="left"/>
      <w:pPr>
        <w:ind w:left="1020" w:hanging="360"/>
      </w:pPr>
    </w:lvl>
    <w:lvl w:ilvl="2" w:tplc="2F74BCDC">
      <w:start w:val="1"/>
      <w:numFmt w:val="decimal"/>
      <w:lvlText w:val="%3."/>
      <w:lvlJc w:val="left"/>
      <w:pPr>
        <w:ind w:left="1020" w:hanging="360"/>
      </w:pPr>
    </w:lvl>
    <w:lvl w:ilvl="3" w:tplc="FE6ADC6E">
      <w:start w:val="1"/>
      <w:numFmt w:val="decimal"/>
      <w:lvlText w:val="%4."/>
      <w:lvlJc w:val="left"/>
      <w:pPr>
        <w:ind w:left="1020" w:hanging="360"/>
      </w:pPr>
    </w:lvl>
    <w:lvl w:ilvl="4" w:tplc="03029E9E">
      <w:start w:val="1"/>
      <w:numFmt w:val="decimal"/>
      <w:lvlText w:val="%5."/>
      <w:lvlJc w:val="left"/>
      <w:pPr>
        <w:ind w:left="1020" w:hanging="360"/>
      </w:pPr>
    </w:lvl>
    <w:lvl w:ilvl="5" w:tplc="90105E3E">
      <w:start w:val="1"/>
      <w:numFmt w:val="decimal"/>
      <w:lvlText w:val="%6."/>
      <w:lvlJc w:val="left"/>
      <w:pPr>
        <w:ind w:left="1020" w:hanging="360"/>
      </w:pPr>
    </w:lvl>
    <w:lvl w:ilvl="6" w:tplc="F4F2A512">
      <w:start w:val="1"/>
      <w:numFmt w:val="decimal"/>
      <w:lvlText w:val="%7."/>
      <w:lvlJc w:val="left"/>
      <w:pPr>
        <w:ind w:left="1020" w:hanging="360"/>
      </w:pPr>
    </w:lvl>
    <w:lvl w:ilvl="7" w:tplc="1100ACDA">
      <w:start w:val="1"/>
      <w:numFmt w:val="decimal"/>
      <w:lvlText w:val="%8."/>
      <w:lvlJc w:val="left"/>
      <w:pPr>
        <w:ind w:left="1020" w:hanging="360"/>
      </w:pPr>
    </w:lvl>
    <w:lvl w:ilvl="8" w:tplc="D44610F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CFF"/>
    <w:multiLevelType w:val="hybridMultilevel"/>
    <w:tmpl w:val="556C9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324A3"/>
    <w:multiLevelType w:val="hybridMultilevel"/>
    <w:tmpl w:val="72A46C1C"/>
    <w:lvl w:ilvl="0" w:tplc="0EEC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A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47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8B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8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0D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A5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25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252072"/>
    <w:multiLevelType w:val="hybridMultilevel"/>
    <w:tmpl w:val="FE1E5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5745">
    <w:abstractNumId w:val="8"/>
  </w:num>
  <w:num w:numId="2" w16cid:durableId="768818958">
    <w:abstractNumId w:val="8"/>
    <w:lvlOverride w:ilvl="0">
      <w:startOverride w:val="1"/>
    </w:lvlOverride>
  </w:num>
  <w:num w:numId="3" w16cid:durableId="1890258398">
    <w:abstractNumId w:val="8"/>
    <w:lvlOverride w:ilvl="0">
      <w:startOverride w:val="1"/>
    </w:lvlOverride>
  </w:num>
  <w:num w:numId="4" w16cid:durableId="649091149">
    <w:abstractNumId w:val="10"/>
  </w:num>
  <w:num w:numId="5" w16cid:durableId="934098631">
    <w:abstractNumId w:val="3"/>
  </w:num>
  <w:num w:numId="6" w16cid:durableId="151024048">
    <w:abstractNumId w:val="8"/>
    <w:lvlOverride w:ilvl="0">
      <w:startOverride w:val="1"/>
    </w:lvlOverride>
  </w:num>
  <w:num w:numId="7" w16cid:durableId="1836610287">
    <w:abstractNumId w:val="8"/>
    <w:lvlOverride w:ilvl="0">
      <w:startOverride w:val="1"/>
    </w:lvlOverride>
  </w:num>
  <w:num w:numId="8" w16cid:durableId="2006547766">
    <w:abstractNumId w:val="8"/>
    <w:lvlOverride w:ilvl="0">
      <w:startOverride w:val="1"/>
    </w:lvlOverride>
  </w:num>
  <w:num w:numId="9" w16cid:durableId="1379822385">
    <w:abstractNumId w:val="12"/>
  </w:num>
  <w:num w:numId="10" w16cid:durableId="1276981909">
    <w:abstractNumId w:val="9"/>
  </w:num>
  <w:num w:numId="11" w16cid:durableId="1977682116">
    <w:abstractNumId w:val="10"/>
  </w:num>
  <w:num w:numId="12" w16cid:durableId="1696269951">
    <w:abstractNumId w:val="10"/>
  </w:num>
  <w:num w:numId="13" w16cid:durableId="1555584703">
    <w:abstractNumId w:val="0"/>
  </w:num>
  <w:num w:numId="14" w16cid:durableId="366376057">
    <w:abstractNumId w:val="11"/>
  </w:num>
  <w:num w:numId="15" w16cid:durableId="1909922326">
    <w:abstractNumId w:val="5"/>
  </w:num>
  <w:num w:numId="16" w16cid:durableId="2124684593">
    <w:abstractNumId w:val="4"/>
  </w:num>
  <w:num w:numId="17" w16cid:durableId="906037808">
    <w:abstractNumId w:val="2"/>
  </w:num>
  <w:num w:numId="18" w16cid:durableId="1378120932">
    <w:abstractNumId w:val="6"/>
  </w:num>
  <w:num w:numId="19" w16cid:durableId="219564270">
    <w:abstractNumId w:val="1"/>
  </w:num>
  <w:num w:numId="20" w16cid:durableId="1372995176">
    <w:abstractNumId w:val="7"/>
  </w:num>
  <w:num w:numId="21" w16cid:durableId="1477331210">
    <w:abstractNumId w:val="0"/>
  </w:num>
  <w:num w:numId="22" w16cid:durableId="8074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00213"/>
    <w:rsid w:val="0000077E"/>
    <w:rsid w:val="00017776"/>
    <w:rsid w:val="00020A98"/>
    <w:rsid w:val="00021DCB"/>
    <w:rsid w:val="00025428"/>
    <w:rsid w:val="00025DF3"/>
    <w:rsid w:val="00030679"/>
    <w:rsid w:val="00045E13"/>
    <w:rsid w:val="000502CA"/>
    <w:rsid w:val="00055F8D"/>
    <w:rsid w:val="00065484"/>
    <w:rsid w:val="00065ACF"/>
    <w:rsid w:val="0007092D"/>
    <w:rsid w:val="00074F02"/>
    <w:rsid w:val="00077882"/>
    <w:rsid w:val="00080BCC"/>
    <w:rsid w:val="00094F36"/>
    <w:rsid w:val="000A3684"/>
    <w:rsid w:val="000B0889"/>
    <w:rsid w:val="000B7CE5"/>
    <w:rsid w:val="000C11C2"/>
    <w:rsid w:val="000C1AA4"/>
    <w:rsid w:val="000C6D02"/>
    <w:rsid w:val="000E5A2E"/>
    <w:rsid w:val="000F1407"/>
    <w:rsid w:val="0010098A"/>
    <w:rsid w:val="00100CEB"/>
    <w:rsid w:val="00123E7B"/>
    <w:rsid w:val="00130FA7"/>
    <w:rsid w:val="00133CD1"/>
    <w:rsid w:val="001405B7"/>
    <w:rsid w:val="00144289"/>
    <w:rsid w:val="00152BF7"/>
    <w:rsid w:val="00155730"/>
    <w:rsid w:val="00155F76"/>
    <w:rsid w:val="00156F0A"/>
    <w:rsid w:val="00163AE3"/>
    <w:rsid w:val="001869DB"/>
    <w:rsid w:val="0019463F"/>
    <w:rsid w:val="00197CF8"/>
    <w:rsid w:val="001A3856"/>
    <w:rsid w:val="001B17AF"/>
    <w:rsid w:val="001B3A98"/>
    <w:rsid w:val="001B3B4C"/>
    <w:rsid w:val="001B3D6A"/>
    <w:rsid w:val="001B461C"/>
    <w:rsid w:val="001D0846"/>
    <w:rsid w:val="001D29C1"/>
    <w:rsid w:val="001D7F3A"/>
    <w:rsid w:val="001E0A36"/>
    <w:rsid w:val="001E0D67"/>
    <w:rsid w:val="001E6A8F"/>
    <w:rsid w:val="00206BB9"/>
    <w:rsid w:val="00207697"/>
    <w:rsid w:val="0021791D"/>
    <w:rsid w:val="00222C6E"/>
    <w:rsid w:val="00232977"/>
    <w:rsid w:val="00232F10"/>
    <w:rsid w:val="00233F1A"/>
    <w:rsid w:val="00235C52"/>
    <w:rsid w:val="0023702A"/>
    <w:rsid w:val="0024216F"/>
    <w:rsid w:val="002449A4"/>
    <w:rsid w:val="00246196"/>
    <w:rsid w:val="00261D8C"/>
    <w:rsid w:val="00265727"/>
    <w:rsid w:val="00274B14"/>
    <w:rsid w:val="002903BA"/>
    <w:rsid w:val="00290E4E"/>
    <w:rsid w:val="002923D5"/>
    <w:rsid w:val="00292A6D"/>
    <w:rsid w:val="002965B1"/>
    <w:rsid w:val="002A027E"/>
    <w:rsid w:val="002A03E7"/>
    <w:rsid w:val="002C03C0"/>
    <w:rsid w:val="002C1236"/>
    <w:rsid w:val="002C1E1B"/>
    <w:rsid w:val="002F21F5"/>
    <w:rsid w:val="002F3A6A"/>
    <w:rsid w:val="002F5FC8"/>
    <w:rsid w:val="002F65B2"/>
    <w:rsid w:val="0030387C"/>
    <w:rsid w:val="00306A56"/>
    <w:rsid w:val="00306BCA"/>
    <w:rsid w:val="003108B2"/>
    <w:rsid w:val="003109D4"/>
    <w:rsid w:val="0032242F"/>
    <w:rsid w:val="003227DD"/>
    <w:rsid w:val="00327C4D"/>
    <w:rsid w:val="00332955"/>
    <w:rsid w:val="00341FBF"/>
    <w:rsid w:val="00343F6F"/>
    <w:rsid w:val="00344586"/>
    <w:rsid w:val="00353A69"/>
    <w:rsid w:val="00353EBF"/>
    <w:rsid w:val="003575EF"/>
    <w:rsid w:val="00357C23"/>
    <w:rsid w:val="00363489"/>
    <w:rsid w:val="00374A03"/>
    <w:rsid w:val="00375EA4"/>
    <w:rsid w:val="003816EA"/>
    <w:rsid w:val="003872A8"/>
    <w:rsid w:val="003A1CEC"/>
    <w:rsid w:val="003C0D0F"/>
    <w:rsid w:val="003C2851"/>
    <w:rsid w:val="003C29FC"/>
    <w:rsid w:val="003C4C08"/>
    <w:rsid w:val="003C5770"/>
    <w:rsid w:val="003D6A1F"/>
    <w:rsid w:val="003F62F1"/>
    <w:rsid w:val="0040062A"/>
    <w:rsid w:val="00401597"/>
    <w:rsid w:val="00402038"/>
    <w:rsid w:val="004041C7"/>
    <w:rsid w:val="00413D08"/>
    <w:rsid w:val="00426B9A"/>
    <w:rsid w:val="0043194D"/>
    <w:rsid w:val="00432798"/>
    <w:rsid w:val="004411D8"/>
    <w:rsid w:val="00443150"/>
    <w:rsid w:val="00444134"/>
    <w:rsid w:val="004516E0"/>
    <w:rsid w:val="00461828"/>
    <w:rsid w:val="004641A7"/>
    <w:rsid w:val="0046667F"/>
    <w:rsid w:val="00467643"/>
    <w:rsid w:val="004740DD"/>
    <w:rsid w:val="00480980"/>
    <w:rsid w:val="004A0B2C"/>
    <w:rsid w:val="004A4242"/>
    <w:rsid w:val="004B2F7F"/>
    <w:rsid w:val="004C24E5"/>
    <w:rsid w:val="004C403F"/>
    <w:rsid w:val="004D0049"/>
    <w:rsid w:val="004D1D85"/>
    <w:rsid w:val="004D38A2"/>
    <w:rsid w:val="004D49FE"/>
    <w:rsid w:val="004E2304"/>
    <w:rsid w:val="004E6FA1"/>
    <w:rsid w:val="004F6FEF"/>
    <w:rsid w:val="00504A46"/>
    <w:rsid w:val="00511714"/>
    <w:rsid w:val="00512678"/>
    <w:rsid w:val="00513FF9"/>
    <w:rsid w:val="00515159"/>
    <w:rsid w:val="00516736"/>
    <w:rsid w:val="00521152"/>
    <w:rsid w:val="005220C7"/>
    <w:rsid w:val="005258B3"/>
    <w:rsid w:val="0053464B"/>
    <w:rsid w:val="00545268"/>
    <w:rsid w:val="005633C2"/>
    <w:rsid w:val="00580059"/>
    <w:rsid w:val="00585B8E"/>
    <w:rsid w:val="00592C35"/>
    <w:rsid w:val="00592E1A"/>
    <w:rsid w:val="00595180"/>
    <w:rsid w:val="005A4153"/>
    <w:rsid w:val="005C1974"/>
    <w:rsid w:val="005C1BC9"/>
    <w:rsid w:val="005E2754"/>
    <w:rsid w:val="005E65BF"/>
    <w:rsid w:val="005F7B84"/>
    <w:rsid w:val="00615E29"/>
    <w:rsid w:val="00616B35"/>
    <w:rsid w:val="00633110"/>
    <w:rsid w:val="006337A3"/>
    <w:rsid w:val="00634CC1"/>
    <w:rsid w:val="00645688"/>
    <w:rsid w:val="0066074C"/>
    <w:rsid w:val="00661961"/>
    <w:rsid w:val="00665E07"/>
    <w:rsid w:val="0066646F"/>
    <w:rsid w:val="00671161"/>
    <w:rsid w:val="00685065"/>
    <w:rsid w:val="00687044"/>
    <w:rsid w:val="006927FF"/>
    <w:rsid w:val="006A1920"/>
    <w:rsid w:val="006A3040"/>
    <w:rsid w:val="006A721C"/>
    <w:rsid w:val="006A7998"/>
    <w:rsid w:val="006A7D3F"/>
    <w:rsid w:val="006B1B6F"/>
    <w:rsid w:val="006B7E81"/>
    <w:rsid w:val="006C13E7"/>
    <w:rsid w:val="006D49BC"/>
    <w:rsid w:val="007018A3"/>
    <w:rsid w:val="00702718"/>
    <w:rsid w:val="00704573"/>
    <w:rsid w:val="0071149B"/>
    <w:rsid w:val="00712C82"/>
    <w:rsid w:val="00714A8C"/>
    <w:rsid w:val="0072314C"/>
    <w:rsid w:val="007332ED"/>
    <w:rsid w:val="0074282A"/>
    <w:rsid w:val="0076381C"/>
    <w:rsid w:val="007667C5"/>
    <w:rsid w:val="00766FF5"/>
    <w:rsid w:val="00770B31"/>
    <w:rsid w:val="00771669"/>
    <w:rsid w:val="00780DC2"/>
    <w:rsid w:val="007834DF"/>
    <w:rsid w:val="00790F87"/>
    <w:rsid w:val="00791418"/>
    <w:rsid w:val="0079728E"/>
    <w:rsid w:val="007C5166"/>
    <w:rsid w:val="007C76D3"/>
    <w:rsid w:val="007D221D"/>
    <w:rsid w:val="007D3457"/>
    <w:rsid w:val="007D43DA"/>
    <w:rsid w:val="007D522F"/>
    <w:rsid w:val="007D53CA"/>
    <w:rsid w:val="007D5547"/>
    <w:rsid w:val="007F312B"/>
    <w:rsid w:val="007F6492"/>
    <w:rsid w:val="008009CE"/>
    <w:rsid w:val="00801B1F"/>
    <w:rsid w:val="00827BFC"/>
    <w:rsid w:val="0083220B"/>
    <w:rsid w:val="00845374"/>
    <w:rsid w:val="008519E9"/>
    <w:rsid w:val="00865EA9"/>
    <w:rsid w:val="008662C1"/>
    <w:rsid w:val="00870A3F"/>
    <w:rsid w:val="008714F6"/>
    <w:rsid w:val="008728F0"/>
    <w:rsid w:val="00872BCB"/>
    <w:rsid w:val="00877949"/>
    <w:rsid w:val="00890C17"/>
    <w:rsid w:val="00892737"/>
    <w:rsid w:val="00895DD6"/>
    <w:rsid w:val="008A1F79"/>
    <w:rsid w:val="008A226C"/>
    <w:rsid w:val="008A403B"/>
    <w:rsid w:val="008A7873"/>
    <w:rsid w:val="008A7880"/>
    <w:rsid w:val="008B0839"/>
    <w:rsid w:val="008B0F13"/>
    <w:rsid w:val="008B1B19"/>
    <w:rsid w:val="008B68E7"/>
    <w:rsid w:val="008C2F65"/>
    <w:rsid w:val="008C3BB8"/>
    <w:rsid w:val="008D25CF"/>
    <w:rsid w:val="008E290E"/>
    <w:rsid w:val="00900C4B"/>
    <w:rsid w:val="00901F0F"/>
    <w:rsid w:val="009026A6"/>
    <w:rsid w:val="00907E14"/>
    <w:rsid w:val="0091100D"/>
    <w:rsid w:val="0092201F"/>
    <w:rsid w:val="00947AD0"/>
    <w:rsid w:val="00950DA9"/>
    <w:rsid w:val="009526F7"/>
    <w:rsid w:val="0095495A"/>
    <w:rsid w:val="0095740E"/>
    <w:rsid w:val="00965509"/>
    <w:rsid w:val="009840B5"/>
    <w:rsid w:val="00987B18"/>
    <w:rsid w:val="0099135A"/>
    <w:rsid w:val="009952A4"/>
    <w:rsid w:val="009A030D"/>
    <w:rsid w:val="009A649F"/>
    <w:rsid w:val="009B2A87"/>
    <w:rsid w:val="009C29CC"/>
    <w:rsid w:val="009D13AB"/>
    <w:rsid w:val="009D554C"/>
    <w:rsid w:val="009D7B89"/>
    <w:rsid w:val="009F4957"/>
    <w:rsid w:val="00A01D6E"/>
    <w:rsid w:val="00A13FC0"/>
    <w:rsid w:val="00A17774"/>
    <w:rsid w:val="00A2698E"/>
    <w:rsid w:val="00A4001E"/>
    <w:rsid w:val="00A4170D"/>
    <w:rsid w:val="00A5228E"/>
    <w:rsid w:val="00A534C8"/>
    <w:rsid w:val="00A6347B"/>
    <w:rsid w:val="00A63A07"/>
    <w:rsid w:val="00A66893"/>
    <w:rsid w:val="00A735CF"/>
    <w:rsid w:val="00A7750B"/>
    <w:rsid w:val="00A77A54"/>
    <w:rsid w:val="00AA2162"/>
    <w:rsid w:val="00AA4C38"/>
    <w:rsid w:val="00AA6ACC"/>
    <w:rsid w:val="00AB188E"/>
    <w:rsid w:val="00AB2834"/>
    <w:rsid w:val="00AB3D06"/>
    <w:rsid w:val="00AC6062"/>
    <w:rsid w:val="00AC7A86"/>
    <w:rsid w:val="00AE166C"/>
    <w:rsid w:val="00AF7C26"/>
    <w:rsid w:val="00B057A4"/>
    <w:rsid w:val="00B12A73"/>
    <w:rsid w:val="00B33372"/>
    <w:rsid w:val="00B35181"/>
    <w:rsid w:val="00B354FD"/>
    <w:rsid w:val="00B36FC8"/>
    <w:rsid w:val="00B45010"/>
    <w:rsid w:val="00B4776F"/>
    <w:rsid w:val="00B54BE6"/>
    <w:rsid w:val="00B578F2"/>
    <w:rsid w:val="00B76033"/>
    <w:rsid w:val="00B772ED"/>
    <w:rsid w:val="00B818B4"/>
    <w:rsid w:val="00B92A48"/>
    <w:rsid w:val="00BB6C40"/>
    <w:rsid w:val="00BB7E09"/>
    <w:rsid w:val="00BC50D3"/>
    <w:rsid w:val="00BD1D28"/>
    <w:rsid w:val="00BE7DC3"/>
    <w:rsid w:val="00C02DDF"/>
    <w:rsid w:val="00C02F9A"/>
    <w:rsid w:val="00C107A8"/>
    <w:rsid w:val="00C12648"/>
    <w:rsid w:val="00C13173"/>
    <w:rsid w:val="00C33441"/>
    <w:rsid w:val="00C33D8D"/>
    <w:rsid w:val="00C403E0"/>
    <w:rsid w:val="00C40760"/>
    <w:rsid w:val="00C41C95"/>
    <w:rsid w:val="00C52EC4"/>
    <w:rsid w:val="00C60EBF"/>
    <w:rsid w:val="00C700DC"/>
    <w:rsid w:val="00C71682"/>
    <w:rsid w:val="00C77021"/>
    <w:rsid w:val="00C80E1E"/>
    <w:rsid w:val="00C8771C"/>
    <w:rsid w:val="00C90D22"/>
    <w:rsid w:val="00C94B61"/>
    <w:rsid w:val="00CB02DE"/>
    <w:rsid w:val="00CB23F5"/>
    <w:rsid w:val="00CB7C57"/>
    <w:rsid w:val="00CC2B03"/>
    <w:rsid w:val="00CC4616"/>
    <w:rsid w:val="00CC5EEC"/>
    <w:rsid w:val="00CD19DE"/>
    <w:rsid w:val="00CD260F"/>
    <w:rsid w:val="00CD624F"/>
    <w:rsid w:val="00CE17C9"/>
    <w:rsid w:val="00CF14DB"/>
    <w:rsid w:val="00CF2F96"/>
    <w:rsid w:val="00CF56CE"/>
    <w:rsid w:val="00CF5E36"/>
    <w:rsid w:val="00D00C4E"/>
    <w:rsid w:val="00D1292B"/>
    <w:rsid w:val="00D13E7A"/>
    <w:rsid w:val="00D21205"/>
    <w:rsid w:val="00D24542"/>
    <w:rsid w:val="00D26781"/>
    <w:rsid w:val="00D3023D"/>
    <w:rsid w:val="00D32B6E"/>
    <w:rsid w:val="00D34ADE"/>
    <w:rsid w:val="00D44CAE"/>
    <w:rsid w:val="00D479BF"/>
    <w:rsid w:val="00D5007C"/>
    <w:rsid w:val="00D50262"/>
    <w:rsid w:val="00D51D2E"/>
    <w:rsid w:val="00D53B69"/>
    <w:rsid w:val="00D6301C"/>
    <w:rsid w:val="00D700C8"/>
    <w:rsid w:val="00D708FA"/>
    <w:rsid w:val="00D76E39"/>
    <w:rsid w:val="00D93F61"/>
    <w:rsid w:val="00DA3F0A"/>
    <w:rsid w:val="00DA6024"/>
    <w:rsid w:val="00DB608B"/>
    <w:rsid w:val="00DC3C96"/>
    <w:rsid w:val="00DF1200"/>
    <w:rsid w:val="00DF6BF7"/>
    <w:rsid w:val="00DF79EE"/>
    <w:rsid w:val="00E03446"/>
    <w:rsid w:val="00E035AF"/>
    <w:rsid w:val="00E07E75"/>
    <w:rsid w:val="00E100FE"/>
    <w:rsid w:val="00E13AE1"/>
    <w:rsid w:val="00E363E8"/>
    <w:rsid w:val="00E467E1"/>
    <w:rsid w:val="00E50E59"/>
    <w:rsid w:val="00E5168F"/>
    <w:rsid w:val="00E61F75"/>
    <w:rsid w:val="00E62203"/>
    <w:rsid w:val="00E71426"/>
    <w:rsid w:val="00E718E5"/>
    <w:rsid w:val="00E83793"/>
    <w:rsid w:val="00E84101"/>
    <w:rsid w:val="00EA5A18"/>
    <w:rsid w:val="00EA636B"/>
    <w:rsid w:val="00EB31D3"/>
    <w:rsid w:val="00EC1229"/>
    <w:rsid w:val="00EC28B8"/>
    <w:rsid w:val="00EE0299"/>
    <w:rsid w:val="00EE32FE"/>
    <w:rsid w:val="00EF025A"/>
    <w:rsid w:val="00F10E13"/>
    <w:rsid w:val="00F119EF"/>
    <w:rsid w:val="00F12B1C"/>
    <w:rsid w:val="00F13436"/>
    <w:rsid w:val="00F17335"/>
    <w:rsid w:val="00F24563"/>
    <w:rsid w:val="00F40F77"/>
    <w:rsid w:val="00F46B16"/>
    <w:rsid w:val="00F63247"/>
    <w:rsid w:val="00F65F39"/>
    <w:rsid w:val="00F74B5D"/>
    <w:rsid w:val="00F76B6A"/>
    <w:rsid w:val="00F83FB0"/>
    <w:rsid w:val="00F959D5"/>
    <w:rsid w:val="00FA5921"/>
    <w:rsid w:val="00FA6592"/>
    <w:rsid w:val="00FB22C4"/>
    <w:rsid w:val="00FC00A2"/>
    <w:rsid w:val="00FC77FE"/>
    <w:rsid w:val="00FF1544"/>
    <w:rsid w:val="00FF26DC"/>
    <w:rsid w:val="00FF28D3"/>
    <w:rsid w:val="00FF4863"/>
    <w:rsid w:val="00FF795D"/>
    <w:rsid w:val="03533D87"/>
    <w:rsid w:val="3186DCE0"/>
    <w:rsid w:val="43B5191B"/>
    <w:rsid w:val="534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4:defaultImageDpi w14:val="32767"/>
  <w15:chartTrackingRefBased/>
  <w15:docId w15:val="{65C3616F-E487-4A42-8DBD-C4C50C3D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01"/>
    <w:pPr>
      <w:spacing w:before="120" w:after="12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509"/>
    <w:pPr>
      <w:spacing w:before="0"/>
      <w:outlineLvl w:val="1"/>
    </w:pPr>
    <w:rPr>
      <w:b w:val="0"/>
      <w:caps w:val="0"/>
      <w:sz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5E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5EF"/>
    <w:pPr>
      <w:keepNext/>
      <w:keepLines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 w:val="0"/>
      <w:bCs/>
      <w:caps w:val="0"/>
      <w:color w:val="313E48"/>
      <w:sz w:val="40"/>
      <w:szCs w:val="40"/>
    </w:rPr>
  </w:style>
  <w:style w:type="paragraph" w:customStyle="1" w:styleId="BodyCopy">
    <w:name w:val="Body Copy"/>
    <w:next w:val="Normal"/>
    <w:qFormat/>
    <w:rsid w:val="003575EF"/>
    <w:pPr>
      <w:spacing w:before="40" w:after="120"/>
    </w:pPr>
    <w:rPr>
      <w:rFonts w:ascii="Calibri Light" w:hAnsi="Calibri Light" w:cs="Calibri Light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 w:val="0"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771669"/>
    <w:pPr>
      <w:spacing w:before="120" w:after="120"/>
    </w:pPr>
    <w:rPr>
      <w:rFonts w:asciiTheme="minorHAnsi" w:hAnsiTheme="minorHAnsi" w:cstheme="minorHAnsi"/>
      <w:b w:val="0"/>
      <w:bCs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D32B6E"/>
    <w:pPr>
      <w:numPr>
        <w:numId w:val="1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D32B6E"/>
    <w:pPr>
      <w:numPr>
        <w:numId w:val="4"/>
      </w:numPr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71669"/>
    <w:pPr>
      <w:spacing w:before="0"/>
    </w:pPr>
    <w:rPr>
      <w:rFonts w:asciiTheme="minorHAnsi" w:hAnsiTheme="minorHAnsi" w:cstheme="minorHAnsi"/>
      <w:b/>
      <w:bCs/>
      <w:sz w:val="20"/>
    </w:rPr>
  </w:style>
  <w:style w:type="paragraph" w:customStyle="1" w:styleId="TableBodyCopy">
    <w:name w:val="Table Body Copy"/>
    <w:basedOn w:val="Normal"/>
    <w:next w:val="Normal"/>
    <w:qFormat/>
    <w:rsid w:val="009D13AB"/>
    <w:pPr>
      <w:spacing w:before="0" w:after="0"/>
    </w:pPr>
    <w:rPr>
      <w:sz w:val="20"/>
    </w:r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47763B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04573"/>
    <w:rPr>
      <w:rFonts w:asciiTheme="majorHAnsi" w:eastAsiaTheme="majorEastAsia" w:hAnsiTheme="majorHAnsi" w:cstheme="majorBidi"/>
      <w:b/>
      <w:cap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65509"/>
    <w:rPr>
      <w:rFonts w:asciiTheme="majorHAnsi" w:eastAsiaTheme="majorEastAsia" w:hAnsiTheme="majorHAnsi" w:cstheme="majorBidi"/>
      <w:sz w:val="96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575EF"/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75EF"/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00837C" w:themeColor="accent1"/>
    </w:rPr>
  </w:style>
  <w:style w:type="table" w:styleId="ListTable4-Accent4">
    <w:name w:val="List Table 4 Accent 4"/>
    <w:basedOn w:val="TableNormal"/>
    <w:uiPriority w:val="49"/>
    <w:rsid w:val="004516E0"/>
    <w:tblPr>
      <w:tblStyleRowBandSize w:val="1"/>
      <w:tblStyleColBandSize w:val="1"/>
      <w:tblBorders>
        <w:top w:val="single" w:sz="4" w:space="0" w:color="F3CC79" w:themeColor="accent4" w:themeTint="99"/>
        <w:left w:val="single" w:sz="4" w:space="0" w:color="F3CC79" w:themeColor="accent4" w:themeTint="99"/>
        <w:bottom w:val="single" w:sz="4" w:space="0" w:color="F3CC79" w:themeColor="accent4" w:themeTint="99"/>
        <w:right w:val="single" w:sz="4" w:space="0" w:color="F3CC79" w:themeColor="accent4" w:themeTint="99"/>
        <w:insideH w:val="single" w:sz="4" w:space="0" w:color="F3CC7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B21" w:themeColor="accent4"/>
          <w:left w:val="single" w:sz="4" w:space="0" w:color="EBAB21" w:themeColor="accent4"/>
          <w:bottom w:val="single" w:sz="4" w:space="0" w:color="EBAB21" w:themeColor="accent4"/>
          <w:right w:val="single" w:sz="4" w:space="0" w:color="EBAB21" w:themeColor="accent4"/>
          <w:insideH w:val="nil"/>
        </w:tcBorders>
        <w:shd w:val="clear" w:color="auto" w:fill="EBAB21" w:themeFill="accent4"/>
      </w:tcPr>
    </w:tblStylePr>
    <w:tblStylePr w:type="lastRow">
      <w:rPr>
        <w:b/>
        <w:bCs/>
      </w:rPr>
      <w:tblPr/>
      <w:tcPr>
        <w:tcBorders>
          <w:top w:val="double" w:sz="4" w:space="0" w:color="F3CC7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4" w:themeFillTint="33"/>
      </w:tcPr>
    </w:tblStylePr>
    <w:tblStylePr w:type="band1Horz">
      <w:tblPr/>
      <w:tcPr>
        <w:shd w:val="clear" w:color="auto" w:fill="FBEED2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E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E1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45E13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575EF"/>
    <w:pPr>
      <w:numPr>
        <w:numId w:val="1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84101"/>
    <w:pPr>
      <w:spacing w:before="0" w:after="200" w:line="240" w:lineRule="auto"/>
    </w:pPr>
    <w:rPr>
      <w:i/>
      <w:iCs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84101"/>
    <w:pPr>
      <w:spacing w:before="0" w:after="0" w:line="240" w:lineRule="auto"/>
      <w:ind w:left="660" w:hanging="220"/>
    </w:pPr>
  </w:style>
  <w:style w:type="paragraph" w:customStyle="1" w:styleId="Overview">
    <w:name w:val="Overview"/>
    <w:basedOn w:val="Normal"/>
    <w:qFormat/>
    <w:rsid w:val="00F24563"/>
    <w:pPr>
      <w:pBdr>
        <w:top w:val="single" w:sz="4" w:space="1" w:color="auto"/>
        <w:bottom w:val="single" w:sz="4" w:space="1" w:color="auto"/>
      </w:pBdr>
      <w:shd w:val="clear" w:color="auto" w:fill="D6E8D2" w:themeFill="accent2" w:themeFillTint="33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13E7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00CEB"/>
    <w:rPr>
      <w:color w:val="034A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458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5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DFAT Colour palette">
      <a:dk1>
        <a:srgbClr val="313E48"/>
      </a:dk1>
      <a:lt1>
        <a:sysClr val="window" lastClr="FFFFFF"/>
      </a:lt1>
      <a:dk2>
        <a:srgbClr val="3A586E"/>
      </a:dk2>
      <a:lt2>
        <a:srgbClr val="CFD3D3"/>
      </a:lt2>
      <a:accent1>
        <a:srgbClr val="00837C"/>
      </a:accent1>
      <a:accent2>
        <a:srgbClr val="47763B"/>
      </a:accent2>
      <a:accent3>
        <a:srgbClr val="AA5739"/>
      </a:accent3>
      <a:accent4>
        <a:srgbClr val="EBAB21"/>
      </a:accent4>
      <a:accent5>
        <a:srgbClr val="065157"/>
      </a:accent5>
      <a:accent6>
        <a:srgbClr val="014429"/>
      </a:accent6>
      <a:hlink>
        <a:srgbClr val="034A9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ae4e0-94e8-4b28-8f95-861d59f7ae70" xsi:nil="true"/>
    <lcf76f155ced4ddcb4097134ff3c332f xmlns="99303871-8934-4198-a088-14ac5c5d1c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D63B06336DD48B4944551E1A7B4D8" ma:contentTypeVersion="17" ma:contentTypeDescription="Create a new document." ma:contentTypeScope="" ma:versionID="c1a333d4e903e34c23f0605c9024b49d">
  <xsd:schema xmlns:xsd="http://www.w3.org/2001/XMLSchema" xmlns:xs="http://www.w3.org/2001/XMLSchema" xmlns:p="http://schemas.microsoft.com/office/2006/metadata/properties" xmlns:ns2="99303871-8934-4198-a088-14ac5c5d1c31" xmlns:ns3="6f2ae4e0-94e8-4b28-8f95-861d59f7ae70" targetNamespace="http://schemas.microsoft.com/office/2006/metadata/properties" ma:root="true" ma:fieldsID="50b6f57787fb9933e749b1241302e2ad" ns2:_="" ns3:_="">
    <xsd:import namespace="99303871-8934-4198-a088-14ac5c5d1c31"/>
    <xsd:import namespace="6f2ae4e0-94e8-4b28-8f95-861d59f7a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3871-8934-4198-a088-14ac5c5d1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e4e0-94e8-4b28-8f95-861d59f7a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809fa2-c2da-453f-9c3e-eead0055a1b0}" ma:internalName="TaxCatchAll" ma:showField="CatchAllData" ma:web="6f2ae4e0-94e8-4b28-8f95-861d59f7a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9F171-59A6-4022-A46D-27C25069926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6f2ae4e0-94e8-4b28-8f95-861d59f7ae70"/>
    <ds:schemaRef ds:uri="99303871-8934-4198-a088-14ac5c5d1c3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0618DC-A08C-4C5C-9A07-FABF52023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957CD-9E45-4FF4-B903-9A144DD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3871-8934-4198-a088-14ac5c5d1c31"/>
    <ds:schemaRef ds:uri="6f2ae4e0-94e8-4b28-8f95-861d59f7a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2541</Characters>
  <Application>Microsoft Office Word</Application>
  <DocSecurity>0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[Country] Development Coorporation Facsheet 2025-26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Development Coorporation Facsheet 2025-26</dc:title>
  <dc:subject>Development Coorporation Facsheet 2025-26</dc:subject>
  <dc:creator>Department of Foreign Affairs and Trade</dc:creator>
  <cp:keywords>International development; development coorperation; DFAT, Australian Aid; Australian Department of Foreign Affairs and Trade; ODA; Australian Government [SEC=OFFICIAL]</cp:keywords>
  <dc:description/>
  <cp:lastModifiedBy>Linda Roche</cp:lastModifiedBy>
  <cp:revision>25</cp:revision>
  <dcterms:created xsi:type="dcterms:W3CDTF">2025-05-13T20:17:00Z</dcterms:created>
  <dcterms:modified xsi:type="dcterms:W3CDTF">2025-05-16T07:13:00Z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or_Hash_SHA1">
    <vt:lpwstr>4DFB2A45D0ABC223771DA158D4192358D096AA7E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PM_Display">
    <vt:lpwstr>OFFICIAL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OriginatorUserAccountName_SHA256">
    <vt:lpwstr>2FBBEB0D07DA66FB32ADEBC0EE9E9C465FDB83D3B7358F7A76537B8BF5FB863E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_Caveats_Count">
    <vt:lpwstr>0</vt:lpwstr>
  </property>
  <property fmtid="{D5CDD505-2E9C-101B-9397-08002B2CF9AE}" pid="25" name="ContentTypeId">
    <vt:lpwstr>0x010100D6BD63B06336DD48B4944551E1A7B4D8</vt:lpwstr>
  </property>
  <property fmtid="{D5CDD505-2E9C-101B-9397-08002B2CF9AE}" pid="26" name="MediaServiceImageTags">
    <vt:lpwstr/>
  </property>
  <property fmtid="{D5CDD505-2E9C-101B-9397-08002B2CF9AE}" pid="27" name="PMHMAC">
    <vt:lpwstr>v=2022.1;a=SHA256;h=322D603EABDF1D5426FD7063BD7FC7EF3E26A66C041DCCB27C51B97ABD4C1B5F</vt:lpwstr>
  </property>
  <property fmtid="{D5CDD505-2E9C-101B-9397-08002B2CF9AE}" pid="28" name="PM_Hash_Salt_Prev">
    <vt:lpwstr>6536F02B3757627B2C17EBCF950682D4</vt:lpwstr>
  </property>
  <property fmtid="{D5CDD505-2E9C-101B-9397-08002B2CF9AE}" pid="29" name="PM_Hash_Salt">
    <vt:lpwstr>324B047200EE9E496F28E04FFA06AED6</vt:lpwstr>
  </property>
  <property fmtid="{D5CDD505-2E9C-101B-9397-08002B2CF9AE}" pid="30" name="PM_Hash_SHA1">
    <vt:lpwstr>74FD893BE086A08774BE13F2E590ECB04C1A5AA8</vt:lpwstr>
  </property>
</Properties>
</file>