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E4F4" w14:textId="77777777" w:rsidR="00545268" w:rsidRPr="00545268" w:rsidRDefault="004516E0" w:rsidP="00545268">
      <w:pPr>
        <w:pStyle w:val="Heading1"/>
      </w:pPr>
      <w:r w:rsidRPr="00545268">
        <w:t>Development Cooperation Factsheet</w:t>
      </w:r>
    </w:p>
    <w:p w14:paraId="5C1E2F15" w14:textId="6C1FF6C9" w:rsidR="00E84101" w:rsidRPr="00E84101" w:rsidRDefault="00631C5E" w:rsidP="0091100D">
      <w:pPr>
        <w:pStyle w:val="Heading2"/>
        <w:rPr>
          <w:rStyle w:val="Heading2Char"/>
          <w:sz w:val="80"/>
          <w:szCs w:val="80"/>
        </w:rPr>
      </w:pPr>
      <w:r>
        <w:rPr>
          <w:rStyle w:val="Heading2Char"/>
          <w:sz w:val="80"/>
          <w:szCs w:val="80"/>
        </w:rPr>
        <w:t>Gender Equality</w:t>
      </w:r>
    </w:p>
    <w:p w14:paraId="579AFDE6" w14:textId="75C80012" w:rsidR="00965509" w:rsidRPr="00471B5E" w:rsidRDefault="00123E7B" w:rsidP="00471B5E">
      <w:pPr>
        <w:spacing w:before="0"/>
      </w:pPr>
      <w:r>
        <w:t>MAY</w:t>
      </w:r>
      <w:r w:rsidR="00E84101">
        <w:t xml:space="preserve"> 2025</w:t>
      </w:r>
    </w:p>
    <w:p w14:paraId="2685FC2B" w14:textId="7D7DA11E" w:rsidR="00AF7C26" w:rsidRPr="00AF7C26" w:rsidRDefault="004516E0" w:rsidP="00C13173">
      <w:pPr>
        <w:pStyle w:val="Heading3"/>
      </w:pPr>
      <w:r w:rsidRPr="00C13173">
        <w:t>Overview</w:t>
      </w:r>
    </w:p>
    <w:p w14:paraId="7CD1B7C1" w14:textId="44EBE4F1" w:rsidR="004516E0" w:rsidRPr="004516E0" w:rsidRDefault="004516E0" w:rsidP="00B35181">
      <w:pPr>
        <w:pStyle w:val="Overview"/>
        <w:rPr>
          <w:caps/>
        </w:rPr>
      </w:pPr>
      <w:r w:rsidRPr="00545268">
        <w:t>Estimated Australian ODA:</w:t>
      </w:r>
      <w:r w:rsidR="00545268" w:rsidRPr="00545268">
        <w:t xml:space="preserve"> </w:t>
      </w:r>
      <w:r w:rsidRPr="00C33D8D">
        <w:rPr>
          <w:b w:val="0"/>
          <w:bCs w:val="0"/>
        </w:rPr>
        <w:t>$</w:t>
      </w:r>
      <w:r w:rsidR="00740B9A">
        <w:rPr>
          <w:b w:val="0"/>
          <w:bCs w:val="0"/>
        </w:rPr>
        <w:t>104.3</w:t>
      </w:r>
      <w:r w:rsidR="00BB7E09">
        <w:rPr>
          <w:b w:val="0"/>
          <w:bCs w:val="0"/>
        </w:rPr>
        <w:t xml:space="preserve"> </w:t>
      </w:r>
      <w:r w:rsidR="00BB7E09" w:rsidRPr="00BB7E09">
        <w:rPr>
          <w:b w:val="0"/>
          <w:bCs w:val="0"/>
        </w:rPr>
        <w:t>(20</w:t>
      </w:r>
      <w:r w:rsidR="00D13E7A">
        <w:rPr>
          <w:b w:val="0"/>
          <w:bCs w:val="0"/>
        </w:rPr>
        <w:t>25</w:t>
      </w:r>
      <w:r w:rsidR="00B4776F">
        <w:rPr>
          <w:b w:val="0"/>
          <w:bCs w:val="0"/>
        </w:rPr>
        <w:t>-26</w:t>
      </w:r>
      <w:r w:rsidR="00BB7E09" w:rsidRPr="00BB7E09">
        <w:rPr>
          <w:b w:val="0"/>
          <w:bCs w:val="0"/>
        </w:rPr>
        <w:t>)</w:t>
      </w:r>
    </w:p>
    <w:p w14:paraId="3EDD18B8" w14:textId="0880C2CD" w:rsidR="004516E0" w:rsidRPr="00E62203" w:rsidRDefault="00C12648" w:rsidP="007D53CA">
      <w:pPr>
        <w:pStyle w:val="Heading4"/>
        <w:spacing w:before="360"/>
        <w:rPr>
          <w:b w:val="0"/>
          <w:bCs/>
        </w:rPr>
      </w:pPr>
      <w:r w:rsidRPr="00E62203">
        <w:rPr>
          <w:b w:val="0"/>
          <w:bCs/>
        </w:rPr>
        <w:t xml:space="preserve">Table 1: </w:t>
      </w:r>
      <w:r w:rsidR="00786E59">
        <w:rPr>
          <w:b w:val="0"/>
          <w:bCs/>
        </w:rPr>
        <w:t xml:space="preserve">Total Australian Gender Equality ODA by Region, </w:t>
      </w:r>
      <w:r w:rsidR="00B4776F">
        <w:rPr>
          <w:b w:val="0"/>
          <w:bCs/>
        </w:rPr>
        <w:t>2023-2</w:t>
      </w:r>
      <w:r w:rsidR="003B7D7C">
        <w:rPr>
          <w:b w:val="0"/>
          <w:bCs/>
        </w:rPr>
        <w:t>4</w:t>
      </w:r>
    </w:p>
    <w:tbl>
      <w:tblPr>
        <w:tblStyle w:val="TableGrid"/>
        <w:tblW w:w="0" w:type="auto"/>
        <w:tblBorders>
          <w:top w:val="single" w:sz="4" w:space="0" w:color="98A0A0" w:themeColor="background2" w:themeShade="BF"/>
          <w:left w:val="single" w:sz="4" w:space="0" w:color="98A0A0" w:themeColor="background2" w:themeShade="BF"/>
          <w:bottom w:val="single" w:sz="4" w:space="0" w:color="98A0A0" w:themeColor="background2" w:themeShade="BF"/>
          <w:right w:val="single" w:sz="4" w:space="0" w:color="98A0A0" w:themeColor="background2" w:themeShade="BF"/>
          <w:insideH w:val="single" w:sz="4" w:space="0" w:color="98A0A0" w:themeColor="background2" w:themeShade="BF"/>
          <w:insideV w:val="single" w:sz="4" w:space="0" w:color="98A0A0" w:themeColor="background2" w:themeShade="BF"/>
        </w:tblBorders>
        <w:tblCellMar>
          <w:top w:w="113" w:type="dxa"/>
          <w:bottom w:w="113" w:type="dxa"/>
        </w:tblCellMar>
        <w:tblLook w:val="04A0" w:firstRow="1" w:lastRow="0" w:firstColumn="1" w:lastColumn="0" w:noHBand="0" w:noVBand="1"/>
        <w:tblCaption w:val="Table 1: Total Australian Gender Equality ODA by Region, 2023-24"/>
        <w:tblDescription w:val="This table represents the total Australian ODA to Gender Equality, budget in millions and as a percentage 2023 to 2024 – four columns, six rows"/>
      </w:tblPr>
      <w:tblGrid>
        <w:gridCol w:w="3397"/>
        <w:gridCol w:w="2265"/>
        <w:gridCol w:w="2266"/>
      </w:tblGrid>
      <w:tr w:rsidR="008B3AF9" w14:paraId="5EF5CF55" w14:textId="21157455" w:rsidTr="0030387C">
        <w:trPr>
          <w:cantSplit/>
          <w:trHeight w:val="70"/>
          <w:tblHeader/>
        </w:trPr>
        <w:tc>
          <w:tcPr>
            <w:tcW w:w="3397" w:type="dxa"/>
            <w:shd w:val="clear" w:color="auto" w:fill="313E48" w:themeFill="text1"/>
          </w:tcPr>
          <w:p w14:paraId="4CEC1D0F" w14:textId="752970F8" w:rsidR="008B3AF9" w:rsidRPr="0079728E" w:rsidRDefault="008B3AF9" w:rsidP="00B4776F">
            <w:pPr>
              <w:pStyle w:val="TableHeading"/>
            </w:pPr>
            <w:r>
              <w:t>Australian ODA by Region</w:t>
            </w:r>
          </w:p>
        </w:tc>
        <w:tc>
          <w:tcPr>
            <w:tcW w:w="2265" w:type="dxa"/>
            <w:shd w:val="clear" w:color="auto" w:fill="313E48" w:themeFill="text1"/>
          </w:tcPr>
          <w:p w14:paraId="1923A36A" w14:textId="45343566" w:rsidR="008B3AF9" w:rsidRDefault="008B3AF9" w:rsidP="00B4776F">
            <w:pPr>
              <w:pStyle w:val="TableHeading"/>
              <w:jc w:val="center"/>
            </w:pPr>
            <w:r>
              <w:t>2</w:t>
            </w:r>
            <w:r w:rsidRPr="001E6A8F">
              <w:t>02</w:t>
            </w:r>
            <w:r>
              <w:t>3-24</w:t>
            </w:r>
            <w:r w:rsidRPr="001E6A8F">
              <w:t xml:space="preserve"> Actual ($</w:t>
            </w:r>
            <w:proofErr w:type="gramStart"/>
            <w:r w:rsidRPr="001E6A8F">
              <w:t>m)*</w:t>
            </w:r>
            <w:proofErr w:type="gramEnd"/>
          </w:p>
        </w:tc>
        <w:tc>
          <w:tcPr>
            <w:tcW w:w="2266" w:type="dxa"/>
            <w:shd w:val="clear" w:color="auto" w:fill="313E48" w:themeFill="text1"/>
          </w:tcPr>
          <w:p w14:paraId="0740E09E" w14:textId="3F792730" w:rsidR="008B3AF9" w:rsidRPr="007332ED" w:rsidRDefault="008B3AF9" w:rsidP="00B4776F">
            <w:pPr>
              <w:pStyle w:val="TableHeading"/>
              <w:jc w:val="center"/>
            </w:pPr>
            <w:r>
              <w:t>2023-24 Actual %</w:t>
            </w:r>
          </w:p>
        </w:tc>
      </w:tr>
      <w:tr w:rsidR="008B3AF9" w14:paraId="45E770B3" w14:textId="1A624B78" w:rsidTr="00371CBD">
        <w:tc>
          <w:tcPr>
            <w:tcW w:w="3397" w:type="dxa"/>
          </w:tcPr>
          <w:p w14:paraId="12D343CB" w14:textId="1323B7BA" w:rsidR="008B3AF9" w:rsidRPr="00030679" w:rsidRDefault="008B3AF9" w:rsidP="001D5B26">
            <w:pPr>
              <w:pStyle w:val="TableBodyCopy"/>
            </w:pPr>
            <w:r>
              <w:t>Pacific</w:t>
            </w:r>
          </w:p>
        </w:tc>
        <w:tc>
          <w:tcPr>
            <w:tcW w:w="2265" w:type="dxa"/>
          </w:tcPr>
          <w:p w14:paraId="0D3F5049" w14:textId="36990EE3" w:rsidR="008B3AF9" w:rsidRPr="00D34ADE" w:rsidRDefault="008B3AF9" w:rsidP="001D5B26">
            <w:pPr>
              <w:pStyle w:val="TableBodyCopy"/>
              <w:jc w:val="center"/>
            </w:pPr>
            <w:r w:rsidRPr="006C254B">
              <w:t>1,027.2</w:t>
            </w:r>
          </w:p>
        </w:tc>
        <w:tc>
          <w:tcPr>
            <w:tcW w:w="2266" w:type="dxa"/>
            <w:vAlign w:val="center"/>
          </w:tcPr>
          <w:p w14:paraId="7E455C00" w14:textId="6D2D904D" w:rsidR="008B3AF9" w:rsidRPr="00D34ADE" w:rsidRDefault="00D227AC" w:rsidP="001D5B26">
            <w:pPr>
              <w:pStyle w:val="TableBodyCopy"/>
              <w:jc w:val="center"/>
            </w:pPr>
            <w:r>
              <w:t>44%</w:t>
            </w:r>
          </w:p>
        </w:tc>
      </w:tr>
      <w:tr w:rsidR="008B3AF9" w14:paraId="417E46F0" w14:textId="42F9E059" w:rsidTr="00371CBD">
        <w:tc>
          <w:tcPr>
            <w:tcW w:w="3397" w:type="dxa"/>
          </w:tcPr>
          <w:p w14:paraId="604B5B7E" w14:textId="28F4A213" w:rsidR="008B3AF9" w:rsidRPr="00030679" w:rsidRDefault="008B3AF9" w:rsidP="001D5B26">
            <w:pPr>
              <w:pStyle w:val="TableBodyCopy"/>
            </w:pPr>
            <w:r>
              <w:t>Southeast Asia</w:t>
            </w:r>
          </w:p>
        </w:tc>
        <w:tc>
          <w:tcPr>
            <w:tcW w:w="2265" w:type="dxa"/>
          </w:tcPr>
          <w:p w14:paraId="12CB39EC" w14:textId="28DCE70B" w:rsidR="008B3AF9" w:rsidRPr="00D34ADE" w:rsidRDefault="008B3AF9" w:rsidP="001D5B26">
            <w:pPr>
              <w:pStyle w:val="TableBodyCopy"/>
              <w:jc w:val="center"/>
            </w:pPr>
            <w:r w:rsidRPr="006C254B">
              <w:t>782.2</w:t>
            </w:r>
          </w:p>
        </w:tc>
        <w:tc>
          <w:tcPr>
            <w:tcW w:w="2266" w:type="dxa"/>
            <w:vAlign w:val="center"/>
          </w:tcPr>
          <w:p w14:paraId="4E5F8501" w14:textId="77602627" w:rsidR="008B3AF9" w:rsidRPr="00D34ADE" w:rsidRDefault="009F5818" w:rsidP="001D5B26">
            <w:pPr>
              <w:pStyle w:val="TableBodyCopy"/>
              <w:jc w:val="center"/>
            </w:pPr>
            <w:r>
              <w:t>34%</w:t>
            </w:r>
          </w:p>
        </w:tc>
      </w:tr>
      <w:tr w:rsidR="008B3AF9" w14:paraId="2B1333F4" w14:textId="77777777" w:rsidTr="00371CBD">
        <w:tc>
          <w:tcPr>
            <w:tcW w:w="3397" w:type="dxa"/>
          </w:tcPr>
          <w:p w14:paraId="38890A56" w14:textId="531DE704" w:rsidR="008B3AF9" w:rsidRDefault="008B3AF9" w:rsidP="001D5B26">
            <w:pPr>
              <w:pStyle w:val="TableBodyCopy"/>
            </w:pPr>
            <w:r>
              <w:t>South and Central Asia</w:t>
            </w:r>
          </w:p>
        </w:tc>
        <w:tc>
          <w:tcPr>
            <w:tcW w:w="2265" w:type="dxa"/>
          </w:tcPr>
          <w:p w14:paraId="7C5E60F3" w14:textId="3D985CE6" w:rsidR="008B3AF9" w:rsidRPr="00D34ADE" w:rsidRDefault="008B3AF9" w:rsidP="001D5B26">
            <w:pPr>
              <w:pStyle w:val="TableBodyCopy"/>
              <w:jc w:val="center"/>
            </w:pPr>
            <w:r w:rsidRPr="006C254B">
              <w:t>223.8</w:t>
            </w:r>
          </w:p>
        </w:tc>
        <w:tc>
          <w:tcPr>
            <w:tcW w:w="2266" w:type="dxa"/>
            <w:vAlign w:val="center"/>
          </w:tcPr>
          <w:p w14:paraId="4BBA5711" w14:textId="0A3E7602" w:rsidR="008B3AF9" w:rsidRPr="00D34ADE" w:rsidRDefault="009F5818" w:rsidP="001D5B26">
            <w:pPr>
              <w:pStyle w:val="TableBodyCopy"/>
              <w:jc w:val="center"/>
            </w:pPr>
            <w:r>
              <w:t>10%</w:t>
            </w:r>
          </w:p>
        </w:tc>
      </w:tr>
      <w:tr w:rsidR="008B3AF9" w14:paraId="6B771DA6" w14:textId="77777777" w:rsidTr="00371CBD">
        <w:tc>
          <w:tcPr>
            <w:tcW w:w="3397" w:type="dxa"/>
          </w:tcPr>
          <w:p w14:paraId="1651DA14" w14:textId="27B4C9D1" w:rsidR="008B3AF9" w:rsidRDefault="008B3AF9" w:rsidP="001D5B26">
            <w:pPr>
              <w:pStyle w:val="TableBodyCopy"/>
            </w:pPr>
            <w:r>
              <w:t>Middle East and Africa</w:t>
            </w:r>
          </w:p>
        </w:tc>
        <w:tc>
          <w:tcPr>
            <w:tcW w:w="2265" w:type="dxa"/>
          </w:tcPr>
          <w:p w14:paraId="5D27E890" w14:textId="1930BD79" w:rsidR="008B3AF9" w:rsidRPr="00D34ADE" w:rsidRDefault="008B3AF9" w:rsidP="001D5B26">
            <w:pPr>
              <w:pStyle w:val="TableBodyCopy"/>
              <w:jc w:val="center"/>
            </w:pPr>
            <w:r w:rsidRPr="006C254B">
              <w:t>175.3</w:t>
            </w:r>
          </w:p>
        </w:tc>
        <w:tc>
          <w:tcPr>
            <w:tcW w:w="2266" w:type="dxa"/>
            <w:vAlign w:val="center"/>
          </w:tcPr>
          <w:p w14:paraId="5F11B819" w14:textId="110CEA83" w:rsidR="008B3AF9" w:rsidRPr="00D34ADE" w:rsidRDefault="009F5818" w:rsidP="001D5B26">
            <w:pPr>
              <w:pStyle w:val="TableBodyCopy"/>
              <w:jc w:val="center"/>
            </w:pPr>
            <w:r>
              <w:t>8%</w:t>
            </w:r>
          </w:p>
        </w:tc>
      </w:tr>
      <w:tr w:rsidR="008B3AF9" w14:paraId="3BDCC9B5" w14:textId="77777777" w:rsidTr="00371CBD">
        <w:tc>
          <w:tcPr>
            <w:tcW w:w="3397" w:type="dxa"/>
          </w:tcPr>
          <w:p w14:paraId="4E8483EB" w14:textId="2FFE4557" w:rsidR="008B3AF9" w:rsidRPr="00E33FEE" w:rsidRDefault="008B3AF9" w:rsidP="001D5B26">
            <w:pPr>
              <w:pStyle w:val="TableBodyCopy"/>
            </w:pPr>
            <w:r w:rsidRPr="00E33FEE">
              <w:t>Rest of the World</w:t>
            </w:r>
            <w:r w:rsidR="002A0FC1">
              <w:t>^</w:t>
            </w:r>
          </w:p>
        </w:tc>
        <w:tc>
          <w:tcPr>
            <w:tcW w:w="2265" w:type="dxa"/>
          </w:tcPr>
          <w:p w14:paraId="4CC5A42A" w14:textId="7DE17D3B" w:rsidR="008B3AF9" w:rsidRPr="00D34ADE" w:rsidRDefault="008B3AF9" w:rsidP="001D5B26">
            <w:pPr>
              <w:pStyle w:val="TableBodyCopy"/>
              <w:jc w:val="center"/>
              <w:rPr>
                <w:b/>
                <w:bCs/>
              </w:rPr>
            </w:pPr>
            <w:r w:rsidRPr="006C254B">
              <w:t>104.0</w:t>
            </w:r>
          </w:p>
        </w:tc>
        <w:tc>
          <w:tcPr>
            <w:tcW w:w="2266" w:type="dxa"/>
            <w:vAlign w:val="center"/>
          </w:tcPr>
          <w:p w14:paraId="5537B846" w14:textId="2BE8EE6C" w:rsidR="008B3AF9" w:rsidRPr="009F5818" w:rsidRDefault="00B274D4" w:rsidP="001D5B26">
            <w:pPr>
              <w:pStyle w:val="TableBodyCopy"/>
              <w:jc w:val="center"/>
            </w:pPr>
            <w:r>
              <w:t>4</w:t>
            </w:r>
            <w:r w:rsidR="009F5818" w:rsidRPr="009F5818">
              <w:t>%</w:t>
            </w:r>
          </w:p>
        </w:tc>
      </w:tr>
      <w:tr w:rsidR="008B3AF9" w14:paraId="0EB3E0BD" w14:textId="77777777" w:rsidTr="00371CBD">
        <w:tc>
          <w:tcPr>
            <w:tcW w:w="3397" w:type="dxa"/>
          </w:tcPr>
          <w:p w14:paraId="68F07AAD" w14:textId="10A62092" w:rsidR="008B3AF9" w:rsidRDefault="008B3AF9" w:rsidP="0062733C">
            <w:pPr>
              <w:pStyle w:val="TableBodyCopy"/>
              <w:rPr>
                <w:b/>
                <w:bCs/>
              </w:rPr>
            </w:pPr>
            <w:r>
              <w:rPr>
                <w:b/>
                <w:bCs/>
              </w:rPr>
              <w:t>Total Gender Equality ODA</w:t>
            </w:r>
          </w:p>
        </w:tc>
        <w:tc>
          <w:tcPr>
            <w:tcW w:w="2265" w:type="dxa"/>
          </w:tcPr>
          <w:p w14:paraId="6C9F39E1" w14:textId="503C3005" w:rsidR="008B3AF9" w:rsidRPr="001D5B26" w:rsidRDefault="008B3AF9" w:rsidP="0062733C">
            <w:pPr>
              <w:pStyle w:val="TableBodyCopy"/>
              <w:jc w:val="center"/>
              <w:rPr>
                <w:b/>
                <w:bCs/>
              </w:rPr>
            </w:pPr>
            <w:r w:rsidRPr="001D5B26">
              <w:rPr>
                <w:b/>
                <w:bCs/>
              </w:rPr>
              <w:t>2,312.6</w:t>
            </w:r>
          </w:p>
        </w:tc>
        <w:tc>
          <w:tcPr>
            <w:tcW w:w="2266" w:type="dxa"/>
            <w:vAlign w:val="center"/>
          </w:tcPr>
          <w:p w14:paraId="337C5052" w14:textId="4C85360C" w:rsidR="008B3AF9" w:rsidRPr="00D34ADE" w:rsidRDefault="008B3AF9" w:rsidP="0062733C">
            <w:pPr>
              <w:pStyle w:val="TableBodyCopy"/>
              <w:jc w:val="center"/>
              <w:rPr>
                <w:b/>
                <w:bCs/>
              </w:rPr>
            </w:pPr>
            <w:r>
              <w:rPr>
                <w:b/>
                <w:bCs/>
              </w:rPr>
              <w:t>100%</w:t>
            </w:r>
          </w:p>
        </w:tc>
      </w:tr>
    </w:tbl>
    <w:p w14:paraId="1173533E" w14:textId="3AA1E64D" w:rsidR="00771669" w:rsidRDefault="001E6A8F" w:rsidP="00E84101">
      <w:pPr>
        <w:pStyle w:val="Caption"/>
      </w:pPr>
      <w:r w:rsidRPr="00771669">
        <w:t xml:space="preserve">*Due to rounding, </w:t>
      </w:r>
      <w:r w:rsidRPr="003575EF">
        <w:t>discrepancies</w:t>
      </w:r>
      <w:r w:rsidRPr="00771669">
        <w:t xml:space="preserve"> may occur between sums of the component items in totals</w:t>
      </w:r>
    </w:p>
    <w:p w14:paraId="53084273" w14:textId="6FA2E3CB" w:rsidR="002A0FC1" w:rsidRPr="002A0FC1" w:rsidRDefault="002A0FC1" w:rsidP="002A0FC1">
      <w:pPr>
        <w:pStyle w:val="Caption"/>
      </w:pPr>
      <w:r>
        <w:t xml:space="preserve">^Includes ODA that is not attributed to </w:t>
      </w:r>
      <w:proofErr w:type="gramStart"/>
      <w:r>
        <w:t>particular countries</w:t>
      </w:r>
      <w:proofErr w:type="gramEnd"/>
      <w:r>
        <w:t xml:space="preserve"> or regions.</w:t>
      </w:r>
    </w:p>
    <w:p w14:paraId="7100DF7D" w14:textId="0F8E7D2A" w:rsidR="00F40F77" w:rsidRPr="00F40F77" w:rsidRDefault="00C12648" w:rsidP="00F40F77">
      <w:pPr>
        <w:pStyle w:val="Heading4"/>
        <w:rPr>
          <w:b w:val="0"/>
          <w:bCs/>
        </w:rPr>
      </w:pPr>
      <w:r>
        <w:rPr>
          <w:b w:val="0"/>
          <w:bCs/>
        </w:rPr>
        <w:t xml:space="preserve">Figure 1: </w:t>
      </w:r>
      <w:r w:rsidR="003575EF" w:rsidRPr="00E5168F">
        <w:rPr>
          <w:b w:val="0"/>
          <w:bCs/>
        </w:rPr>
        <w:t>Australian</w:t>
      </w:r>
      <w:r w:rsidR="00D456FA">
        <w:rPr>
          <w:b w:val="0"/>
          <w:bCs/>
        </w:rPr>
        <w:t xml:space="preserve"> Gender Equality</w:t>
      </w:r>
      <w:r w:rsidR="003575EF" w:rsidRPr="00E5168F">
        <w:rPr>
          <w:b w:val="0"/>
          <w:bCs/>
        </w:rPr>
        <w:t xml:space="preserve"> ODA by Sector Group, </w:t>
      </w:r>
      <w:r w:rsidR="0051235E">
        <w:rPr>
          <w:b w:val="0"/>
          <w:bCs/>
        </w:rPr>
        <w:t>2023-24</w:t>
      </w:r>
      <w:r w:rsidR="003575EF" w:rsidRPr="00E5168F">
        <w:rPr>
          <w:b w:val="0"/>
          <w:bCs/>
        </w:rPr>
        <w:t xml:space="preserve"> </w:t>
      </w:r>
      <w:r w:rsidR="0051235E">
        <w:rPr>
          <w:b w:val="0"/>
          <w:bCs/>
        </w:rPr>
        <w:t>actual</w:t>
      </w:r>
    </w:p>
    <w:p w14:paraId="183527D7" w14:textId="4152713F" w:rsidR="00F32C7F" w:rsidRPr="00F32C7F" w:rsidRDefault="00F32C7F" w:rsidP="00F32C7F">
      <w:pPr>
        <w:pStyle w:val="Heading3"/>
        <w:rPr>
          <w:lang w:val="en-US"/>
        </w:rPr>
      </w:pPr>
      <w:r w:rsidRPr="00F32C7F">
        <w:rPr>
          <w:noProof/>
          <w:lang w:val="en-US"/>
        </w:rPr>
        <w:drawing>
          <wp:anchor distT="0" distB="0" distL="114300" distR="114300" simplePos="0" relativeHeight="251658240" behindDoc="1" locked="0" layoutInCell="1" allowOverlap="1" wp14:anchorId="3E77E266" wp14:editId="40AFD412">
            <wp:simplePos x="0" y="0"/>
            <wp:positionH relativeFrom="column">
              <wp:posOffset>3175</wp:posOffset>
            </wp:positionH>
            <wp:positionV relativeFrom="paragraph">
              <wp:posOffset>76200</wp:posOffset>
            </wp:positionV>
            <wp:extent cx="6480810" cy="2269490"/>
            <wp:effectExtent l="0" t="0" r="0" b="0"/>
            <wp:wrapTight wrapText="bothSides">
              <wp:wrapPolygon edited="0">
                <wp:start x="0" y="0"/>
                <wp:lineTo x="0" y="21395"/>
                <wp:lineTo x="21524" y="21395"/>
                <wp:lineTo x="21524" y="0"/>
                <wp:lineTo x="0" y="0"/>
              </wp:wrapPolygon>
            </wp:wrapTight>
            <wp:docPr id="162674333" name="Picture 2" descr="Figure 1 presents the percentage of Australia’s Gender Equality Official Development Assistance (ODA) for the financial year 2023-24 attributable to seven sector groups.&#10;&#10;This information is presented in a doughnut chart, where the seven primary Sector Groups take a portion of shading in the doughnut in direct proportion to the total percentage attributable to each Sector Group.&#10;&#10;The percentages of total Australian Gender Equality ODA by Sector Groups are:&#10;Agriculture, trade and other production services 6%&#10;Economic infrastructure and services 16%&#10;Education 15%&#10;Governance 25%&#10;Health 12%&#10;Humanitarian 18%&#10;Multisector and General Development Suppo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4333" name="Picture 2" descr="Figure 1 presents the percentage of Australia’s Gender Equality Official Development Assistance (ODA) for the financial year 2023-24 attributable to seven sector groups.&#10;&#10;This information is presented in a doughnut chart, where the seven primary Sector Groups take a portion of shading in the doughnut in direct proportion to the total percentage attributable to each Sector Group.&#10;&#10;The percentages of total Australian Gender Equality ODA by Sector Groups are:&#10;Agriculture, trade and other production services 6%&#10;Economic infrastructure and services 16%&#10;Education 15%&#10;Governance 25%&#10;Health 12%&#10;Humanitarian 18%&#10;Multisector and General Development Support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810" cy="2269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9966C4" w14:textId="682E92A1" w:rsidR="0FB36A1B" w:rsidRPr="001438AE" w:rsidRDefault="00E84101" w:rsidP="001438AE">
      <w:pPr>
        <w:pStyle w:val="Heading3"/>
        <w:rPr>
          <w:rFonts w:eastAsia="Calibri"/>
        </w:rPr>
      </w:pPr>
      <w:r w:rsidRPr="00E50E59">
        <w:br w:type="page"/>
      </w:r>
      <w:r w:rsidR="00C700DC" w:rsidRPr="00CC4616">
        <w:lastRenderedPageBreak/>
        <w:t>Sustainable Development Goals</w:t>
      </w:r>
    </w:p>
    <w:p w14:paraId="5FDBE9C1" w14:textId="7A59596D" w:rsidR="00634CC1" w:rsidRPr="00C700DC" w:rsidRDefault="00634CC1" w:rsidP="00634CC1">
      <w:r>
        <w:rPr>
          <w:noProof/>
        </w:rPr>
        <w:drawing>
          <wp:inline distT="0" distB="0" distL="0" distR="0" wp14:anchorId="4EDDB124" wp14:editId="50C8990B">
            <wp:extent cx="548640" cy="548640"/>
            <wp:effectExtent l="0" t="0" r="3810" b="3810"/>
            <wp:docPr id="193567487" name="Picture 5" descr="SDG 5 - Gender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7487" name="Picture 5" descr="SDG 5 - Gender Equalit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inline>
        </w:drawing>
      </w:r>
    </w:p>
    <w:p w14:paraId="14AB7C52" w14:textId="49E667E2" w:rsidR="000F5293" w:rsidRPr="006909AC" w:rsidRDefault="000F5293" w:rsidP="000F5293">
      <w:pPr>
        <w:rPr>
          <w:b/>
          <w:bCs/>
        </w:rPr>
      </w:pPr>
      <w:r w:rsidRPr="006909AC">
        <w:rPr>
          <w:b/>
          <w:bCs/>
        </w:rPr>
        <w:t xml:space="preserve">Australia is committed to advancing gender equality and the human rights of women and girls in all their diversity. </w:t>
      </w:r>
    </w:p>
    <w:p w14:paraId="3CFC2B0C" w14:textId="11CD02AD" w:rsidR="00745B48" w:rsidRDefault="000F5293" w:rsidP="000F5293">
      <w:r>
        <w:t>Gender equality is an essential precondition of stability, security, and prosperity, and benefits everyone. Gender inequality compounds the most pressing development challenges, preventing individuals, communities, and countries from meeting their full potential. More than 380 million women and girls worldwide are living in extreme poverty.</w:t>
      </w:r>
    </w:p>
    <w:p w14:paraId="14B56AE6" w14:textId="333766A8" w:rsidR="00671161" w:rsidRPr="004D1D85" w:rsidRDefault="001E6A8F" w:rsidP="00C700DC">
      <w:pPr>
        <w:pStyle w:val="Heading3"/>
      </w:pPr>
      <w:r>
        <w:t>Strategic direction</w:t>
      </w:r>
    </w:p>
    <w:p w14:paraId="7814D288" w14:textId="77777777" w:rsidR="009068A2" w:rsidRDefault="009068A2" w:rsidP="009068A2">
      <w:r>
        <w:t xml:space="preserve">Gender equality is a core issue for action of Australia’s International Development Policy. </w:t>
      </w:r>
    </w:p>
    <w:p w14:paraId="51DDA65D" w14:textId="2471BD93" w:rsidR="009068A2" w:rsidRDefault="002D23EC" w:rsidP="009068A2">
      <w:hyperlink r:id="rId13" w:history="1">
        <w:r w:rsidR="009068A2" w:rsidRPr="008C353B">
          <w:rPr>
            <w:rStyle w:val="Hyperlink"/>
          </w:rPr>
          <w:t>Australia’s International Gender Equality Strategy</w:t>
        </w:r>
      </w:hyperlink>
      <w:r w:rsidR="009068A2">
        <w:t xml:space="preserve"> reaffirms the centrality of our commitment to gender equality and advancing the human rights of women and girls. It outlines how we will use all tools of our foreign policy to drive gender equality, including through our bilateral and regional programs and relationships, our multilateral diplomacy, trade, development and humanitarian assistance.</w:t>
      </w:r>
    </w:p>
    <w:p w14:paraId="3F441A79" w14:textId="3E5C87F0" w:rsidR="009068A2" w:rsidRDefault="009068A2" w:rsidP="009068A2">
      <w:r>
        <w:t>We have reinstated a target for 80 per cent of all development investments to address gender equality effectively and requir</w:t>
      </w:r>
      <w:r w:rsidR="0AFD353D">
        <w:t>e</w:t>
      </w:r>
      <w:r>
        <w:t xml:space="preserve"> new investments of more than $3 million to include gender equality objectives. </w:t>
      </w:r>
    </w:p>
    <w:p w14:paraId="03C47878" w14:textId="06520A37" w:rsidR="00D574F2" w:rsidRPr="009068A2" w:rsidRDefault="009068A2" w:rsidP="00702718">
      <w:r>
        <w:t xml:space="preserve">In 2024-25, we will provide $65 million through the Indo-Pacific Gender Equality Fund to advance </w:t>
      </w:r>
      <w:r w:rsidR="00507D90">
        <w:t xml:space="preserve">gender equality and </w:t>
      </w:r>
      <w:r>
        <w:t>the rights of women and girls in all their diversity.</w:t>
      </w:r>
    </w:p>
    <w:p w14:paraId="4572847D" w14:textId="2908EE81" w:rsidR="002923D5" w:rsidRPr="004D1D85" w:rsidRDefault="001E6A8F" w:rsidP="00C700DC">
      <w:pPr>
        <w:pStyle w:val="Heading3"/>
      </w:pPr>
      <w:r>
        <w:t>Program highlights</w:t>
      </w:r>
    </w:p>
    <w:p w14:paraId="66424C7A" w14:textId="58A3BE31" w:rsidR="006B5591" w:rsidRPr="006C18B6" w:rsidRDefault="006B5591" w:rsidP="006B5591">
      <w:pPr>
        <w:pStyle w:val="ListBullet"/>
      </w:pPr>
      <w:r>
        <w:t>In 2024-25, Australia provided an additional $500,000 to Women’s Fund Asia to support refugee women-led organisations working for the human rights of refugee women, including to prevent and respond to</w:t>
      </w:r>
      <w:r w:rsidR="00B009B9">
        <w:t xml:space="preserve"> sexual and gender-based violence (S</w:t>
      </w:r>
      <w:r>
        <w:t>GBV</w:t>
      </w:r>
      <w:r w:rsidR="00B009B9">
        <w:t>)</w:t>
      </w:r>
      <w:r>
        <w:t>. This brings Australia’s support to regional women’s funds under the Amplify-Invest-Reach partnership to $13 million (2021-2026).</w:t>
      </w:r>
    </w:p>
    <w:p w14:paraId="187CCFB2" w14:textId="2FC8128B" w:rsidR="006B5591" w:rsidRPr="00D574F2" w:rsidRDefault="00C44A33" w:rsidP="006B5591">
      <w:pPr>
        <w:pStyle w:val="ListBullet"/>
      </w:pPr>
      <w:r>
        <w:t>Australia will e</w:t>
      </w:r>
      <w:r w:rsidR="006B5591">
        <w:t>xpand support to the vital work of SGBV cris</w:t>
      </w:r>
      <w:r w:rsidR="0046669A">
        <w:t>i</w:t>
      </w:r>
      <w:r w:rsidR="006B5591">
        <w:t xml:space="preserve">s centres in the Pacific through an additional $25 million over five years under Pacific Women Lead. This will </w:t>
      </w:r>
      <w:r w:rsidR="032BFED9">
        <w:t xml:space="preserve">enable </w:t>
      </w:r>
      <w:r w:rsidR="006B5591">
        <w:t xml:space="preserve">SGBV </w:t>
      </w:r>
      <w:r w:rsidR="5EFABCAF">
        <w:t>crisis centre</w:t>
      </w:r>
      <w:r w:rsidR="54A0CA96">
        <w:t>s</w:t>
      </w:r>
      <w:r w:rsidR="5EFABCAF">
        <w:t xml:space="preserve"> to </w:t>
      </w:r>
      <w:r w:rsidR="5F4D17FC">
        <w:t>extend the</w:t>
      </w:r>
      <w:r w:rsidR="3832708F">
        <w:t xml:space="preserve"> quality</w:t>
      </w:r>
      <w:r w:rsidR="3660CEFB">
        <w:t xml:space="preserve"> and reach of</w:t>
      </w:r>
      <w:r w:rsidR="006B5591">
        <w:t xml:space="preserve"> essential s</w:t>
      </w:r>
      <w:r w:rsidR="0DD83326">
        <w:t>ervices</w:t>
      </w:r>
      <w:r w:rsidR="006B5591">
        <w:t xml:space="preserve"> to improve the safety, protection, and recovery of survivors of SGBV. </w:t>
      </w:r>
    </w:p>
    <w:p w14:paraId="07389E4F" w14:textId="3429D69F" w:rsidR="006B5591" w:rsidRPr="00D574F2" w:rsidRDefault="006B5591" w:rsidP="006B5591">
      <w:pPr>
        <w:pStyle w:val="ListBullet"/>
      </w:pPr>
      <w:r>
        <w:t>Australian Development Investments made its first investment under the Investing in Women window – US</w:t>
      </w:r>
      <w:r w:rsidR="006C6EB5">
        <w:t xml:space="preserve"> </w:t>
      </w:r>
      <w:r>
        <w:t xml:space="preserve">$5 million in the Asia Business Builders Fund II, a Vietnam-based fund. Investing in Women aims to increase investment in businesses that benefit women, including companies that support women’s leadership, ownership and workforce participation. </w:t>
      </w:r>
    </w:p>
    <w:sectPr w:rsidR="006B5591" w:rsidRPr="00D574F2" w:rsidSect="0095740E">
      <w:headerReference w:type="default" r:id="rId14"/>
      <w:footerReference w:type="default" r:id="rId15"/>
      <w:headerReference w:type="first" r:id="rId16"/>
      <w:footerReference w:type="first" r:id="rId17"/>
      <w:pgSz w:w="11906" w:h="16838" w:code="9"/>
      <w:pgMar w:top="1872" w:right="850" w:bottom="990" w:left="850" w:header="85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FF3E" w14:textId="77777777" w:rsidR="002D1757" w:rsidRDefault="002D1757" w:rsidP="00EE32FE">
      <w:pPr>
        <w:spacing w:after="0" w:line="240" w:lineRule="auto"/>
      </w:pPr>
      <w:r>
        <w:separator/>
      </w:r>
    </w:p>
  </w:endnote>
  <w:endnote w:type="continuationSeparator" w:id="0">
    <w:p w14:paraId="70FEAAFA" w14:textId="77777777" w:rsidR="002D1757" w:rsidRDefault="002D1757" w:rsidP="00EE32FE">
      <w:pPr>
        <w:spacing w:after="0" w:line="240" w:lineRule="auto"/>
      </w:pPr>
      <w:r>
        <w:continuationSeparator/>
      </w:r>
    </w:p>
  </w:endnote>
  <w:endnote w:type="continuationNotice" w:id="1">
    <w:p w14:paraId="07B6D8A4" w14:textId="77777777" w:rsidR="002D1757" w:rsidRDefault="002D1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08438124"/>
      <w:docPartObj>
        <w:docPartGallery w:val="Page Numbers (Bottom of Page)"/>
        <w:docPartUnique/>
      </w:docPartObj>
    </w:sdtPr>
    <w:sdtEndPr>
      <w:rPr>
        <w:noProof/>
      </w:rPr>
    </w:sdtEndPr>
    <w:sdtContent>
      <w:p w14:paraId="02CD4674" w14:textId="2DD6A0D1" w:rsidR="00F40F77" w:rsidRPr="004D49FE" w:rsidRDefault="008E290E">
        <w:pPr>
          <w:pStyle w:val="Footer"/>
          <w:rPr>
            <w:color w:val="FFFFFF" w:themeColor="background1"/>
          </w:rPr>
        </w:pPr>
        <w:r w:rsidRPr="00C71682">
          <w:rPr>
            <w:noProof/>
            <w:color w:val="FFFFFF" w:themeColor="background1"/>
          </w:rPr>
          <w:drawing>
            <wp:anchor distT="0" distB="0" distL="114300" distR="114300" simplePos="0" relativeHeight="251658243" behindDoc="1" locked="0" layoutInCell="1" allowOverlap="1" wp14:anchorId="1DE43D9B" wp14:editId="4A81363D">
              <wp:simplePos x="0" y="0"/>
              <wp:positionH relativeFrom="page">
                <wp:align>center</wp:align>
              </wp:positionH>
              <wp:positionV relativeFrom="page">
                <wp:align>bottom</wp:align>
              </wp:positionV>
              <wp:extent cx="7558095" cy="576000"/>
              <wp:effectExtent l="0" t="0" r="5080" b="0"/>
              <wp:wrapNone/>
              <wp:docPr id="383988066" name="Picture 3839880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988066" name="Picture 383988066">
                        <a:extLst>
                          <a:ext uri="{C183D7F6-B498-43B3-948B-1728B52AA6E4}">
                            <adec:decorative xmlns:adec="http://schemas.microsoft.com/office/drawing/2017/decorative" val="1"/>
                          </a:ext>
                        </a:extLst>
                      </pic:cNvPr>
                      <pic:cNvPicPr/>
                    </pic:nvPicPr>
                    <pic:blipFill>
                      <a:blip r:embed="rId1"/>
                      <a:stretch>
                        <a:fillRect/>
                      </a:stretch>
                    </pic:blipFill>
                    <pic:spPr>
                      <a:xfrm>
                        <a:off x="0" y="0"/>
                        <a:ext cx="7558095" cy="576000"/>
                      </a:xfrm>
                      <a:prstGeom prst="rect">
                        <a:avLst/>
                      </a:prstGeom>
                    </pic:spPr>
                  </pic:pic>
                </a:graphicData>
              </a:graphic>
              <wp14:sizeRelH relativeFrom="margin">
                <wp14:pctWidth>0</wp14:pctWidth>
              </wp14:sizeRelH>
              <wp14:sizeRelV relativeFrom="margin">
                <wp14:pctHeight>0</wp14:pctHeight>
              </wp14:sizeRelV>
            </wp:anchor>
          </w:drawing>
        </w:r>
        <w:r w:rsidR="00BD1D28" w:rsidRPr="004D49FE">
          <w:rPr>
            <w:color w:val="FFFFFF" w:themeColor="background1"/>
          </w:rPr>
          <w:fldChar w:fldCharType="begin"/>
        </w:r>
        <w:r w:rsidR="00BD1D28" w:rsidRPr="004D49FE">
          <w:rPr>
            <w:color w:val="FFFFFF" w:themeColor="background1"/>
          </w:rPr>
          <w:instrText xml:space="preserve"> PAGE   \* MERGEFORMAT </w:instrText>
        </w:r>
        <w:r w:rsidR="00BD1D28" w:rsidRPr="004D49FE">
          <w:rPr>
            <w:color w:val="FFFFFF" w:themeColor="background1"/>
          </w:rPr>
          <w:fldChar w:fldCharType="separate"/>
        </w:r>
        <w:r w:rsidR="00BD1D28" w:rsidRPr="004D49FE">
          <w:rPr>
            <w:noProof/>
            <w:color w:val="FFFFFF" w:themeColor="background1"/>
          </w:rPr>
          <w:t>2</w:t>
        </w:r>
        <w:r w:rsidR="00BD1D28" w:rsidRPr="004D49FE">
          <w:rPr>
            <w:noProof/>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410306763"/>
      <w:docPartObj>
        <w:docPartGallery w:val="Page Numbers (Bottom of Page)"/>
        <w:docPartUnique/>
      </w:docPartObj>
    </w:sdtPr>
    <w:sdtEndPr>
      <w:rPr>
        <w:noProof/>
      </w:rPr>
    </w:sdtEndPr>
    <w:sdtContent>
      <w:p w14:paraId="38984756" w14:textId="18EE118E" w:rsidR="00E50E59" w:rsidRPr="00C71682" w:rsidRDefault="00C71682">
        <w:pPr>
          <w:pStyle w:val="Footer"/>
          <w:rPr>
            <w:color w:val="FFFFFF" w:themeColor="background1"/>
          </w:rPr>
        </w:pPr>
        <w:r w:rsidRPr="00C71682">
          <w:rPr>
            <w:noProof/>
            <w:color w:val="FFFFFF" w:themeColor="background1"/>
          </w:rPr>
          <w:drawing>
            <wp:anchor distT="0" distB="0" distL="114300" distR="114300" simplePos="0" relativeHeight="251658242" behindDoc="1" locked="0" layoutInCell="1" allowOverlap="1" wp14:anchorId="57098BE2" wp14:editId="06078AE4">
              <wp:simplePos x="0" y="0"/>
              <wp:positionH relativeFrom="page">
                <wp:align>center</wp:align>
              </wp:positionH>
              <wp:positionV relativeFrom="page">
                <wp:align>bottom</wp:align>
              </wp:positionV>
              <wp:extent cx="7558095" cy="576000"/>
              <wp:effectExtent l="0" t="0" r="5080" b="0"/>
              <wp:wrapNone/>
              <wp:docPr id="1702243087" name="Picture 17022430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43087" name="Picture 1702243087">
                        <a:extLst>
                          <a:ext uri="{C183D7F6-B498-43B3-948B-1728B52AA6E4}">
                            <adec:decorative xmlns:adec="http://schemas.microsoft.com/office/drawing/2017/decorative" val="1"/>
                          </a:ext>
                        </a:extLst>
                      </pic:cNvPr>
                      <pic:cNvPicPr/>
                    </pic:nvPicPr>
                    <pic:blipFill>
                      <a:blip r:embed="rId1"/>
                      <a:stretch>
                        <a:fillRect/>
                      </a:stretch>
                    </pic:blipFill>
                    <pic:spPr>
                      <a:xfrm>
                        <a:off x="0" y="0"/>
                        <a:ext cx="7558095" cy="576000"/>
                      </a:xfrm>
                      <a:prstGeom prst="rect">
                        <a:avLst/>
                      </a:prstGeom>
                    </pic:spPr>
                  </pic:pic>
                </a:graphicData>
              </a:graphic>
              <wp14:sizeRelH relativeFrom="margin">
                <wp14:pctWidth>0</wp14:pctWidth>
              </wp14:sizeRelH>
              <wp14:sizeRelV relativeFrom="margin">
                <wp14:pctHeight>0</wp14:pctHeight>
              </wp14:sizeRelV>
            </wp:anchor>
          </w:drawing>
        </w:r>
        <w:r w:rsidR="00F46B16" w:rsidRPr="00C71682">
          <w:rPr>
            <w:color w:val="FFFFFF" w:themeColor="background1"/>
          </w:rPr>
          <w:fldChar w:fldCharType="begin"/>
        </w:r>
        <w:r w:rsidR="00F46B16" w:rsidRPr="00C71682">
          <w:rPr>
            <w:color w:val="FFFFFF" w:themeColor="background1"/>
          </w:rPr>
          <w:instrText xml:space="preserve"> PAGE   \* MERGEFORMAT </w:instrText>
        </w:r>
        <w:r w:rsidR="00F46B16" w:rsidRPr="00C71682">
          <w:rPr>
            <w:color w:val="FFFFFF" w:themeColor="background1"/>
          </w:rPr>
          <w:fldChar w:fldCharType="separate"/>
        </w:r>
        <w:r w:rsidR="00F46B16" w:rsidRPr="00C71682">
          <w:rPr>
            <w:noProof/>
            <w:color w:val="FFFFFF" w:themeColor="background1"/>
          </w:rPr>
          <w:t>2</w:t>
        </w:r>
        <w:r w:rsidR="00F46B16" w:rsidRPr="00C71682">
          <w:rPr>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00BF" w14:textId="77777777" w:rsidR="002D1757" w:rsidRDefault="002D1757" w:rsidP="00EE32FE">
      <w:pPr>
        <w:spacing w:after="0" w:line="240" w:lineRule="auto"/>
      </w:pPr>
      <w:bookmarkStart w:id="0" w:name="_Hlk127364773"/>
      <w:bookmarkEnd w:id="0"/>
      <w:r>
        <w:separator/>
      </w:r>
    </w:p>
  </w:footnote>
  <w:footnote w:type="continuationSeparator" w:id="0">
    <w:p w14:paraId="116CF105" w14:textId="77777777" w:rsidR="002D1757" w:rsidRDefault="002D1757" w:rsidP="00EE32FE">
      <w:pPr>
        <w:spacing w:after="0" w:line="240" w:lineRule="auto"/>
      </w:pPr>
      <w:r>
        <w:continuationSeparator/>
      </w:r>
    </w:p>
  </w:footnote>
  <w:footnote w:type="continuationNotice" w:id="1">
    <w:p w14:paraId="5BD8F404" w14:textId="77777777" w:rsidR="002D1757" w:rsidRDefault="002D17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F6E9" w14:textId="4D8987F0" w:rsidR="00306BCA" w:rsidRDefault="0076381C">
    <w:pPr>
      <w:pStyle w:val="Header"/>
    </w:pPr>
    <w:r>
      <w:rPr>
        <w:noProof/>
      </w:rPr>
      <w:drawing>
        <wp:anchor distT="0" distB="0" distL="114300" distR="114300" simplePos="0" relativeHeight="251658244" behindDoc="1" locked="0" layoutInCell="1" allowOverlap="1" wp14:anchorId="3030DA87" wp14:editId="35073A1F">
          <wp:simplePos x="541606" y="618978"/>
          <wp:positionH relativeFrom="page">
            <wp:align>center</wp:align>
          </wp:positionH>
          <wp:positionV relativeFrom="page">
            <wp:align>top</wp:align>
          </wp:positionV>
          <wp:extent cx="7558095" cy="576000"/>
          <wp:effectExtent l="0" t="0" r="5080" b="0"/>
          <wp:wrapNone/>
          <wp:docPr id="1721380403" name="Picture 1" descr="Page two header banner text includes Australia’s International Development Program on dar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80403" name="Picture 1" descr="Page two header banner text includes Australia’s International Development Program on dark background"/>
                  <pic:cNvPicPr/>
                </pic:nvPicPr>
                <pic:blipFill>
                  <a:blip r:embed="rId1"/>
                  <a:stretch>
                    <a:fillRect/>
                  </a:stretch>
                </pic:blipFill>
                <pic:spPr>
                  <a:xfrm>
                    <a:off x="0" y="0"/>
                    <a:ext cx="7558095"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360E" w14:textId="102B8BE4" w:rsidR="00704573" w:rsidRDefault="00235C52">
    <w:pPr>
      <w:pStyle w:val="Header"/>
    </w:pPr>
    <w:r>
      <w:rPr>
        <w:noProof/>
      </w:rPr>
      <w:drawing>
        <wp:anchor distT="0" distB="0" distL="114300" distR="114300" simplePos="0" relativeHeight="251658241" behindDoc="0" locked="0" layoutInCell="1" allowOverlap="1" wp14:anchorId="76BA3015" wp14:editId="43712648">
          <wp:simplePos x="0" y="0"/>
          <wp:positionH relativeFrom="page">
            <wp:posOffset>10937875</wp:posOffset>
          </wp:positionH>
          <wp:positionV relativeFrom="page">
            <wp:posOffset>112395</wp:posOffset>
          </wp:positionV>
          <wp:extent cx="7689850" cy="585470"/>
          <wp:effectExtent l="0" t="0" r="6350" b="5080"/>
          <wp:wrapNone/>
          <wp:docPr id="1131797426" name="Picture 1131797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97426" name="Picture 1131797426">
                    <a:extLst>
                      <a:ext uri="{C183D7F6-B498-43B3-948B-1728B52AA6E4}">
                        <adec:decorative xmlns:adec="http://schemas.microsoft.com/office/drawing/2017/decorative" val="1"/>
                      </a:ext>
                    </a:extLst>
                  </pic:cNvPr>
                  <pic:cNvPicPr/>
                </pic:nvPicPr>
                <pic:blipFill>
                  <a:blip r:embed="rId1"/>
                  <a:stretch>
                    <a:fillRect/>
                  </a:stretch>
                </pic:blipFill>
                <pic:spPr>
                  <a:xfrm>
                    <a:off x="0" y="0"/>
                    <a:ext cx="7689850" cy="585470"/>
                  </a:xfrm>
                  <a:prstGeom prst="rect">
                    <a:avLst/>
                  </a:prstGeom>
                </pic:spPr>
              </pic:pic>
            </a:graphicData>
          </a:graphic>
          <wp14:sizeRelH relativeFrom="margin">
            <wp14:pctWidth>0</wp14:pctWidth>
          </wp14:sizeRelH>
          <wp14:sizeRelV relativeFrom="margin">
            <wp14:pctHeight>0</wp14:pctHeight>
          </wp14:sizeRelV>
        </wp:anchor>
      </w:drawing>
    </w:r>
    <w:r w:rsidR="008728F0">
      <w:rPr>
        <w:noProof/>
      </w:rPr>
      <w:drawing>
        <wp:anchor distT="0" distB="0" distL="114300" distR="114300" simplePos="0" relativeHeight="251658240" behindDoc="0" locked="0" layoutInCell="1" allowOverlap="1" wp14:anchorId="57FCDF50" wp14:editId="1DDB8A0B">
          <wp:simplePos x="0" y="0"/>
          <wp:positionH relativeFrom="page">
            <wp:align>center</wp:align>
          </wp:positionH>
          <wp:positionV relativeFrom="page">
            <wp:align>top</wp:align>
          </wp:positionV>
          <wp:extent cx="7560000" cy="1080000"/>
          <wp:effectExtent l="0" t="0" r="3175" b="6350"/>
          <wp:wrapNone/>
          <wp:docPr id="2129509291" name="Picture 2129509291" descr="Header banner including Australian Government Department of Foreign Affairs and Trade logos and Australian Aid identifier on the right hand si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09291" name="Picture 2129509291" descr="Header banner including Australian Government Department of Foreign Affairs and Trade logos and Australian Aid identifier on the right hand side">
                    <a:extLst>
                      <a:ext uri="{C183D7F6-B498-43B3-948B-1728B52AA6E4}">
                        <adec:decorative xmlns:adec="http://schemas.microsoft.com/office/drawing/2017/decorative" val="0"/>
                      </a:ext>
                    </a:extLst>
                  </pic:cNvPr>
                  <pic:cNvPicPr/>
                </pic:nvPicPr>
                <pic:blipFill>
                  <a:blip r:embed="rId2"/>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6835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A2D46"/>
    <w:multiLevelType w:val="hybridMultilevel"/>
    <w:tmpl w:val="4AB6AC2E"/>
    <w:lvl w:ilvl="0" w:tplc="018A84B8">
      <w:start w:val="1"/>
      <w:numFmt w:val="decimal"/>
      <w:lvlText w:val="%1."/>
      <w:lvlJc w:val="left"/>
      <w:pPr>
        <w:ind w:left="1020" w:hanging="360"/>
      </w:pPr>
    </w:lvl>
    <w:lvl w:ilvl="1" w:tplc="F83812DE">
      <w:start w:val="1"/>
      <w:numFmt w:val="decimal"/>
      <w:lvlText w:val="%2."/>
      <w:lvlJc w:val="left"/>
      <w:pPr>
        <w:ind w:left="1020" w:hanging="360"/>
      </w:pPr>
    </w:lvl>
    <w:lvl w:ilvl="2" w:tplc="33B408C8">
      <w:start w:val="1"/>
      <w:numFmt w:val="decimal"/>
      <w:lvlText w:val="%3."/>
      <w:lvlJc w:val="left"/>
      <w:pPr>
        <w:ind w:left="1020" w:hanging="360"/>
      </w:pPr>
    </w:lvl>
    <w:lvl w:ilvl="3" w:tplc="52948C7C">
      <w:start w:val="1"/>
      <w:numFmt w:val="decimal"/>
      <w:lvlText w:val="%4."/>
      <w:lvlJc w:val="left"/>
      <w:pPr>
        <w:ind w:left="1020" w:hanging="360"/>
      </w:pPr>
    </w:lvl>
    <w:lvl w:ilvl="4" w:tplc="1D26C1C4">
      <w:start w:val="1"/>
      <w:numFmt w:val="decimal"/>
      <w:lvlText w:val="%5."/>
      <w:lvlJc w:val="left"/>
      <w:pPr>
        <w:ind w:left="1020" w:hanging="360"/>
      </w:pPr>
    </w:lvl>
    <w:lvl w:ilvl="5" w:tplc="07803DD6">
      <w:start w:val="1"/>
      <w:numFmt w:val="decimal"/>
      <w:lvlText w:val="%6."/>
      <w:lvlJc w:val="left"/>
      <w:pPr>
        <w:ind w:left="1020" w:hanging="360"/>
      </w:pPr>
    </w:lvl>
    <w:lvl w:ilvl="6" w:tplc="8D881B56">
      <w:start w:val="1"/>
      <w:numFmt w:val="decimal"/>
      <w:lvlText w:val="%7."/>
      <w:lvlJc w:val="left"/>
      <w:pPr>
        <w:ind w:left="1020" w:hanging="360"/>
      </w:pPr>
    </w:lvl>
    <w:lvl w:ilvl="7" w:tplc="0142917C">
      <w:start w:val="1"/>
      <w:numFmt w:val="decimal"/>
      <w:lvlText w:val="%8."/>
      <w:lvlJc w:val="left"/>
      <w:pPr>
        <w:ind w:left="1020" w:hanging="360"/>
      </w:pPr>
    </w:lvl>
    <w:lvl w:ilvl="8" w:tplc="B7082D96">
      <w:start w:val="1"/>
      <w:numFmt w:val="decimal"/>
      <w:lvlText w:val="%9."/>
      <w:lvlJc w:val="left"/>
      <w:pPr>
        <w:ind w:left="1020" w:hanging="360"/>
      </w:pPr>
    </w:lvl>
  </w:abstractNum>
  <w:abstractNum w:abstractNumId="2" w15:restartNumberingAfterBreak="0">
    <w:nsid w:val="0C0A00A4"/>
    <w:multiLevelType w:val="hybridMultilevel"/>
    <w:tmpl w:val="97949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6321E9"/>
    <w:multiLevelType w:val="hybridMultilevel"/>
    <w:tmpl w:val="389AC8A6"/>
    <w:lvl w:ilvl="0" w:tplc="259AD006">
      <w:start w:val="1"/>
      <w:numFmt w:val="decimal"/>
      <w:lvlText w:val="%1."/>
      <w:lvlJc w:val="left"/>
      <w:pPr>
        <w:ind w:left="1020" w:hanging="360"/>
      </w:pPr>
    </w:lvl>
    <w:lvl w:ilvl="1" w:tplc="30241C60">
      <w:start w:val="1"/>
      <w:numFmt w:val="decimal"/>
      <w:lvlText w:val="%2."/>
      <w:lvlJc w:val="left"/>
      <w:pPr>
        <w:ind w:left="1020" w:hanging="360"/>
      </w:pPr>
    </w:lvl>
    <w:lvl w:ilvl="2" w:tplc="0842401C">
      <w:start w:val="1"/>
      <w:numFmt w:val="decimal"/>
      <w:lvlText w:val="%3."/>
      <w:lvlJc w:val="left"/>
      <w:pPr>
        <w:ind w:left="1020" w:hanging="360"/>
      </w:pPr>
    </w:lvl>
    <w:lvl w:ilvl="3" w:tplc="DDA47CE2">
      <w:start w:val="1"/>
      <w:numFmt w:val="decimal"/>
      <w:lvlText w:val="%4."/>
      <w:lvlJc w:val="left"/>
      <w:pPr>
        <w:ind w:left="1020" w:hanging="360"/>
      </w:pPr>
    </w:lvl>
    <w:lvl w:ilvl="4" w:tplc="8F6A5CA4">
      <w:start w:val="1"/>
      <w:numFmt w:val="decimal"/>
      <w:lvlText w:val="%5."/>
      <w:lvlJc w:val="left"/>
      <w:pPr>
        <w:ind w:left="1020" w:hanging="360"/>
      </w:pPr>
    </w:lvl>
    <w:lvl w:ilvl="5" w:tplc="9550A5B6">
      <w:start w:val="1"/>
      <w:numFmt w:val="decimal"/>
      <w:lvlText w:val="%6."/>
      <w:lvlJc w:val="left"/>
      <w:pPr>
        <w:ind w:left="1020" w:hanging="360"/>
      </w:pPr>
    </w:lvl>
    <w:lvl w:ilvl="6" w:tplc="E97836DE">
      <w:start w:val="1"/>
      <w:numFmt w:val="decimal"/>
      <w:lvlText w:val="%7."/>
      <w:lvlJc w:val="left"/>
      <w:pPr>
        <w:ind w:left="1020" w:hanging="360"/>
      </w:pPr>
    </w:lvl>
    <w:lvl w:ilvl="7" w:tplc="4FFA85CC">
      <w:start w:val="1"/>
      <w:numFmt w:val="decimal"/>
      <w:lvlText w:val="%8."/>
      <w:lvlJc w:val="left"/>
      <w:pPr>
        <w:ind w:left="1020" w:hanging="360"/>
      </w:pPr>
    </w:lvl>
    <w:lvl w:ilvl="8" w:tplc="4EE86F6C">
      <w:start w:val="1"/>
      <w:numFmt w:val="decimal"/>
      <w:lvlText w:val="%9."/>
      <w:lvlJc w:val="left"/>
      <w:pPr>
        <w:ind w:left="1020" w:hanging="360"/>
      </w:pPr>
    </w:lvl>
  </w:abstractNum>
  <w:abstractNum w:abstractNumId="5" w15:restartNumberingAfterBreak="0">
    <w:nsid w:val="230821E7"/>
    <w:multiLevelType w:val="hybridMultilevel"/>
    <w:tmpl w:val="A260AB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354785C"/>
    <w:multiLevelType w:val="hybridMultilevel"/>
    <w:tmpl w:val="63704D7C"/>
    <w:lvl w:ilvl="0" w:tplc="05389998">
      <w:start w:val="1"/>
      <w:numFmt w:val="bullet"/>
      <w:lvlText w:val=""/>
      <w:lvlJc w:val="left"/>
      <w:pPr>
        <w:tabs>
          <w:tab w:val="num" w:pos="720"/>
        </w:tabs>
        <w:ind w:left="720" w:hanging="360"/>
      </w:pPr>
      <w:rPr>
        <w:rFonts w:ascii="Symbol" w:hAnsi="Symbol" w:hint="default"/>
      </w:rPr>
    </w:lvl>
    <w:lvl w:ilvl="1" w:tplc="E95C26FA" w:tentative="1">
      <w:start w:val="1"/>
      <w:numFmt w:val="bullet"/>
      <w:lvlText w:val=""/>
      <w:lvlJc w:val="left"/>
      <w:pPr>
        <w:tabs>
          <w:tab w:val="num" w:pos="1440"/>
        </w:tabs>
        <w:ind w:left="1440" w:hanging="360"/>
      </w:pPr>
      <w:rPr>
        <w:rFonts w:ascii="Symbol" w:hAnsi="Symbol" w:hint="default"/>
      </w:rPr>
    </w:lvl>
    <w:lvl w:ilvl="2" w:tplc="A75CE94C" w:tentative="1">
      <w:start w:val="1"/>
      <w:numFmt w:val="bullet"/>
      <w:lvlText w:val=""/>
      <w:lvlJc w:val="left"/>
      <w:pPr>
        <w:tabs>
          <w:tab w:val="num" w:pos="2160"/>
        </w:tabs>
        <w:ind w:left="2160" w:hanging="360"/>
      </w:pPr>
      <w:rPr>
        <w:rFonts w:ascii="Symbol" w:hAnsi="Symbol" w:hint="default"/>
      </w:rPr>
    </w:lvl>
    <w:lvl w:ilvl="3" w:tplc="C4241174" w:tentative="1">
      <w:start w:val="1"/>
      <w:numFmt w:val="bullet"/>
      <w:lvlText w:val=""/>
      <w:lvlJc w:val="left"/>
      <w:pPr>
        <w:tabs>
          <w:tab w:val="num" w:pos="2880"/>
        </w:tabs>
        <w:ind w:left="2880" w:hanging="360"/>
      </w:pPr>
      <w:rPr>
        <w:rFonts w:ascii="Symbol" w:hAnsi="Symbol" w:hint="default"/>
      </w:rPr>
    </w:lvl>
    <w:lvl w:ilvl="4" w:tplc="F322F270" w:tentative="1">
      <w:start w:val="1"/>
      <w:numFmt w:val="bullet"/>
      <w:lvlText w:val=""/>
      <w:lvlJc w:val="left"/>
      <w:pPr>
        <w:tabs>
          <w:tab w:val="num" w:pos="3600"/>
        </w:tabs>
        <w:ind w:left="3600" w:hanging="360"/>
      </w:pPr>
      <w:rPr>
        <w:rFonts w:ascii="Symbol" w:hAnsi="Symbol" w:hint="default"/>
      </w:rPr>
    </w:lvl>
    <w:lvl w:ilvl="5" w:tplc="7A847960" w:tentative="1">
      <w:start w:val="1"/>
      <w:numFmt w:val="bullet"/>
      <w:lvlText w:val=""/>
      <w:lvlJc w:val="left"/>
      <w:pPr>
        <w:tabs>
          <w:tab w:val="num" w:pos="4320"/>
        </w:tabs>
        <w:ind w:left="4320" w:hanging="360"/>
      </w:pPr>
      <w:rPr>
        <w:rFonts w:ascii="Symbol" w:hAnsi="Symbol" w:hint="default"/>
      </w:rPr>
    </w:lvl>
    <w:lvl w:ilvl="6" w:tplc="E97CF78C" w:tentative="1">
      <w:start w:val="1"/>
      <w:numFmt w:val="bullet"/>
      <w:lvlText w:val=""/>
      <w:lvlJc w:val="left"/>
      <w:pPr>
        <w:tabs>
          <w:tab w:val="num" w:pos="5040"/>
        </w:tabs>
        <w:ind w:left="5040" w:hanging="360"/>
      </w:pPr>
      <w:rPr>
        <w:rFonts w:ascii="Symbol" w:hAnsi="Symbol" w:hint="default"/>
      </w:rPr>
    </w:lvl>
    <w:lvl w:ilvl="7" w:tplc="67606C76" w:tentative="1">
      <w:start w:val="1"/>
      <w:numFmt w:val="bullet"/>
      <w:lvlText w:val=""/>
      <w:lvlJc w:val="left"/>
      <w:pPr>
        <w:tabs>
          <w:tab w:val="num" w:pos="5760"/>
        </w:tabs>
        <w:ind w:left="5760" w:hanging="360"/>
      </w:pPr>
      <w:rPr>
        <w:rFonts w:ascii="Symbol" w:hAnsi="Symbol" w:hint="default"/>
      </w:rPr>
    </w:lvl>
    <w:lvl w:ilvl="8" w:tplc="6AF8411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9D3341A"/>
    <w:multiLevelType w:val="hybridMultilevel"/>
    <w:tmpl w:val="948C41E2"/>
    <w:lvl w:ilvl="0" w:tplc="476EC8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D472A5"/>
    <w:multiLevelType w:val="hybridMultilevel"/>
    <w:tmpl w:val="E3408DC2"/>
    <w:lvl w:ilvl="0" w:tplc="B0683738">
      <w:start w:val="1"/>
      <w:numFmt w:val="decimal"/>
      <w:lvlText w:val="%1."/>
      <w:lvlJc w:val="left"/>
      <w:pPr>
        <w:ind w:left="1020" w:hanging="360"/>
      </w:pPr>
    </w:lvl>
    <w:lvl w:ilvl="1" w:tplc="A6802ABE">
      <w:start w:val="1"/>
      <w:numFmt w:val="decimal"/>
      <w:lvlText w:val="%2."/>
      <w:lvlJc w:val="left"/>
      <w:pPr>
        <w:ind w:left="1020" w:hanging="360"/>
      </w:pPr>
    </w:lvl>
    <w:lvl w:ilvl="2" w:tplc="2F74BCDC">
      <w:start w:val="1"/>
      <w:numFmt w:val="decimal"/>
      <w:lvlText w:val="%3."/>
      <w:lvlJc w:val="left"/>
      <w:pPr>
        <w:ind w:left="1020" w:hanging="360"/>
      </w:pPr>
    </w:lvl>
    <w:lvl w:ilvl="3" w:tplc="FE6ADC6E">
      <w:start w:val="1"/>
      <w:numFmt w:val="decimal"/>
      <w:lvlText w:val="%4."/>
      <w:lvlJc w:val="left"/>
      <w:pPr>
        <w:ind w:left="1020" w:hanging="360"/>
      </w:pPr>
    </w:lvl>
    <w:lvl w:ilvl="4" w:tplc="03029E9E">
      <w:start w:val="1"/>
      <w:numFmt w:val="decimal"/>
      <w:lvlText w:val="%5."/>
      <w:lvlJc w:val="left"/>
      <w:pPr>
        <w:ind w:left="1020" w:hanging="360"/>
      </w:pPr>
    </w:lvl>
    <w:lvl w:ilvl="5" w:tplc="90105E3E">
      <w:start w:val="1"/>
      <w:numFmt w:val="decimal"/>
      <w:lvlText w:val="%6."/>
      <w:lvlJc w:val="left"/>
      <w:pPr>
        <w:ind w:left="1020" w:hanging="360"/>
      </w:pPr>
    </w:lvl>
    <w:lvl w:ilvl="6" w:tplc="F4F2A512">
      <w:start w:val="1"/>
      <w:numFmt w:val="decimal"/>
      <w:lvlText w:val="%7."/>
      <w:lvlJc w:val="left"/>
      <w:pPr>
        <w:ind w:left="1020" w:hanging="360"/>
      </w:pPr>
    </w:lvl>
    <w:lvl w:ilvl="7" w:tplc="1100ACDA">
      <w:start w:val="1"/>
      <w:numFmt w:val="decimal"/>
      <w:lvlText w:val="%8."/>
      <w:lvlJc w:val="left"/>
      <w:pPr>
        <w:ind w:left="1020" w:hanging="360"/>
      </w:pPr>
    </w:lvl>
    <w:lvl w:ilvl="8" w:tplc="D44610F4">
      <w:start w:val="1"/>
      <w:numFmt w:val="decimal"/>
      <w:lvlText w:val="%9."/>
      <w:lvlJc w:val="left"/>
      <w:pPr>
        <w:ind w:left="1020" w:hanging="360"/>
      </w:pPr>
    </w:lvl>
  </w:abstractNum>
  <w:abstractNum w:abstractNumId="9"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5F4CFF"/>
    <w:multiLevelType w:val="hybridMultilevel"/>
    <w:tmpl w:val="556C9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324A3"/>
    <w:multiLevelType w:val="hybridMultilevel"/>
    <w:tmpl w:val="72A46C1C"/>
    <w:lvl w:ilvl="0" w:tplc="0EECF498">
      <w:start w:val="1"/>
      <w:numFmt w:val="bullet"/>
      <w:lvlText w:val=""/>
      <w:lvlJc w:val="left"/>
      <w:pPr>
        <w:tabs>
          <w:tab w:val="num" w:pos="720"/>
        </w:tabs>
        <w:ind w:left="720" w:hanging="360"/>
      </w:pPr>
      <w:rPr>
        <w:rFonts w:ascii="Symbol" w:hAnsi="Symbol" w:hint="default"/>
      </w:rPr>
    </w:lvl>
    <w:lvl w:ilvl="1" w:tplc="F72A89A6" w:tentative="1">
      <w:start w:val="1"/>
      <w:numFmt w:val="bullet"/>
      <w:lvlText w:val=""/>
      <w:lvlJc w:val="left"/>
      <w:pPr>
        <w:tabs>
          <w:tab w:val="num" w:pos="1440"/>
        </w:tabs>
        <w:ind w:left="1440" w:hanging="360"/>
      </w:pPr>
      <w:rPr>
        <w:rFonts w:ascii="Symbol" w:hAnsi="Symbol" w:hint="default"/>
      </w:rPr>
    </w:lvl>
    <w:lvl w:ilvl="2" w:tplc="32B47676" w:tentative="1">
      <w:start w:val="1"/>
      <w:numFmt w:val="bullet"/>
      <w:lvlText w:val=""/>
      <w:lvlJc w:val="left"/>
      <w:pPr>
        <w:tabs>
          <w:tab w:val="num" w:pos="2160"/>
        </w:tabs>
        <w:ind w:left="2160" w:hanging="360"/>
      </w:pPr>
      <w:rPr>
        <w:rFonts w:ascii="Symbol" w:hAnsi="Symbol" w:hint="default"/>
      </w:rPr>
    </w:lvl>
    <w:lvl w:ilvl="3" w:tplc="1E38B5B8" w:tentative="1">
      <w:start w:val="1"/>
      <w:numFmt w:val="bullet"/>
      <w:lvlText w:val=""/>
      <w:lvlJc w:val="left"/>
      <w:pPr>
        <w:tabs>
          <w:tab w:val="num" w:pos="2880"/>
        </w:tabs>
        <w:ind w:left="2880" w:hanging="360"/>
      </w:pPr>
      <w:rPr>
        <w:rFonts w:ascii="Symbol" w:hAnsi="Symbol" w:hint="default"/>
      </w:rPr>
    </w:lvl>
    <w:lvl w:ilvl="4" w:tplc="D9A88F04" w:tentative="1">
      <w:start w:val="1"/>
      <w:numFmt w:val="bullet"/>
      <w:lvlText w:val=""/>
      <w:lvlJc w:val="left"/>
      <w:pPr>
        <w:tabs>
          <w:tab w:val="num" w:pos="3600"/>
        </w:tabs>
        <w:ind w:left="3600" w:hanging="360"/>
      </w:pPr>
      <w:rPr>
        <w:rFonts w:ascii="Symbol" w:hAnsi="Symbol" w:hint="default"/>
      </w:rPr>
    </w:lvl>
    <w:lvl w:ilvl="5" w:tplc="2870DF34" w:tentative="1">
      <w:start w:val="1"/>
      <w:numFmt w:val="bullet"/>
      <w:lvlText w:val=""/>
      <w:lvlJc w:val="left"/>
      <w:pPr>
        <w:tabs>
          <w:tab w:val="num" w:pos="4320"/>
        </w:tabs>
        <w:ind w:left="4320" w:hanging="360"/>
      </w:pPr>
      <w:rPr>
        <w:rFonts w:ascii="Symbol" w:hAnsi="Symbol" w:hint="default"/>
      </w:rPr>
    </w:lvl>
    <w:lvl w:ilvl="6" w:tplc="70D8A0A2" w:tentative="1">
      <w:start w:val="1"/>
      <w:numFmt w:val="bullet"/>
      <w:lvlText w:val=""/>
      <w:lvlJc w:val="left"/>
      <w:pPr>
        <w:tabs>
          <w:tab w:val="num" w:pos="5040"/>
        </w:tabs>
        <w:ind w:left="5040" w:hanging="360"/>
      </w:pPr>
      <w:rPr>
        <w:rFonts w:ascii="Symbol" w:hAnsi="Symbol" w:hint="default"/>
      </w:rPr>
    </w:lvl>
    <w:lvl w:ilvl="7" w:tplc="0FFA5184" w:tentative="1">
      <w:start w:val="1"/>
      <w:numFmt w:val="bullet"/>
      <w:lvlText w:val=""/>
      <w:lvlJc w:val="left"/>
      <w:pPr>
        <w:tabs>
          <w:tab w:val="num" w:pos="5760"/>
        </w:tabs>
        <w:ind w:left="5760" w:hanging="360"/>
      </w:pPr>
      <w:rPr>
        <w:rFonts w:ascii="Symbol" w:hAnsi="Symbol" w:hint="default"/>
      </w:rPr>
    </w:lvl>
    <w:lvl w:ilvl="8" w:tplc="BB1259A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E252072"/>
    <w:multiLevelType w:val="hybridMultilevel"/>
    <w:tmpl w:val="FE1E5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1315745">
    <w:abstractNumId w:val="9"/>
  </w:num>
  <w:num w:numId="2" w16cid:durableId="768818958">
    <w:abstractNumId w:val="9"/>
    <w:lvlOverride w:ilvl="0">
      <w:startOverride w:val="1"/>
    </w:lvlOverride>
  </w:num>
  <w:num w:numId="3" w16cid:durableId="1890258398">
    <w:abstractNumId w:val="9"/>
    <w:lvlOverride w:ilvl="0">
      <w:startOverride w:val="1"/>
    </w:lvlOverride>
  </w:num>
  <w:num w:numId="4" w16cid:durableId="649091149">
    <w:abstractNumId w:val="11"/>
  </w:num>
  <w:num w:numId="5" w16cid:durableId="934098631">
    <w:abstractNumId w:val="3"/>
  </w:num>
  <w:num w:numId="6" w16cid:durableId="151024048">
    <w:abstractNumId w:val="9"/>
    <w:lvlOverride w:ilvl="0">
      <w:startOverride w:val="1"/>
    </w:lvlOverride>
  </w:num>
  <w:num w:numId="7" w16cid:durableId="1836610287">
    <w:abstractNumId w:val="9"/>
    <w:lvlOverride w:ilvl="0">
      <w:startOverride w:val="1"/>
    </w:lvlOverride>
  </w:num>
  <w:num w:numId="8" w16cid:durableId="2006547766">
    <w:abstractNumId w:val="9"/>
    <w:lvlOverride w:ilvl="0">
      <w:startOverride w:val="1"/>
    </w:lvlOverride>
  </w:num>
  <w:num w:numId="9" w16cid:durableId="1379822385">
    <w:abstractNumId w:val="13"/>
  </w:num>
  <w:num w:numId="10" w16cid:durableId="1276981909">
    <w:abstractNumId w:val="10"/>
  </w:num>
  <w:num w:numId="11" w16cid:durableId="1977682116">
    <w:abstractNumId w:val="11"/>
  </w:num>
  <w:num w:numId="12" w16cid:durableId="1696269951">
    <w:abstractNumId w:val="11"/>
  </w:num>
  <w:num w:numId="13" w16cid:durableId="1555584703">
    <w:abstractNumId w:val="0"/>
  </w:num>
  <w:num w:numId="14" w16cid:durableId="366376057">
    <w:abstractNumId w:val="12"/>
  </w:num>
  <w:num w:numId="15" w16cid:durableId="1909922326">
    <w:abstractNumId w:val="6"/>
  </w:num>
  <w:num w:numId="16" w16cid:durableId="2124684593">
    <w:abstractNumId w:val="4"/>
  </w:num>
  <w:num w:numId="17" w16cid:durableId="906037808">
    <w:abstractNumId w:val="2"/>
  </w:num>
  <w:num w:numId="18" w16cid:durableId="1378120932">
    <w:abstractNumId w:val="7"/>
  </w:num>
  <w:num w:numId="19" w16cid:durableId="219564270">
    <w:abstractNumId w:val="1"/>
  </w:num>
  <w:num w:numId="20" w16cid:durableId="1372995176">
    <w:abstractNumId w:val="8"/>
  </w:num>
  <w:num w:numId="21" w16cid:durableId="1868642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5D"/>
    <w:rsid w:val="0000077E"/>
    <w:rsid w:val="000059B4"/>
    <w:rsid w:val="00017776"/>
    <w:rsid w:val="00017F06"/>
    <w:rsid w:val="00021DCB"/>
    <w:rsid w:val="00025428"/>
    <w:rsid w:val="00025DF3"/>
    <w:rsid w:val="00030679"/>
    <w:rsid w:val="00045E13"/>
    <w:rsid w:val="000502CA"/>
    <w:rsid w:val="00055F8D"/>
    <w:rsid w:val="00065484"/>
    <w:rsid w:val="00066252"/>
    <w:rsid w:val="0007092D"/>
    <w:rsid w:val="00074F02"/>
    <w:rsid w:val="00077882"/>
    <w:rsid w:val="00080BCC"/>
    <w:rsid w:val="00081540"/>
    <w:rsid w:val="00094F36"/>
    <w:rsid w:val="000A324C"/>
    <w:rsid w:val="000A339F"/>
    <w:rsid w:val="000A3684"/>
    <w:rsid w:val="000A3A39"/>
    <w:rsid w:val="000B2776"/>
    <w:rsid w:val="000B7CE5"/>
    <w:rsid w:val="000C1AA4"/>
    <w:rsid w:val="000C6D02"/>
    <w:rsid w:val="000D40F5"/>
    <w:rsid w:val="000E5A2E"/>
    <w:rsid w:val="000F0AF2"/>
    <w:rsid w:val="000F1407"/>
    <w:rsid w:val="000F5293"/>
    <w:rsid w:val="0010098A"/>
    <w:rsid w:val="00100CEB"/>
    <w:rsid w:val="001120F8"/>
    <w:rsid w:val="00123E7B"/>
    <w:rsid w:val="00130FA7"/>
    <w:rsid w:val="00133CD1"/>
    <w:rsid w:val="00134F9C"/>
    <w:rsid w:val="00137313"/>
    <w:rsid w:val="001405B7"/>
    <w:rsid w:val="001438AE"/>
    <w:rsid w:val="00144289"/>
    <w:rsid w:val="00152BF7"/>
    <w:rsid w:val="00155730"/>
    <w:rsid w:val="00156F0A"/>
    <w:rsid w:val="00163AE3"/>
    <w:rsid w:val="0017129C"/>
    <w:rsid w:val="001869DB"/>
    <w:rsid w:val="0019463F"/>
    <w:rsid w:val="00197CF8"/>
    <w:rsid w:val="001A3856"/>
    <w:rsid w:val="001B3A98"/>
    <w:rsid w:val="001B3B4C"/>
    <w:rsid w:val="001B3D6A"/>
    <w:rsid w:val="001B461C"/>
    <w:rsid w:val="001B6C09"/>
    <w:rsid w:val="001C6022"/>
    <w:rsid w:val="001D0846"/>
    <w:rsid w:val="001D29C1"/>
    <w:rsid w:val="001D5B26"/>
    <w:rsid w:val="001D7F3A"/>
    <w:rsid w:val="001E0A36"/>
    <w:rsid w:val="001E0D67"/>
    <w:rsid w:val="001E6A8F"/>
    <w:rsid w:val="001F73CD"/>
    <w:rsid w:val="00206BB9"/>
    <w:rsid w:val="00213CB6"/>
    <w:rsid w:val="0021791D"/>
    <w:rsid w:val="00222C6E"/>
    <w:rsid w:val="00232F10"/>
    <w:rsid w:val="00233F1A"/>
    <w:rsid w:val="00235C52"/>
    <w:rsid w:val="0023702A"/>
    <w:rsid w:val="002449A4"/>
    <w:rsid w:val="00246196"/>
    <w:rsid w:val="00246245"/>
    <w:rsid w:val="00251289"/>
    <w:rsid w:val="00265727"/>
    <w:rsid w:val="002665D4"/>
    <w:rsid w:val="00274B14"/>
    <w:rsid w:val="002814C9"/>
    <w:rsid w:val="002903BA"/>
    <w:rsid w:val="00290E4E"/>
    <w:rsid w:val="002923D5"/>
    <w:rsid w:val="00292A6D"/>
    <w:rsid w:val="002965B1"/>
    <w:rsid w:val="002A027E"/>
    <w:rsid w:val="002A03E7"/>
    <w:rsid w:val="002A0FC1"/>
    <w:rsid w:val="002C03C0"/>
    <w:rsid w:val="002C1236"/>
    <w:rsid w:val="002C1E1B"/>
    <w:rsid w:val="002D1757"/>
    <w:rsid w:val="002E2A78"/>
    <w:rsid w:val="002F21F5"/>
    <w:rsid w:val="002F3A6A"/>
    <w:rsid w:val="002F65B2"/>
    <w:rsid w:val="00302930"/>
    <w:rsid w:val="0030387C"/>
    <w:rsid w:val="00306A56"/>
    <w:rsid w:val="00306BCA"/>
    <w:rsid w:val="003108B2"/>
    <w:rsid w:val="0032242F"/>
    <w:rsid w:val="003227DD"/>
    <w:rsid w:val="00327C4D"/>
    <w:rsid w:val="00332955"/>
    <w:rsid w:val="00341FBF"/>
    <w:rsid w:val="00343F6F"/>
    <w:rsid w:val="00344586"/>
    <w:rsid w:val="003474A4"/>
    <w:rsid w:val="00353A69"/>
    <w:rsid w:val="00353EBF"/>
    <w:rsid w:val="003575EF"/>
    <w:rsid w:val="00357C23"/>
    <w:rsid w:val="00363489"/>
    <w:rsid w:val="00371CBD"/>
    <w:rsid w:val="003740BA"/>
    <w:rsid w:val="003816EA"/>
    <w:rsid w:val="003872A8"/>
    <w:rsid w:val="003A1CEC"/>
    <w:rsid w:val="003B7D7C"/>
    <w:rsid w:val="003C0D0F"/>
    <w:rsid w:val="003C29FC"/>
    <w:rsid w:val="003C4C08"/>
    <w:rsid w:val="003C5770"/>
    <w:rsid w:val="003F62F1"/>
    <w:rsid w:val="0040062A"/>
    <w:rsid w:val="00401597"/>
    <w:rsid w:val="004041C7"/>
    <w:rsid w:val="00413D08"/>
    <w:rsid w:val="00426B9A"/>
    <w:rsid w:val="0043194D"/>
    <w:rsid w:val="00432798"/>
    <w:rsid w:val="004411D8"/>
    <w:rsid w:val="00443150"/>
    <w:rsid w:val="00444134"/>
    <w:rsid w:val="004516E0"/>
    <w:rsid w:val="00461828"/>
    <w:rsid w:val="004641A7"/>
    <w:rsid w:val="0046667F"/>
    <w:rsid w:val="0046669A"/>
    <w:rsid w:val="00467643"/>
    <w:rsid w:val="00471B5E"/>
    <w:rsid w:val="004740DD"/>
    <w:rsid w:val="00474894"/>
    <w:rsid w:val="00480980"/>
    <w:rsid w:val="00481395"/>
    <w:rsid w:val="00486B2D"/>
    <w:rsid w:val="004A0B2C"/>
    <w:rsid w:val="004A4242"/>
    <w:rsid w:val="004A65D9"/>
    <w:rsid w:val="004B2F7F"/>
    <w:rsid w:val="004C24E5"/>
    <w:rsid w:val="004C403F"/>
    <w:rsid w:val="004D0049"/>
    <w:rsid w:val="004D10B1"/>
    <w:rsid w:val="004D1D85"/>
    <w:rsid w:val="004D38A2"/>
    <w:rsid w:val="004D49FE"/>
    <w:rsid w:val="004D57F2"/>
    <w:rsid w:val="004E2304"/>
    <w:rsid w:val="004E65AA"/>
    <w:rsid w:val="004E6FA1"/>
    <w:rsid w:val="004F6FEF"/>
    <w:rsid w:val="00500A97"/>
    <w:rsid w:val="005077F4"/>
    <w:rsid w:val="00507D90"/>
    <w:rsid w:val="00511714"/>
    <w:rsid w:val="0051235E"/>
    <w:rsid w:val="00513FF9"/>
    <w:rsid w:val="00514D47"/>
    <w:rsid w:val="00515159"/>
    <w:rsid w:val="00521152"/>
    <w:rsid w:val="005220C7"/>
    <w:rsid w:val="005258B3"/>
    <w:rsid w:val="0053464B"/>
    <w:rsid w:val="00534C69"/>
    <w:rsid w:val="00541A21"/>
    <w:rsid w:val="00542C12"/>
    <w:rsid w:val="00545268"/>
    <w:rsid w:val="0055088C"/>
    <w:rsid w:val="00556461"/>
    <w:rsid w:val="00585B8E"/>
    <w:rsid w:val="00592C35"/>
    <w:rsid w:val="00592E1A"/>
    <w:rsid w:val="00595180"/>
    <w:rsid w:val="005A4153"/>
    <w:rsid w:val="005A43B7"/>
    <w:rsid w:val="005D172A"/>
    <w:rsid w:val="005E2754"/>
    <w:rsid w:val="005E65BF"/>
    <w:rsid w:val="005F7B84"/>
    <w:rsid w:val="00610C8F"/>
    <w:rsid w:val="00616B35"/>
    <w:rsid w:val="0062733C"/>
    <w:rsid w:val="00631C5E"/>
    <w:rsid w:val="00633110"/>
    <w:rsid w:val="006337A3"/>
    <w:rsid w:val="00634CC1"/>
    <w:rsid w:val="00635F22"/>
    <w:rsid w:val="00645535"/>
    <w:rsid w:val="00650250"/>
    <w:rsid w:val="0066074C"/>
    <w:rsid w:val="00661961"/>
    <w:rsid w:val="00665E07"/>
    <w:rsid w:val="0066646F"/>
    <w:rsid w:val="006701C4"/>
    <w:rsid w:val="00671161"/>
    <w:rsid w:val="00677AD3"/>
    <w:rsid w:val="00680080"/>
    <w:rsid w:val="00685065"/>
    <w:rsid w:val="00687044"/>
    <w:rsid w:val="006909AC"/>
    <w:rsid w:val="006927FF"/>
    <w:rsid w:val="00693109"/>
    <w:rsid w:val="006A1920"/>
    <w:rsid w:val="006A3040"/>
    <w:rsid w:val="006A3EDA"/>
    <w:rsid w:val="006A721C"/>
    <w:rsid w:val="006A7D3F"/>
    <w:rsid w:val="006B11EF"/>
    <w:rsid w:val="006B1B6F"/>
    <w:rsid w:val="006B5591"/>
    <w:rsid w:val="006B7E81"/>
    <w:rsid w:val="006C13E7"/>
    <w:rsid w:val="006C18B6"/>
    <w:rsid w:val="006C6EB5"/>
    <w:rsid w:val="006D49BC"/>
    <w:rsid w:val="007018A3"/>
    <w:rsid w:val="00702718"/>
    <w:rsid w:val="00704573"/>
    <w:rsid w:val="0071149B"/>
    <w:rsid w:val="00712B17"/>
    <w:rsid w:val="00712C82"/>
    <w:rsid w:val="00713CD2"/>
    <w:rsid w:val="0072314C"/>
    <w:rsid w:val="007332ED"/>
    <w:rsid w:val="00740B9A"/>
    <w:rsid w:val="00745B48"/>
    <w:rsid w:val="0076381C"/>
    <w:rsid w:val="00766FF5"/>
    <w:rsid w:val="00770B31"/>
    <w:rsid w:val="00771669"/>
    <w:rsid w:val="00776D95"/>
    <w:rsid w:val="00780DC2"/>
    <w:rsid w:val="00786E59"/>
    <w:rsid w:val="00790F87"/>
    <w:rsid w:val="00791418"/>
    <w:rsid w:val="0079728E"/>
    <w:rsid w:val="00797DDB"/>
    <w:rsid w:val="007C5166"/>
    <w:rsid w:val="007C6231"/>
    <w:rsid w:val="007C76D3"/>
    <w:rsid w:val="007D3457"/>
    <w:rsid w:val="007D43DA"/>
    <w:rsid w:val="007D522F"/>
    <w:rsid w:val="007D53CA"/>
    <w:rsid w:val="007F312B"/>
    <w:rsid w:val="007F6492"/>
    <w:rsid w:val="008009CE"/>
    <w:rsid w:val="00801B1F"/>
    <w:rsid w:val="00803C91"/>
    <w:rsid w:val="00806007"/>
    <w:rsid w:val="008121F4"/>
    <w:rsid w:val="00827BFC"/>
    <w:rsid w:val="008313FA"/>
    <w:rsid w:val="0083220B"/>
    <w:rsid w:val="00845374"/>
    <w:rsid w:val="00846AFD"/>
    <w:rsid w:val="008519E9"/>
    <w:rsid w:val="00855166"/>
    <w:rsid w:val="00865EA9"/>
    <w:rsid w:val="008662C1"/>
    <w:rsid w:val="00870A3F"/>
    <w:rsid w:val="008714F6"/>
    <w:rsid w:val="008728F0"/>
    <w:rsid w:val="00872B30"/>
    <w:rsid w:val="00877949"/>
    <w:rsid w:val="00884CA1"/>
    <w:rsid w:val="00890C17"/>
    <w:rsid w:val="00892737"/>
    <w:rsid w:val="00895DD6"/>
    <w:rsid w:val="008A1F79"/>
    <w:rsid w:val="008A226C"/>
    <w:rsid w:val="008A403B"/>
    <w:rsid w:val="008A51E3"/>
    <w:rsid w:val="008A683B"/>
    <w:rsid w:val="008A7873"/>
    <w:rsid w:val="008A7880"/>
    <w:rsid w:val="008B0839"/>
    <w:rsid w:val="008B0F13"/>
    <w:rsid w:val="008B1B19"/>
    <w:rsid w:val="008B3AF9"/>
    <w:rsid w:val="008B68E7"/>
    <w:rsid w:val="008C2F65"/>
    <w:rsid w:val="008C353B"/>
    <w:rsid w:val="008C3BB8"/>
    <w:rsid w:val="008D25CF"/>
    <w:rsid w:val="008E290E"/>
    <w:rsid w:val="008E2DE5"/>
    <w:rsid w:val="00900C4B"/>
    <w:rsid w:val="00901F0F"/>
    <w:rsid w:val="009026A6"/>
    <w:rsid w:val="009044E8"/>
    <w:rsid w:val="009068A2"/>
    <w:rsid w:val="00907E14"/>
    <w:rsid w:val="0091100D"/>
    <w:rsid w:val="00947AD0"/>
    <w:rsid w:val="009526F7"/>
    <w:rsid w:val="0095495A"/>
    <w:rsid w:val="0095740E"/>
    <w:rsid w:val="00965509"/>
    <w:rsid w:val="00981711"/>
    <w:rsid w:val="0099135A"/>
    <w:rsid w:val="00993423"/>
    <w:rsid w:val="009952A4"/>
    <w:rsid w:val="009A030D"/>
    <w:rsid w:val="009A1C1B"/>
    <w:rsid w:val="009A649F"/>
    <w:rsid w:val="009B2A87"/>
    <w:rsid w:val="009C29CC"/>
    <w:rsid w:val="009C7C9D"/>
    <w:rsid w:val="009D13AB"/>
    <w:rsid w:val="009D7B89"/>
    <w:rsid w:val="009F4957"/>
    <w:rsid w:val="009F5818"/>
    <w:rsid w:val="00A00848"/>
    <w:rsid w:val="00A01401"/>
    <w:rsid w:val="00A01D6E"/>
    <w:rsid w:val="00A07B08"/>
    <w:rsid w:val="00A17774"/>
    <w:rsid w:val="00A2698E"/>
    <w:rsid w:val="00A4001E"/>
    <w:rsid w:val="00A56BC6"/>
    <w:rsid w:val="00A63A07"/>
    <w:rsid w:val="00A674AD"/>
    <w:rsid w:val="00A735CF"/>
    <w:rsid w:val="00A7750B"/>
    <w:rsid w:val="00A834C0"/>
    <w:rsid w:val="00AA6ACC"/>
    <w:rsid w:val="00AB1A1E"/>
    <w:rsid w:val="00AC6062"/>
    <w:rsid w:val="00AC7A86"/>
    <w:rsid w:val="00AD3672"/>
    <w:rsid w:val="00AE166C"/>
    <w:rsid w:val="00AE6B16"/>
    <w:rsid w:val="00AF4784"/>
    <w:rsid w:val="00AF7C26"/>
    <w:rsid w:val="00B009B9"/>
    <w:rsid w:val="00B057A4"/>
    <w:rsid w:val="00B12A73"/>
    <w:rsid w:val="00B274D4"/>
    <w:rsid w:val="00B35181"/>
    <w:rsid w:val="00B36FC8"/>
    <w:rsid w:val="00B45010"/>
    <w:rsid w:val="00B4776F"/>
    <w:rsid w:val="00B54BE6"/>
    <w:rsid w:val="00B55D13"/>
    <w:rsid w:val="00B578F2"/>
    <w:rsid w:val="00B76033"/>
    <w:rsid w:val="00B772ED"/>
    <w:rsid w:val="00B818B4"/>
    <w:rsid w:val="00B92A48"/>
    <w:rsid w:val="00B95A57"/>
    <w:rsid w:val="00BA1692"/>
    <w:rsid w:val="00BA4A8E"/>
    <w:rsid w:val="00BB6C40"/>
    <w:rsid w:val="00BB7E09"/>
    <w:rsid w:val="00BC50D3"/>
    <w:rsid w:val="00BD1D28"/>
    <w:rsid w:val="00BE0397"/>
    <w:rsid w:val="00BE06C9"/>
    <w:rsid w:val="00BE7DC3"/>
    <w:rsid w:val="00C02DDF"/>
    <w:rsid w:val="00C02F9A"/>
    <w:rsid w:val="00C060FE"/>
    <w:rsid w:val="00C06D2F"/>
    <w:rsid w:val="00C107A8"/>
    <w:rsid w:val="00C11EDB"/>
    <w:rsid w:val="00C12648"/>
    <w:rsid w:val="00C13173"/>
    <w:rsid w:val="00C23D1B"/>
    <w:rsid w:val="00C33D8D"/>
    <w:rsid w:val="00C403E0"/>
    <w:rsid w:val="00C40760"/>
    <w:rsid w:val="00C44A33"/>
    <w:rsid w:val="00C52EC4"/>
    <w:rsid w:val="00C60EBF"/>
    <w:rsid w:val="00C700DC"/>
    <w:rsid w:val="00C71682"/>
    <w:rsid w:val="00C77021"/>
    <w:rsid w:val="00C8771C"/>
    <w:rsid w:val="00C94B61"/>
    <w:rsid w:val="00CA0DB3"/>
    <w:rsid w:val="00CB02DE"/>
    <w:rsid w:val="00CB23F5"/>
    <w:rsid w:val="00CB7C57"/>
    <w:rsid w:val="00CC2B03"/>
    <w:rsid w:val="00CC4616"/>
    <w:rsid w:val="00CC4674"/>
    <w:rsid w:val="00CC5EEC"/>
    <w:rsid w:val="00CD19DE"/>
    <w:rsid w:val="00CD260F"/>
    <w:rsid w:val="00CD624F"/>
    <w:rsid w:val="00CE0F18"/>
    <w:rsid w:val="00CE3A23"/>
    <w:rsid w:val="00CF14DB"/>
    <w:rsid w:val="00CF2F96"/>
    <w:rsid w:val="00CF56CE"/>
    <w:rsid w:val="00CF5DDF"/>
    <w:rsid w:val="00CF5E36"/>
    <w:rsid w:val="00D1292B"/>
    <w:rsid w:val="00D13E7A"/>
    <w:rsid w:val="00D16E27"/>
    <w:rsid w:val="00D21205"/>
    <w:rsid w:val="00D227AC"/>
    <w:rsid w:val="00D2371F"/>
    <w:rsid w:val="00D26781"/>
    <w:rsid w:val="00D3023D"/>
    <w:rsid w:val="00D322E6"/>
    <w:rsid w:val="00D32B6E"/>
    <w:rsid w:val="00D34ADE"/>
    <w:rsid w:val="00D44CAE"/>
    <w:rsid w:val="00D456FA"/>
    <w:rsid w:val="00D5007C"/>
    <w:rsid w:val="00D50262"/>
    <w:rsid w:val="00D51D2E"/>
    <w:rsid w:val="00D53B69"/>
    <w:rsid w:val="00D574F2"/>
    <w:rsid w:val="00D6301C"/>
    <w:rsid w:val="00D700C8"/>
    <w:rsid w:val="00D708FA"/>
    <w:rsid w:val="00D93F61"/>
    <w:rsid w:val="00DA3AE3"/>
    <w:rsid w:val="00DA3F0A"/>
    <w:rsid w:val="00DA6024"/>
    <w:rsid w:val="00DB608B"/>
    <w:rsid w:val="00DB6DE0"/>
    <w:rsid w:val="00DC3C96"/>
    <w:rsid w:val="00DC7BB1"/>
    <w:rsid w:val="00DF4575"/>
    <w:rsid w:val="00DF79EE"/>
    <w:rsid w:val="00E03446"/>
    <w:rsid w:val="00E035AF"/>
    <w:rsid w:val="00E07E75"/>
    <w:rsid w:val="00E100FE"/>
    <w:rsid w:val="00E13AE1"/>
    <w:rsid w:val="00E33FEE"/>
    <w:rsid w:val="00E363E8"/>
    <w:rsid w:val="00E467E1"/>
    <w:rsid w:val="00E50E59"/>
    <w:rsid w:val="00E5168F"/>
    <w:rsid w:val="00E53972"/>
    <w:rsid w:val="00E602D1"/>
    <w:rsid w:val="00E62203"/>
    <w:rsid w:val="00E71426"/>
    <w:rsid w:val="00E83793"/>
    <w:rsid w:val="00E84101"/>
    <w:rsid w:val="00E97D82"/>
    <w:rsid w:val="00EA636B"/>
    <w:rsid w:val="00EB31D3"/>
    <w:rsid w:val="00EB4AA6"/>
    <w:rsid w:val="00EC1229"/>
    <w:rsid w:val="00EC28B8"/>
    <w:rsid w:val="00EE0299"/>
    <w:rsid w:val="00EE32FE"/>
    <w:rsid w:val="00EE4C35"/>
    <w:rsid w:val="00EF025A"/>
    <w:rsid w:val="00F119EF"/>
    <w:rsid w:val="00F12B1C"/>
    <w:rsid w:val="00F17335"/>
    <w:rsid w:val="00F1742D"/>
    <w:rsid w:val="00F17549"/>
    <w:rsid w:val="00F20BCB"/>
    <w:rsid w:val="00F24563"/>
    <w:rsid w:val="00F32C7F"/>
    <w:rsid w:val="00F402CD"/>
    <w:rsid w:val="00F40F77"/>
    <w:rsid w:val="00F44156"/>
    <w:rsid w:val="00F46B16"/>
    <w:rsid w:val="00F4756A"/>
    <w:rsid w:val="00F63247"/>
    <w:rsid w:val="00F6554A"/>
    <w:rsid w:val="00F65F39"/>
    <w:rsid w:val="00F74B5D"/>
    <w:rsid w:val="00F76B6A"/>
    <w:rsid w:val="00F83FB0"/>
    <w:rsid w:val="00F959D5"/>
    <w:rsid w:val="00FA05BB"/>
    <w:rsid w:val="00FA17EA"/>
    <w:rsid w:val="00FA6592"/>
    <w:rsid w:val="00FB22C4"/>
    <w:rsid w:val="00FC00A2"/>
    <w:rsid w:val="00FC07B9"/>
    <w:rsid w:val="00FC77FE"/>
    <w:rsid w:val="00FE7CC9"/>
    <w:rsid w:val="00FF1544"/>
    <w:rsid w:val="00FF28D3"/>
    <w:rsid w:val="00FF4863"/>
    <w:rsid w:val="00FF7483"/>
    <w:rsid w:val="00FF795D"/>
    <w:rsid w:val="01A1B3DC"/>
    <w:rsid w:val="032BFED9"/>
    <w:rsid w:val="03533D87"/>
    <w:rsid w:val="0659E9FC"/>
    <w:rsid w:val="09A537DB"/>
    <w:rsid w:val="0AFD353D"/>
    <w:rsid w:val="0D20770A"/>
    <w:rsid w:val="0DD83326"/>
    <w:rsid w:val="0FB36A1B"/>
    <w:rsid w:val="173D9976"/>
    <w:rsid w:val="18932726"/>
    <w:rsid w:val="1C83A376"/>
    <w:rsid w:val="1ED8AF15"/>
    <w:rsid w:val="3660CEFB"/>
    <w:rsid w:val="3832708F"/>
    <w:rsid w:val="436F7D42"/>
    <w:rsid w:val="43B5191B"/>
    <w:rsid w:val="4960A5C9"/>
    <w:rsid w:val="4A95F656"/>
    <w:rsid w:val="54A0CA96"/>
    <w:rsid w:val="5EFABCAF"/>
    <w:rsid w:val="5F4D17FC"/>
    <w:rsid w:val="61920FCF"/>
    <w:rsid w:val="746D76E7"/>
    <w:rsid w:val="74F9D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2E4187"/>
  <w14:defaultImageDpi w14:val="32767"/>
  <w15:chartTrackingRefBased/>
  <w15:docId w15:val="{A832A701-20F2-462C-BB8A-F44FEBC2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101"/>
    <w:pPr>
      <w:spacing w:before="120" w:after="120" w:line="259" w:lineRule="auto"/>
    </w:pPr>
    <w:rPr>
      <w:sz w:val="22"/>
      <w:szCs w:val="22"/>
      <w:lang w:eastAsia="en-US"/>
    </w:rPr>
  </w:style>
  <w:style w:type="paragraph" w:styleId="Heading1">
    <w:name w:val="heading 1"/>
    <w:basedOn w:val="Normal"/>
    <w:next w:val="Normal"/>
    <w:link w:val="Heading1Char"/>
    <w:uiPriority w:val="9"/>
    <w:qFormat/>
    <w:rsid w:val="00704573"/>
    <w:pPr>
      <w:keepNext/>
      <w:keepLines/>
      <w:spacing w:before="240" w:after="0"/>
      <w:outlineLvl w:val="0"/>
    </w:pPr>
    <w:rPr>
      <w:rFonts w:asciiTheme="majorHAnsi" w:eastAsiaTheme="majorEastAsia" w:hAnsiTheme="majorHAnsi" w:cstheme="majorBidi"/>
      <w:b/>
      <w:caps/>
      <w:sz w:val="32"/>
      <w:szCs w:val="32"/>
    </w:rPr>
  </w:style>
  <w:style w:type="paragraph" w:styleId="Heading2">
    <w:name w:val="heading 2"/>
    <w:basedOn w:val="Heading1"/>
    <w:next w:val="Normal"/>
    <w:link w:val="Heading2Char"/>
    <w:uiPriority w:val="9"/>
    <w:unhideWhenUsed/>
    <w:qFormat/>
    <w:rsid w:val="00965509"/>
    <w:pPr>
      <w:spacing w:before="0"/>
      <w:outlineLvl w:val="1"/>
    </w:pPr>
    <w:rPr>
      <w:b w:val="0"/>
      <w:caps w:val="0"/>
      <w:sz w:val="96"/>
    </w:rPr>
  </w:style>
  <w:style w:type="paragraph" w:styleId="Heading3">
    <w:name w:val="heading 3"/>
    <w:basedOn w:val="Normal"/>
    <w:next w:val="Normal"/>
    <w:link w:val="Heading3Char"/>
    <w:uiPriority w:val="9"/>
    <w:unhideWhenUsed/>
    <w:qFormat/>
    <w:rsid w:val="003575EF"/>
    <w:pPr>
      <w:keepNext/>
      <w:keepLines/>
      <w:spacing w:before="240" w:after="0"/>
      <w:outlineLvl w:val="2"/>
    </w:pPr>
    <w:rPr>
      <w:rFonts w:asciiTheme="majorHAnsi" w:eastAsiaTheme="majorEastAsia" w:hAnsiTheme="majorHAnsi" w:cstheme="majorBidi"/>
      <w:b/>
      <w:sz w:val="32"/>
      <w:szCs w:val="24"/>
    </w:rPr>
  </w:style>
  <w:style w:type="paragraph" w:styleId="Heading4">
    <w:name w:val="heading 4"/>
    <w:basedOn w:val="Normal"/>
    <w:next w:val="Normal"/>
    <w:link w:val="Heading4Char"/>
    <w:uiPriority w:val="9"/>
    <w:unhideWhenUsed/>
    <w:qFormat/>
    <w:rsid w:val="003575EF"/>
    <w:pPr>
      <w:keepNext/>
      <w:keepLines/>
      <w:outlineLvl w:val="3"/>
    </w:pPr>
    <w:rPr>
      <w:rFonts w:asciiTheme="majorHAnsi" w:eastAsiaTheme="majorEastAsia" w:hAnsiTheme="majorHAns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qFormat/>
    <w:rsid w:val="00F959D5"/>
    <w:pPr>
      <w:spacing w:before="480"/>
      <w:jc w:val="center"/>
    </w:pPr>
    <w:rPr>
      <w:rFonts w:asciiTheme="minorHAnsi" w:hAnsiTheme="minorHAnsi" w:cstheme="minorHAnsi"/>
      <w:b w:val="0"/>
      <w:bCs/>
      <w:caps w:val="0"/>
      <w:color w:val="313E48"/>
      <w:sz w:val="40"/>
      <w:szCs w:val="40"/>
    </w:rPr>
  </w:style>
  <w:style w:type="paragraph" w:customStyle="1" w:styleId="BodyCopy">
    <w:name w:val="Body Copy"/>
    <w:next w:val="Normal"/>
    <w:qFormat/>
    <w:rsid w:val="003575EF"/>
    <w:pPr>
      <w:spacing w:before="40" w:after="120"/>
    </w:pPr>
    <w:rPr>
      <w:rFonts w:ascii="Calibri Light" w:hAnsi="Calibri Light" w:cs="Calibri Light"/>
      <w:sz w:val="22"/>
      <w:szCs w:val="21"/>
      <w:lang w:eastAsia="en-US"/>
    </w:rPr>
  </w:style>
  <w:style w:type="paragraph" w:customStyle="1" w:styleId="H2-Heading2">
    <w:name w:val="H2 - Heading 2"/>
    <w:basedOn w:val="Heading2"/>
    <w:next w:val="BodyCopy"/>
    <w:qFormat/>
    <w:rsid w:val="00AF7C26"/>
    <w:pPr>
      <w:spacing w:before="240"/>
    </w:pPr>
    <w:rPr>
      <w:rFonts w:cstheme="majorHAnsi"/>
      <w:b/>
      <w:bCs/>
      <w:caps/>
      <w:color w:val="313E48"/>
      <w:sz w:val="32"/>
    </w:rPr>
  </w:style>
  <w:style w:type="paragraph" w:customStyle="1" w:styleId="H4-Heading4">
    <w:name w:val="H4 - Heading 4"/>
    <w:basedOn w:val="Heading4"/>
    <w:next w:val="BodyCopy"/>
    <w:qFormat/>
    <w:rsid w:val="004D1D85"/>
    <w:pPr>
      <w:spacing w:before="160"/>
    </w:pPr>
    <w:rPr>
      <w:rFonts w:asciiTheme="minorHAnsi" w:hAnsiTheme="minorHAnsi" w:cstheme="minorHAnsi"/>
      <w:b w:val="0"/>
      <w:bCs/>
      <w:i w:val="0"/>
      <w:iCs w:val="0"/>
      <w:color w:val="313E48"/>
      <w:sz w:val="24"/>
      <w:szCs w:val="24"/>
    </w:rPr>
  </w:style>
  <w:style w:type="paragraph" w:customStyle="1" w:styleId="H3-Heading3">
    <w:name w:val="H3 - Heading 3"/>
    <w:basedOn w:val="Heading3"/>
    <w:qFormat/>
    <w:rsid w:val="00771669"/>
    <w:pPr>
      <w:spacing w:before="120" w:after="120"/>
    </w:pPr>
    <w:rPr>
      <w:rFonts w:asciiTheme="minorHAnsi" w:hAnsiTheme="minorHAnsi" w:cstheme="minorHAnsi"/>
      <w:b w:val="0"/>
      <w:bCs/>
      <w:sz w:val="28"/>
      <w:szCs w:val="28"/>
    </w:rPr>
  </w:style>
  <w:style w:type="paragraph" w:customStyle="1" w:styleId="BodycopyNumberedBullets">
    <w:name w:val="Body copy Numbered Bullets"/>
    <w:basedOn w:val="BodyCopy"/>
    <w:qFormat/>
    <w:rsid w:val="00D32B6E"/>
    <w:pPr>
      <w:numPr>
        <w:numId w:val="1"/>
      </w:numPr>
      <w:ind w:left="641" w:hanging="357"/>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D32B6E"/>
    <w:pPr>
      <w:numPr>
        <w:numId w:val="4"/>
      </w:numPr>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71669"/>
    <w:pPr>
      <w:spacing w:before="0"/>
    </w:pPr>
    <w:rPr>
      <w:rFonts w:asciiTheme="minorHAnsi" w:hAnsiTheme="minorHAnsi" w:cstheme="minorHAnsi"/>
      <w:b/>
      <w:bCs/>
      <w:sz w:val="20"/>
    </w:rPr>
  </w:style>
  <w:style w:type="paragraph" w:customStyle="1" w:styleId="TableBodyCopy">
    <w:name w:val="Table Body Copy"/>
    <w:basedOn w:val="Normal"/>
    <w:next w:val="Normal"/>
    <w:qFormat/>
    <w:rsid w:val="009D13AB"/>
    <w:pPr>
      <w:spacing w:before="0" w:after="0"/>
    </w:pPr>
    <w:rPr>
      <w:sz w:val="20"/>
    </w:r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47763B"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704573"/>
    <w:rPr>
      <w:rFonts w:asciiTheme="majorHAnsi" w:eastAsiaTheme="majorEastAsia" w:hAnsiTheme="majorHAnsi" w:cstheme="majorBidi"/>
      <w:b/>
      <w:caps/>
      <w:sz w:val="32"/>
      <w:szCs w:val="32"/>
      <w:lang w:eastAsia="en-US"/>
    </w:rPr>
  </w:style>
  <w:style w:type="character" w:customStyle="1" w:styleId="Heading2Char">
    <w:name w:val="Heading 2 Char"/>
    <w:basedOn w:val="DefaultParagraphFont"/>
    <w:link w:val="Heading2"/>
    <w:uiPriority w:val="9"/>
    <w:rsid w:val="00965509"/>
    <w:rPr>
      <w:rFonts w:asciiTheme="majorHAnsi" w:eastAsiaTheme="majorEastAsia" w:hAnsiTheme="majorHAnsi" w:cstheme="majorBidi"/>
      <w:sz w:val="96"/>
      <w:szCs w:val="32"/>
      <w:lang w:eastAsia="en-US"/>
    </w:rPr>
  </w:style>
  <w:style w:type="character" w:customStyle="1" w:styleId="Heading3Char">
    <w:name w:val="Heading 3 Char"/>
    <w:basedOn w:val="DefaultParagraphFont"/>
    <w:link w:val="Heading3"/>
    <w:uiPriority w:val="9"/>
    <w:rsid w:val="003575EF"/>
    <w:rPr>
      <w:rFonts w:asciiTheme="majorHAnsi" w:eastAsiaTheme="majorEastAsia" w:hAnsiTheme="majorHAnsi" w:cstheme="majorBidi"/>
      <w:b/>
      <w:sz w:val="32"/>
      <w:szCs w:val="24"/>
      <w:lang w:eastAsia="en-US"/>
    </w:rPr>
  </w:style>
  <w:style w:type="character" w:customStyle="1" w:styleId="Heading4Char">
    <w:name w:val="Heading 4 Char"/>
    <w:basedOn w:val="DefaultParagraphFont"/>
    <w:link w:val="Heading4"/>
    <w:uiPriority w:val="9"/>
    <w:rsid w:val="003575EF"/>
    <w:rPr>
      <w:rFonts w:asciiTheme="majorHAnsi" w:eastAsiaTheme="majorEastAsia" w:hAnsiTheme="majorHAnsi" w:cstheme="majorBidi"/>
      <w:b/>
      <w:i/>
      <w:iCs/>
      <w:sz w:val="22"/>
      <w:szCs w:val="22"/>
      <w:lang w:eastAsia="en-US"/>
    </w:rPr>
  </w:style>
  <w:style w:type="character" w:styleId="IntenseEmphasis">
    <w:name w:val="Intense Emphasis"/>
    <w:basedOn w:val="DefaultParagraphFont"/>
    <w:uiPriority w:val="21"/>
    <w:qFormat/>
    <w:rsid w:val="00AF7C26"/>
    <w:rPr>
      <w:i/>
      <w:iCs/>
      <w:color w:val="00837C" w:themeColor="accent1"/>
    </w:rPr>
  </w:style>
  <w:style w:type="table" w:styleId="ListTable4-Accent4">
    <w:name w:val="List Table 4 Accent 4"/>
    <w:basedOn w:val="TableNormal"/>
    <w:uiPriority w:val="49"/>
    <w:rsid w:val="004516E0"/>
    <w:tblPr>
      <w:tblStyleRowBandSize w:val="1"/>
      <w:tblStyleColBandSize w:val="1"/>
      <w:tblBorders>
        <w:top w:val="single" w:sz="4" w:space="0" w:color="F3CC79" w:themeColor="accent4" w:themeTint="99"/>
        <w:left w:val="single" w:sz="4" w:space="0" w:color="F3CC79" w:themeColor="accent4" w:themeTint="99"/>
        <w:bottom w:val="single" w:sz="4" w:space="0" w:color="F3CC79" w:themeColor="accent4" w:themeTint="99"/>
        <w:right w:val="single" w:sz="4" w:space="0" w:color="F3CC79" w:themeColor="accent4" w:themeTint="99"/>
        <w:insideH w:val="single" w:sz="4" w:space="0" w:color="F3CC79" w:themeColor="accent4" w:themeTint="99"/>
      </w:tblBorders>
    </w:tblPr>
    <w:tblStylePr w:type="firstRow">
      <w:rPr>
        <w:b/>
        <w:bCs/>
        <w:color w:val="FFFFFF" w:themeColor="background1"/>
      </w:rPr>
      <w:tblPr/>
      <w:tcPr>
        <w:tcBorders>
          <w:top w:val="single" w:sz="4" w:space="0" w:color="EBAB21" w:themeColor="accent4"/>
          <w:left w:val="single" w:sz="4" w:space="0" w:color="EBAB21" w:themeColor="accent4"/>
          <w:bottom w:val="single" w:sz="4" w:space="0" w:color="EBAB21" w:themeColor="accent4"/>
          <w:right w:val="single" w:sz="4" w:space="0" w:color="EBAB21" w:themeColor="accent4"/>
          <w:insideH w:val="nil"/>
        </w:tcBorders>
        <w:shd w:val="clear" w:color="auto" w:fill="EBAB21" w:themeFill="accent4"/>
      </w:tcPr>
    </w:tblStylePr>
    <w:tblStylePr w:type="lastRow">
      <w:rPr>
        <w:b/>
        <w:bCs/>
      </w:rPr>
      <w:tblPr/>
      <w:tcPr>
        <w:tcBorders>
          <w:top w:val="double" w:sz="4" w:space="0" w:color="F3CC79" w:themeColor="accent4" w:themeTint="99"/>
        </w:tcBorders>
      </w:tcPr>
    </w:tblStylePr>
    <w:tblStylePr w:type="firstCol">
      <w:rPr>
        <w:b/>
        <w:bCs/>
      </w:rPr>
    </w:tblStylePr>
    <w:tblStylePr w:type="lastCol">
      <w:rPr>
        <w:b/>
        <w:bCs/>
      </w:rPr>
    </w:tblStylePr>
    <w:tblStylePr w:type="band1Vert">
      <w:tblPr/>
      <w:tcPr>
        <w:shd w:val="clear" w:color="auto" w:fill="FBEED2" w:themeFill="accent4" w:themeFillTint="33"/>
      </w:tcPr>
    </w:tblStylePr>
    <w:tblStylePr w:type="band1Horz">
      <w:tblPr/>
      <w:tcPr>
        <w:shd w:val="clear" w:color="auto" w:fill="FBEED2" w:themeFill="accent4" w:themeFillTint="33"/>
      </w:tcPr>
    </w:tblStylePr>
  </w:style>
  <w:style w:type="character" w:styleId="CommentReference">
    <w:name w:val="annotation reference"/>
    <w:basedOn w:val="DefaultParagraphFont"/>
    <w:uiPriority w:val="99"/>
    <w:semiHidden/>
    <w:unhideWhenUsed/>
    <w:rsid w:val="00045E13"/>
    <w:rPr>
      <w:sz w:val="16"/>
      <w:szCs w:val="16"/>
    </w:rPr>
  </w:style>
  <w:style w:type="paragraph" w:styleId="CommentText">
    <w:name w:val="annotation text"/>
    <w:basedOn w:val="Normal"/>
    <w:link w:val="CommentTextChar"/>
    <w:uiPriority w:val="99"/>
    <w:unhideWhenUsed/>
    <w:rsid w:val="00045E13"/>
    <w:pPr>
      <w:spacing w:line="240" w:lineRule="auto"/>
    </w:pPr>
    <w:rPr>
      <w:sz w:val="20"/>
      <w:szCs w:val="20"/>
    </w:rPr>
  </w:style>
  <w:style w:type="character" w:customStyle="1" w:styleId="CommentTextChar">
    <w:name w:val="Comment Text Char"/>
    <w:basedOn w:val="DefaultParagraphFont"/>
    <w:link w:val="CommentText"/>
    <w:uiPriority w:val="99"/>
    <w:rsid w:val="00045E13"/>
    <w:rPr>
      <w:lang w:eastAsia="en-US"/>
    </w:rPr>
  </w:style>
  <w:style w:type="paragraph" w:styleId="CommentSubject">
    <w:name w:val="annotation subject"/>
    <w:basedOn w:val="CommentText"/>
    <w:next w:val="CommentText"/>
    <w:link w:val="CommentSubjectChar"/>
    <w:uiPriority w:val="99"/>
    <w:semiHidden/>
    <w:unhideWhenUsed/>
    <w:rsid w:val="00045E13"/>
    <w:rPr>
      <w:b/>
      <w:bCs/>
    </w:rPr>
  </w:style>
  <w:style w:type="character" w:customStyle="1" w:styleId="CommentSubjectChar">
    <w:name w:val="Comment Subject Char"/>
    <w:basedOn w:val="CommentTextChar"/>
    <w:link w:val="CommentSubject"/>
    <w:uiPriority w:val="99"/>
    <w:semiHidden/>
    <w:rsid w:val="00045E13"/>
    <w:rPr>
      <w:b/>
      <w:bCs/>
      <w:lang w:eastAsia="en-US"/>
    </w:rPr>
  </w:style>
  <w:style w:type="character" w:styleId="Mention">
    <w:name w:val="Mention"/>
    <w:basedOn w:val="DefaultParagraphFont"/>
    <w:uiPriority w:val="99"/>
    <w:unhideWhenUsed/>
    <w:rsid w:val="00045E13"/>
    <w:rPr>
      <w:color w:val="2B579A"/>
      <w:shd w:val="clear" w:color="auto" w:fill="E1DFDD"/>
    </w:rPr>
  </w:style>
  <w:style w:type="paragraph" w:styleId="ListBullet">
    <w:name w:val="List Bullet"/>
    <w:basedOn w:val="Normal"/>
    <w:uiPriority w:val="99"/>
    <w:unhideWhenUsed/>
    <w:rsid w:val="003575EF"/>
    <w:pPr>
      <w:numPr>
        <w:numId w:val="13"/>
      </w:numPr>
      <w:contextualSpacing/>
    </w:pPr>
  </w:style>
  <w:style w:type="paragraph" w:styleId="Caption">
    <w:name w:val="caption"/>
    <w:basedOn w:val="Normal"/>
    <w:next w:val="Normal"/>
    <w:uiPriority w:val="35"/>
    <w:unhideWhenUsed/>
    <w:qFormat/>
    <w:rsid w:val="00E84101"/>
    <w:pPr>
      <w:spacing w:before="0" w:after="200" w:line="240" w:lineRule="auto"/>
    </w:pPr>
    <w:rPr>
      <w:i/>
      <w:iCs/>
      <w:sz w:val="18"/>
      <w:szCs w:val="18"/>
    </w:rPr>
  </w:style>
  <w:style w:type="paragraph" w:styleId="Index3">
    <w:name w:val="index 3"/>
    <w:basedOn w:val="Normal"/>
    <w:next w:val="Normal"/>
    <w:autoRedefine/>
    <w:uiPriority w:val="99"/>
    <w:unhideWhenUsed/>
    <w:rsid w:val="00E84101"/>
    <w:pPr>
      <w:spacing w:before="0" w:after="0" w:line="240" w:lineRule="auto"/>
      <w:ind w:left="660" w:hanging="220"/>
    </w:pPr>
  </w:style>
  <w:style w:type="paragraph" w:customStyle="1" w:styleId="Overview">
    <w:name w:val="Overview"/>
    <w:basedOn w:val="Normal"/>
    <w:qFormat/>
    <w:rsid w:val="00F24563"/>
    <w:pPr>
      <w:pBdr>
        <w:top w:val="single" w:sz="4" w:space="1" w:color="auto"/>
        <w:bottom w:val="single" w:sz="4" w:space="1" w:color="auto"/>
      </w:pBdr>
      <w:shd w:val="clear" w:color="auto" w:fill="D6E8D2" w:themeFill="accent2" w:themeFillTint="33"/>
    </w:pPr>
    <w:rPr>
      <w:b/>
      <w:bCs/>
    </w:rPr>
  </w:style>
  <w:style w:type="character" w:styleId="PlaceholderText">
    <w:name w:val="Placeholder Text"/>
    <w:basedOn w:val="DefaultParagraphFont"/>
    <w:uiPriority w:val="99"/>
    <w:semiHidden/>
    <w:rsid w:val="00D13E7A"/>
    <w:rPr>
      <w:color w:val="666666"/>
    </w:rPr>
  </w:style>
  <w:style w:type="character" w:styleId="Hyperlink">
    <w:name w:val="Hyperlink"/>
    <w:basedOn w:val="DefaultParagraphFont"/>
    <w:uiPriority w:val="99"/>
    <w:unhideWhenUsed/>
    <w:rsid w:val="00100CEB"/>
    <w:rPr>
      <w:color w:val="034A90" w:themeColor="hyperlink"/>
      <w:u w:val="single"/>
    </w:rPr>
  </w:style>
  <w:style w:type="character" w:styleId="UnresolvedMention">
    <w:name w:val="Unresolved Mention"/>
    <w:basedOn w:val="DefaultParagraphFont"/>
    <w:uiPriority w:val="99"/>
    <w:semiHidden/>
    <w:unhideWhenUsed/>
    <w:rsid w:val="00100CEB"/>
    <w:rPr>
      <w:color w:val="605E5C"/>
      <w:shd w:val="clear" w:color="auto" w:fill="E1DFDD"/>
    </w:rPr>
  </w:style>
  <w:style w:type="paragraph" w:styleId="Revision">
    <w:name w:val="Revision"/>
    <w:hidden/>
    <w:uiPriority w:val="99"/>
    <w:semiHidden/>
    <w:rsid w:val="003445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3943">
      <w:bodyDiv w:val="1"/>
      <w:marLeft w:val="0"/>
      <w:marRight w:val="0"/>
      <w:marTop w:val="0"/>
      <w:marBottom w:val="0"/>
      <w:divBdr>
        <w:top w:val="none" w:sz="0" w:space="0" w:color="auto"/>
        <w:left w:val="none" w:sz="0" w:space="0" w:color="auto"/>
        <w:bottom w:val="none" w:sz="0" w:space="0" w:color="auto"/>
        <w:right w:val="none" w:sz="0" w:space="0" w:color="auto"/>
      </w:divBdr>
      <w:divsChild>
        <w:div w:id="879393871">
          <w:marLeft w:val="0"/>
          <w:marRight w:val="0"/>
          <w:marTop w:val="0"/>
          <w:marBottom w:val="0"/>
          <w:divBdr>
            <w:top w:val="none" w:sz="0" w:space="0" w:color="auto"/>
            <w:left w:val="none" w:sz="0" w:space="0" w:color="auto"/>
            <w:bottom w:val="none" w:sz="0" w:space="0" w:color="auto"/>
            <w:right w:val="none" w:sz="0" w:space="0" w:color="auto"/>
          </w:divBdr>
        </w:div>
        <w:div w:id="512382215">
          <w:marLeft w:val="0"/>
          <w:marRight w:val="0"/>
          <w:marTop w:val="0"/>
          <w:marBottom w:val="0"/>
          <w:divBdr>
            <w:top w:val="none" w:sz="0" w:space="0" w:color="auto"/>
            <w:left w:val="none" w:sz="0" w:space="0" w:color="auto"/>
            <w:bottom w:val="none" w:sz="0" w:space="0" w:color="auto"/>
            <w:right w:val="none" w:sz="0" w:space="0" w:color="auto"/>
          </w:divBdr>
        </w:div>
      </w:divsChild>
    </w:div>
    <w:div w:id="590703941">
      <w:bodyDiv w:val="1"/>
      <w:marLeft w:val="0"/>
      <w:marRight w:val="0"/>
      <w:marTop w:val="0"/>
      <w:marBottom w:val="0"/>
      <w:divBdr>
        <w:top w:val="none" w:sz="0" w:space="0" w:color="auto"/>
        <w:left w:val="none" w:sz="0" w:space="0" w:color="auto"/>
        <w:bottom w:val="none" w:sz="0" w:space="0" w:color="auto"/>
        <w:right w:val="none" w:sz="0" w:space="0" w:color="auto"/>
      </w:divBdr>
    </w:div>
    <w:div w:id="832838111">
      <w:bodyDiv w:val="1"/>
      <w:marLeft w:val="0"/>
      <w:marRight w:val="0"/>
      <w:marTop w:val="0"/>
      <w:marBottom w:val="0"/>
      <w:divBdr>
        <w:top w:val="none" w:sz="0" w:space="0" w:color="auto"/>
        <w:left w:val="none" w:sz="0" w:space="0" w:color="auto"/>
        <w:bottom w:val="none" w:sz="0" w:space="0" w:color="auto"/>
        <w:right w:val="none" w:sz="0" w:space="0" w:color="auto"/>
      </w:divBdr>
      <w:divsChild>
        <w:div w:id="1956054992">
          <w:marLeft w:val="0"/>
          <w:marRight w:val="0"/>
          <w:marTop w:val="0"/>
          <w:marBottom w:val="0"/>
          <w:divBdr>
            <w:top w:val="none" w:sz="0" w:space="0" w:color="auto"/>
            <w:left w:val="none" w:sz="0" w:space="0" w:color="auto"/>
            <w:bottom w:val="none" w:sz="0" w:space="0" w:color="auto"/>
            <w:right w:val="none" w:sz="0" w:space="0" w:color="auto"/>
          </w:divBdr>
        </w:div>
        <w:div w:id="890774745">
          <w:marLeft w:val="0"/>
          <w:marRight w:val="0"/>
          <w:marTop w:val="0"/>
          <w:marBottom w:val="0"/>
          <w:divBdr>
            <w:top w:val="none" w:sz="0" w:space="0" w:color="auto"/>
            <w:left w:val="none" w:sz="0" w:space="0" w:color="auto"/>
            <w:bottom w:val="none" w:sz="0" w:space="0" w:color="auto"/>
            <w:right w:val="none" w:sz="0" w:space="0" w:color="auto"/>
          </w:divBdr>
        </w:div>
      </w:divsChild>
    </w:div>
    <w:div w:id="1093042113">
      <w:bodyDiv w:val="1"/>
      <w:marLeft w:val="0"/>
      <w:marRight w:val="0"/>
      <w:marTop w:val="0"/>
      <w:marBottom w:val="0"/>
      <w:divBdr>
        <w:top w:val="none" w:sz="0" w:space="0" w:color="auto"/>
        <w:left w:val="none" w:sz="0" w:space="0" w:color="auto"/>
        <w:bottom w:val="none" w:sz="0" w:space="0" w:color="auto"/>
        <w:right w:val="none" w:sz="0" w:space="0" w:color="auto"/>
      </w:divBdr>
    </w:div>
    <w:div w:id="1148327366">
      <w:bodyDiv w:val="1"/>
      <w:marLeft w:val="0"/>
      <w:marRight w:val="0"/>
      <w:marTop w:val="0"/>
      <w:marBottom w:val="0"/>
      <w:divBdr>
        <w:top w:val="none" w:sz="0" w:space="0" w:color="auto"/>
        <w:left w:val="none" w:sz="0" w:space="0" w:color="auto"/>
        <w:bottom w:val="none" w:sz="0" w:space="0" w:color="auto"/>
        <w:right w:val="none" w:sz="0" w:space="0" w:color="auto"/>
      </w:divBdr>
    </w:div>
    <w:div w:id="1436558815">
      <w:bodyDiv w:val="1"/>
      <w:marLeft w:val="0"/>
      <w:marRight w:val="0"/>
      <w:marTop w:val="0"/>
      <w:marBottom w:val="0"/>
      <w:divBdr>
        <w:top w:val="none" w:sz="0" w:space="0" w:color="auto"/>
        <w:left w:val="none" w:sz="0" w:space="0" w:color="auto"/>
        <w:bottom w:val="none" w:sz="0" w:space="0" w:color="auto"/>
        <w:right w:val="none" w:sz="0" w:space="0" w:color="auto"/>
      </w:divBdr>
    </w:div>
    <w:div w:id="1572042825">
      <w:bodyDiv w:val="1"/>
      <w:marLeft w:val="0"/>
      <w:marRight w:val="0"/>
      <w:marTop w:val="0"/>
      <w:marBottom w:val="0"/>
      <w:divBdr>
        <w:top w:val="none" w:sz="0" w:space="0" w:color="auto"/>
        <w:left w:val="none" w:sz="0" w:space="0" w:color="auto"/>
        <w:bottom w:val="none" w:sz="0" w:space="0" w:color="auto"/>
        <w:right w:val="none" w:sz="0" w:space="0" w:color="auto"/>
      </w:divBdr>
    </w:div>
    <w:div w:id="1577741494">
      <w:bodyDiv w:val="1"/>
      <w:marLeft w:val="0"/>
      <w:marRight w:val="0"/>
      <w:marTop w:val="0"/>
      <w:marBottom w:val="0"/>
      <w:divBdr>
        <w:top w:val="none" w:sz="0" w:space="0" w:color="auto"/>
        <w:left w:val="none" w:sz="0" w:space="0" w:color="auto"/>
        <w:bottom w:val="none" w:sz="0" w:space="0" w:color="auto"/>
        <w:right w:val="none" w:sz="0" w:space="0" w:color="auto"/>
      </w:divBdr>
    </w:div>
    <w:div w:id="1579945670">
      <w:bodyDiv w:val="1"/>
      <w:marLeft w:val="0"/>
      <w:marRight w:val="0"/>
      <w:marTop w:val="0"/>
      <w:marBottom w:val="0"/>
      <w:divBdr>
        <w:top w:val="none" w:sz="0" w:space="0" w:color="auto"/>
        <w:left w:val="none" w:sz="0" w:space="0" w:color="auto"/>
        <w:bottom w:val="none" w:sz="0" w:space="0" w:color="auto"/>
        <w:right w:val="none" w:sz="0" w:space="0" w:color="auto"/>
      </w:divBdr>
    </w:div>
    <w:div w:id="2047365602">
      <w:bodyDiv w:val="1"/>
      <w:marLeft w:val="0"/>
      <w:marRight w:val="0"/>
      <w:marTop w:val="0"/>
      <w:marBottom w:val="0"/>
      <w:divBdr>
        <w:top w:val="none" w:sz="0" w:space="0" w:color="auto"/>
        <w:left w:val="none" w:sz="0" w:space="0" w:color="auto"/>
        <w:bottom w:val="none" w:sz="0" w:space="0" w:color="auto"/>
        <w:right w:val="none" w:sz="0" w:space="0" w:color="auto"/>
      </w:divBdr>
    </w:div>
    <w:div w:id="2053459003">
      <w:bodyDiv w:val="1"/>
      <w:marLeft w:val="0"/>
      <w:marRight w:val="0"/>
      <w:marTop w:val="0"/>
      <w:marBottom w:val="0"/>
      <w:divBdr>
        <w:top w:val="none" w:sz="0" w:space="0" w:color="auto"/>
        <w:left w:val="none" w:sz="0" w:space="0" w:color="auto"/>
        <w:bottom w:val="none" w:sz="0" w:space="0" w:color="auto"/>
        <w:right w:val="none" w:sz="0" w:space="0" w:color="auto"/>
      </w:divBdr>
    </w:div>
    <w:div w:id="208217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at.gov.au/publications/development/australias-international-gender-equality-strate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FAT Colour palette">
      <a:dk1>
        <a:srgbClr val="313E48"/>
      </a:dk1>
      <a:lt1>
        <a:sysClr val="window" lastClr="FFFFFF"/>
      </a:lt1>
      <a:dk2>
        <a:srgbClr val="3A586E"/>
      </a:dk2>
      <a:lt2>
        <a:srgbClr val="CFD3D3"/>
      </a:lt2>
      <a:accent1>
        <a:srgbClr val="00837C"/>
      </a:accent1>
      <a:accent2>
        <a:srgbClr val="47763B"/>
      </a:accent2>
      <a:accent3>
        <a:srgbClr val="AA5739"/>
      </a:accent3>
      <a:accent4>
        <a:srgbClr val="EBAB21"/>
      </a:accent4>
      <a:accent5>
        <a:srgbClr val="065157"/>
      </a:accent5>
      <a:accent6>
        <a:srgbClr val="014429"/>
      </a:accent6>
      <a:hlink>
        <a:srgbClr val="034A90"/>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2ae4e0-94e8-4b28-8f95-861d59f7ae70" xsi:nil="true"/>
    <lcf76f155ced4ddcb4097134ff3c332f xmlns="99303871-8934-4198-a088-14ac5c5d1c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BD63B06336DD48B4944551E1A7B4D8" ma:contentTypeVersion="17" ma:contentTypeDescription="Create a new document." ma:contentTypeScope="" ma:versionID="c1a333d4e903e34c23f0605c9024b49d">
  <xsd:schema xmlns:xsd="http://www.w3.org/2001/XMLSchema" xmlns:xs="http://www.w3.org/2001/XMLSchema" xmlns:p="http://schemas.microsoft.com/office/2006/metadata/properties" xmlns:ns2="99303871-8934-4198-a088-14ac5c5d1c31" xmlns:ns3="6f2ae4e0-94e8-4b28-8f95-861d59f7ae70" targetNamespace="http://schemas.microsoft.com/office/2006/metadata/properties" ma:root="true" ma:fieldsID="50b6f57787fb9933e749b1241302e2ad" ns2:_="" ns3:_="">
    <xsd:import namespace="99303871-8934-4198-a088-14ac5c5d1c31"/>
    <xsd:import namespace="6f2ae4e0-94e8-4b28-8f95-861d59f7ae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2:MediaServiceOCR"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03871-8934-4198-a088-14ac5c5d1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2ae4e0-94e8-4b28-8f95-861d59f7ae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809fa2-c2da-453f-9c3e-eead0055a1b0}" ma:internalName="TaxCatchAll" ma:showField="CatchAllData" ma:web="6f2ae4e0-94e8-4b28-8f95-861d59f7a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customXml/itemProps2.xml><?xml version="1.0" encoding="utf-8"?>
<ds:datastoreItem xmlns:ds="http://schemas.openxmlformats.org/officeDocument/2006/customXml" ds:itemID="{F2E9F171-59A6-4022-A46D-27C25069926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f2ae4e0-94e8-4b28-8f95-861d59f7ae70"/>
    <ds:schemaRef ds:uri="99303871-8934-4198-a088-14ac5c5d1c31"/>
    <ds:schemaRef ds:uri="http://www.w3.org/XML/1998/namespace"/>
    <ds:schemaRef ds:uri="http://purl.org/dc/dcmitype/"/>
  </ds:schemaRefs>
</ds:datastoreItem>
</file>

<file path=customXml/itemProps3.xml><?xml version="1.0" encoding="utf-8"?>
<ds:datastoreItem xmlns:ds="http://schemas.openxmlformats.org/officeDocument/2006/customXml" ds:itemID="{DF0618DC-A08C-4C5C-9A07-FABF52023C4A}">
  <ds:schemaRefs>
    <ds:schemaRef ds:uri="http://schemas.microsoft.com/sharepoint/v3/contenttype/forms"/>
  </ds:schemaRefs>
</ds:datastoreItem>
</file>

<file path=customXml/itemProps4.xml><?xml version="1.0" encoding="utf-8"?>
<ds:datastoreItem xmlns:ds="http://schemas.openxmlformats.org/officeDocument/2006/customXml" ds:itemID="{72E32918-8869-4FB4-B073-ADF35CC16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03871-8934-4198-a088-14ac5c5d1c31"/>
    <ds:schemaRef ds:uri="6f2ae4e0-94e8-4b28-8f95-861d59f7a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2746</Characters>
  <Application>Microsoft Office Word</Application>
  <DocSecurity>0</DocSecurity>
  <Lines>65</Lines>
  <Paragraphs>51</Paragraphs>
  <ScaleCrop>false</ScaleCrop>
  <HeadingPairs>
    <vt:vector size="2" baseType="variant">
      <vt:variant>
        <vt:lpstr>Title</vt:lpstr>
      </vt:variant>
      <vt:variant>
        <vt:i4>1</vt:i4>
      </vt:variant>
    </vt:vector>
  </HeadingPairs>
  <TitlesOfParts>
    <vt:vector size="1" baseType="lpstr">
      <vt:lpstr>Gender Equality Development Coorporation Facsheet 2025-26</vt:lpstr>
    </vt:vector>
  </TitlesOfParts>
  <Company/>
  <LinksUpToDate>false</LinksUpToDate>
  <CharactersWithSpaces>3166</CharactersWithSpaces>
  <SharedDoc>false</SharedDoc>
  <HLinks>
    <vt:vector size="6" baseType="variant">
      <vt:variant>
        <vt:i4>2424930</vt:i4>
      </vt:variant>
      <vt:variant>
        <vt:i4>0</vt:i4>
      </vt:variant>
      <vt:variant>
        <vt:i4>0</vt:i4>
      </vt:variant>
      <vt:variant>
        <vt:i4>5</vt:i4>
      </vt:variant>
      <vt:variant>
        <vt:lpwstr>https://www.dfat.gov.au/publications/development/australias-international-gender-equality-strategy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Equality Development Coorporation Facsheet 2025-26</dc:title>
  <dc:subject>Development Coorporation Facsheet 2025-26</dc:subject>
  <dc:creator>Department of Foreign Affairs and Trade</dc:creator>
  <cp:keywords>International development; development coorperation; DFAT, Australian Aid; Australian Department of Foreign Affairs and Trade; ODA; Australian Government [SEC=OFFICIAL]</cp:keywords>
  <dc:description/>
  <cp:lastModifiedBy>Farah Tayba</cp:lastModifiedBy>
  <cp:revision>2</cp:revision>
  <cp:lastPrinted>2025-05-28T23:47:00Z</cp:lastPrinted>
  <dcterms:created xsi:type="dcterms:W3CDTF">2025-05-28T23:49:00Z</dcterms:created>
  <dcterms:modified xsi:type="dcterms:W3CDTF">2025-05-28T23:49:00Z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SecurityClassification">
    <vt:lpwstr>OFFICIAL</vt:lpwstr>
  </property>
  <property fmtid="{D5CDD505-2E9C-101B-9397-08002B2CF9AE}" pid="4" name="PM_Qualifier">
    <vt:lpwstr/>
  </property>
  <property fmtid="{D5CDD505-2E9C-101B-9397-08002B2CF9AE}" pid="5" name="PM_DisplayValueSecClassificationWithQualifier">
    <vt:lpwstr>OFFICIAL</vt:lpwstr>
  </property>
  <property fmtid="{D5CDD505-2E9C-101B-9397-08002B2CF9AE}" pid="6" name="PM_InsertionValue">
    <vt:lpwstr>OFFICIAL</vt:lpwstr>
  </property>
  <property fmtid="{D5CDD505-2E9C-101B-9397-08002B2CF9AE}" pid="7" name="PM_Originator_Hash_SHA1">
    <vt:lpwstr>5401F626949655574DF6D7D8606CA1FF1FB5AC97</vt:lpwstr>
  </property>
  <property fmtid="{D5CDD505-2E9C-101B-9397-08002B2CF9AE}" pid="8" name="PM_Originating_FileId">
    <vt:lpwstr>A04407B03FB3406E91B16F76B50D491D</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OriginationTimeStamp">
    <vt:lpwstr>2023-02-15T22:12:19Z</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Hash_Version">
    <vt:lpwstr>2022.1</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PM_Display">
    <vt:lpwstr>OFFICIAL</vt:lpwstr>
  </property>
  <property fmtid="{D5CDD505-2E9C-101B-9397-08002B2CF9AE}" pid="21" name="PMUuid">
    <vt:lpwstr>v=2022.2;d=gov.au;g=46DD6D7C-8107-577B-BC6E-F348953B2E44</vt:lpwstr>
  </property>
  <property fmtid="{D5CDD505-2E9C-101B-9397-08002B2CF9AE}" pid="22" name="PM_OriginatorUserAccountName_SHA256">
    <vt:lpwstr>FF4599DD8D606BD83407A22A64D3B41055F60E9FADB6C127F4E4EB519A864122</vt:lpwstr>
  </property>
  <property fmtid="{D5CDD505-2E9C-101B-9397-08002B2CF9AE}" pid="23" name="PM_OriginatorDomainName_SHA256">
    <vt:lpwstr>6F3591835F3B2A8A025B00B5BA6418010DA3A17C9C26EA9C049FFD28039489A2</vt:lpwstr>
  </property>
  <property fmtid="{D5CDD505-2E9C-101B-9397-08002B2CF9AE}" pid="24" name="PM_Caveats_Count">
    <vt:lpwstr>0</vt:lpwstr>
  </property>
  <property fmtid="{D5CDD505-2E9C-101B-9397-08002B2CF9AE}" pid="25" name="ContentTypeId">
    <vt:lpwstr>0x010100D6BD63B06336DD48B4944551E1A7B4D8</vt:lpwstr>
  </property>
  <property fmtid="{D5CDD505-2E9C-101B-9397-08002B2CF9AE}" pid="26" name="MediaServiceImageTags">
    <vt:lpwstr/>
  </property>
  <property fmtid="{D5CDD505-2E9C-101B-9397-08002B2CF9AE}" pid="27" name="PMHMAC">
    <vt:lpwstr>v=2022.1;a=SHA256;h=AE955F4E92DA67A4669C7BF1A384DB31CB4328785928A4F6B4571132A1BDA39A</vt:lpwstr>
  </property>
  <property fmtid="{D5CDD505-2E9C-101B-9397-08002B2CF9AE}" pid="28" name="PM_Hash_Salt_Prev">
    <vt:lpwstr>67621626E87055FF79885EA322678B0E</vt:lpwstr>
  </property>
  <property fmtid="{D5CDD505-2E9C-101B-9397-08002B2CF9AE}" pid="29" name="PM_Hash_Salt">
    <vt:lpwstr>D7637F6F51E5D790FD6494DF73BA4C25</vt:lpwstr>
  </property>
  <property fmtid="{D5CDD505-2E9C-101B-9397-08002B2CF9AE}" pid="30" name="PM_Hash_SHA1">
    <vt:lpwstr>956DF299E607A742C2490481033E9995B8DB5068</vt:lpwstr>
  </property>
</Properties>
</file>