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4F4" w14:textId="77777777" w:rsidR="00545268" w:rsidRPr="00545268" w:rsidRDefault="004516E0" w:rsidP="00545268">
      <w:pPr>
        <w:pStyle w:val="Heading1"/>
      </w:pPr>
      <w:r w:rsidRPr="00545268">
        <w:t>Development Cooperation Factsheet</w:t>
      </w:r>
    </w:p>
    <w:p w14:paraId="5C1E2F15" w14:textId="0FB883C0" w:rsidR="00E84101" w:rsidRPr="0001411F" w:rsidRDefault="00435DD3" w:rsidP="0091100D">
      <w:pPr>
        <w:pStyle w:val="Heading2"/>
        <w:rPr>
          <w:rStyle w:val="Heading2Char"/>
          <w:sz w:val="72"/>
          <w:szCs w:val="72"/>
        </w:rPr>
      </w:pPr>
      <w:r w:rsidRPr="0001411F">
        <w:rPr>
          <w:rStyle w:val="Heading2Char"/>
          <w:sz w:val="72"/>
          <w:szCs w:val="72"/>
        </w:rPr>
        <w:t>The Federated States of Micronesia</w:t>
      </w:r>
      <w:r w:rsidR="00987C41" w:rsidRPr="0001411F">
        <w:rPr>
          <w:rStyle w:val="Heading2Char"/>
          <w:sz w:val="72"/>
          <w:szCs w:val="72"/>
        </w:rPr>
        <w:t xml:space="preserve"> (FSM)</w:t>
      </w:r>
    </w:p>
    <w:p w14:paraId="41A452FD" w14:textId="37173EED" w:rsidR="004516E0" w:rsidRPr="00F959D5" w:rsidRDefault="00123E7B" w:rsidP="00F76B6A">
      <w:pPr>
        <w:spacing w:before="0"/>
      </w:pPr>
      <w:r>
        <w:t>MAY</w:t>
      </w:r>
      <w:r w:rsidR="00E84101">
        <w:t xml:space="preserve"> 2025</w:t>
      </w:r>
    </w:p>
    <w:p w14:paraId="579AFDE6" w14:textId="700B4016" w:rsidR="00965509" w:rsidRDefault="00965509" w:rsidP="004A4242">
      <w:pPr>
        <w:rPr>
          <w:rFonts w:asciiTheme="majorHAnsi" w:hAnsiTheme="majorHAnsi"/>
        </w:rPr>
      </w:pPr>
      <w:r>
        <w:rPr>
          <w:noProof/>
        </w:rPr>
        <w:drawing>
          <wp:inline distT="0" distB="0" distL="0" distR="0" wp14:anchorId="7AA67C88" wp14:editId="6B6A1576">
            <wp:extent cx="914400" cy="480797"/>
            <wp:effectExtent l="0" t="0" r="0" b="0"/>
            <wp:docPr id="1415932204" name="Picture 1" descr="The Federated States of Micronesi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32204" name="Picture 1" descr="The Federated States of Micronesia flag"/>
                    <pic:cNvPicPr>
                      <a:picLocks noChangeAspect="1" noChangeArrowheads="1"/>
                    </pic:cNvPicPr>
                  </pic:nvPicPr>
                  <pic:blipFill>
                    <a:blip r:embed="rId11"/>
                    <a:stretch>
                      <a:fillRect/>
                    </a:stretch>
                  </pic:blipFill>
                  <pic:spPr bwMode="auto">
                    <a:xfrm>
                      <a:off x="0" y="0"/>
                      <a:ext cx="914400" cy="480797"/>
                    </a:xfrm>
                    <a:prstGeom prst="rect">
                      <a:avLst/>
                    </a:prstGeom>
                    <a:noFill/>
                  </pic:spPr>
                </pic:pic>
              </a:graphicData>
            </a:graphic>
          </wp:inline>
        </w:drawing>
      </w:r>
    </w:p>
    <w:p w14:paraId="2685FC2B" w14:textId="7D7DA11E" w:rsidR="00AF7C26" w:rsidRPr="00AF7C26" w:rsidRDefault="004516E0" w:rsidP="00C13173">
      <w:pPr>
        <w:pStyle w:val="Heading3"/>
      </w:pPr>
      <w:r w:rsidRPr="00C13173">
        <w:t>Overview</w:t>
      </w:r>
    </w:p>
    <w:p w14:paraId="7CD1B7C1" w14:textId="475E4DFD" w:rsidR="004516E0" w:rsidRPr="004516E0" w:rsidRDefault="004516E0" w:rsidP="00B35181">
      <w:pPr>
        <w:pStyle w:val="Overview"/>
        <w:rPr>
          <w:caps/>
        </w:rPr>
      </w:pPr>
      <w:r w:rsidRPr="00545268">
        <w:t>Estimated Australian ODA:</w:t>
      </w:r>
      <w:r w:rsidR="00545268" w:rsidRPr="00545268">
        <w:t xml:space="preserve"> </w:t>
      </w:r>
      <w:r w:rsidRPr="00C33D8D">
        <w:rPr>
          <w:b w:val="0"/>
          <w:bCs w:val="0"/>
        </w:rPr>
        <w:t>$</w:t>
      </w:r>
      <w:r w:rsidR="00435DD3">
        <w:rPr>
          <w:b w:val="0"/>
          <w:bCs w:val="0"/>
        </w:rPr>
        <w:t>11.4</w:t>
      </w:r>
      <w:r w:rsidRPr="00C33D8D">
        <w:rPr>
          <w:b w:val="0"/>
          <w:bCs w:val="0"/>
        </w:rPr>
        <w:t>m</w:t>
      </w:r>
      <w:r w:rsidR="00BB7E09">
        <w:rPr>
          <w:b w:val="0"/>
          <w:bCs w:val="0"/>
        </w:rPr>
        <w:t xml:space="preserve"> </w:t>
      </w:r>
      <w:r w:rsidR="00BB7E09" w:rsidRPr="00BB7E09">
        <w:rPr>
          <w:b w:val="0"/>
          <w:bCs w:val="0"/>
        </w:rPr>
        <w:t>(20</w:t>
      </w:r>
      <w:r w:rsidR="00D13E7A">
        <w:rPr>
          <w:b w:val="0"/>
          <w:bCs w:val="0"/>
        </w:rPr>
        <w:t>25</w:t>
      </w:r>
      <w:r w:rsidR="00B4776F">
        <w:rPr>
          <w:b w:val="0"/>
          <w:bCs w:val="0"/>
        </w:rPr>
        <w:t>-26</w:t>
      </w:r>
      <w:r w:rsidR="00BB7E09" w:rsidRPr="00BB7E09">
        <w:rPr>
          <w:b w:val="0"/>
          <w:bCs w:val="0"/>
        </w:rPr>
        <w:t>)</w:t>
      </w:r>
    </w:p>
    <w:p w14:paraId="1483716F" w14:textId="16AA9F8B" w:rsidR="004516E0" w:rsidRPr="004516E0" w:rsidRDefault="004516E0" w:rsidP="00B35181">
      <w:pPr>
        <w:pStyle w:val="Overview"/>
        <w:rPr>
          <w:caps/>
        </w:rPr>
      </w:pPr>
      <w:r w:rsidRPr="00545268">
        <w:t>Gross National Income Per Capita:</w:t>
      </w:r>
      <w:r w:rsidR="00545268">
        <w:t xml:space="preserve"> </w:t>
      </w:r>
      <w:r w:rsidRPr="00C33D8D">
        <w:rPr>
          <w:b w:val="0"/>
          <w:bCs w:val="0"/>
        </w:rPr>
        <w:t>US$</w:t>
      </w:r>
      <w:r w:rsidR="00435DD3">
        <w:rPr>
          <w:b w:val="0"/>
          <w:bCs w:val="0"/>
        </w:rPr>
        <w:t>4,250</w:t>
      </w:r>
      <w:r w:rsidRPr="00C33D8D">
        <w:rPr>
          <w:b w:val="0"/>
          <w:bCs w:val="0"/>
        </w:rPr>
        <w:t xml:space="preserve"> (202</w:t>
      </w:r>
      <w:r w:rsidR="00435DD3">
        <w:rPr>
          <w:b w:val="0"/>
          <w:bCs w:val="0"/>
        </w:rPr>
        <w:t>3</w:t>
      </w:r>
      <w:r w:rsidRPr="00C33D8D">
        <w:rPr>
          <w:b w:val="0"/>
          <w:bCs w:val="0"/>
        </w:rPr>
        <w:t>)</w:t>
      </w:r>
    </w:p>
    <w:p w14:paraId="7303A756" w14:textId="795D4B84" w:rsidR="004516E0" w:rsidRDefault="004516E0" w:rsidP="00B35181">
      <w:pPr>
        <w:pStyle w:val="Overview"/>
        <w:rPr>
          <w:caps/>
        </w:rPr>
      </w:pPr>
      <w:r w:rsidRPr="00545268">
        <w:t>Population:</w:t>
      </w:r>
      <w:r w:rsidRPr="004516E0">
        <w:t xml:space="preserve"> </w:t>
      </w:r>
      <w:r w:rsidR="00CB0F64">
        <w:rPr>
          <w:b w:val="0"/>
          <w:bCs w:val="0"/>
        </w:rPr>
        <w:t>0.1m</w:t>
      </w:r>
      <w:r w:rsidRPr="00C33D8D">
        <w:rPr>
          <w:b w:val="0"/>
          <w:bCs w:val="0"/>
        </w:rPr>
        <w:t xml:space="preserve"> (202</w:t>
      </w:r>
      <w:r w:rsidR="00435DD3">
        <w:rPr>
          <w:b w:val="0"/>
          <w:bCs w:val="0"/>
        </w:rPr>
        <w:t>3</w:t>
      </w:r>
      <w:r w:rsidRPr="00C33D8D">
        <w:rPr>
          <w:b w:val="0"/>
          <w:bCs w:val="0"/>
        </w:rPr>
        <w:t>)</w:t>
      </w:r>
    </w:p>
    <w:p w14:paraId="3EDD18B8" w14:textId="289900F0" w:rsidR="004516E0" w:rsidRPr="00E62203" w:rsidRDefault="00C12648" w:rsidP="007D53CA">
      <w:pPr>
        <w:pStyle w:val="Heading4"/>
        <w:spacing w:before="360"/>
        <w:rPr>
          <w:b w:val="0"/>
          <w:bCs/>
        </w:rPr>
      </w:pPr>
      <w:r w:rsidRPr="00E62203">
        <w:rPr>
          <w:b w:val="0"/>
          <w:bCs/>
        </w:rPr>
        <w:t xml:space="preserve">Table 1: </w:t>
      </w:r>
      <w:r w:rsidR="00B4776F">
        <w:rPr>
          <w:b w:val="0"/>
          <w:bCs/>
        </w:rPr>
        <w:t xml:space="preserve">Australian ODA to </w:t>
      </w:r>
      <w:r w:rsidR="00435DD3">
        <w:rPr>
          <w:b w:val="0"/>
          <w:bCs/>
        </w:rPr>
        <w:t>Micronesia</w:t>
      </w:r>
      <w:r w:rsidR="00B4776F">
        <w:rPr>
          <w:b w:val="0"/>
          <w:bCs/>
        </w:rPr>
        <w:t>, 2023-24 to 2025-26</w:t>
      </w:r>
    </w:p>
    <w:tbl>
      <w:tblPr>
        <w:tblStyle w:val="TableGrid"/>
        <w:tblW w:w="0" w:type="auto"/>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Australian ODA to Micronesia, 2023-24 to 2025-26"/>
        <w:tblDescription w:val="This table represents the total Australian ODA to The Federated States of Micronesia, budget and estimate by funding type, 2023 to 2026 – four columns, six rows"/>
      </w:tblPr>
      <w:tblGrid>
        <w:gridCol w:w="3397"/>
        <w:gridCol w:w="2265"/>
        <w:gridCol w:w="2266"/>
        <w:gridCol w:w="2266"/>
      </w:tblGrid>
      <w:tr w:rsidR="00B4776F" w14:paraId="5EF5CF55" w14:textId="21157455" w:rsidTr="0030387C">
        <w:trPr>
          <w:cantSplit/>
          <w:trHeight w:val="70"/>
          <w:tblHeader/>
        </w:trPr>
        <w:tc>
          <w:tcPr>
            <w:tcW w:w="3397" w:type="dxa"/>
            <w:shd w:val="clear" w:color="auto" w:fill="313E48" w:themeFill="text1"/>
          </w:tcPr>
          <w:p w14:paraId="4CEC1D0F" w14:textId="618CDC75" w:rsidR="00B4776F" w:rsidRPr="0079728E" w:rsidRDefault="00B4776F" w:rsidP="00B4776F">
            <w:pPr>
              <w:pStyle w:val="TableHeading"/>
            </w:pPr>
            <w:r>
              <w:t>Australian ODA</w:t>
            </w:r>
          </w:p>
        </w:tc>
        <w:tc>
          <w:tcPr>
            <w:tcW w:w="2265" w:type="dxa"/>
            <w:shd w:val="clear" w:color="auto" w:fill="313E48" w:themeFill="text1"/>
          </w:tcPr>
          <w:p w14:paraId="1923A36A" w14:textId="45343566" w:rsidR="00B4776F" w:rsidRDefault="00B4776F" w:rsidP="00B4776F">
            <w:pPr>
              <w:pStyle w:val="TableHeading"/>
              <w:jc w:val="center"/>
            </w:pPr>
            <w:r>
              <w:t>2</w:t>
            </w:r>
            <w:r w:rsidRPr="001E6A8F">
              <w:t>02</w:t>
            </w:r>
            <w:r>
              <w:t>3-24</w:t>
            </w:r>
            <w:r w:rsidRPr="001E6A8F">
              <w:t xml:space="preserve"> Actual ($</w:t>
            </w:r>
            <w:proofErr w:type="gramStart"/>
            <w:r w:rsidRPr="001E6A8F">
              <w:t>m)*</w:t>
            </w:r>
            <w:proofErr w:type="gramEnd"/>
          </w:p>
        </w:tc>
        <w:tc>
          <w:tcPr>
            <w:tcW w:w="2266" w:type="dxa"/>
            <w:shd w:val="clear" w:color="auto" w:fill="313E48" w:themeFill="text1"/>
          </w:tcPr>
          <w:p w14:paraId="0740E09E" w14:textId="7EF1556E" w:rsidR="00B4776F" w:rsidRPr="007332ED" w:rsidRDefault="00B4776F" w:rsidP="00B4776F">
            <w:pPr>
              <w:pStyle w:val="TableHeading"/>
              <w:jc w:val="center"/>
            </w:pPr>
            <w:r w:rsidRPr="001E6A8F">
              <w:t>202</w:t>
            </w:r>
            <w:r>
              <w:t>4-25</w:t>
            </w:r>
            <w:r w:rsidRPr="001E6A8F">
              <w:t xml:space="preserve"> Budget Estimate ($</w:t>
            </w:r>
            <w:proofErr w:type="gramStart"/>
            <w:r w:rsidRPr="001E6A8F">
              <w:t>m)*</w:t>
            </w:r>
            <w:proofErr w:type="gramEnd"/>
          </w:p>
        </w:tc>
        <w:tc>
          <w:tcPr>
            <w:tcW w:w="2266" w:type="dxa"/>
            <w:shd w:val="clear" w:color="auto" w:fill="313E48" w:themeFill="text1"/>
          </w:tcPr>
          <w:p w14:paraId="4F1CAE94" w14:textId="0B6752D4" w:rsidR="00B4776F" w:rsidRPr="007332ED" w:rsidRDefault="00B4776F" w:rsidP="00B4776F">
            <w:pPr>
              <w:pStyle w:val="TableHeading"/>
              <w:jc w:val="center"/>
            </w:pPr>
            <w:r w:rsidRPr="001E6A8F">
              <w:t>202</w:t>
            </w:r>
            <w:r>
              <w:t>5-26</w:t>
            </w:r>
            <w:r w:rsidRPr="001E6A8F">
              <w:t xml:space="preserve"> Budget Estimate ($</w:t>
            </w:r>
            <w:proofErr w:type="gramStart"/>
            <w:r w:rsidRPr="001E6A8F">
              <w:t>m)*</w:t>
            </w:r>
            <w:proofErr w:type="gramEnd"/>
          </w:p>
        </w:tc>
      </w:tr>
      <w:tr w:rsidR="00C02F9A" w14:paraId="45E770B3" w14:textId="1A624B78" w:rsidTr="00162B29">
        <w:tc>
          <w:tcPr>
            <w:tcW w:w="3397" w:type="dxa"/>
          </w:tcPr>
          <w:p w14:paraId="12D343CB" w14:textId="0865BCBD" w:rsidR="00C02F9A" w:rsidRPr="00030679" w:rsidRDefault="00C02F9A" w:rsidP="00C02F9A">
            <w:pPr>
              <w:pStyle w:val="TableBodyCopy"/>
            </w:pPr>
            <w:r w:rsidRPr="001E6A8F">
              <w:t>Country Programs</w:t>
            </w:r>
          </w:p>
        </w:tc>
        <w:tc>
          <w:tcPr>
            <w:tcW w:w="2265" w:type="dxa"/>
            <w:vAlign w:val="center"/>
          </w:tcPr>
          <w:p w14:paraId="0D3F5049" w14:textId="3AA3F927" w:rsidR="00C02F9A" w:rsidRPr="00D34ADE" w:rsidRDefault="00435DD3" w:rsidP="00C02F9A">
            <w:pPr>
              <w:pStyle w:val="TableBodyCopy"/>
              <w:jc w:val="center"/>
            </w:pPr>
            <w:r>
              <w:t>2.3</w:t>
            </w:r>
          </w:p>
        </w:tc>
        <w:tc>
          <w:tcPr>
            <w:tcW w:w="2266" w:type="dxa"/>
            <w:vAlign w:val="center"/>
          </w:tcPr>
          <w:p w14:paraId="7E455C00" w14:textId="171E9B20" w:rsidR="00C02F9A" w:rsidRPr="00D34ADE" w:rsidRDefault="00435DD3" w:rsidP="00C02F9A">
            <w:pPr>
              <w:pStyle w:val="TableBodyCopy"/>
              <w:jc w:val="center"/>
            </w:pPr>
            <w:r>
              <w:t>3.1</w:t>
            </w:r>
          </w:p>
        </w:tc>
        <w:tc>
          <w:tcPr>
            <w:tcW w:w="2266" w:type="dxa"/>
            <w:vAlign w:val="center"/>
          </w:tcPr>
          <w:p w14:paraId="47F5FD0E" w14:textId="4452A2F6" w:rsidR="00C02F9A" w:rsidRPr="00D34ADE" w:rsidRDefault="00435DD3" w:rsidP="00C02F9A">
            <w:pPr>
              <w:pStyle w:val="TableBodyCopy"/>
              <w:jc w:val="center"/>
            </w:pPr>
            <w:r>
              <w:t>3.6</w:t>
            </w:r>
          </w:p>
        </w:tc>
      </w:tr>
      <w:tr w:rsidR="00C02F9A" w14:paraId="417E46F0" w14:textId="42F9E059" w:rsidTr="00162B29">
        <w:tc>
          <w:tcPr>
            <w:tcW w:w="3397" w:type="dxa"/>
          </w:tcPr>
          <w:p w14:paraId="604B5B7E" w14:textId="2B4FA06A" w:rsidR="00C02F9A" w:rsidRPr="00030679" w:rsidRDefault="00C02F9A" w:rsidP="00C02F9A">
            <w:pPr>
              <w:pStyle w:val="TableBodyCopy"/>
            </w:pPr>
            <w:r>
              <w:t>Regional</w:t>
            </w:r>
          </w:p>
        </w:tc>
        <w:tc>
          <w:tcPr>
            <w:tcW w:w="2265" w:type="dxa"/>
            <w:vAlign w:val="center"/>
          </w:tcPr>
          <w:p w14:paraId="12CB39EC" w14:textId="5581DC90" w:rsidR="00C02F9A" w:rsidRPr="00D34ADE" w:rsidRDefault="00435DD3" w:rsidP="00C02F9A">
            <w:pPr>
              <w:pStyle w:val="TableBodyCopy"/>
              <w:jc w:val="center"/>
            </w:pPr>
            <w:r>
              <w:t>3.1</w:t>
            </w:r>
          </w:p>
        </w:tc>
        <w:tc>
          <w:tcPr>
            <w:tcW w:w="2266" w:type="dxa"/>
            <w:vAlign w:val="center"/>
          </w:tcPr>
          <w:p w14:paraId="4E5F8501" w14:textId="0536DE7B" w:rsidR="00C02F9A" w:rsidRPr="00D34ADE" w:rsidRDefault="00435DD3" w:rsidP="00C02F9A">
            <w:pPr>
              <w:pStyle w:val="TableBodyCopy"/>
              <w:jc w:val="center"/>
            </w:pPr>
            <w:r>
              <w:t>1.1</w:t>
            </w:r>
          </w:p>
        </w:tc>
        <w:tc>
          <w:tcPr>
            <w:tcW w:w="2266" w:type="dxa"/>
            <w:vAlign w:val="center"/>
          </w:tcPr>
          <w:p w14:paraId="07207D25" w14:textId="2B21EB30" w:rsidR="00C02F9A" w:rsidRPr="00D34ADE" w:rsidRDefault="00435DD3" w:rsidP="00C02F9A">
            <w:pPr>
              <w:pStyle w:val="TableBodyCopy"/>
              <w:jc w:val="center"/>
            </w:pPr>
            <w:r>
              <w:t>7.3</w:t>
            </w:r>
          </w:p>
        </w:tc>
      </w:tr>
      <w:tr w:rsidR="00C02F9A" w14:paraId="2B1333F4" w14:textId="77777777" w:rsidTr="00162B29">
        <w:tc>
          <w:tcPr>
            <w:tcW w:w="3397" w:type="dxa"/>
          </w:tcPr>
          <w:p w14:paraId="38890A56" w14:textId="3085080F" w:rsidR="00C02F9A" w:rsidRDefault="00C02F9A" w:rsidP="00C02F9A">
            <w:pPr>
              <w:pStyle w:val="TableBodyCopy"/>
            </w:pPr>
            <w:r>
              <w:t>Global / Other</w:t>
            </w:r>
          </w:p>
        </w:tc>
        <w:tc>
          <w:tcPr>
            <w:tcW w:w="2265" w:type="dxa"/>
            <w:vAlign w:val="center"/>
          </w:tcPr>
          <w:p w14:paraId="7C5E60F3" w14:textId="2290559B" w:rsidR="00C02F9A" w:rsidRPr="00D34ADE" w:rsidRDefault="00435DD3" w:rsidP="00C02F9A">
            <w:pPr>
              <w:pStyle w:val="TableBodyCopy"/>
              <w:jc w:val="center"/>
            </w:pPr>
            <w:r>
              <w:t>0.6</w:t>
            </w:r>
          </w:p>
        </w:tc>
        <w:tc>
          <w:tcPr>
            <w:tcW w:w="2266" w:type="dxa"/>
            <w:vAlign w:val="center"/>
          </w:tcPr>
          <w:p w14:paraId="4BBA5711" w14:textId="66FA473E" w:rsidR="00C02F9A" w:rsidRPr="00D34ADE" w:rsidRDefault="00435DD3" w:rsidP="00C02F9A">
            <w:pPr>
              <w:pStyle w:val="TableBodyCopy"/>
              <w:jc w:val="center"/>
            </w:pPr>
            <w:r>
              <w:t>0.6</w:t>
            </w:r>
          </w:p>
        </w:tc>
        <w:tc>
          <w:tcPr>
            <w:tcW w:w="2266" w:type="dxa"/>
            <w:vAlign w:val="center"/>
          </w:tcPr>
          <w:p w14:paraId="46AB0CB4" w14:textId="25B877F9" w:rsidR="00C02F9A" w:rsidRPr="00D34ADE" w:rsidRDefault="00435DD3" w:rsidP="00C02F9A">
            <w:pPr>
              <w:pStyle w:val="TableBodyCopy"/>
              <w:jc w:val="center"/>
            </w:pPr>
            <w:r>
              <w:t>0.5</w:t>
            </w:r>
          </w:p>
        </w:tc>
      </w:tr>
      <w:tr w:rsidR="00C02F9A" w14:paraId="6B771DA6" w14:textId="77777777" w:rsidTr="00162B29">
        <w:tc>
          <w:tcPr>
            <w:tcW w:w="3397" w:type="dxa"/>
          </w:tcPr>
          <w:p w14:paraId="1651DA14" w14:textId="472B242D" w:rsidR="00C02F9A" w:rsidRDefault="00C02F9A" w:rsidP="00C02F9A">
            <w:pPr>
              <w:pStyle w:val="TableBodyCopy"/>
            </w:pPr>
            <w:r>
              <w:t>Other Government Departments</w:t>
            </w:r>
          </w:p>
        </w:tc>
        <w:tc>
          <w:tcPr>
            <w:tcW w:w="2265" w:type="dxa"/>
            <w:vAlign w:val="center"/>
          </w:tcPr>
          <w:p w14:paraId="5D27E890" w14:textId="505CB52B" w:rsidR="00C02F9A" w:rsidRPr="00D34ADE" w:rsidRDefault="00435DD3" w:rsidP="00C02F9A">
            <w:pPr>
              <w:pStyle w:val="TableBodyCopy"/>
              <w:jc w:val="center"/>
            </w:pPr>
            <w:r>
              <w:t>0.0</w:t>
            </w:r>
          </w:p>
        </w:tc>
        <w:tc>
          <w:tcPr>
            <w:tcW w:w="2266" w:type="dxa"/>
            <w:vAlign w:val="center"/>
          </w:tcPr>
          <w:p w14:paraId="5F11B819" w14:textId="4A509338" w:rsidR="00C02F9A" w:rsidRPr="00D34ADE" w:rsidRDefault="00435DD3" w:rsidP="00C02F9A">
            <w:pPr>
              <w:pStyle w:val="TableBodyCopy"/>
              <w:jc w:val="center"/>
            </w:pPr>
            <w:r>
              <w:t>-</w:t>
            </w:r>
          </w:p>
        </w:tc>
        <w:tc>
          <w:tcPr>
            <w:tcW w:w="2266" w:type="dxa"/>
            <w:vAlign w:val="center"/>
          </w:tcPr>
          <w:p w14:paraId="45D0847A" w14:textId="39297C22" w:rsidR="00C02F9A" w:rsidRPr="00D34ADE" w:rsidRDefault="00435DD3" w:rsidP="00C02F9A">
            <w:pPr>
              <w:pStyle w:val="TableBodyCopy"/>
              <w:jc w:val="center"/>
            </w:pPr>
            <w:r>
              <w:t>-</w:t>
            </w:r>
          </w:p>
        </w:tc>
      </w:tr>
      <w:tr w:rsidR="00C02F9A" w14:paraId="3BDCC9B5" w14:textId="77777777" w:rsidTr="00162B29">
        <w:tc>
          <w:tcPr>
            <w:tcW w:w="3397" w:type="dxa"/>
          </w:tcPr>
          <w:p w14:paraId="4E8483EB" w14:textId="0B7EFBA4" w:rsidR="00C02F9A" w:rsidRPr="001E6A8F" w:rsidRDefault="00C02F9A" w:rsidP="00C02F9A">
            <w:pPr>
              <w:pStyle w:val="TableBodyCopy"/>
              <w:rPr>
                <w:b/>
                <w:bCs/>
              </w:rPr>
            </w:pPr>
            <w:r w:rsidRPr="001E6A8F">
              <w:rPr>
                <w:b/>
                <w:bCs/>
              </w:rPr>
              <w:t>Total ODA to</w:t>
            </w:r>
            <w:r w:rsidR="005B6C77">
              <w:rPr>
                <w:b/>
                <w:bCs/>
              </w:rPr>
              <w:t xml:space="preserve"> Micronesia</w:t>
            </w:r>
          </w:p>
        </w:tc>
        <w:tc>
          <w:tcPr>
            <w:tcW w:w="2265" w:type="dxa"/>
            <w:vAlign w:val="center"/>
          </w:tcPr>
          <w:p w14:paraId="4CC5A42A" w14:textId="4B1EA6AD" w:rsidR="00C02F9A" w:rsidRPr="00D34ADE" w:rsidRDefault="00435DD3" w:rsidP="00435DD3">
            <w:pPr>
              <w:pStyle w:val="TableBodyCopy"/>
              <w:jc w:val="center"/>
              <w:rPr>
                <w:b/>
                <w:bCs/>
              </w:rPr>
            </w:pPr>
            <w:r>
              <w:rPr>
                <w:b/>
                <w:bCs/>
              </w:rPr>
              <w:t>6.0</w:t>
            </w:r>
          </w:p>
        </w:tc>
        <w:tc>
          <w:tcPr>
            <w:tcW w:w="2266" w:type="dxa"/>
            <w:vAlign w:val="center"/>
          </w:tcPr>
          <w:p w14:paraId="5537B846" w14:textId="56E96BE9" w:rsidR="00C02F9A" w:rsidRPr="00D34ADE" w:rsidRDefault="00435DD3" w:rsidP="00C02F9A">
            <w:pPr>
              <w:pStyle w:val="TableBodyCopy"/>
              <w:jc w:val="center"/>
              <w:rPr>
                <w:b/>
                <w:bCs/>
              </w:rPr>
            </w:pPr>
            <w:r>
              <w:rPr>
                <w:b/>
                <w:bCs/>
              </w:rPr>
              <w:t>4.7</w:t>
            </w:r>
          </w:p>
        </w:tc>
        <w:tc>
          <w:tcPr>
            <w:tcW w:w="2266" w:type="dxa"/>
            <w:vAlign w:val="center"/>
          </w:tcPr>
          <w:p w14:paraId="55A5272D" w14:textId="54DE7A39" w:rsidR="00C02F9A" w:rsidRPr="00D34ADE" w:rsidRDefault="00426B9A" w:rsidP="00C02F9A">
            <w:pPr>
              <w:pStyle w:val="TableBodyCopy"/>
              <w:jc w:val="center"/>
              <w:rPr>
                <w:b/>
                <w:bCs/>
              </w:rPr>
            </w:pPr>
            <w:r>
              <w:rPr>
                <w:b/>
                <w:bCs/>
              </w:rPr>
              <w:t>1</w:t>
            </w:r>
            <w:r w:rsidR="00435DD3">
              <w:rPr>
                <w:b/>
                <w:bCs/>
              </w:rPr>
              <w:t>1.4</w:t>
            </w:r>
          </w:p>
        </w:tc>
      </w:tr>
      <w:tr w:rsidR="00C02F9A" w14:paraId="489272C2" w14:textId="77777777" w:rsidTr="00162B29">
        <w:tc>
          <w:tcPr>
            <w:tcW w:w="3397" w:type="dxa"/>
          </w:tcPr>
          <w:p w14:paraId="0D034212" w14:textId="30C654FB" w:rsidR="00C02F9A" w:rsidRPr="001E6A8F" w:rsidRDefault="00780DC2" w:rsidP="00C02F9A">
            <w:pPr>
              <w:pStyle w:val="TableBodyCopy"/>
              <w:rPr>
                <w:b/>
                <w:bCs/>
              </w:rPr>
            </w:pPr>
            <w:r w:rsidRPr="00780DC2">
              <w:rPr>
                <w:b/>
                <w:bCs/>
                <w:iCs/>
              </w:rPr>
              <w:t>Percentage total Aust</w:t>
            </w:r>
            <w:r w:rsidR="00D34ADE">
              <w:rPr>
                <w:b/>
                <w:bCs/>
                <w:iCs/>
              </w:rPr>
              <w:t>ralian</w:t>
            </w:r>
            <w:r w:rsidRPr="00780DC2">
              <w:rPr>
                <w:b/>
                <w:bCs/>
                <w:iCs/>
              </w:rPr>
              <w:t xml:space="preserve"> ODA</w:t>
            </w:r>
          </w:p>
        </w:tc>
        <w:tc>
          <w:tcPr>
            <w:tcW w:w="2265" w:type="dxa"/>
            <w:vAlign w:val="center"/>
          </w:tcPr>
          <w:p w14:paraId="510A5CB8" w14:textId="2E1CF84F" w:rsidR="00C02F9A" w:rsidRPr="00D34ADE" w:rsidRDefault="00435DD3" w:rsidP="00C02F9A">
            <w:pPr>
              <w:pStyle w:val="TableBodyCopy"/>
              <w:jc w:val="center"/>
              <w:rPr>
                <w:b/>
                <w:bCs/>
              </w:rPr>
            </w:pPr>
            <w:r>
              <w:rPr>
                <w:b/>
                <w:bCs/>
              </w:rPr>
              <w:t>0.1</w:t>
            </w:r>
            <w:r w:rsidR="004F6FEF">
              <w:rPr>
                <w:b/>
                <w:bCs/>
              </w:rPr>
              <w:t>%</w:t>
            </w:r>
          </w:p>
        </w:tc>
        <w:tc>
          <w:tcPr>
            <w:tcW w:w="2266" w:type="dxa"/>
            <w:vAlign w:val="center"/>
          </w:tcPr>
          <w:p w14:paraId="1593D0D1" w14:textId="49805210" w:rsidR="00C02F9A" w:rsidRPr="00D34ADE" w:rsidRDefault="00435DD3" w:rsidP="00C02F9A">
            <w:pPr>
              <w:pStyle w:val="TableBodyCopy"/>
              <w:jc w:val="center"/>
              <w:rPr>
                <w:b/>
                <w:bCs/>
              </w:rPr>
            </w:pPr>
            <w:r>
              <w:rPr>
                <w:b/>
                <w:bCs/>
              </w:rPr>
              <w:t>0.1</w:t>
            </w:r>
            <w:r w:rsidR="00426B9A">
              <w:rPr>
                <w:b/>
                <w:bCs/>
              </w:rPr>
              <w:t>%</w:t>
            </w:r>
          </w:p>
        </w:tc>
        <w:tc>
          <w:tcPr>
            <w:tcW w:w="2266" w:type="dxa"/>
            <w:vAlign w:val="center"/>
          </w:tcPr>
          <w:p w14:paraId="62BEB0D3" w14:textId="01C427D9" w:rsidR="00C02F9A" w:rsidRPr="00D34ADE" w:rsidRDefault="00435DD3" w:rsidP="00C02F9A">
            <w:pPr>
              <w:pStyle w:val="TableBodyCopy"/>
              <w:jc w:val="center"/>
              <w:rPr>
                <w:b/>
                <w:bCs/>
              </w:rPr>
            </w:pPr>
            <w:r>
              <w:rPr>
                <w:b/>
                <w:bCs/>
              </w:rPr>
              <w:t>0.2</w:t>
            </w:r>
            <w:r w:rsidR="00426B9A">
              <w:rPr>
                <w:b/>
                <w:bCs/>
              </w:rPr>
              <w:t>%</w:t>
            </w:r>
          </w:p>
        </w:tc>
      </w:tr>
    </w:tbl>
    <w:p w14:paraId="02D3AFDE" w14:textId="74A808EE" w:rsidR="00987C41" w:rsidRDefault="001E6A8F" w:rsidP="00987C41">
      <w:pPr>
        <w:pStyle w:val="Caption"/>
      </w:pPr>
      <w:r w:rsidRPr="00771669">
        <w:t xml:space="preserve">*Due to rounding, </w:t>
      </w:r>
      <w:r w:rsidRPr="003575EF">
        <w:t>discrepancies</w:t>
      </w:r>
      <w:r w:rsidRPr="00771669">
        <w:t xml:space="preserve"> may occur between sums of the component items in totals</w:t>
      </w:r>
    </w:p>
    <w:p w14:paraId="1A5B8047" w14:textId="6D6B980E" w:rsidR="00987C41" w:rsidRDefault="0001411F" w:rsidP="00987C41">
      <w:pPr>
        <w:pStyle w:val="Caption"/>
        <w:rPr>
          <w:bCs/>
          <w:sz w:val="22"/>
          <w:szCs w:val="22"/>
        </w:rPr>
      </w:pPr>
      <w:r>
        <w:rPr>
          <w:noProof/>
        </w:rPr>
        <w:drawing>
          <wp:anchor distT="0" distB="0" distL="114300" distR="114300" simplePos="0" relativeHeight="251658240" behindDoc="1" locked="0" layoutInCell="1" allowOverlap="1" wp14:anchorId="72121005" wp14:editId="57590F71">
            <wp:simplePos x="0" y="0"/>
            <wp:positionH relativeFrom="margin">
              <wp:align>left</wp:align>
            </wp:positionH>
            <wp:positionV relativeFrom="paragraph">
              <wp:posOffset>186499</wp:posOffset>
            </wp:positionV>
            <wp:extent cx="4838700" cy="1796415"/>
            <wp:effectExtent l="0" t="0" r="0" b="0"/>
            <wp:wrapTight wrapText="bothSides">
              <wp:wrapPolygon edited="0">
                <wp:start x="0" y="0"/>
                <wp:lineTo x="0" y="21302"/>
                <wp:lineTo x="21515" y="21302"/>
                <wp:lineTo x="21515" y="0"/>
                <wp:lineTo x="0" y="0"/>
              </wp:wrapPolygon>
            </wp:wrapTight>
            <wp:docPr id="6" name="Picture 2" descr="Figure 1 presents the percentage of Australia’s Official Development Assistance (ODA) to the Federated States of Micronesia for the financial year 2025-26 attributable to sector groups.&#10;&#10;The percentages of total Australian ODA by Sector Groups are:&#10;Agriculture, trade and other production services 1%&#10;Economic infrastructure and services 67%&#10;Education 16%&#10;Governance 7%&#10;Health 4%&#10;Humanitarian 0%&#10;Multisector and General Development Suppo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Figure 1 presents the percentage of Australia’s Official Development Assistance (ODA) to the Federated States of Micronesia for the financial year 2025-26 attributable to sector groups.&#10;&#10;The percentages of total Australian ODA by Sector Groups are:&#10;Agriculture, trade and other production services 1%&#10;Economic infrastructure and services 67%&#10;Education 16%&#10;Governance 7%&#10;Health 4%&#10;Humanitarian 0%&#10;Multisector and General Development Support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87C41" w:rsidRPr="00987C41">
        <w:rPr>
          <w:bCs/>
          <w:sz w:val="22"/>
          <w:szCs w:val="22"/>
        </w:rPr>
        <w:t xml:space="preserve">Figure 1: Australian ODA to </w:t>
      </w:r>
      <w:r w:rsidR="00987C41" w:rsidRPr="00F110B8">
        <w:rPr>
          <w:sz w:val="22"/>
          <w:szCs w:val="22"/>
        </w:rPr>
        <w:t>Micronesia</w:t>
      </w:r>
      <w:r w:rsidR="00987C41" w:rsidRPr="00987C41">
        <w:rPr>
          <w:bCs/>
          <w:sz w:val="22"/>
          <w:szCs w:val="22"/>
        </w:rPr>
        <w:t xml:space="preserve"> by Sector Group, 2025-26 budget estimat</w:t>
      </w:r>
      <w:r w:rsidR="005B6C6A">
        <w:rPr>
          <w:bCs/>
          <w:sz w:val="22"/>
          <w:szCs w:val="22"/>
        </w:rPr>
        <w:t>e</w:t>
      </w:r>
    </w:p>
    <w:p w14:paraId="72FD14C0" w14:textId="22C8A72B" w:rsidR="00314C49" w:rsidRDefault="00314C49" w:rsidP="00314C49">
      <w:pPr>
        <w:pStyle w:val="NormalWeb"/>
      </w:pPr>
    </w:p>
    <w:p w14:paraId="145B1AA4" w14:textId="2457E86D" w:rsidR="00314C49" w:rsidRPr="00314C49" w:rsidRDefault="00314C49" w:rsidP="00314C49"/>
    <w:p w14:paraId="7CC3C65D" w14:textId="339179A6" w:rsidR="00C700DC" w:rsidRDefault="00C700DC" w:rsidP="00C700DC">
      <w:pPr>
        <w:pStyle w:val="Heading3"/>
        <w:rPr>
          <w:rFonts w:eastAsia="Calibri"/>
        </w:rPr>
      </w:pPr>
      <w:r w:rsidRPr="00CC4616">
        <w:lastRenderedPageBreak/>
        <w:t>Sustainable Development Goals</w:t>
      </w:r>
    </w:p>
    <w:p w14:paraId="5FDBE9C1" w14:textId="17F32417" w:rsidR="00634CC1" w:rsidRPr="00C700DC" w:rsidRDefault="00634CC1" w:rsidP="00634CC1">
      <w:bookmarkStart w:id="1" w:name="_Hlk197421174"/>
      <w:r>
        <w:rPr>
          <w:noProof/>
        </w:rPr>
        <w:drawing>
          <wp:inline distT="0" distB="0" distL="0" distR="0" wp14:anchorId="36362151" wp14:editId="55A8FC23">
            <wp:extent cx="548640" cy="548640"/>
            <wp:effectExtent l="0" t="0" r="3810" b="3810"/>
            <wp:docPr id="662642502" name="Picture 4" descr="SDG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2502" name="Picture 4" descr="SDG 4 - Quality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DDB124" wp14:editId="29E19788">
            <wp:extent cx="548640" cy="548640"/>
            <wp:effectExtent l="0" t="0" r="3810" b="3810"/>
            <wp:docPr id="193567487" name="Picture 5" descr="SDG 5 -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487" name="Picture 5" descr="SDG 5 - Gender Equalit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7F13FF" wp14:editId="225BD047">
            <wp:extent cx="548640" cy="548640"/>
            <wp:effectExtent l="0" t="0" r="3810" b="3810"/>
            <wp:docPr id="635455102" name="Picture 6" descr="SDG 6 - Clean water and san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55102" name="Picture 6" descr="SDG 6 - Clean water and sanit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2CA1E9F" wp14:editId="01A92494">
            <wp:extent cx="554477" cy="554477"/>
            <wp:effectExtent l="0" t="0" r="0" b="0"/>
            <wp:docPr id="1891109307" name="Picture 7" descr="SDG 7 - Affordable and clean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09307" name="Picture 7" descr="SDG 7 - Affordable and clean energ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8167" cy="558167"/>
                    </a:xfrm>
                    <a:prstGeom prst="rect">
                      <a:avLst/>
                    </a:prstGeom>
                  </pic:spPr>
                </pic:pic>
              </a:graphicData>
            </a:graphic>
          </wp:inline>
        </w:drawing>
      </w:r>
      <w:r>
        <w:rPr>
          <w:noProof/>
        </w:rPr>
        <w:drawing>
          <wp:inline distT="0" distB="0" distL="0" distR="0" wp14:anchorId="609273EE" wp14:editId="3FE291F3">
            <wp:extent cx="548640" cy="548640"/>
            <wp:effectExtent l="0" t="0" r="3810" b="3810"/>
            <wp:docPr id="322758550"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58550" name="Picture 8" descr="SDG 8 - Decent work and economic growth"/>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2036" cy="552036"/>
                    </a:xfrm>
                    <a:prstGeom prst="rect">
                      <a:avLst/>
                    </a:prstGeom>
                  </pic:spPr>
                </pic:pic>
              </a:graphicData>
            </a:graphic>
          </wp:inline>
        </w:drawing>
      </w:r>
      <w:r>
        <w:rPr>
          <w:noProof/>
        </w:rPr>
        <w:drawing>
          <wp:inline distT="0" distB="0" distL="0" distR="0" wp14:anchorId="71E82FF7" wp14:editId="7385053F">
            <wp:extent cx="548640" cy="548640"/>
            <wp:effectExtent l="0" t="0" r="3810" b="3810"/>
            <wp:docPr id="532045198"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45198" name="Picture 9" descr="SDG 9 - Industry, innovation and infrastructur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51273F17" wp14:editId="69AC4346">
            <wp:extent cx="548640" cy="548640"/>
            <wp:effectExtent l="0" t="0" r="3810" b="3810"/>
            <wp:docPr id="935052166" name="Picture 10" descr="SDG 10 -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52166" name="Picture 10" descr="SDG 10 - Reduced inequaliti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D832DEC" wp14:editId="5D3A0CBE">
            <wp:extent cx="548640" cy="548640"/>
            <wp:effectExtent l="0" t="0" r="3810" b="3810"/>
            <wp:docPr id="1453189815" name="Picture 5" descr="SDG 12 - Responsible consumption and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89815" name="Picture 5" descr="SDG 12 - Responsible consumption and producti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5766939" wp14:editId="1AAF6D87">
            <wp:extent cx="548640" cy="548640"/>
            <wp:effectExtent l="0" t="0" r="3810" b="3810"/>
            <wp:docPr id="67511417" name="Picture 6" descr="SDG 13 -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417" name="Picture 6" descr="SDG 13 - Climate acti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570981E6" wp14:editId="22C934B1">
            <wp:extent cx="548640" cy="548640"/>
            <wp:effectExtent l="0" t="0" r="3810" b="3810"/>
            <wp:docPr id="1313807580" name="Picture 7" descr="SDG 14 - Life below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07580" name="Picture 7" descr="SDG 14 - Life below wate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BF71F81" wp14:editId="728049FD">
            <wp:extent cx="548640" cy="548640"/>
            <wp:effectExtent l="0" t="0" r="3810" b="3810"/>
            <wp:docPr id="2131840263" name="Picture 8" descr="SDG 15 - Life on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40263" name="Picture 8" descr="SDG 15 - Life on lan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bookmarkEnd w:id="1"/>
    <w:p w14:paraId="6CC55263" w14:textId="41D0BF1B" w:rsidR="00495A2C" w:rsidRPr="003F2A5A" w:rsidRDefault="00BD65A8" w:rsidP="00495A2C">
      <w:pPr>
        <w:spacing w:before="360" w:line="240" w:lineRule="auto"/>
        <w:rPr>
          <w:b/>
        </w:rPr>
      </w:pPr>
      <w:r w:rsidRPr="00987C41">
        <w:rPr>
          <w:b/>
          <w:bCs/>
        </w:rPr>
        <w:t xml:space="preserve">Federated States of Micronesia </w:t>
      </w:r>
      <w:r>
        <w:rPr>
          <w:b/>
          <w:bCs/>
        </w:rPr>
        <w:t>(</w:t>
      </w:r>
      <w:r w:rsidR="00495A2C" w:rsidRPr="003F2A5A">
        <w:rPr>
          <w:b/>
        </w:rPr>
        <w:t>FSM</w:t>
      </w:r>
      <w:r>
        <w:rPr>
          <w:b/>
        </w:rPr>
        <w:t>)</w:t>
      </w:r>
      <w:r w:rsidR="00495A2C" w:rsidRPr="003F2A5A">
        <w:rPr>
          <w:b/>
        </w:rPr>
        <w:t xml:space="preserve"> is an independent country in a Compact of Free Association with the United States. It comprises 607 islands, 65 of which are inhabited.</w:t>
      </w:r>
    </w:p>
    <w:p w14:paraId="5781CC6C" w14:textId="682628DF" w:rsidR="00495A2C" w:rsidRDefault="00495A2C" w:rsidP="00495A2C">
      <w:r>
        <w:t xml:space="preserve">The Government of the Federated States of Micronesia has outlined </w:t>
      </w:r>
      <w:r w:rsidR="000F5A6A">
        <w:t xml:space="preserve">its </w:t>
      </w:r>
      <w:r>
        <w:t xml:space="preserve">national development priorities in its </w:t>
      </w:r>
      <w:r w:rsidRPr="00495A2C">
        <w:rPr>
          <w:i/>
          <w:iCs/>
          <w:lang w:val="en-US"/>
        </w:rPr>
        <w:t>FSM Strategic Development Plan 2024-2043</w:t>
      </w:r>
      <w:r>
        <w:rPr>
          <w:b/>
          <w:bCs/>
          <w:i/>
          <w:iCs/>
          <w:lang w:val="en-US"/>
        </w:rPr>
        <w:t xml:space="preserve"> </w:t>
      </w:r>
      <w:r>
        <w:rPr>
          <w:lang w:val="en-GB"/>
        </w:rPr>
        <w:t>focusing on cultural heritage, education and human capital, health and wellbeing, gender equality and social inclusion, governance and institutional strengthening, peace and security, sustainable economic development, environmental sustainability and climate change, and infrastructure development and sustainability.</w:t>
      </w:r>
    </w:p>
    <w:p w14:paraId="14B56AE6" w14:textId="7CB0C1EA" w:rsidR="00671161" w:rsidRDefault="001E6A8F" w:rsidP="00C700DC">
      <w:pPr>
        <w:pStyle w:val="Heading3"/>
      </w:pPr>
      <w:r>
        <w:t>Strategic direction</w:t>
      </w:r>
    </w:p>
    <w:p w14:paraId="5D73C0EB" w14:textId="2989D0B0" w:rsidR="00495A2C" w:rsidRDefault="00495A2C" w:rsidP="00495A2C">
      <w:pPr>
        <w:spacing w:before="0" w:line="240" w:lineRule="auto"/>
        <w:rPr>
          <w:b/>
          <w:bCs/>
        </w:rPr>
      </w:pPr>
      <w:r w:rsidRPr="00987C41">
        <w:rPr>
          <w:b/>
          <w:bCs/>
        </w:rPr>
        <w:t xml:space="preserve">Australia and the Federated States of Micronesia (FSM) share a close partnership, based on equality and respect.  </w:t>
      </w:r>
    </w:p>
    <w:p w14:paraId="497CA0C4" w14:textId="1C054C44" w:rsidR="00495A2C" w:rsidRPr="00495A2C" w:rsidRDefault="00495A2C" w:rsidP="00495A2C">
      <w:pPr>
        <w:spacing w:before="0" w:line="240" w:lineRule="auto"/>
      </w:pPr>
      <w:r w:rsidRPr="00495A2C">
        <w:t xml:space="preserve">In cooperation with FSM, we are delivering important development outcomes in the areas of aviation </w:t>
      </w:r>
      <w:r w:rsidR="007455E6">
        <w:t xml:space="preserve">and telecommunications </w:t>
      </w:r>
      <w:r w:rsidRPr="00495A2C">
        <w:t xml:space="preserve">connectivity, education and scholarships (Australia Awards), </w:t>
      </w:r>
      <w:r w:rsidR="006A2F11">
        <w:t xml:space="preserve">family protection and </w:t>
      </w:r>
      <w:r w:rsidRPr="00495A2C">
        <w:t>gender-based violence, climate change</w:t>
      </w:r>
      <w:r w:rsidR="00A54E15">
        <w:t xml:space="preserve"> and</w:t>
      </w:r>
      <w:r w:rsidRPr="00495A2C">
        <w:t xml:space="preserve"> disaster resilience.  </w:t>
      </w:r>
    </w:p>
    <w:p w14:paraId="7185CA44" w14:textId="3981B4F9" w:rsidR="00C51AB9" w:rsidRPr="00C51AB9" w:rsidRDefault="00C51AB9" w:rsidP="00C51AB9">
      <w:r w:rsidRPr="00C51AB9">
        <w:t>Australia will continue to listen and consult with the Government of FSM to ensure our partnership meets genuine need and delivers long term benefits. Australia’s ability to respond to crises effectively will continue to be an important aspect of our partnership. Australia will continue to support Micronesian students to study at institutions in Australia and the region through Australia Awards Scholarships</w:t>
      </w:r>
      <w:r w:rsidR="00495A2C">
        <w:t>.</w:t>
      </w:r>
    </w:p>
    <w:p w14:paraId="4572847D" w14:textId="2908EE81" w:rsidR="002923D5" w:rsidRPr="004D1D85" w:rsidRDefault="001E6A8F" w:rsidP="00C700DC">
      <w:pPr>
        <w:pStyle w:val="Heading3"/>
      </w:pPr>
      <w:r>
        <w:t>Program highlights</w:t>
      </w:r>
    </w:p>
    <w:p w14:paraId="74A7906A" w14:textId="504E5A70" w:rsidR="001E6A8F" w:rsidRDefault="001E6A8F" w:rsidP="003575EF">
      <w:r>
        <w:t>In 2023-24:</w:t>
      </w:r>
    </w:p>
    <w:p w14:paraId="628BC9A2" w14:textId="4C89536F" w:rsidR="005B6C77" w:rsidRPr="005A185D" w:rsidRDefault="005B6C77" w:rsidP="005B6C77">
      <w:pPr>
        <w:pStyle w:val="ListBullet"/>
      </w:pPr>
      <w:r w:rsidRPr="005B6C77">
        <w:t xml:space="preserve">Through the Australian Infrastructure Financing Facility for the Pacific (AIFFP), Australia is supporting the East </w:t>
      </w:r>
      <w:r w:rsidRPr="005A185D">
        <w:t xml:space="preserve">Micronesia Cable project that will improve internet connectivity and access to digital technologies across FSM, Nauru and Kiribati, including through delivery of the first submarine cable connection to Kosrae (SDG9). </w:t>
      </w:r>
    </w:p>
    <w:p w14:paraId="44A5A8D4" w14:textId="6F3A2702" w:rsidR="00BD4AC3" w:rsidRPr="005A185D" w:rsidRDefault="00D6255D" w:rsidP="00BD4AC3">
      <w:pPr>
        <w:pStyle w:val="ListBullet"/>
      </w:pPr>
      <w:r w:rsidRPr="005A185D">
        <w:t>S</w:t>
      </w:r>
      <w:r w:rsidR="00BD4AC3" w:rsidRPr="005A185D">
        <w:t>upporting aviation connectivity between Australia, Palau, FSM, the Republic of the Marshall Islands, Kiribati and Nauru. P4A is partnering in the Pacific for a safer, more resilient and sustainable aviation sector (SDG10).</w:t>
      </w:r>
    </w:p>
    <w:p w14:paraId="29E3635D" w14:textId="13B8FDB8" w:rsidR="005B6C77" w:rsidRPr="005A185D" w:rsidRDefault="005B6C77" w:rsidP="005B6C77">
      <w:pPr>
        <w:pStyle w:val="ListBullet"/>
      </w:pPr>
      <w:r w:rsidRPr="005A185D">
        <w:t xml:space="preserve">Australia is supporting FSM’s efforts to increase electrification and reach renewable energy targets through investments in remote solar mini-grid systems. Through the Pacific Climate Infrastructure Financing Partnership, Australia is financing mini-grid systems on </w:t>
      </w:r>
      <w:proofErr w:type="spellStart"/>
      <w:r w:rsidRPr="005A185D">
        <w:t>Woleai</w:t>
      </w:r>
      <w:proofErr w:type="spellEnd"/>
      <w:r w:rsidRPr="005A185D">
        <w:t xml:space="preserve"> Atoll in Yap State, </w:t>
      </w:r>
      <w:proofErr w:type="spellStart"/>
      <w:r w:rsidRPr="005A185D">
        <w:t>Pingelap</w:t>
      </w:r>
      <w:proofErr w:type="spellEnd"/>
      <w:r w:rsidRPr="005A185D">
        <w:t xml:space="preserve"> Atoll in Pohnpei State and the islands of </w:t>
      </w:r>
      <w:proofErr w:type="spellStart"/>
      <w:r w:rsidRPr="005A185D">
        <w:t>Piis</w:t>
      </w:r>
      <w:proofErr w:type="spellEnd"/>
      <w:r w:rsidRPr="005A185D">
        <w:t xml:space="preserve"> Paneu and Etten in Chuuk State.</w:t>
      </w:r>
    </w:p>
    <w:p w14:paraId="7854D50F" w14:textId="090D42B5" w:rsidR="0092131A" w:rsidRPr="005A185D" w:rsidDel="00B47E3C" w:rsidRDefault="0092131A" w:rsidP="0092131A">
      <w:pPr>
        <w:pStyle w:val="ListBullet"/>
      </w:pPr>
      <w:r w:rsidRPr="005A185D" w:rsidDel="00B47E3C">
        <w:t>Australia is supporting existing efforts by FSM and Japan to address the oil spill risks from World War II wrecks in Chuuk Lagoon (SDG14).</w:t>
      </w:r>
    </w:p>
    <w:p w14:paraId="37F4DEED" w14:textId="02E09F5D" w:rsidR="00BD4AC3" w:rsidRDefault="00BD4AC3" w:rsidP="00EB1F21">
      <w:pPr>
        <w:pStyle w:val="ListBullet"/>
        <w:numPr>
          <w:ilvl w:val="0"/>
          <w:numId w:val="0"/>
        </w:numPr>
        <w:ind w:left="360"/>
      </w:pPr>
      <w:r w:rsidRPr="005A185D">
        <w:t xml:space="preserve">Progressing gender equality outcomes </w:t>
      </w:r>
      <w:r w:rsidR="008000EA" w:rsidRPr="005A185D">
        <w:t>through Pacific Women Lead and our partnership with UNICEF</w:t>
      </w:r>
      <w:r w:rsidR="00676B6E" w:rsidRPr="005A185D">
        <w:t xml:space="preserve"> by </w:t>
      </w:r>
      <w:r w:rsidRPr="005A185D">
        <w:t>support</w:t>
      </w:r>
      <w:r w:rsidR="008000EA" w:rsidRPr="005A185D">
        <w:t>ing</w:t>
      </w:r>
      <w:r w:rsidRPr="005A185D">
        <w:t xml:space="preserve"> a National Family Protection adviser</w:t>
      </w:r>
      <w:r w:rsidR="00CA2BEC" w:rsidRPr="005A185D">
        <w:t xml:space="preserve"> and</w:t>
      </w:r>
      <w:r w:rsidRPr="005A185D">
        <w:t xml:space="preserve"> GBV counselling service</w:t>
      </w:r>
      <w:r w:rsidR="00CA2BEC">
        <w:t>.</w:t>
      </w:r>
    </w:p>
    <w:p w14:paraId="1D10897E" w14:textId="1DAB22DC" w:rsidR="0092131A" w:rsidRDefault="0092131A" w:rsidP="0092131A">
      <w:pPr>
        <w:pStyle w:val="ListBullet"/>
      </w:pPr>
      <w:r w:rsidRPr="0092131A">
        <w:t xml:space="preserve">Australia, </w:t>
      </w:r>
      <w:r w:rsidR="0034044F">
        <w:t xml:space="preserve">partnering </w:t>
      </w:r>
      <w:r w:rsidRPr="0092131A">
        <w:t xml:space="preserve">with FSM and the Asian Development Bank, is co-financing the Improving Quality Basic Education Project to </w:t>
      </w:r>
      <w:r w:rsidR="0034044F">
        <w:t xml:space="preserve">enhance </w:t>
      </w:r>
      <w:r w:rsidRPr="0092131A">
        <w:t>the effectiveness and efficiency of FSM education systems to strengthen early grade learning in all schools (SDG4).</w:t>
      </w:r>
    </w:p>
    <w:sectPr w:rsidR="0092131A" w:rsidSect="0095740E">
      <w:headerReference w:type="default" r:id="rId24"/>
      <w:footerReference w:type="default" r:id="rId25"/>
      <w:headerReference w:type="first" r:id="rId26"/>
      <w:footerReference w:type="first" r:id="rId27"/>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78BB" w14:textId="77777777" w:rsidR="00D45467" w:rsidRDefault="00D45467" w:rsidP="00EE32FE">
      <w:pPr>
        <w:spacing w:after="0" w:line="240" w:lineRule="auto"/>
      </w:pPr>
      <w:r>
        <w:separator/>
      </w:r>
    </w:p>
  </w:endnote>
  <w:endnote w:type="continuationSeparator" w:id="0">
    <w:p w14:paraId="237A202D" w14:textId="77777777" w:rsidR="00D45467" w:rsidRDefault="00D45467" w:rsidP="00EE32FE">
      <w:pPr>
        <w:spacing w:after="0" w:line="240" w:lineRule="auto"/>
      </w:pPr>
      <w:r>
        <w:continuationSeparator/>
      </w:r>
    </w:p>
  </w:endnote>
  <w:endnote w:type="continuationNotice" w:id="1">
    <w:p w14:paraId="3D76646C" w14:textId="77777777" w:rsidR="00D45467" w:rsidRDefault="00D45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08438124"/>
      <w:docPartObj>
        <w:docPartGallery w:val="Page Numbers (Bottom of Page)"/>
        <w:docPartUnique/>
      </w:docPartObj>
    </w:sdtPr>
    <w:sdtEndPr>
      <w:rPr>
        <w:noProof/>
      </w:rPr>
    </w:sdtEndPr>
    <w:sdtContent>
      <w:p w14:paraId="02CD4674" w14:textId="2DD6A0D1" w:rsidR="00F40F77" w:rsidRPr="004D49FE" w:rsidRDefault="008E290E">
        <w:pPr>
          <w:pStyle w:val="Footer"/>
          <w:rPr>
            <w:color w:val="FFFFFF" w:themeColor="background1"/>
          </w:rPr>
        </w:pPr>
        <w:r w:rsidRPr="00C71682">
          <w:rPr>
            <w:noProof/>
            <w:color w:val="FFFFFF" w:themeColor="background1"/>
          </w:rPr>
          <w:drawing>
            <wp:anchor distT="0" distB="0" distL="114300" distR="114300" simplePos="0" relativeHeight="251658243"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383988066" name="Picture 38398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0306763"/>
      <w:docPartObj>
        <w:docPartGallery w:val="Page Numbers (Bottom of Page)"/>
        <w:docPartUnique/>
      </w:docPartObj>
    </w:sdtPr>
    <w:sdtEndPr>
      <w:rPr>
        <w:noProof/>
      </w:rPr>
    </w:sdtEndPr>
    <w:sdtContent>
      <w:p w14:paraId="38984756" w14:textId="18EE118E" w:rsidR="00E50E59" w:rsidRPr="00C71682" w:rsidRDefault="00C71682">
        <w:pPr>
          <w:pStyle w:val="Footer"/>
          <w:rPr>
            <w:color w:val="FFFFFF" w:themeColor="background1"/>
          </w:rPr>
        </w:pPr>
        <w:r w:rsidRPr="00C71682">
          <w:rPr>
            <w:noProof/>
            <w:color w:val="FFFFFF" w:themeColor="background1"/>
          </w:rPr>
          <w:drawing>
            <wp:anchor distT="0" distB="0" distL="114300" distR="114300" simplePos="0" relativeHeight="251658242"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702243087" name="Picture 1702243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7ABDE" w14:textId="77777777" w:rsidR="00D45467" w:rsidRDefault="00D45467" w:rsidP="00EE32FE">
      <w:pPr>
        <w:spacing w:after="0" w:line="240" w:lineRule="auto"/>
      </w:pPr>
      <w:bookmarkStart w:id="0" w:name="_Hlk127364773"/>
      <w:bookmarkEnd w:id="0"/>
      <w:r>
        <w:separator/>
      </w:r>
    </w:p>
  </w:footnote>
  <w:footnote w:type="continuationSeparator" w:id="0">
    <w:p w14:paraId="0B7DBD62" w14:textId="77777777" w:rsidR="00D45467" w:rsidRDefault="00D45467" w:rsidP="00EE32FE">
      <w:pPr>
        <w:spacing w:after="0" w:line="240" w:lineRule="auto"/>
      </w:pPr>
      <w:r>
        <w:continuationSeparator/>
      </w:r>
    </w:p>
  </w:footnote>
  <w:footnote w:type="continuationNotice" w:id="1">
    <w:p w14:paraId="64ABEDC5" w14:textId="77777777" w:rsidR="00D45467" w:rsidRDefault="00D45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4D8987F0" w:rsidR="00306BCA" w:rsidRDefault="0076381C">
    <w:pPr>
      <w:pStyle w:val="Header"/>
    </w:pPr>
    <w:r>
      <w:rPr>
        <w:noProof/>
      </w:rPr>
      <w:drawing>
        <wp:anchor distT="0" distB="0" distL="114300" distR="114300" simplePos="0" relativeHeight="251658244" behindDoc="1" locked="0" layoutInCell="1" allowOverlap="1" wp14:anchorId="3030DA87" wp14:editId="71EF9F6C">
          <wp:simplePos x="541606" y="618978"/>
          <wp:positionH relativeFrom="page">
            <wp:align>center</wp:align>
          </wp:positionH>
          <wp:positionV relativeFrom="page">
            <wp:align>top</wp:align>
          </wp:positionV>
          <wp:extent cx="7558095" cy="576000"/>
          <wp:effectExtent l="0" t="0" r="5080" b="0"/>
          <wp:wrapNone/>
          <wp:docPr id="1721380403" name="Picture 1" descr="Page two header banner text includes Australia’s International Development Program on dar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403" name="Picture 1" descr="Page two header banner text includes Australia’s International Development Program on dark background"/>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3FFAE19B" w:rsidR="00704573" w:rsidRDefault="00235C52">
    <w:pPr>
      <w:pStyle w:val="Header"/>
    </w:pPr>
    <w:r>
      <w:rPr>
        <w:noProof/>
      </w:rPr>
      <w:drawing>
        <wp:anchor distT="0" distB="0" distL="114300" distR="114300" simplePos="0" relativeHeight="251658241" behindDoc="0" locked="0" layoutInCell="1" allowOverlap="1" wp14:anchorId="76BA3015" wp14:editId="43712648">
          <wp:simplePos x="0" y="0"/>
          <wp:positionH relativeFrom="page">
            <wp:posOffset>10937875</wp:posOffset>
          </wp:positionH>
          <wp:positionV relativeFrom="page">
            <wp:posOffset>112395</wp:posOffset>
          </wp:positionV>
          <wp:extent cx="7689850" cy="585470"/>
          <wp:effectExtent l="0" t="0" r="6350" b="5080"/>
          <wp:wrapNone/>
          <wp:docPr id="1131797426" name="Picture 113179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75D5F81D">
          <wp:simplePos x="0" y="0"/>
          <wp:positionH relativeFrom="page">
            <wp:align>center</wp:align>
          </wp:positionH>
          <wp:positionV relativeFrom="page">
            <wp:align>top</wp:align>
          </wp:positionV>
          <wp:extent cx="7560000" cy="1080000"/>
          <wp:effectExtent l="0" t="0" r="3175" b="6350"/>
          <wp:wrapNone/>
          <wp:docPr id="2129509291" name="Picture 212950929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9291" name="Picture 212950929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1138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785606" o:spid="_x0000_i1025" type="#_x0000_t75" alt="Pakistan flag" style="width:52.5pt;height:31pt;visibility:visible;mso-wrap-style:square" o:bordertopcolor="black" o:borderleftcolor="black" o:borderbottomcolor="black" o:borderrightcolor="black">
            <v:imagedata r:id="rId1" o:title="Pakistan flag"/>
            <w10:bordertop type="single" width="6"/>
            <w10:borderleft type="single" width="6"/>
            <w10:borderbottom type="single" width="6"/>
            <w10:borderright type="single" width="6"/>
          </v:shape>
        </w:pict>
      </mc:Choice>
      <mc:Fallback>
        <w:drawing>
          <wp:inline distT="0" distB="0" distL="0" distR="0" wp14:anchorId="064D0D24" wp14:editId="54FDE170">
            <wp:extent cx="666750" cy="393700"/>
            <wp:effectExtent l="19050" t="19050" r="0" b="6350"/>
            <wp:docPr id="237785606" name="Picture 237785606" descr="Pakist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Pakistan 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393700"/>
                    </a:xfrm>
                    <a:prstGeom prst="rect">
                      <a:avLst/>
                    </a:prstGeom>
                    <a:noFill/>
                    <a:ln w="9525" cmpd="sng">
                      <a:solidFill>
                        <a:srgbClr val="000000"/>
                      </a:solidFill>
                      <a:miter lim="800000"/>
                      <a:headEnd/>
                      <a:tailEnd/>
                    </a:ln>
                    <a:effectLst/>
                  </pic:spPr>
                </pic:pic>
              </a:graphicData>
            </a:graphic>
          </wp:inline>
        </w:drawing>
      </mc:Fallback>
    </mc:AlternateContent>
  </w:numPicBullet>
  <w:numPicBullet w:numPicBulletId="1">
    <mc:AlternateContent>
      <mc:Choice Requires="v">
        <w:pict>
          <v:shape w14:anchorId="775AA373" id="Picture 1499396260" o:spid="_x0000_i1025" type="#_x0000_t75" style="width:59pt;height:35pt;visibility:visible;mso-wrap-style:square">
            <v:imagedata r:id="rId3" o:title=""/>
          </v:shape>
        </w:pict>
      </mc:Choice>
      <mc:Fallback>
        <w:drawing>
          <wp:inline distT="0" distB="0" distL="0" distR="0" wp14:anchorId="2ABE6AD8" wp14:editId="66159C2F">
            <wp:extent cx="749300" cy="444500"/>
            <wp:effectExtent l="0" t="0" r="0" b="0"/>
            <wp:docPr id="1499396260" name="Picture 149939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300" cy="44450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A5B0FD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2"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5" w15:restartNumberingAfterBreak="0">
    <w:nsid w:val="2354785C"/>
    <w:multiLevelType w:val="hybridMultilevel"/>
    <w:tmpl w:val="63704D7C"/>
    <w:lvl w:ilvl="0" w:tplc="05389998">
      <w:start w:val="1"/>
      <w:numFmt w:val="bullet"/>
      <w:lvlText w:val=""/>
      <w:lvlPicBulletId w:val="1"/>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0324A3"/>
    <w:multiLevelType w:val="hybridMultilevel"/>
    <w:tmpl w:val="72A46C1C"/>
    <w:lvl w:ilvl="0" w:tplc="0EECF498">
      <w:start w:val="1"/>
      <w:numFmt w:val="bullet"/>
      <w:lvlText w:val=""/>
      <w:lvlPicBulletId w:val="1"/>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315745">
    <w:abstractNumId w:val="8"/>
  </w:num>
  <w:num w:numId="2" w16cid:durableId="768818958">
    <w:abstractNumId w:val="8"/>
    <w:lvlOverride w:ilvl="0">
      <w:startOverride w:val="1"/>
    </w:lvlOverride>
  </w:num>
  <w:num w:numId="3" w16cid:durableId="1890258398">
    <w:abstractNumId w:val="8"/>
    <w:lvlOverride w:ilvl="0">
      <w:startOverride w:val="1"/>
    </w:lvlOverride>
  </w:num>
  <w:num w:numId="4" w16cid:durableId="649091149">
    <w:abstractNumId w:val="10"/>
  </w:num>
  <w:num w:numId="5" w16cid:durableId="934098631">
    <w:abstractNumId w:val="3"/>
  </w:num>
  <w:num w:numId="6" w16cid:durableId="151024048">
    <w:abstractNumId w:val="8"/>
    <w:lvlOverride w:ilvl="0">
      <w:startOverride w:val="1"/>
    </w:lvlOverride>
  </w:num>
  <w:num w:numId="7" w16cid:durableId="1836610287">
    <w:abstractNumId w:val="8"/>
    <w:lvlOverride w:ilvl="0">
      <w:startOverride w:val="1"/>
    </w:lvlOverride>
  </w:num>
  <w:num w:numId="8" w16cid:durableId="2006547766">
    <w:abstractNumId w:val="8"/>
    <w:lvlOverride w:ilvl="0">
      <w:startOverride w:val="1"/>
    </w:lvlOverride>
  </w:num>
  <w:num w:numId="9" w16cid:durableId="1379822385">
    <w:abstractNumId w:val="12"/>
  </w:num>
  <w:num w:numId="10" w16cid:durableId="1276981909">
    <w:abstractNumId w:val="9"/>
  </w:num>
  <w:num w:numId="11" w16cid:durableId="1977682116">
    <w:abstractNumId w:val="10"/>
  </w:num>
  <w:num w:numId="12" w16cid:durableId="1696269951">
    <w:abstractNumId w:val="10"/>
  </w:num>
  <w:num w:numId="13" w16cid:durableId="1555584703">
    <w:abstractNumId w:val="0"/>
  </w:num>
  <w:num w:numId="14" w16cid:durableId="366376057">
    <w:abstractNumId w:val="11"/>
  </w:num>
  <w:num w:numId="15" w16cid:durableId="1909922326">
    <w:abstractNumId w:val="5"/>
  </w:num>
  <w:num w:numId="16" w16cid:durableId="2124684593">
    <w:abstractNumId w:val="4"/>
  </w:num>
  <w:num w:numId="17" w16cid:durableId="906037808">
    <w:abstractNumId w:val="2"/>
  </w:num>
  <w:num w:numId="18" w16cid:durableId="1378120932">
    <w:abstractNumId w:val="6"/>
  </w:num>
  <w:num w:numId="19" w16cid:durableId="219564270">
    <w:abstractNumId w:val="1"/>
  </w:num>
  <w:num w:numId="20" w16cid:durableId="1372995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1411F"/>
    <w:rsid w:val="00017776"/>
    <w:rsid w:val="00021DCB"/>
    <w:rsid w:val="00025428"/>
    <w:rsid w:val="00025DF3"/>
    <w:rsid w:val="000264C5"/>
    <w:rsid w:val="00030679"/>
    <w:rsid w:val="00045E13"/>
    <w:rsid w:val="000502CA"/>
    <w:rsid w:val="00055F8D"/>
    <w:rsid w:val="00065484"/>
    <w:rsid w:val="0007092D"/>
    <w:rsid w:val="000746C3"/>
    <w:rsid w:val="00074F02"/>
    <w:rsid w:val="00077882"/>
    <w:rsid w:val="00080BCC"/>
    <w:rsid w:val="00081046"/>
    <w:rsid w:val="000940C4"/>
    <w:rsid w:val="00094F36"/>
    <w:rsid w:val="000A3684"/>
    <w:rsid w:val="000B1D62"/>
    <w:rsid w:val="000B6B5A"/>
    <w:rsid w:val="000B7CE5"/>
    <w:rsid w:val="000C1AA4"/>
    <w:rsid w:val="000C6D02"/>
    <w:rsid w:val="000E5A2E"/>
    <w:rsid w:val="000F1407"/>
    <w:rsid w:val="000F5A6A"/>
    <w:rsid w:val="0010098A"/>
    <w:rsid w:val="00100CEB"/>
    <w:rsid w:val="00105D14"/>
    <w:rsid w:val="00123E7B"/>
    <w:rsid w:val="00130FA7"/>
    <w:rsid w:val="00133CD1"/>
    <w:rsid w:val="001405B7"/>
    <w:rsid w:val="00144289"/>
    <w:rsid w:val="00152BF7"/>
    <w:rsid w:val="00155730"/>
    <w:rsid w:val="00156F0A"/>
    <w:rsid w:val="00163AE3"/>
    <w:rsid w:val="00171A86"/>
    <w:rsid w:val="001869DB"/>
    <w:rsid w:val="0019062A"/>
    <w:rsid w:val="0019463F"/>
    <w:rsid w:val="00197CF8"/>
    <w:rsid w:val="001A3856"/>
    <w:rsid w:val="001A44B5"/>
    <w:rsid w:val="001B3A98"/>
    <w:rsid w:val="001B3B4C"/>
    <w:rsid w:val="001B3CF4"/>
    <w:rsid w:val="001B3D6A"/>
    <w:rsid w:val="001B3EB9"/>
    <w:rsid w:val="001B461C"/>
    <w:rsid w:val="001C51EF"/>
    <w:rsid w:val="001D0846"/>
    <w:rsid w:val="001D29C1"/>
    <w:rsid w:val="001D7F3A"/>
    <w:rsid w:val="001E0A36"/>
    <w:rsid w:val="001E0D67"/>
    <w:rsid w:val="001E556F"/>
    <w:rsid w:val="001E60BC"/>
    <w:rsid w:val="001E6A8F"/>
    <w:rsid w:val="001F2233"/>
    <w:rsid w:val="001F2401"/>
    <w:rsid w:val="00206BB9"/>
    <w:rsid w:val="00211A82"/>
    <w:rsid w:val="0021791D"/>
    <w:rsid w:val="00222C6E"/>
    <w:rsid w:val="00232F10"/>
    <w:rsid w:val="00233F1A"/>
    <w:rsid w:val="00235C52"/>
    <w:rsid w:val="0023702A"/>
    <w:rsid w:val="002449A4"/>
    <w:rsid w:val="00246196"/>
    <w:rsid w:val="00264B5E"/>
    <w:rsid w:val="00265727"/>
    <w:rsid w:val="00274B14"/>
    <w:rsid w:val="0027698E"/>
    <w:rsid w:val="00287189"/>
    <w:rsid w:val="002903BA"/>
    <w:rsid w:val="00290E4E"/>
    <w:rsid w:val="002923D5"/>
    <w:rsid w:val="00292419"/>
    <w:rsid w:val="00292A6D"/>
    <w:rsid w:val="002965B1"/>
    <w:rsid w:val="002A027E"/>
    <w:rsid w:val="002A03E7"/>
    <w:rsid w:val="002C03C0"/>
    <w:rsid w:val="002C1236"/>
    <w:rsid w:val="002C1E1B"/>
    <w:rsid w:val="002E1462"/>
    <w:rsid w:val="002F21F5"/>
    <w:rsid w:val="002F3A6A"/>
    <w:rsid w:val="002F65B2"/>
    <w:rsid w:val="0030387C"/>
    <w:rsid w:val="00306A56"/>
    <w:rsid w:val="00306BCA"/>
    <w:rsid w:val="003108B2"/>
    <w:rsid w:val="00314C49"/>
    <w:rsid w:val="003223E5"/>
    <w:rsid w:val="0032242F"/>
    <w:rsid w:val="003227DD"/>
    <w:rsid w:val="00327C4D"/>
    <w:rsid w:val="0033120F"/>
    <w:rsid w:val="00332955"/>
    <w:rsid w:val="003363BC"/>
    <w:rsid w:val="0034044F"/>
    <w:rsid w:val="00341FBF"/>
    <w:rsid w:val="00343F6F"/>
    <w:rsid w:val="00344586"/>
    <w:rsid w:val="00353A69"/>
    <w:rsid w:val="00353EBF"/>
    <w:rsid w:val="003575EF"/>
    <w:rsid w:val="0035796D"/>
    <w:rsid w:val="00357C23"/>
    <w:rsid w:val="00360FAB"/>
    <w:rsid w:val="00363489"/>
    <w:rsid w:val="003762F3"/>
    <w:rsid w:val="003772D1"/>
    <w:rsid w:val="003816EA"/>
    <w:rsid w:val="003872A8"/>
    <w:rsid w:val="003A1CEC"/>
    <w:rsid w:val="003C0D0F"/>
    <w:rsid w:val="003C29FC"/>
    <w:rsid w:val="003C2A84"/>
    <w:rsid w:val="003C4C08"/>
    <w:rsid w:val="003C5770"/>
    <w:rsid w:val="003E0FFE"/>
    <w:rsid w:val="003F2A5A"/>
    <w:rsid w:val="003F62F1"/>
    <w:rsid w:val="0040062A"/>
    <w:rsid w:val="00401597"/>
    <w:rsid w:val="004041C7"/>
    <w:rsid w:val="00413D08"/>
    <w:rsid w:val="00426B9A"/>
    <w:rsid w:val="0043194D"/>
    <w:rsid w:val="00432798"/>
    <w:rsid w:val="00435DD3"/>
    <w:rsid w:val="004411D8"/>
    <w:rsid w:val="00443150"/>
    <w:rsid w:val="00444134"/>
    <w:rsid w:val="004516E0"/>
    <w:rsid w:val="00461828"/>
    <w:rsid w:val="00461F25"/>
    <w:rsid w:val="00463186"/>
    <w:rsid w:val="004641A7"/>
    <w:rsid w:val="0046667F"/>
    <w:rsid w:val="00467643"/>
    <w:rsid w:val="004740DD"/>
    <w:rsid w:val="00480980"/>
    <w:rsid w:val="00495A2C"/>
    <w:rsid w:val="004A0B2C"/>
    <w:rsid w:val="004A4242"/>
    <w:rsid w:val="004B2F7F"/>
    <w:rsid w:val="004C24E5"/>
    <w:rsid w:val="004C403F"/>
    <w:rsid w:val="004C60B8"/>
    <w:rsid w:val="004D0049"/>
    <w:rsid w:val="004D1D85"/>
    <w:rsid w:val="004D38A2"/>
    <w:rsid w:val="004D49FE"/>
    <w:rsid w:val="004E2304"/>
    <w:rsid w:val="004E6FA1"/>
    <w:rsid w:val="004F6FEF"/>
    <w:rsid w:val="005109E2"/>
    <w:rsid w:val="00511714"/>
    <w:rsid w:val="00513FF9"/>
    <w:rsid w:val="00515159"/>
    <w:rsid w:val="00521152"/>
    <w:rsid w:val="005220C7"/>
    <w:rsid w:val="005258B3"/>
    <w:rsid w:val="0053464B"/>
    <w:rsid w:val="00541178"/>
    <w:rsid w:val="00545268"/>
    <w:rsid w:val="00564C49"/>
    <w:rsid w:val="00585B8E"/>
    <w:rsid w:val="00592C35"/>
    <w:rsid w:val="00592E1A"/>
    <w:rsid w:val="00595180"/>
    <w:rsid w:val="005A185D"/>
    <w:rsid w:val="005A4153"/>
    <w:rsid w:val="005B6C6A"/>
    <w:rsid w:val="005B6C77"/>
    <w:rsid w:val="005E2754"/>
    <w:rsid w:val="005E65BF"/>
    <w:rsid w:val="005F1057"/>
    <w:rsid w:val="005F7B84"/>
    <w:rsid w:val="00616B35"/>
    <w:rsid w:val="00621858"/>
    <w:rsid w:val="00633110"/>
    <w:rsid w:val="006337A3"/>
    <w:rsid w:val="00634CC1"/>
    <w:rsid w:val="00635ABF"/>
    <w:rsid w:val="006402F2"/>
    <w:rsid w:val="0065493F"/>
    <w:rsid w:val="0066074C"/>
    <w:rsid w:val="00661961"/>
    <w:rsid w:val="00665E07"/>
    <w:rsid w:val="0066646F"/>
    <w:rsid w:val="00671161"/>
    <w:rsid w:val="00676B6E"/>
    <w:rsid w:val="00683B36"/>
    <w:rsid w:val="00685065"/>
    <w:rsid w:val="00687044"/>
    <w:rsid w:val="00687F9B"/>
    <w:rsid w:val="006927FF"/>
    <w:rsid w:val="006A1920"/>
    <w:rsid w:val="006A2F11"/>
    <w:rsid w:val="006A3040"/>
    <w:rsid w:val="006A721C"/>
    <w:rsid w:val="006A7D3F"/>
    <w:rsid w:val="006B1B6F"/>
    <w:rsid w:val="006B7E81"/>
    <w:rsid w:val="006C13E7"/>
    <w:rsid w:val="006C7A1C"/>
    <w:rsid w:val="006D49BC"/>
    <w:rsid w:val="007018A3"/>
    <w:rsid w:val="00702718"/>
    <w:rsid w:val="00704573"/>
    <w:rsid w:val="00707848"/>
    <w:rsid w:val="0071149B"/>
    <w:rsid w:val="00712C82"/>
    <w:rsid w:val="0072314C"/>
    <w:rsid w:val="007313EB"/>
    <w:rsid w:val="00733100"/>
    <w:rsid w:val="007332ED"/>
    <w:rsid w:val="007455E6"/>
    <w:rsid w:val="0076381C"/>
    <w:rsid w:val="0076593A"/>
    <w:rsid w:val="00766C41"/>
    <w:rsid w:val="00766FF5"/>
    <w:rsid w:val="00770B31"/>
    <w:rsid w:val="00771669"/>
    <w:rsid w:val="00780DC2"/>
    <w:rsid w:val="00790F87"/>
    <w:rsid w:val="00791418"/>
    <w:rsid w:val="0079728E"/>
    <w:rsid w:val="007C5166"/>
    <w:rsid w:val="007C60CE"/>
    <w:rsid w:val="007C76D3"/>
    <w:rsid w:val="007D3457"/>
    <w:rsid w:val="007D43DA"/>
    <w:rsid w:val="007D4734"/>
    <w:rsid w:val="007D522F"/>
    <w:rsid w:val="007D53CA"/>
    <w:rsid w:val="007F0403"/>
    <w:rsid w:val="007F312B"/>
    <w:rsid w:val="007F6492"/>
    <w:rsid w:val="008000EA"/>
    <w:rsid w:val="008009CE"/>
    <w:rsid w:val="00801B1F"/>
    <w:rsid w:val="00827BFC"/>
    <w:rsid w:val="0083220B"/>
    <w:rsid w:val="00845374"/>
    <w:rsid w:val="008455D8"/>
    <w:rsid w:val="008519E9"/>
    <w:rsid w:val="00865EA9"/>
    <w:rsid w:val="008662C1"/>
    <w:rsid w:val="00870A3F"/>
    <w:rsid w:val="008714F6"/>
    <w:rsid w:val="008728F0"/>
    <w:rsid w:val="00877949"/>
    <w:rsid w:val="00890C17"/>
    <w:rsid w:val="00892737"/>
    <w:rsid w:val="00895DD6"/>
    <w:rsid w:val="008A1F79"/>
    <w:rsid w:val="008A226C"/>
    <w:rsid w:val="008A403B"/>
    <w:rsid w:val="008A7873"/>
    <w:rsid w:val="008A7880"/>
    <w:rsid w:val="008B0158"/>
    <w:rsid w:val="008B0839"/>
    <w:rsid w:val="008B0F13"/>
    <w:rsid w:val="008B1B19"/>
    <w:rsid w:val="008B68E7"/>
    <w:rsid w:val="008C2F65"/>
    <w:rsid w:val="008C3BB8"/>
    <w:rsid w:val="008D25CF"/>
    <w:rsid w:val="008E290E"/>
    <w:rsid w:val="00900C4B"/>
    <w:rsid w:val="00901F0F"/>
    <w:rsid w:val="009026A6"/>
    <w:rsid w:val="00907E14"/>
    <w:rsid w:val="0091100D"/>
    <w:rsid w:val="00920679"/>
    <w:rsid w:val="0092131A"/>
    <w:rsid w:val="00947AD0"/>
    <w:rsid w:val="009526F7"/>
    <w:rsid w:val="0095495A"/>
    <w:rsid w:val="0095740E"/>
    <w:rsid w:val="009574DE"/>
    <w:rsid w:val="00965509"/>
    <w:rsid w:val="00987C41"/>
    <w:rsid w:val="0099135A"/>
    <w:rsid w:val="009952A4"/>
    <w:rsid w:val="009A030D"/>
    <w:rsid w:val="009A649F"/>
    <w:rsid w:val="009B2A87"/>
    <w:rsid w:val="009C29CC"/>
    <w:rsid w:val="009D13AB"/>
    <w:rsid w:val="009D78A9"/>
    <w:rsid w:val="009D7B89"/>
    <w:rsid w:val="009F4957"/>
    <w:rsid w:val="009F5D66"/>
    <w:rsid w:val="00A01D6E"/>
    <w:rsid w:val="00A07514"/>
    <w:rsid w:val="00A143D7"/>
    <w:rsid w:val="00A16EF9"/>
    <w:rsid w:val="00A17774"/>
    <w:rsid w:val="00A2698E"/>
    <w:rsid w:val="00A4001E"/>
    <w:rsid w:val="00A446B1"/>
    <w:rsid w:val="00A54E15"/>
    <w:rsid w:val="00A63A07"/>
    <w:rsid w:val="00A735CF"/>
    <w:rsid w:val="00A7750B"/>
    <w:rsid w:val="00A81173"/>
    <w:rsid w:val="00A82C83"/>
    <w:rsid w:val="00A864A4"/>
    <w:rsid w:val="00AA6ACC"/>
    <w:rsid w:val="00AC6062"/>
    <w:rsid w:val="00AC7A86"/>
    <w:rsid w:val="00AE166C"/>
    <w:rsid w:val="00AF7C26"/>
    <w:rsid w:val="00B05664"/>
    <w:rsid w:val="00B057A4"/>
    <w:rsid w:val="00B12A73"/>
    <w:rsid w:val="00B13505"/>
    <w:rsid w:val="00B23D9D"/>
    <w:rsid w:val="00B35181"/>
    <w:rsid w:val="00B36FC8"/>
    <w:rsid w:val="00B44D26"/>
    <w:rsid w:val="00B45010"/>
    <w:rsid w:val="00B4776F"/>
    <w:rsid w:val="00B47E3C"/>
    <w:rsid w:val="00B54BE6"/>
    <w:rsid w:val="00B578F2"/>
    <w:rsid w:val="00B76033"/>
    <w:rsid w:val="00B772ED"/>
    <w:rsid w:val="00B80AB3"/>
    <w:rsid w:val="00B818B4"/>
    <w:rsid w:val="00B92A48"/>
    <w:rsid w:val="00BA48E2"/>
    <w:rsid w:val="00BB1695"/>
    <w:rsid w:val="00BB6C40"/>
    <w:rsid w:val="00BB7E09"/>
    <w:rsid w:val="00BC50D3"/>
    <w:rsid w:val="00BD1D28"/>
    <w:rsid w:val="00BD4AC3"/>
    <w:rsid w:val="00BD65A8"/>
    <w:rsid w:val="00BD761D"/>
    <w:rsid w:val="00BE7DC3"/>
    <w:rsid w:val="00C02DDF"/>
    <w:rsid w:val="00C02F9A"/>
    <w:rsid w:val="00C107A8"/>
    <w:rsid w:val="00C12648"/>
    <w:rsid w:val="00C13173"/>
    <w:rsid w:val="00C33D8D"/>
    <w:rsid w:val="00C403E0"/>
    <w:rsid w:val="00C40760"/>
    <w:rsid w:val="00C51AB9"/>
    <w:rsid w:val="00C52EC4"/>
    <w:rsid w:val="00C60EBF"/>
    <w:rsid w:val="00C624EC"/>
    <w:rsid w:val="00C700DC"/>
    <w:rsid w:val="00C71682"/>
    <w:rsid w:val="00C77021"/>
    <w:rsid w:val="00C8771C"/>
    <w:rsid w:val="00C94B61"/>
    <w:rsid w:val="00CA2BEC"/>
    <w:rsid w:val="00CB02DE"/>
    <w:rsid w:val="00CB0F64"/>
    <w:rsid w:val="00CB23F5"/>
    <w:rsid w:val="00CB2719"/>
    <w:rsid w:val="00CB7C57"/>
    <w:rsid w:val="00CC2B03"/>
    <w:rsid w:val="00CC4616"/>
    <w:rsid w:val="00CC5EEC"/>
    <w:rsid w:val="00CD19DE"/>
    <w:rsid w:val="00CD260F"/>
    <w:rsid w:val="00CD50DA"/>
    <w:rsid w:val="00CD624F"/>
    <w:rsid w:val="00CE07C0"/>
    <w:rsid w:val="00CE3759"/>
    <w:rsid w:val="00CF14DB"/>
    <w:rsid w:val="00CF2F96"/>
    <w:rsid w:val="00CF56CE"/>
    <w:rsid w:val="00CF5E36"/>
    <w:rsid w:val="00CF6ED7"/>
    <w:rsid w:val="00D1292B"/>
    <w:rsid w:val="00D13DA7"/>
    <w:rsid w:val="00D13E7A"/>
    <w:rsid w:val="00D21205"/>
    <w:rsid w:val="00D26781"/>
    <w:rsid w:val="00D3023D"/>
    <w:rsid w:val="00D32B6E"/>
    <w:rsid w:val="00D34ADE"/>
    <w:rsid w:val="00D44CAE"/>
    <w:rsid w:val="00D45253"/>
    <w:rsid w:val="00D45467"/>
    <w:rsid w:val="00D5007C"/>
    <w:rsid w:val="00D50262"/>
    <w:rsid w:val="00D51D2E"/>
    <w:rsid w:val="00D53B69"/>
    <w:rsid w:val="00D5531A"/>
    <w:rsid w:val="00D6255D"/>
    <w:rsid w:val="00D6301C"/>
    <w:rsid w:val="00D700C8"/>
    <w:rsid w:val="00D708FA"/>
    <w:rsid w:val="00D93F61"/>
    <w:rsid w:val="00D970A3"/>
    <w:rsid w:val="00DA3F0A"/>
    <w:rsid w:val="00DA6024"/>
    <w:rsid w:val="00DB45E0"/>
    <w:rsid w:val="00DB5879"/>
    <w:rsid w:val="00DB608B"/>
    <w:rsid w:val="00DC3C96"/>
    <w:rsid w:val="00DF79EE"/>
    <w:rsid w:val="00E03446"/>
    <w:rsid w:val="00E035AF"/>
    <w:rsid w:val="00E0673A"/>
    <w:rsid w:val="00E07E75"/>
    <w:rsid w:val="00E100FE"/>
    <w:rsid w:val="00E13AE1"/>
    <w:rsid w:val="00E363E8"/>
    <w:rsid w:val="00E37EE8"/>
    <w:rsid w:val="00E467E1"/>
    <w:rsid w:val="00E50E59"/>
    <w:rsid w:val="00E5168F"/>
    <w:rsid w:val="00E62203"/>
    <w:rsid w:val="00E71426"/>
    <w:rsid w:val="00E83793"/>
    <w:rsid w:val="00E84101"/>
    <w:rsid w:val="00E902EC"/>
    <w:rsid w:val="00EA636B"/>
    <w:rsid w:val="00EB31D3"/>
    <w:rsid w:val="00EC1229"/>
    <w:rsid w:val="00EC28B8"/>
    <w:rsid w:val="00EE0299"/>
    <w:rsid w:val="00EE32FE"/>
    <w:rsid w:val="00EF025A"/>
    <w:rsid w:val="00EF43BD"/>
    <w:rsid w:val="00F0468F"/>
    <w:rsid w:val="00F076E7"/>
    <w:rsid w:val="00F110B8"/>
    <w:rsid w:val="00F119EF"/>
    <w:rsid w:val="00F12B1C"/>
    <w:rsid w:val="00F17335"/>
    <w:rsid w:val="00F17F27"/>
    <w:rsid w:val="00F24563"/>
    <w:rsid w:val="00F36964"/>
    <w:rsid w:val="00F40F77"/>
    <w:rsid w:val="00F46B16"/>
    <w:rsid w:val="00F63247"/>
    <w:rsid w:val="00F65F39"/>
    <w:rsid w:val="00F74B5D"/>
    <w:rsid w:val="00F76B6A"/>
    <w:rsid w:val="00F83FB0"/>
    <w:rsid w:val="00F853A0"/>
    <w:rsid w:val="00F959D5"/>
    <w:rsid w:val="00FA6592"/>
    <w:rsid w:val="00FB22C4"/>
    <w:rsid w:val="00FC00A2"/>
    <w:rsid w:val="00FC77FE"/>
    <w:rsid w:val="00FF1544"/>
    <w:rsid w:val="00FF28D3"/>
    <w:rsid w:val="00FF4863"/>
    <w:rsid w:val="00FF795D"/>
    <w:rsid w:val="03533D87"/>
    <w:rsid w:val="43B51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4187"/>
  <w14:defaultImageDpi w14:val="32767"/>
  <w15:chartTrackingRefBased/>
  <w15:docId w15:val="{20062889-D893-40E2-8600-B96B93AB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4"/>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575EF"/>
    <w:pPr>
      <w:numPr>
        <w:numId w:val="13"/>
      </w:numPr>
      <w:contextualSpacing/>
    </w:pPr>
  </w:style>
  <w:style w:type="paragraph" w:styleId="Caption">
    <w:name w:val="caption"/>
    <w:basedOn w:val="Normal"/>
    <w:next w:val="Normal"/>
    <w:uiPriority w:val="35"/>
    <w:unhideWhenUsed/>
    <w:qFormat/>
    <w:rsid w:val="00E84101"/>
    <w:pPr>
      <w:spacing w:before="0" w:after="200" w:line="240" w:lineRule="auto"/>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 w:type="paragraph" w:styleId="NormalWeb">
    <w:name w:val="Normal (Web)"/>
    <w:basedOn w:val="Normal"/>
    <w:uiPriority w:val="99"/>
    <w:semiHidden/>
    <w:unhideWhenUsed/>
    <w:rsid w:val="00314C49"/>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1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9.jpg"/></Relationships>
</file>

<file path=word/_rels/footer2.xml.rels><?xml version="1.0" encoding="UTF-8" standalone="yes"?>
<Relationships xmlns="http://schemas.openxmlformats.org/package/2006/relationships"><Relationship Id="rId1" Type="http://schemas.openxmlformats.org/officeDocument/2006/relationships/image" Target="media/image19.jpg"/></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_rels/header2.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2ae4e0-94e8-4b28-8f95-861d59f7ae70" xsi:nil="true"/>
    <lcf76f155ced4ddcb4097134ff3c332f xmlns="99303871-8934-4198-a088-14ac5c5d1c3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957CD-9E45-4FF4-B903-9A144DDB6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9F171-59A6-4022-A46D-27C25069926A}">
  <ds:schemaRefs>
    <ds:schemaRef ds:uri="http://schemas.microsoft.com/office/2006/metadata/properties"/>
    <ds:schemaRef ds:uri="http://schemas.microsoft.com/office/infopath/2007/PartnerControls"/>
    <ds:schemaRef ds:uri="6f2ae4e0-94e8-4b28-8f95-861d59f7ae70"/>
    <ds:schemaRef ds:uri="99303871-8934-4198-a088-14ac5c5d1c31"/>
  </ds:schemaRefs>
</ds:datastoreItem>
</file>

<file path=customXml/itemProps3.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4.xml><?xml version="1.0" encoding="utf-8"?>
<ds:datastoreItem xmlns:ds="http://schemas.openxmlformats.org/officeDocument/2006/customXml" ds:itemID="{DF0618DC-A08C-4C5C-9A07-FABF5202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533</Words>
  <Characters>3245</Characters>
  <Application>Microsoft Office Word</Application>
  <DocSecurity>0</DocSecurity>
  <Lines>83</Lines>
  <Paragraphs>61</Paragraphs>
  <ScaleCrop>false</ScaleCrop>
  <HeadingPairs>
    <vt:vector size="2" baseType="variant">
      <vt:variant>
        <vt:lpstr>Title</vt:lpstr>
      </vt:variant>
      <vt:variant>
        <vt:i4>1</vt:i4>
      </vt:variant>
    </vt:vector>
  </HeadingPairs>
  <TitlesOfParts>
    <vt:vector size="1" baseType="lpstr">
      <vt:lpstr>The Federated States of Micronesia Development Coorporation Facsheet 2025-26</vt:lpstr>
    </vt:vector>
  </TitlesOfParts>
  <Company/>
  <LinksUpToDate>false</LinksUpToDate>
  <CharactersWithSpaces>3717</CharactersWithSpaces>
  <SharedDoc>false</SharedDoc>
  <HLinks>
    <vt:vector size="30" baseType="variant">
      <vt:variant>
        <vt:i4>2031706</vt:i4>
      </vt:variant>
      <vt:variant>
        <vt:i4>12</vt:i4>
      </vt:variant>
      <vt:variant>
        <vt:i4>0</vt:i4>
      </vt:variant>
      <vt:variant>
        <vt:i4>5</vt:i4>
      </vt:variant>
      <vt:variant>
        <vt:lpwstr>https://adp.dfat.gov.au/locations</vt:lpwstr>
      </vt:variant>
      <vt:variant>
        <vt:lpwstr/>
      </vt:variant>
      <vt:variant>
        <vt:i4>6226014</vt:i4>
      </vt:variant>
      <vt:variant>
        <vt:i4>9</vt:i4>
      </vt:variant>
      <vt:variant>
        <vt:i4>0</vt:i4>
      </vt:variant>
      <vt:variant>
        <vt:i4>5</vt:i4>
      </vt:variant>
      <vt:variant>
        <vt:lpwstr>https://icnprod01.sharepoint.com/sites/CHCH-DPD-AidStatistics/SitePages/Data-for-Briefs.aspx</vt:lpwstr>
      </vt:variant>
      <vt:variant>
        <vt:lpwstr/>
      </vt:variant>
      <vt:variant>
        <vt:i4>6226014</vt:i4>
      </vt:variant>
      <vt:variant>
        <vt:i4>6</vt:i4>
      </vt:variant>
      <vt:variant>
        <vt:i4>0</vt:i4>
      </vt:variant>
      <vt:variant>
        <vt:i4>5</vt:i4>
      </vt:variant>
      <vt:variant>
        <vt:lpwstr>https://icnprod01.sharepoint.com/sites/CHCH-DPD-AidStatistics/SitePages/Data-for-Briefs.aspx</vt:lpwstr>
      </vt:variant>
      <vt:variant>
        <vt:lpwstr/>
      </vt:variant>
      <vt:variant>
        <vt:i4>6226014</vt:i4>
      </vt:variant>
      <vt:variant>
        <vt:i4>3</vt:i4>
      </vt:variant>
      <vt:variant>
        <vt:i4>0</vt:i4>
      </vt:variant>
      <vt:variant>
        <vt:i4>5</vt:i4>
      </vt:variant>
      <vt:variant>
        <vt:lpwstr>https://icnprod01.sharepoint.com/sites/CHCH-DPD-AidStatistics/SitePages/Data-for-Briefs.aspx</vt:lpwstr>
      </vt:variant>
      <vt:variant>
        <vt:lpwstr/>
      </vt:variant>
      <vt:variant>
        <vt:i4>7405568</vt:i4>
      </vt:variant>
      <vt:variant>
        <vt:i4>0</vt:i4>
      </vt:variant>
      <vt:variant>
        <vt:i4>0</vt:i4>
      </vt:variant>
      <vt:variant>
        <vt:i4>5</vt:i4>
      </vt:variant>
      <vt:variant>
        <vt:lpwstr>mailto:aidtransparency@dfat.gov.au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Federated States of Micronesia Development Coorporation Facsheet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30</cp:revision>
  <dcterms:created xsi:type="dcterms:W3CDTF">2025-05-12T23:08:00Z</dcterms:created>
  <dcterms:modified xsi:type="dcterms:W3CDTF">2025-05-19T02:41:00Z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Qualifier">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ing_FileId">
    <vt:lpwstr>A04407B03FB3406E91B16F76B50D491D</vt:lpwstr>
  </property>
  <property fmtid="{D5CDD505-2E9C-101B-9397-08002B2CF9AE}" pid="7" name="PM_ProtectiveMarkingValue_Footer">
    <vt:lpwstr>OFFICIAL</vt:lpwstr>
  </property>
  <property fmtid="{D5CDD505-2E9C-101B-9397-08002B2CF9AE}" pid="8" name="PM_ProtectiveMarkingValue_Header">
    <vt:lpwstr>OFFICIAL</vt:lpwstr>
  </property>
  <property fmtid="{D5CDD505-2E9C-101B-9397-08002B2CF9AE}" pid="9" name="PM_OriginationTimeStamp">
    <vt:lpwstr>2023-02-15T22:12:19Z</vt:lpwstr>
  </property>
  <property fmtid="{D5CDD505-2E9C-101B-9397-08002B2CF9AE}" pid="10" name="PM_Namespace">
    <vt:lpwstr>gov.au</vt:lpwstr>
  </property>
  <property fmtid="{D5CDD505-2E9C-101B-9397-08002B2CF9AE}" pid="11" name="PM_Version">
    <vt:lpwstr>2018.4</vt:lpwstr>
  </property>
  <property fmtid="{D5CDD505-2E9C-101B-9397-08002B2CF9AE}" pid="12" name="PM_Note">
    <vt:lpwstr/>
  </property>
  <property fmtid="{D5CDD505-2E9C-101B-9397-08002B2CF9AE}" pid="13" name="PM_Markers">
    <vt:lpwstr/>
  </property>
  <property fmtid="{D5CDD505-2E9C-101B-9397-08002B2CF9AE}" pid="14" name="PM_Hash_Version">
    <vt:lpwstr>2022.1</vt:lpwstr>
  </property>
  <property fmtid="{D5CDD505-2E9C-101B-9397-08002B2CF9AE}" pid="15" name="PM_SecurityClassification_Prev">
    <vt:lpwstr>OFFICIAL</vt:lpwstr>
  </property>
  <property fmtid="{D5CDD505-2E9C-101B-9397-08002B2CF9AE}" pid="16" name="PM_Qualifier_Prev">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OriginatorDomainName_SHA256">
    <vt:lpwstr>6F3591835F3B2A8A025B00B5BA6418010DA3A17C9C26EA9C049FFD28039489A2</vt:lpwstr>
  </property>
  <property fmtid="{D5CDD505-2E9C-101B-9397-08002B2CF9AE}" pid="20" name="PM_Caveats_Count">
    <vt:lpwstr>0</vt:lpwstr>
  </property>
  <property fmtid="{D5CDD505-2E9C-101B-9397-08002B2CF9AE}" pid="21" name="ContentTypeId">
    <vt:lpwstr>0x010100D6BD63B06336DD48B4944551E1A7B4D8</vt:lpwstr>
  </property>
  <property fmtid="{D5CDD505-2E9C-101B-9397-08002B2CF9AE}" pid="22" name="MediaServiceImageTags">
    <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Originator_Hash_SHA1">
    <vt:lpwstr>4DFB2A45D0ABC223771DA158D4192358D096AA7E</vt:lpwstr>
  </property>
  <property fmtid="{D5CDD505-2E9C-101B-9397-08002B2CF9AE}" pid="26" name="PM_OriginatorUserAccountName_SHA256">
    <vt:lpwstr>2FBBEB0D07DA66FB32ADEBC0EE9E9C465FDB83D3B7358F7A76537B8BF5FB863E</vt:lpwstr>
  </property>
  <property fmtid="{D5CDD505-2E9C-101B-9397-08002B2CF9AE}" pid="27" name="PMHMAC">
    <vt:lpwstr>v=2022.1;a=SHA256;h=5D1AFBB22FE3C1CB93B8776EBD34A9A2DEFF24C70DC9F5F42C943F1DA2E06FBB</vt:lpwstr>
  </property>
  <property fmtid="{D5CDD505-2E9C-101B-9397-08002B2CF9AE}" pid="28" name="PM_Hash_Salt_Prev">
    <vt:lpwstr>9B61BD6542510E0AC12544A0C2D97F78</vt:lpwstr>
  </property>
  <property fmtid="{D5CDD505-2E9C-101B-9397-08002B2CF9AE}" pid="29" name="PM_Hash_Salt">
    <vt:lpwstr>B983D76A81F2B452F2FDFA4352786A0F</vt:lpwstr>
  </property>
  <property fmtid="{D5CDD505-2E9C-101B-9397-08002B2CF9AE}" pid="30" name="PM_Hash_SHA1">
    <vt:lpwstr>7502F28DC7DA2AB2738DD011D8258C8EB4159541</vt:lpwstr>
  </property>
</Properties>
</file>