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08762FBC" w:rsidR="00E84101" w:rsidRPr="00E84101" w:rsidRDefault="00A475A9" w:rsidP="0091100D">
      <w:pPr>
        <w:pStyle w:val="Heading2"/>
        <w:rPr>
          <w:rStyle w:val="Heading2Char"/>
          <w:sz w:val="80"/>
          <w:szCs w:val="80"/>
        </w:rPr>
      </w:pPr>
      <w:r>
        <w:rPr>
          <w:rStyle w:val="Heading2Char"/>
          <w:sz w:val="80"/>
          <w:szCs w:val="80"/>
        </w:rPr>
        <w:t>Effective Governance</w:t>
      </w:r>
    </w:p>
    <w:p w14:paraId="579AFDE6" w14:textId="18A7C070" w:rsidR="00965509" w:rsidRPr="003C1707" w:rsidRDefault="00123E7B" w:rsidP="003C1707">
      <w:pPr>
        <w:spacing w:before="0"/>
      </w:pPr>
      <w:r>
        <w:t>MAY</w:t>
      </w:r>
      <w:r w:rsidR="00E84101">
        <w:t xml:space="preserve"> 2025</w:t>
      </w:r>
    </w:p>
    <w:p w14:paraId="2685FC2B" w14:textId="7D7DA11E" w:rsidR="00AF7C26" w:rsidRPr="00AF7C26" w:rsidRDefault="004516E0" w:rsidP="00C13173">
      <w:pPr>
        <w:pStyle w:val="Heading3"/>
      </w:pPr>
      <w:r w:rsidRPr="00C13173">
        <w:t>Overview</w:t>
      </w:r>
    </w:p>
    <w:p w14:paraId="7CD1B7C1" w14:textId="5DF5768C" w:rsidR="004516E0" w:rsidRPr="004516E0" w:rsidRDefault="004516E0" w:rsidP="00B35181">
      <w:pPr>
        <w:pStyle w:val="Overview"/>
        <w:rPr>
          <w:caps/>
        </w:rPr>
      </w:pPr>
      <w:r w:rsidRPr="00545268">
        <w:t>Estimated Australian</w:t>
      </w:r>
      <w:r w:rsidR="00F156D3">
        <w:t xml:space="preserve"> </w:t>
      </w:r>
      <w:r w:rsidRPr="00545268">
        <w:t>ODA:</w:t>
      </w:r>
      <w:r w:rsidR="00545268" w:rsidRPr="00545268">
        <w:t xml:space="preserve"> </w:t>
      </w:r>
      <w:r w:rsidRPr="00C33D8D">
        <w:rPr>
          <w:b w:val="0"/>
          <w:bCs w:val="0"/>
        </w:rPr>
        <w:t>$1</w:t>
      </w:r>
      <w:r w:rsidR="00D57A9B">
        <w:rPr>
          <w:b w:val="0"/>
          <w:bCs w:val="0"/>
        </w:rPr>
        <w:t>,210</w:t>
      </w:r>
      <w:r w:rsidRPr="00C33D8D">
        <w:rPr>
          <w:b w:val="0"/>
          <w:bCs w:val="0"/>
        </w:rPr>
        <w:t>.</w:t>
      </w:r>
      <w:r w:rsidR="008A67A2">
        <w:rPr>
          <w:b w:val="0"/>
          <w:bCs w:val="0"/>
        </w:rPr>
        <w:t>2</w:t>
      </w:r>
      <w:r w:rsidRPr="00C33D8D">
        <w:rPr>
          <w:b w:val="0"/>
          <w:bCs w:val="0"/>
        </w:rPr>
        <w:t>m</w:t>
      </w:r>
      <w:r w:rsidR="00BB7E09">
        <w:rPr>
          <w:b w:val="0"/>
          <w:bCs w:val="0"/>
        </w:rPr>
        <w:t xml:space="preserve">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3EDD18B8" w14:textId="71D161FA" w:rsidR="004516E0" w:rsidRPr="00E62203" w:rsidRDefault="00C12648" w:rsidP="007D53CA">
      <w:pPr>
        <w:pStyle w:val="Heading4"/>
        <w:spacing w:before="360"/>
        <w:rPr>
          <w:b w:val="0"/>
          <w:bCs/>
        </w:rPr>
      </w:pPr>
      <w:r w:rsidRPr="00E62203">
        <w:rPr>
          <w:b w:val="0"/>
          <w:bCs/>
        </w:rPr>
        <w:t xml:space="preserve">Table 1: </w:t>
      </w:r>
      <w:r w:rsidR="00B4776F">
        <w:rPr>
          <w:b w:val="0"/>
          <w:bCs/>
        </w:rPr>
        <w:t xml:space="preserve">Australian </w:t>
      </w:r>
      <w:r w:rsidR="00F156D3">
        <w:rPr>
          <w:b w:val="0"/>
          <w:bCs/>
        </w:rPr>
        <w:t xml:space="preserve">Governance </w:t>
      </w:r>
      <w:r w:rsidR="00B4776F">
        <w:rPr>
          <w:b w:val="0"/>
          <w:bCs/>
        </w:rPr>
        <w:t>ODA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Governance ODA 2023-24 to 2025-26"/>
        <w:tblDescription w:val="This table represents the total Australian ODA to Effective Governance, budget and estimate by region, 2023 to 2026 – four columns, six rows"/>
      </w:tblPr>
      <w:tblGrid>
        <w:gridCol w:w="3397"/>
        <w:gridCol w:w="2265"/>
        <w:gridCol w:w="2266"/>
        <w:gridCol w:w="2266"/>
      </w:tblGrid>
      <w:tr w:rsidR="00B4776F" w14:paraId="5EF5CF55" w14:textId="21157455" w:rsidTr="4AB75B74">
        <w:trPr>
          <w:cantSplit/>
          <w:trHeight w:val="70"/>
          <w:tblHeader/>
        </w:trPr>
        <w:tc>
          <w:tcPr>
            <w:tcW w:w="3397" w:type="dxa"/>
            <w:shd w:val="clear" w:color="auto" w:fill="313E48" w:themeFill="text1"/>
          </w:tcPr>
          <w:p w14:paraId="4CEC1D0F" w14:textId="03B65B35" w:rsidR="00B4776F" w:rsidRPr="0079728E" w:rsidRDefault="00FD6CDD" w:rsidP="00B4776F">
            <w:pPr>
              <w:pStyle w:val="TableHeading"/>
            </w:pPr>
            <w:r>
              <w:t>Region</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5160EB" w14:paraId="45E770B3" w14:textId="1A624B78" w:rsidTr="4AB75B74">
        <w:tc>
          <w:tcPr>
            <w:tcW w:w="3397" w:type="dxa"/>
          </w:tcPr>
          <w:p w14:paraId="12D343CB" w14:textId="789B4556" w:rsidR="005160EB" w:rsidRPr="00030679" w:rsidRDefault="005160EB" w:rsidP="005160EB">
            <w:pPr>
              <w:pStyle w:val="TableBodyCopy"/>
            </w:pPr>
            <w:r>
              <w:t>Pacific</w:t>
            </w:r>
          </w:p>
        </w:tc>
        <w:tc>
          <w:tcPr>
            <w:tcW w:w="2265" w:type="dxa"/>
            <w:vAlign w:val="center"/>
          </w:tcPr>
          <w:p w14:paraId="0D3F5049" w14:textId="12546A26" w:rsidR="005160EB" w:rsidRPr="00D34ADE" w:rsidRDefault="005160EB" w:rsidP="005160EB">
            <w:pPr>
              <w:pStyle w:val="TableBodyCopy"/>
              <w:jc w:val="center"/>
            </w:pPr>
            <w:r>
              <w:rPr>
                <w:rFonts w:eastAsia="Times New Roman" w:cs="Calibri"/>
                <w:sz w:val="18"/>
                <w:szCs w:val="18"/>
                <w:lang w:eastAsia="en-AU"/>
              </w:rPr>
              <w:t>567.6</w:t>
            </w:r>
          </w:p>
        </w:tc>
        <w:tc>
          <w:tcPr>
            <w:tcW w:w="2266" w:type="dxa"/>
            <w:vAlign w:val="center"/>
          </w:tcPr>
          <w:p w14:paraId="7E455C00" w14:textId="77D4CC42" w:rsidR="005160EB" w:rsidRPr="00D34ADE" w:rsidRDefault="005160EB" w:rsidP="005160EB">
            <w:pPr>
              <w:pStyle w:val="TableBodyCopy"/>
              <w:jc w:val="center"/>
            </w:pPr>
            <w:r>
              <w:rPr>
                <w:rFonts w:eastAsia="Times New Roman" w:cs="Calibri"/>
                <w:sz w:val="18"/>
                <w:szCs w:val="18"/>
                <w:lang w:eastAsia="en-AU"/>
              </w:rPr>
              <w:t>645.6</w:t>
            </w:r>
          </w:p>
        </w:tc>
        <w:tc>
          <w:tcPr>
            <w:tcW w:w="2266" w:type="dxa"/>
            <w:vAlign w:val="center"/>
          </w:tcPr>
          <w:p w14:paraId="47F5FD0E" w14:textId="3A0CD791" w:rsidR="005160EB" w:rsidRPr="00D34ADE" w:rsidRDefault="005160EB" w:rsidP="005160EB">
            <w:pPr>
              <w:pStyle w:val="TableBodyCopy"/>
              <w:jc w:val="center"/>
            </w:pPr>
            <w:r>
              <w:rPr>
                <w:rFonts w:eastAsia="Times New Roman" w:cs="Calibri"/>
                <w:sz w:val="18"/>
                <w:szCs w:val="18"/>
                <w:lang w:eastAsia="en-AU"/>
              </w:rPr>
              <w:t>690.3</w:t>
            </w:r>
          </w:p>
        </w:tc>
      </w:tr>
      <w:tr w:rsidR="005160EB" w14:paraId="417E46F0" w14:textId="42F9E059" w:rsidTr="4AB75B74">
        <w:tc>
          <w:tcPr>
            <w:tcW w:w="3397" w:type="dxa"/>
          </w:tcPr>
          <w:p w14:paraId="604B5B7E" w14:textId="25E732AC" w:rsidR="005160EB" w:rsidRPr="00030679" w:rsidRDefault="005160EB" w:rsidP="005160EB">
            <w:pPr>
              <w:pStyle w:val="TableBodyCopy"/>
            </w:pPr>
            <w:r>
              <w:t>Southeast Asia</w:t>
            </w:r>
          </w:p>
        </w:tc>
        <w:tc>
          <w:tcPr>
            <w:tcW w:w="2265" w:type="dxa"/>
            <w:vAlign w:val="center"/>
          </w:tcPr>
          <w:p w14:paraId="12CB39EC" w14:textId="0E92627C" w:rsidR="005160EB" w:rsidRPr="00D34ADE" w:rsidRDefault="005160EB" w:rsidP="005160EB">
            <w:pPr>
              <w:pStyle w:val="TableBodyCopy"/>
              <w:jc w:val="center"/>
            </w:pPr>
            <w:r>
              <w:rPr>
                <w:rFonts w:eastAsia="Times New Roman" w:cs="Calibri"/>
                <w:sz w:val="18"/>
                <w:szCs w:val="18"/>
                <w:lang w:eastAsia="en-AU"/>
              </w:rPr>
              <w:t>281.8</w:t>
            </w:r>
          </w:p>
        </w:tc>
        <w:tc>
          <w:tcPr>
            <w:tcW w:w="2266" w:type="dxa"/>
            <w:vAlign w:val="center"/>
          </w:tcPr>
          <w:p w14:paraId="4E5F8501" w14:textId="3C48D6E9" w:rsidR="005160EB" w:rsidRPr="00D34ADE" w:rsidRDefault="005160EB" w:rsidP="005160EB">
            <w:pPr>
              <w:pStyle w:val="TableBodyCopy"/>
              <w:jc w:val="center"/>
            </w:pPr>
            <w:r>
              <w:rPr>
                <w:rFonts w:eastAsia="Times New Roman" w:cs="Calibri"/>
                <w:sz w:val="18"/>
                <w:szCs w:val="18"/>
                <w:lang w:eastAsia="en-AU"/>
              </w:rPr>
              <w:t>295.6</w:t>
            </w:r>
          </w:p>
        </w:tc>
        <w:tc>
          <w:tcPr>
            <w:tcW w:w="2266" w:type="dxa"/>
            <w:vAlign w:val="center"/>
          </w:tcPr>
          <w:p w14:paraId="07207D25" w14:textId="58973705" w:rsidR="005160EB" w:rsidRPr="00D34ADE" w:rsidRDefault="005160EB" w:rsidP="005160EB">
            <w:pPr>
              <w:pStyle w:val="TableBodyCopy"/>
              <w:jc w:val="center"/>
            </w:pPr>
            <w:r>
              <w:rPr>
                <w:rFonts w:eastAsia="Times New Roman" w:cs="Calibri"/>
                <w:sz w:val="18"/>
                <w:szCs w:val="18"/>
                <w:lang w:eastAsia="en-AU"/>
              </w:rPr>
              <w:t>311.3</w:t>
            </w:r>
          </w:p>
        </w:tc>
      </w:tr>
      <w:tr w:rsidR="005160EB" w14:paraId="2B1333F4" w14:textId="77777777" w:rsidTr="4AB75B74">
        <w:tc>
          <w:tcPr>
            <w:tcW w:w="3397" w:type="dxa"/>
          </w:tcPr>
          <w:p w14:paraId="38890A56" w14:textId="4763CEC0" w:rsidR="005160EB" w:rsidRDefault="005160EB" w:rsidP="005160EB">
            <w:pPr>
              <w:pStyle w:val="TableBodyCopy"/>
            </w:pPr>
            <w:r>
              <w:t xml:space="preserve">South and </w:t>
            </w:r>
            <w:r w:rsidR="000C7F17">
              <w:t>Central</w:t>
            </w:r>
            <w:r>
              <w:t xml:space="preserve"> Asia</w:t>
            </w:r>
          </w:p>
        </w:tc>
        <w:tc>
          <w:tcPr>
            <w:tcW w:w="2265" w:type="dxa"/>
            <w:vAlign w:val="center"/>
          </w:tcPr>
          <w:p w14:paraId="7C5E60F3" w14:textId="2EBD273B" w:rsidR="005160EB" w:rsidRPr="00D34ADE" w:rsidRDefault="005160EB" w:rsidP="005160EB">
            <w:pPr>
              <w:pStyle w:val="TableBodyCopy"/>
              <w:jc w:val="center"/>
            </w:pPr>
            <w:r>
              <w:rPr>
                <w:rFonts w:eastAsia="Times New Roman" w:cs="Calibri"/>
                <w:sz w:val="18"/>
                <w:szCs w:val="18"/>
                <w:lang w:eastAsia="en-AU"/>
              </w:rPr>
              <w:t>39.3</w:t>
            </w:r>
          </w:p>
        </w:tc>
        <w:tc>
          <w:tcPr>
            <w:tcW w:w="2266" w:type="dxa"/>
            <w:vAlign w:val="center"/>
          </w:tcPr>
          <w:p w14:paraId="4BBA5711" w14:textId="1A1A6BCA" w:rsidR="005160EB" w:rsidRPr="00D34ADE" w:rsidRDefault="005160EB" w:rsidP="005160EB">
            <w:pPr>
              <w:pStyle w:val="TableBodyCopy"/>
              <w:jc w:val="center"/>
            </w:pPr>
            <w:r>
              <w:rPr>
                <w:rFonts w:eastAsia="Times New Roman" w:cs="Calibri"/>
                <w:sz w:val="18"/>
                <w:szCs w:val="18"/>
                <w:lang w:eastAsia="en-AU"/>
              </w:rPr>
              <w:t>55.6</w:t>
            </w:r>
          </w:p>
        </w:tc>
        <w:tc>
          <w:tcPr>
            <w:tcW w:w="2266" w:type="dxa"/>
            <w:vAlign w:val="center"/>
          </w:tcPr>
          <w:p w14:paraId="46AB0CB4" w14:textId="2E73CED0" w:rsidR="005160EB" w:rsidRPr="00D34ADE" w:rsidRDefault="005160EB" w:rsidP="005160EB">
            <w:pPr>
              <w:pStyle w:val="TableBodyCopy"/>
              <w:jc w:val="center"/>
            </w:pPr>
            <w:r>
              <w:rPr>
                <w:rFonts w:eastAsia="Times New Roman" w:cs="Calibri"/>
                <w:sz w:val="18"/>
                <w:szCs w:val="18"/>
                <w:lang w:eastAsia="en-AU"/>
              </w:rPr>
              <w:t>52.1</w:t>
            </w:r>
          </w:p>
        </w:tc>
      </w:tr>
      <w:tr w:rsidR="005160EB" w14:paraId="6B771DA6" w14:textId="77777777" w:rsidTr="4AB75B74">
        <w:tc>
          <w:tcPr>
            <w:tcW w:w="3397" w:type="dxa"/>
          </w:tcPr>
          <w:p w14:paraId="1651DA14" w14:textId="23284B3E" w:rsidR="005160EB" w:rsidRDefault="005160EB" w:rsidP="005160EB">
            <w:pPr>
              <w:pStyle w:val="TableBodyCopy"/>
            </w:pPr>
            <w:r>
              <w:t>Middle East and Africa</w:t>
            </w:r>
          </w:p>
        </w:tc>
        <w:tc>
          <w:tcPr>
            <w:tcW w:w="2265" w:type="dxa"/>
            <w:vAlign w:val="center"/>
          </w:tcPr>
          <w:p w14:paraId="5D27E890" w14:textId="29D5A9E2" w:rsidR="005160EB" w:rsidRPr="00D34ADE" w:rsidRDefault="005160EB" w:rsidP="005160EB">
            <w:pPr>
              <w:pStyle w:val="TableBodyCopy"/>
              <w:jc w:val="center"/>
            </w:pPr>
            <w:r>
              <w:rPr>
                <w:rFonts w:eastAsia="Times New Roman" w:cs="Calibri"/>
                <w:sz w:val="18"/>
                <w:szCs w:val="18"/>
                <w:lang w:eastAsia="en-AU"/>
              </w:rPr>
              <w:t>15.1</w:t>
            </w:r>
          </w:p>
        </w:tc>
        <w:tc>
          <w:tcPr>
            <w:tcW w:w="2266" w:type="dxa"/>
            <w:vAlign w:val="center"/>
          </w:tcPr>
          <w:p w14:paraId="5F11B819" w14:textId="15D4B281" w:rsidR="005160EB" w:rsidRPr="00D34ADE" w:rsidRDefault="005160EB" w:rsidP="005160EB">
            <w:pPr>
              <w:pStyle w:val="TableBodyCopy"/>
              <w:jc w:val="center"/>
            </w:pPr>
            <w:r>
              <w:rPr>
                <w:rFonts w:eastAsia="Times New Roman" w:cs="Calibri"/>
                <w:sz w:val="18"/>
                <w:szCs w:val="18"/>
                <w:lang w:eastAsia="en-AU"/>
              </w:rPr>
              <w:t>7.1</w:t>
            </w:r>
          </w:p>
        </w:tc>
        <w:tc>
          <w:tcPr>
            <w:tcW w:w="2266" w:type="dxa"/>
            <w:vAlign w:val="center"/>
          </w:tcPr>
          <w:p w14:paraId="45D0847A" w14:textId="3233AFCF" w:rsidR="005160EB" w:rsidRPr="00D34ADE" w:rsidRDefault="005160EB" w:rsidP="005160EB">
            <w:pPr>
              <w:pStyle w:val="TableBodyCopy"/>
              <w:jc w:val="center"/>
            </w:pPr>
            <w:r>
              <w:rPr>
                <w:rFonts w:eastAsia="Times New Roman" w:cs="Calibri"/>
                <w:sz w:val="18"/>
                <w:szCs w:val="18"/>
                <w:lang w:eastAsia="en-AU"/>
              </w:rPr>
              <w:t>21.8</w:t>
            </w:r>
          </w:p>
        </w:tc>
      </w:tr>
      <w:tr w:rsidR="005160EB" w14:paraId="07514A8B" w14:textId="77777777" w:rsidTr="4AB75B74">
        <w:tc>
          <w:tcPr>
            <w:tcW w:w="3397" w:type="dxa"/>
          </w:tcPr>
          <w:p w14:paraId="1161CBD6" w14:textId="4880124A" w:rsidR="005160EB" w:rsidRPr="004C0B8C" w:rsidRDefault="005160EB" w:rsidP="005160EB">
            <w:pPr>
              <w:pStyle w:val="TableBodyCopy"/>
            </w:pPr>
            <w:r w:rsidRPr="004C0B8C">
              <w:t>Rest of the World</w:t>
            </w:r>
            <w:r w:rsidR="005006DE">
              <w:t>^</w:t>
            </w:r>
          </w:p>
        </w:tc>
        <w:tc>
          <w:tcPr>
            <w:tcW w:w="2265" w:type="dxa"/>
            <w:vAlign w:val="center"/>
          </w:tcPr>
          <w:p w14:paraId="6FD57C0C" w14:textId="03EC7809" w:rsidR="005160EB" w:rsidRDefault="005160EB" w:rsidP="005160EB">
            <w:pPr>
              <w:pStyle w:val="TableBodyCopy"/>
              <w:jc w:val="center"/>
              <w:rPr>
                <w:b/>
                <w:bCs/>
              </w:rPr>
            </w:pPr>
            <w:r>
              <w:rPr>
                <w:rFonts w:eastAsia="Times New Roman" w:cs="Calibri"/>
                <w:sz w:val="18"/>
                <w:szCs w:val="18"/>
                <w:lang w:eastAsia="en-AU"/>
              </w:rPr>
              <w:t>131.5</w:t>
            </w:r>
          </w:p>
        </w:tc>
        <w:tc>
          <w:tcPr>
            <w:tcW w:w="2266" w:type="dxa"/>
            <w:vAlign w:val="center"/>
          </w:tcPr>
          <w:p w14:paraId="6C04D81C" w14:textId="21C5B0F6" w:rsidR="005160EB" w:rsidRDefault="005160EB" w:rsidP="005160EB">
            <w:pPr>
              <w:pStyle w:val="TableBodyCopy"/>
              <w:jc w:val="center"/>
              <w:rPr>
                <w:b/>
                <w:bCs/>
              </w:rPr>
            </w:pPr>
            <w:r>
              <w:rPr>
                <w:rFonts w:eastAsia="Times New Roman" w:cs="Calibri"/>
                <w:sz w:val="18"/>
                <w:szCs w:val="18"/>
                <w:lang w:eastAsia="en-AU"/>
              </w:rPr>
              <w:t>114.0</w:t>
            </w:r>
          </w:p>
        </w:tc>
        <w:tc>
          <w:tcPr>
            <w:tcW w:w="2266" w:type="dxa"/>
            <w:vAlign w:val="center"/>
          </w:tcPr>
          <w:p w14:paraId="10E39ED7" w14:textId="38228FFB" w:rsidR="005160EB" w:rsidRDefault="005160EB" w:rsidP="005160EB">
            <w:pPr>
              <w:pStyle w:val="TableBodyCopy"/>
              <w:jc w:val="center"/>
              <w:rPr>
                <w:b/>
                <w:bCs/>
              </w:rPr>
            </w:pPr>
            <w:r>
              <w:rPr>
                <w:rFonts w:eastAsia="Times New Roman" w:cs="Calibri"/>
                <w:sz w:val="18"/>
                <w:szCs w:val="18"/>
                <w:lang w:eastAsia="en-AU"/>
              </w:rPr>
              <w:t>134.7</w:t>
            </w:r>
          </w:p>
        </w:tc>
      </w:tr>
      <w:tr w:rsidR="005160EB" w14:paraId="3BDCC9B5" w14:textId="77777777" w:rsidTr="4AB75B74">
        <w:tc>
          <w:tcPr>
            <w:tcW w:w="3397" w:type="dxa"/>
          </w:tcPr>
          <w:p w14:paraId="4E8483EB" w14:textId="0B18A554" w:rsidR="005160EB" w:rsidRPr="001E6A8F" w:rsidRDefault="005160EB" w:rsidP="005160EB">
            <w:pPr>
              <w:pStyle w:val="TableBodyCopy"/>
              <w:rPr>
                <w:b/>
                <w:bCs/>
              </w:rPr>
            </w:pPr>
            <w:r w:rsidRPr="001E6A8F">
              <w:rPr>
                <w:b/>
                <w:bCs/>
              </w:rPr>
              <w:t xml:space="preserve">Total </w:t>
            </w:r>
            <w:r>
              <w:rPr>
                <w:b/>
                <w:bCs/>
              </w:rPr>
              <w:t>Governance ODA</w:t>
            </w:r>
          </w:p>
        </w:tc>
        <w:tc>
          <w:tcPr>
            <w:tcW w:w="2265" w:type="dxa"/>
            <w:vAlign w:val="center"/>
          </w:tcPr>
          <w:p w14:paraId="4CC5A42A" w14:textId="3EC2BC62" w:rsidR="005160EB" w:rsidRPr="00D34ADE" w:rsidRDefault="005160EB" w:rsidP="005160EB">
            <w:pPr>
              <w:pStyle w:val="TableBodyCopy"/>
              <w:jc w:val="center"/>
              <w:rPr>
                <w:b/>
                <w:bCs/>
              </w:rPr>
            </w:pPr>
            <w:r>
              <w:rPr>
                <w:rFonts w:eastAsia="Times New Roman" w:cs="Calibri"/>
                <w:b/>
                <w:bCs/>
                <w:sz w:val="18"/>
                <w:szCs w:val="18"/>
                <w:lang w:eastAsia="en-AU"/>
              </w:rPr>
              <w:t>1,035.4</w:t>
            </w:r>
          </w:p>
        </w:tc>
        <w:tc>
          <w:tcPr>
            <w:tcW w:w="2266" w:type="dxa"/>
            <w:vAlign w:val="center"/>
          </w:tcPr>
          <w:p w14:paraId="5537B846" w14:textId="58405794" w:rsidR="005160EB" w:rsidRPr="00D34ADE" w:rsidRDefault="005160EB" w:rsidP="005160EB">
            <w:pPr>
              <w:pStyle w:val="TableBodyCopy"/>
              <w:jc w:val="center"/>
              <w:rPr>
                <w:b/>
                <w:bCs/>
              </w:rPr>
            </w:pPr>
            <w:r>
              <w:rPr>
                <w:rFonts w:eastAsia="Times New Roman" w:cs="Calibri"/>
                <w:b/>
                <w:bCs/>
                <w:sz w:val="18"/>
                <w:szCs w:val="18"/>
                <w:lang w:eastAsia="en-AU"/>
              </w:rPr>
              <w:t>1,118.0</w:t>
            </w:r>
          </w:p>
        </w:tc>
        <w:tc>
          <w:tcPr>
            <w:tcW w:w="2266" w:type="dxa"/>
            <w:vAlign w:val="center"/>
          </w:tcPr>
          <w:p w14:paraId="55A5272D" w14:textId="5E78BC8A" w:rsidR="005160EB" w:rsidRPr="00D34ADE" w:rsidRDefault="005160EB" w:rsidP="005160EB">
            <w:pPr>
              <w:pStyle w:val="TableBodyCopy"/>
              <w:jc w:val="center"/>
              <w:rPr>
                <w:b/>
                <w:bCs/>
              </w:rPr>
            </w:pPr>
            <w:r>
              <w:rPr>
                <w:rFonts w:eastAsia="Times New Roman" w:cs="Calibri"/>
                <w:b/>
                <w:bCs/>
                <w:sz w:val="18"/>
                <w:szCs w:val="18"/>
                <w:lang w:eastAsia="en-AU"/>
              </w:rPr>
              <w:t>1,210.2</w:t>
            </w:r>
          </w:p>
        </w:tc>
      </w:tr>
      <w:tr w:rsidR="00C02F9A" w14:paraId="489272C2" w14:textId="77777777" w:rsidTr="4AB75B74">
        <w:tc>
          <w:tcPr>
            <w:tcW w:w="3397" w:type="dxa"/>
          </w:tcPr>
          <w:p w14:paraId="0D034212" w14:textId="1EA5408D"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673A5A1E" w:rsidR="00C02F9A" w:rsidRPr="00D34ADE" w:rsidRDefault="00815E77" w:rsidP="00C02F9A">
            <w:pPr>
              <w:pStyle w:val="TableBodyCopy"/>
              <w:jc w:val="center"/>
              <w:rPr>
                <w:b/>
                <w:bCs/>
              </w:rPr>
            </w:pPr>
            <w:r w:rsidRPr="4AB75B74">
              <w:rPr>
                <w:b/>
                <w:bCs/>
              </w:rPr>
              <w:t>2</w:t>
            </w:r>
            <w:r w:rsidR="0CF95E0C" w:rsidRPr="4AB75B74">
              <w:rPr>
                <w:b/>
                <w:bCs/>
              </w:rPr>
              <w:t>1.5</w:t>
            </w:r>
            <w:r w:rsidRPr="4AB75B74">
              <w:rPr>
                <w:b/>
                <w:bCs/>
              </w:rPr>
              <w:t>%</w:t>
            </w:r>
          </w:p>
        </w:tc>
        <w:tc>
          <w:tcPr>
            <w:tcW w:w="2266" w:type="dxa"/>
            <w:vAlign w:val="center"/>
          </w:tcPr>
          <w:p w14:paraId="1593D0D1" w14:textId="13175900" w:rsidR="00C02F9A" w:rsidRPr="00D34ADE" w:rsidRDefault="00815E77" w:rsidP="00C02F9A">
            <w:pPr>
              <w:pStyle w:val="TableBodyCopy"/>
              <w:jc w:val="center"/>
              <w:rPr>
                <w:b/>
                <w:bCs/>
              </w:rPr>
            </w:pPr>
            <w:r w:rsidRPr="4AB75B74">
              <w:rPr>
                <w:b/>
                <w:bCs/>
              </w:rPr>
              <w:t>2</w:t>
            </w:r>
            <w:r w:rsidR="2AB8561B" w:rsidRPr="4AB75B74">
              <w:rPr>
                <w:b/>
                <w:bCs/>
              </w:rPr>
              <w:t>2.5</w:t>
            </w:r>
            <w:r w:rsidRPr="4AB75B74">
              <w:rPr>
                <w:b/>
                <w:bCs/>
              </w:rPr>
              <w:t>%</w:t>
            </w:r>
          </w:p>
        </w:tc>
        <w:tc>
          <w:tcPr>
            <w:tcW w:w="2266" w:type="dxa"/>
            <w:vAlign w:val="center"/>
          </w:tcPr>
          <w:p w14:paraId="62BEB0D3" w14:textId="7FA064E8" w:rsidR="00C02F9A" w:rsidRPr="00D34ADE" w:rsidRDefault="005A498E" w:rsidP="00C02F9A">
            <w:pPr>
              <w:pStyle w:val="TableBodyCopy"/>
              <w:jc w:val="center"/>
              <w:rPr>
                <w:b/>
                <w:bCs/>
              </w:rPr>
            </w:pPr>
            <w:r w:rsidRPr="4AB75B74">
              <w:rPr>
                <w:b/>
                <w:bCs/>
              </w:rPr>
              <w:t>2</w:t>
            </w:r>
            <w:r w:rsidR="1394399E" w:rsidRPr="4AB75B74">
              <w:rPr>
                <w:b/>
                <w:bCs/>
              </w:rPr>
              <w:t>3.7</w:t>
            </w:r>
            <w:r w:rsidR="00815E77" w:rsidRPr="4AB75B74">
              <w:rPr>
                <w:b/>
                <w:bCs/>
              </w:rPr>
              <w:t>%</w:t>
            </w:r>
          </w:p>
        </w:tc>
      </w:tr>
    </w:tbl>
    <w:p w14:paraId="4367F8A3" w14:textId="6EE946F2" w:rsidR="005006DE" w:rsidRDefault="001E6A8F" w:rsidP="005006DE">
      <w:pPr>
        <w:pStyle w:val="Caption"/>
        <w:spacing w:after="0"/>
      </w:pPr>
      <w:r w:rsidRPr="00771669">
        <w:t>*</w:t>
      </w:r>
      <w:r w:rsidR="0059646C">
        <w:t>Includes ODA that is not attributed to specific countries or regions.</w:t>
      </w:r>
    </w:p>
    <w:p w14:paraId="528EE9F6" w14:textId="77777777" w:rsidR="005006DE" w:rsidRPr="005006DE" w:rsidRDefault="005006DE" w:rsidP="005006DE">
      <w:pPr>
        <w:spacing w:before="0" w:after="0"/>
      </w:pPr>
    </w:p>
    <w:p w14:paraId="1173533E" w14:textId="0936D324" w:rsidR="00771669" w:rsidRDefault="005006DE" w:rsidP="00B008FE">
      <w:pPr>
        <w:pStyle w:val="Caption"/>
        <w:spacing w:after="0"/>
      </w:pPr>
      <w:r>
        <w:t>^</w:t>
      </w:r>
      <w:r w:rsidR="001E6A8F" w:rsidRPr="00771669">
        <w:t xml:space="preserve">Due to rounding, </w:t>
      </w:r>
      <w:r w:rsidR="001E6A8F" w:rsidRPr="003575EF">
        <w:t>discrepancies</w:t>
      </w:r>
      <w:r w:rsidR="001E6A8F" w:rsidRPr="00771669">
        <w:t xml:space="preserve"> may occur between sums of the component items in totals</w:t>
      </w:r>
    </w:p>
    <w:p w14:paraId="718C2C12" w14:textId="7148976E" w:rsidR="00DF7154" w:rsidRDefault="00DF7154" w:rsidP="009806B9">
      <w:pPr>
        <w:pStyle w:val="Heading4"/>
        <w:spacing w:before="0" w:after="0"/>
        <w:rPr>
          <w:noProof/>
        </w:rPr>
      </w:pPr>
    </w:p>
    <w:p w14:paraId="7100DF7D" w14:textId="08E63E84" w:rsidR="00F40F77" w:rsidRDefault="004C09F3" w:rsidP="002C63FD">
      <w:pPr>
        <w:pStyle w:val="Heading4"/>
        <w:spacing w:before="0" w:after="0"/>
        <w:rPr>
          <w:b w:val="0"/>
          <w:bCs/>
        </w:rPr>
      </w:pPr>
      <w:r>
        <w:rPr>
          <w:noProof/>
        </w:rPr>
        <w:drawing>
          <wp:anchor distT="0" distB="0" distL="114300" distR="114300" simplePos="0" relativeHeight="251658240" behindDoc="1" locked="0" layoutInCell="1" allowOverlap="1" wp14:anchorId="25CC5794" wp14:editId="73D0C718">
            <wp:simplePos x="0" y="0"/>
            <wp:positionH relativeFrom="margin">
              <wp:align>left</wp:align>
            </wp:positionH>
            <wp:positionV relativeFrom="paragraph">
              <wp:posOffset>309245</wp:posOffset>
            </wp:positionV>
            <wp:extent cx="6416040" cy="2181225"/>
            <wp:effectExtent l="0" t="0" r="3810" b="9525"/>
            <wp:wrapTight wrapText="bothSides">
              <wp:wrapPolygon edited="0">
                <wp:start x="0" y="0"/>
                <wp:lineTo x="0" y="21506"/>
                <wp:lineTo x="21549" y="21506"/>
                <wp:lineTo x="21549" y="0"/>
                <wp:lineTo x="0" y="0"/>
              </wp:wrapPolygon>
            </wp:wrapTight>
            <wp:docPr id="780049873" name="Picture 1" descr="Figure 1 presents the percentage of Australia’s Official Development Assistance (ODA) to Governance for the financial year 2025-26 attributable to six sub sectors.&#10;&#10;This information is presented in a doughnut chart, where the six sub sectors take a portion of shading in the doughnut in direct proportion to the total percentage attributable to the Governance sector.&#10;&#10;The percentages of total Australian Governance ODA by sub-sectors are:&#10;Democracy and Human Rights 10%&#10;General Budget Support 21%&#10;Legal and Judicial Development 13%&#10;Public Sector Management and Finance 26%&#10;Women’s Organisations and Ending Violence Against Women 11%&#10;Other Infrastructure and Service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49873" name="Picture 1" descr="Figure 1 presents the percentage of Australia’s Official Development Assistance (ODA) to Governance for the financial year 2025-26 attributable to six sub sectors.&#10;&#10;This information is presented in a doughnut chart, where the six sub sectors take a portion of shading in the doughnut in direct proportion to the total percentage attributable to the Governance sector.&#10;&#10;The percentages of total Australian Governance ODA by sub-sectors are:&#10;Democracy and Human Rights 10%&#10;General Budget Support 21%&#10;Legal and Judicial Development 13%&#10;Public Sector Management and Finance 26%&#10;Women’s Organisations and Ending Violence Against Women 11%&#10;Other Infrastructure and Services 19%"/>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83"/>
                    <a:stretch/>
                  </pic:blipFill>
                  <pic:spPr bwMode="auto">
                    <a:xfrm>
                      <a:off x="0" y="0"/>
                      <a:ext cx="641604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2648">
        <w:rPr>
          <w:b w:val="0"/>
          <w:bCs/>
        </w:rPr>
        <w:t xml:space="preserve">Figure 1: </w:t>
      </w:r>
      <w:r w:rsidR="003575EF" w:rsidRPr="00E5168F">
        <w:rPr>
          <w:b w:val="0"/>
          <w:bCs/>
        </w:rPr>
        <w:t xml:space="preserve">Australian </w:t>
      </w:r>
      <w:r w:rsidR="00354F03">
        <w:rPr>
          <w:b w:val="0"/>
          <w:bCs/>
        </w:rPr>
        <w:t xml:space="preserve">Governance </w:t>
      </w:r>
      <w:r w:rsidR="003575EF" w:rsidRPr="00E5168F">
        <w:rPr>
          <w:b w:val="0"/>
          <w:bCs/>
        </w:rPr>
        <w:t xml:space="preserve">ODA by </w:t>
      </w:r>
      <w:r w:rsidR="00FF4B0A" w:rsidRPr="00E5168F">
        <w:rPr>
          <w:b w:val="0"/>
          <w:bCs/>
        </w:rPr>
        <w:t>S</w:t>
      </w:r>
      <w:r w:rsidR="00FF4B0A">
        <w:rPr>
          <w:b w:val="0"/>
          <w:bCs/>
        </w:rPr>
        <w:t>ub-s</w:t>
      </w:r>
      <w:r w:rsidR="00FF4B0A" w:rsidRPr="00E5168F">
        <w:rPr>
          <w:b w:val="0"/>
          <w:bCs/>
        </w:rPr>
        <w:t>ector</w:t>
      </w:r>
      <w:r w:rsidR="003575EF" w:rsidRPr="00E5168F">
        <w:rPr>
          <w:b w:val="0"/>
          <w:bCs/>
        </w:rPr>
        <w:t>, 20</w:t>
      </w:r>
      <w:r w:rsidR="007F312B" w:rsidRPr="00E5168F">
        <w:rPr>
          <w:b w:val="0"/>
          <w:bCs/>
        </w:rPr>
        <w:t>25</w:t>
      </w:r>
      <w:r w:rsidR="00B4776F">
        <w:rPr>
          <w:b w:val="0"/>
          <w:bCs/>
        </w:rPr>
        <w:t>-26</w:t>
      </w:r>
      <w:r w:rsidR="003575EF" w:rsidRPr="00E5168F">
        <w:rPr>
          <w:b w:val="0"/>
          <w:bCs/>
        </w:rPr>
        <w:t xml:space="preserve"> budget estimate</w:t>
      </w:r>
    </w:p>
    <w:p w14:paraId="7B7C2D4F" w14:textId="2F579DC7" w:rsidR="00662862" w:rsidRPr="00662862" w:rsidRDefault="00662862" w:rsidP="00662862"/>
    <w:p w14:paraId="7CC3C65D" w14:textId="1012F8CE" w:rsidR="00C700DC" w:rsidRDefault="00E84101" w:rsidP="00C700DC">
      <w:pPr>
        <w:pStyle w:val="Heading3"/>
        <w:rPr>
          <w:rFonts w:eastAsia="Calibri"/>
        </w:rPr>
      </w:pPr>
      <w:r w:rsidRPr="00E50E59">
        <w:br w:type="page"/>
      </w:r>
      <w:r w:rsidR="00C700DC" w:rsidRPr="00CC4616">
        <w:lastRenderedPageBreak/>
        <w:t>Sustainable Development Goals</w:t>
      </w:r>
    </w:p>
    <w:p w14:paraId="5FDBE9C1" w14:textId="1AFAF38E" w:rsidR="00634CC1" w:rsidRPr="00C700DC" w:rsidRDefault="00634CC1" w:rsidP="00634CC1">
      <w:r>
        <w:rPr>
          <w:noProof/>
        </w:rPr>
        <w:drawing>
          <wp:inline distT="0" distB="0" distL="0" distR="0" wp14:anchorId="12A37465" wp14:editId="23B51405">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Goal 1 - No pover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10F11BE3">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A35C9B" wp14:editId="2AE7D59F">
            <wp:extent cx="548640" cy="548640"/>
            <wp:effectExtent l="0" t="0" r="3810" b="3810"/>
            <wp:docPr id="1492329656" name="Picture 9"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9656" name="Picture 9" descr="SDG 16 - Peace, justice and strong instituti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25786FE8" w14:textId="77777777" w:rsidR="0077622C" w:rsidRDefault="0077622C" w:rsidP="0077622C">
      <w:pPr>
        <w:pStyle w:val="QuoteHeading"/>
        <w:spacing w:before="0" w:after="0"/>
        <w:ind w:left="0" w:right="0"/>
        <w:rPr>
          <w:rFonts w:eastAsiaTheme="majorEastAsia" w:cstheme="majorBidi"/>
          <w:iCs w:val="0"/>
          <w:sz w:val="24"/>
          <w:szCs w:val="24"/>
          <w:lang w:val="en-GB"/>
        </w:rPr>
      </w:pPr>
      <w:r w:rsidRPr="0077622C">
        <w:rPr>
          <w:rFonts w:ascii="Calibri" w:eastAsia="Calibri" w:hAnsi="Calibri" w:cs="Times New Roman"/>
          <w:bCs/>
          <w:iCs w:val="0"/>
          <w:color w:val="auto"/>
          <w:sz w:val="22"/>
        </w:rPr>
        <w:t>Effective governance is central to the vision of building a peaceful, stable and prosperous Indo-Pacific</w:t>
      </w:r>
      <w:r>
        <w:rPr>
          <w:sz w:val="24"/>
          <w:szCs w:val="24"/>
        </w:rPr>
        <w:t>.</w:t>
      </w:r>
    </w:p>
    <w:p w14:paraId="54DF14A7" w14:textId="79737E3D" w:rsidR="00A569BD" w:rsidRPr="00B008FE" w:rsidRDefault="00A569BD" w:rsidP="00A569BD">
      <w:r w:rsidRPr="00A569BD">
        <w:t xml:space="preserve">Australia prioritises investments in governance because it </w:t>
      </w:r>
      <w:r w:rsidRPr="00B008FE">
        <w:t xml:space="preserve">underpins effective, accountable states that can sustain their own development, deliver for and engage all citizens, </w:t>
      </w:r>
      <w:r w:rsidR="00227AFF">
        <w:t xml:space="preserve">navigate differences peacefully, </w:t>
      </w:r>
      <w:r w:rsidRPr="00B008FE">
        <w:t>and are resilient in the face of external pressures and shocks. Where governance is effective, all other development outcomes are also stronger. Governance is Australia’s largest sector investment.</w:t>
      </w:r>
    </w:p>
    <w:p w14:paraId="14B56AE6" w14:textId="333766A8" w:rsidR="00671161" w:rsidRPr="004D1D85" w:rsidRDefault="001E6A8F" w:rsidP="00C700DC">
      <w:pPr>
        <w:pStyle w:val="Heading3"/>
      </w:pPr>
      <w:r>
        <w:t>Strategic direction</w:t>
      </w:r>
    </w:p>
    <w:p w14:paraId="3C7143AC" w14:textId="77777777" w:rsidR="00A63100" w:rsidRPr="00A63100" w:rsidRDefault="00A63100" w:rsidP="00A63100">
      <w:r w:rsidRPr="00A63100">
        <w:t xml:space="preserve">Australian investments are tailored to each local context. They support local leadership, foster accountable and inclusive governance policies and practices, improve access to basic services and support businesses to thrive. Australia partners with public institutions such as parliaments, audit and law enforcement agencies, elections administrations, as well as multilateral, civil society and private sector organisations. </w:t>
      </w:r>
    </w:p>
    <w:p w14:paraId="603E033C" w14:textId="77777777" w:rsidR="00A63100" w:rsidRPr="00A63100" w:rsidRDefault="00A63100" w:rsidP="00A63100">
      <w:r w:rsidRPr="00A63100">
        <w:t xml:space="preserve">Our Governance work directly contributes to SDG 1’s target of poverty eradication, SDG 5’s commitment to gender equality and SDG 16’s focus on peaceful and just societies, and effective and inclusive institutions. </w:t>
      </w:r>
    </w:p>
    <w:p w14:paraId="4572847D" w14:textId="2908EE81" w:rsidR="002923D5" w:rsidRPr="004D1D85" w:rsidRDefault="001E6A8F" w:rsidP="00C700DC">
      <w:pPr>
        <w:pStyle w:val="Heading3"/>
      </w:pPr>
      <w:r>
        <w:t>Program highlights</w:t>
      </w:r>
    </w:p>
    <w:p w14:paraId="74A7906A" w14:textId="1201E422" w:rsidR="001E6A8F" w:rsidRDefault="001E6A8F" w:rsidP="003575EF">
      <w:r>
        <w:t>In 2023-24, Australia</w:t>
      </w:r>
      <w:r w:rsidR="00D308F7">
        <w:t xml:space="preserve"> supported</w:t>
      </w:r>
      <w:r>
        <w:t>:</w:t>
      </w:r>
    </w:p>
    <w:p w14:paraId="6E2A0222" w14:textId="68FA4A3A" w:rsidR="00003AF4" w:rsidRPr="00EE544B" w:rsidRDefault="00003AF4" w:rsidP="00003AF4">
      <w:pPr>
        <w:pStyle w:val="ListBullet"/>
        <w:rPr>
          <w:rFonts w:eastAsiaTheme="minorHAnsi"/>
          <w:b/>
          <w:bCs/>
          <w:i/>
          <w:iCs/>
        </w:rPr>
      </w:pPr>
      <w:r w:rsidRPr="00EE544B">
        <w:t>T</w:t>
      </w:r>
      <w:r>
        <w:t>ransparency International</w:t>
      </w:r>
      <w:r w:rsidRPr="00EE544B">
        <w:t xml:space="preserve"> </w:t>
      </w:r>
      <w:r>
        <w:t xml:space="preserve">to </w:t>
      </w:r>
      <w:r w:rsidRPr="00EE544B">
        <w:t xml:space="preserve">work with </w:t>
      </w:r>
      <w:r>
        <w:t>the Government of Sri Lanka</w:t>
      </w:r>
      <w:r w:rsidRPr="00EE544B">
        <w:t xml:space="preserve"> to strengthen its anti-corruption</w:t>
      </w:r>
      <w:r>
        <w:t xml:space="preserve"> legal</w:t>
      </w:r>
      <w:r w:rsidRPr="00EE544B">
        <w:t xml:space="preserve"> frameworks, including </w:t>
      </w:r>
      <w:r>
        <w:t>a</w:t>
      </w:r>
      <w:r w:rsidRPr="00EE544B">
        <w:t xml:space="preserve"> new Anti-Corruption Act.  This</w:t>
      </w:r>
      <w:r>
        <w:t xml:space="preserve"> </w:t>
      </w:r>
      <w:r w:rsidRPr="00EE544B">
        <w:t xml:space="preserve">resulted in the addition of 70 provisions, including </w:t>
      </w:r>
      <w:r>
        <w:t xml:space="preserve">the </w:t>
      </w:r>
      <w:r w:rsidRPr="00EE544B">
        <w:t xml:space="preserve">criminalisation of sexual bribery. </w:t>
      </w:r>
    </w:p>
    <w:p w14:paraId="5CA0D2B4" w14:textId="3137727E" w:rsidR="00003AF4" w:rsidRPr="00EE544B" w:rsidRDefault="009104E6" w:rsidP="00003AF4">
      <w:pPr>
        <w:pStyle w:val="ListBullet"/>
      </w:pPr>
      <w:r>
        <w:t>Pr</w:t>
      </w:r>
      <w:r w:rsidR="00003AF4" w:rsidRPr="00EE544B">
        <w:t>ovincial governments in PNG under the Subnational Governance Implementation Plan</w:t>
      </w:r>
      <w:r>
        <w:t xml:space="preserve"> to</w:t>
      </w:r>
      <w:r w:rsidR="00003AF4" w:rsidRPr="00EE544B">
        <w:t xml:space="preserve"> improve access to safe drinking water by improving capacity, resources and water governance practices.  Active representation of vulnerable groups ensured equitable </w:t>
      </w:r>
      <w:r w:rsidR="00E2223A">
        <w:t>access to enough clean water for people and livelihoods</w:t>
      </w:r>
      <w:r w:rsidR="00003AF4" w:rsidRPr="00EE544B">
        <w:t>.</w:t>
      </w:r>
    </w:p>
    <w:p w14:paraId="20C02314" w14:textId="7F920585" w:rsidR="00003AF4" w:rsidRPr="00EE544B" w:rsidRDefault="00BE7324" w:rsidP="00003AF4">
      <w:pPr>
        <w:pStyle w:val="ListBullet"/>
      </w:pPr>
      <w:r>
        <w:t xml:space="preserve">A </w:t>
      </w:r>
      <w:r w:rsidR="00BD7EA2">
        <w:t xml:space="preserve">local NGO, </w:t>
      </w:r>
      <w:proofErr w:type="spellStart"/>
      <w:r w:rsidR="00003AF4" w:rsidRPr="00EE544B">
        <w:t>Tumikang</w:t>
      </w:r>
      <w:proofErr w:type="spellEnd"/>
      <w:r w:rsidR="00003AF4" w:rsidRPr="00EE544B">
        <w:t xml:space="preserve"> Sama-Sama (TSS)</w:t>
      </w:r>
      <w:r w:rsidR="00787A9A">
        <w:t>,</w:t>
      </w:r>
      <w:r w:rsidR="00003AF4" w:rsidRPr="00EE544B">
        <w:t xml:space="preserve"> to mediate conflict in Sulu though the Peace Building in Conflict Affected Mindanao Program. Working with security forces and local leaders, TSS negotiated a ceasefire which led to the signing of a peace covenant in May 2024</w:t>
      </w:r>
      <w:r w:rsidR="00AE01CC">
        <w:t xml:space="preserve"> -</w:t>
      </w:r>
      <w:r w:rsidR="007A0D9A">
        <w:t xml:space="preserve"> helping build safter communities in the Philippines</w:t>
      </w:r>
      <w:r w:rsidR="00003AF4" w:rsidRPr="00EE544B">
        <w:t>.</w:t>
      </w:r>
      <w:r w:rsidR="00003AF4" w:rsidRPr="00EE544B" w:rsidDel="00D84EA1">
        <w:t xml:space="preserve"> </w:t>
      </w:r>
    </w:p>
    <w:sectPr w:rsidR="00003AF4" w:rsidRPr="00EE544B" w:rsidSect="0095740E">
      <w:headerReference w:type="default" r:id="rId15"/>
      <w:footerReference w:type="default" r:id="rId16"/>
      <w:headerReference w:type="first" r:id="rId17"/>
      <w:footerReference w:type="first" r:id="rId18"/>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E07D3" w14:textId="77777777" w:rsidR="00444134" w:rsidRDefault="00444134" w:rsidP="00EE32FE">
      <w:pPr>
        <w:spacing w:after="0" w:line="240" w:lineRule="auto"/>
      </w:pPr>
      <w:r>
        <w:separator/>
      </w:r>
    </w:p>
  </w:endnote>
  <w:endnote w:type="continuationSeparator" w:id="0">
    <w:p w14:paraId="10BAC872" w14:textId="77777777" w:rsidR="00444134" w:rsidRDefault="00444134" w:rsidP="00EE32FE">
      <w:pPr>
        <w:spacing w:after="0" w:line="240" w:lineRule="auto"/>
      </w:pPr>
      <w:r>
        <w:continuationSeparator/>
      </w:r>
    </w:p>
  </w:endnote>
  <w:endnote w:type="continuationNotice" w:id="1">
    <w:p w14:paraId="1F78BE17" w14:textId="77777777" w:rsidR="00444134" w:rsidRDefault="004441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60291"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DBAFE" w14:textId="77777777" w:rsidR="00444134" w:rsidRDefault="00444134" w:rsidP="00EE32FE">
      <w:pPr>
        <w:spacing w:after="0" w:line="240" w:lineRule="auto"/>
      </w:pPr>
      <w:bookmarkStart w:id="0" w:name="_Hlk127364773"/>
      <w:bookmarkEnd w:id="0"/>
      <w:r>
        <w:separator/>
      </w:r>
    </w:p>
  </w:footnote>
  <w:footnote w:type="continuationSeparator" w:id="0">
    <w:p w14:paraId="2824D4C9" w14:textId="77777777" w:rsidR="00444134" w:rsidRDefault="00444134" w:rsidP="00EE32FE">
      <w:pPr>
        <w:spacing w:after="0" w:line="240" w:lineRule="auto"/>
      </w:pPr>
      <w:r>
        <w:continuationSeparator/>
      </w:r>
    </w:p>
  </w:footnote>
  <w:footnote w:type="continuationNotice" w:id="1">
    <w:p w14:paraId="3AEBC266" w14:textId="77777777" w:rsidR="00444134" w:rsidRDefault="004441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61315" behindDoc="1" locked="0" layoutInCell="1" allowOverlap="1" wp14:anchorId="3030DA87" wp14:editId="546EBF32">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6F22A990" w:rsidR="00704573" w:rsidRDefault="00235C52">
    <w:pPr>
      <w:pStyle w:val="Header"/>
    </w:pPr>
    <w:r>
      <w:rPr>
        <w:noProof/>
      </w:rPr>
      <w:drawing>
        <wp:anchor distT="0" distB="0" distL="114300" distR="114300" simplePos="0" relativeHeight="251658242"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0D5CA243">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89DB2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9961728" o:spid="_x0000_i1025" type="#_x0000_t75" alt="Pakistan flag" style="width:52.45pt;height:29.55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4DB498AA">
            <wp:extent cx="666115" cy="375285"/>
            <wp:effectExtent l="19050" t="19050" r="635" b="5715"/>
            <wp:docPr id="1959961728" name="Picture 1959961728"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361432"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115" cy="375285"/>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45E6209A" id="Picture 726726690" o:spid="_x0000_i1025" type="#_x0000_t75" style="width:59.1pt;height:35.4pt;visibility:visible;mso-wrap-style:square">
            <v:imagedata r:id="rId3" o:title=""/>
          </v:shape>
        </w:pict>
      </mc:Choice>
      <mc:Fallback>
        <w:drawing>
          <wp:inline distT="0" distB="0" distL="0" distR="0" wp14:anchorId="4DB498AB">
            <wp:extent cx="750570" cy="449580"/>
            <wp:effectExtent l="0" t="0" r="0" b="0"/>
            <wp:docPr id="726726690" name="Picture 7267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508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0570" cy="44958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C6835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5"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8"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393ED9"/>
    <w:multiLevelType w:val="hybridMultilevel"/>
    <w:tmpl w:val="F474B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8"/>
  </w:num>
  <w:num w:numId="2" w16cid:durableId="768818958">
    <w:abstractNumId w:val="8"/>
    <w:lvlOverride w:ilvl="0">
      <w:startOverride w:val="1"/>
    </w:lvlOverride>
  </w:num>
  <w:num w:numId="3" w16cid:durableId="1890258398">
    <w:abstractNumId w:val="8"/>
    <w:lvlOverride w:ilvl="0">
      <w:startOverride w:val="1"/>
    </w:lvlOverride>
  </w:num>
  <w:num w:numId="4" w16cid:durableId="649091149">
    <w:abstractNumId w:val="11"/>
  </w:num>
  <w:num w:numId="5" w16cid:durableId="934098631">
    <w:abstractNumId w:val="3"/>
  </w:num>
  <w:num w:numId="6" w16cid:durableId="151024048">
    <w:abstractNumId w:val="8"/>
    <w:lvlOverride w:ilvl="0">
      <w:startOverride w:val="1"/>
    </w:lvlOverride>
  </w:num>
  <w:num w:numId="7" w16cid:durableId="1836610287">
    <w:abstractNumId w:val="8"/>
    <w:lvlOverride w:ilvl="0">
      <w:startOverride w:val="1"/>
    </w:lvlOverride>
  </w:num>
  <w:num w:numId="8" w16cid:durableId="2006547766">
    <w:abstractNumId w:val="8"/>
    <w:lvlOverride w:ilvl="0">
      <w:startOverride w:val="1"/>
    </w:lvlOverride>
  </w:num>
  <w:num w:numId="9" w16cid:durableId="1379822385">
    <w:abstractNumId w:val="13"/>
  </w:num>
  <w:num w:numId="10" w16cid:durableId="1276981909">
    <w:abstractNumId w:val="9"/>
  </w:num>
  <w:num w:numId="11" w16cid:durableId="1977682116">
    <w:abstractNumId w:val="11"/>
  </w:num>
  <w:num w:numId="12" w16cid:durableId="1696269951">
    <w:abstractNumId w:val="11"/>
  </w:num>
  <w:num w:numId="13" w16cid:durableId="1555584703">
    <w:abstractNumId w:val="0"/>
  </w:num>
  <w:num w:numId="14" w16cid:durableId="366376057">
    <w:abstractNumId w:val="12"/>
  </w:num>
  <w:num w:numId="15" w16cid:durableId="1909922326">
    <w:abstractNumId w:val="5"/>
  </w:num>
  <w:num w:numId="16" w16cid:durableId="2124684593">
    <w:abstractNumId w:val="4"/>
  </w:num>
  <w:num w:numId="17" w16cid:durableId="906037808">
    <w:abstractNumId w:val="2"/>
  </w:num>
  <w:num w:numId="18" w16cid:durableId="1378120932">
    <w:abstractNumId w:val="6"/>
  </w:num>
  <w:num w:numId="19" w16cid:durableId="219564270">
    <w:abstractNumId w:val="1"/>
  </w:num>
  <w:num w:numId="20" w16cid:durableId="1372995176">
    <w:abstractNumId w:val="7"/>
  </w:num>
  <w:num w:numId="21" w16cid:durableId="19318865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03AF4"/>
    <w:rsid w:val="000110C5"/>
    <w:rsid w:val="00017776"/>
    <w:rsid w:val="00021DCB"/>
    <w:rsid w:val="00025428"/>
    <w:rsid w:val="00025DF3"/>
    <w:rsid w:val="00030679"/>
    <w:rsid w:val="0003611B"/>
    <w:rsid w:val="00045E13"/>
    <w:rsid w:val="000502CA"/>
    <w:rsid w:val="00055F8D"/>
    <w:rsid w:val="00065484"/>
    <w:rsid w:val="0007092D"/>
    <w:rsid w:val="00074F02"/>
    <w:rsid w:val="00077882"/>
    <w:rsid w:val="00080BCC"/>
    <w:rsid w:val="00094F36"/>
    <w:rsid w:val="000A3684"/>
    <w:rsid w:val="000B7CE5"/>
    <w:rsid w:val="000C1AA4"/>
    <w:rsid w:val="000C3383"/>
    <w:rsid w:val="000C6D02"/>
    <w:rsid w:val="000C7159"/>
    <w:rsid w:val="000C7F17"/>
    <w:rsid w:val="000E5A2E"/>
    <w:rsid w:val="000F1407"/>
    <w:rsid w:val="0010098A"/>
    <w:rsid w:val="00100CEB"/>
    <w:rsid w:val="00121DA7"/>
    <w:rsid w:val="001238F5"/>
    <w:rsid w:val="00123E7B"/>
    <w:rsid w:val="00130FA7"/>
    <w:rsid w:val="00133CD1"/>
    <w:rsid w:val="001405B7"/>
    <w:rsid w:val="00144289"/>
    <w:rsid w:val="0014608B"/>
    <w:rsid w:val="00152BF7"/>
    <w:rsid w:val="00155730"/>
    <w:rsid w:val="00156F0A"/>
    <w:rsid w:val="00163AE3"/>
    <w:rsid w:val="00166E6A"/>
    <w:rsid w:val="0016780C"/>
    <w:rsid w:val="001831A8"/>
    <w:rsid w:val="001869DB"/>
    <w:rsid w:val="0019463F"/>
    <w:rsid w:val="00197CF8"/>
    <w:rsid w:val="001A3856"/>
    <w:rsid w:val="001B3A98"/>
    <w:rsid w:val="001B3B4C"/>
    <w:rsid w:val="001B3D6A"/>
    <w:rsid w:val="001B461C"/>
    <w:rsid w:val="001D0846"/>
    <w:rsid w:val="001D20F4"/>
    <w:rsid w:val="001D26AB"/>
    <w:rsid w:val="001D29C1"/>
    <w:rsid w:val="001D7F3A"/>
    <w:rsid w:val="001E02A2"/>
    <w:rsid w:val="001E0A36"/>
    <w:rsid w:val="001E0D67"/>
    <w:rsid w:val="001E6A8F"/>
    <w:rsid w:val="00206BB9"/>
    <w:rsid w:val="0021791D"/>
    <w:rsid w:val="00221AE4"/>
    <w:rsid w:val="00222C6E"/>
    <w:rsid w:val="00227AFF"/>
    <w:rsid w:val="00232F10"/>
    <w:rsid w:val="00233F1A"/>
    <w:rsid w:val="00235C52"/>
    <w:rsid w:val="0023702A"/>
    <w:rsid w:val="002449A4"/>
    <w:rsid w:val="00246196"/>
    <w:rsid w:val="00265727"/>
    <w:rsid w:val="00274B14"/>
    <w:rsid w:val="00283F38"/>
    <w:rsid w:val="00286E02"/>
    <w:rsid w:val="002903BA"/>
    <w:rsid w:val="00290E4E"/>
    <w:rsid w:val="002923D5"/>
    <w:rsid w:val="00292A6D"/>
    <w:rsid w:val="002965B1"/>
    <w:rsid w:val="002A027E"/>
    <w:rsid w:val="002A03E7"/>
    <w:rsid w:val="002A049E"/>
    <w:rsid w:val="002A7FDE"/>
    <w:rsid w:val="002B2176"/>
    <w:rsid w:val="002B2CC9"/>
    <w:rsid w:val="002B3054"/>
    <w:rsid w:val="002C03C0"/>
    <w:rsid w:val="002C1236"/>
    <w:rsid w:val="002C1E1B"/>
    <w:rsid w:val="002C63FD"/>
    <w:rsid w:val="002F21F5"/>
    <w:rsid w:val="002F3A6A"/>
    <w:rsid w:val="002F65B2"/>
    <w:rsid w:val="0030387C"/>
    <w:rsid w:val="00306A56"/>
    <w:rsid w:val="00306BCA"/>
    <w:rsid w:val="003108B2"/>
    <w:rsid w:val="0032242F"/>
    <w:rsid w:val="003227DD"/>
    <w:rsid w:val="00327C4D"/>
    <w:rsid w:val="00332955"/>
    <w:rsid w:val="00341FBF"/>
    <w:rsid w:val="00343F6F"/>
    <w:rsid w:val="00344586"/>
    <w:rsid w:val="00353A69"/>
    <w:rsid w:val="00353EBF"/>
    <w:rsid w:val="00354F03"/>
    <w:rsid w:val="003575EF"/>
    <w:rsid w:val="00357C23"/>
    <w:rsid w:val="00361BC0"/>
    <w:rsid w:val="00363489"/>
    <w:rsid w:val="00364B4E"/>
    <w:rsid w:val="003771AC"/>
    <w:rsid w:val="003816EA"/>
    <w:rsid w:val="003872A8"/>
    <w:rsid w:val="003A1CEC"/>
    <w:rsid w:val="003C0D0F"/>
    <w:rsid w:val="003C1707"/>
    <w:rsid w:val="003C29FC"/>
    <w:rsid w:val="003C4C08"/>
    <w:rsid w:val="003C5770"/>
    <w:rsid w:val="003E5EC2"/>
    <w:rsid w:val="003F62F1"/>
    <w:rsid w:val="0040062A"/>
    <w:rsid w:val="00401597"/>
    <w:rsid w:val="0040411D"/>
    <w:rsid w:val="004041C7"/>
    <w:rsid w:val="004063D0"/>
    <w:rsid w:val="00413D08"/>
    <w:rsid w:val="004170A2"/>
    <w:rsid w:val="00422E82"/>
    <w:rsid w:val="00426B9A"/>
    <w:rsid w:val="0043194D"/>
    <w:rsid w:val="00432798"/>
    <w:rsid w:val="004411D8"/>
    <w:rsid w:val="00443150"/>
    <w:rsid w:val="00444134"/>
    <w:rsid w:val="004516E0"/>
    <w:rsid w:val="00461828"/>
    <w:rsid w:val="004641A7"/>
    <w:rsid w:val="0046667F"/>
    <w:rsid w:val="00467643"/>
    <w:rsid w:val="004740DD"/>
    <w:rsid w:val="00480980"/>
    <w:rsid w:val="004A0B2C"/>
    <w:rsid w:val="004A4242"/>
    <w:rsid w:val="004B2F7F"/>
    <w:rsid w:val="004C09F3"/>
    <w:rsid w:val="004C0B8C"/>
    <w:rsid w:val="004C24E5"/>
    <w:rsid w:val="004C403F"/>
    <w:rsid w:val="004D0049"/>
    <w:rsid w:val="004D1D85"/>
    <w:rsid w:val="004D38A2"/>
    <w:rsid w:val="004D49FE"/>
    <w:rsid w:val="004D669D"/>
    <w:rsid w:val="004E2304"/>
    <w:rsid w:val="004E6FA1"/>
    <w:rsid w:val="004F6FEF"/>
    <w:rsid w:val="005006DE"/>
    <w:rsid w:val="0050251B"/>
    <w:rsid w:val="00511714"/>
    <w:rsid w:val="00511BEC"/>
    <w:rsid w:val="00513FF9"/>
    <w:rsid w:val="00515159"/>
    <w:rsid w:val="005160EB"/>
    <w:rsid w:val="00521152"/>
    <w:rsid w:val="005220C7"/>
    <w:rsid w:val="005258B3"/>
    <w:rsid w:val="0053464B"/>
    <w:rsid w:val="00545268"/>
    <w:rsid w:val="00580300"/>
    <w:rsid w:val="00585B8E"/>
    <w:rsid w:val="00592C35"/>
    <w:rsid w:val="00592E1A"/>
    <w:rsid w:val="00595180"/>
    <w:rsid w:val="0059646C"/>
    <w:rsid w:val="005A4153"/>
    <w:rsid w:val="005A498E"/>
    <w:rsid w:val="005B4B8D"/>
    <w:rsid w:val="005B646A"/>
    <w:rsid w:val="005D27F6"/>
    <w:rsid w:val="005D3792"/>
    <w:rsid w:val="005E2754"/>
    <w:rsid w:val="005E65BF"/>
    <w:rsid w:val="005F7B84"/>
    <w:rsid w:val="00616B35"/>
    <w:rsid w:val="00617AEE"/>
    <w:rsid w:val="00633110"/>
    <w:rsid w:val="006337A3"/>
    <w:rsid w:val="00634CC1"/>
    <w:rsid w:val="0066074C"/>
    <w:rsid w:val="00661961"/>
    <w:rsid w:val="00662862"/>
    <w:rsid w:val="00665E07"/>
    <w:rsid w:val="0066646F"/>
    <w:rsid w:val="00671161"/>
    <w:rsid w:val="00685065"/>
    <w:rsid w:val="00687044"/>
    <w:rsid w:val="006927FF"/>
    <w:rsid w:val="00693EB5"/>
    <w:rsid w:val="006A1920"/>
    <w:rsid w:val="006A3040"/>
    <w:rsid w:val="006A721C"/>
    <w:rsid w:val="006A7D3F"/>
    <w:rsid w:val="006B1B6F"/>
    <w:rsid w:val="006B7E81"/>
    <w:rsid w:val="006C13E7"/>
    <w:rsid w:val="006D49BC"/>
    <w:rsid w:val="007018A3"/>
    <w:rsid w:val="00702718"/>
    <w:rsid w:val="00704573"/>
    <w:rsid w:val="0071149B"/>
    <w:rsid w:val="00712C82"/>
    <w:rsid w:val="007157DD"/>
    <w:rsid w:val="0072314C"/>
    <w:rsid w:val="007332ED"/>
    <w:rsid w:val="0075184C"/>
    <w:rsid w:val="0076381C"/>
    <w:rsid w:val="00766FF5"/>
    <w:rsid w:val="00770B31"/>
    <w:rsid w:val="00771669"/>
    <w:rsid w:val="0077622C"/>
    <w:rsid w:val="00780DC2"/>
    <w:rsid w:val="00780F6D"/>
    <w:rsid w:val="00787A9A"/>
    <w:rsid w:val="00790F87"/>
    <w:rsid w:val="00791418"/>
    <w:rsid w:val="0079728E"/>
    <w:rsid w:val="007A0D9A"/>
    <w:rsid w:val="007B10EE"/>
    <w:rsid w:val="007C5166"/>
    <w:rsid w:val="007C76D3"/>
    <w:rsid w:val="007D3457"/>
    <w:rsid w:val="007D43DA"/>
    <w:rsid w:val="007D522F"/>
    <w:rsid w:val="007D53CA"/>
    <w:rsid w:val="007E1C91"/>
    <w:rsid w:val="007F312B"/>
    <w:rsid w:val="007F6492"/>
    <w:rsid w:val="008009CE"/>
    <w:rsid w:val="00801B1F"/>
    <w:rsid w:val="00815E77"/>
    <w:rsid w:val="00825F67"/>
    <w:rsid w:val="00827BFC"/>
    <w:rsid w:val="0083220B"/>
    <w:rsid w:val="008404C0"/>
    <w:rsid w:val="008428C7"/>
    <w:rsid w:val="00845374"/>
    <w:rsid w:val="008519E9"/>
    <w:rsid w:val="00865EA9"/>
    <w:rsid w:val="008662C1"/>
    <w:rsid w:val="00870A3F"/>
    <w:rsid w:val="008714F6"/>
    <w:rsid w:val="008728F0"/>
    <w:rsid w:val="00877949"/>
    <w:rsid w:val="00890C17"/>
    <w:rsid w:val="00892737"/>
    <w:rsid w:val="00895DD6"/>
    <w:rsid w:val="008A1F79"/>
    <w:rsid w:val="008A226C"/>
    <w:rsid w:val="008A403B"/>
    <w:rsid w:val="008A67A2"/>
    <w:rsid w:val="008A7873"/>
    <w:rsid w:val="008A7880"/>
    <w:rsid w:val="008B0839"/>
    <w:rsid w:val="008B0F13"/>
    <w:rsid w:val="008B1B19"/>
    <w:rsid w:val="008B68E7"/>
    <w:rsid w:val="008C2F65"/>
    <w:rsid w:val="008C3BB8"/>
    <w:rsid w:val="008D25CF"/>
    <w:rsid w:val="008E290E"/>
    <w:rsid w:val="00900C4B"/>
    <w:rsid w:val="00901F0F"/>
    <w:rsid w:val="009026A6"/>
    <w:rsid w:val="00907E14"/>
    <w:rsid w:val="009104E6"/>
    <w:rsid w:val="0091100D"/>
    <w:rsid w:val="00933B4A"/>
    <w:rsid w:val="0094371A"/>
    <w:rsid w:val="00947AD0"/>
    <w:rsid w:val="009526F7"/>
    <w:rsid w:val="0095495A"/>
    <w:rsid w:val="00955309"/>
    <w:rsid w:val="0095740E"/>
    <w:rsid w:val="00965509"/>
    <w:rsid w:val="009806B9"/>
    <w:rsid w:val="0099135A"/>
    <w:rsid w:val="009952A4"/>
    <w:rsid w:val="009A030D"/>
    <w:rsid w:val="009A649F"/>
    <w:rsid w:val="009B2A87"/>
    <w:rsid w:val="009C29CC"/>
    <w:rsid w:val="009C7D75"/>
    <w:rsid w:val="009D13AB"/>
    <w:rsid w:val="009D7B89"/>
    <w:rsid w:val="009F4957"/>
    <w:rsid w:val="00A01D6E"/>
    <w:rsid w:val="00A17774"/>
    <w:rsid w:val="00A2698E"/>
    <w:rsid w:val="00A4001E"/>
    <w:rsid w:val="00A4281D"/>
    <w:rsid w:val="00A475A9"/>
    <w:rsid w:val="00A569BD"/>
    <w:rsid w:val="00A63100"/>
    <w:rsid w:val="00A63A07"/>
    <w:rsid w:val="00A725A8"/>
    <w:rsid w:val="00A735CF"/>
    <w:rsid w:val="00A7750B"/>
    <w:rsid w:val="00AA201E"/>
    <w:rsid w:val="00AA4BC9"/>
    <w:rsid w:val="00AA6ACC"/>
    <w:rsid w:val="00AC6062"/>
    <w:rsid w:val="00AC7A86"/>
    <w:rsid w:val="00AE01CC"/>
    <w:rsid w:val="00AE166C"/>
    <w:rsid w:val="00AF7C26"/>
    <w:rsid w:val="00B008FE"/>
    <w:rsid w:val="00B057A4"/>
    <w:rsid w:val="00B12A73"/>
    <w:rsid w:val="00B2383D"/>
    <w:rsid w:val="00B35181"/>
    <w:rsid w:val="00B36FC8"/>
    <w:rsid w:val="00B45010"/>
    <w:rsid w:val="00B4776F"/>
    <w:rsid w:val="00B54BE6"/>
    <w:rsid w:val="00B578F2"/>
    <w:rsid w:val="00B76033"/>
    <w:rsid w:val="00B772ED"/>
    <w:rsid w:val="00B80623"/>
    <w:rsid w:val="00B818B4"/>
    <w:rsid w:val="00B91A1B"/>
    <w:rsid w:val="00B92A48"/>
    <w:rsid w:val="00B95EB3"/>
    <w:rsid w:val="00B9657D"/>
    <w:rsid w:val="00B972F3"/>
    <w:rsid w:val="00BA0C43"/>
    <w:rsid w:val="00BB6C40"/>
    <w:rsid w:val="00BB7E09"/>
    <w:rsid w:val="00BC50D3"/>
    <w:rsid w:val="00BD1D28"/>
    <w:rsid w:val="00BD7EA2"/>
    <w:rsid w:val="00BE7324"/>
    <w:rsid w:val="00BE7DC3"/>
    <w:rsid w:val="00C02BB2"/>
    <w:rsid w:val="00C02DDF"/>
    <w:rsid w:val="00C02F9A"/>
    <w:rsid w:val="00C10468"/>
    <w:rsid w:val="00C107A8"/>
    <w:rsid w:val="00C12648"/>
    <w:rsid w:val="00C13173"/>
    <w:rsid w:val="00C31123"/>
    <w:rsid w:val="00C33D8D"/>
    <w:rsid w:val="00C403E0"/>
    <w:rsid w:val="00C40760"/>
    <w:rsid w:val="00C51703"/>
    <w:rsid w:val="00C52EC4"/>
    <w:rsid w:val="00C5380A"/>
    <w:rsid w:val="00C60EBF"/>
    <w:rsid w:val="00C700DC"/>
    <w:rsid w:val="00C71682"/>
    <w:rsid w:val="00C77021"/>
    <w:rsid w:val="00C8771C"/>
    <w:rsid w:val="00C94B61"/>
    <w:rsid w:val="00CB02DE"/>
    <w:rsid w:val="00CB1702"/>
    <w:rsid w:val="00CB23F5"/>
    <w:rsid w:val="00CB7C57"/>
    <w:rsid w:val="00CC2B03"/>
    <w:rsid w:val="00CC4616"/>
    <w:rsid w:val="00CC5EEC"/>
    <w:rsid w:val="00CC690B"/>
    <w:rsid w:val="00CD0595"/>
    <w:rsid w:val="00CD19DE"/>
    <w:rsid w:val="00CD260F"/>
    <w:rsid w:val="00CD624F"/>
    <w:rsid w:val="00CE09BD"/>
    <w:rsid w:val="00CF14DB"/>
    <w:rsid w:val="00CF2F96"/>
    <w:rsid w:val="00CF56CE"/>
    <w:rsid w:val="00CF5E36"/>
    <w:rsid w:val="00D1292B"/>
    <w:rsid w:val="00D13E7A"/>
    <w:rsid w:val="00D204EE"/>
    <w:rsid w:val="00D21205"/>
    <w:rsid w:val="00D26781"/>
    <w:rsid w:val="00D3023D"/>
    <w:rsid w:val="00D308F7"/>
    <w:rsid w:val="00D32B6E"/>
    <w:rsid w:val="00D34ADE"/>
    <w:rsid w:val="00D44CAE"/>
    <w:rsid w:val="00D5007C"/>
    <w:rsid w:val="00D50262"/>
    <w:rsid w:val="00D51D2E"/>
    <w:rsid w:val="00D53B69"/>
    <w:rsid w:val="00D57A9B"/>
    <w:rsid w:val="00D6301C"/>
    <w:rsid w:val="00D700C8"/>
    <w:rsid w:val="00D708FA"/>
    <w:rsid w:val="00D712FF"/>
    <w:rsid w:val="00D84D0F"/>
    <w:rsid w:val="00D93F61"/>
    <w:rsid w:val="00DA3F0A"/>
    <w:rsid w:val="00DA6024"/>
    <w:rsid w:val="00DB608B"/>
    <w:rsid w:val="00DC3C96"/>
    <w:rsid w:val="00DF7154"/>
    <w:rsid w:val="00DF79EE"/>
    <w:rsid w:val="00E03446"/>
    <w:rsid w:val="00E035AF"/>
    <w:rsid w:val="00E07E75"/>
    <w:rsid w:val="00E100FE"/>
    <w:rsid w:val="00E13AE1"/>
    <w:rsid w:val="00E205D4"/>
    <w:rsid w:val="00E2223A"/>
    <w:rsid w:val="00E363E8"/>
    <w:rsid w:val="00E467E1"/>
    <w:rsid w:val="00E50E59"/>
    <w:rsid w:val="00E5168F"/>
    <w:rsid w:val="00E62203"/>
    <w:rsid w:val="00E670FD"/>
    <w:rsid w:val="00E71426"/>
    <w:rsid w:val="00E83793"/>
    <w:rsid w:val="00E84101"/>
    <w:rsid w:val="00EA2C62"/>
    <w:rsid w:val="00EA636B"/>
    <w:rsid w:val="00EA7F06"/>
    <w:rsid w:val="00EB31D3"/>
    <w:rsid w:val="00EB75F6"/>
    <w:rsid w:val="00EC1229"/>
    <w:rsid w:val="00EC28B8"/>
    <w:rsid w:val="00EE0299"/>
    <w:rsid w:val="00EE32FE"/>
    <w:rsid w:val="00EF025A"/>
    <w:rsid w:val="00EF6C19"/>
    <w:rsid w:val="00F119EF"/>
    <w:rsid w:val="00F12B1C"/>
    <w:rsid w:val="00F156D3"/>
    <w:rsid w:val="00F17335"/>
    <w:rsid w:val="00F1795C"/>
    <w:rsid w:val="00F24563"/>
    <w:rsid w:val="00F40F77"/>
    <w:rsid w:val="00F43C1D"/>
    <w:rsid w:val="00F45A46"/>
    <w:rsid w:val="00F46B16"/>
    <w:rsid w:val="00F63247"/>
    <w:rsid w:val="00F65F39"/>
    <w:rsid w:val="00F70B33"/>
    <w:rsid w:val="00F74B5D"/>
    <w:rsid w:val="00F76B6A"/>
    <w:rsid w:val="00F83FB0"/>
    <w:rsid w:val="00F959D5"/>
    <w:rsid w:val="00F96D69"/>
    <w:rsid w:val="00FA27C9"/>
    <w:rsid w:val="00FA57ED"/>
    <w:rsid w:val="00FA6592"/>
    <w:rsid w:val="00FB22C4"/>
    <w:rsid w:val="00FC00A2"/>
    <w:rsid w:val="00FC5513"/>
    <w:rsid w:val="00FC77FE"/>
    <w:rsid w:val="00FD050C"/>
    <w:rsid w:val="00FD6CDD"/>
    <w:rsid w:val="00FE50B6"/>
    <w:rsid w:val="00FF1544"/>
    <w:rsid w:val="00FF22C3"/>
    <w:rsid w:val="00FF28D3"/>
    <w:rsid w:val="00FF4863"/>
    <w:rsid w:val="00FF4B0A"/>
    <w:rsid w:val="00FF795D"/>
    <w:rsid w:val="03533D87"/>
    <w:rsid w:val="0CF95E0C"/>
    <w:rsid w:val="1394399E"/>
    <w:rsid w:val="2AB8561B"/>
    <w:rsid w:val="43B5191B"/>
    <w:rsid w:val="4AB75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2"/>
    </o:shapelayout>
  </w:shapeDefaults>
  <w:decimalSymbol w:val="."/>
  <w:listSeparator w:val=","/>
  <w14:docId w14:val="1E2E4187"/>
  <w14:defaultImageDpi w14:val="32767"/>
  <w15:chartTrackingRefBased/>
  <w15:docId w15:val="{20062889-D893-40E2-8600-B96B93A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paragraph" w:customStyle="1" w:styleId="QuoteHeading">
    <w:name w:val="Quote Heading"/>
    <w:basedOn w:val="Quote"/>
    <w:qFormat/>
    <w:rsid w:val="0077622C"/>
    <w:pPr>
      <w:suppressAutoHyphens/>
      <w:spacing w:before="120" w:after="120" w:line="200" w:lineRule="atLeast"/>
      <w:ind w:left="397" w:right="397"/>
      <w:jc w:val="left"/>
    </w:pPr>
    <w:rPr>
      <w:rFonts w:asciiTheme="minorHAnsi" w:eastAsiaTheme="minorHAnsi" w:hAnsiTheme="minorHAnsi" w:cstheme="minorBidi"/>
      <w:b/>
      <w:i w:val="0"/>
      <w:color w:val="3A586E" w:themeColor="text2"/>
      <w:sz w:val="20"/>
    </w:rPr>
  </w:style>
  <w:style w:type="paragraph" w:styleId="Quote">
    <w:name w:val="Quote"/>
    <w:basedOn w:val="Normal"/>
    <w:next w:val="Normal"/>
    <w:link w:val="QuoteChar"/>
    <w:uiPriority w:val="29"/>
    <w:qFormat/>
    <w:rsid w:val="0077622C"/>
    <w:pPr>
      <w:spacing w:before="200" w:after="160"/>
      <w:ind w:left="864" w:right="864"/>
      <w:jc w:val="center"/>
    </w:pPr>
    <w:rPr>
      <w:i/>
      <w:iCs/>
      <w:color w:val="586F81" w:themeColor="text1" w:themeTint="BF"/>
    </w:rPr>
  </w:style>
  <w:style w:type="character" w:customStyle="1" w:styleId="QuoteChar">
    <w:name w:val="Quote Char"/>
    <w:basedOn w:val="DefaultParagraphFont"/>
    <w:link w:val="Quote"/>
    <w:uiPriority w:val="29"/>
    <w:rsid w:val="0077622C"/>
    <w:rPr>
      <w:i/>
      <w:iCs/>
      <w:color w:val="586F81" w:themeColor="text1" w:themeTint="BF"/>
      <w:sz w:val="22"/>
      <w:szCs w:val="22"/>
      <w:lang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003AF4"/>
    <w:pPr>
      <w:spacing w:line="240" w:lineRule="auto"/>
      <w:ind w:left="720"/>
      <w:contextualSpacing/>
    </w:pPr>
    <w:rPr>
      <w:rFonts w:eastAsia="Calibri Light"/>
      <w:color w:val="313E48" w:themeColor="text1"/>
      <w:sz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03AF4"/>
    <w:rPr>
      <w:rFonts w:eastAsia="Calibri Light"/>
      <w:color w:val="313E48" w:themeColor="tex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59497">
      <w:bodyDiv w:val="1"/>
      <w:marLeft w:val="0"/>
      <w:marRight w:val="0"/>
      <w:marTop w:val="0"/>
      <w:marBottom w:val="0"/>
      <w:divBdr>
        <w:top w:val="none" w:sz="0" w:space="0" w:color="auto"/>
        <w:left w:val="none" w:sz="0" w:space="0" w:color="auto"/>
        <w:bottom w:val="none" w:sz="0" w:space="0" w:color="auto"/>
        <w:right w:val="none" w:sz="0" w:space="0" w:color="auto"/>
      </w:divBdr>
    </w:div>
    <w:div w:id="1348562871">
      <w:bodyDiv w:val="1"/>
      <w:marLeft w:val="0"/>
      <w:marRight w:val="0"/>
      <w:marTop w:val="0"/>
      <w:marBottom w:val="0"/>
      <w:divBdr>
        <w:top w:val="none" w:sz="0" w:space="0" w:color="auto"/>
        <w:left w:val="none" w:sz="0" w:space="0" w:color="auto"/>
        <w:bottom w:val="none" w:sz="0" w:space="0" w:color="auto"/>
        <w:right w:val="none" w:sz="0" w:space="0" w:color="auto"/>
      </w:divBdr>
    </w:div>
    <w:div w:id="149306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2.xml><?xml version="1.0" encoding="utf-8"?>
<ds:datastoreItem xmlns:ds="http://schemas.openxmlformats.org/officeDocument/2006/customXml" ds:itemID="{F2E9F171-59A6-4022-A46D-27C25069926A}">
  <ds:schemaRefs>
    <ds:schemaRef ds:uri="99303871-8934-4198-a088-14ac5c5d1c31"/>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metadata/properties"/>
    <ds:schemaRef ds:uri="http://schemas.microsoft.com/office/2006/documentManagement/types"/>
    <ds:schemaRef ds:uri="6f2ae4e0-94e8-4b28-8f95-861d59f7ae70"/>
    <ds:schemaRef ds:uri="http://purl.org/dc/dcmitype/"/>
    <ds:schemaRef ds:uri="http://purl.org/dc/terms/"/>
  </ds:schemaRefs>
</ds:datastoreItem>
</file>

<file path=customXml/itemProps3.xml><?xml version="1.0" encoding="utf-8"?>
<ds:datastoreItem xmlns:ds="http://schemas.openxmlformats.org/officeDocument/2006/customXml" ds:itemID="{8BF957CD-9E45-4FF4-B903-9A144DDB6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618DC-A08C-4C5C-9A07-FABF52023C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405</Words>
  <Characters>2494</Characters>
  <Application>Microsoft Office Word</Application>
  <DocSecurity>0</DocSecurity>
  <Lines>72</Lines>
  <Paragraphs>52</Paragraphs>
  <ScaleCrop>false</ScaleCrop>
  <HeadingPairs>
    <vt:vector size="2" baseType="variant">
      <vt:variant>
        <vt:lpstr>Title</vt:lpstr>
      </vt:variant>
      <vt:variant>
        <vt:i4>1</vt:i4>
      </vt:variant>
    </vt:vector>
  </HeadingPairs>
  <TitlesOfParts>
    <vt:vector size="1" baseType="lpstr">
      <vt:lpstr>[Country] Development Coorporation Facsheet 2025-26</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[SEC=OFFICIAL]</cp:keywords>
  <dc:description/>
  <cp:lastModifiedBy>Linda Roche</cp:lastModifiedBy>
  <cp:revision>30</cp:revision>
  <dcterms:created xsi:type="dcterms:W3CDTF">2025-05-09T07:48:00Z</dcterms:created>
  <dcterms:modified xsi:type="dcterms:W3CDTF">2025-05-16T07:05:00Z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4DFB2A45D0ABC223771DA158D4192358D096AA7E</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2023-02-15T22:12:19Z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UserAccountName_SHA256">
    <vt:lpwstr>2FBBEB0D07DA66FB32ADEBC0EE9E9C465FDB83D3B7358F7A76537B8BF5FB863E</vt:lpwstr>
  </property>
  <property fmtid="{D5CDD505-2E9C-101B-9397-08002B2CF9AE}" pid="23" name="PM_OriginatorDomainName_SHA256">
    <vt:lpwstr>6F3591835F3B2A8A025B00B5BA6418010DA3A17C9C26EA9C049FFD28039489A2</vt:lpwstr>
  </property>
  <property fmtid="{D5CDD505-2E9C-101B-9397-08002B2CF9AE}" pid="24" name="PM_Caveats_Count">
    <vt:lpwstr>0</vt:lpwstr>
  </property>
  <property fmtid="{D5CDD505-2E9C-101B-9397-08002B2CF9AE}" pid="25" name="ContentTypeId">
    <vt:lpwstr>0x010100D6BD63B06336DD48B4944551E1A7B4D8</vt:lpwstr>
  </property>
  <property fmtid="{D5CDD505-2E9C-101B-9397-08002B2CF9AE}" pid="26" name="MediaServiceImageTags">
    <vt:lpwstr/>
  </property>
  <property fmtid="{D5CDD505-2E9C-101B-9397-08002B2CF9AE}" pid="27" name="PMHMAC">
    <vt:lpwstr>v=2022.1;a=SHA256;h=A9F92FAC1231D295579F9327B7BC8B708FD1E0B4EB32B9D17BAB25B1074DC797</vt:lpwstr>
  </property>
  <property fmtid="{D5CDD505-2E9C-101B-9397-08002B2CF9AE}" pid="28" name="PM_Hash_Salt_Prev">
    <vt:lpwstr>A9FD1486F75A550E933204B7754804F9</vt:lpwstr>
  </property>
  <property fmtid="{D5CDD505-2E9C-101B-9397-08002B2CF9AE}" pid="29" name="PM_Hash_Salt">
    <vt:lpwstr>82AE84EA7E9C366A9F1779BAB50227FB</vt:lpwstr>
  </property>
  <property fmtid="{D5CDD505-2E9C-101B-9397-08002B2CF9AE}" pid="30" name="PM_Hash_SHA1">
    <vt:lpwstr>0069E40F19A2177D372BA7E9DE26F6B5498419C9</vt:lpwstr>
  </property>
</Properties>
</file>