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9E4F4" w14:textId="6D00FB5D" w:rsidR="00545268" w:rsidRPr="00545268" w:rsidRDefault="004516E0" w:rsidP="00545268">
      <w:pPr>
        <w:pStyle w:val="Heading1"/>
      </w:pPr>
      <w:r w:rsidRPr="00545268">
        <w:t>Development Cooperation Factsheet</w:t>
      </w:r>
    </w:p>
    <w:p w14:paraId="5C1E2F15" w14:textId="268CA738" w:rsidR="00E84101" w:rsidRPr="00E84101" w:rsidRDefault="001D28EB" w:rsidP="0091100D">
      <w:pPr>
        <w:pStyle w:val="Heading2"/>
        <w:rPr>
          <w:rStyle w:val="Heading2Char"/>
          <w:sz w:val="80"/>
          <w:szCs w:val="80"/>
        </w:rPr>
      </w:pPr>
      <w:r>
        <w:rPr>
          <w:rStyle w:val="Heading2Char"/>
          <w:sz w:val="80"/>
          <w:szCs w:val="80"/>
        </w:rPr>
        <w:t>Education and Skills</w:t>
      </w:r>
    </w:p>
    <w:p w14:paraId="579AFDE6" w14:textId="4FCE7495" w:rsidR="00965509" w:rsidRDefault="00123E7B" w:rsidP="00F80B0C">
      <w:pPr>
        <w:spacing w:before="0"/>
      </w:pPr>
      <w:r>
        <w:t>MAY</w:t>
      </w:r>
      <w:r w:rsidR="00E84101">
        <w:t xml:space="preserve"> 2025</w:t>
      </w:r>
    </w:p>
    <w:p w14:paraId="2685FC2B" w14:textId="7D7DA11E" w:rsidR="00AF7C26" w:rsidRPr="00AF7C26" w:rsidRDefault="004516E0" w:rsidP="00C13173">
      <w:pPr>
        <w:pStyle w:val="Heading3"/>
      </w:pPr>
      <w:r w:rsidRPr="00C13173">
        <w:t>Overview</w:t>
      </w:r>
    </w:p>
    <w:p w14:paraId="3EDD18B8" w14:textId="79CA5E4D" w:rsidR="004516E0" w:rsidRPr="00E62203" w:rsidRDefault="00C12648" w:rsidP="007D53CA">
      <w:pPr>
        <w:pStyle w:val="Heading4"/>
        <w:spacing w:before="360"/>
        <w:rPr>
          <w:b w:val="0"/>
          <w:bCs/>
        </w:rPr>
      </w:pPr>
      <w:r w:rsidRPr="00E62203">
        <w:rPr>
          <w:b w:val="0"/>
          <w:bCs/>
        </w:rPr>
        <w:t xml:space="preserve">Table 1: </w:t>
      </w:r>
      <w:r w:rsidR="00B4776F">
        <w:rPr>
          <w:b w:val="0"/>
          <w:bCs/>
        </w:rPr>
        <w:t xml:space="preserve">Australian ODA to </w:t>
      </w:r>
      <w:r w:rsidR="005E4B38">
        <w:rPr>
          <w:b w:val="0"/>
          <w:bCs/>
        </w:rPr>
        <w:t>Education and Skills</w:t>
      </w:r>
      <w:r w:rsidR="00B4776F">
        <w:rPr>
          <w:b w:val="0"/>
          <w:bCs/>
        </w:rPr>
        <w:t>, 2023-24 to 2025-26</w:t>
      </w:r>
    </w:p>
    <w:tbl>
      <w:tblPr>
        <w:tblStyle w:val="TableGrid"/>
        <w:tblW w:w="0" w:type="auto"/>
        <w:tblBorders>
          <w:top w:val="single" w:sz="4" w:space="0" w:color="98A0A0" w:themeColor="background2" w:themeShade="BF"/>
          <w:left w:val="single" w:sz="4" w:space="0" w:color="98A0A0" w:themeColor="background2" w:themeShade="BF"/>
          <w:bottom w:val="single" w:sz="4" w:space="0" w:color="98A0A0" w:themeColor="background2" w:themeShade="BF"/>
          <w:right w:val="single" w:sz="4" w:space="0" w:color="98A0A0" w:themeColor="background2" w:themeShade="BF"/>
          <w:insideH w:val="single" w:sz="4" w:space="0" w:color="98A0A0" w:themeColor="background2" w:themeShade="BF"/>
          <w:insideV w:val="single" w:sz="4" w:space="0" w:color="98A0A0" w:themeColor="background2" w:themeShade="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Table 1: Australian ODA to Education and Skills, 2023-24 to 2025-26"/>
        <w:tblDescription w:val="This table represents the total Australian ODA to Education and Skills, budget and estimate by region, 2023 to 2026 – four columns, six rows."/>
      </w:tblPr>
      <w:tblGrid>
        <w:gridCol w:w="3397"/>
        <w:gridCol w:w="2265"/>
        <w:gridCol w:w="2266"/>
        <w:gridCol w:w="2266"/>
      </w:tblGrid>
      <w:tr w:rsidR="00B4776F" w14:paraId="5EF5CF55" w14:textId="21157455" w:rsidTr="31BF96DF">
        <w:trPr>
          <w:cantSplit/>
          <w:trHeight w:val="70"/>
          <w:tblHeader/>
        </w:trPr>
        <w:tc>
          <w:tcPr>
            <w:tcW w:w="3397" w:type="dxa"/>
            <w:shd w:val="clear" w:color="auto" w:fill="313E48" w:themeFill="text1"/>
          </w:tcPr>
          <w:p w14:paraId="4CEC1D0F" w14:textId="45768852" w:rsidR="00B4776F" w:rsidRPr="0079728E" w:rsidRDefault="00D47844" w:rsidP="00B4776F">
            <w:pPr>
              <w:pStyle w:val="TableHeading"/>
            </w:pPr>
            <w:r>
              <w:t>Region</w:t>
            </w:r>
          </w:p>
        </w:tc>
        <w:tc>
          <w:tcPr>
            <w:tcW w:w="2265" w:type="dxa"/>
            <w:shd w:val="clear" w:color="auto" w:fill="313E48" w:themeFill="text1"/>
          </w:tcPr>
          <w:p w14:paraId="1923A36A" w14:textId="45343566" w:rsidR="00B4776F" w:rsidRDefault="00B4776F" w:rsidP="00B4776F">
            <w:pPr>
              <w:pStyle w:val="TableHeading"/>
              <w:jc w:val="center"/>
            </w:pPr>
            <w:r>
              <w:t>2</w:t>
            </w:r>
            <w:r w:rsidRPr="001E6A8F">
              <w:t>02</w:t>
            </w:r>
            <w:r>
              <w:t>3-24</w:t>
            </w:r>
            <w:r w:rsidRPr="001E6A8F">
              <w:t xml:space="preserve"> Actual ($m)*</w:t>
            </w:r>
          </w:p>
        </w:tc>
        <w:tc>
          <w:tcPr>
            <w:tcW w:w="2266" w:type="dxa"/>
            <w:shd w:val="clear" w:color="auto" w:fill="313E48" w:themeFill="text1"/>
          </w:tcPr>
          <w:p w14:paraId="0740E09E" w14:textId="25BBB199" w:rsidR="00B4776F" w:rsidRPr="007332ED" w:rsidRDefault="00B4776F" w:rsidP="00B4776F">
            <w:pPr>
              <w:pStyle w:val="TableHeading"/>
              <w:jc w:val="center"/>
            </w:pPr>
            <w:r w:rsidRPr="001E6A8F">
              <w:t>202</w:t>
            </w:r>
            <w:r>
              <w:t>4-25</w:t>
            </w:r>
            <w:r w:rsidRPr="001E6A8F">
              <w:t xml:space="preserve"> Budget Estimate ($m)*</w:t>
            </w:r>
          </w:p>
        </w:tc>
        <w:tc>
          <w:tcPr>
            <w:tcW w:w="2266" w:type="dxa"/>
            <w:shd w:val="clear" w:color="auto" w:fill="313E48" w:themeFill="text1"/>
          </w:tcPr>
          <w:p w14:paraId="4F1CAE94" w14:textId="0B6752D4" w:rsidR="00B4776F" w:rsidRPr="007332ED" w:rsidRDefault="00B4776F" w:rsidP="00B4776F">
            <w:pPr>
              <w:pStyle w:val="TableHeading"/>
              <w:jc w:val="center"/>
            </w:pPr>
            <w:r w:rsidRPr="001E6A8F">
              <w:t>202</w:t>
            </w:r>
            <w:r>
              <w:t>5-26</w:t>
            </w:r>
            <w:r w:rsidRPr="001E6A8F">
              <w:t xml:space="preserve"> Budget Estimate ($m)*</w:t>
            </w:r>
          </w:p>
        </w:tc>
      </w:tr>
      <w:tr w:rsidR="00B3693B" w14:paraId="45E770B3" w14:textId="1A624B78" w:rsidTr="31BF96DF">
        <w:tc>
          <w:tcPr>
            <w:tcW w:w="3397" w:type="dxa"/>
          </w:tcPr>
          <w:p w14:paraId="12D343CB" w14:textId="70C2BFBF" w:rsidR="00B3693B" w:rsidRPr="00030679" w:rsidRDefault="00B3693B" w:rsidP="00B3693B">
            <w:pPr>
              <w:pStyle w:val="TableBodyCopy"/>
            </w:pPr>
            <w:r>
              <w:t>Pacific</w:t>
            </w:r>
          </w:p>
        </w:tc>
        <w:tc>
          <w:tcPr>
            <w:tcW w:w="2265" w:type="dxa"/>
            <w:vAlign w:val="center"/>
          </w:tcPr>
          <w:p w14:paraId="0D3F5049" w14:textId="581DE127" w:rsidR="00B3693B" w:rsidRPr="00D34ADE" w:rsidRDefault="00B3693B" w:rsidP="00B3693B">
            <w:pPr>
              <w:pStyle w:val="TableBodyCopy"/>
              <w:jc w:val="center"/>
            </w:pPr>
            <w:r>
              <w:rPr>
                <w:rFonts w:cs="Calibri"/>
                <w:szCs w:val="20"/>
              </w:rPr>
              <w:t>249.4</w:t>
            </w:r>
          </w:p>
        </w:tc>
        <w:tc>
          <w:tcPr>
            <w:tcW w:w="2266" w:type="dxa"/>
            <w:vAlign w:val="center"/>
          </w:tcPr>
          <w:p w14:paraId="7E455C00" w14:textId="704868FC" w:rsidR="00B3693B" w:rsidRPr="00D34ADE" w:rsidRDefault="00B3693B" w:rsidP="00B3693B">
            <w:pPr>
              <w:pStyle w:val="TableBodyCopy"/>
              <w:jc w:val="center"/>
            </w:pPr>
            <w:r>
              <w:rPr>
                <w:rFonts w:cs="Calibri"/>
                <w:szCs w:val="20"/>
              </w:rPr>
              <w:t>256.6</w:t>
            </w:r>
          </w:p>
        </w:tc>
        <w:tc>
          <w:tcPr>
            <w:tcW w:w="2266" w:type="dxa"/>
            <w:vAlign w:val="center"/>
          </w:tcPr>
          <w:p w14:paraId="47F5FD0E" w14:textId="567CFE63" w:rsidR="00B3693B" w:rsidRPr="00D34ADE" w:rsidRDefault="00B3693B" w:rsidP="00B3693B">
            <w:pPr>
              <w:pStyle w:val="TableBodyCopy"/>
              <w:jc w:val="center"/>
            </w:pPr>
            <w:r>
              <w:rPr>
                <w:rFonts w:cs="Calibri"/>
                <w:szCs w:val="20"/>
              </w:rPr>
              <w:t>225.9</w:t>
            </w:r>
          </w:p>
        </w:tc>
      </w:tr>
      <w:tr w:rsidR="00B3693B" w14:paraId="417E46F0" w14:textId="42F9E059" w:rsidTr="31BF96DF">
        <w:tc>
          <w:tcPr>
            <w:tcW w:w="3397" w:type="dxa"/>
          </w:tcPr>
          <w:p w14:paraId="604B5B7E" w14:textId="30081B88" w:rsidR="00B3693B" w:rsidRPr="00030679" w:rsidRDefault="00B3693B" w:rsidP="00B3693B">
            <w:pPr>
              <w:pStyle w:val="TableBodyCopy"/>
            </w:pPr>
            <w:r>
              <w:t>Southeast Asia</w:t>
            </w:r>
          </w:p>
        </w:tc>
        <w:tc>
          <w:tcPr>
            <w:tcW w:w="2265" w:type="dxa"/>
            <w:vAlign w:val="center"/>
          </w:tcPr>
          <w:p w14:paraId="12CB39EC" w14:textId="1437FD60" w:rsidR="00B3693B" w:rsidRPr="00D34ADE" w:rsidRDefault="00B3693B" w:rsidP="00B3693B">
            <w:pPr>
              <w:pStyle w:val="TableBodyCopy"/>
              <w:jc w:val="center"/>
            </w:pPr>
            <w:r>
              <w:rPr>
                <w:rFonts w:cs="Calibri"/>
                <w:szCs w:val="20"/>
              </w:rPr>
              <w:t>224.2</w:t>
            </w:r>
          </w:p>
        </w:tc>
        <w:tc>
          <w:tcPr>
            <w:tcW w:w="2266" w:type="dxa"/>
            <w:vAlign w:val="center"/>
          </w:tcPr>
          <w:p w14:paraId="4E5F8501" w14:textId="4F6BF031" w:rsidR="00B3693B" w:rsidRPr="00D34ADE" w:rsidRDefault="00B3693B" w:rsidP="00B3693B">
            <w:pPr>
              <w:pStyle w:val="TableBodyCopy"/>
              <w:jc w:val="center"/>
            </w:pPr>
            <w:r>
              <w:rPr>
                <w:rFonts w:cs="Calibri"/>
                <w:szCs w:val="20"/>
              </w:rPr>
              <w:t>224.5</w:t>
            </w:r>
          </w:p>
        </w:tc>
        <w:tc>
          <w:tcPr>
            <w:tcW w:w="2266" w:type="dxa"/>
            <w:vAlign w:val="center"/>
          </w:tcPr>
          <w:p w14:paraId="07207D25" w14:textId="72B76892" w:rsidR="00B3693B" w:rsidRPr="00D34ADE" w:rsidRDefault="00B3693B" w:rsidP="00B3693B">
            <w:pPr>
              <w:pStyle w:val="TableBodyCopy"/>
              <w:jc w:val="center"/>
            </w:pPr>
            <w:r>
              <w:rPr>
                <w:rFonts w:cs="Calibri"/>
                <w:szCs w:val="20"/>
              </w:rPr>
              <w:t>212.0</w:t>
            </w:r>
          </w:p>
        </w:tc>
      </w:tr>
      <w:tr w:rsidR="00B3693B" w14:paraId="2B1333F4" w14:textId="77777777" w:rsidTr="31BF96DF">
        <w:tc>
          <w:tcPr>
            <w:tcW w:w="3397" w:type="dxa"/>
          </w:tcPr>
          <w:p w14:paraId="38890A56" w14:textId="511C9A81" w:rsidR="00B3693B" w:rsidRDefault="00B3693B" w:rsidP="00B3693B">
            <w:pPr>
              <w:pStyle w:val="TableBodyCopy"/>
            </w:pPr>
            <w:r>
              <w:t>South and Central Asia</w:t>
            </w:r>
          </w:p>
        </w:tc>
        <w:tc>
          <w:tcPr>
            <w:tcW w:w="2265" w:type="dxa"/>
            <w:vAlign w:val="center"/>
          </w:tcPr>
          <w:p w14:paraId="7C5E60F3" w14:textId="01339D1B" w:rsidR="00B3693B" w:rsidRPr="00D34ADE" w:rsidRDefault="00B3693B" w:rsidP="00B3693B">
            <w:pPr>
              <w:pStyle w:val="TableBodyCopy"/>
              <w:jc w:val="center"/>
            </w:pPr>
            <w:r>
              <w:rPr>
                <w:rFonts w:cs="Calibri"/>
                <w:szCs w:val="20"/>
              </w:rPr>
              <w:t>61.4</w:t>
            </w:r>
          </w:p>
        </w:tc>
        <w:tc>
          <w:tcPr>
            <w:tcW w:w="2266" w:type="dxa"/>
            <w:vAlign w:val="center"/>
          </w:tcPr>
          <w:p w14:paraId="4BBA5711" w14:textId="483E4791" w:rsidR="00B3693B" w:rsidRPr="00D34ADE" w:rsidRDefault="00B3693B" w:rsidP="00B3693B">
            <w:pPr>
              <w:pStyle w:val="TableBodyCopy"/>
              <w:jc w:val="center"/>
            </w:pPr>
            <w:r>
              <w:rPr>
                <w:rFonts w:cs="Calibri"/>
                <w:szCs w:val="20"/>
              </w:rPr>
              <w:t>58.6</w:t>
            </w:r>
          </w:p>
        </w:tc>
        <w:tc>
          <w:tcPr>
            <w:tcW w:w="2266" w:type="dxa"/>
            <w:vAlign w:val="center"/>
          </w:tcPr>
          <w:p w14:paraId="46AB0CB4" w14:textId="1E0D1224" w:rsidR="00B3693B" w:rsidRPr="00D34ADE" w:rsidRDefault="00B3693B" w:rsidP="00B3693B">
            <w:pPr>
              <w:pStyle w:val="TableBodyCopy"/>
              <w:jc w:val="center"/>
            </w:pPr>
            <w:r>
              <w:rPr>
                <w:rFonts w:cs="Calibri"/>
                <w:szCs w:val="20"/>
              </w:rPr>
              <w:t>68.7</w:t>
            </w:r>
          </w:p>
        </w:tc>
      </w:tr>
      <w:tr w:rsidR="00B3693B" w14:paraId="6B771DA6" w14:textId="77777777" w:rsidTr="31BF96DF">
        <w:tc>
          <w:tcPr>
            <w:tcW w:w="3397" w:type="dxa"/>
          </w:tcPr>
          <w:p w14:paraId="1651DA14" w14:textId="1DF20DCD" w:rsidR="00B3693B" w:rsidRDefault="00B3693B" w:rsidP="00B3693B">
            <w:pPr>
              <w:pStyle w:val="TableBodyCopy"/>
            </w:pPr>
            <w:r>
              <w:t>Middle East and Africa</w:t>
            </w:r>
          </w:p>
        </w:tc>
        <w:tc>
          <w:tcPr>
            <w:tcW w:w="2265" w:type="dxa"/>
            <w:vAlign w:val="center"/>
          </w:tcPr>
          <w:p w14:paraId="5D27E890" w14:textId="767DAE5A" w:rsidR="00B3693B" w:rsidRPr="00D34ADE" w:rsidRDefault="00B3693B" w:rsidP="00B3693B">
            <w:pPr>
              <w:pStyle w:val="TableBodyCopy"/>
              <w:jc w:val="center"/>
            </w:pPr>
            <w:r>
              <w:rPr>
                <w:rFonts w:cs="Calibri"/>
                <w:szCs w:val="20"/>
              </w:rPr>
              <w:t>16.9</w:t>
            </w:r>
          </w:p>
        </w:tc>
        <w:tc>
          <w:tcPr>
            <w:tcW w:w="2266" w:type="dxa"/>
            <w:vAlign w:val="center"/>
          </w:tcPr>
          <w:p w14:paraId="5F11B819" w14:textId="7642045A" w:rsidR="00B3693B" w:rsidRPr="00D34ADE" w:rsidRDefault="00B3693B" w:rsidP="00B3693B">
            <w:pPr>
              <w:pStyle w:val="TableBodyCopy"/>
              <w:jc w:val="center"/>
            </w:pPr>
            <w:r>
              <w:rPr>
                <w:rFonts w:cs="Calibri"/>
                <w:szCs w:val="20"/>
              </w:rPr>
              <w:t>18.8</w:t>
            </w:r>
          </w:p>
        </w:tc>
        <w:tc>
          <w:tcPr>
            <w:tcW w:w="2266" w:type="dxa"/>
            <w:vAlign w:val="center"/>
          </w:tcPr>
          <w:p w14:paraId="45D0847A" w14:textId="05C02A30" w:rsidR="00B3693B" w:rsidRPr="00D34ADE" w:rsidRDefault="00B3693B" w:rsidP="00B3693B">
            <w:pPr>
              <w:pStyle w:val="TableBodyCopy"/>
              <w:jc w:val="center"/>
            </w:pPr>
            <w:r>
              <w:rPr>
                <w:rFonts w:cs="Calibri"/>
                <w:szCs w:val="20"/>
              </w:rPr>
              <w:t>20.8</w:t>
            </w:r>
          </w:p>
        </w:tc>
      </w:tr>
      <w:tr w:rsidR="00B3693B" w14:paraId="56C496D6" w14:textId="77777777" w:rsidTr="31BF96DF">
        <w:tc>
          <w:tcPr>
            <w:tcW w:w="3397" w:type="dxa"/>
          </w:tcPr>
          <w:p w14:paraId="43181632" w14:textId="59CF67F7" w:rsidR="00B3693B" w:rsidRDefault="00B3693B" w:rsidP="00B3693B">
            <w:pPr>
              <w:pStyle w:val="TableBodyCopy"/>
            </w:pPr>
            <w:r>
              <w:t>Rest of the World</w:t>
            </w:r>
            <w:r w:rsidR="0069224C">
              <w:t>^</w:t>
            </w:r>
          </w:p>
        </w:tc>
        <w:tc>
          <w:tcPr>
            <w:tcW w:w="2265" w:type="dxa"/>
            <w:vAlign w:val="center"/>
          </w:tcPr>
          <w:p w14:paraId="0E184632" w14:textId="381F203F" w:rsidR="00B3693B" w:rsidRDefault="00B3693B" w:rsidP="00B3693B">
            <w:pPr>
              <w:pStyle w:val="TableBodyCopy"/>
              <w:jc w:val="center"/>
            </w:pPr>
            <w:r>
              <w:rPr>
                <w:rFonts w:cs="Calibri"/>
                <w:szCs w:val="20"/>
              </w:rPr>
              <w:t>46.5</w:t>
            </w:r>
          </w:p>
        </w:tc>
        <w:tc>
          <w:tcPr>
            <w:tcW w:w="2266" w:type="dxa"/>
            <w:vAlign w:val="center"/>
          </w:tcPr>
          <w:p w14:paraId="5449B152" w14:textId="1D24DC31" w:rsidR="00B3693B" w:rsidRDefault="00B3693B" w:rsidP="00B3693B">
            <w:pPr>
              <w:pStyle w:val="TableBodyCopy"/>
              <w:jc w:val="center"/>
            </w:pPr>
            <w:r>
              <w:rPr>
                <w:rFonts w:cs="Calibri"/>
                <w:szCs w:val="20"/>
              </w:rPr>
              <w:t>37.4</w:t>
            </w:r>
          </w:p>
        </w:tc>
        <w:tc>
          <w:tcPr>
            <w:tcW w:w="2266" w:type="dxa"/>
            <w:vAlign w:val="center"/>
          </w:tcPr>
          <w:p w14:paraId="2A2489BB" w14:textId="2A200C55" w:rsidR="00B3693B" w:rsidRDefault="00B3693B" w:rsidP="00B3693B">
            <w:pPr>
              <w:pStyle w:val="TableBodyCopy"/>
              <w:jc w:val="center"/>
            </w:pPr>
            <w:r>
              <w:rPr>
                <w:rFonts w:cs="Calibri"/>
                <w:szCs w:val="20"/>
              </w:rPr>
              <w:t>44.9</w:t>
            </w:r>
          </w:p>
        </w:tc>
      </w:tr>
      <w:tr w:rsidR="006E1CB4" w14:paraId="3BDCC9B5" w14:textId="77777777" w:rsidTr="31BF96DF">
        <w:tc>
          <w:tcPr>
            <w:tcW w:w="3397" w:type="dxa"/>
          </w:tcPr>
          <w:p w14:paraId="4E8483EB" w14:textId="7C1CEFAD" w:rsidR="006E1CB4" w:rsidRPr="001E6A8F" w:rsidRDefault="006E1CB4" w:rsidP="006E1CB4">
            <w:pPr>
              <w:pStyle w:val="TableBodyCopy"/>
              <w:rPr>
                <w:b/>
                <w:bCs/>
              </w:rPr>
            </w:pPr>
            <w:r w:rsidRPr="001E6A8F">
              <w:rPr>
                <w:b/>
                <w:bCs/>
              </w:rPr>
              <w:t xml:space="preserve">Total ODA to </w:t>
            </w:r>
            <w:r>
              <w:rPr>
                <w:b/>
                <w:bCs/>
              </w:rPr>
              <w:t xml:space="preserve">Education and Skills </w:t>
            </w:r>
          </w:p>
        </w:tc>
        <w:tc>
          <w:tcPr>
            <w:tcW w:w="2265" w:type="dxa"/>
            <w:vAlign w:val="center"/>
          </w:tcPr>
          <w:p w14:paraId="4CC5A42A" w14:textId="4CC5496C" w:rsidR="006E1CB4" w:rsidRPr="00D34ADE" w:rsidRDefault="006E1CB4" w:rsidP="006E1CB4">
            <w:pPr>
              <w:pStyle w:val="TableBodyCopy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  <w:szCs w:val="20"/>
              </w:rPr>
              <w:t>598.4</w:t>
            </w:r>
          </w:p>
        </w:tc>
        <w:tc>
          <w:tcPr>
            <w:tcW w:w="2266" w:type="dxa"/>
            <w:vAlign w:val="center"/>
          </w:tcPr>
          <w:p w14:paraId="5537B846" w14:textId="1BB73A33" w:rsidR="006E1CB4" w:rsidRPr="00D34ADE" w:rsidRDefault="006E1CB4" w:rsidP="006E1CB4">
            <w:pPr>
              <w:pStyle w:val="TableBodyCopy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  <w:szCs w:val="20"/>
              </w:rPr>
              <w:t>595.</w:t>
            </w:r>
            <w:r w:rsidR="002F0C05">
              <w:rPr>
                <w:rFonts w:cs="Calibri"/>
                <w:b/>
                <w:bCs/>
                <w:color w:val="000000"/>
                <w:szCs w:val="20"/>
              </w:rPr>
              <w:t>7</w:t>
            </w:r>
          </w:p>
        </w:tc>
        <w:tc>
          <w:tcPr>
            <w:tcW w:w="2266" w:type="dxa"/>
            <w:vAlign w:val="center"/>
          </w:tcPr>
          <w:p w14:paraId="55A5272D" w14:textId="5DD35D42" w:rsidR="006E1CB4" w:rsidRPr="00D34ADE" w:rsidRDefault="006E1CB4" w:rsidP="006E1CB4">
            <w:pPr>
              <w:pStyle w:val="TableBodyCopy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  <w:szCs w:val="20"/>
              </w:rPr>
              <w:t>572.</w:t>
            </w:r>
            <w:r w:rsidR="00485910">
              <w:rPr>
                <w:rFonts w:cs="Calibri"/>
                <w:b/>
                <w:bCs/>
                <w:color w:val="000000"/>
                <w:szCs w:val="20"/>
              </w:rPr>
              <w:t>4</w:t>
            </w:r>
          </w:p>
        </w:tc>
      </w:tr>
      <w:tr w:rsidR="00B33E98" w14:paraId="489272C2" w14:textId="77777777" w:rsidTr="31BF96DF">
        <w:tc>
          <w:tcPr>
            <w:tcW w:w="3397" w:type="dxa"/>
          </w:tcPr>
          <w:p w14:paraId="0D034212" w14:textId="59AE69B3" w:rsidR="00B33E98" w:rsidRPr="001E6A8F" w:rsidRDefault="00B33E98" w:rsidP="00B33E98">
            <w:pPr>
              <w:pStyle w:val="TableBodyCopy"/>
              <w:rPr>
                <w:b/>
                <w:bCs/>
              </w:rPr>
            </w:pPr>
            <w:r w:rsidRPr="31BF96DF">
              <w:rPr>
                <w:b/>
                <w:bCs/>
              </w:rPr>
              <w:t>Percentage total of Australian ODA</w:t>
            </w:r>
          </w:p>
        </w:tc>
        <w:tc>
          <w:tcPr>
            <w:tcW w:w="2265" w:type="dxa"/>
            <w:vAlign w:val="center"/>
          </w:tcPr>
          <w:p w14:paraId="510A5CB8" w14:textId="29FB67E8" w:rsidR="00B33E98" w:rsidRPr="00D34ADE" w:rsidRDefault="00B33E98" w:rsidP="00B33E98">
            <w:pPr>
              <w:pStyle w:val="TableBodyCopy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  <w:szCs w:val="20"/>
              </w:rPr>
              <w:t>12.4%</w:t>
            </w:r>
          </w:p>
        </w:tc>
        <w:tc>
          <w:tcPr>
            <w:tcW w:w="2266" w:type="dxa"/>
            <w:vAlign w:val="center"/>
          </w:tcPr>
          <w:p w14:paraId="1593D0D1" w14:textId="2CCDF291" w:rsidR="00B33E98" w:rsidRPr="00D34ADE" w:rsidRDefault="00B33E98" w:rsidP="00B33E98">
            <w:pPr>
              <w:pStyle w:val="TableBodyCopy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  <w:szCs w:val="20"/>
              </w:rPr>
              <w:t>12.0%</w:t>
            </w:r>
          </w:p>
        </w:tc>
        <w:tc>
          <w:tcPr>
            <w:tcW w:w="2266" w:type="dxa"/>
            <w:vAlign w:val="center"/>
          </w:tcPr>
          <w:p w14:paraId="62BEB0D3" w14:textId="73DF82DC" w:rsidR="00B33E98" w:rsidRPr="00D34ADE" w:rsidRDefault="00B33E98" w:rsidP="00B33E98">
            <w:pPr>
              <w:pStyle w:val="TableBodyCopy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  <w:szCs w:val="20"/>
              </w:rPr>
              <w:t>11.2%</w:t>
            </w:r>
          </w:p>
        </w:tc>
      </w:tr>
    </w:tbl>
    <w:p w14:paraId="19DDFD53" w14:textId="2675A1AA" w:rsidR="0069224C" w:rsidRDefault="0069224C" w:rsidP="0069224C">
      <w:pPr>
        <w:pStyle w:val="Caption"/>
      </w:pPr>
      <w:r>
        <w:t>*Due to rounding, discrepancies may occur between sums of the component items in totals.</w:t>
      </w:r>
    </w:p>
    <w:p w14:paraId="744C0CDA" w14:textId="77777777" w:rsidR="0069224C" w:rsidRPr="00565AEB" w:rsidRDefault="0069224C" w:rsidP="0069224C">
      <w:pPr>
        <w:pStyle w:val="Caption"/>
      </w:pPr>
      <w:r>
        <w:t xml:space="preserve">^Includes ODA that is not attributed to </w:t>
      </w:r>
      <w:proofErr w:type="gramStart"/>
      <w:r>
        <w:t>particular countries</w:t>
      </w:r>
      <w:proofErr w:type="gramEnd"/>
      <w:r>
        <w:t xml:space="preserve"> or regions.</w:t>
      </w:r>
    </w:p>
    <w:p w14:paraId="7100DF7D" w14:textId="0C249440" w:rsidR="00F40F77" w:rsidRPr="00F40F77" w:rsidRDefault="006335E6" w:rsidP="00F40F77">
      <w:pPr>
        <w:pStyle w:val="Heading4"/>
        <w:rPr>
          <w:b w:val="0"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0C13EB3" wp14:editId="3281A40D">
            <wp:simplePos x="0" y="0"/>
            <wp:positionH relativeFrom="margin">
              <wp:align>left</wp:align>
            </wp:positionH>
            <wp:positionV relativeFrom="paragraph">
              <wp:posOffset>201930</wp:posOffset>
            </wp:positionV>
            <wp:extent cx="4829175" cy="2118360"/>
            <wp:effectExtent l="0" t="0" r="0" b="0"/>
            <wp:wrapTight wrapText="bothSides">
              <wp:wrapPolygon edited="0">
                <wp:start x="0" y="0"/>
                <wp:lineTo x="0" y="21367"/>
                <wp:lineTo x="21472" y="21367"/>
                <wp:lineTo x="21472" y="0"/>
                <wp:lineTo x="0" y="0"/>
              </wp:wrapPolygon>
            </wp:wrapTight>
            <wp:docPr id="269306398" name="Picture 2" descr="Figure 1 presents Australian education and skills Official Development Assistance (ODA) for financial year 2025-26 (budget estimate) distribution attributable to five sub-sector groups.&#10;&#10;This information is presented in a doughnut chart, where the five primary sub-sector groups take a portion of shading in the doughnut in direct proportion to the total percentage attributable to each sector group.&#10;&#10;The percentages of total Australian ODA by sub-sector groups are:&#10;Basic education 14%&#10;Multisector education 52%&#10;Other education 23%&#10;Post-secondary education 4%&#10;Secondary education 7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306398" name="Picture 2" descr="Figure 1 presents Australian education and skills Official Development Assistance (ODA) for financial year 2025-26 (budget estimate) distribution attributable to five sub-sector groups.&#10;&#10;This information is presented in a doughnut chart, where the five primary sub-sector groups take a portion of shading in the doughnut in direct proportion to the total percentage attributable to each sector group.&#10;&#10;The percentages of total Australian ODA by sub-sector groups are:&#10;Basic education 14%&#10;Multisector education 52%&#10;Other education 23%&#10;Post-secondary education 4%&#10;Secondary education 7%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29"/>
                    <a:stretch/>
                  </pic:blipFill>
                  <pic:spPr bwMode="auto">
                    <a:xfrm>
                      <a:off x="0" y="0"/>
                      <a:ext cx="4842014" cy="212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648">
        <w:rPr>
          <w:b w:val="0"/>
          <w:bCs/>
        </w:rPr>
        <w:t xml:space="preserve">Figure 1: </w:t>
      </w:r>
      <w:r w:rsidR="003575EF" w:rsidRPr="00E5168F">
        <w:rPr>
          <w:b w:val="0"/>
          <w:bCs/>
        </w:rPr>
        <w:t>Australian</w:t>
      </w:r>
      <w:r w:rsidR="00EF5A57">
        <w:rPr>
          <w:b w:val="0"/>
          <w:bCs/>
        </w:rPr>
        <w:t xml:space="preserve"> Education and Skills</w:t>
      </w:r>
      <w:r w:rsidR="003575EF" w:rsidRPr="00E5168F">
        <w:rPr>
          <w:b w:val="0"/>
          <w:bCs/>
        </w:rPr>
        <w:t xml:space="preserve"> ODA by S</w:t>
      </w:r>
      <w:r w:rsidR="001C2070">
        <w:rPr>
          <w:b w:val="0"/>
          <w:bCs/>
        </w:rPr>
        <w:t>ub-s</w:t>
      </w:r>
      <w:r w:rsidR="003575EF" w:rsidRPr="00E5168F">
        <w:rPr>
          <w:b w:val="0"/>
          <w:bCs/>
        </w:rPr>
        <w:t>ector, 20</w:t>
      </w:r>
      <w:r w:rsidR="007F312B" w:rsidRPr="00E5168F">
        <w:rPr>
          <w:b w:val="0"/>
          <w:bCs/>
        </w:rPr>
        <w:t>25</w:t>
      </w:r>
      <w:r w:rsidR="00B4776F">
        <w:rPr>
          <w:b w:val="0"/>
          <w:bCs/>
        </w:rPr>
        <w:t>-26</w:t>
      </w:r>
      <w:r w:rsidR="003575EF" w:rsidRPr="00E5168F">
        <w:rPr>
          <w:b w:val="0"/>
          <w:bCs/>
        </w:rPr>
        <w:t xml:space="preserve"> budget estimate</w:t>
      </w:r>
    </w:p>
    <w:p w14:paraId="6571D571" w14:textId="720D87ED" w:rsidR="006335E6" w:rsidRDefault="006335E6" w:rsidP="00C700DC">
      <w:pPr>
        <w:pStyle w:val="Heading3"/>
        <w:rPr>
          <w:noProof/>
        </w:rPr>
      </w:pPr>
    </w:p>
    <w:p w14:paraId="7CC3C65D" w14:textId="42D1BBC6" w:rsidR="00C700DC" w:rsidRDefault="00E84101" w:rsidP="00C700DC">
      <w:pPr>
        <w:pStyle w:val="Heading3"/>
        <w:rPr>
          <w:rFonts w:eastAsia="Calibri"/>
        </w:rPr>
      </w:pPr>
      <w:r w:rsidRPr="00E50E59">
        <w:br w:type="page"/>
      </w:r>
      <w:r w:rsidR="00C700DC" w:rsidRPr="00CC4616">
        <w:lastRenderedPageBreak/>
        <w:t>Sustainable Development Goals</w:t>
      </w:r>
    </w:p>
    <w:p w14:paraId="5FDBE9C1" w14:textId="6D322B42" w:rsidR="00634CC1" w:rsidRPr="00C700DC" w:rsidRDefault="00634CC1" w:rsidP="00634CC1">
      <w:r>
        <w:rPr>
          <w:noProof/>
        </w:rPr>
        <w:drawing>
          <wp:inline distT="0" distB="0" distL="0" distR="0" wp14:anchorId="12A37465" wp14:editId="23B51405">
            <wp:extent cx="548640" cy="548640"/>
            <wp:effectExtent l="0" t="0" r="3810" b="3810"/>
            <wp:docPr id="1378027091" name="Picture 1" descr="Goal 1 - No pove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027091" name="Picture 1" descr="Goal 1 - No povert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362151" wp14:editId="7681ADA1">
            <wp:extent cx="548640" cy="548640"/>
            <wp:effectExtent l="0" t="0" r="3810" b="3810"/>
            <wp:docPr id="662642502" name="Picture 4" descr="SDG 4 - Quality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642502" name="Picture 4" descr="SDG 4 - Quality Educatio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DDB124" wp14:editId="29E19788">
            <wp:extent cx="548640" cy="548640"/>
            <wp:effectExtent l="0" t="0" r="3810" b="3810"/>
            <wp:docPr id="193567487" name="Picture 5" descr="SDG 5 - Gender Equa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67487" name="Picture 5" descr="SDG 5 - Gender Equality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A35C9B" wp14:editId="526AFB29">
            <wp:extent cx="548640" cy="548640"/>
            <wp:effectExtent l="0" t="0" r="3810" b="3810"/>
            <wp:docPr id="1492329656" name="Picture 9" descr="SDG 16 - Peace, justice and strong instit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329656" name="Picture 9" descr="SDG 16 - Peace, justice and strong institutions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087F2" w14:textId="71D2A4A4" w:rsidR="001D7F3A" w:rsidRPr="00E0273F" w:rsidRDefault="00E0273F" w:rsidP="00E0273F">
      <w:pPr>
        <w:pStyle w:val="QuoteHeading"/>
        <w:spacing w:before="0" w:after="0"/>
        <w:ind w:left="0" w:right="0"/>
        <w:rPr>
          <w:rFonts w:ascii="Calibri" w:eastAsia="Calibri" w:hAnsi="Calibri" w:cs="Times New Roman"/>
          <w:bCs/>
          <w:iCs w:val="0"/>
          <w:color w:val="auto"/>
          <w:sz w:val="22"/>
        </w:rPr>
      </w:pPr>
      <w:r w:rsidRPr="00E0273F">
        <w:rPr>
          <w:rFonts w:ascii="Calibri" w:eastAsia="Calibri" w:hAnsi="Calibri" w:cs="Times New Roman"/>
          <w:bCs/>
          <w:iCs w:val="0"/>
          <w:color w:val="auto"/>
          <w:sz w:val="22"/>
        </w:rPr>
        <w:t xml:space="preserve">Education is central to building a shared future with our region.  </w:t>
      </w:r>
      <w:r w:rsidR="001D7F3A" w:rsidRPr="00900C4B">
        <w:rPr>
          <w:bCs/>
        </w:rPr>
        <w:t xml:space="preserve"> </w:t>
      </w:r>
    </w:p>
    <w:p w14:paraId="36B3E213" w14:textId="5C8A5748" w:rsidR="00E0273F" w:rsidRPr="00E0273F" w:rsidRDefault="00E0273F" w:rsidP="00E0273F">
      <w:pPr>
        <w:spacing w:before="80" w:after="0"/>
      </w:pPr>
      <w:r w:rsidRPr="00E0273F">
        <w:t xml:space="preserve">Education is a human right, a catalyst for development and a powerful driver for reducing poverty and building strong, inclusive and resilient communities. </w:t>
      </w:r>
      <w:bookmarkStart w:id="1" w:name="_Hlk135720602"/>
      <w:r w:rsidRPr="00E0273F">
        <w:t xml:space="preserve">Australia’s education investments in the Indo-Pacific help prepare children and young people to contribute fully </w:t>
      </w:r>
      <w:proofErr w:type="gramStart"/>
      <w:r w:rsidRPr="00E0273F">
        <w:t>in</w:t>
      </w:r>
      <w:proofErr w:type="gramEnd"/>
      <w:r w:rsidRPr="00E0273F">
        <w:t xml:space="preserve"> their communities. </w:t>
      </w:r>
      <w:bookmarkEnd w:id="1"/>
    </w:p>
    <w:p w14:paraId="14B56AE6" w14:textId="333766A8" w:rsidR="00671161" w:rsidRPr="004D1D85" w:rsidRDefault="001E6A8F" w:rsidP="00C700DC">
      <w:pPr>
        <w:pStyle w:val="Heading3"/>
      </w:pPr>
      <w:r>
        <w:t>Strategic direction</w:t>
      </w:r>
    </w:p>
    <w:p w14:paraId="49AF18E4" w14:textId="4243558D" w:rsidR="002B3F2F" w:rsidRPr="002B3F2F" w:rsidRDefault="002B3F2F" w:rsidP="002B3F2F">
      <w:pPr>
        <w:spacing w:before="80" w:after="0"/>
      </w:pPr>
      <w:r w:rsidRPr="002B3F2F">
        <w:t xml:space="preserve">Australia’s education investments support regional partners to progress towards SDG4 targets and identify areas for collective engagement.  We are increasing our focus on evidence-based education and skills investments, especially for women, girls and people with disabilities. </w:t>
      </w:r>
    </w:p>
    <w:p w14:paraId="5D5AC775" w14:textId="4A561240" w:rsidR="002B3F2F" w:rsidRPr="002B3F2F" w:rsidRDefault="002B3F2F" w:rsidP="002B3F2F">
      <w:pPr>
        <w:spacing w:before="80" w:after="0"/>
      </w:pPr>
      <w:r w:rsidRPr="002B3F2F">
        <w:t>We are listening and responding to partner government priorities and the needs of schools and communities. Together, we are working to improve</w:t>
      </w:r>
      <w:r w:rsidRPr="002B3F2F" w:rsidDel="000A5EAA">
        <w:t xml:space="preserve"> </w:t>
      </w:r>
      <w:r w:rsidRPr="002B3F2F">
        <w:t xml:space="preserve">literacy and numeracy, essential for future learning and employment opportunities.  Australia is also expanding access to its world-class education resources, alongside policy exchange and partnership opportunities, to reduce disadvantage, </w:t>
      </w:r>
      <w:r w:rsidR="00731A4B">
        <w:t xml:space="preserve">foster leadership, </w:t>
      </w:r>
      <w:r w:rsidRPr="002B3F2F">
        <w:t>accelerate economic growth and support stability and security in our region.</w:t>
      </w:r>
    </w:p>
    <w:p w14:paraId="4572847D" w14:textId="2908EE81" w:rsidR="002923D5" w:rsidRPr="004D1D85" w:rsidRDefault="001E6A8F" w:rsidP="00C700DC">
      <w:pPr>
        <w:pStyle w:val="Heading3"/>
      </w:pPr>
      <w:r>
        <w:t>Program highlights</w:t>
      </w:r>
    </w:p>
    <w:p w14:paraId="60842B4B" w14:textId="04395B45" w:rsidR="00CB345C" w:rsidRDefault="00CB345C" w:rsidP="00CB345C">
      <w:pPr>
        <w:pStyle w:val="ListBullet"/>
      </w:pPr>
      <w:r>
        <w:t xml:space="preserve">Under </w:t>
      </w:r>
      <w:r w:rsidR="00E952DB">
        <w:t>the</w:t>
      </w:r>
      <w:r>
        <w:t xml:space="preserve"> </w:t>
      </w:r>
      <w:proofErr w:type="spellStart"/>
      <w:r w:rsidRPr="0034097D">
        <w:rPr>
          <w:i/>
          <w:iCs/>
        </w:rPr>
        <w:t>Vuvale</w:t>
      </w:r>
      <w:proofErr w:type="spellEnd"/>
      <w:r>
        <w:t xml:space="preserve"> Partnership, </w:t>
      </w:r>
      <w:r w:rsidRPr="00F93991">
        <w:rPr>
          <w:b/>
          <w:bCs/>
        </w:rPr>
        <w:t>Fiji and Australia</w:t>
      </w:r>
      <w:r>
        <w:t xml:space="preserve"> are working together towards high-quality and inclusive education, training and skills in Fiji. Our development assistance supports primary and secondary schools, skills development, tertiary studies and </w:t>
      </w:r>
      <w:r w:rsidR="0034097D">
        <w:t xml:space="preserve">other </w:t>
      </w:r>
      <w:r>
        <w:t xml:space="preserve">regional organisations. </w:t>
      </w:r>
    </w:p>
    <w:p w14:paraId="3C62BE9C" w14:textId="72C1950C" w:rsidR="00933C08" w:rsidRPr="00CC1278" w:rsidRDefault="00933C08" w:rsidP="00CE26D5">
      <w:pPr>
        <w:pStyle w:val="ListBullet"/>
      </w:pPr>
      <w:r>
        <w:t xml:space="preserve">Australia has been investing in the </w:t>
      </w:r>
      <w:r w:rsidRPr="00F93991">
        <w:rPr>
          <w:b/>
          <w:bCs/>
        </w:rPr>
        <w:t>University of the South Pacific (USP)</w:t>
      </w:r>
      <w:r>
        <w:t>, the region’s pre-eminent tertiary organisation, for over 5 decades. In 2024, over 4,000 students graduated from across USP’s 14 regional campuses with tertiary qualifications.</w:t>
      </w:r>
    </w:p>
    <w:p w14:paraId="333734C0" w14:textId="188AE266" w:rsidR="00933C08" w:rsidRDefault="00933C08" w:rsidP="00933C08">
      <w:pPr>
        <w:pStyle w:val="ListBullet"/>
      </w:pPr>
      <w:r>
        <w:t xml:space="preserve">Australia invests in the Pacific Community’s </w:t>
      </w:r>
      <w:r w:rsidRPr="00F93991">
        <w:rPr>
          <w:b/>
          <w:bCs/>
        </w:rPr>
        <w:t xml:space="preserve">Educational Quality and Assessment Programme (EQAP) </w:t>
      </w:r>
      <w:r>
        <w:t xml:space="preserve">to provide technical education services to 15 </w:t>
      </w:r>
      <w:r w:rsidR="0074552F">
        <w:t>Pacific Island</w:t>
      </w:r>
      <w:r>
        <w:t xml:space="preserve"> countries.  In 2024, EQAP conducted field trials with 2469 students from 37 schools across the Pacific in preparation for the 2025 Pacific Islands Literacy and Numeracy Assessment (PILNA). </w:t>
      </w:r>
    </w:p>
    <w:p w14:paraId="18C640B8" w14:textId="5FEBA18B" w:rsidR="00C07D97" w:rsidRPr="00C07D97" w:rsidRDefault="00364E54" w:rsidP="00C07D97">
      <w:pPr>
        <w:pStyle w:val="ListBullet"/>
      </w:pPr>
      <w:r>
        <w:t>In Papua New Guinea, t</w:t>
      </w:r>
      <w:r w:rsidR="00C07D97" w:rsidRPr="00C07D97">
        <w:t xml:space="preserve">he </w:t>
      </w:r>
      <w:r w:rsidR="00C07D97" w:rsidRPr="00C07D97">
        <w:rPr>
          <w:b/>
          <w:bCs/>
        </w:rPr>
        <w:t xml:space="preserve">Partnerships for Improving Education (PIE) </w:t>
      </w:r>
      <w:r w:rsidR="00C07D97" w:rsidRPr="00C07D97">
        <w:t xml:space="preserve">program delivers technical assistance and grants to support improved educational outcomes for early grades (Prep to Grade 2) in alignment </w:t>
      </w:r>
      <w:r w:rsidR="001C2070">
        <w:t>with</w:t>
      </w:r>
      <w:r w:rsidR="00C07D97" w:rsidRPr="00C07D97">
        <w:t xml:space="preserve"> PNG’s National Education Plan. In 2024, PIE continued to deliver meaningful results </w:t>
      </w:r>
      <w:r w:rsidR="00B712A2">
        <w:t>strengthening</w:t>
      </w:r>
      <w:r w:rsidR="00C07D97" w:rsidRPr="00C07D97">
        <w:t xml:space="preserve"> access and retention, teacher education and improv</w:t>
      </w:r>
      <w:r w:rsidR="00B712A2">
        <w:t>ing</w:t>
      </w:r>
      <w:r w:rsidR="00C07D97" w:rsidRPr="00C07D97">
        <w:t xml:space="preserve"> systems. PIE’s </w:t>
      </w:r>
      <w:r w:rsidR="00731A4B">
        <w:t>investment in</w:t>
      </w:r>
      <w:r w:rsidR="00731A4B" w:rsidRPr="00C07D97">
        <w:t xml:space="preserve"> </w:t>
      </w:r>
      <w:r w:rsidR="00C07D97" w:rsidRPr="00C07D97">
        <w:t xml:space="preserve"> access and quality in the early grades </w:t>
      </w:r>
      <w:r w:rsidR="00731A4B">
        <w:t xml:space="preserve"> is</w:t>
      </w:r>
      <w:r w:rsidR="00C07D97" w:rsidRPr="00C07D97">
        <w:t xml:space="preserve"> improving educational outcomes </w:t>
      </w:r>
      <w:r w:rsidR="00731A4B">
        <w:t>for</w:t>
      </w:r>
      <w:r w:rsidR="00731A4B" w:rsidRPr="00C07D97">
        <w:t xml:space="preserve"> </w:t>
      </w:r>
      <w:r w:rsidR="00C07D97" w:rsidRPr="00C07D97">
        <w:t xml:space="preserve">over five thousand teachers and more than 100,000 students in four regionally representative locations. </w:t>
      </w:r>
    </w:p>
    <w:p w14:paraId="0E141FBA" w14:textId="01AEE463" w:rsidR="0074376A" w:rsidRDefault="0074376A" w:rsidP="0074376A">
      <w:pPr>
        <w:pStyle w:val="ListBullet"/>
      </w:pPr>
      <w:r>
        <w:t>With Australia</w:t>
      </w:r>
      <w:r w:rsidR="0028503C">
        <w:t>’s</w:t>
      </w:r>
      <w:r>
        <w:t xml:space="preserve"> </w:t>
      </w:r>
      <w:r w:rsidR="0028503C">
        <w:t>support</w:t>
      </w:r>
      <w:r>
        <w:t xml:space="preserve">, </w:t>
      </w:r>
      <w:r w:rsidR="00B712A2">
        <w:t xml:space="preserve">in 2024 in </w:t>
      </w:r>
      <w:r w:rsidR="00B712A2" w:rsidRPr="002D7F31">
        <w:rPr>
          <w:b/>
          <w:bCs/>
        </w:rPr>
        <w:t>Lao PDR</w:t>
      </w:r>
      <w:r w:rsidR="00B712A2">
        <w:t xml:space="preserve"> </w:t>
      </w:r>
      <w:r>
        <w:t>a Lao language support program</w:t>
      </w:r>
      <w:r w:rsidR="00B712A2">
        <w:t xml:space="preserve"> was rolled out,</w:t>
      </w:r>
      <w:r>
        <w:t xml:space="preserve"> targeted at primary students from ethnic communities</w:t>
      </w:r>
      <w:r w:rsidR="00B712A2">
        <w:t>.</w:t>
      </w:r>
      <w:r w:rsidR="000726BD">
        <w:t xml:space="preserve"> </w:t>
      </w:r>
      <w:r w:rsidR="00B712A2">
        <w:t xml:space="preserve">It focussed on </w:t>
      </w:r>
      <w:r>
        <w:t>ensuring greater inclusion for learners from non-Lao-speaking backgrounds.</w:t>
      </w:r>
    </w:p>
    <w:p w14:paraId="3D2641D9" w14:textId="6A25E3A1" w:rsidR="007E7C9F" w:rsidRDefault="00D9538B" w:rsidP="007E7C9F">
      <w:pPr>
        <w:pStyle w:val="ListBullet"/>
      </w:pPr>
      <w:r>
        <w:t>Australia</w:t>
      </w:r>
      <w:r w:rsidR="002D7F31">
        <w:t xml:space="preserve"> </w:t>
      </w:r>
      <w:r>
        <w:t xml:space="preserve">contributed to key </w:t>
      </w:r>
      <w:r w:rsidRPr="002D7F31">
        <w:rPr>
          <w:b/>
          <w:bCs/>
        </w:rPr>
        <w:t>Philippine education policy reforms</w:t>
      </w:r>
      <w:r>
        <w:t>, including the passage of a new law promoting enterprise-based education and training (</w:t>
      </w:r>
      <w:r w:rsidR="00B712A2">
        <w:t>R</w:t>
      </w:r>
      <w:r>
        <w:t xml:space="preserve">epublic </w:t>
      </w:r>
      <w:r w:rsidR="00B712A2">
        <w:t>A</w:t>
      </w:r>
      <w:r>
        <w:t>ct 12063) and institutionalisation of competency standards in teacher and principal promotions.</w:t>
      </w:r>
    </w:p>
    <w:sectPr w:rsidR="007E7C9F" w:rsidSect="0095740E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872" w:right="850" w:bottom="990" w:left="850" w:header="850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9E844" w14:textId="77777777" w:rsidR="00472DC0" w:rsidRDefault="00472DC0" w:rsidP="00EE32FE">
      <w:pPr>
        <w:spacing w:after="0" w:line="240" w:lineRule="auto"/>
      </w:pPr>
      <w:r>
        <w:separator/>
      </w:r>
    </w:p>
  </w:endnote>
  <w:endnote w:type="continuationSeparator" w:id="0">
    <w:p w14:paraId="78670487" w14:textId="77777777" w:rsidR="00472DC0" w:rsidRDefault="00472DC0" w:rsidP="00EE32FE">
      <w:pPr>
        <w:spacing w:after="0" w:line="240" w:lineRule="auto"/>
      </w:pPr>
      <w:r>
        <w:continuationSeparator/>
      </w:r>
    </w:p>
  </w:endnote>
  <w:endnote w:type="continuationNotice" w:id="1">
    <w:p w14:paraId="76F4BEBD" w14:textId="77777777" w:rsidR="00472DC0" w:rsidRDefault="00472D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FFFFFF" w:themeColor="background1"/>
      </w:rPr>
      <w:id w:val="-1084381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CD4674" w14:textId="2DD6A0D1" w:rsidR="00F40F77" w:rsidRPr="004D49FE" w:rsidRDefault="008E290E">
        <w:pPr>
          <w:pStyle w:val="Footer"/>
          <w:rPr>
            <w:color w:val="FFFFFF" w:themeColor="background1"/>
          </w:rPr>
        </w:pPr>
        <w:r w:rsidRPr="00C71682">
          <w:rPr>
            <w:noProof/>
            <w:color w:val="FFFFFF" w:themeColor="background1"/>
          </w:rPr>
          <w:drawing>
            <wp:anchor distT="0" distB="0" distL="114300" distR="114300" simplePos="0" relativeHeight="251658243" behindDoc="1" locked="0" layoutInCell="1" allowOverlap="1" wp14:anchorId="1DE43D9B" wp14:editId="4A81363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58095" cy="576000"/>
              <wp:effectExtent l="0" t="0" r="5080" b="0"/>
              <wp:wrapNone/>
              <wp:docPr id="1262859980" name="Picture 126285998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3988066" name="Picture 38398806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095" cy="57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D1D28" w:rsidRPr="004D49FE">
          <w:rPr>
            <w:color w:val="FFFFFF" w:themeColor="background1"/>
          </w:rPr>
          <w:fldChar w:fldCharType="begin"/>
        </w:r>
        <w:r w:rsidR="00BD1D28" w:rsidRPr="004D49FE">
          <w:rPr>
            <w:color w:val="FFFFFF" w:themeColor="background1"/>
          </w:rPr>
          <w:instrText xml:space="preserve"> PAGE   \* MERGEFORMAT </w:instrText>
        </w:r>
        <w:r w:rsidR="00BD1D28" w:rsidRPr="004D49FE">
          <w:rPr>
            <w:color w:val="FFFFFF" w:themeColor="background1"/>
          </w:rPr>
          <w:fldChar w:fldCharType="separate"/>
        </w:r>
        <w:r w:rsidR="00BD1D28" w:rsidRPr="004D49FE">
          <w:rPr>
            <w:noProof/>
            <w:color w:val="FFFFFF" w:themeColor="background1"/>
          </w:rPr>
          <w:t>2</w:t>
        </w:r>
        <w:r w:rsidR="00BD1D28" w:rsidRPr="004D49FE">
          <w:rPr>
            <w:noProof/>
            <w:color w:val="FFFFFF" w:themeColor="background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FFFFFF" w:themeColor="background1"/>
      </w:rPr>
      <w:id w:val="-14103067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984756" w14:textId="18EE118E" w:rsidR="00E50E59" w:rsidRPr="00C71682" w:rsidRDefault="00C71682">
        <w:pPr>
          <w:pStyle w:val="Footer"/>
          <w:rPr>
            <w:color w:val="FFFFFF" w:themeColor="background1"/>
          </w:rPr>
        </w:pPr>
        <w:r w:rsidRPr="00C71682">
          <w:rPr>
            <w:noProof/>
            <w:color w:val="FFFFFF" w:themeColor="background1"/>
          </w:rPr>
          <w:drawing>
            <wp:anchor distT="0" distB="0" distL="114300" distR="114300" simplePos="0" relativeHeight="251658242" behindDoc="1" locked="0" layoutInCell="1" allowOverlap="1" wp14:anchorId="57098BE2" wp14:editId="06078AE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58095" cy="576000"/>
              <wp:effectExtent l="0" t="0" r="5080" b="0"/>
              <wp:wrapNone/>
              <wp:docPr id="1775130529" name="Picture 17751305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2243087" name="Picture 170224308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095" cy="57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46B16" w:rsidRPr="00C71682">
          <w:rPr>
            <w:color w:val="FFFFFF" w:themeColor="background1"/>
          </w:rPr>
          <w:fldChar w:fldCharType="begin"/>
        </w:r>
        <w:r w:rsidR="00F46B16" w:rsidRPr="00C71682">
          <w:rPr>
            <w:color w:val="FFFFFF" w:themeColor="background1"/>
          </w:rPr>
          <w:instrText xml:space="preserve"> PAGE   \* MERGEFORMAT </w:instrText>
        </w:r>
        <w:r w:rsidR="00F46B16" w:rsidRPr="00C71682">
          <w:rPr>
            <w:color w:val="FFFFFF" w:themeColor="background1"/>
          </w:rPr>
          <w:fldChar w:fldCharType="separate"/>
        </w:r>
        <w:r w:rsidR="00F46B16" w:rsidRPr="00C71682">
          <w:rPr>
            <w:noProof/>
            <w:color w:val="FFFFFF" w:themeColor="background1"/>
          </w:rPr>
          <w:t>2</w:t>
        </w:r>
        <w:r w:rsidR="00F46B16" w:rsidRPr="00C71682">
          <w:rPr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46EC3" w14:textId="77777777" w:rsidR="00472DC0" w:rsidRDefault="00472DC0" w:rsidP="00EE32FE">
      <w:pPr>
        <w:spacing w:after="0" w:line="240" w:lineRule="auto"/>
      </w:pPr>
      <w:bookmarkStart w:id="0" w:name="_Hlk127364773"/>
      <w:bookmarkEnd w:id="0"/>
      <w:r>
        <w:separator/>
      </w:r>
    </w:p>
  </w:footnote>
  <w:footnote w:type="continuationSeparator" w:id="0">
    <w:p w14:paraId="3CA52930" w14:textId="77777777" w:rsidR="00472DC0" w:rsidRDefault="00472DC0" w:rsidP="00EE32FE">
      <w:pPr>
        <w:spacing w:after="0" w:line="240" w:lineRule="auto"/>
      </w:pPr>
      <w:r>
        <w:continuationSeparator/>
      </w:r>
    </w:p>
  </w:footnote>
  <w:footnote w:type="continuationNotice" w:id="1">
    <w:p w14:paraId="10E7CEF7" w14:textId="77777777" w:rsidR="00472DC0" w:rsidRDefault="00472D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8F6E9" w14:textId="4D8987F0" w:rsidR="00306BCA" w:rsidRDefault="0076381C">
    <w:pPr>
      <w:pStyle w:val="Header"/>
    </w:pPr>
    <w:r>
      <w:rPr>
        <w:noProof/>
      </w:rPr>
      <w:drawing>
        <wp:anchor distT="0" distB="0" distL="114300" distR="114300" simplePos="0" relativeHeight="251658244" behindDoc="1" locked="0" layoutInCell="1" allowOverlap="1" wp14:anchorId="3030DA87" wp14:editId="568F13BD">
          <wp:simplePos x="541606" y="618978"/>
          <wp:positionH relativeFrom="page">
            <wp:align>center</wp:align>
          </wp:positionH>
          <wp:positionV relativeFrom="page">
            <wp:align>top</wp:align>
          </wp:positionV>
          <wp:extent cx="7558095" cy="576000"/>
          <wp:effectExtent l="0" t="0" r="5080" b="0"/>
          <wp:wrapNone/>
          <wp:docPr id="689029027" name="Picture 1" descr="Page two header banner text includes Australia’s International Development Program on dark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029027" name="Picture 1" descr="Page two header banner text includes Australia’s International Development Program on dark backgroun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095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8360E" w14:textId="323C0657" w:rsidR="00704573" w:rsidRDefault="00235C52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6BA3015" wp14:editId="43712648">
          <wp:simplePos x="0" y="0"/>
          <wp:positionH relativeFrom="page">
            <wp:posOffset>10937875</wp:posOffset>
          </wp:positionH>
          <wp:positionV relativeFrom="page">
            <wp:posOffset>112395</wp:posOffset>
          </wp:positionV>
          <wp:extent cx="7689850" cy="585470"/>
          <wp:effectExtent l="0" t="0" r="6350" b="5080"/>
          <wp:wrapNone/>
          <wp:docPr id="1045347589" name="Picture 104534758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1797426" name="Picture 113179742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9850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28F0">
      <w:rPr>
        <w:noProof/>
      </w:rPr>
      <w:drawing>
        <wp:anchor distT="0" distB="0" distL="114300" distR="114300" simplePos="0" relativeHeight="251658240" behindDoc="0" locked="0" layoutInCell="1" allowOverlap="1" wp14:anchorId="57FCDF50" wp14:editId="5B4A69F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80000"/>
          <wp:effectExtent l="0" t="0" r="3175" b="6350"/>
          <wp:wrapNone/>
          <wp:docPr id="211028110" name="Picture 211028110" descr="Header banner including Australian Government Department of Foreign Affairs and Trade logos and Australian Aid identifier on the right hand sid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028110" name="Picture 211028110" descr="Header banner including Australian Government Department of Foreign Affairs and Trade logos and Australian Aid identifier on the right hand sid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C6835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A2D46"/>
    <w:multiLevelType w:val="hybridMultilevel"/>
    <w:tmpl w:val="4AB6AC2E"/>
    <w:lvl w:ilvl="0" w:tplc="018A84B8">
      <w:start w:val="1"/>
      <w:numFmt w:val="decimal"/>
      <w:lvlText w:val="%1."/>
      <w:lvlJc w:val="left"/>
      <w:pPr>
        <w:ind w:left="1020" w:hanging="360"/>
      </w:pPr>
    </w:lvl>
    <w:lvl w:ilvl="1" w:tplc="F83812DE">
      <w:start w:val="1"/>
      <w:numFmt w:val="decimal"/>
      <w:lvlText w:val="%2."/>
      <w:lvlJc w:val="left"/>
      <w:pPr>
        <w:ind w:left="1020" w:hanging="360"/>
      </w:pPr>
    </w:lvl>
    <w:lvl w:ilvl="2" w:tplc="33B408C8">
      <w:start w:val="1"/>
      <w:numFmt w:val="decimal"/>
      <w:lvlText w:val="%3."/>
      <w:lvlJc w:val="left"/>
      <w:pPr>
        <w:ind w:left="1020" w:hanging="360"/>
      </w:pPr>
    </w:lvl>
    <w:lvl w:ilvl="3" w:tplc="52948C7C">
      <w:start w:val="1"/>
      <w:numFmt w:val="decimal"/>
      <w:lvlText w:val="%4."/>
      <w:lvlJc w:val="left"/>
      <w:pPr>
        <w:ind w:left="1020" w:hanging="360"/>
      </w:pPr>
    </w:lvl>
    <w:lvl w:ilvl="4" w:tplc="1D26C1C4">
      <w:start w:val="1"/>
      <w:numFmt w:val="decimal"/>
      <w:lvlText w:val="%5."/>
      <w:lvlJc w:val="left"/>
      <w:pPr>
        <w:ind w:left="1020" w:hanging="360"/>
      </w:pPr>
    </w:lvl>
    <w:lvl w:ilvl="5" w:tplc="07803DD6">
      <w:start w:val="1"/>
      <w:numFmt w:val="decimal"/>
      <w:lvlText w:val="%6."/>
      <w:lvlJc w:val="left"/>
      <w:pPr>
        <w:ind w:left="1020" w:hanging="360"/>
      </w:pPr>
    </w:lvl>
    <w:lvl w:ilvl="6" w:tplc="8D881B56">
      <w:start w:val="1"/>
      <w:numFmt w:val="decimal"/>
      <w:lvlText w:val="%7."/>
      <w:lvlJc w:val="left"/>
      <w:pPr>
        <w:ind w:left="1020" w:hanging="360"/>
      </w:pPr>
    </w:lvl>
    <w:lvl w:ilvl="7" w:tplc="0142917C">
      <w:start w:val="1"/>
      <w:numFmt w:val="decimal"/>
      <w:lvlText w:val="%8."/>
      <w:lvlJc w:val="left"/>
      <w:pPr>
        <w:ind w:left="1020" w:hanging="360"/>
      </w:pPr>
    </w:lvl>
    <w:lvl w:ilvl="8" w:tplc="B7082D96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06FD3725"/>
    <w:multiLevelType w:val="hybridMultilevel"/>
    <w:tmpl w:val="87BCA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A00A4"/>
    <w:multiLevelType w:val="hybridMultilevel"/>
    <w:tmpl w:val="979494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63D02"/>
    <w:multiLevelType w:val="hybridMultilevel"/>
    <w:tmpl w:val="872410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81268"/>
    <w:multiLevelType w:val="hybridMultilevel"/>
    <w:tmpl w:val="9D3EE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321E9"/>
    <w:multiLevelType w:val="hybridMultilevel"/>
    <w:tmpl w:val="389AC8A6"/>
    <w:lvl w:ilvl="0" w:tplc="259AD006">
      <w:start w:val="1"/>
      <w:numFmt w:val="decimal"/>
      <w:lvlText w:val="%1."/>
      <w:lvlJc w:val="left"/>
      <w:pPr>
        <w:ind w:left="1020" w:hanging="360"/>
      </w:pPr>
    </w:lvl>
    <w:lvl w:ilvl="1" w:tplc="30241C60">
      <w:start w:val="1"/>
      <w:numFmt w:val="decimal"/>
      <w:lvlText w:val="%2."/>
      <w:lvlJc w:val="left"/>
      <w:pPr>
        <w:ind w:left="1020" w:hanging="360"/>
      </w:pPr>
    </w:lvl>
    <w:lvl w:ilvl="2" w:tplc="0842401C">
      <w:start w:val="1"/>
      <w:numFmt w:val="decimal"/>
      <w:lvlText w:val="%3."/>
      <w:lvlJc w:val="left"/>
      <w:pPr>
        <w:ind w:left="1020" w:hanging="360"/>
      </w:pPr>
    </w:lvl>
    <w:lvl w:ilvl="3" w:tplc="DDA47CE2">
      <w:start w:val="1"/>
      <w:numFmt w:val="decimal"/>
      <w:lvlText w:val="%4."/>
      <w:lvlJc w:val="left"/>
      <w:pPr>
        <w:ind w:left="1020" w:hanging="360"/>
      </w:pPr>
    </w:lvl>
    <w:lvl w:ilvl="4" w:tplc="8F6A5CA4">
      <w:start w:val="1"/>
      <w:numFmt w:val="decimal"/>
      <w:lvlText w:val="%5."/>
      <w:lvlJc w:val="left"/>
      <w:pPr>
        <w:ind w:left="1020" w:hanging="360"/>
      </w:pPr>
    </w:lvl>
    <w:lvl w:ilvl="5" w:tplc="9550A5B6">
      <w:start w:val="1"/>
      <w:numFmt w:val="decimal"/>
      <w:lvlText w:val="%6."/>
      <w:lvlJc w:val="left"/>
      <w:pPr>
        <w:ind w:left="1020" w:hanging="360"/>
      </w:pPr>
    </w:lvl>
    <w:lvl w:ilvl="6" w:tplc="E97836DE">
      <w:start w:val="1"/>
      <w:numFmt w:val="decimal"/>
      <w:lvlText w:val="%7."/>
      <w:lvlJc w:val="left"/>
      <w:pPr>
        <w:ind w:left="1020" w:hanging="360"/>
      </w:pPr>
    </w:lvl>
    <w:lvl w:ilvl="7" w:tplc="4FFA85CC">
      <w:start w:val="1"/>
      <w:numFmt w:val="decimal"/>
      <w:lvlText w:val="%8."/>
      <w:lvlJc w:val="left"/>
      <w:pPr>
        <w:ind w:left="1020" w:hanging="360"/>
      </w:pPr>
    </w:lvl>
    <w:lvl w:ilvl="8" w:tplc="4EE86F6C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2354785C"/>
    <w:multiLevelType w:val="hybridMultilevel"/>
    <w:tmpl w:val="63704D7C"/>
    <w:lvl w:ilvl="0" w:tplc="053899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5C26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5CE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2411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22F2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8479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7CF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606C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F841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73B3D6C"/>
    <w:multiLevelType w:val="hybridMultilevel"/>
    <w:tmpl w:val="553C6C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3341A"/>
    <w:multiLevelType w:val="hybridMultilevel"/>
    <w:tmpl w:val="948C41E2"/>
    <w:lvl w:ilvl="0" w:tplc="476EC8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472A5"/>
    <w:multiLevelType w:val="hybridMultilevel"/>
    <w:tmpl w:val="E3408DC2"/>
    <w:lvl w:ilvl="0" w:tplc="B0683738">
      <w:start w:val="1"/>
      <w:numFmt w:val="decimal"/>
      <w:lvlText w:val="%1."/>
      <w:lvlJc w:val="left"/>
      <w:pPr>
        <w:ind w:left="1020" w:hanging="360"/>
      </w:pPr>
    </w:lvl>
    <w:lvl w:ilvl="1" w:tplc="A6802ABE">
      <w:start w:val="1"/>
      <w:numFmt w:val="decimal"/>
      <w:lvlText w:val="%2."/>
      <w:lvlJc w:val="left"/>
      <w:pPr>
        <w:ind w:left="1020" w:hanging="360"/>
      </w:pPr>
    </w:lvl>
    <w:lvl w:ilvl="2" w:tplc="2F74BCDC">
      <w:start w:val="1"/>
      <w:numFmt w:val="decimal"/>
      <w:lvlText w:val="%3."/>
      <w:lvlJc w:val="left"/>
      <w:pPr>
        <w:ind w:left="1020" w:hanging="360"/>
      </w:pPr>
    </w:lvl>
    <w:lvl w:ilvl="3" w:tplc="FE6ADC6E">
      <w:start w:val="1"/>
      <w:numFmt w:val="decimal"/>
      <w:lvlText w:val="%4."/>
      <w:lvlJc w:val="left"/>
      <w:pPr>
        <w:ind w:left="1020" w:hanging="360"/>
      </w:pPr>
    </w:lvl>
    <w:lvl w:ilvl="4" w:tplc="03029E9E">
      <w:start w:val="1"/>
      <w:numFmt w:val="decimal"/>
      <w:lvlText w:val="%5."/>
      <w:lvlJc w:val="left"/>
      <w:pPr>
        <w:ind w:left="1020" w:hanging="360"/>
      </w:pPr>
    </w:lvl>
    <w:lvl w:ilvl="5" w:tplc="90105E3E">
      <w:start w:val="1"/>
      <w:numFmt w:val="decimal"/>
      <w:lvlText w:val="%6."/>
      <w:lvlJc w:val="left"/>
      <w:pPr>
        <w:ind w:left="1020" w:hanging="360"/>
      </w:pPr>
    </w:lvl>
    <w:lvl w:ilvl="6" w:tplc="F4F2A512">
      <w:start w:val="1"/>
      <w:numFmt w:val="decimal"/>
      <w:lvlText w:val="%7."/>
      <w:lvlJc w:val="left"/>
      <w:pPr>
        <w:ind w:left="1020" w:hanging="360"/>
      </w:pPr>
    </w:lvl>
    <w:lvl w:ilvl="7" w:tplc="1100ACDA">
      <w:start w:val="1"/>
      <w:numFmt w:val="decimal"/>
      <w:lvlText w:val="%8."/>
      <w:lvlJc w:val="left"/>
      <w:pPr>
        <w:ind w:left="1020" w:hanging="360"/>
      </w:pPr>
    </w:lvl>
    <w:lvl w:ilvl="8" w:tplc="D44610F4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2F377B21"/>
    <w:multiLevelType w:val="hybridMultilevel"/>
    <w:tmpl w:val="CAC233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266D68"/>
    <w:multiLevelType w:val="hybridMultilevel"/>
    <w:tmpl w:val="9E5A5624"/>
    <w:lvl w:ilvl="0" w:tplc="04DA5E22">
      <w:start w:val="1"/>
      <w:numFmt w:val="decimal"/>
      <w:pStyle w:val="BodycopyNumberedBullets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F4CFF"/>
    <w:multiLevelType w:val="hybridMultilevel"/>
    <w:tmpl w:val="556C92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80FB7"/>
    <w:multiLevelType w:val="hybridMultilevel"/>
    <w:tmpl w:val="055ACAB4"/>
    <w:lvl w:ilvl="0" w:tplc="2FE82136">
      <w:start w:val="1"/>
      <w:numFmt w:val="bullet"/>
      <w:pStyle w:val="BodyCop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E006B"/>
    <w:multiLevelType w:val="hybridMultilevel"/>
    <w:tmpl w:val="2C4A8B54"/>
    <w:lvl w:ilvl="0" w:tplc="62D02FC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60324A3"/>
    <w:multiLevelType w:val="hybridMultilevel"/>
    <w:tmpl w:val="72A46C1C"/>
    <w:lvl w:ilvl="0" w:tplc="0EECF4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2A89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B476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38B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A88F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70DF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D8A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FA51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1259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E252072"/>
    <w:multiLevelType w:val="hybridMultilevel"/>
    <w:tmpl w:val="FE1E5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315745">
    <w:abstractNumId w:val="12"/>
  </w:num>
  <w:num w:numId="2" w16cid:durableId="768818958">
    <w:abstractNumId w:val="12"/>
    <w:lvlOverride w:ilvl="0">
      <w:startOverride w:val="1"/>
    </w:lvlOverride>
  </w:num>
  <w:num w:numId="3" w16cid:durableId="1890258398">
    <w:abstractNumId w:val="12"/>
    <w:lvlOverride w:ilvl="0">
      <w:startOverride w:val="1"/>
    </w:lvlOverride>
  </w:num>
  <w:num w:numId="4" w16cid:durableId="649091149">
    <w:abstractNumId w:val="14"/>
  </w:num>
  <w:num w:numId="5" w16cid:durableId="934098631">
    <w:abstractNumId w:val="4"/>
  </w:num>
  <w:num w:numId="6" w16cid:durableId="151024048">
    <w:abstractNumId w:val="12"/>
    <w:lvlOverride w:ilvl="0">
      <w:startOverride w:val="1"/>
    </w:lvlOverride>
  </w:num>
  <w:num w:numId="7" w16cid:durableId="1836610287">
    <w:abstractNumId w:val="12"/>
    <w:lvlOverride w:ilvl="0">
      <w:startOverride w:val="1"/>
    </w:lvlOverride>
  </w:num>
  <w:num w:numId="8" w16cid:durableId="2006547766">
    <w:abstractNumId w:val="12"/>
    <w:lvlOverride w:ilvl="0">
      <w:startOverride w:val="1"/>
    </w:lvlOverride>
  </w:num>
  <w:num w:numId="9" w16cid:durableId="1379822385">
    <w:abstractNumId w:val="17"/>
  </w:num>
  <w:num w:numId="10" w16cid:durableId="1276981909">
    <w:abstractNumId w:val="13"/>
  </w:num>
  <w:num w:numId="11" w16cid:durableId="1977682116">
    <w:abstractNumId w:val="14"/>
  </w:num>
  <w:num w:numId="12" w16cid:durableId="1696269951">
    <w:abstractNumId w:val="14"/>
  </w:num>
  <w:num w:numId="13" w16cid:durableId="1555584703">
    <w:abstractNumId w:val="0"/>
  </w:num>
  <w:num w:numId="14" w16cid:durableId="366376057">
    <w:abstractNumId w:val="16"/>
  </w:num>
  <w:num w:numId="15" w16cid:durableId="1909922326">
    <w:abstractNumId w:val="7"/>
  </w:num>
  <w:num w:numId="16" w16cid:durableId="2124684593">
    <w:abstractNumId w:val="6"/>
  </w:num>
  <w:num w:numId="17" w16cid:durableId="906037808">
    <w:abstractNumId w:val="3"/>
  </w:num>
  <w:num w:numId="18" w16cid:durableId="1378120932">
    <w:abstractNumId w:val="9"/>
  </w:num>
  <w:num w:numId="19" w16cid:durableId="219564270">
    <w:abstractNumId w:val="1"/>
  </w:num>
  <w:num w:numId="20" w16cid:durableId="1372995176">
    <w:abstractNumId w:val="10"/>
  </w:num>
  <w:num w:numId="21" w16cid:durableId="1879587732">
    <w:abstractNumId w:val="11"/>
  </w:num>
  <w:num w:numId="22" w16cid:durableId="815923401">
    <w:abstractNumId w:val="2"/>
  </w:num>
  <w:num w:numId="23" w16cid:durableId="1123579742">
    <w:abstractNumId w:val="8"/>
  </w:num>
  <w:num w:numId="24" w16cid:durableId="558320813">
    <w:abstractNumId w:val="5"/>
  </w:num>
  <w:num w:numId="25" w16cid:durableId="17428296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5D"/>
    <w:rsid w:val="0000077E"/>
    <w:rsid w:val="00017776"/>
    <w:rsid w:val="00021DCB"/>
    <w:rsid w:val="000242BB"/>
    <w:rsid w:val="00025428"/>
    <w:rsid w:val="00025DF3"/>
    <w:rsid w:val="00030679"/>
    <w:rsid w:val="00045E13"/>
    <w:rsid w:val="000502CA"/>
    <w:rsid w:val="00053D6A"/>
    <w:rsid w:val="00055254"/>
    <w:rsid w:val="00055F8D"/>
    <w:rsid w:val="00065484"/>
    <w:rsid w:val="0007092D"/>
    <w:rsid w:val="000726BD"/>
    <w:rsid w:val="00074F02"/>
    <w:rsid w:val="000777A8"/>
    <w:rsid w:val="00077882"/>
    <w:rsid w:val="00080BCC"/>
    <w:rsid w:val="00084E15"/>
    <w:rsid w:val="00094F36"/>
    <w:rsid w:val="000A33CC"/>
    <w:rsid w:val="000A3684"/>
    <w:rsid w:val="000B7CE5"/>
    <w:rsid w:val="000C1AA4"/>
    <w:rsid w:val="000C6D02"/>
    <w:rsid w:val="000D4EC3"/>
    <w:rsid w:val="000E5A2E"/>
    <w:rsid w:val="000F1407"/>
    <w:rsid w:val="000F3EC7"/>
    <w:rsid w:val="000F5487"/>
    <w:rsid w:val="00100543"/>
    <w:rsid w:val="0010098A"/>
    <w:rsid w:val="00100CEB"/>
    <w:rsid w:val="001120F8"/>
    <w:rsid w:val="00112765"/>
    <w:rsid w:val="00123E7B"/>
    <w:rsid w:val="00130FA7"/>
    <w:rsid w:val="00133CD1"/>
    <w:rsid w:val="001405B7"/>
    <w:rsid w:val="00144289"/>
    <w:rsid w:val="00152BF7"/>
    <w:rsid w:val="001539F6"/>
    <w:rsid w:val="00155730"/>
    <w:rsid w:val="00155B0E"/>
    <w:rsid w:val="00156F0A"/>
    <w:rsid w:val="00163AE3"/>
    <w:rsid w:val="001869DB"/>
    <w:rsid w:val="0019463F"/>
    <w:rsid w:val="00197CF8"/>
    <w:rsid w:val="001A3856"/>
    <w:rsid w:val="001B3A98"/>
    <w:rsid w:val="001B3B4C"/>
    <w:rsid w:val="001B3D6A"/>
    <w:rsid w:val="001B461C"/>
    <w:rsid w:val="001C2070"/>
    <w:rsid w:val="001D0846"/>
    <w:rsid w:val="001D28EB"/>
    <w:rsid w:val="001D29C1"/>
    <w:rsid w:val="001D7F3A"/>
    <w:rsid w:val="001E0A36"/>
    <w:rsid w:val="001E0D67"/>
    <w:rsid w:val="001E6A8F"/>
    <w:rsid w:val="00206BB9"/>
    <w:rsid w:val="0021791D"/>
    <w:rsid w:val="00220121"/>
    <w:rsid w:val="00222C6E"/>
    <w:rsid w:val="00232F10"/>
    <w:rsid w:val="00233F1A"/>
    <w:rsid w:val="00235C52"/>
    <w:rsid w:val="0023702A"/>
    <w:rsid w:val="002449A4"/>
    <w:rsid w:val="00246196"/>
    <w:rsid w:val="00252A46"/>
    <w:rsid w:val="00265727"/>
    <w:rsid w:val="00274B14"/>
    <w:rsid w:val="0028503C"/>
    <w:rsid w:val="002903BA"/>
    <w:rsid w:val="00290E4E"/>
    <w:rsid w:val="002923D5"/>
    <w:rsid w:val="00292A6D"/>
    <w:rsid w:val="002965B1"/>
    <w:rsid w:val="002A027E"/>
    <w:rsid w:val="002A03E7"/>
    <w:rsid w:val="002A2D52"/>
    <w:rsid w:val="002B3F2F"/>
    <w:rsid w:val="002B771D"/>
    <w:rsid w:val="002C03C0"/>
    <w:rsid w:val="002C04C6"/>
    <w:rsid w:val="002C1236"/>
    <w:rsid w:val="002C1E1B"/>
    <w:rsid w:val="002D7F31"/>
    <w:rsid w:val="002F0C05"/>
    <w:rsid w:val="002F21F5"/>
    <w:rsid w:val="002F3A6A"/>
    <w:rsid w:val="002F65B2"/>
    <w:rsid w:val="0030387C"/>
    <w:rsid w:val="0030502E"/>
    <w:rsid w:val="00306A56"/>
    <w:rsid w:val="00306BCA"/>
    <w:rsid w:val="003108B2"/>
    <w:rsid w:val="0032242F"/>
    <w:rsid w:val="003224BF"/>
    <w:rsid w:val="003227DD"/>
    <w:rsid w:val="0032389C"/>
    <w:rsid w:val="00327C4D"/>
    <w:rsid w:val="00332955"/>
    <w:rsid w:val="0034097D"/>
    <w:rsid w:val="00341FBF"/>
    <w:rsid w:val="00343F6F"/>
    <w:rsid w:val="00344586"/>
    <w:rsid w:val="00353A69"/>
    <w:rsid w:val="00353EBF"/>
    <w:rsid w:val="003575EF"/>
    <w:rsid w:val="00357C23"/>
    <w:rsid w:val="00363489"/>
    <w:rsid w:val="00364E54"/>
    <w:rsid w:val="003816EA"/>
    <w:rsid w:val="00386544"/>
    <w:rsid w:val="003872A8"/>
    <w:rsid w:val="00392A6C"/>
    <w:rsid w:val="003A1CEC"/>
    <w:rsid w:val="003A5738"/>
    <w:rsid w:val="003B4A16"/>
    <w:rsid w:val="003C0D0F"/>
    <w:rsid w:val="003C29FC"/>
    <w:rsid w:val="003C4C08"/>
    <w:rsid w:val="003C5770"/>
    <w:rsid w:val="003E5FF0"/>
    <w:rsid w:val="003F62F1"/>
    <w:rsid w:val="0040062A"/>
    <w:rsid w:val="00401597"/>
    <w:rsid w:val="004041C7"/>
    <w:rsid w:val="00407642"/>
    <w:rsid w:val="00413D08"/>
    <w:rsid w:val="00426B9A"/>
    <w:rsid w:val="0043194D"/>
    <w:rsid w:val="00432798"/>
    <w:rsid w:val="004411D8"/>
    <w:rsid w:val="00443150"/>
    <w:rsid w:val="00444134"/>
    <w:rsid w:val="004516E0"/>
    <w:rsid w:val="00461828"/>
    <w:rsid w:val="00462805"/>
    <w:rsid w:val="004641A7"/>
    <w:rsid w:val="0046667F"/>
    <w:rsid w:val="00467643"/>
    <w:rsid w:val="00472DC0"/>
    <w:rsid w:val="004740DD"/>
    <w:rsid w:val="00480980"/>
    <w:rsid w:val="00485910"/>
    <w:rsid w:val="004A0B2C"/>
    <w:rsid w:val="004A4242"/>
    <w:rsid w:val="004B2F7F"/>
    <w:rsid w:val="004C24E5"/>
    <w:rsid w:val="004C403F"/>
    <w:rsid w:val="004D0049"/>
    <w:rsid w:val="004D1D85"/>
    <w:rsid w:val="004D38A2"/>
    <w:rsid w:val="004D49FE"/>
    <w:rsid w:val="004E2304"/>
    <w:rsid w:val="004E6FA1"/>
    <w:rsid w:val="004F6FEF"/>
    <w:rsid w:val="00511714"/>
    <w:rsid w:val="00513FF9"/>
    <w:rsid w:val="00515159"/>
    <w:rsid w:val="00521152"/>
    <w:rsid w:val="005220C7"/>
    <w:rsid w:val="005258B3"/>
    <w:rsid w:val="0053464B"/>
    <w:rsid w:val="00545268"/>
    <w:rsid w:val="00585B8E"/>
    <w:rsid w:val="00592C35"/>
    <w:rsid w:val="00592E1A"/>
    <w:rsid w:val="00595180"/>
    <w:rsid w:val="005A2B32"/>
    <w:rsid w:val="005A4153"/>
    <w:rsid w:val="005B0FD8"/>
    <w:rsid w:val="005B196E"/>
    <w:rsid w:val="005B346D"/>
    <w:rsid w:val="005E2754"/>
    <w:rsid w:val="005E4B38"/>
    <w:rsid w:val="005E65BF"/>
    <w:rsid w:val="005F7B84"/>
    <w:rsid w:val="00600D1E"/>
    <w:rsid w:val="00613A39"/>
    <w:rsid w:val="00616B35"/>
    <w:rsid w:val="00633110"/>
    <w:rsid w:val="006335E6"/>
    <w:rsid w:val="006337A3"/>
    <w:rsid w:val="00634CC1"/>
    <w:rsid w:val="0064016A"/>
    <w:rsid w:val="006473F4"/>
    <w:rsid w:val="0066074C"/>
    <w:rsid w:val="00661961"/>
    <w:rsid w:val="00665E07"/>
    <w:rsid w:val="0066646F"/>
    <w:rsid w:val="00671161"/>
    <w:rsid w:val="00677575"/>
    <w:rsid w:val="0068320F"/>
    <w:rsid w:val="00685065"/>
    <w:rsid w:val="00687044"/>
    <w:rsid w:val="0069224C"/>
    <w:rsid w:val="006927FF"/>
    <w:rsid w:val="00695AC4"/>
    <w:rsid w:val="006A1920"/>
    <w:rsid w:val="006A3040"/>
    <w:rsid w:val="006A721C"/>
    <w:rsid w:val="006A7D3F"/>
    <w:rsid w:val="006B1B6F"/>
    <w:rsid w:val="006B7E81"/>
    <w:rsid w:val="006C13E7"/>
    <w:rsid w:val="006C30FB"/>
    <w:rsid w:val="006D49BC"/>
    <w:rsid w:val="006E1CB4"/>
    <w:rsid w:val="006F0BEB"/>
    <w:rsid w:val="007018A3"/>
    <w:rsid w:val="00702718"/>
    <w:rsid w:val="00704573"/>
    <w:rsid w:val="0071149B"/>
    <w:rsid w:val="00712306"/>
    <w:rsid w:val="00712C82"/>
    <w:rsid w:val="0071336B"/>
    <w:rsid w:val="0072314C"/>
    <w:rsid w:val="00731A4B"/>
    <w:rsid w:val="007332ED"/>
    <w:rsid w:val="00736017"/>
    <w:rsid w:val="0074376A"/>
    <w:rsid w:val="0074552F"/>
    <w:rsid w:val="00762357"/>
    <w:rsid w:val="0076381C"/>
    <w:rsid w:val="00766FF5"/>
    <w:rsid w:val="00770B31"/>
    <w:rsid w:val="00771669"/>
    <w:rsid w:val="00780DC2"/>
    <w:rsid w:val="00790F87"/>
    <w:rsid w:val="00791418"/>
    <w:rsid w:val="007919D5"/>
    <w:rsid w:val="0079701F"/>
    <w:rsid w:val="0079728E"/>
    <w:rsid w:val="007B6424"/>
    <w:rsid w:val="007B70A3"/>
    <w:rsid w:val="007C5166"/>
    <w:rsid w:val="007C76D3"/>
    <w:rsid w:val="007D2050"/>
    <w:rsid w:val="007D3457"/>
    <w:rsid w:val="007D43DA"/>
    <w:rsid w:val="007D522F"/>
    <w:rsid w:val="007D53CA"/>
    <w:rsid w:val="007E7C9F"/>
    <w:rsid w:val="007F312B"/>
    <w:rsid w:val="007F6492"/>
    <w:rsid w:val="008009CE"/>
    <w:rsid w:val="00801B1F"/>
    <w:rsid w:val="0080313B"/>
    <w:rsid w:val="0082087A"/>
    <w:rsid w:val="00825784"/>
    <w:rsid w:val="00827BFC"/>
    <w:rsid w:val="0083220B"/>
    <w:rsid w:val="00845374"/>
    <w:rsid w:val="008519E9"/>
    <w:rsid w:val="008570F4"/>
    <w:rsid w:val="00865EA9"/>
    <w:rsid w:val="008662C1"/>
    <w:rsid w:val="00870A3F"/>
    <w:rsid w:val="008714F6"/>
    <w:rsid w:val="008728F0"/>
    <w:rsid w:val="008744B4"/>
    <w:rsid w:val="00877949"/>
    <w:rsid w:val="00890C17"/>
    <w:rsid w:val="00892737"/>
    <w:rsid w:val="00895DD6"/>
    <w:rsid w:val="008A175E"/>
    <w:rsid w:val="008A1F79"/>
    <w:rsid w:val="008A226C"/>
    <w:rsid w:val="008A403B"/>
    <w:rsid w:val="008A7873"/>
    <w:rsid w:val="008A7880"/>
    <w:rsid w:val="008B0839"/>
    <w:rsid w:val="008B0F13"/>
    <w:rsid w:val="008B1B19"/>
    <w:rsid w:val="008B3558"/>
    <w:rsid w:val="008B68E7"/>
    <w:rsid w:val="008C2F65"/>
    <w:rsid w:val="008C3BB8"/>
    <w:rsid w:val="008C55BC"/>
    <w:rsid w:val="008D19D2"/>
    <w:rsid w:val="008D25CF"/>
    <w:rsid w:val="008E290E"/>
    <w:rsid w:val="00900941"/>
    <w:rsid w:val="00900C4B"/>
    <w:rsid w:val="00901F0F"/>
    <w:rsid w:val="009026A6"/>
    <w:rsid w:val="00907E14"/>
    <w:rsid w:val="0091100D"/>
    <w:rsid w:val="00933C08"/>
    <w:rsid w:val="009371C7"/>
    <w:rsid w:val="00947AD0"/>
    <w:rsid w:val="00947E05"/>
    <w:rsid w:val="009526F7"/>
    <w:rsid w:val="0095495A"/>
    <w:rsid w:val="00955309"/>
    <w:rsid w:val="0095740E"/>
    <w:rsid w:val="00965509"/>
    <w:rsid w:val="00987FBD"/>
    <w:rsid w:val="009903D4"/>
    <w:rsid w:val="0099135A"/>
    <w:rsid w:val="009952A4"/>
    <w:rsid w:val="009A030D"/>
    <w:rsid w:val="009A649F"/>
    <w:rsid w:val="009B2A87"/>
    <w:rsid w:val="009C111D"/>
    <w:rsid w:val="009C29CC"/>
    <w:rsid w:val="009D13AB"/>
    <w:rsid w:val="009D724E"/>
    <w:rsid w:val="009D7B89"/>
    <w:rsid w:val="009F4957"/>
    <w:rsid w:val="00A01D6E"/>
    <w:rsid w:val="00A1722F"/>
    <w:rsid w:val="00A17774"/>
    <w:rsid w:val="00A2698E"/>
    <w:rsid w:val="00A4001E"/>
    <w:rsid w:val="00A63A07"/>
    <w:rsid w:val="00A735CF"/>
    <w:rsid w:val="00A7750B"/>
    <w:rsid w:val="00A82DFA"/>
    <w:rsid w:val="00AA6ACC"/>
    <w:rsid w:val="00AB70B7"/>
    <w:rsid w:val="00AC4AE4"/>
    <w:rsid w:val="00AC6062"/>
    <w:rsid w:val="00AC7A86"/>
    <w:rsid w:val="00AD2CA4"/>
    <w:rsid w:val="00AE166C"/>
    <w:rsid w:val="00AF7C26"/>
    <w:rsid w:val="00B057A4"/>
    <w:rsid w:val="00B12A73"/>
    <w:rsid w:val="00B15A1B"/>
    <w:rsid w:val="00B33E98"/>
    <w:rsid w:val="00B35181"/>
    <w:rsid w:val="00B3693B"/>
    <w:rsid w:val="00B36FC8"/>
    <w:rsid w:val="00B43759"/>
    <w:rsid w:val="00B44931"/>
    <w:rsid w:val="00B45010"/>
    <w:rsid w:val="00B4776F"/>
    <w:rsid w:val="00B54BE6"/>
    <w:rsid w:val="00B578F2"/>
    <w:rsid w:val="00B712A2"/>
    <w:rsid w:val="00B76033"/>
    <w:rsid w:val="00B772ED"/>
    <w:rsid w:val="00B818B4"/>
    <w:rsid w:val="00B92A48"/>
    <w:rsid w:val="00B93FC6"/>
    <w:rsid w:val="00BA0AD7"/>
    <w:rsid w:val="00BB6C40"/>
    <w:rsid w:val="00BB76F2"/>
    <w:rsid w:val="00BB7E09"/>
    <w:rsid w:val="00BC07C9"/>
    <w:rsid w:val="00BC50D3"/>
    <w:rsid w:val="00BD1D28"/>
    <w:rsid w:val="00BE7DC3"/>
    <w:rsid w:val="00C02DDF"/>
    <w:rsid w:val="00C02F9A"/>
    <w:rsid w:val="00C07D97"/>
    <w:rsid w:val="00C107A8"/>
    <w:rsid w:val="00C12648"/>
    <w:rsid w:val="00C13173"/>
    <w:rsid w:val="00C24631"/>
    <w:rsid w:val="00C33D8D"/>
    <w:rsid w:val="00C403E0"/>
    <w:rsid w:val="00C40760"/>
    <w:rsid w:val="00C51703"/>
    <w:rsid w:val="00C52EC4"/>
    <w:rsid w:val="00C57049"/>
    <w:rsid w:val="00C60EBF"/>
    <w:rsid w:val="00C700DC"/>
    <w:rsid w:val="00C715E3"/>
    <w:rsid w:val="00C71682"/>
    <w:rsid w:val="00C77021"/>
    <w:rsid w:val="00C8771C"/>
    <w:rsid w:val="00C94B61"/>
    <w:rsid w:val="00CB02DE"/>
    <w:rsid w:val="00CB23F5"/>
    <w:rsid w:val="00CB345C"/>
    <w:rsid w:val="00CB7C57"/>
    <w:rsid w:val="00CC1278"/>
    <w:rsid w:val="00CC2B03"/>
    <w:rsid w:val="00CC3DFE"/>
    <w:rsid w:val="00CC4616"/>
    <w:rsid w:val="00CC5EEC"/>
    <w:rsid w:val="00CD19DE"/>
    <w:rsid w:val="00CD260F"/>
    <w:rsid w:val="00CD624F"/>
    <w:rsid w:val="00CE26D5"/>
    <w:rsid w:val="00CF14DB"/>
    <w:rsid w:val="00CF2F96"/>
    <w:rsid w:val="00CF5001"/>
    <w:rsid w:val="00CF56CE"/>
    <w:rsid w:val="00CF5E36"/>
    <w:rsid w:val="00D1292B"/>
    <w:rsid w:val="00D13E7A"/>
    <w:rsid w:val="00D21205"/>
    <w:rsid w:val="00D26781"/>
    <w:rsid w:val="00D3023D"/>
    <w:rsid w:val="00D32B6E"/>
    <w:rsid w:val="00D34ADE"/>
    <w:rsid w:val="00D44CAE"/>
    <w:rsid w:val="00D47844"/>
    <w:rsid w:val="00D5007C"/>
    <w:rsid w:val="00D50262"/>
    <w:rsid w:val="00D511FD"/>
    <w:rsid w:val="00D51D2E"/>
    <w:rsid w:val="00D53B69"/>
    <w:rsid w:val="00D6301C"/>
    <w:rsid w:val="00D700C8"/>
    <w:rsid w:val="00D708FA"/>
    <w:rsid w:val="00D93F61"/>
    <w:rsid w:val="00D9538B"/>
    <w:rsid w:val="00D9683F"/>
    <w:rsid w:val="00DA379B"/>
    <w:rsid w:val="00DA3F0A"/>
    <w:rsid w:val="00DA6024"/>
    <w:rsid w:val="00DA7D4E"/>
    <w:rsid w:val="00DB598E"/>
    <w:rsid w:val="00DB608B"/>
    <w:rsid w:val="00DC3C96"/>
    <w:rsid w:val="00DD3C11"/>
    <w:rsid w:val="00DF79EE"/>
    <w:rsid w:val="00E0273F"/>
    <w:rsid w:val="00E03446"/>
    <w:rsid w:val="00E035AF"/>
    <w:rsid w:val="00E07E75"/>
    <w:rsid w:val="00E100FE"/>
    <w:rsid w:val="00E13AE1"/>
    <w:rsid w:val="00E34E6E"/>
    <w:rsid w:val="00E363E8"/>
    <w:rsid w:val="00E42075"/>
    <w:rsid w:val="00E45643"/>
    <w:rsid w:val="00E467E1"/>
    <w:rsid w:val="00E50E59"/>
    <w:rsid w:val="00E5168F"/>
    <w:rsid w:val="00E62203"/>
    <w:rsid w:val="00E71426"/>
    <w:rsid w:val="00E72ECC"/>
    <w:rsid w:val="00E83793"/>
    <w:rsid w:val="00E84101"/>
    <w:rsid w:val="00E869C1"/>
    <w:rsid w:val="00E952DB"/>
    <w:rsid w:val="00EA636B"/>
    <w:rsid w:val="00EB31D3"/>
    <w:rsid w:val="00EC1229"/>
    <w:rsid w:val="00EC28B8"/>
    <w:rsid w:val="00EE0299"/>
    <w:rsid w:val="00EE32FE"/>
    <w:rsid w:val="00EF025A"/>
    <w:rsid w:val="00EF5A57"/>
    <w:rsid w:val="00F0058E"/>
    <w:rsid w:val="00F01003"/>
    <w:rsid w:val="00F05C49"/>
    <w:rsid w:val="00F119EF"/>
    <w:rsid w:val="00F12B1C"/>
    <w:rsid w:val="00F17335"/>
    <w:rsid w:val="00F24563"/>
    <w:rsid w:val="00F3251B"/>
    <w:rsid w:val="00F35951"/>
    <w:rsid w:val="00F40F77"/>
    <w:rsid w:val="00F46B16"/>
    <w:rsid w:val="00F56BFD"/>
    <w:rsid w:val="00F63247"/>
    <w:rsid w:val="00F65F39"/>
    <w:rsid w:val="00F74B5D"/>
    <w:rsid w:val="00F76B6A"/>
    <w:rsid w:val="00F80B0C"/>
    <w:rsid w:val="00F83ADC"/>
    <w:rsid w:val="00F83FB0"/>
    <w:rsid w:val="00F93991"/>
    <w:rsid w:val="00F959D5"/>
    <w:rsid w:val="00FA1F49"/>
    <w:rsid w:val="00FA53A4"/>
    <w:rsid w:val="00FA6592"/>
    <w:rsid w:val="00FB22C4"/>
    <w:rsid w:val="00FC00A2"/>
    <w:rsid w:val="00FC77FE"/>
    <w:rsid w:val="00FF1544"/>
    <w:rsid w:val="00FF28D3"/>
    <w:rsid w:val="00FF4863"/>
    <w:rsid w:val="00FF795D"/>
    <w:rsid w:val="03533D87"/>
    <w:rsid w:val="31BF96DF"/>
    <w:rsid w:val="413EE5A9"/>
    <w:rsid w:val="43B5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2E4187"/>
  <w14:defaultImageDpi w14:val="32767"/>
  <w15:chartTrackingRefBased/>
  <w15:docId w15:val="{C52B0654-1CD7-437A-A76C-09437C91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101"/>
    <w:pPr>
      <w:spacing w:before="120" w:after="12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45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aps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65509"/>
    <w:pPr>
      <w:spacing w:before="0"/>
      <w:outlineLvl w:val="1"/>
    </w:pPr>
    <w:rPr>
      <w:b w:val="0"/>
      <w:caps w:val="0"/>
      <w:sz w:val="9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75EF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75EF"/>
    <w:pPr>
      <w:keepNext/>
      <w:keepLines/>
      <w:outlineLvl w:val="3"/>
    </w:pPr>
    <w:rPr>
      <w:rFonts w:asciiTheme="majorHAnsi" w:eastAsiaTheme="majorEastAsia" w:hAnsiTheme="majorHAnsi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-Heading1">
    <w:name w:val="H1 - Heading 1"/>
    <w:basedOn w:val="Heading1"/>
    <w:qFormat/>
    <w:rsid w:val="00F959D5"/>
    <w:pPr>
      <w:spacing w:before="480"/>
      <w:jc w:val="center"/>
    </w:pPr>
    <w:rPr>
      <w:rFonts w:asciiTheme="minorHAnsi" w:hAnsiTheme="minorHAnsi" w:cstheme="minorHAnsi"/>
      <w:b w:val="0"/>
      <w:bCs/>
      <w:caps w:val="0"/>
      <w:color w:val="313E48"/>
      <w:sz w:val="40"/>
      <w:szCs w:val="40"/>
    </w:rPr>
  </w:style>
  <w:style w:type="paragraph" w:customStyle="1" w:styleId="BodyCopy">
    <w:name w:val="Body Copy"/>
    <w:next w:val="Normal"/>
    <w:qFormat/>
    <w:rsid w:val="003575EF"/>
    <w:pPr>
      <w:spacing w:before="40" w:after="120"/>
    </w:pPr>
    <w:rPr>
      <w:rFonts w:ascii="Calibri Light" w:hAnsi="Calibri Light" w:cs="Calibri Light"/>
      <w:sz w:val="22"/>
      <w:szCs w:val="21"/>
      <w:lang w:eastAsia="en-US"/>
    </w:rPr>
  </w:style>
  <w:style w:type="paragraph" w:customStyle="1" w:styleId="H2-Heading2">
    <w:name w:val="H2 - Heading 2"/>
    <w:basedOn w:val="Heading2"/>
    <w:next w:val="BodyCopy"/>
    <w:qFormat/>
    <w:rsid w:val="00AF7C26"/>
    <w:pPr>
      <w:spacing w:before="240"/>
    </w:pPr>
    <w:rPr>
      <w:rFonts w:cstheme="majorHAnsi"/>
      <w:b/>
      <w:bCs/>
      <w:caps/>
      <w:color w:val="313E48"/>
      <w:sz w:val="32"/>
    </w:rPr>
  </w:style>
  <w:style w:type="paragraph" w:customStyle="1" w:styleId="H4-Heading4">
    <w:name w:val="H4 - Heading 4"/>
    <w:basedOn w:val="Heading4"/>
    <w:next w:val="BodyCopy"/>
    <w:qFormat/>
    <w:rsid w:val="004D1D85"/>
    <w:pPr>
      <w:spacing w:before="160"/>
    </w:pPr>
    <w:rPr>
      <w:rFonts w:asciiTheme="minorHAnsi" w:hAnsiTheme="minorHAnsi" w:cstheme="minorHAnsi"/>
      <w:b w:val="0"/>
      <w:bCs/>
      <w:i w:val="0"/>
      <w:iCs w:val="0"/>
      <w:color w:val="313E48"/>
      <w:sz w:val="24"/>
      <w:szCs w:val="24"/>
    </w:rPr>
  </w:style>
  <w:style w:type="paragraph" w:customStyle="1" w:styleId="H3-Heading3">
    <w:name w:val="H3 - Heading 3"/>
    <w:basedOn w:val="Heading3"/>
    <w:qFormat/>
    <w:rsid w:val="00771669"/>
    <w:pPr>
      <w:spacing w:before="120" w:after="120"/>
    </w:pPr>
    <w:rPr>
      <w:rFonts w:asciiTheme="minorHAnsi" w:hAnsiTheme="minorHAnsi" w:cstheme="minorHAnsi"/>
      <w:b w:val="0"/>
      <w:bCs/>
      <w:sz w:val="28"/>
      <w:szCs w:val="28"/>
    </w:rPr>
  </w:style>
  <w:style w:type="paragraph" w:customStyle="1" w:styleId="BodycopyNumberedBullets">
    <w:name w:val="Body copy Numbered Bullets"/>
    <w:basedOn w:val="BodyCopy"/>
    <w:qFormat/>
    <w:rsid w:val="00D32B6E"/>
    <w:pPr>
      <w:numPr>
        <w:numId w:val="1"/>
      </w:numPr>
      <w:ind w:left="641" w:hanging="357"/>
    </w:pPr>
  </w:style>
  <w:style w:type="paragraph" w:customStyle="1" w:styleId="BodyCopyPrebulletsandnumberedbullets">
    <w:name w:val="Body Copy Pre bullets and numbered bullets"/>
    <w:basedOn w:val="BodyCopy"/>
    <w:qFormat/>
    <w:rsid w:val="00845374"/>
    <w:pPr>
      <w:spacing w:before="160"/>
    </w:pPr>
  </w:style>
  <w:style w:type="paragraph" w:customStyle="1" w:styleId="BodyCopyBullets">
    <w:name w:val="Body Copy Bullets"/>
    <w:basedOn w:val="BodyCopy"/>
    <w:qFormat/>
    <w:rsid w:val="00D32B6E"/>
    <w:pPr>
      <w:numPr>
        <w:numId w:val="4"/>
      </w:numPr>
    </w:pPr>
  </w:style>
  <w:style w:type="table" w:styleId="TableGrid">
    <w:name w:val="Table Grid"/>
    <w:basedOn w:val="TableNormal"/>
    <w:uiPriority w:val="39"/>
    <w:rsid w:val="00797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er"/>
    <w:qFormat/>
    <w:rsid w:val="00771669"/>
    <w:pPr>
      <w:spacing w:before="0"/>
    </w:pPr>
    <w:rPr>
      <w:rFonts w:asciiTheme="minorHAnsi" w:hAnsiTheme="minorHAnsi" w:cstheme="minorHAnsi"/>
      <w:b/>
      <w:bCs/>
      <w:sz w:val="20"/>
    </w:rPr>
  </w:style>
  <w:style w:type="paragraph" w:customStyle="1" w:styleId="TableBodyCopy">
    <w:name w:val="Table Body Copy"/>
    <w:basedOn w:val="Normal"/>
    <w:next w:val="Normal"/>
    <w:qFormat/>
    <w:rsid w:val="009D13AB"/>
    <w:pPr>
      <w:spacing w:before="0" w:after="0"/>
    </w:pPr>
    <w:rPr>
      <w:sz w:val="20"/>
    </w:rPr>
  </w:style>
  <w:style w:type="paragraph" w:customStyle="1" w:styleId="PostBulletsBodyCopy">
    <w:name w:val="Post Bullets Body Copy"/>
    <w:basedOn w:val="BodyCopy"/>
    <w:qFormat/>
    <w:rsid w:val="00F63247"/>
    <w:pPr>
      <w:spacing w:before="160" w:after="160"/>
    </w:pPr>
  </w:style>
  <w:style w:type="paragraph" w:styleId="Header">
    <w:name w:val="header"/>
    <w:basedOn w:val="Normal"/>
    <w:link w:val="HeaderChar"/>
    <w:uiPriority w:val="99"/>
    <w:unhideWhenUsed/>
    <w:rsid w:val="001D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9C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D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9C1"/>
    <w:rPr>
      <w:sz w:val="22"/>
      <w:szCs w:val="22"/>
      <w:lang w:eastAsia="en-US"/>
    </w:rPr>
  </w:style>
  <w:style w:type="character" w:customStyle="1" w:styleId="Green">
    <w:name w:val="Green"/>
    <w:basedOn w:val="DefaultParagraphFont"/>
    <w:uiPriority w:val="1"/>
    <w:qFormat/>
    <w:rsid w:val="00E363E8"/>
    <w:rPr>
      <w:color w:val="47763B" w:themeColor="accent2"/>
    </w:rPr>
  </w:style>
  <w:style w:type="character" w:styleId="Emphasis">
    <w:name w:val="Emphasis"/>
    <w:basedOn w:val="IntenseEmphasis"/>
    <w:uiPriority w:val="20"/>
    <w:qFormat/>
    <w:rsid w:val="00AF7C26"/>
    <w:rPr>
      <w:rFonts w:asciiTheme="minorHAnsi" w:hAnsiTheme="minorHAnsi" w:cstheme="minorHAnsi"/>
      <w:b/>
      <w:bCs/>
      <w:i w:val="0"/>
      <w:iCs/>
      <w:color w:val="313E48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04573"/>
    <w:rPr>
      <w:rFonts w:asciiTheme="majorHAnsi" w:eastAsiaTheme="majorEastAsia" w:hAnsiTheme="majorHAnsi" w:cstheme="majorBidi"/>
      <w:b/>
      <w:caps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65509"/>
    <w:rPr>
      <w:rFonts w:asciiTheme="majorHAnsi" w:eastAsiaTheme="majorEastAsia" w:hAnsiTheme="majorHAnsi" w:cstheme="majorBidi"/>
      <w:sz w:val="96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575EF"/>
    <w:rPr>
      <w:rFonts w:asciiTheme="majorHAnsi" w:eastAsiaTheme="majorEastAsia" w:hAnsiTheme="majorHAnsi" w:cstheme="majorBidi"/>
      <w:b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575EF"/>
    <w:rPr>
      <w:rFonts w:asciiTheme="majorHAnsi" w:eastAsiaTheme="majorEastAsia" w:hAnsiTheme="majorHAnsi" w:cstheme="majorBidi"/>
      <w:b/>
      <w:i/>
      <w:iCs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AF7C26"/>
    <w:rPr>
      <w:i/>
      <w:iCs/>
      <w:color w:val="00837C" w:themeColor="accent1"/>
    </w:rPr>
  </w:style>
  <w:style w:type="table" w:styleId="ListTable4-Accent4">
    <w:name w:val="List Table 4 Accent 4"/>
    <w:basedOn w:val="TableNormal"/>
    <w:uiPriority w:val="49"/>
    <w:rsid w:val="004516E0"/>
    <w:tblPr>
      <w:tblStyleRowBandSize w:val="1"/>
      <w:tblStyleColBandSize w:val="1"/>
      <w:tblBorders>
        <w:top w:val="single" w:sz="4" w:space="0" w:color="F3CC79" w:themeColor="accent4" w:themeTint="99"/>
        <w:left w:val="single" w:sz="4" w:space="0" w:color="F3CC79" w:themeColor="accent4" w:themeTint="99"/>
        <w:bottom w:val="single" w:sz="4" w:space="0" w:color="F3CC79" w:themeColor="accent4" w:themeTint="99"/>
        <w:right w:val="single" w:sz="4" w:space="0" w:color="F3CC79" w:themeColor="accent4" w:themeTint="99"/>
        <w:insideH w:val="single" w:sz="4" w:space="0" w:color="F3CC7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AB21" w:themeColor="accent4"/>
          <w:left w:val="single" w:sz="4" w:space="0" w:color="EBAB21" w:themeColor="accent4"/>
          <w:bottom w:val="single" w:sz="4" w:space="0" w:color="EBAB21" w:themeColor="accent4"/>
          <w:right w:val="single" w:sz="4" w:space="0" w:color="EBAB21" w:themeColor="accent4"/>
          <w:insideH w:val="nil"/>
        </w:tcBorders>
        <w:shd w:val="clear" w:color="auto" w:fill="EBAB21" w:themeFill="accent4"/>
      </w:tcPr>
    </w:tblStylePr>
    <w:tblStylePr w:type="lastRow">
      <w:rPr>
        <w:b/>
        <w:bCs/>
      </w:rPr>
      <w:tblPr/>
      <w:tcPr>
        <w:tcBorders>
          <w:top w:val="double" w:sz="4" w:space="0" w:color="F3CC7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4" w:themeFillTint="33"/>
      </w:tcPr>
    </w:tblStylePr>
    <w:tblStylePr w:type="band1Horz">
      <w:tblPr/>
      <w:tcPr>
        <w:shd w:val="clear" w:color="auto" w:fill="FBEED2" w:themeFill="accent4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45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5E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E1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E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E13"/>
    <w:rPr>
      <w:b/>
      <w:bCs/>
      <w:lang w:eastAsia="en-US"/>
    </w:rPr>
  </w:style>
  <w:style w:type="character" w:styleId="Mention">
    <w:name w:val="Mention"/>
    <w:basedOn w:val="DefaultParagraphFont"/>
    <w:uiPriority w:val="99"/>
    <w:unhideWhenUsed/>
    <w:rsid w:val="00045E13"/>
    <w:rPr>
      <w:color w:val="2B579A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3575EF"/>
    <w:pPr>
      <w:numPr>
        <w:numId w:val="13"/>
      </w:numPr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E84101"/>
    <w:pPr>
      <w:spacing w:before="0" w:after="200" w:line="240" w:lineRule="auto"/>
    </w:pPr>
    <w:rPr>
      <w:i/>
      <w:iCs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E84101"/>
    <w:pPr>
      <w:spacing w:before="0" w:after="0" w:line="240" w:lineRule="auto"/>
      <w:ind w:left="660" w:hanging="220"/>
    </w:pPr>
  </w:style>
  <w:style w:type="paragraph" w:customStyle="1" w:styleId="Overview">
    <w:name w:val="Overview"/>
    <w:basedOn w:val="Normal"/>
    <w:qFormat/>
    <w:rsid w:val="00F24563"/>
    <w:pPr>
      <w:pBdr>
        <w:top w:val="single" w:sz="4" w:space="1" w:color="auto"/>
        <w:bottom w:val="single" w:sz="4" w:space="1" w:color="auto"/>
      </w:pBdr>
      <w:shd w:val="clear" w:color="auto" w:fill="D6E8D2" w:themeFill="accent2" w:themeFillTint="33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13E7A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100CEB"/>
    <w:rPr>
      <w:color w:val="034A9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CE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44586"/>
    <w:rPr>
      <w:sz w:val="22"/>
      <w:szCs w:val="22"/>
      <w:lang w:eastAsia="en-US"/>
    </w:rPr>
  </w:style>
  <w:style w:type="paragraph" w:customStyle="1" w:styleId="QuoteHeading">
    <w:name w:val="Quote Heading"/>
    <w:basedOn w:val="Quote"/>
    <w:qFormat/>
    <w:rsid w:val="00E0273F"/>
    <w:pPr>
      <w:suppressAutoHyphens/>
      <w:spacing w:before="120" w:after="120" w:line="200" w:lineRule="atLeast"/>
      <w:ind w:left="397" w:right="397"/>
      <w:jc w:val="left"/>
    </w:pPr>
    <w:rPr>
      <w:rFonts w:asciiTheme="minorHAnsi" w:eastAsiaTheme="minorHAnsi" w:hAnsiTheme="minorHAnsi" w:cstheme="minorBidi"/>
      <w:b/>
      <w:i w:val="0"/>
      <w:color w:val="3A586E" w:themeColor="text2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0273F"/>
    <w:pPr>
      <w:spacing w:before="200" w:after="160"/>
      <w:ind w:left="864" w:right="864"/>
      <w:jc w:val="center"/>
    </w:pPr>
    <w:rPr>
      <w:i/>
      <w:iCs/>
      <w:color w:val="586F81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273F"/>
    <w:rPr>
      <w:i/>
      <w:iCs/>
      <w:color w:val="586F81" w:themeColor="text1" w:themeTint="BF"/>
      <w:sz w:val="22"/>
      <w:szCs w:val="22"/>
      <w:lang w:eastAsia="en-US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6473F4"/>
    <w:pPr>
      <w:spacing w:line="240" w:lineRule="auto"/>
      <w:ind w:left="720"/>
      <w:contextualSpacing/>
    </w:pPr>
    <w:rPr>
      <w:rFonts w:eastAsia="Calibri Light"/>
      <w:color w:val="313E48" w:themeColor="text1"/>
      <w:sz w:val="24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6473F4"/>
    <w:rPr>
      <w:rFonts w:eastAsia="Calibri Light"/>
      <w:color w:val="313E48" w:themeColor="text1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3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DFAT Colour palette">
      <a:dk1>
        <a:srgbClr val="313E48"/>
      </a:dk1>
      <a:lt1>
        <a:sysClr val="window" lastClr="FFFFFF"/>
      </a:lt1>
      <a:dk2>
        <a:srgbClr val="3A586E"/>
      </a:dk2>
      <a:lt2>
        <a:srgbClr val="CFD3D3"/>
      </a:lt2>
      <a:accent1>
        <a:srgbClr val="00837C"/>
      </a:accent1>
      <a:accent2>
        <a:srgbClr val="47763B"/>
      </a:accent2>
      <a:accent3>
        <a:srgbClr val="AA5739"/>
      </a:accent3>
      <a:accent4>
        <a:srgbClr val="EBAB21"/>
      </a:accent4>
      <a:accent5>
        <a:srgbClr val="065157"/>
      </a:accent5>
      <a:accent6>
        <a:srgbClr val="014429"/>
      </a:accent6>
      <a:hlink>
        <a:srgbClr val="034A90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D63B06336DD48B4944551E1A7B4D8" ma:contentTypeVersion="17" ma:contentTypeDescription="Create a new document." ma:contentTypeScope="" ma:versionID="c1a333d4e903e34c23f0605c9024b49d">
  <xsd:schema xmlns:xsd="http://www.w3.org/2001/XMLSchema" xmlns:xs="http://www.w3.org/2001/XMLSchema" xmlns:p="http://schemas.microsoft.com/office/2006/metadata/properties" xmlns:ns2="99303871-8934-4198-a088-14ac5c5d1c31" xmlns:ns3="6f2ae4e0-94e8-4b28-8f95-861d59f7ae70" targetNamespace="http://schemas.microsoft.com/office/2006/metadata/properties" ma:root="true" ma:fieldsID="50b6f57787fb9933e749b1241302e2ad" ns2:_="" ns3:_="">
    <xsd:import namespace="99303871-8934-4198-a088-14ac5c5d1c31"/>
    <xsd:import namespace="6f2ae4e0-94e8-4b28-8f95-861d59f7ae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03871-8934-4198-a088-14ac5c5d1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ae4e0-94e8-4b28-8f95-861d59f7ae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809fa2-c2da-453f-9c3e-eead0055a1b0}" ma:internalName="TaxCatchAll" ma:showField="CatchAllData" ma:web="6f2ae4e0-94e8-4b28-8f95-861d59f7ae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2ae4e0-94e8-4b28-8f95-861d59f7ae70" xsi:nil="true"/>
    <lcf76f155ced4ddcb4097134ff3c332f xmlns="99303871-8934-4198-a088-14ac5c5d1c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0618DC-A08C-4C5C-9A07-FABF52023C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F957CD-9E45-4FF4-B903-9A144DDB6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303871-8934-4198-a088-14ac5c5d1c31"/>
    <ds:schemaRef ds:uri="6f2ae4e0-94e8-4b28-8f95-861d59f7a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FC48A1-C301-40FF-930E-9B84B9EA17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E9F171-59A6-4022-A46D-27C25069926A}">
  <ds:schemaRefs>
    <ds:schemaRef ds:uri="http://schemas.microsoft.com/office/2006/metadata/properties"/>
    <ds:schemaRef ds:uri="http://schemas.microsoft.com/office/infopath/2007/PartnerControls"/>
    <ds:schemaRef ds:uri="6f2ae4e0-94e8-4b28-8f95-861d59f7ae70"/>
    <ds:schemaRef ds:uri="99303871-8934-4198-a088-14ac5c5d1c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548</Words>
  <Characters>3360</Characters>
  <Application>Microsoft Office Word</Application>
  <DocSecurity>0</DocSecurity>
  <Lines>84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[Country] Development Coorporation Facsheet 2025-26</vt:lpstr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and Skills Development Coorporation Facsheet 2025-26</dc:title>
  <dc:subject>Development Coorporation Facsheet 2025-26</dc:subject>
  <dc:creator>Department of Foreign Affairs and Trade</dc:creator>
  <cp:keywords>International development; development coorperation; DFAT, Australian Aid; Australian Department of Foreign Affairs and Trade; ODA; Australian Government [SEC=OFFICIAL]</cp:keywords>
  <dc:description/>
  <cp:lastModifiedBy>Linda Roche</cp:lastModifiedBy>
  <cp:revision>44</cp:revision>
  <dcterms:created xsi:type="dcterms:W3CDTF">2025-05-08T14:30:00Z</dcterms:created>
  <dcterms:modified xsi:type="dcterms:W3CDTF">2025-05-16T06:55:00Z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_Qualifier">
    <vt:lpwstr/>
  </property>
  <property fmtid="{D5CDD505-2E9C-101B-9397-08002B2CF9AE}" pid="5" name="PM_DisplayValueSecClassificationWithQualifier">
    <vt:lpwstr>OFFICIAL</vt:lpwstr>
  </property>
  <property fmtid="{D5CDD505-2E9C-101B-9397-08002B2CF9AE}" pid="6" name="PM_InsertionValue">
    <vt:lpwstr>OFFICIAL</vt:lpwstr>
  </property>
  <property fmtid="{D5CDD505-2E9C-101B-9397-08002B2CF9AE}" pid="7" name="PM_Originating_FileId">
    <vt:lpwstr>A04407B03FB3406E91B16F76B50D491D</vt:lpwstr>
  </property>
  <property fmtid="{D5CDD505-2E9C-101B-9397-08002B2CF9AE}" pid="8" name="PM_ProtectiveMarkingValue_Footer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2023-02-15T22:12:19Z</vt:lpwstr>
  </property>
  <property fmtid="{D5CDD505-2E9C-101B-9397-08002B2CF9AE}" pid="11" name="PM_ProtectiveMarkingImage_Footer">
    <vt:lpwstr>C:\Program Files\Common Files\janusNET Shared\janusSEAL\Images\DocumentSlashBlue.png</vt:lpwstr>
  </property>
  <property fmtid="{D5CDD505-2E9C-101B-9397-08002B2CF9AE}" pid="12" name="PM_Namespace">
    <vt:lpwstr>gov.au</vt:lpwstr>
  </property>
  <property fmtid="{D5CDD505-2E9C-101B-9397-08002B2CF9AE}" pid="13" name="PM_Version">
    <vt:lpwstr>2018.4</vt:lpwstr>
  </property>
  <property fmtid="{D5CDD505-2E9C-101B-9397-08002B2CF9AE}" pid="14" name="PM_Note">
    <vt:lpwstr/>
  </property>
  <property fmtid="{D5CDD505-2E9C-101B-9397-08002B2CF9AE}" pid="15" name="PM_Markers">
    <vt:lpwstr/>
  </property>
  <property fmtid="{D5CDD505-2E9C-101B-9397-08002B2CF9AE}" pid="16" name="PM_Hash_Version">
    <vt:lpwstr>2022.1</vt:lpwstr>
  </property>
  <property fmtid="{D5CDD505-2E9C-101B-9397-08002B2CF9AE}" pid="17" name="PM_SecurityClassification_Prev">
    <vt:lpwstr>OFFICIAL</vt:lpwstr>
  </property>
  <property fmtid="{D5CDD505-2E9C-101B-9397-08002B2CF9AE}" pid="18" name="PM_Qualifier_Prev">
    <vt:lpwstr/>
  </property>
  <property fmtid="{D5CDD505-2E9C-101B-9397-08002B2CF9AE}" pid="19" name="PM_Display">
    <vt:lpwstr>OFFICIAL</vt:lpwstr>
  </property>
  <property fmtid="{D5CDD505-2E9C-101B-9397-08002B2CF9AE}" pid="20" name="PMUuid">
    <vt:lpwstr>v=2022.2;d=gov.au;g=46DD6D7C-8107-577B-BC6E-F348953B2E44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_Caveats_Count">
    <vt:lpwstr>0</vt:lpwstr>
  </property>
  <property fmtid="{D5CDD505-2E9C-101B-9397-08002B2CF9AE}" pid="23" name="ContentTypeId">
    <vt:lpwstr>0x010100D6BD63B06336DD48B4944551E1A7B4D8</vt:lpwstr>
  </property>
  <property fmtid="{D5CDD505-2E9C-101B-9397-08002B2CF9AE}" pid="24" name="MediaServiceImageTags">
    <vt:lpwstr/>
  </property>
  <property fmtid="{D5CDD505-2E9C-101B-9397-08002B2CF9AE}" pid="25" name="PM_Originator_Hash_SHA1">
    <vt:lpwstr>4DFB2A45D0ABC223771DA158D4192358D096AA7E</vt:lpwstr>
  </property>
  <property fmtid="{D5CDD505-2E9C-101B-9397-08002B2CF9AE}" pid="26" name="PM_OriginatorUserAccountName_SHA256">
    <vt:lpwstr>2FBBEB0D07DA66FB32ADEBC0EE9E9C465FDB83D3B7358F7A76537B8BF5FB863E</vt:lpwstr>
  </property>
  <property fmtid="{D5CDD505-2E9C-101B-9397-08002B2CF9AE}" pid="27" name="PMHMAC">
    <vt:lpwstr>v=2022.1;a=SHA256;h=1470E40784485F892A54203FC29309579EC1505ADD5DE2C32BBEF68D01471675</vt:lpwstr>
  </property>
  <property fmtid="{D5CDD505-2E9C-101B-9397-08002B2CF9AE}" pid="28" name="PM_Hash_Salt_Prev">
    <vt:lpwstr>261C0CCCED0B5F4A6AC18C0A8EBFCD94</vt:lpwstr>
  </property>
  <property fmtid="{D5CDD505-2E9C-101B-9397-08002B2CF9AE}" pid="29" name="PM_Hash_Salt">
    <vt:lpwstr>41CD90EA562B9198DE5D3C4477AF1C24</vt:lpwstr>
  </property>
  <property fmtid="{D5CDD505-2E9C-101B-9397-08002B2CF9AE}" pid="30" name="PM_Hash_SHA1">
    <vt:lpwstr>2CAACB2C0CBF7EBD1138ADCAEF7ADBDACA57B23B</vt:lpwstr>
  </property>
</Properties>
</file>