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9E4F4" w14:textId="77777777" w:rsidR="00545268" w:rsidRPr="00545268" w:rsidRDefault="004516E0" w:rsidP="00545268">
      <w:pPr>
        <w:pStyle w:val="Heading1"/>
      </w:pPr>
      <w:r w:rsidRPr="00545268">
        <w:t>Development Cooperation Factsheet</w:t>
      </w:r>
    </w:p>
    <w:p w14:paraId="5C1E2F15" w14:textId="79F386A7" w:rsidR="00E84101" w:rsidRPr="00E84101" w:rsidRDefault="007D2D3B" w:rsidP="0091100D">
      <w:pPr>
        <w:pStyle w:val="Heading2"/>
        <w:rPr>
          <w:rStyle w:val="Heading2Char"/>
          <w:sz w:val="80"/>
          <w:szCs w:val="80"/>
        </w:rPr>
      </w:pPr>
      <w:r>
        <w:rPr>
          <w:rStyle w:val="Heading2Char"/>
          <w:sz w:val="80"/>
          <w:szCs w:val="80"/>
        </w:rPr>
        <w:t>Disability equity and rights</w:t>
      </w:r>
    </w:p>
    <w:p w14:paraId="41A452FD" w14:textId="37173EED" w:rsidR="004516E0" w:rsidRPr="00F959D5" w:rsidRDefault="00123E7B" w:rsidP="00F76B6A">
      <w:pPr>
        <w:spacing w:before="0"/>
      </w:pPr>
      <w:r>
        <w:t>MAY</w:t>
      </w:r>
      <w:r w:rsidR="00E84101">
        <w:t xml:space="preserve"> 2025</w:t>
      </w:r>
    </w:p>
    <w:p w14:paraId="2685FC2B" w14:textId="1A56790C" w:rsidR="00AF7C26" w:rsidRPr="00AF7C26" w:rsidRDefault="004516E0" w:rsidP="0021308F">
      <w:pPr>
        <w:pStyle w:val="Heading3"/>
      </w:pPr>
      <w:r w:rsidRPr="00C13173">
        <w:t>Overview</w:t>
      </w:r>
    </w:p>
    <w:p w14:paraId="7CD1B7C1" w14:textId="7563D7E8" w:rsidR="004516E0" w:rsidRPr="004516E0" w:rsidRDefault="004516E0" w:rsidP="00B35181">
      <w:pPr>
        <w:pStyle w:val="Overview"/>
        <w:rPr>
          <w:caps/>
        </w:rPr>
      </w:pPr>
      <w:r w:rsidRPr="00545268">
        <w:t>Estimated Australian ODA:</w:t>
      </w:r>
      <w:r w:rsidR="00545268" w:rsidRPr="00545268">
        <w:t xml:space="preserve"> </w:t>
      </w:r>
      <w:r w:rsidRPr="00C33D8D">
        <w:rPr>
          <w:b w:val="0"/>
          <w:bCs w:val="0"/>
        </w:rPr>
        <w:t>$1</w:t>
      </w:r>
      <w:r w:rsidR="00C50BB3">
        <w:rPr>
          <w:b w:val="0"/>
          <w:bCs w:val="0"/>
        </w:rPr>
        <w:t>5.0</w:t>
      </w:r>
      <w:r w:rsidRPr="00C33D8D">
        <w:rPr>
          <w:b w:val="0"/>
          <w:bCs w:val="0"/>
        </w:rPr>
        <w:t>m</w:t>
      </w:r>
      <w:r w:rsidR="00BB7E09">
        <w:rPr>
          <w:b w:val="0"/>
          <w:bCs w:val="0"/>
        </w:rPr>
        <w:t xml:space="preserve"> </w:t>
      </w:r>
      <w:r w:rsidR="00BB7E09" w:rsidRPr="00BB7E09">
        <w:rPr>
          <w:b w:val="0"/>
          <w:bCs w:val="0"/>
        </w:rPr>
        <w:t>(20</w:t>
      </w:r>
      <w:r w:rsidR="00D13E7A">
        <w:rPr>
          <w:b w:val="0"/>
          <w:bCs w:val="0"/>
        </w:rPr>
        <w:t>25</w:t>
      </w:r>
      <w:r w:rsidR="00B4776F">
        <w:rPr>
          <w:b w:val="0"/>
          <w:bCs w:val="0"/>
        </w:rPr>
        <w:t>-26</w:t>
      </w:r>
      <w:r w:rsidR="00BB7E09" w:rsidRPr="00BB7E09">
        <w:rPr>
          <w:b w:val="0"/>
          <w:bCs w:val="0"/>
        </w:rPr>
        <w:t>)</w:t>
      </w:r>
    </w:p>
    <w:p w14:paraId="3EDD18B8" w14:textId="70C0F45A" w:rsidR="004516E0" w:rsidRPr="00E62203" w:rsidRDefault="00C12648" w:rsidP="007D53CA">
      <w:pPr>
        <w:pStyle w:val="Heading4"/>
        <w:spacing w:before="360"/>
        <w:rPr>
          <w:b w:val="0"/>
          <w:bCs/>
        </w:rPr>
      </w:pPr>
      <w:r w:rsidRPr="00E62203">
        <w:rPr>
          <w:b w:val="0"/>
          <w:bCs/>
        </w:rPr>
        <w:t xml:space="preserve">Table 1: </w:t>
      </w:r>
      <w:r w:rsidR="00B4776F">
        <w:rPr>
          <w:b w:val="0"/>
          <w:bCs/>
        </w:rPr>
        <w:t xml:space="preserve">Australian ODA to </w:t>
      </w:r>
      <w:r w:rsidR="00936202">
        <w:rPr>
          <w:b w:val="0"/>
          <w:bCs/>
        </w:rPr>
        <w:t>d</w:t>
      </w:r>
      <w:r w:rsidR="00C50BB3">
        <w:rPr>
          <w:b w:val="0"/>
          <w:bCs/>
        </w:rPr>
        <w:t>isability equity and rights</w:t>
      </w:r>
      <w:r w:rsidR="00B4776F">
        <w:rPr>
          <w:b w:val="0"/>
          <w:bCs/>
        </w:rPr>
        <w:t>, 2023-24 to 2025-26</w:t>
      </w:r>
    </w:p>
    <w:tbl>
      <w:tblPr>
        <w:tblStyle w:val="TableGrid"/>
        <w:tblW w:w="0" w:type="auto"/>
        <w:tblBorders>
          <w:top w:val="single" w:sz="4" w:space="0" w:color="98A0A0" w:themeColor="background2" w:themeShade="BF"/>
          <w:left w:val="single" w:sz="4" w:space="0" w:color="98A0A0" w:themeColor="background2" w:themeShade="BF"/>
          <w:bottom w:val="single" w:sz="4" w:space="0" w:color="98A0A0" w:themeColor="background2" w:themeShade="BF"/>
          <w:right w:val="single" w:sz="4" w:space="0" w:color="98A0A0" w:themeColor="background2" w:themeShade="BF"/>
          <w:insideH w:val="single" w:sz="4" w:space="0" w:color="98A0A0" w:themeColor="background2" w:themeShade="BF"/>
          <w:insideV w:val="single" w:sz="4" w:space="0" w:color="98A0A0" w:themeColor="background2" w:themeShade="BF"/>
        </w:tblBorders>
        <w:tblCellMar>
          <w:top w:w="113" w:type="dxa"/>
          <w:bottom w:w="113" w:type="dxa"/>
        </w:tblCellMar>
        <w:tblLook w:val="04A0" w:firstRow="1" w:lastRow="0" w:firstColumn="1" w:lastColumn="0" w:noHBand="0" w:noVBand="1"/>
        <w:tblCaption w:val="Table 1: Australian ODA to disability equity and rights, 2023-24 to 2025-26"/>
        <w:tblDescription w:val="This table represents the total Australian ODA to disability equity and rights, actual expenditure in millions and as a percentage by region, 2023-24 – four columns, six rows"/>
      </w:tblPr>
      <w:tblGrid>
        <w:gridCol w:w="3397"/>
        <w:gridCol w:w="2265"/>
        <w:gridCol w:w="2266"/>
      </w:tblGrid>
      <w:tr w:rsidR="00613C72" w14:paraId="5EF5CF55" w14:textId="21157455" w:rsidTr="0030387C">
        <w:trPr>
          <w:cantSplit/>
          <w:trHeight w:val="70"/>
          <w:tblHeader/>
        </w:trPr>
        <w:tc>
          <w:tcPr>
            <w:tcW w:w="3397" w:type="dxa"/>
            <w:shd w:val="clear" w:color="auto" w:fill="313E48" w:themeFill="text1"/>
          </w:tcPr>
          <w:p w14:paraId="4CEC1D0F" w14:textId="618CDC75" w:rsidR="00613C72" w:rsidRPr="0079728E" w:rsidRDefault="00613C72" w:rsidP="00B4776F">
            <w:pPr>
              <w:pStyle w:val="TableHeading"/>
            </w:pPr>
            <w:r>
              <w:t>Australian ODA</w:t>
            </w:r>
          </w:p>
        </w:tc>
        <w:tc>
          <w:tcPr>
            <w:tcW w:w="2265" w:type="dxa"/>
            <w:shd w:val="clear" w:color="auto" w:fill="313E48" w:themeFill="text1"/>
          </w:tcPr>
          <w:p w14:paraId="1923A36A" w14:textId="5E918CBA" w:rsidR="00613C72" w:rsidRDefault="00613C72" w:rsidP="00B4776F">
            <w:pPr>
              <w:pStyle w:val="TableHeading"/>
              <w:jc w:val="center"/>
            </w:pPr>
            <w:r>
              <w:t>2</w:t>
            </w:r>
            <w:r w:rsidRPr="001E6A8F">
              <w:t>02</w:t>
            </w:r>
            <w:r>
              <w:t>3-24</w:t>
            </w:r>
            <w:r w:rsidRPr="001E6A8F">
              <w:t xml:space="preserve"> Actual ($</w:t>
            </w:r>
            <w:proofErr w:type="gramStart"/>
            <w:r w:rsidRPr="001E6A8F">
              <w:t>m)*</w:t>
            </w:r>
            <w:proofErr w:type="gramEnd"/>
          </w:p>
        </w:tc>
        <w:tc>
          <w:tcPr>
            <w:tcW w:w="2266" w:type="dxa"/>
            <w:shd w:val="clear" w:color="auto" w:fill="313E48" w:themeFill="text1"/>
          </w:tcPr>
          <w:p w14:paraId="0740E09E" w14:textId="50D66038" w:rsidR="00613C72" w:rsidRPr="007332ED" w:rsidRDefault="00613C72" w:rsidP="00B4776F">
            <w:pPr>
              <w:pStyle w:val="TableHeading"/>
              <w:jc w:val="center"/>
            </w:pPr>
            <w:r>
              <w:t>2023-24 Actual %</w:t>
            </w:r>
          </w:p>
        </w:tc>
      </w:tr>
      <w:tr w:rsidR="00613C72" w14:paraId="45E770B3" w14:textId="1A624B78" w:rsidTr="00C66806">
        <w:tc>
          <w:tcPr>
            <w:tcW w:w="3397" w:type="dxa"/>
          </w:tcPr>
          <w:p w14:paraId="12D343CB" w14:textId="52E1F32A" w:rsidR="00613C72" w:rsidRPr="00030679" w:rsidRDefault="00613C72" w:rsidP="00C02F9A">
            <w:pPr>
              <w:pStyle w:val="TableBodyCopy"/>
            </w:pPr>
            <w:r>
              <w:t>Pacific</w:t>
            </w:r>
          </w:p>
        </w:tc>
        <w:tc>
          <w:tcPr>
            <w:tcW w:w="2265" w:type="dxa"/>
            <w:vAlign w:val="center"/>
          </w:tcPr>
          <w:p w14:paraId="0D3F5049" w14:textId="619122C0" w:rsidR="00613C72" w:rsidRPr="00D34ADE" w:rsidRDefault="00613C72" w:rsidP="00C02F9A">
            <w:pPr>
              <w:pStyle w:val="TableBodyCopy"/>
              <w:jc w:val="center"/>
            </w:pPr>
            <w:r>
              <w:t>517.2</w:t>
            </w:r>
          </w:p>
        </w:tc>
        <w:tc>
          <w:tcPr>
            <w:tcW w:w="2266" w:type="dxa"/>
            <w:vAlign w:val="center"/>
          </w:tcPr>
          <w:p w14:paraId="7E455C00" w14:textId="28B372DC" w:rsidR="00613C72" w:rsidRPr="00D34ADE" w:rsidRDefault="00613C72" w:rsidP="00C02F9A">
            <w:pPr>
              <w:pStyle w:val="TableBodyCopy"/>
              <w:jc w:val="center"/>
            </w:pPr>
            <w:r>
              <w:t>33%</w:t>
            </w:r>
          </w:p>
        </w:tc>
      </w:tr>
      <w:tr w:rsidR="00613C72" w14:paraId="417E46F0" w14:textId="42F9E059" w:rsidTr="00C66806">
        <w:tc>
          <w:tcPr>
            <w:tcW w:w="3397" w:type="dxa"/>
          </w:tcPr>
          <w:p w14:paraId="604B5B7E" w14:textId="4813E474" w:rsidR="00613C72" w:rsidRPr="00030679" w:rsidRDefault="00613C72" w:rsidP="00C02F9A">
            <w:pPr>
              <w:pStyle w:val="TableBodyCopy"/>
            </w:pPr>
            <w:r>
              <w:t>Southeast Asia</w:t>
            </w:r>
          </w:p>
        </w:tc>
        <w:tc>
          <w:tcPr>
            <w:tcW w:w="2265" w:type="dxa"/>
            <w:vAlign w:val="center"/>
          </w:tcPr>
          <w:p w14:paraId="12CB39EC" w14:textId="4944BBCB" w:rsidR="00613C72" w:rsidRPr="00D34ADE" w:rsidRDefault="00613C72" w:rsidP="00C02F9A">
            <w:pPr>
              <w:pStyle w:val="TableBodyCopy"/>
              <w:jc w:val="center"/>
            </w:pPr>
            <w:r>
              <w:t>577.5</w:t>
            </w:r>
          </w:p>
        </w:tc>
        <w:tc>
          <w:tcPr>
            <w:tcW w:w="2266" w:type="dxa"/>
            <w:vAlign w:val="center"/>
          </w:tcPr>
          <w:p w14:paraId="4E5F8501" w14:textId="533FE354" w:rsidR="00613C72" w:rsidRPr="00D34ADE" w:rsidRDefault="00613C72" w:rsidP="00C02F9A">
            <w:pPr>
              <w:pStyle w:val="TableBodyCopy"/>
              <w:jc w:val="center"/>
            </w:pPr>
            <w:r>
              <w:t>37%</w:t>
            </w:r>
          </w:p>
        </w:tc>
      </w:tr>
      <w:tr w:rsidR="00613C72" w14:paraId="2B1333F4" w14:textId="77777777" w:rsidTr="00C66806">
        <w:tc>
          <w:tcPr>
            <w:tcW w:w="3397" w:type="dxa"/>
          </w:tcPr>
          <w:p w14:paraId="38890A56" w14:textId="1212ABD3" w:rsidR="00613C72" w:rsidRDefault="00613C72" w:rsidP="00C02F9A">
            <w:pPr>
              <w:pStyle w:val="TableBodyCopy"/>
            </w:pPr>
            <w:r>
              <w:t>South and Central Asia</w:t>
            </w:r>
          </w:p>
        </w:tc>
        <w:tc>
          <w:tcPr>
            <w:tcW w:w="2265" w:type="dxa"/>
            <w:vAlign w:val="center"/>
          </w:tcPr>
          <w:p w14:paraId="7C5E60F3" w14:textId="5A551A2C" w:rsidR="00613C72" w:rsidRPr="00D34ADE" w:rsidRDefault="00613C72" w:rsidP="00C02F9A">
            <w:pPr>
              <w:pStyle w:val="TableBodyCopy"/>
              <w:jc w:val="center"/>
            </w:pPr>
            <w:r>
              <w:t>219.7</w:t>
            </w:r>
          </w:p>
        </w:tc>
        <w:tc>
          <w:tcPr>
            <w:tcW w:w="2266" w:type="dxa"/>
            <w:vAlign w:val="center"/>
          </w:tcPr>
          <w:p w14:paraId="4BBA5711" w14:textId="45341A1D" w:rsidR="00613C72" w:rsidRPr="00D34ADE" w:rsidRDefault="00613C72" w:rsidP="00C02F9A">
            <w:pPr>
              <w:pStyle w:val="TableBodyCopy"/>
              <w:jc w:val="center"/>
            </w:pPr>
            <w:r>
              <w:t>14%</w:t>
            </w:r>
          </w:p>
        </w:tc>
      </w:tr>
      <w:tr w:rsidR="00613C72" w14:paraId="6B771DA6" w14:textId="77777777" w:rsidTr="00C66806">
        <w:tc>
          <w:tcPr>
            <w:tcW w:w="3397" w:type="dxa"/>
          </w:tcPr>
          <w:p w14:paraId="1651DA14" w14:textId="7013672A" w:rsidR="00613C72" w:rsidRDefault="00613C72" w:rsidP="00C02F9A">
            <w:pPr>
              <w:pStyle w:val="TableBodyCopy"/>
            </w:pPr>
            <w:r>
              <w:t>Middle East and Africa</w:t>
            </w:r>
          </w:p>
        </w:tc>
        <w:tc>
          <w:tcPr>
            <w:tcW w:w="2265" w:type="dxa"/>
            <w:vAlign w:val="center"/>
          </w:tcPr>
          <w:p w14:paraId="5D27E890" w14:textId="0E3F6870" w:rsidR="00613C72" w:rsidRPr="00D34ADE" w:rsidRDefault="00613C72" w:rsidP="00C02F9A">
            <w:pPr>
              <w:pStyle w:val="TableBodyCopy"/>
              <w:jc w:val="center"/>
            </w:pPr>
            <w:r>
              <w:t>107.0</w:t>
            </w:r>
          </w:p>
        </w:tc>
        <w:tc>
          <w:tcPr>
            <w:tcW w:w="2266" w:type="dxa"/>
            <w:vAlign w:val="center"/>
          </w:tcPr>
          <w:p w14:paraId="5F11B819" w14:textId="3D4DEE28" w:rsidR="00613C72" w:rsidRPr="00D34ADE" w:rsidRDefault="00613C72" w:rsidP="00C02F9A">
            <w:pPr>
              <w:pStyle w:val="TableBodyCopy"/>
              <w:jc w:val="center"/>
            </w:pPr>
            <w:r>
              <w:t>7%</w:t>
            </w:r>
          </w:p>
        </w:tc>
      </w:tr>
      <w:tr w:rsidR="00613C72" w14:paraId="3BDCC9B5" w14:textId="77777777" w:rsidTr="00C66806">
        <w:tc>
          <w:tcPr>
            <w:tcW w:w="3397" w:type="dxa"/>
          </w:tcPr>
          <w:p w14:paraId="4E8483EB" w14:textId="2974F5A7" w:rsidR="00613C72" w:rsidRPr="00C36F80" w:rsidRDefault="00613C72" w:rsidP="00C02F9A">
            <w:pPr>
              <w:pStyle w:val="TableBodyCopy"/>
            </w:pPr>
            <w:r w:rsidRPr="00C36F80">
              <w:t>Rest of the World</w:t>
            </w:r>
            <w:r w:rsidR="003A5E58">
              <w:t>^</w:t>
            </w:r>
          </w:p>
        </w:tc>
        <w:tc>
          <w:tcPr>
            <w:tcW w:w="2265" w:type="dxa"/>
            <w:vAlign w:val="center"/>
          </w:tcPr>
          <w:p w14:paraId="4CC5A42A" w14:textId="1D4E1394" w:rsidR="00613C72" w:rsidRPr="00D34ADE" w:rsidRDefault="00613C72" w:rsidP="00C02F9A">
            <w:pPr>
              <w:pStyle w:val="TableBodyCopy"/>
              <w:jc w:val="center"/>
              <w:rPr>
                <w:b/>
                <w:bCs/>
              </w:rPr>
            </w:pPr>
            <w:r>
              <w:rPr>
                <w:b/>
                <w:bCs/>
              </w:rPr>
              <w:t>129.4</w:t>
            </w:r>
          </w:p>
        </w:tc>
        <w:tc>
          <w:tcPr>
            <w:tcW w:w="2266" w:type="dxa"/>
            <w:vAlign w:val="center"/>
          </w:tcPr>
          <w:p w14:paraId="5537B846" w14:textId="20564860" w:rsidR="00613C72" w:rsidRPr="00D34ADE" w:rsidRDefault="00613C72" w:rsidP="00C02F9A">
            <w:pPr>
              <w:pStyle w:val="TableBodyCopy"/>
              <w:jc w:val="center"/>
              <w:rPr>
                <w:b/>
                <w:bCs/>
              </w:rPr>
            </w:pPr>
            <w:r>
              <w:rPr>
                <w:b/>
                <w:bCs/>
              </w:rPr>
              <w:t>8%</w:t>
            </w:r>
          </w:p>
        </w:tc>
      </w:tr>
      <w:tr w:rsidR="00613C72" w14:paraId="4EA7F789" w14:textId="77777777" w:rsidTr="00C66806">
        <w:tc>
          <w:tcPr>
            <w:tcW w:w="3397" w:type="dxa"/>
          </w:tcPr>
          <w:p w14:paraId="09D8DAF9" w14:textId="1C3F6C6B" w:rsidR="00613C72" w:rsidRPr="00227B31" w:rsidRDefault="00613C72" w:rsidP="00C02F9A">
            <w:pPr>
              <w:pStyle w:val="TableBodyCopy"/>
              <w:rPr>
                <w:b/>
                <w:bCs/>
              </w:rPr>
            </w:pPr>
            <w:r w:rsidRPr="00227B31">
              <w:rPr>
                <w:b/>
                <w:bCs/>
              </w:rPr>
              <w:t>Total ODA to Disability equity and rights</w:t>
            </w:r>
          </w:p>
        </w:tc>
        <w:tc>
          <w:tcPr>
            <w:tcW w:w="2265" w:type="dxa"/>
            <w:vAlign w:val="center"/>
          </w:tcPr>
          <w:p w14:paraId="5F553256" w14:textId="5012ACE9" w:rsidR="00613C72" w:rsidRDefault="00613C72" w:rsidP="00C02F9A">
            <w:pPr>
              <w:pStyle w:val="TableBodyCopy"/>
              <w:jc w:val="center"/>
              <w:rPr>
                <w:b/>
                <w:bCs/>
              </w:rPr>
            </w:pPr>
            <w:r>
              <w:rPr>
                <w:b/>
                <w:bCs/>
              </w:rPr>
              <w:t>1,550.8</w:t>
            </w:r>
          </w:p>
        </w:tc>
        <w:tc>
          <w:tcPr>
            <w:tcW w:w="2266" w:type="dxa"/>
            <w:vAlign w:val="center"/>
          </w:tcPr>
          <w:p w14:paraId="6278E9B4" w14:textId="0F0AA6CC" w:rsidR="00613C72" w:rsidRPr="00D34ADE" w:rsidRDefault="00613C72" w:rsidP="00C02F9A">
            <w:pPr>
              <w:pStyle w:val="TableBodyCopy"/>
              <w:jc w:val="center"/>
              <w:rPr>
                <w:b/>
                <w:bCs/>
              </w:rPr>
            </w:pPr>
            <w:r>
              <w:rPr>
                <w:b/>
                <w:bCs/>
              </w:rPr>
              <w:t>100%</w:t>
            </w:r>
          </w:p>
        </w:tc>
      </w:tr>
    </w:tbl>
    <w:p w14:paraId="1173533E" w14:textId="3AA1E64D" w:rsidR="00771669" w:rsidRDefault="001E6A8F" w:rsidP="00E84101">
      <w:pPr>
        <w:pStyle w:val="Caption"/>
      </w:pPr>
      <w:r w:rsidRPr="00771669">
        <w:t xml:space="preserve">*Due to rounding, </w:t>
      </w:r>
      <w:r w:rsidRPr="003575EF">
        <w:t>discrepancies</w:t>
      </w:r>
      <w:r w:rsidRPr="00771669">
        <w:t xml:space="preserve"> may occur between sums of the component items in totals</w:t>
      </w:r>
    </w:p>
    <w:p w14:paraId="2D3BD6CD" w14:textId="2E468B65" w:rsidR="00222AF3" w:rsidRPr="00222AF3" w:rsidRDefault="00222AF3" w:rsidP="00222AF3">
      <w:pPr>
        <w:pStyle w:val="Caption"/>
      </w:pPr>
      <w:r>
        <w:t xml:space="preserve">^Includes ODA that is not attributed to </w:t>
      </w:r>
      <w:proofErr w:type="gramStart"/>
      <w:r>
        <w:t>particular countries</w:t>
      </w:r>
      <w:proofErr w:type="gramEnd"/>
      <w:r>
        <w:t xml:space="preserve"> or regions.</w:t>
      </w:r>
    </w:p>
    <w:p w14:paraId="496FD287" w14:textId="6B4823E8" w:rsidR="004A0959" w:rsidRPr="004A0959" w:rsidRDefault="00C12648" w:rsidP="004A0959">
      <w:pPr>
        <w:pStyle w:val="Heading4"/>
        <w:rPr>
          <w:bCs/>
          <w:lang w:val="en-US"/>
        </w:rPr>
      </w:pPr>
      <w:r>
        <w:rPr>
          <w:b w:val="0"/>
          <w:bCs/>
        </w:rPr>
        <w:t xml:space="preserve">Figure 1: </w:t>
      </w:r>
      <w:r w:rsidR="003575EF" w:rsidRPr="00E5168F">
        <w:rPr>
          <w:b w:val="0"/>
          <w:bCs/>
        </w:rPr>
        <w:t xml:space="preserve">Australian ODA to </w:t>
      </w:r>
      <w:r w:rsidR="00936202">
        <w:rPr>
          <w:b w:val="0"/>
          <w:bCs/>
        </w:rPr>
        <w:t>disability equity and rights</w:t>
      </w:r>
      <w:r w:rsidR="003575EF" w:rsidRPr="00E5168F">
        <w:rPr>
          <w:b w:val="0"/>
          <w:bCs/>
        </w:rPr>
        <w:t xml:space="preserve"> by Sector Group, </w:t>
      </w:r>
      <w:r w:rsidR="002C1A2B">
        <w:rPr>
          <w:b w:val="0"/>
          <w:bCs/>
        </w:rPr>
        <w:t>2023-24 actual</w:t>
      </w:r>
      <w:r w:rsidR="004A0959" w:rsidRPr="004A0959">
        <w:rPr>
          <w:bCs/>
          <w:noProof/>
          <w:lang w:val="en-US"/>
        </w:rPr>
        <w:drawing>
          <wp:anchor distT="0" distB="0" distL="114300" distR="114300" simplePos="0" relativeHeight="251658240" behindDoc="1" locked="0" layoutInCell="1" allowOverlap="1" wp14:anchorId="415087A0" wp14:editId="1FA47996">
            <wp:simplePos x="0" y="0"/>
            <wp:positionH relativeFrom="column">
              <wp:posOffset>3175</wp:posOffset>
            </wp:positionH>
            <wp:positionV relativeFrom="paragraph">
              <wp:posOffset>188595</wp:posOffset>
            </wp:positionV>
            <wp:extent cx="6480810" cy="2174875"/>
            <wp:effectExtent l="0" t="0" r="0" b="0"/>
            <wp:wrapTight wrapText="bothSides">
              <wp:wrapPolygon edited="0">
                <wp:start x="0" y="0"/>
                <wp:lineTo x="0" y="21379"/>
                <wp:lineTo x="21524" y="21379"/>
                <wp:lineTo x="21524" y="0"/>
                <wp:lineTo x="0" y="0"/>
              </wp:wrapPolygon>
            </wp:wrapTight>
            <wp:docPr id="805783534" name="Picture 4" descr="Figure 1 presents the percentage of Australia’s Official Development Assistance (ODA) to disability equity and rights for the financial year 2023-24 attributable to seven sector groups.&#10;&#10;This information is presented in a doughnut chart, where the seven primary Sector Groups take a portion of shading in the doughnut in direct proportion to the total percentage attributable to each Sector Group.&#10;&#10;The percentages of total Australian ODA by Sector Groups are:&#10;Agriculture, trade and other production services 5%&#10;Economic infrastructure and services 9%&#10;Education 20%&#10;Governance 26%&#10;Health 11%&#10;Humanitarian 24%&#10;Multisector and General Development Suppor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783534" name="Picture 4" descr="Figure 1 presents the percentage of Australia’s Official Development Assistance (ODA) to disability equity and rights for the financial year 2023-24 attributable to seven sector groups.&#10;&#10;This information is presented in a doughnut chart, where the seven primary Sector Groups take a portion of shading in the doughnut in direct proportion to the total percentage attributable to each Sector Group.&#10;&#10;The percentages of total Australian ODA by Sector Groups are:&#10;Agriculture, trade and other production services 5%&#10;Economic infrastructure and services 9%&#10;Education 20%&#10;Governance 26%&#10;Health 11%&#10;Humanitarian 24%&#10;Multisector and General Development Support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0810" cy="217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00DF7D" w14:textId="61EC50DE" w:rsidR="00F40F77" w:rsidRPr="00F40F77" w:rsidRDefault="00F40F77" w:rsidP="00F40F77">
      <w:pPr>
        <w:pStyle w:val="Heading4"/>
        <w:rPr>
          <w:b w:val="0"/>
          <w:bCs/>
        </w:rPr>
      </w:pPr>
    </w:p>
    <w:p w14:paraId="7CC3C65D" w14:textId="7BAE4C0B" w:rsidR="00C700DC" w:rsidRDefault="00E84101" w:rsidP="00C700DC">
      <w:pPr>
        <w:pStyle w:val="Heading3"/>
        <w:rPr>
          <w:rFonts w:eastAsia="Calibri"/>
        </w:rPr>
      </w:pPr>
      <w:r w:rsidRPr="00E50E59">
        <w:br w:type="page"/>
      </w:r>
      <w:r w:rsidR="00C700DC" w:rsidRPr="00CC4616">
        <w:lastRenderedPageBreak/>
        <w:t>Sustainable Development Goals</w:t>
      </w:r>
    </w:p>
    <w:p w14:paraId="5FDBE9C1" w14:textId="42355774" w:rsidR="00634CC1" w:rsidRPr="00C700DC" w:rsidRDefault="00634CC1" w:rsidP="00634CC1">
      <w:r>
        <w:rPr>
          <w:noProof/>
        </w:rPr>
        <w:drawing>
          <wp:inline distT="0" distB="0" distL="0" distR="0" wp14:anchorId="36362151" wp14:editId="382F54CC">
            <wp:extent cx="548640" cy="548640"/>
            <wp:effectExtent l="0" t="0" r="3810" b="3810"/>
            <wp:docPr id="662642502" name="Picture 4" descr="SDG 4 - Qualit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642502" name="Picture 4" descr="SDG 4 - Quality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51273F17" wp14:editId="43120F5C">
            <wp:extent cx="548640" cy="548640"/>
            <wp:effectExtent l="0" t="0" r="3810" b="3810"/>
            <wp:docPr id="935052166" name="Picture 10" descr="SDG 10 - Reduced inequa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052166" name="Picture 10" descr="SDG 10 - Reduced inequalitie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3EE208A6" wp14:editId="1368D7BB">
            <wp:extent cx="548640" cy="548640"/>
            <wp:effectExtent l="0" t="0" r="3810" b="3810"/>
            <wp:docPr id="1117766149" name="Picture 10" descr="SDG 17 - Partnerships for the Go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766149" name="Picture 10" descr="SDG 17 - Partnerships for the Goal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p>
    <w:p w14:paraId="1B31473A" w14:textId="17A4C6A6" w:rsidR="007C330A" w:rsidRDefault="007C330A" w:rsidP="000502CA">
      <w:pPr>
        <w:spacing w:before="360"/>
        <w:rPr>
          <w:b/>
          <w:bCs/>
        </w:rPr>
      </w:pPr>
      <w:r w:rsidRPr="007C330A">
        <w:rPr>
          <w:b/>
          <w:bCs/>
        </w:rPr>
        <w:t>People with disabili</w:t>
      </w:r>
      <w:r w:rsidR="000A7438">
        <w:rPr>
          <w:b/>
          <w:bCs/>
        </w:rPr>
        <w:t>ty</w:t>
      </w:r>
      <w:r w:rsidRPr="007C330A">
        <w:rPr>
          <w:b/>
          <w:bCs/>
        </w:rPr>
        <w:t xml:space="preserve"> are the world’s largest and most disadvantaged minority, making up 16 per cent of the global population. </w:t>
      </w:r>
      <w:r w:rsidR="004056FB">
        <w:rPr>
          <w:b/>
          <w:bCs/>
        </w:rPr>
        <w:t xml:space="preserve">Approximately </w:t>
      </w:r>
      <w:r w:rsidR="000A7438">
        <w:rPr>
          <w:b/>
          <w:bCs/>
        </w:rPr>
        <w:t xml:space="preserve">750 million people with disability live in Asia and the Pacific. </w:t>
      </w:r>
      <w:r w:rsidR="00C57539">
        <w:rPr>
          <w:b/>
          <w:bCs/>
        </w:rPr>
        <w:t xml:space="preserve">Global prevalence of disability has grown over the last decade and is expected to continue to rise. </w:t>
      </w:r>
      <w:r w:rsidR="00025BDB">
        <w:rPr>
          <w:b/>
          <w:bCs/>
        </w:rPr>
        <w:t xml:space="preserve">The combined impacts of climate change, </w:t>
      </w:r>
      <w:r w:rsidR="004B4703">
        <w:rPr>
          <w:b/>
          <w:bCs/>
        </w:rPr>
        <w:t xml:space="preserve">more severe and frequent disasters, increased conflict, </w:t>
      </w:r>
      <w:r w:rsidR="009F5DC2">
        <w:rPr>
          <w:b/>
          <w:bCs/>
        </w:rPr>
        <w:t>demographic</w:t>
      </w:r>
      <w:r w:rsidR="004B4703">
        <w:rPr>
          <w:b/>
          <w:bCs/>
        </w:rPr>
        <w:t xml:space="preserve"> </w:t>
      </w:r>
      <w:r w:rsidR="009F5DC2">
        <w:rPr>
          <w:b/>
          <w:bCs/>
        </w:rPr>
        <w:t xml:space="preserve">and increased rate of noncommunicable diseases will contribute to this increase. </w:t>
      </w:r>
    </w:p>
    <w:p w14:paraId="5592803C" w14:textId="221D7FD6" w:rsidR="007C330A" w:rsidRPr="0020255F" w:rsidRDefault="00E36EE2" w:rsidP="000502CA">
      <w:pPr>
        <w:spacing w:before="360"/>
      </w:pPr>
      <w:r>
        <w:t xml:space="preserve">Australia’s International Development Policy </w:t>
      </w:r>
      <w:r w:rsidR="009D606D">
        <w:t>prioritises disability equity and rights because e</w:t>
      </w:r>
      <w:r w:rsidR="0020255F" w:rsidRPr="0020255F">
        <w:t xml:space="preserve">veryone benefits from </w:t>
      </w:r>
      <w:r w:rsidR="00D95F0D">
        <w:t>achieving equity</w:t>
      </w:r>
      <w:r w:rsidR="0020255F" w:rsidRPr="0020255F">
        <w:t>. Poverty, isolation and disadvantage are reduced. The potential for economic growth is stronger. Cohesive societies are more peaceful, resilient and stable. For sustainable development to be achieved, the global community must deliver on our commitment to leave no one behind, including people with disability.</w:t>
      </w:r>
    </w:p>
    <w:p w14:paraId="14B56AE6" w14:textId="333766A8" w:rsidR="00671161" w:rsidRPr="004D1D85" w:rsidRDefault="001E6A8F" w:rsidP="00C700DC">
      <w:pPr>
        <w:pStyle w:val="Heading3"/>
      </w:pPr>
      <w:r>
        <w:t>Strategic direction</w:t>
      </w:r>
    </w:p>
    <w:p w14:paraId="5A5F7AA1" w14:textId="1B51348A" w:rsidR="00C16DD5" w:rsidRDefault="00C16DD5" w:rsidP="00702718">
      <w:r w:rsidRPr="00C16DD5">
        <w:t xml:space="preserve">Australia’s new </w:t>
      </w:r>
      <w:hyperlink r:id="rId15" w:history="1">
        <w:r w:rsidRPr="00172E8E">
          <w:rPr>
            <w:rStyle w:val="Hyperlink"/>
          </w:rPr>
          <w:t>International Disability Equity and Rights Strategy</w:t>
        </w:r>
      </w:hyperlink>
      <w:r w:rsidRPr="00C16DD5">
        <w:t xml:space="preserve"> continues our proud legacy of support for the rights of people with disability. It outlines how Australia will meet the demands of a changing world, integrating disability equity across our international engagement on foreign policy, international development, trade policy, humanitarian assistance and climate action.</w:t>
      </w:r>
      <w:r w:rsidR="00A07182" w:rsidRPr="00A07182">
        <w:rPr>
          <w:rFonts w:ascii="Segoe UI" w:hAnsi="Segoe UI" w:cs="Segoe UI"/>
          <w:color w:val="313131"/>
          <w:shd w:val="clear" w:color="auto" w:fill="FFFFFF"/>
        </w:rPr>
        <w:t xml:space="preserve"> </w:t>
      </w:r>
      <w:r w:rsidR="00A07182" w:rsidRPr="00A07182">
        <w:t>Th</w:t>
      </w:r>
      <w:r w:rsidR="00A07182">
        <w:t>e</w:t>
      </w:r>
      <w:r w:rsidR="00A07182" w:rsidRPr="00A07182">
        <w:t xml:space="preserve"> Strategy was shaped by people with disability and marks a shift in focus from inclusion to equity and rights, championing outcomes that remove barriers for people with disability so that they can fully and equitably participate in and contribute to society.</w:t>
      </w:r>
    </w:p>
    <w:p w14:paraId="4572847D" w14:textId="2908EE81" w:rsidR="002923D5" w:rsidRPr="004D1D85" w:rsidRDefault="001E6A8F" w:rsidP="00C700DC">
      <w:pPr>
        <w:pStyle w:val="Heading3"/>
      </w:pPr>
      <w:r>
        <w:t>Program highlights</w:t>
      </w:r>
    </w:p>
    <w:p w14:paraId="74A7906A" w14:textId="70F19D9F" w:rsidR="001E6A8F" w:rsidRPr="00025717" w:rsidRDefault="001E6A8F" w:rsidP="003575EF">
      <w:r w:rsidRPr="00025717">
        <w:t xml:space="preserve">Australia </w:t>
      </w:r>
      <w:r w:rsidR="005B793E">
        <w:t>is supporting</w:t>
      </w:r>
      <w:r w:rsidRPr="00025717">
        <w:t>:</w:t>
      </w:r>
    </w:p>
    <w:p w14:paraId="7C7579C8" w14:textId="0BA86CB0" w:rsidR="00E53F39" w:rsidRDefault="00E53F39" w:rsidP="00E53F39">
      <w:pPr>
        <w:numPr>
          <w:ilvl w:val="0"/>
          <w:numId w:val="21"/>
        </w:numPr>
        <w:spacing w:line="240" w:lineRule="auto"/>
        <w:textAlignment w:val="baseline"/>
        <w:rPr>
          <w:rFonts w:eastAsia="Times New Roman"/>
          <w:color w:val="000000"/>
          <w:sz w:val="24"/>
          <w:szCs w:val="24"/>
          <w:lang w:eastAsia="en-AU"/>
        </w:rPr>
      </w:pPr>
      <w:r>
        <w:rPr>
          <w:rFonts w:eastAsia="Times New Roman"/>
          <w:color w:val="000000"/>
        </w:rPr>
        <w:t xml:space="preserve">Ongoing disability movement strengthening by providing flexible funding and capacity building support to organisations of people with disability (OPDs). In 2024-25, Australia continued long-standing partnerships with the Pacific Disability Forum and the Disability Rights Advocacy Fund, which included support to over 45 national OPDs in the Indo-Pacific. Australia is planning to increase support for OPDs in our region from 2025-26 through a new investment, </w:t>
      </w:r>
      <w:r w:rsidRPr="005B793E">
        <w:rPr>
          <w:rFonts w:eastAsia="Times New Roman"/>
          <w:i/>
          <w:iCs/>
          <w:color w:val="000000"/>
        </w:rPr>
        <w:t>Stronger Movements, Stronger Futures</w:t>
      </w:r>
      <w:r>
        <w:rPr>
          <w:rFonts w:eastAsia="Times New Roman"/>
          <w:color w:val="000000"/>
        </w:rPr>
        <w:t xml:space="preserve">. </w:t>
      </w:r>
    </w:p>
    <w:p w14:paraId="41CDD642" w14:textId="5A062E08" w:rsidR="00E53F39" w:rsidRDefault="004F3908" w:rsidP="00E53F39">
      <w:pPr>
        <w:numPr>
          <w:ilvl w:val="0"/>
          <w:numId w:val="21"/>
        </w:numPr>
        <w:spacing w:line="240" w:lineRule="auto"/>
        <w:textAlignment w:val="baseline"/>
        <w:rPr>
          <w:rFonts w:eastAsia="Times New Roman"/>
          <w:color w:val="000000"/>
        </w:rPr>
      </w:pPr>
      <w:r>
        <w:rPr>
          <w:rFonts w:eastAsia="Times New Roman"/>
          <w:color w:val="000000"/>
        </w:rPr>
        <w:t>E</w:t>
      </w:r>
      <w:r w:rsidR="00E53F39">
        <w:rPr>
          <w:rFonts w:eastAsia="Times New Roman"/>
          <w:color w:val="000000"/>
        </w:rPr>
        <w:t xml:space="preserve">quitable access to assistive technology across the Indo-Pacific. In 2024-25, Australia expanded its partnership with the </w:t>
      </w:r>
      <w:proofErr w:type="spellStart"/>
      <w:r w:rsidR="00E53F39">
        <w:rPr>
          <w:rFonts w:eastAsia="Times New Roman"/>
          <w:color w:val="000000"/>
        </w:rPr>
        <w:t>ATscale</w:t>
      </w:r>
      <w:proofErr w:type="spellEnd"/>
      <w:r w:rsidR="00E53F39">
        <w:rPr>
          <w:rFonts w:eastAsia="Times New Roman"/>
          <w:color w:val="000000"/>
        </w:rPr>
        <w:t xml:space="preserve"> Global Partnership for Assistive Technology, enabling school-aged children in the Indo-Pacific to access vision, hearing and mobility screening and affordable, high-quality devices. Access to assistive technology is a one of the preconditions to inclusion and often an essential enabler for people to participate in education, employment and in their communities.</w:t>
      </w:r>
    </w:p>
    <w:sectPr w:rsidR="00E53F39" w:rsidSect="0095740E">
      <w:headerReference w:type="default" r:id="rId16"/>
      <w:footerReference w:type="default" r:id="rId17"/>
      <w:headerReference w:type="first" r:id="rId18"/>
      <w:footerReference w:type="first" r:id="rId19"/>
      <w:pgSz w:w="11906" w:h="16838" w:code="9"/>
      <w:pgMar w:top="1872" w:right="850" w:bottom="990" w:left="850" w:header="850"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07E3D" w14:textId="77777777" w:rsidR="00444134" w:rsidRDefault="00444134" w:rsidP="00EE32FE">
      <w:pPr>
        <w:spacing w:after="0" w:line="240" w:lineRule="auto"/>
      </w:pPr>
      <w:r>
        <w:separator/>
      </w:r>
    </w:p>
  </w:endnote>
  <w:endnote w:type="continuationSeparator" w:id="0">
    <w:p w14:paraId="3CC705AC" w14:textId="77777777" w:rsidR="00444134" w:rsidRDefault="00444134" w:rsidP="00EE32FE">
      <w:pPr>
        <w:spacing w:after="0" w:line="240" w:lineRule="auto"/>
      </w:pPr>
      <w:r>
        <w:continuationSeparator/>
      </w:r>
    </w:p>
  </w:endnote>
  <w:endnote w:type="continuationNotice" w:id="1">
    <w:p w14:paraId="15C40F9A" w14:textId="77777777" w:rsidR="00444134" w:rsidRDefault="004441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FFFFFF" w:themeColor="background1"/>
      </w:rPr>
      <w:id w:val="-108438124"/>
      <w:docPartObj>
        <w:docPartGallery w:val="Page Numbers (Bottom of Page)"/>
        <w:docPartUnique/>
      </w:docPartObj>
    </w:sdtPr>
    <w:sdtEndPr>
      <w:rPr>
        <w:noProof/>
      </w:rPr>
    </w:sdtEndPr>
    <w:sdtContent>
      <w:p w14:paraId="02CD4674" w14:textId="2DD6A0D1" w:rsidR="00F40F77" w:rsidRPr="004D49FE" w:rsidRDefault="008E290E">
        <w:pPr>
          <w:pStyle w:val="Footer"/>
          <w:rPr>
            <w:color w:val="FFFFFF" w:themeColor="background1"/>
          </w:rPr>
        </w:pPr>
        <w:r w:rsidRPr="00C71682">
          <w:rPr>
            <w:noProof/>
            <w:color w:val="FFFFFF" w:themeColor="background1"/>
          </w:rPr>
          <w:drawing>
            <wp:anchor distT="0" distB="0" distL="114300" distR="114300" simplePos="0" relativeHeight="251658244" behindDoc="1" locked="0" layoutInCell="1" allowOverlap="1" wp14:anchorId="1DE43D9B" wp14:editId="4A81363D">
              <wp:simplePos x="0" y="0"/>
              <wp:positionH relativeFrom="page">
                <wp:align>center</wp:align>
              </wp:positionH>
              <wp:positionV relativeFrom="page">
                <wp:align>bottom</wp:align>
              </wp:positionV>
              <wp:extent cx="7558095" cy="576000"/>
              <wp:effectExtent l="0" t="0" r="5080" b="0"/>
              <wp:wrapNone/>
              <wp:docPr id="383988066" name="Picture 3839880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988066" name="Picture 383988066">
                        <a:extLst>
                          <a:ext uri="{C183D7F6-B498-43B3-948B-1728B52AA6E4}">
                            <adec:decorative xmlns:adec="http://schemas.microsoft.com/office/drawing/2017/decorative" val="1"/>
                          </a:ext>
                        </a:extLst>
                      </pic:cNvPr>
                      <pic:cNvPicPr/>
                    </pic:nvPicPr>
                    <pic:blipFill>
                      <a:blip r:embed="rId1"/>
                      <a:stretch>
                        <a:fillRect/>
                      </a:stretch>
                    </pic:blipFill>
                    <pic:spPr>
                      <a:xfrm>
                        <a:off x="0" y="0"/>
                        <a:ext cx="7558095" cy="576000"/>
                      </a:xfrm>
                      <a:prstGeom prst="rect">
                        <a:avLst/>
                      </a:prstGeom>
                    </pic:spPr>
                  </pic:pic>
                </a:graphicData>
              </a:graphic>
              <wp14:sizeRelH relativeFrom="margin">
                <wp14:pctWidth>0</wp14:pctWidth>
              </wp14:sizeRelH>
              <wp14:sizeRelV relativeFrom="margin">
                <wp14:pctHeight>0</wp14:pctHeight>
              </wp14:sizeRelV>
            </wp:anchor>
          </w:drawing>
        </w:r>
        <w:r w:rsidR="00BD1D28" w:rsidRPr="004D49FE">
          <w:rPr>
            <w:color w:val="FFFFFF" w:themeColor="background1"/>
          </w:rPr>
          <w:fldChar w:fldCharType="begin"/>
        </w:r>
        <w:r w:rsidR="00BD1D28" w:rsidRPr="004D49FE">
          <w:rPr>
            <w:color w:val="FFFFFF" w:themeColor="background1"/>
          </w:rPr>
          <w:instrText xml:space="preserve"> PAGE   \* MERGEFORMAT </w:instrText>
        </w:r>
        <w:r w:rsidR="00BD1D28" w:rsidRPr="004D49FE">
          <w:rPr>
            <w:color w:val="FFFFFF" w:themeColor="background1"/>
          </w:rPr>
          <w:fldChar w:fldCharType="separate"/>
        </w:r>
        <w:r w:rsidR="00BD1D28" w:rsidRPr="004D49FE">
          <w:rPr>
            <w:noProof/>
            <w:color w:val="FFFFFF" w:themeColor="background1"/>
          </w:rPr>
          <w:t>2</w:t>
        </w:r>
        <w:r w:rsidR="00BD1D28" w:rsidRPr="004D49FE">
          <w:rPr>
            <w:noProof/>
            <w:color w:val="FFFFFF" w:themeColor="background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FFFFFF" w:themeColor="background1"/>
      </w:rPr>
      <w:id w:val="-1410306763"/>
      <w:docPartObj>
        <w:docPartGallery w:val="Page Numbers (Bottom of Page)"/>
        <w:docPartUnique/>
      </w:docPartObj>
    </w:sdtPr>
    <w:sdtEndPr>
      <w:rPr>
        <w:noProof/>
      </w:rPr>
    </w:sdtEndPr>
    <w:sdtContent>
      <w:p w14:paraId="38984756" w14:textId="18EE118E" w:rsidR="00E50E59" w:rsidRPr="00C71682" w:rsidRDefault="00C71682">
        <w:pPr>
          <w:pStyle w:val="Footer"/>
          <w:rPr>
            <w:color w:val="FFFFFF" w:themeColor="background1"/>
          </w:rPr>
        </w:pPr>
        <w:r w:rsidRPr="00C71682">
          <w:rPr>
            <w:noProof/>
            <w:color w:val="FFFFFF" w:themeColor="background1"/>
          </w:rPr>
          <w:drawing>
            <wp:anchor distT="0" distB="0" distL="114300" distR="114300" simplePos="0" relativeHeight="251658243" behindDoc="1" locked="0" layoutInCell="1" allowOverlap="1" wp14:anchorId="57098BE2" wp14:editId="06078AE4">
              <wp:simplePos x="0" y="0"/>
              <wp:positionH relativeFrom="page">
                <wp:align>center</wp:align>
              </wp:positionH>
              <wp:positionV relativeFrom="page">
                <wp:align>bottom</wp:align>
              </wp:positionV>
              <wp:extent cx="7558095" cy="576000"/>
              <wp:effectExtent l="0" t="0" r="5080" b="0"/>
              <wp:wrapNone/>
              <wp:docPr id="1702243087" name="Picture 17022430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243087" name="Picture 1702243087">
                        <a:extLst>
                          <a:ext uri="{C183D7F6-B498-43B3-948B-1728B52AA6E4}">
                            <adec:decorative xmlns:adec="http://schemas.microsoft.com/office/drawing/2017/decorative" val="1"/>
                          </a:ext>
                        </a:extLst>
                      </pic:cNvPr>
                      <pic:cNvPicPr/>
                    </pic:nvPicPr>
                    <pic:blipFill>
                      <a:blip r:embed="rId1"/>
                      <a:stretch>
                        <a:fillRect/>
                      </a:stretch>
                    </pic:blipFill>
                    <pic:spPr>
                      <a:xfrm>
                        <a:off x="0" y="0"/>
                        <a:ext cx="7558095" cy="576000"/>
                      </a:xfrm>
                      <a:prstGeom prst="rect">
                        <a:avLst/>
                      </a:prstGeom>
                    </pic:spPr>
                  </pic:pic>
                </a:graphicData>
              </a:graphic>
              <wp14:sizeRelH relativeFrom="margin">
                <wp14:pctWidth>0</wp14:pctWidth>
              </wp14:sizeRelH>
              <wp14:sizeRelV relativeFrom="margin">
                <wp14:pctHeight>0</wp14:pctHeight>
              </wp14:sizeRelV>
            </wp:anchor>
          </w:drawing>
        </w:r>
        <w:r w:rsidR="00F46B16" w:rsidRPr="00C71682">
          <w:rPr>
            <w:color w:val="FFFFFF" w:themeColor="background1"/>
          </w:rPr>
          <w:fldChar w:fldCharType="begin"/>
        </w:r>
        <w:r w:rsidR="00F46B16" w:rsidRPr="00C71682">
          <w:rPr>
            <w:color w:val="FFFFFF" w:themeColor="background1"/>
          </w:rPr>
          <w:instrText xml:space="preserve"> PAGE   \* MERGEFORMAT </w:instrText>
        </w:r>
        <w:r w:rsidR="00F46B16" w:rsidRPr="00C71682">
          <w:rPr>
            <w:color w:val="FFFFFF" w:themeColor="background1"/>
          </w:rPr>
          <w:fldChar w:fldCharType="separate"/>
        </w:r>
        <w:r w:rsidR="00F46B16" w:rsidRPr="00C71682">
          <w:rPr>
            <w:noProof/>
            <w:color w:val="FFFFFF" w:themeColor="background1"/>
          </w:rPr>
          <w:t>2</w:t>
        </w:r>
        <w:r w:rsidR="00F46B16" w:rsidRPr="00C71682">
          <w:rPr>
            <w:noProof/>
            <w:color w:val="FFFFFF"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13F1E" w14:textId="77777777" w:rsidR="00444134" w:rsidRDefault="00444134" w:rsidP="00EE32FE">
      <w:pPr>
        <w:spacing w:after="0" w:line="240" w:lineRule="auto"/>
      </w:pPr>
      <w:bookmarkStart w:id="0" w:name="_Hlk127364773"/>
      <w:bookmarkEnd w:id="0"/>
      <w:r>
        <w:separator/>
      </w:r>
    </w:p>
  </w:footnote>
  <w:footnote w:type="continuationSeparator" w:id="0">
    <w:p w14:paraId="251B7640" w14:textId="77777777" w:rsidR="00444134" w:rsidRDefault="00444134" w:rsidP="00EE32FE">
      <w:pPr>
        <w:spacing w:after="0" w:line="240" w:lineRule="auto"/>
      </w:pPr>
      <w:r>
        <w:continuationSeparator/>
      </w:r>
    </w:p>
  </w:footnote>
  <w:footnote w:type="continuationNotice" w:id="1">
    <w:p w14:paraId="399F778C" w14:textId="77777777" w:rsidR="00444134" w:rsidRDefault="004441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8F6E9" w14:textId="4D8987F0" w:rsidR="00306BCA" w:rsidRDefault="0076381C">
    <w:pPr>
      <w:pStyle w:val="Header"/>
    </w:pPr>
    <w:r>
      <w:rPr>
        <w:noProof/>
      </w:rPr>
      <w:drawing>
        <wp:anchor distT="0" distB="0" distL="114300" distR="114300" simplePos="0" relativeHeight="251658245" behindDoc="1" locked="0" layoutInCell="1" allowOverlap="1" wp14:anchorId="3030DA87" wp14:editId="56007535">
          <wp:simplePos x="541606" y="618978"/>
          <wp:positionH relativeFrom="page">
            <wp:align>center</wp:align>
          </wp:positionH>
          <wp:positionV relativeFrom="page">
            <wp:align>top</wp:align>
          </wp:positionV>
          <wp:extent cx="7558095" cy="576000"/>
          <wp:effectExtent l="0" t="0" r="5080" b="0"/>
          <wp:wrapNone/>
          <wp:docPr id="1721380403" name="Picture 1" descr="Page two header banner text includes Australia’s International Development Program on dar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380403" name="Picture 1" descr="Page two header banner text includes Australia’s International Development Program on dark background"/>
                  <pic:cNvPicPr/>
                </pic:nvPicPr>
                <pic:blipFill>
                  <a:blip r:embed="rId1"/>
                  <a:stretch>
                    <a:fillRect/>
                  </a:stretch>
                </pic:blipFill>
                <pic:spPr>
                  <a:xfrm>
                    <a:off x="0" y="0"/>
                    <a:ext cx="7558095" cy="57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8360E" w14:textId="6A6E5772" w:rsidR="00704573" w:rsidRDefault="00235C52">
    <w:pPr>
      <w:pStyle w:val="Header"/>
    </w:pPr>
    <w:r>
      <w:rPr>
        <w:noProof/>
      </w:rPr>
      <w:drawing>
        <wp:anchor distT="0" distB="0" distL="114300" distR="114300" simplePos="0" relativeHeight="251658242" behindDoc="0" locked="0" layoutInCell="1" allowOverlap="1" wp14:anchorId="76BA3015" wp14:editId="43712648">
          <wp:simplePos x="0" y="0"/>
          <wp:positionH relativeFrom="page">
            <wp:posOffset>10937875</wp:posOffset>
          </wp:positionH>
          <wp:positionV relativeFrom="page">
            <wp:posOffset>112395</wp:posOffset>
          </wp:positionV>
          <wp:extent cx="7689850" cy="585470"/>
          <wp:effectExtent l="0" t="0" r="6350" b="5080"/>
          <wp:wrapNone/>
          <wp:docPr id="1131797426" name="Picture 11317974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797426" name="Picture 1131797426">
                    <a:extLst>
                      <a:ext uri="{C183D7F6-B498-43B3-948B-1728B52AA6E4}">
                        <adec:decorative xmlns:adec="http://schemas.microsoft.com/office/drawing/2017/decorative" val="1"/>
                      </a:ext>
                    </a:extLst>
                  </pic:cNvPr>
                  <pic:cNvPicPr/>
                </pic:nvPicPr>
                <pic:blipFill>
                  <a:blip r:embed="rId1"/>
                  <a:stretch>
                    <a:fillRect/>
                  </a:stretch>
                </pic:blipFill>
                <pic:spPr>
                  <a:xfrm>
                    <a:off x="0" y="0"/>
                    <a:ext cx="7689850" cy="585470"/>
                  </a:xfrm>
                  <a:prstGeom prst="rect">
                    <a:avLst/>
                  </a:prstGeom>
                </pic:spPr>
              </pic:pic>
            </a:graphicData>
          </a:graphic>
          <wp14:sizeRelH relativeFrom="margin">
            <wp14:pctWidth>0</wp14:pctWidth>
          </wp14:sizeRelH>
          <wp14:sizeRelV relativeFrom="margin">
            <wp14:pctHeight>0</wp14:pctHeight>
          </wp14:sizeRelV>
        </wp:anchor>
      </w:drawing>
    </w:r>
    <w:r w:rsidR="008728F0">
      <w:rPr>
        <w:noProof/>
      </w:rPr>
      <w:drawing>
        <wp:anchor distT="0" distB="0" distL="114300" distR="114300" simplePos="0" relativeHeight="251658240" behindDoc="0" locked="0" layoutInCell="1" allowOverlap="1" wp14:anchorId="57FCDF50" wp14:editId="3971DDD2">
          <wp:simplePos x="0" y="0"/>
          <wp:positionH relativeFrom="page">
            <wp:align>center</wp:align>
          </wp:positionH>
          <wp:positionV relativeFrom="page">
            <wp:align>top</wp:align>
          </wp:positionV>
          <wp:extent cx="7560000" cy="1080000"/>
          <wp:effectExtent l="0" t="0" r="3175" b="6350"/>
          <wp:wrapNone/>
          <wp:docPr id="2129509291" name="Picture 2129509291" descr="Header banner including Australian Government Department of Foreign Affairs and Trade logos and Australian Aid identifier on the right hand sid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509291" name="Picture 2129509291" descr="Header banner including Australian Government Department of Foreign Affairs and Trade logos and Australian Aid identifier on the right hand side">
                    <a:extLst>
                      <a:ext uri="{C183D7F6-B498-43B3-948B-1728B52AA6E4}">
                        <adec:decorative xmlns:adec="http://schemas.microsoft.com/office/drawing/2017/decorative" val="0"/>
                      </a:ext>
                    </a:extLst>
                  </pic:cNvPr>
                  <pic:cNvPicPr/>
                </pic:nvPicPr>
                <pic:blipFill>
                  <a:blip r:embed="rId2"/>
                  <a:stretch>
                    <a:fillRect/>
                  </a:stretch>
                </pic:blipFill>
                <pic:spPr>
                  <a:xfrm>
                    <a:off x="0" y="0"/>
                    <a:ext cx="756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C6835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A2D46"/>
    <w:multiLevelType w:val="hybridMultilevel"/>
    <w:tmpl w:val="4AB6AC2E"/>
    <w:lvl w:ilvl="0" w:tplc="018A84B8">
      <w:start w:val="1"/>
      <w:numFmt w:val="decimal"/>
      <w:lvlText w:val="%1."/>
      <w:lvlJc w:val="left"/>
      <w:pPr>
        <w:ind w:left="1020" w:hanging="360"/>
      </w:pPr>
    </w:lvl>
    <w:lvl w:ilvl="1" w:tplc="F83812DE">
      <w:start w:val="1"/>
      <w:numFmt w:val="decimal"/>
      <w:lvlText w:val="%2."/>
      <w:lvlJc w:val="left"/>
      <w:pPr>
        <w:ind w:left="1020" w:hanging="360"/>
      </w:pPr>
    </w:lvl>
    <w:lvl w:ilvl="2" w:tplc="33B408C8">
      <w:start w:val="1"/>
      <w:numFmt w:val="decimal"/>
      <w:lvlText w:val="%3."/>
      <w:lvlJc w:val="left"/>
      <w:pPr>
        <w:ind w:left="1020" w:hanging="360"/>
      </w:pPr>
    </w:lvl>
    <w:lvl w:ilvl="3" w:tplc="52948C7C">
      <w:start w:val="1"/>
      <w:numFmt w:val="decimal"/>
      <w:lvlText w:val="%4."/>
      <w:lvlJc w:val="left"/>
      <w:pPr>
        <w:ind w:left="1020" w:hanging="360"/>
      </w:pPr>
    </w:lvl>
    <w:lvl w:ilvl="4" w:tplc="1D26C1C4">
      <w:start w:val="1"/>
      <w:numFmt w:val="decimal"/>
      <w:lvlText w:val="%5."/>
      <w:lvlJc w:val="left"/>
      <w:pPr>
        <w:ind w:left="1020" w:hanging="360"/>
      </w:pPr>
    </w:lvl>
    <w:lvl w:ilvl="5" w:tplc="07803DD6">
      <w:start w:val="1"/>
      <w:numFmt w:val="decimal"/>
      <w:lvlText w:val="%6."/>
      <w:lvlJc w:val="left"/>
      <w:pPr>
        <w:ind w:left="1020" w:hanging="360"/>
      </w:pPr>
    </w:lvl>
    <w:lvl w:ilvl="6" w:tplc="8D881B56">
      <w:start w:val="1"/>
      <w:numFmt w:val="decimal"/>
      <w:lvlText w:val="%7."/>
      <w:lvlJc w:val="left"/>
      <w:pPr>
        <w:ind w:left="1020" w:hanging="360"/>
      </w:pPr>
    </w:lvl>
    <w:lvl w:ilvl="7" w:tplc="0142917C">
      <w:start w:val="1"/>
      <w:numFmt w:val="decimal"/>
      <w:lvlText w:val="%8."/>
      <w:lvlJc w:val="left"/>
      <w:pPr>
        <w:ind w:left="1020" w:hanging="360"/>
      </w:pPr>
    </w:lvl>
    <w:lvl w:ilvl="8" w:tplc="B7082D96">
      <w:start w:val="1"/>
      <w:numFmt w:val="decimal"/>
      <w:lvlText w:val="%9."/>
      <w:lvlJc w:val="left"/>
      <w:pPr>
        <w:ind w:left="1020" w:hanging="360"/>
      </w:pPr>
    </w:lvl>
  </w:abstractNum>
  <w:abstractNum w:abstractNumId="2" w15:restartNumberingAfterBreak="0">
    <w:nsid w:val="0C0A00A4"/>
    <w:multiLevelType w:val="hybridMultilevel"/>
    <w:tmpl w:val="979494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5E63D02"/>
    <w:multiLevelType w:val="hybridMultilevel"/>
    <w:tmpl w:val="872410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6321E9"/>
    <w:multiLevelType w:val="hybridMultilevel"/>
    <w:tmpl w:val="389AC8A6"/>
    <w:lvl w:ilvl="0" w:tplc="259AD006">
      <w:start w:val="1"/>
      <w:numFmt w:val="decimal"/>
      <w:lvlText w:val="%1."/>
      <w:lvlJc w:val="left"/>
      <w:pPr>
        <w:ind w:left="1020" w:hanging="360"/>
      </w:pPr>
    </w:lvl>
    <w:lvl w:ilvl="1" w:tplc="30241C60">
      <w:start w:val="1"/>
      <w:numFmt w:val="decimal"/>
      <w:lvlText w:val="%2."/>
      <w:lvlJc w:val="left"/>
      <w:pPr>
        <w:ind w:left="1020" w:hanging="360"/>
      </w:pPr>
    </w:lvl>
    <w:lvl w:ilvl="2" w:tplc="0842401C">
      <w:start w:val="1"/>
      <w:numFmt w:val="decimal"/>
      <w:lvlText w:val="%3."/>
      <w:lvlJc w:val="left"/>
      <w:pPr>
        <w:ind w:left="1020" w:hanging="360"/>
      </w:pPr>
    </w:lvl>
    <w:lvl w:ilvl="3" w:tplc="DDA47CE2">
      <w:start w:val="1"/>
      <w:numFmt w:val="decimal"/>
      <w:lvlText w:val="%4."/>
      <w:lvlJc w:val="left"/>
      <w:pPr>
        <w:ind w:left="1020" w:hanging="360"/>
      </w:pPr>
    </w:lvl>
    <w:lvl w:ilvl="4" w:tplc="8F6A5CA4">
      <w:start w:val="1"/>
      <w:numFmt w:val="decimal"/>
      <w:lvlText w:val="%5."/>
      <w:lvlJc w:val="left"/>
      <w:pPr>
        <w:ind w:left="1020" w:hanging="360"/>
      </w:pPr>
    </w:lvl>
    <w:lvl w:ilvl="5" w:tplc="9550A5B6">
      <w:start w:val="1"/>
      <w:numFmt w:val="decimal"/>
      <w:lvlText w:val="%6."/>
      <w:lvlJc w:val="left"/>
      <w:pPr>
        <w:ind w:left="1020" w:hanging="360"/>
      </w:pPr>
    </w:lvl>
    <w:lvl w:ilvl="6" w:tplc="E97836DE">
      <w:start w:val="1"/>
      <w:numFmt w:val="decimal"/>
      <w:lvlText w:val="%7."/>
      <w:lvlJc w:val="left"/>
      <w:pPr>
        <w:ind w:left="1020" w:hanging="360"/>
      </w:pPr>
    </w:lvl>
    <w:lvl w:ilvl="7" w:tplc="4FFA85CC">
      <w:start w:val="1"/>
      <w:numFmt w:val="decimal"/>
      <w:lvlText w:val="%8."/>
      <w:lvlJc w:val="left"/>
      <w:pPr>
        <w:ind w:left="1020" w:hanging="360"/>
      </w:pPr>
    </w:lvl>
    <w:lvl w:ilvl="8" w:tplc="4EE86F6C">
      <w:start w:val="1"/>
      <w:numFmt w:val="decimal"/>
      <w:lvlText w:val="%9."/>
      <w:lvlJc w:val="left"/>
      <w:pPr>
        <w:ind w:left="1020" w:hanging="360"/>
      </w:pPr>
    </w:lvl>
  </w:abstractNum>
  <w:abstractNum w:abstractNumId="5" w15:restartNumberingAfterBreak="0">
    <w:nsid w:val="230821E7"/>
    <w:multiLevelType w:val="hybridMultilevel"/>
    <w:tmpl w:val="A260AB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2354785C"/>
    <w:multiLevelType w:val="hybridMultilevel"/>
    <w:tmpl w:val="63704D7C"/>
    <w:lvl w:ilvl="0" w:tplc="05389998">
      <w:start w:val="1"/>
      <w:numFmt w:val="bullet"/>
      <w:lvlText w:val=""/>
      <w:lvlJc w:val="left"/>
      <w:pPr>
        <w:tabs>
          <w:tab w:val="num" w:pos="720"/>
        </w:tabs>
        <w:ind w:left="720" w:hanging="360"/>
      </w:pPr>
      <w:rPr>
        <w:rFonts w:ascii="Symbol" w:hAnsi="Symbol" w:hint="default"/>
      </w:rPr>
    </w:lvl>
    <w:lvl w:ilvl="1" w:tplc="E95C26FA" w:tentative="1">
      <w:start w:val="1"/>
      <w:numFmt w:val="bullet"/>
      <w:lvlText w:val=""/>
      <w:lvlJc w:val="left"/>
      <w:pPr>
        <w:tabs>
          <w:tab w:val="num" w:pos="1440"/>
        </w:tabs>
        <w:ind w:left="1440" w:hanging="360"/>
      </w:pPr>
      <w:rPr>
        <w:rFonts w:ascii="Symbol" w:hAnsi="Symbol" w:hint="default"/>
      </w:rPr>
    </w:lvl>
    <w:lvl w:ilvl="2" w:tplc="A75CE94C" w:tentative="1">
      <w:start w:val="1"/>
      <w:numFmt w:val="bullet"/>
      <w:lvlText w:val=""/>
      <w:lvlJc w:val="left"/>
      <w:pPr>
        <w:tabs>
          <w:tab w:val="num" w:pos="2160"/>
        </w:tabs>
        <w:ind w:left="2160" w:hanging="360"/>
      </w:pPr>
      <w:rPr>
        <w:rFonts w:ascii="Symbol" w:hAnsi="Symbol" w:hint="default"/>
      </w:rPr>
    </w:lvl>
    <w:lvl w:ilvl="3" w:tplc="C4241174" w:tentative="1">
      <w:start w:val="1"/>
      <w:numFmt w:val="bullet"/>
      <w:lvlText w:val=""/>
      <w:lvlJc w:val="left"/>
      <w:pPr>
        <w:tabs>
          <w:tab w:val="num" w:pos="2880"/>
        </w:tabs>
        <w:ind w:left="2880" w:hanging="360"/>
      </w:pPr>
      <w:rPr>
        <w:rFonts w:ascii="Symbol" w:hAnsi="Symbol" w:hint="default"/>
      </w:rPr>
    </w:lvl>
    <w:lvl w:ilvl="4" w:tplc="F322F270" w:tentative="1">
      <w:start w:val="1"/>
      <w:numFmt w:val="bullet"/>
      <w:lvlText w:val=""/>
      <w:lvlJc w:val="left"/>
      <w:pPr>
        <w:tabs>
          <w:tab w:val="num" w:pos="3600"/>
        </w:tabs>
        <w:ind w:left="3600" w:hanging="360"/>
      </w:pPr>
      <w:rPr>
        <w:rFonts w:ascii="Symbol" w:hAnsi="Symbol" w:hint="default"/>
      </w:rPr>
    </w:lvl>
    <w:lvl w:ilvl="5" w:tplc="7A847960" w:tentative="1">
      <w:start w:val="1"/>
      <w:numFmt w:val="bullet"/>
      <w:lvlText w:val=""/>
      <w:lvlJc w:val="left"/>
      <w:pPr>
        <w:tabs>
          <w:tab w:val="num" w:pos="4320"/>
        </w:tabs>
        <w:ind w:left="4320" w:hanging="360"/>
      </w:pPr>
      <w:rPr>
        <w:rFonts w:ascii="Symbol" w:hAnsi="Symbol" w:hint="default"/>
      </w:rPr>
    </w:lvl>
    <w:lvl w:ilvl="6" w:tplc="E97CF78C" w:tentative="1">
      <w:start w:val="1"/>
      <w:numFmt w:val="bullet"/>
      <w:lvlText w:val=""/>
      <w:lvlJc w:val="left"/>
      <w:pPr>
        <w:tabs>
          <w:tab w:val="num" w:pos="5040"/>
        </w:tabs>
        <w:ind w:left="5040" w:hanging="360"/>
      </w:pPr>
      <w:rPr>
        <w:rFonts w:ascii="Symbol" w:hAnsi="Symbol" w:hint="default"/>
      </w:rPr>
    </w:lvl>
    <w:lvl w:ilvl="7" w:tplc="67606C76" w:tentative="1">
      <w:start w:val="1"/>
      <w:numFmt w:val="bullet"/>
      <w:lvlText w:val=""/>
      <w:lvlJc w:val="left"/>
      <w:pPr>
        <w:tabs>
          <w:tab w:val="num" w:pos="5760"/>
        </w:tabs>
        <w:ind w:left="5760" w:hanging="360"/>
      </w:pPr>
      <w:rPr>
        <w:rFonts w:ascii="Symbol" w:hAnsi="Symbol" w:hint="default"/>
      </w:rPr>
    </w:lvl>
    <w:lvl w:ilvl="8" w:tplc="6AF8411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9D3341A"/>
    <w:multiLevelType w:val="hybridMultilevel"/>
    <w:tmpl w:val="948C41E2"/>
    <w:lvl w:ilvl="0" w:tplc="476EC80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D472A5"/>
    <w:multiLevelType w:val="hybridMultilevel"/>
    <w:tmpl w:val="E3408DC2"/>
    <w:lvl w:ilvl="0" w:tplc="B0683738">
      <w:start w:val="1"/>
      <w:numFmt w:val="decimal"/>
      <w:lvlText w:val="%1."/>
      <w:lvlJc w:val="left"/>
      <w:pPr>
        <w:ind w:left="1020" w:hanging="360"/>
      </w:pPr>
    </w:lvl>
    <w:lvl w:ilvl="1" w:tplc="A6802ABE">
      <w:start w:val="1"/>
      <w:numFmt w:val="decimal"/>
      <w:lvlText w:val="%2."/>
      <w:lvlJc w:val="left"/>
      <w:pPr>
        <w:ind w:left="1020" w:hanging="360"/>
      </w:pPr>
    </w:lvl>
    <w:lvl w:ilvl="2" w:tplc="2F74BCDC">
      <w:start w:val="1"/>
      <w:numFmt w:val="decimal"/>
      <w:lvlText w:val="%3."/>
      <w:lvlJc w:val="left"/>
      <w:pPr>
        <w:ind w:left="1020" w:hanging="360"/>
      </w:pPr>
    </w:lvl>
    <w:lvl w:ilvl="3" w:tplc="FE6ADC6E">
      <w:start w:val="1"/>
      <w:numFmt w:val="decimal"/>
      <w:lvlText w:val="%4."/>
      <w:lvlJc w:val="left"/>
      <w:pPr>
        <w:ind w:left="1020" w:hanging="360"/>
      </w:pPr>
    </w:lvl>
    <w:lvl w:ilvl="4" w:tplc="03029E9E">
      <w:start w:val="1"/>
      <w:numFmt w:val="decimal"/>
      <w:lvlText w:val="%5."/>
      <w:lvlJc w:val="left"/>
      <w:pPr>
        <w:ind w:left="1020" w:hanging="360"/>
      </w:pPr>
    </w:lvl>
    <w:lvl w:ilvl="5" w:tplc="90105E3E">
      <w:start w:val="1"/>
      <w:numFmt w:val="decimal"/>
      <w:lvlText w:val="%6."/>
      <w:lvlJc w:val="left"/>
      <w:pPr>
        <w:ind w:left="1020" w:hanging="360"/>
      </w:pPr>
    </w:lvl>
    <w:lvl w:ilvl="6" w:tplc="F4F2A512">
      <w:start w:val="1"/>
      <w:numFmt w:val="decimal"/>
      <w:lvlText w:val="%7."/>
      <w:lvlJc w:val="left"/>
      <w:pPr>
        <w:ind w:left="1020" w:hanging="360"/>
      </w:pPr>
    </w:lvl>
    <w:lvl w:ilvl="7" w:tplc="1100ACDA">
      <w:start w:val="1"/>
      <w:numFmt w:val="decimal"/>
      <w:lvlText w:val="%8."/>
      <w:lvlJc w:val="left"/>
      <w:pPr>
        <w:ind w:left="1020" w:hanging="360"/>
      </w:pPr>
    </w:lvl>
    <w:lvl w:ilvl="8" w:tplc="D44610F4">
      <w:start w:val="1"/>
      <w:numFmt w:val="decimal"/>
      <w:lvlText w:val="%9."/>
      <w:lvlJc w:val="left"/>
      <w:pPr>
        <w:ind w:left="1020" w:hanging="360"/>
      </w:pPr>
    </w:lvl>
  </w:abstractNum>
  <w:abstractNum w:abstractNumId="9"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85F4CFF"/>
    <w:multiLevelType w:val="hybridMultilevel"/>
    <w:tmpl w:val="556C9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580FB7"/>
    <w:multiLevelType w:val="hybridMultilevel"/>
    <w:tmpl w:val="055ACAB4"/>
    <w:lvl w:ilvl="0" w:tplc="2FE82136">
      <w:start w:val="1"/>
      <w:numFmt w:val="bullet"/>
      <w:pStyle w:val="BodyCopy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0324A3"/>
    <w:multiLevelType w:val="hybridMultilevel"/>
    <w:tmpl w:val="72A46C1C"/>
    <w:lvl w:ilvl="0" w:tplc="0EECF498">
      <w:start w:val="1"/>
      <w:numFmt w:val="bullet"/>
      <w:lvlText w:val=""/>
      <w:lvlJc w:val="left"/>
      <w:pPr>
        <w:tabs>
          <w:tab w:val="num" w:pos="720"/>
        </w:tabs>
        <w:ind w:left="720" w:hanging="360"/>
      </w:pPr>
      <w:rPr>
        <w:rFonts w:ascii="Symbol" w:hAnsi="Symbol" w:hint="default"/>
      </w:rPr>
    </w:lvl>
    <w:lvl w:ilvl="1" w:tplc="F72A89A6" w:tentative="1">
      <w:start w:val="1"/>
      <w:numFmt w:val="bullet"/>
      <w:lvlText w:val=""/>
      <w:lvlJc w:val="left"/>
      <w:pPr>
        <w:tabs>
          <w:tab w:val="num" w:pos="1440"/>
        </w:tabs>
        <w:ind w:left="1440" w:hanging="360"/>
      </w:pPr>
      <w:rPr>
        <w:rFonts w:ascii="Symbol" w:hAnsi="Symbol" w:hint="default"/>
      </w:rPr>
    </w:lvl>
    <w:lvl w:ilvl="2" w:tplc="32B47676" w:tentative="1">
      <w:start w:val="1"/>
      <w:numFmt w:val="bullet"/>
      <w:lvlText w:val=""/>
      <w:lvlJc w:val="left"/>
      <w:pPr>
        <w:tabs>
          <w:tab w:val="num" w:pos="2160"/>
        </w:tabs>
        <w:ind w:left="2160" w:hanging="360"/>
      </w:pPr>
      <w:rPr>
        <w:rFonts w:ascii="Symbol" w:hAnsi="Symbol" w:hint="default"/>
      </w:rPr>
    </w:lvl>
    <w:lvl w:ilvl="3" w:tplc="1E38B5B8" w:tentative="1">
      <w:start w:val="1"/>
      <w:numFmt w:val="bullet"/>
      <w:lvlText w:val=""/>
      <w:lvlJc w:val="left"/>
      <w:pPr>
        <w:tabs>
          <w:tab w:val="num" w:pos="2880"/>
        </w:tabs>
        <w:ind w:left="2880" w:hanging="360"/>
      </w:pPr>
      <w:rPr>
        <w:rFonts w:ascii="Symbol" w:hAnsi="Symbol" w:hint="default"/>
      </w:rPr>
    </w:lvl>
    <w:lvl w:ilvl="4" w:tplc="D9A88F04" w:tentative="1">
      <w:start w:val="1"/>
      <w:numFmt w:val="bullet"/>
      <w:lvlText w:val=""/>
      <w:lvlJc w:val="left"/>
      <w:pPr>
        <w:tabs>
          <w:tab w:val="num" w:pos="3600"/>
        </w:tabs>
        <w:ind w:left="3600" w:hanging="360"/>
      </w:pPr>
      <w:rPr>
        <w:rFonts w:ascii="Symbol" w:hAnsi="Symbol" w:hint="default"/>
      </w:rPr>
    </w:lvl>
    <w:lvl w:ilvl="5" w:tplc="2870DF34" w:tentative="1">
      <w:start w:val="1"/>
      <w:numFmt w:val="bullet"/>
      <w:lvlText w:val=""/>
      <w:lvlJc w:val="left"/>
      <w:pPr>
        <w:tabs>
          <w:tab w:val="num" w:pos="4320"/>
        </w:tabs>
        <w:ind w:left="4320" w:hanging="360"/>
      </w:pPr>
      <w:rPr>
        <w:rFonts w:ascii="Symbol" w:hAnsi="Symbol" w:hint="default"/>
      </w:rPr>
    </w:lvl>
    <w:lvl w:ilvl="6" w:tplc="70D8A0A2" w:tentative="1">
      <w:start w:val="1"/>
      <w:numFmt w:val="bullet"/>
      <w:lvlText w:val=""/>
      <w:lvlJc w:val="left"/>
      <w:pPr>
        <w:tabs>
          <w:tab w:val="num" w:pos="5040"/>
        </w:tabs>
        <w:ind w:left="5040" w:hanging="360"/>
      </w:pPr>
      <w:rPr>
        <w:rFonts w:ascii="Symbol" w:hAnsi="Symbol" w:hint="default"/>
      </w:rPr>
    </w:lvl>
    <w:lvl w:ilvl="7" w:tplc="0FFA5184" w:tentative="1">
      <w:start w:val="1"/>
      <w:numFmt w:val="bullet"/>
      <w:lvlText w:val=""/>
      <w:lvlJc w:val="left"/>
      <w:pPr>
        <w:tabs>
          <w:tab w:val="num" w:pos="5760"/>
        </w:tabs>
        <w:ind w:left="5760" w:hanging="360"/>
      </w:pPr>
      <w:rPr>
        <w:rFonts w:ascii="Symbol" w:hAnsi="Symbol" w:hint="default"/>
      </w:rPr>
    </w:lvl>
    <w:lvl w:ilvl="8" w:tplc="BB1259A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7E252072"/>
    <w:multiLevelType w:val="hybridMultilevel"/>
    <w:tmpl w:val="FE1E5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11315745">
    <w:abstractNumId w:val="9"/>
  </w:num>
  <w:num w:numId="2" w16cid:durableId="768818958">
    <w:abstractNumId w:val="9"/>
    <w:lvlOverride w:ilvl="0">
      <w:startOverride w:val="1"/>
    </w:lvlOverride>
  </w:num>
  <w:num w:numId="3" w16cid:durableId="1890258398">
    <w:abstractNumId w:val="9"/>
    <w:lvlOverride w:ilvl="0">
      <w:startOverride w:val="1"/>
    </w:lvlOverride>
  </w:num>
  <w:num w:numId="4" w16cid:durableId="649091149">
    <w:abstractNumId w:val="11"/>
  </w:num>
  <w:num w:numId="5" w16cid:durableId="934098631">
    <w:abstractNumId w:val="3"/>
  </w:num>
  <w:num w:numId="6" w16cid:durableId="151024048">
    <w:abstractNumId w:val="9"/>
    <w:lvlOverride w:ilvl="0">
      <w:startOverride w:val="1"/>
    </w:lvlOverride>
  </w:num>
  <w:num w:numId="7" w16cid:durableId="1836610287">
    <w:abstractNumId w:val="9"/>
    <w:lvlOverride w:ilvl="0">
      <w:startOverride w:val="1"/>
    </w:lvlOverride>
  </w:num>
  <w:num w:numId="8" w16cid:durableId="2006547766">
    <w:abstractNumId w:val="9"/>
    <w:lvlOverride w:ilvl="0">
      <w:startOverride w:val="1"/>
    </w:lvlOverride>
  </w:num>
  <w:num w:numId="9" w16cid:durableId="1379822385">
    <w:abstractNumId w:val="13"/>
  </w:num>
  <w:num w:numId="10" w16cid:durableId="1276981909">
    <w:abstractNumId w:val="10"/>
  </w:num>
  <w:num w:numId="11" w16cid:durableId="1977682116">
    <w:abstractNumId w:val="11"/>
  </w:num>
  <w:num w:numId="12" w16cid:durableId="1696269951">
    <w:abstractNumId w:val="11"/>
  </w:num>
  <w:num w:numId="13" w16cid:durableId="1555584703">
    <w:abstractNumId w:val="0"/>
  </w:num>
  <w:num w:numId="14" w16cid:durableId="366376057">
    <w:abstractNumId w:val="12"/>
  </w:num>
  <w:num w:numId="15" w16cid:durableId="1909922326">
    <w:abstractNumId w:val="6"/>
  </w:num>
  <w:num w:numId="16" w16cid:durableId="2124684593">
    <w:abstractNumId w:val="4"/>
  </w:num>
  <w:num w:numId="17" w16cid:durableId="906037808">
    <w:abstractNumId w:val="2"/>
  </w:num>
  <w:num w:numId="18" w16cid:durableId="1378120932">
    <w:abstractNumId w:val="7"/>
  </w:num>
  <w:num w:numId="19" w16cid:durableId="219564270">
    <w:abstractNumId w:val="1"/>
  </w:num>
  <w:num w:numId="20" w16cid:durableId="1372995176">
    <w:abstractNumId w:val="8"/>
  </w:num>
  <w:num w:numId="21" w16cid:durableId="14207853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B5D"/>
    <w:rsid w:val="0000077E"/>
    <w:rsid w:val="0000483A"/>
    <w:rsid w:val="00017776"/>
    <w:rsid w:val="00021DCB"/>
    <w:rsid w:val="00025428"/>
    <w:rsid w:val="00025717"/>
    <w:rsid w:val="00025BDB"/>
    <w:rsid w:val="00025DF3"/>
    <w:rsid w:val="00027152"/>
    <w:rsid w:val="00030679"/>
    <w:rsid w:val="00045E13"/>
    <w:rsid w:val="000502CA"/>
    <w:rsid w:val="00055F8D"/>
    <w:rsid w:val="00065484"/>
    <w:rsid w:val="0007092D"/>
    <w:rsid w:val="00074F02"/>
    <w:rsid w:val="00077882"/>
    <w:rsid w:val="00080BCC"/>
    <w:rsid w:val="000918B9"/>
    <w:rsid w:val="00094F36"/>
    <w:rsid w:val="000A3684"/>
    <w:rsid w:val="000A7438"/>
    <w:rsid w:val="000B7CE5"/>
    <w:rsid w:val="000C1AA4"/>
    <w:rsid w:val="000C6D02"/>
    <w:rsid w:val="000E21AB"/>
    <w:rsid w:val="000E5A2E"/>
    <w:rsid w:val="000F1407"/>
    <w:rsid w:val="0010098A"/>
    <w:rsid w:val="00100CEB"/>
    <w:rsid w:val="00110B68"/>
    <w:rsid w:val="001120F8"/>
    <w:rsid w:val="00123E7B"/>
    <w:rsid w:val="00130FA7"/>
    <w:rsid w:val="00133CD1"/>
    <w:rsid w:val="001405B7"/>
    <w:rsid w:val="00144289"/>
    <w:rsid w:val="001459DB"/>
    <w:rsid w:val="00152BF7"/>
    <w:rsid w:val="00155730"/>
    <w:rsid w:val="00156F0A"/>
    <w:rsid w:val="00163AE3"/>
    <w:rsid w:val="00172E8E"/>
    <w:rsid w:val="001869DB"/>
    <w:rsid w:val="00192504"/>
    <w:rsid w:val="0019463F"/>
    <w:rsid w:val="00197CF8"/>
    <w:rsid w:val="001A3856"/>
    <w:rsid w:val="001B3A98"/>
    <w:rsid w:val="001B3B4C"/>
    <w:rsid w:val="001B3D6A"/>
    <w:rsid w:val="001B461C"/>
    <w:rsid w:val="001D0846"/>
    <w:rsid w:val="001D29C1"/>
    <w:rsid w:val="001D7F3A"/>
    <w:rsid w:val="001E0A36"/>
    <w:rsid w:val="001E0D67"/>
    <w:rsid w:val="001E6A8F"/>
    <w:rsid w:val="001F04B3"/>
    <w:rsid w:val="00201A0B"/>
    <w:rsid w:val="0020255F"/>
    <w:rsid w:val="00206BB9"/>
    <w:rsid w:val="0021308F"/>
    <w:rsid w:val="0021791D"/>
    <w:rsid w:val="00222AF3"/>
    <w:rsid w:val="00222C6E"/>
    <w:rsid w:val="00227B31"/>
    <w:rsid w:val="00232F10"/>
    <w:rsid w:val="00233F1A"/>
    <w:rsid w:val="00234CD9"/>
    <w:rsid w:val="00235C52"/>
    <w:rsid w:val="002368E3"/>
    <w:rsid w:val="0023702A"/>
    <w:rsid w:val="002428F9"/>
    <w:rsid w:val="002449A4"/>
    <w:rsid w:val="00246196"/>
    <w:rsid w:val="00250B52"/>
    <w:rsid w:val="00265727"/>
    <w:rsid w:val="0027191E"/>
    <w:rsid w:val="00274B14"/>
    <w:rsid w:val="00285D03"/>
    <w:rsid w:val="002903BA"/>
    <w:rsid w:val="00290E4E"/>
    <w:rsid w:val="002923D5"/>
    <w:rsid w:val="00292A6D"/>
    <w:rsid w:val="002965B1"/>
    <w:rsid w:val="002A027E"/>
    <w:rsid w:val="002A03E7"/>
    <w:rsid w:val="002B18B9"/>
    <w:rsid w:val="002C03C0"/>
    <w:rsid w:val="002C1236"/>
    <w:rsid w:val="002C1A2B"/>
    <w:rsid w:val="002C1E1B"/>
    <w:rsid w:val="002F21F5"/>
    <w:rsid w:val="002F3A6A"/>
    <w:rsid w:val="002F65B2"/>
    <w:rsid w:val="0030387C"/>
    <w:rsid w:val="00306A56"/>
    <w:rsid w:val="00306BCA"/>
    <w:rsid w:val="003108B2"/>
    <w:rsid w:val="0032242F"/>
    <w:rsid w:val="003227DD"/>
    <w:rsid w:val="00323404"/>
    <w:rsid w:val="00327C4D"/>
    <w:rsid w:val="00332955"/>
    <w:rsid w:val="00341FBF"/>
    <w:rsid w:val="00343F6F"/>
    <w:rsid w:val="00344586"/>
    <w:rsid w:val="00352D3F"/>
    <w:rsid w:val="00353A69"/>
    <w:rsid w:val="00353EBF"/>
    <w:rsid w:val="003575EF"/>
    <w:rsid w:val="00357C23"/>
    <w:rsid w:val="00363489"/>
    <w:rsid w:val="003816EA"/>
    <w:rsid w:val="003872A8"/>
    <w:rsid w:val="003A024E"/>
    <w:rsid w:val="003A1CEC"/>
    <w:rsid w:val="003A5E58"/>
    <w:rsid w:val="003B68D2"/>
    <w:rsid w:val="003C0D0F"/>
    <w:rsid w:val="003C29FC"/>
    <w:rsid w:val="003C4C08"/>
    <w:rsid w:val="003C5770"/>
    <w:rsid w:val="003F62F1"/>
    <w:rsid w:val="0040062A"/>
    <w:rsid w:val="00401597"/>
    <w:rsid w:val="004041C7"/>
    <w:rsid w:val="004056FB"/>
    <w:rsid w:val="00413D08"/>
    <w:rsid w:val="00421924"/>
    <w:rsid w:val="00422EC0"/>
    <w:rsid w:val="00426B9A"/>
    <w:rsid w:val="0043194D"/>
    <w:rsid w:val="00432798"/>
    <w:rsid w:val="004411D8"/>
    <w:rsid w:val="00443150"/>
    <w:rsid w:val="00444134"/>
    <w:rsid w:val="004516E0"/>
    <w:rsid w:val="00455B9C"/>
    <w:rsid w:val="00461828"/>
    <w:rsid w:val="004641A7"/>
    <w:rsid w:val="0046667F"/>
    <w:rsid w:val="00467643"/>
    <w:rsid w:val="004740DD"/>
    <w:rsid w:val="00477EDC"/>
    <w:rsid w:val="00480980"/>
    <w:rsid w:val="004A0959"/>
    <w:rsid w:val="004A0B2C"/>
    <w:rsid w:val="004A4242"/>
    <w:rsid w:val="004B2F7F"/>
    <w:rsid w:val="004B4703"/>
    <w:rsid w:val="004C24E5"/>
    <w:rsid w:val="004C403F"/>
    <w:rsid w:val="004D0049"/>
    <w:rsid w:val="004D1D85"/>
    <w:rsid w:val="004D38A2"/>
    <w:rsid w:val="004D49FE"/>
    <w:rsid w:val="004E2304"/>
    <w:rsid w:val="004E6CF2"/>
    <w:rsid w:val="004E6FA1"/>
    <w:rsid w:val="004F3908"/>
    <w:rsid w:val="004F6FEF"/>
    <w:rsid w:val="00511714"/>
    <w:rsid w:val="00513FF9"/>
    <w:rsid w:val="00515159"/>
    <w:rsid w:val="00521152"/>
    <w:rsid w:val="005220C7"/>
    <w:rsid w:val="005258B3"/>
    <w:rsid w:val="005333E6"/>
    <w:rsid w:val="0053464B"/>
    <w:rsid w:val="005440F3"/>
    <w:rsid w:val="00545268"/>
    <w:rsid w:val="00545DA0"/>
    <w:rsid w:val="005546FA"/>
    <w:rsid w:val="00564F4A"/>
    <w:rsid w:val="005669D7"/>
    <w:rsid w:val="00585B8E"/>
    <w:rsid w:val="00592C35"/>
    <w:rsid w:val="00592E1A"/>
    <w:rsid w:val="00595180"/>
    <w:rsid w:val="00596471"/>
    <w:rsid w:val="005A4153"/>
    <w:rsid w:val="005B723E"/>
    <w:rsid w:val="005B793E"/>
    <w:rsid w:val="005C37E4"/>
    <w:rsid w:val="005E2754"/>
    <w:rsid w:val="005E65BF"/>
    <w:rsid w:val="005F7B84"/>
    <w:rsid w:val="00604371"/>
    <w:rsid w:val="00613C72"/>
    <w:rsid w:val="00616B35"/>
    <w:rsid w:val="0063050B"/>
    <w:rsid w:val="00633110"/>
    <w:rsid w:val="006337A3"/>
    <w:rsid w:val="00634CC1"/>
    <w:rsid w:val="0066074C"/>
    <w:rsid w:val="00661961"/>
    <w:rsid w:val="00661B31"/>
    <w:rsid w:val="00665E07"/>
    <w:rsid w:val="0066646F"/>
    <w:rsid w:val="00671161"/>
    <w:rsid w:val="00685065"/>
    <w:rsid w:val="00687044"/>
    <w:rsid w:val="006927FF"/>
    <w:rsid w:val="006A1920"/>
    <w:rsid w:val="006A3040"/>
    <w:rsid w:val="006A721C"/>
    <w:rsid w:val="006A7A4D"/>
    <w:rsid w:val="006A7D3F"/>
    <w:rsid w:val="006B1B6F"/>
    <w:rsid w:val="006B7E81"/>
    <w:rsid w:val="006C13E7"/>
    <w:rsid w:val="006C1A49"/>
    <w:rsid w:val="006D49BC"/>
    <w:rsid w:val="007018A3"/>
    <w:rsid w:val="00702718"/>
    <w:rsid w:val="00704573"/>
    <w:rsid w:val="0071149B"/>
    <w:rsid w:val="00712C82"/>
    <w:rsid w:val="0072314C"/>
    <w:rsid w:val="00730BD2"/>
    <w:rsid w:val="007332ED"/>
    <w:rsid w:val="00742E10"/>
    <w:rsid w:val="0076381C"/>
    <w:rsid w:val="00766FF5"/>
    <w:rsid w:val="00770B31"/>
    <w:rsid w:val="00771669"/>
    <w:rsid w:val="00777D96"/>
    <w:rsid w:val="00780DC2"/>
    <w:rsid w:val="00790F87"/>
    <w:rsid w:val="00791418"/>
    <w:rsid w:val="007919D5"/>
    <w:rsid w:val="0079728E"/>
    <w:rsid w:val="007A3DE9"/>
    <w:rsid w:val="007C330A"/>
    <w:rsid w:val="007C5166"/>
    <w:rsid w:val="007C76D3"/>
    <w:rsid w:val="007D2D3B"/>
    <w:rsid w:val="007D3457"/>
    <w:rsid w:val="007D43DA"/>
    <w:rsid w:val="007D522F"/>
    <w:rsid w:val="007D53CA"/>
    <w:rsid w:val="007F312B"/>
    <w:rsid w:val="007F6492"/>
    <w:rsid w:val="008009CE"/>
    <w:rsid w:val="00801B1F"/>
    <w:rsid w:val="00827BFC"/>
    <w:rsid w:val="0083220B"/>
    <w:rsid w:val="00835E8A"/>
    <w:rsid w:val="00845374"/>
    <w:rsid w:val="008477F8"/>
    <w:rsid w:val="008519E9"/>
    <w:rsid w:val="00861DA7"/>
    <w:rsid w:val="00865EA9"/>
    <w:rsid w:val="008662C1"/>
    <w:rsid w:val="00870A3F"/>
    <w:rsid w:val="008714F6"/>
    <w:rsid w:val="008728F0"/>
    <w:rsid w:val="00877949"/>
    <w:rsid w:val="00881EA7"/>
    <w:rsid w:val="00890C17"/>
    <w:rsid w:val="00892737"/>
    <w:rsid w:val="00895DD6"/>
    <w:rsid w:val="008A1F79"/>
    <w:rsid w:val="008A226C"/>
    <w:rsid w:val="008A403B"/>
    <w:rsid w:val="008A7873"/>
    <w:rsid w:val="008A7880"/>
    <w:rsid w:val="008B0839"/>
    <w:rsid w:val="008B0F13"/>
    <w:rsid w:val="008B1B19"/>
    <w:rsid w:val="008B68E7"/>
    <w:rsid w:val="008C2F65"/>
    <w:rsid w:val="008C3BB8"/>
    <w:rsid w:val="008D25CF"/>
    <w:rsid w:val="008E290E"/>
    <w:rsid w:val="008F40C7"/>
    <w:rsid w:val="00900C4B"/>
    <w:rsid w:val="009014DC"/>
    <w:rsid w:val="00901F0F"/>
    <w:rsid w:val="009026A6"/>
    <w:rsid w:val="00905CE7"/>
    <w:rsid w:val="00907E14"/>
    <w:rsid w:val="0091100D"/>
    <w:rsid w:val="00936202"/>
    <w:rsid w:val="00947AD0"/>
    <w:rsid w:val="00952353"/>
    <w:rsid w:val="009526F7"/>
    <w:rsid w:val="0095495A"/>
    <w:rsid w:val="0095526E"/>
    <w:rsid w:val="0095740E"/>
    <w:rsid w:val="009629DC"/>
    <w:rsid w:val="00965509"/>
    <w:rsid w:val="00973EA7"/>
    <w:rsid w:val="00983402"/>
    <w:rsid w:val="0099135A"/>
    <w:rsid w:val="009952A4"/>
    <w:rsid w:val="009A030D"/>
    <w:rsid w:val="009A649F"/>
    <w:rsid w:val="009B2A87"/>
    <w:rsid w:val="009C29CC"/>
    <w:rsid w:val="009D13AB"/>
    <w:rsid w:val="009D606D"/>
    <w:rsid w:val="009D7B89"/>
    <w:rsid w:val="009F4957"/>
    <w:rsid w:val="009F5DC2"/>
    <w:rsid w:val="00A01D6E"/>
    <w:rsid w:val="00A03771"/>
    <w:rsid w:val="00A07182"/>
    <w:rsid w:val="00A17774"/>
    <w:rsid w:val="00A2698E"/>
    <w:rsid w:val="00A4001E"/>
    <w:rsid w:val="00A42FA8"/>
    <w:rsid w:val="00A63A07"/>
    <w:rsid w:val="00A735CF"/>
    <w:rsid w:val="00A7750B"/>
    <w:rsid w:val="00AA6ACC"/>
    <w:rsid w:val="00AC6062"/>
    <w:rsid w:val="00AC7A86"/>
    <w:rsid w:val="00AD645F"/>
    <w:rsid w:val="00AE166C"/>
    <w:rsid w:val="00AF7C26"/>
    <w:rsid w:val="00B057A4"/>
    <w:rsid w:val="00B12A73"/>
    <w:rsid w:val="00B26511"/>
    <w:rsid w:val="00B35181"/>
    <w:rsid w:val="00B36FC8"/>
    <w:rsid w:val="00B45010"/>
    <w:rsid w:val="00B4776F"/>
    <w:rsid w:val="00B549F3"/>
    <w:rsid w:val="00B54BE6"/>
    <w:rsid w:val="00B578F2"/>
    <w:rsid w:val="00B76033"/>
    <w:rsid w:val="00B772ED"/>
    <w:rsid w:val="00B818B4"/>
    <w:rsid w:val="00B860B3"/>
    <w:rsid w:val="00B92A48"/>
    <w:rsid w:val="00BB6C40"/>
    <w:rsid w:val="00BB7E09"/>
    <w:rsid w:val="00BC50D3"/>
    <w:rsid w:val="00BC7DF7"/>
    <w:rsid w:val="00BD1D28"/>
    <w:rsid w:val="00BE7DC3"/>
    <w:rsid w:val="00C02DDF"/>
    <w:rsid w:val="00C02F9A"/>
    <w:rsid w:val="00C06E40"/>
    <w:rsid w:val="00C107A8"/>
    <w:rsid w:val="00C12648"/>
    <w:rsid w:val="00C13173"/>
    <w:rsid w:val="00C16DD5"/>
    <w:rsid w:val="00C33D8D"/>
    <w:rsid w:val="00C361EE"/>
    <w:rsid w:val="00C36F80"/>
    <w:rsid w:val="00C403E0"/>
    <w:rsid w:val="00C40760"/>
    <w:rsid w:val="00C50BB3"/>
    <w:rsid w:val="00C52EC4"/>
    <w:rsid w:val="00C57539"/>
    <w:rsid w:val="00C60EBF"/>
    <w:rsid w:val="00C66806"/>
    <w:rsid w:val="00C700DC"/>
    <w:rsid w:val="00C71682"/>
    <w:rsid w:val="00C77021"/>
    <w:rsid w:val="00C8771C"/>
    <w:rsid w:val="00C94B61"/>
    <w:rsid w:val="00CB02DE"/>
    <w:rsid w:val="00CB23F5"/>
    <w:rsid w:val="00CB7C57"/>
    <w:rsid w:val="00CC2B03"/>
    <w:rsid w:val="00CC4616"/>
    <w:rsid w:val="00CC5EEC"/>
    <w:rsid w:val="00CD19DE"/>
    <w:rsid w:val="00CD260F"/>
    <w:rsid w:val="00CD624F"/>
    <w:rsid w:val="00CE1356"/>
    <w:rsid w:val="00CF0F67"/>
    <w:rsid w:val="00CF14DB"/>
    <w:rsid w:val="00CF2F96"/>
    <w:rsid w:val="00CF56CE"/>
    <w:rsid w:val="00CF5E36"/>
    <w:rsid w:val="00D1292B"/>
    <w:rsid w:val="00D13E7A"/>
    <w:rsid w:val="00D21205"/>
    <w:rsid w:val="00D26781"/>
    <w:rsid w:val="00D3023D"/>
    <w:rsid w:val="00D32B6E"/>
    <w:rsid w:val="00D34ADE"/>
    <w:rsid w:val="00D44CAE"/>
    <w:rsid w:val="00D5007C"/>
    <w:rsid w:val="00D50262"/>
    <w:rsid w:val="00D51D2E"/>
    <w:rsid w:val="00D53B69"/>
    <w:rsid w:val="00D6301C"/>
    <w:rsid w:val="00D66136"/>
    <w:rsid w:val="00D700C8"/>
    <w:rsid w:val="00D708FA"/>
    <w:rsid w:val="00D70B09"/>
    <w:rsid w:val="00D93F61"/>
    <w:rsid w:val="00D94A08"/>
    <w:rsid w:val="00D950F4"/>
    <w:rsid w:val="00D95F0D"/>
    <w:rsid w:val="00DA3F0A"/>
    <w:rsid w:val="00DA572D"/>
    <w:rsid w:val="00DA6024"/>
    <w:rsid w:val="00DB608B"/>
    <w:rsid w:val="00DC3C96"/>
    <w:rsid w:val="00DE32E1"/>
    <w:rsid w:val="00DF118A"/>
    <w:rsid w:val="00DF79EE"/>
    <w:rsid w:val="00E03446"/>
    <w:rsid w:val="00E035AF"/>
    <w:rsid w:val="00E07E75"/>
    <w:rsid w:val="00E100FE"/>
    <w:rsid w:val="00E13AE1"/>
    <w:rsid w:val="00E221BE"/>
    <w:rsid w:val="00E34385"/>
    <w:rsid w:val="00E363E8"/>
    <w:rsid w:val="00E36EE2"/>
    <w:rsid w:val="00E467E1"/>
    <w:rsid w:val="00E50E59"/>
    <w:rsid w:val="00E5168F"/>
    <w:rsid w:val="00E53F39"/>
    <w:rsid w:val="00E56487"/>
    <w:rsid w:val="00E62203"/>
    <w:rsid w:val="00E806BC"/>
    <w:rsid w:val="00E83793"/>
    <w:rsid w:val="00E84101"/>
    <w:rsid w:val="00EA636B"/>
    <w:rsid w:val="00EB31D3"/>
    <w:rsid w:val="00EB7C2A"/>
    <w:rsid w:val="00EC1229"/>
    <w:rsid w:val="00EC1E36"/>
    <w:rsid w:val="00EC28B8"/>
    <w:rsid w:val="00EE0299"/>
    <w:rsid w:val="00EE32FE"/>
    <w:rsid w:val="00EF025A"/>
    <w:rsid w:val="00F018CD"/>
    <w:rsid w:val="00F119EF"/>
    <w:rsid w:val="00F12B1C"/>
    <w:rsid w:val="00F141B1"/>
    <w:rsid w:val="00F17335"/>
    <w:rsid w:val="00F24563"/>
    <w:rsid w:val="00F3352D"/>
    <w:rsid w:val="00F40F77"/>
    <w:rsid w:val="00F46B16"/>
    <w:rsid w:val="00F555C4"/>
    <w:rsid w:val="00F63247"/>
    <w:rsid w:val="00F65F39"/>
    <w:rsid w:val="00F74B5D"/>
    <w:rsid w:val="00F76B6A"/>
    <w:rsid w:val="00F83FB0"/>
    <w:rsid w:val="00F93C4C"/>
    <w:rsid w:val="00F959D5"/>
    <w:rsid w:val="00FA6592"/>
    <w:rsid w:val="00FB22C4"/>
    <w:rsid w:val="00FB624D"/>
    <w:rsid w:val="00FC00A2"/>
    <w:rsid w:val="00FC77FE"/>
    <w:rsid w:val="00FD1B02"/>
    <w:rsid w:val="00FE0A47"/>
    <w:rsid w:val="00FF1544"/>
    <w:rsid w:val="00FF28D3"/>
    <w:rsid w:val="00FF4863"/>
    <w:rsid w:val="00FF795D"/>
    <w:rsid w:val="03533D87"/>
    <w:rsid w:val="43B5191B"/>
    <w:rsid w:val="5C779584"/>
    <w:rsid w:val="6ED419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2E4187"/>
  <w14:defaultImageDpi w14:val="32767"/>
  <w15:chartTrackingRefBased/>
  <w15:docId w15:val="{215A41DC-899C-4A3B-AE04-DA452877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101"/>
    <w:pPr>
      <w:spacing w:before="120" w:after="120" w:line="259" w:lineRule="auto"/>
    </w:pPr>
    <w:rPr>
      <w:sz w:val="22"/>
      <w:szCs w:val="22"/>
      <w:lang w:eastAsia="en-US"/>
    </w:rPr>
  </w:style>
  <w:style w:type="paragraph" w:styleId="Heading1">
    <w:name w:val="heading 1"/>
    <w:basedOn w:val="Normal"/>
    <w:next w:val="Normal"/>
    <w:link w:val="Heading1Char"/>
    <w:uiPriority w:val="9"/>
    <w:qFormat/>
    <w:rsid w:val="00704573"/>
    <w:pPr>
      <w:keepNext/>
      <w:keepLines/>
      <w:spacing w:before="240" w:after="0"/>
      <w:outlineLvl w:val="0"/>
    </w:pPr>
    <w:rPr>
      <w:rFonts w:asciiTheme="majorHAnsi" w:eastAsiaTheme="majorEastAsia" w:hAnsiTheme="majorHAnsi" w:cstheme="majorBidi"/>
      <w:b/>
      <w:caps/>
      <w:sz w:val="32"/>
      <w:szCs w:val="32"/>
    </w:rPr>
  </w:style>
  <w:style w:type="paragraph" w:styleId="Heading2">
    <w:name w:val="heading 2"/>
    <w:basedOn w:val="Heading1"/>
    <w:next w:val="Normal"/>
    <w:link w:val="Heading2Char"/>
    <w:uiPriority w:val="9"/>
    <w:unhideWhenUsed/>
    <w:qFormat/>
    <w:rsid w:val="00965509"/>
    <w:pPr>
      <w:spacing w:before="0"/>
      <w:outlineLvl w:val="1"/>
    </w:pPr>
    <w:rPr>
      <w:b w:val="0"/>
      <w:caps w:val="0"/>
      <w:sz w:val="96"/>
    </w:rPr>
  </w:style>
  <w:style w:type="paragraph" w:styleId="Heading3">
    <w:name w:val="heading 3"/>
    <w:basedOn w:val="Normal"/>
    <w:next w:val="Normal"/>
    <w:link w:val="Heading3Char"/>
    <w:uiPriority w:val="9"/>
    <w:unhideWhenUsed/>
    <w:qFormat/>
    <w:rsid w:val="003575EF"/>
    <w:pPr>
      <w:keepNext/>
      <w:keepLines/>
      <w:spacing w:before="240" w:after="0"/>
      <w:outlineLvl w:val="2"/>
    </w:pPr>
    <w:rPr>
      <w:rFonts w:asciiTheme="majorHAnsi" w:eastAsiaTheme="majorEastAsia" w:hAnsiTheme="majorHAnsi" w:cstheme="majorBidi"/>
      <w:b/>
      <w:sz w:val="32"/>
      <w:szCs w:val="24"/>
    </w:rPr>
  </w:style>
  <w:style w:type="paragraph" w:styleId="Heading4">
    <w:name w:val="heading 4"/>
    <w:basedOn w:val="Normal"/>
    <w:next w:val="Normal"/>
    <w:link w:val="Heading4Char"/>
    <w:uiPriority w:val="9"/>
    <w:unhideWhenUsed/>
    <w:qFormat/>
    <w:rsid w:val="003575EF"/>
    <w:pPr>
      <w:keepNext/>
      <w:keepLines/>
      <w:outlineLvl w:val="3"/>
    </w:pPr>
    <w:rPr>
      <w:rFonts w:asciiTheme="majorHAnsi" w:eastAsiaTheme="majorEastAsia" w:hAnsiTheme="majorHAnsi"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Heading1"/>
    <w:qFormat/>
    <w:rsid w:val="00F959D5"/>
    <w:pPr>
      <w:spacing w:before="480"/>
      <w:jc w:val="center"/>
    </w:pPr>
    <w:rPr>
      <w:rFonts w:asciiTheme="minorHAnsi" w:hAnsiTheme="minorHAnsi" w:cstheme="minorHAnsi"/>
      <w:b w:val="0"/>
      <w:bCs/>
      <w:caps w:val="0"/>
      <w:color w:val="313E48"/>
      <w:sz w:val="40"/>
      <w:szCs w:val="40"/>
    </w:rPr>
  </w:style>
  <w:style w:type="paragraph" w:customStyle="1" w:styleId="BodyCopy">
    <w:name w:val="Body Copy"/>
    <w:next w:val="Normal"/>
    <w:qFormat/>
    <w:rsid w:val="003575EF"/>
    <w:pPr>
      <w:spacing w:before="40" w:after="120"/>
    </w:pPr>
    <w:rPr>
      <w:rFonts w:ascii="Calibri Light" w:hAnsi="Calibri Light" w:cs="Calibri Light"/>
      <w:sz w:val="22"/>
      <w:szCs w:val="21"/>
      <w:lang w:eastAsia="en-US"/>
    </w:rPr>
  </w:style>
  <w:style w:type="paragraph" w:customStyle="1" w:styleId="H2-Heading2">
    <w:name w:val="H2 - Heading 2"/>
    <w:basedOn w:val="Heading2"/>
    <w:next w:val="BodyCopy"/>
    <w:qFormat/>
    <w:rsid w:val="00AF7C26"/>
    <w:pPr>
      <w:spacing w:before="240"/>
    </w:pPr>
    <w:rPr>
      <w:rFonts w:cstheme="majorHAnsi"/>
      <w:b/>
      <w:bCs/>
      <w:caps/>
      <w:color w:val="313E48"/>
      <w:sz w:val="32"/>
    </w:rPr>
  </w:style>
  <w:style w:type="paragraph" w:customStyle="1" w:styleId="H4-Heading4">
    <w:name w:val="H4 - Heading 4"/>
    <w:basedOn w:val="Heading4"/>
    <w:next w:val="BodyCopy"/>
    <w:qFormat/>
    <w:rsid w:val="004D1D85"/>
    <w:pPr>
      <w:spacing w:before="160"/>
    </w:pPr>
    <w:rPr>
      <w:rFonts w:asciiTheme="minorHAnsi" w:hAnsiTheme="minorHAnsi" w:cstheme="minorHAnsi"/>
      <w:b w:val="0"/>
      <w:bCs/>
      <w:i w:val="0"/>
      <w:iCs w:val="0"/>
      <w:color w:val="313E48"/>
      <w:sz w:val="24"/>
      <w:szCs w:val="24"/>
    </w:rPr>
  </w:style>
  <w:style w:type="paragraph" w:customStyle="1" w:styleId="H3-Heading3">
    <w:name w:val="H3 - Heading 3"/>
    <w:basedOn w:val="Heading3"/>
    <w:qFormat/>
    <w:rsid w:val="00771669"/>
    <w:pPr>
      <w:spacing w:before="120" w:after="120"/>
    </w:pPr>
    <w:rPr>
      <w:rFonts w:asciiTheme="minorHAnsi" w:hAnsiTheme="minorHAnsi" w:cstheme="minorHAnsi"/>
      <w:b w:val="0"/>
      <w:bCs/>
      <w:sz w:val="28"/>
      <w:szCs w:val="28"/>
    </w:rPr>
  </w:style>
  <w:style w:type="paragraph" w:customStyle="1" w:styleId="BodycopyNumberedBullets">
    <w:name w:val="Body copy Numbered Bullets"/>
    <w:basedOn w:val="BodyCopy"/>
    <w:qFormat/>
    <w:rsid w:val="00D32B6E"/>
    <w:pPr>
      <w:numPr>
        <w:numId w:val="1"/>
      </w:numPr>
      <w:ind w:left="641" w:hanging="357"/>
    </w:pPr>
  </w:style>
  <w:style w:type="paragraph" w:customStyle="1" w:styleId="BodyCopyPrebulletsandnumberedbullets">
    <w:name w:val="Body Copy Pre bullets and numbered bullets"/>
    <w:basedOn w:val="BodyCopy"/>
    <w:qFormat/>
    <w:rsid w:val="00845374"/>
    <w:pPr>
      <w:spacing w:before="160"/>
    </w:pPr>
  </w:style>
  <w:style w:type="paragraph" w:customStyle="1" w:styleId="BodyCopyBullets">
    <w:name w:val="Body Copy Bullets"/>
    <w:basedOn w:val="BodyCopy"/>
    <w:qFormat/>
    <w:rsid w:val="00D32B6E"/>
    <w:pPr>
      <w:numPr>
        <w:numId w:val="4"/>
      </w:numPr>
    </w:p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er"/>
    <w:qFormat/>
    <w:rsid w:val="00771669"/>
    <w:pPr>
      <w:spacing w:before="0"/>
    </w:pPr>
    <w:rPr>
      <w:rFonts w:asciiTheme="minorHAnsi" w:hAnsiTheme="minorHAnsi" w:cstheme="minorHAnsi"/>
      <w:b/>
      <w:bCs/>
      <w:sz w:val="20"/>
    </w:rPr>
  </w:style>
  <w:style w:type="paragraph" w:customStyle="1" w:styleId="TableBodyCopy">
    <w:name w:val="Table Body Copy"/>
    <w:basedOn w:val="Normal"/>
    <w:next w:val="Normal"/>
    <w:qFormat/>
    <w:rsid w:val="009D13AB"/>
    <w:pPr>
      <w:spacing w:before="0" w:after="0"/>
    </w:pPr>
    <w:rPr>
      <w:sz w:val="20"/>
    </w:rPr>
  </w:style>
  <w:style w:type="paragraph" w:customStyle="1" w:styleId="PostBulletsBodyCopy">
    <w:name w:val="Post Bullets Body Copy"/>
    <w:basedOn w:val="BodyCopy"/>
    <w:qFormat/>
    <w:rsid w:val="00F63247"/>
    <w:pPr>
      <w:spacing w:before="160" w:after="160"/>
    </w:pPr>
  </w:style>
  <w:style w:type="paragraph" w:styleId="Header">
    <w:name w:val="header"/>
    <w:basedOn w:val="Normal"/>
    <w:link w:val="HeaderChar"/>
    <w:uiPriority w:val="99"/>
    <w:unhideWhenUsed/>
    <w:rsid w:val="001D2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47763B" w:themeColor="accent2"/>
    </w:rPr>
  </w:style>
  <w:style w:type="character" w:styleId="Emphasis">
    <w:name w:val="Emphasis"/>
    <w:basedOn w:val="IntenseEmphasis"/>
    <w:uiPriority w:val="20"/>
    <w:qFormat/>
    <w:rsid w:val="00AF7C26"/>
    <w:rPr>
      <w:rFonts w:asciiTheme="minorHAnsi" w:hAnsiTheme="minorHAnsi" w:cstheme="minorHAnsi"/>
      <w:b/>
      <w:bCs/>
      <w:i w:val="0"/>
      <w:iCs/>
      <w:color w:val="313E48"/>
      <w:sz w:val="22"/>
    </w:rPr>
  </w:style>
  <w:style w:type="character" w:customStyle="1" w:styleId="Heading1Char">
    <w:name w:val="Heading 1 Char"/>
    <w:basedOn w:val="DefaultParagraphFont"/>
    <w:link w:val="Heading1"/>
    <w:uiPriority w:val="9"/>
    <w:rsid w:val="00704573"/>
    <w:rPr>
      <w:rFonts w:asciiTheme="majorHAnsi" w:eastAsiaTheme="majorEastAsia" w:hAnsiTheme="majorHAnsi" w:cstheme="majorBidi"/>
      <w:b/>
      <w:caps/>
      <w:sz w:val="32"/>
      <w:szCs w:val="32"/>
      <w:lang w:eastAsia="en-US"/>
    </w:rPr>
  </w:style>
  <w:style w:type="character" w:customStyle="1" w:styleId="Heading2Char">
    <w:name w:val="Heading 2 Char"/>
    <w:basedOn w:val="DefaultParagraphFont"/>
    <w:link w:val="Heading2"/>
    <w:uiPriority w:val="9"/>
    <w:rsid w:val="00965509"/>
    <w:rPr>
      <w:rFonts w:asciiTheme="majorHAnsi" w:eastAsiaTheme="majorEastAsia" w:hAnsiTheme="majorHAnsi" w:cstheme="majorBidi"/>
      <w:sz w:val="96"/>
      <w:szCs w:val="32"/>
      <w:lang w:eastAsia="en-US"/>
    </w:rPr>
  </w:style>
  <w:style w:type="character" w:customStyle="1" w:styleId="Heading3Char">
    <w:name w:val="Heading 3 Char"/>
    <w:basedOn w:val="DefaultParagraphFont"/>
    <w:link w:val="Heading3"/>
    <w:uiPriority w:val="9"/>
    <w:rsid w:val="003575EF"/>
    <w:rPr>
      <w:rFonts w:asciiTheme="majorHAnsi" w:eastAsiaTheme="majorEastAsia" w:hAnsiTheme="majorHAnsi" w:cstheme="majorBidi"/>
      <w:b/>
      <w:sz w:val="32"/>
      <w:szCs w:val="24"/>
      <w:lang w:eastAsia="en-US"/>
    </w:rPr>
  </w:style>
  <w:style w:type="character" w:customStyle="1" w:styleId="Heading4Char">
    <w:name w:val="Heading 4 Char"/>
    <w:basedOn w:val="DefaultParagraphFont"/>
    <w:link w:val="Heading4"/>
    <w:uiPriority w:val="9"/>
    <w:rsid w:val="003575EF"/>
    <w:rPr>
      <w:rFonts w:asciiTheme="majorHAnsi" w:eastAsiaTheme="majorEastAsia" w:hAnsiTheme="majorHAnsi" w:cstheme="majorBidi"/>
      <w:b/>
      <w:i/>
      <w:iCs/>
      <w:sz w:val="22"/>
      <w:szCs w:val="22"/>
      <w:lang w:eastAsia="en-US"/>
    </w:rPr>
  </w:style>
  <w:style w:type="character" w:styleId="IntenseEmphasis">
    <w:name w:val="Intense Emphasis"/>
    <w:basedOn w:val="DefaultParagraphFont"/>
    <w:uiPriority w:val="21"/>
    <w:qFormat/>
    <w:rsid w:val="00AF7C26"/>
    <w:rPr>
      <w:i/>
      <w:iCs/>
      <w:color w:val="00837C" w:themeColor="accent1"/>
    </w:rPr>
  </w:style>
  <w:style w:type="table" w:styleId="ListTable4-Accent4">
    <w:name w:val="List Table 4 Accent 4"/>
    <w:basedOn w:val="TableNormal"/>
    <w:uiPriority w:val="49"/>
    <w:rsid w:val="004516E0"/>
    <w:tblPr>
      <w:tblStyleRowBandSize w:val="1"/>
      <w:tblStyleColBandSize w:val="1"/>
      <w:tblBorders>
        <w:top w:val="single" w:sz="4" w:space="0" w:color="F3CC79" w:themeColor="accent4" w:themeTint="99"/>
        <w:left w:val="single" w:sz="4" w:space="0" w:color="F3CC79" w:themeColor="accent4" w:themeTint="99"/>
        <w:bottom w:val="single" w:sz="4" w:space="0" w:color="F3CC79" w:themeColor="accent4" w:themeTint="99"/>
        <w:right w:val="single" w:sz="4" w:space="0" w:color="F3CC79" w:themeColor="accent4" w:themeTint="99"/>
        <w:insideH w:val="single" w:sz="4" w:space="0" w:color="F3CC79" w:themeColor="accent4" w:themeTint="99"/>
      </w:tblBorders>
    </w:tblPr>
    <w:tblStylePr w:type="firstRow">
      <w:rPr>
        <w:b/>
        <w:bCs/>
        <w:color w:val="FFFFFF" w:themeColor="background1"/>
      </w:rPr>
      <w:tblPr/>
      <w:tcPr>
        <w:tcBorders>
          <w:top w:val="single" w:sz="4" w:space="0" w:color="EBAB21" w:themeColor="accent4"/>
          <w:left w:val="single" w:sz="4" w:space="0" w:color="EBAB21" w:themeColor="accent4"/>
          <w:bottom w:val="single" w:sz="4" w:space="0" w:color="EBAB21" w:themeColor="accent4"/>
          <w:right w:val="single" w:sz="4" w:space="0" w:color="EBAB21" w:themeColor="accent4"/>
          <w:insideH w:val="nil"/>
        </w:tcBorders>
        <w:shd w:val="clear" w:color="auto" w:fill="EBAB21" w:themeFill="accent4"/>
      </w:tcPr>
    </w:tblStylePr>
    <w:tblStylePr w:type="lastRow">
      <w:rPr>
        <w:b/>
        <w:bCs/>
      </w:rPr>
      <w:tblPr/>
      <w:tcPr>
        <w:tcBorders>
          <w:top w:val="double" w:sz="4" w:space="0" w:color="F3CC79" w:themeColor="accent4" w:themeTint="99"/>
        </w:tcBorders>
      </w:tcPr>
    </w:tblStylePr>
    <w:tblStylePr w:type="firstCol">
      <w:rPr>
        <w:b/>
        <w:bCs/>
      </w:rPr>
    </w:tblStylePr>
    <w:tblStylePr w:type="lastCol">
      <w:rPr>
        <w:b/>
        <w:bCs/>
      </w:rPr>
    </w:tblStylePr>
    <w:tblStylePr w:type="band1Vert">
      <w:tblPr/>
      <w:tcPr>
        <w:shd w:val="clear" w:color="auto" w:fill="FBEED2" w:themeFill="accent4" w:themeFillTint="33"/>
      </w:tcPr>
    </w:tblStylePr>
    <w:tblStylePr w:type="band1Horz">
      <w:tblPr/>
      <w:tcPr>
        <w:shd w:val="clear" w:color="auto" w:fill="FBEED2" w:themeFill="accent4" w:themeFillTint="33"/>
      </w:tcPr>
    </w:tblStylePr>
  </w:style>
  <w:style w:type="character" w:styleId="CommentReference">
    <w:name w:val="annotation reference"/>
    <w:basedOn w:val="DefaultParagraphFont"/>
    <w:uiPriority w:val="99"/>
    <w:semiHidden/>
    <w:unhideWhenUsed/>
    <w:rsid w:val="00045E13"/>
    <w:rPr>
      <w:sz w:val="16"/>
      <w:szCs w:val="16"/>
    </w:rPr>
  </w:style>
  <w:style w:type="paragraph" w:styleId="CommentText">
    <w:name w:val="annotation text"/>
    <w:basedOn w:val="Normal"/>
    <w:link w:val="CommentTextChar"/>
    <w:uiPriority w:val="99"/>
    <w:unhideWhenUsed/>
    <w:rsid w:val="00045E13"/>
    <w:pPr>
      <w:spacing w:line="240" w:lineRule="auto"/>
    </w:pPr>
    <w:rPr>
      <w:sz w:val="20"/>
      <w:szCs w:val="20"/>
    </w:rPr>
  </w:style>
  <w:style w:type="character" w:customStyle="1" w:styleId="CommentTextChar">
    <w:name w:val="Comment Text Char"/>
    <w:basedOn w:val="DefaultParagraphFont"/>
    <w:link w:val="CommentText"/>
    <w:uiPriority w:val="99"/>
    <w:rsid w:val="00045E13"/>
    <w:rPr>
      <w:lang w:eastAsia="en-US"/>
    </w:rPr>
  </w:style>
  <w:style w:type="paragraph" w:styleId="CommentSubject">
    <w:name w:val="annotation subject"/>
    <w:basedOn w:val="CommentText"/>
    <w:next w:val="CommentText"/>
    <w:link w:val="CommentSubjectChar"/>
    <w:uiPriority w:val="99"/>
    <w:semiHidden/>
    <w:unhideWhenUsed/>
    <w:rsid w:val="00045E13"/>
    <w:rPr>
      <w:b/>
      <w:bCs/>
    </w:rPr>
  </w:style>
  <w:style w:type="character" w:customStyle="1" w:styleId="CommentSubjectChar">
    <w:name w:val="Comment Subject Char"/>
    <w:basedOn w:val="CommentTextChar"/>
    <w:link w:val="CommentSubject"/>
    <w:uiPriority w:val="99"/>
    <w:semiHidden/>
    <w:rsid w:val="00045E13"/>
    <w:rPr>
      <w:b/>
      <w:bCs/>
      <w:lang w:eastAsia="en-US"/>
    </w:rPr>
  </w:style>
  <w:style w:type="character" w:styleId="Mention">
    <w:name w:val="Mention"/>
    <w:basedOn w:val="DefaultParagraphFont"/>
    <w:uiPriority w:val="99"/>
    <w:unhideWhenUsed/>
    <w:rsid w:val="00045E13"/>
    <w:rPr>
      <w:color w:val="2B579A"/>
      <w:shd w:val="clear" w:color="auto" w:fill="E1DFDD"/>
    </w:rPr>
  </w:style>
  <w:style w:type="paragraph" w:styleId="ListBullet">
    <w:name w:val="List Bullet"/>
    <w:basedOn w:val="Normal"/>
    <w:uiPriority w:val="99"/>
    <w:unhideWhenUsed/>
    <w:rsid w:val="003575EF"/>
    <w:pPr>
      <w:numPr>
        <w:numId w:val="13"/>
      </w:numPr>
      <w:contextualSpacing/>
    </w:pPr>
  </w:style>
  <w:style w:type="paragraph" w:styleId="Caption">
    <w:name w:val="caption"/>
    <w:basedOn w:val="Normal"/>
    <w:next w:val="Normal"/>
    <w:uiPriority w:val="35"/>
    <w:unhideWhenUsed/>
    <w:qFormat/>
    <w:rsid w:val="00E84101"/>
    <w:pPr>
      <w:spacing w:before="0" w:after="200" w:line="240" w:lineRule="auto"/>
    </w:pPr>
    <w:rPr>
      <w:i/>
      <w:iCs/>
      <w:sz w:val="18"/>
      <w:szCs w:val="18"/>
    </w:rPr>
  </w:style>
  <w:style w:type="paragraph" w:styleId="Index3">
    <w:name w:val="index 3"/>
    <w:basedOn w:val="Normal"/>
    <w:next w:val="Normal"/>
    <w:autoRedefine/>
    <w:uiPriority w:val="99"/>
    <w:unhideWhenUsed/>
    <w:rsid w:val="00E84101"/>
    <w:pPr>
      <w:spacing w:before="0" w:after="0" w:line="240" w:lineRule="auto"/>
      <w:ind w:left="660" w:hanging="220"/>
    </w:pPr>
  </w:style>
  <w:style w:type="paragraph" w:customStyle="1" w:styleId="Overview">
    <w:name w:val="Overview"/>
    <w:basedOn w:val="Normal"/>
    <w:qFormat/>
    <w:rsid w:val="00F24563"/>
    <w:pPr>
      <w:pBdr>
        <w:top w:val="single" w:sz="4" w:space="1" w:color="auto"/>
        <w:bottom w:val="single" w:sz="4" w:space="1" w:color="auto"/>
      </w:pBdr>
      <w:shd w:val="clear" w:color="auto" w:fill="D6E8D2" w:themeFill="accent2" w:themeFillTint="33"/>
    </w:pPr>
    <w:rPr>
      <w:b/>
      <w:bCs/>
    </w:rPr>
  </w:style>
  <w:style w:type="character" w:styleId="PlaceholderText">
    <w:name w:val="Placeholder Text"/>
    <w:basedOn w:val="DefaultParagraphFont"/>
    <w:uiPriority w:val="99"/>
    <w:semiHidden/>
    <w:rsid w:val="00D13E7A"/>
    <w:rPr>
      <w:color w:val="666666"/>
    </w:rPr>
  </w:style>
  <w:style w:type="character" w:styleId="Hyperlink">
    <w:name w:val="Hyperlink"/>
    <w:basedOn w:val="DefaultParagraphFont"/>
    <w:uiPriority w:val="99"/>
    <w:unhideWhenUsed/>
    <w:rsid w:val="00100CEB"/>
    <w:rPr>
      <w:color w:val="034A90" w:themeColor="hyperlink"/>
      <w:u w:val="single"/>
    </w:rPr>
  </w:style>
  <w:style w:type="character" w:styleId="UnresolvedMention">
    <w:name w:val="Unresolved Mention"/>
    <w:basedOn w:val="DefaultParagraphFont"/>
    <w:uiPriority w:val="99"/>
    <w:semiHidden/>
    <w:unhideWhenUsed/>
    <w:rsid w:val="00100CEB"/>
    <w:rPr>
      <w:color w:val="605E5C"/>
      <w:shd w:val="clear" w:color="auto" w:fill="E1DFDD"/>
    </w:rPr>
  </w:style>
  <w:style w:type="paragraph" w:styleId="Revision">
    <w:name w:val="Revision"/>
    <w:hidden/>
    <w:uiPriority w:val="99"/>
    <w:semiHidden/>
    <w:rsid w:val="00344586"/>
    <w:rPr>
      <w:sz w:val="22"/>
      <w:szCs w:val="22"/>
      <w:lang w:eastAsia="en-US"/>
    </w:rPr>
  </w:style>
  <w:style w:type="paragraph" w:customStyle="1" w:styleId="pf0">
    <w:name w:val="pf0"/>
    <w:basedOn w:val="Normal"/>
    <w:rsid w:val="00285D03"/>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285D03"/>
    <w:rPr>
      <w:rFonts w:ascii="Segoe UI" w:hAnsi="Segoe UI" w:cs="Segoe UI" w:hint="default"/>
      <w:sz w:val="18"/>
      <w:szCs w:val="18"/>
    </w:rPr>
  </w:style>
  <w:style w:type="paragraph" w:styleId="NormalWeb">
    <w:name w:val="Normal (Web)"/>
    <w:basedOn w:val="Normal"/>
    <w:uiPriority w:val="99"/>
    <w:semiHidden/>
    <w:unhideWhenUsed/>
    <w:rsid w:val="004A095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813674">
      <w:bodyDiv w:val="1"/>
      <w:marLeft w:val="0"/>
      <w:marRight w:val="0"/>
      <w:marTop w:val="0"/>
      <w:marBottom w:val="0"/>
      <w:divBdr>
        <w:top w:val="none" w:sz="0" w:space="0" w:color="auto"/>
        <w:left w:val="none" w:sz="0" w:space="0" w:color="auto"/>
        <w:bottom w:val="none" w:sz="0" w:space="0" w:color="auto"/>
        <w:right w:val="none" w:sz="0" w:space="0" w:color="auto"/>
      </w:divBdr>
    </w:div>
    <w:div w:id="662204602">
      <w:bodyDiv w:val="1"/>
      <w:marLeft w:val="0"/>
      <w:marRight w:val="0"/>
      <w:marTop w:val="0"/>
      <w:marBottom w:val="0"/>
      <w:divBdr>
        <w:top w:val="none" w:sz="0" w:space="0" w:color="auto"/>
        <w:left w:val="none" w:sz="0" w:space="0" w:color="auto"/>
        <w:bottom w:val="none" w:sz="0" w:space="0" w:color="auto"/>
        <w:right w:val="none" w:sz="0" w:space="0" w:color="auto"/>
      </w:divBdr>
    </w:div>
    <w:div w:id="810173134">
      <w:bodyDiv w:val="1"/>
      <w:marLeft w:val="0"/>
      <w:marRight w:val="0"/>
      <w:marTop w:val="0"/>
      <w:marBottom w:val="0"/>
      <w:divBdr>
        <w:top w:val="none" w:sz="0" w:space="0" w:color="auto"/>
        <w:left w:val="none" w:sz="0" w:space="0" w:color="auto"/>
        <w:bottom w:val="none" w:sz="0" w:space="0" w:color="auto"/>
        <w:right w:val="none" w:sz="0" w:space="0" w:color="auto"/>
      </w:divBdr>
    </w:div>
    <w:div w:id="976840715">
      <w:bodyDiv w:val="1"/>
      <w:marLeft w:val="0"/>
      <w:marRight w:val="0"/>
      <w:marTop w:val="0"/>
      <w:marBottom w:val="0"/>
      <w:divBdr>
        <w:top w:val="none" w:sz="0" w:space="0" w:color="auto"/>
        <w:left w:val="none" w:sz="0" w:space="0" w:color="auto"/>
        <w:bottom w:val="none" w:sz="0" w:space="0" w:color="auto"/>
        <w:right w:val="none" w:sz="0" w:space="0" w:color="auto"/>
      </w:divBdr>
    </w:div>
    <w:div w:id="1134106998">
      <w:bodyDiv w:val="1"/>
      <w:marLeft w:val="0"/>
      <w:marRight w:val="0"/>
      <w:marTop w:val="0"/>
      <w:marBottom w:val="0"/>
      <w:divBdr>
        <w:top w:val="none" w:sz="0" w:space="0" w:color="auto"/>
        <w:left w:val="none" w:sz="0" w:space="0" w:color="auto"/>
        <w:bottom w:val="none" w:sz="0" w:space="0" w:color="auto"/>
        <w:right w:val="none" w:sz="0" w:space="0" w:color="auto"/>
      </w:divBdr>
    </w:div>
    <w:div w:id="196958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dfat.gov.au/publications/publications/australias-international-disability-equity-and-rights-strategy-advancing-equity-transform-live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DFAT Colour palette">
      <a:dk1>
        <a:srgbClr val="313E48"/>
      </a:dk1>
      <a:lt1>
        <a:sysClr val="window" lastClr="FFFFFF"/>
      </a:lt1>
      <a:dk2>
        <a:srgbClr val="3A586E"/>
      </a:dk2>
      <a:lt2>
        <a:srgbClr val="CFD3D3"/>
      </a:lt2>
      <a:accent1>
        <a:srgbClr val="00837C"/>
      </a:accent1>
      <a:accent2>
        <a:srgbClr val="47763B"/>
      </a:accent2>
      <a:accent3>
        <a:srgbClr val="AA5739"/>
      </a:accent3>
      <a:accent4>
        <a:srgbClr val="EBAB21"/>
      </a:accent4>
      <a:accent5>
        <a:srgbClr val="065157"/>
      </a:accent5>
      <a:accent6>
        <a:srgbClr val="014429"/>
      </a:accent6>
      <a:hlink>
        <a:srgbClr val="034A90"/>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2ae4e0-94e8-4b28-8f95-861d59f7ae70" xsi:nil="true"/>
    <lcf76f155ced4ddcb4097134ff3c332f xmlns="99303871-8934-4198-a088-14ac5c5d1c3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BD63B06336DD48B4944551E1A7B4D8" ma:contentTypeVersion="17" ma:contentTypeDescription="Create a new document." ma:contentTypeScope="" ma:versionID="c1a333d4e903e34c23f0605c9024b49d">
  <xsd:schema xmlns:xsd="http://www.w3.org/2001/XMLSchema" xmlns:xs="http://www.w3.org/2001/XMLSchema" xmlns:p="http://schemas.microsoft.com/office/2006/metadata/properties" xmlns:ns2="99303871-8934-4198-a088-14ac5c5d1c31" xmlns:ns3="6f2ae4e0-94e8-4b28-8f95-861d59f7ae70" targetNamespace="http://schemas.microsoft.com/office/2006/metadata/properties" ma:root="true" ma:fieldsID="50b6f57787fb9933e749b1241302e2ad" ns2:_="" ns3:_="">
    <xsd:import namespace="99303871-8934-4198-a088-14ac5c5d1c31"/>
    <xsd:import namespace="6f2ae4e0-94e8-4b28-8f95-861d59f7ae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SearchProperties" minOccurs="0"/>
                <xsd:element ref="ns2:MediaServiceOCR"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03871-8934-4198-a088-14ac5c5d1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2ae4e0-94e8-4b28-8f95-861d59f7ae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3809fa2-c2da-453f-9c3e-eead0055a1b0}" ma:internalName="TaxCatchAll" ma:showField="CatchAllData" ma:web="6f2ae4e0-94e8-4b28-8f95-861d59f7ae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9F171-59A6-4022-A46D-27C25069926A}">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99303871-8934-4198-a088-14ac5c5d1c31"/>
    <ds:schemaRef ds:uri="http://purl.org/dc/terms/"/>
    <ds:schemaRef ds:uri="6f2ae4e0-94e8-4b28-8f95-861d59f7ae70"/>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DF0618DC-A08C-4C5C-9A07-FABF52023C4A}">
  <ds:schemaRefs>
    <ds:schemaRef ds:uri="http://schemas.microsoft.com/sharepoint/v3/contenttype/forms"/>
  </ds:schemaRefs>
</ds:datastoreItem>
</file>

<file path=customXml/itemProps3.xml><?xml version="1.0" encoding="utf-8"?>
<ds:datastoreItem xmlns:ds="http://schemas.openxmlformats.org/officeDocument/2006/customXml" ds:itemID="{8BF957CD-9E45-4FF4-B903-9A144DDB6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03871-8934-4198-a088-14ac5c5d1c31"/>
    <ds:schemaRef ds:uri="6f2ae4e0-94e8-4b28-8f95-861d59f7a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478</Words>
  <Characters>2894</Characters>
  <Application>Microsoft Office Word</Application>
  <DocSecurity>0</DocSecurity>
  <Lines>63</Lines>
  <Paragraphs>39</Paragraphs>
  <ScaleCrop>false</ScaleCrop>
  <HeadingPairs>
    <vt:vector size="2" baseType="variant">
      <vt:variant>
        <vt:lpstr>Title</vt:lpstr>
      </vt:variant>
      <vt:variant>
        <vt:i4>1</vt:i4>
      </vt:variant>
    </vt:vector>
  </HeadingPairs>
  <TitlesOfParts>
    <vt:vector size="1" baseType="lpstr">
      <vt:lpstr>[Country] Development Coorporation Facsheet 2025-26</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Equity and Rights Development Coorporation Facsheet 2025-26</dc:title>
  <dc:subject>Development Coorporation Facsheet 2025-26</dc:subject>
  <dc:creator>Department of Foreign Affairs and Trade</dc:creator>
  <cp:keywords>International development; development coorperation; DFAT, Australian Aid; Australian Department of Foreign Affairs and Trade; ODA; Australian Government [SEC=OFFICIAL]</cp:keywords>
  <dc:description/>
  <cp:lastModifiedBy>Linda Roche</cp:lastModifiedBy>
  <cp:revision>113</cp:revision>
  <dcterms:created xsi:type="dcterms:W3CDTF">2025-04-14T19:21:00Z</dcterms:created>
  <dcterms:modified xsi:type="dcterms:W3CDTF">2025-05-16T04:43:00Z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SecurityClassification">
    <vt:lpwstr>OFFICIAL</vt:lpwstr>
  </property>
  <property fmtid="{D5CDD505-2E9C-101B-9397-08002B2CF9AE}" pid="4" name="PM_Qualifier">
    <vt:lpwstr/>
  </property>
  <property fmtid="{D5CDD505-2E9C-101B-9397-08002B2CF9AE}" pid="5" name="PM_DisplayValueSecClassificationWithQualifier">
    <vt:lpwstr>OFFICIAL</vt:lpwstr>
  </property>
  <property fmtid="{D5CDD505-2E9C-101B-9397-08002B2CF9AE}" pid="6" name="PM_InsertionValue">
    <vt:lpwstr>OFFICIAL</vt:lpwstr>
  </property>
  <property fmtid="{D5CDD505-2E9C-101B-9397-08002B2CF9AE}" pid="7" name="PM_Originator_Hash_SHA1">
    <vt:lpwstr>4DFB2A45D0ABC223771DA158D4192358D096AA7E</vt:lpwstr>
  </property>
  <property fmtid="{D5CDD505-2E9C-101B-9397-08002B2CF9AE}" pid="8" name="PM_Originating_FileId">
    <vt:lpwstr>A04407B03FB3406E91B16F76B50D491D</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OriginationTimeStamp">
    <vt:lpwstr>2023-02-15T22:12:19Z</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Hash_Version">
    <vt:lpwstr>2022.1</vt:lpwstr>
  </property>
  <property fmtid="{D5CDD505-2E9C-101B-9397-08002B2CF9AE}" pid="18" name="PM_SecurityClassification_Prev">
    <vt:lpwstr>OFFICIAL</vt:lpwstr>
  </property>
  <property fmtid="{D5CDD505-2E9C-101B-9397-08002B2CF9AE}" pid="19" name="PM_Qualifier_Prev">
    <vt:lpwstr/>
  </property>
  <property fmtid="{D5CDD505-2E9C-101B-9397-08002B2CF9AE}" pid="20" name="PM_Display">
    <vt:lpwstr>OFFICIAL</vt:lpwstr>
  </property>
  <property fmtid="{D5CDD505-2E9C-101B-9397-08002B2CF9AE}" pid="21" name="PMUuid">
    <vt:lpwstr>v=2022.2;d=gov.au;g=46DD6D7C-8107-577B-BC6E-F348953B2E44</vt:lpwstr>
  </property>
  <property fmtid="{D5CDD505-2E9C-101B-9397-08002B2CF9AE}" pid="22" name="PM_OriginatorUserAccountName_SHA256">
    <vt:lpwstr>2FBBEB0D07DA66FB32ADEBC0EE9E9C465FDB83D3B7358F7A76537B8BF5FB863E</vt:lpwstr>
  </property>
  <property fmtid="{D5CDD505-2E9C-101B-9397-08002B2CF9AE}" pid="23" name="PM_OriginatorDomainName_SHA256">
    <vt:lpwstr>6F3591835F3B2A8A025B00B5BA6418010DA3A17C9C26EA9C049FFD28039489A2</vt:lpwstr>
  </property>
  <property fmtid="{D5CDD505-2E9C-101B-9397-08002B2CF9AE}" pid="24" name="PM_Caveats_Count">
    <vt:lpwstr>0</vt:lpwstr>
  </property>
  <property fmtid="{D5CDD505-2E9C-101B-9397-08002B2CF9AE}" pid="25" name="ContentTypeId">
    <vt:lpwstr>0x010100D6BD63B06336DD48B4944551E1A7B4D8</vt:lpwstr>
  </property>
  <property fmtid="{D5CDD505-2E9C-101B-9397-08002B2CF9AE}" pid="26" name="MediaServiceImageTags">
    <vt:lpwstr/>
  </property>
  <property fmtid="{D5CDD505-2E9C-101B-9397-08002B2CF9AE}" pid="27" name="PMHMAC">
    <vt:lpwstr>v=2022.1;a=SHA256;h=F98962FB3430BB4E0A1E697402A1D0446039CCCAA09B0C2E4B7FBEA6BE86FD63</vt:lpwstr>
  </property>
  <property fmtid="{D5CDD505-2E9C-101B-9397-08002B2CF9AE}" pid="28" name="PM_Hash_Salt_Prev">
    <vt:lpwstr>D22395777B2790FF41F8D3517023F764</vt:lpwstr>
  </property>
  <property fmtid="{D5CDD505-2E9C-101B-9397-08002B2CF9AE}" pid="29" name="PM_Hash_Salt">
    <vt:lpwstr>09B996F135513E1FBC799E6972F2670F</vt:lpwstr>
  </property>
  <property fmtid="{D5CDD505-2E9C-101B-9397-08002B2CF9AE}" pid="30" name="PM_Hash_SHA1">
    <vt:lpwstr>22AF747B3563ADBC57B62247A9E0783DE585D5E4</vt:lpwstr>
  </property>
</Properties>
</file>