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E4F4" w14:textId="77777777" w:rsidR="00545268" w:rsidRPr="00545268" w:rsidRDefault="004516E0" w:rsidP="00545268">
      <w:pPr>
        <w:pStyle w:val="Heading1"/>
      </w:pPr>
      <w:r w:rsidRPr="00545268">
        <w:t>Development Cooperation Factsheet</w:t>
      </w:r>
    </w:p>
    <w:p w14:paraId="5C1E2F15" w14:textId="687DD18E" w:rsidR="00E84101" w:rsidRPr="00E84101" w:rsidRDefault="002069BA" w:rsidP="0091100D">
      <w:pPr>
        <w:pStyle w:val="Heading2"/>
        <w:rPr>
          <w:rStyle w:val="Heading2Char"/>
          <w:sz w:val="80"/>
          <w:szCs w:val="80"/>
        </w:rPr>
      </w:pPr>
      <w:r>
        <w:rPr>
          <w:rStyle w:val="Heading2Char"/>
          <w:sz w:val="80"/>
          <w:szCs w:val="80"/>
        </w:rPr>
        <w:t>Climate Change</w:t>
      </w:r>
    </w:p>
    <w:p w14:paraId="41A452FD" w14:textId="37173EED" w:rsidR="004516E0" w:rsidRPr="00F959D5" w:rsidRDefault="00123E7B" w:rsidP="00F76B6A">
      <w:pPr>
        <w:spacing w:before="0"/>
      </w:pPr>
      <w:r>
        <w:t>MAY</w:t>
      </w:r>
      <w:r w:rsidR="00E84101">
        <w:t xml:space="preserve"> 2025</w:t>
      </w:r>
    </w:p>
    <w:p w14:paraId="3EDD18B8" w14:textId="670F484A" w:rsidR="004516E0" w:rsidRPr="00E5615F" w:rsidRDefault="00C12648" w:rsidP="00651385">
      <w:pPr>
        <w:pStyle w:val="Heading3"/>
        <w:rPr>
          <w:b w:val="0"/>
          <w:bCs/>
          <w:i/>
          <w:iCs/>
          <w:sz w:val="22"/>
          <w:szCs w:val="22"/>
        </w:rPr>
      </w:pPr>
      <w:r w:rsidRPr="00E5615F">
        <w:rPr>
          <w:b w:val="0"/>
          <w:bCs/>
          <w:i/>
          <w:iCs/>
          <w:sz w:val="22"/>
          <w:szCs w:val="22"/>
        </w:rPr>
        <w:t xml:space="preserve">Table 1: </w:t>
      </w:r>
      <w:r w:rsidR="00B4776F" w:rsidRPr="00E5615F">
        <w:rPr>
          <w:b w:val="0"/>
          <w:bCs/>
          <w:i/>
          <w:iCs/>
          <w:sz w:val="22"/>
          <w:szCs w:val="22"/>
        </w:rPr>
        <w:t>Australia</w:t>
      </w:r>
      <w:r w:rsidR="00B05013" w:rsidRPr="00E5615F">
        <w:rPr>
          <w:b w:val="0"/>
          <w:bCs/>
          <w:i/>
          <w:iCs/>
          <w:sz w:val="22"/>
          <w:szCs w:val="22"/>
        </w:rPr>
        <w:t xml:space="preserve">’s </w:t>
      </w:r>
      <w:r w:rsidR="008A03B8" w:rsidRPr="00E5615F">
        <w:rPr>
          <w:b w:val="0"/>
          <w:bCs/>
          <w:i/>
          <w:iCs/>
          <w:sz w:val="22"/>
          <w:szCs w:val="22"/>
        </w:rPr>
        <w:t xml:space="preserve">Climate Finance Provided and Mobilised </w:t>
      </w:r>
      <w:r w:rsidR="00B4776F" w:rsidRPr="00E5615F">
        <w:rPr>
          <w:b w:val="0"/>
          <w:bCs/>
          <w:i/>
          <w:iCs/>
          <w:sz w:val="22"/>
          <w:szCs w:val="22"/>
        </w:rPr>
        <w:t>202</w:t>
      </w:r>
      <w:r w:rsidR="00551247" w:rsidRPr="00E5615F">
        <w:rPr>
          <w:b w:val="0"/>
          <w:bCs/>
          <w:i/>
          <w:iCs/>
          <w:sz w:val="22"/>
          <w:szCs w:val="22"/>
        </w:rPr>
        <w:t>0</w:t>
      </w:r>
      <w:r w:rsidR="00B4776F" w:rsidRPr="00E5615F">
        <w:rPr>
          <w:b w:val="0"/>
          <w:bCs/>
          <w:i/>
          <w:iCs/>
          <w:sz w:val="22"/>
          <w:szCs w:val="22"/>
        </w:rPr>
        <w:t>-2</w:t>
      </w:r>
      <w:r w:rsidR="00551247" w:rsidRPr="00E5615F">
        <w:rPr>
          <w:b w:val="0"/>
          <w:bCs/>
          <w:i/>
          <w:iCs/>
          <w:sz w:val="22"/>
          <w:szCs w:val="22"/>
        </w:rPr>
        <w:t>1</w:t>
      </w:r>
      <w:r w:rsidR="00B4776F" w:rsidRPr="00E5615F">
        <w:rPr>
          <w:b w:val="0"/>
          <w:bCs/>
          <w:i/>
          <w:iCs/>
          <w:sz w:val="22"/>
          <w:szCs w:val="22"/>
        </w:rPr>
        <w:t xml:space="preserve"> to 202</w:t>
      </w:r>
      <w:r w:rsidR="00551247" w:rsidRPr="00E5615F">
        <w:rPr>
          <w:b w:val="0"/>
          <w:bCs/>
          <w:i/>
          <w:iCs/>
          <w:sz w:val="22"/>
          <w:szCs w:val="22"/>
        </w:rPr>
        <w:t>3</w:t>
      </w:r>
      <w:r w:rsidR="00B4776F" w:rsidRPr="00E5615F">
        <w:rPr>
          <w:b w:val="0"/>
          <w:bCs/>
          <w:i/>
          <w:iCs/>
          <w:sz w:val="22"/>
          <w:szCs w:val="22"/>
        </w:rPr>
        <w:t>-2</w:t>
      </w:r>
      <w:r w:rsidR="00551247" w:rsidRPr="00E5615F">
        <w:rPr>
          <w:b w:val="0"/>
          <w:bCs/>
          <w:i/>
          <w:iCs/>
          <w:sz w:val="22"/>
          <w:szCs w:val="22"/>
        </w:rPr>
        <w:t>4</w:t>
      </w:r>
    </w:p>
    <w:tbl>
      <w:tblPr>
        <w:tblStyle w:val="TableGrid"/>
        <w:tblW w:w="0" w:type="auto"/>
        <w:tblBorders>
          <w:top w:val="single" w:sz="4" w:space="0" w:color="98A0A0" w:themeColor="background2" w:themeShade="BF"/>
          <w:left w:val="single" w:sz="4" w:space="0" w:color="98A0A0" w:themeColor="background2" w:themeShade="BF"/>
          <w:bottom w:val="single" w:sz="4" w:space="0" w:color="98A0A0" w:themeColor="background2" w:themeShade="BF"/>
          <w:right w:val="single" w:sz="4" w:space="0" w:color="98A0A0" w:themeColor="background2" w:themeShade="BF"/>
          <w:insideH w:val="single" w:sz="4" w:space="0" w:color="98A0A0" w:themeColor="background2" w:themeShade="BF"/>
          <w:insideV w:val="single" w:sz="4" w:space="0" w:color="98A0A0" w:themeColor="background2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Table 1: Australia’s Climate Finance Provided and Mobilised 2020-21 to 2023-24"/>
        <w:tblDescription w:val="This table represents the total Australian ODA to XXXX, budget and estimate by region, 2023 to 2026 – five columns, 12 rows"/>
      </w:tblPr>
      <w:tblGrid>
        <w:gridCol w:w="3397"/>
        <w:gridCol w:w="1418"/>
        <w:gridCol w:w="1559"/>
        <w:gridCol w:w="1418"/>
        <w:gridCol w:w="1418"/>
      </w:tblGrid>
      <w:tr w:rsidR="002069BA" w14:paraId="5EF5CF55" w14:textId="2087F32D">
        <w:trPr>
          <w:cantSplit/>
          <w:trHeight w:val="70"/>
          <w:tblHeader/>
        </w:trPr>
        <w:tc>
          <w:tcPr>
            <w:tcW w:w="3397" w:type="dxa"/>
            <w:shd w:val="clear" w:color="auto" w:fill="313E48" w:themeFill="text1"/>
          </w:tcPr>
          <w:p w14:paraId="4CEC1D0F" w14:textId="0E89737C" w:rsidR="002069BA" w:rsidRPr="0079728E" w:rsidRDefault="002069BA" w:rsidP="002069BA">
            <w:pPr>
              <w:pStyle w:val="TableHeading"/>
            </w:pPr>
            <w:r w:rsidRPr="00E94849">
              <w:rPr>
                <w:color w:val="FFFFFF" w:themeColor="background1"/>
                <w:szCs w:val="20"/>
              </w:rPr>
              <w:t xml:space="preserve">Climate Finance </w:t>
            </w:r>
            <w:r>
              <w:rPr>
                <w:color w:val="FFFFFF" w:themeColor="background1"/>
                <w:szCs w:val="20"/>
              </w:rPr>
              <w:t>Provided and Mobilised</w:t>
            </w:r>
          </w:p>
        </w:tc>
        <w:tc>
          <w:tcPr>
            <w:tcW w:w="1418" w:type="dxa"/>
            <w:shd w:val="clear" w:color="auto" w:fill="313E48" w:themeFill="text1"/>
            <w:vAlign w:val="center"/>
          </w:tcPr>
          <w:p w14:paraId="215944A1" w14:textId="77777777" w:rsidR="002069BA" w:rsidRDefault="002069BA" w:rsidP="002069BA">
            <w:pPr>
              <w:pStyle w:val="TableHeading"/>
              <w:jc w:val="center"/>
              <w:rPr>
                <w:rFonts w:ascii="Segoe UI" w:hAnsi="Segoe UI" w:cs="Segoe UI"/>
                <w:color w:val="FFFFFF"/>
              </w:rPr>
            </w:pPr>
            <w:r w:rsidRPr="002069BA">
              <w:rPr>
                <w:rFonts w:ascii="Segoe UI" w:hAnsi="Segoe UI" w:cs="Segoe UI"/>
                <w:color w:val="FFFFFF"/>
              </w:rPr>
              <w:t xml:space="preserve">2020–21 </w:t>
            </w:r>
          </w:p>
          <w:p w14:paraId="1923A36A" w14:textId="5E7749DB" w:rsidR="002069BA" w:rsidRPr="002069BA" w:rsidRDefault="002069BA" w:rsidP="002069BA">
            <w:pPr>
              <w:pStyle w:val="TableHeading"/>
              <w:jc w:val="center"/>
            </w:pPr>
            <w:r w:rsidRPr="002069BA">
              <w:rPr>
                <w:rFonts w:ascii="Segoe UI" w:hAnsi="Segoe UI" w:cs="Segoe UI"/>
                <w:color w:val="FFFFFF"/>
              </w:rPr>
              <w:t>$m</w:t>
            </w:r>
          </w:p>
        </w:tc>
        <w:tc>
          <w:tcPr>
            <w:tcW w:w="1559" w:type="dxa"/>
            <w:shd w:val="clear" w:color="auto" w:fill="313E48" w:themeFill="text1"/>
            <w:vAlign w:val="center"/>
          </w:tcPr>
          <w:p w14:paraId="45F48970" w14:textId="77777777" w:rsidR="002069BA" w:rsidRDefault="002069BA" w:rsidP="002069BA">
            <w:pPr>
              <w:pStyle w:val="TableHeading"/>
              <w:jc w:val="center"/>
              <w:rPr>
                <w:rFonts w:ascii="Segoe UI" w:hAnsi="Segoe UI" w:cs="Segoe UI"/>
                <w:color w:val="FFFFFF"/>
              </w:rPr>
            </w:pPr>
            <w:r w:rsidRPr="002069BA">
              <w:rPr>
                <w:rFonts w:ascii="Segoe UI" w:hAnsi="Segoe UI" w:cs="Segoe UI"/>
                <w:color w:val="FFFFFF"/>
              </w:rPr>
              <w:t xml:space="preserve">2021–22 </w:t>
            </w:r>
          </w:p>
          <w:p w14:paraId="587368B1" w14:textId="78AAA7CE" w:rsidR="002069BA" w:rsidRPr="002069BA" w:rsidRDefault="002069BA" w:rsidP="002069BA">
            <w:pPr>
              <w:pStyle w:val="TableHeading"/>
              <w:jc w:val="center"/>
            </w:pPr>
            <w:r w:rsidRPr="002069BA">
              <w:rPr>
                <w:rFonts w:ascii="Segoe UI" w:hAnsi="Segoe UI" w:cs="Segoe UI"/>
                <w:color w:val="FFFFFF"/>
              </w:rPr>
              <w:t>$m</w:t>
            </w:r>
          </w:p>
        </w:tc>
        <w:tc>
          <w:tcPr>
            <w:tcW w:w="1418" w:type="dxa"/>
            <w:shd w:val="clear" w:color="auto" w:fill="313E48" w:themeFill="text1"/>
            <w:vAlign w:val="center"/>
          </w:tcPr>
          <w:p w14:paraId="0A03E179" w14:textId="07546D3F" w:rsidR="002069BA" w:rsidRDefault="002069BA" w:rsidP="002069BA">
            <w:pPr>
              <w:pStyle w:val="TableHeading"/>
              <w:jc w:val="center"/>
              <w:rPr>
                <w:rFonts w:ascii="Segoe UI" w:hAnsi="Segoe UI" w:cs="Segoe UI"/>
                <w:color w:val="FFFFFF"/>
              </w:rPr>
            </w:pPr>
            <w:r w:rsidRPr="002069BA">
              <w:rPr>
                <w:rFonts w:ascii="Segoe UI" w:hAnsi="Segoe UI" w:cs="Segoe UI"/>
                <w:color w:val="FFFFFF"/>
              </w:rPr>
              <w:t xml:space="preserve">2022–23 </w:t>
            </w:r>
          </w:p>
          <w:p w14:paraId="68658C2A" w14:textId="5149746A" w:rsidR="002069BA" w:rsidRPr="002069BA" w:rsidRDefault="002069BA" w:rsidP="002069BA">
            <w:pPr>
              <w:pStyle w:val="TableHeading"/>
              <w:jc w:val="center"/>
            </w:pPr>
            <w:r w:rsidRPr="002069BA">
              <w:rPr>
                <w:rFonts w:ascii="Segoe UI" w:hAnsi="Segoe UI" w:cs="Segoe UI"/>
                <w:color w:val="FFFFFF"/>
              </w:rPr>
              <w:t>$m</w:t>
            </w:r>
          </w:p>
        </w:tc>
        <w:tc>
          <w:tcPr>
            <w:tcW w:w="1418" w:type="dxa"/>
            <w:shd w:val="clear" w:color="auto" w:fill="313E48" w:themeFill="text1"/>
            <w:vAlign w:val="center"/>
          </w:tcPr>
          <w:p w14:paraId="25089C1D" w14:textId="77777777" w:rsidR="002069BA" w:rsidRDefault="002069BA" w:rsidP="002069BA">
            <w:pPr>
              <w:pStyle w:val="TableHeading"/>
              <w:jc w:val="center"/>
              <w:rPr>
                <w:rFonts w:ascii="Segoe UI" w:hAnsi="Segoe UI" w:cs="Segoe UI"/>
                <w:color w:val="FFFFFF"/>
              </w:rPr>
            </w:pPr>
            <w:r w:rsidRPr="002069BA">
              <w:rPr>
                <w:rFonts w:ascii="Segoe UI" w:hAnsi="Segoe UI" w:cs="Segoe UI"/>
                <w:color w:val="FFFFFF"/>
              </w:rPr>
              <w:t xml:space="preserve">2023–24 </w:t>
            </w:r>
          </w:p>
          <w:p w14:paraId="1A88CA49" w14:textId="51EDA610" w:rsidR="002069BA" w:rsidRPr="002069BA" w:rsidRDefault="002069BA" w:rsidP="002069BA">
            <w:pPr>
              <w:pStyle w:val="TableHeading"/>
              <w:jc w:val="center"/>
            </w:pPr>
            <w:r w:rsidRPr="002069BA">
              <w:rPr>
                <w:rFonts w:ascii="Segoe UI" w:hAnsi="Segoe UI" w:cs="Segoe UI"/>
                <w:color w:val="FFFFFF"/>
              </w:rPr>
              <w:t>$m</w:t>
            </w:r>
          </w:p>
        </w:tc>
      </w:tr>
      <w:tr w:rsidR="002069BA" w14:paraId="45E770B3" w14:textId="0CC50A32">
        <w:tc>
          <w:tcPr>
            <w:tcW w:w="3397" w:type="dxa"/>
            <w:vAlign w:val="center"/>
          </w:tcPr>
          <w:p w14:paraId="12D343CB" w14:textId="1ACC3114" w:rsidR="002069BA" w:rsidRPr="009C4444" w:rsidRDefault="002069BA" w:rsidP="002069BA">
            <w:pPr>
              <w:pStyle w:val="TableBodyCopy"/>
              <w:rPr>
                <w:rFonts w:ascii="Segoe UI" w:hAnsi="Segoe UI" w:cs="Segoe UI"/>
                <w:sz w:val="18"/>
                <w:szCs w:val="18"/>
              </w:rPr>
            </w:pPr>
            <w:r w:rsidRPr="009C4444">
              <w:rPr>
                <w:rFonts w:ascii="Segoe UI" w:hAnsi="Segoe UI" w:cs="Segoe UI"/>
                <w:color w:val="313131"/>
                <w:sz w:val="18"/>
                <w:szCs w:val="18"/>
              </w:rPr>
              <w:t>Pacific Islands bilateral and regional (includes PNG)</w:t>
            </w:r>
          </w:p>
        </w:tc>
        <w:tc>
          <w:tcPr>
            <w:tcW w:w="1418" w:type="dxa"/>
            <w:vAlign w:val="center"/>
          </w:tcPr>
          <w:p w14:paraId="0D3F5049" w14:textId="2683946C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166.0</w:t>
            </w:r>
          </w:p>
        </w:tc>
        <w:tc>
          <w:tcPr>
            <w:tcW w:w="1559" w:type="dxa"/>
            <w:vAlign w:val="center"/>
          </w:tcPr>
          <w:p w14:paraId="0E4CC708" w14:textId="20E1CA01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223.7</w:t>
            </w:r>
          </w:p>
        </w:tc>
        <w:tc>
          <w:tcPr>
            <w:tcW w:w="1418" w:type="dxa"/>
            <w:vAlign w:val="center"/>
          </w:tcPr>
          <w:p w14:paraId="2DA82199" w14:textId="110F48E1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265.9</w:t>
            </w:r>
          </w:p>
        </w:tc>
        <w:tc>
          <w:tcPr>
            <w:tcW w:w="1418" w:type="dxa"/>
            <w:vAlign w:val="center"/>
          </w:tcPr>
          <w:p w14:paraId="7E24D210" w14:textId="126BA247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334.2</w:t>
            </w:r>
          </w:p>
        </w:tc>
      </w:tr>
      <w:tr w:rsidR="002069BA" w14:paraId="417E46F0" w14:textId="659BAEF7">
        <w:tc>
          <w:tcPr>
            <w:tcW w:w="3397" w:type="dxa"/>
            <w:vAlign w:val="center"/>
          </w:tcPr>
          <w:p w14:paraId="604B5B7E" w14:textId="463D3CA8" w:rsidR="002069BA" w:rsidRPr="009C4444" w:rsidRDefault="002069BA" w:rsidP="002069BA">
            <w:pPr>
              <w:pStyle w:val="TableBodyCopy"/>
              <w:rPr>
                <w:rFonts w:ascii="Segoe UI" w:hAnsi="Segoe UI" w:cs="Segoe UI"/>
                <w:sz w:val="18"/>
                <w:szCs w:val="18"/>
              </w:rPr>
            </w:pPr>
            <w:r w:rsidRPr="009C4444">
              <w:rPr>
                <w:rFonts w:ascii="Segoe UI" w:hAnsi="Segoe UI" w:cs="Segoe UI"/>
                <w:color w:val="313131"/>
                <w:sz w:val="18"/>
                <w:szCs w:val="18"/>
              </w:rPr>
              <w:t>Southeast and East Asia</w:t>
            </w:r>
          </w:p>
        </w:tc>
        <w:tc>
          <w:tcPr>
            <w:tcW w:w="1418" w:type="dxa"/>
            <w:vAlign w:val="center"/>
          </w:tcPr>
          <w:p w14:paraId="12CB39EC" w14:textId="364CE215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44.4</w:t>
            </w:r>
          </w:p>
        </w:tc>
        <w:tc>
          <w:tcPr>
            <w:tcW w:w="1559" w:type="dxa"/>
            <w:vAlign w:val="center"/>
          </w:tcPr>
          <w:p w14:paraId="60B61753" w14:textId="3E8A0C6E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56.5</w:t>
            </w:r>
          </w:p>
        </w:tc>
        <w:tc>
          <w:tcPr>
            <w:tcW w:w="1418" w:type="dxa"/>
            <w:vAlign w:val="center"/>
          </w:tcPr>
          <w:p w14:paraId="5E643C26" w14:textId="510BB8C4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132.4</w:t>
            </w:r>
          </w:p>
        </w:tc>
        <w:tc>
          <w:tcPr>
            <w:tcW w:w="1418" w:type="dxa"/>
            <w:vAlign w:val="center"/>
          </w:tcPr>
          <w:p w14:paraId="20941D03" w14:textId="49BC2B1E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156.2</w:t>
            </w:r>
          </w:p>
        </w:tc>
      </w:tr>
      <w:tr w:rsidR="002069BA" w14:paraId="2B1333F4" w14:textId="6D29C96A">
        <w:tc>
          <w:tcPr>
            <w:tcW w:w="3397" w:type="dxa"/>
            <w:vAlign w:val="center"/>
          </w:tcPr>
          <w:p w14:paraId="38890A56" w14:textId="52CEF7A9" w:rsidR="002069BA" w:rsidRPr="009C4444" w:rsidRDefault="002069BA" w:rsidP="002069BA">
            <w:pPr>
              <w:pStyle w:val="TableBodyCopy"/>
              <w:rPr>
                <w:rFonts w:ascii="Segoe UI" w:hAnsi="Segoe UI" w:cs="Segoe UI"/>
                <w:sz w:val="18"/>
                <w:szCs w:val="18"/>
              </w:rPr>
            </w:pPr>
            <w:r w:rsidRPr="009C4444">
              <w:rPr>
                <w:rFonts w:ascii="Segoe UI" w:hAnsi="Segoe UI" w:cs="Segoe UI"/>
                <w:color w:val="313131"/>
                <w:sz w:val="18"/>
                <w:szCs w:val="18"/>
              </w:rPr>
              <w:t>South and West Asia</w:t>
            </w:r>
          </w:p>
        </w:tc>
        <w:tc>
          <w:tcPr>
            <w:tcW w:w="1418" w:type="dxa"/>
            <w:vAlign w:val="center"/>
          </w:tcPr>
          <w:p w14:paraId="7C5E60F3" w14:textId="68FFFF76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10.9</w:t>
            </w:r>
          </w:p>
        </w:tc>
        <w:tc>
          <w:tcPr>
            <w:tcW w:w="1559" w:type="dxa"/>
            <w:vAlign w:val="center"/>
          </w:tcPr>
          <w:p w14:paraId="3E16D452" w14:textId="3FF82F61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13.2</w:t>
            </w:r>
          </w:p>
        </w:tc>
        <w:tc>
          <w:tcPr>
            <w:tcW w:w="1418" w:type="dxa"/>
            <w:vAlign w:val="center"/>
          </w:tcPr>
          <w:p w14:paraId="1288E65C" w14:textId="1A320E99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21.3</w:t>
            </w:r>
          </w:p>
        </w:tc>
        <w:tc>
          <w:tcPr>
            <w:tcW w:w="1418" w:type="dxa"/>
            <w:vAlign w:val="center"/>
          </w:tcPr>
          <w:p w14:paraId="7720D2BA" w14:textId="0878C3A2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33.1</w:t>
            </w:r>
          </w:p>
        </w:tc>
      </w:tr>
      <w:tr w:rsidR="002069BA" w14:paraId="6B771DA6" w14:textId="41412713">
        <w:tc>
          <w:tcPr>
            <w:tcW w:w="3397" w:type="dxa"/>
            <w:vAlign w:val="center"/>
          </w:tcPr>
          <w:p w14:paraId="1651DA14" w14:textId="1BF5D813" w:rsidR="002069BA" w:rsidRPr="009C4444" w:rsidRDefault="002069BA" w:rsidP="002069BA">
            <w:pPr>
              <w:pStyle w:val="TableBodyCopy"/>
              <w:rPr>
                <w:rFonts w:ascii="Segoe UI" w:hAnsi="Segoe UI" w:cs="Segoe UI"/>
                <w:sz w:val="18"/>
                <w:szCs w:val="18"/>
              </w:rPr>
            </w:pPr>
            <w:r w:rsidRPr="009C4444">
              <w:rPr>
                <w:rFonts w:ascii="Segoe UI" w:hAnsi="Segoe UI" w:cs="Segoe UI"/>
                <w:color w:val="313131"/>
                <w:sz w:val="18"/>
                <w:szCs w:val="18"/>
              </w:rPr>
              <w:t>Other Asia</w:t>
            </w:r>
          </w:p>
        </w:tc>
        <w:tc>
          <w:tcPr>
            <w:tcW w:w="1418" w:type="dxa"/>
            <w:vAlign w:val="center"/>
          </w:tcPr>
          <w:p w14:paraId="5D27E890" w14:textId="416F098C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13.4</w:t>
            </w:r>
          </w:p>
        </w:tc>
        <w:tc>
          <w:tcPr>
            <w:tcW w:w="1559" w:type="dxa"/>
            <w:vAlign w:val="center"/>
          </w:tcPr>
          <w:p w14:paraId="753F5947" w14:textId="5BCE25FC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33.8</w:t>
            </w:r>
          </w:p>
        </w:tc>
        <w:tc>
          <w:tcPr>
            <w:tcW w:w="1418" w:type="dxa"/>
            <w:vAlign w:val="center"/>
          </w:tcPr>
          <w:p w14:paraId="1A337A3B" w14:textId="0E94247E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10.0</w:t>
            </w:r>
          </w:p>
        </w:tc>
        <w:tc>
          <w:tcPr>
            <w:tcW w:w="1418" w:type="dxa"/>
            <w:vAlign w:val="center"/>
          </w:tcPr>
          <w:p w14:paraId="7B84E754" w14:textId="6448B77C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9.6</w:t>
            </w:r>
          </w:p>
        </w:tc>
      </w:tr>
      <w:tr w:rsidR="002069BA" w14:paraId="3BDCC9B5" w14:textId="34AB8325">
        <w:tc>
          <w:tcPr>
            <w:tcW w:w="3397" w:type="dxa"/>
            <w:vAlign w:val="center"/>
          </w:tcPr>
          <w:p w14:paraId="4E8483EB" w14:textId="54B3F559" w:rsidR="002069BA" w:rsidRPr="009C4444" w:rsidRDefault="002069BA" w:rsidP="002069BA">
            <w:pPr>
              <w:pStyle w:val="TableBodyCop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C4444">
              <w:rPr>
                <w:rFonts w:ascii="Segoe UI" w:hAnsi="Segoe UI" w:cs="Segoe UI"/>
                <w:color w:val="313131"/>
                <w:sz w:val="18"/>
                <w:szCs w:val="18"/>
              </w:rPr>
              <w:t>Sub-Saharan Africa</w:t>
            </w:r>
          </w:p>
        </w:tc>
        <w:tc>
          <w:tcPr>
            <w:tcW w:w="1418" w:type="dxa"/>
            <w:vAlign w:val="center"/>
          </w:tcPr>
          <w:p w14:paraId="4CC5A42A" w14:textId="16D8475A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7.3</w:t>
            </w:r>
          </w:p>
        </w:tc>
        <w:tc>
          <w:tcPr>
            <w:tcW w:w="1559" w:type="dxa"/>
            <w:vAlign w:val="center"/>
          </w:tcPr>
          <w:p w14:paraId="2E142FE7" w14:textId="02361061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9.5</w:t>
            </w:r>
          </w:p>
        </w:tc>
        <w:tc>
          <w:tcPr>
            <w:tcW w:w="1418" w:type="dxa"/>
            <w:vAlign w:val="center"/>
          </w:tcPr>
          <w:p w14:paraId="4090CA92" w14:textId="23B2926C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11.8</w:t>
            </w:r>
          </w:p>
        </w:tc>
        <w:tc>
          <w:tcPr>
            <w:tcW w:w="1418" w:type="dxa"/>
            <w:vAlign w:val="center"/>
          </w:tcPr>
          <w:p w14:paraId="32D2DF36" w14:textId="16514D7C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12.2</w:t>
            </w:r>
          </w:p>
        </w:tc>
      </w:tr>
      <w:tr w:rsidR="002069BA" w14:paraId="489272C2" w14:textId="5EC9DA01">
        <w:tc>
          <w:tcPr>
            <w:tcW w:w="3397" w:type="dxa"/>
            <w:vAlign w:val="center"/>
          </w:tcPr>
          <w:p w14:paraId="0D034212" w14:textId="481643EC" w:rsidR="002069BA" w:rsidRPr="009C4444" w:rsidRDefault="002069BA" w:rsidP="002069BA">
            <w:pPr>
              <w:pStyle w:val="TableBodyCop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C4444">
              <w:rPr>
                <w:rFonts w:ascii="Segoe UI" w:hAnsi="Segoe UI" w:cs="Segoe UI"/>
                <w:color w:val="313131"/>
                <w:sz w:val="18"/>
                <w:szCs w:val="18"/>
              </w:rPr>
              <w:t>North Africa and Middle East</w:t>
            </w:r>
          </w:p>
        </w:tc>
        <w:tc>
          <w:tcPr>
            <w:tcW w:w="1418" w:type="dxa"/>
            <w:vAlign w:val="center"/>
          </w:tcPr>
          <w:p w14:paraId="510A5CB8" w14:textId="19387F37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0.3</w:t>
            </w:r>
          </w:p>
        </w:tc>
        <w:tc>
          <w:tcPr>
            <w:tcW w:w="1559" w:type="dxa"/>
            <w:vAlign w:val="center"/>
          </w:tcPr>
          <w:p w14:paraId="2CF72224" w14:textId="27752996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0.9</w:t>
            </w:r>
          </w:p>
        </w:tc>
        <w:tc>
          <w:tcPr>
            <w:tcW w:w="1418" w:type="dxa"/>
            <w:vAlign w:val="center"/>
          </w:tcPr>
          <w:p w14:paraId="6CD6A2C9" w14:textId="586AEC08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0.9</w:t>
            </w:r>
          </w:p>
        </w:tc>
        <w:tc>
          <w:tcPr>
            <w:tcW w:w="1418" w:type="dxa"/>
            <w:vAlign w:val="center"/>
          </w:tcPr>
          <w:p w14:paraId="00BD4BD5" w14:textId="46B7A2E7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1.3</w:t>
            </w:r>
          </w:p>
        </w:tc>
      </w:tr>
      <w:tr w:rsidR="002069BA" w14:paraId="08D87A49" w14:textId="77777777">
        <w:tc>
          <w:tcPr>
            <w:tcW w:w="3397" w:type="dxa"/>
            <w:vAlign w:val="center"/>
          </w:tcPr>
          <w:p w14:paraId="5D5F9471" w14:textId="0DF16312" w:rsidR="002069BA" w:rsidRPr="009C4444" w:rsidRDefault="002069BA" w:rsidP="002069BA">
            <w:pPr>
              <w:pStyle w:val="TableBodyCop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C4444">
              <w:rPr>
                <w:rFonts w:ascii="Segoe UI" w:hAnsi="Segoe UI" w:cs="Segoe UI"/>
                <w:color w:val="313131"/>
                <w:sz w:val="18"/>
                <w:szCs w:val="18"/>
              </w:rPr>
              <w:t>Latin America and the Caribbean</w:t>
            </w:r>
          </w:p>
        </w:tc>
        <w:tc>
          <w:tcPr>
            <w:tcW w:w="1418" w:type="dxa"/>
            <w:vAlign w:val="center"/>
          </w:tcPr>
          <w:p w14:paraId="36CE88EB" w14:textId="00725347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C677F5B" w14:textId="3CF184F0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0.1</w:t>
            </w:r>
          </w:p>
        </w:tc>
        <w:tc>
          <w:tcPr>
            <w:tcW w:w="1418" w:type="dxa"/>
            <w:vAlign w:val="center"/>
          </w:tcPr>
          <w:p w14:paraId="198D93B0" w14:textId="216EDA84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0.1</w:t>
            </w:r>
          </w:p>
        </w:tc>
        <w:tc>
          <w:tcPr>
            <w:tcW w:w="1418" w:type="dxa"/>
            <w:vAlign w:val="center"/>
          </w:tcPr>
          <w:p w14:paraId="6767814E" w14:textId="5E9F7DC8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0.1</w:t>
            </w:r>
          </w:p>
        </w:tc>
      </w:tr>
      <w:tr w:rsidR="002069BA" w14:paraId="43764A7B" w14:textId="77777777">
        <w:tc>
          <w:tcPr>
            <w:tcW w:w="3397" w:type="dxa"/>
            <w:vAlign w:val="center"/>
          </w:tcPr>
          <w:p w14:paraId="6CD62A07" w14:textId="27A94935" w:rsidR="002069BA" w:rsidRPr="009C4444" w:rsidRDefault="002069BA" w:rsidP="002069BA">
            <w:pPr>
              <w:pStyle w:val="TableBodyCop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C4444">
              <w:rPr>
                <w:rFonts w:ascii="Segoe UI" w:hAnsi="Segoe UI" w:cs="Segoe UI"/>
                <w:color w:val="313131"/>
                <w:sz w:val="18"/>
                <w:szCs w:val="18"/>
              </w:rPr>
              <w:t>'Other': unallocated global programs and multilateral core contributions</w:t>
            </w:r>
          </w:p>
        </w:tc>
        <w:tc>
          <w:tcPr>
            <w:tcW w:w="1418" w:type="dxa"/>
            <w:vAlign w:val="center"/>
          </w:tcPr>
          <w:p w14:paraId="6F173EC8" w14:textId="246A5125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104.0</w:t>
            </w:r>
          </w:p>
        </w:tc>
        <w:tc>
          <w:tcPr>
            <w:tcW w:w="1559" w:type="dxa"/>
            <w:vAlign w:val="center"/>
          </w:tcPr>
          <w:p w14:paraId="69D082C1" w14:textId="6F8B9EC1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111.5</w:t>
            </w:r>
          </w:p>
        </w:tc>
        <w:tc>
          <w:tcPr>
            <w:tcW w:w="1418" w:type="dxa"/>
            <w:vAlign w:val="center"/>
          </w:tcPr>
          <w:p w14:paraId="7F3508F1" w14:textId="2C30F230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128.7</w:t>
            </w:r>
          </w:p>
        </w:tc>
        <w:tc>
          <w:tcPr>
            <w:tcW w:w="1418" w:type="dxa"/>
            <w:vAlign w:val="center"/>
          </w:tcPr>
          <w:p w14:paraId="30A4F5CB" w14:textId="6CC7EEE8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235.9</w:t>
            </w:r>
          </w:p>
        </w:tc>
      </w:tr>
      <w:tr w:rsidR="002069BA" w14:paraId="04346EC5" w14:textId="77777777">
        <w:tc>
          <w:tcPr>
            <w:tcW w:w="3397" w:type="dxa"/>
            <w:vAlign w:val="center"/>
          </w:tcPr>
          <w:p w14:paraId="0BB4A609" w14:textId="6D43B66B" w:rsidR="002069BA" w:rsidRPr="009C4444" w:rsidRDefault="002069BA" w:rsidP="002069BA">
            <w:pPr>
              <w:pStyle w:val="TableBodyCop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C4444">
              <w:rPr>
                <w:rFonts w:ascii="Segoe UI" w:hAnsi="Segoe UI" w:cs="Segoe UI"/>
                <w:color w:val="313131"/>
                <w:sz w:val="18"/>
                <w:szCs w:val="18"/>
              </w:rPr>
              <w:t>Non-ODA Grants and Loans</w:t>
            </w:r>
          </w:p>
        </w:tc>
        <w:tc>
          <w:tcPr>
            <w:tcW w:w="1418" w:type="dxa"/>
            <w:vAlign w:val="center"/>
          </w:tcPr>
          <w:p w14:paraId="2C525A99" w14:textId="59BA0DAC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2.4</w:t>
            </w:r>
          </w:p>
        </w:tc>
        <w:tc>
          <w:tcPr>
            <w:tcW w:w="1559" w:type="dxa"/>
            <w:vAlign w:val="center"/>
          </w:tcPr>
          <w:p w14:paraId="6E6A6351" w14:textId="51AB616A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64.8</w:t>
            </w:r>
          </w:p>
        </w:tc>
        <w:tc>
          <w:tcPr>
            <w:tcW w:w="1418" w:type="dxa"/>
            <w:vAlign w:val="center"/>
          </w:tcPr>
          <w:p w14:paraId="0270FC10" w14:textId="36C508DC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41.6</w:t>
            </w:r>
          </w:p>
        </w:tc>
        <w:tc>
          <w:tcPr>
            <w:tcW w:w="1418" w:type="dxa"/>
            <w:vAlign w:val="center"/>
          </w:tcPr>
          <w:p w14:paraId="43829900" w14:textId="3FF1A23C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3.3</w:t>
            </w:r>
          </w:p>
        </w:tc>
      </w:tr>
      <w:tr w:rsidR="002069BA" w14:paraId="20282967" w14:textId="77777777">
        <w:tc>
          <w:tcPr>
            <w:tcW w:w="3397" w:type="dxa"/>
            <w:vAlign w:val="center"/>
          </w:tcPr>
          <w:p w14:paraId="7041075D" w14:textId="33E9A81F" w:rsidR="002069BA" w:rsidRPr="009C4444" w:rsidRDefault="002069BA" w:rsidP="002069BA">
            <w:pPr>
              <w:pStyle w:val="TableBodyCop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C4444">
              <w:rPr>
                <w:rFonts w:ascii="Segoe UI" w:hAnsi="Segoe UI" w:cs="Segoe UI"/>
                <w:color w:val="313131"/>
                <w:sz w:val="18"/>
                <w:szCs w:val="18"/>
              </w:rPr>
              <w:t>Private Climate Finance Mobilised</w:t>
            </w:r>
          </w:p>
        </w:tc>
        <w:tc>
          <w:tcPr>
            <w:tcW w:w="1418" w:type="dxa"/>
            <w:vAlign w:val="center"/>
          </w:tcPr>
          <w:p w14:paraId="09C4608B" w14:textId="25E37C50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0.0</w:t>
            </w:r>
          </w:p>
        </w:tc>
        <w:tc>
          <w:tcPr>
            <w:tcW w:w="1559" w:type="dxa"/>
            <w:vAlign w:val="center"/>
          </w:tcPr>
          <w:p w14:paraId="4DB85B62" w14:textId="2324D4BE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126.2</w:t>
            </w:r>
          </w:p>
        </w:tc>
        <w:tc>
          <w:tcPr>
            <w:tcW w:w="1418" w:type="dxa"/>
            <w:vAlign w:val="center"/>
          </w:tcPr>
          <w:p w14:paraId="3496A2DB" w14:textId="57024208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6.5</w:t>
            </w:r>
          </w:p>
        </w:tc>
        <w:tc>
          <w:tcPr>
            <w:tcW w:w="1418" w:type="dxa"/>
            <w:vAlign w:val="center"/>
          </w:tcPr>
          <w:p w14:paraId="11F286C0" w14:textId="0CAC11EA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126.4</w:t>
            </w:r>
          </w:p>
        </w:tc>
      </w:tr>
      <w:tr w:rsidR="002069BA" w14:paraId="08B5E2FE" w14:textId="77777777" w:rsidTr="00090B42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E96AD9C" w14:textId="0669B7EA" w:rsidR="002069BA" w:rsidRPr="009C4444" w:rsidRDefault="002069BA" w:rsidP="002069BA">
            <w:pPr>
              <w:pStyle w:val="TableBodyCop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C4444">
              <w:rPr>
                <w:rFonts w:ascii="Segoe UI" w:hAnsi="Segoe UI" w:cs="Segoe UI"/>
                <w:color w:val="313131"/>
                <w:sz w:val="18"/>
                <w:szCs w:val="18"/>
              </w:rPr>
              <w:t>Total: Climate Finance Provided and Mobilised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58F2378" w14:textId="20C1519E" w:rsidR="002069BA" w:rsidRPr="00090B42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090B42">
              <w:rPr>
                <w:rFonts w:ascii="Segoe UI" w:hAnsi="Segoe UI" w:cs="Segoe UI"/>
                <w:b/>
                <w:bCs/>
                <w:color w:val="313131"/>
                <w:szCs w:val="20"/>
              </w:rPr>
              <w:t>348.7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509EB6" w14:textId="3364EA6C" w:rsidR="002069BA" w:rsidRPr="00090B42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090B42">
              <w:rPr>
                <w:rFonts w:ascii="Segoe UI" w:hAnsi="Segoe UI" w:cs="Segoe UI"/>
                <w:b/>
                <w:bCs/>
                <w:color w:val="313131"/>
                <w:szCs w:val="20"/>
              </w:rPr>
              <w:t>640.2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E5B072" w14:textId="41820AC6" w:rsidR="002069BA" w:rsidRPr="00090B42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090B42">
              <w:rPr>
                <w:rFonts w:ascii="Segoe UI" w:hAnsi="Segoe UI" w:cs="Segoe UI"/>
                <w:b/>
                <w:bCs/>
                <w:color w:val="313131"/>
                <w:szCs w:val="20"/>
              </w:rPr>
              <w:t>619.1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0AEB080" w14:textId="5DB4BE44" w:rsidR="002069BA" w:rsidRPr="00090B42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090B42">
              <w:rPr>
                <w:rFonts w:ascii="Segoe UI" w:hAnsi="Segoe UI" w:cs="Segoe UI"/>
                <w:b/>
                <w:bCs/>
                <w:color w:val="313131"/>
                <w:szCs w:val="20"/>
              </w:rPr>
              <w:t>912.3</w:t>
            </w:r>
          </w:p>
        </w:tc>
      </w:tr>
      <w:tr w:rsidR="002069BA" w14:paraId="2CBCCE8A" w14:textId="77777777">
        <w:tc>
          <w:tcPr>
            <w:tcW w:w="3397" w:type="dxa"/>
            <w:vAlign w:val="center"/>
          </w:tcPr>
          <w:p w14:paraId="051A6001" w14:textId="302F9E3B" w:rsidR="002069BA" w:rsidRPr="009C4444" w:rsidRDefault="002069BA" w:rsidP="002069BA">
            <w:pPr>
              <w:pStyle w:val="TableBodyCop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C4444">
              <w:rPr>
                <w:rFonts w:ascii="Segoe UI" w:hAnsi="Segoe UI" w:cs="Segoe UI"/>
                <w:color w:val="313131"/>
                <w:sz w:val="18"/>
                <w:szCs w:val="18"/>
              </w:rPr>
              <w:t>Cumulative total</w:t>
            </w:r>
          </w:p>
        </w:tc>
        <w:tc>
          <w:tcPr>
            <w:tcW w:w="1418" w:type="dxa"/>
            <w:vAlign w:val="center"/>
          </w:tcPr>
          <w:p w14:paraId="5FE1CA2C" w14:textId="2DD60A29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348.7</w:t>
            </w:r>
          </w:p>
        </w:tc>
        <w:tc>
          <w:tcPr>
            <w:tcW w:w="1559" w:type="dxa"/>
            <w:vAlign w:val="center"/>
          </w:tcPr>
          <w:p w14:paraId="7415E295" w14:textId="0750A0BD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988.9</w:t>
            </w:r>
          </w:p>
        </w:tc>
        <w:tc>
          <w:tcPr>
            <w:tcW w:w="1418" w:type="dxa"/>
            <w:vAlign w:val="center"/>
          </w:tcPr>
          <w:p w14:paraId="06A25DDA" w14:textId="3B331DF8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1,608.0</w:t>
            </w:r>
          </w:p>
        </w:tc>
        <w:tc>
          <w:tcPr>
            <w:tcW w:w="1418" w:type="dxa"/>
            <w:vAlign w:val="center"/>
          </w:tcPr>
          <w:p w14:paraId="1DF72114" w14:textId="33118C7C" w:rsidR="002069BA" w:rsidRPr="002069BA" w:rsidRDefault="002069BA" w:rsidP="002069BA">
            <w:pPr>
              <w:pStyle w:val="TableBodyCopy"/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  <w:r w:rsidRPr="002069BA">
              <w:rPr>
                <w:rFonts w:ascii="Segoe UI" w:hAnsi="Segoe UI" w:cs="Segoe UI"/>
                <w:color w:val="313131"/>
                <w:szCs w:val="20"/>
              </w:rPr>
              <w:t>2,520.3</w:t>
            </w:r>
          </w:p>
        </w:tc>
      </w:tr>
    </w:tbl>
    <w:p w14:paraId="7AE11978" w14:textId="4B1C0326" w:rsidR="00026D84" w:rsidRPr="00026D84" w:rsidRDefault="001E6A8F" w:rsidP="00026D84">
      <w:pPr>
        <w:pStyle w:val="Caption"/>
      </w:pPr>
      <w:r w:rsidRPr="00771669">
        <w:t xml:space="preserve">*Due to rounding, </w:t>
      </w:r>
      <w:r w:rsidRPr="003575EF">
        <w:t>discrepancies</w:t>
      </w:r>
      <w:r w:rsidRPr="00771669">
        <w:t xml:space="preserve"> may occur between sums of the component items in totals</w:t>
      </w:r>
    </w:p>
    <w:p w14:paraId="7100DF7D" w14:textId="2B74CA41" w:rsidR="00F40F77" w:rsidRPr="00F40F77" w:rsidRDefault="00026D84" w:rsidP="00F40F77">
      <w:pPr>
        <w:pStyle w:val="Heading4"/>
        <w:rPr>
          <w:b w:val="0"/>
          <w:bCs/>
        </w:rPr>
      </w:pPr>
      <w:r w:rsidRPr="00026D84">
        <w:rPr>
          <w:rFonts w:ascii="Calibri" w:hAnsi="Calibr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CA03BD8" wp14:editId="40EED1AA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5177155" cy="1666875"/>
            <wp:effectExtent l="0" t="0" r="4445" b="9525"/>
            <wp:wrapTight wrapText="bothSides">
              <wp:wrapPolygon edited="0">
                <wp:start x="0" y="0"/>
                <wp:lineTo x="0" y="21477"/>
                <wp:lineTo x="21539" y="21477"/>
                <wp:lineTo x="21539" y="0"/>
                <wp:lineTo x="0" y="0"/>
              </wp:wrapPolygon>
            </wp:wrapTight>
            <wp:docPr id="709272520" name="Picture 2" descr="Figure 1 presents the percentage of Australia’s total Climate Finance by type of support – adaptation, mitigation, or crosscutting. for the financial year 2023-24.&#10;&#10;This information is presented in a doughnut chart, where the three primary types of support take a portion of shading in the doughnut in direct proportion to the total percentage attributable to each type of support.&#10;&#10;The percentages of total Australian Climate Finance by type of support are:&#10;Adaptation 49%&#10;Mitigation 32%&#10;Crosscutting 19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272520" name="Picture 2" descr="Figure 1 presents the percentage of Australia’s total Climate Finance by type of support – adaptation, mitigation, or crosscutting. for the financial year 2023-24.&#10;&#10;This information is presented in a doughnut chart, where the three primary types of support take a portion of shading in the doughnut in direct proportion to the total percentage attributable to each type of support.&#10;&#10;The percentages of total Australian Climate Finance by type of support are:&#10;Adaptation 49%&#10;Mitigation 32%&#10;Crosscutting 19%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4" b="5064"/>
                    <a:stretch/>
                  </pic:blipFill>
                  <pic:spPr bwMode="auto">
                    <a:xfrm>
                      <a:off x="0" y="0"/>
                      <a:ext cx="517715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648">
        <w:rPr>
          <w:b w:val="0"/>
          <w:bCs/>
        </w:rPr>
        <w:t xml:space="preserve">Figure 1: </w:t>
      </w:r>
      <w:r w:rsidR="003575EF" w:rsidRPr="00E5168F">
        <w:rPr>
          <w:b w:val="0"/>
          <w:bCs/>
        </w:rPr>
        <w:t>Australia</w:t>
      </w:r>
      <w:r w:rsidR="00683A0A">
        <w:rPr>
          <w:b w:val="0"/>
          <w:bCs/>
        </w:rPr>
        <w:t>’s total Climate Finance by type of support,</w:t>
      </w:r>
      <w:r w:rsidR="00857B01">
        <w:rPr>
          <w:b w:val="0"/>
          <w:bCs/>
        </w:rPr>
        <w:t xml:space="preserve"> </w:t>
      </w:r>
      <w:r w:rsidR="00683A0A">
        <w:rPr>
          <w:b w:val="0"/>
          <w:bCs/>
        </w:rPr>
        <w:t xml:space="preserve">2023–24 </w:t>
      </w:r>
    </w:p>
    <w:p w14:paraId="2BEB74B4" w14:textId="62189C17" w:rsidR="00750721" w:rsidRPr="00857B01" w:rsidRDefault="00750721">
      <w:pPr>
        <w:spacing w:before="0" w:after="0" w:line="240" w:lineRule="auto"/>
        <w:rPr>
          <w:lang w:val="en-US"/>
        </w:rPr>
      </w:pPr>
      <w:r>
        <w:br w:type="page"/>
      </w:r>
    </w:p>
    <w:p w14:paraId="7CC3C65D" w14:textId="27C42C7D" w:rsidR="00C700DC" w:rsidRDefault="00C700DC" w:rsidP="00C700DC">
      <w:pPr>
        <w:pStyle w:val="Heading3"/>
        <w:rPr>
          <w:rFonts w:eastAsia="Calibri"/>
        </w:rPr>
      </w:pPr>
      <w:r w:rsidRPr="00CC4616">
        <w:lastRenderedPageBreak/>
        <w:t>Sustainable Development Goals</w:t>
      </w:r>
    </w:p>
    <w:p w14:paraId="5FDBE9C1" w14:textId="64F793C5" w:rsidR="00634CC1" w:rsidRPr="00C700DC" w:rsidRDefault="00634CC1" w:rsidP="00634CC1">
      <w:r>
        <w:rPr>
          <w:noProof/>
        </w:rPr>
        <w:drawing>
          <wp:inline distT="0" distB="0" distL="0" distR="0" wp14:anchorId="32CA1E9F" wp14:editId="4181CCA6">
            <wp:extent cx="548640" cy="548640"/>
            <wp:effectExtent l="0" t="0" r="3810" b="3810"/>
            <wp:docPr id="1891109307" name="Picture 7" descr="SDG 7 - Affordable and clean ene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109307" name="Picture 7" descr="SDG 7 - Affordable and clean energ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766939" wp14:editId="6966CE9E">
            <wp:extent cx="548640" cy="548640"/>
            <wp:effectExtent l="0" t="0" r="3810" b="3810"/>
            <wp:docPr id="67511417" name="Picture 6" descr="SDG 13 - Climate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1417" name="Picture 6" descr="SDG 13 - Climate ac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0220D" w14:textId="09B6428B" w:rsidR="00E23963" w:rsidRDefault="00D01B2D" w:rsidP="00D01B2D">
      <w:pPr>
        <w:rPr>
          <w:b/>
          <w:bCs/>
        </w:rPr>
      </w:pPr>
      <w:r w:rsidRPr="00D01B2D">
        <w:rPr>
          <w:b/>
          <w:bCs/>
        </w:rPr>
        <w:t xml:space="preserve">Australia recognises that climate change is the greatest shared threat to the livelihoods, security and wellbeing of our closest neighbours in the Indo-Pacific. </w:t>
      </w:r>
    </w:p>
    <w:p w14:paraId="7187F848" w14:textId="33B57F79" w:rsidR="00D01B2D" w:rsidRPr="00E23963" w:rsidRDefault="00D01B2D" w:rsidP="00D01B2D">
      <w:r w:rsidRPr="00E23963">
        <w:t xml:space="preserve">The Government is taking real and ambitious action to address climate change at home and in our region. </w:t>
      </w:r>
    </w:p>
    <w:p w14:paraId="14B56AE6" w14:textId="20BEFDEF" w:rsidR="00671161" w:rsidRPr="004D1D85" w:rsidRDefault="001E6A8F" w:rsidP="00C700DC">
      <w:pPr>
        <w:pStyle w:val="Heading3"/>
      </w:pPr>
      <w:r>
        <w:t>Strategic direction</w:t>
      </w:r>
    </w:p>
    <w:p w14:paraId="4DFFBDCF" w14:textId="77777777" w:rsidR="00467C2E" w:rsidRPr="00F93F28" w:rsidRDefault="00467C2E" w:rsidP="00467C2E">
      <w:pPr>
        <w:spacing w:after="0"/>
        <w:rPr>
          <w:rFonts w:cstheme="minorHAnsi"/>
        </w:rPr>
      </w:pPr>
      <w:r w:rsidRPr="00F93F28">
        <w:rPr>
          <w:rFonts w:cstheme="minorHAnsi"/>
        </w:rPr>
        <w:t>Australia is contributing to the</w:t>
      </w:r>
      <w:r w:rsidRPr="001823F9">
        <w:t xml:space="preserve"> </w:t>
      </w:r>
      <w:r w:rsidRPr="00F93F28">
        <w:rPr>
          <w:rFonts w:cstheme="minorHAnsi"/>
        </w:rPr>
        <w:t xml:space="preserve">United Nations Framework Convention on Climate Change (UNFCCC) and Paris Agreement goals through ambitious domestic action and high-quality climate finance for developing countries. </w:t>
      </w:r>
    </w:p>
    <w:p w14:paraId="672182CB" w14:textId="77777777" w:rsidR="00467C2E" w:rsidRPr="00F93F28" w:rsidRDefault="00467C2E" w:rsidP="00467C2E">
      <w:pPr>
        <w:spacing w:after="0"/>
        <w:rPr>
          <w:rFonts w:cstheme="minorHAnsi"/>
        </w:rPr>
      </w:pPr>
      <w:r w:rsidRPr="00F93F28">
        <w:rPr>
          <w:rFonts w:cstheme="minorHAnsi"/>
        </w:rPr>
        <w:t>Climate change is at the heart of Australia’s International Development Policy. This commits Australia to strengthen climate resilience across our development program by:</w:t>
      </w:r>
    </w:p>
    <w:p w14:paraId="0BA3825C" w14:textId="77777777" w:rsidR="00467C2E" w:rsidRPr="00F93F28" w:rsidRDefault="00467C2E" w:rsidP="00467C2E">
      <w:pPr>
        <w:pStyle w:val="ListParagraph"/>
        <w:numPr>
          <w:ilvl w:val="0"/>
          <w:numId w:val="21"/>
        </w:numPr>
        <w:spacing w:before="0"/>
        <w:ind w:left="357" w:hanging="357"/>
        <w:rPr>
          <w:rFonts w:cstheme="minorHAnsi"/>
          <w:color w:val="auto"/>
          <w:sz w:val="22"/>
        </w:rPr>
      </w:pPr>
      <w:r w:rsidRPr="00F93F28">
        <w:rPr>
          <w:rFonts w:cstheme="minorHAnsi"/>
          <w:color w:val="auto"/>
          <w:sz w:val="22"/>
        </w:rPr>
        <w:t>aligning bilateral programs with partners’ climate priorities, including their Nationally Determined Contributions and National Adaptation Plans.</w:t>
      </w:r>
    </w:p>
    <w:p w14:paraId="1ACCCA62" w14:textId="77777777" w:rsidR="00467C2E" w:rsidRPr="00F93F28" w:rsidRDefault="00467C2E" w:rsidP="00467C2E">
      <w:pPr>
        <w:pStyle w:val="ListParagraph"/>
        <w:numPr>
          <w:ilvl w:val="0"/>
          <w:numId w:val="21"/>
        </w:numPr>
        <w:rPr>
          <w:rFonts w:cstheme="minorHAnsi"/>
          <w:color w:val="auto"/>
          <w:sz w:val="22"/>
        </w:rPr>
      </w:pPr>
      <w:r w:rsidRPr="00F93F28">
        <w:rPr>
          <w:rFonts w:cstheme="minorHAnsi"/>
          <w:color w:val="auto"/>
          <w:sz w:val="22"/>
        </w:rPr>
        <w:t>considering climate risk in all bilateral and regional Development Partnership Plans</w:t>
      </w:r>
    </w:p>
    <w:p w14:paraId="3D7CC59A" w14:textId="77777777" w:rsidR="00467C2E" w:rsidRPr="00F93F28" w:rsidRDefault="00467C2E" w:rsidP="00467C2E">
      <w:pPr>
        <w:pStyle w:val="ListParagraph"/>
        <w:numPr>
          <w:ilvl w:val="0"/>
          <w:numId w:val="21"/>
        </w:numPr>
        <w:spacing w:before="0"/>
        <w:ind w:left="357" w:hanging="357"/>
        <w:rPr>
          <w:rFonts w:cstheme="minorHAnsi"/>
          <w:color w:val="auto"/>
          <w:sz w:val="22"/>
        </w:rPr>
      </w:pPr>
      <w:r w:rsidRPr="00F93F28">
        <w:rPr>
          <w:rFonts w:cstheme="minorHAnsi"/>
          <w:color w:val="auto"/>
          <w:sz w:val="22"/>
        </w:rPr>
        <w:t>ensuring that, from 2024-25, at least half of all new country and regional investments valued at more than $3 million have a climate change objective, with a goal of reaching 80 per cent in 2028–29</w:t>
      </w:r>
    </w:p>
    <w:p w14:paraId="4572847D" w14:textId="2908EE81" w:rsidR="002923D5" w:rsidRPr="004D1D85" w:rsidRDefault="001E6A8F" w:rsidP="00C700DC">
      <w:pPr>
        <w:pStyle w:val="Heading3"/>
      </w:pPr>
      <w:r>
        <w:t>Program highlights</w:t>
      </w:r>
    </w:p>
    <w:p w14:paraId="76AAAA30" w14:textId="3BFA3FC8" w:rsidR="00D84510" w:rsidRPr="00F93F28" w:rsidRDefault="00D84510" w:rsidP="00D84510">
      <w:pPr>
        <w:spacing w:after="0"/>
        <w:rPr>
          <w:rFonts w:cstheme="minorBidi"/>
        </w:rPr>
      </w:pPr>
      <w:r w:rsidRPr="00F93F28">
        <w:rPr>
          <w:rFonts w:cstheme="minorBidi"/>
        </w:rPr>
        <w:t>Australia is on track to deliver $3</w:t>
      </w:r>
      <w:r w:rsidR="00750721">
        <w:rPr>
          <w:rFonts w:cstheme="minorBidi"/>
        </w:rPr>
        <w:t xml:space="preserve"> </w:t>
      </w:r>
      <w:r w:rsidRPr="00F93F28">
        <w:rPr>
          <w:rFonts w:cstheme="minorBidi"/>
        </w:rPr>
        <w:t>billion towards the global climate finance goal (2020–2025), largely through existing ODA commitments. In 2023–24, Australia delivered $912.3 million in climate finance and has delivered $2,520 million from 2020–2024.</w:t>
      </w:r>
    </w:p>
    <w:p w14:paraId="0C4FF238" w14:textId="01EABE20" w:rsidR="00D84510" w:rsidRPr="00F93F28" w:rsidRDefault="00D84510" w:rsidP="00AE146B">
      <w:pPr>
        <w:pStyle w:val="ListParagraph"/>
        <w:numPr>
          <w:ilvl w:val="0"/>
          <w:numId w:val="22"/>
        </w:numPr>
        <w:spacing w:after="0"/>
        <w:ind w:left="283" w:hanging="357"/>
        <w:contextualSpacing w:val="0"/>
        <w:rPr>
          <w:rFonts w:cstheme="minorBidi"/>
          <w:color w:val="auto"/>
          <w:sz w:val="22"/>
        </w:rPr>
      </w:pPr>
      <w:r w:rsidRPr="00F93F28">
        <w:rPr>
          <w:rFonts w:cstheme="minorBidi"/>
          <w:b/>
          <w:color w:val="auto"/>
          <w:sz w:val="22"/>
        </w:rPr>
        <w:t>Climate Resilient Communities</w:t>
      </w:r>
      <w:r w:rsidRPr="00F93F28">
        <w:rPr>
          <w:rFonts w:cstheme="minorBidi"/>
          <w:color w:val="auto"/>
          <w:sz w:val="22"/>
        </w:rPr>
        <w:t xml:space="preserve"> supports implementation of the Australian Government’s climate change commitments under Australia’s International Development Policy, in line with partner government priorities. CRC incentivises funding towards gender-responsive, inclusive climate and disaster resilience programming, particularly in the water, food, nature-based solutions, and energy sectors. The initial investment is $221.9 million over five years from 2024–29.</w:t>
      </w:r>
    </w:p>
    <w:p w14:paraId="51C8F1C5" w14:textId="1AF8CB04" w:rsidR="00AE146B" w:rsidRPr="00F93F28" w:rsidRDefault="00AE146B" w:rsidP="00AE146B">
      <w:pPr>
        <w:pStyle w:val="ListParagraph"/>
        <w:numPr>
          <w:ilvl w:val="0"/>
          <w:numId w:val="22"/>
        </w:numPr>
        <w:spacing w:after="0"/>
        <w:ind w:left="283" w:hanging="357"/>
        <w:contextualSpacing w:val="0"/>
        <w:rPr>
          <w:rFonts w:cstheme="minorBidi"/>
          <w:color w:val="auto"/>
          <w:sz w:val="22"/>
        </w:rPr>
      </w:pPr>
      <w:r w:rsidRPr="00F93F28">
        <w:rPr>
          <w:rFonts w:cstheme="minorBidi"/>
          <w:color w:val="auto"/>
          <w:sz w:val="22"/>
        </w:rPr>
        <w:t xml:space="preserve">The </w:t>
      </w:r>
      <w:r w:rsidRPr="00F93F28">
        <w:rPr>
          <w:rFonts w:cstheme="minorBidi"/>
          <w:b/>
          <w:color w:val="auto"/>
          <w:sz w:val="22"/>
        </w:rPr>
        <w:t>Australian Infrastructure Financing Facility for the Pacific</w:t>
      </w:r>
      <w:r w:rsidRPr="00F93F28">
        <w:rPr>
          <w:rFonts w:cstheme="minorBidi"/>
          <w:color w:val="auto"/>
          <w:sz w:val="22"/>
        </w:rPr>
        <w:t xml:space="preserve"> has provided USD22 million to Solar Pacific Pristine Power to support the construction of Palau’s first utility-scale solar and battery energy storage facility.</w:t>
      </w:r>
    </w:p>
    <w:p w14:paraId="19F6A312" w14:textId="4DBE5DA9" w:rsidR="00F15F3E" w:rsidRPr="00F93F28" w:rsidRDefault="00AE146B" w:rsidP="00F15F3E">
      <w:pPr>
        <w:pStyle w:val="ListParagraph"/>
        <w:numPr>
          <w:ilvl w:val="0"/>
          <w:numId w:val="22"/>
        </w:numPr>
        <w:spacing w:after="0"/>
        <w:ind w:left="283" w:hanging="357"/>
        <w:contextualSpacing w:val="0"/>
        <w:rPr>
          <w:rFonts w:cstheme="minorHAnsi"/>
          <w:color w:val="auto"/>
          <w:sz w:val="22"/>
        </w:rPr>
      </w:pPr>
      <w:r w:rsidRPr="00F93F28">
        <w:rPr>
          <w:rFonts w:cstheme="minorBidi"/>
          <w:b/>
          <w:color w:val="auto"/>
          <w:sz w:val="22"/>
        </w:rPr>
        <w:t>Australian Development Investments</w:t>
      </w:r>
      <w:r w:rsidRPr="00F93F28">
        <w:rPr>
          <w:rFonts w:cstheme="minorBidi"/>
          <w:color w:val="auto"/>
          <w:sz w:val="22"/>
        </w:rPr>
        <w:t xml:space="preserve"> is investing in the Southeast Asia Clean Energy Fund II, helping to mobilise additional finance for technologies and business models that accelerate the low carbon transition, such as: solar, wind, energy efficiency, electric mobility and grid infrastructure</w:t>
      </w:r>
      <w:r w:rsidRPr="00F93F28">
        <w:rPr>
          <w:rFonts w:cstheme="minorHAnsi"/>
          <w:color w:val="auto"/>
          <w:sz w:val="22"/>
        </w:rPr>
        <w:t>.</w:t>
      </w:r>
    </w:p>
    <w:p w14:paraId="28DD3CB5" w14:textId="4939E977" w:rsidR="00F15F3E" w:rsidRPr="000F2314" w:rsidRDefault="00F15F3E" w:rsidP="00F15F3E">
      <w:pPr>
        <w:spacing w:after="0"/>
        <w:ind w:left="-74"/>
        <w:rPr>
          <w:rStyle w:val="Hyperlink"/>
          <w:rFonts w:cstheme="minorHAnsi"/>
          <w:iCs/>
          <w:color w:val="auto"/>
          <w:u w:val="none"/>
        </w:rPr>
      </w:pPr>
      <w:r w:rsidRPr="00F93F28">
        <w:rPr>
          <w:rFonts w:cstheme="minorHAnsi"/>
        </w:rPr>
        <w:t>For more information see our</w:t>
      </w:r>
      <w:r w:rsidRPr="00F93F28">
        <w:rPr>
          <w:rFonts w:cstheme="minorHAnsi"/>
          <w:b/>
        </w:rPr>
        <w:t xml:space="preserve"> </w:t>
      </w:r>
      <w:hyperlink r:id="rId14" w:history="1">
        <w:r w:rsidRPr="000F2314">
          <w:rPr>
            <w:rStyle w:val="Hyperlink"/>
            <w:rFonts w:cstheme="minorHAnsi"/>
            <w:color w:val="auto"/>
          </w:rPr>
          <w:t>website</w:t>
        </w:r>
      </w:hyperlink>
      <w:r w:rsidRPr="000F2314">
        <w:rPr>
          <w:rStyle w:val="Hyperlink"/>
          <w:rFonts w:cstheme="minorHAnsi"/>
          <w:color w:val="auto"/>
        </w:rPr>
        <w:t>.</w:t>
      </w:r>
    </w:p>
    <w:sectPr w:rsidR="00F15F3E" w:rsidRPr="000F2314" w:rsidSect="0095740E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872" w:right="850" w:bottom="990" w:left="850" w:header="85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F9895" w14:textId="77777777" w:rsidR="006B4B55" w:rsidRDefault="006B4B55" w:rsidP="00EE32FE">
      <w:pPr>
        <w:spacing w:after="0" w:line="240" w:lineRule="auto"/>
      </w:pPr>
      <w:r>
        <w:separator/>
      </w:r>
    </w:p>
  </w:endnote>
  <w:endnote w:type="continuationSeparator" w:id="0">
    <w:p w14:paraId="22DFE080" w14:textId="77777777" w:rsidR="006B4B55" w:rsidRDefault="006B4B55" w:rsidP="00EE32FE">
      <w:pPr>
        <w:spacing w:after="0" w:line="240" w:lineRule="auto"/>
      </w:pPr>
      <w:r>
        <w:continuationSeparator/>
      </w:r>
    </w:p>
  </w:endnote>
  <w:endnote w:type="continuationNotice" w:id="1">
    <w:p w14:paraId="7B1A6813" w14:textId="77777777" w:rsidR="006B4B55" w:rsidRDefault="006B4B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-108438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D4674" w14:textId="2DD6A0D1" w:rsidR="00F40F77" w:rsidRPr="004D49FE" w:rsidRDefault="008E290E">
        <w:pPr>
          <w:pStyle w:val="Footer"/>
          <w:rPr>
            <w:color w:val="FFFFFF" w:themeColor="background1"/>
          </w:rPr>
        </w:pPr>
        <w:r w:rsidRPr="00C71682">
          <w:rPr>
            <w:noProof/>
            <w:color w:val="FFFFFF" w:themeColor="background1"/>
          </w:rPr>
          <w:drawing>
            <wp:anchor distT="0" distB="0" distL="114300" distR="114300" simplePos="0" relativeHeight="251658243" behindDoc="1" locked="0" layoutInCell="1" allowOverlap="1" wp14:anchorId="1DE43D9B" wp14:editId="4A8136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8095" cy="576000"/>
              <wp:effectExtent l="0" t="0" r="5080" b="0"/>
              <wp:wrapNone/>
              <wp:docPr id="286829610" name="Picture 2868296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3988066" name="Picture 38398806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095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D1D28" w:rsidRPr="004D49FE">
          <w:rPr>
            <w:color w:val="FFFFFF" w:themeColor="background1"/>
          </w:rPr>
          <w:fldChar w:fldCharType="begin"/>
        </w:r>
        <w:r w:rsidR="00BD1D28" w:rsidRPr="004D49FE">
          <w:rPr>
            <w:color w:val="FFFFFF" w:themeColor="background1"/>
          </w:rPr>
          <w:instrText xml:space="preserve"> PAGE   \* MERGEFORMAT </w:instrText>
        </w:r>
        <w:r w:rsidR="00BD1D28" w:rsidRPr="004D49FE">
          <w:rPr>
            <w:color w:val="FFFFFF" w:themeColor="background1"/>
          </w:rPr>
          <w:fldChar w:fldCharType="separate"/>
        </w:r>
        <w:r w:rsidR="00BD1D28" w:rsidRPr="004D49FE">
          <w:rPr>
            <w:noProof/>
            <w:color w:val="FFFFFF" w:themeColor="background1"/>
          </w:rPr>
          <w:t>2</w:t>
        </w:r>
        <w:r w:rsidR="00BD1D28" w:rsidRPr="004D49FE">
          <w:rPr>
            <w:noProof/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-1410306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84756" w14:textId="18EE118E" w:rsidR="00E50E59" w:rsidRPr="00C71682" w:rsidRDefault="00C71682">
        <w:pPr>
          <w:pStyle w:val="Footer"/>
          <w:rPr>
            <w:color w:val="FFFFFF" w:themeColor="background1"/>
          </w:rPr>
        </w:pPr>
        <w:r w:rsidRPr="00C71682">
          <w:rPr>
            <w:noProof/>
            <w:color w:val="FFFFFF" w:themeColor="background1"/>
          </w:rPr>
          <w:drawing>
            <wp:anchor distT="0" distB="0" distL="114300" distR="114300" simplePos="0" relativeHeight="251658242" behindDoc="1" locked="0" layoutInCell="1" allowOverlap="1" wp14:anchorId="57098BE2" wp14:editId="06078AE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8095" cy="576000"/>
              <wp:effectExtent l="0" t="0" r="5080" b="0"/>
              <wp:wrapNone/>
              <wp:docPr id="1762875033" name="Picture 17628750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2243087" name="Picture 170224308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095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6B16" w:rsidRPr="00C71682">
          <w:rPr>
            <w:color w:val="FFFFFF" w:themeColor="background1"/>
          </w:rPr>
          <w:fldChar w:fldCharType="begin"/>
        </w:r>
        <w:r w:rsidR="00F46B16" w:rsidRPr="00C71682">
          <w:rPr>
            <w:color w:val="FFFFFF" w:themeColor="background1"/>
          </w:rPr>
          <w:instrText xml:space="preserve"> PAGE   \* MERGEFORMAT </w:instrText>
        </w:r>
        <w:r w:rsidR="00F46B16" w:rsidRPr="00C71682">
          <w:rPr>
            <w:color w:val="FFFFFF" w:themeColor="background1"/>
          </w:rPr>
          <w:fldChar w:fldCharType="separate"/>
        </w:r>
        <w:r w:rsidR="00F46B16" w:rsidRPr="00C71682">
          <w:rPr>
            <w:noProof/>
            <w:color w:val="FFFFFF" w:themeColor="background1"/>
          </w:rPr>
          <w:t>2</w:t>
        </w:r>
        <w:r w:rsidR="00F46B16" w:rsidRPr="00C71682">
          <w:rPr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E09B6" w14:textId="77777777" w:rsidR="006B4B55" w:rsidRDefault="006B4B55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3F32C1AA" w14:textId="77777777" w:rsidR="006B4B55" w:rsidRDefault="006B4B55" w:rsidP="00EE32FE">
      <w:pPr>
        <w:spacing w:after="0" w:line="240" w:lineRule="auto"/>
      </w:pPr>
      <w:r>
        <w:continuationSeparator/>
      </w:r>
    </w:p>
  </w:footnote>
  <w:footnote w:type="continuationNotice" w:id="1">
    <w:p w14:paraId="3D0F0265" w14:textId="77777777" w:rsidR="006B4B55" w:rsidRDefault="006B4B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F6E9" w14:textId="4D8987F0" w:rsidR="00306BCA" w:rsidRDefault="0076381C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3030DA87" wp14:editId="3D506314">
          <wp:simplePos x="541606" y="618978"/>
          <wp:positionH relativeFrom="page">
            <wp:align>center</wp:align>
          </wp:positionH>
          <wp:positionV relativeFrom="page">
            <wp:align>top</wp:align>
          </wp:positionV>
          <wp:extent cx="7558095" cy="576000"/>
          <wp:effectExtent l="0" t="0" r="5080" b="0"/>
          <wp:wrapNone/>
          <wp:docPr id="711395214" name="Picture 1" descr="Page two header banner text includes Australia’s International Development Program on dar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380403" name="Picture 1" descr="Page two header banner text includes Australia’s International Development Program on dark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09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360E" w14:textId="45ABCAE1" w:rsidR="00704573" w:rsidRDefault="00235C52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6BA3015" wp14:editId="43712648">
          <wp:simplePos x="0" y="0"/>
          <wp:positionH relativeFrom="page">
            <wp:posOffset>10937875</wp:posOffset>
          </wp:positionH>
          <wp:positionV relativeFrom="page">
            <wp:posOffset>112395</wp:posOffset>
          </wp:positionV>
          <wp:extent cx="7689850" cy="585470"/>
          <wp:effectExtent l="0" t="0" r="6350" b="5080"/>
          <wp:wrapNone/>
          <wp:docPr id="496624058" name="Picture 4966240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797426" name="Picture 11317974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98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8F0">
      <w:rPr>
        <w:noProof/>
      </w:rPr>
      <w:drawing>
        <wp:anchor distT="0" distB="0" distL="114300" distR="114300" simplePos="0" relativeHeight="251658240" behindDoc="0" locked="0" layoutInCell="1" allowOverlap="1" wp14:anchorId="57FCDF50" wp14:editId="7897489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80000"/>
          <wp:effectExtent l="0" t="0" r="3175" b="6350"/>
          <wp:wrapNone/>
          <wp:docPr id="2082428741" name="Picture 2082428741" descr="Header banner including Australian Government Department of Foreign Affairs and Trade logos and Australian Aid identifier on the right hand sid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509291" name="Picture 2129509291" descr="Header banner including Australian Government Department of Foreign Affairs and Trade logos and Australian Aid identifier on the right hand sid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86E82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23042220" o:spid="_x0000_i1025" type="#_x0000_t75" style="width:59.1pt;height:34.95pt;visibility:visible;mso-wrap-style:square">
            <v:imagedata r:id="rId1" o:title=""/>
          </v:shape>
        </w:pict>
      </mc:Choice>
      <mc:Fallback>
        <w:drawing>
          <wp:inline distT="0" distB="0" distL="0" distR="0" wp14:anchorId="582A5D09" wp14:editId="6C4018CE">
            <wp:extent cx="750570" cy="443865"/>
            <wp:effectExtent l="0" t="0" r="0" b="0"/>
            <wp:docPr id="823042220" name="Picture 82304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7C6835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A2D46"/>
    <w:multiLevelType w:val="hybridMultilevel"/>
    <w:tmpl w:val="4AB6AC2E"/>
    <w:lvl w:ilvl="0" w:tplc="018A84B8">
      <w:start w:val="1"/>
      <w:numFmt w:val="decimal"/>
      <w:lvlText w:val="%1."/>
      <w:lvlJc w:val="left"/>
      <w:pPr>
        <w:ind w:left="1020" w:hanging="360"/>
      </w:pPr>
    </w:lvl>
    <w:lvl w:ilvl="1" w:tplc="F83812DE">
      <w:start w:val="1"/>
      <w:numFmt w:val="decimal"/>
      <w:lvlText w:val="%2."/>
      <w:lvlJc w:val="left"/>
      <w:pPr>
        <w:ind w:left="1020" w:hanging="360"/>
      </w:pPr>
    </w:lvl>
    <w:lvl w:ilvl="2" w:tplc="33B408C8">
      <w:start w:val="1"/>
      <w:numFmt w:val="decimal"/>
      <w:lvlText w:val="%3."/>
      <w:lvlJc w:val="left"/>
      <w:pPr>
        <w:ind w:left="1020" w:hanging="360"/>
      </w:pPr>
    </w:lvl>
    <w:lvl w:ilvl="3" w:tplc="52948C7C">
      <w:start w:val="1"/>
      <w:numFmt w:val="decimal"/>
      <w:lvlText w:val="%4."/>
      <w:lvlJc w:val="left"/>
      <w:pPr>
        <w:ind w:left="1020" w:hanging="360"/>
      </w:pPr>
    </w:lvl>
    <w:lvl w:ilvl="4" w:tplc="1D26C1C4">
      <w:start w:val="1"/>
      <w:numFmt w:val="decimal"/>
      <w:lvlText w:val="%5."/>
      <w:lvlJc w:val="left"/>
      <w:pPr>
        <w:ind w:left="1020" w:hanging="360"/>
      </w:pPr>
    </w:lvl>
    <w:lvl w:ilvl="5" w:tplc="07803DD6">
      <w:start w:val="1"/>
      <w:numFmt w:val="decimal"/>
      <w:lvlText w:val="%6."/>
      <w:lvlJc w:val="left"/>
      <w:pPr>
        <w:ind w:left="1020" w:hanging="360"/>
      </w:pPr>
    </w:lvl>
    <w:lvl w:ilvl="6" w:tplc="8D881B56">
      <w:start w:val="1"/>
      <w:numFmt w:val="decimal"/>
      <w:lvlText w:val="%7."/>
      <w:lvlJc w:val="left"/>
      <w:pPr>
        <w:ind w:left="1020" w:hanging="360"/>
      </w:pPr>
    </w:lvl>
    <w:lvl w:ilvl="7" w:tplc="0142917C">
      <w:start w:val="1"/>
      <w:numFmt w:val="decimal"/>
      <w:lvlText w:val="%8."/>
      <w:lvlJc w:val="left"/>
      <w:pPr>
        <w:ind w:left="1020" w:hanging="360"/>
      </w:pPr>
    </w:lvl>
    <w:lvl w:ilvl="8" w:tplc="B7082D96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C0A00A4"/>
    <w:multiLevelType w:val="hybridMultilevel"/>
    <w:tmpl w:val="979494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21E9"/>
    <w:multiLevelType w:val="hybridMultilevel"/>
    <w:tmpl w:val="389AC8A6"/>
    <w:lvl w:ilvl="0" w:tplc="259AD006">
      <w:start w:val="1"/>
      <w:numFmt w:val="decimal"/>
      <w:lvlText w:val="%1."/>
      <w:lvlJc w:val="left"/>
      <w:pPr>
        <w:ind w:left="1020" w:hanging="360"/>
      </w:pPr>
    </w:lvl>
    <w:lvl w:ilvl="1" w:tplc="30241C60">
      <w:start w:val="1"/>
      <w:numFmt w:val="decimal"/>
      <w:lvlText w:val="%2."/>
      <w:lvlJc w:val="left"/>
      <w:pPr>
        <w:ind w:left="1020" w:hanging="360"/>
      </w:pPr>
    </w:lvl>
    <w:lvl w:ilvl="2" w:tplc="0842401C">
      <w:start w:val="1"/>
      <w:numFmt w:val="decimal"/>
      <w:lvlText w:val="%3."/>
      <w:lvlJc w:val="left"/>
      <w:pPr>
        <w:ind w:left="1020" w:hanging="360"/>
      </w:pPr>
    </w:lvl>
    <w:lvl w:ilvl="3" w:tplc="DDA47CE2">
      <w:start w:val="1"/>
      <w:numFmt w:val="decimal"/>
      <w:lvlText w:val="%4."/>
      <w:lvlJc w:val="left"/>
      <w:pPr>
        <w:ind w:left="1020" w:hanging="360"/>
      </w:pPr>
    </w:lvl>
    <w:lvl w:ilvl="4" w:tplc="8F6A5CA4">
      <w:start w:val="1"/>
      <w:numFmt w:val="decimal"/>
      <w:lvlText w:val="%5."/>
      <w:lvlJc w:val="left"/>
      <w:pPr>
        <w:ind w:left="1020" w:hanging="360"/>
      </w:pPr>
    </w:lvl>
    <w:lvl w:ilvl="5" w:tplc="9550A5B6">
      <w:start w:val="1"/>
      <w:numFmt w:val="decimal"/>
      <w:lvlText w:val="%6."/>
      <w:lvlJc w:val="left"/>
      <w:pPr>
        <w:ind w:left="1020" w:hanging="360"/>
      </w:pPr>
    </w:lvl>
    <w:lvl w:ilvl="6" w:tplc="E97836DE">
      <w:start w:val="1"/>
      <w:numFmt w:val="decimal"/>
      <w:lvlText w:val="%7."/>
      <w:lvlJc w:val="left"/>
      <w:pPr>
        <w:ind w:left="1020" w:hanging="360"/>
      </w:pPr>
    </w:lvl>
    <w:lvl w:ilvl="7" w:tplc="4FFA85CC">
      <w:start w:val="1"/>
      <w:numFmt w:val="decimal"/>
      <w:lvlText w:val="%8."/>
      <w:lvlJc w:val="left"/>
      <w:pPr>
        <w:ind w:left="1020" w:hanging="360"/>
      </w:pPr>
    </w:lvl>
    <w:lvl w:ilvl="8" w:tplc="4EE86F6C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1D1C6B04"/>
    <w:multiLevelType w:val="hybridMultilevel"/>
    <w:tmpl w:val="B34A9F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D71E0"/>
    <w:multiLevelType w:val="hybridMultilevel"/>
    <w:tmpl w:val="41CCA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46F902">
      <w:numFmt w:val="bullet"/>
      <w:lvlText w:val="•"/>
      <w:lvlJc w:val="left"/>
      <w:pPr>
        <w:ind w:left="1440" w:hanging="720"/>
      </w:pPr>
      <w:rPr>
        <w:rFonts w:ascii="Calibri" w:eastAsia="Calibri Light" w:hAnsi="Calibri" w:cs="Calibri" w:hint="default"/>
        <w:b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54785C"/>
    <w:multiLevelType w:val="hybridMultilevel"/>
    <w:tmpl w:val="63704D7C"/>
    <w:lvl w:ilvl="0" w:tplc="05389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C2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CE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241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2F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847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CF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06C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84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9D3341A"/>
    <w:multiLevelType w:val="hybridMultilevel"/>
    <w:tmpl w:val="948C41E2"/>
    <w:lvl w:ilvl="0" w:tplc="476EC8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472A5"/>
    <w:multiLevelType w:val="hybridMultilevel"/>
    <w:tmpl w:val="E3408DC2"/>
    <w:lvl w:ilvl="0" w:tplc="B0683738">
      <w:start w:val="1"/>
      <w:numFmt w:val="decimal"/>
      <w:lvlText w:val="%1."/>
      <w:lvlJc w:val="left"/>
      <w:pPr>
        <w:ind w:left="1020" w:hanging="360"/>
      </w:pPr>
    </w:lvl>
    <w:lvl w:ilvl="1" w:tplc="A6802ABE">
      <w:start w:val="1"/>
      <w:numFmt w:val="decimal"/>
      <w:lvlText w:val="%2."/>
      <w:lvlJc w:val="left"/>
      <w:pPr>
        <w:ind w:left="1020" w:hanging="360"/>
      </w:pPr>
    </w:lvl>
    <w:lvl w:ilvl="2" w:tplc="2F74BCDC">
      <w:start w:val="1"/>
      <w:numFmt w:val="decimal"/>
      <w:lvlText w:val="%3."/>
      <w:lvlJc w:val="left"/>
      <w:pPr>
        <w:ind w:left="1020" w:hanging="360"/>
      </w:pPr>
    </w:lvl>
    <w:lvl w:ilvl="3" w:tplc="FE6ADC6E">
      <w:start w:val="1"/>
      <w:numFmt w:val="decimal"/>
      <w:lvlText w:val="%4."/>
      <w:lvlJc w:val="left"/>
      <w:pPr>
        <w:ind w:left="1020" w:hanging="360"/>
      </w:pPr>
    </w:lvl>
    <w:lvl w:ilvl="4" w:tplc="03029E9E">
      <w:start w:val="1"/>
      <w:numFmt w:val="decimal"/>
      <w:lvlText w:val="%5."/>
      <w:lvlJc w:val="left"/>
      <w:pPr>
        <w:ind w:left="1020" w:hanging="360"/>
      </w:pPr>
    </w:lvl>
    <w:lvl w:ilvl="5" w:tplc="90105E3E">
      <w:start w:val="1"/>
      <w:numFmt w:val="decimal"/>
      <w:lvlText w:val="%6."/>
      <w:lvlJc w:val="left"/>
      <w:pPr>
        <w:ind w:left="1020" w:hanging="360"/>
      </w:pPr>
    </w:lvl>
    <w:lvl w:ilvl="6" w:tplc="F4F2A512">
      <w:start w:val="1"/>
      <w:numFmt w:val="decimal"/>
      <w:lvlText w:val="%7."/>
      <w:lvlJc w:val="left"/>
      <w:pPr>
        <w:ind w:left="1020" w:hanging="360"/>
      </w:pPr>
    </w:lvl>
    <w:lvl w:ilvl="7" w:tplc="1100ACDA">
      <w:start w:val="1"/>
      <w:numFmt w:val="decimal"/>
      <w:lvlText w:val="%8."/>
      <w:lvlJc w:val="left"/>
      <w:pPr>
        <w:ind w:left="1020" w:hanging="360"/>
      </w:pPr>
    </w:lvl>
    <w:lvl w:ilvl="8" w:tplc="D44610F4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F4CFF"/>
    <w:multiLevelType w:val="hybridMultilevel"/>
    <w:tmpl w:val="556C9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324A3"/>
    <w:multiLevelType w:val="hybridMultilevel"/>
    <w:tmpl w:val="72A46C1C"/>
    <w:lvl w:ilvl="0" w:tplc="0EECF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A8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B47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8B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88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0D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8A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A5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25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B3B3650"/>
    <w:multiLevelType w:val="hybridMultilevel"/>
    <w:tmpl w:val="5FBC148A"/>
    <w:lvl w:ilvl="0" w:tplc="5A781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88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A8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E6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AF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1AE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22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23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20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52072"/>
    <w:multiLevelType w:val="hybridMultilevel"/>
    <w:tmpl w:val="FE1E5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5745">
    <w:abstractNumId w:val="10"/>
  </w:num>
  <w:num w:numId="2" w16cid:durableId="768818958">
    <w:abstractNumId w:val="10"/>
    <w:lvlOverride w:ilvl="0">
      <w:startOverride w:val="1"/>
    </w:lvlOverride>
  </w:num>
  <w:num w:numId="3" w16cid:durableId="1890258398">
    <w:abstractNumId w:val="10"/>
    <w:lvlOverride w:ilvl="0">
      <w:startOverride w:val="1"/>
    </w:lvlOverride>
  </w:num>
  <w:num w:numId="4" w16cid:durableId="649091149">
    <w:abstractNumId w:val="12"/>
  </w:num>
  <w:num w:numId="5" w16cid:durableId="934098631">
    <w:abstractNumId w:val="3"/>
  </w:num>
  <w:num w:numId="6" w16cid:durableId="151024048">
    <w:abstractNumId w:val="10"/>
    <w:lvlOverride w:ilvl="0">
      <w:startOverride w:val="1"/>
    </w:lvlOverride>
  </w:num>
  <w:num w:numId="7" w16cid:durableId="1836610287">
    <w:abstractNumId w:val="10"/>
    <w:lvlOverride w:ilvl="0">
      <w:startOverride w:val="1"/>
    </w:lvlOverride>
  </w:num>
  <w:num w:numId="8" w16cid:durableId="2006547766">
    <w:abstractNumId w:val="10"/>
    <w:lvlOverride w:ilvl="0">
      <w:startOverride w:val="1"/>
    </w:lvlOverride>
  </w:num>
  <w:num w:numId="9" w16cid:durableId="1379822385">
    <w:abstractNumId w:val="15"/>
  </w:num>
  <w:num w:numId="10" w16cid:durableId="1276981909">
    <w:abstractNumId w:val="11"/>
  </w:num>
  <w:num w:numId="11" w16cid:durableId="1977682116">
    <w:abstractNumId w:val="12"/>
  </w:num>
  <w:num w:numId="12" w16cid:durableId="1696269951">
    <w:abstractNumId w:val="12"/>
  </w:num>
  <w:num w:numId="13" w16cid:durableId="1555584703">
    <w:abstractNumId w:val="0"/>
  </w:num>
  <w:num w:numId="14" w16cid:durableId="366376057">
    <w:abstractNumId w:val="13"/>
  </w:num>
  <w:num w:numId="15" w16cid:durableId="1909922326">
    <w:abstractNumId w:val="7"/>
  </w:num>
  <w:num w:numId="16" w16cid:durableId="2124684593">
    <w:abstractNumId w:val="4"/>
  </w:num>
  <w:num w:numId="17" w16cid:durableId="906037808">
    <w:abstractNumId w:val="2"/>
  </w:num>
  <w:num w:numId="18" w16cid:durableId="1378120932">
    <w:abstractNumId w:val="8"/>
  </w:num>
  <w:num w:numId="19" w16cid:durableId="219564270">
    <w:abstractNumId w:val="1"/>
  </w:num>
  <w:num w:numId="20" w16cid:durableId="1372995176">
    <w:abstractNumId w:val="9"/>
  </w:num>
  <w:num w:numId="21" w16cid:durableId="1905068743">
    <w:abstractNumId w:val="6"/>
  </w:num>
  <w:num w:numId="22" w16cid:durableId="1585992720">
    <w:abstractNumId w:val="14"/>
  </w:num>
  <w:num w:numId="23" w16cid:durableId="1029113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5D"/>
    <w:rsid w:val="0000077E"/>
    <w:rsid w:val="00015457"/>
    <w:rsid w:val="00017776"/>
    <w:rsid w:val="00021DCB"/>
    <w:rsid w:val="00025428"/>
    <w:rsid w:val="00025DF3"/>
    <w:rsid w:val="00026D84"/>
    <w:rsid w:val="00030679"/>
    <w:rsid w:val="000450E1"/>
    <w:rsid w:val="00045E13"/>
    <w:rsid w:val="000502CA"/>
    <w:rsid w:val="00055F8D"/>
    <w:rsid w:val="00065484"/>
    <w:rsid w:val="0007092D"/>
    <w:rsid w:val="00074BB1"/>
    <w:rsid w:val="00074F02"/>
    <w:rsid w:val="00077882"/>
    <w:rsid w:val="00080BCC"/>
    <w:rsid w:val="00090B42"/>
    <w:rsid w:val="00094F36"/>
    <w:rsid w:val="000A3684"/>
    <w:rsid w:val="000B7CE5"/>
    <w:rsid w:val="000C1AA4"/>
    <w:rsid w:val="000C35A9"/>
    <w:rsid w:val="000C6D02"/>
    <w:rsid w:val="000C73E3"/>
    <w:rsid w:val="000D4606"/>
    <w:rsid w:val="000E5A2E"/>
    <w:rsid w:val="000F1407"/>
    <w:rsid w:val="000F2314"/>
    <w:rsid w:val="0010098A"/>
    <w:rsid w:val="00100CEB"/>
    <w:rsid w:val="001120F8"/>
    <w:rsid w:val="00123E7B"/>
    <w:rsid w:val="00130FA7"/>
    <w:rsid w:val="001331A3"/>
    <w:rsid w:val="00133CD1"/>
    <w:rsid w:val="001405B7"/>
    <w:rsid w:val="00144289"/>
    <w:rsid w:val="00152BF7"/>
    <w:rsid w:val="00152C29"/>
    <w:rsid w:val="00155730"/>
    <w:rsid w:val="00156F0A"/>
    <w:rsid w:val="0016242A"/>
    <w:rsid w:val="00163AE3"/>
    <w:rsid w:val="001823F9"/>
    <w:rsid w:val="001869DB"/>
    <w:rsid w:val="001930FF"/>
    <w:rsid w:val="0019463F"/>
    <w:rsid w:val="00197CF8"/>
    <w:rsid w:val="001A3856"/>
    <w:rsid w:val="001B0A86"/>
    <w:rsid w:val="001B3A98"/>
    <w:rsid w:val="001B3B4C"/>
    <w:rsid w:val="001B3D6A"/>
    <w:rsid w:val="001B461C"/>
    <w:rsid w:val="001D0846"/>
    <w:rsid w:val="001D29C1"/>
    <w:rsid w:val="001D7F3A"/>
    <w:rsid w:val="001E0A36"/>
    <w:rsid w:val="001E0D67"/>
    <w:rsid w:val="001E6A8F"/>
    <w:rsid w:val="002069BA"/>
    <w:rsid w:val="00206BB9"/>
    <w:rsid w:val="0021791D"/>
    <w:rsid w:val="00222A95"/>
    <w:rsid w:val="00222C6E"/>
    <w:rsid w:val="00227AAF"/>
    <w:rsid w:val="00232F10"/>
    <w:rsid w:val="00233F1A"/>
    <w:rsid w:val="00235C52"/>
    <w:rsid w:val="0023702A"/>
    <w:rsid w:val="002449A4"/>
    <w:rsid w:val="00246196"/>
    <w:rsid w:val="00265727"/>
    <w:rsid w:val="00271CC7"/>
    <w:rsid w:val="00274B14"/>
    <w:rsid w:val="002903BA"/>
    <w:rsid w:val="00290E4E"/>
    <w:rsid w:val="002923D5"/>
    <w:rsid w:val="00292A6D"/>
    <w:rsid w:val="002965B1"/>
    <w:rsid w:val="002A027E"/>
    <w:rsid w:val="002A03E7"/>
    <w:rsid w:val="002C03C0"/>
    <w:rsid w:val="002C1236"/>
    <w:rsid w:val="002C1E1B"/>
    <w:rsid w:val="002F21F5"/>
    <w:rsid w:val="002F3A6A"/>
    <w:rsid w:val="002F65B2"/>
    <w:rsid w:val="0030387C"/>
    <w:rsid w:val="00306A56"/>
    <w:rsid w:val="00306BCA"/>
    <w:rsid w:val="003108B2"/>
    <w:rsid w:val="0032242F"/>
    <w:rsid w:val="003227DD"/>
    <w:rsid w:val="00327C4D"/>
    <w:rsid w:val="00332955"/>
    <w:rsid w:val="00341FBF"/>
    <w:rsid w:val="00343F6F"/>
    <w:rsid w:val="00344586"/>
    <w:rsid w:val="00347D63"/>
    <w:rsid w:val="00353A69"/>
    <w:rsid w:val="00353EBF"/>
    <w:rsid w:val="003575EF"/>
    <w:rsid w:val="00357C23"/>
    <w:rsid w:val="00363489"/>
    <w:rsid w:val="0037221F"/>
    <w:rsid w:val="003816EA"/>
    <w:rsid w:val="003872A8"/>
    <w:rsid w:val="003A1CEC"/>
    <w:rsid w:val="003B294C"/>
    <w:rsid w:val="003C0D0F"/>
    <w:rsid w:val="003C23CB"/>
    <w:rsid w:val="003C29FC"/>
    <w:rsid w:val="003C4C08"/>
    <w:rsid w:val="003C5770"/>
    <w:rsid w:val="003D2061"/>
    <w:rsid w:val="003F62F1"/>
    <w:rsid w:val="0040062A"/>
    <w:rsid w:val="00401597"/>
    <w:rsid w:val="004041C7"/>
    <w:rsid w:val="00413D08"/>
    <w:rsid w:val="00426B9A"/>
    <w:rsid w:val="0043194D"/>
    <w:rsid w:val="00432798"/>
    <w:rsid w:val="004411D8"/>
    <w:rsid w:val="00443150"/>
    <w:rsid w:val="00444134"/>
    <w:rsid w:val="004516E0"/>
    <w:rsid w:val="00461828"/>
    <w:rsid w:val="004641A7"/>
    <w:rsid w:val="0046667F"/>
    <w:rsid w:val="00467643"/>
    <w:rsid w:val="00467C2E"/>
    <w:rsid w:val="004740DD"/>
    <w:rsid w:val="00480980"/>
    <w:rsid w:val="004911FC"/>
    <w:rsid w:val="004A0B2C"/>
    <w:rsid w:val="004A4242"/>
    <w:rsid w:val="004B1331"/>
    <w:rsid w:val="004B2F7F"/>
    <w:rsid w:val="004B405C"/>
    <w:rsid w:val="004C24E5"/>
    <w:rsid w:val="004C403F"/>
    <w:rsid w:val="004D0049"/>
    <w:rsid w:val="004D1D85"/>
    <w:rsid w:val="004D38A2"/>
    <w:rsid w:val="004D49FE"/>
    <w:rsid w:val="004E2304"/>
    <w:rsid w:val="004E6FA1"/>
    <w:rsid w:val="004E7F0A"/>
    <w:rsid w:val="004F6FEF"/>
    <w:rsid w:val="005071E1"/>
    <w:rsid w:val="00511714"/>
    <w:rsid w:val="00513FF9"/>
    <w:rsid w:val="00514074"/>
    <w:rsid w:val="00515159"/>
    <w:rsid w:val="00521152"/>
    <w:rsid w:val="005220C7"/>
    <w:rsid w:val="005258B3"/>
    <w:rsid w:val="005328C8"/>
    <w:rsid w:val="0053464B"/>
    <w:rsid w:val="0054209F"/>
    <w:rsid w:val="00545268"/>
    <w:rsid w:val="00551247"/>
    <w:rsid w:val="00585B8E"/>
    <w:rsid w:val="00592C35"/>
    <w:rsid w:val="00592E1A"/>
    <w:rsid w:val="00594607"/>
    <w:rsid w:val="00595180"/>
    <w:rsid w:val="005A4153"/>
    <w:rsid w:val="005B2273"/>
    <w:rsid w:val="005B4634"/>
    <w:rsid w:val="005E2754"/>
    <w:rsid w:val="005E65BF"/>
    <w:rsid w:val="005F7B84"/>
    <w:rsid w:val="00616B35"/>
    <w:rsid w:val="00630B99"/>
    <w:rsid w:val="00633110"/>
    <w:rsid w:val="006337A3"/>
    <w:rsid w:val="00634CC1"/>
    <w:rsid w:val="00651385"/>
    <w:rsid w:val="00655270"/>
    <w:rsid w:val="0066074C"/>
    <w:rsid w:val="006617A8"/>
    <w:rsid w:val="00661961"/>
    <w:rsid w:val="00665E07"/>
    <w:rsid w:val="0066646F"/>
    <w:rsid w:val="00671161"/>
    <w:rsid w:val="00683A0A"/>
    <w:rsid w:val="00685065"/>
    <w:rsid w:val="00687044"/>
    <w:rsid w:val="006927FF"/>
    <w:rsid w:val="0069322B"/>
    <w:rsid w:val="006A1920"/>
    <w:rsid w:val="006A3040"/>
    <w:rsid w:val="006A721C"/>
    <w:rsid w:val="006A7D3F"/>
    <w:rsid w:val="006B1B6F"/>
    <w:rsid w:val="006B4B55"/>
    <w:rsid w:val="006B7E81"/>
    <w:rsid w:val="006C13E7"/>
    <w:rsid w:val="006C39DE"/>
    <w:rsid w:val="006D37EB"/>
    <w:rsid w:val="006D49BC"/>
    <w:rsid w:val="007018A3"/>
    <w:rsid w:val="00702718"/>
    <w:rsid w:val="00704573"/>
    <w:rsid w:val="0071149B"/>
    <w:rsid w:val="00712C82"/>
    <w:rsid w:val="00716F51"/>
    <w:rsid w:val="0072314C"/>
    <w:rsid w:val="00730977"/>
    <w:rsid w:val="007332ED"/>
    <w:rsid w:val="00750721"/>
    <w:rsid w:val="0076381C"/>
    <w:rsid w:val="00766FF5"/>
    <w:rsid w:val="00770B31"/>
    <w:rsid w:val="00771669"/>
    <w:rsid w:val="00780DC2"/>
    <w:rsid w:val="00781CF9"/>
    <w:rsid w:val="00783E51"/>
    <w:rsid w:val="00786104"/>
    <w:rsid w:val="00790F87"/>
    <w:rsid w:val="00791418"/>
    <w:rsid w:val="007919D5"/>
    <w:rsid w:val="0079728E"/>
    <w:rsid w:val="007C03B6"/>
    <w:rsid w:val="007C46CC"/>
    <w:rsid w:val="007C5166"/>
    <w:rsid w:val="007C76D3"/>
    <w:rsid w:val="007D3457"/>
    <w:rsid w:val="007D43DA"/>
    <w:rsid w:val="007D522F"/>
    <w:rsid w:val="007D53CA"/>
    <w:rsid w:val="007F312B"/>
    <w:rsid w:val="007F31A4"/>
    <w:rsid w:val="007F6492"/>
    <w:rsid w:val="007F7F66"/>
    <w:rsid w:val="008009CE"/>
    <w:rsid w:val="00801B1F"/>
    <w:rsid w:val="00827BFC"/>
    <w:rsid w:val="0083220B"/>
    <w:rsid w:val="00845374"/>
    <w:rsid w:val="008519E9"/>
    <w:rsid w:val="00857B01"/>
    <w:rsid w:val="00865EA9"/>
    <w:rsid w:val="008662C1"/>
    <w:rsid w:val="00870A3F"/>
    <w:rsid w:val="008714F6"/>
    <w:rsid w:val="008728F0"/>
    <w:rsid w:val="00877949"/>
    <w:rsid w:val="00890C17"/>
    <w:rsid w:val="00892737"/>
    <w:rsid w:val="00895DD6"/>
    <w:rsid w:val="008A03B8"/>
    <w:rsid w:val="008A1F79"/>
    <w:rsid w:val="008A226C"/>
    <w:rsid w:val="008A403B"/>
    <w:rsid w:val="008A74A0"/>
    <w:rsid w:val="008A7873"/>
    <w:rsid w:val="008A7880"/>
    <w:rsid w:val="008B0839"/>
    <w:rsid w:val="008B0F13"/>
    <w:rsid w:val="008B1B19"/>
    <w:rsid w:val="008B68E7"/>
    <w:rsid w:val="008C2F65"/>
    <w:rsid w:val="008C3BB8"/>
    <w:rsid w:val="008D25CF"/>
    <w:rsid w:val="008E290E"/>
    <w:rsid w:val="00900C4B"/>
    <w:rsid w:val="00901F0F"/>
    <w:rsid w:val="009026A6"/>
    <w:rsid w:val="00903B62"/>
    <w:rsid w:val="00907E14"/>
    <w:rsid w:val="00910CC5"/>
    <w:rsid w:val="0091100D"/>
    <w:rsid w:val="00917E43"/>
    <w:rsid w:val="00934AD4"/>
    <w:rsid w:val="00946080"/>
    <w:rsid w:val="0094709B"/>
    <w:rsid w:val="00947AD0"/>
    <w:rsid w:val="009526F7"/>
    <w:rsid w:val="0095495A"/>
    <w:rsid w:val="0095740E"/>
    <w:rsid w:val="009574A2"/>
    <w:rsid w:val="00965509"/>
    <w:rsid w:val="009851F3"/>
    <w:rsid w:val="0099135A"/>
    <w:rsid w:val="009952A4"/>
    <w:rsid w:val="009A030D"/>
    <w:rsid w:val="009A649F"/>
    <w:rsid w:val="009B2A87"/>
    <w:rsid w:val="009B2C75"/>
    <w:rsid w:val="009C29CC"/>
    <w:rsid w:val="009C4444"/>
    <w:rsid w:val="009D13AB"/>
    <w:rsid w:val="009D7B89"/>
    <w:rsid w:val="009F4957"/>
    <w:rsid w:val="009F689A"/>
    <w:rsid w:val="00A01D6E"/>
    <w:rsid w:val="00A17774"/>
    <w:rsid w:val="00A2698E"/>
    <w:rsid w:val="00A4001E"/>
    <w:rsid w:val="00A40B6D"/>
    <w:rsid w:val="00A5772D"/>
    <w:rsid w:val="00A63A07"/>
    <w:rsid w:val="00A70509"/>
    <w:rsid w:val="00A735CF"/>
    <w:rsid w:val="00A7750B"/>
    <w:rsid w:val="00A77602"/>
    <w:rsid w:val="00AA6ACC"/>
    <w:rsid w:val="00AC2557"/>
    <w:rsid w:val="00AC6062"/>
    <w:rsid w:val="00AC7A86"/>
    <w:rsid w:val="00AE146B"/>
    <w:rsid w:val="00AE166C"/>
    <w:rsid w:val="00AF7C26"/>
    <w:rsid w:val="00B05013"/>
    <w:rsid w:val="00B057A4"/>
    <w:rsid w:val="00B12A73"/>
    <w:rsid w:val="00B35181"/>
    <w:rsid w:val="00B36FC8"/>
    <w:rsid w:val="00B42FBF"/>
    <w:rsid w:val="00B45010"/>
    <w:rsid w:val="00B4776F"/>
    <w:rsid w:val="00B527C8"/>
    <w:rsid w:val="00B54BE6"/>
    <w:rsid w:val="00B578F2"/>
    <w:rsid w:val="00B76033"/>
    <w:rsid w:val="00B772ED"/>
    <w:rsid w:val="00B818B4"/>
    <w:rsid w:val="00B92A48"/>
    <w:rsid w:val="00BB6C40"/>
    <w:rsid w:val="00BB7E09"/>
    <w:rsid w:val="00BC50D3"/>
    <w:rsid w:val="00BD1D28"/>
    <w:rsid w:val="00BE7DC3"/>
    <w:rsid w:val="00BF0F51"/>
    <w:rsid w:val="00C0269C"/>
    <w:rsid w:val="00C02DDF"/>
    <w:rsid w:val="00C02F9A"/>
    <w:rsid w:val="00C107A8"/>
    <w:rsid w:val="00C12648"/>
    <w:rsid w:val="00C13173"/>
    <w:rsid w:val="00C27F85"/>
    <w:rsid w:val="00C33D8D"/>
    <w:rsid w:val="00C403E0"/>
    <w:rsid w:val="00C40760"/>
    <w:rsid w:val="00C52EC4"/>
    <w:rsid w:val="00C60EBF"/>
    <w:rsid w:val="00C700DC"/>
    <w:rsid w:val="00C71682"/>
    <w:rsid w:val="00C77021"/>
    <w:rsid w:val="00C85F23"/>
    <w:rsid w:val="00C8771C"/>
    <w:rsid w:val="00C93D34"/>
    <w:rsid w:val="00C94B61"/>
    <w:rsid w:val="00CB02DE"/>
    <w:rsid w:val="00CB23F5"/>
    <w:rsid w:val="00CB7C57"/>
    <w:rsid w:val="00CC1CF7"/>
    <w:rsid w:val="00CC2B03"/>
    <w:rsid w:val="00CC4616"/>
    <w:rsid w:val="00CC5EEC"/>
    <w:rsid w:val="00CD19DE"/>
    <w:rsid w:val="00CD260F"/>
    <w:rsid w:val="00CD624F"/>
    <w:rsid w:val="00CF14DB"/>
    <w:rsid w:val="00CF2F96"/>
    <w:rsid w:val="00CF56CE"/>
    <w:rsid w:val="00CF5E36"/>
    <w:rsid w:val="00D01B2D"/>
    <w:rsid w:val="00D1292B"/>
    <w:rsid w:val="00D13E7A"/>
    <w:rsid w:val="00D21205"/>
    <w:rsid w:val="00D26781"/>
    <w:rsid w:val="00D3023D"/>
    <w:rsid w:val="00D303F7"/>
    <w:rsid w:val="00D32B6E"/>
    <w:rsid w:val="00D34ADE"/>
    <w:rsid w:val="00D44CAE"/>
    <w:rsid w:val="00D5007C"/>
    <w:rsid w:val="00D50262"/>
    <w:rsid w:val="00D51D2E"/>
    <w:rsid w:val="00D53B69"/>
    <w:rsid w:val="00D6301C"/>
    <w:rsid w:val="00D63F5A"/>
    <w:rsid w:val="00D700C8"/>
    <w:rsid w:val="00D708FA"/>
    <w:rsid w:val="00D84510"/>
    <w:rsid w:val="00D93F61"/>
    <w:rsid w:val="00D9722B"/>
    <w:rsid w:val="00DA3F0A"/>
    <w:rsid w:val="00DA6024"/>
    <w:rsid w:val="00DB608B"/>
    <w:rsid w:val="00DC3C96"/>
    <w:rsid w:val="00DE33C2"/>
    <w:rsid w:val="00DE4365"/>
    <w:rsid w:val="00DF79EE"/>
    <w:rsid w:val="00E03446"/>
    <w:rsid w:val="00E035AF"/>
    <w:rsid w:val="00E056B0"/>
    <w:rsid w:val="00E07E75"/>
    <w:rsid w:val="00E100FE"/>
    <w:rsid w:val="00E13AE1"/>
    <w:rsid w:val="00E23963"/>
    <w:rsid w:val="00E36101"/>
    <w:rsid w:val="00E363E8"/>
    <w:rsid w:val="00E467E1"/>
    <w:rsid w:val="00E47D01"/>
    <w:rsid w:val="00E50E59"/>
    <w:rsid w:val="00E5168F"/>
    <w:rsid w:val="00E52165"/>
    <w:rsid w:val="00E5615F"/>
    <w:rsid w:val="00E62203"/>
    <w:rsid w:val="00E82628"/>
    <w:rsid w:val="00E83793"/>
    <w:rsid w:val="00E84101"/>
    <w:rsid w:val="00EA636B"/>
    <w:rsid w:val="00EA7EE5"/>
    <w:rsid w:val="00EB31D3"/>
    <w:rsid w:val="00EC1229"/>
    <w:rsid w:val="00EC28B8"/>
    <w:rsid w:val="00EE0299"/>
    <w:rsid w:val="00EE32FE"/>
    <w:rsid w:val="00EE464C"/>
    <w:rsid w:val="00EF025A"/>
    <w:rsid w:val="00EF3E96"/>
    <w:rsid w:val="00F009B6"/>
    <w:rsid w:val="00F119EF"/>
    <w:rsid w:val="00F12B1C"/>
    <w:rsid w:val="00F15F3E"/>
    <w:rsid w:val="00F17335"/>
    <w:rsid w:val="00F24563"/>
    <w:rsid w:val="00F40F77"/>
    <w:rsid w:val="00F44ED4"/>
    <w:rsid w:val="00F46B16"/>
    <w:rsid w:val="00F63247"/>
    <w:rsid w:val="00F65F39"/>
    <w:rsid w:val="00F74B5D"/>
    <w:rsid w:val="00F76B6A"/>
    <w:rsid w:val="00F81E8F"/>
    <w:rsid w:val="00F83FB0"/>
    <w:rsid w:val="00F93F28"/>
    <w:rsid w:val="00F959D5"/>
    <w:rsid w:val="00FA6592"/>
    <w:rsid w:val="00FB22C4"/>
    <w:rsid w:val="00FC00A2"/>
    <w:rsid w:val="00FC77FE"/>
    <w:rsid w:val="00FE2602"/>
    <w:rsid w:val="00FF1544"/>
    <w:rsid w:val="00FF28D3"/>
    <w:rsid w:val="00FF4863"/>
    <w:rsid w:val="00FF795D"/>
    <w:rsid w:val="03533D87"/>
    <w:rsid w:val="43B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2E4187"/>
  <w14:defaultImageDpi w14:val="32767"/>
  <w15:chartTrackingRefBased/>
  <w15:docId w15:val="{8F14E088-8CDE-44CC-9469-7B684E7E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01"/>
    <w:pPr>
      <w:spacing w:before="120" w:after="12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65509"/>
    <w:pPr>
      <w:spacing w:before="0"/>
      <w:outlineLvl w:val="1"/>
    </w:pPr>
    <w:rPr>
      <w:b w:val="0"/>
      <w:caps w:val="0"/>
      <w:sz w:val="9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5EF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5EF"/>
    <w:pPr>
      <w:keepNext/>
      <w:keepLines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F959D5"/>
    <w:pPr>
      <w:spacing w:before="480"/>
      <w:jc w:val="center"/>
    </w:pPr>
    <w:rPr>
      <w:rFonts w:asciiTheme="minorHAnsi" w:hAnsiTheme="minorHAnsi" w:cstheme="minorHAnsi"/>
      <w:b w:val="0"/>
      <w:bCs/>
      <w:caps w:val="0"/>
      <w:color w:val="313E48"/>
      <w:sz w:val="40"/>
      <w:szCs w:val="40"/>
    </w:rPr>
  </w:style>
  <w:style w:type="paragraph" w:customStyle="1" w:styleId="BodyCopy">
    <w:name w:val="Body Copy"/>
    <w:next w:val="Normal"/>
    <w:qFormat/>
    <w:rsid w:val="003575EF"/>
    <w:pPr>
      <w:spacing w:before="40" w:after="120"/>
    </w:pPr>
    <w:rPr>
      <w:rFonts w:ascii="Calibri Light" w:hAnsi="Calibri Light" w:cs="Calibri Light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F7C26"/>
    <w:pPr>
      <w:spacing w:before="240"/>
    </w:pPr>
    <w:rPr>
      <w:rFonts w:cstheme="majorHAnsi"/>
      <w:b/>
      <w:bCs/>
      <w:caps/>
      <w:color w:val="313E48"/>
      <w:sz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 w:val="0"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771669"/>
    <w:pPr>
      <w:spacing w:before="120" w:after="120"/>
    </w:pPr>
    <w:rPr>
      <w:rFonts w:asciiTheme="minorHAnsi" w:hAnsiTheme="minorHAnsi" w:cstheme="minorHAnsi"/>
      <w:b w:val="0"/>
      <w:bCs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D32B6E"/>
    <w:pPr>
      <w:numPr>
        <w:numId w:val="1"/>
      </w:numPr>
      <w:ind w:left="641" w:hanging="357"/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D32B6E"/>
    <w:pPr>
      <w:numPr>
        <w:numId w:val="4"/>
      </w:numPr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71669"/>
    <w:pPr>
      <w:spacing w:before="0"/>
    </w:pPr>
    <w:rPr>
      <w:rFonts w:asciiTheme="minorHAnsi" w:hAnsiTheme="minorHAnsi" w:cstheme="minorHAnsi"/>
      <w:b/>
      <w:bCs/>
      <w:sz w:val="20"/>
    </w:rPr>
  </w:style>
  <w:style w:type="paragraph" w:customStyle="1" w:styleId="TableBodyCopy">
    <w:name w:val="Table Body Copy"/>
    <w:basedOn w:val="Normal"/>
    <w:next w:val="Normal"/>
    <w:qFormat/>
    <w:rsid w:val="009D13AB"/>
    <w:pPr>
      <w:spacing w:before="0" w:after="0"/>
    </w:pPr>
    <w:rPr>
      <w:sz w:val="20"/>
    </w:r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47763B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04573"/>
    <w:rPr>
      <w:rFonts w:asciiTheme="majorHAnsi" w:eastAsiaTheme="majorEastAsia" w:hAnsiTheme="majorHAnsi" w:cstheme="majorBidi"/>
      <w:b/>
      <w:cap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65509"/>
    <w:rPr>
      <w:rFonts w:asciiTheme="majorHAnsi" w:eastAsiaTheme="majorEastAsia" w:hAnsiTheme="majorHAnsi" w:cstheme="majorBidi"/>
      <w:sz w:val="96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575EF"/>
    <w:rPr>
      <w:rFonts w:asciiTheme="majorHAnsi" w:eastAsiaTheme="majorEastAsia" w:hAnsiTheme="majorHAnsi" w:cstheme="majorBidi"/>
      <w:b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575EF"/>
    <w:rPr>
      <w:rFonts w:asciiTheme="majorHAnsi" w:eastAsiaTheme="majorEastAsia" w:hAnsiTheme="majorHAnsi" w:cstheme="majorBidi"/>
      <w:b/>
      <w:i/>
      <w:iCs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00837C" w:themeColor="accent1"/>
    </w:rPr>
  </w:style>
  <w:style w:type="table" w:styleId="ListTable4-Accent4">
    <w:name w:val="List Table 4 Accent 4"/>
    <w:basedOn w:val="TableNormal"/>
    <w:uiPriority w:val="49"/>
    <w:rsid w:val="004516E0"/>
    <w:tblPr>
      <w:tblStyleRowBandSize w:val="1"/>
      <w:tblStyleColBandSize w:val="1"/>
      <w:tblBorders>
        <w:top w:val="single" w:sz="4" w:space="0" w:color="F3CC79" w:themeColor="accent4" w:themeTint="99"/>
        <w:left w:val="single" w:sz="4" w:space="0" w:color="F3CC79" w:themeColor="accent4" w:themeTint="99"/>
        <w:bottom w:val="single" w:sz="4" w:space="0" w:color="F3CC79" w:themeColor="accent4" w:themeTint="99"/>
        <w:right w:val="single" w:sz="4" w:space="0" w:color="F3CC79" w:themeColor="accent4" w:themeTint="99"/>
        <w:insideH w:val="single" w:sz="4" w:space="0" w:color="F3CC7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AB21" w:themeColor="accent4"/>
          <w:left w:val="single" w:sz="4" w:space="0" w:color="EBAB21" w:themeColor="accent4"/>
          <w:bottom w:val="single" w:sz="4" w:space="0" w:color="EBAB21" w:themeColor="accent4"/>
          <w:right w:val="single" w:sz="4" w:space="0" w:color="EBAB21" w:themeColor="accent4"/>
          <w:insideH w:val="nil"/>
        </w:tcBorders>
        <w:shd w:val="clear" w:color="auto" w:fill="EBAB21" w:themeFill="accent4"/>
      </w:tcPr>
    </w:tblStylePr>
    <w:tblStylePr w:type="lastRow">
      <w:rPr>
        <w:b/>
        <w:bCs/>
      </w:rPr>
      <w:tblPr/>
      <w:tcPr>
        <w:tcBorders>
          <w:top w:val="double" w:sz="4" w:space="0" w:color="F3CC7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4" w:themeFillTint="33"/>
      </w:tcPr>
    </w:tblStylePr>
    <w:tblStylePr w:type="band1Horz">
      <w:tblPr/>
      <w:tcPr>
        <w:shd w:val="clear" w:color="auto" w:fill="FBEED2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E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E13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045E13"/>
    <w:rPr>
      <w:color w:val="2B579A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3575EF"/>
    <w:pPr>
      <w:numPr>
        <w:numId w:val="13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84101"/>
    <w:pPr>
      <w:spacing w:before="0" w:after="200" w:line="240" w:lineRule="auto"/>
    </w:pPr>
    <w:rPr>
      <w:i/>
      <w:iCs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E84101"/>
    <w:pPr>
      <w:spacing w:before="0" w:after="0" w:line="240" w:lineRule="auto"/>
      <w:ind w:left="660" w:hanging="220"/>
    </w:pPr>
  </w:style>
  <w:style w:type="paragraph" w:customStyle="1" w:styleId="Overview">
    <w:name w:val="Overview"/>
    <w:basedOn w:val="Normal"/>
    <w:qFormat/>
    <w:rsid w:val="00F24563"/>
    <w:pPr>
      <w:pBdr>
        <w:top w:val="single" w:sz="4" w:space="1" w:color="auto"/>
        <w:bottom w:val="single" w:sz="4" w:space="1" w:color="auto"/>
      </w:pBdr>
      <w:shd w:val="clear" w:color="auto" w:fill="D6E8D2" w:themeFill="accent2" w:themeFillTint="33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13E7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00CEB"/>
    <w:rPr>
      <w:color w:val="034A9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C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4586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2069BA"/>
    <w:rPr>
      <w:b/>
      <w:bCs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numbered,列出段落,列出段落1"/>
    <w:basedOn w:val="Normal"/>
    <w:link w:val="ListParagraphChar"/>
    <w:uiPriority w:val="34"/>
    <w:qFormat/>
    <w:rsid w:val="00467C2E"/>
    <w:pPr>
      <w:spacing w:line="240" w:lineRule="auto"/>
      <w:ind w:left="720"/>
      <w:contextualSpacing/>
    </w:pPr>
    <w:rPr>
      <w:rFonts w:eastAsia="Calibri Light"/>
      <w:color w:val="313E48" w:themeColor="text1"/>
      <w:sz w:val="24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basedOn w:val="DefaultParagraphFont"/>
    <w:link w:val="ListParagraph"/>
    <w:uiPriority w:val="34"/>
    <w:qFormat/>
    <w:locked/>
    <w:rsid w:val="00467C2E"/>
    <w:rPr>
      <w:rFonts w:eastAsia="Calibri Light"/>
      <w:color w:val="313E48" w:themeColor="text1"/>
      <w:sz w:val="24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26D8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fat.gov.au/international-relations/themes/climate-change/Pages/climate-change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FAT Colour palette">
      <a:dk1>
        <a:srgbClr val="313E48"/>
      </a:dk1>
      <a:lt1>
        <a:sysClr val="window" lastClr="FFFFFF"/>
      </a:lt1>
      <a:dk2>
        <a:srgbClr val="3A586E"/>
      </a:dk2>
      <a:lt2>
        <a:srgbClr val="CFD3D3"/>
      </a:lt2>
      <a:accent1>
        <a:srgbClr val="00837C"/>
      </a:accent1>
      <a:accent2>
        <a:srgbClr val="47763B"/>
      </a:accent2>
      <a:accent3>
        <a:srgbClr val="AA5739"/>
      </a:accent3>
      <a:accent4>
        <a:srgbClr val="EBAB21"/>
      </a:accent4>
      <a:accent5>
        <a:srgbClr val="065157"/>
      </a:accent5>
      <a:accent6>
        <a:srgbClr val="014429"/>
      </a:accent6>
      <a:hlink>
        <a:srgbClr val="034A90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D63B06336DD48B4944551E1A7B4D8" ma:contentTypeVersion="17" ma:contentTypeDescription="Create a new document." ma:contentTypeScope="" ma:versionID="c1a333d4e903e34c23f0605c9024b49d">
  <xsd:schema xmlns:xsd="http://www.w3.org/2001/XMLSchema" xmlns:xs="http://www.w3.org/2001/XMLSchema" xmlns:p="http://schemas.microsoft.com/office/2006/metadata/properties" xmlns:ns2="99303871-8934-4198-a088-14ac5c5d1c31" xmlns:ns3="6f2ae4e0-94e8-4b28-8f95-861d59f7ae70" targetNamespace="http://schemas.microsoft.com/office/2006/metadata/properties" ma:root="true" ma:fieldsID="50b6f57787fb9933e749b1241302e2ad" ns2:_="" ns3:_="">
    <xsd:import namespace="99303871-8934-4198-a088-14ac5c5d1c31"/>
    <xsd:import namespace="6f2ae4e0-94e8-4b28-8f95-861d59f7a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03871-8934-4198-a088-14ac5c5d1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ae4e0-94e8-4b28-8f95-861d59f7a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809fa2-c2da-453f-9c3e-eead0055a1b0}" ma:internalName="TaxCatchAll" ma:showField="CatchAllData" ma:web="6f2ae4e0-94e8-4b28-8f95-861d59f7a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ae4e0-94e8-4b28-8f95-861d59f7ae70" xsi:nil="true"/>
    <lcf76f155ced4ddcb4097134ff3c332f xmlns="99303871-8934-4198-a088-14ac5c5d1c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0618DC-A08C-4C5C-9A07-FABF5202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BFBB6-C104-4BD2-9225-45D6F36EB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03871-8934-4198-a088-14ac5c5d1c31"/>
    <ds:schemaRef ds:uri="6f2ae4e0-94e8-4b28-8f95-861d59f7a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9F171-59A6-4022-A46D-27C25069926A}">
  <ds:schemaRefs>
    <ds:schemaRef ds:uri="http://schemas.microsoft.com/office/2006/metadata/properties"/>
    <ds:schemaRef ds:uri="http://schemas.microsoft.com/office/infopath/2007/PartnerControls"/>
    <ds:schemaRef ds:uri="6f2ae4e0-94e8-4b28-8f95-861d59f7ae70"/>
    <ds:schemaRef ds:uri="99303871-8934-4198-a088-14ac5c5d1c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513</Words>
  <Characters>3057</Characters>
  <Application>Microsoft Office Word</Application>
  <DocSecurity>0</DocSecurity>
  <Lines>117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[Country] Development Coorporation Facsheet 2025-26</vt:lpstr>
    </vt:vector>
  </TitlesOfParts>
  <Company/>
  <LinksUpToDate>false</LinksUpToDate>
  <CharactersWithSpaces>3462</CharactersWithSpaces>
  <SharedDoc>false</SharedDoc>
  <HLinks>
    <vt:vector size="12" baseType="variant"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https://dfat.gov.au/international-relations/themes/climate-change/Pages/climate-change.aspx</vt:lpwstr>
      </vt:variant>
      <vt:variant>
        <vt:lpwstr/>
      </vt:variant>
      <vt:variant>
        <vt:i4>6094969</vt:i4>
      </vt:variant>
      <vt:variant>
        <vt:i4>0</vt:i4>
      </vt:variant>
      <vt:variant>
        <vt:i4>0</vt:i4>
      </vt:variant>
      <vt:variant>
        <vt:i4>5</vt:i4>
      </vt:variant>
      <vt:variant>
        <vt:lpwstr>mailto:Semele.Haynes@dfat.gov.au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Change Development Coorporation Facsheet 2025-26</dc:title>
  <dc:subject>Development Coorporation Facsheet 2025-26</dc:subject>
  <dc:creator>Department of Foreign Affairs and Trade</dc:creator>
  <cp:keywords>International development; development coorperation; DFAT, Australian Aid; Australian Department of Foreign Affairs and Trade; ODA; Australian Government [SEC=OFFICIAL]</cp:keywords>
  <dc:description/>
  <cp:lastModifiedBy>Linda Roche</cp:lastModifiedBy>
  <cp:revision>29</cp:revision>
  <dcterms:created xsi:type="dcterms:W3CDTF">2025-05-07T02:51:00Z</dcterms:created>
  <dcterms:modified xsi:type="dcterms:W3CDTF">2025-05-16T04:35:00Z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_Qualifier">
    <vt:lpwstr/>
  </property>
  <property fmtid="{D5CDD505-2E9C-101B-9397-08002B2CF9AE}" pid="5" name="PM_DisplayValueSecClassificationWithQualifier">
    <vt:lpwstr>OFFICIAL</vt:lpwstr>
  </property>
  <property fmtid="{D5CDD505-2E9C-101B-9397-08002B2CF9AE}" pid="6" name="PM_InsertionValue">
    <vt:lpwstr>OFFICIAL</vt:lpwstr>
  </property>
  <property fmtid="{D5CDD505-2E9C-101B-9397-08002B2CF9AE}" pid="7" name="PM_Originating_FileId">
    <vt:lpwstr>A04407B03FB3406E91B16F76B50D491D</vt:lpwstr>
  </property>
  <property fmtid="{D5CDD505-2E9C-101B-9397-08002B2CF9AE}" pid="8" name="PM_ProtectiveMarkingValue_Footer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2023-02-15T22:12:19Z</vt:lpwstr>
  </property>
  <property fmtid="{D5CDD505-2E9C-101B-9397-08002B2CF9AE}" pid="11" name="PM_ProtectiveMarkingImage_Footer">
    <vt:lpwstr>C:\Program Files\Common Files\janusNET Shared\janusSEAL\Images\DocumentSlashBlue.png</vt:lpwstr>
  </property>
  <property fmtid="{D5CDD505-2E9C-101B-9397-08002B2CF9AE}" pid="12" name="PM_Namespace">
    <vt:lpwstr>gov.au</vt:lpwstr>
  </property>
  <property fmtid="{D5CDD505-2E9C-101B-9397-08002B2CF9AE}" pid="13" name="PM_Version">
    <vt:lpwstr>2018.4</vt:lpwstr>
  </property>
  <property fmtid="{D5CDD505-2E9C-101B-9397-08002B2CF9AE}" pid="14" name="PM_Note">
    <vt:lpwstr/>
  </property>
  <property fmtid="{D5CDD505-2E9C-101B-9397-08002B2CF9AE}" pid="15" name="PM_Markers">
    <vt:lpwstr/>
  </property>
  <property fmtid="{D5CDD505-2E9C-101B-9397-08002B2CF9AE}" pid="16" name="PM_Hash_Version">
    <vt:lpwstr>2022.1</vt:lpwstr>
  </property>
  <property fmtid="{D5CDD505-2E9C-101B-9397-08002B2CF9AE}" pid="17" name="PM_SecurityClassification_Prev">
    <vt:lpwstr>OFFICIAL</vt:lpwstr>
  </property>
  <property fmtid="{D5CDD505-2E9C-101B-9397-08002B2CF9AE}" pid="18" name="PM_Qualifier_Prev">
    <vt:lpwstr/>
  </property>
  <property fmtid="{D5CDD505-2E9C-101B-9397-08002B2CF9AE}" pid="19" name="PM_Display">
    <vt:lpwstr>OFFICIAL</vt:lpwstr>
  </property>
  <property fmtid="{D5CDD505-2E9C-101B-9397-08002B2CF9AE}" pid="20" name="PMUuid">
    <vt:lpwstr>v=2022.2;d=gov.au;g=46DD6D7C-8107-577B-BC6E-F348953B2E44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_Caveats_Count">
    <vt:lpwstr>0</vt:lpwstr>
  </property>
  <property fmtid="{D5CDD505-2E9C-101B-9397-08002B2CF9AE}" pid="23" name="MediaServiceImageTags">
    <vt:lpwstr/>
  </property>
  <property fmtid="{D5CDD505-2E9C-101B-9397-08002B2CF9AE}" pid="24" name="ContentTypeId">
    <vt:lpwstr>0x010100D6BD63B06336DD48B4944551E1A7B4D8</vt:lpwstr>
  </property>
  <property fmtid="{D5CDD505-2E9C-101B-9397-08002B2CF9AE}" pid="25" name="PM_Originator_Hash_SHA1">
    <vt:lpwstr>4DFB2A45D0ABC223771DA158D4192358D096AA7E</vt:lpwstr>
  </property>
  <property fmtid="{D5CDD505-2E9C-101B-9397-08002B2CF9AE}" pid="26" name="PM_OriginatorUserAccountName_SHA256">
    <vt:lpwstr>2FBBEB0D07DA66FB32ADEBC0EE9E9C465FDB83D3B7358F7A76537B8BF5FB863E</vt:lpwstr>
  </property>
  <property fmtid="{D5CDD505-2E9C-101B-9397-08002B2CF9AE}" pid="27" name="PMHMAC">
    <vt:lpwstr>v=2022.1;a=SHA256;h=93EAAF216ED509AABEC702D20BD5EAB39E938679F9B81B1A6B5FCD3AD872FE2C</vt:lpwstr>
  </property>
  <property fmtid="{D5CDD505-2E9C-101B-9397-08002B2CF9AE}" pid="28" name="PM_Hash_Salt_Prev">
    <vt:lpwstr>DED8E5620C2FA3B95D202827A53CB998</vt:lpwstr>
  </property>
  <property fmtid="{D5CDD505-2E9C-101B-9397-08002B2CF9AE}" pid="29" name="PM_Hash_Salt">
    <vt:lpwstr>A404F8DF8E2189308DA073A2E85ADC93</vt:lpwstr>
  </property>
  <property fmtid="{D5CDD505-2E9C-101B-9397-08002B2CF9AE}" pid="30" name="PM_Hash_SHA1">
    <vt:lpwstr>951188E644B23BE104BBC15B98F48A72155F8C00</vt:lpwstr>
  </property>
</Properties>
</file>