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B87B" w14:textId="77777777" w:rsidR="00850BB5" w:rsidRPr="00FF2A2F" w:rsidRDefault="00C021B1">
      <w:pPr>
        <w:pStyle w:val="TOCHeading"/>
        <w:rPr>
          <w:caps w:val="0"/>
          <w:color w:val="auto"/>
          <w:sz w:val="32"/>
        </w:rPr>
      </w:pPr>
      <w:bookmarkStart w:id="0" w:name="_Hlk209192577"/>
      <w:bookmarkStart w:id="1" w:name="_Toc214543658"/>
      <w:r w:rsidRPr="00FF2A2F">
        <w:rPr>
          <w:caps w:val="0"/>
          <w:color w:val="auto"/>
          <w:sz w:val="32"/>
          <w:lang w:val="en-US"/>
        </w:rPr>
        <w:t>Design document for</w:t>
      </w:r>
      <w:r w:rsidR="00850BB5" w:rsidRPr="00FF2A2F">
        <w:rPr>
          <w:caps w:val="0"/>
          <w:color w:val="auto"/>
          <w:sz w:val="32"/>
          <w:lang w:val="en-US"/>
        </w:rPr>
        <w:t xml:space="preserve"> </w:t>
      </w:r>
      <w:r w:rsidR="003A599B" w:rsidRPr="00FF2A2F">
        <w:rPr>
          <w:color w:val="auto"/>
          <w:sz w:val="32"/>
          <w:lang w:val="en-US"/>
        </w:rPr>
        <w:t>Tala kei Kapa</w:t>
      </w:r>
      <w:bookmarkEnd w:id="0"/>
      <w:r w:rsidR="00D23AAD" w:rsidRPr="00FF2A2F">
        <w:rPr>
          <w:color w:val="auto"/>
          <w:sz w:val="32"/>
          <w:lang w:val="en-US"/>
        </w:rPr>
        <w:t xml:space="preserve">: </w:t>
      </w:r>
      <w:r w:rsidR="3CFA4FE9" w:rsidRPr="00FF2A2F">
        <w:rPr>
          <w:caps w:val="0"/>
          <w:color w:val="auto"/>
          <w:sz w:val="32"/>
        </w:rPr>
        <w:t>Prepare</w:t>
      </w:r>
      <w:r w:rsidR="003A599B" w:rsidRPr="00FF2A2F">
        <w:rPr>
          <w:caps w:val="0"/>
          <w:color w:val="auto"/>
          <w:sz w:val="32"/>
        </w:rPr>
        <w:t>, Respond, Recover</w:t>
      </w:r>
      <w:bookmarkEnd w:id="1"/>
    </w:p>
    <w:sdt>
      <w:sdtPr>
        <w:rPr>
          <w:rFonts w:asciiTheme="minorHAnsi" w:eastAsiaTheme="minorEastAsia" w:hAnsiTheme="minorHAnsi" w:cstheme="minorBidi"/>
          <w:b w:val="0"/>
          <w:bCs w:val="0"/>
          <w:caps w:val="0"/>
          <w:color w:val="auto"/>
          <w:sz w:val="22"/>
          <w:szCs w:val="22"/>
        </w:rPr>
        <w:id w:val="-1149892166"/>
        <w:docPartObj>
          <w:docPartGallery w:val="Table of Contents"/>
          <w:docPartUnique/>
        </w:docPartObj>
      </w:sdtPr>
      <w:sdtEndPr/>
      <w:sdtContent>
        <w:p w14:paraId="3AF6454F" w14:textId="21740E9A" w:rsidR="00FA35CA" w:rsidRPr="00FF2A2F" w:rsidRDefault="001875B4" w:rsidP="0037381A">
          <w:pPr>
            <w:pStyle w:val="Heading1"/>
            <w:rPr>
              <w:rFonts w:eastAsiaTheme="minorEastAsia"/>
              <w:b w:val="0"/>
              <w:caps w:val="0"/>
              <w:noProof/>
              <w:color w:val="auto"/>
              <w:kern w:val="2"/>
              <w:sz w:val="24"/>
              <w:szCs w:val="24"/>
              <w:lang w:val="en-AU" w:eastAsia="en-AU"/>
              <w14:ligatures w14:val="standardContextual"/>
            </w:rPr>
          </w:pPr>
          <w:r w:rsidRPr="00FF2A2F">
            <w:rPr>
              <w:color w:val="auto"/>
            </w:rPr>
            <w:t>Table of Contents</w:t>
          </w:r>
          <w:r w:rsidRPr="00FF2A2F">
            <w:rPr>
              <w:bCs w:val="0"/>
              <w:color w:val="auto"/>
              <w:sz w:val="28"/>
            </w:rPr>
            <w:fldChar w:fldCharType="begin"/>
          </w:r>
          <w:r w:rsidRPr="00FF2A2F">
            <w:rPr>
              <w:color w:val="auto"/>
            </w:rPr>
            <w:instrText xml:space="preserve"> TOC \o "1-3" \h \z \u </w:instrText>
          </w:r>
          <w:r w:rsidRPr="00FF2A2F">
            <w:rPr>
              <w:bCs w:val="0"/>
              <w:color w:val="auto"/>
              <w:sz w:val="28"/>
            </w:rPr>
            <w:fldChar w:fldCharType="separate"/>
          </w:r>
        </w:p>
        <w:p w14:paraId="14CDAF69" w14:textId="04624ABB" w:rsidR="00FA35CA" w:rsidRPr="00FF2A2F" w:rsidRDefault="00FA35CA">
          <w:pPr>
            <w:pStyle w:val="TOC2"/>
            <w:tabs>
              <w:tab w:val="right" w:pos="9628"/>
            </w:tabs>
            <w:rPr>
              <w:rFonts w:eastAsiaTheme="minorEastAsia"/>
              <w:noProof/>
              <w:color w:val="auto"/>
              <w:kern w:val="2"/>
              <w:sz w:val="24"/>
              <w:szCs w:val="24"/>
              <w:lang w:val="en-AU" w:eastAsia="en-AU"/>
              <w14:ligatures w14:val="standardContextual"/>
            </w:rPr>
          </w:pPr>
          <w:hyperlink w:anchor="_Toc214543659" w:history="1">
            <w:r w:rsidRPr="00FF2A2F">
              <w:rPr>
                <w:rStyle w:val="Hyperlink"/>
                <w:noProof/>
              </w:rPr>
              <w:t>A: Executive Summary</w:t>
            </w:r>
            <w:r w:rsidRPr="00FF2A2F">
              <w:rPr>
                <w:noProof/>
                <w:webHidden/>
                <w:color w:val="auto"/>
              </w:rPr>
              <w:tab/>
            </w:r>
            <w:r w:rsidRPr="00FF2A2F">
              <w:rPr>
                <w:noProof/>
                <w:webHidden/>
                <w:color w:val="auto"/>
              </w:rPr>
              <w:fldChar w:fldCharType="begin"/>
            </w:r>
            <w:r w:rsidRPr="00FF2A2F">
              <w:rPr>
                <w:noProof/>
                <w:webHidden/>
                <w:color w:val="auto"/>
              </w:rPr>
              <w:instrText xml:space="preserve"> PAGEREF _Toc214543659 \h </w:instrText>
            </w:r>
            <w:r w:rsidRPr="00FF2A2F">
              <w:rPr>
                <w:noProof/>
                <w:webHidden/>
                <w:color w:val="auto"/>
              </w:rPr>
            </w:r>
            <w:r w:rsidRPr="00FF2A2F">
              <w:rPr>
                <w:noProof/>
                <w:webHidden/>
                <w:color w:val="auto"/>
              </w:rPr>
              <w:fldChar w:fldCharType="separate"/>
            </w:r>
            <w:r w:rsidR="003576B8" w:rsidRPr="00FF2A2F">
              <w:rPr>
                <w:noProof/>
                <w:webHidden/>
                <w:color w:val="auto"/>
              </w:rPr>
              <w:t>5</w:t>
            </w:r>
            <w:r w:rsidRPr="00FF2A2F">
              <w:rPr>
                <w:noProof/>
                <w:webHidden/>
                <w:color w:val="auto"/>
              </w:rPr>
              <w:fldChar w:fldCharType="end"/>
            </w:r>
          </w:hyperlink>
        </w:p>
        <w:p w14:paraId="31CEFC1A" w14:textId="39771BFC" w:rsidR="00FA35CA" w:rsidRPr="00FF2A2F" w:rsidRDefault="00FA35CA">
          <w:pPr>
            <w:pStyle w:val="TOC2"/>
            <w:tabs>
              <w:tab w:val="right" w:pos="9628"/>
            </w:tabs>
            <w:rPr>
              <w:rFonts w:eastAsiaTheme="minorEastAsia"/>
              <w:noProof/>
              <w:color w:val="auto"/>
              <w:kern w:val="2"/>
              <w:sz w:val="24"/>
              <w:szCs w:val="24"/>
              <w:lang w:val="en-AU" w:eastAsia="en-AU"/>
              <w14:ligatures w14:val="standardContextual"/>
            </w:rPr>
          </w:pPr>
          <w:hyperlink w:anchor="_Toc214543660" w:history="1">
            <w:r w:rsidRPr="00FF2A2F">
              <w:rPr>
                <w:rStyle w:val="Hyperlink"/>
                <w:noProof/>
              </w:rPr>
              <w:t>B: Development Context and Situational Analysis</w:t>
            </w:r>
            <w:r w:rsidRPr="00FF2A2F">
              <w:rPr>
                <w:noProof/>
                <w:webHidden/>
                <w:color w:val="auto"/>
              </w:rPr>
              <w:tab/>
            </w:r>
            <w:r w:rsidRPr="00FF2A2F">
              <w:rPr>
                <w:noProof/>
                <w:webHidden/>
                <w:color w:val="auto"/>
              </w:rPr>
              <w:fldChar w:fldCharType="begin"/>
            </w:r>
            <w:r w:rsidRPr="00FF2A2F">
              <w:rPr>
                <w:noProof/>
                <w:webHidden/>
                <w:color w:val="auto"/>
              </w:rPr>
              <w:instrText xml:space="preserve"> PAGEREF _Toc214543660 \h </w:instrText>
            </w:r>
            <w:r w:rsidRPr="00FF2A2F">
              <w:rPr>
                <w:noProof/>
                <w:webHidden/>
                <w:color w:val="auto"/>
              </w:rPr>
            </w:r>
            <w:r w:rsidRPr="00FF2A2F">
              <w:rPr>
                <w:noProof/>
                <w:webHidden/>
                <w:color w:val="auto"/>
              </w:rPr>
              <w:fldChar w:fldCharType="separate"/>
            </w:r>
            <w:r w:rsidR="003576B8" w:rsidRPr="00FF2A2F">
              <w:rPr>
                <w:noProof/>
                <w:webHidden/>
                <w:color w:val="auto"/>
              </w:rPr>
              <w:t>8</w:t>
            </w:r>
            <w:r w:rsidRPr="00FF2A2F">
              <w:rPr>
                <w:noProof/>
                <w:webHidden/>
                <w:color w:val="auto"/>
              </w:rPr>
              <w:fldChar w:fldCharType="end"/>
            </w:r>
          </w:hyperlink>
        </w:p>
        <w:p w14:paraId="6CAA4AAF" w14:textId="318ACBC9" w:rsidR="00FA35CA" w:rsidRPr="00FF2A2F" w:rsidRDefault="00FA35CA">
          <w:pPr>
            <w:pStyle w:val="TOC2"/>
            <w:tabs>
              <w:tab w:val="right" w:pos="9628"/>
            </w:tabs>
            <w:rPr>
              <w:rFonts w:eastAsiaTheme="minorEastAsia"/>
              <w:noProof/>
              <w:color w:val="auto"/>
              <w:kern w:val="2"/>
              <w:sz w:val="24"/>
              <w:szCs w:val="24"/>
              <w:lang w:val="en-AU" w:eastAsia="en-AU"/>
              <w14:ligatures w14:val="standardContextual"/>
            </w:rPr>
          </w:pPr>
          <w:hyperlink w:anchor="_Toc214543661" w:history="1">
            <w:r w:rsidRPr="00FF2A2F">
              <w:rPr>
                <w:rStyle w:val="Hyperlink"/>
                <w:noProof/>
              </w:rPr>
              <w:t>C: Strategic Intent and Rationale</w:t>
            </w:r>
            <w:r w:rsidRPr="00FF2A2F">
              <w:rPr>
                <w:noProof/>
                <w:webHidden/>
                <w:color w:val="auto"/>
              </w:rPr>
              <w:tab/>
            </w:r>
            <w:r w:rsidRPr="00FF2A2F">
              <w:rPr>
                <w:noProof/>
                <w:webHidden/>
                <w:color w:val="auto"/>
              </w:rPr>
              <w:fldChar w:fldCharType="begin"/>
            </w:r>
            <w:r w:rsidRPr="00FF2A2F">
              <w:rPr>
                <w:noProof/>
                <w:webHidden/>
                <w:color w:val="auto"/>
              </w:rPr>
              <w:instrText xml:space="preserve"> PAGEREF _Toc214543661 \h </w:instrText>
            </w:r>
            <w:r w:rsidRPr="00FF2A2F">
              <w:rPr>
                <w:noProof/>
                <w:webHidden/>
                <w:color w:val="auto"/>
              </w:rPr>
            </w:r>
            <w:r w:rsidRPr="00FF2A2F">
              <w:rPr>
                <w:noProof/>
                <w:webHidden/>
                <w:color w:val="auto"/>
              </w:rPr>
              <w:fldChar w:fldCharType="separate"/>
            </w:r>
            <w:r w:rsidR="003576B8" w:rsidRPr="00FF2A2F">
              <w:rPr>
                <w:noProof/>
                <w:webHidden/>
                <w:color w:val="auto"/>
              </w:rPr>
              <w:t>16</w:t>
            </w:r>
            <w:r w:rsidRPr="00FF2A2F">
              <w:rPr>
                <w:noProof/>
                <w:webHidden/>
                <w:color w:val="auto"/>
              </w:rPr>
              <w:fldChar w:fldCharType="end"/>
            </w:r>
          </w:hyperlink>
        </w:p>
        <w:p w14:paraId="5C000239" w14:textId="2C0AF4C3" w:rsidR="00FA35CA" w:rsidRPr="00FF2A2F" w:rsidRDefault="00FA35CA">
          <w:pPr>
            <w:pStyle w:val="TOC2"/>
            <w:tabs>
              <w:tab w:val="right" w:pos="9628"/>
            </w:tabs>
            <w:rPr>
              <w:rFonts w:eastAsiaTheme="minorEastAsia"/>
              <w:noProof/>
              <w:color w:val="auto"/>
              <w:kern w:val="2"/>
              <w:sz w:val="24"/>
              <w:szCs w:val="24"/>
              <w:lang w:val="en-AU" w:eastAsia="en-AU"/>
              <w14:ligatures w14:val="standardContextual"/>
            </w:rPr>
          </w:pPr>
          <w:hyperlink w:anchor="_Toc214543662" w:history="1">
            <w:r w:rsidRPr="00FF2A2F">
              <w:rPr>
                <w:rStyle w:val="Hyperlink"/>
                <w:noProof/>
              </w:rPr>
              <w:t>D: Proposed Outcomes and Investment Options</w:t>
            </w:r>
            <w:r w:rsidRPr="00FF2A2F">
              <w:rPr>
                <w:noProof/>
                <w:webHidden/>
                <w:color w:val="auto"/>
              </w:rPr>
              <w:tab/>
            </w:r>
            <w:r w:rsidRPr="00FF2A2F">
              <w:rPr>
                <w:noProof/>
                <w:webHidden/>
                <w:color w:val="auto"/>
              </w:rPr>
              <w:fldChar w:fldCharType="begin"/>
            </w:r>
            <w:r w:rsidRPr="00FF2A2F">
              <w:rPr>
                <w:noProof/>
                <w:webHidden/>
                <w:color w:val="auto"/>
              </w:rPr>
              <w:instrText xml:space="preserve"> PAGEREF _Toc214543662 \h </w:instrText>
            </w:r>
            <w:r w:rsidRPr="00FF2A2F">
              <w:rPr>
                <w:noProof/>
                <w:webHidden/>
                <w:color w:val="auto"/>
              </w:rPr>
            </w:r>
            <w:r w:rsidRPr="00FF2A2F">
              <w:rPr>
                <w:noProof/>
                <w:webHidden/>
                <w:color w:val="auto"/>
              </w:rPr>
              <w:fldChar w:fldCharType="separate"/>
            </w:r>
            <w:r w:rsidR="003576B8" w:rsidRPr="00FF2A2F">
              <w:rPr>
                <w:noProof/>
                <w:webHidden/>
                <w:color w:val="auto"/>
              </w:rPr>
              <w:t>17</w:t>
            </w:r>
            <w:r w:rsidRPr="00FF2A2F">
              <w:rPr>
                <w:noProof/>
                <w:webHidden/>
                <w:color w:val="auto"/>
              </w:rPr>
              <w:fldChar w:fldCharType="end"/>
            </w:r>
          </w:hyperlink>
        </w:p>
        <w:p w14:paraId="07623F38" w14:textId="6B7D898D" w:rsidR="00FA35CA" w:rsidRPr="00FF2A2F" w:rsidRDefault="00FA35CA">
          <w:pPr>
            <w:pStyle w:val="TOC2"/>
            <w:tabs>
              <w:tab w:val="right" w:pos="9628"/>
            </w:tabs>
            <w:rPr>
              <w:rFonts w:eastAsiaTheme="minorEastAsia"/>
              <w:noProof/>
              <w:color w:val="auto"/>
              <w:kern w:val="2"/>
              <w:sz w:val="24"/>
              <w:szCs w:val="24"/>
              <w:lang w:val="en-AU" w:eastAsia="en-AU"/>
              <w14:ligatures w14:val="standardContextual"/>
            </w:rPr>
          </w:pPr>
          <w:hyperlink w:anchor="_Toc214543663" w:history="1">
            <w:r w:rsidRPr="00FF2A2F">
              <w:rPr>
                <w:rStyle w:val="Hyperlink"/>
                <w:noProof/>
              </w:rPr>
              <w:t>E: Implementation Arrangements</w:t>
            </w:r>
            <w:r w:rsidRPr="00FF2A2F">
              <w:rPr>
                <w:noProof/>
                <w:webHidden/>
                <w:color w:val="auto"/>
              </w:rPr>
              <w:tab/>
            </w:r>
            <w:r w:rsidRPr="00FF2A2F">
              <w:rPr>
                <w:noProof/>
                <w:webHidden/>
                <w:color w:val="auto"/>
              </w:rPr>
              <w:fldChar w:fldCharType="begin"/>
            </w:r>
            <w:r w:rsidRPr="00FF2A2F">
              <w:rPr>
                <w:noProof/>
                <w:webHidden/>
                <w:color w:val="auto"/>
              </w:rPr>
              <w:instrText xml:space="preserve"> PAGEREF _Toc214543663 \h </w:instrText>
            </w:r>
            <w:r w:rsidRPr="00FF2A2F">
              <w:rPr>
                <w:noProof/>
                <w:webHidden/>
                <w:color w:val="auto"/>
              </w:rPr>
            </w:r>
            <w:r w:rsidRPr="00FF2A2F">
              <w:rPr>
                <w:noProof/>
                <w:webHidden/>
                <w:color w:val="auto"/>
              </w:rPr>
              <w:fldChar w:fldCharType="separate"/>
            </w:r>
            <w:r w:rsidR="003576B8" w:rsidRPr="00FF2A2F">
              <w:rPr>
                <w:noProof/>
                <w:webHidden/>
                <w:color w:val="auto"/>
              </w:rPr>
              <w:t>24</w:t>
            </w:r>
            <w:r w:rsidRPr="00FF2A2F">
              <w:rPr>
                <w:noProof/>
                <w:webHidden/>
                <w:color w:val="auto"/>
              </w:rPr>
              <w:fldChar w:fldCharType="end"/>
            </w:r>
          </w:hyperlink>
        </w:p>
        <w:p w14:paraId="5F1FFA25" w14:textId="4CFD1085" w:rsidR="00FA35CA" w:rsidRPr="00FF2A2F" w:rsidRDefault="00FA35CA">
          <w:pPr>
            <w:pStyle w:val="TOC2"/>
            <w:tabs>
              <w:tab w:val="right" w:pos="9628"/>
            </w:tabs>
            <w:rPr>
              <w:rFonts w:eastAsiaTheme="minorEastAsia"/>
              <w:noProof/>
              <w:color w:val="auto"/>
              <w:kern w:val="2"/>
              <w:sz w:val="24"/>
              <w:szCs w:val="24"/>
              <w:lang w:val="en-AU" w:eastAsia="en-AU"/>
              <w14:ligatures w14:val="standardContextual"/>
            </w:rPr>
          </w:pPr>
          <w:hyperlink w:anchor="_Toc214543664" w:history="1">
            <w:r w:rsidRPr="00FF2A2F">
              <w:rPr>
                <w:rStyle w:val="Hyperlink"/>
                <w:noProof/>
              </w:rPr>
              <w:t>F: Monitoring, Evaluation and Learning (MEL)</w:t>
            </w:r>
            <w:r w:rsidRPr="00FF2A2F">
              <w:rPr>
                <w:noProof/>
                <w:webHidden/>
                <w:color w:val="auto"/>
              </w:rPr>
              <w:tab/>
            </w:r>
            <w:r w:rsidRPr="00FF2A2F">
              <w:rPr>
                <w:noProof/>
                <w:webHidden/>
                <w:color w:val="auto"/>
              </w:rPr>
              <w:fldChar w:fldCharType="begin"/>
            </w:r>
            <w:r w:rsidRPr="00FF2A2F">
              <w:rPr>
                <w:noProof/>
                <w:webHidden/>
                <w:color w:val="auto"/>
              </w:rPr>
              <w:instrText xml:space="preserve"> PAGEREF _Toc214543664 \h </w:instrText>
            </w:r>
            <w:r w:rsidRPr="00FF2A2F">
              <w:rPr>
                <w:noProof/>
                <w:webHidden/>
                <w:color w:val="auto"/>
              </w:rPr>
            </w:r>
            <w:r w:rsidRPr="00FF2A2F">
              <w:rPr>
                <w:noProof/>
                <w:webHidden/>
                <w:color w:val="auto"/>
              </w:rPr>
              <w:fldChar w:fldCharType="separate"/>
            </w:r>
            <w:r w:rsidR="003576B8" w:rsidRPr="00FF2A2F">
              <w:rPr>
                <w:noProof/>
                <w:webHidden/>
                <w:color w:val="auto"/>
              </w:rPr>
              <w:t>27</w:t>
            </w:r>
            <w:r w:rsidRPr="00FF2A2F">
              <w:rPr>
                <w:noProof/>
                <w:webHidden/>
                <w:color w:val="auto"/>
              </w:rPr>
              <w:fldChar w:fldCharType="end"/>
            </w:r>
          </w:hyperlink>
        </w:p>
        <w:p w14:paraId="68CC3D1F" w14:textId="0DB98AD9" w:rsidR="00FA35CA" w:rsidRPr="00FF2A2F" w:rsidRDefault="00FA35CA">
          <w:pPr>
            <w:pStyle w:val="TOC2"/>
            <w:tabs>
              <w:tab w:val="right" w:pos="9628"/>
            </w:tabs>
            <w:rPr>
              <w:rFonts w:eastAsiaTheme="minorEastAsia"/>
              <w:noProof/>
              <w:color w:val="auto"/>
              <w:kern w:val="2"/>
              <w:sz w:val="24"/>
              <w:szCs w:val="24"/>
              <w:lang w:val="en-AU" w:eastAsia="en-AU"/>
              <w14:ligatures w14:val="standardContextual"/>
            </w:rPr>
          </w:pPr>
          <w:hyperlink w:anchor="_Toc214543665" w:history="1">
            <w:r w:rsidRPr="00FF2A2F">
              <w:rPr>
                <w:rStyle w:val="Hyperlink"/>
                <w:noProof/>
              </w:rPr>
              <w:t>G: Gender Equality, Disability Equity, Climate Change, and Other Cross-Cutting Issues</w:t>
            </w:r>
            <w:r w:rsidRPr="00FF2A2F">
              <w:rPr>
                <w:noProof/>
                <w:webHidden/>
                <w:color w:val="auto"/>
              </w:rPr>
              <w:tab/>
            </w:r>
            <w:r w:rsidRPr="00FF2A2F">
              <w:rPr>
                <w:noProof/>
                <w:webHidden/>
                <w:color w:val="auto"/>
              </w:rPr>
              <w:fldChar w:fldCharType="begin"/>
            </w:r>
            <w:r w:rsidRPr="00FF2A2F">
              <w:rPr>
                <w:noProof/>
                <w:webHidden/>
                <w:color w:val="auto"/>
              </w:rPr>
              <w:instrText xml:space="preserve"> PAGEREF _Toc214543665 \h </w:instrText>
            </w:r>
            <w:r w:rsidRPr="00FF2A2F">
              <w:rPr>
                <w:noProof/>
                <w:webHidden/>
                <w:color w:val="auto"/>
              </w:rPr>
            </w:r>
            <w:r w:rsidRPr="00FF2A2F">
              <w:rPr>
                <w:noProof/>
                <w:webHidden/>
                <w:color w:val="auto"/>
              </w:rPr>
              <w:fldChar w:fldCharType="separate"/>
            </w:r>
            <w:r w:rsidR="003576B8" w:rsidRPr="00FF2A2F">
              <w:rPr>
                <w:noProof/>
                <w:webHidden/>
                <w:color w:val="auto"/>
              </w:rPr>
              <w:t>30</w:t>
            </w:r>
            <w:r w:rsidRPr="00FF2A2F">
              <w:rPr>
                <w:noProof/>
                <w:webHidden/>
                <w:color w:val="auto"/>
              </w:rPr>
              <w:fldChar w:fldCharType="end"/>
            </w:r>
          </w:hyperlink>
        </w:p>
        <w:p w14:paraId="7E51CCBD" w14:textId="6BDD9268" w:rsidR="00FA35CA" w:rsidRPr="00FF2A2F" w:rsidRDefault="00FA35CA">
          <w:pPr>
            <w:pStyle w:val="TOC2"/>
            <w:tabs>
              <w:tab w:val="right" w:pos="9628"/>
            </w:tabs>
            <w:rPr>
              <w:rFonts w:eastAsiaTheme="minorEastAsia"/>
              <w:noProof/>
              <w:color w:val="auto"/>
              <w:kern w:val="2"/>
              <w:sz w:val="24"/>
              <w:szCs w:val="24"/>
              <w:lang w:val="en-AU" w:eastAsia="en-AU"/>
              <w14:ligatures w14:val="standardContextual"/>
            </w:rPr>
          </w:pPr>
          <w:hyperlink w:anchor="_Toc214543666" w:history="1">
            <w:r w:rsidRPr="00FF2A2F">
              <w:rPr>
                <w:rStyle w:val="Hyperlink"/>
                <w:noProof/>
              </w:rPr>
              <w:t>H: Budget and Resources</w:t>
            </w:r>
            <w:r w:rsidRPr="00FF2A2F">
              <w:rPr>
                <w:noProof/>
                <w:webHidden/>
                <w:color w:val="auto"/>
              </w:rPr>
              <w:tab/>
            </w:r>
            <w:r w:rsidRPr="00FF2A2F">
              <w:rPr>
                <w:noProof/>
                <w:webHidden/>
                <w:color w:val="auto"/>
              </w:rPr>
              <w:fldChar w:fldCharType="begin"/>
            </w:r>
            <w:r w:rsidRPr="00FF2A2F">
              <w:rPr>
                <w:noProof/>
                <w:webHidden/>
                <w:color w:val="auto"/>
              </w:rPr>
              <w:instrText xml:space="preserve"> PAGEREF _Toc214543666 \h </w:instrText>
            </w:r>
            <w:r w:rsidRPr="00FF2A2F">
              <w:rPr>
                <w:noProof/>
                <w:webHidden/>
                <w:color w:val="auto"/>
              </w:rPr>
            </w:r>
            <w:r w:rsidRPr="00FF2A2F">
              <w:rPr>
                <w:noProof/>
                <w:webHidden/>
                <w:color w:val="auto"/>
              </w:rPr>
              <w:fldChar w:fldCharType="separate"/>
            </w:r>
            <w:r w:rsidR="003576B8" w:rsidRPr="00FF2A2F">
              <w:rPr>
                <w:noProof/>
                <w:webHidden/>
                <w:color w:val="auto"/>
              </w:rPr>
              <w:t>33</w:t>
            </w:r>
            <w:r w:rsidRPr="00FF2A2F">
              <w:rPr>
                <w:noProof/>
                <w:webHidden/>
                <w:color w:val="auto"/>
              </w:rPr>
              <w:fldChar w:fldCharType="end"/>
            </w:r>
          </w:hyperlink>
        </w:p>
        <w:p w14:paraId="23285FE1" w14:textId="654685F2" w:rsidR="00FA35CA" w:rsidRPr="00FF2A2F" w:rsidRDefault="00FA35CA">
          <w:pPr>
            <w:pStyle w:val="TOC2"/>
            <w:tabs>
              <w:tab w:val="right" w:pos="9628"/>
            </w:tabs>
            <w:rPr>
              <w:rFonts w:eastAsiaTheme="minorEastAsia"/>
              <w:noProof/>
              <w:color w:val="auto"/>
              <w:kern w:val="2"/>
              <w:sz w:val="24"/>
              <w:szCs w:val="24"/>
              <w:lang w:val="en-AU" w:eastAsia="en-AU"/>
              <w14:ligatures w14:val="standardContextual"/>
            </w:rPr>
          </w:pPr>
          <w:hyperlink w:anchor="_Toc214543667" w:history="1">
            <w:r w:rsidRPr="00FF2A2F">
              <w:rPr>
                <w:rStyle w:val="Hyperlink"/>
                <w:noProof/>
              </w:rPr>
              <w:t>I: Procurement and Partnering</w:t>
            </w:r>
            <w:r w:rsidRPr="00FF2A2F">
              <w:rPr>
                <w:noProof/>
                <w:webHidden/>
                <w:color w:val="auto"/>
              </w:rPr>
              <w:tab/>
            </w:r>
            <w:r w:rsidRPr="00FF2A2F">
              <w:rPr>
                <w:noProof/>
                <w:webHidden/>
                <w:color w:val="auto"/>
              </w:rPr>
              <w:fldChar w:fldCharType="begin"/>
            </w:r>
            <w:r w:rsidRPr="00FF2A2F">
              <w:rPr>
                <w:noProof/>
                <w:webHidden/>
                <w:color w:val="auto"/>
              </w:rPr>
              <w:instrText xml:space="preserve"> PAGEREF _Toc214543667 \h </w:instrText>
            </w:r>
            <w:r w:rsidRPr="00FF2A2F">
              <w:rPr>
                <w:noProof/>
                <w:webHidden/>
                <w:color w:val="auto"/>
              </w:rPr>
            </w:r>
            <w:r w:rsidRPr="00FF2A2F">
              <w:rPr>
                <w:noProof/>
                <w:webHidden/>
                <w:color w:val="auto"/>
              </w:rPr>
              <w:fldChar w:fldCharType="separate"/>
            </w:r>
            <w:r w:rsidR="003576B8" w:rsidRPr="00FF2A2F">
              <w:rPr>
                <w:noProof/>
                <w:webHidden/>
                <w:color w:val="auto"/>
              </w:rPr>
              <w:t>34</w:t>
            </w:r>
            <w:r w:rsidRPr="00FF2A2F">
              <w:rPr>
                <w:noProof/>
                <w:webHidden/>
                <w:color w:val="auto"/>
              </w:rPr>
              <w:fldChar w:fldCharType="end"/>
            </w:r>
          </w:hyperlink>
        </w:p>
        <w:p w14:paraId="636E5F5B" w14:textId="0FF0364D" w:rsidR="001875B4" w:rsidRPr="00FF2A2F" w:rsidRDefault="00FA35CA" w:rsidP="00C021B1">
          <w:pPr>
            <w:pStyle w:val="TOC2"/>
            <w:tabs>
              <w:tab w:val="right" w:pos="9628"/>
            </w:tabs>
            <w:rPr>
              <w:rFonts w:eastAsiaTheme="minorEastAsia"/>
              <w:noProof/>
              <w:color w:val="auto"/>
              <w:kern w:val="2"/>
              <w:sz w:val="24"/>
              <w:szCs w:val="24"/>
              <w:lang w:val="en-AU" w:eastAsia="en-AU"/>
              <w14:ligatures w14:val="standardContextual"/>
            </w:rPr>
          </w:pPr>
          <w:hyperlink w:anchor="_Toc214543668" w:history="1">
            <w:r w:rsidRPr="00FF2A2F">
              <w:rPr>
                <w:rStyle w:val="Hyperlink"/>
                <w:noProof/>
              </w:rPr>
              <w:t>J: Risk Management and Safeguards</w:t>
            </w:r>
            <w:r w:rsidRPr="00FF2A2F">
              <w:rPr>
                <w:noProof/>
                <w:webHidden/>
                <w:color w:val="auto"/>
              </w:rPr>
              <w:tab/>
            </w:r>
            <w:r w:rsidRPr="00FF2A2F">
              <w:rPr>
                <w:noProof/>
                <w:webHidden/>
                <w:color w:val="auto"/>
              </w:rPr>
              <w:fldChar w:fldCharType="begin"/>
            </w:r>
            <w:r w:rsidRPr="00FF2A2F">
              <w:rPr>
                <w:noProof/>
                <w:webHidden/>
                <w:color w:val="auto"/>
              </w:rPr>
              <w:instrText xml:space="preserve"> PAGEREF _Toc214543668 \h </w:instrText>
            </w:r>
            <w:r w:rsidRPr="00FF2A2F">
              <w:rPr>
                <w:noProof/>
                <w:webHidden/>
                <w:color w:val="auto"/>
              </w:rPr>
            </w:r>
            <w:r w:rsidRPr="00FF2A2F">
              <w:rPr>
                <w:noProof/>
                <w:webHidden/>
                <w:color w:val="auto"/>
              </w:rPr>
              <w:fldChar w:fldCharType="separate"/>
            </w:r>
            <w:r w:rsidR="003576B8" w:rsidRPr="00FF2A2F">
              <w:rPr>
                <w:noProof/>
                <w:webHidden/>
                <w:color w:val="auto"/>
              </w:rPr>
              <w:t>34</w:t>
            </w:r>
            <w:r w:rsidRPr="00FF2A2F">
              <w:rPr>
                <w:noProof/>
                <w:webHidden/>
                <w:color w:val="auto"/>
              </w:rPr>
              <w:fldChar w:fldCharType="end"/>
            </w:r>
          </w:hyperlink>
          <w:r w:rsidR="001875B4" w:rsidRPr="00FF2A2F">
            <w:rPr>
              <w:b/>
              <w:bCs/>
              <w:noProof/>
              <w:color w:val="auto"/>
            </w:rPr>
            <w:fldChar w:fldCharType="end"/>
          </w:r>
        </w:p>
      </w:sdtContent>
    </w:sdt>
    <w:p w14:paraId="5C6B49AE" w14:textId="77777777" w:rsidR="00850BB5" w:rsidRPr="00FF2A2F" w:rsidRDefault="00850BB5" w:rsidP="002079EA">
      <w:pPr>
        <w:pStyle w:val="Heading6"/>
        <w:ind w:left="0" w:firstLine="0"/>
        <w:rPr>
          <w:color w:val="auto"/>
        </w:rPr>
      </w:pPr>
    </w:p>
    <w:p w14:paraId="5305F34D" w14:textId="6982DD28" w:rsidR="00D728B3" w:rsidRPr="00FF2A2F" w:rsidRDefault="00D728B3" w:rsidP="002079EA">
      <w:pPr>
        <w:pStyle w:val="Heading6"/>
        <w:ind w:left="0" w:firstLine="0"/>
        <w:rPr>
          <w:color w:val="auto"/>
          <w:szCs w:val="21"/>
        </w:rPr>
      </w:pPr>
      <w:r w:rsidRPr="00FF2A2F">
        <w:rPr>
          <w:color w:val="auto"/>
        </w:rPr>
        <w:t>Acro</w:t>
      </w:r>
      <w:r w:rsidR="004C7EE5" w:rsidRPr="00FF2A2F">
        <w:rPr>
          <w:color w:val="auto"/>
        </w:rPr>
        <w:t>nyms</w:t>
      </w:r>
    </w:p>
    <w:p w14:paraId="6F3A9FE1" w14:textId="5ADF61BF"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AHC</w:t>
      </w:r>
      <w:r w:rsidRPr="00FF2A2F">
        <w:rPr>
          <w:color w:val="auto"/>
        </w:rPr>
        <w:tab/>
      </w:r>
      <w:r w:rsidRPr="00FF2A2F">
        <w:rPr>
          <w:color w:val="auto"/>
        </w:rPr>
        <w:tab/>
      </w:r>
      <w:r w:rsidRPr="00FF2A2F">
        <w:rPr>
          <w:rFonts w:ascii="Calibri Light" w:hAnsi="Calibri Light" w:cs="Calibri Light"/>
          <w:color w:val="auto"/>
          <w:sz w:val="21"/>
          <w:szCs w:val="21"/>
        </w:rPr>
        <w:t>Australian High Commissio</w:t>
      </w:r>
      <w:r w:rsidR="5E86FF20" w:rsidRPr="00FF2A2F">
        <w:rPr>
          <w:rFonts w:ascii="Calibri Light" w:hAnsi="Calibri Light" w:cs="Calibri Light"/>
          <w:color w:val="auto"/>
          <w:sz w:val="21"/>
          <w:szCs w:val="21"/>
        </w:rPr>
        <w:t>n</w:t>
      </w:r>
    </w:p>
    <w:p w14:paraId="371466B6"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CEDAW</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Convention on the Elimination of All Forms of Discrimination Against Women</w:t>
      </w:r>
    </w:p>
    <w:p w14:paraId="65369C55" w14:textId="42E2A164" w:rsidR="00076A23" w:rsidRPr="00FF2A2F" w:rsidRDefault="00076A23"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CERD</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Convention on the Elimination of All Forms of Racial Discrimination</w:t>
      </w:r>
    </w:p>
    <w:p w14:paraId="24B52438" w14:textId="46B5BEEB"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CPR</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Commonwealth Procurement Rules</w:t>
      </w:r>
    </w:p>
    <w:p w14:paraId="0625BFB4" w14:textId="6E8DA2C1" w:rsidR="00FD129A" w:rsidRPr="00FF2A2F" w:rsidRDefault="00FD129A"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CPRD</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Convention on the Rights of People with Disabilities</w:t>
      </w:r>
    </w:p>
    <w:p w14:paraId="0D438793" w14:textId="456A11BE" w:rsidR="006812E7" w:rsidRPr="00FF2A2F" w:rsidRDefault="006812E7"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CRC</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Convention on the Rights of the Child</w:t>
      </w:r>
    </w:p>
    <w:p w14:paraId="543B327D" w14:textId="11376DBC"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CSFT</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Civil Society Forum of Tonga</w:t>
      </w:r>
    </w:p>
    <w:p w14:paraId="7E0CBD73" w14:textId="16797242"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CSO</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Civil Society Organisation</w:t>
      </w:r>
    </w:p>
    <w:p w14:paraId="49CCCF07" w14:textId="4C2100DA"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DAC</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Development Assistance Committee</w:t>
      </w:r>
    </w:p>
    <w:p w14:paraId="512F08E6"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DFAT</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Department of Foreign Affairs and Trade</w:t>
      </w:r>
    </w:p>
    <w:p w14:paraId="46A4C824" w14:textId="292A91D9" w:rsidR="006812E7" w:rsidRPr="00FF2A2F" w:rsidRDefault="006812E7"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DME</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Design, Monitoring and Evaluation</w:t>
      </w:r>
    </w:p>
    <w:p w14:paraId="147532BA" w14:textId="612A05D3"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 xml:space="preserve">DPP </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Development Partnership Plan</w:t>
      </w:r>
    </w:p>
    <w:p w14:paraId="6F27D4DF" w14:textId="242E613F"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DRM</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Disaster Risk Management</w:t>
      </w:r>
    </w:p>
    <w:p w14:paraId="661E5DE7"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EOPO</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End of Program Outcome</w:t>
      </w:r>
    </w:p>
    <w:p w14:paraId="36056087" w14:textId="22556F73"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ESS</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Environmental and Social Safeguard</w:t>
      </w:r>
    </w:p>
    <w:p w14:paraId="0754ED51" w14:textId="42A16625"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FTE</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Full Time Equivalent</w:t>
      </w:r>
    </w:p>
    <w:p w14:paraId="602100D5"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GEDSI</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Gender Equality, Disability and Social Inclusion</w:t>
      </w:r>
    </w:p>
    <w:p w14:paraId="0D307746" w14:textId="44D86B57" w:rsidR="008F4639" w:rsidRPr="00FF2A2F" w:rsidRDefault="008F4639"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GNI</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Gross National Income</w:t>
      </w:r>
    </w:p>
    <w:p w14:paraId="6D29E55C" w14:textId="3D9AB089"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GOT</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Government of Tonga</w:t>
      </w:r>
    </w:p>
    <w:p w14:paraId="4D0E8C0A" w14:textId="72735FFE" w:rsidR="00425BAE" w:rsidRPr="00FF2A2F" w:rsidRDefault="00425BAE"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HDI</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Human Development Index</w:t>
      </w:r>
    </w:p>
    <w:p w14:paraId="7B50EF88" w14:textId="4F368683"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HLC</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 xml:space="preserve">Humanitarian Logistics Capability </w:t>
      </w:r>
    </w:p>
    <w:p w14:paraId="76F3D042" w14:textId="772E809A" w:rsidR="001B6BC9" w:rsidRPr="00FF2A2F" w:rsidRDefault="001B6BC9"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HTHH</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 xml:space="preserve">Hunga Tonga-Hunga Ha’apai </w:t>
      </w:r>
      <w:r w:rsidR="00BA6916" w:rsidRPr="00FF2A2F">
        <w:rPr>
          <w:rFonts w:ascii="Calibri Light" w:hAnsi="Calibri Light" w:cs="Calibri Light"/>
          <w:color w:val="auto"/>
          <w:sz w:val="21"/>
          <w:szCs w:val="21"/>
        </w:rPr>
        <w:t>(Volcanic Eruption and Tsunami)</w:t>
      </w:r>
    </w:p>
    <w:p w14:paraId="4E1F1CA0" w14:textId="79D33783"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IDD</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Investment Design Document</w:t>
      </w:r>
    </w:p>
    <w:p w14:paraId="3656F386" w14:textId="37059A52" w:rsidR="00BA6916" w:rsidRPr="00FF2A2F" w:rsidRDefault="00BA6916"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IMR</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Investment Monitoring Report</w:t>
      </w:r>
    </w:p>
    <w:p w14:paraId="1A9A0C8E" w14:textId="6965A09C"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IO</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Intermediate Outcome</w:t>
      </w:r>
    </w:p>
    <w:p w14:paraId="22E062AD" w14:textId="0DF968F0" w:rsidR="00371668" w:rsidRPr="00FF2A2F" w:rsidRDefault="00371668" w:rsidP="002D3613">
      <w:pPr>
        <w:tabs>
          <w:tab w:val="left" w:pos="1418"/>
        </w:tabs>
        <w:spacing w:after="0" w:line="240" w:lineRule="auto"/>
        <w:ind w:left="1418" w:hanging="1418"/>
        <w:rPr>
          <w:rFonts w:ascii="Calibri Light" w:hAnsi="Calibri Light" w:cs="Calibri Light"/>
          <w:color w:val="auto"/>
          <w:sz w:val="21"/>
          <w:szCs w:val="21"/>
        </w:rPr>
      </w:pPr>
      <w:r w:rsidRPr="00FF2A2F">
        <w:rPr>
          <w:rFonts w:ascii="Calibri Light" w:hAnsi="Calibri Light" w:cs="Calibri Light"/>
          <w:color w:val="auto"/>
          <w:sz w:val="21"/>
          <w:szCs w:val="21"/>
        </w:rPr>
        <w:t>LGBTQIA+</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 xml:space="preserve">Lesbian, Gay, Bisexual, Transgender, Queer/Questioning, Intersex, Asexual and Other </w:t>
      </w:r>
      <w:r w:rsidRPr="00FF2A2F">
        <w:rPr>
          <w:rFonts w:ascii="Calibri Light" w:hAnsi="Calibri Light" w:cs="Calibri Light"/>
          <w:color w:val="auto"/>
          <w:sz w:val="21"/>
          <w:szCs w:val="21"/>
        </w:rPr>
        <w:tab/>
        <w:t>Diverse Identities</w:t>
      </w:r>
    </w:p>
    <w:p w14:paraId="15365E71" w14:textId="7ACF60CD"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MEL</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Monitoring, Evaluation and Learning</w:t>
      </w:r>
    </w:p>
    <w:p w14:paraId="61D1D57D" w14:textId="057E5774" w:rsidR="00371668" w:rsidRPr="00FF2A2F" w:rsidRDefault="00371668" w:rsidP="002D3613">
      <w:pPr>
        <w:tabs>
          <w:tab w:val="left" w:pos="1418"/>
        </w:tabs>
        <w:spacing w:after="0" w:line="240" w:lineRule="auto"/>
        <w:ind w:left="1418" w:hanging="1418"/>
        <w:rPr>
          <w:rFonts w:ascii="Calibri Light" w:hAnsi="Calibri Light" w:cs="Calibri Light"/>
          <w:color w:val="auto"/>
          <w:sz w:val="21"/>
          <w:szCs w:val="21"/>
        </w:rPr>
      </w:pPr>
      <w:r w:rsidRPr="00FF2A2F">
        <w:rPr>
          <w:rFonts w:ascii="Calibri Light" w:hAnsi="Calibri Light" w:cs="Calibri Light"/>
          <w:color w:val="auto"/>
          <w:sz w:val="21"/>
          <w:szCs w:val="21"/>
        </w:rPr>
        <w:lastRenderedPageBreak/>
        <w:t>MEIDECC</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Ministry of Meteorology, Energy, Information, Disaster Management, Environment, Climate Change and Communications</w:t>
      </w:r>
    </w:p>
    <w:p w14:paraId="49F7FE57" w14:textId="503CFEB4"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MIA</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Ministry of Internal Affairs</w:t>
      </w:r>
      <w:r w:rsidR="007777A6" w:rsidRPr="00FF2A2F">
        <w:rPr>
          <w:rFonts w:ascii="Calibri Light" w:hAnsi="Calibri Light" w:cs="Calibri Light"/>
          <w:color w:val="auto"/>
          <w:sz w:val="21"/>
          <w:szCs w:val="21"/>
        </w:rPr>
        <w:t xml:space="preserve"> (GoT)</w:t>
      </w:r>
    </w:p>
    <w:p w14:paraId="49E538F4" w14:textId="2F865A25"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MOF</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Ministry of Finance</w:t>
      </w:r>
      <w:r w:rsidR="007777A6" w:rsidRPr="00FF2A2F">
        <w:rPr>
          <w:rFonts w:ascii="Calibri Light" w:hAnsi="Calibri Light" w:cs="Calibri Light"/>
          <w:color w:val="auto"/>
          <w:sz w:val="21"/>
          <w:szCs w:val="21"/>
        </w:rPr>
        <w:t xml:space="preserve"> (</w:t>
      </w:r>
      <w:proofErr w:type="spellStart"/>
      <w:r w:rsidR="007777A6" w:rsidRPr="00FF2A2F">
        <w:rPr>
          <w:rFonts w:ascii="Calibri Light" w:hAnsi="Calibri Light" w:cs="Calibri Light"/>
          <w:color w:val="auto"/>
          <w:sz w:val="21"/>
          <w:szCs w:val="21"/>
        </w:rPr>
        <w:t>GoT</w:t>
      </w:r>
      <w:proofErr w:type="spellEnd"/>
      <w:r w:rsidR="007777A6" w:rsidRPr="00FF2A2F">
        <w:rPr>
          <w:rFonts w:ascii="Calibri Light" w:hAnsi="Calibri Light" w:cs="Calibri Light"/>
          <w:color w:val="auto"/>
          <w:sz w:val="21"/>
          <w:szCs w:val="21"/>
        </w:rPr>
        <w:t>)</w:t>
      </w:r>
    </w:p>
    <w:p w14:paraId="79C6D150" w14:textId="75B80435"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MTR</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Mid Term Review</w:t>
      </w:r>
    </w:p>
    <w:p w14:paraId="5B58E0BF" w14:textId="7301288E"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NDRMO</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National Disaster Risk Management Office</w:t>
      </w:r>
      <w:r w:rsidR="007777A6" w:rsidRPr="00FF2A2F">
        <w:rPr>
          <w:rFonts w:ascii="Calibri Light" w:hAnsi="Calibri Light" w:cs="Calibri Light"/>
          <w:color w:val="auto"/>
          <w:sz w:val="21"/>
          <w:szCs w:val="21"/>
        </w:rPr>
        <w:t xml:space="preserve"> (GoT)</w:t>
      </w:r>
    </w:p>
    <w:p w14:paraId="7BB2F4CC" w14:textId="4F0108B6"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NGO</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Non-Government Organisation</w:t>
      </w:r>
    </w:p>
    <w:p w14:paraId="1B662827"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OCHA</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Office for the Coordination of Humanitarian Affairs</w:t>
      </w:r>
    </w:p>
    <w:p w14:paraId="391F2554" w14:textId="7BA6F48F"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ODA</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Official Development Assistance</w:t>
      </w:r>
    </w:p>
    <w:p w14:paraId="7AE7D417"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OECD</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Organisation for Economic Cooperation and Development</w:t>
      </w:r>
    </w:p>
    <w:p w14:paraId="2AC0689F" w14:textId="7B33573F"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OPD</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Organisation of Persons with Disabilities</w:t>
      </w:r>
    </w:p>
    <w:p w14:paraId="327A75C0" w14:textId="56BBBC4A"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OTP</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Office of the Pacific</w:t>
      </w:r>
      <w:r w:rsidR="007777A6" w:rsidRPr="00FF2A2F">
        <w:rPr>
          <w:rFonts w:ascii="Calibri Light" w:hAnsi="Calibri Light" w:cs="Calibri Light"/>
          <w:color w:val="auto"/>
          <w:sz w:val="21"/>
          <w:szCs w:val="21"/>
        </w:rPr>
        <w:t xml:space="preserve"> (DFAT)</w:t>
      </w:r>
    </w:p>
    <w:p w14:paraId="1F04265C"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PHWP</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Pacific Humanitarian Warehousing Program</w:t>
      </w:r>
    </w:p>
    <w:p w14:paraId="7D406891"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PIEMA</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Pacific Islands Emergency Management Alliance</w:t>
      </w:r>
    </w:p>
    <w:p w14:paraId="7FB55524" w14:textId="0C519E14" w:rsidR="00FC6097" w:rsidRPr="00FF2A2F" w:rsidRDefault="00FC6097"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PLGED</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Pacific Leaders</w:t>
      </w:r>
      <w:r w:rsidR="00AC5F77" w:rsidRPr="00FF2A2F">
        <w:rPr>
          <w:rFonts w:ascii="Calibri Light" w:hAnsi="Calibri Light" w:cs="Calibri Light"/>
          <w:color w:val="auto"/>
          <w:sz w:val="21"/>
          <w:szCs w:val="21"/>
        </w:rPr>
        <w:t xml:space="preserve"> Gender Equality Declaration</w:t>
      </w:r>
    </w:p>
    <w:p w14:paraId="2AF87804"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PSEAH</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Preventing Sexual Exploitation, Abuse and Harassment</w:t>
      </w:r>
    </w:p>
    <w:p w14:paraId="1920F651" w14:textId="00C9BF47" w:rsidR="00E6487F"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P4SP</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Partnerships for Social Protection</w:t>
      </w:r>
    </w:p>
    <w:p w14:paraId="72E832E0" w14:textId="2E6BE83D" w:rsidR="00F614E0"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SOGIESC</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r>
      <w:bookmarkStart w:id="2" w:name="_Hlk202864840"/>
      <w:r w:rsidRPr="00FF2A2F">
        <w:rPr>
          <w:rFonts w:ascii="Calibri Light" w:hAnsi="Calibri Light" w:cs="Calibri Light"/>
          <w:color w:val="auto"/>
          <w:sz w:val="21"/>
          <w:szCs w:val="21"/>
        </w:rPr>
        <w:t>Sexual Orientation, Gender Identity, Gender Expression, and Sex Characteristics</w:t>
      </w:r>
      <w:bookmarkEnd w:id="2"/>
    </w:p>
    <w:p w14:paraId="5BFE534A" w14:textId="687C3E64"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TSDF</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Tonga Strategic Development Framework</w:t>
      </w:r>
    </w:p>
    <w:p w14:paraId="46CE249C" w14:textId="41AF6530"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UN</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United Nations</w:t>
      </w:r>
    </w:p>
    <w:p w14:paraId="6D5F4FA2"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UNFPA</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United Nations Population Fund</w:t>
      </w:r>
    </w:p>
    <w:p w14:paraId="7C7EE752"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UNICEF</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United Nations Children’s Fund</w:t>
      </w:r>
    </w:p>
    <w:p w14:paraId="2B7D1D2A" w14:textId="77777777" w:rsidR="00371668" w:rsidRPr="00FF2A2F" w:rsidRDefault="00371668"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UNDP</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United Nations Development Program</w:t>
      </w:r>
    </w:p>
    <w:p w14:paraId="6A7D8155" w14:textId="5D6B3169" w:rsidR="00064450" w:rsidRPr="00FF2A2F" w:rsidRDefault="00064450" w:rsidP="002D3613">
      <w:pPr>
        <w:tabs>
          <w:tab w:val="left" w:pos="1418"/>
        </w:tabs>
        <w:spacing w:after="0" w:line="240" w:lineRule="auto"/>
        <w:ind w:left="0" w:firstLine="0"/>
        <w:rPr>
          <w:rFonts w:ascii="Calibri Light" w:hAnsi="Calibri Light" w:cs="Calibri Light"/>
          <w:color w:val="auto"/>
          <w:sz w:val="21"/>
          <w:szCs w:val="21"/>
        </w:rPr>
      </w:pPr>
      <w:r w:rsidRPr="00FF2A2F">
        <w:rPr>
          <w:rFonts w:ascii="Calibri Light" w:hAnsi="Calibri Light" w:cs="Calibri Light"/>
          <w:color w:val="auto"/>
          <w:sz w:val="21"/>
          <w:szCs w:val="21"/>
        </w:rPr>
        <w:t>VEC</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Village Emergency Committee</w:t>
      </w:r>
    </w:p>
    <w:p w14:paraId="030EB54E" w14:textId="1E296E0F" w:rsidR="007777A6" w:rsidRPr="00FF2A2F" w:rsidRDefault="00AC5F77" w:rsidP="002D3613">
      <w:pPr>
        <w:tabs>
          <w:tab w:val="left" w:pos="1418"/>
        </w:tabs>
        <w:spacing w:after="0" w:line="240" w:lineRule="auto"/>
        <w:ind w:left="0" w:firstLine="0"/>
        <w:rPr>
          <w:rFonts w:asciiTheme="majorHAnsi" w:eastAsiaTheme="majorEastAsia" w:hAnsiTheme="majorHAnsi" w:cstheme="majorBidi"/>
          <w:caps/>
          <w:color w:val="auto"/>
          <w:sz w:val="32"/>
          <w:szCs w:val="32"/>
        </w:rPr>
      </w:pPr>
      <w:r w:rsidRPr="00FF2A2F">
        <w:rPr>
          <w:rFonts w:ascii="Calibri Light" w:hAnsi="Calibri Light" w:cs="Calibri Light"/>
          <w:color w:val="auto"/>
          <w:sz w:val="21"/>
          <w:szCs w:val="21"/>
        </w:rPr>
        <w:t>WAGED</w:t>
      </w:r>
      <w:r w:rsidRPr="00FF2A2F">
        <w:rPr>
          <w:rFonts w:ascii="Calibri Light" w:hAnsi="Calibri Light" w:cs="Calibri Light"/>
          <w:color w:val="auto"/>
          <w:sz w:val="21"/>
          <w:szCs w:val="21"/>
        </w:rPr>
        <w:tab/>
      </w:r>
      <w:r w:rsidRPr="00FF2A2F">
        <w:rPr>
          <w:rFonts w:ascii="Calibri Light" w:hAnsi="Calibri Light" w:cs="Calibri Light"/>
          <w:color w:val="auto"/>
          <w:sz w:val="21"/>
          <w:szCs w:val="21"/>
        </w:rPr>
        <w:tab/>
        <w:t>Women’s Affairs for Gender Equality Divisio</w:t>
      </w:r>
      <w:r w:rsidR="00C021B1" w:rsidRPr="00FF2A2F">
        <w:rPr>
          <w:rFonts w:ascii="Calibri Light" w:hAnsi="Calibri Light" w:cs="Calibri Light"/>
          <w:color w:val="auto"/>
          <w:sz w:val="21"/>
          <w:szCs w:val="21"/>
        </w:rPr>
        <w:t>n</w:t>
      </w:r>
      <w:r w:rsidR="007777A6" w:rsidRPr="00FF2A2F">
        <w:rPr>
          <w:color w:val="auto"/>
          <w:sz w:val="32"/>
          <w:szCs w:val="32"/>
        </w:rPr>
        <w:br w:type="page"/>
      </w:r>
    </w:p>
    <w:p w14:paraId="094491EA" w14:textId="07797448" w:rsidR="00D746DA" w:rsidRPr="00FF2A2F" w:rsidRDefault="00C77675" w:rsidP="00C021B1">
      <w:pPr>
        <w:pStyle w:val="Heading2"/>
        <w:ind w:left="0" w:firstLine="0"/>
        <w:rPr>
          <w:color w:val="auto"/>
          <w:sz w:val="32"/>
          <w:szCs w:val="32"/>
        </w:rPr>
      </w:pPr>
      <w:bookmarkStart w:id="3" w:name="_Toc214543659"/>
      <w:r w:rsidRPr="00FF2A2F">
        <w:rPr>
          <w:color w:val="auto"/>
          <w:sz w:val="32"/>
          <w:szCs w:val="32"/>
        </w:rPr>
        <w:lastRenderedPageBreak/>
        <w:t xml:space="preserve">A: </w:t>
      </w:r>
      <w:r w:rsidR="00D746DA" w:rsidRPr="00FF2A2F">
        <w:rPr>
          <w:color w:val="auto"/>
          <w:sz w:val="32"/>
          <w:szCs w:val="32"/>
        </w:rPr>
        <w:t>Executive Summary</w:t>
      </w:r>
      <w:bookmarkEnd w:id="3"/>
    </w:p>
    <w:p w14:paraId="25CC198D" w14:textId="42D25F23" w:rsidR="003F37C5" w:rsidRPr="00FF2A2F" w:rsidRDefault="00555234" w:rsidP="00FF0903">
      <w:pPr>
        <w:spacing w:before="120" w:line="260" w:lineRule="atLeast"/>
        <w:ind w:left="0" w:firstLine="0"/>
        <w:rPr>
          <w:color w:val="auto"/>
          <w:sz w:val="21"/>
          <w:szCs w:val="21"/>
        </w:rPr>
      </w:pPr>
      <w:r w:rsidRPr="00FF2A2F">
        <w:rPr>
          <w:color w:val="auto"/>
          <w:sz w:val="21"/>
          <w:szCs w:val="21"/>
        </w:rPr>
        <w:t>1.</w:t>
      </w:r>
      <w:r w:rsidR="00BE6216" w:rsidRPr="00FF2A2F">
        <w:rPr>
          <w:color w:val="auto"/>
          <w:sz w:val="21"/>
          <w:szCs w:val="21"/>
        </w:rPr>
        <w:t xml:space="preserve"> </w:t>
      </w:r>
      <w:r w:rsidR="003A599B" w:rsidRPr="00FF2A2F">
        <w:rPr>
          <w:color w:val="auto"/>
          <w:sz w:val="21"/>
          <w:szCs w:val="21"/>
        </w:rPr>
        <w:t xml:space="preserve">The Tala Kei Kapa: Prepare, Respond, Recover </w:t>
      </w:r>
      <w:r w:rsidR="0006461C" w:rsidRPr="00FF2A2F">
        <w:rPr>
          <w:color w:val="auto"/>
          <w:sz w:val="21"/>
          <w:szCs w:val="21"/>
        </w:rPr>
        <w:t>Investment (the investment) will support the Government of Tonga and civil society partners to strengthen disaster preparedness actions and provide immediate response and early recovery assistance to those affected by disaster</w:t>
      </w:r>
      <w:r w:rsidR="007777A6" w:rsidRPr="00FF2A2F">
        <w:rPr>
          <w:color w:val="auto"/>
          <w:sz w:val="21"/>
          <w:szCs w:val="21"/>
        </w:rPr>
        <w:t>s</w:t>
      </w:r>
      <w:r w:rsidR="0006461C" w:rsidRPr="00FF2A2F">
        <w:rPr>
          <w:color w:val="auto"/>
          <w:sz w:val="21"/>
          <w:szCs w:val="21"/>
        </w:rPr>
        <w:t xml:space="preserve">. It will be an important part of Australia’s overall development assistance to Tonga, demonstrating Australia is a consistently reliable partner, particularly in times of </w:t>
      </w:r>
      <w:r w:rsidR="007777A6" w:rsidRPr="00FF2A2F">
        <w:rPr>
          <w:color w:val="auto"/>
          <w:sz w:val="21"/>
          <w:szCs w:val="21"/>
        </w:rPr>
        <w:t>disaster</w:t>
      </w:r>
      <w:r w:rsidR="0006461C" w:rsidRPr="00FF2A2F">
        <w:rPr>
          <w:color w:val="auto"/>
          <w:sz w:val="21"/>
          <w:szCs w:val="21"/>
        </w:rPr>
        <w:t>, and proactively assisting on building</w:t>
      </w:r>
      <w:r w:rsidR="00DC6D73" w:rsidRPr="00FF2A2F">
        <w:rPr>
          <w:color w:val="auto"/>
          <w:sz w:val="21"/>
          <w:szCs w:val="21"/>
        </w:rPr>
        <w:t xml:space="preserve"> disaster and</w:t>
      </w:r>
      <w:r w:rsidR="0006461C" w:rsidRPr="00FF2A2F">
        <w:rPr>
          <w:color w:val="auto"/>
          <w:sz w:val="21"/>
          <w:szCs w:val="21"/>
        </w:rPr>
        <w:t xml:space="preserve"> climate change resilience. </w:t>
      </w:r>
      <w:r w:rsidR="00EE7E59" w:rsidRPr="00FF2A2F">
        <w:rPr>
          <w:color w:val="auto"/>
          <w:sz w:val="21"/>
          <w:szCs w:val="21"/>
        </w:rPr>
        <w:t xml:space="preserve">The </w:t>
      </w:r>
      <w:r w:rsidR="00D23AAD" w:rsidRPr="00FF2A2F">
        <w:rPr>
          <w:color w:val="auto"/>
          <w:sz w:val="21"/>
          <w:szCs w:val="21"/>
        </w:rPr>
        <w:t>investment</w:t>
      </w:r>
      <w:r w:rsidR="00EE7E59" w:rsidRPr="00FF2A2F">
        <w:rPr>
          <w:color w:val="auto"/>
          <w:sz w:val="21"/>
          <w:szCs w:val="21"/>
        </w:rPr>
        <w:t xml:space="preserve"> brings together a range of activities to streamline Australia’s support for </w:t>
      </w:r>
      <w:r w:rsidR="001E3771" w:rsidRPr="00FF2A2F">
        <w:rPr>
          <w:color w:val="auto"/>
          <w:sz w:val="21"/>
          <w:szCs w:val="21"/>
        </w:rPr>
        <w:t xml:space="preserve">improved disaster </w:t>
      </w:r>
      <w:r w:rsidR="00BE2A64" w:rsidRPr="00FF2A2F">
        <w:rPr>
          <w:color w:val="auto"/>
          <w:sz w:val="21"/>
          <w:szCs w:val="21"/>
        </w:rPr>
        <w:t xml:space="preserve">risk </w:t>
      </w:r>
      <w:r w:rsidR="001E3771" w:rsidRPr="00FF2A2F">
        <w:rPr>
          <w:color w:val="auto"/>
          <w:sz w:val="21"/>
          <w:szCs w:val="21"/>
        </w:rPr>
        <w:t>management in Tonga</w:t>
      </w:r>
      <w:r w:rsidR="002830FE" w:rsidRPr="00FF2A2F">
        <w:rPr>
          <w:color w:val="auto"/>
          <w:sz w:val="21"/>
          <w:szCs w:val="21"/>
        </w:rPr>
        <w:t xml:space="preserve"> in line with Australia’s Development Partnership Plan (DPP). </w:t>
      </w:r>
    </w:p>
    <w:p w14:paraId="2E6AF84D" w14:textId="52FFC0D1" w:rsidR="00F30CDE" w:rsidRPr="00FF2A2F" w:rsidRDefault="008B509E" w:rsidP="00FF0903">
      <w:pPr>
        <w:spacing w:before="120" w:line="260" w:lineRule="atLeast"/>
        <w:ind w:left="0" w:firstLine="0"/>
        <w:rPr>
          <w:color w:val="auto"/>
          <w:sz w:val="21"/>
          <w:szCs w:val="21"/>
        </w:rPr>
      </w:pPr>
      <w:r w:rsidRPr="00FF2A2F">
        <w:rPr>
          <w:color w:val="auto"/>
          <w:sz w:val="21"/>
          <w:szCs w:val="21"/>
        </w:rPr>
        <w:t>2.</w:t>
      </w:r>
      <w:r w:rsidR="002830FE" w:rsidRPr="00FF2A2F">
        <w:rPr>
          <w:color w:val="auto"/>
          <w:sz w:val="21"/>
          <w:szCs w:val="21"/>
        </w:rPr>
        <w:t xml:space="preserve"> </w:t>
      </w:r>
      <w:r w:rsidR="00F30CDE" w:rsidRPr="00FF2A2F">
        <w:rPr>
          <w:color w:val="auto"/>
          <w:sz w:val="21"/>
          <w:szCs w:val="21"/>
        </w:rPr>
        <w:t>Significantly</w:t>
      </w:r>
      <w:r w:rsidR="00E90218" w:rsidRPr="00FF2A2F">
        <w:rPr>
          <w:color w:val="auto"/>
          <w:sz w:val="21"/>
          <w:szCs w:val="21"/>
        </w:rPr>
        <w:t xml:space="preserve">, </w:t>
      </w:r>
      <w:r w:rsidR="00F30CDE" w:rsidRPr="00FF2A2F">
        <w:rPr>
          <w:color w:val="auto"/>
          <w:sz w:val="21"/>
          <w:szCs w:val="21"/>
        </w:rPr>
        <w:t>th</w:t>
      </w:r>
      <w:r w:rsidR="00D5627B" w:rsidRPr="00FF2A2F">
        <w:rPr>
          <w:color w:val="auto"/>
          <w:sz w:val="21"/>
          <w:szCs w:val="21"/>
        </w:rPr>
        <w:t xml:space="preserve">e </w:t>
      </w:r>
      <w:r w:rsidR="00892DA9" w:rsidRPr="00FF2A2F">
        <w:rPr>
          <w:color w:val="auto"/>
          <w:sz w:val="21"/>
          <w:szCs w:val="21"/>
        </w:rPr>
        <w:t xml:space="preserve">investment </w:t>
      </w:r>
      <w:r w:rsidR="00F30CDE" w:rsidRPr="00FF2A2F">
        <w:rPr>
          <w:color w:val="auto"/>
          <w:sz w:val="21"/>
          <w:szCs w:val="21"/>
        </w:rPr>
        <w:t>will directly contribute to the operationalisation of Tonga’s Disaster Risk Management Act (2021)</w:t>
      </w:r>
      <w:r w:rsidR="00D5627B" w:rsidRPr="00FF2A2F">
        <w:rPr>
          <w:color w:val="auto"/>
          <w:sz w:val="21"/>
          <w:szCs w:val="21"/>
        </w:rPr>
        <w:t xml:space="preserve"> and Disaster Risk Management</w:t>
      </w:r>
      <w:r w:rsidR="00BE6216" w:rsidRPr="00FF2A2F">
        <w:rPr>
          <w:color w:val="auto"/>
          <w:sz w:val="21"/>
          <w:szCs w:val="21"/>
        </w:rPr>
        <w:t xml:space="preserve"> (DRM)</w:t>
      </w:r>
      <w:r w:rsidR="00D5627B" w:rsidRPr="00FF2A2F">
        <w:rPr>
          <w:color w:val="auto"/>
          <w:sz w:val="21"/>
          <w:szCs w:val="21"/>
        </w:rPr>
        <w:t xml:space="preserve"> Policy</w:t>
      </w:r>
      <w:r w:rsidR="00B416F4" w:rsidRPr="00FF2A2F">
        <w:rPr>
          <w:color w:val="auto"/>
          <w:sz w:val="21"/>
          <w:szCs w:val="21"/>
        </w:rPr>
        <w:t xml:space="preserve"> Framework 2023</w:t>
      </w:r>
      <w:r w:rsidRPr="00FF2A2F">
        <w:rPr>
          <w:color w:val="auto"/>
          <w:sz w:val="21"/>
          <w:szCs w:val="21"/>
        </w:rPr>
        <w:t>-</w:t>
      </w:r>
      <w:r w:rsidR="00E37B00" w:rsidRPr="00FF2A2F">
        <w:rPr>
          <w:color w:val="auto"/>
          <w:sz w:val="21"/>
          <w:szCs w:val="21"/>
        </w:rPr>
        <w:t>2030</w:t>
      </w:r>
      <w:r w:rsidR="00BE6216" w:rsidRPr="00FF2A2F">
        <w:rPr>
          <w:color w:val="auto"/>
          <w:sz w:val="21"/>
          <w:szCs w:val="21"/>
        </w:rPr>
        <w:t xml:space="preserve"> (DRM Policy)</w:t>
      </w:r>
      <w:r w:rsidR="00E37B00" w:rsidRPr="00FF2A2F">
        <w:rPr>
          <w:color w:val="auto"/>
          <w:sz w:val="21"/>
          <w:szCs w:val="21"/>
        </w:rPr>
        <w:t xml:space="preserve"> by</w:t>
      </w:r>
      <w:r w:rsidR="00F30CDE" w:rsidRPr="00FF2A2F">
        <w:rPr>
          <w:color w:val="auto"/>
          <w:sz w:val="21"/>
          <w:szCs w:val="21"/>
        </w:rPr>
        <w:t xml:space="preserve"> improving national level preparedness, response and recovery coordination through the established cluster system, and supporting community led emergency preparedness planning, response and recovery.</w:t>
      </w:r>
      <w:r w:rsidR="006836B5" w:rsidRPr="00FF2A2F">
        <w:rPr>
          <w:color w:val="auto"/>
          <w:sz w:val="21"/>
          <w:szCs w:val="21"/>
        </w:rPr>
        <w:t xml:space="preserve"> </w:t>
      </w:r>
      <w:r w:rsidRPr="00FF2A2F">
        <w:rPr>
          <w:color w:val="auto"/>
          <w:sz w:val="21"/>
          <w:szCs w:val="21"/>
        </w:rPr>
        <w:t>The</w:t>
      </w:r>
      <w:r w:rsidR="00892DA9" w:rsidRPr="00FF2A2F">
        <w:rPr>
          <w:color w:val="auto"/>
          <w:sz w:val="21"/>
          <w:szCs w:val="21"/>
        </w:rPr>
        <w:t xml:space="preserve"> investment</w:t>
      </w:r>
      <w:r w:rsidRPr="00FF2A2F">
        <w:rPr>
          <w:color w:val="auto"/>
          <w:sz w:val="21"/>
          <w:szCs w:val="21"/>
        </w:rPr>
        <w:t xml:space="preserve"> directly addresses the</w:t>
      </w:r>
      <w:r w:rsidR="00943651" w:rsidRPr="00FF2A2F">
        <w:rPr>
          <w:color w:val="auto"/>
          <w:sz w:val="21"/>
          <w:szCs w:val="21"/>
        </w:rPr>
        <w:t xml:space="preserve"> </w:t>
      </w:r>
      <w:r w:rsidR="00F400FB" w:rsidRPr="00FF2A2F">
        <w:rPr>
          <w:color w:val="auto"/>
          <w:sz w:val="21"/>
          <w:szCs w:val="21"/>
        </w:rPr>
        <w:t xml:space="preserve">current </w:t>
      </w:r>
      <w:r w:rsidR="00943651" w:rsidRPr="00FF2A2F">
        <w:rPr>
          <w:color w:val="auto"/>
          <w:sz w:val="21"/>
          <w:szCs w:val="21"/>
        </w:rPr>
        <w:t>development</w:t>
      </w:r>
      <w:r w:rsidRPr="00FF2A2F">
        <w:rPr>
          <w:color w:val="auto"/>
          <w:sz w:val="21"/>
          <w:szCs w:val="21"/>
        </w:rPr>
        <w:t xml:space="preserve"> challenge of </w:t>
      </w:r>
      <w:r w:rsidR="00F400FB" w:rsidRPr="00FF2A2F">
        <w:rPr>
          <w:color w:val="auto"/>
          <w:sz w:val="21"/>
          <w:szCs w:val="21"/>
        </w:rPr>
        <w:t xml:space="preserve">a lack of sufficient </w:t>
      </w:r>
      <w:r w:rsidR="00F030F9" w:rsidRPr="00FF2A2F">
        <w:rPr>
          <w:color w:val="auto"/>
          <w:sz w:val="21"/>
          <w:szCs w:val="21"/>
        </w:rPr>
        <w:t>suppor</w:t>
      </w:r>
      <w:r w:rsidR="00F400FB" w:rsidRPr="00FF2A2F">
        <w:rPr>
          <w:color w:val="auto"/>
          <w:sz w:val="21"/>
          <w:szCs w:val="21"/>
        </w:rPr>
        <w:t>t</w:t>
      </w:r>
      <w:r w:rsidR="00F030F9" w:rsidRPr="00FF2A2F">
        <w:rPr>
          <w:color w:val="auto"/>
          <w:sz w:val="21"/>
          <w:szCs w:val="21"/>
        </w:rPr>
        <w:t xml:space="preserve"> and resourc</w:t>
      </w:r>
      <w:r w:rsidR="00F400FB" w:rsidRPr="00FF2A2F">
        <w:rPr>
          <w:color w:val="auto"/>
          <w:sz w:val="21"/>
          <w:szCs w:val="21"/>
        </w:rPr>
        <w:t xml:space="preserve">es for </w:t>
      </w:r>
      <w:r w:rsidR="00F030F9" w:rsidRPr="00FF2A2F">
        <w:rPr>
          <w:color w:val="auto"/>
          <w:sz w:val="21"/>
          <w:szCs w:val="21"/>
        </w:rPr>
        <w:t xml:space="preserve">the </w:t>
      </w:r>
      <w:r w:rsidR="00943651" w:rsidRPr="00FF2A2F">
        <w:rPr>
          <w:color w:val="auto"/>
          <w:sz w:val="21"/>
          <w:szCs w:val="21"/>
        </w:rPr>
        <w:t xml:space="preserve">implementation of the DRM Policy. </w:t>
      </w:r>
      <w:r w:rsidR="006836B5" w:rsidRPr="00FF2A2F">
        <w:rPr>
          <w:color w:val="auto"/>
          <w:sz w:val="21"/>
          <w:szCs w:val="21"/>
        </w:rPr>
        <w:t xml:space="preserve">The Tongan Government views this investment as a </w:t>
      </w:r>
      <w:r w:rsidR="00F400FB" w:rsidRPr="00FF2A2F">
        <w:rPr>
          <w:color w:val="auto"/>
          <w:sz w:val="21"/>
          <w:szCs w:val="21"/>
        </w:rPr>
        <w:t xml:space="preserve">primary support to </w:t>
      </w:r>
      <w:r w:rsidR="006836B5" w:rsidRPr="00FF2A2F">
        <w:rPr>
          <w:color w:val="auto"/>
          <w:sz w:val="21"/>
          <w:szCs w:val="21"/>
        </w:rPr>
        <w:t xml:space="preserve">the DRM Policy, by strengthening </w:t>
      </w:r>
      <w:r w:rsidR="00D02C99" w:rsidRPr="00FF2A2F">
        <w:rPr>
          <w:color w:val="auto"/>
          <w:sz w:val="21"/>
          <w:szCs w:val="21"/>
        </w:rPr>
        <w:t xml:space="preserve">National Disaster Risk Management Office </w:t>
      </w:r>
      <w:r w:rsidR="00D27350" w:rsidRPr="00FF2A2F">
        <w:rPr>
          <w:color w:val="auto"/>
          <w:sz w:val="21"/>
          <w:szCs w:val="21"/>
        </w:rPr>
        <w:t>(</w:t>
      </w:r>
      <w:r w:rsidR="006836B5" w:rsidRPr="00FF2A2F">
        <w:rPr>
          <w:color w:val="auto"/>
          <w:sz w:val="21"/>
          <w:szCs w:val="21"/>
        </w:rPr>
        <w:t>NDRMO</w:t>
      </w:r>
      <w:r w:rsidR="00D27350" w:rsidRPr="00FF2A2F">
        <w:rPr>
          <w:color w:val="auto"/>
          <w:sz w:val="21"/>
          <w:szCs w:val="21"/>
        </w:rPr>
        <w:t>)</w:t>
      </w:r>
      <w:r w:rsidR="006836B5" w:rsidRPr="00FF2A2F">
        <w:rPr>
          <w:color w:val="auto"/>
          <w:sz w:val="21"/>
          <w:szCs w:val="21"/>
        </w:rPr>
        <w:t xml:space="preserve"> disaster</w:t>
      </w:r>
      <w:r w:rsidR="00D91694" w:rsidRPr="00FF2A2F">
        <w:rPr>
          <w:color w:val="auto"/>
          <w:sz w:val="21"/>
          <w:szCs w:val="21"/>
        </w:rPr>
        <w:t xml:space="preserve"> risk</w:t>
      </w:r>
      <w:r w:rsidR="006836B5" w:rsidRPr="00FF2A2F">
        <w:rPr>
          <w:color w:val="auto"/>
          <w:sz w:val="21"/>
          <w:szCs w:val="21"/>
        </w:rPr>
        <w:t xml:space="preserve"> management capacity, informing policy development and </w:t>
      </w:r>
      <w:r w:rsidR="002830FE" w:rsidRPr="00FF2A2F">
        <w:rPr>
          <w:color w:val="auto"/>
          <w:sz w:val="21"/>
          <w:szCs w:val="21"/>
        </w:rPr>
        <w:t>facilitating improved cluster</w:t>
      </w:r>
      <w:r w:rsidR="006836B5" w:rsidRPr="00FF2A2F">
        <w:rPr>
          <w:color w:val="auto"/>
          <w:sz w:val="21"/>
          <w:szCs w:val="21"/>
        </w:rPr>
        <w:t xml:space="preserve"> participation by all stakeholders.</w:t>
      </w:r>
      <w:r w:rsidR="00D91694" w:rsidRPr="00FF2A2F">
        <w:rPr>
          <w:color w:val="auto"/>
          <w:sz w:val="21"/>
          <w:szCs w:val="21"/>
        </w:rPr>
        <w:t xml:space="preserve"> </w:t>
      </w:r>
      <w:r w:rsidR="006836B5" w:rsidRPr="00FF2A2F">
        <w:rPr>
          <w:color w:val="auto"/>
          <w:sz w:val="21"/>
          <w:szCs w:val="21"/>
        </w:rPr>
        <w:t>The NDRMO demonstrates good engagement and buy-in to the Investment and will be an active partner in the delivery.</w:t>
      </w:r>
      <w:r w:rsidR="00555234" w:rsidRPr="00FF2A2F">
        <w:rPr>
          <w:color w:val="auto"/>
          <w:sz w:val="21"/>
          <w:szCs w:val="21"/>
        </w:rPr>
        <w:t xml:space="preserve"> </w:t>
      </w:r>
    </w:p>
    <w:p w14:paraId="21FD0546" w14:textId="28A6C6F3" w:rsidR="003F37C5" w:rsidRPr="00FF2A2F" w:rsidRDefault="00D91694" w:rsidP="00FF0903">
      <w:pPr>
        <w:spacing w:before="120" w:line="260" w:lineRule="atLeast"/>
        <w:ind w:left="0" w:firstLine="0"/>
        <w:rPr>
          <w:color w:val="auto"/>
          <w:sz w:val="21"/>
          <w:szCs w:val="21"/>
        </w:rPr>
      </w:pPr>
      <w:r w:rsidRPr="00FF2A2F">
        <w:rPr>
          <w:color w:val="auto"/>
          <w:sz w:val="21"/>
          <w:szCs w:val="21"/>
        </w:rPr>
        <w:t>3.</w:t>
      </w:r>
      <w:r w:rsidR="00BE6216" w:rsidRPr="00FF2A2F">
        <w:rPr>
          <w:color w:val="auto"/>
          <w:sz w:val="21"/>
          <w:szCs w:val="21"/>
        </w:rPr>
        <w:t xml:space="preserve"> </w:t>
      </w:r>
      <w:r w:rsidR="00CB2496" w:rsidRPr="00FF2A2F">
        <w:rPr>
          <w:color w:val="auto"/>
          <w:sz w:val="21"/>
          <w:szCs w:val="21"/>
        </w:rPr>
        <w:t xml:space="preserve">Tonga is one of the most at-risk countries globally for disasters due to its high exposure to cyclones, earthquakes, tsunamis and volcanic eruptions, as well as potential sea level rise. </w:t>
      </w:r>
      <w:r w:rsidR="003F37C5" w:rsidRPr="00FF2A2F">
        <w:rPr>
          <w:color w:val="auto"/>
          <w:sz w:val="21"/>
          <w:szCs w:val="21"/>
        </w:rPr>
        <w:t xml:space="preserve">Located on the Pacific Ring of Fire, Tonga is particularly vulnerable to earthquakes, underwater volcanic eruptions and tsunamis. Tonga’s landmass sits at a low level, in some instances below sea level, making it susceptible to flooding and sea water inundation. Tonga is also regularly struck by cyclones, causing damage and economic losses. </w:t>
      </w:r>
    </w:p>
    <w:p w14:paraId="4470CDFA" w14:textId="552A1EB1" w:rsidR="0006461C" w:rsidRPr="00FF2A2F" w:rsidRDefault="00D91694" w:rsidP="00FF0903">
      <w:pPr>
        <w:spacing w:before="120" w:line="260" w:lineRule="atLeast"/>
        <w:ind w:left="0" w:firstLine="0"/>
        <w:rPr>
          <w:color w:val="auto"/>
          <w:sz w:val="21"/>
          <w:szCs w:val="21"/>
        </w:rPr>
      </w:pPr>
      <w:r w:rsidRPr="00FF2A2F">
        <w:rPr>
          <w:color w:val="auto"/>
          <w:sz w:val="21"/>
          <w:szCs w:val="21"/>
        </w:rPr>
        <w:t>4.</w:t>
      </w:r>
      <w:r w:rsidR="00BE6216" w:rsidRPr="00FF2A2F">
        <w:rPr>
          <w:color w:val="auto"/>
          <w:sz w:val="21"/>
          <w:szCs w:val="21"/>
        </w:rPr>
        <w:t xml:space="preserve"> </w:t>
      </w:r>
      <w:r w:rsidR="0006461C" w:rsidRPr="00FF2A2F">
        <w:rPr>
          <w:color w:val="auto"/>
          <w:sz w:val="21"/>
          <w:szCs w:val="21"/>
        </w:rPr>
        <w:t xml:space="preserve">Humanitarian assistance is a vital component of Australia’s bilateral relationship with the Kingdom of Tonga. Australia’s ability to effectively respond to humanitarian disasters in Tonga </w:t>
      </w:r>
      <w:r w:rsidR="00967AD6" w:rsidRPr="00FF2A2F">
        <w:rPr>
          <w:color w:val="auto"/>
          <w:sz w:val="21"/>
          <w:szCs w:val="21"/>
        </w:rPr>
        <w:t>is</w:t>
      </w:r>
      <w:r w:rsidR="0006461C" w:rsidRPr="00FF2A2F">
        <w:rPr>
          <w:color w:val="auto"/>
          <w:sz w:val="21"/>
          <w:szCs w:val="21"/>
        </w:rPr>
        <w:t xml:space="preserve"> critical over the next 5-15 years as climate change events worsen and become more frequent, and as Tonga’s fiscal situation continues to face external financing risks. With a 5-year timeframe, the investment aims to deliver interventions to directly support Australia’s International Development Policy (2023) which reinforces the importance of enhancing nations’ resilience to external shocks for a peaceful, stable and prosperous Indo-Pacific. In addition, the policy commits Australia to prioritise response to international humanitarian crises, particularly in the Pacific. </w:t>
      </w:r>
      <w:r w:rsidR="00A04BBC" w:rsidRPr="00FF2A2F">
        <w:rPr>
          <w:color w:val="auto"/>
          <w:sz w:val="21"/>
          <w:szCs w:val="21"/>
        </w:rPr>
        <w:t xml:space="preserve">Australia is doing more to address climate risks, and supports partner governments before, during and after times of disaster. These commitments are underscored in Australia’s Humanitarian Policy (2024) priorities, which include (1) </w:t>
      </w:r>
      <w:r w:rsidR="002006D4" w:rsidRPr="00FF2A2F">
        <w:rPr>
          <w:color w:val="auto"/>
          <w:sz w:val="21"/>
          <w:szCs w:val="21"/>
        </w:rPr>
        <w:t>b</w:t>
      </w:r>
      <w:r w:rsidR="00A04BBC" w:rsidRPr="00FF2A2F">
        <w:rPr>
          <w:color w:val="auto"/>
          <w:sz w:val="21"/>
          <w:szCs w:val="21"/>
        </w:rPr>
        <w:t xml:space="preserve">uilding readiness and preparedness for disasters, and (2) </w:t>
      </w:r>
      <w:r w:rsidR="007C0E48" w:rsidRPr="00FF2A2F">
        <w:rPr>
          <w:color w:val="auto"/>
          <w:sz w:val="21"/>
          <w:szCs w:val="21"/>
        </w:rPr>
        <w:t>r</w:t>
      </w:r>
      <w:r w:rsidR="00A04BBC" w:rsidRPr="00FF2A2F">
        <w:rPr>
          <w:color w:val="auto"/>
          <w:sz w:val="21"/>
          <w:szCs w:val="21"/>
        </w:rPr>
        <w:t xml:space="preserve">esponding to crises and disasters effectively.  </w:t>
      </w:r>
    </w:p>
    <w:p w14:paraId="6A0397E7" w14:textId="7DC2D985" w:rsidR="0006461C" w:rsidRPr="00FF2A2F" w:rsidRDefault="00415B7A" w:rsidP="00FF0903">
      <w:pPr>
        <w:spacing w:before="120" w:line="260" w:lineRule="atLeast"/>
        <w:ind w:left="0" w:firstLine="0"/>
        <w:rPr>
          <w:color w:val="auto"/>
          <w:sz w:val="21"/>
          <w:szCs w:val="21"/>
        </w:rPr>
      </w:pPr>
      <w:r w:rsidRPr="00FF2A2F">
        <w:rPr>
          <w:color w:val="auto"/>
          <w:sz w:val="21"/>
          <w:szCs w:val="21"/>
        </w:rPr>
        <w:t>5.</w:t>
      </w:r>
      <w:r w:rsidR="00BE6216" w:rsidRPr="00FF2A2F">
        <w:rPr>
          <w:color w:val="auto"/>
          <w:sz w:val="21"/>
          <w:szCs w:val="21"/>
        </w:rPr>
        <w:t xml:space="preserve"> </w:t>
      </w:r>
      <w:r w:rsidR="0006461C" w:rsidRPr="00FF2A2F">
        <w:rPr>
          <w:color w:val="auto"/>
          <w:sz w:val="21"/>
          <w:szCs w:val="21"/>
        </w:rPr>
        <w:t>This investment builds from learning from recent humanitarian response programs for the Hunga Tonga Hunga</w:t>
      </w:r>
      <w:r w:rsidR="00136372" w:rsidRPr="00FF2A2F">
        <w:rPr>
          <w:color w:val="auto"/>
          <w:sz w:val="21"/>
          <w:szCs w:val="21"/>
        </w:rPr>
        <w:t>-</w:t>
      </w:r>
      <w:r w:rsidR="0006461C" w:rsidRPr="00FF2A2F">
        <w:rPr>
          <w:color w:val="auto"/>
          <w:sz w:val="21"/>
          <w:szCs w:val="21"/>
        </w:rPr>
        <w:t>Ha’apai Response and Cyclone Gita and seeks to consolidate ongoing Australian Government support to the Government of Tonga, particularly strengthening the capacity and capability of</w:t>
      </w:r>
      <w:r w:rsidR="00D27350" w:rsidRPr="00FF2A2F">
        <w:rPr>
          <w:color w:val="auto"/>
          <w:sz w:val="21"/>
          <w:szCs w:val="21"/>
        </w:rPr>
        <w:t xml:space="preserve"> the NDRMO.</w:t>
      </w:r>
    </w:p>
    <w:p w14:paraId="1624AE35" w14:textId="660B4441" w:rsidR="0006461C" w:rsidRPr="00FF2A2F" w:rsidRDefault="00D27350" w:rsidP="00FF0903">
      <w:pPr>
        <w:spacing w:before="120" w:line="260" w:lineRule="atLeast"/>
        <w:ind w:left="0" w:firstLine="0"/>
        <w:rPr>
          <w:color w:val="auto"/>
          <w:sz w:val="21"/>
          <w:szCs w:val="21"/>
        </w:rPr>
      </w:pPr>
      <w:r w:rsidRPr="00FF2A2F">
        <w:rPr>
          <w:color w:val="auto"/>
          <w:sz w:val="21"/>
          <w:szCs w:val="21"/>
        </w:rPr>
        <w:t>6.</w:t>
      </w:r>
      <w:r w:rsidR="00BE6216" w:rsidRPr="00FF2A2F">
        <w:rPr>
          <w:color w:val="auto"/>
          <w:sz w:val="21"/>
          <w:szCs w:val="21"/>
        </w:rPr>
        <w:t xml:space="preserve"> </w:t>
      </w:r>
      <w:r w:rsidR="0006461C" w:rsidRPr="00FF2A2F">
        <w:rPr>
          <w:color w:val="auto"/>
          <w:sz w:val="21"/>
          <w:szCs w:val="21"/>
        </w:rPr>
        <w:t>The Investment is intended to be scalable with the proposed budget allocation from the Tonga program fund being AUD10 million over five years (FY202</w:t>
      </w:r>
      <w:r w:rsidR="00EF1757" w:rsidRPr="00FF2A2F">
        <w:rPr>
          <w:color w:val="auto"/>
          <w:sz w:val="21"/>
          <w:szCs w:val="21"/>
        </w:rPr>
        <w:t>5</w:t>
      </w:r>
      <w:r w:rsidR="0006461C" w:rsidRPr="00FF2A2F">
        <w:rPr>
          <w:color w:val="auto"/>
          <w:sz w:val="21"/>
          <w:szCs w:val="21"/>
        </w:rPr>
        <w:t>-20</w:t>
      </w:r>
      <w:r w:rsidR="00EF1757" w:rsidRPr="00FF2A2F">
        <w:rPr>
          <w:color w:val="auto"/>
          <w:sz w:val="21"/>
          <w:szCs w:val="21"/>
        </w:rPr>
        <w:t>30</w:t>
      </w:r>
      <w:r w:rsidR="0006461C" w:rsidRPr="00FF2A2F">
        <w:rPr>
          <w:color w:val="auto"/>
          <w:sz w:val="21"/>
          <w:szCs w:val="21"/>
        </w:rPr>
        <w:t xml:space="preserve">), delivering activities with a value of approximately AUD2 million per year. This is approximately the same value per year as the current humanitarian investment.  </w:t>
      </w:r>
    </w:p>
    <w:p w14:paraId="3DDAD704" w14:textId="03974BFF" w:rsidR="00EF1757" w:rsidRPr="00FF2A2F" w:rsidRDefault="00E2057E" w:rsidP="00E6131F">
      <w:pPr>
        <w:spacing w:before="120" w:line="260" w:lineRule="atLeast"/>
        <w:ind w:left="0" w:firstLine="0"/>
        <w:rPr>
          <w:color w:val="auto"/>
          <w:sz w:val="21"/>
          <w:szCs w:val="21"/>
        </w:rPr>
      </w:pPr>
      <w:r w:rsidRPr="00FF2A2F">
        <w:rPr>
          <w:color w:val="auto"/>
          <w:sz w:val="21"/>
          <w:szCs w:val="21"/>
        </w:rPr>
        <w:t>7.</w:t>
      </w:r>
      <w:r w:rsidR="00BE6216" w:rsidRPr="00FF2A2F">
        <w:rPr>
          <w:color w:val="auto"/>
          <w:sz w:val="21"/>
          <w:szCs w:val="21"/>
        </w:rPr>
        <w:t xml:space="preserve"> </w:t>
      </w:r>
      <w:r w:rsidR="0006461C" w:rsidRPr="00FF2A2F">
        <w:rPr>
          <w:color w:val="auto"/>
          <w:sz w:val="21"/>
          <w:szCs w:val="21"/>
        </w:rPr>
        <w:t xml:space="preserve">The </w:t>
      </w:r>
      <w:r w:rsidR="005F0297" w:rsidRPr="00FF2A2F">
        <w:rPr>
          <w:color w:val="auto"/>
          <w:sz w:val="21"/>
          <w:szCs w:val="21"/>
        </w:rPr>
        <w:t>i</w:t>
      </w:r>
      <w:r w:rsidR="0006461C" w:rsidRPr="00FF2A2F">
        <w:rPr>
          <w:color w:val="auto"/>
          <w:sz w:val="21"/>
          <w:szCs w:val="21"/>
        </w:rPr>
        <w:t>nvestment will be flexible to accommodate surge funding provided by</w:t>
      </w:r>
      <w:r w:rsidR="00027301" w:rsidRPr="00FF2A2F">
        <w:rPr>
          <w:color w:val="auto"/>
          <w:sz w:val="21"/>
          <w:szCs w:val="21"/>
        </w:rPr>
        <w:t xml:space="preserve"> the Department of Foreign Affairs and Trade (</w:t>
      </w:r>
      <w:r w:rsidR="00D01373" w:rsidRPr="00FF2A2F">
        <w:rPr>
          <w:color w:val="auto"/>
          <w:sz w:val="21"/>
          <w:szCs w:val="21"/>
        </w:rPr>
        <w:t>DFAT</w:t>
      </w:r>
      <w:r w:rsidR="00027301" w:rsidRPr="00FF2A2F">
        <w:rPr>
          <w:color w:val="auto"/>
          <w:sz w:val="21"/>
          <w:szCs w:val="21"/>
        </w:rPr>
        <w:t>) in</w:t>
      </w:r>
      <w:r w:rsidR="00D01373" w:rsidRPr="00FF2A2F">
        <w:rPr>
          <w:color w:val="auto"/>
          <w:sz w:val="21"/>
          <w:szCs w:val="21"/>
        </w:rPr>
        <w:t xml:space="preserve"> </w:t>
      </w:r>
      <w:r w:rsidR="0006461C" w:rsidRPr="00FF2A2F">
        <w:rPr>
          <w:color w:val="auto"/>
          <w:sz w:val="21"/>
          <w:szCs w:val="21"/>
        </w:rPr>
        <w:t xml:space="preserve">Canberra for response and recovery in the event of a significant disaster or multiple disasters. This may be reflected in the eventual budget summary as ‘throughput’ funding. The budget will include a </w:t>
      </w:r>
      <w:r w:rsidR="00F07236" w:rsidRPr="00FF2A2F">
        <w:rPr>
          <w:color w:val="auto"/>
          <w:sz w:val="21"/>
          <w:szCs w:val="21"/>
        </w:rPr>
        <w:t>3.5</w:t>
      </w:r>
      <w:r w:rsidR="0006461C" w:rsidRPr="00FF2A2F">
        <w:rPr>
          <w:color w:val="auto"/>
          <w:sz w:val="21"/>
          <w:szCs w:val="21"/>
        </w:rPr>
        <w:t xml:space="preserve"> per cent indicative allocation</w:t>
      </w:r>
      <w:r w:rsidR="00EE7E37" w:rsidRPr="00FF2A2F">
        <w:rPr>
          <w:color w:val="auto"/>
          <w:sz w:val="21"/>
          <w:szCs w:val="21"/>
        </w:rPr>
        <w:t xml:space="preserve"> each</w:t>
      </w:r>
      <w:r w:rsidR="0006461C" w:rsidRPr="00FF2A2F">
        <w:rPr>
          <w:color w:val="auto"/>
          <w:sz w:val="21"/>
          <w:szCs w:val="21"/>
        </w:rPr>
        <w:t xml:space="preserve"> to monitoring evaluation and learning (MEL) and gender equality, disability and social inclusion (GEDSI), as well as operational costs. </w:t>
      </w:r>
    </w:p>
    <w:p w14:paraId="1ED09880" w14:textId="46612219" w:rsidR="0006461C" w:rsidRPr="00FF2A2F" w:rsidRDefault="0006461C" w:rsidP="00E6131F">
      <w:pPr>
        <w:spacing w:before="120" w:line="260" w:lineRule="atLeast"/>
        <w:ind w:left="0" w:firstLine="0"/>
        <w:rPr>
          <w:rFonts w:cstheme="minorHAnsi"/>
          <w:b/>
          <w:bCs/>
          <w:color w:val="auto"/>
          <w:sz w:val="21"/>
          <w:szCs w:val="21"/>
        </w:rPr>
      </w:pPr>
      <w:r w:rsidRPr="00FF2A2F">
        <w:rPr>
          <w:rFonts w:cstheme="minorHAnsi"/>
          <w:b/>
          <w:bCs/>
          <w:color w:val="auto"/>
          <w:sz w:val="21"/>
          <w:szCs w:val="21"/>
        </w:rPr>
        <w:t>Goal, Objectives and Expected Outcomes</w:t>
      </w:r>
    </w:p>
    <w:p w14:paraId="3C933307" w14:textId="26E9C3F5" w:rsidR="000B6907" w:rsidRPr="00FF2A2F" w:rsidRDefault="00BE6216" w:rsidP="00FF0903">
      <w:pPr>
        <w:spacing w:before="120" w:line="260" w:lineRule="atLeast"/>
        <w:ind w:left="0" w:firstLine="0"/>
        <w:rPr>
          <w:color w:val="auto"/>
          <w:sz w:val="21"/>
          <w:szCs w:val="21"/>
        </w:rPr>
      </w:pPr>
      <w:r w:rsidRPr="00FF2A2F">
        <w:rPr>
          <w:color w:val="auto"/>
          <w:sz w:val="21"/>
          <w:szCs w:val="21"/>
        </w:rPr>
        <w:t>8. T</w:t>
      </w:r>
      <w:r w:rsidR="000B6907" w:rsidRPr="00FF2A2F">
        <w:rPr>
          <w:color w:val="auto"/>
          <w:sz w:val="21"/>
          <w:szCs w:val="21"/>
        </w:rPr>
        <w:t>he investment goal is</w:t>
      </w:r>
      <w:r w:rsidRPr="00FF2A2F">
        <w:rPr>
          <w:color w:val="auto"/>
          <w:sz w:val="21"/>
          <w:szCs w:val="21"/>
        </w:rPr>
        <w:t>:</w:t>
      </w:r>
      <w:r w:rsidR="000B6907" w:rsidRPr="00FF2A2F">
        <w:rPr>
          <w:color w:val="auto"/>
          <w:sz w:val="21"/>
          <w:szCs w:val="21"/>
        </w:rPr>
        <w:t xml:space="preserve"> Australia supports the Kingdom of Tonga to further develop its resilience and well-being.  </w:t>
      </w:r>
    </w:p>
    <w:p w14:paraId="4A4F25B6" w14:textId="796BE97F" w:rsidR="000B6907" w:rsidRPr="00FF2A2F" w:rsidRDefault="00BE6216" w:rsidP="00FF0903">
      <w:pPr>
        <w:spacing w:before="120" w:line="260" w:lineRule="atLeast"/>
        <w:ind w:left="0" w:firstLine="0"/>
        <w:rPr>
          <w:color w:val="auto"/>
          <w:sz w:val="21"/>
          <w:szCs w:val="21"/>
        </w:rPr>
      </w:pPr>
      <w:r w:rsidRPr="00FF2A2F">
        <w:rPr>
          <w:color w:val="auto"/>
          <w:sz w:val="21"/>
          <w:szCs w:val="21"/>
        </w:rPr>
        <w:t xml:space="preserve">9. </w:t>
      </w:r>
      <w:r w:rsidR="000B6907" w:rsidRPr="00FF2A2F">
        <w:rPr>
          <w:color w:val="auto"/>
          <w:sz w:val="21"/>
          <w:szCs w:val="21"/>
        </w:rPr>
        <w:t>The investment objective is</w:t>
      </w:r>
      <w:r w:rsidRPr="00FF2A2F">
        <w:rPr>
          <w:color w:val="auto"/>
          <w:sz w:val="21"/>
          <w:szCs w:val="21"/>
        </w:rPr>
        <w:t xml:space="preserve">: </w:t>
      </w:r>
      <w:r w:rsidR="000B6907" w:rsidRPr="00FF2A2F">
        <w:rPr>
          <w:color w:val="auto"/>
          <w:sz w:val="21"/>
          <w:szCs w:val="21"/>
        </w:rPr>
        <w:t>The Government of Tonga, together with civil society and communities in Tonga, leads effective and inclusive response to disasters and climate change.</w:t>
      </w:r>
    </w:p>
    <w:p w14:paraId="59668D82" w14:textId="1A1C7F91" w:rsidR="000B6907" w:rsidRPr="00FF2A2F" w:rsidRDefault="00BE6216" w:rsidP="00FF0903">
      <w:pPr>
        <w:spacing w:before="120" w:line="260" w:lineRule="atLeast"/>
        <w:ind w:left="0" w:firstLine="0"/>
        <w:rPr>
          <w:color w:val="auto"/>
          <w:sz w:val="21"/>
          <w:szCs w:val="21"/>
        </w:rPr>
      </w:pPr>
      <w:r w:rsidRPr="00FF2A2F">
        <w:rPr>
          <w:color w:val="auto"/>
          <w:sz w:val="21"/>
          <w:szCs w:val="21"/>
        </w:rPr>
        <w:lastRenderedPageBreak/>
        <w:t xml:space="preserve">10. </w:t>
      </w:r>
      <w:r w:rsidR="000B6907" w:rsidRPr="00FF2A2F">
        <w:rPr>
          <w:color w:val="auto"/>
          <w:sz w:val="21"/>
          <w:szCs w:val="21"/>
        </w:rPr>
        <w:t>The investment end of program outcomes (EOPOs)</w:t>
      </w:r>
      <w:r w:rsidRPr="00FF2A2F">
        <w:rPr>
          <w:color w:val="auto"/>
          <w:sz w:val="21"/>
          <w:szCs w:val="21"/>
        </w:rPr>
        <w:t xml:space="preserve"> are: </w:t>
      </w:r>
    </w:p>
    <w:p w14:paraId="4E4F9EA0" w14:textId="38B40833" w:rsidR="000B6907" w:rsidRPr="00FF2A2F" w:rsidRDefault="000B6907"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The NRMDO </w:t>
      </w:r>
      <w:r w:rsidR="0063048E" w:rsidRPr="00FF2A2F">
        <w:rPr>
          <w:rFonts w:cstheme="minorHAnsi"/>
          <w:color w:val="auto"/>
          <w:sz w:val="21"/>
          <w:szCs w:val="21"/>
        </w:rPr>
        <w:t xml:space="preserve">improves their </w:t>
      </w:r>
      <w:r w:rsidRPr="00FF2A2F">
        <w:rPr>
          <w:rFonts w:cstheme="minorHAnsi"/>
          <w:color w:val="auto"/>
          <w:sz w:val="21"/>
          <w:szCs w:val="21"/>
        </w:rPr>
        <w:t>coordinat</w:t>
      </w:r>
      <w:r w:rsidR="0063048E" w:rsidRPr="00FF2A2F">
        <w:rPr>
          <w:rFonts w:cstheme="minorHAnsi"/>
          <w:color w:val="auto"/>
          <w:sz w:val="21"/>
          <w:szCs w:val="21"/>
        </w:rPr>
        <w:t>ion of</w:t>
      </w:r>
      <w:r w:rsidRPr="00FF2A2F">
        <w:rPr>
          <w:rFonts w:cstheme="minorHAnsi"/>
          <w:color w:val="auto"/>
          <w:sz w:val="21"/>
          <w:szCs w:val="21"/>
        </w:rPr>
        <w:t xml:space="preserve"> responses to disaster and climate change impacts in line with </w:t>
      </w:r>
      <w:r w:rsidR="00FA35CA" w:rsidRPr="00FF2A2F">
        <w:rPr>
          <w:rFonts w:cstheme="minorHAnsi"/>
          <w:color w:val="auto"/>
          <w:sz w:val="21"/>
          <w:szCs w:val="21"/>
        </w:rPr>
        <w:tab/>
      </w:r>
      <w:r w:rsidRPr="00FF2A2F">
        <w:rPr>
          <w:rFonts w:cstheme="minorHAnsi"/>
          <w:color w:val="auto"/>
          <w:sz w:val="21"/>
          <w:szCs w:val="21"/>
        </w:rPr>
        <w:t>DRM policy.</w:t>
      </w:r>
    </w:p>
    <w:p w14:paraId="352A9D5C" w14:textId="3A80B072" w:rsidR="00EC6E7D" w:rsidRPr="00FF2A2F" w:rsidRDefault="00EC6E7D"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CSOs </w:t>
      </w:r>
      <w:r w:rsidR="0063048E" w:rsidRPr="00FF2A2F">
        <w:rPr>
          <w:rFonts w:cstheme="minorHAnsi"/>
          <w:color w:val="auto"/>
          <w:sz w:val="21"/>
          <w:szCs w:val="21"/>
        </w:rPr>
        <w:t xml:space="preserve">better </w:t>
      </w:r>
      <w:r w:rsidRPr="00FF2A2F">
        <w:rPr>
          <w:rFonts w:cstheme="minorHAnsi"/>
          <w:color w:val="auto"/>
          <w:sz w:val="21"/>
          <w:szCs w:val="21"/>
        </w:rPr>
        <w:t>represent and support community DRM and climate priorities prior, during and following</w:t>
      </w:r>
      <w:r w:rsidR="00BE6216" w:rsidRPr="00FF2A2F">
        <w:rPr>
          <w:rFonts w:cstheme="minorHAnsi"/>
          <w:color w:val="auto"/>
          <w:sz w:val="21"/>
          <w:szCs w:val="21"/>
        </w:rPr>
        <w:t xml:space="preserve"> </w:t>
      </w:r>
      <w:r w:rsidRPr="00FF2A2F">
        <w:rPr>
          <w:rFonts w:cstheme="minorHAnsi"/>
          <w:color w:val="auto"/>
          <w:sz w:val="21"/>
          <w:szCs w:val="21"/>
        </w:rPr>
        <w:t>DRM and climate related events.</w:t>
      </w:r>
    </w:p>
    <w:p w14:paraId="579384F7" w14:textId="6A0604CF" w:rsidR="0006461C" w:rsidRPr="00FF2A2F" w:rsidRDefault="0063048E"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Stronger </w:t>
      </w:r>
      <w:r w:rsidR="000B6907" w:rsidRPr="00FF2A2F">
        <w:rPr>
          <w:rFonts w:cstheme="minorHAnsi"/>
          <w:color w:val="auto"/>
          <w:sz w:val="21"/>
          <w:szCs w:val="21"/>
        </w:rPr>
        <w:t>DRM coordination in Tonga supports effective, inclusive and locally led responses to disaster</w:t>
      </w:r>
      <w:r w:rsidR="00BE6216" w:rsidRPr="00FF2A2F">
        <w:rPr>
          <w:rFonts w:cstheme="minorHAnsi"/>
          <w:color w:val="auto"/>
          <w:sz w:val="21"/>
          <w:szCs w:val="21"/>
        </w:rPr>
        <w:t xml:space="preserve"> </w:t>
      </w:r>
      <w:r w:rsidR="000B6907" w:rsidRPr="00FF2A2F">
        <w:rPr>
          <w:rFonts w:cstheme="minorHAnsi"/>
          <w:color w:val="auto"/>
          <w:sz w:val="21"/>
          <w:szCs w:val="21"/>
        </w:rPr>
        <w:t xml:space="preserve">and climate change.   </w:t>
      </w:r>
    </w:p>
    <w:p w14:paraId="0D233F62" w14:textId="5398A5BB" w:rsidR="0006461C" w:rsidRPr="00FF2A2F" w:rsidRDefault="00BE6216" w:rsidP="00FF0903">
      <w:pPr>
        <w:spacing w:before="120" w:line="260" w:lineRule="atLeast"/>
        <w:ind w:left="0" w:firstLine="0"/>
        <w:rPr>
          <w:color w:val="auto"/>
          <w:sz w:val="21"/>
          <w:szCs w:val="21"/>
        </w:rPr>
      </w:pPr>
      <w:r w:rsidRPr="00FF2A2F">
        <w:rPr>
          <w:color w:val="auto"/>
          <w:sz w:val="21"/>
          <w:szCs w:val="21"/>
        </w:rPr>
        <w:t xml:space="preserve">11. </w:t>
      </w:r>
      <w:r w:rsidR="0006461C" w:rsidRPr="00FF2A2F">
        <w:rPr>
          <w:color w:val="auto"/>
          <w:sz w:val="21"/>
          <w:szCs w:val="21"/>
        </w:rPr>
        <w:t>The first</w:t>
      </w:r>
      <w:r w:rsidR="000B6907" w:rsidRPr="00FF2A2F">
        <w:rPr>
          <w:color w:val="auto"/>
          <w:sz w:val="21"/>
          <w:szCs w:val="21"/>
        </w:rPr>
        <w:t xml:space="preserve"> EOPO</w:t>
      </w:r>
      <w:r w:rsidR="0006461C" w:rsidRPr="00FF2A2F">
        <w:rPr>
          <w:color w:val="auto"/>
          <w:sz w:val="21"/>
          <w:szCs w:val="21"/>
        </w:rPr>
        <w:t xml:space="preserve"> focuses on </w:t>
      </w:r>
      <w:r w:rsidR="006B1681" w:rsidRPr="00FF2A2F">
        <w:rPr>
          <w:color w:val="auto"/>
          <w:sz w:val="21"/>
          <w:szCs w:val="21"/>
        </w:rPr>
        <w:t>g</w:t>
      </w:r>
      <w:r w:rsidR="0006461C" w:rsidRPr="00FF2A2F">
        <w:rPr>
          <w:color w:val="auto"/>
          <w:sz w:val="21"/>
          <w:szCs w:val="21"/>
        </w:rPr>
        <w:t>overnment preparedness, response and recovery</w:t>
      </w:r>
      <w:r w:rsidR="00EE7E37" w:rsidRPr="00FF2A2F">
        <w:rPr>
          <w:color w:val="auto"/>
          <w:sz w:val="21"/>
          <w:szCs w:val="21"/>
        </w:rPr>
        <w:t>;</w:t>
      </w:r>
      <w:r w:rsidR="0006461C" w:rsidRPr="00FF2A2F">
        <w:rPr>
          <w:color w:val="auto"/>
          <w:sz w:val="21"/>
          <w:szCs w:val="21"/>
        </w:rPr>
        <w:t xml:space="preserve"> the second on civil society preparedness</w:t>
      </w:r>
      <w:r w:rsidR="00EE7E37" w:rsidRPr="00FF2A2F">
        <w:rPr>
          <w:color w:val="auto"/>
          <w:sz w:val="21"/>
          <w:szCs w:val="21"/>
        </w:rPr>
        <w:t>,</w:t>
      </w:r>
      <w:r w:rsidR="0006461C" w:rsidRPr="00FF2A2F">
        <w:rPr>
          <w:color w:val="auto"/>
          <w:sz w:val="21"/>
          <w:szCs w:val="21"/>
        </w:rPr>
        <w:t xml:space="preserve"> response and recovery</w:t>
      </w:r>
      <w:r w:rsidR="00501165" w:rsidRPr="00FF2A2F">
        <w:rPr>
          <w:color w:val="auto"/>
          <w:sz w:val="21"/>
          <w:szCs w:val="21"/>
        </w:rPr>
        <w:t>;</w:t>
      </w:r>
      <w:r w:rsidR="0006461C" w:rsidRPr="00FF2A2F">
        <w:rPr>
          <w:color w:val="auto"/>
          <w:sz w:val="21"/>
          <w:szCs w:val="21"/>
        </w:rPr>
        <w:t xml:space="preserve"> and the third on strengthening connectedness across the humanitarian and disaster response architecture in Tonga.</w:t>
      </w:r>
    </w:p>
    <w:p w14:paraId="1C434B2D" w14:textId="07115311" w:rsidR="0006461C" w:rsidRPr="00FF2A2F" w:rsidRDefault="00BE6216" w:rsidP="00FF0903">
      <w:pPr>
        <w:spacing w:before="120" w:line="260" w:lineRule="atLeast"/>
        <w:ind w:left="0" w:firstLine="0"/>
        <w:rPr>
          <w:color w:val="auto"/>
          <w:sz w:val="21"/>
          <w:szCs w:val="21"/>
        </w:rPr>
      </w:pPr>
      <w:r w:rsidRPr="00FF2A2F">
        <w:rPr>
          <w:color w:val="auto"/>
          <w:sz w:val="21"/>
          <w:szCs w:val="21"/>
        </w:rPr>
        <w:t xml:space="preserve">12. </w:t>
      </w:r>
      <w:r w:rsidR="0006461C" w:rsidRPr="00FF2A2F">
        <w:rPr>
          <w:color w:val="auto"/>
          <w:sz w:val="21"/>
          <w:szCs w:val="21"/>
        </w:rPr>
        <w:t>The initial MEL Framework has incorporated the goal, objective</w:t>
      </w:r>
      <w:r w:rsidR="00AE09B8" w:rsidRPr="00FF2A2F">
        <w:rPr>
          <w:color w:val="auto"/>
          <w:sz w:val="21"/>
          <w:szCs w:val="21"/>
        </w:rPr>
        <w:t xml:space="preserve"> </w:t>
      </w:r>
      <w:r w:rsidR="00B967FF" w:rsidRPr="00FF2A2F">
        <w:rPr>
          <w:color w:val="auto"/>
          <w:sz w:val="21"/>
          <w:szCs w:val="21"/>
        </w:rPr>
        <w:t xml:space="preserve">and </w:t>
      </w:r>
      <w:r w:rsidR="0006461C" w:rsidRPr="00FF2A2F">
        <w:rPr>
          <w:color w:val="auto"/>
          <w:sz w:val="21"/>
          <w:szCs w:val="21"/>
        </w:rPr>
        <w:t>outcomes with draft indicators (including relevant DFAT Tier 2 and Tier 3 indicators).</w:t>
      </w:r>
      <w:r w:rsidR="00066673" w:rsidRPr="00FF2A2F">
        <w:rPr>
          <w:color w:val="auto"/>
          <w:sz w:val="21"/>
          <w:szCs w:val="21"/>
        </w:rPr>
        <w:t xml:space="preserve"> </w:t>
      </w:r>
    </w:p>
    <w:p w14:paraId="7C118893" w14:textId="22F27E8C" w:rsidR="003350D9" w:rsidRPr="00FF2A2F" w:rsidRDefault="00BE6216" w:rsidP="00FF0903">
      <w:pPr>
        <w:spacing w:before="120" w:line="260" w:lineRule="atLeast"/>
        <w:ind w:left="0" w:firstLine="0"/>
        <w:rPr>
          <w:color w:val="auto"/>
          <w:sz w:val="21"/>
          <w:szCs w:val="21"/>
        </w:rPr>
      </w:pPr>
      <w:r w:rsidRPr="00FF2A2F">
        <w:rPr>
          <w:color w:val="auto"/>
          <w:sz w:val="21"/>
          <w:szCs w:val="21"/>
        </w:rPr>
        <w:t xml:space="preserve">13. </w:t>
      </w:r>
      <w:r w:rsidR="003350D9" w:rsidRPr="00FF2A2F">
        <w:rPr>
          <w:color w:val="auto"/>
          <w:sz w:val="21"/>
          <w:szCs w:val="21"/>
        </w:rPr>
        <w:t xml:space="preserve">DFAT </w:t>
      </w:r>
      <w:r w:rsidR="002A4C80" w:rsidRPr="00FF2A2F">
        <w:rPr>
          <w:color w:val="auto"/>
          <w:sz w:val="21"/>
          <w:szCs w:val="21"/>
        </w:rPr>
        <w:t>will use</w:t>
      </w:r>
      <w:r w:rsidR="003350D9" w:rsidRPr="00FF2A2F">
        <w:rPr>
          <w:color w:val="auto"/>
          <w:sz w:val="21"/>
          <w:szCs w:val="21"/>
        </w:rPr>
        <w:t xml:space="preserve"> a range of modalities</w:t>
      </w:r>
      <w:r w:rsidR="002A4C80" w:rsidRPr="00FF2A2F">
        <w:rPr>
          <w:color w:val="auto"/>
          <w:sz w:val="21"/>
          <w:szCs w:val="21"/>
        </w:rPr>
        <w:t xml:space="preserve"> for investment delivery</w:t>
      </w:r>
      <w:r w:rsidR="003350D9" w:rsidRPr="00FF2A2F">
        <w:rPr>
          <w:color w:val="auto"/>
          <w:sz w:val="21"/>
          <w:szCs w:val="21"/>
        </w:rPr>
        <w:t xml:space="preserve">. These will be planned, implemented and managed by Tonga Post. These include </w:t>
      </w:r>
      <w:r w:rsidR="00127543" w:rsidRPr="00FF2A2F">
        <w:rPr>
          <w:color w:val="auto"/>
          <w:sz w:val="21"/>
          <w:szCs w:val="21"/>
        </w:rPr>
        <w:t xml:space="preserve">partnering with aligned DFAT programs such as </w:t>
      </w:r>
      <w:r w:rsidR="00DA0ACD" w:rsidRPr="00FF2A2F">
        <w:rPr>
          <w:color w:val="auto"/>
          <w:sz w:val="21"/>
          <w:szCs w:val="21"/>
        </w:rPr>
        <w:t>PHWP,</w:t>
      </w:r>
      <w:r w:rsidR="002A3C97" w:rsidRPr="00FF2A2F">
        <w:rPr>
          <w:color w:val="auto"/>
          <w:sz w:val="21"/>
          <w:szCs w:val="21"/>
        </w:rPr>
        <w:t xml:space="preserve"> PIEMA,</w:t>
      </w:r>
      <w:r w:rsidR="00127543" w:rsidRPr="00FF2A2F">
        <w:rPr>
          <w:color w:val="auto"/>
          <w:sz w:val="21"/>
          <w:szCs w:val="21"/>
        </w:rPr>
        <w:t xml:space="preserve"> P4SP, </w:t>
      </w:r>
      <w:r w:rsidR="003350D9" w:rsidRPr="00FF2A2F">
        <w:rPr>
          <w:color w:val="auto"/>
          <w:sz w:val="21"/>
          <w:szCs w:val="21"/>
        </w:rPr>
        <w:t>HLC</w:t>
      </w:r>
      <w:r w:rsidR="00127543" w:rsidRPr="00FF2A2F">
        <w:rPr>
          <w:color w:val="auto"/>
          <w:sz w:val="21"/>
          <w:szCs w:val="21"/>
        </w:rPr>
        <w:t xml:space="preserve"> and </w:t>
      </w:r>
      <w:r w:rsidR="003350D9" w:rsidRPr="00FF2A2F">
        <w:rPr>
          <w:color w:val="auto"/>
          <w:sz w:val="21"/>
          <w:szCs w:val="21"/>
        </w:rPr>
        <w:t>Australia Assists</w:t>
      </w:r>
      <w:r w:rsidR="00127543" w:rsidRPr="00FF2A2F">
        <w:rPr>
          <w:color w:val="auto"/>
          <w:sz w:val="21"/>
          <w:szCs w:val="21"/>
        </w:rPr>
        <w:t xml:space="preserve">. </w:t>
      </w:r>
      <w:r w:rsidR="003350D9" w:rsidRPr="00FF2A2F">
        <w:rPr>
          <w:color w:val="auto"/>
          <w:sz w:val="21"/>
          <w:szCs w:val="21"/>
        </w:rPr>
        <w:t xml:space="preserve">DFAT will provide direct financing to the NDRMO using </w:t>
      </w:r>
      <w:r w:rsidR="00EF1757" w:rsidRPr="00FF2A2F">
        <w:rPr>
          <w:color w:val="auto"/>
          <w:sz w:val="21"/>
          <w:szCs w:val="21"/>
        </w:rPr>
        <w:t xml:space="preserve">a </w:t>
      </w:r>
      <w:r w:rsidR="003350D9" w:rsidRPr="00FF2A2F">
        <w:rPr>
          <w:color w:val="auto"/>
          <w:sz w:val="21"/>
          <w:szCs w:val="21"/>
        </w:rPr>
        <w:t>direct financing agreement</w:t>
      </w:r>
      <w:r w:rsidR="00EF1757" w:rsidRPr="00FF2A2F">
        <w:rPr>
          <w:color w:val="auto"/>
          <w:sz w:val="21"/>
          <w:szCs w:val="21"/>
        </w:rPr>
        <w:t xml:space="preserve"> model that allows NDRMO</w:t>
      </w:r>
      <w:r w:rsidR="003350D9" w:rsidRPr="00FF2A2F">
        <w:rPr>
          <w:color w:val="auto"/>
          <w:sz w:val="21"/>
          <w:szCs w:val="21"/>
        </w:rPr>
        <w:t xml:space="preserve"> </w:t>
      </w:r>
      <w:r w:rsidR="00EF1757" w:rsidRPr="00FF2A2F">
        <w:rPr>
          <w:color w:val="auto"/>
          <w:sz w:val="21"/>
          <w:szCs w:val="21"/>
        </w:rPr>
        <w:t>to</w:t>
      </w:r>
      <w:r w:rsidR="003350D9" w:rsidRPr="00FF2A2F">
        <w:rPr>
          <w:color w:val="auto"/>
          <w:sz w:val="21"/>
          <w:szCs w:val="21"/>
        </w:rPr>
        <w:t xml:space="preserve"> prioritis</w:t>
      </w:r>
      <w:r w:rsidR="00EF1757" w:rsidRPr="00FF2A2F">
        <w:rPr>
          <w:color w:val="auto"/>
          <w:sz w:val="21"/>
          <w:szCs w:val="21"/>
        </w:rPr>
        <w:t>e</w:t>
      </w:r>
      <w:r w:rsidR="003350D9" w:rsidRPr="00FF2A2F">
        <w:rPr>
          <w:color w:val="auto"/>
          <w:sz w:val="21"/>
          <w:szCs w:val="21"/>
        </w:rPr>
        <w:t xml:space="preserve"> the type of support</w:t>
      </w:r>
      <w:r w:rsidR="00EF1757" w:rsidRPr="00FF2A2F">
        <w:rPr>
          <w:color w:val="auto"/>
          <w:sz w:val="21"/>
          <w:szCs w:val="21"/>
        </w:rPr>
        <w:t xml:space="preserve"> they need</w:t>
      </w:r>
      <w:r w:rsidR="003350D9" w:rsidRPr="00FF2A2F">
        <w:rPr>
          <w:color w:val="auto"/>
          <w:sz w:val="21"/>
          <w:szCs w:val="21"/>
        </w:rPr>
        <w:t xml:space="preserve">. </w:t>
      </w:r>
      <w:r w:rsidR="0034300D" w:rsidRPr="00FF2A2F">
        <w:rPr>
          <w:color w:val="auto"/>
          <w:sz w:val="21"/>
          <w:szCs w:val="21"/>
        </w:rPr>
        <w:t>Post</w:t>
      </w:r>
      <w:r w:rsidR="003350D9" w:rsidRPr="00FF2A2F">
        <w:rPr>
          <w:color w:val="auto"/>
          <w:sz w:val="21"/>
          <w:szCs w:val="21"/>
        </w:rPr>
        <w:t xml:space="preserve"> will provide grants to</w:t>
      </w:r>
      <w:r w:rsidR="00921579" w:rsidRPr="00FF2A2F">
        <w:rPr>
          <w:color w:val="auto"/>
          <w:sz w:val="21"/>
          <w:szCs w:val="21"/>
        </w:rPr>
        <w:t xml:space="preserve"> Tongan</w:t>
      </w:r>
      <w:r w:rsidR="003350D9" w:rsidRPr="00FF2A2F">
        <w:rPr>
          <w:color w:val="auto"/>
          <w:sz w:val="21"/>
          <w:szCs w:val="21"/>
        </w:rPr>
        <w:t xml:space="preserve"> civil society organisations, either directly or through a partner organisation</w:t>
      </w:r>
      <w:r w:rsidR="00716BC7" w:rsidRPr="00FF2A2F">
        <w:rPr>
          <w:color w:val="auto"/>
          <w:sz w:val="21"/>
          <w:szCs w:val="21"/>
        </w:rPr>
        <w:t>;</w:t>
      </w:r>
      <w:r w:rsidR="00136372" w:rsidRPr="00FF2A2F">
        <w:rPr>
          <w:color w:val="auto"/>
          <w:sz w:val="21"/>
          <w:szCs w:val="21"/>
        </w:rPr>
        <w:t xml:space="preserve"> and</w:t>
      </w:r>
      <w:r w:rsidR="00897066" w:rsidRPr="00FF2A2F">
        <w:rPr>
          <w:color w:val="auto"/>
          <w:sz w:val="21"/>
          <w:szCs w:val="21"/>
        </w:rPr>
        <w:t xml:space="preserve"> will </w:t>
      </w:r>
      <w:r w:rsidR="003350D9" w:rsidRPr="00FF2A2F">
        <w:rPr>
          <w:color w:val="auto"/>
          <w:sz w:val="21"/>
          <w:szCs w:val="21"/>
        </w:rPr>
        <w:t>contract</w:t>
      </w:r>
      <w:r w:rsidR="00897066" w:rsidRPr="00FF2A2F">
        <w:rPr>
          <w:color w:val="auto"/>
          <w:sz w:val="21"/>
          <w:szCs w:val="21"/>
        </w:rPr>
        <w:t xml:space="preserve"> an implementing partner</w:t>
      </w:r>
      <w:r w:rsidR="00394B68" w:rsidRPr="00FF2A2F">
        <w:rPr>
          <w:color w:val="auto"/>
          <w:sz w:val="21"/>
          <w:szCs w:val="21"/>
        </w:rPr>
        <w:t xml:space="preserve"> </w:t>
      </w:r>
      <w:r w:rsidR="00897066" w:rsidRPr="00FF2A2F">
        <w:rPr>
          <w:color w:val="auto"/>
          <w:sz w:val="21"/>
          <w:szCs w:val="21"/>
        </w:rPr>
        <w:t xml:space="preserve">to </w:t>
      </w:r>
      <w:r w:rsidR="0038014F" w:rsidRPr="00FF2A2F">
        <w:rPr>
          <w:color w:val="auto"/>
          <w:sz w:val="21"/>
          <w:szCs w:val="21"/>
        </w:rPr>
        <w:t xml:space="preserve">deliver </w:t>
      </w:r>
      <w:r w:rsidR="003350D9" w:rsidRPr="00FF2A2F">
        <w:rPr>
          <w:color w:val="auto"/>
          <w:sz w:val="21"/>
          <w:szCs w:val="21"/>
        </w:rPr>
        <w:t>investment management activities such a</w:t>
      </w:r>
      <w:r w:rsidR="00394B68" w:rsidRPr="00FF2A2F">
        <w:rPr>
          <w:color w:val="auto"/>
          <w:sz w:val="21"/>
          <w:szCs w:val="21"/>
        </w:rPr>
        <w:t xml:space="preserve">s MEL </w:t>
      </w:r>
      <w:r w:rsidR="003350D9" w:rsidRPr="00FF2A2F">
        <w:rPr>
          <w:color w:val="auto"/>
          <w:sz w:val="21"/>
          <w:szCs w:val="21"/>
        </w:rPr>
        <w:t>services</w:t>
      </w:r>
      <w:r w:rsidR="009D30AF" w:rsidRPr="00FF2A2F">
        <w:rPr>
          <w:color w:val="auto"/>
          <w:sz w:val="21"/>
          <w:szCs w:val="21"/>
        </w:rPr>
        <w:t xml:space="preserve">, </w:t>
      </w:r>
      <w:r w:rsidR="00394B68" w:rsidRPr="00FF2A2F">
        <w:rPr>
          <w:color w:val="auto"/>
          <w:sz w:val="21"/>
          <w:szCs w:val="21"/>
        </w:rPr>
        <w:t>GEDSI</w:t>
      </w:r>
      <w:r w:rsidR="003350D9" w:rsidRPr="00FF2A2F">
        <w:rPr>
          <w:color w:val="auto"/>
          <w:sz w:val="21"/>
          <w:szCs w:val="21"/>
        </w:rPr>
        <w:t xml:space="preserve"> and</w:t>
      </w:r>
      <w:r w:rsidR="00394B68" w:rsidRPr="00FF2A2F">
        <w:rPr>
          <w:color w:val="auto"/>
          <w:sz w:val="21"/>
          <w:szCs w:val="21"/>
        </w:rPr>
        <w:t xml:space="preserve"> support</w:t>
      </w:r>
      <w:r w:rsidR="003350D9" w:rsidRPr="00FF2A2F">
        <w:rPr>
          <w:color w:val="auto"/>
          <w:sz w:val="21"/>
          <w:szCs w:val="21"/>
        </w:rPr>
        <w:t xml:space="preserve"> due diligence processes.</w:t>
      </w:r>
    </w:p>
    <w:p w14:paraId="0861AFF3" w14:textId="1B9A94C4" w:rsidR="00A51F4F" w:rsidRPr="00FF2A2F" w:rsidRDefault="008519AA" w:rsidP="00FF0903">
      <w:pPr>
        <w:spacing w:before="120" w:line="260" w:lineRule="atLeast"/>
        <w:ind w:left="0" w:firstLine="0"/>
        <w:rPr>
          <w:color w:val="auto"/>
          <w:sz w:val="21"/>
          <w:szCs w:val="21"/>
        </w:rPr>
      </w:pPr>
      <w:r w:rsidRPr="00FF2A2F">
        <w:rPr>
          <w:color w:val="auto"/>
          <w:sz w:val="21"/>
          <w:szCs w:val="21"/>
        </w:rPr>
        <w:t>1</w:t>
      </w:r>
      <w:r w:rsidR="00BE6216" w:rsidRPr="00FF2A2F">
        <w:rPr>
          <w:color w:val="auto"/>
          <w:sz w:val="21"/>
          <w:szCs w:val="21"/>
        </w:rPr>
        <w:t xml:space="preserve">4. </w:t>
      </w:r>
      <w:r w:rsidR="003350D9" w:rsidRPr="00FF2A2F">
        <w:rPr>
          <w:color w:val="auto"/>
          <w:sz w:val="21"/>
          <w:szCs w:val="21"/>
        </w:rPr>
        <w:t>The investment governance structure will operate at two levels: (</w:t>
      </w:r>
      <w:r w:rsidR="00BA373E" w:rsidRPr="00FF2A2F">
        <w:rPr>
          <w:color w:val="auto"/>
          <w:sz w:val="21"/>
          <w:szCs w:val="21"/>
        </w:rPr>
        <w:t>1</w:t>
      </w:r>
      <w:r w:rsidR="003350D9" w:rsidRPr="00FF2A2F">
        <w:rPr>
          <w:color w:val="auto"/>
          <w:sz w:val="21"/>
          <w:szCs w:val="21"/>
        </w:rPr>
        <w:t xml:space="preserve">) GoT and </w:t>
      </w:r>
      <w:r w:rsidR="0034300D" w:rsidRPr="00FF2A2F">
        <w:rPr>
          <w:color w:val="auto"/>
          <w:sz w:val="21"/>
          <w:szCs w:val="21"/>
        </w:rPr>
        <w:t>Post</w:t>
      </w:r>
      <w:r w:rsidR="003350D9" w:rsidRPr="00FF2A2F">
        <w:rPr>
          <w:color w:val="auto"/>
          <w:sz w:val="21"/>
          <w:szCs w:val="21"/>
        </w:rPr>
        <w:t xml:space="preserve"> oversight and policy direction of the investment</w:t>
      </w:r>
      <w:r w:rsidR="00501165" w:rsidRPr="00FF2A2F">
        <w:rPr>
          <w:color w:val="auto"/>
          <w:sz w:val="21"/>
          <w:szCs w:val="21"/>
        </w:rPr>
        <w:t xml:space="preserve"> – the </w:t>
      </w:r>
      <w:r w:rsidR="003A599B" w:rsidRPr="00FF2A2F">
        <w:rPr>
          <w:color w:val="auto"/>
          <w:sz w:val="21"/>
          <w:szCs w:val="21"/>
        </w:rPr>
        <w:t xml:space="preserve">Tala Kei Kapa </w:t>
      </w:r>
      <w:r w:rsidR="00165CE3" w:rsidRPr="00FF2A2F">
        <w:rPr>
          <w:color w:val="auto"/>
          <w:sz w:val="21"/>
          <w:szCs w:val="21"/>
        </w:rPr>
        <w:t>Steering Committee</w:t>
      </w:r>
      <w:r w:rsidR="003350D9" w:rsidRPr="00FF2A2F">
        <w:rPr>
          <w:color w:val="auto"/>
          <w:sz w:val="21"/>
          <w:szCs w:val="21"/>
        </w:rPr>
        <w:t>; and (</w:t>
      </w:r>
      <w:r w:rsidR="00BA373E" w:rsidRPr="00FF2A2F">
        <w:rPr>
          <w:color w:val="auto"/>
          <w:sz w:val="21"/>
          <w:szCs w:val="21"/>
        </w:rPr>
        <w:t>2</w:t>
      </w:r>
      <w:r w:rsidR="003350D9" w:rsidRPr="00FF2A2F">
        <w:rPr>
          <w:color w:val="auto"/>
          <w:sz w:val="21"/>
          <w:szCs w:val="21"/>
        </w:rPr>
        <w:t>) a working level partnership forum among DFAT, GoT and delivery partners that focuses on implementation</w:t>
      </w:r>
      <w:r w:rsidR="0005017C" w:rsidRPr="00FF2A2F">
        <w:rPr>
          <w:color w:val="auto"/>
          <w:sz w:val="21"/>
          <w:szCs w:val="21"/>
        </w:rPr>
        <w:t xml:space="preserve"> – the </w:t>
      </w:r>
      <w:r w:rsidR="003A599B" w:rsidRPr="00FF2A2F">
        <w:rPr>
          <w:color w:val="auto"/>
          <w:sz w:val="21"/>
          <w:szCs w:val="21"/>
        </w:rPr>
        <w:t xml:space="preserve">Tala Kei Kapa </w:t>
      </w:r>
      <w:r w:rsidR="0005017C" w:rsidRPr="00FF2A2F">
        <w:rPr>
          <w:color w:val="auto"/>
          <w:sz w:val="21"/>
          <w:szCs w:val="21"/>
        </w:rPr>
        <w:t>Working Group</w:t>
      </w:r>
      <w:r w:rsidR="003350D9" w:rsidRPr="00FF2A2F">
        <w:rPr>
          <w:color w:val="auto"/>
          <w:sz w:val="21"/>
          <w:szCs w:val="21"/>
        </w:rPr>
        <w:t xml:space="preserve">. </w:t>
      </w:r>
      <w:r w:rsidR="0005017C" w:rsidRPr="00FF2A2F">
        <w:rPr>
          <w:color w:val="auto"/>
          <w:sz w:val="21"/>
          <w:szCs w:val="21"/>
        </w:rPr>
        <w:t>L</w:t>
      </w:r>
      <w:r w:rsidR="003350D9" w:rsidRPr="00FF2A2F">
        <w:rPr>
          <w:color w:val="auto"/>
          <w:sz w:val="21"/>
          <w:szCs w:val="21"/>
        </w:rPr>
        <w:t>eadership</w:t>
      </w:r>
      <w:r w:rsidR="0005017C" w:rsidRPr="00FF2A2F">
        <w:rPr>
          <w:color w:val="auto"/>
          <w:sz w:val="21"/>
          <w:szCs w:val="21"/>
        </w:rPr>
        <w:t xml:space="preserve"> opportunities for women and people with disability</w:t>
      </w:r>
      <w:r w:rsidR="00A425FE" w:rsidRPr="00FF2A2F">
        <w:rPr>
          <w:color w:val="auto"/>
          <w:sz w:val="21"/>
          <w:szCs w:val="21"/>
        </w:rPr>
        <w:t xml:space="preserve"> in investment</w:t>
      </w:r>
      <w:r w:rsidR="003350D9" w:rsidRPr="00FF2A2F">
        <w:rPr>
          <w:color w:val="auto"/>
          <w:sz w:val="21"/>
          <w:szCs w:val="21"/>
        </w:rPr>
        <w:t xml:space="preserve"> governance and management structures will be pursued and prioritised by </w:t>
      </w:r>
      <w:r w:rsidR="0034300D" w:rsidRPr="00FF2A2F">
        <w:rPr>
          <w:color w:val="auto"/>
          <w:sz w:val="21"/>
          <w:szCs w:val="21"/>
        </w:rPr>
        <w:t>Post</w:t>
      </w:r>
      <w:r w:rsidR="00BB036E" w:rsidRPr="00FF2A2F">
        <w:rPr>
          <w:color w:val="auto"/>
          <w:sz w:val="21"/>
          <w:szCs w:val="21"/>
        </w:rPr>
        <w:t xml:space="preserve">, as will the identification and proactive management of risks. </w:t>
      </w:r>
    </w:p>
    <w:p w14:paraId="4495A8B3" w14:textId="569FA8AA" w:rsidR="00360C41" w:rsidRPr="00FF2A2F" w:rsidRDefault="008519AA" w:rsidP="00FF0903">
      <w:pPr>
        <w:spacing w:before="120" w:line="260" w:lineRule="atLeast"/>
        <w:ind w:left="0" w:firstLine="0"/>
        <w:rPr>
          <w:color w:val="auto"/>
          <w:sz w:val="21"/>
          <w:szCs w:val="21"/>
        </w:rPr>
      </w:pPr>
      <w:r w:rsidRPr="00FF2A2F">
        <w:rPr>
          <w:color w:val="auto"/>
          <w:sz w:val="21"/>
          <w:szCs w:val="21"/>
        </w:rPr>
        <w:t>1</w:t>
      </w:r>
      <w:r w:rsidR="00BE6216" w:rsidRPr="00FF2A2F">
        <w:rPr>
          <w:color w:val="auto"/>
          <w:sz w:val="21"/>
          <w:szCs w:val="21"/>
        </w:rPr>
        <w:t xml:space="preserve">5. </w:t>
      </w:r>
      <w:r w:rsidR="00892DA9" w:rsidRPr="00FF2A2F">
        <w:rPr>
          <w:color w:val="auto"/>
          <w:sz w:val="21"/>
          <w:szCs w:val="21"/>
        </w:rPr>
        <w:t>The investments</w:t>
      </w:r>
      <w:r w:rsidR="00360C41" w:rsidRPr="00FF2A2F">
        <w:rPr>
          <w:color w:val="auto"/>
          <w:sz w:val="21"/>
          <w:szCs w:val="21"/>
        </w:rPr>
        <w:t xml:space="preserve"> risk and control measures are captured in a single risk register and will be guided by a risk management plan (including fraud control plan) to be developed by </w:t>
      </w:r>
      <w:r w:rsidR="0034300D" w:rsidRPr="00FF2A2F">
        <w:rPr>
          <w:color w:val="auto"/>
          <w:sz w:val="21"/>
          <w:szCs w:val="21"/>
        </w:rPr>
        <w:t>Post</w:t>
      </w:r>
      <w:r w:rsidR="00360C41" w:rsidRPr="00FF2A2F">
        <w:rPr>
          <w:color w:val="auto"/>
          <w:sz w:val="21"/>
          <w:szCs w:val="21"/>
        </w:rPr>
        <w:t xml:space="preserve"> in the inception phase. The current </w:t>
      </w:r>
      <w:r w:rsidR="00892DA9" w:rsidRPr="00FF2A2F">
        <w:rPr>
          <w:color w:val="auto"/>
          <w:sz w:val="21"/>
          <w:szCs w:val="21"/>
        </w:rPr>
        <w:t>investment</w:t>
      </w:r>
      <w:r w:rsidR="00360C41" w:rsidRPr="00FF2A2F">
        <w:rPr>
          <w:color w:val="auto"/>
          <w:sz w:val="21"/>
          <w:szCs w:val="21"/>
        </w:rPr>
        <w:t xml:space="preserve"> Risk Register at Design has been developed with Post and draws on a) current experience implementing humanitarian preparedness and response programs in Tonga and b) analysis in this </w:t>
      </w:r>
      <w:r w:rsidR="00721858" w:rsidRPr="00FF2A2F">
        <w:rPr>
          <w:color w:val="auto"/>
          <w:sz w:val="21"/>
          <w:szCs w:val="21"/>
        </w:rPr>
        <w:t>design document. The</w:t>
      </w:r>
      <w:r w:rsidR="00360C41" w:rsidRPr="00FF2A2F">
        <w:rPr>
          <w:color w:val="auto"/>
          <w:sz w:val="21"/>
          <w:szCs w:val="21"/>
        </w:rPr>
        <w:t xml:space="preserve"> </w:t>
      </w:r>
      <w:r w:rsidR="00892DA9" w:rsidRPr="00FF2A2F">
        <w:rPr>
          <w:color w:val="auto"/>
          <w:sz w:val="21"/>
          <w:szCs w:val="21"/>
        </w:rPr>
        <w:t xml:space="preserve">investment </w:t>
      </w:r>
      <w:r w:rsidR="00360C41" w:rsidRPr="00FF2A2F">
        <w:rPr>
          <w:color w:val="auto"/>
          <w:sz w:val="21"/>
          <w:szCs w:val="21"/>
        </w:rPr>
        <w:t>currently ha</w:t>
      </w:r>
      <w:r w:rsidR="00B61292" w:rsidRPr="00FF2A2F">
        <w:rPr>
          <w:color w:val="auto"/>
          <w:sz w:val="21"/>
          <w:szCs w:val="21"/>
        </w:rPr>
        <w:t>s</w:t>
      </w:r>
      <w:r w:rsidR="00360C41" w:rsidRPr="00FF2A2F">
        <w:rPr>
          <w:color w:val="auto"/>
          <w:sz w:val="21"/>
          <w:szCs w:val="21"/>
        </w:rPr>
        <w:t xml:space="preserve"> a high ‘inherent’ and a medium ‘residual’ risk profile.   </w:t>
      </w:r>
    </w:p>
    <w:p w14:paraId="3C75BB3C" w14:textId="1B1E795F" w:rsidR="00360C41" w:rsidRPr="00FF2A2F" w:rsidRDefault="00BE6216" w:rsidP="00FF0903">
      <w:pPr>
        <w:spacing w:before="120" w:line="260" w:lineRule="atLeast"/>
        <w:ind w:left="0" w:firstLine="0"/>
        <w:rPr>
          <w:color w:val="auto"/>
          <w:sz w:val="21"/>
          <w:szCs w:val="21"/>
        </w:rPr>
      </w:pPr>
      <w:r w:rsidRPr="00FF2A2F">
        <w:rPr>
          <w:color w:val="auto"/>
          <w:sz w:val="21"/>
          <w:szCs w:val="21"/>
        </w:rPr>
        <w:t xml:space="preserve">16. </w:t>
      </w:r>
      <w:r w:rsidR="00360C41" w:rsidRPr="00FF2A2F">
        <w:rPr>
          <w:color w:val="auto"/>
          <w:sz w:val="21"/>
          <w:szCs w:val="21"/>
        </w:rPr>
        <w:t>The risk register currently identifies 14 risks across 7 primary risk categories and outlines how</w:t>
      </w:r>
      <w:r w:rsidR="00892DA9" w:rsidRPr="00FF2A2F">
        <w:rPr>
          <w:color w:val="auto"/>
          <w:sz w:val="21"/>
          <w:szCs w:val="21"/>
        </w:rPr>
        <w:t xml:space="preserve"> the investment</w:t>
      </w:r>
      <w:r w:rsidR="00360C41" w:rsidRPr="00FF2A2F">
        <w:rPr>
          <w:color w:val="auto"/>
          <w:sz w:val="21"/>
          <w:szCs w:val="21"/>
        </w:rPr>
        <w:t xml:space="preserve"> will manage each of these risks (avoid, treat, or accept). The key risks that need to be managed are as follows:</w:t>
      </w:r>
    </w:p>
    <w:p w14:paraId="0B9CCF55" w14:textId="4BFF67FA" w:rsidR="00360C41" w:rsidRPr="00FF2A2F" w:rsidRDefault="00360C41"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Use of Australian funds contracted to local partners are delayed and / or not used for intended purposes. </w:t>
      </w:r>
    </w:p>
    <w:p w14:paraId="19CA9DE3" w14:textId="06CB73FC" w:rsidR="00360C41" w:rsidRPr="00FF2A2F" w:rsidRDefault="00360C41"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Community beneficiaries of Australia’s funding and resources through the Tonga HPPR are exposed to various types of safety hazards, risk and harm including sexual exploitation, abuse and harassment.  </w:t>
      </w:r>
    </w:p>
    <w:p w14:paraId="0D17D52D" w14:textId="50975F04" w:rsidR="00360C41" w:rsidRPr="00FF2A2F" w:rsidRDefault="00360C41"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Partners funded by the investment do not have the capacity or capability to absorb programming. </w:t>
      </w:r>
    </w:p>
    <w:p w14:paraId="6659CC4D" w14:textId="462158D3" w:rsidR="00360C41" w:rsidRPr="00FF2A2F" w:rsidRDefault="00360C41"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DFAT does not have the requisite time to effectively directly manage and monitor such a complex</w:t>
      </w:r>
      <w:r w:rsidR="00BE6216" w:rsidRPr="00FF2A2F">
        <w:rPr>
          <w:rFonts w:cstheme="minorHAnsi"/>
          <w:color w:val="auto"/>
          <w:sz w:val="21"/>
          <w:szCs w:val="21"/>
        </w:rPr>
        <w:t xml:space="preserve"> </w:t>
      </w:r>
      <w:r w:rsidRPr="00FF2A2F">
        <w:rPr>
          <w:rFonts w:cstheme="minorHAnsi"/>
          <w:color w:val="auto"/>
          <w:sz w:val="21"/>
          <w:szCs w:val="21"/>
        </w:rPr>
        <w:t>p</w:t>
      </w:r>
      <w:r w:rsidR="00BE6216" w:rsidRPr="00FF2A2F">
        <w:rPr>
          <w:rFonts w:cstheme="minorHAnsi"/>
          <w:color w:val="auto"/>
          <w:sz w:val="21"/>
          <w:szCs w:val="21"/>
        </w:rPr>
        <w:t>r</w:t>
      </w:r>
      <w:r w:rsidRPr="00FF2A2F">
        <w:rPr>
          <w:rFonts w:cstheme="minorHAnsi"/>
          <w:color w:val="auto"/>
          <w:sz w:val="21"/>
          <w:szCs w:val="21"/>
        </w:rPr>
        <w:t>ogram comprising so many individual contracts and partners.</w:t>
      </w:r>
    </w:p>
    <w:p w14:paraId="1DFFA594" w14:textId="78F0524A" w:rsidR="00360C41" w:rsidRPr="00FF2A2F" w:rsidRDefault="00BE6216" w:rsidP="00FF0903">
      <w:pPr>
        <w:spacing w:before="120" w:line="260" w:lineRule="atLeast"/>
        <w:ind w:left="0" w:firstLine="0"/>
        <w:rPr>
          <w:color w:val="auto"/>
          <w:sz w:val="21"/>
          <w:szCs w:val="21"/>
        </w:rPr>
      </w:pPr>
      <w:r w:rsidRPr="00FF2A2F">
        <w:rPr>
          <w:color w:val="auto"/>
          <w:sz w:val="21"/>
          <w:szCs w:val="21"/>
        </w:rPr>
        <w:t xml:space="preserve">17. </w:t>
      </w:r>
      <w:r w:rsidR="00360C41" w:rsidRPr="00FF2A2F">
        <w:rPr>
          <w:color w:val="auto"/>
          <w:sz w:val="21"/>
          <w:szCs w:val="21"/>
        </w:rPr>
        <w:t xml:space="preserve">The following mitigation measures are proposed to address these risks: </w:t>
      </w:r>
    </w:p>
    <w:p w14:paraId="737FDF0D" w14:textId="1A026029" w:rsidR="00360C41" w:rsidRPr="00FF2A2F" w:rsidRDefault="00360C41"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Post engages with reliable and reputable partners by conducting proper due diligence and regular performance assessments, as well as close monitoring of the activity implementations. </w:t>
      </w:r>
    </w:p>
    <w:p w14:paraId="3F24C227" w14:textId="6848BA75" w:rsidR="00BE6216" w:rsidRPr="00FF2A2F" w:rsidRDefault="00BE6216"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Post will procure a fiduciary risk assessment of NDRMO to assesses risks in their financial governance processes and identify safeguards and risk mitigation strategies, controls and treatments needed to ensure financial accountability is robust and there is an effective use of public resources.</w:t>
      </w:r>
    </w:p>
    <w:p w14:paraId="0B9CF016" w14:textId="7CDF2653" w:rsidR="00360C41" w:rsidRPr="00FF2A2F" w:rsidRDefault="00BE6216"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Non-Government p</w:t>
      </w:r>
      <w:r w:rsidR="00360C41" w:rsidRPr="00FF2A2F">
        <w:rPr>
          <w:rFonts w:cstheme="minorHAnsi"/>
          <w:color w:val="auto"/>
          <w:sz w:val="21"/>
          <w:szCs w:val="21"/>
        </w:rPr>
        <w:t>artners have appropriate safeguarding policies, procedures and guidelines in place</w:t>
      </w:r>
      <w:r w:rsidRPr="00FF2A2F">
        <w:rPr>
          <w:rFonts w:cstheme="minorHAnsi"/>
          <w:color w:val="auto"/>
          <w:sz w:val="21"/>
          <w:szCs w:val="21"/>
        </w:rPr>
        <w:t>,</w:t>
      </w:r>
      <w:r w:rsidR="00360C41" w:rsidRPr="00FF2A2F">
        <w:rPr>
          <w:rFonts w:cstheme="minorHAnsi"/>
          <w:color w:val="auto"/>
          <w:sz w:val="21"/>
          <w:szCs w:val="21"/>
        </w:rPr>
        <w:t xml:space="preserve"> particularly for Child Protection and Preventing Sexual Exploitation, Abuse and Harassment.  </w:t>
      </w:r>
    </w:p>
    <w:p w14:paraId="4BE86358" w14:textId="6DEE16A3" w:rsidR="00EF1757" w:rsidRPr="00FF2A2F" w:rsidRDefault="00360C41"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lastRenderedPageBreak/>
        <w:t xml:space="preserve">Post works with partners to build capacity and capability and only enters into programming agreements </w:t>
      </w:r>
      <w:r w:rsidR="000C0456" w:rsidRPr="00FF2A2F">
        <w:rPr>
          <w:rFonts w:cstheme="minorHAnsi"/>
          <w:color w:val="auto"/>
          <w:sz w:val="21"/>
          <w:szCs w:val="21"/>
        </w:rPr>
        <w:tab/>
      </w:r>
      <w:r w:rsidRPr="00FF2A2F">
        <w:rPr>
          <w:rFonts w:cstheme="minorHAnsi"/>
          <w:color w:val="auto"/>
          <w:sz w:val="21"/>
          <w:szCs w:val="21"/>
        </w:rPr>
        <w:t>where partners can demonstrate their ability to absorb the funding offered by Post and meet DFAT’s due diligence standards.</w:t>
      </w:r>
    </w:p>
    <w:p w14:paraId="5F884087" w14:textId="6939B428" w:rsidR="00EF1757" w:rsidRPr="00FF2A2F" w:rsidRDefault="00BE6216" w:rsidP="00FF0903">
      <w:pPr>
        <w:spacing w:before="120" w:line="260" w:lineRule="atLeast"/>
        <w:ind w:left="0" w:firstLine="0"/>
        <w:rPr>
          <w:b/>
          <w:bCs/>
          <w:color w:val="auto"/>
          <w:sz w:val="21"/>
          <w:szCs w:val="21"/>
        </w:rPr>
      </w:pPr>
      <w:r w:rsidRPr="00FF2A2F">
        <w:rPr>
          <w:rFonts w:cstheme="minorHAnsi"/>
          <w:color w:val="auto"/>
          <w:sz w:val="21"/>
          <w:szCs w:val="21"/>
        </w:rPr>
        <w:br/>
      </w:r>
      <w:r w:rsidRPr="00FF2A2F">
        <w:rPr>
          <w:b/>
          <w:bCs/>
          <w:color w:val="auto"/>
          <w:sz w:val="21"/>
          <w:szCs w:val="21"/>
        </w:rPr>
        <w:t>Box 1: Naming Rationale</w:t>
      </w:r>
    </w:p>
    <w:p w14:paraId="02C3CA43" w14:textId="2922F295" w:rsidR="009D0481" w:rsidRPr="00FF2A2F" w:rsidRDefault="000E56C0" w:rsidP="00FF0903">
      <w:pPr>
        <w:spacing w:before="120" w:line="260" w:lineRule="atLeast"/>
        <w:ind w:left="0" w:firstLine="0"/>
        <w:rPr>
          <w:rFonts w:cstheme="minorHAnsi"/>
          <w:i/>
          <w:iCs/>
          <w:color w:val="auto"/>
          <w:sz w:val="21"/>
          <w:szCs w:val="21"/>
        </w:rPr>
      </w:pPr>
      <w:r w:rsidRPr="00FF2A2F">
        <w:rPr>
          <w:rFonts w:cstheme="minorHAnsi"/>
          <w:b/>
          <w:bCs/>
          <w:i/>
          <w:iCs/>
          <w:color w:val="auto"/>
          <w:sz w:val="21"/>
          <w:szCs w:val="21"/>
        </w:rPr>
        <w:t>Tala Kei Kapa</w:t>
      </w:r>
      <w:r w:rsidRPr="00FF2A2F">
        <w:rPr>
          <w:i/>
          <w:iCs/>
          <w:color w:val="auto"/>
        </w:rPr>
        <w:t xml:space="preserve"> refers to the longer Tongan proverb “Tala </w:t>
      </w:r>
      <w:proofErr w:type="spellStart"/>
      <w:r w:rsidRPr="00FF2A2F">
        <w:rPr>
          <w:i/>
          <w:iCs/>
          <w:color w:val="auto"/>
        </w:rPr>
        <w:t>kei</w:t>
      </w:r>
      <w:proofErr w:type="spellEnd"/>
      <w:r w:rsidRPr="00FF2A2F">
        <w:rPr>
          <w:i/>
          <w:iCs/>
          <w:color w:val="auto"/>
        </w:rPr>
        <w:t xml:space="preserve"> Kapa </w:t>
      </w:r>
      <w:proofErr w:type="spellStart"/>
      <w:r w:rsidRPr="00FF2A2F">
        <w:rPr>
          <w:i/>
          <w:iCs/>
          <w:color w:val="auto"/>
        </w:rPr>
        <w:t>nake</w:t>
      </w:r>
      <w:proofErr w:type="spellEnd"/>
      <w:r w:rsidRPr="00FF2A2F">
        <w:rPr>
          <w:i/>
          <w:iCs/>
          <w:color w:val="auto"/>
        </w:rPr>
        <w:t xml:space="preserve"> to ki Mala” which tells of the need to be prepared for the future. The direct translation of the proverb into English is “Notify them at Kapa, before you get to Mala.” The proverb refers to a treacherous passage between islands in </w:t>
      </w:r>
      <w:proofErr w:type="spellStart"/>
      <w:r w:rsidRPr="00FF2A2F">
        <w:rPr>
          <w:i/>
          <w:iCs/>
          <w:color w:val="auto"/>
        </w:rPr>
        <w:t>Vava’u</w:t>
      </w:r>
      <w:proofErr w:type="spellEnd"/>
      <w:r w:rsidRPr="00FF2A2F">
        <w:rPr>
          <w:i/>
          <w:iCs/>
          <w:color w:val="auto"/>
        </w:rPr>
        <w:t xml:space="preserve"> where travellers were cautioned to prepare in the village of Kapa before facing the dangerous conditions on their way to Mala. This proverb serves as a reminder to stay alert, heed warnings, and prepare for potential risks. The proverb has deep cultural connection with disaster preparedness and communicates the wisdom and history of local traditional knowledge while clearly communicating the program’s proactive mission: to strengthen community resilience, reduce disaster risks, and empower people to act before disaster strikes.  </w:t>
      </w:r>
    </w:p>
    <w:p w14:paraId="77B5CC29" w14:textId="2C9A6D71" w:rsidR="00A32858" w:rsidRPr="00FF2A2F" w:rsidRDefault="00C77675" w:rsidP="00FF0903">
      <w:pPr>
        <w:pStyle w:val="Heading2"/>
        <w:ind w:hanging="568"/>
        <w:rPr>
          <w:color w:val="auto"/>
          <w:sz w:val="32"/>
          <w:szCs w:val="32"/>
        </w:rPr>
      </w:pPr>
      <w:bookmarkStart w:id="4" w:name="_Toc214543660"/>
      <w:r w:rsidRPr="00FF2A2F">
        <w:rPr>
          <w:color w:val="auto"/>
          <w:sz w:val="32"/>
          <w:szCs w:val="32"/>
        </w:rPr>
        <w:t xml:space="preserve">B: </w:t>
      </w:r>
      <w:r w:rsidR="00A32858" w:rsidRPr="00FF2A2F">
        <w:rPr>
          <w:color w:val="auto"/>
          <w:sz w:val="32"/>
          <w:szCs w:val="32"/>
        </w:rPr>
        <w:t>Development Context and Situational Analysis</w:t>
      </w:r>
      <w:bookmarkEnd w:id="4"/>
      <w:r w:rsidR="00716657" w:rsidRPr="00FF2A2F">
        <w:rPr>
          <w:color w:val="auto"/>
          <w:sz w:val="32"/>
          <w:szCs w:val="32"/>
        </w:rPr>
        <w:t xml:space="preserve"> </w:t>
      </w:r>
    </w:p>
    <w:p w14:paraId="3FD3401E" w14:textId="637AA64F" w:rsidR="000B5660" w:rsidRPr="00FF2A2F" w:rsidRDefault="00476E4C" w:rsidP="00FF0903">
      <w:pPr>
        <w:spacing w:before="120" w:line="260" w:lineRule="atLeast"/>
        <w:ind w:left="0" w:firstLine="0"/>
        <w:rPr>
          <w:color w:val="auto"/>
          <w:sz w:val="21"/>
          <w:szCs w:val="21"/>
        </w:rPr>
      </w:pPr>
      <w:r w:rsidRPr="00FF2A2F">
        <w:rPr>
          <w:b/>
          <w:bCs/>
          <w:color w:val="auto"/>
        </w:rPr>
        <w:t>Introduction</w:t>
      </w:r>
    </w:p>
    <w:p w14:paraId="01255676" w14:textId="3411F80B" w:rsidR="00337FD1" w:rsidRPr="00FF2A2F" w:rsidRDefault="00F66EAA" w:rsidP="00FF0903">
      <w:pPr>
        <w:spacing w:before="120" w:line="260" w:lineRule="atLeast"/>
        <w:ind w:left="0" w:firstLine="0"/>
        <w:rPr>
          <w:color w:val="auto"/>
          <w:sz w:val="21"/>
          <w:szCs w:val="21"/>
        </w:rPr>
      </w:pPr>
      <w:r w:rsidRPr="00FF2A2F">
        <w:rPr>
          <w:color w:val="auto"/>
          <w:sz w:val="21"/>
          <w:szCs w:val="21"/>
        </w:rPr>
        <w:t>1</w:t>
      </w:r>
      <w:r w:rsidR="00E139B9" w:rsidRPr="00FF2A2F">
        <w:rPr>
          <w:color w:val="auto"/>
          <w:sz w:val="21"/>
          <w:szCs w:val="21"/>
        </w:rPr>
        <w:t xml:space="preserve">8. </w:t>
      </w:r>
      <w:r w:rsidR="00BE6CE1" w:rsidRPr="00FF2A2F">
        <w:rPr>
          <w:color w:val="auto"/>
          <w:sz w:val="21"/>
          <w:szCs w:val="21"/>
        </w:rPr>
        <w:t xml:space="preserve">This is the Investment Design Document (IDD) for a new </w:t>
      </w:r>
      <w:r w:rsidR="003D0201" w:rsidRPr="00FF2A2F">
        <w:rPr>
          <w:color w:val="auto"/>
          <w:sz w:val="21"/>
          <w:szCs w:val="21"/>
        </w:rPr>
        <w:t>humanitarian initiative to strengthen humanitarian preparedness, response and recovery</w:t>
      </w:r>
      <w:r w:rsidR="00892DA9" w:rsidRPr="00FF2A2F">
        <w:rPr>
          <w:color w:val="auto"/>
          <w:sz w:val="21"/>
          <w:szCs w:val="21"/>
        </w:rPr>
        <w:t xml:space="preserve"> </w:t>
      </w:r>
      <w:r w:rsidR="004E6CBE" w:rsidRPr="00FF2A2F">
        <w:rPr>
          <w:color w:val="auto"/>
          <w:sz w:val="21"/>
          <w:szCs w:val="21"/>
        </w:rPr>
        <w:t>activities</w:t>
      </w:r>
      <w:r w:rsidR="0091392F" w:rsidRPr="00FF2A2F">
        <w:rPr>
          <w:color w:val="auto"/>
          <w:sz w:val="21"/>
          <w:szCs w:val="21"/>
        </w:rPr>
        <w:t xml:space="preserve"> in the Kingdom of Tonga (Tonga). </w:t>
      </w:r>
      <w:r w:rsidR="004E6CBE" w:rsidRPr="00FF2A2F">
        <w:rPr>
          <w:color w:val="auto"/>
          <w:sz w:val="21"/>
          <w:szCs w:val="21"/>
        </w:rPr>
        <w:t xml:space="preserve">Working with key stakeholders from the Government of </w:t>
      </w:r>
      <w:r w:rsidR="00082B51" w:rsidRPr="00FF2A2F">
        <w:rPr>
          <w:color w:val="auto"/>
          <w:sz w:val="21"/>
          <w:szCs w:val="21"/>
        </w:rPr>
        <w:t xml:space="preserve">Tonga </w:t>
      </w:r>
      <w:r w:rsidR="0090260A" w:rsidRPr="00FF2A2F">
        <w:rPr>
          <w:color w:val="auto"/>
          <w:sz w:val="21"/>
          <w:szCs w:val="21"/>
        </w:rPr>
        <w:t xml:space="preserve">(GoT) </w:t>
      </w:r>
      <w:r w:rsidR="00082B51" w:rsidRPr="00FF2A2F">
        <w:rPr>
          <w:color w:val="auto"/>
          <w:sz w:val="21"/>
          <w:szCs w:val="21"/>
        </w:rPr>
        <w:t xml:space="preserve">and Tongan civil society, the investment, </w:t>
      </w:r>
      <w:r w:rsidR="007B3EEB" w:rsidRPr="00FF2A2F">
        <w:rPr>
          <w:color w:val="auto"/>
          <w:sz w:val="21"/>
          <w:szCs w:val="21"/>
        </w:rPr>
        <w:t>will</w:t>
      </w:r>
      <w:r w:rsidR="00DC0B59" w:rsidRPr="00FF2A2F">
        <w:rPr>
          <w:color w:val="auto"/>
          <w:sz w:val="21"/>
          <w:szCs w:val="21"/>
        </w:rPr>
        <w:t xml:space="preserve"> provide reliable and consistent support to</w:t>
      </w:r>
      <w:r w:rsidR="007B3EEB" w:rsidRPr="00FF2A2F">
        <w:rPr>
          <w:color w:val="auto"/>
          <w:sz w:val="21"/>
          <w:szCs w:val="21"/>
        </w:rPr>
        <w:t xml:space="preserve"> deliver a</w:t>
      </w:r>
      <w:r w:rsidR="00171EBB" w:rsidRPr="00FF2A2F">
        <w:rPr>
          <w:color w:val="auto"/>
          <w:sz w:val="21"/>
          <w:szCs w:val="21"/>
        </w:rPr>
        <w:t xml:space="preserve"> stronger, climate-resilient disaster preparedness system</w:t>
      </w:r>
      <w:r w:rsidR="007B3EEB" w:rsidRPr="00FF2A2F">
        <w:rPr>
          <w:color w:val="auto"/>
          <w:sz w:val="21"/>
          <w:szCs w:val="21"/>
        </w:rPr>
        <w:t xml:space="preserve"> which</w:t>
      </w:r>
      <w:r w:rsidR="00171EBB" w:rsidRPr="00FF2A2F">
        <w:rPr>
          <w:color w:val="auto"/>
          <w:sz w:val="21"/>
          <w:szCs w:val="21"/>
        </w:rPr>
        <w:t xml:space="preserve"> enables effective and efficient response and early recovery assistance to affected populations, </w:t>
      </w:r>
      <w:r w:rsidR="004B1C29" w:rsidRPr="00FF2A2F">
        <w:rPr>
          <w:color w:val="auto"/>
          <w:sz w:val="21"/>
          <w:szCs w:val="21"/>
        </w:rPr>
        <w:t xml:space="preserve">prioritising </w:t>
      </w:r>
      <w:r w:rsidR="00171EBB" w:rsidRPr="00FF2A2F">
        <w:rPr>
          <w:color w:val="auto"/>
          <w:sz w:val="21"/>
          <w:szCs w:val="21"/>
        </w:rPr>
        <w:t xml:space="preserve">women, people with disabilities, people with diverse </w:t>
      </w:r>
      <w:r w:rsidR="00E139B9" w:rsidRPr="00FF2A2F">
        <w:rPr>
          <w:color w:val="auto"/>
          <w:sz w:val="21"/>
          <w:szCs w:val="21"/>
        </w:rPr>
        <w:t>Sexual Orientation, Gender Identity, Gender Expression, and Sex Characteristics (</w:t>
      </w:r>
      <w:r w:rsidR="00171EBB" w:rsidRPr="00FF2A2F">
        <w:rPr>
          <w:color w:val="auto"/>
          <w:sz w:val="21"/>
          <w:szCs w:val="21"/>
        </w:rPr>
        <w:t>SOGIESC</w:t>
      </w:r>
      <w:r w:rsidR="00E139B9" w:rsidRPr="00FF2A2F">
        <w:rPr>
          <w:color w:val="auto"/>
          <w:sz w:val="21"/>
          <w:szCs w:val="21"/>
        </w:rPr>
        <w:t xml:space="preserve">) </w:t>
      </w:r>
      <w:r w:rsidR="00171EBB" w:rsidRPr="00FF2A2F">
        <w:rPr>
          <w:color w:val="auto"/>
          <w:sz w:val="21"/>
          <w:szCs w:val="21"/>
        </w:rPr>
        <w:t>youth and older persons. </w:t>
      </w:r>
    </w:p>
    <w:p w14:paraId="703F92D0" w14:textId="5A6E1247" w:rsidR="00E139B9" w:rsidRPr="00FF2A2F" w:rsidRDefault="0008487A" w:rsidP="00FF0903">
      <w:pPr>
        <w:spacing w:before="120" w:line="260" w:lineRule="atLeast"/>
        <w:ind w:left="0" w:firstLine="0"/>
        <w:rPr>
          <w:color w:val="auto"/>
          <w:sz w:val="21"/>
          <w:szCs w:val="21"/>
        </w:rPr>
      </w:pPr>
      <w:r w:rsidRPr="00FF2A2F">
        <w:rPr>
          <w:color w:val="auto"/>
          <w:sz w:val="21"/>
          <w:szCs w:val="21"/>
        </w:rPr>
        <w:t>1</w:t>
      </w:r>
      <w:r w:rsidR="00E139B9" w:rsidRPr="00FF2A2F">
        <w:rPr>
          <w:color w:val="auto"/>
          <w:sz w:val="21"/>
          <w:szCs w:val="21"/>
        </w:rPr>
        <w:t xml:space="preserve">9. </w:t>
      </w:r>
      <w:r w:rsidR="00A359CF" w:rsidRPr="00FF2A2F">
        <w:rPr>
          <w:color w:val="auto"/>
          <w:sz w:val="21"/>
          <w:szCs w:val="21"/>
        </w:rPr>
        <w:t>Over the next five years, the Investment will support the GoT and civil society</w:t>
      </w:r>
      <w:r w:rsidR="00F066F2" w:rsidRPr="00FF2A2F">
        <w:rPr>
          <w:color w:val="auto"/>
          <w:sz w:val="21"/>
          <w:szCs w:val="21"/>
        </w:rPr>
        <w:t xml:space="preserve"> organisation (CSO)</w:t>
      </w:r>
      <w:r w:rsidR="00A359CF" w:rsidRPr="00FF2A2F">
        <w:rPr>
          <w:color w:val="auto"/>
          <w:sz w:val="21"/>
          <w:szCs w:val="21"/>
        </w:rPr>
        <w:t xml:space="preserve"> partners to strengthen disaster preparedness actions and provide immediate response and early recovery assistance to those affected by disaster</w:t>
      </w:r>
      <w:r w:rsidR="00F066F2" w:rsidRPr="00FF2A2F">
        <w:rPr>
          <w:color w:val="auto"/>
          <w:sz w:val="21"/>
          <w:szCs w:val="21"/>
        </w:rPr>
        <w:t xml:space="preserve">s </w:t>
      </w:r>
      <w:r w:rsidR="00A359CF" w:rsidRPr="00FF2A2F">
        <w:rPr>
          <w:color w:val="auto"/>
          <w:sz w:val="21"/>
          <w:szCs w:val="21"/>
        </w:rPr>
        <w:t xml:space="preserve">and </w:t>
      </w:r>
      <w:r w:rsidR="00F066F2" w:rsidRPr="00FF2A2F">
        <w:rPr>
          <w:color w:val="auto"/>
          <w:sz w:val="21"/>
          <w:szCs w:val="21"/>
        </w:rPr>
        <w:t>humanitarian crises</w:t>
      </w:r>
      <w:r w:rsidR="00A359CF" w:rsidRPr="00FF2A2F">
        <w:rPr>
          <w:color w:val="auto"/>
          <w:sz w:val="21"/>
          <w:szCs w:val="21"/>
        </w:rPr>
        <w:t xml:space="preserve">. It will be an important part of Australia’s overall development assistance to Tonga, demonstrating Australia is a reliable partner, particularly in times of </w:t>
      </w:r>
      <w:r w:rsidR="007777A6" w:rsidRPr="00FF2A2F">
        <w:rPr>
          <w:color w:val="auto"/>
          <w:sz w:val="21"/>
          <w:szCs w:val="21"/>
        </w:rPr>
        <w:t>disaster</w:t>
      </w:r>
      <w:r w:rsidR="00A359CF" w:rsidRPr="00FF2A2F">
        <w:rPr>
          <w:color w:val="auto"/>
          <w:sz w:val="21"/>
          <w:szCs w:val="21"/>
        </w:rPr>
        <w:t>, and proactively assisting on climate change resilience.</w:t>
      </w:r>
      <w:r w:rsidR="00E139B9" w:rsidRPr="00FF2A2F">
        <w:rPr>
          <w:color w:val="auto"/>
          <w:sz w:val="21"/>
          <w:szCs w:val="21"/>
        </w:rPr>
        <w:t xml:space="preserve"> The investment aligns with the Australia Tonga Development Partnership Plan (DPP).</w:t>
      </w:r>
    </w:p>
    <w:p w14:paraId="038BC1D0" w14:textId="433BB7C7" w:rsidR="00AB7A0D" w:rsidRPr="00FF2A2F" w:rsidRDefault="00E139B9" w:rsidP="00FF0903">
      <w:pPr>
        <w:spacing w:before="120" w:line="260" w:lineRule="atLeast"/>
        <w:ind w:left="0" w:firstLine="0"/>
        <w:rPr>
          <w:color w:val="auto"/>
          <w:sz w:val="21"/>
          <w:szCs w:val="21"/>
        </w:rPr>
      </w:pPr>
      <w:r w:rsidRPr="00FF2A2F">
        <w:rPr>
          <w:color w:val="auto"/>
          <w:sz w:val="21"/>
          <w:szCs w:val="21"/>
        </w:rPr>
        <w:t>20.</w:t>
      </w:r>
      <w:r w:rsidR="0090260A" w:rsidRPr="00FF2A2F">
        <w:rPr>
          <w:color w:val="auto"/>
          <w:sz w:val="21"/>
          <w:szCs w:val="21"/>
        </w:rPr>
        <w:t xml:space="preserve"> Investment activities will target two </w:t>
      </w:r>
      <w:r w:rsidR="00A845D2" w:rsidRPr="00FF2A2F">
        <w:rPr>
          <w:color w:val="auto"/>
          <w:sz w:val="21"/>
          <w:szCs w:val="21"/>
        </w:rPr>
        <w:t>levels</w:t>
      </w:r>
      <w:r w:rsidR="00955C81" w:rsidRPr="00FF2A2F">
        <w:rPr>
          <w:color w:val="auto"/>
          <w:sz w:val="21"/>
          <w:szCs w:val="21"/>
        </w:rPr>
        <w:t xml:space="preserve">: </w:t>
      </w:r>
      <w:r w:rsidR="000A4AAF" w:rsidRPr="00FF2A2F">
        <w:rPr>
          <w:color w:val="auto"/>
          <w:sz w:val="21"/>
          <w:szCs w:val="21"/>
        </w:rPr>
        <w:t xml:space="preserve">the </w:t>
      </w:r>
      <w:r w:rsidR="00A845D2" w:rsidRPr="00FF2A2F">
        <w:rPr>
          <w:color w:val="auto"/>
          <w:sz w:val="21"/>
          <w:szCs w:val="21"/>
        </w:rPr>
        <w:t xml:space="preserve">national </w:t>
      </w:r>
      <w:r w:rsidR="000A4AAF" w:rsidRPr="00FF2A2F">
        <w:rPr>
          <w:color w:val="auto"/>
          <w:sz w:val="21"/>
          <w:szCs w:val="21"/>
        </w:rPr>
        <w:t xml:space="preserve">level, </w:t>
      </w:r>
      <w:r w:rsidR="00A845D2" w:rsidRPr="00FF2A2F">
        <w:rPr>
          <w:color w:val="auto"/>
          <w:sz w:val="21"/>
          <w:szCs w:val="21"/>
        </w:rPr>
        <w:t xml:space="preserve">working with the National Disaster Risk Management Office (NDRMO) on the implementation of the </w:t>
      </w:r>
      <w:r w:rsidR="00092BAE" w:rsidRPr="00FF2A2F">
        <w:rPr>
          <w:color w:val="auto"/>
          <w:sz w:val="21"/>
          <w:szCs w:val="21"/>
        </w:rPr>
        <w:t xml:space="preserve">Disaster Risk Management </w:t>
      </w:r>
      <w:r w:rsidR="00A845D2" w:rsidRPr="00FF2A2F">
        <w:rPr>
          <w:color w:val="auto"/>
          <w:sz w:val="21"/>
          <w:szCs w:val="21"/>
        </w:rPr>
        <w:t>Act</w:t>
      </w:r>
      <w:r w:rsidR="00092BAE" w:rsidRPr="00FF2A2F">
        <w:rPr>
          <w:color w:val="auto"/>
          <w:sz w:val="21"/>
          <w:szCs w:val="21"/>
        </w:rPr>
        <w:t xml:space="preserve"> (2021</w:t>
      </w:r>
      <w:r w:rsidR="007E5B61" w:rsidRPr="00FF2A2F">
        <w:rPr>
          <w:color w:val="auto"/>
          <w:sz w:val="21"/>
          <w:szCs w:val="21"/>
        </w:rPr>
        <w:t>,</w:t>
      </w:r>
      <w:r w:rsidR="000C4DF8" w:rsidRPr="00FF2A2F">
        <w:rPr>
          <w:color w:val="auto"/>
          <w:sz w:val="21"/>
          <w:szCs w:val="21"/>
        </w:rPr>
        <w:t xml:space="preserve"> enacted 2023</w:t>
      </w:r>
      <w:r w:rsidR="00092BAE" w:rsidRPr="00FF2A2F">
        <w:rPr>
          <w:color w:val="auto"/>
          <w:sz w:val="21"/>
          <w:szCs w:val="21"/>
        </w:rPr>
        <w:t>)</w:t>
      </w:r>
      <w:r w:rsidR="00EC2547" w:rsidRPr="00FF2A2F">
        <w:rPr>
          <w:color w:val="auto"/>
          <w:sz w:val="21"/>
          <w:szCs w:val="21"/>
        </w:rPr>
        <w:t xml:space="preserve"> </w:t>
      </w:r>
      <w:r w:rsidR="001036D8" w:rsidRPr="00FF2A2F">
        <w:rPr>
          <w:color w:val="auto"/>
          <w:sz w:val="21"/>
          <w:szCs w:val="21"/>
        </w:rPr>
        <w:t xml:space="preserve">(DRM Act) </w:t>
      </w:r>
      <w:r w:rsidR="00EC2547" w:rsidRPr="00FF2A2F">
        <w:rPr>
          <w:color w:val="auto"/>
          <w:sz w:val="21"/>
          <w:szCs w:val="21"/>
        </w:rPr>
        <w:t xml:space="preserve">and Disaster Risk Management Policy Framework </w:t>
      </w:r>
      <w:r w:rsidR="001036D8" w:rsidRPr="00FF2A2F">
        <w:rPr>
          <w:color w:val="auto"/>
          <w:sz w:val="21"/>
          <w:szCs w:val="21"/>
        </w:rPr>
        <w:t>2023-2030 (DRM Policy)</w:t>
      </w:r>
      <w:r w:rsidR="002C5314" w:rsidRPr="00FF2A2F">
        <w:rPr>
          <w:color w:val="auto"/>
          <w:sz w:val="21"/>
          <w:szCs w:val="21"/>
        </w:rPr>
        <w:t>;</w:t>
      </w:r>
      <w:r w:rsidR="00A845D2" w:rsidRPr="00FF2A2F">
        <w:rPr>
          <w:color w:val="auto"/>
          <w:sz w:val="21"/>
          <w:szCs w:val="21"/>
        </w:rPr>
        <w:t xml:space="preserve"> </w:t>
      </w:r>
      <w:r w:rsidR="00955C81" w:rsidRPr="00FF2A2F">
        <w:rPr>
          <w:color w:val="auto"/>
          <w:sz w:val="21"/>
          <w:szCs w:val="21"/>
        </w:rPr>
        <w:t>and the</w:t>
      </w:r>
      <w:r w:rsidR="00A845D2" w:rsidRPr="00FF2A2F">
        <w:rPr>
          <w:color w:val="auto"/>
          <w:sz w:val="21"/>
          <w:szCs w:val="21"/>
        </w:rPr>
        <w:t xml:space="preserve"> community level, strengthening community </w:t>
      </w:r>
      <w:r w:rsidR="007B2748" w:rsidRPr="00FF2A2F">
        <w:rPr>
          <w:color w:val="auto"/>
          <w:sz w:val="21"/>
          <w:szCs w:val="21"/>
        </w:rPr>
        <w:t xml:space="preserve">led </w:t>
      </w:r>
      <w:r w:rsidR="00A845D2" w:rsidRPr="00FF2A2F">
        <w:rPr>
          <w:color w:val="auto"/>
          <w:sz w:val="21"/>
          <w:szCs w:val="21"/>
        </w:rPr>
        <w:t>preparedness planning and response</w:t>
      </w:r>
      <w:r w:rsidR="0042685C" w:rsidRPr="00FF2A2F">
        <w:rPr>
          <w:color w:val="auto"/>
          <w:sz w:val="21"/>
          <w:szCs w:val="21"/>
        </w:rPr>
        <w:t xml:space="preserve">, and building resilience. </w:t>
      </w:r>
    </w:p>
    <w:p w14:paraId="63C78ABC" w14:textId="7DCF1BE4" w:rsidR="007E5B61" w:rsidRPr="00FF2A2F" w:rsidRDefault="007E5B61" w:rsidP="00FF0903">
      <w:pPr>
        <w:spacing w:before="120" w:line="260" w:lineRule="atLeast"/>
        <w:ind w:left="0" w:firstLine="0"/>
        <w:rPr>
          <w:b/>
          <w:bCs/>
          <w:color w:val="auto"/>
        </w:rPr>
      </w:pPr>
      <w:r w:rsidRPr="00FF2A2F">
        <w:rPr>
          <w:b/>
          <w:bCs/>
          <w:color w:val="auto"/>
        </w:rPr>
        <w:t xml:space="preserve">Development </w:t>
      </w:r>
      <w:r w:rsidR="004F0994" w:rsidRPr="00FF2A2F">
        <w:rPr>
          <w:b/>
          <w:bCs/>
          <w:color w:val="auto"/>
        </w:rPr>
        <w:t xml:space="preserve">and Humanitarian </w:t>
      </w:r>
      <w:r w:rsidRPr="00FF2A2F">
        <w:rPr>
          <w:b/>
          <w:bCs/>
          <w:color w:val="auto"/>
        </w:rPr>
        <w:t>Context</w:t>
      </w:r>
    </w:p>
    <w:p w14:paraId="1E650152" w14:textId="0F08F797" w:rsidR="007B2FC0" w:rsidRPr="00FF2A2F" w:rsidRDefault="00E139B9" w:rsidP="00FF0903">
      <w:pPr>
        <w:spacing w:before="120" w:line="260" w:lineRule="atLeast"/>
        <w:ind w:left="0" w:firstLine="0"/>
        <w:rPr>
          <w:color w:val="auto"/>
          <w:sz w:val="21"/>
          <w:szCs w:val="21"/>
        </w:rPr>
      </w:pPr>
      <w:r w:rsidRPr="00FF2A2F">
        <w:rPr>
          <w:color w:val="auto"/>
          <w:sz w:val="21"/>
          <w:szCs w:val="21"/>
        </w:rPr>
        <w:t xml:space="preserve">21. </w:t>
      </w:r>
      <w:r w:rsidR="007B2FC0" w:rsidRPr="00FF2A2F">
        <w:rPr>
          <w:color w:val="auto"/>
          <w:sz w:val="21"/>
          <w:szCs w:val="21"/>
        </w:rPr>
        <w:t>T</w:t>
      </w:r>
      <w:r w:rsidR="001700C0" w:rsidRPr="00FF2A2F">
        <w:rPr>
          <w:color w:val="auto"/>
          <w:sz w:val="21"/>
          <w:szCs w:val="21"/>
        </w:rPr>
        <w:t>onga</w:t>
      </w:r>
      <w:r w:rsidR="007B2FC0" w:rsidRPr="00FF2A2F">
        <w:rPr>
          <w:color w:val="auto"/>
          <w:sz w:val="21"/>
          <w:szCs w:val="21"/>
        </w:rPr>
        <w:t xml:space="preserve"> is a small Pacific Island nation of approximately 106,000 people</w:t>
      </w:r>
      <w:r w:rsidR="00747F92" w:rsidRPr="00FF2A2F">
        <w:rPr>
          <w:color w:val="auto"/>
          <w:sz w:val="21"/>
          <w:szCs w:val="21"/>
        </w:rPr>
        <w:t xml:space="preserve"> and comprises</w:t>
      </w:r>
      <w:r w:rsidR="007B2FC0" w:rsidRPr="00FF2A2F">
        <w:rPr>
          <w:color w:val="auto"/>
          <w:sz w:val="21"/>
          <w:szCs w:val="21"/>
        </w:rPr>
        <w:t xml:space="preserve"> 172 islands (36 inhabited), divided into four main island groups</w:t>
      </w:r>
      <w:r w:rsidR="004200A5" w:rsidRPr="00FF2A2F">
        <w:rPr>
          <w:color w:val="auto"/>
          <w:sz w:val="21"/>
          <w:szCs w:val="21"/>
        </w:rPr>
        <w:t>. M</w:t>
      </w:r>
      <w:r w:rsidR="007B2FC0" w:rsidRPr="00FF2A2F">
        <w:rPr>
          <w:color w:val="auto"/>
          <w:sz w:val="21"/>
          <w:szCs w:val="21"/>
        </w:rPr>
        <w:t>ost Tongans liv</w:t>
      </w:r>
      <w:r w:rsidR="004200A5" w:rsidRPr="00FF2A2F">
        <w:rPr>
          <w:color w:val="auto"/>
          <w:sz w:val="21"/>
          <w:szCs w:val="21"/>
        </w:rPr>
        <w:t>e</w:t>
      </w:r>
      <w:r w:rsidR="007B2FC0" w:rsidRPr="00FF2A2F">
        <w:rPr>
          <w:color w:val="auto"/>
          <w:sz w:val="21"/>
          <w:szCs w:val="21"/>
        </w:rPr>
        <w:t xml:space="preserve"> on the main island of Tongatapu</w:t>
      </w:r>
      <w:r w:rsidR="00EA2DEA" w:rsidRPr="00FF2A2F">
        <w:rPr>
          <w:color w:val="auto"/>
          <w:sz w:val="21"/>
          <w:szCs w:val="21"/>
        </w:rPr>
        <w:t xml:space="preserve">, followed by </w:t>
      </w:r>
      <w:proofErr w:type="spellStart"/>
      <w:r w:rsidR="00EA2DEA" w:rsidRPr="00FF2A2F">
        <w:rPr>
          <w:color w:val="auto"/>
          <w:sz w:val="21"/>
          <w:szCs w:val="21"/>
        </w:rPr>
        <w:t>Ha'apai</w:t>
      </w:r>
      <w:proofErr w:type="spellEnd"/>
      <w:r w:rsidR="00EA2DEA" w:rsidRPr="00FF2A2F">
        <w:rPr>
          <w:color w:val="auto"/>
          <w:sz w:val="21"/>
          <w:szCs w:val="21"/>
        </w:rPr>
        <w:t xml:space="preserve">, </w:t>
      </w:r>
      <w:proofErr w:type="spellStart"/>
      <w:r w:rsidR="00EA2DEA" w:rsidRPr="00FF2A2F">
        <w:rPr>
          <w:color w:val="auto"/>
          <w:sz w:val="21"/>
          <w:szCs w:val="21"/>
        </w:rPr>
        <w:t>Vava'u</w:t>
      </w:r>
      <w:proofErr w:type="spellEnd"/>
      <w:r w:rsidR="00EA2DEA" w:rsidRPr="00FF2A2F">
        <w:rPr>
          <w:color w:val="auto"/>
          <w:sz w:val="21"/>
          <w:szCs w:val="21"/>
        </w:rPr>
        <w:t xml:space="preserve"> and the </w:t>
      </w:r>
      <w:proofErr w:type="spellStart"/>
      <w:r w:rsidR="00EA2DEA" w:rsidRPr="00FF2A2F">
        <w:rPr>
          <w:color w:val="auto"/>
          <w:sz w:val="21"/>
          <w:szCs w:val="21"/>
        </w:rPr>
        <w:t>Niuas</w:t>
      </w:r>
      <w:proofErr w:type="spellEnd"/>
      <w:r w:rsidR="00EA2DEA" w:rsidRPr="00FF2A2F">
        <w:rPr>
          <w:color w:val="auto"/>
          <w:sz w:val="21"/>
          <w:szCs w:val="21"/>
        </w:rPr>
        <w:t>.</w:t>
      </w:r>
      <w:r w:rsidR="007B2FC0" w:rsidRPr="00FF2A2F">
        <w:rPr>
          <w:color w:val="auto"/>
          <w:sz w:val="21"/>
          <w:szCs w:val="21"/>
        </w:rPr>
        <w:t xml:space="preserve"> As of 2021, around half of the population was under the age of 20. </w:t>
      </w:r>
    </w:p>
    <w:p w14:paraId="2029ED05" w14:textId="6C37A1BF" w:rsidR="002812E0" w:rsidRPr="00FF2A2F" w:rsidRDefault="00E139B9" w:rsidP="00FF0903">
      <w:pPr>
        <w:spacing w:before="120" w:line="260" w:lineRule="atLeast"/>
        <w:ind w:left="0" w:firstLine="0"/>
        <w:rPr>
          <w:color w:val="auto"/>
          <w:sz w:val="21"/>
          <w:szCs w:val="21"/>
        </w:rPr>
      </w:pPr>
      <w:r w:rsidRPr="00FF2A2F">
        <w:rPr>
          <w:color w:val="auto"/>
          <w:sz w:val="21"/>
          <w:szCs w:val="21"/>
        </w:rPr>
        <w:t xml:space="preserve">22. </w:t>
      </w:r>
      <w:r w:rsidR="00BB50D0" w:rsidRPr="00FF2A2F">
        <w:rPr>
          <w:color w:val="auto"/>
          <w:sz w:val="21"/>
          <w:szCs w:val="21"/>
        </w:rPr>
        <w:t xml:space="preserve">With a </w:t>
      </w:r>
      <w:r w:rsidR="009E5930" w:rsidRPr="00FF2A2F">
        <w:rPr>
          <w:color w:val="auto"/>
          <w:sz w:val="21"/>
          <w:szCs w:val="21"/>
        </w:rPr>
        <w:t>gross national income (</w:t>
      </w:r>
      <w:r w:rsidR="00BB50D0" w:rsidRPr="00FF2A2F">
        <w:rPr>
          <w:color w:val="auto"/>
          <w:sz w:val="21"/>
          <w:szCs w:val="21"/>
        </w:rPr>
        <w:t>GNI</w:t>
      </w:r>
      <w:r w:rsidR="009E5930" w:rsidRPr="00FF2A2F">
        <w:rPr>
          <w:color w:val="auto"/>
          <w:sz w:val="21"/>
          <w:szCs w:val="21"/>
        </w:rPr>
        <w:t>)</w:t>
      </w:r>
      <w:r w:rsidR="00BB50D0" w:rsidRPr="00FF2A2F">
        <w:rPr>
          <w:color w:val="auto"/>
          <w:sz w:val="21"/>
          <w:szCs w:val="21"/>
        </w:rPr>
        <w:t xml:space="preserve"> per capita of </w:t>
      </w:r>
      <w:r w:rsidR="00AA015B" w:rsidRPr="00FF2A2F">
        <w:rPr>
          <w:color w:val="auto"/>
          <w:sz w:val="21"/>
          <w:szCs w:val="21"/>
        </w:rPr>
        <w:t>AUD7,307</w:t>
      </w:r>
      <w:r w:rsidR="00BB50D0" w:rsidRPr="00FF2A2F">
        <w:rPr>
          <w:color w:val="auto"/>
          <w:sz w:val="21"/>
          <w:szCs w:val="21"/>
        </w:rPr>
        <w:t xml:space="preserve"> in 202</w:t>
      </w:r>
      <w:r w:rsidR="00B1130F" w:rsidRPr="00FF2A2F">
        <w:rPr>
          <w:color w:val="auto"/>
          <w:sz w:val="21"/>
          <w:szCs w:val="21"/>
        </w:rPr>
        <w:t>4</w:t>
      </w:r>
      <w:r w:rsidR="00BB50D0" w:rsidRPr="00FF2A2F">
        <w:rPr>
          <w:color w:val="auto"/>
          <w:sz w:val="21"/>
          <w:szCs w:val="21"/>
        </w:rPr>
        <w:t>, Tonga is classified as an upper middle-income country. The country has achieved a relatively high Human Development Index</w:t>
      </w:r>
      <w:r w:rsidR="000C55F4" w:rsidRPr="00FF2A2F">
        <w:rPr>
          <w:color w:val="auto"/>
          <w:sz w:val="21"/>
          <w:szCs w:val="21"/>
        </w:rPr>
        <w:t xml:space="preserve"> (HDI) </w:t>
      </w:r>
      <w:r w:rsidR="00BB50D0" w:rsidRPr="00FF2A2F">
        <w:rPr>
          <w:color w:val="auto"/>
          <w:sz w:val="21"/>
          <w:szCs w:val="21"/>
        </w:rPr>
        <w:t>value of 0.739</w:t>
      </w:r>
      <w:r w:rsidR="00406EC6" w:rsidRPr="00FF2A2F">
        <w:rPr>
          <w:color w:val="auto"/>
          <w:sz w:val="21"/>
          <w:szCs w:val="21"/>
        </w:rPr>
        <w:t>;</w:t>
      </w:r>
      <w:r w:rsidR="00BB50D0" w:rsidRPr="00FF2A2F">
        <w:rPr>
          <w:color w:val="auto"/>
          <w:sz w:val="21"/>
          <w:szCs w:val="21"/>
        </w:rPr>
        <w:t xml:space="preserve"> extreme poverty has been virtually eradicated</w:t>
      </w:r>
      <w:r w:rsidR="00406EC6" w:rsidRPr="00FF2A2F">
        <w:rPr>
          <w:color w:val="auto"/>
          <w:sz w:val="21"/>
          <w:szCs w:val="21"/>
        </w:rPr>
        <w:t>;</w:t>
      </w:r>
      <w:r w:rsidR="00BB50D0" w:rsidRPr="00FF2A2F">
        <w:rPr>
          <w:color w:val="auto"/>
          <w:sz w:val="21"/>
          <w:szCs w:val="21"/>
        </w:rPr>
        <w:t xml:space="preserve"> access to safe water and sanitation is reasonably secure</w:t>
      </w:r>
      <w:r w:rsidR="00406EC6" w:rsidRPr="00FF2A2F">
        <w:rPr>
          <w:color w:val="auto"/>
          <w:sz w:val="21"/>
          <w:szCs w:val="21"/>
        </w:rPr>
        <w:t>;</w:t>
      </w:r>
      <w:r w:rsidR="00BB50D0" w:rsidRPr="00FF2A2F">
        <w:rPr>
          <w:color w:val="auto"/>
          <w:sz w:val="21"/>
          <w:szCs w:val="21"/>
        </w:rPr>
        <w:t xml:space="preserve"> and gender parity has been achieved in the basic education system.</w:t>
      </w:r>
      <w:r w:rsidR="002812E0" w:rsidRPr="00FF2A2F">
        <w:rPr>
          <w:color w:val="auto"/>
          <w:sz w:val="21"/>
          <w:szCs w:val="21"/>
        </w:rPr>
        <w:t xml:space="preserve"> Tonga has a very high adult literacy rate of 99.4% as of 2021 and literacy is nearly universal across genders, with 99.5% of women and 99.4% of men literate.</w:t>
      </w:r>
    </w:p>
    <w:p w14:paraId="4DEDF4D9" w14:textId="0CE34019" w:rsidR="00BB50D0" w:rsidRPr="00FF2A2F" w:rsidRDefault="00FA4BDC" w:rsidP="00FF0903">
      <w:pPr>
        <w:spacing w:before="120" w:line="260" w:lineRule="atLeast"/>
        <w:ind w:left="0" w:firstLine="0"/>
        <w:rPr>
          <w:color w:val="auto"/>
          <w:sz w:val="21"/>
          <w:szCs w:val="21"/>
        </w:rPr>
      </w:pPr>
      <w:r w:rsidRPr="00FF2A2F">
        <w:rPr>
          <w:color w:val="auto"/>
          <w:sz w:val="21"/>
          <w:szCs w:val="21"/>
        </w:rPr>
        <w:t xml:space="preserve">23. </w:t>
      </w:r>
      <w:r w:rsidR="00BB50D0" w:rsidRPr="00FF2A2F">
        <w:rPr>
          <w:color w:val="auto"/>
          <w:sz w:val="21"/>
          <w:szCs w:val="21"/>
        </w:rPr>
        <w:t xml:space="preserve">Tonga’s </w:t>
      </w:r>
      <w:r w:rsidR="00301DC8" w:rsidRPr="00FF2A2F">
        <w:rPr>
          <w:color w:val="auto"/>
          <w:sz w:val="21"/>
          <w:szCs w:val="21"/>
        </w:rPr>
        <w:t xml:space="preserve">state-led </w:t>
      </w:r>
      <w:r w:rsidR="00BB50D0" w:rsidRPr="00FF2A2F">
        <w:rPr>
          <w:color w:val="auto"/>
          <w:sz w:val="21"/>
          <w:szCs w:val="21"/>
        </w:rPr>
        <w:t xml:space="preserve">social protection system reaches more than </w:t>
      </w:r>
      <w:r w:rsidR="002B74B7" w:rsidRPr="00FF2A2F">
        <w:rPr>
          <w:color w:val="auto"/>
          <w:sz w:val="21"/>
          <w:szCs w:val="21"/>
        </w:rPr>
        <w:t>7</w:t>
      </w:r>
      <w:r w:rsidR="00BB50D0" w:rsidRPr="00FF2A2F">
        <w:rPr>
          <w:color w:val="auto"/>
          <w:sz w:val="21"/>
          <w:szCs w:val="21"/>
        </w:rPr>
        <w:t>,000 elderly and disability recipients</w:t>
      </w:r>
      <w:r w:rsidR="002B74B7" w:rsidRPr="00FF2A2F">
        <w:rPr>
          <w:color w:val="auto"/>
          <w:sz w:val="21"/>
          <w:szCs w:val="21"/>
        </w:rPr>
        <w:t xml:space="preserve"> (indirectly reaching </w:t>
      </w:r>
      <w:r w:rsidR="001255C6" w:rsidRPr="00FF2A2F">
        <w:rPr>
          <w:color w:val="auto"/>
          <w:sz w:val="21"/>
          <w:szCs w:val="21"/>
        </w:rPr>
        <w:t>almost a third of Tongan</w:t>
      </w:r>
      <w:r w:rsidR="00442B2F" w:rsidRPr="00FF2A2F">
        <w:rPr>
          <w:color w:val="auto"/>
          <w:sz w:val="21"/>
          <w:szCs w:val="21"/>
        </w:rPr>
        <w:t xml:space="preserve"> households</w:t>
      </w:r>
      <w:r w:rsidR="006F1F91" w:rsidRPr="00FF2A2F">
        <w:rPr>
          <w:color w:val="auto"/>
          <w:sz w:val="21"/>
          <w:szCs w:val="21"/>
        </w:rPr>
        <w:t>)</w:t>
      </w:r>
      <w:r w:rsidR="002C341A" w:rsidRPr="00FF2A2F">
        <w:rPr>
          <w:color w:val="auto"/>
          <w:sz w:val="21"/>
          <w:szCs w:val="21"/>
        </w:rPr>
        <w:t>,</w:t>
      </w:r>
      <w:r w:rsidR="00442B2F" w:rsidRPr="00FF2A2F">
        <w:rPr>
          <w:color w:val="auto"/>
          <w:sz w:val="21"/>
          <w:szCs w:val="21"/>
        </w:rPr>
        <w:t xml:space="preserve"> in addition to </w:t>
      </w:r>
      <w:r w:rsidR="00BB50D0" w:rsidRPr="00FF2A2F">
        <w:rPr>
          <w:color w:val="auto"/>
          <w:sz w:val="21"/>
          <w:szCs w:val="21"/>
        </w:rPr>
        <w:t>strong community safety nets.</w:t>
      </w:r>
      <w:r w:rsidR="00FB7B34" w:rsidRPr="00FF2A2F">
        <w:rPr>
          <w:color w:val="auto"/>
          <w:sz w:val="21"/>
          <w:szCs w:val="21"/>
        </w:rPr>
        <w:t xml:space="preserve"> It </w:t>
      </w:r>
      <w:r w:rsidR="00BB50D0" w:rsidRPr="00FF2A2F">
        <w:rPr>
          <w:color w:val="auto"/>
          <w:sz w:val="21"/>
          <w:szCs w:val="21"/>
        </w:rPr>
        <w:t xml:space="preserve">has some of the best health outcomes in the Pacific and has achieved substantial reductions in communicable diseases and maternal and </w:t>
      </w:r>
      <w:r w:rsidR="00BB50D0" w:rsidRPr="00FF2A2F">
        <w:rPr>
          <w:color w:val="auto"/>
          <w:sz w:val="21"/>
          <w:szCs w:val="21"/>
        </w:rPr>
        <w:lastRenderedPageBreak/>
        <w:t xml:space="preserve">child mortality. However, </w:t>
      </w:r>
      <w:r w:rsidR="00FB7B34" w:rsidRPr="00FF2A2F">
        <w:rPr>
          <w:color w:val="auto"/>
          <w:sz w:val="21"/>
          <w:szCs w:val="21"/>
        </w:rPr>
        <w:t xml:space="preserve">Tonga </w:t>
      </w:r>
      <w:r w:rsidR="00BB50D0" w:rsidRPr="00FF2A2F">
        <w:rPr>
          <w:color w:val="auto"/>
          <w:sz w:val="21"/>
          <w:szCs w:val="21"/>
        </w:rPr>
        <w:t xml:space="preserve">continues to grapple with a growing burden of non-communicable diseases, which account for </w:t>
      </w:r>
      <w:r w:rsidR="00924042" w:rsidRPr="00FF2A2F">
        <w:rPr>
          <w:color w:val="auto"/>
          <w:sz w:val="21"/>
          <w:szCs w:val="21"/>
        </w:rPr>
        <w:t>8</w:t>
      </w:r>
      <w:r w:rsidR="00BB50D0" w:rsidRPr="00FF2A2F">
        <w:rPr>
          <w:color w:val="auto"/>
          <w:sz w:val="21"/>
          <w:szCs w:val="21"/>
        </w:rPr>
        <w:t xml:space="preserve"> in 10 deaths and strains the national health system.</w:t>
      </w:r>
    </w:p>
    <w:p w14:paraId="36E7D5B0" w14:textId="77777777" w:rsidR="007972D0" w:rsidRPr="00FF2A2F" w:rsidRDefault="00FA4BDC" w:rsidP="00FF0903">
      <w:pPr>
        <w:spacing w:before="120" w:line="260" w:lineRule="atLeast"/>
        <w:ind w:left="0" w:firstLine="0"/>
        <w:rPr>
          <w:color w:val="auto"/>
          <w:sz w:val="21"/>
          <w:szCs w:val="21"/>
        </w:rPr>
      </w:pPr>
      <w:r w:rsidRPr="00FF2A2F">
        <w:rPr>
          <w:color w:val="auto"/>
          <w:sz w:val="21"/>
          <w:szCs w:val="21"/>
        </w:rPr>
        <w:t xml:space="preserve">24. </w:t>
      </w:r>
      <w:r w:rsidR="00511183" w:rsidRPr="00FF2A2F">
        <w:rPr>
          <w:color w:val="auto"/>
          <w:sz w:val="21"/>
          <w:szCs w:val="21"/>
        </w:rPr>
        <w:t>Tonga has made national, regional and international commitments</w:t>
      </w:r>
      <w:r w:rsidR="007519C7" w:rsidRPr="00FF2A2F">
        <w:rPr>
          <w:color w:val="auto"/>
          <w:sz w:val="21"/>
          <w:szCs w:val="21"/>
        </w:rPr>
        <w:t>,</w:t>
      </w:r>
      <w:r w:rsidR="00511183" w:rsidRPr="00FF2A2F">
        <w:rPr>
          <w:color w:val="auto"/>
          <w:sz w:val="21"/>
          <w:szCs w:val="21"/>
        </w:rPr>
        <w:t xml:space="preserve"> and enacted laws and policies that address </w:t>
      </w:r>
      <w:r w:rsidR="007519C7" w:rsidRPr="00FF2A2F">
        <w:rPr>
          <w:color w:val="auto"/>
          <w:sz w:val="21"/>
          <w:szCs w:val="21"/>
        </w:rPr>
        <w:t xml:space="preserve">some </w:t>
      </w:r>
      <w:r w:rsidR="00511183" w:rsidRPr="00FF2A2F">
        <w:rPr>
          <w:color w:val="auto"/>
          <w:sz w:val="21"/>
          <w:szCs w:val="21"/>
        </w:rPr>
        <w:t xml:space="preserve">discriminatory practices against women and girls, and against people with disabilities. There has been more progress in enabling greater access for women and girls to education and addressing domestic violence than in addressing barriers preventing people with disabilities from achieving their full potential. </w:t>
      </w:r>
    </w:p>
    <w:p w14:paraId="58A75F7F" w14:textId="02886E81" w:rsidR="00511183" w:rsidRPr="00FF2A2F" w:rsidRDefault="007972D0" w:rsidP="00FF0903">
      <w:pPr>
        <w:spacing w:before="120" w:line="260" w:lineRule="atLeast"/>
        <w:ind w:left="0" w:firstLine="0"/>
        <w:rPr>
          <w:color w:val="auto"/>
          <w:sz w:val="21"/>
          <w:szCs w:val="21"/>
        </w:rPr>
      </w:pPr>
      <w:r w:rsidRPr="00FF2A2F">
        <w:rPr>
          <w:color w:val="auto"/>
          <w:sz w:val="21"/>
          <w:szCs w:val="21"/>
        </w:rPr>
        <w:t xml:space="preserve">25. </w:t>
      </w:r>
      <w:r w:rsidR="00511183" w:rsidRPr="00FF2A2F">
        <w:rPr>
          <w:color w:val="auto"/>
          <w:sz w:val="21"/>
          <w:szCs w:val="21"/>
        </w:rPr>
        <w:t xml:space="preserve">Tonga is the only Pacific Island country not to have signed or ratified the </w:t>
      </w:r>
      <w:r w:rsidR="002C341A" w:rsidRPr="00FF2A2F">
        <w:rPr>
          <w:color w:val="auto"/>
          <w:sz w:val="21"/>
          <w:szCs w:val="21"/>
        </w:rPr>
        <w:t>Convention on Elimination of Discrimination Against Women (</w:t>
      </w:r>
      <w:r w:rsidR="00511183" w:rsidRPr="00FF2A2F">
        <w:rPr>
          <w:color w:val="auto"/>
          <w:sz w:val="21"/>
          <w:szCs w:val="21"/>
        </w:rPr>
        <w:t>CEDAW</w:t>
      </w:r>
      <w:r w:rsidR="002C341A" w:rsidRPr="00FF2A2F">
        <w:rPr>
          <w:color w:val="auto"/>
          <w:sz w:val="21"/>
          <w:szCs w:val="21"/>
        </w:rPr>
        <w:t xml:space="preserve">) </w:t>
      </w:r>
      <w:r w:rsidR="00511183" w:rsidRPr="00FF2A2F">
        <w:rPr>
          <w:color w:val="auto"/>
          <w:sz w:val="21"/>
          <w:szCs w:val="21"/>
        </w:rPr>
        <w:t xml:space="preserve">nor ratified the </w:t>
      </w:r>
      <w:r w:rsidR="00CA72D7" w:rsidRPr="00FF2A2F">
        <w:rPr>
          <w:color w:val="auto"/>
          <w:sz w:val="21"/>
          <w:szCs w:val="21"/>
        </w:rPr>
        <w:t>Convention on the Rights of Persons with Disabilities (</w:t>
      </w:r>
      <w:r w:rsidR="00511183" w:rsidRPr="00FF2A2F">
        <w:rPr>
          <w:color w:val="auto"/>
          <w:sz w:val="21"/>
          <w:szCs w:val="21"/>
        </w:rPr>
        <w:t>CRPD</w:t>
      </w:r>
      <w:r w:rsidR="00CA72D7" w:rsidRPr="00FF2A2F">
        <w:rPr>
          <w:color w:val="auto"/>
          <w:sz w:val="21"/>
          <w:szCs w:val="21"/>
        </w:rPr>
        <w:t>)</w:t>
      </w:r>
      <w:r w:rsidR="00511183" w:rsidRPr="00FF2A2F">
        <w:rPr>
          <w:color w:val="auto"/>
          <w:sz w:val="21"/>
          <w:szCs w:val="21"/>
        </w:rPr>
        <w:t xml:space="preserve"> (signed in 2007). </w:t>
      </w:r>
    </w:p>
    <w:p w14:paraId="1F0AF13C" w14:textId="6E52028E" w:rsidR="00F75C03" w:rsidRPr="00FF2A2F" w:rsidRDefault="00FA4BDC" w:rsidP="00FF0903">
      <w:pPr>
        <w:spacing w:before="120" w:line="260" w:lineRule="atLeast"/>
        <w:ind w:left="0" w:firstLine="0"/>
        <w:rPr>
          <w:color w:val="auto"/>
          <w:sz w:val="21"/>
          <w:szCs w:val="21"/>
        </w:rPr>
      </w:pPr>
      <w:r w:rsidRPr="00FF2A2F">
        <w:rPr>
          <w:color w:val="auto"/>
          <w:sz w:val="21"/>
          <w:szCs w:val="21"/>
        </w:rPr>
        <w:t xml:space="preserve">26. </w:t>
      </w:r>
      <w:r w:rsidR="00F75C03" w:rsidRPr="00FF2A2F">
        <w:rPr>
          <w:color w:val="auto"/>
          <w:sz w:val="21"/>
          <w:szCs w:val="21"/>
        </w:rPr>
        <w:t>Tonga has two main phone and internet providers: Digicel and</w:t>
      </w:r>
      <w:r w:rsidR="00C53B90" w:rsidRPr="00FF2A2F">
        <w:rPr>
          <w:color w:val="auto"/>
          <w:sz w:val="21"/>
          <w:szCs w:val="21"/>
        </w:rPr>
        <w:t xml:space="preserve"> TCC. TCC</w:t>
      </w:r>
      <w:r w:rsidR="00F75C03" w:rsidRPr="00FF2A2F">
        <w:rPr>
          <w:color w:val="auto"/>
          <w:sz w:val="21"/>
          <w:szCs w:val="21"/>
        </w:rPr>
        <w:t xml:space="preserve"> offers broader coverage across islands but slower speeds; Digicel provides faster speeds in urban areas. Most areas have at least 2G coverage, with </w:t>
      </w:r>
      <w:r w:rsidR="0002174A" w:rsidRPr="00FF2A2F">
        <w:rPr>
          <w:color w:val="auto"/>
          <w:sz w:val="21"/>
          <w:szCs w:val="21"/>
        </w:rPr>
        <w:t>5</w:t>
      </w:r>
      <w:r w:rsidR="00F75C03" w:rsidRPr="00FF2A2F">
        <w:rPr>
          <w:color w:val="auto"/>
          <w:sz w:val="21"/>
          <w:szCs w:val="21"/>
        </w:rPr>
        <w:t>G</w:t>
      </w:r>
      <w:r w:rsidR="0002174A" w:rsidRPr="00FF2A2F">
        <w:rPr>
          <w:color w:val="auto"/>
          <w:sz w:val="21"/>
          <w:szCs w:val="21"/>
        </w:rPr>
        <w:t xml:space="preserve"> slowly becoming</w:t>
      </w:r>
      <w:r w:rsidR="00F75C03" w:rsidRPr="00FF2A2F">
        <w:rPr>
          <w:color w:val="auto"/>
          <w:sz w:val="21"/>
          <w:szCs w:val="21"/>
        </w:rPr>
        <w:t xml:space="preserve"> available in parts of Tongatapu and Vava’u.</w:t>
      </w:r>
    </w:p>
    <w:p w14:paraId="0B94E4A4" w14:textId="09B5D42E" w:rsidR="00024DA6" w:rsidRPr="00FF2A2F" w:rsidRDefault="00BB50D0" w:rsidP="00FF0903">
      <w:pPr>
        <w:spacing w:before="120" w:line="260" w:lineRule="atLeast"/>
        <w:ind w:left="0" w:firstLine="0"/>
        <w:rPr>
          <w:b/>
          <w:bCs/>
          <w:color w:val="auto"/>
        </w:rPr>
      </w:pPr>
      <w:r w:rsidRPr="00FF2A2F">
        <w:rPr>
          <w:b/>
          <w:bCs/>
          <w:color w:val="auto"/>
        </w:rPr>
        <w:t>Tonga’s National, Regional and International Commitments</w:t>
      </w:r>
    </w:p>
    <w:p w14:paraId="6571EA12" w14:textId="162D5E65" w:rsidR="00CB0DA5" w:rsidRPr="00FF2A2F" w:rsidRDefault="00FA4BDC" w:rsidP="00FF0903">
      <w:pPr>
        <w:spacing w:before="120" w:line="260" w:lineRule="atLeast"/>
        <w:ind w:left="0" w:firstLine="0"/>
        <w:rPr>
          <w:color w:val="auto"/>
          <w:sz w:val="21"/>
          <w:szCs w:val="21"/>
        </w:rPr>
      </w:pPr>
      <w:r w:rsidRPr="00FF2A2F">
        <w:rPr>
          <w:color w:val="auto"/>
          <w:sz w:val="21"/>
          <w:szCs w:val="21"/>
        </w:rPr>
        <w:t xml:space="preserve">27. </w:t>
      </w:r>
      <w:r w:rsidR="007B2FC0" w:rsidRPr="00FF2A2F">
        <w:rPr>
          <w:color w:val="auto"/>
          <w:sz w:val="21"/>
          <w:szCs w:val="21"/>
        </w:rPr>
        <w:t>Tonga’s Strategic Development Framework (TSDF)</w:t>
      </w:r>
      <w:r w:rsidR="004961F7" w:rsidRPr="00FF2A2F">
        <w:rPr>
          <w:color w:val="auto"/>
          <w:sz w:val="21"/>
          <w:szCs w:val="21"/>
        </w:rPr>
        <w:t xml:space="preserve"> II</w:t>
      </w:r>
      <w:r w:rsidR="007B2FC0" w:rsidRPr="00FF2A2F">
        <w:rPr>
          <w:color w:val="auto"/>
          <w:sz w:val="21"/>
          <w:szCs w:val="21"/>
        </w:rPr>
        <w:t>, 2015-2025</w:t>
      </w:r>
      <w:r w:rsidR="00A10264" w:rsidRPr="00FF2A2F">
        <w:rPr>
          <w:color w:val="auto"/>
        </w:rPr>
        <w:footnoteReference w:id="2"/>
      </w:r>
      <w:r w:rsidR="007B2FC0" w:rsidRPr="00FF2A2F">
        <w:rPr>
          <w:color w:val="auto"/>
          <w:sz w:val="21"/>
          <w:szCs w:val="21"/>
        </w:rPr>
        <w:t xml:space="preserve"> </w:t>
      </w:r>
      <w:r w:rsidR="0020432F" w:rsidRPr="00FF2A2F">
        <w:rPr>
          <w:color w:val="auto"/>
          <w:sz w:val="21"/>
          <w:szCs w:val="21"/>
        </w:rPr>
        <w:t>identifies key p</w:t>
      </w:r>
      <w:r w:rsidR="007B2FC0" w:rsidRPr="00FF2A2F">
        <w:rPr>
          <w:color w:val="auto"/>
          <w:sz w:val="21"/>
          <w:szCs w:val="21"/>
        </w:rPr>
        <w:t xml:space="preserve">riorities </w:t>
      </w:r>
      <w:r w:rsidR="0020432F" w:rsidRPr="00FF2A2F">
        <w:rPr>
          <w:color w:val="auto"/>
          <w:sz w:val="21"/>
          <w:szCs w:val="21"/>
        </w:rPr>
        <w:t>in</w:t>
      </w:r>
      <w:r w:rsidR="007B2FC0" w:rsidRPr="00FF2A2F">
        <w:rPr>
          <w:color w:val="auto"/>
          <w:sz w:val="21"/>
          <w:szCs w:val="21"/>
        </w:rPr>
        <w:t xml:space="preserve"> human capital development, gender equality, responsive good-governance, effective land administration, environment management, improved infrastructure and technology, and balanced urban and rural development across island groups. The TSDF </w:t>
      </w:r>
      <w:r w:rsidR="007002D0" w:rsidRPr="00FF2A2F">
        <w:rPr>
          <w:color w:val="auto"/>
          <w:sz w:val="21"/>
          <w:szCs w:val="21"/>
        </w:rPr>
        <w:t xml:space="preserve">is the foundation for integration of Tonga’s commitments to the 2030 </w:t>
      </w:r>
      <w:r w:rsidR="00FD68A1" w:rsidRPr="00FF2A2F">
        <w:rPr>
          <w:color w:val="auto"/>
          <w:sz w:val="21"/>
          <w:szCs w:val="21"/>
        </w:rPr>
        <w:t>Agenda for Sustainable Development Goals (SDGs)</w:t>
      </w:r>
      <w:r w:rsidR="000E04AA" w:rsidRPr="00FF2A2F">
        <w:rPr>
          <w:color w:val="auto"/>
          <w:sz w:val="21"/>
          <w:szCs w:val="21"/>
        </w:rPr>
        <w:t xml:space="preserve">, </w:t>
      </w:r>
      <w:r w:rsidR="004961F7" w:rsidRPr="00FF2A2F">
        <w:rPr>
          <w:color w:val="auto"/>
          <w:sz w:val="21"/>
          <w:szCs w:val="21"/>
        </w:rPr>
        <w:t>with the national outcomes</w:t>
      </w:r>
      <w:r w:rsidR="00FB0B7B" w:rsidRPr="00FF2A2F">
        <w:rPr>
          <w:color w:val="auto"/>
          <w:sz w:val="21"/>
          <w:szCs w:val="21"/>
        </w:rPr>
        <w:t xml:space="preserve"> of the TSDF aligned with </w:t>
      </w:r>
      <w:r w:rsidR="00596788" w:rsidRPr="00FF2A2F">
        <w:rPr>
          <w:color w:val="auto"/>
          <w:sz w:val="21"/>
          <w:szCs w:val="21"/>
        </w:rPr>
        <w:t>the SDG</w:t>
      </w:r>
      <w:r w:rsidR="000E04AA" w:rsidRPr="00FF2A2F">
        <w:rPr>
          <w:color w:val="auto"/>
          <w:sz w:val="21"/>
          <w:szCs w:val="21"/>
        </w:rPr>
        <w:t>s and particular focus on environmental management, water and energy</w:t>
      </w:r>
      <w:r w:rsidR="00596788" w:rsidRPr="00FF2A2F">
        <w:rPr>
          <w:color w:val="auto"/>
          <w:sz w:val="21"/>
          <w:szCs w:val="21"/>
        </w:rPr>
        <w:t xml:space="preserve">. </w:t>
      </w:r>
      <w:r w:rsidR="00E93CA7" w:rsidRPr="00FF2A2F">
        <w:rPr>
          <w:color w:val="auto"/>
          <w:sz w:val="21"/>
          <w:szCs w:val="21"/>
        </w:rPr>
        <w:t xml:space="preserve">Tonga’s Joint National Action Plan </w:t>
      </w:r>
      <w:r w:rsidR="006970DC" w:rsidRPr="00FF2A2F">
        <w:rPr>
          <w:color w:val="auto"/>
          <w:sz w:val="21"/>
          <w:szCs w:val="21"/>
        </w:rPr>
        <w:t xml:space="preserve">2 on Climate Change and Disaster Risk Management (2018 – 2028) </w:t>
      </w:r>
      <w:r w:rsidR="00926246" w:rsidRPr="00FF2A2F">
        <w:rPr>
          <w:color w:val="auto"/>
          <w:sz w:val="21"/>
          <w:szCs w:val="21"/>
        </w:rPr>
        <w:t>is the strategic plan for climate change and disaster risk management initiatives in Tong</w:t>
      </w:r>
      <w:r w:rsidR="00CD04A4" w:rsidRPr="00FF2A2F">
        <w:rPr>
          <w:color w:val="auto"/>
          <w:sz w:val="21"/>
          <w:szCs w:val="21"/>
        </w:rPr>
        <w:t xml:space="preserve">a. </w:t>
      </w:r>
      <w:r w:rsidR="00A06D70" w:rsidRPr="00FF2A2F">
        <w:rPr>
          <w:color w:val="auto"/>
          <w:sz w:val="21"/>
          <w:szCs w:val="21"/>
        </w:rPr>
        <w:t xml:space="preserve">Tonga is a signatory to the Sendai </w:t>
      </w:r>
      <w:r w:rsidR="00657519" w:rsidRPr="00FF2A2F">
        <w:rPr>
          <w:color w:val="auto"/>
          <w:sz w:val="21"/>
          <w:szCs w:val="21"/>
        </w:rPr>
        <w:t xml:space="preserve">Framework for Disaster Risk </w:t>
      </w:r>
      <w:r w:rsidR="00C51FBE" w:rsidRPr="00FF2A2F">
        <w:rPr>
          <w:color w:val="auto"/>
          <w:sz w:val="21"/>
          <w:szCs w:val="21"/>
        </w:rPr>
        <w:t xml:space="preserve">Reduction and has developed </w:t>
      </w:r>
      <w:r w:rsidR="00806CCB" w:rsidRPr="00FF2A2F">
        <w:rPr>
          <w:color w:val="auto"/>
          <w:sz w:val="21"/>
          <w:szCs w:val="21"/>
        </w:rPr>
        <w:t>a Low Emission Development Strategy</w:t>
      </w:r>
      <w:r w:rsidR="00B862E7" w:rsidRPr="00FF2A2F">
        <w:rPr>
          <w:color w:val="auto"/>
          <w:sz w:val="21"/>
          <w:szCs w:val="21"/>
        </w:rPr>
        <w:t xml:space="preserve"> and a </w:t>
      </w:r>
      <w:r w:rsidR="00EB28B9" w:rsidRPr="00FF2A2F">
        <w:rPr>
          <w:color w:val="auto"/>
          <w:sz w:val="21"/>
          <w:szCs w:val="21"/>
        </w:rPr>
        <w:t>Second Nationally Determined Contribution (202</w:t>
      </w:r>
      <w:r w:rsidR="00612BDE" w:rsidRPr="00FF2A2F">
        <w:rPr>
          <w:color w:val="auto"/>
          <w:sz w:val="21"/>
          <w:szCs w:val="21"/>
        </w:rPr>
        <w:t>0)</w:t>
      </w:r>
      <w:r w:rsidR="00806CCB" w:rsidRPr="00FF2A2F">
        <w:rPr>
          <w:color w:val="auto"/>
          <w:sz w:val="21"/>
          <w:szCs w:val="21"/>
        </w:rPr>
        <w:t xml:space="preserve"> as part of its commitment to </w:t>
      </w:r>
      <w:r w:rsidR="0077063C" w:rsidRPr="00FF2A2F">
        <w:rPr>
          <w:color w:val="auto"/>
          <w:sz w:val="21"/>
          <w:szCs w:val="21"/>
        </w:rPr>
        <w:t xml:space="preserve">the </w:t>
      </w:r>
      <w:r w:rsidR="00806CCB" w:rsidRPr="00FF2A2F">
        <w:rPr>
          <w:color w:val="auto"/>
          <w:sz w:val="21"/>
          <w:szCs w:val="21"/>
        </w:rPr>
        <w:t>Paris Agreement</w:t>
      </w:r>
      <w:r w:rsidR="00176B1F" w:rsidRPr="00FF2A2F">
        <w:rPr>
          <w:color w:val="auto"/>
          <w:sz w:val="21"/>
          <w:szCs w:val="21"/>
        </w:rPr>
        <w:t xml:space="preserve">. </w:t>
      </w:r>
      <w:r w:rsidR="00806CCB" w:rsidRPr="00FF2A2F">
        <w:rPr>
          <w:color w:val="auto"/>
          <w:sz w:val="21"/>
          <w:szCs w:val="21"/>
        </w:rPr>
        <w:t xml:space="preserve"> </w:t>
      </w:r>
    </w:p>
    <w:p w14:paraId="3D637876" w14:textId="721AABAA" w:rsidR="00105BB8" w:rsidRPr="00FF2A2F" w:rsidRDefault="00350E28" w:rsidP="00FF0903">
      <w:pPr>
        <w:spacing w:before="120" w:line="260" w:lineRule="atLeast"/>
        <w:ind w:left="0" w:firstLine="0"/>
        <w:rPr>
          <w:color w:val="auto"/>
          <w:sz w:val="21"/>
          <w:szCs w:val="21"/>
        </w:rPr>
      </w:pPr>
      <w:r w:rsidRPr="00FF2A2F">
        <w:rPr>
          <w:color w:val="auto"/>
          <w:sz w:val="21"/>
          <w:szCs w:val="21"/>
        </w:rPr>
        <w:t>2</w:t>
      </w:r>
      <w:r w:rsidR="00FA4BDC" w:rsidRPr="00FF2A2F">
        <w:rPr>
          <w:color w:val="auto"/>
          <w:sz w:val="21"/>
          <w:szCs w:val="21"/>
        </w:rPr>
        <w:t xml:space="preserve">8. </w:t>
      </w:r>
      <w:r w:rsidR="007B2FC0" w:rsidRPr="00FF2A2F">
        <w:rPr>
          <w:color w:val="auto"/>
          <w:sz w:val="21"/>
          <w:szCs w:val="21"/>
        </w:rPr>
        <w:t>Tonga plays a significant role in regional</w:t>
      </w:r>
      <w:r w:rsidR="00533C3B" w:rsidRPr="00FF2A2F">
        <w:rPr>
          <w:color w:val="auto"/>
          <w:sz w:val="21"/>
          <w:szCs w:val="21"/>
        </w:rPr>
        <w:t xml:space="preserve"> </w:t>
      </w:r>
      <w:r w:rsidR="00C22C88" w:rsidRPr="00FF2A2F">
        <w:rPr>
          <w:color w:val="auto"/>
          <w:sz w:val="21"/>
          <w:szCs w:val="21"/>
        </w:rPr>
        <w:t>efforts to address</w:t>
      </w:r>
      <w:r w:rsidR="007B2FC0" w:rsidRPr="00FF2A2F">
        <w:rPr>
          <w:color w:val="auto"/>
          <w:sz w:val="21"/>
          <w:szCs w:val="21"/>
        </w:rPr>
        <w:t xml:space="preserve"> shared</w:t>
      </w:r>
      <w:r w:rsidR="00A06D70" w:rsidRPr="00FF2A2F">
        <w:rPr>
          <w:color w:val="auto"/>
          <w:sz w:val="21"/>
          <w:szCs w:val="21"/>
        </w:rPr>
        <w:t xml:space="preserve"> development and humanitarian</w:t>
      </w:r>
      <w:r w:rsidR="007B2FC0" w:rsidRPr="00FF2A2F">
        <w:rPr>
          <w:color w:val="auto"/>
          <w:sz w:val="21"/>
          <w:szCs w:val="21"/>
        </w:rPr>
        <w:t xml:space="preserve"> challenges. Tonga is the </w:t>
      </w:r>
      <w:r w:rsidR="00C839CE" w:rsidRPr="00FF2A2F">
        <w:rPr>
          <w:color w:val="auto"/>
          <w:sz w:val="21"/>
          <w:szCs w:val="21"/>
        </w:rPr>
        <w:t>country of domicile for the Pacific Resilience Facility,</w:t>
      </w:r>
      <w:r w:rsidR="007B2FC0" w:rsidRPr="00FF2A2F">
        <w:rPr>
          <w:color w:val="auto"/>
          <w:sz w:val="21"/>
          <w:szCs w:val="21"/>
        </w:rPr>
        <w:t xml:space="preserve"> hosts the Polynesian sub-office of </w:t>
      </w:r>
      <w:r w:rsidR="0052783B" w:rsidRPr="00FF2A2F">
        <w:rPr>
          <w:color w:val="auto"/>
          <w:sz w:val="21"/>
          <w:szCs w:val="21"/>
        </w:rPr>
        <w:t xml:space="preserve">the </w:t>
      </w:r>
      <w:r w:rsidR="007B2FC0" w:rsidRPr="00FF2A2F">
        <w:rPr>
          <w:color w:val="auto"/>
          <w:sz w:val="21"/>
          <w:szCs w:val="21"/>
        </w:rPr>
        <w:t>Pacific Community (SPC) and will host the Pacific Games in 2031.</w:t>
      </w:r>
      <w:r w:rsidR="00D30A5E" w:rsidRPr="00FF2A2F">
        <w:rPr>
          <w:color w:val="auto"/>
          <w:sz w:val="21"/>
          <w:szCs w:val="21"/>
        </w:rPr>
        <w:t xml:space="preserve"> Tonga’s commitment to the </w:t>
      </w:r>
      <w:r w:rsidR="008664AA" w:rsidRPr="00FF2A2F">
        <w:rPr>
          <w:color w:val="auto"/>
          <w:sz w:val="21"/>
          <w:szCs w:val="21"/>
        </w:rPr>
        <w:t xml:space="preserve">2050 Strategy for the </w:t>
      </w:r>
      <w:r w:rsidR="00D30A5E" w:rsidRPr="00FF2A2F">
        <w:rPr>
          <w:color w:val="auto"/>
          <w:sz w:val="21"/>
          <w:szCs w:val="21"/>
        </w:rPr>
        <w:t xml:space="preserve">Blue Pacific </w:t>
      </w:r>
      <w:r w:rsidR="008664AA" w:rsidRPr="00FF2A2F">
        <w:rPr>
          <w:color w:val="auto"/>
          <w:sz w:val="21"/>
          <w:szCs w:val="21"/>
        </w:rPr>
        <w:t>Continent focus</w:t>
      </w:r>
      <w:r w:rsidR="00A06D70" w:rsidRPr="00FF2A2F">
        <w:rPr>
          <w:color w:val="auto"/>
          <w:sz w:val="21"/>
          <w:szCs w:val="21"/>
        </w:rPr>
        <w:t>es</w:t>
      </w:r>
      <w:r w:rsidR="008664AA" w:rsidRPr="00FF2A2F">
        <w:rPr>
          <w:color w:val="auto"/>
          <w:sz w:val="21"/>
          <w:szCs w:val="21"/>
        </w:rPr>
        <w:t xml:space="preserve"> on </w:t>
      </w:r>
      <w:r w:rsidR="00613E51" w:rsidRPr="00FF2A2F">
        <w:rPr>
          <w:color w:val="auto"/>
          <w:sz w:val="21"/>
          <w:szCs w:val="21"/>
        </w:rPr>
        <w:t xml:space="preserve">climate action, disaster risk management, infrastructure development and sustainable economic management. </w:t>
      </w:r>
      <w:r w:rsidR="00D30A5E" w:rsidRPr="00FF2A2F">
        <w:rPr>
          <w:color w:val="auto"/>
          <w:sz w:val="21"/>
          <w:szCs w:val="21"/>
        </w:rPr>
        <w:t xml:space="preserve"> </w:t>
      </w:r>
    </w:p>
    <w:p w14:paraId="3D39116B" w14:textId="269184F7" w:rsidR="00827246" w:rsidRPr="00FF2A2F" w:rsidRDefault="00FA4BDC" w:rsidP="00FF0903">
      <w:pPr>
        <w:spacing w:before="120" w:line="260" w:lineRule="atLeast"/>
        <w:ind w:left="0" w:firstLine="0"/>
        <w:rPr>
          <w:color w:val="auto"/>
          <w:sz w:val="21"/>
          <w:szCs w:val="21"/>
        </w:rPr>
      </w:pPr>
      <w:r w:rsidRPr="00FF2A2F">
        <w:rPr>
          <w:color w:val="auto"/>
          <w:sz w:val="21"/>
          <w:szCs w:val="21"/>
        </w:rPr>
        <w:t xml:space="preserve">29. </w:t>
      </w:r>
      <w:r w:rsidR="00874C18" w:rsidRPr="00FF2A2F">
        <w:rPr>
          <w:color w:val="auto"/>
          <w:sz w:val="21"/>
          <w:szCs w:val="21"/>
        </w:rPr>
        <w:t>Tonga</w:t>
      </w:r>
      <w:r w:rsidR="00434E76" w:rsidRPr="00FF2A2F">
        <w:rPr>
          <w:color w:val="auto"/>
          <w:sz w:val="21"/>
          <w:szCs w:val="21"/>
        </w:rPr>
        <w:t xml:space="preserve"> is a signatory to the Beijing Declaration and Platform for Action and has agreed to several international and regional commitments </w:t>
      </w:r>
      <w:r w:rsidR="00A95901" w:rsidRPr="00FF2A2F">
        <w:rPr>
          <w:color w:val="auto"/>
          <w:sz w:val="21"/>
          <w:szCs w:val="21"/>
        </w:rPr>
        <w:t xml:space="preserve">focused on </w:t>
      </w:r>
      <w:r w:rsidR="00F25719" w:rsidRPr="00FF2A2F">
        <w:rPr>
          <w:color w:val="auto"/>
          <w:sz w:val="21"/>
          <w:szCs w:val="21"/>
        </w:rPr>
        <w:t>rights,</w:t>
      </w:r>
      <w:r w:rsidR="00874C18" w:rsidRPr="00FF2A2F">
        <w:rPr>
          <w:color w:val="auto"/>
          <w:sz w:val="21"/>
          <w:szCs w:val="21"/>
        </w:rPr>
        <w:t xml:space="preserve"> </w:t>
      </w:r>
      <w:r w:rsidR="00434E76" w:rsidRPr="00FF2A2F">
        <w:rPr>
          <w:color w:val="auto"/>
          <w:sz w:val="21"/>
          <w:szCs w:val="21"/>
        </w:rPr>
        <w:t xml:space="preserve">equality </w:t>
      </w:r>
      <w:r w:rsidR="00874C18" w:rsidRPr="00FF2A2F">
        <w:rPr>
          <w:color w:val="auto"/>
          <w:sz w:val="21"/>
          <w:szCs w:val="21"/>
        </w:rPr>
        <w:t xml:space="preserve">and inclusion </w:t>
      </w:r>
      <w:r w:rsidR="00434E76" w:rsidRPr="00FF2A2F">
        <w:rPr>
          <w:color w:val="auto"/>
          <w:sz w:val="21"/>
          <w:szCs w:val="21"/>
        </w:rPr>
        <w:t>including the Convention on the Rights of the Child (CRC), the Convention on Elimination of all forms of Racial Discrimination (CERD),), the Pacific Leaders Gender Equality Declaration (PLGED)</w:t>
      </w:r>
      <w:r w:rsidR="00A95901" w:rsidRPr="00FF2A2F">
        <w:rPr>
          <w:color w:val="auto"/>
          <w:sz w:val="21"/>
          <w:szCs w:val="21"/>
        </w:rPr>
        <w:t xml:space="preserve"> and the </w:t>
      </w:r>
      <w:r w:rsidR="00434E76" w:rsidRPr="00FF2A2F">
        <w:rPr>
          <w:color w:val="auto"/>
          <w:sz w:val="21"/>
          <w:szCs w:val="21"/>
        </w:rPr>
        <w:t>Pacific Platform for Action on Gender Equality and Women’s Human Rights (SPC, 2018–2030)</w:t>
      </w:r>
      <w:r w:rsidR="00CB5A32" w:rsidRPr="00FF2A2F">
        <w:rPr>
          <w:color w:val="auto"/>
          <w:sz w:val="21"/>
          <w:szCs w:val="21"/>
        </w:rPr>
        <w:t xml:space="preserve">. </w:t>
      </w:r>
      <w:r w:rsidR="00434E76" w:rsidRPr="00FF2A2F">
        <w:rPr>
          <w:color w:val="auto"/>
          <w:sz w:val="21"/>
          <w:szCs w:val="21"/>
        </w:rPr>
        <w:t>Nationally, Tonga is guided by the Ministry of Internal Affairs, Women’s Affairs for Gender Equality Division’s (WAGED) National Women’s Empowerment and Gender Equality Tonga Policy and Strategic Plan of Action (2019–2025)</w:t>
      </w:r>
      <w:r w:rsidR="00827246" w:rsidRPr="00FF2A2F">
        <w:rPr>
          <w:color w:val="auto"/>
          <w:sz w:val="21"/>
          <w:szCs w:val="21"/>
        </w:rPr>
        <w:t xml:space="preserve">. The government has not </w:t>
      </w:r>
      <w:r w:rsidR="00350E28" w:rsidRPr="00FF2A2F">
        <w:rPr>
          <w:color w:val="auto"/>
          <w:sz w:val="21"/>
          <w:szCs w:val="21"/>
        </w:rPr>
        <w:t xml:space="preserve">signed or </w:t>
      </w:r>
      <w:r w:rsidR="00827246" w:rsidRPr="00FF2A2F">
        <w:rPr>
          <w:color w:val="auto"/>
          <w:sz w:val="21"/>
          <w:szCs w:val="21"/>
        </w:rPr>
        <w:t>ratified the Convention of the Elimination of Discrimination Against Women (CEDAW</w:t>
      </w:r>
      <w:r w:rsidR="00E16E92" w:rsidRPr="00FF2A2F">
        <w:rPr>
          <w:color w:val="auto"/>
          <w:sz w:val="21"/>
          <w:szCs w:val="21"/>
        </w:rPr>
        <w:t>),</w:t>
      </w:r>
      <w:r w:rsidR="00827246" w:rsidRPr="00FF2A2F">
        <w:rPr>
          <w:color w:val="auto"/>
          <w:sz w:val="21"/>
          <w:szCs w:val="21"/>
        </w:rPr>
        <w:t xml:space="preserve"> and gender equality remains a sensitive </w:t>
      </w:r>
      <w:r w:rsidR="005E7BAE" w:rsidRPr="00FF2A2F">
        <w:rPr>
          <w:color w:val="auto"/>
          <w:sz w:val="21"/>
          <w:szCs w:val="21"/>
        </w:rPr>
        <w:t xml:space="preserve">issue. In </w:t>
      </w:r>
      <w:r w:rsidR="001F50EE" w:rsidRPr="00FF2A2F">
        <w:rPr>
          <w:color w:val="auto"/>
          <w:sz w:val="21"/>
          <w:szCs w:val="21"/>
        </w:rPr>
        <w:t xml:space="preserve">August </w:t>
      </w:r>
      <w:r w:rsidR="005E7BAE" w:rsidRPr="00FF2A2F">
        <w:rPr>
          <w:color w:val="auto"/>
          <w:sz w:val="21"/>
          <w:szCs w:val="21"/>
        </w:rPr>
        <w:t xml:space="preserve">2025 the Government of Tonga passed the </w:t>
      </w:r>
      <w:r w:rsidR="001F50EE" w:rsidRPr="00FF2A2F">
        <w:rPr>
          <w:color w:val="auto"/>
          <w:sz w:val="21"/>
          <w:szCs w:val="21"/>
        </w:rPr>
        <w:t>National Policy on Disability aiming to create a barrier-free society where persons with disabilities have full participation, economic, and political inclusion. This policy builds on previous efforts, including the 2018 National Disability Survey. The policy aligns with the CRPD and emphasizes a whole-of-society approach to disability inclusion.</w:t>
      </w:r>
      <w:r w:rsidR="00F14583" w:rsidRPr="00FF2A2F">
        <w:rPr>
          <w:color w:val="auto"/>
          <w:sz w:val="21"/>
          <w:szCs w:val="21"/>
        </w:rPr>
        <w:t xml:space="preserve"> </w:t>
      </w:r>
    </w:p>
    <w:p w14:paraId="4A70AE74" w14:textId="668674C4" w:rsidR="00507089" w:rsidRPr="00FF2A2F" w:rsidRDefault="00A04F40" w:rsidP="00FF0903">
      <w:pPr>
        <w:spacing w:before="120" w:line="260" w:lineRule="atLeast"/>
        <w:ind w:left="0" w:firstLine="0"/>
        <w:rPr>
          <w:b/>
          <w:bCs/>
          <w:color w:val="auto"/>
        </w:rPr>
      </w:pPr>
      <w:r w:rsidRPr="00FF2A2F">
        <w:rPr>
          <w:b/>
          <w:bCs/>
          <w:color w:val="auto"/>
        </w:rPr>
        <w:t>Humanitarian Issue Analysis</w:t>
      </w:r>
      <w:r w:rsidR="00FA4BDC" w:rsidRPr="00FF2A2F">
        <w:rPr>
          <w:b/>
          <w:bCs/>
          <w:color w:val="auto"/>
        </w:rPr>
        <w:t xml:space="preserve">: </w:t>
      </w:r>
      <w:r w:rsidR="00507089" w:rsidRPr="00FF2A2F">
        <w:rPr>
          <w:color w:val="auto"/>
          <w:sz w:val="21"/>
          <w:szCs w:val="21"/>
        </w:rPr>
        <w:t xml:space="preserve">Economic and Social Impact of Disasters </w:t>
      </w:r>
    </w:p>
    <w:p w14:paraId="5FE1878F" w14:textId="0CC430AC" w:rsidR="00507089" w:rsidRPr="00FF2A2F" w:rsidRDefault="00FA4BDC" w:rsidP="00FF0903">
      <w:pPr>
        <w:spacing w:before="120" w:line="260" w:lineRule="atLeast"/>
        <w:ind w:left="0" w:firstLine="0"/>
        <w:rPr>
          <w:color w:val="auto"/>
          <w:sz w:val="21"/>
          <w:szCs w:val="21"/>
        </w:rPr>
      </w:pPr>
      <w:r w:rsidRPr="00FF2A2F">
        <w:rPr>
          <w:color w:val="auto"/>
          <w:sz w:val="21"/>
          <w:szCs w:val="21"/>
        </w:rPr>
        <w:t xml:space="preserve">30. </w:t>
      </w:r>
      <w:r w:rsidR="00507089" w:rsidRPr="00FF2A2F">
        <w:rPr>
          <w:color w:val="auto"/>
          <w:sz w:val="21"/>
          <w:szCs w:val="21"/>
        </w:rPr>
        <w:t xml:space="preserve">While Tonga appears to be on an upward trajectory in terms of social and economic improvements, these gains remain fragile and can be easily reversed by extreme weather events and disasters. Tonga is one of the most at-risk countries globally for disasters due to its high exposure to cyclones, earthquakes, tsunamis and volcanic eruptions, as well as potential sea level rise. On average, Tonga anticipates 3 tropical cyclones annually, with one severe cyclone (Category 4 or higher) striking Tonga approximately every 2 years. </w:t>
      </w:r>
    </w:p>
    <w:p w14:paraId="51E1709F" w14:textId="46734095" w:rsidR="00E45BE9" w:rsidRPr="00FF2A2F" w:rsidRDefault="00FA4BDC" w:rsidP="00FF0903">
      <w:pPr>
        <w:spacing w:before="120" w:line="260" w:lineRule="atLeast"/>
        <w:ind w:left="0" w:firstLine="0"/>
        <w:rPr>
          <w:color w:val="auto"/>
          <w:sz w:val="21"/>
          <w:szCs w:val="21"/>
        </w:rPr>
      </w:pPr>
      <w:r w:rsidRPr="00FF2A2F">
        <w:rPr>
          <w:color w:val="auto"/>
          <w:sz w:val="21"/>
          <w:szCs w:val="21"/>
        </w:rPr>
        <w:lastRenderedPageBreak/>
        <w:t xml:space="preserve">31. </w:t>
      </w:r>
      <w:r w:rsidR="00E45BE9" w:rsidRPr="00FF2A2F">
        <w:rPr>
          <w:color w:val="auto"/>
          <w:sz w:val="21"/>
          <w:szCs w:val="21"/>
        </w:rPr>
        <w:t xml:space="preserve">Consecutive </w:t>
      </w:r>
      <w:r w:rsidR="000B1531" w:rsidRPr="00FF2A2F">
        <w:rPr>
          <w:color w:val="auto"/>
          <w:sz w:val="21"/>
          <w:szCs w:val="21"/>
        </w:rPr>
        <w:t xml:space="preserve">extreme weather events and disasters </w:t>
      </w:r>
      <w:r w:rsidR="00E45BE9" w:rsidRPr="00FF2A2F">
        <w:rPr>
          <w:color w:val="auto"/>
          <w:sz w:val="21"/>
          <w:szCs w:val="21"/>
        </w:rPr>
        <w:t xml:space="preserve">are having compounding impacts. Located on the Pacific Ring of Fire, Tonga is particularly vulnerable to earthquakes with more than 65% of the world’s deepest earthquakes experienced in Tonga, underwater volcanic eruptions and tsunamis. Tonga’s landmass sits at a low level, in some instances below sea level, making it susceptible to flooding, storm surge and king tides with 84% of the population living within 1km of the coast and Nuku’alofa, home to about 20% of the population, being only 1-2 meters above sea level. </w:t>
      </w:r>
    </w:p>
    <w:p w14:paraId="416C9944" w14:textId="0F59B59E" w:rsidR="00FA4BDC" w:rsidRPr="00FF2A2F" w:rsidRDefault="00FA4BDC" w:rsidP="00FF0903">
      <w:pPr>
        <w:spacing w:before="120" w:line="260" w:lineRule="atLeast"/>
        <w:ind w:left="0" w:firstLine="0"/>
        <w:rPr>
          <w:color w:val="auto"/>
          <w:sz w:val="21"/>
          <w:szCs w:val="21"/>
        </w:rPr>
      </w:pPr>
      <w:r w:rsidRPr="00FF2A2F">
        <w:rPr>
          <w:color w:val="auto"/>
          <w:sz w:val="21"/>
          <w:szCs w:val="21"/>
        </w:rPr>
        <w:t xml:space="preserve">32. </w:t>
      </w:r>
      <w:r w:rsidR="00507089" w:rsidRPr="00FF2A2F">
        <w:rPr>
          <w:color w:val="auto"/>
          <w:sz w:val="21"/>
          <w:szCs w:val="21"/>
        </w:rPr>
        <w:t xml:space="preserve">Tonga experiences a high degree of economic and social shock during disasters – it is estimated that over 40% of the population is affected during a typical disaster. The risk of disasters, including those related to climate change, has doubled in the last 20 years and is expected to continue to increase, bringing greater potential economic losses. The social and economic impacts of compounding crises is testing the resilience and capacity of the GoT and communities, and further support is required to bolster humanitarian preparedness, response and recovery support. </w:t>
      </w:r>
    </w:p>
    <w:p w14:paraId="69AC1937" w14:textId="2B6561F6" w:rsidR="00FA4BDC" w:rsidRPr="00FF2A2F" w:rsidRDefault="00FA4BDC" w:rsidP="00FF0903">
      <w:pPr>
        <w:spacing w:before="120" w:line="260" w:lineRule="atLeast"/>
        <w:ind w:left="0" w:firstLine="720"/>
        <w:rPr>
          <w:b/>
          <w:bCs/>
          <w:color w:val="auto"/>
          <w:sz w:val="21"/>
          <w:szCs w:val="21"/>
        </w:rPr>
      </w:pPr>
      <w:r w:rsidRPr="00FF2A2F">
        <w:rPr>
          <w:b/>
          <w:bCs/>
          <w:color w:val="auto"/>
          <w:sz w:val="21"/>
          <w:szCs w:val="21"/>
        </w:rPr>
        <w:t>Box 2: Impact of Disasters in Tonga</w:t>
      </w:r>
    </w:p>
    <w:p w14:paraId="6F3ADE81" w14:textId="77777777" w:rsidR="009C420A" w:rsidRPr="00FF2A2F" w:rsidRDefault="009C420A" w:rsidP="009C420A">
      <w:pPr>
        <w:spacing w:before="120" w:line="260" w:lineRule="atLeast"/>
        <w:ind w:left="720" w:firstLine="0"/>
        <w:rPr>
          <w:i/>
          <w:iCs/>
          <w:color w:val="auto"/>
          <w:sz w:val="21"/>
          <w:szCs w:val="21"/>
        </w:rPr>
      </w:pPr>
      <w:r w:rsidRPr="00FF2A2F">
        <w:rPr>
          <w:i/>
          <w:iCs/>
          <w:color w:val="auto"/>
          <w:sz w:val="21"/>
          <w:szCs w:val="21"/>
        </w:rPr>
        <w:t>Current estimated average annual loss for Tonga by the Global Facility for Disaster Reduction and Recovery is USD15.5 million (approximately AUD24 million) with the following major events impacting the economy:</w:t>
      </w:r>
    </w:p>
    <w:p w14:paraId="4076F838" w14:textId="77777777" w:rsidR="009C420A" w:rsidRPr="00FF2A2F" w:rsidRDefault="009C420A" w:rsidP="009C420A">
      <w:pPr>
        <w:spacing w:before="120" w:line="260" w:lineRule="atLeast"/>
        <w:ind w:left="0" w:firstLine="720"/>
        <w:rPr>
          <w:i/>
          <w:iCs/>
          <w:color w:val="auto"/>
          <w:sz w:val="21"/>
          <w:szCs w:val="21"/>
        </w:rPr>
      </w:pPr>
      <w:r w:rsidRPr="00FF2A2F">
        <w:rPr>
          <w:i/>
          <w:iCs/>
          <w:color w:val="auto"/>
          <w:sz w:val="21"/>
          <w:szCs w:val="21"/>
        </w:rPr>
        <w:t>-</w:t>
      </w:r>
      <w:r w:rsidRPr="00FF2A2F">
        <w:rPr>
          <w:i/>
          <w:iCs/>
          <w:color w:val="auto"/>
          <w:sz w:val="21"/>
          <w:szCs w:val="21"/>
        </w:rPr>
        <w:tab/>
        <w:t>Cyclone Gita (2018): USD164 million in damages (38% of GDP)</w:t>
      </w:r>
    </w:p>
    <w:p w14:paraId="2F1D51D7" w14:textId="77777777" w:rsidR="009C420A" w:rsidRPr="00FF2A2F" w:rsidRDefault="009C420A" w:rsidP="009C420A">
      <w:pPr>
        <w:spacing w:before="120" w:line="260" w:lineRule="atLeast"/>
        <w:ind w:left="0" w:firstLine="720"/>
        <w:rPr>
          <w:i/>
          <w:iCs/>
          <w:color w:val="auto"/>
          <w:sz w:val="21"/>
          <w:szCs w:val="21"/>
        </w:rPr>
      </w:pPr>
      <w:r w:rsidRPr="00FF2A2F">
        <w:rPr>
          <w:i/>
          <w:iCs/>
          <w:color w:val="auto"/>
          <w:sz w:val="21"/>
          <w:szCs w:val="21"/>
        </w:rPr>
        <w:t>-</w:t>
      </w:r>
      <w:r w:rsidRPr="00FF2A2F">
        <w:rPr>
          <w:i/>
          <w:iCs/>
          <w:color w:val="auto"/>
          <w:sz w:val="21"/>
          <w:szCs w:val="21"/>
        </w:rPr>
        <w:tab/>
        <w:t>Cyclone Harold (2020): USD124 million in damages (23% of GDP).</w:t>
      </w:r>
    </w:p>
    <w:p w14:paraId="12D96240" w14:textId="77777777" w:rsidR="009C420A" w:rsidRPr="00FF2A2F" w:rsidRDefault="009C420A" w:rsidP="009C420A">
      <w:pPr>
        <w:spacing w:before="120" w:line="260" w:lineRule="atLeast"/>
        <w:ind w:left="0" w:firstLine="720"/>
        <w:rPr>
          <w:i/>
          <w:iCs/>
          <w:color w:val="auto"/>
          <w:sz w:val="21"/>
          <w:szCs w:val="21"/>
        </w:rPr>
      </w:pPr>
      <w:r w:rsidRPr="00FF2A2F">
        <w:rPr>
          <w:i/>
          <w:iCs/>
          <w:color w:val="auto"/>
          <w:sz w:val="21"/>
          <w:szCs w:val="21"/>
        </w:rPr>
        <w:t>-</w:t>
      </w:r>
      <w:r w:rsidRPr="00FF2A2F">
        <w:rPr>
          <w:i/>
          <w:iCs/>
          <w:color w:val="auto"/>
          <w:sz w:val="21"/>
          <w:szCs w:val="21"/>
        </w:rPr>
        <w:tab/>
        <w:t>HTHH Eruption and Tsunami (2022): USD90.4 million in damages (18.5% of GDP)</w:t>
      </w:r>
    </w:p>
    <w:p w14:paraId="389AED1E" w14:textId="77777777" w:rsidR="009C420A" w:rsidRPr="00FF2A2F" w:rsidRDefault="009C420A" w:rsidP="009C420A">
      <w:pPr>
        <w:spacing w:before="120" w:line="260" w:lineRule="atLeast"/>
        <w:ind w:left="0" w:firstLine="720"/>
        <w:rPr>
          <w:i/>
          <w:iCs/>
          <w:color w:val="auto"/>
          <w:sz w:val="21"/>
          <w:szCs w:val="21"/>
        </w:rPr>
      </w:pPr>
      <w:r w:rsidRPr="00FF2A2F">
        <w:rPr>
          <w:i/>
          <w:iCs/>
          <w:color w:val="auto"/>
          <w:sz w:val="21"/>
          <w:szCs w:val="21"/>
        </w:rPr>
        <w:t>The sectors most affected by disasters in Tonga are:</w:t>
      </w:r>
    </w:p>
    <w:p w14:paraId="2A8776C2" w14:textId="77777777" w:rsidR="009C420A" w:rsidRPr="00FF2A2F" w:rsidRDefault="009C420A" w:rsidP="009C420A">
      <w:pPr>
        <w:spacing w:before="120" w:line="260" w:lineRule="atLeast"/>
        <w:ind w:left="0" w:firstLine="720"/>
        <w:rPr>
          <w:i/>
          <w:iCs/>
          <w:color w:val="auto"/>
          <w:sz w:val="21"/>
          <w:szCs w:val="21"/>
        </w:rPr>
      </w:pPr>
      <w:r w:rsidRPr="00FF2A2F">
        <w:rPr>
          <w:i/>
          <w:iCs/>
          <w:color w:val="auto"/>
          <w:sz w:val="21"/>
          <w:szCs w:val="21"/>
        </w:rPr>
        <w:t>-</w:t>
      </w:r>
      <w:r w:rsidRPr="00FF2A2F">
        <w:rPr>
          <w:i/>
          <w:iCs/>
          <w:color w:val="auto"/>
          <w:sz w:val="21"/>
          <w:szCs w:val="21"/>
        </w:rPr>
        <w:tab/>
        <w:t>Agriculture, tourism, commerce: ~54%</w:t>
      </w:r>
    </w:p>
    <w:p w14:paraId="29E3C8AB" w14:textId="77777777" w:rsidR="009C420A" w:rsidRPr="00FF2A2F" w:rsidRDefault="009C420A" w:rsidP="009C420A">
      <w:pPr>
        <w:spacing w:before="120" w:line="260" w:lineRule="atLeast"/>
        <w:ind w:left="0" w:firstLine="720"/>
        <w:rPr>
          <w:i/>
          <w:iCs/>
          <w:color w:val="auto"/>
          <w:sz w:val="21"/>
          <w:szCs w:val="21"/>
        </w:rPr>
      </w:pPr>
      <w:r w:rsidRPr="00FF2A2F">
        <w:rPr>
          <w:i/>
          <w:iCs/>
          <w:color w:val="auto"/>
          <w:sz w:val="21"/>
          <w:szCs w:val="21"/>
        </w:rPr>
        <w:t>-</w:t>
      </w:r>
      <w:r w:rsidRPr="00FF2A2F">
        <w:rPr>
          <w:i/>
          <w:iCs/>
          <w:color w:val="auto"/>
          <w:sz w:val="21"/>
          <w:szCs w:val="21"/>
        </w:rPr>
        <w:tab/>
        <w:t>Education, health, housing: ~38% of damage</w:t>
      </w:r>
    </w:p>
    <w:p w14:paraId="229619F2" w14:textId="77777777" w:rsidR="009C420A" w:rsidRPr="00FF2A2F" w:rsidRDefault="009C420A" w:rsidP="009C420A">
      <w:pPr>
        <w:spacing w:before="120" w:line="260" w:lineRule="atLeast"/>
        <w:ind w:left="0" w:firstLine="720"/>
        <w:rPr>
          <w:i/>
          <w:iCs/>
          <w:color w:val="auto"/>
          <w:sz w:val="21"/>
          <w:szCs w:val="21"/>
        </w:rPr>
      </w:pPr>
      <w:r w:rsidRPr="00FF2A2F">
        <w:rPr>
          <w:i/>
          <w:iCs/>
          <w:color w:val="auto"/>
          <w:sz w:val="21"/>
          <w:szCs w:val="21"/>
        </w:rPr>
        <w:t>-</w:t>
      </w:r>
      <w:r w:rsidRPr="00FF2A2F">
        <w:rPr>
          <w:i/>
          <w:iCs/>
          <w:color w:val="auto"/>
          <w:sz w:val="21"/>
          <w:szCs w:val="21"/>
        </w:rPr>
        <w:tab/>
        <w:t>Transport, water, electricity, communications: ~8%</w:t>
      </w:r>
    </w:p>
    <w:p w14:paraId="5DD06062" w14:textId="736E19E0" w:rsidR="009C420A" w:rsidRPr="00FF2A2F" w:rsidRDefault="009C420A" w:rsidP="009C420A">
      <w:pPr>
        <w:spacing w:before="120" w:line="260" w:lineRule="atLeast"/>
        <w:ind w:left="1440" w:hanging="720"/>
        <w:rPr>
          <w:i/>
          <w:iCs/>
          <w:color w:val="auto"/>
          <w:sz w:val="21"/>
          <w:szCs w:val="21"/>
        </w:rPr>
      </w:pPr>
      <w:r w:rsidRPr="00FF2A2F">
        <w:rPr>
          <w:i/>
          <w:iCs/>
          <w:color w:val="auto"/>
          <w:sz w:val="21"/>
          <w:szCs w:val="21"/>
        </w:rPr>
        <w:t>-</w:t>
      </w:r>
      <w:r w:rsidRPr="00FF2A2F">
        <w:rPr>
          <w:i/>
          <w:iCs/>
          <w:color w:val="auto"/>
          <w:sz w:val="21"/>
          <w:szCs w:val="21"/>
        </w:rPr>
        <w:tab/>
        <w:t>Tourism and agriculture are particularly vulnerable due to geographic exposure and reliance on natural resources.</w:t>
      </w:r>
    </w:p>
    <w:p w14:paraId="2705BEE4" w14:textId="37EE0359" w:rsidR="001A3186" w:rsidRPr="00FF2A2F" w:rsidRDefault="00FA4BDC" w:rsidP="00FF0903">
      <w:pPr>
        <w:spacing w:before="120" w:line="260" w:lineRule="atLeast"/>
        <w:ind w:left="0" w:firstLine="0"/>
        <w:rPr>
          <w:color w:val="auto"/>
          <w:sz w:val="21"/>
          <w:szCs w:val="21"/>
        </w:rPr>
      </w:pPr>
      <w:r w:rsidRPr="00FF2A2F">
        <w:rPr>
          <w:color w:val="auto"/>
          <w:sz w:val="21"/>
          <w:szCs w:val="21"/>
        </w:rPr>
        <w:t xml:space="preserve">33. </w:t>
      </w:r>
      <w:r w:rsidR="001A3186" w:rsidRPr="00FF2A2F">
        <w:rPr>
          <w:color w:val="auto"/>
          <w:sz w:val="21"/>
          <w:szCs w:val="21"/>
        </w:rPr>
        <w:t>Climate projections include less frequent but more intense cyclones and more frequent and intense extreme rainfall impacting human health through increase of vector and water borne diseases and risks to physical safety, and damage to infrastructure and settlements; sea level rise of 17-30cm under a low emissions scenario by 2050, and 21-37cm under a high emissions scenario</w:t>
      </w:r>
      <w:r w:rsidR="009D7817" w:rsidRPr="00FF2A2F">
        <w:rPr>
          <w:color w:val="auto"/>
          <w:sz w:val="21"/>
          <w:szCs w:val="21"/>
        </w:rPr>
        <w:t>,</w:t>
      </w:r>
      <w:r w:rsidR="001A3186" w:rsidRPr="00FF2A2F">
        <w:rPr>
          <w:color w:val="auto"/>
          <w:sz w:val="21"/>
          <w:szCs w:val="21"/>
        </w:rPr>
        <w:t xml:space="preserve"> impacting coastal settlements and infrastructure and groundwater, and increased temperatures and more heat waves. </w:t>
      </w:r>
    </w:p>
    <w:p w14:paraId="4F27055E" w14:textId="393427E9" w:rsidR="001A3186" w:rsidRPr="00FF2A2F" w:rsidRDefault="00FA4BDC" w:rsidP="00FF0903">
      <w:pPr>
        <w:spacing w:before="120" w:line="260" w:lineRule="atLeast"/>
        <w:ind w:left="0" w:firstLine="0"/>
        <w:rPr>
          <w:color w:val="auto"/>
          <w:sz w:val="21"/>
          <w:szCs w:val="21"/>
        </w:rPr>
      </w:pPr>
      <w:r w:rsidRPr="00FF2A2F">
        <w:rPr>
          <w:color w:val="auto"/>
          <w:sz w:val="21"/>
          <w:szCs w:val="21"/>
        </w:rPr>
        <w:t xml:space="preserve">34. </w:t>
      </w:r>
      <w:r w:rsidR="001A3186" w:rsidRPr="00FF2A2F">
        <w:rPr>
          <w:color w:val="auto"/>
          <w:sz w:val="21"/>
          <w:szCs w:val="21"/>
        </w:rPr>
        <w:t xml:space="preserve">The January 2022 Hunga Tonga-Hunga Ha’apai (HTHH) volcanic eruption, tsunami and ashfall affected around 85,000 people, </w:t>
      </w:r>
      <w:r w:rsidR="000A3C61" w:rsidRPr="00FF2A2F">
        <w:rPr>
          <w:color w:val="auto"/>
          <w:sz w:val="21"/>
          <w:szCs w:val="21"/>
        </w:rPr>
        <w:t xml:space="preserve">with </w:t>
      </w:r>
      <w:r w:rsidR="001A3186" w:rsidRPr="00FF2A2F">
        <w:rPr>
          <w:color w:val="auto"/>
          <w:sz w:val="21"/>
          <w:szCs w:val="21"/>
        </w:rPr>
        <w:t xml:space="preserve">more than 600 buildings </w:t>
      </w:r>
      <w:r w:rsidR="00546759" w:rsidRPr="00FF2A2F">
        <w:rPr>
          <w:color w:val="auto"/>
          <w:sz w:val="21"/>
          <w:szCs w:val="21"/>
        </w:rPr>
        <w:t>destroyed</w:t>
      </w:r>
      <w:r w:rsidR="001A3186" w:rsidRPr="00FF2A2F">
        <w:rPr>
          <w:color w:val="auto"/>
          <w:sz w:val="21"/>
          <w:szCs w:val="21"/>
        </w:rPr>
        <w:t xml:space="preserve"> or damaged, and crops, livestock, and fisheries</w:t>
      </w:r>
      <w:r w:rsidR="002A54A0" w:rsidRPr="00FF2A2F">
        <w:rPr>
          <w:color w:val="auto"/>
          <w:sz w:val="21"/>
          <w:szCs w:val="21"/>
        </w:rPr>
        <w:t xml:space="preserve"> impacted,</w:t>
      </w:r>
      <w:r w:rsidR="001A3186" w:rsidRPr="00FF2A2F">
        <w:rPr>
          <w:color w:val="auto"/>
          <w:sz w:val="21"/>
          <w:szCs w:val="21"/>
        </w:rPr>
        <w:t xml:space="preserve"> causing estimated economic damage of USD90.4 million. It had a more intense impact on the poorest and most vulnerable families in Tonga. For example, the World Bank found that recovery of incomes following the HTHH </w:t>
      </w:r>
      <w:r w:rsidR="000264FE" w:rsidRPr="00FF2A2F">
        <w:rPr>
          <w:color w:val="auto"/>
          <w:sz w:val="21"/>
          <w:szCs w:val="21"/>
        </w:rPr>
        <w:t>disaster</w:t>
      </w:r>
      <w:r w:rsidR="001A3186" w:rsidRPr="00FF2A2F">
        <w:rPr>
          <w:color w:val="auto"/>
          <w:sz w:val="21"/>
          <w:szCs w:val="21"/>
        </w:rPr>
        <w:t xml:space="preserve"> w</w:t>
      </w:r>
      <w:r w:rsidR="0097731D" w:rsidRPr="00FF2A2F">
        <w:rPr>
          <w:color w:val="auto"/>
          <w:sz w:val="21"/>
          <w:szCs w:val="21"/>
        </w:rPr>
        <w:t xml:space="preserve">ere </w:t>
      </w:r>
      <w:r w:rsidR="001A3186" w:rsidRPr="00FF2A2F">
        <w:rPr>
          <w:color w:val="auto"/>
          <w:sz w:val="21"/>
          <w:szCs w:val="21"/>
        </w:rPr>
        <w:t>lower for women and those involved with informal work.</w:t>
      </w:r>
      <w:r w:rsidR="001A3186" w:rsidRPr="00FF2A2F">
        <w:rPr>
          <w:color w:val="auto"/>
          <w:sz w:val="21"/>
          <w:szCs w:val="21"/>
        </w:rPr>
        <w:footnoteReference w:id="3"/>
      </w:r>
      <w:r w:rsidR="001A3186" w:rsidRPr="00FF2A2F">
        <w:rPr>
          <w:color w:val="auto"/>
          <w:sz w:val="21"/>
          <w:szCs w:val="21"/>
        </w:rPr>
        <w:t xml:space="preserve"> Australia responded rapidly and comprehensively to the HTHH disaster, guided by the requests and priorities of the Tongan Government, and in close coordination with likeminded partners, providing a sound foundation for this investment to build on.</w:t>
      </w:r>
    </w:p>
    <w:p w14:paraId="425BC7E6" w14:textId="19E7B6B6" w:rsidR="00507089" w:rsidRPr="00FF2A2F" w:rsidRDefault="00FA4BDC" w:rsidP="00FF0903">
      <w:pPr>
        <w:spacing w:before="120" w:line="260" w:lineRule="atLeast"/>
        <w:ind w:left="0" w:firstLine="0"/>
        <w:rPr>
          <w:color w:val="auto"/>
          <w:sz w:val="21"/>
          <w:szCs w:val="21"/>
        </w:rPr>
      </w:pPr>
      <w:r w:rsidRPr="00FF2A2F">
        <w:rPr>
          <w:color w:val="auto"/>
          <w:sz w:val="21"/>
          <w:szCs w:val="21"/>
        </w:rPr>
        <w:t xml:space="preserve">35. </w:t>
      </w:r>
      <w:r w:rsidR="00507089" w:rsidRPr="00FF2A2F">
        <w:rPr>
          <w:color w:val="auto"/>
          <w:sz w:val="21"/>
          <w:szCs w:val="21"/>
        </w:rPr>
        <w:t>Tonga uses a risk-layered financing strategy to manage disaster recovery costs:</w:t>
      </w:r>
    </w:p>
    <w:p w14:paraId="5610A3E3" w14:textId="77777777" w:rsidR="00507089" w:rsidRPr="00FF2A2F" w:rsidRDefault="00507089"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National Emergency Fund (NEF): this was established under the Emergency Fund Act 2008 and is used for immediate response and recovery support.</w:t>
      </w:r>
    </w:p>
    <w:p w14:paraId="576C136E" w14:textId="1C5DF01D" w:rsidR="00507089" w:rsidRPr="00FF2A2F" w:rsidRDefault="00507089"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Contingent Financing Instruments such as catastrophe-deferred drawdown options (Cat DDOs) and</w:t>
      </w:r>
      <w:r w:rsidR="00C53B90" w:rsidRPr="00FF2A2F">
        <w:rPr>
          <w:rFonts w:cstheme="minorHAnsi"/>
          <w:color w:val="auto"/>
          <w:sz w:val="21"/>
          <w:szCs w:val="21"/>
        </w:rPr>
        <w:t xml:space="preserve"> investment in disaster</w:t>
      </w:r>
      <w:r w:rsidRPr="00FF2A2F">
        <w:rPr>
          <w:rFonts w:cstheme="minorHAnsi"/>
          <w:color w:val="auto"/>
          <w:sz w:val="21"/>
          <w:szCs w:val="21"/>
        </w:rPr>
        <w:t xml:space="preserve"> insurance</w:t>
      </w:r>
      <w:r w:rsidR="00C53B90" w:rsidRPr="00FF2A2F">
        <w:rPr>
          <w:rFonts w:cstheme="minorHAnsi"/>
          <w:color w:val="auto"/>
          <w:sz w:val="21"/>
          <w:szCs w:val="21"/>
        </w:rPr>
        <w:t xml:space="preserve">, such as with Pacific Catastrophe Risk Insurance Company. </w:t>
      </w:r>
    </w:p>
    <w:p w14:paraId="6832463D" w14:textId="47436CFD" w:rsidR="00507089" w:rsidRPr="00FF2A2F" w:rsidRDefault="00507089"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International Support: </w:t>
      </w:r>
      <w:r w:rsidR="00FA4BDC" w:rsidRPr="00FF2A2F">
        <w:rPr>
          <w:rFonts w:cstheme="minorHAnsi"/>
          <w:color w:val="auto"/>
          <w:sz w:val="21"/>
          <w:szCs w:val="21"/>
        </w:rPr>
        <w:t>Medium-Long term programming with traditional</w:t>
      </w:r>
      <w:r w:rsidRPr="00FF2A2F">
        <w:rPr>
          <w:rFonts w:cstheme="minorHAnsi"/>
          <w:color w:val="auto"/>
          <w:sz w:val="21"/>
          <w:szCs w:val="21"/>
        </w:rPr>
        <w:t xml:space="preserve"> development partners such as</w:t>
      </w:r>
      <w:r w:rsidR="0009232B" w:rsidRPr="00FF2A2F">
        <w:rPr>
          <w:rFonts w:cstheme="minorHAnsi"/>
          <w:color w:val="auto"/>
          <w:sz w:val="21"/>
          <w:szCs w:val="21"/>
        </w:rPr>
        <w:t xml:space="preserve"> Department of Foreign Affairs and Trade</w:t>
      </w:r>
      <w:r w:rsidRPr="00FF2A2F">
        <w:rPr>
          <w:rFonts w:cstheme="minorHAnsi"/>
          <w:color w:val="auto"/>
          <w:sz w:val="21"/>
          <w:szCs w:val="21"/>
        </w:rPr>
        <w:t xml:space="preserve"> </w:t>
      </w:r>
      <w:r w:rsidR="00D56011" w:rsidRPr="00FF2A2F">
        <w:rPr>
          <w:rFonts w:cstheme="minorHAnsi"/>
          <w:color w:val="auto"/>
          <w:sz w:val="21"/>
          <w:szCs w:val="21"/>
        </w:rPr>
        <w:t>(</w:t>
      </w:r>
      <w:r w:rsidRPr="00FF2A2F">
        <w:rPr>
          <w:rFonts w:cstheme="minorHAnsi"/>
          <w:color w:val="auto"/>
          <w:sz w:val="21"/>
          <w:szCs w:val="21"/>
        </w:rPr>
        <w:t>DFAT</w:t>
      </w:r>
      <w:r w:rsidR="00D56011" w:rsidRPr="00FF2A2F">
        <w:rPr>
          <w:rFonts w:cstheme="minorHAnsi"/>
          <w:color w:val="auto"/>
          <w:sz w:val="21"/>
          <w:szCs w:val="21"/>
        </w:rPr>
        <w:t>)</w:t>
      </w:r>
      <w:r w:rsidRPr="00FF2A2F">
        <w:rPr>
          <w:rFonts w:cstheme="minorHAnsi"/>
          <w:color w:val="auto"/>
          <w:sz w:val="21"/>
          <w:szCs w:val="21"/>
        </w:rPr>
        <w:t>,</w:t>
      </w:r>
      <w:r w:rsidR="00905C83" w:rsidRPr="00FF2A2F">
        <w:rPr>
          <w:rFonts w:cstheme="minorHAnsi"/>
          <w:color w:val="auto"/>
          <w:sz w:val="21"/>
          <w:szCs w:val="21"/>
        </w:rPr>
        <w:t xml:space="preserve"> NZ Ministry of Foreign Affairs and Trade (MFAT),</w:t>
      </w:r>
      <w:r w:rsidRPr="00FF2A2F">
        <w:rPr>
          <w:rFonts w:cstheme="minorHAnsi"/>
          <w:color w:val="auto"/>
          <w:sz w:val="21"/>
          <w:szCs w:val="21"/>
        </w:rPr>
        <w:t xml:space="preserve"> </w:t>
      </w:r>
      <w:r w:rsidR="00FA4BDC" w:rsidRPr="00FF2A2F">
        <w:rPr>
          <w:rFonts w:cstheme="minorHAnsi"/>
          <w:color w:val="auto"/>
          <w:sz w:val="21"/>
          <w:szCs w:val="21"/>
        </w:rPr>
        <w:t>ad-</w:t>
      </w:r>
      <w:r w:rsidR="00FA4BDC" w:rsidRPr="00FF2A2F">
        <w:rPr>
          <w:rFonts w:cstheme="minorHAnsi"/>
          <w:color w:val="auto"/>
          <w:sz w:val="21"/>
          <w:szCs w:val="21"/>
        </w:rPr>
        <w:lastRenderedPageBreak/>
        <w:t xml:space="preserve">hoc support from a variety of </w:t>
      </w:r>
      <w:proofErr w:type="spellStart"/>
      <w:proofErr w:type="gramStart"/>
      <w:r w:rsidR="00FA4BDC" w:rsidRPr="00FF2A2F">
        <w:rPr>
          <w:rFonts w:cstheme="minorHAnsi"/>
          <w:color w:val="auto"/>
          <w:sz w:val="21"/>
          <w:szCs w:val="21"/>
        </w:rPr>
        <w:t>non traditional</w:t>
      </w:r>
      <w:proofErr w:type="spellEnd"/>
      <w:proofErr w:type="gramEnd"/>
      <w:r w:rsidR="00FA4BDC" w:rsidRPr="00FF2A2F">
        <w:rPr>
          <w:rFonts w:cstheme="minorHAnsi"/>
          <w:color w:val="auto"/>
          <w:sz w:val="21"/>
          <w:szCs w:val="21"/>
        </w:rPr>
        <w:t xml:space="preserve"> donors, </w:t>
      </w:r>
      <w:r w:rsidRPr="00FF2A2F">
        <w:rPr>
          <w:rFonts w:cstheme="minorHAnsi"/>
          <w:color w:val="auto"/>
          <w:sz w:val="21"/>
          <w:szCs w:val="21"/>
        </w:rPr>
        <w:t>Asian Development Bank, World Bank and technical assistance and grants for recovery and resilience building.</w:t>
      </w:r>
    </w:p>
    <w:p w14:paraId="6BBD85D9" w14:textId="07DAE8E5" w:rsidR="00507089" w:rsidRPr="00FF2A2F" w:rsidRDefault="00507089"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Budget Reallocation: The government reallocates funds from other sectors during </w:t>
      </w:r>
      <w:r w:rsidR="00EF1757" w:rsidRPr="00FF2A2F">
        <w:rPr>
          <w:rFonts w:cstheme="minorHAnsi"/>
          <w:color w:val="auto"/>
          <w:sz w:val="21"/>
          <w:szCs w:val="21"/>
        </w:rPr>
        <w:t>disasters</w:t>
      </w:r>
      <w:r w:rsidRPr="00FF2A2F">
        <w:rPr>
          <w:rFonts w:cstheme="minorHAnsi"/>
          <w:color w:val="auto"/>
          <w:sz w:val="21"/>
          <w:szCs w:val="21"/>
        </w:rPr>
        <w:t>.</w:t>
      </w:r>
    </w:p>
    <w:p w14:paraId="60C4C10E" w14:textId="1382EC1D" w:rsidR="00507089" w:rsidRPr="00FF2A2F" w:rsidRDefault="00507089"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Community and NGO Support: </w:t>
      </w:r>
      <w:r w:rsidR="005C6CD2" w:rsidRPr="00FF2A2F">
        <w:rPr>
          <w:rFonts w:cstheme="minorHAnsi"/>
          <w:color w:val="auto"/>
          <w:sz w:val="21"/>
          <w:szCs w:val="21"/>
        </w:rPr>
        <w:t>CSOs</w:t>
      </w:r>
      <w:r w:rsidRPr="00FF2A2F">
        <w:rPr>
          <w:rFonts w:cstheme="minorHAnsi"/>
          <w:color w:val="auto"/>
          <w:sz w:val="21"/>
          <w:szCs w:val="21"/>
        </w:rPr>
        <w:t xml:space="preserve"> and NGOs contribute to rebuilding efforts.</w:t>
      </w:r>
    </w:p>
    <w:p w14:paraId="25184934" w14:textId="3FF3A994" w:rsidR="001F50EE" w:rsidRPr="00FF2A2F" w:rsidRDefault="001F50EE" w:rsidP="006B7677">
      <w:pPr>
        <w:pStyle w:val="ListParagraph"/>
        <w:numPr>
          <w:ilvl w:val="0"/>
          <w:numId w:val="34"/>
        </w:numPr>
        <w:spacing w:before="120" w:line="260" w:lineRule="atLeast"/>
        <w:rPr>
          <w:rFonts w:cstheme="minorHAnsi"/>
          <w:color w:val="auto"/>
          <w:sz w:val="21"/>
          <w:szCs w:val="21"/>
        </w:rPr>
      </w:pPr>
      <w:r w:rsidRPr="00FF2A2F">
        <w:rPr>
          <w:rFonts w:cstheme="minorHAnsi"/>
          <w:color w:val="auto"/>
          <w:sz w:val="21"/>
          <w:szCs w:val="21"/>
        </w:rPr>
        <w:t xml:space="preserve">Remittances from Tongan Diaspora: with a diaspora in Australia and New Zealand larger than its population, Tonga relies heavily on remittances (more than 50% of its GDP in 2023) and this increases during times of disaster as overseas family send funds back to the affected households in Tonga. </w:t>
      </w:r>
    </w:p>
    <w:p w14:paraId="273B3069" w14:textId="76C64A21" w:rsidR="00507089" w:rsidRPr="00FF2A2F" w:rsidRDefault="005C6CD2" w:rsidP="00FF0903">
      <w:pPr>
        <w:spacing w:before="120" w:line="260" w:lineRule="atLeast"/>
        <w:ind w:left="0" w:firstLine="0"/>
        <w:rPr>
          <w:color w:val="auto"/>
          <w:sz w:val="21"/>
          <w:szCs w:val="21"/>
        </w:rPr>
      </w:pPr>
      <w:r w:rsidRPr="00FF2A2F">
        <w:rPr>
          <w:color w:val="auto"/>
          <w:sz w:val="21"/>
          <w:szCs w:val="21"/>
        </w:rPr>
        <w:t>3</w:t>
      </w:r>
      <w:r w:rsidR="00FA4BDC" w:rsidRPr="00FF2A2F">
        <w:rPr>
          <w:color w:val="auto"/>
          <w:sz w:val="21"/>
          <w:szCs w:val="21"/>
        </w:rPr>
        <w:t xml:space="preserve">6. </w:t>
      </w:r>
      <w:bookmarkStart w:id="5" w:name="_Hlk218589209"/>
      <w:r w:rsidR="00507089" w:rsidRPr="00FF2A2F">
        <w:rPr>
          <w:color w:val="auto"/>
          <w:sz w:val="21"/>
          <w:szCs w:val="21"/>
        </w:rPr>
        <w:t xml:space="preserve">This investment </w:t>
      </w:r>
      <w:r w:rsidR="00C83446" w:rsidRPr="00FF2A2F">
        <w:rPr>
          <w:color w:val="auto"/>
          <w:sz w:val="21"/>
          <w:szCs w:val="21"/>
        </w:rPr>
        <w:t>proposes to</w:t>
      </w:r>
      <w:r w:rsidR="00507089" w:rsidRPr="00FF2A2F">
        <w:rPr>
          <w:color w:val="auto"/>
          <w:sz w:val="21"/>
          <w:szCs w:val="21"/>
        </w:rPr>
        <w:t xml:space="preserve"> support and enhance </w:t>
      </w:r>
      <w:r w:rsidR="00823CE5" w:rsidRPr="00FF2A2F">
        <w:rPr>
          <w:color w:val="auto"/>
          <w:sz w:val="21"/>
          <w:szCs w:val="21"/>
        </w:rPr>
        <w:t xml:space="preserve">all </w:t>
      </w:r>
      <w:r w:rsidR="00507089" w:rsidRPr="00FF2A2F">
        <w:rPr>
          <w:color w:val="auto"/>
          <w:sz w:val="21"/>
          <w:szCs w:val="21"/>
        </w:rPr>
        <w:t>options</w:t>
      </w:r>
      <w:r w:rsidR="00823CE5" w:rsidRPr="00FF2A2F">
        <w:rPr>
          <w:color w:val="auto"/>
          <w:sz w:val="21"/>
          <w:szCs w:val="21"/>
        </w:rPr>
        <w:t xml:space="preserve"> available </w:t>
      </w:r>
      <w:r w:rsidR="00507089" w:rsidRPr="00FF2A2F">
        <w:rPr>
          <w:color w:val="auto"/>
          <w:sz w:val="21"/>
          <w:szCs w:val="21"/>
        </w:rPr>
        <w:t xml:space="preserve">for the Tongan Government to draw on. </w:t>
      </w:r>
      <w:bookmarkEnd w:id="5"/>
      <w:r w:rsidR="00507089" w:rsidRPr="00FF2A2F">
        <w:rPr>
          <w:color w:val="auto"/>
          <w:sz w:val="21"/>
          <w:szCs w:val="21"/>
        </w:rPr>
        <w:t xml:space="preserve">The investment will also </w:t>
      </w:r>
      <w:r w:rsidR="00046CD4" w:rsidRPr="00FF2A2F">
        <w:rPr>
          <w:color w:val="auto"/>
          <w:sz w:val="21"/>
          <w:szCs w:val="21"/>
        </w:rPr>
        <w:t xml:space="preserve">consider </w:t>
      </w:r>
      <w:r w:rsidR="00A04270" w:rsidRPr="00FF2A2F">
        <w:rPr>
          <w:color w:val="auto"/>
          <w:sz w:val="21"/>
          <w:szCs w:val="21"/>
        </w:rPr>
        <w:t xml:space="preserve">the </w:t>
      </w:r>
      <w:r w:rsidR="0097731D" w:rsidRPr="00FF2A2F">
        <w:rPr>
          <w:color w:val="auto"/>
          <w:sz w:val="21"/>
          <w:szCs w:val="21"/>
        </w:rPr>
        <w:t xml:space="preserve">government’s </w:t>
      </w:r>
      <w:r w:rsidR="00507089" w:rsidRPr="00FF2A2F">
        <w:rPr>
          <w:color w:val="auto"/>
          <w:sz w:val="21"/>
          <w:szCs w:val="21"/>
        </w:rPr>
        <w:t>Disaster Risk Financing Strategy which is currently being reviewed with the support of the Asian Development Bank</w:t>
      </w:r>
      <w:r w:rsidR="00837D86" w:rsidRPr="00FF2A2F">
        <w:rPr>
          <w:color w:val="auto"/>
          <w:sz w:val="21"/>
          <w:szCs w:val="21"/>
        </w:rPr>
        <w:t>.</w:t>
      </w:r>
      <w:r w:rsidR="00507089" w:rsidRPr="00FF2A2F">
        <w:rPr>
          <w:color w:val="auto"/>
          <w:sz w:val="21"/>
          <w:szCs w:val="21"/>
        </w:rPr>
        <w:t xml:space="preserve"> </w:t>
      </w:r>
      <w:r w:rsidR="00EA2250" w:rsidRPr="00FF2A2F">
        <w:rPr>
          <w:color w:val="auto"/>
          <w:sz w:val="21"/>
          <w:szCs w:val="21"/>
        </w:rPr>
        <w:t>The</w:t>
      </w:r>
      <w:r w:rsidR="00344A8C" w:rsidRPr="00FF2A2F">
        <w:rPr>
          <w:color w:val="auto"/>
          <w:sz w:val="21"/>
          <w:szCs w:val="21"/>
        </w:rPr>
        <w:t xml:space="preserve"> DRF</w:t>
      </w:r>
      <w:r w:rsidR="00EA2250" w:rsidRPr="00FF2A2F">
        <w:rPr>
          <w:color w:val="auto"/>
          <w:sz w:val="21"/>
          <w:szCs w:val="21"/>
        </w:rPr>
        <w:t xml:space="preserve"> Strategy is an alignment point for the</w:t>
      </w:r>
      <w:r w:rsidR="003918BA" w:rsidRPr="00FF2A2F">
        <w:rPr>
          <w:color w:val="auto"/>
          <w:sz w:val="21"/>
          <w:szCs w:val="21"/>
        </w:rPr>
        <w:t xml:space="preserve"> </w:t>
      </w:r>
      <w:r w:rsidR="001F50EE" w:rsidRPr="00FF2A2F">
        <w:rPr>
          <w:color w:val="auto"/>
          <w:sz w:val="21"/>
          <w:szCs w:val="21"/>
        </w:rPr>
        <w:t>investment</w:t>
      </w:r>
      <w:r w:rsidR="00EA2250" w:rsidRPr="00FF2A2F">
        <w:rPr>
          <w:color w:val="auto"/>
          <w:sz w:val="21"/>
          <w:szCs w:val="21"/>
        </w:rPr>
        <w:t>, rather than providing direct support at this point.</w:t>
      </w:r>
    </w:p>
    <w:p w14:paraId="69C5C94C" w14:textId="77777777" w:rsidR="009C04D4" w:rsidRPr="00FF2A2F" w:rsidRDefault="009C04D4" w:rsidP="00FF0903">
      <w:pPr>
        <w:spacing w:before="120" w:line="260" w:lineRule="atLeast"/>
        <w:ind w:left="0" w:firstLine="0"/>
        <w:rPr>
          <w:b/>
          <w:bCs/>
          <w:color w:val="auto"/>
        </w:rPr>
      </w:pPr>
      <w:r w:rsidRPr="00FF2A2F">
        <w:rPr>
          <w:b/>
          <w:bCs/>
          <w:color w:val="auto"/>
        </w:rPr>
        <w:t>The Development Problem the Investment will address</w:t>
      </w:r>
    </w:p>
    <w:p w14:paraId="63C848AA" w14:textId="77777777" w:rsidR="009C04D4" w:rsidRPr="00FF2A2F" w:rsidRDefault="009C04D4" w:rsidP="00FF0903">
      <w:pPr>
        <w:spacing w:before="120" w:line="260" w:lineRule="atLeast"/>
        <w:ind w:left="0" w:firstLine="0"/>
        <w:rPr>
          <w:i/>
          <w:iCs/>
          <w:color w:val="auto"/>
          <w:sz w:val="21"/>
          <w:szCs w:val="21"/>
        </w:rPr>
      </w:pPr>
      <w:r w:rsidRPr="00FF2A2F">
        <w:rPr>
          <w:i/>
          <w:iCs/>
          <w:color w:val="auto"/>
          <w:sz w:val="21"/>
          <w:szCs w:val="21"/>
        </w:rPr>
        <w:t>The challenge for the Government of Tonga</w:t>
      </w:r>
    </w:p>
    <w:p w14:paraId="7FEE38A1" w14:textId="77777777" w:rsidR="00FA4BDC" w:rsidRPr="00FF2A2F" w:rsidRDefault="00FA4BDC" w:rsidP="00FF0903">
      <w:pPr>
        <w:spacing w:before="120" w:line="260" w:lineRule="atLeast"/>
        <w:ind w:left="0" w:firstLine="0"/>
        <w:rPr>
          <w:color w:val="auto"/>
          <w:sz w:val="21"/>
          <w:szCs w:val="21"/>
        </w:rPr>
      </w:pPr>
      <w:r w:rsidRPr="00FF2A2F">
        <w:rPr>
          <w:color w:val="auto"/>
          <w:sz w:val="21"/>
          <w:szCs w:val="21"/>
        </w:rPr>
        <w:t xml:space="preserve">37. </w:t>
      </w:r>
      <w:r w:rsidR="00EE4A2E" w:rsidRPr="00FF2A2F">
        <w:rPr>
          <w:color w:val="auto"/>
          <w:sz w:val="21"/>
          <w:szCs w:val="21"/>
        </w:rPr>
        <w:t xml:space="preserve">Design consultations confirmed that the highest priority for NDRMO, to achieve a better enabling environment for cluster participation is the implementation of the DRM Policy and strengthening NDRMO capacity- which will inform policy development across clusters. The NDRMO demonstrates good engagement and buy-in to the investment and will be an active partner in the delivery. </w:t>
      </w:r>
    </w:p>
    <w:p w14:paraId="15989CB8" w14:textId="2774C5FB" w:rsidR="009C04D4" w:rsidRPr="00FF2A2F" w:rsidRDefault="00FA4BDC" w:rsidP="00FF0903">
      <w:pPr>
        <w:spacing w:before="120" w:line="260" w:lineRule="atLeast"/>
        <w:ind w:left="0" w:firstLine="0"/>
        <w:rPr>
          <w:color w:val="auto"/>
          <w:sz w:val="21"/>
          <w:szCs w:val="21"/>
        </w:rPr>
      </w:pPr>
      <w:r w:rsidRPr="00FF2A2F">
        <w:rPr>
          <w:color w:val="auto"/>
          <w:sz w:val="21"/>
          <w:szCs w:val="21"/>
        </w:rPr>
        <w:t xml:space="preserve">38. </w:t>
      </w:r>
      <w:r w:rsidR="009C04D4" w:rsidRPr="00FF2A2F">
        <w:rPr>
          <w:color w:val="auto"/>
          <w:sz w:val="21"/>
          <w:szCs w:val="21"/>
        </w:rPr>
        <w:t xml:space="preserve">The DRM Act establishes that the Ministry of Meteorology, Energy, Information, Disaster Management, Environment, Climate Change and Communications (MEIDECC), through the NDRMO, will lead </w:t>
      </w:r>
      <w:r w:rsidR="00806FA5" w:rsidRPr="00FF2A2F">
        <w:rPr>
          <w:color w:val="auto"/>
          <w:sz w:val="21"/>
          <w:szCs w:val="21"/>
        </w:rPr>
        <w:t xml:space="preserve">and monitor the implementation of the </w:t>
      </w:r>
      <w:r w:rsidR="009C04D4" w:rsidRPr="00FF2A2F">
        <w:rPr>
          <w:color w:val="auto"/>
          <w:sz w:val="21"/>
          <w:szCs w:val="21"/>
        </w:rPr>
        <w:t xml:space="preserve">DRM Policy, </w:t>
      </w:r>
      <w:r w:rsidR="008674EF" w:rsidRPr="00FF2A2F">
        <w:rPr>
          <w:color w:val="auto"/>
          <w:sz w:val="21"/>
          <w:szCs w:val="21"/>
        </w:rPr>
        <w:t xml:space="preserve">report annual results, </w:t>
      </w:r>
      <w:r w:rsidR="009C04D4" w:rsidRPr="00FF2A2F">
        <w:rPr>
          <w:color w:val="auto"/>
          <w:sz w:val="21"/>
          <w:szCs w:val="21"/>
        </w:rPr>
        <w:t xml:space="preserve">be responsible for reviewing and updating the </w:t>
      </w:r>
      <w:r w:rsidR="00293E89" w:rsidRPr="00FF2A2F">
        <w:rPr>
          <w:color w:val="auto"/>
          <w:sz w:val="21"/>
          <w:szCs w:val="21"/>
        </w:rPr>
        <w:t>p</w:t>
      </w:r>
      <w:r w:rsidR="009C04D4" w:rsidRPr="00FF2A2F">
        <w:rPr>
          <w:color w:val="auto"/>
          <w:sz w:val="21"/>
          <w:szCs w:val="21"/>
        </w:rPr>
        <w:t xml:space="preserve">olicy, and will guide Ministries, Departments and Agencies to prepare detailed DRM implementation plans based on the </w:t>
      </w:r>
      <w:r w:rsidR="00293E89" w:rsidRPr="00FF2A2F">
        <w:rPr>
          <w:color w:val="auto"/>
          <w:sz w:val="21"/>
          <w:szCs w:val="21"/>
        </w:rPr>
        <w:t>p</w:t>
      </w:r>
      <w:r w:rsidR="009C04D4" w:rsidRPr="00FF2A2F">
        <w:rPr>
          <w:color w:val="auto"/>
          <w:sz w:val="21"/>
          <w:szCs w:val="21"/>
        </w:rPr>
        <w:t xml:space="preserve">olicy. </w:t>
      </w:r>
    </w:p>
    <w:p w14:paraId="1AC0F518" w14:textId="645CA172" w:rsidR="009C04D4" w:rsidRPr="00FF2A2F" w:rsidRDefault="00FA4BDC" w:rsidP="00FF0903">
      <w:pPr>
        <w:spacing w:before="120" w:line="260" w:lineRule="atLeast"/>
        <w:ind w:left="0" w:firstLine="0"/>
        <w:rPr>
          <w:color w:val="auto"/>
          <w:sz w:val="21"/>
          <w:szCs w:val="21"/>
        </w:rPr>
      </w:pPr>
      <w:r w:rsidRPr="00FF2A2F">
        <w:rPr>
          <w:color w:val="auto"/>
          <w:sz w:val="21"/>
          <w:szCs w:val="21"/>
        </w:rPr>
        <w:t xml:space="preserve">39. </w:t>
      </w:r>
      <w:r w:rsidR="00CA485B" w:rsidRPr="00FF2A2F">
        <w:rPr>
          <w:color w:val="auto"/>
          <w:sz w:val="21"/>
          <w:szCs w:val="21"/>
        </w:rPr>
        <w:t>The Government of Tonga is in a financial deficit</w:t>
      </w:r>
      <w:r w:rsidR="007972D0" w:rsidRPr="00FF2A2F">
        <w:rPr>
          <w:color w:val="auto"/>
          <w:sz w:val="21"/>
          <w:szCs w:val="21"/>
        </w:rPr>
        <w:t xml:space="preserve">. </w:t>
      </w:r>
      <w:r w:rsidR="00E70E2E" w:rsidRPr="00FF2A2F">
        <w:rPr>
          <w:color w:val="auto"/>
          <w:sz w:val="21"/>
          <w:szCs w:val="21"/>
        </w:rPr>
        <w:t>Additional c</w:t>
      </w:r>
      <w:r w:rsidR="009C04D4" w:rsidRPr="00FF2A2F">
        <w:rPr>
          <w:color w:val="auto"/>
          <w:sz w:val="21"/>
          <w:szCs w:val="21"/>
        </w:rPr>
        <w:t>onsistent and reliable funding is needed for NDRMO to sufficiently plan</w:t>
      </w:r>
      <w:r w:rsidR="00CB1D79" w:rsidRPr="00FF2A2F">
        <w:rPr>
          <w:color w:val="auto"/>
          <w:sz w:val="21"/>
          <w:szCs w:val="21"/>
        </w:rPr>
        <w:t xml:space="preserve"> and budget</w:t>
      </w:r>
      <w:r w:rsidR="009C04D4" w:rsidRPr="00FF2A2F">
        <w:rPr>
          <w:color w:val="auto"/>
          <w:sz w:val="21"/>
          <w:szCs w:val="21"/>
        </w:rPr>
        <w:t xml:space="preserve"> for the implementation of the DRM Policy. </w:t>
      </w:r>
    </w:p>
    <w:p w14:paraId="1C28AFB3" w14:textId="42FD87EC" w:rsidR="001C7F4C" w:rsidRPr="00FF2A2F" w:rsidRDefault="00FA4BDC" w:rsidP="00FF0903">
      <w:pPr>
        <w:spacing w:before="120" w:line="260" w:lineRule="atLeast"/>
        <w:ind w:left="0" w:firstLine="0"/>
        <w:rPr>
          <w:color w:val="auto"/>
          <w:sz w:val="21"/>
          <w:szCs w:val="21"/>
        </w:rPr>
      </w:pPr>
      <w:r w:rsidRPr="00FF2A2F">
        <w:rPr>
          <w:color w:val="auto"/>
          <w:sz w:val="21"/>
          <w:szCs w:val="21"/>
        </w:rPr>
        <w:t xml:space="preserve">40. </w:t>
      </w:r>
      <w:r w:rsidR="001C7F4C" w:rsidRPr="00FF2A2F">
        <w:rPr>
          <w:color w:val="auto"/>
          <w:sz w:val="21"/>
          <w:szCs w:val="21"/>
        </w:rPr>
        <w:t>While the NDRMO demonstrates a strong foundational capability, recent workshops and requests for assistance, such as the 2025 Australia Assists country planning workshop, have highlighted a significant capacity gap and only a minor capability gap, primarily in strategic direction setting</w:t>
      </w:r>
      <w:r w:rsidR="00720068" w:rsidRPr="00FF2A2F">
        <w:rPr>
          <w:color w:val="auto"/>
          <w:sz w:val="21"/>
          <w:szCs w:val="21"/>
        </w:rPr>
        <w:t xml:space="preserve">. </w:t>
      </w:r>
      <w:r w:rsidR="00836300" w:rsidRPr="00FF2A2F">
        <w:rPr>
          <w:color w:val="auto"/>
          <w:sz w:val="21"/>
          <w:szCs w:val="21"/>
        </w:rPr>
        <w:t xml:space="preserve">The </w:t>
      </w:r>
      <w:r w:rsidR="00720068" w:rsidRPr="00FF2A2F">
        <w:rPr>
          <w:color w:val="auto"/>
          <w:sz w:val="21"/>
          <w:szCs w:val="21"/>
        </w:rPr>
        <w:t>Capacity and Capability Strengthening Strategy Roadmap</w:t>
      </w:r>
      <w:r w:rsidR="00B92936" w:rsidRPr="00FF2A2F">
        <w:rPr>
          <w:color w:val="auto"/>
          <w:sz w:val="21"/>
          <w:szCs w:val="21"/>
        </w:rPr>
        <w:t xml:space="preserve"> (Australia Assists, 2025)</w:t>
      </w:r>
      <w:r w:rsidR="00A93C4F" w:rsidRPr="00FF2A2F">
        <w:rPr>
          <w:color w:val="auto"/>
          <w:sz w:val="21"/>
          <w:szCs w:val="21"/>
        </w:rPr>
        <w:t xml:space="preserve"> </w:t>
      </w:r>
      <w:r w:rsidR="0014194A" w:rsidRPr="00FF2A2F">
        <w:rPr>
          <w:color w:val="auto"/>
          <w:sz w:val="21"/>
          <w:szCs w:val="21"/>
        </w:rPr>
        <w:t>identified</w:t>
      </w:r>
      <w:r w:rsidR="00A93C4F" w:rsidRPr="00FF2A2F">
        <w:rPr>
          <w:color w:val="auto"/>
          <w:sz w:val="21"/>
          <w:szCs w:val="21"/>
        </w:rPr>
        <w:t xml:space="preserve"> the value of established national and community structures, but also gaps in preparedness, information management and the integration of lessons learned </w:t>
      </w:r>
      <w:proofErr w:type="gramStart"/>
      <w:r w:rsidR="00A93C4F" w:rsidRPr="00FF2A2F">
        <w:rPr>
          <w:color w:val="auto"/>
          <w:sz w:val="21"/>
          <w:szCs w:val="21"/>
        </w:rPr>
        <w:t>in to</w:t>
      </w:r>
      <w:proofErr w:type="gramEnd"/>
      <w:r w:rsidR="00A93C4F" w:rsidRPr="00FF2A2F">
        <w:rPr>
          <w:color w:val="auto"/>
          <w:sz w:val="21"/>
          <w:szCs w:val="21"/>
        </w:rPr>
        <w:t xml:space="preserve"> </w:t>
      </w:r>
      <w:r w:rsidR="00661374" w:rsidRPr="00FF2A2F">
        <w:rPr>
          <w:color w:val="auto"/>
          <w:sz w:val="21"/>
          <w:szCs w:val="21"/>
        </w:rPr>
        <w:t>ongoing</w:t>
      </w:r>
      <w:r w:rsidR="00A93C4F" w:rsidRPr="00FF2A2F">
        <w:rPr>
          <w:color w:val="auto"/>
          <w:sz w:val="21"/>
          <w:szCs w:val="21"/>
        </w:rPr>
        <w:t xml:space="preserve"> p</w:t>
      </w:r>
      <w:r w:rsidR="00661374" w:rsidRPr="00FF2A2F">
        <w:rPr>
          <w:color w:val="auto"/>
          <w:sz w:val="21"/>
          <w:szCs w:val="21"/>
        </w:rPr>
        <w:t>lanning</w:t>
      </w:r>
      <w:r w:rsidR="001C7F4C" w:rsidRPr="00FF2A2F">
        <w:rPr>
          <w:color w:val="auto"/>
          <w:sz w:val="21"/>
          <w:szCs w:val="21"/>
        </w:rPr>
        <w:t>.</w:t>
      </w:r>
    </w:p>
    <w:p w14:paraId="0C23F99F" w14:textId="58855FB5" w:rsidR="001C7F4C" w:rsidRPr="00FF2A2F" w:rsidRDefault="00823CE5" w:rsidP="007972D0">
      <w:pPr>
        <w:spacing w:before="120" w:line="260" w:lineRule="atLeast"/>
        <w:ind w:left="0" w:firstLine="0"/>
        <w:rPr>
          <w:rFonts w:cstheme="minorHAnsi"/>
          <w:color w:val="auto"/>
          <w:sz w:val="21"/>
          <w:szCs w:val="21"/>
        </w:rPr>
      </w:pPr>
      <w:r w:rsidRPr="00FF2A2F">
        <w:rPr>
          <w:color w:val="auto"/>
          <w:sz w:val="21"/>
          <w:szCs w:val="21"/>
        </w:rPr>
        <w:t xml:space="preserve">41. </w:t>
      </w:r>
      <w:r w:rsidR="001C7F4C" w:rsidRPr="00FF2A2F">
        <w:rPr>
          <w:color w:val="auto"/>
          <w:sz w:val="21"/>
          <w:szCs w:val="21"/>
        </w:rPr>
        <w:t>The NDRMO currently operates with five full-time staff dedicated to the DRM Policy implementation and a small logistics team managing the National Humanitarian Warehouse in Tongatapu. This limited team is supplemented by external support</w:t>
      </w:r>
      <w:r w:rsidR="007972D0" w:rsidRPr="00FF2A2F">
        <w:rPr>
          <w:color w:val="auto"/>
          <w:sz w:val="21"/>
          <w:szCs w:val="21"/>
        </w:rPr>
        <w:t>.</w:t>
      </w:r>
    </w:p>
    <w:p w14:paraId="38793165" w14:textId="7A7A485A" w:rsidR="001C7F4C" w:rsidRPr="00FF2A2F" w:rsidRDefault="00823CE5" w:rsidP="00FF0903">
      <w:pPr>
        <w:spacing w:before="120" w:line="260" w:lineRule="atLeast"/>
        <w:ind w:left="0" w:firstLine="0"/>
        <w:rPr>
          <w:color w:val="auto"/>
          <w:sz w:val="21"/>
          <w:szCs w:val="21"/>
        </w:rPr>
      </w:pPr>
      <w:r w:rsidRPr="00FF2A2F">
        <w:rPr>
          <w:color w:val="auto"/>
          <w:sz w:val="21"/>
          <w:szCs w:val="21"/>
        </w:rPr>
        <w:t>42.</w:t>
      </w:r>
      <w:r w:rsidR="007A645C" w:rsidRPr="00FF2A2F">
        <w:rPr>
          <w:color w:val="auto"/>
          <w:sz w:val="21"/>
          <w:szCs w:val="21"/>
        </w:rPr>
        <w:t xml:space="preserve"> </w:t>
      </w:r>
      <w:r w:rsidR="001C7F4C" w:rsidRPr="00FF2A2F">
        <w:rPr>
          <w:color w:val="auto"/>
          <w:sz w:val="21"/>
          <w:szCs w:val="21"/>
        </w:rPr>
        <w:t>Despite the advisors’ contributions, the absence of national counterparts has hindered one-on-one knowledge transfer and sustainable capacity building. This situation reinforces the need for increased staffing and resourcing to ensure the NDRMO can independently manage its responsibilities and reduce dependency on external personnel.</w:t>
      </w:r>
    </w:p>
    <w:p w14:paraId="2DECD3BB" w14:textId="5FF470B8" w:rsidR="00A03C89" w:rsidRPr="00FF2A2F" w:rsidRDefault="00823CE5" w:rsidP="00FF0903">
      <w:pPr>
        <w:spacing w:before="120" w:line="260" w:lineRule="atLeast"/>
        <w:ind w:left="0" w:firstLine="0"/>
        <w:rPr>
          <w:color w:val="auto"/>
          <w:sz w:val="21"/>
          <w:szCs w:val="21"/>
        </w:rPr>
      </w:pPr>
      <w:r w:rsidRPr="00FF2A2F">
        <w:rPr>
          <w:color w:val="auto"/>
          <w:sz w:val="21"/>
          <w:szCs w:val="21"/>
        </w:rPr>
        <w:t xml:space="preserve">43. </w:t>
      </w:r>
      <w:r w:rsidR="009C04D4" w:rsidRPr="00FF2A2F">
        <w:rPr>
          <w:color w:val="auto"/>
          <w:sz w:val="21"/>
          <w:szCs w:val="21"/>
        </w:rPr>
        <w:t xml:space="preserve">Tonga’s outer islands are statistically more likely to be impacted by a disaster, with Ha’apai the most at risk. However, there is a lack of NDRMO presence in the outer islands to ensure that DRM sub-national </w:t>
      </w:r>
      <w:r w:rsidR="00BE1474" w:rsidRPr="00FF2A2F">
        <w:rPr>
          <w:color w:val="auto"/>
          <w:sz w:val="21"/>
          <w:szCs w:val="21"/>
        </w:rPr>
        <w:t>committees</w:t>
      </w:r>
      <w:r w:rsidR="009C04D4" w:rsidRPr="00FF2A2F">
        <w:rPr>
          <w:color w:val="auto"/>
          <w:sz w:val="21"/>
          <w:szCs w:val="21"/>
        </w:rPr>
        <w:t xml:space="preserve"> are prepared for, and can respond to, a </w:t>
      </w:r>
      <w:r w:rsidR="007777A6" w:rsidRPr="00FF2A2F">
        <w:rPr>
          <w:color w:val="auto"/>
          <w:sz w:val="21"/>
          <w:szCs w:val="21"/>
        </w:rPr>
        <w:t>disaster</w:t>
      </w:r>
      <w:r w:rsidR="009C04D4" w:rsidRPr="00FF2A2F">
        <w:rPr>
          <w:color w:val="auto"/>
          <w:sz w:val="21"/>
          <w:szCs w:val="21"/>
        </w:rPr>
        <w:t xml:space="preserve">. </w:t>
      </w:r>
    </w:p>
    <w:p w14:paraId="5B2FCA1F" w14:textId="5415C42A" w:rsidR="00A03C89" w:rsidRPr="00FF2A2F" w:rsidRDefault="00823CE5" w:rsidP="00FF0903">
      <w:pPr>
        <w:spacing w:before="120" w:line="260" w:lineRule="atLeast"/>
        <w:ind w:left="0" w:firstLine="0"/>
        <w:rPr>
          <w:color w:val="auto"/>
          <w:sz w:val="21"/>
          <w:szCs w:val="21"/>
        </w:rPr>
      </w:pPr>
      <w:r w:rsidRPr="00FF2A2F">
        <w:rPr>
          <w:color w:val="auto"/>
          <w:sz w:val="21"/>
          <w:szCs w:val="21"/>
        </w:rPr>
        <w:t xml:space="preserve">44. </w:t>
      </w:r>
      <w:r w:rsidR="009C04D4" w:rsidRPr="00FF2A2F">
        <w:rPr>
          <w:color w:val="auto"/>
          <w:sz w:val="21"/>
          <w:szCs w:val="21"/>
        </w:rPr>
        <w:t>The DRM Policy directs the finalisation of all DRM plans for villages within the next 4</w:t>
      </w:r>
      <w:r w:rsidR="00D50A74" w:rsidRPr="00FF2A2F">
        <w:rPr>
          <w:color w:val="auto"/>
          <w:sz w:val="21"/>
          <w:szCs w:val="21"/>
        </w:rPr>
        <w:t xml:space="preserve"> </w:t>
      </w:r>
      <w:r w:rsidR="009C04D4" w:rsidRPr="00FF2A2F">
        <w:rPr>
          <w:color w:val="auto"/>
          <w:sz w:val="21"/>
          <w:szCs w:val="21"/>
        </w:rPr>
        <w:t xml:space="preserve">years, so there is a pressing need for the NDRMO to be more present in the outer islands to complete this tasking. The MFAT funded warehouse in Ha’apai will soon be operational, followed by the Vava’u warehouse (funded by DFAT through the Pacific Humanitarian Warehouse Program) so demand for an increased NDRMO presence is growing. Funding to support the NDRMO to sufficiently resource the outer islands is a priority. </w:t>
      </w:r>
    </w:p>
    <w:p w14:paraId="48110906" w14:textId="11B2C5F0" w:rsidR="009C04D4" w:rsidRPr="00FF2A2F" w:rsidRDefault="00823CE5" w:rsidP="00FF0903">
      <w:pPr>
        <w:spacing w:before="120" w:line="260" w:lineRule="atLeast"/>
        <w:ind w:left="0" w:firstLine="0"/>
        <w:rPr>
          <w:color w:val="auto"/>
          <w:sz w:val="21"/>
          <w:szCs w:val="21"/>
        </w:rPr>
      </w:pPr>
      <w:r w:rsidRPr="00FF2A2F">
        <w:rPr>
          <w:color w:val="auto"/>
          <w:sz w:val="21"/>
          <w:szCs w:val="21"/>
        </w:rPr>
        <w:t xml:space="preserve">45. </w:t>
      </w:r>
      <w:r w:rsidR="004447F8" w:rsidRPr="00FF2A2F">
        <w:rPr>
          <w:color w:val="auto"/>
          <w:sz w:val="21"/>
          <w:szCs w:val="21"/>
        </w:rPr>
        <w:t>To address this</w:t>
      </w:r>
      <w:r w:rsidR="00A03C89" w:rsidRPr="00FF2A2F">
        <w:rPr>
          <w:color w:val="auto"/>
          <w:sz w:val="21"/>
          <w:szCs w:val="21"/>
        </w:rPr>
        <w:t xml:space="preserve"> priority</w:t>
      </w:r>
      <w:r w:rsidR="004447F8" w:rsidRPr="00FF2A2F">
        <w:rPr>
          <w:color w:val="auto"/>
          <w:sz w:val="21"/>
          <w:szCs w:val="21"/>
        </w:rPr>
        <w:t>, the program aims to reduce long-term reliance on international technical assistance (TA) being treated as in-line positions. However, transitioning to nationally held in-line roles will require continued support from international TA to provide training, mentoring, and knowledge transfer.</w:t>
      </w:r>
      <w:r w:rsidRPr="00FF2A2F">
        <w:rPr>
          <w:color w:val="auto"/>
          <w:sz w:val="21"/>
          <w:szCs w:val="21"/>
        </w:rPr>
        <w:t xml:space="preserve"> </w:t>
      </w:r>
      <w:r w:rsidR="004447F8" w:rsidRPr="00FF2A2F">
        <w:rPr>
          <w:color w:val="auto"/>
          <w:sz w:val="21"/>
          <w:szCs w:val="21"/>
        </w:rPr>
        <w:t xml:space="preserve">Increased direct financing to </w:t>
      </w:r>
      <w:r w:rsidR="004447F8" w:rsidRPr="00FF2A2F">
        <w:rPr>
          <w:color w:val="auto"/>
          <w:sz w:val="21"/>
          <w:szCs w:val="21"/>
        </w:rPr>
        <w:lastRenderedPageBreak/>
        <w:t>the NDRMO will enable the recruitment of additional national staff, allowing for more comprehensive delivery of DRM Policy objectives. This will also allow AA advisors to shift from operational roles to providing more targeted, strategic technical and policy support</w:t>
      </w:r>
    </w:p>
    <w:p w14:paraId="5C29649D" w14:textId="77777777" w:rsidR="009C04D4" w:rsidRPr="00FF2A2F" w:rsidRDefault="009C04D4" w:rsidP="00FF0903">
      <w:pPr>
        <w:spacing w:before="120" w:line="260" w:lineRule="atLeast"/>
        <w:ind w:left="0" w:firstLine="0"/>
        <w:rPr>
          <w:i/>
          <w:iCs/>
          <w:color w:val="auto"/>
          <w:sz w:val="21"/>
          <w:szCs w:val="21"/>
        </w:rPr>
      </w:pPr>
      <w:r w:rsidRPr="00FF2A2F">
        <w:rPr>
          <w:i/>
          <w:iCs/>
          <w:color w:val="auto"/>
          <w:sz w:val="21"/>
          <w:szCs w:val="21"/>
        </w:rPr>
        <w:t>The challenge for Tongan civil society organisations</w:t>
      </w:r>
    </w:p>
    <w:p w14:paraId="661814DC" w14:textId="03013C0E" w:rsidR="006C79D8" w:rsidRPr="00FF2A2F" w:rsidRDefault="00823CE5" w:rsidP="00FF0903">
      <w:pPr>
        <w:spacing w:before="120" w:line="260" w:lineRule="atLeast"/>
        <w:ind w:left="0" w:firstLine="0"/>
        <w:rPr>
          <w:color w:val="auto"/>
          <w:sz w:val="21"/>
          <w:szCs w:val="21"/>
        </w:rPr>
      </w:pPr>
      <w:r w:rsidRPr="00FF2A2F">
        <w:rPr>
          <w:color w:val="auto"/>
          <w:sz w:val="21"/>
          <w:szCs w:val="21"/>
        </w:rPr>
        <w:t xml:space="preserve">46. </w:t>
      </w:r>
      <w:r w:rsidR="009C04D4" w:rsidRPr="00FF2A2F">
        <w:rPr>
          <w:color w:val="auto"/>
          <w:sz w:val="21"/>
          <w:szCs w:val="21"/>
        </w:rPr>
        <w:t xml:space="preserve">The DRM Policy identifies Tongan civil society organisations (CSOs) </w:t>
      </w:r>
      <w:r w:rsidR="009C04D4" w:rsidRPr="00FF2A2F">
        <w:rPr>
          <w:color w:val="auto"/>
        </w:rPr>
        <w:footnoteReference w:id="4"/>
      </w:r>
      <w:r w:rsidR="009C04D4" w:rsidRPr="00FF2A2F">
        <w:rPr>
          <w:color w:val="auto"/>
          <w:sz w:val="21"/>
          <w:szCs w:val="21"/>
        </w:rPr>
        <w:t xml:space="preserve"> as key stakeholders, delivering training, services and TA across preparedness, response and early recovery phases, particularly at sub-national level. </w:t>
      </w:r>
      <w:r w:rsidR="009B15C3" w:rsidRPr="00FF2A2F">
        <w:rPr>
          <w:color w:val="auto"/>
          <w:sz w:val="21"/>
          <w:szCs w:val="21"/>
        </w:rPr>
        <w:t>CSOs</w:t>
      </w:r>
      <w:r w:rsidR="009C04D4" w:rsidRPr="00FF2A2F">
        <w:rPr>
          <w:color w:val="auto"/>
          <w:sz w:val="21"/>
          <w:szCs w:val="21"/>
        </w:rPr>
        <w:t xml:space="preserve"> are recognised for their knowledge of community priorities and commitment to supporting communities through disasters and humanitarian crises. Reviews and learning from the</w:t>
      </w:r>
      <w:r w:rsidR="009808AF" w:rsidRPr="00FF2A2F">
        <w:rPr>
          <w:color w:val="auto"/>
          <w:sz w:val="21"/>
          <w:szCs w:val="21"/>
        </w:rPr>
        <w:t xml:space="preserve"> </w:t>
      </w:r>
      <w:r w:rsidR="009C04D4" w:rsidRPr="00FF2A2F">
        <w:rPr>
          <w:color w:val="auto"/>
          <w:sz w:val="21"/>
          <w:szCs w:val="21"/>
        </w:rPr>
        <w:t xml:space="preserve">HTHH </w:t>
      </w:r>
      <w:r w:rsidR="005C31BE" w:rsidRPr="00FF2A2F">
        <w:rPr>
          <w:color w:val="auto"/>
          <w:sz w:val="21"/>
          <w:szCs w:val="21"/>
        </w:rPr>
        <w:t>R</w:t>
      </w:r>
      <w:r w:rsidR="009C04D4" w:rsidRPr="00FF2A2F">
        <w:rPr>
          <w:color w:val="auto"/>
          <w:sz w:val="21"/>
          <w:szCs w:val="21"/>
        </w:rPr>
        <w:t xml:space="preserve">esponse highlighted the significant role Tongan CSOs play in reinforcing local leadership, strengthening community resilience and localising humanitarian action. </w:t>
      </w:r>
    </w:p>
    <w:p w14:paraId="484E4D47" w14:textId="7E963D6C" w:rsidR="00C50B4B" w:rsidRPr="00FF2A2F" w:rsidRDefault="001C1F84" w:rsidP="00FF0903">
      <w:pPr>
        <w:spacing w:before="120" w:line="260" w:lineRule="atLeast"/>
        <w:ind w:left="0" w:firstLine="0"/>
        <w:rPr>
          <w:color w:val="auto"/>
          <w:sz w:val="21"/>
          <w:szCs w:val="21"/>
        </w:rPr>
      </w:pPr>
      <w:r w:rsidRPr="00FF2A2F">
        <w:rPr>
          <w:color w:val="auto"/>
          <w:sz w:val="21"/>
          <w:szCs w:val="21"/>
        </w:rPr>
        <w:t>4</w:t>
      </w:r>
      <w:r w:rsidR="00823CE5" w:rsidRPr="00FF2A2F">
        <w:rPr>
          <w:color w:val="auto"/>
          <w:sz w:val="21"/>
          <w:szCs w:val="21"/>
        </w:rPr>
        <w:t xml:space="preserve">7. </w:t>
      </w:r>
      <w:r w:rsidR="00C50B4B" w:rsidRPr="00FF2A2F">
        <w:rPr>
          <w:color w:val="auto"/>
          <w:sz w:val="21"/>
          <w:szCs w:val="21"/>
        </w:rPr>
        <w:t>While there are increasing expectations for CSO engagement in implementing the DRM Policy, gaps in CSO organisational capacity persist. CSO perspectives and recommendations are often lacking at national level dialogue and coordination mechanisms, partly due to a lack of resources to engage. There are limited international non-government organisations (NGOs) in Tonga offering partnership and funding opportunities to Tongan CSOs</w:t>
      </w:r>
      <w:r w:rsidR="007972D0" w:rsidRPr="00FF2A2F">
        <w:rPr>
          <w:color w:val="auto"/>
          <w:sz w:val="21"/>
          <w:szCs w:val="21"/>
        </w:rPr>
        <w:t>.</w:t>
      </w:r>
    </w:p>
    <w:p w14:paraId="33F569B9" w14:textId="54C4BB98" w:rsidR="006C79D8" w:rsidRPr="00FF2A2F" w:rsidRDefault="001C1F84" w:rsidP="00FF0903">
      <w:pPr>
        <w:spacing w:before="120" w:line="260" w:lineRule="atLeast"/>
        <w:ind w:left="0" w:firstLine="0"/>
        <w:rPr>
          <w:color w:val="auto"/>
          <w:sz w:val="21"/>
          <w:szCs w:val="21"/>
        </w:rPr>
      </w:pPr>
      <w:r w:rsidRPr="00FF2A2F">
        <w:rPr>
          <w:color w:val="auto"/>
          <w:sz w:val="21"/>
          <w:szCs w:val="21"/>
        </w:rPr>
        <w:t>4</w:t>
      </w:r>
      <w:r w:rsidR="00823CE5" w:rsidRPr="00FF2A2F">
        <w:rPr>
          <w:color w:val="auto"/>
          <w:sz w:val="21"/>
          <w:szCs w:val="21"/>
        </w:rPr>
        <w:t xml:space="preserve">8. </w:t>
      </w:r>
      <w:r w:rsidR="006C79D8" w:rsidRPr="00FF2A2F">
        <w:rPr>
          <w:color w:val="auto"/>
          <w:sz w:val="21"/>
          <w:szCs w:val="21"/>
        </w:rPr>
        <w:t xml:space="preserve">The NDRMO </w:t>
      </w:r>
      <w:r w:rsidR="004631F1" w:rsidRPr="00FF2A2F">
        <w:rPr>
          <w:color w:val="auto"/>
          <w:sz w:val="21"/>
          <w:szCs w:val="21"/>
        </w:rPr>
        <w:t xml:space="preserve">intends to </w:t>
      </w:r>
      <w:r w:rsidR="006C79D8" w:rsidRPr="00FF2A2F">
        <w:rPr>
          <w:color w:val="auto"/>
          <w:sz w:val="21"/>
          <w:szCs w:val="21"/>
        </w:rPr>
        <w:t xml:space="preserve">strengthen the effectiveness of </w:t>
      </w:r>
      <w:r w:rsidR="00E87267" w:rsidRPr="00FF2A2F">
        <w:rPr>
          <w:color w:val="auto"/>
          <w:sz w:val="21"/>
          <w:szCs w:val="21"/>
        </w:rPr>
        <w:t xml:space="preserve">Village </w:t>
      </w:r>
      <w:r w:rsidR="006C79D8" w:rsidRPr="00FF2A2F">
        <w:rPr>
          <w:color w:val="auto"/>
          <w:sz w:val="21"/>
          <w:szCs w:val="21"/>
        </w:rPr>
        <w:t xml:space="preserve">DRM </w:t>
      </w:r>
      <w:r w:rsidR="004631F1" w:rsidRPr="00FF2A2F">
        <w:rPr>
          <w:color w:val="auto"/>
          <w:sz w:val="21"/>
          <w:szCs w:val="21"/>
        </w:rPr>
        <w:t>C</w:t>
      </w:r>
      <w:r w:rsidR="006C79D8" w:rsidRPr="00FF2A2F">
        <w:rPr>
          <w:color w:val="auto"/>
          <w:sz w:val="21"/>
          <w:szCs w:val="21"/>
        </w:rPr>
        <w:t xml:space="preserve">ommittees </w:t>
      </w:r>
      <w:r w:rsidR="006A61AA" w:rsidRPr="00FF2A2F">
        <w:rPr>
          <w:color w:val="auto"/>
          <w:sz w:val="21"/>
          <w:szCs w:val="21"/>
        </w:rPr>
        <w:t xml:space="preserve">and </w:t>
      </w:r>
      <w:r w:rsidR="0019150A" w:rsidRPr="00FF2A2F">
        <w:rPr>
          <w:color w:val="auto"/>
          <w:sz w:val="21"/>
          <w:szCs w:val="21"/>
        </w:rPr>
        <w:t xml:space="preserve">wants to </w:t>
      </w:r>
      <w:r w:rsidR="005D696D" w:rsidRPr="00FF2A2F">
        <w:rPr>
          <w:color w:val="auto"/>
          <w:sz w:val="21"/>
          <w:szCs w:val="21"/>
        </w:rPr>
        <w:t xml:space="preserve">engage a </w:t>
      </w:r>
      <w:r w:rsidR="00BC54E2" w:rsidRPr="00FF2A2F">
        <w:rPr>
          <w:color w:val="auto"/>
          <w:sz w:val="21"/>
          <w:szCs w:val="21"/>
        </w:rPr>
        <w:t xml:space="preserve">small group of </w:t>
      </w:r>
      <w:r w:rsidR="00C20122" w:rsidRPr="00FF2A2F">
        <w:rPr>
          <w:color w:val="auto"/>
          <w:sz w:val="21"/>
          <w:szCs w:val="21"/>
        </w:rPr>
        <w:t>DRM</w:t>
      </w:r>
      <w:r w:rsidR="00FD5B4A" w:rsidRPr="00FF2A2F">
        <w:rPr>
          <w:color w:val="auto"/>
          <w:sz w:val="21"/>
          <w:szCs w:val="21"/>
        </w:rPr>
        <w:t>-</w:t>
      </w:r>
      <w:r w:rsidR="00C20122" w:rsidRPr="00FF2A2F">
        <w:rPr>
          <w:color w:val="auto"/>
          <w:sz w:val="21"/>
          <w:szCs w:val="21"/>
        </w:rPr>
        <w:t>experienced CSOs</w:t>
      </w:r>
      <w:r w:rsidR="00BC54E2" w:rsidRPr="00FF2A2F">
        <w:rPr>
          <w:color w:val="auto"/>
          <w:sz w:val="21"/>
          <w:szCs w:val="21"/>
        </w:rPr>
        <w:t xml:space="preserve"> to support this undertaking. </w:t>
      </w:r>
      <w:r w:rsidR="009C3855" w:rsidRPr="00FF2A2F">
        <w:rPr>
          <w:color w:val="auto"/>
          <w:sz w:val="21"/>
          <w:szCs w:val="21"/>
        </w:rPr>
        <w:t>The design process has confirmed</w:t>
      </w:r>
      <w:r w:rsidR="00EE4A2E" w:rsidRPr="00FF2A2F">
        <w:rPr>
          <w:color w:val="auto"/>
          <w:sz w:val="21"/>
          <w:szCs w:val="21"/>
        </w:rPr>
        <w:t xml:space="preserve"> that there is a range of CSO’s available in Tonga to support this process who </w:t>
      </w:r>
      <w:r w:rsidR="006C79D8" w:rsidRPr="00FF2A2F">
        <w:rPr>
          <w:color w:val="auto"/>
          <w:sz w:val="21"/>
          <w:szCs w:val="21"/>
        </w:rPr>
        <w:t xml:space="preserve">have near universal coverage and good relationships and reputation with communities. </w:t>
      </w:r>
      <w:r w:rsidR="00A02692" w:rsidRPr="00FF2A2F">
        <w:rPr>
          <w:color w:val="auto"/>
          <w:sz w:val="21"/>
          <w:szCs w:val="21"/>
        </w:rPr>
        <w:t xml:space="preserve">Several </w:t>
      </w:r>
      <w:r w:rsidR="006C79D8" w:rsidRPr="00FF2A2F">
        <w:rPr>
          <w:color w:val="auto"/>
          <w:sz w:val="21"/>
          <w:szCs w:val="21"/>
        </w:rPr>
        <w:t xml:space="preserve">have successfully programmed DFAT funding previously, either directly or through Australia-based NGO partners, and demonstrate potential to meet DFAT’s due diligence requirements. </w:t>
      </w:r>
    </w:p>
    <w:p w14:paraId="3B05BB8B" w14:textId="15DD1484" w:rsidR="009C04D4" w:rsidRPr="00FF2A2F" w:rsidRDefault="001C1F84" w:rsidP="00FF0903">
      <w:pPr>
        <w:spacing w:before="120" w:line="260" w:lineRule="atLeast"/>
        <w:ind w:left="0" w:firstLine="0"/>
        <w:rPr>
          <w:color w:val="auto"/>
          <w:sz w:val="21"/>
          <w:szCs w:val="21"/>
        </w:rPr>
      </w:pPr>
      <w:r w:rsidRPr="00FF2A2F">
        <w:rPr>
          <w:color w:val="auto"/>
          <w:sz w:val="21"/>
          <w:szCs w:val="21"/>
        </w:rPr>
        <w:t>4</w:t>
      </w:r>
      <w:r w:rsidR="00823CE5" w:rsidRPr="00FF2A2F">
        <w:rPr>
          <w:color w:val="auto"/>
          <w:sz w:val="21"/>
          <w:szCs w:val="21"/>
        </w:rPr>
        <w:t xml:space="preserve">9. </w:t>
      </w:r>
      <w:r w:rsidR="006C79D8" w:rsidRPr="00FF2A2F">
        <w:rPr>
          <w:color w:val="auto"/>
          <w:sz w:val="21"/>
          <w:szCs w:val="21"/>
        </w:rPr>
        <w:t xml:space="preserve">The Civil Society Forum of Tonga (CSFT) is the umbrella group for </w:t>
      </w:r>
      <w:r w:rsidR="00210DC6" w:rsidRPr="00FF2A2F">
        <w:rPr>
          <w:color w:val="auto"/>
          <w:sz w:val="21"/>
          <w:szCs w:val="21"/>
        </w:rPr>
        <w:t>Tongan</w:t>
      </w:r>
      <w:r w:rsidR="006C79D8" w:rsidRPr="00FF2A2F">
        <w:rPr>
          <w:color w:val="auto"/>
          <w:sz w:val="21"/>
          <w:szCs w:val="21"/>
        </w:rPr>
        <w:t xml:space="preserve"> CSOs</w:t>
      </w:r>
      <w:r w:rsidR="006B0B41" w:rsidRPr="00FF2A2F">
        <w:rPr>
          <w:color w:val="auto"/>
          <w:sz w:val="21"/>
          <w:szCs w:val="21"/>
        </w:rPr>
        <w:t xml:space="preserve"> and is</w:t>
      </w:r>
      <w:r w:rsidR="000C2598" w:rsidRPr="00FF2A2F">
        <w:rPr>
          <w:color w:val="auto"/>
          <w:sz w:val="21"/>
          <w:szCs w:val="21"/>
        </w:rPr>
        <w:t xml:space="preserve"> endeavouring </w:t>
      </w:r>
      <w:r w:rsidR="006C79D8" w:rsidRPr="00FF2A2F">
        <w:rPr>
          <w:color w:val="auto"/>
          <w:sz w:val="21"/>
          <w:szCs w:val="21"/>
        </w:rPr>
        <w:t xml:space="preserve">to improve coordination and engagement with </w:t>
      </w:r>
      <w:r w:rsidR="000C2598" w:rsidRPr="00FF2A2F">
        <w:rPr>
          <w:color w:val="auto"/>
          <w:sz w:val="21"/>
          <w:szCs w:val="21"/>
        </w:rPr>
        <w:t xml:space="preserve">the government. It has </w:t>
      </w:r>
      <w:r w:rsidR="006C79D8" w:rsidRPr="00FF2A2F">
        <w:rPr>
          <w:color w:val="auto"/>
          <w:sz w:val="21"/>
          <w:szCs w:val="21"/>
        </w:rPr>
        <w:t>developed an engagement framewor</w:t>
      </w:r>
      <w:r w:rsidR="000C2598" w:rsidRPr="00FF2A2F">
        <w:rPr>
          <w:color w:val="auto"/>
          <w:sz w:val="21"/>
          <w:szCs w:val="21"/>
        </w:rPr>
        <w:t>k</w:t>
      </w:r>
      <w:r w:rsidR="006C79D8" w:rsidRPr="00FF2A2F">
        <w:rPr>
          <w:color w:val="auto"/>
          <w:sz w:val="21"/>
          <w:szCs w:val="21"/>
        </w:rPr>
        <w:t xml:space="preserve"> to support these efforts, including promoting cluster engagement by its members. The investment proposes to support the CSFT in th</w:t>
      </w:r>
      <w:r w:rsidR="000C2598" w:rsidRPr="00FF2A2F">
        <w:rPr>
          <w:color w:val="auto"/>
          <w:sz w:val="21"/>
          <w:szCs w:val="21"/>
        </w:rPr>
        <w:t xml:space="preserve">ese efforts. </w:t>
      </w:r>
    </w:p>
    <w:p w14:paraId="2CC0A606" w14:textId="39D4E47A" w:rsidR="009C04D4" w:rsidRPr="00FF2A2F" w:rsidRDefault="00823CE5" w:rsidP="00FF0903">
      <w:pPr>
        <w:spacing w:before="120" w:line="260" w:lineRule="atLeast"/>
        <w:ind w:left="0" w:firstLine="0"/>
        <w:rPr>
          <w:color w:val="auto"/>
          <w:sz w:val="21"/>
          <w:szCs w:val="21"/>
        </w:rPr>
      </w:pPr>
      <w:r w:rsidRPr="00FF2A2F">
        <w:rPr>
          <w:color w:val="auto"/>
          <w:sz w:val="21"/>
          <w:szCs w:val="21"/>
        </w:rPr>
        <w:t xml:space="preserve">50. </w:t>
      </w:r>
      <w:r w:rsidR="009C04D4" w:rsidRPr="00FF2A2F">
        <w:rPr>
          <w:color w:val="auto"/>
          <w:sz w:val="21"/>
          <w:szCs w:val="21"/>
        </w:rPr>
        <w:t>To promote Tongan CSO engagement in the DRM space, fit-for-purpose support</w:t>
      </w:r>
      <w:r w:rsidR="0053463E" w:rsidRPr="00FF2A2F">
        <w:rPr>
          <w:color w:val="auto"/>
          <w:sz w:val="21"/>
          <w:szCs w:val="21"/>
        </w:rPr>
        <w:t xml:space="preserve"> is required</w:t>
      </w:r>
      <w:r w:rsidR="009C04D4" w:rsidRPr="00FF2A2F">
        <w:rPr>
          <w:color w:val="auto"/>
          <w:sz w:val="21"/>
          <w:szCs w:val="21"/>
        </w:rPr>
        <w:t xml:space="preserve"> in operational scaffolding, governance strengthening and compliance support</w:t>
      </w:r>
      <w:r w:rsidR="0053463E" w:rsidRPr="00FF2A2F">
        <w:rPr>
          <w:color w:val="auto"/>
          <w:sz w:val="21"/>
          <w:szCs w:val="21"/>
        </w:rPr>
        <w:t xml:space="preserve"> </w:t>
      </w:r>
      <w:r w:rsidR="009C04D4" w:rsidRPr="00FF2A2F">
        <w:rPr>
          <w:color w:val="auto"/>
          <w:sz w:val="21"/>
          <w:szCs w:val="21"/>
        </w:rPr>
        <w:t>that empowers them to independently access and effectively manage DFAT and other donor funding, deliver TA and participate in DRM policy processes. Meeting these requirements costs money and requires skills and resources that are not available locally.</w:t>
      </w:r>
      <w:r w:rsidR="009046B2" w:rsidRPr="00FF2A2F">
        <w:rPr>
          <w:color w:val="auto"/>
          <w:sz w:val="21"/>
          <w:szCs w:val="21"/>
        </w:rPr>
        <w:t xml:space="preserve"> This context offers a unique</w:t>
      </w:r>
      <w:r w:rsidR="00B04A3E" w:rsidRPr="00FF2A2F">
        <w:rPr>
          <w:color w:val="auto"/>
          <w:sz w:val="21"/>
          <w:szCs w:val="21"/>
        </w:rPr>
        <w:t xml:space="preserve"> localisation</w:t>
      </w:r>
      <w:r w:rsidR="009046B2" w:rsidRPr="00FF2A2F">
        <w:rPr>
          <w:color w:val="auto"/>
          <w:sz w:val="21"/>
          <w:szCs w:val="21"/>
        </w:rPr>
        <w:t xml:space="preserve"> opportunity for the investment to program funds directly with Tongan </w:t>
      </w:r>
      <w:r w:rsidR="00B04A3E" w:rsidRPr="00FF2A2F">
        <w:rPr>
          <w:color w:val="auto"/>
          <w:sz w:val="21"/>
          <w:szCs w:val="21"/>
        </w:rPr>
        <w:t>CSOs</w:t>
      </w:r>
      <w:r w:rsidR="009046B2" w:rsidRPr="00FF2A2F">
        <w:rPr>
          <w:color w:val="auto"/>
          <w:sz w:val="21"/>
          <w:szCs w:val="21"/>
        </w:rPr>
        <w:t>, provided they can meet and manage DFAT’s due diligence requirements.</w:t>
      </w:r>
    </w:p>
    <w:p w14:paraId="3C03DC01" w14:textId="6FA6262A" w:rsidR="00F54757" w:rsidRPr="00FF2A2F" w:rsidRDefault="00F54757" w:rsidP="00FF0903">
      <w:pPr>
        <w:spacing w:before="120" w:line="260" w:lineRule="atLeast"/>
        <w:ind w:left="0" w:firstLine="0"/>
        <w:rPr>
          <w:i/>
          <w:iCs/>
          <w:color w:val="auto"/>
          <w:sz w:val="21"/>
          <w:szCs w:val="21"/>
        </w:rPr>
      </w:pPr>
      <w:r w:rsidRPr="00FF2A2F">
        <w:rPr>
          <w:i/>
          <w:iCs/>
          <w:color w:val="auto"/>
          <w:sz w:val="21"/>
          <w:szCs w:val="21"/>
        </w:rPr>
        <w:t xml:space="preserve">The challenge </w:t>
      </w:r>
      <w:r w:rsidR="00046CD4" w:rsidRPr="00FF2A2F">
        <w:rPr>
          <w:i/>
          <w:iCs/>
          <w:color w:val="auto"/>
          <w:sz w:val="21"/>
          <w:szCs w:val="21"/>
        </w:rPr>
        <w:t>of coordination</w:t>
      </w:r>
    </w:p>
    <w:p w14:paraId="6FE5E672" w14:textId="5462D0DD" w:rsidR="00B817E5" w:rsidRPr="00FF2A2F" w:rsidRDefault="00823CE5" w:rsidP="00FF0903">
      <w:pPr>
        <w:spacing w:before="120" w:line="260" w:lineRule="atLeast"/>
        <w:ind w:left="0" w:firstLine="0"/>
        <w:rPr>
          <w:color w:val="auto"/>
          <w:sz w:val="21"/>
          <w:szCs w:val="21"/>
        </w:rPr>
      </w:pPr>
      <w:r w:rsidRPr="00FF2A2F">
        <w:rPr>
          <w:color w:val="auto"/>
          <w:sz w:val="21"/>
          <w:szCs w:val="21"/>
        </w:rPr>
        <w:t xml:space="preserve">51. </w:t>
      </w:r>
      <w:r w:rsidR="00B817E5" w:rsidRPr="00FF2A2F">
        <w:rPr>
          <w:color w:val="auto"/>
          <w:sz w:val="21"/>
          <w:szCs w:val="21"/>
        </w:rPr>
        <w:t xml:space="preserve">Preparing for and responding to disasters is a shared responsibility in Tonga, but lessons from recent disaster responses tested through the design process demonstrate there is a need to improve coordination mechanisms and functions between government, faith-based groups, </w:t>
      </w:r>
      <w:r w:rsidR="00F85083" w:rsidRPr="00FF2A2F">
        <w:rPr>
          <w:color w:val="auto"/>
          <w:sz w:val="21"/>
          <w:szCs w:val="21"/>
        </w:rPr>
        <w:t>N</w:t>
      </w:r>
      <w:r w:rsidR="00B817E5" w:rsidRPr="00FF2A2F">
        <w:rPr>
          <w:color w:val="auto"/>
          <w:sz w:val="21"/>
          <w:szCs w:val="21"/>
        </w:rPr>
        <w:t>GOs</w:t>
      </w:r>
      <w:r w:rsidR="00EB3EE9" w:rsidRPr="00FF2A2F">
        <w:rPr>
          <w:color w:val="auto"/>
          <w:sz w:val="21"/>
          <w:szCs w:val="21"/>
        </w:rPr>
        <w:t>/</w:t>
      </w:r>
      <w:r w:rsidR="00B817E5" w:rsidRPr="00FF2A2F">
        <w:rPr>
          <w:color w:val="auto"/>
          <w:sz w:val="21"/>
          <w:szCs w:val="21"/>
        </w:rPr>
        <w:t xml:space="preserve">CSOs and United Nations (UN) agencies. These groups are all active in </w:t>
      </w:r>
      <w:r w:rsidR="00833083" w:rsidRPr="00FF2A2F">
        <w:rPr>
          <w:color w:val="auto"/>
          <w:sz w:val="21"/>
          <w:szCs w:val="21"/>
        </w:rPr>
        <w:t>DRM</w:t>
      </w:r>
      <w:r w:rsidR="00B817E5" w:rsidRPr="00FF2A2F">
        <w:rPr>
          <w:color w:val="auto"/>
          <w:sz w:val="21"/>
          <w:szCs w:val="21"/>
        </w:rPr>
        <w:t xml:space="preserve"> and there is a strong foundation of lessons learnt from the HTHH </w:t>
      </w:r>
      <w:r w:rsidR="005C31BE" w:rsidRPr="00FF2A2F">
        <w:rPr>
          <w:color w:val="auto"/>
          <w:sz w:val="21"/>
          <w:szCs w:val="21"/>
        </w:rPr>
        <w:t>R</w:t>
      </w:r>
      <w:r w:rsidR="00B817E5" w:rsidRPr="00FF2A2F">
        <w:rPr>
          <w:color w:val="auto"/>
          <w:sz w:val="21"/>
          <w:szCs w:val="21"/>
        </w:rPr>
        <w:t>esponse and Tropical Cyclone Gita (2018) on improving the effectiveness and efficiency of</w:t>
      </w:r>
      <w:r w:rsidR="00EB3EE9" w:rsidRPr="00FF2A2F">
        <w:rPr>
          <w:color w:val="auto"/>
          <w:sz w:val="21"/>
          <w:szCs w:val="21"/>
        </w:rPr>
        <w:t xml:space="preserve"> coordination</w:t>
      </w:r>
      <w:r w:rsidR="00B817E5" w:rsidRPr="00FF2A2F">
        <w:rPr>
          <w:color w:val="auto"/>
          <w:sz w:val="21"/>
          <w:szCs w:val="21"/>
        </w:rPr>
        <w:t xml:space="preserve"> to support the timeliness of response activities and reduce needless suffering. The </w:t>
      </w:r>
      <w:r w:rsidR="00DE58F8" w:rsidRPr="00FF2A2F">
        <w:rPr>
          <w:color w:val="auto"/>
          <w:sz w:val="21"/>
          <w:szCs w:val="21"/>
        </w:rPr>
        <w:t>I</w:t>
      </w:r>
      <w:r w:rsidR="00B817E5" w:rsidRPr="00FF2A2F">
        <w:rPr>
          <w:color w:val="auto"/>
          <w:sz w:val="21"/>
          <w:szCs w:val="21"/>
        </w:rPr>
        <w:t xml:space="preserve">nvestment responds directly to these lessons and recommendations from recent response activations.  </w:t>
      </w:r>
    </w:p>
    <w:p w14:paraId="61C69AC6" w14:textId="112E69C7" w:rsidR="00B817E5" w:rsidRPr="00FF2A2F" w:rsidRDefault="00823CE5" w:rsidP="00FF0903">
      <w:pPr>
        <w:spacing w:before="120" w:line="260" w:lineRule="atLeast"/>
        <w:ind w:left="0" w:firstLine="0"/>
        <w:rPr>
          <w:color w:val="auto"/>
          <w:sz w:val="21"/>
          <w:szCs w:val="21"/>
        </w:rPr>
      </w:pPr>
      <w:r w:rsidRPr="00FF2A2F">
        <w:rPr>
          <w:color w:val="auto"/>
          <w:sz w:val="21"/>
          <w:szCs w:val="21"/>
        </w:rPr>
        <w:t xml:space="preserve">52. </w:t>
      </w:r>
      <w:r w:rsidR="00B817E5" w:rsidRPr="00FF2A2F">
        <w:rPr>
          <w:color w:val="auto"/>
          <w:sz w:val="21"/>
          <w:szCs w:val="21"/>
        </w:rPr>
        <w:t xml:space="preserve">Tonga has an established </w:t>
      </w:r>
      <w:hyperlink r:id="rId11" w:history="1">
        <w:r w:rsidR="00B817E5" w:rsidRPr="00FF2A2F">
          <w:rPr>
            <w:color w:val="auto"/>
          </w:rPr>
          <w:t>humanitarian cluster mechanism</w:t>
        </w:r>
      </w:hyperlink>
      <w:r w:rsidR="00B817E5" w:rsidRPr="00FF2A2F">
        <w:rPr>
          <w:color w:val="auto"/>
          <w:sz w:val="21"/>
          <w:szCs w:val="21"/>
        </w:rPr>
        <w:t xml:space="preserve"> based on the UN cluster system. There are 11 clusters in place, each lead by a representative Ministry. During times of disaster response, the cluster system appears to function relatively well in terms of directing response activities, sharing information and preventing duplication. The potential to access funding through a cluster is also an incentive for participation, particularly for</w:t>
      </w:r>
      <w:r w:rsidR="001A40FC" w:rsidRPr="00FF2A2F">
        <w:rPr>
          <w:color w:val="auto"/>
          <w:sz w:val="21"/>
          <w:szCs w:val="21"/>
        </w:rPr>
        <w:t xml:space="preserve"> CSOs</w:t>
      </w:r>
      <w:r w:rsidR="00B817E5" w:rsidRPr="00FF2A2F">
        <w:rPr>
          <w:color w:val="auto"/>
          <w:sz w:val="21"/>
          <w:szCs w:val="21"/>
        </w:rPr>
        <w:t xml:space="preserve">. Outside </w:t>
      </w:r>
      <w:r w:rsidR="009B3B78" w:rsidRPr="00FF2A2F">
        <w:rPr>
          <w:color w:val="auto"/>
          <w:sz w:val="21"/>
          <w:szCs w:val="21"/>
        </w:rPr>
        <w:t xml:space="preserve">of </w:t>
      </w:r>
      <w:r w:rsidR="00B817E5" w:rsidRPr="00FF2A2F">
        <w:rPr>
          <w:color w:val="auto"/>
          <w:sz w:val="21"/>
          <w:szCs w:val="21"/>
        </w:rPr>
        <w:t>disaster response periods, most clusters are not operational due</w:t>
      </w:r>
      <w:r w:rsidR="007972D0" w:rsidRPr="00FF2A2F">
        <w:rPr>
          <w:color w:val="auto"/>
          <w:sz w:val="21"/>
          <w:szCs w:val="21"/>
        </w:rPr>
        <w:t xml:space="preserve">. </w:t>
      </w:r>
      <w:r w:rsidR="00B817E5" w:rsidRPr="00FF2A2F">
        <w:rPr>
          <w:color w:val="auto"/>
          <w:sz w:val="21"/>
          <w:szCs w:val="21"/>
        </w:rPr>
        <w:t xml:space="preserve">This is despite the GoT and other </w:t>
      </w:r>
      <w:r w:rsidR="009B3B78" w:rsidRPr="00FF2A2F">
        <w:rPr>
          <w:color w:val="auto"/>
          <w:sz w:val="21"/>
          <w:szCs w:val="21"/>
        </w:rPr>
        <w:t>DRM</w:t>
      </w:r>
      <w:r w:rsidR="00B817E5" w:rsidRPr="00FF2A2F">
        <w:rPr>
          <w:color w:val="auto"/>
          <w:sz w:val="21"/>
          <w:szCs w:val="21"/>
        </w:rPr>
        <w:t xml:space="preserve"> stakeholders consistently highlighting preparedness activities as a priority for improved response. The UN has a presence in Tonga – UNFPA, UNICEF and UNDP – but programs often have a regional focus or are managed from </w:t>
      </w:r>
      <w:r w:rsidR="00B817E5" w:rsidRPr="00FF2A2F">
        <w:rPr>
          <w:color w:val="auto"/>
          <w:sz w:val="21"/>
          <w:szCs w:val="21"/>
        </w:rPr>
        <w:lastRenderedPageBreak/>
        <w:t xml:space="preserve">Fiji with limited presence in Nuku’alofa. The primary global cluster coordinator – UN OCHA – does not have a Tonga presence. </w:t>
      </w:r>
    </w:p>
    <w:p w14:paraId="1B2C93CB" w14:textId="665181FB" w:rsidR="00B817E5" w:rsidRPr="00FF2A2F" w:rsidRDefault="00823CE5" w:rsidP="00FF0903">
      <w:pPr>
        <w:spacing w:before="120" w:line="260" w:lineRule="atLeast"/>
        <w:ind w:left="0" w:firstLine="0"/>
        <w:rPr>
          <w:color w:val="auto"/>
          <w:sz w:val="21"/>
          <w:szCs w:val="21"/>
        </w:rPr>
      </w:pPr>
      <w:r w:rsidRPr="00FF2A2F">
        <w:rPr>
          <w:color w:val="auto"/>
          <w:sz w:val="21"/>
          <w:szCs w:val="21"/>
        </w:rPr>
        <w:t xml:space="preserve">53. </w:t>
      </w:r>
      <w:r w:rsidR="00B817E5" w:rsidRPr="00FF2A2F">
        <w:rPr>
          <w:color w:val="auto"/>
          <w:sz w:val="21"/>
          <w:szCs w:val="21"/>
        </w:rPr>
        <w:t xml:space="preserve">CSO participation in the clusters is mixed. Design consultations highlighted concerns about information shared through the cluster mechanism, while also recognising that </w:t>
      </w:r>
      <w:r w:rsidR="009B3B78" w:rsidRPr="00FF2A2F">
        <w:rPr>
          <w:color w:val="auto"/>
          <w:sz w:val="21"/>
          <w:szCs w:val="21"/>
        </w:rPr>
        <w:t>information sharing through coordination</w:t>
      </w:r>
      <w:r w:rsidR="00B817E5" w:rsidRPr="00FF2A2F">
        <w:rPr>
          <w:color w:val="auto"/>
          <w:sz w:val="21"/>
          <w:szCs w:val="21"/>
        </w:rPr>
        <w:t xml:space="preserve"> needs to improve</w:t>
      </w:r>
      <w:r w:rsidR="009B3B78" w:rsidRPr="00FF2A2F">
        <w:rPr>
          <w:color w:val="auto"/>
          <w:sz w:val="21"/>
          <w:szCs w:val="21"/>
        </w:rPr>
        <w:t xml:space="preserve">.  </w:t>
      </w:r>
      <w:r w:rsidR="00B817E5" w:rsidRPr="00FF2A2F">
        <w:rPr>
          <w:color w:val="auto"/>
          <w:sz w:val="21"/>
          <w:szCs w:val="21"/>
        </w:rPr>
        <w:t xml:space="preserve">Interviews with the </w:t>
      </w:r>
      <w:r w:rsidR="007972D0" w:rsidRPr="00FF2A2F">
        <w:rPr>
          <w:color w:val="auto"/>
          <w:sz w:val="21"/>
          <w:szCs w:val="21"/>
        </w:rPr>
        <w:t>Government confirmed their</w:t>
      </w:r>
      <w:r w:rsidR="00B817E5" w:rsidRPr="00FF2A2F">
        <w:rPr>
          <w:color w:val="auto"/>
          <w:sz w:val="21"/>
          <w:szCs w:val="21"/>
        </w:rPr>
        <w:t xml:space="preserve"> commitment to improving coordination and recognition of the important role CSOs play in disaster preparedness, response and recovery. The design findings indicate investment in a co-lead model for clusters will potentially reap benefits for strengthened preparedness and recovery activities by clusters, closing gaps in the </w:t>
      </w:r>
      <w:r w:rsidR="00C26C4C" w:rsidRPr="00FF2A2F">
        <w:rPr>
          <w:color w:val="auto"/>
          <w:sz w:val="21"/>
          <w:szCs w:val="21"/>
        </w:rPr>
        <w:t>DRM</w:t>
      </w:r>
      <w:r w:rsidR="00B817E5" w:rsidRPr="00FF2A2F">
        <w:rPr>
          <w:color w:val="auto"/>
          <w:sz w:val="21"/>
          <w:szCs w:val="21"/>
        </w:rPr>
        <w:t xml:space="preserve"> cycle.</w:t>
      </w:r>
    </w:p>
    <w:p w14:paraId="786EDC18" w14:textId="082797CB" w:rsidR="00046CD4" w:rsidRPr="00FF2A2F" w:rsidRDefault="00823CE5" w:rsidP="00FF0903">
      <w:pPr>
        <w:spacing w:before="120" w:line="260" w:lineRule="atLeast"/>
        <w:ind w:left="0" w:firstLine="0"/>
        <w:rPr>
          <w:color w:val="auto"/>
          <w:sz w:val="21"/>
          <w:szCs w:val="21"/>
        </w:rPr>
      </w:pPr>
      <w:r w:rsidRPr="00FF2A2F">
        <w:rPr>
          <w:color w:val="auto"/>
          <w:sz w:val="21"/>
          <w:szCs w:val="21"/>
        </w:rPr>
        <w:t xml:space="preserve">54. </w:t>
      </w:r>
      <w:r w:rsidR="00B817E5" w:rsidRPr="00FF2A2F">
        <w:rPr>
          <w:color w:val="auto"/>
          <w:sz w:val="21"/>
          <w:szCs w:val="21"/>
        </w:rPr>
        <w:t>Current cluster coordination mechanisms operate with limited women's leadership outside of response periods. Strengthening women's leadership within cluster systems would increase representation and decision-making and likely strengthen the effectiveness of preparedness planning and response.</w:t>
      </w:r>
    </w:p>
    <w:p w14:paraId="6E785279" w14:textId="4CD30DF9" w:rsidR="006C79D8" w:rsidRPr="00FF2A2F" w:rsidRDefault="00874E21" w:rsidP="00FF0903">
      <w:pPr>
        <w:spacing w:before="120" w:line="260" w:lineRule="atLeast"/>
        <w:ind w:left="0" w:firstLine="0"/>
        <w:rPr>
          <w:i/>
          <w:iCs/>
          <w:color w:val="auto"/>
          <w:sz w:val="21"/>
          <w:szCs w:val="21"/>
        </w:rPr>
      </w:pPr>
      <w:r w:rsidRPr="00FF2A2F">
        <w:rPr>
          <w:i/>
          <w:iCs/>
          <w:color w:val="auto"/>
          <w:sz w:val="21"/>
          <w:szCs w:val="21"/>
        </w:rPr>
        <w:t>Supporting more inclusive DRM</w:t>
      </w:r>
    </w:p>
    <w:p w14:paraId="7C5E715C" w14:textId="666118DA" w:rsidR="00874E21" w:rsidRPr="00FF2A2F" w:rsidRDefault="00823CE5" w:rsidP="00FF0903">
      <w:pPr>
        <w:spacing w:before="120" w:line="260" w:lineRule="atLeast"/>
        <w:ind w:left="0" w:firstLine="0"/>
        <w:rPr>
          <w:color w:val="auto"/>
          <w:sz w:val="21"/>
          <w:szCs w:val="21"/>
        </w:rPr>
      </w:pPr>
      <w:r w:rsidRPr="00FF2A2F">
        <w:rPr>
          <w:color w:val="auto"/>
          <w:sz w:val="21"/>
          <w:szCs w:val="21"/>
        </w:rPr>
        <w:t xml:space="preserve">55. </w:t>
      </w:r>
      <w:r w:rsidR="00874E21" w:rsidRPr="00FF2A2F">
        <w:rPr>
          <w:color w:val="auto"/>
          <w:sz w:val="21"/>
          <w:szCs w:val="21"/>
        </w:rPr>
        <w:t xml:space="preserve">Humanitarian </w:t>
      </w:r>
      <w:r w:rsidR="00C26C4C" w:rsidRPr="00FF2A2F">
        <w:rPr>
          <w:color w:val="auto"/>
          <w:sz w:val="21"/>
          <w:szCs w:val="21"/>
        </w:rPr>
        <w:t>disasters</w:t>
      </w:r>
      <w:r w:rsidR="00874E21" w:rsidRPr="00FF2A2F">
        <w:rPr>
          <w:color w:val="auto"/>
          <w:sz w:val="21"/>
          <w:szCs w:val="21"/>
        </w:rPr>
        <w:t xml:space="preserve"> exacerbate existing inequities and unequal social norms. The impacts of these </w:t>
      </w:r>
      <w:r w:rsidR="00C26C4C" w:rsidRPr="00FF2A2F">
        <w:rPr>
          <w:color w:val="auto"/>
          <w:sz w:val="21"/>
          <w:szCs w:val="21"/>
        </w:rPr>
        <w:t>events</w:t>
      </w:r>
      <w:r w:rsidR="00874E21" w:rsidRPr="00FF2A2F">
        <w:rPr>
          <w:color w:val="auto"/>
          <w:sz w:val="21"/>
          <w:szCs w:val="21"/>
        </w:rPr>
        <w:t xml:space="preserve"> are expected to disproportionately affect women, who represent 32% of senior management positions, earn 23% less than men, whilst 37% experience physical or sexual violence (see Annex C Gender Analysis). These crises exacerbate the risk of violence, which can prevent women and girls accessing essential supplies and infrastructure. </w:t>
      </w:r>
    </w:p>
    <w:p w14:paraId="43155534" w14:textId="54468698" w:rsidR="00874E21" w:rsidRPr="00FF2A2F" w:rsidRDefault="001C1F84" w:rsidP="00FF0903">
      <w:pPr>
        <w:spacing w:before="120" w:line="260" w:lineRule="atLeast"/>
        <w:ind w:left="0" w:firstLine="0"/>
        <w:rPr>
          <w:color w:val="auto"/>
          <w:sz w:val="21"/>
          <w:szCs w:val="21"/>
        </w:rPr>
      </w:pPr>
      <w:r w:rsidRPr="00FF2A2F">
        <w:rPr>
          <w:color w:val="auto"/>
          <w:sz w:val="21"/>
          <w:szCs w:val="21"/>
        </w:rPr>
        <w:t>5</w:t>
      </w:r>
      <w:r w:rsidR="00823CE5" w:rsidRPr="00FF2A2F">
        <w:rPr>
          <w:color w:val="auto"/>
          <w:sz w:val="21"/>
          <w:szCs w:val="21"/>
        </w:rPr>
        <w:t xml:space="preserve">6. </w:t>
      </w:r>
      <w:r w:rsidR="00874E21" w:rsidRPr="00FF2A2F">
        <w:rPr>
          <w:color w:val="auto"/>
          <w:sz w:val="21"/>
          <w:szCs w:val="21"/>
        </w:rPr>
        <w:t xml:space="preserve">Tonga’s disaster risk and climate change policy frameworks include commitments to equity, fairness and inclusion in participation and leadership, and to meeting the different needs of diverse and vulnerable groups. However, these commitments are not consistently implemented, with recent assessments indicating staff within the NDRMO needing technical skills to </w:t>
      </w:r>
      <w:r w:rsidR="009744CD" w:rsidRPr="00FF2A2F">
        <w:rPr>
          <w:color w:val="auto"/>
          <w:sz w:val="21"/>
          <w:szCs w:val="21"/>
        </w:rPr>
        <w:t xml:space="preserve">prioritise </w:t>
      </w:r>
      <w:r w:rsidR="00225CA1" w:rsidRPr="00FF2A2F">
        <w:rPr>
          <w:color w:val="auto"/>
          <w:sz w:val="21"/>
          <w:szCs w:val="21"/>
        </w:rPr>
        <w:t xml:space="preserve">GEDSI considerations and activities </w:t>
      </w:r>
      <w:r w:rsidR="00D73BD2" w:rsidRPr="00FF2A2F">
        <w:rPr>
          <w:color w:val="auto"/>
          <w:sz w:val="21"/>
          <w:szCs w:val="21"/>
        </w:rPr>
        <w:t>across the DRM cycle</w:t>
      </w:r>
      <w:r w:rsidR="00874E21" w:rsidRPr="00FF2A2F">
        <w:rPr>
          <w:color w:val="auto"/>
          <w:sz w:val="21"/>
          <w:szCs w:val="21"/>
        </w:rPr>
        <w:t>.</w:t>
      </w:r>
    </w:p>
    <w:p w14:paraId="1C46ABF0" w14:textId="7B6B6D29" w:rsidR="00C354A3" w:rsidRPr="00FF2A2F" w:rsidRDefault="001C1F84" w:rsidP="00FF0903">
      <w:pPr>
        <w:spacing w:before="120" w:line="260" w:lineRule="atLeast"/>
        <w:ind w:left="0" w:firstLine="0"/>
        <w:rPr>
          <w:color w:val="auto"/>
          <w:sz w:val="21"/>
          <w:szCs w:val="21"/>
        </w:rPr>
      </w:pPr>
      <w:r w:rsidRPr="00FF2A2F">
        <w:rPr>
          <w:color w:val="auto"/>
          <w:sz w:val="21"/>
          <w:szCs w:val="21"/>
        </w:rPr>
        <w:t>5</w:t>
      </w:r>
      <w:r w:rsidR="00823CE5" w:rsidRPr="00FF2A2F">
        <w:rPr>
          <w:color w:val="auto"/>
          <w:sz w:val="21"/>
          <w:szCs w:val="21"/>
        </w:rPr>
        <w:t>7.</w:t>
      </w:r>
      <w:r w:rsidR="00325361" w:rsidRPr="00FF2A2F">
        <w:rPr>
          <w:color w:val="auto"/>
          <w:sz w:val="21"/>
          <w:szCs w:val="21"/>
        </w:rPr>
        <w:t xml:space="preserve"> P</w:t>
      </w:r>
      <w:r w:rsidR="00C354A3" w:rsidRPr="00FF2A2F">
        <w:rPr>
          <w:color w:val="auto"/>
          <w:sz w:val="21"/>
          <w:szCs w:val="21"/>
        </w:rPr>
        <w:t>artnerships with CSOs</w:t>
      </w:r>
      <w:r w:rsidR="00FB7BB9" w:rsidRPr="00FF2A2F">
        <w:rPr>
          <w:color w:val="auto"/>
          <w:sz w:val="21"/>
          <w:szCs w:val="21"/>
        </w:rPr>
        <w:t xml:space="preserve"> focused on inclusion</w:t>
      </w:r>
      <w:r w:rsidR="00585579" w:rsidRPr="00FF2A2F">
        <w:rPr>
          <w:color w:val="auto"/>
          <w:sz w:val="21"/>
          <w:szCs w:val="21"/>
        </w:rPr>
        <w:t>,</w:t>
      </w:r>
      <w:r w:rsidR="00FB7BB9" w:rsidRPr="00FF2A2F">
        <w:rPr>
          <w:color w:val="auto"/>
          <w:sz w:val="21"/>
          <w:szCs w:val="21"/>
        </w:rPr>
        <w:t xml:space="preserve"> such as organisations of persons with disabilities (OPDs</w:t>
      </w:r>
      <w:r w:rsidR="008A33F0" w:rsidRPr="00FF2A2F">
        <w:rPr>
          <w:color w:val="auto"/>
          <w:sz w:val="21"/>
          <w:szCs w:val="21"/>
        </w:rPr>
        <w:t>)</w:t>
      </w:r>
      <w:r w:rsidR="00FB7BB9" w:rsidRPr="00FF2A2F">
        <w:rPr>
          <w:color w:val="auto"/>
          <w:sz w:val="21"/>
          <w:szCs w:val="21"/>
        </w:rPr>
        <w:t xml:space="preserve"> and </w:t>
      </w:r>
      <w:r w:rsidR="00C354A3" w:rsidRPr="00FF2A2F">
        <w:rPr>
          <w:color w:val="auto"/>
          <w:sz w:val="21"/>
          <w:szCs w:val="21"/>
        </w:rPr>
        <w:t>women's organisations</w:t>
      </w:r>
      <w:r w:rsidR="00325361" w:rsidRPr="00FF2A2F">
        <w:rPr>
          <w:color w:val="auto"/>
          <w:sz w:val="21"/>
          <w:szCs w:val="21"/>
        </w:rPr>
        <w:t xml:space="preserve"> will sha</w:t>
      </w:r>
      <w:r w:rsidR="00EE74C2" w:rsidRPr="00FF2A2F">
        <w:rPr>
          <w:color w:val="auto"/>
          <w:sz w:val="21"/>
          <w:szCs w:val="21"/>
        </w:rPr>
        <w:t>rpen focus on key equ</w:t>
      </w:r>
      <w:r w:rsidR="000733B5" w:rsidRPr="00FF2A2F">
        <w:rPr>
          <w:color w:val="auto"/>
          <w:sz w:val="21"/>
          <w:szCs w:val="21"/>
        </w:rPr>
        <w:t xml:space="preserve">ality </w:t>
      </w:r>
      <w:r w:rsidR="00EE74C2" w:rsidRPr="00FF2A2F">
        <w:rPr>
          <w:color w:val="auto"/>
          <w:sz w:val="21"/>
          <w:szCs w:val="21"/>
        </w:rPr>
        <w:t xml:space="preserve">and inclusion priorities identified in the DRM </w:t>
      </w:r>
      <w:r w:rsidR="000733B5" w:rsidRPr="00FF2A2F">
        <w:rPr>
          <w:color w:val="auto"/>
          <w:sz w:val="21"/>
          <w:szCs w:val="21"/>
        </w:rPr>
        <w:t>P</w:t>
      </w:r>
      <w:r w:rsidR="00EE74C2" w:rsidRPr="00FF2A2F">
        <w:rPr>
          <w:color w:val="auto"/>
          <w:sz w:val="21"/>
          <w:szCs w:val="21"/>
        </w:rPr>
        <w:t xml:space="preserve">olicy, </w:t>
      </w:r>
      <w:r w:rsidR="007E66F5" w:rsidRPr="00FF2A2F">
        <w:rPr>
          <w:color w:val="auto"/>
          <w:sz w:val="21"/>
          <w:szCs w:val="21"/>
        </w:rPr>
        <w:t>particularly though enabling leadership of</w:t>
      </w:r>
      <w:r w:rsidR="00C354A3" w:rsidRPr="00FF2A2F">
        <w:rPr>
          <w:color w:val="auto"/>
          <w:sz w:val="21"/>
          <w:szCs w:val="21"/>
        </w:rPr>
        <w:t xml:space="preserve"> diverse</w:t>
      </w:r>
      <w:r w:rsidR="00C867C3" w:rsidRPr="00FF2A2F">
        <w:rPr>
          <w:color w:val="auto"/>
          <w:sz w:val="21"/>
          <w:szCs w:val="21"/>
        </w:rPr>
        <w:t xml:space="preserve"> or vulnerable</w:t>
      </w:r>
      <w:r w:rsidR="00C354A3" w:rsidRPr="00FF2A2F">
        <w:rPr>
          <w:color w:val="auto"/>
          <w:sz w:val="21"/>
          <w:szCs w:val="21"/>
        </w:rPr>
        <w:t xml:space="preserve"> people</w:t>
      </w:r>
      <w:r w:rsidR="00C867C3" w:rsidRPr="00FF2A2F">
        <w:rPr>
          <w:color w:val="auto"/>
          <w:sz w:val="21"/>
          <w:szCs w:val="21"/>
        </w:rPr>
        <w:t xml:space="preserve"> and communities</w:t>
      </w:r>
      <w:r w:rsidR="007E66F5" w:rsidRPr="00FF2A2F">
        <w:rPr>
          <w:color w:val="auto"/>
          <w:sz w:val="21"/>
          <w:szCs w:val="21"/>
        </w:rPr>
        <w:t xml:space="preserve"> in setting DRM priorities. </w:t>
      </w:r>
    </w:p>
    <w:p w14:paraId="1296A89A" w14:textId="77777777" w:rsidR="005F5DCB" w:rsidRPr="00FF2A2F" w:rsidRDefault="005F5DCB" w:rsidP="00FF0903">
      <w:pPr>
        <w:spacing w:before="120" w:line="260" w:lineRule="atLeast"/>
        <w:ind w:left="0" w:firstLine="0"/>
        <w:rPr>
          <w:b/>
          <w:bCs/>
          <w:color w:val="auto"/>
        </w:rPr>
      </w:pPr>
      <w:r w:rsidRPr="00FF2A2F">
        <w:rPr>
          <w:b/>
          <w:bCs/>
          <w:color w:val="auto"/>
        </w:rPr>
        <w:t>Alignment with Australian Government Investments</w:t>
      </w:r>
    </w:p>
    <w:p w14:paraId="38CEE1EE" w14:textId="333DBE8D" w:rsidR="005F5DCB" w:rsidRPr="00FF2A2F" w:rsidRDefault="001C1F84" w:rsidP="00FF0903">
      <w:pPr>
        <w:spacing w:before="120" w:line="260" w:lineRule="atLeast"/>
        <w:ind w:left="0" w:firstLine="0"/>
        <w:rPr>
          <w:color w:val="auto"/>
          <w:sz w:val="21"/>
          <w:szCs w:val="21"/>
        </w:rPr>
      </w:pPr>
      <w:r w:rsidRPr="00FF2A2F">
        <w:rPr>
          <w:color w:val="auto"/>
          <w:sz w:val="21"/>
          <w:szCs w:val="21"/>
        </w:rPr>
        <w:t>5</w:t>
      </w:r>
      <w:r w:rsidR="002D6F04" w:rsidRPr="00FF2A2F">
        <w:rPr>
          <w:color w:val="auto"/>
          <w:sz w:val="21"/>
          <w:szCs w:val="21"/>
        </w:rPr>
        <w:t>8</w:t>
      </w:r>
      <w:r w:rsidR="00983801" w:rsidRPr="00FF2A2F">
        <w:rPr>
          <w:color w:val="auto"/>
          <w:sz w:val="21"/>
          <w:szCs w:val="21"/>
        </w:rPr>
        <w:t>.</w:t>
      </w:r>
      <w:r w:rsidR="002D6F04" w:rsidRPr="00FF2A2F">
        <w:rPr>
          <w:color w:val="auto"/>
          <w:sz w:val="21"/>
          <w:szCs w:val="21"/>
        </w:rPr>
        <w:t xml:space="preserve"> </w:t>
      </w:r>
      <w:r w:rsidR="005F5DCB" w:rsidRPr="00FF2A2F">
        <w:rPr>
          <w:color w:val="auto"/>
          <w:sz w:val="21"/>
          <w:szCs w:val="21"/>
        </w:rPr>
        <w:t>The</w:t>
      </w:r>
      <w:r w:rsidR="0054217D" w:rsidRPr="00FF2A2F">
        <w:rPr>
          <w:color w:val="auto"/>
          <w:sz w:val="21"/>
          <w:szCs w:val="21"/>
        </w:rPr>
        <w:t xml:space="preserve"> investment</w:t>
      </w:r>
      <w:r w:rsidR="005F5DCB" w:rsidRPr="00FF2A2F">
        <w:rPr>
          <w:color w:val="auto"/>
          <w:sz w:val="21"/>
          <w:szCs w:val="21"/>
        </w:rPr>
        <w:t xml:space="preserve"> provides an opportunity to augment connectivity and harmonisation with current Australian Government investments in Tonga and the region</w:t>
      </w:r>
      <w:r w:rsidR="00CE2E13" w:rsidRPr="00FF2A2F">
        <w:rPr>
          <w:color w:val="auto"/>
          <w:sz w:val="21"/>
          <w:szCs w:val="21"/>
        </w:rPr>
        <w:t xml:space="preserve">. </w:t>
      </w:r>
    </w:p>
    <w:p w14:paraId="73BE33F6" w14:textId="1297E970" w:rsidR="005F5DCB" w:rsidRPr="00FF2A2F" w:rsidRDefault="001C1F84" w:rsidP="00FF0903">
      <w:pPr>
        <w:spacing w:before="120" w:line="260" w:lineRule="atLeast"/>
        <w:ind w:left="0" w:firstLine="0"/>
        <w:rPr>
          <w:color w:val="auto"/>
          <w:sz w:val="21"/>
          <w:szCs w:val="21"/>
        </w:rPr>
      </w:pPr>
      <w:r w:rsidRPr="00FF2A2F">
        <w:rPr>
          <w:color w:val="auto"/>
          <w:sz w:val="21"/>
          <w:szCs w:val="21"/>
        </w:rPr>
        <w:t>5</w:t>
      </w:r>
      <w:r w:rsidR="002D6F04" w:rsidRPr="00FF2A2F">
        <w:rPr>
          <w:color w:val="auto"/>
          <w:sz w:val="21"/>
          <w:szCs w:val="21"/>
        </w:rPr>
        <w:t>9</w:t>
      </w:r>
      <w:r w:rsidR="002A496C" w:rsidRPr="00FF2A2F">
        <w:rPr>
          <w:color w:val="auto"/>
          <w:sz w:val="21"/>
          <w:szCs w:val="21"/>
        </w:rPr>
        <w:t>.</w:t>
      </w:r>
      <w:r w:rsidR="002D6F04" w:rsidRPr="00FF2A2F">
        <w:rPr>
          <w:color w:val="auto"/>
          <w:sz w:val="21"/>
          <w:szCs w:val="21"/>
        </w:rPr>
        <w:t xml:space="preserve"> </w:t>
      </w:r>
      <w:r w:rsidR="005F5DCB" w:rsidRPr="00FF2A2F">
        <w:rPr>
          <w:color w:val="auto"/>
          <w:sz w:val="21"/>
          <w:szCs w:val="21"/>
        </w:rPr>
        <w:t>The design process identified a</w:t>
      </w:r>
      <w:r w:rsidR="002A496C" w:rsidRPr="00FF2A2F">
        <w:rPr>
          <w:color w:val="auto"/>
          <w:sz w:val="21"/>
          <w:szCs w:val="21"/>
        </w:rPr>
        <w:t xml:space="preserve">n </w:t>
      </w:r>
      <w:r w:rsidR="005F5DCB" w:rsidRPr="00FF2A2F">
        <w:rPr>
          <w:color w:val="auto"/>
          <w:sz w:val="21"/>
          <w:szCs w:val="21"/>
        </w:rPr>
        <w:t xml:space="preserve">opportunity to use state-led social protection systems in times of </w:t>
      </w:r>
      <w:r w:rsidR="007777A6" w:rsidRPr="00FF2A2F">
        <w:rPr>
          <w:color w:val="auto"/>
          <w:sz w:val="21"/>
          <w:szCs w:val="21"/>
        </w:rPr>
        <w:t>disaster</w:t>
      </w:r>
      <w:r w:rsidR="005F5DCB" w:rsidRPr="00FF2A2F">
        <w:rPr>
          <w:color w:val="auto"/>
          <w:sz w:val="21"/>
          <w:szCs w:val="21"/>
        </w:rPr>
        <w:t xml:space="preserve"> to provide one-off or top-up payments to disaster-affected individuals. Collaboration with the Partnerships for Social Protection (P4SP) Program will enhance the quality and coverage of these systems</w:t>
      </w:r>
      <w:r w:rsidR="001C7F4C" w:rsidRPr="00FF2A2F">
        <w:rPr>
          <w:color w:val="auto"/>
          <w:sz w:val="21"/>
          <w:szCs w:val="21"/>
        </w:rPr>
        <w:t xml:space="preserve"> and likely</w:t>
      </w:r>
      <w:r w:rsidR="005F5DCB" w:rsidRPr="00FF2A2F">
        <w:rPr>
          <w:color w:val="auto"/>
          <w:sz w:val="21"/>
          <w:szCs w:val="21"/>
        </w:rPr>
        <w:t xml:space="preserve"> increase access</w:t>
      </w:r>
      <w:r w:rsidR="001C7F4C" w:rsidRPr="00FF2A2F">
        <w:rPr>
          <w:color w:val="auto"/>
          <w:sz w:val="21"/>
          <w:szCs w:val="21"/>
        </w:rPr>
        <w:t xml:space="preserve"> to cash top-up schemes</w:t>
      </w:r>
      <w:r w:rsidR="005F5DCB" w:rsidRPr="00FF2A2F">
        <w:rPr>
          <w:color w:val="auto"/>
          <w:sz w:val="21"/>
          <w:szCs w:val="21"/>
        </w:rPr>
        <w:t xml:space="preserve"> in times of </w:t>
      </w:r>
      <w:r w:rsidR="007777A6" w:rsidRPr="00FF2A2F">
        <w:rPr>
          <w:color w:val="auto"/>
          <w:sz w:val="21"/>
          <w:szCs w:val="21"/>
        </w:rPr>
        <w:t>disaster</w:t>
      </w:r>
      <w:r w:rsidR="005F5DCB" w:rsidRPr="00FF2A2F">
        <w:rPr>
          <w:color w:val="auto"/>
          <w:sz w:val="21"/>
          <w:szCs w:val="21"/>
        </w:rPr>
        <w:t>. The design will also explore opportunities to enhance anticipatory action in Tonga, in line with Australia’s Humanitarian Policy (2024) and the pilot program under the Australian Humanitarian Partnership</w:t>
      </w:r>
      <w:r w:rsidR="002144ED" w:rsidRPr="00FF2A2F">
        <w:rPr>
          <w:color w:val="auto"/>
          <w:sz w:val="21"/>
          <w:szCs w:val="21"/>
        </w:rPr>
        <w:t xml:space="preserve"> (AHP)</w:t>
      </w:r>
      <w:r w:rsidR="005F5DCB" w:rsidRPr="00FF2A2F">
        <w:rPr>
          <w:color w:val="auto"/>
          <w:sz w:val="21"/>
          <w:szCs w:val="21"/>
        </w:rPr>
        <w:t>.</w:t>
      </w:r>
    </w:p>
    <w:p w14:paraId="62DC4FAA" w14:textId="105563A9" w:rsidR="005F5DCB" w:rsidRPr="00FF2A2F" w:rsidRDefault="002D6F04" w:rsidP="00FF0903">
      <w:pPr>
        <w:spacing w:before="120" w:line="260" w:lineRule="atLeast"/>
        <w:ind w:left="0" w:firstLine="0"/>
        <w:rPr>
          <w:color w:val="auto"/>
          <w:sz w:val="21"/>
          <w:szCs w:val="21"/>
        </w:rPr>
      </w:pPr>
      <w:r w:rsidRPr="00FF2A2F">
        <w:rPr>
          <w:color w:val="auto"/>
          <w:sz w:val="21"/>
          <w:szCs w:val="21"/>
        </w:rPr>
        <w:t xml:space="preserve">60. </w:t>
      </w:r>
      <w:r w:rsidR="005F5DCB" w:rsidRPr="00FF2A2F">
        <w:rPr>
          <w:color w:val="auto"/>
          <w:sz w:val="21"/>
          <w:szCs w:val="21"/>
        </w:rPr>
        <w:t>There is a strong DFAT interest in ensuring th</w:t>
      </w:r>
      <w:r w:rsidR="0054217D" w:rsidRPr="00FF2A2F">
        <w:rPr>
          <w:color w:val="auto"/>
          <w:sz w:val="21"/>
          <w:szCs w:val="21"/>
        </w:rPr>
        <w:t xml:space="preserve">is </w:t>
      </w:r>
      <w:r w:rsidR="005F5DCB" w:rsidRPr="00FF2A2F">
        <w:rPr>
          <w:color w:val="auto"/>
          <w:sz w:val="21"/>
          <w:szCs w:val="21"/>
        </w:rPr>
        <w:t xml:space="preserve">investment is aligned with and enabling other </w:t>
      </w:r>
      <w:r w:rsidRPr="00FF2A2F">
        <w:rPr>
          <w:color w:val="auto"/>
          <w:sz w:val="21"/>
          <w:szCs w:val="21"/>
        </w:rPr>
        <w:t xml:space="preserve">Australian Government </w:t>
      </w:r>
      <w:r w:rsidR="005F5DCB" w:rsidRPr="00FF2A2F">
        <w:rPr>
          <w:color w:val="auto"/>
          <w:sz w:val="21"/>
          <w:szCs w:val="21"/>
        </w:rPr>
        <w:t xml:space="preserve">investments in Tonga, as well as being clear on what the investment will and won’t deliver. Ideally, aligned investments will be able to leverage </w:t>
      </w:r>
      <w:r w:rsidR="0054217D" w:rsidRPr="00FF2A2F">
        <w:rPr>
          <w:color w:val="auto"/>
          <w:sz w:val="21"/>
          <w:szCs w:val="21"/>
        </w:rPr>
        <w:t xml:space="preserve">this </w:t>
      </w:r>
      <w:r w:rsidR="0070729B" w:rsidRPr="00FF2A2F">
        <w:rPr>
          <w:color w:val="auto"/>
          <w:sz w:val="21"/>
          <w:szCs w:val="21"/>
        </w:rPr>
        <w:t>investment</w:t>
      </w:r>
      <w:r w:rsidR="00EE4A2E" w:rsidRPr="00FF2A2F">
        <w:rPr>
          <w:color w:val="auto"/>
          <w:sz w:val="21"/>
          <w:szCs w:val="21"/>
        </w:rPr>
        <w:t>’</w:t>
      </w:r>
      <w:r w:rsidR="0070729B" w:rsidRPr="00FF2A2F">
        <w:rPr>
          <w:color w:val="auto"/>
          <w:sz w:val="21"/>
          <w:szCs w:val="21"/>
        </w:rPr>
        <w:t>s</w:t>
      </w:r>
      <w:r w:rsidR="005F5DCB" w:rsidRPr="00FF2A2F">
        <w:rPr>
          <w:color w:val="auto"/>
          <w:sz w:val="21"/>
          <w:szCs w:val="21"/>
        </w:rPr>
        <w:t xml:space="preserve"> capability and vice versa. This will support flexibility, value for money and a positive return on investment. </w:t>
      </w:r>
      <w:r w:rsidR="00FF0903" w:rsidRPr="00FF2A2F">
        <w:rPr>
          <w:color w:val="auto"/>
          <w:sz w:val="21"/>
          <w:szCs w:val="21"/>
          <w:lang w:val="en-AU"/>
        </w:rPr>
        <w:t>The following Australian programs are of most relevance:</w:t>
      </w:r>
    </w:p>
    <w:p w14:paraId="38E90ACB" w14:textId="68257EDC" w:rsidR="005F5DCB" w:rsidRPr="00FF2A2F" w:rsidRDefault="005F5DCB" w:rsidP="006B7677">
      <w:pPr>
        <w:pStyle w:val="ListParagraph"/>
        <w:numPr>
          <w:ilvl w:val="0"/>
          <w:numId w:val="35"/>
        </w:numPr>
        <w:spacing w:before="120" w:line="260" w:lineRule="atLeast"/>
        <w:contextualSpacing w:val="0"/>
        <w:rPr>
          <w:color w:val="auto"/>
          <w:sz w:val="21"/>
          <w:szCs w:val="21"/>
        </w:rPr>
      </w:pPr>
      <w:r w:rsidRPr="00FF2A2F">
        <w:rPr>
          <w:b/>
          <w:bCs/>
          <w:color w:val="auto"/>
          <w:sz w:val="21"/>
          <w:szCs w:val="21"/>
        </w:rPr>
        <w:t>Pacific Humanitarian Warehousing Program</w:t>
      </w:r>
      <w:r w:rsidRPr="00FF2A2F">
        <w:rPr>
          <w:color w:val="auto"/>
          <w:sz w:val="21"/>
          <w:szCs w:val="21"/>
        </w:rPr>
        <w:t xml:space="preserve"> </w:t>
      </w:r>
      <w:r w:rsidRPr="00FF2A2F">
        <w:rPr>
          <w:b/>
          <w:bCs/>
          <w:color w:val="auto"/>
          <w:sz w:val="21"/>
          <w:szCs w:val="21"/>
        </w:rPr>
        <w:t xml:space="preserve">(PHWP): </w:t>
      </w:r>
      <w:r w:rsidRPr="00FF2A2F">
        <w:rPr>
          <w:color w:val="auto"/>
          <w:sz w:val="21"/>
          <w:szCs w:val="21"/>
        </w:rPr>
        <w:t>Pre-positioning supplies for current warehouses and building warehouses on the outer islands are priorities for the NDRMO. The PHWP will continue to lead on this</w:t>
      </w:r>
      <w:r w:rsidR="000F6321" w:rsidRPr="00FF2A2F">
        <w:rPr>
          <w:color w:val="auto"/>
          <w:sz w:val="21"/>
          <w:szCs w:val="21"/>
        </w:rPr>
        <w:t xml:space="preserve"> with the </w:t>
      </w:r>
      <w:r w:rsidR="00297199" w:rsidRPr="00FF2A2F">
        <w:rPr>
          <w:color w:val="auto"/>
          <w:sz w:val="21"/>
          <w:szCs w:val="21"/>
        </w:rPr>
        <w:t xml:space="preserve">construction of the Vava’u </w:t>
      </w:r>
      <w:r w:rsidR="002144ED" w:rsidRPr="00FF2A2F">
        <w:rPr>
          <w:color w:val="auto"/>
          <w:sz w:val="21"/>
          <w:szCs w:val="21"/>
        </w:rPr>
        <w:t>W</w:t>
      </w:r>
      <w:r w:rsidR="00297199" w:rsidRPr="00FF2A2F">
        <w:rPr>
          <w:color w:val="auto"/>
          <w:sz w:val="21"/>
          <w:szCs w:val="21"/>
        </w:rPr>
        <w:t>arehouse</w:t>
      </w:r>
      <w:r w:rsidRPr="00FF2A2F">
        <w:rPr>
          <w:color w:val="auto"/>
          <w:sz w:val="21"/>
          <w:szCs w:val="21"/>
        </w:rPr>
        <w:t xml:space="preserve">, but there is a potential role for the </w:t>
      </w:r>
      <w:r w:rsidR="0054217D" w:rsidRPr="00FF2A2F">
        <w:rPr>
          <w:color w:val="auto"/>
          <w:sz w:val="21"/>
          <w:szCs w:val="21"/>
        </w:rPr>
        <w:t>investment</w:t>
      </w:r>
      <w:r w:rsidRPr="00FF2A2F">
        <w:rPr>
          <w:color w:val="auto"/>
          <w:sz w:val="21"/>
          <w:szCs w:val="21"/>
        </w:rPr>
        <w:t xml:space="preserve"> to </w:t>
      </w:r>
      <w:r w:rsidR="005B6497" w:rsidRPr="00FF2A2F">
        <w:rPr>
          <w:color w:val="auto"/>
          <w:sz w:val="21"/>
          <w:szCs w:val="21"/>
        </w:rPr>
        <w:t>support</w:t>
      </w:r>
      <w:r w:rsidR="00BD697E" w:rsidRPr="00FF2A2F">
        <w:rPr>
          <w:color w:val="auto"/>
          <w:sz w:val="21"/>
          <w:szCs w:val="21"/>
        </w:rPr>
        <w:t xml:space="preserve"> identification of</w:t>
      </w:r>
      <w:r w:rsidRPr="00FF2A2F">
        <w:rPr>
          <w:color w:val="auto"/>
          <w:sz w:val="21"/>
          <w:szCs w:val="21"/>
        </w:rPr>
        <w:t xml:space="preserve"> appropriate</w:t>
      </w:r>
      <w:r w:rsidR="00576E10" w:rsidRPr="00FF2A2F">
        <w:rPr>
          <w:color w:val="auto"/>
          <w:sz w:val="21"/>
          <w:szCs w:val="21"/>
        </w:rPr>
        <w:t xml:space="preserve"> and standardised</w:t>
      </w:r>
      <w:r w:rsidRPr="00FF2A2F">
        <w:rPr>
          <w:color w:val="auto"/>
          <w:sz w:val="21"/>
          <w:szCs w:val="21"/>
        </w:rPr>
        <w:t xml:space="preserve"> national </w:t>
      </w:r>
      <w:r w:rsidR="005B6497" w:rsidRPr="00FF2A2F">
        <w:rPr>
          <w:color w:val="auto"/>
          <w:sz w:val="21"/>
          <w:szCs w:val="21"/>
        </w:rPr>
        <w:t xml:space="preserve">relief </w:t>
      </w:r>
      <w:r w:rsidRPr="00FF2A2F">
        <w:rPr>
          <w:color w:val="auto"/>
          <w:sz w:val="21"/>
          <w:szCs w:val="21"/>
        </w:rPr>
        <w:t xml:space="preserve">supplies </w:t>
      </w:r>
      <w:r w:rsidR="00883634" w:rsidRPr="00FF2A2F">
        <w:rPr>
          <w:color w:val="auto"/>
          <w:sz w:val="21"/>
          <w:szCs w:val="21"/>
        </w:rPr>
        <w:t>though a stronger cluster system</w:t>
      </w:r>
      <w:r w:rsidRPr="00FF2A2F">
        <w:rPr>
          <w:color w:val="auto"/>
          <w:sz w:val="21"/>
          <w:szCs w:val="21"/>
        </w:rPr>
        <w:t xml:space="preserve"> </w:t>
      </w:r>
      <w:r w:rsidR="005B6497" w:rsidRPr="00FF2A2F">
        <w:rPr>
          <w:color w:val="auto"/>
          <w:sz w:val="21"/>
          <w:szCs w:val="21"/>
        </w:rPr>
        <w:t xml:space="preserve">- </w:t>
      </w:r>
      <w:r w:rsidRPr="00FF2A2F">
        <w:rPr>
          <w:color w:val="auto"/>
          <w:sz w:val="21"/>
          <w:szCs w:val="21"/>
        </w:rPr>
        <w:t xml:space="preserve">which </w:t>
      </w:r>
      <w:r w:rsidR="00BD53CA" w:rsidRPr="00FF2A2F">
        <w:rPr>
          <w:color w:val="auto"/>
          <w:sz w:val="21"/>
          <w:szCs w:val="21"/>
        </w:rPr>
        <w:t>will</w:t>
      </w:r>
      <w:r w:rsidRPr="00FF2A2F">
        <w:rPr>
          <w:color w:val="auto"/>
          <w:sz w:val="21"/>
          <w:szCs w:val="21"/>
        </w:rPr>
        <w:t xml:space="preserve"> be shared with the PHWP. </w:t>
      </w:r>
    </w:p>
    <w:p w14:paraId="5F4FE603" w14:textId="77777777" w:rsidR="005F5DCB" w:rsidRPr="00FF2A2F" w:rsidRDefault="005F5DCB" w:rsidP="006B7677">
      <w:pPr>
        <w:pStyle w:val="ListParagraph"/>
        <w:numPr>
          <w:ilvl w:val="0"/>
          <w:numId w:val="35"/>
        </w:numPr>
        <w:spacing w:before="120" w:line="260" w:lineRule="atLeast"/>
        <w:contextualSpacing w:val="0"/>
        <w:rPr>
          <w:color w:val="auto"/>
          <w:sz w:val="21"/>
          <w:szCs w:val="21"/>
        </w:rPr>
      </w:pPr>
      <w:r w:rsidRPr="00FF2A2F">
        <w:rPr>
          <w:b/>
          <w:bCs/>
          <w:color w:val="auto"/>
          <w:sz w:val="21"/>
          <w:szCs w:val="21"/>
        </w:rPr>
        <w:t>Partnerships for Social Protection (P4SP):</w:t>
      </w:r>
      <w:r w:rsidRPr="00FF2A2F">
        <w:rPr>
          <w:color w:val="auto"/>
          <w:sz w:val="21"/>
          <w:szCs w:val="21"/>
        </w:rPr>
        <w:t xml:space="preserve"> P4SP is supporting the Government of Tonga to strengthen its social protection system. This includes advising on reforms to two significant social protection schemes for the elderly and people with disabilities. Tonga and Australia have been channelling humanitarian cash through the social protection system in Tonga since the response to Tropical Cyclone Gita. The two schemes indirectly reach almost a third of Tongan households and provide a ready mechanism to reach two groups that are disproportionately affected by hazard events and their households. As part of </w:t>
      </w:r>
      <w:r w:rsidRPr="00FF2A2F">
        <w:rPr>
          <w:color w:val="auto"/>
          <w:sz w:val="21"/>
          <w:szCs w:val="21"/>
        </w:rPr>
        <w:lastRenderedPageBreak/>
        <w:t>Australia’s commitment to adaptive social protection, P4SP can support the strengthening of top-up payment processes to enable quick support in anticipation of or following a disaster event. It makes sense to provide humanitarian cash assistance through existing social protection systems in Tonga and share some of the evidence of past top-up arrangements by Australia in Tonga</w:t>
      </w:r>
      <w:r w:rsidRPr="00FF2A2F">
        <w:rPr>
          <w:rStyle w:val="FootnoteReference"/>
          <w:color w:val="auto"/>
          <w:sz w:val="21"/>
          <w:szCs w:val="21"/>
        </w:rPr>
        <w:footnoteReference w:id="5"/>
      </w:r>
      <w:r w:rsidRPr="00FF2A2F">
        <w:rPr>
          <w:color w:val="auto"/>
          <w:sz w:val="21"/>
          <w:szCs w:val="21"/>
        </w:rPr>
        <w:t xml:space="preserve">.   </w:t>
      </w:r>
    </w:p>
    <w:p w14:paraId="1737D9E2" w14:textId="621F17FE" w:rsidR="005F5DCB" w:rsidRPr="00FF2A2F" w:rsidRDefault="005F5DCB" w:rsidP="006B7677">
      <w:pPr>
        <w:pStyle w:val="ListParagraph"/>
        <w:numPr>
          <w:ilvl w:val="0"/>
          <w:numId w:val="35"/>
        </w:numPr>
        <w:spacing w:before="120" w:line="260" w:lineRule="atLeast"/>
        <w:rPr>
          <w:color w:val="auto"/>
          <w:sz w:val="21"/>
          <w:szCs w:val="21"/>
        </w:rPr>
      </w:pPr>
      <w:r w:rsidRPr="00FF2A2F">
        <w:rPr>
          <w:b/>
          <w:bCs/>
          <w:color w:val="auto"/>
          <w:sz w:val="21"/>
          <w:szCs w:val="21"/>
        </w:rPr>
        <w:t>A</w:t>
      </w:r>
      <w:r w:rsidR="00BD697E" w:rsidRPr="00FF2A2F">
        <w:rPr>
          <w:b/>
          <w:bCs/>
          <w:color w:val="auto"/>
          <w:sz w:val="21"/>
          <w:szCs w:val="21"/>
        </w:rPr>
        <w:t>HP</w:t>
      </w:r>
      <w:r w:rsidRPr="00FF2A2F">
        <w:rPr>
          <w:b/>
          <w:bCs/>
          <w:color w:val="auto"/>
          <w:sz w:val="21"/>
          <w:szCs w:val="21"/>
        </w:rPr>
        <w:t xml:space="preserve"> - Disaster READY</w:t>
      </w:r>
      <w:r w:rsidRPr="00FF2A2F">
        <w:rPr>
          <w:color w:val="auto"/>
          <w:sz w:val="21"/>
          <w:szCs w:val="21"/>
        </w:rPr>
        <w:t>: Disaster READY is a climate change adaptation and disaster risk reduction and resilience program, implemented through the A</w:t>
      </w:r>
      <w:r w:rsidR="00BD697E" w:rsidRPr="00FF2A2F">
        <w:rPr>
          <w:color w:val="auto"/>
          <w:sz w:val="21"/>
          <w:szCs w:val="21"/>
        </w:rPr>
        <w:t>HP</w:t>
      </w:r>
      <w:r w:rsidRPr="00FF2A2F">
        <w:rPr>
          <w:color w:val="auto"/>
          <w:sz w:val="21"/>
          <w:szCs w:val="21"/>
        </w:rPr>
        <w:t>. It represents a significant investment by the Australian Government in disaster preparedness in the region and sees AHP partners delivering locally led programs through their networks in Fiji, Vanuatu, Solomon Islands, Papua New Guinea and Timor-Leste. There is potential for a Tonga-specific Disaster READY model to be delivered in the future</w:t>
      </w:r>
      <w:r w:rsidR="001C7F4C" w:rsidRPr="00FF2A2F">
        <w:rPr>
          <w:color w:val="auto"/>
          <w:sz w:val="21"/>
          <w:szCs w:val="21"/>
        </w:rPr>
        <w:t>, particularly if there is increased NGO activity that is coordinated well</w:t>
      </w:r>
      <w:r w:rsidR="000B0DC9" w:rsidRPr="00FF2A2F">
        <w:rPr>
          <w:color w:val="auto"/>
          <w:sz w:val="21"/>
          <w:szCs w:val="21"/>
        </w:rPr>
        <w:t xml:space="preserve">; </w:t>
      </w:r>
      <w:r w:rsidR="005C31BE" w:rsidRPr="00FF2A2F">
        <w:rPr>
          <w:color w:val="auto"/>
          <w:sz w:val="21"/>
          <w:szCs w:val="21"/>
        </w:rPr>
        <w:t>th</w:t>
      </w:r>
      <w:r w:rsidR="00D5015C" w:rsidRPr="00FF2A2F">
        <w:rPr>
          <w:color w:val="auto"/>
          <w:sz w:val="21"/>
          <w:szCs w:val="21"/>
        </w:rPr>
        <w:t xml:space="preserve">is investment </w:t>
      </w:r>
      <w:r w:rsidR="000B0DC9" w:rsidRPr="00FF2A2F">
        <w:rPr>
          <w:color w:val="auto"/>
          <w:sz w:val="21"/>
          <w:szCs w:val="21"/>
        </w:rPr>
        <w:t>provides a pilot opportunity</w:t>
      </w:r>
      <w:r w:rsidR="00D5015C" w:rsidRPr="00FF2A2F">
        <w:rPr>
          <w:color w:val="auto"/>
          <w:sz w:val="21"/>
          <w:szCs w:val="21"/>
        </w:rPr>
        <w:t xml:space="preserve"> to display Tonga’s </w:t>
      </w:r>
      <w:r w:rsidR="00184DF9" w:rsidRPr="00FF2A2F">
        <w:rPr>
          <w:color w:val="auto"/>
          <w:sz w:val="21"/>
          <w:szCs w:val="21"/>
        </w:rPr>
        <w:t>ability to implement Disaster READY</w:t>
      </w:r>
      <w:r w:rsidR="0070729B" w:rsidRPr="00FF2A2F">
        <w:rPr>
          <w:color w:val="auto"/>
          <w:sz w:val="21"/>
          <w:szCs w:val="21"/>
        </w:rPr>
        <w:t xml:space="preserve">. This investment has been designed in a way that were Disaster READY be implemented in Tonga, both programs would </w:t>
      </w:r>
      <w:r w:rsidR="005C31BE" w:rsidRPr="00FF2A2F">
        <w:rPr>
          <w:color w:val="auto"/>
          <w:sz w:val="21"/>
          <w:szCs w:val="21"/>
        </w:rPr>
        <w:t>run</w:t>
      </w:r>
      <w:r w:rsidR="0070729B" w:rsidRPr="00FF2A2F">
        <w:rPr>
          <w:color w:val="auto"/>
          <w:sz w:val="21"/>
          <w:szCs w:val="21"/>
        </w:rPr>
        <w:t xml:space="preserve"> </w:t>
      </w:r>
      <w:r w:rsidRPr="00FF2A2F">
        <w:rPr>
          <w:color w:val="auto"/>
          <w:sz w:val="21"/>
          <w:szCs w:val="21"/>
        </w:rPr>
        <w:t>separate</w:t>
      </w:r>
      <w:r w:rsidR="0070729B" w:rsidRPr="00FF2A2F">
        <w:rPr>
          <w:color w:val="auto"/>
          <w:sz w:val="21"/>
          <w:szCs w:val="21"/>
        </w:rPr>
        <w:t>ly</w:t>
      </w:r>
      <w:r w:rsidRPr="00FF2A2F">
        <w:rPr>
          <w:color w:val="auto"/>
          <w:sz w:val="21"/>
          <w:szCs w:val="21"/>
        </w:rPr>
        <w:t xml:space="preserve"> but complementar</w:t>
      </w:r>
      <w:r w:rsidR="0028439F" w:rsidRPr="00FF2A2F">
        <w:rPr>
          <w:color w:val="auto"/>
          <w:sz w:val="21"/>
          <w:szCs w:val="21"/>
        </w:rPr>
        <w:t>y</w:t>
      </w:r>
      <w:r w:rsidRPr="00FF2A2F">
        <w:rPr>
          <w:color w:val="auto"/>
          <w:sz w:val="21"/>
          <w:szCs w:val="21"/>
        </w:rPr>
        <w:t xml:space="preserve"> to the current AHP Disaster READY program. Both programs are designed to offer reliable and consistent funding to a potential overlap of recipients. To mitigate potential duplication of activities, </w:t>
      </w:r>
      <w:r w:rsidR="00D5015C" w:rsidRPr="00FF2A2F">
        <w:rPr>
          <w:color w:val="auto"/>
          <w:sz w:val="21"/>
          <w:szCs w:val="21"/>
        </w:rPr>
        <w:t>this investment</w:t>
      </w:r>
      <w:r w:rsidRPr="00FF2A2F">
        <w:rPr>
          <w:color w:val="auto"/>
          <w:sz w:val="21"/>
          <w:szCs w:val="21"/>
        </w:rPr>
        <w:t xml:space="preserve"> will ensure </w:t>
      </w:r>
      <w:r w:rsidR="005C31BE" w:rsidRPr="00FF2A2F">
        <w:rPr>
          <w:color w:val="auto"/>
          <w:sz w:val="21"/>
          <w:szCs w:val="21"/>
        </w:rPr>
        <w:t xml:space="preserve">consistent </w:t>
      </w:r>
      <w:r w:rsidRPr="00FF2A2F">
        <w:rPr>
          <w:color w:val="auto"/>
          <w:sz w:val="21"/>
          <w:szCs w:val="21"/>
        </w:rPr>
        <w:t xml:space="preserve">alignment with the AHP, including activations for a response. </w:t>
      </w:r>
    </w:p>
    <w:p w14:paraId="54AE6FF1" w14:textId="2E9FD55F" w:rsidR="005F5DCB" w:rsidRPr="00FF2A2F" w:rsidRDefault="005F5DCB" w:rsidP="006B7677">
      <w:pPr>
        <w:pStyle w:val="ListParagraph"/>
        <w:numPr>
          <w:ilvl w:val="0"/>
          <w:numId w:val="35"/>
        </w:numPr>
        <w:spacing w:before="120" w:line="260" w:lineRule="atLeast"/>
        <w:contextualSpacing w:val="0"/>
        <w:rPr>
          <w:color w:val="auto"/>
          <w:sz w:val="21"/>
          <w:szCs w:val="21"/>
        </w:rPr>
      </w:pPr>
      <w:r w:rsidRPr="00FF2A2F">
        <w:rPr>
          <w:b/>
          <w:bCs/>
          <w:color w:val="auto"/>
          <w:sz w:val="21"/>
          <w:szCs w:val="21"/>
        </w:rPr>
        <w:t>A</w:t>
      </w:r>
      <w:r w:rsidR="00322A75" w:rsidRPr="00FF2A2F">
        <w:rPr>
          <w:b/>
          <w:bCs/>
          <w:color w:val="auto"/>
          <w:sz w:val="21"/>
          <w:szCs w:val="21"/>
        </w:rPr>
        <w:t>HP</w:t>
      </w:r>
      <w:r w:rsidRPr="00FF2A2F">
        <w:rPr>
          <w:b/>
          <w:bCs/>
          <w:color w:val="auto"/>
          <w:sz w:val="21"/>
          <w:szCs w:val="21"/>
        </w:rPr>
        <w:t xml:space="preserve"> - </w:t>
      </w:r>
      <w:r w:rsidR="00322A75" w:rsidRPr="00FF2A2F">
        <w:rPr>
          <w:b/>
          <w:bCs/>
          <w:color w:val="auto"/>
          <w:sz w:val="21"/>
          <w:szCs w:val="21"/>
        </w:rPr>
        <w:t>A</w:t>
      </w:r>
      <w:r w:rsidRPr="00FF2A2F">
        <w:rPr>
          <w:b/>
          <w:bCs/>
          <w:color w:val="auto"/>
          <w:sz w:val="21"/>
          <w:szCs w:val="21"/>
        </w:rPr>
        <w:t xml:space="preserve">ctivations: </w:t>
      </w:r>
      <w:r w:rsidRPr="00FF2A2F">
        <w:rPr>
          <w:color w:val="auto"/>
          <w:sz w:val="21"/>
          <w:szCs w:val="21"/>
        </w:rPr>
        <w:t>Following a disaster, an AHP activation remains a possible mechanism for support as part of Australia’s response. The activations, as standard practice, will be housed in Post’s humanitarian investment (this investment) and managed by the AHP Support Unit. Activities under this investment</w:t>
      </w:r>
      <w:r w:rsidR="00411F56" w:rsidRPr="00FF2A2F">
        <w:rPr>
          <w:color w:val="auto"/>
          <w:sz w:val="21"/>
          <w:szCs w:val="21"/>
        </w:rPr>
        <w:t xml:space="preserve"> (</w:t>
      </w:r>
      <w:r w:rsidRPr="00FF2A2F">
        <w:rPr>
          <w:color w:val="auto"/>
          <w:sz w:val="21"/>
          <w:szCs w:val="21"/>
        </w:rPr>
        <w:t>such as the</w:t>
      </w:r>
      <w:r w:rsidR="005C31BE" w:rsidRPr="00FF2A2F">
        <w:rPr>
          <w:color w:val="auto"/>
          <w:sz w:val="21"/>
          <w:szCs w:val="21"/>
        </w:rPr>
        <w:t xml:space="preserve"> proposed NDRMO</w:t>
      </w:r>
      <w:r w:rsidRPr="00FF2A2F">
        <w:rPr>
          <w:color w:val="auto"/>
          <w:sz w:val="21"/>
          <w:szCs w:val="21"/>
        </w:rPr>
        <w:t xml:space="preserve"> CSO Desk Officer</w:t>
      </w:r>
      <w:r w:rsidR="005C31BE" w:rsidRPr="00FF2A2F">
        <w:rPr>
          <w:color w:val="auto"/>
          <w:sz w:val="21"/>
          <w:szCs w:val="21"/>
        </w:rPr>
        <w:t xml:space="preserve"> position</w:t>
      </w:r>
      <w:r w:rsidRPr="00FF2A2F">
        <w:rPr>
          <w:color w:val="auto"/>
          <w:sz w:val="21"/>
          <w:szCs w:val="21"/>
        </w:rPr>
        <w:t>), will be able to provide support to any activation</w:t>
      </w:r>
      <w:r w:rsidR="005C31BE" w:rsidRPr="00FF2A2F">
        <w:rPr>
          <w:color w:val="auto"/>
          <w:sz w:val="21"/>
          <w:szCs w:val="21"/>
        </w:rPr>
        <w:t xml:space="preserve"> </w:t>
      </w:r>
      <w:r w:rsidRPr="00FF2A2F">
        <w:rPr>
          <w:color w:val="auto"/>
          <w:sz w:val="21"/>
          <w:szCs w:val="21"/>
        </w:rPr>
        <w:t xml:space="preserve">- including coordinating the activation. This will build on lessons learnt from the HTHH Response to contribute to the clusters by reinforcing local leadership, strengthening community resilience and localising humanitarian action. </w:t>
      </w:r>
    </w:p>
    <w:p w14:paraId="43095D46" w14:textId="53E4FF72" w:rsidR="005F5DCB" w:rsidRPr="00FF2A2F" w:rsidRDefault="005F5DCB" w:rsidP="006B7677">
      <w:pPr>
        <w:pStyle w:val="ListParagraph"/>
        <w:numPr>
          <w:ilvl w:val="0"/>
          <w:numId w:val="35"/>
        </w:numPr>
        <w:spacing w:before="120" w:line="260" w:lineRule="atLeast"/>
        <w:contextualSpacing w:val="0"/>
        <w:rPr>
          <w:color w:val="auto"/>
          <w:sz w:val="21"/>
          <w:szCs w:val="21"/>
        </w:rPr>
      </w:pPr>
      <w:r w:rsidRPr="00FF2A2F">
        <w:rPr>
          <w:b/>
          <w:bCs/>
          <w:color w:val="auto"/>
          <w:sz w:val="21"/>
          <w:szCs w:val="21"/>
        </w:rPr>
        <w:t>Australia Assists:</w:t>
      </w:r>
      <w:r w:rsidRPr="00FF2A2F">
        <w:rPr>
          <w:color w:val="auto"/>
          <w:sz w:val="21"/>
          <w:szCs w:val="21"/>
        </w:rPr>
        <w:t xml:space="preserve"> There ar</w:t>
      </w:r>
      <w:r w:rsidR="00411F56" w:rsidRPr="00FF2A2F">
        <w:rPr>
          <w:color w:val="auto"/>
          <w:sz w:val="21"/>
          <w:szCs w:val="21"/>
        </w:rPr>
        <w:t>e AA</w:t>
      </w:r>
      <w:r w:rsidRPr="00FF2A2F">
        <w:rPr>
          <w:color w:val="auto"/>
          <w:sz w:val="21"/>
          <w:szCs w:val="21"/>
        </w:rPr>
        <w:t xml:space="preserve"> placements within the NDRMO</w:t>
      </w:r>
      <w:r w:rsidR="00BA6CAA" w:rsidRPr="00FF2A2F">
        <w:rPr>
          <w:color w:val="auto"/>
          <w:sz w:val="21"/>
          <w:szCs w:val="21"/>
        </w:rPr>
        <w:t xml:space="preserve">. </w:t>
      </w:r>
      <w:r w:rsidR="00411F56" w:rsidRPr="00FF2A2F">
        <w:rPr>
          <w:color w:val="auto"/>
          <w:sz w:val="21"/>
          <w:szCs w:val="21"/>
        </w:rPr>
        <w:t>While t</w:t>
      </w:r>
      <w:r w:rsidRPr="00FF2A2F">
        <w:rPr>
          <w:color w:val="auto"/>
          <w:sz w:val="21"/>
          <w:szCs w:val="21"/>
        </w:rPr>
        <w:t>hese are working well and making effective contributions to coordination and cross-cutting considerations such as gender and inclusion</w:t>
      </w:r>
      <w:r w:rsidR="00411F56" w:rsidRPr="00FF2A2F">
        <w:rPr>
          <w:color w:val="auto"/>
          <w:sz w:val="21"/>
          <w:szCs w:val="21"/>
        </w:rPr>
        <w:t xml:space="preserve">, some are being absorbed as in line roles and lack </w:t>
      </w:r>
      <w:r w:rsidR="00EE4A2E" w:rsidRPr="00FF2A2F">
        <w:rPr>
          <w:color w:val="auto"/>
          <w:sz w:val="21"/>
          <w:szCs w:val="21"/>
        </w:rPr>
        <w:t xml:space="preserve">local </w:t>
      </w:r>
      <w:r w:rsidR="00411F56" w:rsidRPr="00FF2A2F">
        <w:rPr>
          <w:color w:val="auto"/>
          <w:sz w:val="21"/>
          <w:szCs w:val="21"/>
        </w:rPr>
        <w:t>counterparts</w:t>
      </w:r>
      <w:r w:rsidR="00EE4A2E" w:rsidRPr="00FF2A2F">
        <w:rPr>
          <w:color w:val="auto"/>
          <w:sz w:val="21"/>
          <w:szCs w:val="21"/>
        </w:rPr>
        <w:t xml:space="preserve"> to participate in knowledge sharing</w:t>
      </w:r>
      <w:r w:rsidRPr="00FF2A2F">
        <w:rPr>
          <w:color w:val="auto"/>
          <w:sz w:val="21"/>
          <w:szCs w:val="21"/>
        </w:rPr>
        <w:t xml:space="preserve">. </w:t>
      </w:r>
      <w:r w:rsidR="007C6A07" w:rsidRPr="00FF2A2F">
        <w:rPr>
          <w:color w:val="auto"/>
          <w:sz w:val="21"/>
          <w:szCs w:val="21"/>
        </w:rPr>
        <w:t xml:space="preserve">There is a clear role for AA deployments to continue to </w:t>
      </w:r>
      <w:r w:rsidR="00A20337" w:rsidRPr="00FF2A2F">
        <w:rPr>
          <w:color w:val="auto"/>
          <w:sz w:val="21"/>
          <w:szCs w:val="21"/>
        </w:rPr>
        <w:t>provide TA within</w:t>
      </w:r>
      <w:r w:rsidR="007E7F36" w:rsidRPr="00FF2A2F">
        <w:rPr>
          <w:color w:val="auto"/>
          <w:sz w:val="21"/>
          <w:szCs w:val="21"/>
        </w:rPr>
        <w:t xml:space="preserve"> the NDRMO and </w:t>
      </w:r>
      <w:r w:rsidRPr="00FF2A2F">
        <w:rPr>
          <w:color w:val="auto"/>
          <w:sz w:val="21"/>
          <w:szCs w:val="21"/>
        </w:rPr>
        <w:t xml:space="preserve">clusters to strengthen the quality of </w:t>
      </w:r>
      <w:r w:rsidR="00A20337" w:rsidRPr="00FF2A2F">
        <w:rPr>
          <w:color w:val="auto"/>
          <w:sz w:val="21"/>
          <w:szCs w:val="21"/>
        </w:rPr>
        <w:t xml:space="preserve">DRM </w:t>
      </w:r>
      <w:r w:rsidRPr="00FF2A2F">
        <w:rPr>
          <w:color w:val="auto"/>
          <w:sz w:val="21"/>
          <w:szCs w:val="21"/>
        </w:rPr>
        <w:t>cycles.</w:t>
      </w:r>
      <w:r w:rsidR="00A20337" w:rsidRPr="00FF2A2F">
        <w:rPr>
          <w:color w:val="auto"/>
          <w:sz w:val="21"/>
          <w:szCs w:val="21"/>
        </w:rPr>
        <w:t xml:space="preserve"> But this needs to be undertaken in concert with b</w:t>
      </w:r>
      <w:r w:rsidR="00BA6CAA" w:rsidRPr="00FF2A2F">
        <w:rPr>
          <w:color w:val="auto"/>
          <w:sz w:val="21"/>
          <w:szCs w:val="21"/>
        </w:rPr>
        <w:t>olstering</w:t>
      </w:r>
      <w:r w:rsidR="007E7F36" w:rsidRPr="00FF2A2F">
        <w:rPr>
          <w:color w:val="auto"/>
          <w:sz w:val="21"/>
          <w:szCs w:val="21"/>
        </w:rPr>
        <w:t xml:space="preserve"> more permanent NDRMO positions</w:t>
      </w:r>
      <w:r w:rsidR="00F20192" w:rsidRPr="00FF2A2F">
        <w:rPr>
          <w:color w:val="auto"/>
          <w:sz w:val="21"/>
          <w:szCs w:val="21"/>
        </w:rPr>
        <w:t xml:space="preserve"> and strengthening NDRMO capability </w:t>
      </w:r>
      <w:r w:rsidR="00114E7D" w:rsidRPr="00FF2A2F">
        <w:rPr>
          <w:color w:val="auto"/>
          <w:sz w:val="21"/>
          <w:szCs w:val="21"/>
        </w:rPr>
        <w:t>by on the job learning through coaching and mentoring</w:t>
      </w:r>
      <w:r w:rsidR="007E7F36" w:rsidRPr="00FF2A2F">
        <w:rPr>
          <w:color w:val="auto"/>
          <w:sz w:val="21"/>
          <w:szCs w:val="21"/>
        </w:rPr>
        <w:t xml:space="preserve">. </w:t>
      </w:r>
    </w:p>
    <w:p w14:paraId="594C0F69" w14:textId="789DF642" w:rsidR="005F5DCB" w:rsidRPr="00FF2A2F" w:rsidRDefault="005F5DCB" w:rsidP="006B7677">
      <w:pPr>
        <w:pStyle w:val="ListParagraph"/>
        <w:numPr>
          <w:ilvl w:val="0"/>
          <w:numId w:val="35"/>
        </w:numPr>
        <w:spacing w:before="120" w:line="260" w:lineRule="atLeast"/>
        <w:contextualSpacing w:val="0"/>
        <w:rPr>
          <w:color w:val="auto"/>
          <w:sz w:val="21"/>
          <w:szCs w:val="21"/>
        </w:rPr>
      </w:pPr>
      <w:r w:rsidRPr="00FF2A2F">
        <w:rPr>
          <w:b/>
          <w:bCs/>
          <w:color w:val="auto"/>
          <w:sz w:val="21"/>
          <w:szCs w:val="21"/>
        </w:rPr>
        <w:t>Climate Resilient Communities</w:t>
      </w:r>
      <w:r w:rsidR="009B2505" w:rsidRPr="00FF2A2F">
        <w:rPr>
          <w:b/>
          <w:bCs/>
          <w:color w:val="auto"/>
          <w:sz w:val="21"/>
          <w:szCs w:val="21"/>
        </w:rPr>
        <w:t xml:space="preserve"> (CRC)</w:t>
      </w:r>
      <w:r w:rsidR="009B2505" w:rsidRPr="00FF2A2F">
        <w:rPr>
          <w:color w:val="auto"/>
        </w:rPr>
        <w:t xml:space="preserve">: </w:t>
      </w:r>
      <w:r w:rsidR="009B2505" w:rsidRPr="00FF2A2F">
        <w:rPr>
          <w:color w:val="auto"/>
          <w:sz w:val="21"/>
          <w:szCs w:val="21"/>
        </w:rPr>
        <w:t xml:space="preserve">supports implementation of the Australian Government’s climate change commitments under Australia’s </w:t>
      </w:r>
      <w:r w:rsidR="009B2505" w:rsidRPr="00FF2A2F">
        <w:rPr>
          <w:i/>
          <w:iCs/>
          <w:color w:val="auto"/>
          <w:sz w:val="21"/>
          <w:szCs w:val="21"/>
        </w:rPr>
        <w:t>International Development Policy</w:t>
      </w:r>
      <w:r w:rsidR="009B2505" w:rsidRPr="00FF2A2F">
        <w:rPr>
          <w:color w:val="auto"/>
          <w:sz w:val="21"/>
          <w:szCs w:val="21"/>
        </w:rPr>
        <w:t>, in line with partner government priorities.</w:t>
      </w:r>
      <w:r w:rsidR="009C4702" w:rsidRPr="00FF2A2F">
        <w:rPr>
          <w:color w:val="auto"/>
          <w:sz w:val="21"/>
          <w:szCs w:val="21"/>
        </w:rPr>
        <w:t xml:space="preserve"> </w:t>
      </w:r>
      <w:r w:rsidR="009B2505" w:rsidRPr="00FF2A2F">
        <w:rPr>
          <w:color w:val="auto"/>
          <w:sz w:val="21"/>
          <w:szCs w:val="21"/>
        </w:rPr>
        <w:t>CRC incentivises funding towards gender-responsive, inclusive climate and disaster resilience programming, particularly in the water, food, nature-based solutions, and energy sectors.</w:t>
      </w:r>
      <w:r w:rsidR="009C4702" w:rsidRPr="00FF2A2F">
        <w:rPr>
          <w:color w:val="auto"/>
          <w:sz w:val="21"/>
          <w:szCs w:val="21"/>
        </w:rPr>
        <w:t xml:space="preserve"> The </w:t>
      </w:r>
      <w:r w:rsidR="0054217D" w:rsidRPr="00FF2A2F">
        <w:rPr>
          <w:color w:val="auto"/>
          <w:sz w:val="21"/>
          <w:szCs w:val="21"/>
        </w:rPr>
        <w:t xml:space="preserve">investment </w:t>
      </w:r>
      <w:r w:rsidR="00553C8A" w:rsidRPr="00FF2A2F">
        <w:rPr>
          <w:color w:val="auto"/>
          <w:sz w:val="21"/>
          <w:szCs w:val="21"/>
        </w:rPr>
        <w:t>may</w:t>
      </w:r>
      <w:r w:rsidR="009C4702" w:rsidRPr="00FF2A2F">
        <w:rPr>
          <w:color w:val="auto"/>
          <w:sz w:val="21"/>
          <w:szCs w:val="21"/>
        </w:rPr>
        <w:t xml:space="preserve"> draw on CRC TA, guidance, tools and training </w:t>
      </w:r>
      <w:r w:rsidR="00840F9F" w:rsidRPr="00FF2A2F">
        <w:rPr>
          <w:color w:val="auto"/>
          <w:sz w:val="21"/>
          <w:szCs w:val="21"/>
        </w:rPr>
        <w:t xml:space="preserve">in strengthening NDRMO and CSO climate </w:t>
      </w:r>
      <w:r w:rsidR="005934B2" w:rsidRPr="00FF2A2F">
        <w:rPr>
          <w:color w:val="auto"/>
          <w:sz w:val="21"/>
          <w:szCs w:val="21"/>
        </w:rPr>
        <w:t>resilience capabilities</w:t>
      </w:r>
      <w:r w:rsidR="00D106F1" w:rsidRPr="00FF2A2F">
        <w:rPr>
          <w:color w:val="auto"/>
          <w:sz w:val="21"/>
          <w:szCs w:val="21"/>
        </w:rPr>
        <w:t xml:space="preserve"> and ensuring they are considering cl</w:t>
      </w:r>
      <w:r w:rsidR="00494675" w:rsidRPr="00FF2A2F">
        <w:rPr>
          <w:color w:val="auto"/>
          <w:sz w:val="21"/>
          <w:szCs w:val="21"/>
        </w:rPr>
        <w:t>imate thoroughly.</w:t>
      </w:r>
    </w:p>
    <w:p w14:paraId="2626C6EE" w14:textId="76150697" w:rsidR="002D6F04" w:rsidRPr="00FF2A2F" w:rsidRDefault="00823CE5" w:rsidP="006B7677">
      <w:pPr>
        <w:pStyle w:val="ListParagraph"/>
        <w:numPr>
          <w:ilvl w:val="0"/>
          <w:numId w:val="35"/>
        </w:numPr>
        <w:spacing w:before="120" w:line="260" w:lineRule="atLeast"/>
        <w:rPr>
          <w:color w:val="auto"/>
          <w:sz w:val="21"/>
          <w:szCs w:val="21"/>
          <w:lang w:val="en-US"/>
        </w:rPr>
      </w:pPr>
      <w:r w:rsidRPr="00FF2A2F">
        <w:rPr>
          <w:b/>
          <w:bCs/>
          <w:color w:val="auto"/>
          <w:sz w:val="21"/>
          <w:szCs w:val="21"/>
        </w:rPr>
        <w:t xml:space="preserve">Tonga Australia Defence Co-operation Program: </w:t>
      </w:r>
      <w:r w:rsidR="002D6F04" w:rsidRPr="00FF2A2F">
        <w:rPr>
          <w:color w:val="auto"/>
          <w:sz w:val="21"/>
          <w:szCs w:val="21"/>
          <w:lang w:val="en-US"/>
        </w:rPr>
        <w:t>supports HMAF through capability development, maritime security, training, infrastructure and advisory assistance, including the gifting and ongoing operation of three Guardian</w:t>
      </w:r>
      <w:r w:rsidR="002D6F04" w:rsidRPr="00FF2A2F">
        <w:rPr>
          <w:color w:val="auto"/>
          <w:sz w:val="21"/>
          <w:szCs w:val="21"/>
          <w:lang w:val="en-US"/>
        </w:rPr>
        <w:noBreakHyphen/>
        <w:t>class Patrol Boats. The program contributes to Tonga’s disaster preparedness and response capacity in ways that intersect with this investment’s focus on coordination, logistics and strengthened national systems. Stronger links between the DCP, NDRMO and civil society partners will help ensure complementary use of capabilities and more coherent whole</w:t>
      </w:r>
      <w:r w:rsidR="002D6F04" w:rsidRPr="00FF2A2F">
        <w:rPr>
          <w:color w:val="auto"/>
          <w:sz w:val="21"/>
          <w:szCs w:val="21"/>
          <w:lang w:val="en-US"/>
        </w:rPr>
        <w:noBreakHyphen/>
        <w:t>of</w:t>
      </w:r>
      <w:r w:rsidR="002D6F04" w:rsidRPr="00FF2A2F">
        <w:rPr>
          <w:color w:val="auto"/>
          <w:sz w:val="21"/>
          <w:szCs w:val="21"/>
          <w:lang w:val="en-US"/>
        </w:rPr>
        <w:noBreakHyphen/>
        <w:t>government engagement.</w:t>
      </w:r>
    </w:p>
    <w:p w14:paraId="72C7A5D5" w14:textId="38AA681C" w:rsidR="00114E7D" w:rsidRPr="00FF2A2F" w:rsidRDefault="005F5DCB" w:rsidP="006B7677">
      <w:pPr>
        <w:pStyle w:val="ListParagraph"/>
        <w:numPr>
          <w:ilvl w:val="0"/>
          <w:numId w:val="35"/>
        </w:numPr>
        <w:spacing w:before="120" w:line="260" w:lineRule="atLeast"/>
        <w:contextualSpacing w:val="0"/>
        <w:rPr>
          <w:color w:val="auto"/>
          <w:sz w:val="21"/>
          <w:szCs w:val="21"/>
        </w:rPr>
      </w:pPr>
      <w:r w:rsidRPr="00FF2A2F">
        <w:rPr>
          <w:color w:val="auto"/>
          <w:sz w:val="21"/>
          <w:szCs w:val="21"/>
        </w:rPr>
        <w:t xml:space="preserve">Other </w:t>
      </w:r>
      <w:r w:rsidRPr="00FF2A2F">
        <w:rPr>
          <w:b/>
          <w:bCs/>
          <w:color w:val="auto"/>
          <w:sz w:val="21"/>
          <w:szCs w:val="21"/>
        </w:rPr>
        <w:t>relevant Australian investments</w:t>
      </w:r>
      <w:r w:rsidRPr="00FF2A2F">
        <w:rPr>
          <w:color w:val="auto"/>
          <w:sz w:val="21"/>
          <w:szCs w:val="21"/>
        </w:rPr>
        <w:t xml:space="preserve"> include PIEMA for Pacific Incident Management training, Emergency Operations Centre training and train the trainer packages. This could be a way to help connect CSOs with the NDMRO in a more coordinated way. A partnership with </w:t>
      </w:r>
      <w:r w:rsidR="001C7F4C" w:rsidRPr="00FF2A2F">
        <w:rPr>
          <w:color w:val="auto"/>
          <w:sz w:val="21"/>
          <w:szCs w:val="21"/>
        </w:rPr>
        <w:t xml:space="preserve">bilateral gender programs </w:t>
      </w:r>
      <w:r w:rsidRPr="00FF2A2F">
        <w:rPr>
          <w:color w:val="auto"/>
          <w:sz w:val="21"/>
          <w:szCs w:val="21"/>
        </w:rPr>
        <w:t xml:space="preserve">will ensure alignment with gender equality policy initiatives and leverage connections with Tongan women’s organisations. The HLC will provide additional logistics surge capacity in the event of a </w:t>
      </w:r>
      <w:r w:rsidRPr="00FF2A2F">
        <w:rPr>
          <w:color w:val="auto"/>
          <w:sz w:val="21"/>
          <w:szCs w:val="21"/>
        </w:rPr>
        <w:lastRenderedPageBreak/>
        <w:t>disaster depleting positioned stock in Tonga, as well as transportation support for GoT and CSOs. Opportunities for Tonga-specific logistics cap</w:t>
      </w:r>
      <w:r w:rsidR="00245E48" w:rsidRPr="00FF2A2F">
        <w:rPr>
          <w:color w:val="auto"/>
          <w:sz w:val="21"/>
          <w:szCs w:val="21"/>
        </w:rPr>
        <w:t>ability</w:t>
      </w:r>
      <w:r w:rsidRPr="00FF2A2F">
        <w:rPr>
          <w:color w:val="auto"/>
          <w:sz w:val="21"/>
          <w:szCs w:val="21"/>
        </w:rPr>
        <w:t xml:space="preserve"> strengthening through the HLC will also be explored. </w:t>
      </w:r>
    </w:p>
    <w:p w14:paraId="1F835F2D" w14:textId="2A607EF8" w:rsidR="00454C5F" w:rsidRPr="00FF2A2F" w:rsidRDefault="00F83BD5" w:rsidP="00FF0903">
      <w:pPr>
        <w:spacing w:before="120" w:line="260" w:lineRule="atLeast"/>
        <w:ind w:left="0" w:firstLine="0"/>
        <w:rPr>
          <w:b/>
          <w:bCs/>
          <w:color w:val="auto"/>
        </w:rPr>
      </w:pPr>
      <w:r w:rsidRPr="00FF2A2F">
        <w:rPr>
          <w:b/>
          <w:bCs/>
          <w:color w:val="auto"/>
        </w:rPr>
        <w:t>Lessons Learned</w:t>
      </w:r>
    </w:p>
    <w:p w14:paraId="31316E7C" w14:textId="686DCB3A" w:rsidR="00DB5076" w:rsidRPr="00FF2A2F" w:rsidRDefault="001D53C3" w:rsidP="00FF0903">
      <w:pPr>
        <w:spacing w:before="120" w:line="260" w:lineRule="atLeast"/>
        <w:ind w:left="0" w:firstLine="0"/>
        <w:rPr>
          <w:color w:val="auto"/>
          <w:sz w:val="21"/>
          <w:szCs w:val="21"/>
        </w:rPr>
      </w:pPr>
      <w:r w:rsidRPr="00FF2A2F">
        <w:rPr>
          <w:color w:val="auto"/>
          <w:sz w:val="21"/>
          <w:szCs w:val="21"/>
        </w:rPr>
        <w:t xml:space="preserve">66. </w:t>
      </w:r>
      <w:r w:rsidR="00DB5076" w:rsidRPr="00FF2A2F">
        <w:rPr>
          <w:color w:val="auto"/>
          <w:sz w:val="21"/>
          <w:szCs w:val="21"/>
        </w:rPr>
        <w:t xml:space="preserve">As part of the design process, a desk mapping exercise </w:t>
      </w:r>
      <w:r w:rsidR="00EF18F7" w:rsidRPr="00FF2A2F">
        <w:rPr>
          <w:color w:val="auto"/>
          <w:sz w:val="21"/>
          <w:szCs w:val="21"/>
        </w:rPr>
        <w:t xml:space="preserve">examined </w:t>
      </w:r>
      <w:r w:rsidR="00DB5076" w:rsidRPr="00FF2A2F">
        <w:rPr>
          <w:color w:val="auto"/>
          <w:sz w:val="21"/>
          <w:szCs w:val="21"/>
        </w:rPr>
        <w:t xml:space="preserve">recent reviews, evaluations and surveys </w:t>
      </w:r>
      <w:r w:rsidR="00652192" w:rsidRPr="00FF2A2F">
        <w:rPr>
          <w:color w:val="auto"/>
          <w:sz w:val="21"/>
          <w:szCs w:val="21"/>
        </w:rPr>
        <w:t xml:space="preserve">from the HTHH and Cyclone Gita responses to identify lessons. </w:t>
      </w:r>
      <w:r w:rsidR="00273131" w:rsidRPr="00FF2A2F">
        <w:rPr>
          <w:color w:val="auto"/>
          <w:sz w:val="21"/>
          <w:szCs w:val="21"/>
        </w:rPr>
        <w:t>L</w:t>
      </w:r>
      <w:r w:rsidR="00652192" w:rsidRPr="00FF2A2F">
        <w:rPr>
          <w:color w:val="auto"/>
          <w:sz w:val="21"/>
          <w:szCs w:val="21"/>
        </w:rPr>
        <w:t>essons learned that th</w:t>
      </w:r>
      <w:r w:rsidR="0054217D" w:rsidRPr="00FF2A2F">
        <w:rPr>
          <w:color w:val="auto"/>
          <w:sz w:val="21"/>
          <w:szCs w:val="21"/>
        </w:rPr>
        <w:t xml:space="preserve">is investment </w:t>
      </w:r>
      <w:r w:rsidR="00652192" w:rsidRPr="00FF2A2F">
        <w:rPr>
          <w:color w:val="auto"/>
          <w:sz w:val="21"/>
          <w:szCs w:val="21"/>
        </w:rPr>
        <w:t>seeks to address</w:t>
      </w:r>
      <w:r w:rsidR="00B26ABA" w:rsidRPr="00FF2A2F">
        <w:rPr>
          <w:color w:val="auto"/>
          <w:sz w:val="21"/>
          <w:szCs w:val="21"/>
        </w:rPr>
        <w:t xml:space="preserve"> focus on cluster strengthening, appropriate humanitarian supplies and strengthening </w:t>
      </w:r>
      <w:r w:rsidR="00CC6FCE" w:rsidRPr="00FF2A2F">
        <w:rPr>
          <w:color w:val="auto"/>
          <w:sz w:val="21"/>
          <w:szCs w:val="21"/>
        </w:rPr>
        <w:t xml:space="preserve">community level preparedness and response: </w:t>
      </w:r>
      <w:r w:rsidR="00652192" w:rsidRPr="00FF2A2F">
        <w:rPr>
          <w:color w:val="auto"/>
          <w:sz w:val="21"/>
          <w:szCs w:val="21"/>
        </w:rPr>
        <w:t xml:space="preserve"> </w:t>
      </w:r>
    </w:p>
    <w:p w14:paraId="699D1546" w14:textId="19DEA87A" w:rsidR="00F83BD5" w:rsidRPr="00FF2A2F" w:rsidRDefault="00F83BD5" w:rsidP="006B7677">
      <w:pPr>
        <w:pStyle w:val="ListParagraph"/>
        <w:numPr>
          <w:ilvl w:val="0"/>
          <w:numId w:val="21"/>
        </w:numPr>
        <w:spacing w:before="120" w:line="260" w:lineRule="atLeast"/>
        <w:contextualSpacing w:val="0"/>
        <w:rPr>
          <w:color w:val="auto"/>
          <w:sz w:val="21"/>
          <w:szCs w:val="21"/>
        </w:rPr>
      </w:pPr>
      <w:r w:rsidRPr="00FF2A2F">
        <w:rPr>
          <w:color w:val="auto"/>
          <w:sz w:val="21"/>
          <w:szCs w:val="21"/>
        </w:rPr>
        <w:t>Clusters are often</w:t>
      </w:r>
      <w:r w:rsidR="00607678" w:rsidRPr="00FF2A2F">
        <w:rPr>
          <w:color w:val="auto"/>
          <w:sz w:val="21"/>
          <w:szCs w:val="21"/>
        </w:rPr>
        <w:t xml:space="preserve"> </w:t>
      </w:r>
      <w:r w:rsidR="00BB27C7" w:rsidRPr="00FF2A2F">
        <w:rPr>
          <w:color w:val="auto"/>
          <w:sz w:val="21"/>
          <w:szCs w:val="21"/>
        </w:rPr>
        <w:t>only active</w:t>
      </w:r>
      <w:r w:rsidRPr="00FF2A2F">
        <w:rPr>
          <w:color w:val="auto"/>
          <w:sz w:val="21"/>
          <w:szCs w:val="21"/>
        </w:rPr>
        <w:t xml:space="preserve"> during a</w:t>
      </w:r>
      <w:r w:rsidR="007777A6" w:rsidRPr="00FF2A2F">
        <w:rPr>
          <w:color w:val="auto"/>
          <w:sz w:val="21"/>
          <w:szCs w:val="21"/>
        </w:rPr>
        <w:t xml:space="preserve"> </w:t>
      </w:r>
      <w:r w:rsidRPr="00FF2A2F">
        <w:rPr>
          <w:color w:val="auto"/>
          <w:sz w:val="21"/>
          <w:szCs w:val="21"/>
        </w:rPr>
        <w:t>disaster response</w:t>
      </w:r>
      <w:r w:rsidR="00946532" w:rsidRPr="00FF2A2F">
        <w:rPr>
          <w:color w:val="auto"/>
          <w:sz w:val="21"/>
          <w:szCs w:val="21"/>
        </w:rPr>
        <w:t>. There is a n</w:t>
      </w:r>
      <w:r w:rsidR="008F2604" w:rsidRPr="00FF2A2F">
        <w:rPr>
          <w:color w:val="auto"/>
          <w:sz w:val="21"/>
          <w:szCs w:val="21"/>
        </w:rPr>
        <w:t xml:space="preserve">eed to </w:t>
      </w:r>
      <w:r w:rsidR="003E0FFE" w:rsidRPr="00FF2A2F">
        <w:rPr>
          <w:color w:val="auto"/>
          <w:sz w:val="21"/>
          <w:szCs w:val="21"/>
        </w:rPr>
        <w:t>support and resource clusters outside of response</w:t>
      </w:r>
      <w:r w:rsidR="00881170" w:rsidRPr="00FF2A2F">
        <w:rPr>
          <w:color w:val="auto"/>
          <w:sz w:val="21"/>
          <w:szCs w:val="21"/>
        </w:rPr>
        <w:t xml:space="preserve"> periods to ensure </w:t>
      </w:r>
      <w:r w:rsidRPr="00FF2A2F">
        <w:rPr>
          <w:color w:val="auto"/>
          <w:sz w:val="21"/>
          <w:szCs w:val="21"/>
        </w:rPr>
        <w:t>appropriate planning processes</w:t>
      </w:r>
      <w:r w:rsidR="00881170" w:rsidRPr="00FF2A2F">
        <w:rPr>
          <w:color w:val="auto"/>
          <w:sz w:val="21"/>
          <w:szCs w:val="21"/>
        </w:rPr>
        <w:t xml:space="preserve"> are in place and </w:t>
      </w:r>
      <w:r w:rsidRPr="00FF2A2F">
        <w:rPr>
          <w:color w:val="auto"/>
          <w:sz w:val="21"/>
          <w:szCs w:val="21"/>
        </w:rPr>
        <w:t>momentum</w:t>
      </w:r>
      <w:r w:rsidR="00881170" w:rsidRPr="00FF2A2F">
        <w:rPr>
          <w:color w:val="auto"/>
          <w:sz w:val="21"/>
          <w:szCs w:val="21"/>
        </w:rPr>
        <w:t xml:space="preserve"> maintained. </w:t>
      </w:r>
      <w:r w:rsidRPr="00FF2A2F">
        <w:rPr>
          <w:color w:val="auto"/>
          <w:sz w:val="21"/>
          <w:szCs w:val="21"/>
        </w:rPr>
        <w:t xml:space="preserve"> </w:t>
      </w:r>
    </w:p>
    <w:p w14:paraId="2F66B415" w14:textId="3E4F5F7B" w:rsidR="00F83BD5" w:rsidRPr="00FF2A2F" w:rsidRDefault="00F83BD5" w:rsidP="006B7677">
      <w:pPr>
        <w:pStyle w:val="ListParagraph"/>
        <w:numPr>
          <w:ilvl w:val="0"/>
          <w:numId w:val="21"/>
        </w:numPr>
        <w:spacing w:before="120" w:line="260" w:lineRule="atLeast"/>
        <w:contextualSpacing w:val="0"/>
        <w:rPr>
          <w:color w:val="auto"/>
          <w:sz w:val="21"/>
          <w:szCs w:val="21"/>
        </w:rPr>
      </w:pPr>
      <w:r w:rsidRPr="00FF2A2F">
        <w:rPr>
          <w:color w:val="auto"/>
          <w:sz w:val="21"/>
          <w:szCs w:val="21"/>
        </w:rPr>
        <w:t xml:space="preserve">Cluster leadership is often </w:t>
      </w:r>
      <w:r w:rsidR="00DB5076" w:rsidRPr="00FF2A2F">
        <w:rPr>
          <w:color w:val="auto"/>
          <w:sz w:val="21"/>
          <w:szCs w:val="21"/>
        </w:rPr>
        <w:t xml:space="preserve">overwhelmed and needs support to coordinate and engage with all partners. </w:t>
      </w:r>
    </w:p>
    <w:p w14:paraId="7F15F732" w14:textId="1DEC22B0" w:rsidR="00DB5076" w:rsidRPr="00FF2A2F" w:rsidRDefault="00DB5076" w:rsidP="006B7677">
      <w:pPr>
        <w:pStyle w:val="ListParagraph"/>
        <w:numPr>
          <w:ilvl w:val="0"/>
          <w:numId w:val="21"/>
        </w:numPr>
        <w:spacing w:before="120" w:line="260" w:lineRule="atLeast"/>
        <w:contextualSpacing w:val="0"/>
        <w:rPr>
          <w:color w:val="auto"/>
          <w:sz w:val="21"/>
          <w:szCs w:val="21"/>
        </w:rPr>
      </w:pPr>
      <w:r w:rsidRPr="00FF2A2F">
        <w:rPr>
          <w:color w:val="auto"/>
          <w:sz w:val="21"/>
          <w:szCs w:val="21"/>
        </w:rPr>
        <w:t xml:space="preserve">CSOs are often not invited to participate in clusters or have inconsistent levels of participation. </w:t>
      </w:r>
      <w:r w:rsidR="00A96A8D" w:rsidRPr="00FF2A2F">
        <w:rPr>
          <w:color w:val="auto"/>
          <w:sz w:val="21"/>
          <w:szCs w:val="21"/>
        </w:rPr>
        <w:t xml:space="preserve">Technical discussions at clusters </w:t>
      </w:r>
      <w:r w:rsidR="001D5D12" w:rsidRPr="00FF2A2F">
        <w:rPr>
          <w:color w:val="auto"/>
          <w:sz w:val="21"/>
          <w:szCs w:val="21"/>
        </w:rPr>
        <w:t>may</w:t>
      </w:r>
      <w:r w:rsidR="00A96A8D" w:rsidRPr="00FF2A2F">
        <w:rPr>
          <w:color w:val="auto"/>
          <w:sz w:val="21"/>
          <w:szCs w:val="21"/>
        </w:rPr>
        <w:t xml:space="preserve"> create barriers to participation by smaller groups. </w:t>
      </w:r>
    </w:p>
    <w:p w14:paraId="7D06B9C9" w14:textId="75F6180C" w:rsidR="00A96A8D" w:rsidRPr="00FF2A2F" w:rsidRDefault="00A96A8D" w:rsidP="006B7677">
      <w:pPr>
        <w:pStyle w:val="ListParagraph"/>
        <w:numPr>
          <w:ilvl w:val="0"/>
          <w:numId w:val="21"/>
        </w:numPr>
        <w:spacing w:before="120" w:line="260" w:lineRule="atLeast"/>
        <w:contextualSpacing w:val="0"/>
        <w:rPr>
          <w:color w:val="auto"/>
          <w:sz w:val="21"/>
          <w:szCs w:val="21"/>
        </w:rPr>
      </w:pPr>
      <w:r w:rsidRPr="00FF2A2F">
        <w:rPr>
          <w:color w:val="auto"/>
          <w:sz w:val="21"/>
          <w:szCs w:val="21"/>
        </w:rPr>
        <w:t xml:space="preserve">Access to funding through clusters can be inconsistent, particularly for CSOs. </w:t>
      </w:r>
      <w:r w:rsidR="00A5208A" w:rsidRPr="00FF2A2F">
        <w:rPr>
          <w:color w:val="auto"/>
          <w:sz w:val="21"/>
          <w:szCs w:val="21"/>
        </w:rPr>
        <w:t>There is a need to provide reliable and consistent funding to CSOs.</w:t>
      </w:r>
    </w:p>
    <w:p w14:paraId="5F3F03A2" w14:textId="701B59A3" w:rsidR="009109B7" w:rsidRPr="00FF2A2F" w:rsidRDefault="008145AD" w:rsidP="006B7677">
      <w:pPr>
        <w:pStyle w:val="ListParagraph"/>
        <w:numPr>
          <w:ilvl w:val="0"/>
          <w:numId w:val="21"/>
        </w:numPr>
        <w:spacing w:before="120" w:line="260" w:lineRule="atLeast"/>
        <w:contextualSpacing w:val="0"/>
        <w:rPr>
          <w:color w:val="auto"/>
          <w:sz w:val="21"/>
          <w:szCs w:val="21"/>
        </w:rPr>
      </w:pPr>
      <w:r w:rsidRPr="00FF2A2F">
        <w:rPr>
          <w:color w:val="auto"/>
          <w:sz w:val="21"/>
          <w:szCs w:val="21"/>
        </w:rPr>
        <w:t>Ensur</w:t>
      </w:r>
      <w:r w:rsidR="0015790F" w:rsidRPr="00FF2A2F">
        <w:rPr>
          <w:color w:val="auto"/>
          <w:sz w:val="21"/>
          <w:szCs w:val="21"/>
        </w:rPr>
        <w:t xml:space="preserve">ing </w:t>
      </w:r>
      <w:r w:rsidRPr="00FF2A2F">
        <w:rPr>
          <w:color w:val="auto"/>
          <w:sz w:val="21"/>
          <w:szCs w:val="21"/>
        </w:rPr>
        <w:t xml:space="preserve">that supplies are fit for Pacific contexts and meet needs of women and girls, people with disabilities, and others likely to be most affected.  </w:t>
      </w:r>
    </w:p>
    <w:p w14:paraId="2CE88D2E" w14:textId="1032BDC2" w:rsidR="00CC6FCE" w:rsidRPr="00FF2A2F" w:rsidRDefault="007451F6" w:rsidP="006B7677">
      <w:pPr>
        <w:pStyle w:val="ListParagraph"/>
        <w:numPr>
          <w:ilvl w:val="0"/>
          <w:numId w:val="21"/>
        </w:numPr>
        <w:spacing w:before="120" w:line="260" w:lineRule="atLeast"/>
        <w:contextualSpacing w:val="0"/>
        <w:rPr>
          <w:color w:val="auto"/>
          <w:sz w:val="21"/>
          <w:szCs w:val="21"/>
        </w:rPr>
      </w:pPr>
      <w:r w:rsidRPr="00FF2A2F">
        <w:rPr>
          <w:color w:val="auto"/>
          <w:sz w:val="21"/>
          <w:szCs w:val="21"/>
        </w:rPr>
        <w:t>Supportin</w:t>
      </w:r>
      <w:r w:rsidR="00A054B7" w:rsidRPr="00FF2A2F">
        <w:rPr>
          <w:color w:val="auto"/>
          <w:sz w:val="21"/>
          <w:szCs w:val="21"/>
        </w:rPr>
        <w:t xml:space="preserve">g Village </w:t>
      </w:r>
      <w:r w:rsidR="002508E3" w:rsidRPr="00FF2A2F">
        <w:rPr>
          <w:color w:val="auto"/>
          <w:sz w:val="21"/>
          <w:szCs w:val="21"/>
        </w:rPr>
        <w:t>DRM Committees</w:t>
      </w:r>
      <w:r w:rsidR="00A054B7" w:rsidRPr="00FF2A2F">
        <w:rPr>
          <w:color w:val="auto"/>
          <w:sz w:val="21"/>
          <w:szCs w:val="21"/>
        </w:rPr>
        <w:t xml:space="preserve"> in their preparedness activities such ensuring communities are aware of the nearest evacuation cent</w:t>
      </w:r>
      <w:r w:rsidR="0068742E" w:rsidRPr="00FF2A2F">
        <w:rPr>
          <w:color w:val="auto"/>
          <w:sz w:val="21"/>
          <w:szCs w:val="21"/>
        </w:rPr>
        <w:t>res and that a plan is in place to relocate vulnerable groups such as older people, peo</w:t>
      </w:r>
      <w:r w:rsidR="00E0464C" w:rsidRPr="00FF2A2F">
        <w:rPr>
          <w:color w:val="auto"/>
          <w:sz w:val="21"/>
          <w:szCs w:val="21"/>
        </w:rPr>
        <w:t xml:space="preserve">ple with disabilities and other marginalised populations. </w:t>
      </w:r>
    </w:p>
    <w:p w14:paraId="0E4A0874" w14:textId="1A4A2E36" w:rsidR="00985EFC" w:rsidRPr="00FF2A2F" w:rsidRDefault="00EF74CE" w:rsidP="006B7677">
      <w:pPr>
        <w:pStyle w:val="ListParagraph"/>
        <w:numPr>
          <w:ilvl w:val="0"/>
          <w:numId w:val="21"/>
        </w:numPr>
        <w:spacing w:before="120" w:line="260" w:lineRule="atLeast"/>
        <w:contextualSpacing w:val="0"/>
        <w:rPr>
          <w:color w:val="auto"/>
          <w:sz w:val="21"/>
          <w:szCs w:val="21"/>
        </w:rPr>
      </w:pPr>
      <w:r w:rsidRPr="00FF2A2F">
        <w:rPr>
          <w:color w:val="auto"/>
          <w:sz w:val="21"/>
          <w:szCs w:val="21"/>
        </w:rPr>
        <w:t>Supporting communities to continue to apply anticipatory action approaches such as cleaning water tanks, securing homes an</w:t>
      </w:r>
      <w:r w:rsidR="003A66A8" w:rsidRPr="00FF2A2F">
        <w:rPr>
          <w:color w:val="auto"/>
          <w:sz w:val="21"/>
          <w:szCs w:val="21"/>
        </w:rPr>
        <w:t xml:space="preserve">d preparing resources ahead of cyclone season. </w:t>
      </w:r>
      <w:r w:rsidR="001D53C3" w:rsidRPr="00FF2A2F">
        <w:rPr>
          <w:color w:val="auto"/>
          <w:sz w:val="21"/>
          <w:szCs w:val="21"/>
        </w:rPr>
        <w:br/>
      </w:r>
    </w:p>
    <w:p w14:paraId="59AA1790" w14:textId="071C6F15" w:rsidR="003D22AF" w:rsidRPr="00FF2A2F" w:rsidRDefault="001D53C3" w:rsidP="00FF0903">
      <w:pPr>
        <w:ind w:left="0" w:firstLine="0"/>
        <w:rPr>
          <w:color w:val="auto"/>
          <w:sz w:val="21"/>
          <w:szCs w:val="21"/>
        </w:rPr>
      </w:pPr>
      <w:r w:rsidRPr="00FF2A2F">
        <w:rPr>
          <w:color w:val="auto"/>
        </w:rPr>
        <w:t xml:space="preserve">67. </w:t>
      </w:r>
      <w:r w:rsidR="003D22AF" w:rsidRPr="00FF2A2F">
        <w:rPr>
          <w:color w:val="auto"/>
        </w:rPr>
        <w:t>A successful Investment will leave</w:t>
      </w:r>
      <w:r w:rsidR="003D22AF" w:rsidRPr="00FF2A2F">
        <w:rPr>
          <w:color w:val="auto"/>
          <w:sz w:val="21"/>
          <w:szCs w:val="21"/>
        </w:rPr>
        <w:t xml:space="preserve">: </w:t>
      </w:r>
    </w:p>
    <w:p w14:paraId="6D56D6C9" w14:textId="4EA7DC11" w:rsidR="003D22AF" w:rsidRPr="00FF2A2F" w:rsidRDefault="003D22AF" w:rsidP="006B7677">
      <w:pPr>
        <w:pStyle w:val="ListParagraph"/>
        <w:numPr>
          <w:ilvl w:val="0"/>
          <w:numId w:val="27"/>
        </w:numPr>
        <w:rPr>
          <w:color w:val="auto"/>
          <w:sz w:val="21"/>
          <w:szCs w:val="21"/>
        </w:rPr>
      </w:pPr>
      <w:r w:rsidRPr="00FF2A2F">
        <w:rPr>
          <w:color w:val="auto"/>
          <w:sz w:val="21"/>
          <w:szCs w:val="21"/>
        </w:rPr>
        <w:t>A robust and capable NDRMO which has successfully delivered DRM Policy objectives of stronger resilience to disasters and climate change, community driven DRM and enhanced and inclusive coordination across</w:t>
      </w:r>
      <w:r w:rsidR="00102ABF" w:rsidRPr="00FF2A2F">
        <w:rPr>
          <w:color w:val="auto"/>
          <w:sz w:val="21"/>
          <w:szCs w:val="21"/>
        </w:rPr>
        <w:t xml:space="preserve"> disaster preparedness, response and recovery</w:t>
      </w:r>
      <w:r w:rsidRPr="00FF2A2F">
        <w:rPr>
          <w:color w:val="auto"/>
          <w:sz w:val="21"/>
          <w:szCs w:val="21"/>
        </w:rPr>
        <w:t xml:space="preserve">. </w:t>
      </w:r>
    </w:p>
    <w:p w14:paraId="377AD74E" w14:textId="389AA508" w:rsidR="003D22AF" w:rsidRPr="00FF2A2F" w:rsidRDefault="003D22AF" w:rsidP="006B7677">
      <w:pPr>
        <w:pStyle w:val="ListParagraph"/>
        <w:numPr>
          <w:ilvl w:val="0"/>
          <w:numId w:val="27"/>
        </w:numPr>
        <w:rPr>
          <w:color w:val="auto"/>
          <w:sz w:val="21"/>
          <w:szCs w:val="21"/>
        </w:rPr>
      </w:pPr>
      <w:r w:rsidRPr="00FF2A2F">
        <w:rPr>
          <w:color w:val="auto"/>
          <w:sz w:val="21"/>
          <w:szCs w:val="21"/>
        </w:rPr>
        <w:t>CSOs representing and advocating for community DRM priorities at national and cluster level which are</w:t>
      </w:r>
      <w:r w:rsidR="00E81909" w:rsidRPr="00FF2A2F">
        <w:rPr>
          <w:color w:val="auto"/>
          <w:sz w:val="21"/>
          <w:szCs w:val="21"/>
        </w:rPr>
        <w:t xml:space="preserve"> then</w:t>
      </w:r>
      <w:r w:rsidRPr="00FF2A2F">
        <w:rPr>
          <w:color w:val="auto"/>
          <w:sz w:val="21"/>
          <w:szCs w:val="21"/>
        </w:rPr>
        <w:t xml:space="preserve"> incorporated into response plans.</w:t>
      </w:r>
    </w:p>
    <w:p w14:paraId="7EA28F98" w14:textId="72CA8EC7" w:rsidR="003D22AF" w:rsidRPr="00FF2A2F" w:rsidRDefault="003D22AF" w:rsidP="006B7677">
      <w:pPr>
        <w:pStyle w:val="ListParagraph"/>
        <w:numPr>
          <w:ilvl w:val="0"/>
          <w:numId w:val="27"/>
        </w:numPr>
        <w:rPr>
          <w:color w:val="auto"/>
          <w:sz w:val="21"/>
          <w:szCs w:val="21"/>
        </w:rPr>
      </w:pPr>
      <w:r w:rsidRPr="00FF2A2F">
        <w:rPr>
          <w:color w:val="auto"/>
          <w:sz w:val="21"/>
          <w:szCs w:val="21"/>
        </w:rPr>
        <w:t>Rapid assessment and response decisions through the clusters support</w:t>
      </w:r>
      <w:r w:rsidR="00E81909" w:rsidRPr="00FF2A2F">
        <w:rPr>
          <w:color w:val="auto"/>
          <w:sz w:val="21"/>
          <w:szCs w:val="21"/>
        </w:rPr>
        <w:t>ing</w:t>
      </w:r>
      <w:r w:rsidRPr="00FF2A2F">
        <w:rPr>
          <w:color w:val="auto"/>
          <w:sz w:val="21"/>
          <w:szCs w:val="21"/>
        </w:rPr>
        <w:t xml:space="preserve"> more </w:t>
      </w:r>
      <w:r w:rsidR="001045F0" w:rsidRPr="00FF2A2F">
        <w:rPr>
          <w:color w:val="auto"/>
          <w:sz w:val="21"/>
          <w:szCs w:val="21"/>
        </w:rPr>
        <w:t>timely</w:t>
      </w:r>
      <w:r w:rsidRPr="00FF2A2F">
        <w:rPr>
          <w:color w:val="auto"/>
          <w:sz w:val="21"/>
          <w:szCs w:val="21"/>
        </w:rPr>
        <w:t>, relevant and effective distribution of supplies to affected communities following a disaster, with vulnerable individuals and groups prioritised</w:t>
      </w:r>
      <w:r w:rsidR="001045F0" w:rsidRPr="00FF2A2F">
        <w:rPr>
          <w:color w:val="auto"/>
          <w:sz w:val="21"/>
          <w:szCs w:val="21"/>
        </w:rPr>
        <w:t>, and suffering reduced.</w:t>
      </w:r>
    </w:p>
    <w:p w14:paraId="20D4E0DE" w14:textId="7363973A" w:rsidR="00CA23D6" w:rsidRPr="00FF2A2F" w:rsidRDefault="003D22AF" w:rsidP="006B7677">
      <w:pPr>
        <w:pStyle w:val="ListParagraph"/>
        <w:numPr>
          <w:ilvl w:val="0"/>
          <w:numId w:val="27"/>
        </w:numPr>
        <w:rPr>
          <w:color w:val="auto"/>
          <w:sz w:val="21"/>
          <w:szCs w:val="21"/>
        </w:rPr>
      </w:pPr>
      <w:r w:rsidRPr="00FF2A2F">
        <w:rPr>
          <w:color w:val="auto"/>
          <w:sz w:val="21"/>
          <w:szCs w:val="21"/>
        </w:rPr>
        <w:t>CSOs with the organisational architecture to successfully receive, program and report on DFAT funding and leveraging this support to attract other sources of funding.</w:t>
      </w:r>
    </w:p>
    <w:p w14:paraId="5B082CC2" w14:textId="7E6AB3BB" w:rsidR="00A32858" w:rsidRPr="00FF2A2F" w:rsidRDefault="00C77675" w:rsidP="00FF0903">
      <w:pPr>
        <w:pStyle w:val="Heading2"/>
        <w:ind w:hanging="568"/>
        <w:rPr>
          <w:color w:val="auto"/>
          <w:sz w:val="32"/>
          <w:szCs w:val="32"/>
        </w:rPr>
      </w:pPr>
      <w:bookmarkStart w:id="6" w:name="_Toc214543661"/>
      <w:r w:rsidRPr="00FF2A2F">
        <w:rPr>
          <w:color w:val="auto"/>
          <w:sz w:val="32"/>
          <w:szCs w:val="32"/>
        </w:rPr>
        <w:t xml:space="preserve">C: </w:t>
      </w:r>
      <w:r w:rsidR="00A32858" w:rsidRPr="00FF2A2F">
        <w:rPr>
          <w:color w:val="auto"/>
          <w:sz w:val="32"/>
          <w:szCs w:val="32"/>
        </w:rPr>
        <w:t>Strategic Intent and Rationale</w:t>
      </w:r>
      <w:bookmarkEnd w:id="6"/>
      <w:r w:rsidR="00A32858" w:rsidRPr="00FF2A2F">
        <w:rPr>
          <w:color w:val="auto"/>
          <w:sz w:val="32"/>
          <w:szCs w:val="32"/>
        </w:rPr>
        <w:t xml:space="preserve"> </w:t>
      </w:r>
    </w:p>
    <w:p w14:paraId="64263653" w14:textId="1F213330" w:rsidR="00C06368" w:rsidRPr="00FF2A2F" w:rsidRDefault="001C1F84" w:rsidP="00FF0903">
      <w:pPr>
        <w:ind w:left="0" w:firstLine="0"/>
        <w:rPr>
          <w:color w:val="auto"/>
        </w:rPr>
      </w:pPr>
      <w:r w:rsidRPr="00FF2A2F">
        <w:rPr>
          <w:color w:val="auto"/>
        </w:rPr>
        <w:t>6</w:t>
      </w:r>
      <w:r w:rsidR="00F950C0" w:rsidRPr="00FF2A2F">
        <w:rPr>
          <w:color w:val="auto"/>
        </w:rPr>
        <w:t>8</w:t>
      </w:r>
      <w:r w:rsidR="006B45D5" w:rsidRPr="00FF2A2F">
        <w:rPr>
          <w:color w:val="auto"/>
        </w:rPr>
        <w:t>.</w:t>
      </w:r>
      <w:r w:rsidR="00F950C0" w:rsidRPr="00FF2A2F">
        <w:rPr>
          <w:color w:val="auto"/>
        </w:rPr>
        <w:t xml:space="preserve"> Today’s global challenges are complex, interconnected and compounding, with climate change driving more frequent and severe disasters. The financial impacts on nations are substantial and intensify with consecutive events; in Tonga, average annual disaster losses are estimated at up to USD 15.5 million (around AUD 24 million), and major events in the past five years have caused damages of 18–38% of GDP. These escalating economic shocks place pressure on national systems, erode household resilience and deepen existing vulnerabilities, making it harder for communities to recover between disasters. As these pressures grow, the gap between acute need and global response capacity continues to widen; by 2030, there could be an average of 1.5 medium</w:t>
      </w:r>
      <w:r w:rsidR="00F950C0" w:rsidRPr="00FF2A2F">
        <w:rPr>
          <w:rFonts w:ascii="Cambria Math" w:hAnsi="Cambria Math" w:cs="Cambria Math"/>
          <w:color w:val="auto"/>
        </w:rPr>
        <w:t>‑</w:t>
      </w:r>
      <w:r w:rsidR="00F950C0" w:rsidRPr="00FF2A2F">
        <w:rPr>
          <w:color w:val="auto"/>
        </w:rPr>
        <w:t>to</w:t>
      </w:r>
      <w:r w:rsidR="00F950C0" w:rsidRPr="00FF2A2F">
        <w:rPr>
          <w:rFonts w:ascii="Cambria Math" w:hAnsi="Cambria Math" w:cs="Cambria Math"/>
          <w:color w:val="auto"/>
        </w:rPr>
        <w:t>‑</w:t>
      </w:r>
      <w:r w:rsidR="00F950C0" w:rsidRPr="00FF2A2F">
        <w:rPr>
          <w:color w:val="auto"/>
        </w:rPr>
        <w:t>large</w:t>
      </w:r>
      <w:r w:rsidR="00F950C0" w:rsidRPr="00FF2A2F">
        <w:rPr>
          <w:rFonts w:ascii="Cambria Math" w:hAnsi="Cambria Math" w:cs="Cambria Math"/>
          <w:color w:val="auto"/>
        </w:rPr>
        <w:t>‑</w:t>
      </w:r>
      <w:r w:rsidR="00F950C0" w:rsidRPr="00FF2A2F">
        <w:rPr>
          <w:color w:val="auto"/>
        </w:rPr>
        <w:t xml:space="preserve">scale disasters per day. When national systems are strained and household </w:t>
      </w:r>
      <w:r w:rsidR="00F950C0" w:rsidRPr="00FF2A2F">
        <w:rPr>
          <w:color w:val="auto"/>
        </w:rPr>
        <w:lastRenderedPageBreak/>
        <w:t>resilience weakens, the disproportionate impacts on those already facing structural disadvantage become more pronounced. Disasters heighten social and economic inequalities, particularly for women and their children, older persons, people with disabilities, people of diverse SOGIESC and other marginalised groups, and increase the risk of violence against women and vulnerable people, further limiting their ability to access timely and appropriate support.</w:t>
      </w:r>
    </w:p>
    <w:p w14:paraId="6A61B97A" w14:textId="616B4EDA" w:rsidR="00376CB6" w:rsidRPr="00FF2A2F" w:rsidRDefault="001C1F84" w:rsidP="00FF0903">
      <w:pPr>
        <w:ind w:left="0" w:firstLine="0"/>
        <w:rPr>
          <w:color w:val="auto"/>
        </w:rPr>
      </w:pPr>
      <w:r w:rsidRPr="00FF2A2F">
        <w:rPr>
          <w:color w:val="auto"/>
        </w:rPr>
        <w:t>6</w:t>
      </w:r>
      <w:r w:rsidR="00F950C0" w:rsidRPr="00FF2A2F">
        <w:rPr>
          <w:color w:val="auto"/>
        </w:rPr>
        <w:t xml:space="preserve">9. </w:t>
      </w:r>
      <w:r w:rsidR="007D61D4" w:rsidRPr="00FF2A2F">
        <w:rPr>
          <w:color w:val="auto"/>
        </w:rPr>
        <w:t>In this context,</w:t>
      </w:r>
      <w:r w:rsidR="00C5568F" w:rsidRPr="00FF2A2F">
        <w:rPr>
          <w:color w:val="auto"/>
        </w:rPr>
        <w:t xml:space="preserve"> </w:t>
      </w:r>
      <w:r w:rsidR="0012593D" w:rsidRPr="00FF2A2F">
        <w:rPr>
          <w:color w:val="auto"/>
        </w:rPr>
        <w:t xml:space="preserve">Australia’s International Development Policy (2023) </w:t>
      </w:r>
      <w:r w:rsidR="005545A8" w:rsidRPr="00FF2A2F">
        <w:rPr>
          <w:color w:val="auto"/>
        </w:rPr>
        <w:t>commits</w:t>
      </w:r>
      <w:r w:rsidR="007C44A0" w:rsidRPr="00FF2A2F">
        <w:rPr>
          <w:color w:val="auto"/>
        </w:rPr>
        <w:t xml:space="preserve"> Australia</w:t>
      </w:r>
      <w:r w:rsidR="005545A8" w:rsidRPr="00FF2A2F">
        <w:rPr>
          <w:color w:val="auto"/>
        </w:rPr>
        <w:t xml:space="preserve"> to</w:t>
      </w:r>
      <w:r w:rsidR="0012593D" w:rsidRPr="00FF2A2F">
        <w:rPr>
          <w:color w:val="auto"/>
        </w:rPr>
        <w:t xml:space="preserve"> </w:t>
      </w:r>
      <w:r w:rsidR="00977A8A" w:rsidRPr="00FF2A2F">
        <w:rPr>
          <w:color w:val="auto"/>
        </w:rPr>
        <w:t xml:space="preserve">enhance nations’ resilience to external shocks for a peaceful, stable and prosperous Indo-Pacific. </w:t>
      </w:r>
      <w:r w:rsidR="00F4270D" w:rsidRPr="00FF2A2F">
        <w:rPr>
          <w:color w:val="auto"/>
        </w:rPr>
        <w:t>Australia is</w:t>
      </w:r>
      <w:r w:rsidR="00977A8A" w:rsidRPr="00FF2A2F">
        <w:rPr>
          <w:color w:val="auto"/>
        </w:rPr>
        <w:t xml:space="preserve"> doing</w:t>
      </w:r>
      <w:r w:rsidR="00376CB6" w:rsidRPr="00FF2A2F">
        <w:rPr>
          <w:color w:val="auto"/>
        </w:rPr>
        <w:t xml:space="preserve"> more to address </w:t>
      </w:r>
      <w:r w:rsidR="00D3728E" w:rsidRPr="00FF2A2F">
        <w:rPr>
          <w:color w:val="auto"/>
        </w:rPr>
        <w:t>climate risks</w:t>
      </w:r>
      <w:r w:rsidR="00376CB6" w:rsidRPr="00FF2A2F">
        <w:rPr>
          <w:color w:val="auto"/>
        </w:rPr>
        <w:t xml:space="preserve">, and </w:t>
      </w:r>
      <w:r w:rsidR="006C1FAF" w:rsidRPr="00FF2A2F">
        <w:rPr>
          <w:color w:val="auto"/>
        </w:rPr>
        <w:t>support</w:t>
      </w:r>
      <w:r w:rsidR="00F4270D" w:rsidRPr="00FF2A2F">
        <w:rPr>
          <w:color w:val="auto"/>
        </w:rPr>
        <w:t>s</w:t>
      </w:r>
      <w:r w:rsidR="00235C2C" w:rsidRPr="00FF2A2F">
        <w:rPr>
          <w:color w:val="auto"/>
        </w:rPr>
        <w:t xml:space="preserve"> </w:t>
      </w:r>
      <w:r w:rsidR="006C1FAF" w:rsidRPr="00FF2A2F">
        <w:rPr>
          <w:color w:val="auto"/>
        </w:rPr>
        <w:t>partner governments before, during and after times of disaster</w:t>
      </w:r>
      <w:r w:rsidR="00053C88" w:rsidRPr="00FF2A2F">
        <w:rPr>
          <w:color w:val="auto"/>
        </w:rPr>
        <w:t xml:space="preserve">. </w:t>
      </w:r>
      <w:r w:rsidR="00663361" w:rsidRPr="00FF2A2F">
        <w:rPr>
          <w:color w:val="auto"/>
        </w:rPr>
        <w:t xml:space="preserve">These commitments are </w:t>
      </w:r>
      <w:r w:rsidR="00EC1CB6" w:rsidRPr="00FF2A2F">
        <w:rPr>
          <w:color w:val="auto"/>
        </w:rPr>
        <w:t>underscored in</w:t>
      </w:r>
      <w:r w:rsidR="00663361" w:rsidRPr="00FF2A2F">
        <w:rPr>
          <w:color w:val="auto"/>
        </w:rPr>
        <w:t xml:space="preserve"> Australia’s Humanitarian Policy</w:t>
      </w:r>
      <w:r w:rsidR="00FC2218" w:rsidRPr="00FF2A2F">
        <w:rPr>
          <w:color w:val="auto"/>
        </w:rPr>
        <w:t xml:space="preserve"> (2024)</w:t>
      </w:r>
      <w:r w:rsidR="00663361" w:rsidRPr="00FF2A2F">
        <w:rPr>
          <w:color w:val="auto"/>
        </w:rPr>
        <w:t xml:space="preserve"> </w:t>
      </w:r>
      <w:r w:rsidR="00AB5236" w:rsidRPr="00FF2A2F">
        <w:rPr>
          <w:color w:val="auto"/>
        </w:rPr>
        <w:t>priorities</w:t>
      </w:r>
      <w:r w:rsidR="00BC500D" w:rsidRPr="00FF2A2F">
        <w:rPr>
          <w:color w:val="auto"/>
        </w:rPr>
        <w:t xml:space="preserve">, which include (1) </w:t>
      </w:r>
      <w:r w:rsidR="00C53652" w:rsidRPr="00FF2A2F">
        <w:rPr>
          <w:color w:val="auto"/>
        </w:rPr>
        <w:t>b</w:t>
      </w:r>
      <w:r w:rsidR="00BC500D" w:rsidRPr="00FF2A2F">
        <w:rPr>
          <w:color w:val="auto"/>
        </w:rPr>
        <w:t xml:space="preserve">uilding readiness and preparedness for disasters, and (2) </w:t>
      </w:r>
      <w:r w:rsidR="00C53652" w:rsidRPr="00FF2A2F">
        <w:rPr>
          <w:color w:val="auto"/>
        </w:rPr>
        <w:t>r</w:t>
      </w:r>
      <w:r w:rsidR="00BC500D" w:rsidRPr="00FF2A2F">
        <w:rPr>
          <w:color w:val="auto"/>
        </w:rPr>
        <w:t>esponding to crises and disasters effectively.</w:t>
      </w:r>
      <w:r w:rsidR="00F64A8C" w:rsidRPr="00FF2A2F">
        <w:rPr>
          <w:color w:val="auto"/>
        </w:rPr>
        <w:t xml:space="preserve">  </w:t>
      </w:r>
    </w:p>
    <w:p w14:paraId="6AF3B9EF" w14:textId="2F20FE72" w:rsidR="003307E7" w:rsidRPr="00FF2A2F" w:rsidRDefault="00F950C0" w:rsidP="00FF0903">
      <w:pPr>
        <w:ind w:left="0" w:firstLine="0"/>
        <w:rPr>
          <w:color w:val="auto"/>
        </w:rPr>
      </w:pPr>
      <w:r w:rsidRPr="00FF2A2F">
        <w:rPr>
          <w:color w:val="auto"/>
        </w:rPr>
        <w:t xml:space="preserve">70. </w:t>
      </w:r>
      <w:r w:rsidR="003307E7" w:rsidRPr="00FF2A2F">
        <w:rPr>
          <w:color w:val="auto"/>
        </w:rPr>
        <w:t>Tonga has a strong commitment to climate action and</w:t>
      </w:r>
      <w:r w:rsidR="007411AD" w:rsidRPr="00FF2A2F">
        <w:rPr>
          <w:color w:val="auto"/>
        </w:rPr>
        <w:t xml:space="preserve"> has developed</w:t>
      </w:r>
      <w:r w:rsidR="003307E7" w:rsidRPr="00FF2A2F">
        <w:rPr>
          <w:color w:val="auto"/>
        </w:rPr>
        <w:t xml:space="preserve"> a strategic climate and disaster policy framework. However, despite some progress, its climate-resilient critical infrastructure and services are generally lacking.</w:t>
      </w:r>
      <w:r w:rsidR="006F00BA" w:rsidRPr="00FF2A2F">
        <w:rPr>
          <w:color w:val="auto"/>
        </w:rPr>
        <w:t xml:space="preserve"> </w:t>
      </w:r>
      <w:r w:rsidR="003307E7" w:rsidRPr="00FF2A2F">
        <w:rPr>
          <w:color w:val="auto"/>
        </w:rPr>
        <w:t xml:space="preserve">Tonga faces an estimated USD289 million climate financing </w:t>
      </w:r>
      <w:proofErr w:type="gramStart"/>
      <w:r w:rsidR="003307E7" w:rsidRPr="00FF2A2F">
        <w:rPr>
          <w:color w:val="auto"/>
        </w:rPr>
        <w:t>gap</w:t>
      </w:r>
      <w:proofErr w:type="gramEnd"/>
      <w:r w:rsidR="003307E7" w:rsidRPr="00FF2A2F">
        <w:rPr>
          <w:color w:val="auto"/>
        </w:rPr>
        <w:t xml:space="preserve"> to 2030. Tonga’s D</w:t>
      </w:r>
      <w:r w:rsidR="00113734" w:rsidRPr="00FF2A2F">
        <w:rPr>
          <w:color w:val="auto"/>
        </w:rPr>
        <w:t xml:space="preserve">RM </w:t>
      </w:r>
      <w:r w:rsidR="003307E7" w:rsidRPr="00FF2A2F">
        <w:rPr>
          <w:color w:val="auto"/>
        </w:rPr>
        <w:t>Act</w:t>
      </w:r>
      <w:r w:rsidR="000C4DF8" w:rsidRPr="00FF2A2F">
        <w:rPr>
          <w:color w:val="auto"/>
        </w:rPr>
        <w:t xml:space="preserve"> </w:t>
      </w:r>
      <w:r w:rsidR="003307E7" w:rsidRPr="00FF2A2F">
        <w:rPr>
          <w:color w:val="auto"/>
        </w:rPr>
        <w:t xml:space="preserve">emphasises preparedness activities as the key to ensuring that international humanitarian assistance following a </w:t>
      </w:r>
      <w:r w:rsidR="007777A6" w:rsidRPr="00FF2A2F">
        <w:rPr>
          <w:color w:val="auto"/>
        </w:rPr>
        <w:t>disaster</w:t>
      </w:r>
      <w:r w:rsidR="003307E7" w:rsidRPr="00FF2A2F">
        <w:rPr>
          <w:color w:val="auto"/>
        </w:rPr>
        <w:t xml:space="preserve"> is considered a last resort.</w:t>
      </w:r>
    </w:p>
    <w:p w14:paraId="1AD92303" w14:textId="29DDC845" w:rsidR="00AE4084" w:rsidRPr="00FF2A2F" w:rsidRDefault="00F950C0" w:rsidP="00FF0903">
      <w:pPr>
        <w:ind w:left="0" w:firstLine="0"/>
        <w:rPr>
          <w:color w:val="auto"/>
          <w:sz w:val="21"/>
          <w:szCs w:val="21"/>
        </w:rPr>
      </w:pPr>
      <w:r w:rsidRPr="00FF2A2F">
        <w:rPr>
          <w:color w:val="auto"/>
        </w:rPr>
        <w:t xml:space="preserve">71. </w:t>
      </w:r>
      <w:r w:rsidR="003C619C" w:rsidRPr="00FF2A2F">
        <w:rPr>
          <w:color w:val="auto"/>
        </w:rPr>
        <w:t>Humanitarian assistance is a vital component of Australia’s bilateral relationship with the Kingdom of Tonga</w:t>
      </w:r>
      <w:r w:rsidR="00BF0BF7" w:rsidRPr="00FF2A2F">
        <w:rPr>
          <w:color w:val="auto"/>
        </w:rPr>
        <w:t xml:space="preserve"> and there is a</w:t>
      </w:r>
      <w:r w:rsidR="0012593D" w:rsidRPr="00FF2A2F">
        <w:rPr>
          <w:color w:val="auto"/>
        </w:rPr>
        <w:t xml:space="preserve"> long history of working together to address shared social, economic and security priorities. Australia remains Tonga’s largest bilateral development partner and a trusted security partner.</w:t>
      </w:r>
      <w:r w:rsidR="00D74423" w:rsidRPr="00FF2A2F">
        <w:rPr>
          <w:color w:val="auto"/>
        </w:rPr>
        <w:t xml:space="preserve"> </w:t>
      </w:r>
      <w:r w:rsidR="00CE577D" w:rsidRPr="00FF2A2F">
        <w:rPr>
          <w:color w:val="auto"/>
        </w:rPr>
        <w:t xml:space="preserve">The overarching goal for the </w:t>
      </w:r>
      <w:r w:rsidR="00C349A1" w:rsidRPr="00FF2A2F">
        <w:rPr>
          <w:color w:val="auto"/>
        </w:rPr>
        <w:t xml:space="preserve">Australia – Kingdom of Tonga Development Partnership Plan (2024-2029) </w:t>
      </w:r>
      <w:r w:rsidR="00CE577D" w:rsidRPr="00FF2A2F">
        <w:rPr>
          <w:color w:val="auto"/>
        </w:rPr>
        <w:t xml:space="preserve">is a peaceful, stable and prosperous Tonga. </w:t>
      </w:r>
      <w:r w:rsidR="00DD2046" w:rsidRPr="00FF2A2F">
        <w:rPr>
          <w:color w:val="auto"/>
        </w:rPr>
        <w:t xml:space="preserve">This investment directly </w:t>
      </w:r>
      <w:r w:rsidR="00CF4BF7" w:rsidRPr="00FF2A2F">
        <w:rPr>
          <w:color w:val="auto"/>
        </w:rPr>
        <w:t>contribute</w:t>
      </w:r>
      <w:r w:rsidR="00376CB6" w:rsidRPr="00FF2A2F">
        <w:rPr>
          <w:color w:val="auto"/>
        </w:rPr>
        <w:t>s</w:t>
      </w:r>
      <w:r w:rsidR="00CF4BF7" w:rsidRPr="00FF2A2F">
        <w:rPr>
          <w:color w:val="auto"/>
        </w:rPr>
        <w:t xml:space="preserve"> to Australia and Tonga’s </w:t>
      </w:r>
      <w:r w:rsidR="00BC3195" w:rsidRPr="00FF2A2F">
        <w:rPr>
          <w:color w:val="auto"/>
        </w:rPr>
        <w:t xml:space="preserve">shared </w:t>
      </w:r>
      <w:r w:rsidR="00A702E3" w:rsidRPr="00FF2A2F">
        <w:rPr>
          <w:color w:val="auto"/>
        </w:rPr>
        <w:t xml:space="preserve">development objective </w:t>
      </w:r>
      <w:r w:rsidR="00CB7D7A" w:rsidRPr="00FF2A2F">
        <w:rPr>
          <w:color w:val="auto"/>
        </w:rPr>
        <w:t xml:space="preserve">for improved </w:t>
      </w:r>
      <w:r w:rsidR="005B0272" w:rsidRPr="00FF2A2F">
        <w:rPr>
          <w:color w:val="auto"/>
        </w:rPr>
        <w:t xml:space="preserve">national </w:t>
      </w:r>
      <w:r w:rsidR="00CB7D7A" w:rsidRPr="00FF2A2F">
        <w:rPr>
          <w:color w:val="auto"/>
        </w:rPr>
        <w:t>resilience to climate change impacts and disasters</w:t>
      </w:r>
      <w:r w:rsidR="006D2A65" w:rsidRPr="00FF2A2F">
        <w:rPr>
          <w:color w:val="auto"/>
        </w:rPr>
        <w:t>. It supports</w:t>
      </w:r>
      <w:r w:rsidR="00CB7D7A" w:rsidRPr="00FF2A2F">
        <w:rPr>
          <w:color w:val="auto"/>
        </w:rPr>
        <w:t xml:space="preserve"> Tonga </w:t>
      </w:r>
      <w:r w:rsidR="00A702E3" w:rsidRPr="00FF2A2F">
        <w:rPr>
          <w:color w:val="auto"/>
        </w:rPr>
        <w:t xml:space="preserve">to prepare for </w:t>
      </w:r>
      <w:r w:rsidR="00CB7D7A" w:rsidRPr="00FF2A2F">
        <w:rPr>
          <w:color w:val="auto"/>
        </w:rPr>
        <w:t xml:space="preserve">and </w:t>
      </w:r>
      <w:r w:rsidR="00A819D1" w:rsidRPr="00FF2A2F">
        <w:rPr>
          <w:color w:val="auto"/>
        </w:rPr>
        <w:t xml:space="preserve">respond to humanitarian crises. </w:t>
      </w:r>
      <w:r w:rsidR="00A91461" w:rsidRPr="00FF2A2F">
        <w:rPr>
          <w:color w:val="auto"/>
        </w:rPr>
        <w:t>It</w:t>
      </w:r>
      <w:r w:rsidR="00C000AD" w:rsidRPr="00FF2A2F">
        <w:rPr>
          <w:color w:val="auto"/>
        </w:rPr>
        <w:t xml:space="preserve"> will help to mitigate th</w:t>
      </w:r>
      <w:r w:rsidR="00C02C5F" w:rsidRPr="00FF2A2F">
        <w:rPr>
          <w:color w:val="auto"/>
        </w:rPr>
        <w:t>e</w:t>
      </w:r>
      <w:r w:rsidR="008C35EE" w:rsidRPr="00FF2A2F">
        <w:rPr>
          <w:color w:val="auto"/>
        </w:rPr>
        <w:t xml:space="preserve"> negative</w:t>
      </w:r>
      <w:r w:rsidR="00C02C5F" w:rsidRPr="00FF2A2F">
        <w:rPr>
          <w:color w:val="auto"/>
        </w:rPr>
        <w:t xml:space="preserve"> impact </w:t>
      </w:r>
      <w:r w:rsidR="008C35EE" w:rsidRPr="00FF2A2F">
        <w:rPr>
          <w:color w:val="auto"/>
        </w:rPr>
        <w:t xml:space="preserve">future disasters may have </w:t>
      </w:r>
      <w:r w:rsidR="00C02C5F" w:rsidRPr="00FF2A2F">
        <w:rPr>
          <w:color w:val="auto"/>
        </w:rPr>
        <w:t>on people’s lives</w:t>
      </w:r>
      <w:r w:rsidR="00F705A0" w:rsidRPr="00FF2A2F">
        <w:rPr>
          <w:color w:val="auto"/>
        </w:rPr>
        <w:t>,</w:t>
      </w:r>
      <w:r w:rsidR="00C02C5F" w:rsidRPr="00FF2A2F">
        <w:rPr>
          <w:color w:val="auto"/>
        </w:rPr>
        <w:t xml:space="preserve"> and </w:t>
      </w:r>
      <w:r w:rsidR="00F705A0" w:rsidRPr="00FF2A2F">
        <w:rPr>
          <w:color w:val="auto"/>
        </w:rPr>
        <w:t xml:space="preserve">the </w:t>
      </w:r>
      <w:r w:rsidR="00C02C5F" w:rsidRPr="00FF2A2F">
        <w:rPr>
          <w:color w:val="auto"/>
        </w:rPr>
        <w:t xml:space="preserve">economic losses </w:t>
      </w:r>
      <w:r w:rsidR="00F705A0" w:rsidRPr="00FF2A2F">
        <w:rPr>
          <w:color w:val="auto"/>
        </w:rPr>
        <w:t>incurred through</w:t>
      </w:r>
      <w:r w:rsidR="00433C44" w:rsidRPr="00FF2A2F">
        <w:rPr>
          <w:color w:val="auto"/>
        </w:rPr>
        <w:t xml:space="preserve"> compounded crises.</w:t>
      </w:r>
      <w:r w:rsidR="00D66FEB" w:rsidRPr="00FF2A2F">
        <w:rPr>
          <w:color w:val="auto"/>
        </w:rPr>
        <w:t xml:space="preserve"> This investment is one small measure contributing to global efforts to adapt and build resilience to climate impacts and defend against climate-induced loss and damage</w:t>
      </w:r>
      <w:r w:rsidR="007E51B9" w:rsidRPr="00FF2A2F">
        <w:rPr>
          <w:color w:val="auto"/>
        </w:rPr>
        <w:t>. Tala Kei Kapa</w:t>
      </w:r>
      <w:r w:rsidR="00C625A6" w:rsidRPr="00FF2A2F">
        <w:rPr>
          <w:color w:val="auto"/>
        </w:rPr>
        <w:t>’s design and delivery</w:t>
      </w:r>
      <w:r w:rsidR="007E51B9" w:rsidRPr="00FF2A2F">
        <w:rPr>
          <w:color w:val="auto"/>
        </w:rPr>
        <w:t xml:space="preserve"> is</w:t>
      </w:r>
      <w:r w:rsidR="0086056E" w:rsidRPr="00FF2A2F">
        <w:rPr>
          <w:color w:val="auto"/>
        </w:rPr>
        <w:t xml:space="preserve"> </w:t>
      </w:r>
      <w:r w:rsidR="00D474DB" w:rsidRPr="00FF2A2F">
        <w:rPr>
          <w:color w:val="auto"/>
        </w:rPr>
        <w:t xml:space="preserve">informed and guided by the Climate Background Brief which </w:t>
      </w:r>
      <w:r w:rsidR="00F175D1" w:rsidRPr="00FF2A2F">
        <w:rPr>
          <w:color w:val="auto"/>
        </w:rPr>
        <w:t xml:space="preserve">underpins and informs all </w:t>
      </w:r>
      <w:r w:rsidR="007E51B9" w:rsidRPr="00FF2A2F">
        <w:rPr>
          <w:color w:val="auto"/>
        </w:rPr>
        <w:t xml:space="preserve">DFAT </w:t>
      </w:r>
      <w:r w:rsidR="00F175D1" w:rsidRPr="00FF2A2F">
        <w:rPr>
          <w:color w:val="auto"/>
        </w:rPr>
        <w:t xml:space="preserve">investments in </w:t>
      </w:r>
      <w:r w:rsidR="006C0ADF" w:rsidRPr="00FF2A2F">
        <w:rPr>
          <w:color w:val="auto"/>
        </w:rPr>
        <w:t>Tonga and</w:t>
      </w:r>
      <w:r w:rsidR="001537C5" w:rsidRPr="00FF2A2F">
        <w:rPr>
          <w:color w:val="auto"/>
        </w:rPr>
        <w:t xml:space="preserve"> is aligned to Australia’s Climate</w:t>
      </w:r>
      <w:r w:rsidR="00785D59" w:rsidRPr="00FF2A2F">
        <w:rPr>
          <w:color w:val="auto"/>
        </w:rPr>
        <w:t xml:space="preserve"> Change</w:t>
      </w:r>
      <w:r w:rsidR="001537C5" w:rsidRPr="00FF2A2F">
        <w:rPr>
          <w:color w:val="auto"/>
        </w:rPr>
        <w:t xml:space="preserve"> Action Strategy</w:t>
      </w:r>
      <w:r w:rsidR="00785D59" w:rsidRPr="00FF2A2F">
        <w:rPr>
          <w:color w:val="auto"/>
        </w:rPr>
        <w:t xml:space="preserve"> (2020 – 2025)</w:t>
      </w:r>
      <w:r w:rsidR="00D66FEB" w:rsidRPr="00FF2A2F">
        <w:rPr>
          <w:color w:val="auto"/>
        </w:rPr>
        <w:t>.</w:t>
      </w:r>
      <w:r w:rsidR="00182861" w:rsidRPr="00FF2A2F">
        <w:rPr>
          <w:color w:val="auto"/>
        </w:rPr>
        <w:t xml:space="preserve"> </w:t>
      </w:r>
      <w:r w:rsidR="00776410" w:rsidRPr="00FF2A2F">
        <w:rPr>
          <w:color w:val="auto"/>
        </w:rPr>
        <w:t>Given Tonga’s disaster risk profile, investments in preparedness and disaster risk reductio</w:t>
      </w:r>
      <w:r w:rsidR="00F724B9" w:rsidRPr="00FF2A2F">
        <w:rPr>
          <w:color w:val="auto"/>
        </w:rPr>
        <w:t xml:space="preserve">n make </w:t>
      </w:r>
      <w:r w:rsidR="00EE3146" w:rsidRPr="00FF2A2F">
        <w:rPr>
          <w:color w:val="auto"/>
        </w:rPr>
        <w:t>sound economic sense</w:t>
      </w:r>
      <w:r w:rsidR="00ED0E46" w:rsidRPr="00FF2A2F">
        <w:rPr>
          <w:color w:val="auto"/>
        </w:rPr>
        <w:t xml:space="preserve"> as</w:t>
      </w:r>
      <w:r w:rsidR="001D7AD9" w:rsidRPr="00FF2A2F">
        <w:rPr>
          <w:color w:val="auto"/>
        </w:rPr>
        <w:t xml:space="preserve">, “DRR contributes to </w:t>
      </w:r>
      <w:r w:rsidR="001D7AD9" w:rsidRPr="00FF2A2F">
        <w:rPr>
          <w:i/>
          <w:iCs/>
          <w:color w:val="auto"/>
          <w:sz w:val="21"/>
          <w:szCs w:val="21"/>
        </w:rPr>
        <w:t>strengthening resilience and the achievement of risk-informed sustainable development. Every 1 dollar invested in DRR can save up to 8 dollars in post disaster recovery and loss</w:t>
      </w:r>
      <w:r w:rsidR="001D7AD9" w:rsidRPr="00FF2A2F">
        <w:rPr>
          <w:color w:val="auto"/>
          <w:sz w:val="21"/>
          <w:szCs w:val="21"/>
        </w:rPr>
        <w:t>.”</w:t>
      </w:r>
      <w:r w:rsidR="001D7AD9" w:rsidRPr="00FF2A2F">
        <w:rPr>
          <w:rStyle w:val="FootnoteReference"/>
          <w:color w:val="auto"/>
          <w:sz w:val="21"/>
          <w:szCs w:val="21"/>
        </w:rPr>
        <w:footnoteReference w:id="6"/>
      </w:r>
    </w:p>
    <w:p w14:paraId="530E5E2A" w14:textId="34BB255A" w:rsidR="00345C69" w:rsidRPr="00FF2A2F" w:rsidRDefault="00F950C0" w:rsidP="00E6131F">
      <w:pPr>
        <w:ind w:left="0" w:firstLine="0"/>
        <w:rPr>
          <w:color w:val="auto"/>
        </w:rPr>
      </w:pPr>
      <w:r w:rsidRPr="00FF2A2F">
        <w:rPr>
          <w:color w:val="auto"/>
        </w:rPr>
        <w:t xml:space="preserve">72. </w:t>
      </w:r>
      <w:r w:rsidR="00345C69" w:rsidRPr="00FF2A2F">
        <w:rPr>
          <w:color w:val="auto"/>
        </w:rPr>
        <w:t xml:space="preserve">Regionally, the investment </w:t>
      </w:r>
      <w:r w:rsidR="00E63611" w:rsidRPr="00FF2A2F">
        <w:rPr>
          <w:color w:val="auto"/>
        </w:rPr>
        <w:t>aligns with</w:t>
      </w:r>
      <w:r w:rsidR="0037745D" w:rsidRPr="00FF2A2F">
        <w:rPr>
          <w:color w:val="auto"/>
        </w:rPr>
        <w:t xml:space="preserve"> </w:t>
      </w:r>
      <w:r w:rsidR="00345C69" w:rsidRPr="00FF2A2F">
        <w:rPr>
          <w:color w:val="auto"/>
        </w:rPr>
        <w:t>the Pacific Islands Forum Framework for Resilient Development in the Pacific and ensure</w:t>
      </w:r>
      <w:r w:rsidR="00C61EF4" w:rsidRPr="00FF2A2F">
        <w:rPr>
          <w:color w:val="auto"/>
        </w:rPr>
        <w:t>s</w:t>
      </w:r>
      <w:r w:rsidR="00345C69" w:rsidRPr="00FF2A2F">
        <w:rPr>
          <w:color w:val="auto"/>
        </w:rPr>
        <w:t xml:space="preserve"> approaches to disaster risk management integrate climate action. It contribute</w:t>
      </w:r>
      <w:r w:rsidR="00A942EC" w:rsidRPr="00FF2A2F">
        <w:rPr>
          <w:color w:val="auto"/>
        </w:rPr>
        <w:t>s</w:t>
      </w:r>
      <w:r w:rsidR="00345C69" w:rsidRPr="00FF2A2F">
        <w:rPr>
          <w:color w:val="auto"/>
        </w:rPr>
        <w:t xml:space="preserve"> to the implementation of the Boe Declaration on Regional Security, Boe Declaration Action Plan 2019, and the 2050 Strategy for the Blue Pacific Continent by supporting humanitarian assistance and disaster preparedness. The Pacific Disaster Risk Reduction Declaration of Commitment to Action (the “Nadi Declaration”) reference</w:t>
      </w:r>
      <w:r w:rsidR="00A942EC" w:rsidRPr="00FF2A2F">
        <w:rPr>
          <w:color w:val="auto"/>
        </w:rPr>
        <w:t>s</w:t>
      </w:r>
      <w:r w:rsidR="00345C69" w:rsidRPr="00FF2A2F">
        <w:rPr>
          <w:color w:val="auto"/>
        </w:rPr>
        <w:t xml:space="preserve"> the need for greater preparedness to realise its aim of a safer and more resilient region in the face of disaster risk and climate change. Internationally, the investment is consistent with Australia and Tonga’s endorsement of the Sendai Framework for Disaster Risk Reduction 2015-2030. </w:t>
      </w:r>
    </w:p>
    <w:p w14:paraId="5148A066" w14:textId="26921B68" w:rsidR="001D4CE8" w:rsidRPr="00FF2A2F" w:rsidRDefault="00F950C0" w:rsidP="00E6131F">
      <w:pPr>
        <w:ind w:left="0" w:firstLine="0"/>
        <w:rPr>
          <w:color w:val="auto"/>
        </w:rPr>
      </w:pPr>
      <w:r w:rsidRPr="00FF2A2F">
        <w:rPr>
          <w:color w:val="auto"/>
        </w:rPr>
        <w:t xml:space="preserve">73. </w:t>
      </w:r>
      <w:r w:rsidR="00B040E8" w:rsidRPr="00FF2A2F">
        <w:rPr>
          <w:color w:val="auto"/>
        </w:rPr>
        <w:t xml:space="preserve">Design consultations highlighted </w:t>
      </w:r>
      <w:r w:rsidR="00594524" w:rsidRPr="00FF2A2F">
        <w:rPr>
          <w:color w:val="auto"/>
        </w:rPr>
        <w:t>w</w:t>
      </w:r>
      <w:r w:rsidR="001F1E96" w:rsidRPr="00FF2A2F">
        <w:rPr>
          <w:color w:val="auto"/>
        </w:rPr>
        <w:t xml:space="preserve">omen's networks and community knowledge </w:t>
      </w:r>
      <w:r w:rsidR="00594524" w:rsidRPr="00FF2A2F">
        <w:rPr>
          <w:color w:val="auto"/>
        </w:rPr>
        <w:t>are</w:t>
      </w:r>
      <w:r w:rsidR="001F1E96" w:rsidRPr="00FF2A2F">
        <w:rPr>
          <w:color w:val="auto"/>
        </w:rPr>
        <w:t xml:space="preserve"> essential for identifying vulnerable households, coordinating community-based early warning systems, and ensuring culturally appropriate assistance reaches those most in need.</w:t>
      </w:r>
      <w:r w:rsidR="00B040E8" w:rsidRPr="00FF2A2F">
        <w:rPr>
          <w:color w:val="auto"/>
        </w:rPr>
        <w:t xml:space="preserve"> </w:t>
      </w:r>
      <w:r w:rsidR="00E65389" w:rsidRPr="00FF2A2F">
        <w:rPr>
          <w:color w:val="auto"/>
        </w:rPr>
        <w:t>The investment is designed to better integrate g</w:t>
      </w:r>
      <w:r w:rsidR="001D54B9" w:rsidRPr="00FF2A2F">
        <w:rPr>
          <w:color w:val="auto"/>
        </w:rPr>
        <w:t xml:space="preserve">ender equality, disability equity and social inclusion </w:t>
      </w:r>
      <w:r w:rsidR="00CA524D" w:rsidRPr="00FF2A2F">
        <w:rPr>
          <w:color w:val="auto"/>
        </w:rPr>
        <w:t xml:space="preserve">(GEDSI) </w:t>
      </w:r>
      <w:r w:rsidR="00E65389" w:rsidRPr="00FF2A2F">
        <w:rPr>
          <w:color w:val="auto"/>
        </w:rPr>
        <w:t xml:space="preserve">considerations in preparedness, response and recovery. </w:t>
      </w:r>
      <w:r w:rsidR="0085349E" w:rsidRPr="00FF2A2F">
        <w:rPr>
          <w:color w:val="auto"/>
        </w:rPr>
        <w:t xml:space="preserve">This helps implement </w:t>
      </w:r>
      <w:r w:rsidR="00814B1E" w:rsidRPr="00FF2A2F">
        <w:rPr>
          <w:color w:val="auto"/>
        </w:rPr>
        <w:t>Australia</w:t>
      </w:r>
      <w:r w:rsidR="0085349E" w:rsidRPr="00FF2A2F">
        <w:rPr>
          <w:color w:val="auto"/>
        </w:rPr>
        <w:t>’s</w:t>
      </w:r>
      <w:r w:rsidR="00814B1E" w:rsidRPr="00FF2A2F">
        <w:rPr>
          <w:color w:val="auto"/>
        </w:rPr>
        <w:t xml:space="preserve"> commitments </w:t>
      </w:r>
      <w:r w:rsidR="0085349E" w:rsidRPr="00FF2A2F">
        <w:rPr>
          <w:color w:val="auto"/>
        </w:rPr>
        <w:t xml:space="preserve">to </w:t>
      </w:r>
      <w:r w:rsidR="007F2FCE" w:rsidRPr="00FF2A2F">
        <w:rPr>
          <w:color w:val="auto"/>
        </w:rPr>
        <w:t>GEDSI</w:t>
      </w:r>
      <w:r w:rsidR="0085349E" w:rsidRPr="00FF2A2F">
        <w:rPr>
          <w:color w:val="auto"/>
        </w:rPr>
        <w:t xml:space="preserve"> made </w:t>
      </w:r>
      <w:r w:rsidR="00814B1E" w:rsidRPr="00FF2A2F">
        <w:rPr>
          <w:color w:val="auto"/>
        </w:rPr>
        <w:t>in its Internation</w:t>
      </w:r>
      <w:r w:rsidR="00CD6BAC" w:rsidRPr="00FF2A2F">
        <w:rPr>
          <w:color w:val="auto"/>
        </w:rPr>
        <w:t>al Development Policy</w:t>
      </w:r>
      <w:r w:rsidR="00535B45" w:rsidRPr="00FF2A2F">
        <w:rPr>
          <w:color w:val="auto"/>
        </w:rPr>
        <w:t xml:space="preserve"> (2023)</w:t>
      </w:r>
      <w:r w:rsidR="00CD6BAC" w:rsidRPr="00FF2A2F">
        <w:rPr>
          <w:color w:val="auto"/>
        </w:rPr>
        <w:t xml:space="preserve">, International Gender Equality Strategy </w:t>
      </w:r>
      <w:r w:rsidR="00D646A9" w:rsidRPr="00FF2A2F">
        <w:rPr>
          <w:color w:val="auto"/>
        </w:rPr>
        <w:t xml:space="preserve">(2025) </w:t>
      </w:r>
      <w:r w:rsidR="00CD6BAC" w:rsidRPr="00FF2A2F">
        <w:rPr>
          <w:color w:val="auto"/>
        </w:rPr>
        <w:t xml:space="preserve">and </w:t>
      </w:r>
      <w:r w:rsidR="001622CC" w:rsidRPr="00FF2A2F">
        <w:rPr>
          <w:color w:val="auto"/>
        </w:rPr>
        <w:t>International Disability Equity and Rights Strategy</w:t>
      </w:r>
      <w:r w:rsidR="00814B1E" w:rsidRPr="00FF2A2F">
        <w:rPr>
          <w:color w:val="auto"/>
        </w:rPr>
        <w:t xml:space="preserve"> </w:t>
      </w:r>
      <w:r w:rsidR="00D646A9" w:rsidRPr="00FF2A2F">
        <w:rPr>
          <w:color w:val="auto"/>
        </w:rPr>
        <w:t>(2024)</w:t>
      </w:r>
      <w:r w:rsidR="00421C44" w:rsidRPr="00FF2A2F">
        <w:rPr>
          <w:color w:val="auto"/>
        </w:rPr>
        <w:t xml:space="preserve">. </w:t>
      </w:r>
      <w:r w:rsidR="002059CC" w:rsidRPr="00FF2A2F">
        <w:rPr>
          <w:color w:val="auto"/>
        </w:rPr>
        <w:t xml:space="preserve">It also supports </w:t>
      </w:r>
      <w:r w:rsidR="00421C44" w:rsidRPr="00FF2A2F">
        <w:rPr>
          <w:color w:val="auto"/>
        </w:rPr>
        <w:t xml:space="preserve">Tonga </w:t>
      </w:r>
      <w:r w:rsidR="002059CC" w:rsidRPr="00FF2A2F">
        <w:rPr>
          <w:color w:val="auto"/>
        </w:rPr>
        <w:t xml:space="preserve">to </w:t>
      </w:r>
      <w:r w:rsidR="00A11BAD" w:rsidRPr="00FF2A2F">
        <w:rPr>
          <w:color w:val="auto"/>
        </w:rPr>
        <w:t>implement</w:t>
      </w:r>
      <w:r w:rsidR="00421C44" w:rsidRPr="00FF2A2F">
        <w:rPr>
          <w:color w:val="auto"/>
        </w:rPr>
        <w:t xml:space="preserve"> </w:t>
      </w:r>
      <w:r w:rsidR="001D4CE8" w:rsidRPr="00FF2A2F">
        <w:rPr>
          <w:color w:val="auto"/>
        </w:rPr>
        <w:t>disaster risk and climate change policy frameworks</w:t>
      </w:r>
      <w:r w:rsidR="00A11BAD" w:rsidRPr="00FF2A2F">
        <w:rPr>
          <w:color w:val="auto"/>
        </w:rPr>
        <w:t xml:space="preserve"> which</w:t>
      </w:r>
      <w:r w:rsidR="001D4CE8" w:rsidRPr="00FF2A2F">
        <w:rPr>
          <w:color w:val="auto"/>
        </w:rPr>
        <w:t xml:space="preserve"> </w:t>
      </w:r>
      <w:r w:rsidR="001D4CE8" w:rsidRPr="00FF2A2F">
        <w:rPr>
          <w:color w:val="auto"/>
        </w:rPr>
        <w:lastRenderedPageBreak/>
        <w:t xml:space="preserve">include commitments to equity, fairness and inclusion in participation and leadership, and to meeting the different needs of diverse and vulnerable groups. </w:t>
      </w:r>
    </w:p>
    <w:p w14:paraId="68FD05C8" w14:textId="0AACC2AA" w:rsidR="00AD6DF3" w:rsidRPr="00FF2A2F" w:rsidRDefault="00F950C0" w:rsidP="00E6131F">
      <w:pPr>
        <w:ind w:left="0" w:firstLine="0"/>
        <w:rPr>
          <w:color w:val="auto"/>
        </w:rPr>
      </w:pPr>
      <w:r w:rsidRPr="00FF2A2F">
        <w:rPr>
          <w:color w:val="auto"/>
        </w:rPr>
        <w:t xml:space="preserve">74. </w:t>
      </w:r>
      <w:r w:rsidR="00CD6329" w:rsidRPr="00FF2A2F">
        <w:rPr>
          <w:color w:val="auto"/>
        </w:rPr>
        <w:t xml:space="preserve">The investment also </w:t>
      </w:r>
      <w:r w:rsidR="00E65389" w:rsidRPr="00FF2A2F">
        <w:rPr>
          <w:color w:val="auto"/>
        </w:rPr>
        <w:t>adopt</w:t>
      </w:r>
      <w:r w:rsidR="00CD6329" w:rsidRPr="00FF2A2F">
        <w:rPr>
          <w:color w:val="auto"/>
        </w:rPr>
        <w:t>s</w:t>
      </w:r>
      <w:r w:rsidR="00E65389" w:rsidRPr="00FF2A2F">
        <w:rPr>
          <w:color w:val="auto"/>
        </w:rPr>
        <w:t xml:space="preserve"> and integrate</w:t>
      </w:r>
      <w:r w:rsidR="00CD6329" w:rsidRPr="00FF2A2F">
        <w:rPr>
          <w:color w:val="auto"/>
        </w:rPr>
        <w:t>s</w:t>
      </w:r>
      <w:r w:rsidR="00F43D4C" w:rsidRPr="00FF2A2F">
        <w:rPr>
          <w:color w:val="auto"/>
        </w:rPr>
        <w:t xml:space="preserve"> local leadership</w:t>
      </w:r>
      <w:r w:rsidR="008C7552" w:rsidRPr="00FF2A2F">
        <w:rPr>
          <w:color w:val="auto"/>
        </w:rPr>
        <w:t xml:space="preserve"> </w:t>
      </w:r>
      <w:r w:rsidR="00E65389" w:rsidRPr="00FF2A2F">
        <w:rPr>
          <w:color w:val="auto"/>
        </w:rPr>
        <w:t>and processes</w:t>
      </w:r>
      <w:r w:rsidR="00BE15B6" w:rsidRPr="00FF2A2F">
        <w:rPr>
          <w:color w:val="auto"/>
        </w:rPr>
        <w:t xml:space="preserve"> - </w:t>
      </w:r>
      <w:r w:rsidR="00E65389" w:rsidRPr="00FF2A2F">
        <w:rPr>
          <w:color w:val="auto"/>
        </w:rPr>
        <w:t>as described in DFAT’s Guidance Note on Locally Led Development (2023)</w:t>
      </w:r>
      <w:r w:rsidR="008C7552" w:rsidRPr="00FF2A2F">
        <w:rPr>
          <w:color w:val="auto"/>
        </w:rPr>
        <w:t xml:space="preserve"> -</w:t>
      </w:r>
      <w:r w:rsidR="00AB6A38" w:rsidRPr="00FF2A2F">
        <w:rPr>
          <w:color w:val="auto"/>
        </w:rPr>
        <w:t xml:space="preserve"> which is an </w:t>
      </w:r>
      <w:r w:rsidR="0086351E" w:rsidRPr="00FF2A2F">
        <w:rPr>
          <w:color w:val="auto"/>
        </w:rPr>
        <w:t xml:space="preserve">important </w:t>
      </w:r>
      <w:r w:rsidR="00E813C5" w:rsidRPr="00FF2A2F">
        <w:rPr>
          <w:color w:val="auto"/>
        </w:rPr>
        <w:t>principle within</w:t>
      </w:r>
      <w:r w:rsidR="0086351E" w:rsidRPr="00FF2A2F">
        <w:rPr>
          <w:color w:val="auto"/>
        </w:rPr>
        <w:t xml:space="preserve"> Tonga’s </w:t>
      </w:r>
      <w:r w:rsidR="008C7552" w:rsidRPr="00FF2A2F">
        <w:rPr>
          <w:color w:val="auto"/>
        </w:rPr>
        <w:t>DRM Policy</w:t>
      </w:r>
      <w:r w:rsidR="00224569" w:rsidRPr="00FF2A2F">
        <w:rPr>
          <w:color w:val="auto"/>
        </w:rPr>
        <w:t>. It may provide o</w:t>
      </w:r>
      <w:r w:rsidR="0025303B" w:rsidRPr="00FF2A2F">
        <w:rPr>
          <w:color w:val="auto"/>
        </w:rPr>
        <w:t>pportunities for integrating and connecting</w:t>
      </w:r>
      <w:r w:rsidR="00F4086D" w:rsidRPr="00FF2A2F">
        <w:rPr>
          <w:color w:val="auto"/>
        </w:rPr>
        <w:t xml:space="preserve"> traditional knowledge practices, including</w:t>
      </w:r>
      <w:r w:rsidR="0025303B" w:rsidRPr="00FF2A2F">
        <w:rPr>
          <w:color w:val="auto"/>
        </w:rPr>
        <w:t xml:space="preserve"> First Nations’ perspectives</w:t>
      </w:r>
      <w:r w:rsidR="00F4086D" w:rsidRPr="00FF2A2F">
        <w:rPr>
          <w:color w:val="auto"/>
        </w:rPr>
        <w:t>.</w:t>
      </w:r>
      <w:r w:rsidR="002F60FD" w:rsidRPr="00FF2A2F">
        <w:rPr>
          <w:color w:val="auto"/>
        </w:rPr>
        <w:t xml:space="preserve"> </w:t>
      </w:r>
      <w:r w:rsidR="00224569" w:rsidRPr="00FF2A2F">
        <w:rPr>
          <w:color w:val="auto"/>
        </w:rPr>
        <w:t xml:space="preserve">It will also enhance Australia’s </w:t>
      </w:r>
      <w:r w:rsidR="0013587D" w:rsidRPr="00FF2A2F">
        <w:rPr>
          <w:color w:val="auto"/>
        </w:rPr>
        <w:t xml:space="preserve">national interest and </w:t>
      </w:r>
      <w:r w:rsidR="00FF0614" w:rsidRPr="00FF2A2F">
        <w:rPr>
          <w:color w:val="auto"/>
        </w:rPr>
        <w:t>security to be a partner of choice and first responder</w:t>
      </w:r>
      <w:r w:rsidR="00AD6DF3" w:rsidRPr="00FF2A2F">
        <w:rPr>
          <w:color w:val="auto"/>
        </w:rPr>
        <w:t>.</w:t>
      </w:r>
    </w:p>
    <w:p w14:paraId="117EB197" w14:textId="324D3865" w:rsidR="00A32858" w:rsidRPr="00FF2A2F" w:rsidRDefault="00C77675" w:rsidP="00E6131F">
      <w:pPr>
        <w:pStyle w:val="Heading2"/>
        <w:ind w:hanging="568"/>
        <w:rPr>
          <w:color w:val="auto"/>
          <w:sz w:val="32"/>
          <w:szCs w:val="32"/>
        </w:rPr>
      </w:pPr>
      <w:bookmarkStart w:id="7" w:name="_Toc214543662"/>
      <w:r w:rsidRPr="00FF2A2F">
        <w:rPr>
          <w:color w:val="auto"/>
          <w:sz w:val="32"/>
          <w:szCs w:val="32"/>
        </w:rPr>
        <w:t xml:space="preserve">D: </w:t>
      </w:r>
      <w:r w:rsidR="00A32858" w:rsidRPr="00FF2A2F">
        <w:rPr>
          <w:color w:val="auto"/>
          <w:sz w:val="32"/>
          <w:szCs w:val="32"/>
        </w:rPr>
        <w:t>Proposed Outcomes and Investment Options</w:t>
      </w:r>
      <w:bookmarkEnd w:id="7"/>
      <w:r w:rsidR="00A32858" w:rsidRPr="00FF2A2F">
        <w:rPr>
          <w:color w:val="auto"/>
          <w:sz w:val="32"/>
          <w:szCs w:val="32"/>
        </w:rPr>
        <w:t xml:space="preserve"> </w:t>
      </w:r>
    </w:p>
    <w:p w14:paraId="60AC2E04" w14:textId="72F55E07" w:rsidR="00834706" w:rsidRPr="00FF2A2F" w:rsidRDefault="004C01FB" w:rsidP="00E6131F">
      <w:pPr>
        <w:spacing w:before="120" w:line="260" w:lineRule="atLeast"/>
        <w:ind w:left="0" w:firstLine="0"/>
        <w:rPr>
          <w:b/>
          <w:bCs/>
          <w:iCs/>
          <w:color w:val="auto"/>
        </w:rPr>
      </w:pPr>
      <w:r w:rsidRPr="00FF2A2F">
        <w:rPr>
          <w:b/>
          <w:bCs/>
          <w:iCs/>
          <w:color w:val="auto"/>
        </w:rPr>
        <w:t xml:space="preserve">Theory of Change </w:t>
      </w:r>
    </w:p>
    <w:p w14:paraId="4F0FF37D" w14:textId="4497E37B" w:rsidR="000B6907" w:rsidRPr="00FF2A2F" w:rsidRDefault="00F950C0" w:rsidP="00E6131F">
      <w:pPr>
        <w:ind w:left="0" w:firstLine="0"/>
        <w:rPr>
          <w:i/>
          <w:color w:val="auto"/>
          <w:lang w:val="en-AU"/>
        </w:rPr>
      </w:pPr>
      <w:r w:rsidRPr="00FF2A2F">
        <w:rPr>
          <w:color w:val="auto"/>
        </w:rPr>
        <w:t xml:space="preserve">75. The theory of change is focused on the following: </w:t>
      </w:r>
    </w:p>
    <w:p w14:paraId="06FAA2C6" w14:textId="1A043882" w:rsidR="000B6907" w:rsidRPr="00FF2A2F" w:rsidRDefault="000B6907" w:rsidP="000B6907">
      <w:pPr>
        <w:spacing w:before="120" w:line="260" w:lineRule="atLeast"/>
        <w:rPr>
          <w:iCs/>
          <w:color w:val="auto"/>
          <w:sz w:val="21"/>
          <w:szCs w:val="21"/>
        </w:rPr>
      </w:pPr>
      <w:r w:rsidRPr="00FF2A2F">
        <w:rPr>
          <w:b/>
          <w:bCs/>
          <w:iCs/>
          <w:color w:val="auto"/>
        </w:rPr>
        <w:t>•</w:t>
      </w:r>
      <w:r w:rsidRPr="00FF2A2F">
        <w:rPr>
          <w:b/>
          <w:bCs/>
          <w:iCs/>
          <w:color w:val="auto"/>
        </w:rPr>
        <w:tab/>
      </w:r>
      <w:r w:rsidRPr="00FF2A2F">
        <w:rPr>
          <w:iCs/>
          <w:color w:val="auto"/>
          <w:sz w:val="21"/>
          <w:szCs w:val="21"/>
        </w:rPr>
        <w:t xml:space="preserve">Tonga is a highly </w:t>
      </w:r>
      <w:r w:rsidR="00F84A73" w:rsidRPr="00FF2A2F">
        <w:rPr>
          <w:iCs/>
          <w:color w:val="auto"/>
          <w:sz w:val="21"/>
          <w:szCs w:val="21"/>
        </w:rPr>
        <w:t>disaster-prone</w:t>
      </w:r>
      <w:r w:rsidRPr="00FF2A2F">
        <w:rPr>
          <w:iCs/>
          <w:color w:val="auto"/>
          <w:sz w:val="21"/>
          <w:szCs w:val="21"/>
        </w:rPr>
        <w:t xml:space="preserve"> country</w:t>
      </w:r>
      <w:r w:rsidR="00F84A73" w:rsidRPr="00FF2A2F">
        <w:rPr>
          <w:iCs/>
          <w:color w:val="auto"/>
          <w:sz w:val="21"/>
          <w:szCs w:val="21"/>
        </w:rPr>
        <w:t xml:space="preserve"> and c</w:t>
      </w:r>
      <w:r w:rsidRPr="00FF2A2F">
        <w:rPr>
          <w:iCs/>
          <w:color w:val="auto"/>
          <w:sz w:val="21"/>
          <w:szCs w:val="21"/>
        </w:rPr>
        <w:t>limate change is exacerbating the impacts of disasters. While the country enjoys a high HDI and high standards in education, health and poverty reduction, climate change and disasters risk undermining the social and economic achievements across the country.</w:t>
      </w:r>
    </w:p>
    <w:p w14:paraId="58432D91" w14:textId="123B4AAC" w:rsidR="000B6907" w:rsidRPr="00FF2A2F" w:rsidRDefault="000B6907" w:rsidP="000B6907">
      <w:pPr>
        <w:spacing w:before="120" w:line="260" w:lineRule="atLeast"/>
        <w:rPr>
          <w:iCs/>
          <w:color w:val="auto"/>
          <w:sz w:val="21"/>
          <w:szCs w:val="21"/>
        </w:rPr>
      </w:pPr>
      <w:r w:rsidRPr="00FF2A2F">
        <w:rPr>
          <w:iCs/>
          <w:color w:val="auto"/>
          <w:sz w:val="21"/>
          <w:szCs w:val="21"/>
        </w:rPr>
        <w:t>•</w:t>
      </w:r>
      <w:r w:rsidRPr="00FF2A2F">
        <w:rPr>
          <w:iCs/>
          <w:color w:val="auto"/>
          <w:sz w:val="21"/>
          <w:szCs w:val="21"/>
        </w:rPr>
        <w:tab/>
        <w:t>The Government of Tonga has committed itself to building resilience and responding in a comprehensive and effective way to disasters and to the impacts of climate change. Like other Pacific nations</w:t>
      </w:r>
      <w:r w:rsidR="00F004A1" w:rsidRPr="00FF2A2F">
        <w:rPr>
          <w:iCs/>
          <w:color w:val="auto"/>
          <w:sz w:val="21"/>
          <w:szCs w:val="21"/>
        </w:rPr>
        <w:t>,</w:t>
      </w:r>
      <w:r w:rsidRPr="00FF2A2F">
        <w:rPr>
          <w:iCs/>
          <w:color w:val="auto"/>
          <w:sz w:val="21"/>
          <w:szCs w:val="21"/>
        </w:rPr>
        <w:t xml:space="preserve"> it has committed itself to an inclusive and resilient fu</w:t>
      </w:r>
      <w:r w:rsidR="00CE7F50" w:rsidRPr="00FF2A2F">
        <w:rPr>
          <w:iCs/>
          <w:color w:val="auto"/>
          <w:sz w:val="21"/>
          <w:szCs w:val="21"/>
        </w:rPr>
        <w:t>ture</w:t>
      </w:r>
      <w:r w:rsidRPr="00FF2A2F">
        <w:rPr>
          <w:iCs/>
          <w:color w:val="auto"/>
          <w:sz w:val="21"/>
          <w:szCs w:val="21"/>
        </w:rPr>
        <w:t xml:space="preserve"> which sees all </w:t>
      </w:r>
      <w:r w:rsidR="00F004A1" w:rsidRPr="00FF2A2F">
        <w:rPr>
          <w:iCs/>
          <w:color w:val="auto"/>
          <w:sz w:val="21"/>
          <w:szCs w:val="21"/>
        </w:rPr>
        <w:t xml:space="preserve">citizens </w:t>
      </w:r>
      <w:r w:rsidRPr="00FF2A2F">
        <w:rPr>
          <w:iCs/>
          <w:color w:val="auto"/>
          <w:sz w:val="21"/>
          <w:szCs w:val="21"/>
        </w:rPr>
        <w:t xml:space="preserve">able to achieve their potential. </w:t>
      </w:r>
      <w:r w:rsidR="000A30CF" w:rsidRPr="00FF2A2F">
        <w:rPr>
          <w:iCs/>
          <w:color w:val="auto"/>
          <w:sz w:val="21"/>
          <w:szCs w:val="21"/>
        </w:rPr>
        <w:t>This is articulated in the DRM Policy</w:t>
      </w:r>
    </w:p>
    <w:p w14:paraId="2437F0E3" w14:textId="6526AF55" w:rsidR="000B6907" w:rsidRPr="00FF2A2F" w:rsidRDefault="000B6907" w:rsidP="000B6907">
      <w:pPr>
        <w:spacing w:before="120" w:line="260" w:lineRule="atLeast"/>
        <w:rPr>
          <w:iCs/>
          <w:color w:val="auto"/>
          <w:sz w:val="21"/>
          <w:szCs w:val="21"/>
        </w:rPr>
      </w:pPr>
      <w:r w:rsidRPr="00FF2A2F">
        <w:rPr>
          <w:iCs/>
          <w:color w:val="auto"/>
          <w:sz w:val="21"/>
          <w:szCs w:val="21"/>
        </w:rPr>
        <w:t>•</w:t>
      </w:r>
      <w:r w:rsidRPr="00FF2A2F">
        <w:rPr>
          <w:iCs/>
          <w:color w:val="auto"/>
          <w:sz w:val="21"/>
          <w:szCs w:val="21"/>
        </w:rPr>
        <w:tab/>
        <w:t>Tonga has developed its own system to respond to disasters and climate change impact. This includes a comprehensive DRM policy</w:t>
      </w:r>
      <w:r w:rsidR="00A15C52" w:rsidRPr="00FF2A2F">
        <w:rPr>
          <w:iCs/>
          <w:color w:val="auto"/>
          <w:sz w:val="21"/>
          <w:szCs w:val="21"/>
        </w:rPr>
        <w:t xml:space="preserve">, </w:t>
      </w:r>
      <w:r w:rsidRPr="00FF2A2F">
        <w:rPr>
          <w:iCs/>
          <w:color w:val="auto"/>
          <w:sz w:val="21"/>
          <w:szCs w:val="21"/>
        </w:rPr>
        <w:t>the NDRMO - tasked with implementing the policy</w:t>
      </w:r>
      <w:r w:rsidR="000D1EB6" w:rsidRPr="00FF2A2F">
        <w:rPr>
          <w:iCs/>
          <w:color w:val="auto"/>
          <w:sz w:val="21"/>
          <w:szCs w:val="21"/>
        </w:rPr>
        <w:t>, and T</w:t>
      </w:r>
      <w:r w:rsidRPr="00FF2A2F">
        <w:rPr>
          <w:iCs/>
          <w:color w:val="auto"/>
          <w:sz w:val="21"/>
          <w:szCs w:val="21"/>
        </w:rPr>
        <w:t>ongan CSO</w:t>
      </w:r>
      <w:r w:rsidR="00A15C52" w:rsidRPr="00FF2A2F">
        <w:rPr>
          <w:iCs/>
          <w:color w:val="auto"/>
          <w:sz w:val="21"/>
          <w:szCs w:val="21"/>
        </w:rPr>
        <w:t>s which</w:t>
      </w:r>
      <w:r w:rsidRPr="00FF2A2F">
        <w:rPr>
          <w:iCs/>
          <w:color w:val="auto"/>
          <w:sz w:val="21"/>
          <w:szCs w:val="21"/>
        </w:rPr>
        <w:t xml:space="preserve"> are active in crises, working directly with communities and representing </w:t>
      </w:r>
      <w:r w:rsidR="000D1EB6" w:rsidRPr="00FF2A2F">
        <w:rPr>
          <w:iCs/>
          <w:color w:val="auto"/>
          <w:sz w:val="21"/>
          <w:szCs w:val="21"/>
        </w:rPr>
        <w:t>their priorities</w:t>
      </w:r>
      <w:r w:rsidRPr="00FF2A2F">
        <w:rPr>
          <w:iCs/>
          <w:color w:val="auto"/>
          <w:sz w:val="21"/>
          <w:szCs w:val="21"/>
        </w:rPr>
        <w:t xml:space="preserve"> and needs to others. </w:t>
      </w:r>
      <w:r w:rsidR="000D1EB6" w:rsidRPr="00FF2A2F">
        <w:rPr>
          <w:iCs/>
          <w:color w:val="auto"/>
          <w:sz w:val="21"/>
          <w:szCs w:val="21"/>
        </w:rPr>
        <w:t>Finally,</w:t>
      </w:r>
      <w:r w:rsidRPr="00FF2A2F">
        <w:rPr>
          <w:iCs/>
          <w:color w:val="auto"/>
          <w:sz w:val="21"/>
          <w:szCs w:val="21"/>
        </w:rPr>
        <w:t xml:space="preserve"> it includes the </w:t>
      </w:r>
      <w:r w:rsidR="00A15C52" w:rsidRPr="00FF2A2F">
        <w:rPr>
          <w:iCs/>
          <w:color w:val="auto"/>
          <w:sz w:val="21"/>
          <w:szCs w:val="21"/>
        </w:rPr>
        <w:t xml:space="preserve">Tongan </w:t>
      </w:r>
      <w:r w:rsidRPr="00FF2A2F">
        <w:rPr>
          <w:iCs/>
          <w:color w:val="auto"/>
          <w:sz w:val="21"/>
          <w:szCs w:val="21"/>
        </w:rPr>
        <w:t>people themselves, who have long experience of disaster response and recovery.</w:t>
      </w:r>
    </w:p>
    <w:p w14:paraId="11210CCF" w14:textId="01929119" w:rsidR="000B6907" w:rsidRPr="00FF2A2F" w:rsidRDefault="000B6907" w:rsidP="000B6907">
      <w:pPr>
        <w:spacing w:before="120" w:line="260" w:lineRule="atLeast"/>
        <w:rPr>
          <w:iCs/>
          <w:color w:val="auto"/>
          <w:sz w:val="21"/>
          <w:szCs w:val="21"/>
        </w:rPr>
      </w:pPr>
      <w:r w:rsidRPr="00FF2A2F">
        <w:rPr>
          <w:iCs/>
          <w:color w:val="auto"/>
          <w:sz w:val="21"/>
          <w:szCs w:val="21"/>
        </w:rPr>
        <w:t>•</w:t>
      </w:r>
      <w:r w:rsidRPr="00FF2A2F">
        <w:rPr>
          <w:iCs/>
          <w:color w:val="auto"/>
          <w:sz w:val="21"/>
          <w:szCs w:val="21"/>
        </w:rPr>
        <w:tab/>
        <w:t xml:space="preserve">Tonga finances </w:t>
      </w:r>
      <w:r w:rsidR="00F004A1" w:rsidRPr="00FF2A2F">
        <w:rPr>
          <w:iCs/>
          <w:color w:val="auto"/>
          <w:sz w:val="21"/>
          <w:szCs w:val="21"/>
        </w:rPr>
        <w:t xml:space="preserve">the DRM </w:t>
      </w:r>
      <w:r w:rsidRPr="00FF2A2F">
        <w:rPr>
          <w:iCs/>
          <w:color w:val="auto"/>
          <w:sz w:val="21"/>
          <w:szCs w:val="21"/>
        </w:rPr>
        <w:t>system in various ways, including support from development partners. Development partners recognise the challenge for Tonga from disasters and climate change impact</w:t>
      </w:r>
      <w:r w:rsidR="000A30CF" w:rsidRPr="00FF2A2F">
        <w:rPr>
          <w:iCs/>
          <w:color w:val="auto"/>
          <w:sz w:val="21"/>
          <w:szCs w:val="21"/>
        </w:rPr>
        <w:t xml:space="preserve">s and </w:t>
      </w:r>
      <w:r w:rsidRPr="00FF2A2F">
        <w:rPr>
          <w:iCs/>
          <w:color w:val="auto"/>
          <w:sz w:val="21"/>
          <w:szCs w:val="21"/>
        </w:rPr>
        <w:t>provide funding across various programs and initiatives.</w:t>
      </w:r>
      <w:r w:rsidR="00773143" w:rsidRPr="00FF2A2F">
        <w:rPr>
          <w:color w:val="auto"/>
        </w:rPr>
        <w:t xml:space="preserve"> </w:t>
      </w:r>
      <w:r w:rsidR="00E63611" w:rsidRPr="00FF2A2F">
        <w:rPr>
          <w:color w:val="auto"/>
        </w:rPr>
        <w:t xml:space="preserve">However, </w:t>
      </w:r>
      <w:r w:rsidR="00E63611" w:rsidRPr="00FF2A2F">
        <w:rPr>
          <w:iCs/>
          <w:color w:val="auto"/>
          <w:sz w:val="21"/>
          <w:szCs w:val="21"/>
        </w:rPr>
        <w:t>a</w:t>
      </w:r>
      <w:r w:rsidR="00773143" w:rsidRPr="00FF2A2F">
        <w:rPr>
          <w:iCs/>
          <w:color w:val="auto"/>
          <w:sz w:val="21"/>
          <w:szCs w:val="21"/>
        </w:rPr>
        <w:t>dditional consistent and reliable funding is needed for NDRMO to sufficiently plan and budget for the implementation of the DRM Policy.</w:t>
      </w:r>
    </w:p>
    <w:p w14:paraId="3BF51A98" w14:textId="40713856" w:rsidR="000B6907" w:rsidRPr="00FF2A2F" w:rsidRDefault="000B6907" w:rsidP="000B6907">
      <w:pPr>
        <w:spacing w:before="120" w:line="260" w:lineRule="atLeast"/>
        <w:rPr>
          <w:iCs/>
          <w:color w:val="auto"/>
          <w:sz w:val="21"/>
          <w:szCs w:val="21"/>
        </w:rPr>
      </w:pPr>
      <w:r w:rsidRPr="00FF2A2F">
        <w:rPr>
          <w:iCs/>
          <w:color w:val="auto"/>
          <w:sz w:val="21"/>
          <w:szCs w:val="21"/>
        </w:rPr>
        <w:t>•</w:t>
      </w:r>
      <w:r w:rsidRPr="00FF2A2F">
        <w:rPr>
          <w:iCs/>
          <w:color w:val="auto"/>
          <w:sz w:val="21"/>
          <w:szCs w:val="21"/>
        </w:rPr>
        <w:tab/>
        <w:t xml:space="preserve">Australia </w:t>
      </w:r>
      <w:r w:rsidR="00F004A1" w:rsidRPr="00FF2A2F">
        <w:rPr>
          <w:iCs/>
          <w:color w:val="auto"/>
          <w:sz w:val="21"/>
          <w:szCs w:val="21"/>
        </w:rPr>
        <w:t>has</w:t>
      </w:r>
      <w:r w:rsidRPr="00FF2A2F">
        <w:rPr>
          <w:iCs/>
          <w:color w:val="auto"/>
          <w:sz w:val="21"/>
          <w:szCs w:val="21"/>
        </w:rPr>
        <w:t xml:space="preserve"> supported Tonga through previous disaster response and recovery</w:t>
      </w:r>
      <w:r w:rsidR="00F114ED" w:rsidRPr="00FF2A2F">
        <w:rPr>
          <w:iCs/>
          <w:color w:val="auto"/>
          <w:sz w:val="21"/>
          <w:szCs w:val="21"/>
        </w:rPr>
        <w:t xml:space="preserve"> with a principled approach to </w:t>
      </w:r>
      <w:r w:rsidRPr="00FF2A2F">
        <w:rPr>
          <w:iCs/>
          <w:color w:val="auto"/>
          <w:sz w:val="21"/>
          <w:szCs w:val="21"/>
        </w:rPr>
        <w:t xml:space="preserve">support the priorities and leadership of the </w:t>
      </w:r>
      <w:r w:rsidR="00F114ED" w:rsidRPr="00FF2A2F">
        <w:rPr>
          <w:iCs/>
          <w:color w:val="auto"/>
          <w:sz w:val="21"/>
          <w:szCs w:val="21"/>
        </w:rPr>
        <w:t>g</w:t>
      </w:r>
      <w:r w:rsidRPr="00FF2A2F">
        <w:rPr>
          <w:iCs/>
          <w:color w:val="auto"/>
          <w:sz w:val="21"/>
          <w:szCs w:val="21"/>
        </w:rPr>
        <w:t>overnment and people of Tonga</w:t>
      </w:r>
      <w:r w:rsidR="00F114ED" w:rsidRPr="00FF2A2F">
        <w:rPr>
          <w:iCs/>
          <w:color w:val="auto"/>
          <w:sz w:val="21"/>
          <w:szCs w:val="21"/>
        </w:rPr>
        <w:t xml:space="preserve">. This approach was </w:t>
      </w:r>
      <w:r w:rsidRPr="00FF2A2F">
        <w:rPr>
          <w:iCs/>
          <w:color w:val="auto"/>
          <w:sz w:val="21"/>
          <w:szCs w:val="21"/>
        </w:rPr>
        <w:t xml:space="preserve">demonstrated through </w:t>
      </w:r>
      <w:r w:rsidR="00F004A1" w:rsidRPr="00FF2A2F">
        <w:rPr>
          <w:iCs/>
          <w:color w:val="auto"/>
          <w:sz w:val="21"/>
          <w:szCs w:val="21"/>
        </w:rPr>
        <w:t>the HTHH</w:t>
      </w:r>
      <w:r w:rsidRPr="00FF2A2F">
        <w:rPr>
          <w:iCs/>
          <w:color w:val="auto"/>
          <w:sz w:val="21"/>
          <w:szCs w:val="21"/>
        </w:rPr>
        <w:t xml:space="preserve"> response</w:t>
      </w:r>
      <w:r w:rsidR="00F114ED" w:rsidRPr="00FF2A2F">
        <w:rPr>
          <w:iCs/>
          <w:color w:val="auto"/>
          <w:sz w:val="21"/>
          <w:szCs w:val="21"/>
        </w:rPr>
        <w:t xml:space="preserve"> and </w:t>
      </w:r>
      <w:r w:rsidRPr="00FF2A2F">
        <w:rPr>
          <w:iCs/>
          <w:color w:val="auto"/>
          <w:sz w:val="21"/>
          <w:szCs w:val="21"/>
        </w:rPr>
        <w:t>is respected and valued.</w:t>
      </w:r>
      <w:r w:rsidR="00773143" w:rsidRPr="00FF2A2F">
        <w:rPr>
          <w:iCs/>
          <w:color w:val="auto"/>
          <w:sz w:val="21"/>
          <w:szCs w:val="21"/>
        </w:rPr>
        <w:t xml:space="preserve"> </w:t>
      </w:r>
    </w:p>
    <w:p w14:paraId="450A184E" w14:textId="12304CF1" w:rsidR="000B6907" w:rsidRPr="00FF2A2F" w:rsidRDefault="000B6907" w:rsidP="000B6907">
      <w:pPr>
        <w:spacing w:before="120" w:line="260" w:lineRule="atLeast"/>
        <w:rPr>
          <w:iCs/>
          <w:color w:val="auto"/>
          <w:sz w:val="21"/>
          <w:szCs w:val="21"/>
        </w:rPr>
      </w:pPr>
      <w:r w:rsidRPr="00FF2A2F">
        <w:rPr>
          <w:iCs/>
          <w:color w:val="auto"/>
          <w:sz w:val="21"/>
          <w:szCs w:val="21"/>
        </w:rPr>
        <w:t>•</w:t>
      </w:r>
      <w:r w:rsidRPr="00FF2A2F">
        <w:rPr>
          <w:iCs/>
          <w:color w:val="auto"/>
          <w:sz w:val="21"/>
          <w:szCs w:val="21"/>
        </w:rPr>
        <w:tab/>
        <w:t xml:space="preserve">There is opportunity </w:t>
      </w:r>
      <w:r w:rsidR="00E31989" w:rsidRPr="00FF2A2F">
        <w:rPr>
          <w:iCs/>
          <w:color w:val="auto"/>
          <w:sz w:val="21"/>
          <w:szCs w:val="21"/>
        </w:rPr>
        <w:t xml:space="preserve">for Australia, as a trusted and respectful partner, </w:t>
      </w:r>
      <w:r w:rsidRPr="00FF2A2F">
        <w:rPr>
          <w:iCs/>
          <w:color w:val="auto"/>
          <w:sz w:val="21"/>
          <w:szCs w:val="21"/>
        </w:rPr>
        <w:t xml:space="preserve">to further strengthen </w:t>
      </w:r>
      <w:r w:rsidR="00E31989" w:rsidRPr="00FF2A2F">
        <w:rPr>
          <w:iCs/>
          <w:color w:val="auto"/>
          <w:sz w:val="21"/>
          <w:szCs w:val="21"/>
        </w:rPr>
        <w:t xml:space="preserve">DRM </w:t>
      </w:r>
      <w:r w:rsidRPr="00FF2A2F">
        <w:rPr>
          <w:iCs/>
          <w:color w:val="auto"/>
          <w:sz w:val="21"/>
          <w:szCs w:val="21"/>
        </w:rPr>
        <w:t xml:space="preserve">systems </w:t>
      </w:r>
      <w:r w:rsidR="00E63611" w:rsidRPr="00FF2A2F">
        <w:rPr>
          <w:iCs/>
          <w:color w:val="auto"/>
          <w:sz w:val="21"/>
          <w:szCs w:val="21"/>
        </w:rPr>
        <w:t xml:space="preserve">and the implementation of the DRM Policy </w:t>
      </w:r>
      <w:r w:rsidRPr="00FF2A2F">
        <w:rPr>
          <w:iCs/>
          <w:color w:val="auto"/>
          <w:sz w:val="21"/>
          <w:szCs w:val="21"/>
        </w:rPr>
        <w:t>in Tonga</w:t>
      </w:r>
      <w:r w:rsidR="00E455CC" w:rsidRPr="00FF2A2F">
        <w:rPr>
          <w:iCs/>
          <w:color w:val="auto"/>
          <w:sz w:val="21"/>
          <w:szCs w:val="21"/>
        </w:rPr>
        <w:t>.</w:t>
      </w:r>
    </w:p>
    <w:p w14:paraId="2F532F12" w14:textId="5423AB3D" w:rsidR="000B6907" w:rsidRPr="00FF2A2F" w:rsidRDefault="000B6907" w:rsidP="000B6907">
      <w:pPr>
        <w:spacing w:before="120" w:line="260" w:lineRule="atLeast"/>
        <w:rPr>
          <w:iCs/>
          <w:color w:val="auto"/>
          <w:sz w:val="21"/>
          <w:szCs w:val="21"/>
        </w:rPr>
      </w:pPr>
      <w:r w:rsidRPr="00FF2A2F">
        <w:rPr>
          <w:iCs/>
          <w:color w:val="auto"/>
          <w:sz w:val="21"/>
          <w:szCs w:val="21"/>
        </w:rPr>
        <w:t>•</w:t>
      </w:r>
      <w:r w:rsidRPr="00FF2A2F">
        <w:rPr>
          <w:iCs/>
          <w:color w:val="auto"/>
          <w:sz w:val="21"/>
          <w:szCs w:val="21"/>
        </w:rPr>
        <w:tab/>
        <w:t xml:space="preserve">Consultations and previous experience suggest that Australian support </w:t>
      </w:r>
      <w:r w:rsidR="00E31989" w:rsidRPr="00FF2A2F">
        <w:rPr>
          <w:iCs/>
          <w:color w:val="auto"/>
          <w:sz w:val="21"/>
          <w:szCs w:val="21"/>
        </w:rPr>
        <w:t>will be</w:t>
      </w:r>
      <w:r w:rsidRPr="00FF2A2F">
        <w:rPr>
          <w:iCs/>
          <w:color w:val="auto"/>
          <w:sz w:val="21"/>
          <w:szCs w:val="21"/>
        </w:rPr>
        <w:t xml:space="preserve"> most useful if directed </w:t>
      </w:r>
      <w:r w:rsidR="00E455CC" w:rsidRPr="00FF2A2F">
        <w:rPr>
          <w:iCs/>
          <w:color w:val="auto"/>
          <w:sz w:val="21"/>
          <w:szCs w:val="21"/>
        </w:rPr>
        <w:t>at capability</w:t>
      </w:r>
      <w:r w:rsidR="00E31989" w:rsidRPr="00FF2A2F">
        <w:rPr>
          <w:iCs/>
          <w:color w:val="auto"/>
          <w:sz w:val="21"/>
          <w:szCs w:val="21"/>
        </w:rPr>
        <w:t xml:space="preserve"> </w:t>
      </w:r>
      <w:r w:rsidR="00C36ADA" w:rsidRPr="00FF2A2F">
        <w:rPr>
          <w:iCs/>
          <w:color w:val="auto"/>
          <w:sz w:val="21"/>
          <w:szCs w:val="21"/>
        </w:rPr>
        <w:t xml:space="preserve">and capacity </w:t>
      </w:r>
      <w:r w:rsidRPr="00FF2A2F">
        <w:rPr>
          <w:iCs/>
          <w:color w:val="auto"/>
          <w:sz w:val="21"/>
          <w:szCs w:val="21"/>
        </w:rPr>
        <w:t xml:space="preserve">strengthening of existing stakeholders, </w:t>
      </w:r>
      <w:r w:rsidR="00C36ADA" w:rsidRPr="00FF2A2F">
        <w:rPr>
          <w:iCs/>
          <w:color w:val="auto"/>
          <w:sz w:val="21"/>
          <w:szCs w:val="21"/>
        </w:rPr>
        <w:t xml:space="preserve">primarily the </w:t>
      </w:r>
      <w:r w:rsidR="00F433FE" w:rsidRPr="00FF2A2F">
        <w:rPr>
          <w:iCs/>
          <w:color w:val="auto"/>
          <w:sz w:val="21"/>
          <w:szCs w:val="21"/>
        </w:rPr>
        <w:t>NDRMO</w:t>
      </w:r>
      <w:r w:rsidRPr="00FF2A2F">
        <w:rPr>
          <w:iCs/>
          <w:color w:val="auto"/>
          <w:sz w:val="21"/>
          <w:szCs w:val="21"/>
        </w:rPr>
        <w:t xml:space="preserve"> and </w:t>
      </w:r>
      <w:r w:rsidR="00C36ADA" w:rsidRPr="00FF2A2F">
        <w:rPr>
          <w:iCs/>
          <w:color w:val="auto"/>
          <w:sz w:val="21"/>
          <w:szCs w:val="21"/>
        </w:rPr>
        <w:t>CSO</w:t>
      </w:r>
      <w:r w:rsidR="00E455CC" w:rsidRPr="00FF2A2F">
        <w:rPr>
          <w:iCs/>
          <w:color w:val="auto"/>
          <w:sz w:val="21"/>
          <w:szCs w:val="21"/>
        </w:rPr>
        <w:t>s</w:t>
      </w:r>
      <w:r w:rsidRPr="00FF2A2F">
        <w:rPr>
          <w:iCs/>
          <w:color w:val="auto"/>
          <w:sz w:val="21"/>
          <w:szCs w:val="21"/>
        </w:rPr>
        <w:t xml:space="preserve">, as well as support to improve coordination and information flow. </w:t>
      </w:r>
    </w:p>
    <w:p w14:paraId="0376E84E" w14:textId="2C669056" w:rsidR="00143426" w:rsidRPr="00FF2A2F" w:rsidRDefault="00143426" w:rsidP="00760600">
      <w:pPr>
        <w:spacing w:before="120" w:line="260" w:lineRule="atLeast"/>
        <w:ind w:left="0" w:firstLine="0"/>
        <w:rPr>
          <w:b/>
          <w:bCs/>
          <w:iCs/>
          <w:color w:val="auto"/>
        </w:rPr>
      </w:pPr>
      <w:r w:rsidRPr="00FF2A2F">
        <w:rPr>
          <w:b/>
          <w:bCs/>
          <w:iCs/>
          <w:color w:val="auto"/>
        </w:rPr>
        <w:t>Program Logic</w:t>
      </w:r>
    </w:p>
    <w:p w14:paraId="03BAB2B6" w14:textId="65BC52EA" w:rsidR="00143426" w:rsidRPr="00FF2A2F" w:rsidRDefault="00143426" w:rsidP="00760600">
      <w:pPr>
        <w:spacing w:before="120" w:line="260" w:lineRule="atLeast"/>
        <w:ind w:left="0" w:firstLine="0"/>
        <w:rPr>
          <w:i/>
          <w:color w:val="auto"/>
          <w:lang w:val="en-AU"/>
        </w:rPr>
      </w:pPr>
      <w:r w:rsidRPr="00FF2A2F">
        <w:rPr>
          <w:color w:val="auto"/>
          <w:sz w:val="21"/>
          <w:szCs w:val="21"/>
        </w:rPr>
        <w:t>76. The program logic is as follows:</w:t>
      </w:r>
    </w:p>
    <w:p w14:paraId="4527746F" w14:textId="147854F6"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The investment goal </w:t>
      </w:r>
      <w:proofErr w:type="gramStart"/>
      <w:r w:rsidRPr="00FF2A2F">
        <w:rPr>
          <w:iCs/>
          <w:color w:val="auto"/>
          <w:sz w:val="21"/>
          <w:szCs w:val="21"/>
        </w:rPr>
        <w:t>is</w:t>
      </w:r>
      <w:r w:rsidR="00143426" w:rsidRPr="00FF2A2F">
        <w:rPr>
          <w:iCs/>
          <w:color w:val="auto"/>
          <w:sz w:val="21"/>
          <w:szCs w:val="21"/>
        </w:rPr>
        <w:t>:</w:t>
      </w:r>
      <w:proofErr w:type="gramEnd"/>
      <w:r w:rsidR="00143426" w:rsidRPr="00FF2A2F">
        <w:rPr>
          <w:iCs/>
          <w:color w:val="auto"/>
          <w:sz w:val="21"/>
          <w:szCs w:val="21"/>
        </w:rPr>
        <w:t xml:space="preserve"> </w:t>
      </w:r>
      <w:r w:rsidR="0057139D" w:rsidRPr="00FF2A2F">
        <w:rPr>
          <w:iCs/>
          <w:color w:val="auto"/>
          <w:sz w:val="21"/>
          <w:szCs w:val="21"/>
        </w:rPr>
        <w:t xml:space="preserve">Australia supports the Kingdom of Tonga to further develop its resilience and </w:t>
      </w:r>
      <w:r w:rsidR="00143426" w:rsidRPr="00FF2A2F">
        <w:rPr>
          <w:iCs/>
          <w:color w:val="auto"/>
          <w:sz w:val="21"/>
          <w:szCs w:val="21"/>
        </w:rPr>
        <w:t>wellbeing</w:t>
      </w:r>
      <w:r w:rsidR="0057139D" w:rsidRPr="00FF2A2F">
        <w:rPr>
          <w:iCs/>
          <w:color w:val="auto"/>
          <w:sz w:val="21"/>
          <w:szCs w:val="21"/>
        </w:rPr>
        <w:t xml:space="preserve">.  </w:t>
      </w:r>
    </w:p>
    <w:p w14:paraId="41F5DA48" w14:textId="77777777" w:rsidR="0014342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The investment objective is: </w:t>
      </w:r>
      <w:r w:rsidR="007F48B0" w:rsidRPr="00FF2A2F">
        <w:rPr>
          <w:iCs/>
          <w:color w:val="auto"/>
          <w:sz w:val="21"/>
          <w:szCs w:val="21"/>
        </w:rPr>
        <w:t>The Government of Tonga, together with civil society and communities in Tonga, leads effective and inclusive response to disasters and climate change.</w:t>
      </w:r>
    </w:p>
    <w:p w14:paraId="50366141" w14:textId="5820F08E"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The</w:t>
      </w:r>
      <w:r w:rsidR="005C01DE" w:rsidRPr="00FF2A2F">
        <w:rPr>
          <w:iCs/>
          <w:color w:val="auto"/>
          <w:sz w:val="21"/>
          <w:szCs w:val="21"/>
        </w:rPr>
        <w:t xml:space="preserve"> </w:t>
      </w:r>
      <w:r w:rsidRPr="00FF2A2F">
        <w:rPr>
          <w:iCs/>
          <w:color w:val="auto"/>
          <w:sz w:val="21"/>
          <w:szCs w:val="21"/>
        </w:rPr>
        <w:t>investment end of program outcome</w:t>
      </w:r>
      <w:r w:rsidR="005C01DE" w:rsidRPr="00FF2A2F">
        <w:rPr>
          <w:iCs/>
          <w:color w:val="auto"/>
          <w:sz w:val="21"/>
          <w:szCs w:val="21"/>
        </w:rPr>
        <w:t>s</w:t>
      </w:r>
      <w:r w:rsidRPr="00FF2A2F">
        <w:rPr>
          <w:iCs/>
          <w:color w:val="auto"/>
          <w:sz w:val="21"/>
          <w:szCs w:val="21"/>
        </w:rPr>
        <w:t xml:space="preserve"> (EOPO</w:t>
      </w:r>
      <w:r w:rsidR="00536CFE" w:rsidRPr="00FF2A2F">
        <w:rPr>
          <w:iCs/>
          <w:color w:val="auto"/>
          <w:sz w:val="21"/>
          <w:szCs w:val="21"/>
        </w:rPr>
        <w:t>s</w:t>
      </w:r>
      <w:r w:rsidRPr="00FF2A2F">
        <w:rPr>
          <w:iCs/>
          <w:color w:val="auto"/>
          <w:sz w:val="21"/>
          <w:szCs w:val="21"/>
        </w:rPr>
        <w:t>)</w:t>
      </w:r>
      <w:r w:rsidR="00143426" w:rsidRPr="00FF2A2F">
        <w:rPr>
          <w:iCs/>
          <w:color w:val="auto"/>
          <w:sz w:val="21"/>
          <w:szCs w:val="21"/>
        </w:rPr>
        <w:t xml:space="preserve"> </w:t>
      </w:r>
      <w:proofErr w:type="gramStart"/>
      <w:r w:rsidR="00143426" w:rsidRPr="00FF2A2F">
        <w:rPr>
          <w:iCs/>
          <w:color w:val="auto"/>
          <w:sz w:val="21"/>
          <w:szCs w:val="21"/>
        </w:rPr>
        <w:t>are</w:t>
      </w:r>
      <w:proofErr w:type="gramEnd"/>
      <w:r w:rsidR="002A0253" w:rsidRPr="00FF2A2F">
        <w:rPr>
          <w:iCs/>
          <w:color w:val="auto"/>
          <w:sz w:val="21"/>
          <w:szCs w:val="21"/>
        </w:rPr>
        <w:t>:</w:t>
      </w:r>
      <w:r w:rsidRPr="00FF2A2F">
        <w:rPr>
          <w:iCs/>
          <w:color w:val="auto"/>
          <w:sz w:val="21"/>
          <w:szCs w:val="21"/>
        </w:rPr>
        <w:t xml:space="preserve"> </w:t>
      </w:r>
    </w:p>
    <w:p w14:paraId="0DA1CB00" w14:textId="6D984E70" w:rsidR="00C80FA8" w:rsidRPr="00FF2A2F" w:rsidRDefault="00143426" w:rsidP="006B7677">
      <w:pPr>
        <w:pStyle w:val="ListParagraph"/>
        <w:numPr>
          <w:ilvl w:val="0"/>
          <w:numId w:val="37"/>
        </w:numPr>
        <w:spacing w:before="120" w:line="260" w:lineRule="atLeast"/>
        <w:rPr>
          <w:iCs/>
          <w:color w:val="auto"/>
          <w:sz w:val="21"/>
          <w:szCs w:val="21"/>
        </w:rPr>
      </w:pPr>
      <w:r w:rsidRPr="00FF2A2F">
        <w:rPr>
          <w:b/>
          <w:bCs/>
          <w:iCs/>
          <w:color w:val="auto"/>
          <w:sz w:val="21"/>
          <w:szCs w:val="21"/>
        </w:rPr>
        <w:t>EOPO1:</w:t>
      </w:r>
      <w:r w:rsidRPr="00FF2A2F">
        <w:rPr>
          <w:iCs/>
          <w:color w:val="auto"/>
          <w:sz w:val="21"/>
          <w:szCs w:val="21"/>
        </w:rPr>
        <w:t xml:space="preserve"> </w:t>
      </w:r>
      <w:r w:rsidR="009533AA" w:rsidRPr="00FF2A2F">
        <w:rPr>
          <w:iCs/>
          <w:color w:val="auto"/>
          <w:sz w:val="21"/>
          <w:szCs w:val="21"/>
        </w:rPr>
        <w:t xml:space="preserve">The NRMDO </w:t>
      </w:r>
      <w:r w:rsidR="00F10CD4" w:rsidRPr="00FF2A2F">
        <w:rPr>
          <w:iCs/>
          <w:color w:val="auto"/>
          <w:sz w:val="21"/>
          <w:szCs w:val="21"/>
        </w:rPr>
        <w:t xml:space="preserve">improves </w:t>
      </w:r>
      <w:r w:rsidR="003359AC" w:rsidRPr="00FF2A2F">
        <w:rPr>
          <w:iCs/>
          <w:color w:val="auto"/>
          <w:sz w:val="21"/>
          <w:szCs w:val="21"/>
        </w:rPr>
        <w:t>their</w:t>
      </w:r>
      <w:r w:rsidR="00F10CD4" w:rsidRPr="00FF2A2F">
        <w:rPr>
          <w:iCs/>
          <w:color w:val="auto"/>
          <w:sz w:val="21"/>
          <w:szCs w:val="21"/>
        </w:rPr>
        <w:t xml:space="preserve"> </w:t>
      </w:r>
      <w:r w:rsidR="009533AA" w:rsidRPr="00FF2A2F">
        <w:rPr>
          <w:iCs/>
          <w:color w:val="auto"/>
          <w:sz w:val="21"/>
          <w:szCs w:val="21"/>
        </w:rPr>
        <w:t>coordinat</w:t>
      </w:r>
      <w:r w:rsidR="00F10CD4" w:rsidRPr="00FF2A2F">
        <w:rPr>
          <w:iCs/>
          <w:color w:val="auto"/>
          <w:sz w:val="21"/>
          <w:szCs w:val="21"/>
        </w:rPr>
        <w:t>ion of</w:t>
      </w:r>
      <w:r w:rsidR="009533AA" w:rsidRPr="00FF2A2F">
        <w:rPr>
          <w:iCs/>
          <w:color w:val="auto"/>
          <w:sz w:val="21"/>
          <w:szCs w:val="21"/>
        </w:rPr>
        <w:t xml:space="preserve"> responses to disaster and climate change impacts in line with DRM policy.</w:t>
      </w:r>
    </w:p>
    <w:p w14:paraId="61A527C1" w14:textId="72393EA4" w:rsidR="00EC6E7D" w:rsidRPr="00FF2A2F" w:rsidRDefault="00143426" w:rsidP="006B7677">
      <w:pPr>
        <w:pStyle w:val="ListParagraph"/>
        <w:numPr>
          <w:ilvl w:val="0"/>
          <w:numId w:val="37"/>
        </w:numPr>
        <w:rPr>
          <w:iCs/>
          <w:color w:val="auto"/>
          <w:sz w:val="21"/>
          <w:szCs w:val="21"/>
        </w:rPr>
      </w:pPr>
      <w:r w:rsidRPr="00FF2A2F">
        <w:rPr>
          <w:b/>
          <w:bCs/>
          <w:iCs/>
          <w:color w:val="auto"/>
          <w:sz w:val="21"/>
          <w:szCs w:val="21"/>
        </w:rPr>
        <w:lastRenderedPageBreak/>
        <w:t xml:space="preserve">EOPO2: </w:t>
      </w:r>
      <w:r w:rsidR="00EC6E7D" w:rsidRPr="00FF2A2F">
        <w:rPr>
          <w:iCs/>
          <w:color w:val="auto"/>
          <w:sz w:val="21"/>
          <w:szCs w:val="21"/>
        </w:rPr>
        <w:t xml:space="preserve">CSOs </w:t>
      </w:r>
      <w:r w:rsidR="00C11391" w:rsidRPr="00FF2A2F">
        <w:rPr>
          <w:iCs/>
          <w:color w:val="auto"/>
          <w:sz w:val="21"/>
          <w:szCs w:val="21"/>
        </w:rPr>
        <w:t xml:space="preserve">better </w:t>
      </w:r>
      <w:r w:rsidR="00EC6E7D" w:rsidRPr="00FF2A2F">
        <w:rPr>
          <w:iCs/>
          <w:color w:val="auto"/>
          <w:sz w:val="21"/>
          <w:szCs w:val="21"/>
        </w:rPr>
        <w:t>represent and support community DRM and climate priorities prior, during and following DRM and climate related events.</w:t>
      </w:r>
    </w:p>
    <w:p w14:paraId="5D4ABAE9" w14:textId="40858364" w:rsidR="00533235" w:rsidRPr="00FF2A2F" w:rsidRDefault="00143426" w:rsidP="006B7677">
      <w:pPr>
        <w:pStyle w:val="ListParagraph"/>
        <w:numPr>
          <w:ilvl w:val="0"/>
          <w:numId w:val="37"/>
        </w:numPr>
        <w:spacing w:before="120" w:line="260" w:lineRule="atLeast"/>
        <w:rPr>
          <w:iCs/>
          <w:color w:val="auto"/>
          <w:sz w:val="21"/>
          <w:szCs w:val="21"/>
        </w:rPr>
      </w:pPr>
      <w:r w:rsidRPr="00FF2A2F">
        <w:rPr>
          <w:b/>
          <w:bCs/>
          <w:iCs/>
          <w:color w:val="auto"/>
          <w:sz w:val="21"/>
          <w:szCs w:val="21"/>
        </w:rPr>
        <w:t xml:space="preserve">EOPO3: </w:t>
      </w:r>
      <w:r w:rsidR="003A000C" w:rsidRPr="00FF2A2F">
        <w:rPr>
          <w:iCs/>
          <w:color w:val="auto"/>
          <w:sz w:val="21"/>
          <w:szCs w:val="21"/>
        </w:rPr>
        <w:t xml:space="preserve">Stronger </w:t>
      </w:r>
      <w:r w:rsidR="003D6149" w:rsidRPr="00FF2A2F">
        <w:rPr>
          <w:iCs/>
          <w:color w:val="auto"/>
          <w:sz w:val="21"/>
          <w:szCs w:val="21"/>
        </w:rPr>
        <w:t>DRM coordination in Tonga supports effective, inclusive and locally led responses to disaster and climate change.</w:t>
      </w:r>
    </w:p>
    <w:p w14:paraId="4C0C37D0" w14:textId="56F880DC" w:rsidR="00834706" w:rsidRPr="00FF2A2F" w:rsidRDefault="00143426" w:rsidP="00760600">
      <w:pPr>
        <w:ind w:left="0" w:firstLine="0"/>
        <w:rPr>
          <w:iCs/>
          <w:color w:val="auto"/>
          <w:sz w:val="21"/>
          <w:szCs w:val="21"/>
        </w:rPr>
      </w:pPr>
      <w:r w:rsidRPr="00FF2A2F">
        <w:rPr>
          <w:iCs/>
          <w:color w:val="auto"/>
          <w:sz w:val="21"/>
          <w:szCs w:val="21"/>
        </w:rPr>
        <w:t xml:space="preserve">77.  </w:t>
      </w:r>
      <w:r w:rsidR="00834706" w:rsidRPr="00FF2A2F">
        <w:rPr>
          <w:iCs/>
          <w:color w:val="auto"/>
          <w:sz w:val="21"/>
          <w:szCs w:val="21"/>
        </w:rPr>
        <w:t>The first</w:t>
      </w:r>
      <w:r w:rsidR="00B61E14" w:rsidRPr="00FF2A2F">
        <w:rPr>
          <w:iCs/>
          <w:color w:val="auto"/>
          <w:sz w:val="21"/>
          <w:szCs w:val="21"/>
        </w:rPr>
        <w:t xml:space="preserve"> EOPO</w:t>
      </w:r>
      <w:r w:rsidR="00834706" w:rsidRPr="00FF2A2F">
        <w:rPr>
          <w:iCs/>
          <w:color w:val="auto"/>
          <w:sz w:val="21"/>
          <w:szCs w:val="21"/>
        </w:rPr>
        <w:t xml:space="preserve"> focuses on </w:t>
      </w:r>
      <w:r w:rsidR="00FA3F96" w:rsidRPr="00FF2A2F">
        <w:rPr>
          <w:iCs/>
          <w:color w:val="auto"/>
          <w:sz w:val="21"/>
          <w:szCs w:val="21"/>
        </w:rPr>
        <w:t>g</w:t>
      </w:r>
      <w:r w:rsidR="00834706" w:rsidRPr="00FF2A2F">
        <w:rPr>
          <w:iCs/>
          <w:color w:val="auto"/>
          <w:sz w:val="21"/>
          <w:szCs w:val="21"/>
        </w:rPr>
        <w:t xml:space="preserve">overnment preparedness, response and recovery, the second on civil society preparedness response and recovery and the third on strengthening connectedness across the </w:t>
      </w:r>
      <w:r w:rsidR="008C5324" w:rsidRPr="00FF2A2F">
        <w:rPr>
          <w:iCs/>
          <w:color w:val="auto"/>
          <w:sz w:val="21"/>
          <w:szCs w:val="21"/>
        </w:rPr>
        <w:t>DRM</w:t>
      </w:r>
      <w:r w:rsidR="00834706" w:rsidRPr="00FF2A2F">
        <w:rPr>
          <w:iCs/>
          <w:color w:val="auto"/>
          <w:sz w:val="21"/>
          <w:szCs w:val="21"/>
        </w:rPr>
        <w:t xml:space="preserve"> architecture in Tonga. </w:t>
      </w:r>
      <w:r w:rsidR="006F1899" w:rsidRPr="00FF2A2F">
        <w:rPr>
          <w:iCs/>
          <w:color w:val="auto"/>
          <w:sz w:val="21"/>
          <w:szCs w:val="21"/>
        </w:rPr>
        <w:t xml:space="preserve">The </w:t>
      </w:r>
      <w:r w:rsidR="003918BA" w:rsidRPr="00FF2A2F">
        <w:rPr>
          <w:iCs/>
          <w:color w:val="auto"/>
          <w:sz w:val="21"/>
          <w:szCs w:val="21"/>
        </w:rPr>
        <w:t xml:space="preserve">investment </w:t>
      </w:r>
      <w:r w:rsidR="006F1899" w:rsidRPr="00FF2A2F">
        <w:rPr>
          <w:iCs/>
          <w:color w:val="auto"/>
          <w:sz w:val="21"/>
          <w:szCs w:val="21"/>
        </w:rPr>
        <w:t xml:space="preserve">Program Logic </w:t>
      </w:r>
      <w:r w:rsidR="007C6E13" w:rsidRPr="00FF2A2F">
        <w:rPr>
          <w:iCs/>
          <w:color w:val="auto"/>
          <w:sz w:val="21"/>
          <w:szCs w:val="21"/>
        </w:rPr>
        <w:t xml:space="preserve">diagram </w:t>
      </w:r>
      <w:r w:rsidR="006F1899" w:rsidRPr="00FF2A2F">
        <w:rPr>
          <w:iCs/>
          <w:color w:val="auto"/>
          <w:sz w:val="21"/>
          <w:szCs w:val="21"/>
        </w:rPr>
        <w:t xml:space="preserve">can be found </w:t>
      </w:r>
      <w:r w:rsidR="00E606C7" w:rsidRPr="00FF2A2F">
        <w:rPr>
          <w:iCs/>
          <w:color w:val="auto"/>
          <w:sz w:val="21"/>
          <w:szCs w:val="21"/>
        </w:rPr>
        <w:t xml:space="preserve">below at </w:t>
      </w:r>
      <w:r w:rsidR="00C45716" w:rsidRPr="00FF2A2F">
        <w:rPr>
          <w:iCs/>
          <w:color w:val="auto"/>
          <w:sz w:val="21"/>
          <w:szCs w:val="21"/>
        </w:rPr>
        <w:t>F</w:t>
      </w:r>
      <w:r w:rsidR="00E606C7" w:rsidRPr="00FF2A2F">
        <w:rPr>
          <w:iCs/>
          <w:color w:val="auto"/>
          <w:sz w:val="21"/>
          <w:szCs w:val="21"/>
        </w:rPr>
        <w:t xml:space="preserve">igure 1, page </w:t>
      </w:r>
      <w:r w:rsidR="007C6E13" w:rsidRPr="00FF2A2F">
        <w:rPr>
          <w:iCs/>
          <w:color w:val="auto"/>
          <w:sz w:val="21"/>
          <w:szCs w:val="21"/>
        </w:rPr>
        <w:t>2</w:t>
      </w:r>
      <w:r w:rsidR="001C1FDE" w:rsidRPr="00FF2A2F">
        <w:rPr>
          <w:iCs/>
          <w:color w:val="auto"/>
          <w:sz w:val="21"/>
          <w:szCs w:val="21"/>
        </w:rPr>
        <w:t>4</w:t>
      </w:r>
      <w:r w:rsidR="00F8009A" w:rsidRPr="00FF2A2F">
        <w:rPr>
          <w:iCs/>
          <w:color w:val="auto"/>
          <w:sz w:val="21"/>
          <w:szCs w:val="21"/>
        </w:rPr>
        <w:t>.</w:t>
      </w:r>
      <w:r w:rsidR="005C097A" w:rsidRPr="00FF2A2F">
        <w:rPr>
          <w:iCs/>
          <w:color w:val="auto"/>
          <w:sz w:val="21"/>
          <w:szCs w:val="21"/>
        </w:rPr>
        <w:t xml:space="preserve"> </w:t>
      </w:r>
    </w:p>
    <w:p w14:paraId="0BC5FFF5" w14:textId="3C3656AE" w:rsidR="00834706" w:rsidRPr="00FF2A2F" w:rsidRDefault="00143426" w:rsidP="00760600">
      <w:pPr>
        <w:spacing w:before="120" w:line="260" w:lineRule="atLeast"/>
        <w:ind w:left="0" w:firstLine="0"/>
        <w:rPr>
          <w:b/>
          <w:bCs/>
          <w:iCs/>
          <w:color w:val="auto"/>
        </w:rPr>
      </w:pPr>
      <w:r w:rsidRPr="00FF2A2F">
        <w:rPr>
          <w:b/>
          <w:bCs/>
          <w:iCs/>
          <w:color w:val="auto"/>
        </w:rPr>
        <w:t xml:space="preserve">End of Program Outcome 1: </w:t>
      </w:r>
      <w:r w:rsidR="00834706" w:rsidRPr="00FF2A2F">
        <w:rPr>
          <w:b/>
          <w:bCs/>
          <w:iCs/>
          <w:color w:val="auto"/>
        </w:rPr>
        <w:t>Government preparedness, response and recovery</w:t>
      </w:r>
    </w:p>
    <w:p w14:paraId="189F0A54" w14:textId="53642AEC" w:rsidR="00143426" w:rsidRPr="00FF2A2F" w:rsidRDefault="00143426" w:rsidP="00760600">
      <w:pPr>
        <w:ind w:left="0" w:firstLine="0"/>
        <w:rPr>
          <w:iCs/>
          <w:color w:val="auto"/>
          <w:sz w:val="21"/>
          <w:szCs w:val="21"/>
        </w:rPr>
      </w:pPr>
      <w:r w:rsidRPr="00FF2A2F">
        <w:rPr>
          <w:iCs/>
          <w:color w:val="auto"/>
          <w:sz w:val="21"/>
          <w:szCs w:val="21"/>
        </w:rPr>
        <w:t>78.</w:t>
      </w:r>
      <w:r w:rsidRPr="00FF2A2F">
        <w:rPr>
          <w:b/>
          <w:bCs/>
          <w:iCs/>
          <w:color w:val="auto"/>
          <w:sz w:val="21"/>
          <w:szCs w:val="21"/>
        </w:rPr>
        <w:t xml:space="preserve"> </w:t>
      </w:r>
      <w:r w:rsidRPr="00FF2A2F">
        <w:rPr>
          <w:iCs/>
          <w:color w:val="auto"/>
          <w:sz w:val="21"/>
          <w:szCs w:val="21"/>
        </w:rPr>
        <w:t>EOPO1 has two intermediate outcomes:</w:t>
      </w:r>
    </w:p>
    <w:p w14:paraId="218F7C9F" w14:textId="6F906001" w:rsidR="000E712A" w:rsidRPr="00FF2A2F" w:rsidRDefault="00834706" w:rsidP="006B7677">
      <w:pPr>
        <w:pStyle w:val="ListParagraph"/>
        <w:numPr>
          <w:ilvl w:val="0"/>
          <w:numId w:val="36"/>
        </w:numPr>
        <w:spacing w:before="120" w:line="260" w:lineRule="atLeast"/>
        <w:rPr>
          <w:iCs/>
          <w:color w:val="auto"/>
          <w:sz w:val="21"/>
          <w:szCs w:val="21"/>
        </w:rPr>
      </w:pPr>
      <w:r w:rsidRPr="00FF2A2F">
        <w:rPr>
          <w:b/>
          <w:bCs/>
          <w:iCs/>
          <w:color w:val="auto"/>
          <w:sz w:val="21"/>
          <w:szCs w:val="21"/>
        </w:rPr>
        <w:t>IO 1</w:t>
      </w:r>
      <w:r w:rsidR="00A869DF" w:rsidRPr="00FF2A2F">
        <w:rPr>
          <w:b/>
          <w:bCs/>
          <w:iCs/>
          <w:color w:val="auto"/>
          <w:sz w:val="21"/>
          <w:szCs w:val="21"/>
        </w:rPr>
        <w:t>.1</w:t>
      </w:r>
      <w:r w:rsidR="00143426" w:rsidRPr="00FF2A2F">
        <w:rPr>
          <w:b/>
          <w:bCs/>
          <w:iCs/>
          <w:color w:val="auto"/>
          <w:sz w:val="21"/>
          <w:szCs w:val="21"/>
        </w:rPr>
        <w:t>:</w:t>
      </w:r>
      <w:r w:rsidR="00143426" w:rsidRPr="00FF2A2F">
        <w:rPr>
          <w:iCs/>
          <w:color w:val="auto"/>
          <w:sz w:val="21"/>
          <w:szCs w:val="21"/>
        </w:rPr>
        <w:t xml:space="preserve"> </w:t>
      </w:r>
      <w:r w:rsidR="000E712A" w:rsidRPr="00FF2A2F">
        <w:rPr>
          <w:iCs/>
          <w:color w:val="auto"/>
          <w:sz w:val="21"/>
          <w:szCs w:val="21"/>
        </w:rPr>
        <w:t>NDRMO has sufficient staff with appropriate technical expertise to implement DRM policy.</w:t>
      </w:r>
    </w:p>
    <w:p w14:paraId="331D6844" w14:textId="7B5C2EEE" w:rsidR="00FA3F96" w:rsidRPr="00FF2A2F" w:rsidRDefault="000E712A" w:rsidP="006B7677">
      <w:pPr>
        <w:pStyle w:val="ListParagraph"/>
        <w:numPr>
          <w:ilvl w:val="0"/>
          <w:numId w:val="36"/>
        </w:numPr>
        <w:spacing w:before="120" w:line="260" w:lineRule="atLeast"/>
        <w:rPr>
          <w:iCs/>
          <w:color w:val="auto"/>
          <w:sz w:val="21"/>
          <w:szCs w:val="21"/>
        </w:rPr>
      </w:pPr>
      <w:r w:rsidRPr="00FF2A2F">
        <w:rPr>
          <w:b/>
          <w:bCs/>
          <w:iCs/>
          <w:color w:val="auto"/>
          <w:sz w:val="21"/>
          <w:szCs w:val="21"/>
        </w:rPr>
        <w:t xml:space="preserve">IO </w:t>
      </w:r>
      <w:proofErr w:type="gramStart"/>
      <w:r w:rsidR="00A869DF" w:rsidRPr="00FF2A2F">
        <w:rPr>
          <w:b/>
          <w:bCs/>
          <w:iCs/>
          <w:color w:val="auto"/>
          <w:sz w:val="21"/>
          <w:szCs w:val="21"/>
        </w:rPr>
        <w:t xml:space="preserve">1.2 </w:t>
      </w:r>
      <w:r w:rsidR="00143426" w:rsidRPr="00FF2A2F">
        <w:rPr>
          <w:b/>
          <w:bCs/>
          <w:iCs/>
          <w:color w:val="auto"/>
          <w:sz w:val="21"/>
          <w:szCs w:val="21"/>
        </w:rPr>
        <w:t>:</w:t>
      </w:r>
      <w:proofErr w:type="gramEnd"/>
      <w:r w:rsidR="00143426" w:rsidRPr="00FF2A2F">
        <w:rPr>
          <w:iCs/>
          <w:color w:val="auto"/>
          <w:sz w:val="21"/>
          <w:szCs w:val="21"/>
        </w:rPr>
        <w:t xml:space="preserve"> </w:t>
      </w:r>
      <w:r w:rsidR="00C16A22" w:rsidRPr="00FF2A2F">
        <w:rPr>
          <w:iCs/>
          <w:color w:val="auto"/>
          <w:sz w:val="21"/>
          <w:szCs w:val="21"/>
        </w:rPr>
        <w:t>NDRMO has operational plans to coordinate inclusive and countrywide disaster response.</w:t>
      </w:r>
    </w:p>
    <w:p w14:paraId="0EB31379" w14:textId="19D539BD" w:rsidR="00143426" w:rsidRPr="00FF2A2F" w:rsidRDefault="00143426" w:rsidP="00760600">
      <w:pPr>
        <w:ind w:left="0" w:firstLine="0"/>
        <w:rPr>
          <w:iCs/>
          <w:color w:val="auto"/>
          <w:sz w:val="21"/>
          <w:szCs w:val="21"/>
        </w:rPr>
      </w:pPr>
      <w:r w:rsidRPr="00FF2A2F">
        <w:rPr>
          <w:iCs/>
          <w:color w:val="auto"/>
          <w:sz w:val="21"/>
          <w:szCs w:val="21"/>
        </w:rPr>
        <w:t>79.</w:t>
      </w:r>
      <w:r w:rsidRPr="00FF2A2F">
        <w:rPr>
          <w:b/>
          <w:bCs/>
          <w:iCs/>
          <w:color w:val="auto"/>
          <w:sz w:val="21"/>
          <w:szCs w:val="21"/>
        </w:rPr>
        <w:t xml:space="preserve"> </w:t>
      </w:r>
      <w:r w:rsidRPr="00FF2A2F">
        <w:rPr>
          <w:iCs/>
          <w:color w:val="auto"/>
          <w:sz w:val="21"/>
          <w:szCs w:val="21"/>
        </w:rPr>
        <w:t>To achieve the outcomes, the following outputs will occur:</w:t>
      </w:r>
    </w:p>
    <w:p w14:paraId="351838C7" w14:textId="4250C657" w:rsidR="00D020C4" w:rsidRPr="00FF2A2F" w:rsidRDefault="00547F68" w:rsidP="006B7677">
      <w:pPr>
        <w:pStyle w:val="ListParagraph"/>
        <w:numPr>
          <w:ilvl w:val="0"/>
          <w:numId w:val="36"/>
        </w:numPr>
        <w:spacing w:before="120" w:line="260" w:lineRule="atLeast"/>
        <w:rPr>
          <w:iCs/>
          <w:color w:val="auto"/>
          <w:sz w:val="21"/>
          <w:szCs w:val="21"/>
        </w:rPr>
      </w:pPr>
      <w:r w:rsidRPr="00FF2A2F">
        <w:rPr>
          <w:iCs/>
          <w:color w:val="auto"/>
          <w:sz w:val="21"/>
          <w:szCs w:val="21"/>
        </w:rPr>
        <w:t>In line positions established and filled, according to technical, capacity and locational requirements.</w:t>
      </w:r>
      <w:r w:rsidR="00D020C4" w:rsidRPr="00FF2A2F">
        <w:rPr>
          <w:iCs/>
          <w:color w:val="auto"/>
          <w:sz w:val="21"/>
          <w:szCs w:val="21"/>
        </w:rPr>
        <w:tab/>
      </w:r>
    </w:p>
    <w:p w14:paraId="14BC428B" w14:textId="0CA19079" w:rsidR="00D83B66" w:rsidRPr="00FF2A2F" w:rsidRDefault="00547F68" w:rsidP="006B7677">
      <w:pPr>
        <w:pStyle w:val="ListParagraph"/>
        <w:numPr>
          <w:ilvl w:val="0"/>
          <w:numId w:val="36"/>
        </w:numPr>
        <w:spacing w:before="120" w:line="260" w:lineRule="atLeast"/>
        <w:rPr>
          <w:iCs/>
          <w:color w:val="auto"/>
          <w:sz w:val="21"/>
          <w:szCs w:val="21"/>
        </w:rPr>
      </w:pPr>
      <w:r w:rsidRPr="00FF2A2F">
        <w:rPr>
          <w:iCs/>
          <w:color w:val="auto"/>
          <w:sz w:val="21"/>
          <w:szCs w:val="21"/>
        </w:rPr>
        <w:t>NDRMO utilises inline and in house capacity to identify and fulfil core responsibilities in line with DRM</w:t>
      </w:r>
      <w:r w:rsidR="00143426" w:rsidRPr="00FF2A2F">
        <w:rPr>
          <w:iCs/>
          <w:color w:val="auto"/>
          <w:sz w:val="21"/>
          <w:szCs w:val="21"/>
        </w:rPr>
        <w:t xml:space="preserve"> </w:t>
      </w:r>
      <w:r w:rsidRPr="00FF2A2F">
        <w:rPr>
          <w:iCs/>
          <w:color w:val="auto"/>
          <w:sz w:val="21"/>
          <w:szCs w:val="21"/>
        </w:rPr>
        <w:t>policy.</w:t>
      </w:r>
    </w:p>
    <w:p w14:paraId="4E88FAC8" w14:textId="2B74E0DC" w:rsidR="004473D3" w:rsidRPr="00FF2A2F" w:rsidRDefault="00547F68" w:rsidP="006B7677">
      <w:pPr>
        <w:pStyle w:val="ListParagraph"/>
        <w:numPr>
          <w:ilvl w:val="0"/>
          <w:numId w:val="36"/>
        </w:numPr>
        <w:spacing w:before="120" w:line="260" w:lineRule="atLeast"/>
        <w:rPr>
          <w:iCs/>
          <w:color w:val="auto"/>
          <w:sz w:val="21"/>
          <w:szCs w:val="21"/>
        </w:rPr>
      </w:pPr>
      <w:r w:rsidRPr="00FF2A2F">
        <w:rPr>
          <w:iCs/>
          <w:color w:val="auto"/>
          <w:sz w:val="21"/>
          <w:szCs w:val="21"/>
        </w:rPr>
        <w:t>NDRMO establishes working relationships with other relevant Go</w:t>
      </w:r>
      <w:r w:rsidR="00A90329" w:rsidRPr="00FF2A2F">
        <w:rPr>
          <w:iCs/>
          <w:color w:val="auto"/>
          <w:sz w:val="21"/>
          <w:szCs w:val="21"/>
        </w:rPr>
        <w:t xml:space="preserve">T </w:t>
      </w:r>
      <w:r w:rsidRPr="00FF2A2F">
        <w:rPr>
          <w:iCs/>
          <w:color w:val="auto"/>
          <w:sz w:val="21"/>
          <w:szCs w:val="21"/>
        </w:rPr>
        <w:t>ministries.</w:t>
      </w:r>
    </w:p>
    <w:p w14:paraId="3100EED4" w14:textId="77777777" w:rsidR="00760600" w:rsidRPr="00FF2A2F" w:rsidRDefault="00547F68" w:rsidP="006B7677">
      <w:pPr>
        <w:pStyle w:val="ListParagraph"/>
        <w:numPr>
          <w:ilvl w:val="0"/>
          <w:numId w:val="36"/>
        </w:numPr>
        <w:spacing w:before="120" w:line="260" w:lineRule="atLeast"/>
        <w:ind w:left="284" w:firstLine="0"/>
        <w:rPr>
          <w:color w:val="auto"/>
          <w:sz w:val="21"/>
          <w:szCs w:val="21"/>
        </w:rPr>
      </w:pPr>
      <w:r w:rsidRPr="00FF2A2F">
        <w:rPr>
          <w:iCs/>
          <w:color w:val="auto"/>
          <w:sz w:val="21"/>
          <w:szCs w:val="21"/>
        </w:rPr>
        <w:t>NDRMO establishes working relationships with relevant CSO</w:t>
      </w:r>
      <w:r w:rsidR="00C80FA8" w:rsidRPr="00FF2A2F">
        <w:rPr>
          <w:iCs/>
          <w:color w:val="auto"/>
          <w:sz w:val="21"/>
          <w:szCs w:val="21"/>
        </w:rPr>
        <w:t>s</w:t>
      </w:r>
      <w:r w:rsidRPr="00FF2A2F">
        <w:rPr>
          <w:iCs/>
          <w:color w:val="auto"/>
          <w:sz w:val="21"/>
          <w:szCs w:val="21"/>
        </w:rPr>
        <w:t xml:space="preserve"> and community level DRM implementation.</w:t>
      </w:r>
    </w:p>
    <w:p w14:paraId="04C7108C" w14:textId="22CD173B" w:rsidR="008E3A69" w:rsidRPr="00FF2A2F" w:rsidRDefault="00C064D8" w:rsidP="00760600">
      <w:pPr>
        <w:spacing w:before="120" w:line="260" w:lineRule="atLeast"/>
        <w:ind w:left="0" w:firstLine="0"/>
        <w:rPr>
          <w:iCs/>
          <w:color w:val="auto"/>
          <w:sz w:val="21"/>
          <w:szCs w:val="21"/>
        </w:rPr>
      </w:pPr>
      <w:r w:rsidRPr="00FF2A2F">
        <w:rPr>
          <w:iCs/>
          <w:color w:val="auto"/>
          <w:sz w:val="21"/>
          <w:szCs w:val="21"/>
        </w:rPr>
        <w:t xml:space="preserve">80. </w:t>
      </w:r>
      <w:r w:rsidR="008E3A69" w:rsidRPr="00FF2A2F">
        <w:rPr>
          <w:iCs/>
          <w:color w:val="auto"/>
          <w:sz w:val="21"/>
          <w:szCs w:val="21"/>
        </w:rPr>
        <w:t xml:space="preserve">Proposed inputs and activities to deliver the outputs under this IO include in line positions, direct financing, AA deployments, leveraging aligned DFAT investments, training and limited administrative support. </w:t>
      </w:r>
    </w:p>
    <w:p w14:paraId="2086008A" w14:textId="3146748E" w:rsidR="00B11018" w:rsidRPr="00FF2A2F" w:rsidRDefault="00C064D8" w:rsidP="00760600">
      <w:pPr>
        <w:spacing w:before="120" w:line="260" w:lineRule="atLeast"/>
        <w:ind w:left="0" w:firstLine="0"/>
        <w:rPr>
          <w:iCs/>
          <w:color w:val="auto"/>
          <w:sz w:val="21"/>
          <w:szCs w:val="21"/>
        </w:rPr>
      </w:pPr>
      <w:r w:rsidRPr="00FF2A2F">
        <w:rPr>
          <w:iCs/>
          <w:color w:val="auto"/>
          <w:sz w:val="21"/>
          <w:szCs w:val="21"/>
        </w:rPr>
        <w:t>81.</w:t>
      </w:r>
      <w:r w:rsidRPr="00FF2A2F">
        <w:rPr>
          <w:b/>
          <w:bCs/>
          <w:iCs/>
          <w:color w:val="auto"/>
          <w:sz w:val="21"/>
          <w:szCs w:val="21"/>
        </w:rPr>
        <w:t xml:space="preserve"> </w:t>
      </w:r>
      <w:r w:rsidRPr="00FF2A2F">
        <w:rPr>
          <w:iCs/>
          <w:color w:val="auto"/>
          <w:sz w:val="21"/>
          <w:szCs w:val="21"/>
        </w:rPr>
        <w:t>Notes on EOPO1 are as follows:</w:t>
      </w:r>
    </w:p>
    <w:p w14:paraId="5DF6AF45" w14:textId="2B467EA2" w:rsidR="003B68B5" w:rsidRPr="00FF2A2F" w:rsidRDefault="008E3A69"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Design findings indicate strong GoT interest in DRM technical advice through placement of </w:t>
      </w:r>
      <w:r w:rsidR="00D8638D" w:rsidRPr="00FF2A2F">
        <w:rPr>
          <w:iCs/>
          <w:color w:val="auto"/>
          <w:sz w:val="21"/>
          <w:szCs w:val="21"/>
        </w:rPr>
        <w:t>long-term</w:t>
      </w:r>
      <w:r w:rsidRPr="00FF2A2F">
        <w:rPr>
          <w:iCs/>
          <w:color w:val="auto"/>
          <w:sz w:val="21"/>
          <w:szCs w:val="21"/>
        </w:rPr>
        <w:t xml:space="preserve"> technical advisers, particularly in building climate resilience. I</w:t>
      </w:r>
      <w:r w:rsidR="00ED6F18" w:rsidRPr="00FF2A2F">
        <w:rPr>
          <w:iCs/>
          <w:color w:val="auto"/>
          <w:sz w:val="21"/>
          <w:szCs w:val="21"/>
        </w:rPr>
        <w:t>n line positions</w:t>
      </w:r>
      <w:r w:rsidR="000D67F2" w:rsidRPr="00FF2A2F">
        <w:rPr>
          <w:iCs/>
          <w:color w:val="auto"/>
          <w:sz w:val="21"/>
          <w:szCs w:val="21"/>
        </w:rPr>
        <w:t xml:space="preserve"> </w:t>
      </w:r>
      <w:r w:rsidRPr="00FF2A2F">
        <w:rPr>
          <w:iCs/>
          <w:color w:val="auto"/>
          <w:sz w:val="21"/>
          <w:szCs w:val="21"/>
        </w:rPr>
        <w:t xml:space="preserve">will </w:t>
      </w:r>
      <w:r w:rsidR="000D67F2" w:rsidRPr="00FF2A2F">
        <w:rPr>
          <w:iCs/>
          <w:color w:val="auto"/>
          <w:sz w:val="21"/>
          <w:szCs w:val="21"/>
        </w:rPr>
        <w:t xml:space="preserve">be placed nationally at </w:t>
      </w:r>
      <w:r w:rsidR="00ED6F18" w:rsidRPr="00FF2A2F">
        <w:rPr>
          <w:iCs/>
          <w:color w:val="auto"/>
          <w:sz w:val="21"/>
          <w:szCs w:val="21"/>
        </w:rPr>
        <w:t>the discretion of NDRMO</w:t>
      </w:r>
      <w:r w:rsidR="009602A5" w:rsidRPr="00FF2A2F">
        <w:rPr>
          <w:iCs/>
          <w:color w:val="auto"/>
          <w:sz w:val="21"/>
          <w:szCs w:val="21"/>
        </w:rPr>
        <w:t xml:space="preserve">. </w:t>
      </w:r>
      <w:r w:rsidR="00665A8B" w:rsidRPr="00FF2A2F">
        <w:rPr>
          <w:iCs/>
          <w:color w:val="auto"/>
          <w:sz w:val="21"/>
          <w:szCs w:val="21"/>
        </w:rPr>
        <w:t xml:space="preserve">Based on design discussions, </w:t>
      </w:r>
      <w:r w:rsidR="00ED6F18" w:rsidRPr="00FF2A2F">
        <w:rPr>
          <w:iCs/>
          <w:color w:val="auto"/>
          <w:sz w:val="21"/>
          <w:szCs w:val="21"/>
        </w:rPr>
        <w:t xml:space="preserve">in line positions </w:t>
      </w:r>
      <w:r w:rsidR="00D07FBF" w:rsidRPr="00FF2A2F">
        <w:rPr>
          <w:iCs/>
          <w:color w:val="auto"/>
          <w:sz w:val="21"/>
          <w:szCs w:val="21"/>
        </w:rPr>
        <w:t>will</w:t>
      </w:r>
      <w:r w:rsidR="00ED6F18" w:rsidRPr="00FF2A2F">
        <w:rPr>
          <w:iCs/>
          <w:color w:val="auto"/>
          <w:sz w:val="21"/>
          <w:szCs w:val="21"/>
        </w:rPr>
        <w:t xml:space="preserve"> be the CSO Desk Officer</w:t>
      </w:r>
      <w:r w:rsidR="00665A8B" w:rsidRPr="00FF2A2F">
        <w:rPr>
          <w:iCs/>
          <w:color w:val="auto"/>
          <w:sz w:val="21"/>
          <w:szCs w:val="21"/>
        </w:rPr>
        <w:t>, a</w:t>
      </w:r>
      <w:r w:rsidR="00E83B58" w:rsidRPr="00FF2A2F">
        <w:rPr>
          <w:iCs/>
          <w:color w:val="auto"/>
          <w:sz w:val="21"/>
          <w:szCs w:val="21"/>
        </w:rPr>
        <w:t>nd two outer island NDRMO Officers. Other in-line positions will be dictated by the needs of the NDRMO.</w:t>
      </w:r>
    </w:p>
    <w:p w14:paraId="676CF8F9" w14:textId="77777777" w:rsidR="003B68B5" w:rsidRPr="00FF2A2F" w:rsidRDefault="009602A5" w:rsidP="006B7677">
      <w:pPr>
        <w:pStyle w:val="ListParagraph"/>
        <w:numPr>
          <w:ilvl w:val="0"/>
          <w:numId w:val="37"/>
        </w:numPr>
        <w:spacing w:before="120" w:line="260" w:lineRule="atLeast"/>
        <w:rPr>
          <w:iCs/>
          <w:color w:val="auto"/>
          <w:sz w:val="21"/>
          <w:szCs w:val="21"/>
        </w:rPr>
      </w:pPr>
      <w:r w:rsidRPr="00FF2A2F">
        <w:rPr>
          <w:iCs/>
          <w:color w:val="auto"/>
          <w:sz w:val="21"/>
          <w:szCs w:val="21"/>
        </w:rPr>
        <w:t>F</w:t>
      </w:r>
      <w:r w:rsidR="00ED6F18" w:rsidRPr="00FF2A2F">
        <w:rPr>
          <w:iCs/>
          <w:color w:val="auto"/>
          <w:sz w:val="21"/>
          <w:szCs w:val="21"/>
        </w:rPr>
        <w:t>unding w</w:t>
      </w:r>
      <w:r w:rsidRPr="00FF2A2F">
        <w:rPr>
          <w:iCs/>
          <w:color w:val="auto"/>
          <w:sz w:val="21"/>
          <w:szCs w:val="21"/>
        </w:rPr>
        <w:t>ill</w:t>
      </w:r>
      <w:r w:rsidR="00ED6F18" w:rsidRPr="00FF2A2F">
        <w:rPr>
          <w:iCs/>
          <w:color w:val="auto"/>
          <w:sz w:val="21"/>
          <w:szCs w:val="21"/>
        </w:rPr>
        <w:t xml:space="preserve"> be contingent on </w:t>
      </w:r>
      <w:r w:rsidR="004852A1" w:rsidRPr="00FF2A2F">
        <w:rPr>
          <w:iCs/>
          <w:color w:val="auto"/>
          <w:sz w:val="21"/>
          <w:szCs w:val="21"/>
        </w:rPr>
        <w:t xml:space="preserve">the NDRMO </w:t>
      </w:r>
      <w:r w:rsidR="00ED6F18" w:rsidRPr="00FF2A2F">
        <w:rPr>
          <w:iCs/>
          <w:color w:val="auto"/>
          <w:sz w:val="21"/>
          <w:szCs w:val="21"/>
        </w:rPr>
        <w:t>submitting annual work plans and progress reports</w:t>
      </w:r>
      <w:r w:rsidR="000B7704" w:rsidRPr="00FF2A2F">
        <w:rPr>
          <w:iCs/>
          <w:color w:val="auto"/>
          <w:sz w:val="21"/>
          <w:szCs w:val="21"/>
        </w:rPr>
        <w:t>.</w:t>
      </w:r>
    </w:p>
    <w:p w14:paraId="2C80A581" w14:textId="224FB8B0" w:rsidR="008422EE" w:rsidRPr="00FF2A2F" w:rsidRDefault="00ED6F18" w:rsidP="006B7677">
      <w:pPr>
        <w:pStyle w:val="ListParagraph"/>
        <w:numPr>
          <w:ilvl w:val="0"/>
          <w:numId w:val="37"/>
        </w:numPr>
        <w:spacing w:before="120" w:line="260" w:lineRule="atLeast"/>
        <w:rPr>
          <w:iCs/>
          <w:color w:val="auto"/>
          <w:sz w:val="21"/>
          <w:szCs w:val="21"/>
        </w:rPr>
      </w:pPr>
      <w:r w:rsidRPr="00FF2A2F">
        <w:rPr>
          <w:iCs/>
          <w:color w:val="auto"/>
          <w:sz w:val="21"/>
          <w:szCs w:val="21"/>
        </w:rPr>
        <w:t xml:space="preserve">This </w:t>
      </w:r>
      <w:r w:rsidR="008422EE" w:rsidRPr="00FF2A2F">
        <w:rPr>
          <w:iCs/>
          <w:color w:val="auto"/>
          <w:sz w:val="21"/>
          <w:szCs w:val="21"/>
        </w:rPr>
        <w:t xml:space="preserve">will </w:t>
      </w:r>
      <w:r w:rsidRPr="00FF2A2F">
        <w:rPr>
          <w:iCs/>
          <w:color w:val="auto"/>
          <w:sz w:val="21"/>
          <w:szCs w:val="21"/>
        </w:rPr>
        <w:t xml:space="preserve">be accompanied by a </w:t>
      </w:r>
      <w:r w:rsidR="001C5F82" w:rsidRPr="00FF2A2F">
        <w:rPr>
          <w:iCs/>
          <w:color w:val="auto"/>
          <w:sz w:val="21"/>
          <w:szCs w:val="21"/>
        </w:rPr>
        <w:t>p</w:t>
      </w:r>
      <w:r w:rsidRPr="00FF2A2F">
        <w:rPr>
          <w:iCs/>
          <w:color w:val="auto"/>
          <w:sz w:val="21"/>
          <w:szCs w:val="21"/>
        </w:rPr>
        <w:t>rogram fund</w:t>
      </w:r>
      <w:r w:rsidR="001C5F82" w:rsidRPr="00FF2A2F">
        <w:rPr>
          <w:iCs/>
          <w:color w:val="auto"/>
          <w:sz w:val="21"/>
          <w:szCs w:val="21"/>
        </w:rPr>
        <w:t xml:space="preserve"> </w:t>
      </w:r>
      <w:r w:rsidRPr="00FF2A2F">
        <w:rPr>
          <w:iCs/>
          <w:color w:val="auto"/>
          <w:sz w:val="21"/>
          <w:szCs w:val="21"/>
        </w:rPr>
        <w:t xml:space="preserve">that the NDRMO can draw down on to fund activities agreed to between the NDRMO and DFAT through </w:t>
      </w:r>
      <w:r w:rsidR="001C5F82" w:rsidRPr="00FF2A2F">
        <w:rPr>
          <w:iCs/>
          <w:color w:val="auto"/>
          <w:sz w:val="21"/>
          <w:szCs w:val="21"/>
        </w:rPr>
        <w:t>the</w:t>
      </w:r>
      <w:r w:rsidRPr="00FF2A2F">
        <w:rPr>
          <w:iCs/>
          <w:color w:val="auto"/>
          <w:sz w:val="21"/>
          <w:szCs w:val="21"/>
        </w:rPr>
        <w:t xml:space="preserve"> annual work plan</w:t>
      </w:r>
      <w:r w:rsidR="001C5F82" w:rsidRPr="00FF2A2F">
        <w:rPr>
          <w:iCs/>
          <w:color w:val="auto"/>
          <w:sz w:val="21"/>
          <w:szCs w:val="21"/>
        </w:rPr>
        <w:t xml:space="preserve">. </w:t>
      </w:r>
      <w:r w:rsidRPr="00FF2A2F">
        <w:rPr>
          <w:iCs/>
          <w:color w:val="auto"/>
          <w:sz w:val="21"/>
          <w:szCs w:val="21"/>
        </w:rPr>
        <w:t>This program fund could include:</w:t>
      </w:r>
    </w:p>
    <w:p w14:paraId="20FA4ECE" w14:textId="024BC59B" w:rsidR="00ED6F18" w:rsidRPr="00FF2A2F" w:rsidRDefault="00ED6F18" w:rsidP="006B7677">
      <w:pPr>
        <w:pStyle w:val="ListParagraph"/>
        <w:numPr>
          <w:ilvl w:val="0"/>
          <w:numId w:val="26"/>
        </w:numPr>
        <w:spacing w:before="120" w:line="240" w:lineRule="auto"/>
        <w:contextualSpacing w:val="0"/>
        <w:rPr>
          <w:iCs/>
          <w:color w:val="auto"/>
          <w:sz w:val="21"/>
          <w:szCs w:val="21"/>
        </w:rPr>
      </w:pPr>
      <w:r w:rsidRPr="00FF2A2F">
        <w:rPr>
          <w:iCs/>
          <w:color w:val="auto"/>
          <w:sz w:val="21"/>
          <w:szCs w:val="21"/>
        </w:rPr>
        <w:t xml:space="preserve">NDRMO hiring CSOs to </w:t>
      </w:r>
      <w:r w:rsidR="001C5F82" w:rsidRPr="00FF2A2F">
        <w:rPr>
          <w:iCs/>
          <w:color w:val="auto"/>
          <w:sz w:val="21"/>
          <w:szCs w:val="21"/>
        </w:rPr>
        <w:t>develop</w:t>
      </w:r>
      <w:r w:rsidRPr="00FF2A2F">
        <w:rPr>
          <w:iCs/>
          <w:color w:val="auto"/>
          <w:sz w:val="21"/>
          <w:szCs w:val="21"/>
        </w:rPr>
        <w:t xml:space="preserve"> village emergency</w:t>
      </w:r>
      <w:r w:rsidR="001C5F82" w:rsidRPr="00FF2A2F">
        <w:rPr>
          <w:iCs/>
          <w:color w:val="auto"/>
          <w:sz w:val="21"/>
          <w:szCs w:val="21"/>
        </w:rPr>
        <w:t xml:space="preserve"> / DRM </w:t>
      </w:r>
      <w:r w:rsidRPr="00FF2A2F">
        <w:rPr>
          <w:iCs/>
          <w:color w:val="auto"/>
          <w:sz w:val="21"/>
          <w:szCs w:val="21"/>
        </w:rPr>
        <w:t>plans</w:t>
      </w:r>
    </w:p>
    <w:p w14:paraId="3DADF2BA" w14:textId="67A8EEBB" w:rsidR="00ED6F18" w:rsidRPr="00FF2A2F" w:rsidRDefault="00ED6F18" w:rsidP="006B7677">
      <w:pPr>
        <w:pStyle w:val="ListParagraph"/>
        <w:numPr>
          <w:ilvl w:val="0"/>
          <w:numId w:val="26"/>
        </w:numPr>
        <w:spacing w:before="120" w:line="240" w:lineRule="auto"/>
        <w:contextualSpacing w:val="0"/>
        <w:rPr>
          <w:iCs/>
          <w:color w:val="auto"/>
          <w:sz w:val="21"/>
          <w:szCs w:val="21"/>
        </w:rPr>
      </w:pPr>
      <w:r w:rsidRPr="00FF2A2F">
        <w:rPr>
          <w:iCs/>
          <w:color w:val="auto"/>
          <w:sz w:val="21"/>
          <w:szCs w:val="21"/>
        </w:rPr>
        <w:t xml:space="preserve">Training courses </w:t>
      </w:r>
      <w:r w:rsidR="008422EE" w:rsidRPr="00FF2A2F">
        <w:rPr>
          <w:iCs/>
          <w:color w:val="auto"/>
          <w:sz w:val="21"/>
          <w:szCs w:val="21"/>
        </w:rPr>
        <w:t>and</w:t>
      </w:r>
      <w:r w:rsidRPr="00FF2A2F">
        <w:rPr>
          <w:iCs/>
          <w:color w:val="auto"/>
          <w:sz w:val="21"/>
          <w:szCs w:val="21"/>
        </w:rPr>
        <w:t xml:space="preserve"> hosting seminars</w:t>
      </w:r>
    </w:p>
    <w:p w14:paraId="00B5AB4F" w14:textId="3F5CB6D9" w:rsidR="00C42641" w:rsidRPr="00FF2A2F" w:rsidRDefault="00ED6F18" w:rsidP="006B7677">
      <w:pPr>
        <w:pStyle w:val="ListParagraph"/>
        <w:numPr>
          <w:ilvl w:val="0"/>
          <w:numId w:val="26"/>
        </w:numPr>
        <w:spacing w:before="120" w:line="240" w:lineRule="auto"/>
        <w:contextualSpacing w:val="0"/>
        <w:rPr>
          <w:iCs/>
          <w:color w:val="auto"/>
          <w:sz w:val="21"/>
          <w:szCs w:val="21"/>
        </w:rPr>
      </w:pPr>
      <w:r w:rsidRPr="00FF2A2F">
        <w:rPr>
          <w:iCs/>
          <w:color w:val="auto"/>
          <w:sz w:val="21"/>
          <w:szCs w:val="21"/>
        </w:rPr>
        <w:t>New technology</w:t>
      </w:r>
      <w:r w:rsidR="007F7ECF" w:rsidRPr="00FF2A2F">
        <w:rPr>
          <w:iCs/>
          <w:color w:val="auto"/>
          <w:sz w:val="21"/>
          <w:szCs w:val="21"/>
        </w:rPr>
        <w:t xml:space="preserve">, for example, </w:t>
      </w:r>
      <w:r w:rsidRPr="00FF2A2F">
        <w:rPr>
          <w:iCs/>
          <w:color w:val="auto"/>
          <w:sz w:val="21"/>
          <w:szCs w:val="21"/>
        </w:rPr>
        <w:t>tsunami sirens, EQ monitors</w:t>
      </w:r>
    </w:p>
    <w:p w14:paraId="1664CB76" w14:textId="2278CA63" w:rsidR="003672BF" w:rsidRPr="00FF2A2F" w:rsidRDefault="00305124"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The </w:t>
      </w:r>
      <w:r w:rsidR="003918BA" w:rsidRPr="00FF2A2F">
        <w:rPr>
          <w:iCs/>
          <w:color w:val="auto"/>
          <w:sz w:val="21"/>
          <w:szCs w:val="21"/>
        </w:rPr>
        <w:t xml:space="preserve">investment </w:t>
      </w:r>
      <w:r w:rsidRPr="00FF2A2F">
        <w:rPr>
          <w:iCs/>
          <w:color w:val="auto"/>
          <w:sz w:val="21"/>
          <w:szCs w:val="21"/>
        </w:rPr>
        <w:t>will</w:t>
      </w:r>
      <w:r w:rsidR="00EC692C" w:rsidRPr="00FF2A2F">
        <w:rPr>
          <w:iCs/>
          <w:color w:val="auto"/>
          <w:sz w:val="21"/>
          <w:szCs w:val="21"/>
        </w:rPr>
        <w:t xml:space="preserve"> </w:t>
      </w:r>
      <w:r w:rsidRPr="00FF2A2F">
        <w:rPr>
          <w:iCs/>
          <w:color w:val="auto"/>
          <w:sz w:val="21"/>
          <w:szCs w:val="21"/>
        </w:rPr>
        <w:t>c</w:t>
      </w:r>
      <w:r w:rsidR="00C42641" w:rsidRPr="00FF2A2F">
        <w:rPr>
          <w:iCs/>
          <w:color w:val="auto"/>
          <w:sz w:val="21"/>
          <w:szCs w:val="21"/>
        </w:rPr>
        <w:t>oordinate with the A</w:t>
      </w:r>
      <w:r w:rsidR="00F34579" w:rsidRPr="00FF2A2F">
        <w:rPr>
          <w:iCs/>
          <w:color w:val="auto"/>
          <w:sz w:val="21"/>
          <w:szCs w:val="21"/>
        </w:rPr>
        <w:t xml:space="preserve">A </w:t>
      </w:r>
      <w:r w:rsidR="00C42641" w:rsidRPr="00FF2A2F">
        <w:rPr>
          <w:iCs/>
          <w:color w:val="auto"/>
          <w:sz w:val="21"/>
          <w:szCs w:val="21"/>
        </w:rPr>
        <w:t>program to identify and deploy technical advisers for</w:t>
      </w:r>
      <w:r w:rsidR="00E83B58" w:rsidRPr="00FF2A2F">
        <w:rPr>
          <w:iCs/>
          <w:color w:val="auto"/>
          <w:sz w:val="21"/>
          <w:szCs w:val="21"/>
        </w:rPr>
        <w:t xml:space="preserve"> short- and long-term</w:t>
      </w:r>
      <w:r w:rsidR="00C42641" w:rsidRPr="00FF2A2F">
        <w:rPr>
          <w:iCs/>
          <w:color w:val="auto"/>
          <w:sz w:val="21"/>
          <w:szCs w:val="21"/>
        </w:rPr>
        <w:t xml:space="preserve"> placements with the NDRMO. </w:t>
      </w:r>
      <w:r w:rsidR="00933CC2" w:rsidRPr="00FF2A2F">
        <w:rPr>
          <w:iCs/>
          <w:color w:val="auto"/>
          <w:sz w:val="21"/>
          <w:szCs w:val="21"/>
        </w:rPr>
        <w:t>T</w:t>
      </w:r>
      <w:r w:rsidR="00C42641" w:rsidRPr="00FF2A2F">
        <w:rPr>
          <w:iCs/>
          <w:color w:val="auto"/>
          <w:sz w:val="21"/>
          <w:szCs w:val="21"/>
        </w:rPr>
        <w:t>he investment will be responsive to emerging technical advice priorities of the government and in line with the A</w:t>
      </w:r>
      <w:r w:rsidR="00F34579" w:rsidRPr="00FF2A2F">
        <w:rPr>
          <w:iCs/>
          <w:color w:val="auto"/>
          <w:sz w:val="21"/>
          <w:szCs w:val="21"/>
        </w:rPr>
        <w:t>A</w:t>
      </w:r>
      <w:r w:rsidR="00C42641" w:rsidRPr="00FF2A2F">
        <w:rPr>
          <w:iCs/>
          <w:color w:val="auto"/>
          <w:sz w:val="21"/>
          <w:szCs w:val="21"/>
        </w:rPr>
        <w:t xml:space="preserve"> country plans.</w:t>
      </w:r>
    </w:p>
    <w:p w14:paraId="4C14E1CB" w14:textId="024D2E0A" w:rsidR="00EC5D0C"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Building on previous government experience </w:t>
      </w:r>
      <w:r w:rsidR="00E83B58" w:rsidRPr="00FF2A2F">
        <w:rPr>
          <w:iCs/>
          <w:color w:val="auto"/>
          <w:sz w:val="21"/>
          <w:szCs w:val="21"/>
        </w:rPr>
        <w:t xml:space="preserve">and effectiveness </w:t>
      </w:r>
      <w:r w:rsidRPr="00FF2A2F">
        <w:rPr>
          <w:iCs/>
          <w:color w:val="auto"/>
          <w:sz w:val="21"/>
          <w:szCs w:val="21"/>
        </w:rPr>
        <w:t xml:space="preserve">in providing cash top-ups through established social protection mechanisms, the </w:t>
      </w:r>
      <w:r w:rsidR="0070729B" w:rsidRPr="00FF2A2F">
        <w:rPr>
          <w:iCs/>
          <w:color w:val="auto"/>
          <w:sz w:val="21"/>
          <w:szCs w:val="21"/>
        </w:rPr>
        <w:t>investment</w:t>
      </w:r>
      <w:r w:rsidRPr="00FF2A2F">
        <w:rPr>
          <w:iCs/>
          <w:color w:val="auto"/>
          <w:sz w:val="21"/>
          <w:szCs w:val="21"/>
        </w:rPr>
        <w:t xml:space="preserve"> (led by DFAT)</w:t>
      </w:r>
      <w:r w:rsidR="00524D06" w:rsidRPr="00FF2A2F">
        <w:rPr>
          <w:iCs/>
          <w:color w:val="auto"/>
          <w:sz w:val="21"/>
          <w:szCs w:val="21"/>
        </w:rPr>
        <w:t xml:space="preserve"> </w:t>
      </w:r>
      <w:r w:rsidRPr="00FF2A2F">
        <w:rPr>
          <w:iCs/>
          <w:color w:val="auto"/>
          <w:sz w:val="21"/>
          <w:szCs w:val="21"/>
        </w:rPr>
        <w:t xml:space="preserve">will partner with P4SP to assess the viability of standardising this as a response option. P4SP provides social protection policy and program advice to the </w:t>
      </w:r>
      <w:r w:rsidR="00403EA9" w:rsidRPr="00FF2A2F">
        <w:rPr>
          <w:iCs/>
          <w:color w:val="auto"/>
          <w:sz w:val="21"/>
          <w:szCs w:val="21"/>
        </w:rPr>
        <w:t>GoT</w:t>
      </w:r>
      <w:r w:rsidRPr="00FF2A2F">
        <w:rPr>
          <w:iCs/>
          <w:color w:val="auto"/>
          <w:sz w:val="21"/>
          <w:szCs w:val="21"/>
        </w:rPr>
        <w:t>, including on reforms and system strengthening of the schemes for the elderly and people with</w:t>
      </w:r>
      <w:r w:rsidR="000743BC" w:rsidRPr="00FF2A2F">
        <w:rPr>
          <w:iCs/>
          <w:color w:val="auto"/>
          <w:sz w:val="21"/>
          <w:szCs w:val="21"/>
        </w:rPr>
        <w:t xml:space="preserve"> </w:t>
      </w:r>
      <w:r w:rsidRPr="00FF2A2F">
        <w:rPr>
          <w:iCs/>
          <w:color w:val="auto"/>
          <w:sz w:val="21"/>
          <w:szCs w:val="21"/>
        </w:rPr>
        <w:t xml:space="preserve">disability. As part of P4SP’s commitment to system strengthening, it is proposed P4SP facilitate the development of operational processes for top-up payments before or during a disaster response and support implementation of these arrangements. </w:t>
      </w:r>
      <w:r w:rsidR="00F4378E" w:rsidRPr="00FF2A2F">
        <w:rPr>
          <w:iCs/>
          <w:color w:val="auto"/>
          <w:sz w:val="21"/>
          <w:szCs w:val="21"/>
        </w:rPr>
        <w:t>Th</w:t>
      </w:r>
      <w:r w:rsidR="00806BC1" w:rsidRPr="00FF2A2F">
        <w:rPr>
          <w:iCs/>
          <w:color w:val="auto"/>
          <w:sz w:val="21"/>
          <w:szCs w:val="21"/>
        </w:rPr>
        <w:t xml:space="preserve">ese top-up payments </w:t>
      </w:r>
      <w:r w:rsidR="000A7187" w:rsidRPr="00FF2A2F">
        <w:rPr>
          <w:iCs/>
          <w:color w:val="auto"/>
          <w:sz w:val="21"/>
          <w:szCs w:val="21"/>
        </w:rPr>
        <w:t xml:space="preserve">will target those most in need, which </w:t>
      </w:r>
      <w:r w:rsidR="00806BC1" w:rsidRPr="00FF2A2F">
        <w:rPr>
          <w:iCs/>
          <w:color w:val="auto"/>
          <w:sz w:val="21"/>
          <w:szCs w:val="21"/>
        </w:rPr>
        <w:t xml:space="preserve">may </w:t>
      </w:r>
      <w:r w:rsidR="000A7187" w:rsidRPr="00FF2A2F">
        <w:rPr>
          <w:iCs/>
          <w:color w:val="auto"/>
          <w:sz w:val="21"/>
          <w:szCs w:val="21"/>
        </w:rPr>
        <w:t>include</w:t>
      </w:r>
      <w:r w:rsidR="00806BC1" w:rsidRPr="00FF2A2F">
        <w:rPr>
          <w:iCs/>
          <w:color w:val="auto"/>
          <w:sz w:val="21"/>
          <w:szCs w:val="21"/>
        </w:rPr>
        <w:t xml:space="preserve"> </w:t>
      </w:r>
      <w:r w:rsidR="00997564" w:rsidRPr="00FF2A2F">
        <w:rPr>
          <w:iCs/>
          <w:color w:val="auto"/>
          <w:sz w:val="21"/>
          <w:szCs w:val="21"/>
        </w:rPr>
        <w:t>female-</w:t>
      </w:r>
      <w:r w:rsidR="003A0BCE" w:rsidRPr="00FF2A2F">
        <w:rPr>
          <w:iCs/>
          <w:color w:val="auto"/>
          <w:sz w:val="21"/>
          <w:szCs w:val="21"/>
        </w:rPr>
        <w:t xml:space="preserve"> or child-</w:t>
      </w:r>
      <w:r w:rsidR="00806BC1" w:rsidRPr="00FF2A2F">
        <w:rPr>
          <w:iCs/>
          <w:color w:val="auto"/>
          <w:sz w:val="21"/>
          <w:szCs w:val="21"/>
        </w:rPr>
        <w:t>headed households</w:t>
      </w:r>
      <w:r w:rsidR="000A7187" w:rsidRPr="00FF2A2F">
        <w:rPr>
          <w:iCs/>
          <w:color w:val="auto"/>
          <w:sz w:val="21"/>
          <w:szCs w:val="21"/>
        </w:rPr>
        <w:t xml:space="preserve">. </w:t>
      </w:r>
      <w:r w:rsidRPr="00FF2A2F">
        <w:rPr>
          <w:iCs/>
          <w:color w:val="auto"/>
          <w:sz w:val="21"/>
          <w:szCs w:val="21"/>
        </w:rPr>
        <w:t>Any eventual top-up</w:t>
      </w:r>
      <w:r w:rsidR="000743BC" w:rsidRPr="00FF2A2F">
        <w:rPr>
          <w:iCs/>
          <w:color w:val="auto"/>
          <w:sz w:val="21"/>
          <w:szCs w:val="21"/>
        </w:rPr>
        <w:t xml:space="preserve"> funding</w:t>
      </w:r>
      <w:r w:rsidRPr="00FF2A2F">
        <w:rPr>
          <w:iCs/>
          <w:color w:val="auto"/>
          <w:sz w:val="21"/>
          <w:szCs w:val="21"/>
        </w:rPr>
        <w:t xml:space="preserve"> would come from th</w:t>
      </w:r>
      <w:r w:rsidR="0070729B" w:rsidRPr="00FF2A2F">
        <w:rPr>
          <w:iCs/>
          <w:color w:val="auto"/>
          <w:sz w:val="21"/>
          <w:szCs w:val="21"/>
        </w:rPr>
        <w:t>is investment</w:t>
      </w:r>
      <w:r w:rsidRPr="00FF2A2F">
        <w:rPr>
          <w:iCs/>
          <w:color w:val="auto"/>
          <w:sz w:val="21"/>
          <w:szCs w:val="21"/>
        </w:rPr>
        <w:t xml:space="preserve">. The recommended approach is for P4SP as technical social protection </w:t>
      </w:r>
      <w:proofErr w:type="gramStart"/>
      <w:r w:rsidRPr="00FF2A2F">
        <w:rPr>
          <w:iCs/>
          <w:color w:val="auto"/>
          <w:sz w:val="21"/>
          <w:szCs w:val="21"/>
        </w:rPr>
        <w:t>lead</w:t>
      </w:r>
      <w:proofErr w:type="gramEnd"/>
      <w:r w:rsidRPr="00FF2A2F">
        <w:rPr>
          <w:iCs/>
          <w:color w:val="auto"/>
          <w:sz w:val="21"/>
          <w:szCs w:val="21"/>
        </w:rPr>
        <w:t xml:space="preserve"> to review the existing social protection schemes, support the development of standing operating procedures for top-ups, and support implementing arrangements and policy reform if required.</w:t>
      </w:r>
      <w:r w:rsidR="00F62EFF" w:rsidRPr="00FF2A2F">
        <w:rPr>
          <w:iCs/>
          <w:color w:val="auto"/>
          <w:sz w:val="21"/>
          <w:szCs w:val="21"/>
        </w:rPr>
        <w:t xml:space="preserve"> </w:t>
      </w:r>
      <w:r w:rsidR="004C3DAC" w:rsidRPr="00FF2A2F">
        <w:rPr>
          <w:iCs/>
          <w:color w:val="auto"/>
          <w:sz w:val="21"/>
          <w:szCs w:val="21"/>
        </w:rPr>
        <w:t>The Ministry of Finance and National Retirement Benefit Fund</w:t>
      </w:r>
      <w:r w:rsidR="00FE0B9A" w:rsidRPr="00FF2A2F">
        <w:rPr>
          <w:iCs/>
          <w:color w:val="auto"/>
          <w:sz w:val="21"/>
          <w:szCs w:val="21"/>
        </w:rPr>
        <w:t>, as well as the NDRMO,</w:t>
      </w:r>
      <w:r w:rsidR="004C3DAC" w:rsidRPr="00FF2A2F">
        <w:rPr>
          <w:iCs/>
          <w:color w:val="auto"/>
          <w:sz w:val="21"/>
          <w:szCs w:val="21"/>
        </w:rPr>
        <w:t xml:space="preserve"> are identified as key stakeholder</w:t>
      </w:r>
      <w:r w:rsidR="00406BDA" w:rsidRPr="00FF2A2F">
        <w:rPr>
          <w:iCs/>
          <w:color w:val="auto"/>
          <w:sz w:val="21"/>
          <w:szCs w:val="21"/>
        </w:rPr>
        <w:t xml:space="preserve">s and decision makers in this process. </w:t>
      </w:r>
    </w:p>
    <w:p w14:paraId="19D60F05" w14:textId="0B305DE4"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lastRenderedPageBreak/>
        <w:t>Response and recovery support to the GoT will be ‘opened’</w:t>
      </w:r>
      <w:r w:rsidR="009B6F94" w:rsidRPr="00FF2A2F">
        <w:rPr>
          <w:iCs/>
          <w:color w:val="auto"/>
          <w:sz w:val="21"/>
          <w:szCs w:val="21"/>
        </w:rPr>
        <w:t xml:space="preserve"> as </w:t>
      </w:r>
      <w:r w:rsidR="003F7863" w:rsidRPr="00FF2A2F">
        <w:rPr>
          <w:iCs/>
          <w:color w:val="auto"/>
          <w:sz w:val="21"/>
          <w:szCs w:val="21"/>
        </w:rPr>
        <w:t>activities</w:t>
      </w:r>
      <w:r w:rsidRPr="00FF2A2F">
        <w:rPr>
          <w:iCs/>
          <w:color w:val="auto"/>
          <w:sz w:val="21"/>
          <w:szCs w:val="21"/>
        </w:rPr>
        <w:t xml:space="preserve"> under the investment as surge support following a disaster. </w:t>
      </w:r>
      <w:r w:rsidR="0034300D" w:rsidRPr="00FF2A2F">
        <w:rPr>
          <w:iCs/>
          <w:color w:val="auto"/>
          <w:sz w:val="21"/>
          <w:szCs w:val="21"/>
        </w:rPr>
        <w:t>Post</w:t>
      </w:r>
      <w:r w:rsidRPr="00FF2A2F">
        <w:rPr>
          <w:iCs/>
          <w:color w:val="auto"/>
          <w:sz w:val="21"/>
          <w:szCs w:val="21"/>
        </w:rPr>
        <w:t>’s funding is likely to be augmented with funding from DFAT Canberra to implement response and recovery activities, depending on the size of the disaster. When supporting the response and recovery phases, the investment will respond to government needs based on consultation with the NDRMO, relevant cluster appeals and government-led assessments.</w:t>
      </w:r>
      <w:r w:rsidR="00A47F68" w:rsidRPr="00FF2A2F">
        <w:rPr>
          <w:iCs/>
          <w:color w:val="auto"/>
          <w:sz w:val="21"/>
          <w:szCs w:val="21"/>
        </w:rPr>
        <w:t xml:space="preserve"> </w:t>
      </w:r>
      <w:r w:rsidR="001B7E63" w:rsidRPr="00FF2A2F">
        <w:rPr>
          <w:iCs/>
          <w:color w:val="auto"/>
          <w:sz w:val="21"/>
          <w:szCs w:val="21"/>
        </w:rPr>
        <w:t>Preposition</w:t>
      </w:r>
      <w:r w:rsidR="00A47F68" w:rsidRPr="00FF2A2F">
        <w:rPr>
          <w:iCs/>
          <w:color w:val="auto"/>
          <w:sz w:val="21"/>
          <w:szCs w:val="21"/>
        </w:rPr>
        <w:t>ed</w:t>
      </w:r>
      <w:r w:rsidR="001B7E63" w:rsidRPr="00FF2A2F">
        <w:rPr>
          <w:iCs/>
          <w:color w:val="auto"/>
          <w:sz w:val="21"/>
          <w:szCs w:val="21"/>
        </w:rPr>
        <w:t xml:space="preserve"> humanitarian emergency relief supplies</w:t>
      </w:r>
      <w:r w:rsidR="00A47F68" w:rsidRPr="00FF2A2F">
        <w:rPr>
          <w:iCs/>
          <w:color w:val="auto"/>
          <w:sz w:val="21"/>
          <w:szCs w:val="21"/>
        </w:rPr>
        <w:t xml:space="preserve"> </w:t>
      </w:r>
      <w:r w:rsidR="00EB215C" w:rsidRPr="00FF2A2F">
        <w:rPr>
          <w:iCs/>
          <w:color w:val="auto"/>
          <w:sz w:val="21"/>
          <w:szCs w:val="21"/>
        </w:rPr>
        <w:t>will be</w:t>
      </w:r>
      <w:r w:rsidR="00A47F68" w:rsidRPr="00FF2A2F">
        <w:rPr>
          <w:iCs/>
          <w:color w:val="auto"/>
          <w:sz w:val="21"/>
          <w:szCs w:val="21"/>
        </w:rPr>
        <w:t xml:space="preserve"> made available to government </w:t>
      </w:r>
      <w:r w:rsidR="001B7E63" w:rsidRPr="00FF2A2F">
        <w:rPr>
          <w:iCs/>
          <w:color w:val="auto"/>
          <w:sz w:val="21"/>
          <w:szCs w:val="21"/>
        </w:rPr>
        <w:t>through a range of mechanisms: a) financial support to purchase their own supplies, b) through the PHWP, and c) the HLC.</w:t>
      </w:r>
      <w:r w:rsidR="0087244D" w:rsidRPr="00FF2A2F">
        <w:rPr>
          <w:iCs/>
          <w:color w:val="auto"/>
          <w:sz w:val="21"/>
          <w:szCs w:val="21"/>
        </w:rPr>
        <w:t xml:space="preserve"> (see Conditional Outcome 4</w:t>
      </w:r>
      <w:r w:rsidR="00244F89" w:rsidRPr="00FF2A2F">
        <w:rPr>
          <w:iCs/>
          <w:color w:val="auto"/>
          <w:sz w:val="21"/>
          <w:szCs w:val="21"/>
        </w:rPr>
        <w:t>)</w:t>
      </w:r>
    </w:p>
    <w:p w14:paraId="127FDAA7" w14:textId="4A5F77C3" w:rsidR="00C064D8" w:rsidRPr="00FF2A2F" w:rsidRDefault="00C21C71"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A fiduciary risk assessment of the NDRMO will be undertaken given the increase in </w:t>
      </w:r>
      <w:r w:rsidR="009D0AE6" w:rsidRPr="00FF2A2F">
        <w:rPr>
          <w:iCs/>
          <w:color w:val="auto"/>
          <w:sz w:val="21"/>
          <w:szCs w:val="21"/>
        </w:rPr>
        <w:t xml:space="preserve">their </w:t>
      </w:r>
      <w:r w:rsidRPr="00FF2A2F">
        <w:rPr>
          <w:iCs/>
          <w:color w:val="auto"/>
          <w:sz w:val="21"/>
          <w:szCs w:val="21"/>
        </w:rPr>
        <w:t xml:space="preserve">funding </w:t>
      </w:r>
      <w:r w:rsidR="003A4BD3" w:rsidRPr="00FF2A2F">
        <w:rPr>
          <w:iCs/>
          <w:color w:val="auto"/>
          <w:sz w:val="21"/>
          <w:szCs w:val="21"/>
        </w:rPr>
        <w:t>pro</w:t>
      </w:r>
      <w:r w:rsidR="009D0AE6" w:rsidRPr="00FF2A2F">
        <w:rPr>
          <w:iCs/>
          <w:color w:val="auto"/>
          <w:sz w:val="21"/>
          <w:szCs w:val="21"/>
        </w:rPr>
        <w:t>posed</w:t>
      </w:r>
      <w:r w:rsidR="003A4BD3" w:rsidRPr="00FF2A2F">
        <w:rPr>
          <w:iCs/>
          <w:color w:val="auto"/>
          <w:sz w:val="21"/>
          <w:szCs w:val="21"/>
        </w:rPr>
        <w:t xml:space="preserve"> by this investment (see</w:t>
      </w:r>
      <w:r w:rsidR="007407CC" w:rsidRPr="00FF2A2F">
        <w:rPr>
          <w:iCs/>
          <w:color w:val="auto"/>
          <w:sz w:val="21"/>
          <w:szCs w:val="21"/>
        </w:rPr>
        <w:t xml:space="preserve"> Section J: Risk Management and Safeguards)</w:t>
      </w:r>
      <w:r w:rsidR="00684EFA" w:rsidRPr="00FF2A2F">
        <w:rPr>
          <w:iCs/>
          <w:color w:val="auto"/>
          <w:sz w:val="21"/>
          <w:szCs w:val="21"/>
        </w:rPr>
        <w:t>.</w:t>
      </w:r>
      <w:r w:rsidR="00761768" w:rsidRPr="00FF2A2F">
        <w:rPr>
          <w:iCs/>
          <w:color w:val="auto"/>
          <w:sz w:val="21"/>
          <w:szCs w:val="21"/>
        </w:rPr>
        <w:t xml:space="preserve"> </w:t>
      </w:r>
    </w:p>
    <w:p w14:paraId="6D0618CE" w14:textId="04A39460" w:rsidR="00C064D8" w:rsidRPr="00FF2A2F" w:rsidRDefault="00C064D8" w:rsidP="00760600">
      <w:pPr>
        <w:spacing w:before="120" w:line="260" w:lineRule="atLeast"/>
        <w:ind w:left="0" w:firstLine="0"/>
        <w:rPr>
          <w:b/>
          <w:bCs/>
          <w:iCs/>
          <w:color w:val="auto"/>
        </w:rPr>
      </w:pPr>
      <w:r w:rsidRPr="00FF2A2F">
        <w:rPr>
          <w:b/>
          <w:bCs/>
          <w:iCs/>
          <w:color w:val="auto"/>
        </w:rPr>
        <w:t>End of Program Outcome 2: society preparedness, response and recovery</w:t>
      </w:r>
    </w:p>
    <w:p w14:paraId="742B5AA5" w14:textId="66956077" w:rsidR="00834706" w:rsidRPr="00FF2A2F" w:rsidRDefault="00C064D8" w:rsidP="00760600">
      <w:pPr>
        <w:ind w:left="0" w:firstLine="0"/>
        <w:rPr>
          <w:iCs/>
          <w:color w:val="auto"/>
          <w:sz w:val="21"/>
          <w:szCs w:val="21"/>
        </w:rPr>
      </w:pPr>
      <w:r w:rsidRPr="00FF2A2F">
        <w:rPr>
          <w:iCs/>
          <w:color w:val="auto"/>
          <w:sz w:val="21"/>
          <w:szCs w:val="21"/>
        </w:rPr>
        <w:t>82.</w:t>
      </w:r>
      <w:r w:rsidRPr="00FF2A2F">
        <w:rPr>
          <w:b/>
          <w:bCs/>
          <w:iCs/>
          <w:color w:val="auto"/>
          <w:sz w:val="21"/>
          <w:szCs w:val="21"/>
        </w:rPr>
        <w:t xml:space="preserve"> </w:t>
      </w:r>
      <w:r w:rsidRPr="00FF2A2F">
        <w:rPr>
          <w:iCs/>
          <w:color w:val="auto"/>
          <w:sz w:val="21"/>
          <w:szCs w:val="21"/>
        </w:rPr>
        <w:t>EOPO2 has two intermediate outcomes:</w:t>
      </w:r>
    </w:p>
    <w:p w14:paraId="1B852077" w14:textId="07F49249" w:rsidR="0012047F" w:rsidRPr="00FF2A2F" w:rsidRDefault="00981F9D" w:rsidP="006B7677">
      <w:pPr>
        <w:pStyle w:val="ListParagraph"/>
        <w:numPr>
          <w:ilvl w:val="0"/>
          <w:numId w:val="36"/>
        </w:numPr>
        <w:spacing w:before="120" w:line="260" w:lineRule="atLeast"/>
        <w:rPr>
          <w:iCs/>
          <w:color w:val="auto"/>
          <w:sz w:val="21"/>
          <w:szCs w:val="21"/>
        </w:rPr>
      </w:pPr>
      <w:r w:rsidRPr="00FF2A2F">
        <w:rPr>
          <w:b/>
          <w:bCs/>
          <w:iCs/>
          <w:color w:val="auto"/>
          <w:sz w:val="21"/>
          <w:szCs w:val="21"/>
        </w:rPr>
        <w:t>IO 2.1</w:t>
      </w:r>
      <w:r w:rsidR="00C064D8" w:rsidRPr="00FF2A2F">
        <w:rPr>
          <w:b/>
          <w:bCs/>
          <w:iCs/>
          <w:color w:val="auto"/>
          <w:sz w:val="21"/>
          <w:szCs w:val="21"/>
        </w:rPr>
        <w:t>:</w:t>
      </w:r>
      <w:r w:rsidR="00C064D8" w:rsidRPr="00FF2A2F">
        <w:rPr>
          <w:iCs/>
          <w:color w:val="auto"/>
          <w:sz w:val="21"/>
          <w:szCs w:val="21"/>
        </w:rPr>
        <w:t xml:space="preserve"> </w:t>
      </w:r>
      <w:r w:rsidR="006B5A10" w:rsidRPr="00FF2A2F">
        <w:rPr>
          <w:iCs/>
          <w:color w:val="auto"/>
          <w:sz w:val="21"/>
          <w:szCs w:val="21"/>
        </w:rPr>
        <w:t xml:space="preserve">Select </w:t>
      </w:r>
      <w:r w:rsidRPr="00FF2A2F">
        <w:rPr>
          <w:iCs/>
          <w:color w:val="auto"/>
          <w:sz w:val="21"/>
          <w:szCs w:val="21"/>
        </w:rPr>
        <w:t>Tongan CSO</w:t>
      </w:r>
      <w:r w:rsidR="0012047F" w:rsidRPr="00FF2A2F">
        <w:rPr>
          <w:iCs/>
          <w:color w:val="auto"/>
          <w:sz w:val="21"/>
          <w:szCs w:val="21"/>
        </w:rPr>
        <w:t>s</w:t>
      </w:r>
      <w:r w:rsidRPr="00FF2A2F">
        <w:rPr>
          <w:iCs/>
          <w:color w:val="auto"/>
          <w:sz w:val="21"/>
          <w:szCs w:val="21"/>
        </w:rPr>
        <w:t xml:space="preserve"> </w:t>
      </w:r>
      <w:r w:rsidR="00452B11" w:rsidRPr="00FF2A2F">
        <w:rPr>
          <w:iCs/>
          <w:color w:val="auto"/>
          <w:sz w:val="21"/>
          <w:szCs w:val="21"/>
        </w:rPr>
        <w:t xml:space="preserve">are better </w:t>
      </w:r>
      <w:r w:rsidR="00001DE3" w:rsidRPr="00FF2A2F">
        <w:rPr>
          <w:iCs/>
          <w:color w:val="auto"/>
          <w:sz w:val="21"/>
          <w:szCs w:val="21"/>
        </w:rPr>
        <w:t xml:space="preserve">able to serve their communities drawing on </w:t>
      </w:r>
      <w:r w:rsidRPr="00FF2A2F">
        <w:rPr>
          <w:iCs/>
          <w:color w:val="auto"/>
          <w:sz w:val="21"/>
          <w:szCs w:val="21"/>
        </w:rPr>
        <w:t>a comprehensive range of DRM capabilities, including protection and inclusion.</w:t>
      </w:r>
    </w:p>
    <w:p w14:paraId="0DD81F6E" w14:textId="3F154B0E" w:rsidR="00981F9D" w:rsidRPr="00FF2A2F" w:rsidRDefault="004E5D80" w:rsidP="006B7677">
      <w:pPr>
        <w:pStyle w:val="ListParagraph"/>
        <w:numPr>
          <w:ilvl w:val="0"/>
          <w:numId w:val="36"/>
        </w:numPr>
        <w:spacing w:before="120" w:line="260" w:lineRule="atLeast"/>
        <w:rPr>
          <w:iCs/>
          <w:color w:val="auto"/>
          <w:sz w:val="21"/>
          <w:szCs w:val="21"/>
        </w:rPr>
      </w:pPr>
      <w:r w:rsidRPr="00FF2A2F">
        <w:rPr>
          <w:b/>
          <w:bCs/>
          <w:iCs/>
          <w:color w:val="auto"/>
          <w:sz w:val="21"/>
          <w:szCs w:val="21"/>
        </w:rPr>
        <w:t xml:space="preserve">IO </w:t>
      </w:r>
      <w:r w:rsidR="0012047F" w:rsidRPr="00FF2A2F">
        <w:rPr>
          <w:b/>
          <w:bCs/>
          <w:iCs/>
          <w:color w:val="auto"/>
          <w:sz w:val="21"/>
          <w:szCs w:val="21"/>
        </w:rPr>
        <w:t>2.2</w:t>
      </w:r>
      <w:r w:rsidR="00C064D8" w:rsidRPr="00FF2A2F">
        <w:rPr>
          <w:b/>
          <w:bCs/>
          <w:iCs/>
          <w:color w:val="auto"/>
          <w:sz w:val="21"/>
          <w:szCs w:val="21"/>
        </w:rPr>
        <w:t>:</w:t>
      </w:r>
      <w:r w:rsidR="00C064D8" w:rsidRPr="00FF2A2F">
        <w:rPr>
          <w:iCs/>
          <w:color w:val="auto"/>
          <w:sz w:val="21"/>
          <w:szCs w:val="21"/>
        </w:rPr>
        <w:t xml:space="preserve"> </w:t>
      </w:r>
      <w:r w:rsidR="00981F9D" w:rsidRPr="00FF2A2F">
        <w:rPr>
          <w:iCs/>
          <w:color w:val="auto"/>
          <w:sz w:val="21"/>
          <w:szCs w:val="21"/>
        </w:rPr>
        <w:t xml:space="preserve">Communication and support systems for village DRM committees is </w:t>
      </w:r>
      <w:r w:rsidR="00DD6BAF" w:rsidRPr="00FF2A2F">
        <w:rPr>
          <w:iCs/>
          <w:color w:val="auto"/>
          <w:sz w:val="21"/>
          <w:szCs w:val="21"/>
        </w:rPr>
        <w:t>improved</w:t>
      </w:r>
      <w:r w:rsidR="0012047F" w:rsidRPr="00FF2A2F">
        <w:rPr>
          <w:iCs/>
          <w:color w:val="auto"/>
          <w:sz w:val="21"/>
          <w:szCs w:val="21"/>
        </w:rPr>
        <w:t>.</w:t>
      </w:r>
    </w:p>
    <w:p w14:paraId="0BA29631" w14:textId="04FD8E01" w:rsidR="00C064D8" w:rsidRPr="00FF2A2F" w:rsidRDefault="00C064D8" w:rsidP="00760600">
      <w:pPr>
        <w:ind w:left="0" w:firstLine="0"/>
        <w:rPr>
          <w:iCs/>
          <w:color w:val="auto"/>
          <w:sz w:val="21"/>
          <w:szCs w:val="21"/>
        </w:rPr>
      </w:pPr>
      <w:r w:rsidRPr="00FF2A2F">
        <w:rPr>
          <w:iCs/>
          <w:color w:val="auto"/>
          <w:sz w:val="21"/>
          <w:szCs w:val="21"/>
        </w:rPr>
        <w:t>83.</w:t>
      </w:r>
      <w:r w:rsidRPr="00FF2A2F">
        <w:rPr>
          <w:b/>
          <w:bCs/>
          <w:iCs/>
          <w:color w:val="auto"/>
          <w:sz w:val="21"/>
          <w:szCs w:val="21"/>
        </w:rPr>
        <w:t xml:space="preserve"> </w:t>
      </w:r>
      <w:r w:rsidRPr="00FF2A2F">
        <w:rPr>
          <w:iCs/>
          <w:color w:val="auto"/>
          <w:sz w:val="21"/>
          <w:szCs w:val="21"/>
        </w:rPr>
        <w:t>To achieve the outcomes, the following outputs will occur:</w:t>
      </w:r>
    </w:p>
    <w:p w14:paraId="1402ABB1" w14:textId="4B1CC782" w:rsidR="00355495" w:rsidRPr="00FF2A2F" w:rsidRDefault="00355495" w:rsidP="006B7677">
      <w:pPr>
        <w:pStyle w:val="ListParagraph"/>
        <w:numPr>
          <w:ilvl w:val="0"/>
          <w:numId w:val="36"/>
        </w:numPr>
        <w:spacing w:before="120" w:line="260" w:lineRule="atLeast"/>
        <w:rPr>
          <w:iCs/>
          <w:color w:val="auto"/>
          <w:sz w:val="21"/>
          <w:szCs w:val="21"/>
        </w:rPr>
      </w:pPr>
      <w:r w:rsidRPr="00FF2A2F">
        <w:rPr>
          <w:iCs/>
          <w:color w:val="auto"/>
          <w:sz w:val="21"/>
          <w:szCs w:val="21"/>
        </w:rPr>
        <w:t>CSOs utilise grant funding to support DRM mechanisms</w:t>
      </w:r>
      <w:r w:rsidR="00C4373B" w:rsidRPr="00FF2A2F">
        <w:rPr>
          <w:iCs/>
          <w:color w:val="auto"/>
          <w:sz w:val="21"/>
          <w:szCs w:val="21"/>
        </w:rPr>
        <w:t xml:space="preserve"> including at village and community level</w:t>
      </w:r>
      <w:r w:rsidRPr="00FF2A2F">
        <w:rPr>
          <w:iCs/>
          <w:color w:val="auto"/>
          <w:sz w:val="21"/>
          <w:szCs w:val="21"/>
        </w:rPr>
        <w:t xml:space="preserve"> to prepare, respond and recovery from disaster and climate change impact</w:t>
      </w:r>
      <w:r w:rsidR="0034300D" w:rsidRPr="00FF2A2F">
        <w:rPr>
          <w:iCs/>
          <w:color w:val="auto"/>
          <w:sz w:val="21"/>
          <w:szCs w:val="21"/>
        </w:rPr>
        <w:t>s</w:t>
      </w:r>
      <w:r w:rsidRPr="00FF2A2F">
        <w:rPr>
          <w:iCs/>
          <w:color w:val="auto"/>
          <w:sz w:val="21"/>
          <w:szCs w:val="21"/>
        </w:rPr>
        <w:t>.</w:t>
      </w:r>
    </w:p>
    <w:p w14:paraId="458160F2" w14:textId="762004A0" w:rsidR="00355495" w:rsidRPr="00FF2A2F" w:rsidRDefault="00355495" w:rsidP="006B7677">
      <w:pPr>
        <w:pStyle w:val="ListParagraph"/>
        <w:numPr>
          <w:ilvl w:val="0"/>
          <w:numId w:val="36"/>
        </w:numPr>
        <w:spacing w:before="120" w:line="260" w:lineRule="atLeast"/>
        <w:rPr>
          <w:iCs/>
          <w:color w:val="auto"/>
          <w:sz w:val="21"/>
          <w:szCs w:val="21"/>
        </w:rPr>
      </w:pPr>
      <w:r w:rsidRPr="00FF2A2F">
        <w:rPr>
          <w:iCs/>
          <w:color w:val="auto"/>
          <w:sz w:val="21"/>
          <w:szCs w:val="21"/>
        </w:rPr>
        <w:t>CSO</w:t>
      </w:r>
      <w:r w:rsidR="00022775" w:rsidRPr="00FF2A2F">
        <w:rPr>
          <w:iCs/>
          <w:color w:val="auto"/>
          <w:sz w:val="21"/>
          <w:szCs w:val="21"/>
        </w:rPr>
        <w:t>s</w:t>
      </w:r>
      <w:r w:rsidRPr="00FF2A2F">
        <w:rPr>
          <w:iCs/>
          <w:color w:val="auto"/>
          <w:sz w:val="21"/>
          <w:szCs w:val="21"/>
        </w:rPr>
        <w:t xml:space="preserve"> establish systems to collect and represent community level DRM needs and experience to GoT and other DRM stakeholders.</w:t>
      </w:r>
    </w:p>
    <w:p w14:paraId="0F70EDDF" w14:textId="52F7BB79" w:rsidR="00355495" w:rsidRPr="00FF2A2F" w:rsidRDefault="00355495" w:rsidP="006B7677">
      <w:pPr>
        <w:pStyle w:val="ListParagraph"/>
        <w:numPr>
          <w:ilvl w:val="0"/>
          <w:numId w:val="36"/>
        </w:numPr>
        <w:spacing w:before="120" w:line="260" w:lineRule="atLeast"/>
        <w:rPr>
          <w:iCs/>
          <w:color w:val="auto"/>
          <w:sz w:val="21"/>
          <w:szCs w:val="21"/>
        </w:rPr>
      </w:pPr>
      <w:r w:rsidRPr="00FF2A2F">
        <w:rPr>
          <w:iCs/>
          <w:color w:val="auto"/>
          <w:sz w:val="21"/>
          <w:szCs w:val="21"/>
        </w:rPr>
        <w:t>CSO</w:t>
      </w:r>
      <w:r w:rsidR="00022775" w:rsidRPr="00FF2A2F">
        <w:rPr>
          <w:iCs/>
          <w:color w:val="auto"/>
          <w:sz w:val="21"/>
          <w:szCs w:val="21"/>
        </w:rPr>
        <w:t>s</w:t>
      </w:r>
      <w:r w:rsidRPr="00FF2A2F">
        <w:rPr>
          <w:iCs/>
          <w:color w:val="auto"/>
          <w:sz w:val="21"/>
          <w:szCs w:val="21"/>
        </w:rPr>
        <w:t xml:space="preserve"> utilise grant finding to continue to develop their expertise and capacity in DRM related areas with particular attention to protection and inclusion.</w:t>
      </w:r>
    </w:p>
    <w:p w14:paraId="3DA5495E" w14:textId="1BB59780" w:rsidR="00214AE7" w:rsidRPr="00FF2A2F" w:rsidRDefault="00355495" w:rsidP="006B7677">
      <w:pPr>
        <w:pStyle w:val="ListParagraph"/>
        <w:numPr>
          <w:ilvl w:val="0"/>
          <w:numId w:val="36"/>
        </w:numPr>
        <w:spacing w:before="120" w:line="260" w:lineRule="atLeast"/>
        <w:rPr>
          <w:iCs/>
          <w:color w:val="auto"/>
          <w:sz w:val="21"/>
          <w:szCs w:val="21"/>
        </w:rPr>
      </w:pPr>
      <w:r w:rsidRPr="00FF2A2F">
        <w:rPr>
          <w:iCs/>
          <w:color w:val="auto"/>
          <w:sz w:val="21"/>
          <w:szCs w:val="21"/>
        </w:rPr>
        <w:t>CSO</w:t>
      </w:r>
      <w:r w:rsidR="00022775" w:rsidRPr="00FF2A2F">
        <w:rPr>
          <w:iCs/>
          <w:color w:val="auto"/>
          <w:sz w:val="21"/>
          <w:szCs w:val="21"/>
        </w:rPr>
        <w:t>s</w:t>
      </w:r>
      <w:r w:rsidRPr="00FF2A2F">
        <w:rPr>
          <w:iCs/>
          <w:color w:val="auto"/>
          <w:sz w:val="21"/>
          <w:szCs w:val="21"/>
        </w:rPr>
        <w:t xml:space="preserve"> develop their program management systems to meet Australian government minimum requirements.</w:t>
      </w:r>
    </w:p>
    <w:p w14:paraId="304945CF" w14:textId="334F2271" w:rsidR="00C064D8" w:rsidRPr="00FF2A2F" w:rsidRDefault="00C064D8" w:rsidP="00760600">
      <w:pPr>
        <w:spacing w:before="120" w:line="260" w:lineRule="atLeast"/>
        <w:ind w:left="0" w:firstLine="0"/>
        <w:rPr>
          <w:iCs/>
          <w:color w:val="auto"/>
          <w:sz w:val="21"/>
          <w:szCs w:val="21"/>
        </w:rPr>
      </w:pPr>
      <w:r w:rsidRPr="00FF2A2F">
        <w:rPr>
          <w:iCs/>
          <w:color w:val="auto"/>
          <w:sz w:val="21"/>
          <w:szCs w:val="21"/>
        </w:rPr>
        <w:t>84.</w:t>
      </w:r>
      <w:r w:rsidRPr="00FF2A2F">
        <w:rPr>
          <w:b/>
          <w:bCs/>
          <w:iCs/>
          <w:color w:val="auto"/>
          <w:sz w:val="21"/>
          <w:szCs w:val="21"/>
        </w:rPr>
        <w:t xml:space="preserve"> </w:t>
      </w:r>
      <w:r w:rsidRPr="00FF2A2F">
        <w:rPr>
          <w:iCs/>
          <w:color w:val="auto"/>
          <w:sz w:val="21"/>
          <w:szCs w:val="21"/>
        </w:rPr>
        <w:t>Notes on EOPO2 are as follows:</w:t>
      </w:r>
    </w:p>
    <w:p w14:paraId="116EB9B4" w14:textId="16AC665D"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DFAT will provide and manage small-to-medium size grants for civil society partners. Grants will be awarded through an annual / semi-annual competitive process for </w:t>
      </w:r>
      <w:r w:rsidR="00BE3497" w:rsidRPr="00FF2A2F">
        <w:rPr>
          <w:iCs/>
          <w:color w:val="auto"/>
          <w:sz w:val="21"/>
          <w:szCs w:val="21"/>
        </w:rPr>
        <w:t>CSOs.</w:t>
      </w:r>
      <w:r w:rsidRPr="00FF2A2F">
        <w:rPr>
          <w:iCs/>
          <w:color w:val="auto"/>
          <w:sz w:val="21"/>
          <w:szCs w:val="21"/>
        </w:rPr>
        <w:t xml:space="preserve"> It is anticipated each funding round will have a maximum pool of AUD500,000, with each grant valued at a maximum of AUD500,000 over a maximum of five years. </w:t>
      </w:r>
      <w:r w:rsidR="00E8177A" w:rsidRPr="00FF2A2F">
        <w:rPr>
          <w:iCs/>
          <w:color w:val="auto"/>
          <w:sz w:val="21"/>
          <w:szCs w:val="21"/>
        </w:rPr>
        <w:t>CSOs interested in applying for the grants will be invited to submit an expression of interest</w:t>
      </w:r>
      <w:r w:rsidR="00DB3961" w:rsidRPr="00FF2A2F">
        <w:rPr>
          <w:iCs/>
          <w:color w:val="auto"/>
          <w:sz w:val="21"/>
          <w:szCs w:val="21"/>
        </w:rPr>
        <w:t xml:space="preserve"> (EOI)</w:t>
      </w:r>
      <w:r w:rsidR="00E8177A" w:rsidRPr="00FF2A2F">
        <w:rPr>
          <w:iCs/>
          <w:color w:val="auto"/>
          <w:sz w:val="21"/>
          <w:szCs w:val="21"/>
        </w:rPr>
        <w:t xml:space="preserve"> as part of the inception activities for the </w:t>
      </w:r>
      <w:r w:rsidR="003918BA" w:rsidRPr="00FF2A2F">
        <w:rPr>
          <w:iCs/>
          <w:color w:val="auto"/>
          <w:sz w:val="21"/>
          <w:szCs w:val="21"/>
        </w:rPr>
        <w:t>investment</w:t>
      </w:r>
      <w:r w:rsidR="00C82B92" w:rsidRPr="00FF2A2F">
        <w:rPr>
          <w:iCs/>
          <w:color w:val="auto"/>
          <w:sz w:val="21"/>
          <w:szCs w:val="21"/>
        </w:rPr>
        <w:t xml:space="preserve"> and then a proposal as outlined below </w:t>
      </w:r>
      <w:r w:rsidR="00426708" w:rsidRPr="00FF2A2F">
        <w:rPr>
          <w:iCs/>
          <w:color w:val="auto"/>
          <w:sz w:val="21"/>
          <w:szCs w:val="21"/>
        </w:rPr>
        <w:t xml:space="preserve">in paragraph 5. </w:t>
      </w:r>
    </w:p>
    <w:p w14:paraId="5027EB24" w14:textId="28A86F2D" w:rsidR="002333C1"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The following sectors and themes will be eligible for the grants scheme: anticipatory action interventions, inclusive disaster preparedness actions, adaptation to climate change, capacity training</w:t>
      </w:r>
      <w:r w:rsidR="00822F1B" w:rsidRPr="00FF2A2F">
        <w:rPr>
          <w:iCs/>
          <w:color w:val="auto"/>
          <w:sz w:val="21"/>
          <w:szCs w:val="21"/>
        </w:rPr>
        <w:t xml:space="preserve"> (for both community and CSOs for upskilling)</w:t>
      </w:r>
      <w:r w:rsidR="00ED0859" w:rsidRPr="00FF2A2F">
        <w:rPr>
          <w:iCs/>
          <w:color w:val="auto"/>
          <w:sz w:val="21"/>
          <w:szCs w:val="21"/>
        </w:rPr>
        <w:t xml:space="preserve">, </w:t>
      </w:r>
      <w:r w:rsidRPr="00FF2A2F">
        <w:rPr>
          <w:iCs/>
          <w:color w:val="auto"/>
          <w:sz w:val="21"/>
          <w:szCs w:val="21"/>
        </w:rPr>
        <w:t>protection and psychosocial services, education and shelter programming.</w:t>
      </w:r>
      <w:r w:rsidR="005C6367" w:rsidRPr="00FF2A2F">
        <w:rPr>
          <w:iCs/>
          <w:color w:val="auto"/>
          <w:sz w:val="21"/>
          <w:szCs w:val="21"/>
        </w:rPr>
        <w:t xml:space="preserve"> </w:t>
      </w:r>
      <w:r w:rsidR="00DB3961" w:rsidRPr="00FF2A2F">
        <w:rPr>
          <w:iCs/>
          <w:color w:val="auto"/>
          <w:sz w:val="21"/>
          <w:szCs w:val="21"/>
        </w:rPr>
        <w:t>These areas have been identified through the design process, but the investment will include o</w:t>
      </w:r>
      <w:r w:rsidR="005C6367" w:rsidRPr="00FF2A2F">
        <w:rPr>
          <w:iCs/>
          <w:color w:val="auto"/>
          <w:sz w:val="21"/>
          <w:szCs w:val="21"/>
        </w:rPr>
        <w:t>ther sectors and / or themes</w:t>
      </w:r>
      <w:r w:rsidR="00DB3961" w:rsidRPr="00FF2A2F">
        <w:rPr>
          <w:iCs/>
          <w:color w:val="auto"/>
          <w:sz w:val="21"/>
          <w:szCs w:val="21"/>
        </w:rPr>
        <w:t xml:space="preserve"> </w:t>
      </w:r>
      <w:r w:rsidR="005C6367" w:rsidRPr="00FF2A2F">
        <w:rPr>
          <w:iCs/>
          <w:color w:val="auto"/>
          <w:sz w:val="21"/>
          <w:szCs w:val="21"/>
        </w:rPr>
        <w:t xml:space="preserve">as priorities evolve. </w:t>
      </w:r>
      <w:r w:rsidRPr="00FF2A2F">
        <w:rPr>
          <w:iCs/>
          <w:color w:val="auto"/>
          <w:sz w:val="21"/>
          <w:szCs w:val="21"/>
        </w:rPr>
        <w:t xml:space="preserve"> </w:t>
      </w:r>
    </w:p>
    <w:p w14:paraId="3CF13777" w14:textId="5B8ADC5F" w:rsidR="002333C1" w:rsidRPr="00FF2A2F" w:rsidRDefault="002333C1" w:rsidP="006B7677">
      <w:pPr>
        <w:pStyle w:val="ListParagraph"/>
        <w:numPr>
          <w:ilvl w:val="0"/>
          <w:numId w:val="36"/>
        </w:numPr>
        <w:spacing w:before="120" w:line="260" w:lineRule="atLeast"/>
        <w:rPr>
          <w:iCs/>
          <w:color w:val="auto"/>
          <w:sz w:val="21"/>
          <w:szCs w:val="21"/>
        </w:rPr>
      </w:pPr>
      <w:r w:rsidRPr="00FF2A2F">
        <w:rPr>
          <w:iCs/>
          <w:color w:val="auto"/>
          <w:sz w:val="21"/>
          <w:szCs w:val="21"/>
        </w:rPr>
        <w:t>A panel of NDRMO, DFAT, CSFT</w:t>
      </w:r>
      <w:r w:rsidR="00DB3961" w:rsidRPr="00FF2A2F">
        <w:rPr>
          <w:iCs/>
          <w:color w:val="auto"/>
          <w:sz w:val="21"/>
          <w:szCs w:val="21"/>
        </w:rPr>
        <w:t xml:space="preserve"> representative</w:t>
      </w:r>
      <w:r w:rsidR="0034531F" w:rsidRPr="00FF2A2F">
        <w:rPr>
          <w:iCs/>
          <w:color w:val="auto"/>
          <w:sz w:val="21"/>
          <w:szCs w:val="21"/>
        </w:rPr>
        <w:t>s</w:t>
      </w:r>
      <w:r w:rsidRPr="00FF2A2F">
        <w:rPr>
          <w:iCs/>
          <w:color w:val="auto"/>
          <w:sz w:val="21"/>
          <w:szCs w:val="21"/>
        </w:rPr>
        <w:t xml:space="preserve"> will determine successful proposals</w:t>
      </w:r>
      <w:r w:rsidR="005B36DF" w:rsidRPr="00FF2A2F">
        <w:rPr>
          <w:iCs/>
          <w:color w:val="auto"/>
          <w:sz w:val="21"/>
          <w:szCs w:val="21"/>
        </w:rPr>
        <w:t xml:space="preserve"> through the investment’s Steering Committee</w:t>
      </w:r>
      <w:r w:rsidRPr="00FF2A2F">
        <w:rPr>
          <w:iCs/>
          <w:color w:val="auto"/>
          <w:sz w:val="21"/>
          <w:szCs w:val="21"/>
        </w:rPr>
        <w:t xml:space="preserve">. The grants </w:t>
      </w:r>
      <w:r w:rsidR="00526E85" w:rsidRPr="00FF2A2F">
        <w:rPr>
          <w:iCs/>
          <w:color w:val="auto"/>
          <w:sz w:val="21"/>
          <w:szCs w:val="21"/>
        </w:rPr>
        <w:t>will cover</w:t>
      </w:r>
      <w:r w:rsidRPr="00FF2A2F">
        <w:rPr>
          <w:iCs/>
          <w:color w:val="auto"/>
          <w:sz w:val="21"/>
          <w:szCs w:val="21"/>
        </w:rPr>
        <w:t xml:space="preserve"> operational costs and </w:t>
      </w:r>
      <w:r w:rsidR="00822F1B" w:rsidRPr="00FF2A2F">
        <w:rPr>
          <w:iCs/>
          <w:color w:val="auto"/>
          <w:sz w:val="21"/>
          <w:szCs w:val="21"/>
        </w:rPr>
        <w:t>consider a</w:t>
      </w:r>
      <w:r w:rsidR="007F7ECF" w:rsidRPr="00FF2A2F">
        <w:rPr>
          <w:iCs/>
          <w:color w:val="auto"/>
          <w:sz w:val="21"/>
          <w:szCs w:val="21"/>
        </w:rPr>
        <w:t xml:space="preserve"> </w:t>
      </w:r>
      <w:r w:rsidRPr="00FF2A2F">
        <w:rPr>
          <w:iCs/>
          <w:color w:val="auto"/>
          <w:sz w:val="21"/>
          <w:szCs w:val="21"/>
        </w:rPr>
        <w:t xml:space="preserve">modest management fee to foster </w:t>
      </w:r>
      <w:r w:rsidR="00AF01E1" w:rsidRPr="00FF2A2F">
        <w:rPr>
          <w:iCs/>
          <w:color w:val="auto"/>
          <w:sz w:val="21"/>
          <w:szCs w:val="21"/>
        </w:rPr>
        <w:t>self-sustainment</w:t>
      </w:r>
      <w:r w:rsidRPr="00FF2A2F">
        <w:rPr>
          <w:iCs/>
          <w:color w:val="auto"/>
          <w:sz w:val="21"/>
          <w:szCs w:val="21"/>
        </w:rPr>
        <w:t xml:space="preserve"> within the CSOs</w:t>
      </w:r>
      <w:r w:rsidR="00AF01E1" w:rsidRPr="00FF2A2F">
        <w:rPr>
          <w:iCs/>
          <w:color w:val="auto"/>
          <w:sz w:val="21"/>
          <w:szCs w:val="21"/>
        </w:rPr>
        <w:t>.</w:t>
      </w:r>
    </w:p>
    <w:p w14:paraId="52982854" w14:textId="34228890" w:rsidR="00834706" w:rsidRPr="00FF2A2F" w:rsidRDefault="008C4A39" w:rsidP="006B7677">
      <w:pPr>
        <w:pStyle w:val="ListParagraph"/>
        <w:numPr>
          <w:ilvl w:val="0"/>
          <w:numId w:val="36"/>
        </w:numPr>
        <w:spacing w:before="120" w:line="260" w:lineRule="atLeast"/>
        <w:rPr>
          <w:iCs/>
          <w:color w:val="auto"/>
          <w:sz w:val="21"/>
          <w:szCs w:val="21"/>
        </w:rPr>
      </w:pPr>
      <w:r w:rsidRPr="00FF2A2F">
        <w:rPr>
          <w:iCs/>
          <w:color w:val="auto"/>
          <w:sz w:val="21"/>
          <w:szCs w:val="21"/>
        </w:rPr>
        <w:t>One</w:t>
      </w:r>
      <w:r w:rsidR="00834706" w:rsidRPr="00FF2A2F">
        <w:rPr>
          <w:iCs/>
          <w:color w:val="auto"/>
          <w:sz w:val="21"/>
          <w:szCs w:val="21"/>
        </w:rPr>
        <w:t xml:space="preserve"> activity is the delivery of </w:t>
      </w:r>
      <w:r w:rsidR="00BE3497" w:rsidRPr="00FF2A2F">
        <w:rPr>
          <w:iCs/>
          <w:color w:val="auto"/>
          <w:sz w:val="21"/>
          <w:szCs w:val="21"/>
        </w:rPr>
        <w:t xml:space="preserve">DRM </w:t>
      </w:r>
      <w:r w:rsidR="00834706" w:rsidRPr="00FF2A2F">
        <w:rPr>
          <w:iCs/>
          <w:color w:val="auto"/>
          <w:sz w:val="21"/>
          <w:szCs w:val="21"/>
        </w:rPr>
        <w:t xml:space="preserve">planning and training at village level using established government policies, processes and approaches. Some organisations are already doing this work and have the absorbative capacity to expand scope, for example, MORDI, Tonga Red Cross, Act for Peace and Tonga Trust. </w:t>
      </w:r>
    </w:p>
    <w:p w14:paraId="324FF2E3" w14:textId="3974FFA1" w:rsidR="00834706" w:rsidRPr="00FF2A2F" w:rsidRDefault="00ED0859" w:rsidP="006B7677">
      <w:pPr>
        <w:pStyle w:val="ListParagraph"/>
        <w:numPr>
          <w:ilvl w:val="0"/>
          <w:numId w:val="36"/>
        </w:numPr>
        <w:spacing w:before="120" w:line="260" w:lineRule="atLeast"/>
        <w:rPr>
          <w:iCs/>
          <w:color w:val="auto"/>
          <w:sz w:val="21"/>
          <w:szCs w:val="21"/>
        </w:rPr>
      </w:pPr>
      <w:r w:rsidRPr="00FF2A2F">
        <w:rPr>
          <w:iCs/>
          <w:color w:val="auto"/>
          <w:sz w:val="21"/>
          <w:szCs w:val="21"/>
        </w:rPr>
        <w:t>O</w:t>
      </w:r>
      <w:r w:rsidR="00834706" w:rsidRPr="00FF2A2F">
        <w:rPr>
          <w:iCs/>
          <w:color w:val="auto"/>
          <w:sz w:val="21"/>
          <w:szCs w:val="21"/>
        </w:rPr>
        <w:t xml:space="preserve">rganisations will be </w:t>
      </w:r>
      <w:r w:rsidRPr="00FF2A2F">
        <w:rPr>
          <w:iCs/>
          <w:color w:val="auto"/>
          <w:sz w:val="21"/>
          <w:szCs w:val="21"/>
        </w:rPr>
        <w:t xml:space="preserve">invited </w:t>
      </w:r>
      <w:r w:rsidR="00834706" w:rsidRPr="00FF2A2F">
        <w:rPr>
          <w:iCs/>
          <w:color w:val="auto"/>
          <w:sz w:val="21"/>
          <w:szCs w:val="21"/>
        </w:rPr>
        <w:t xml:space="preserve">by </w:t>
      </w:r>
      <w:r w:rsidR="0034300D" w:rsidRPr="00FF2A2F">
        <w:rPr>
          <w:iCs/>
          <w:color w:val="auto"/>
          <w:sz w:val="21"/>
          <w:szCs w:val="21"/>
        </w:rPr>
        <w:t>Post</w:t>
      </w:r>
      <w:r w:rsidRPr="00FF2A2F">
        <w:rPr>
          <w:iCs/>
          <w:color w:val="auto"/>
          <w:sz w:val="21"/>
          <w:szCs w:val="21"/>
        </w:rPr>
        <w:t xml:space="preserve"> to</w:t>
      </w:r>
      <w:r w:rsidR="00834706" w:rsidRPr="00FF2A2F">
        <w:rPr>
          <w:iCs/>
          <w:color w:val="auto"/>
          <w:sz w:val="21"/>
          <w:szCs w:val="21"/>
        </w:rPr>
        <w:t xml:space="preserve"> </w:t>
      </w:r>
      <w:r w:rsidRPr="00FF2A2F">
        <w:rPr>
          <w:iCs/>
          <w:color w:val="auto"/>
          <w:sz w:val="21"/>
          <w:szCs w:val="21"/>
        </w:rPr>
        <w:t xml:space="preserve">submit a proposal </w:t>
      </w:r>
      <w:r w:rsidR="00834706" w:rsidRPr="00FF2A2F">
        <w:rPr>
          <w:iCs/>
          <w:color w:val="auto"/>
          <w:sz w:val="21"/>
          <w:szCs w:val="21"/>
        </w:rPr>
        <w:t>to participate in preparedness</w:t>
      </w:r>
      <w:r w:rsidRPr="00FF2A2F">
        <w:rPr>
          <w:iCs/>
          <w:color w:val="auto"/>
          <w:sz w:val="21"/>
          <w:szCs w:val="21"/>
        </w:rPr>
        <w:t xml:space="preserve"> </w:t>
      </w:r>
      <w:r w:rsidR="00834706" w:rsidRPr="00FF2A2F">
        <w:rPr>
          <w:iCs/>
          <w:color w:val="auto"/>
          <w:sz w:val="21"/>
          <w:szCs w:val="21"/>
        </w:rPr>
        <w:t>activities based on the following criteria:</w:t>
      </w:r>
    </w:p>
    <w:p w14:paraId="4025B62C" w14:textId="255A1ED5" w:rsidR="00834706" w:rsidRPr="00FF2A2F" w:rsidRDefault="00834706" w:rsidP="006B7677">
      <w:pPr>
        <w:pStyle w:val="ListParagraph"/>
        <w:numPr>
          <w:ilvl w:val="0"/>
          <w:numId w:val="37"/>
        </w:numPr>
        <w:spacing w:before="120" w:line="260" w:lineRule="atLeast"/>
        <w:rPr>
          <w:iCs/>
          <w:color w:val="auto"/>
          <w:sz w:val="21"/>
          <w:szCs w:val="21"/>
        </w:rPr>
      </w:pPr>
      <w:r w:rsidRPr="00FF2A2F">
        <w:rPr>
          <w:iCs/>
          <w:color w:val="auto"/>
          <w:sz w:val="21"/>
          <w:szCs w:val="21"/>
        </w:rPr>
        <w:t>Established presence, program portfolio and relevant networks across Tonga</w:t>
      </w:r>
      <w:r w:rsidR="006709C6" w:rsidRPr="00FF2A2F">
        <w:rPr>
          <w:iCs/>
          <w:color w:val="auto"/>
          <w:sz w:val="21"/>
          <w:szCs w:val="21"/>
        </w:rPr>
        <w:t>.</w:t>
      </w:r>
    </w:p>
    <w:p w14:paraId="01CA894F" w14:textId="1EAC0050" w:rsidR="00834706" w:rsidRPr="00FF2A2F" w:rsidRDefault="00DB3961" w:rsidP="006B7677">
      <w:pPr>
        <w:pStyle w:val="ListParagraph"/>
        <w:numPr>
          <w:ilvl w:val="0"/>
          <w:numId w:val="37"/>
        </w:numPr>
        <w:spacing w:before="120" w:line="260" w:lineRule="atLeast"/>
        <w:rPr>
          <w:iCs/>
          <w:color w:val="auto"/>
          <w:sz w:val="21"/>
          <w:szCs w:val="21"/>
        </w:rPr>
      </w:pPr>
      <w:r w:rsidRPr="00FF2A2F">
        <w:rPr>
          <w:iCs/>
          <w:color w:val="auto"/>
          <w:sz w:val="21"/>
          <w:szCs w:val="21"/>
        </w:rPr>
        <w:t>Foundational s</w:t>
      </w:r>
      <w:r w:rsidR="00834706" w:rsidRPr="00FF2A2F">
        <w:rPr>
          <w:iCs/>
          <w:color w:val="auto"/>
          <w:sz w:val="21"/>
          <w:szCs w:val="21"/>
        </w:rPr>
        <w:t>kills and experience in contract and program management including procurement, reporting, communication, knowledge sharing, risk management and change/adaptive management or demonstrated capability to develop skills and experience in these areas</w:t>
      </w:r>
      <w:r w:rsidR="006709C6" w:rsidRPr="00FF2A2F">
        <w:rPr>
          <w:iCs/>
          <w:color w:val="auto"/>
          <w:sz w:val="21"/>
          <w:szCs w:val="21"/>
        </w:rPr>
        <w:t>.</w:t>
      </w:r>
    </w:p>
    <w:p w14:paraId="540E952E" w14:textId="5987A2AB" w:rsidR="00DF4795" w:rsidRPr="00FF2A2F" w:rsidRDefault="00834706" w:rsidP="006B7677">
      <w:pPr>
        <w:pStyle w:val="ListParagraph"/>
        <w:numPr>
          <w:ilvl w:val="0"/>
          <w:numId w:val="37"/>
        </w:numPr>
        <w:spacing w:before="120" w:line="260" w:lineRule="atLeast"/>
        <w:rPr>
          <w:iCs/>
          <w:color w:val="auto"/>
          <w:sz w:val="21"/>
          <w:szCs w:val="21"/>
        </w:rPr>
      </w:pPr>
      <w:r w:rsidRPr="00FF2A2F">
        <w:rPr>
          <w:iCs/>
          <w:color w:val="auto"/>
          <w:sz w:val="21"/>
          <w:szCs w:val="21"/>
        </w:rPr>
        <w:lastRenderedPageBreak/>
        <w:t>Capability to meet DFAT due diligence requirements including child protection, prevention of sexual exploitation, harassment and abuse, and a proactive risk management approach</w:t>
      </w:r>
      <w:r w:rsidR="006709C6" w:rsidRPr="00FF2A2F">
        <w:rPr>
          <w:iCs/>
          <w:color w:val="auto"/>
          <w:sz w:val="21"/>
          <w:szCs w:val="21"/>
        </w:rPr>
        <w:t>.</w:t>
      </w:r>
      <w:r w:rsidRPr="00FF2A2F">
        <w:rPr>
          <w:iCs/>
          <w:color w:val="auto"/>
          <w:sz w:val="21"/>
          <w:szCs w:val="21"/>
        </w:rPr>
        <w:t xml:space="preserve"> </w:t>
      </w:r>
    </w:p>
    <w:p w14:paraId="3D8D440F" w14:textId="43785070" w:rsidR="00834706" w:rsidRPr="00FF2A2F" w:rsidRDefault="00834706" w:rsidP="006B7677">
      <w:pPr>
        <w:pStyle w:val="ListParagraph"/>
        <w:numPr>
          <w:ilvl w:val="0"/>
          <w:numId w:val="37"/>
        </w:numPr>
        <w:spacing w:before="120" w:line="260" w:lineRule="atLeast"/>
        <w:rPr>
          <w:iCs/>
          <w:color w:val="auto"/>
          <w:sz w:val="21"/>
          <w:szCs w:val="21"/>
        </w:rPr>
      </w:pPr>
      <w:r w:rsidRPr="00FF2A2F">
        <w:rPr>
          <w:iCs/>
          <w:color w:val="auto"/>
          <w:sz w:val="21"/>
          <w:szCs w:val="21"/>
        </w:rPr>
        <w:t>Active members of key clusters relevant to organisation sector or thematic focus / specialisation</w:t>
      </w:r>
      <w:r w:rsidR="006709C6" w:rsidRPr="00FF2A2F">
        <w:rPr>
          <w:iCs/>
          <w:color w:val="auto"/>
          <w:sz w:val="21"/>
          <w:szCs w:val="21"/>
        </w:rPr>
        <w:t>.</w:t>
      </w:r>
    </w:p>
    <w:p w14:paraId="1BD7CB44" w14:textId="2E20117D" w:rsidR="00150DB6" w:rsidRPr="00FF2A2F" w:rsidRDefault="00150DB6" w:rsidP="006B7677">
      <w:pPr>
        <w:pStyle w:val="ListParagraph"/>
        <w:numPr>
          <w:ilvl w:val="0"/>
          <w:numId w:val="37"/>
        </w:numPr>
        <w:spacing w:before="120" w:line="260" w:lineRule="atLeast"/>
        <w:rPr>
          <w:iCs/>
          <w:color w:val="auto"/>
          <w:sz w:val="21"/>
          <w:szCs w:val="21"/>
        </w:rPr>
      </w:pPr>
      <w:r w:rsidRPr="00FF2A2F">
        <w:rPr>
          <w:iCs/>
          <w:color w:val="auto"/>
          <w:sz w:val="21"/>
          <w:szCs w:val="21"/>
        </w:rPr>
        <w:t xml:space="preserve">A letter of support from the proposed recipient’s village’s </w:t>
      </w:r>
      <w:r w:rsidR="00F02F21" w:rsidRPr="00FF2A2F">
        <w:rPr>
          <w:iCs/>
          <w:color w:val="auto"/>
          <w:sz w:val="21"/>
          <w:szCs w:val="21"/>
        </w:rPr>
        <w:t>DRM</w:t>
      </w:r>
      <w:r w:rsidRPr="00FF2A2F">
        <w:rPr>
          <w:iCs/>
          <w:color w:val="auto"/>
          <w:sz w:val="21"/>
          <w:szCs w:val="21"/>
        </w:rPr>
        <w:t xml:space="preserve"> </w:t>
      </w:r>
      <w:r w:rsidR="00DB3961" w:rsidRPr="00FF2A2F">
        <w:rPr>
          <w:iCs/>
          <w:color w:val="auto"/>
          <w:sz w:val="21"/>
          <w:szCs w:val="21"/>
        </w:rPr>
        <w:t>C</w:t>
      </w:r>
      <w:r w:rsidRPr="00FF2A2F">
        <w:rPr>
          <w:iCs/>
          <w:color w:val="auto"/>
          <w:sz w:val="21"/>
          <w:szCs w:val="21"/>
        </w:rPr>
        <w:t>ommittee agreeing the program can be implemented in their village</w:t>
      </w:r>
      <w:r w:rsidR="006709C6" w:rsidRPr="00FF2A2F">
        <w:rPr>
          <w:iCs/>
          <w:color w:val="auto"/>
          <w:sz w:val="21"/>
          <w:szCs w:val="21"/>
        </w:rPr>
        <w:t>.</w:t>
      </w:r>
    </w:p>
    <w:p w14:paraId="6F78B815" w14:textId="58E7A629" w:rsidR="00834706" w:rsidRPr="00FF2A2F" w:rsidRDefault="00354823" w:rsidP="006B7677">
      <w:pPr>
        <w:pStyle w:val="ListParagraph"/>
        <w:numPr>
          <w:ilvl w:val="0"/>
          <w:numId w:val="37"/>
        </w:numPr>
        <w:spacing w:before="120" w:line="260" w:lineRule="atLeast"/>
        <w:rPr>
          <w:iCs/>
          <w:color w:val="auto"/>
          <w:sz w:val="21"/>
          <w:szCs w:val="21"/>
        </w:rPr>
      </w:pPr>
      <w:r w:rsidRPr="00FF2A2F">
        <w:rPr>
          <w:iCs/>
          <w:color w:val="auto"/>
          <w:sz w:val="21"/>
          <w:szCs w:val="21"/>
        </w:rPr>
        <w:t>Some</w:t>
      </w:r>
      <w:r w:rsidR="00834706" w:rsidRPr="00FF2A2F">
        <w:rPr>
          <w:iCs/>
          <w:color w:val="auto"/>
          <w:sz w:val="21"/>
          <w:szCs w:val="21"/>
        </w:rPr>
        <w:t xml:space="preserve"> experience in designing, implementing, and monitoring GEDSI and climate resilient approaches</w:t>
      </w:r>
      <w:r w:rsidR="006709C6" w:rsidRPr="00FF2A2F">
        <w:rPr>
          <w:iCs/>
          <w:color w:val="auto"/>
          <w:sz w:val="21"/>
          <w:szCs w:val="21"/>
        </w:rPr>
        <w:t>.</w:t>
      </w:r>
    </w:p>
    <w:p w14:paraId="053AE628" w14:textId="77777777" w:rsidR="00834706" w:rsidRPr="00FF2A2F" w:rsidRDefault="00834706" w:rsidP="006B7677">
      <w:pPr>
        <w:pStyle w:val="ListParagraph"/>
        <w:numPr>
          <w:ilvl w:val="0"/>
          <w:numId w:val="37"/>
        </w:numPr>
        <w:spacing w:before="120" w:line="260" w:lineRule="atLeast"/>
        <w:rPr>
          <w:iCs/>
          <w:color w:val="auto"/>
          <w:sz w:val="21"/>
          <w:szCs w:val="21"/>
        </w:rPr>
      </w:pPr>
      <w:r w:rsidRPr="00FF2A2F">
        <w:rPr>
          <w:iCs/>
          <w:color w:val="auto"/>
          <w:sz w:val="21"/>
          <w:szCs w:val="21"/>
        </w:rPr>
        <w:t xml:space="preserve">Demonstrated commitment to locally led humanitarian action and localisation. </w:t>
      </w:r>
    </w:p>
    <w:p w14:paraId="14A0E7B6" w14:textId="771F9149" w:rsidR="003D4AA7" w:rsidRPr="00FF2A2F" w:rsidRDefault="001B5B43"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This support for CSOs by the program is intended </w:t>
      </w:r>
      <w:r w:rsidR="00AE4025" w:rsidRPr="00FF2A2F">
        <w:rPr>
          <w:iCs/>
          <w:color w:val="auto"/>
          <w:sz w:val="21"/>
          <w:szCs w:val="21"/>
        </w:rPr>
        <w:t>to provide an additional opportunity for funding. It does</w:t>
      </w:r>
      <w:r w:rsidR="009B72AB" w:rsidRPr="00FF2A2F">
        <w:rPr>
          <w:iCs/>
          <w:color w:val="auto"/>
          <w:sz w:val="21"/>
          <w:szCs w:val="21"/>
        </w:rPr>
        <w:t xml:space="preserve"> </w:t>
      </w:r>
      <w:r w:rsidR="00AE4025" w:rsidRPr="00FF2A2F">
        <w:rPr>
          <w:iCs/>
          <w:color w:val="auto"/>
          <w:sz w:val="21"/>
          <w:szCs w:val="21"/>
        </w:rPr>
        <w:t xml:space="preserve">not preclude </w:t>
      </w:r>
      <w:r w:rsidR="00527E05" w:rsidRPr="00FF2A2F">
        <w:rPr>
          <w:iCs/>
          <w:color w:val="auto"/>
          <w:sz w:val="21"/>
          <w:szCs w:val="21"/>
        </w:rPr>
        <w:t>CSOs from</w:t>
      </w:r>
      <w:r w:rsidR="00C40A07" w:rsidRPr="00FF2A2F">
        <w:rPr>
          <w:iCs/>
          <w:color w:val="auto"/>
          <w:sz w:val="21"/>
          <w:szCs w:val="21"/>
        </w:rPr>
        <w:t xml:space="preserve"> </w:t>
      </w:r>
      <w:r w:rsidR="00527E05" w:rsidRPr="00FF2A2F">
        <w:rPr>
          <w:iCs/>
          <w:color w:val="auto"/>
          <w:sz w:val="21"/>
          <w:szCs w:val="21"/>
        </w:rPr>
        <w:t>partnering</w:t>
      </w:r>
      <w:r w:rsidR="00743677" w:rsidRPr="00FF2A2F">
        <w:rPr>
          <w:iCs/>
          <w:color w:val="auto"/>
          <w:sz w:val="21"/>
          <w:szCs w:val="21"/>
        </w:rPr>
        <w:t xml:space="preserve"> with</w:t>
      </w:r>
      <w:r w:rsidR="00527E05" w:rsidRPr="00FF2A2F">
        <w:rPr>
          <w:iCs/>
          <w:color w:val="auto"/>
          <w:sz w:val="21"/>
          <w:szCs w:val="21"/>
        </w:rPr>
        <w:t xml:space="preserve"> Australian or international NGOs</w:t>
      </w:r>
      <w:r w:rsidR="00C40A07" w:rsidRPr="00FF2A2F">
        <w:rPr>
          <w:iCs/>
          <w:color w:val="auto"/>
          <w:sz w:val="21"/>
          <w:szCs w:val="21"/>
        </w:rPr>
        <w:t xml:space="preserve"> through established mechanisms such as the AHP. </w:t>
      </w:r>
    </w:p>
    <w:p w14:paraId="3F9C4EFE" w14:textId="77AD47BD"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Support for civil society response activities will be provided by DFAT through the investment as surge support in the event of a disaster. To ensure a timely response, organisations already pre-approved and funded under the preparedness workstream will be invited to submit a response proposal based on their pre-existing response capabilities. The intent of the grant process is to create a CSO pool that hold a pre-existing relationship with DFAT</w:t>
      </w:r>
      <w:r w:rsidR="00ED0859" w:rsidRPr="00FF2A2F">
        <w:rPr>
          <w:iCs/>
          <w:color w:val="auto"/>
          <w:sz w:val="21"/>
          <w:szCs w:val="21"/>
        </w:rPr>
        <w:t xml:space="preserve"> (including a </w:t>
      </w:r>
      <w:r w:rsidR="00601338" w:rsidRPr="00FF2A2F">
        <w:rPr>
          <w:iCs/>
          <w:color w:val="auto"/>
          <w:sz w:val="21"/>
          <w:szCs w:val="21"/>
        </w:rPr>
        <w:t>pre-existing</w:t>
      </w:r>
      <w:r w:rsidR="00ED0859" w:rsidRPr="00FF2A2F">
        <w:rPr>
          <w:iCs/>
          <w:color w:val="auto"/>
          <w:sz w:val="21"/>
          <w:szCs w:val="21"/>
        </w:rPr>
        <w:t xml:space="preserve"> due diligence assessment)</w:t>
      </w:r>
      <w:r w:rsidRPr="00FF2A2F">
        <w:rPr>
          <w:iCs/>
          <w:color w:val="auto"/>
          <w:sz w:val="21"/>
          <w:szCs w:val="21"/>
        </w:rPr>
        <w:t xml:space="preserve"> in both preparedness and response. In principle, eligible CSOs will be able to work within and demonstrate compliance with DFAT systems and policies, based on the support they have received through the preparedness workstream. </w:t>
      </w:r>
      <w:r w:rsidR="00244F89" w:rsidRPr="00FF2A2F">
        <w:rPr>
          <w:iCs/>
          <w:color w:val="auto"/>
          <w:sz w:val="21"/>
          <w:szCs w:val="21"/>
        </w:rPr>
        <w:t>(see Conditional Outcome 4)</w:t>
      </w:r>
    </w:p>
    <w:p w14:paraId="6A8F4488" w14:textId="080EE9FD" w:rsidR="00834706" w:rsidRPr="00FF2A2F" w:rsidRDefault="0040537D" w:rsidP="006B7677">
      <w:pPr>
        <w:pStyle w:val="ListParagraph"/>
        <w:numPr>
          <w:ilvl w:val="0"/>
          <w:numId w:val="36"/>
        </w:numPr>
        <w:spacing w:before="120" w:line="260" w:lineRule="atLeast"/>
        <w:rPr>
          <w:iCs/>
          <w:color w:val="auto"/>
          <w:sz w:val="21"/>
          <w:szCs w:val="21"/>
        </w:rPr>
      </w:pPr>
      <w:r w:rsidRPr="00FF2A2F">
        <w:rPr>
          <w:iCs/>
          <w:color w:val="auto"/>
          <w:sz w:val="21"/>
          <w:szCs w:val="21"/>
        </w:rPr>
        <w:t>As part of the response proposals</w:t>
      </w:r>
      <w:r w:rsidR="0040176C" w:rsidRPr="00FF2A2F">
        <w:rPr>
          <w:iCs/>
          <w:color w:val="auto"/>
          <w:sz w:val="21"/>
          <w:szCs w:val="21"/>
        </w:rPr>
        <w:t>,</w:t>
      </w:r>
      <w:r w:rsidRPr="00FF2A2F">
        <w:rPr>
          <w:iCs/>
          <w:color w:val="auto"/>
          <w:sz w:val="21"/>
          <w:szCs w:val="21"/>
        </w:rPr>
        <w:t xml:space="preserve"> c</w:t>
      </w:r>
      <w:r w:rsidR="00834706" w:rsidRPr="00FF2A2F">
        <w:rPr>
          <w:iCs/>
          <w:color w:val="auto"/>
          <w:sz w:val="21"/>
          <w:szCs w:val="21"/>
        </w:rPr>
        <w:t>ivil society partners may request supplies from DFAT’s stockpile, logistics support to move their own supplies (internationally or domestically) or funding to purchase humanitarian emergency relief supplies or provide cash programming</w:t>
      </w:r>
      <w:r w:rsidRPr="00FF2A2F">
        <w:rPr>
          <w:iCs/>
          <w:color w:val="auto"/>
          <w:sz w:val="21"/>
          <w:szCs w:val="21"/>
        </w:rPr>
        <w:t xml:space="preserve"> (or an alternative proposal)</w:t>
      </w:r>
      <w:r w:rsidR="00834706" w:rsidRPr="00FF2A2F">
        <w:rPr>
          <w:iCs/>
          <w:color w:val="auto"/>
          <w:sz w:val="21"/>
          <w:szCs w:val="21"/>
        </w:rPr>
        <w:t xml:space="preserve">. These proposals will offer a cohort of funding options for DFAT in the event of a disaster and will expand DFAT’s response capability and support a localised approach. </w:t>
      </w:r>
      <w:r w:rsidRPr="00FF2A2F">
        <w:rPr>
          <w:iCs/>
          <w:color w:val="auto"/>
          <w:sz w:val="21"/>
          <w:szCs w:val="21"/>
        </w:rPr>
        <w:t xml:space="preserve"> </w:t>
      </w:r>
    </w:p>
    <w:p w14:paraId="15450294" w14:textId="43774F2D"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Response</w:t>
      </w:r>
      <w:r w:rsidR="00291E96" w:rsidRPr="00FF2A2F">
        <w:rPr>
          <w:iCs/>
          <w:color w:val="auto"/>
          <w:sz w:val="21"/>
          <w:szCs w:val="21"/>
        </w:rPr>
        <w:t xml:space="preserve"> activities </w:t>
      </w:r>
      <w:r w:rsidRPr="00FF2A2F">
        <w:rPr>
          <w:iCs/>
          <w:color w:val="auto"/>
          <w:sz w:val="21"/>
          <w:szCs w:val="21"/>
        </w:rPr>
        <w:t xml:space="preserve">will be for a maximum period of </w:t>
      </w:r>
      <w:r w:rsidR="00DB3961" w:rsidRPr="00FF2A2F">
        <w:rPr>
          <w:iCs/>
          <w:color w:val="auto"/>
          <w:sz w:val="21"/>
          <w:szCs w:val="21"/>
        </w:rPr>
        <w:t xml:space="preserve">3 </w:t>
      </w:r>
      <w:r w:rsidRPr="00FF2A2F">
        <w:rPr>
          <w:iCs/>
          <w:color w:val="auto"/>
          <w:sz w:val="21"/>
          <w:szCs w:val="21"/>
        </w:rPr>
        <w:t xml:space="preserve">months for implementation to ensure these grants are specifically used for surging during a </w:t>
      </w:r>
      <w:r w:rsidR="007777A6" w:rsidRPr="00FF2A2F">
        <w:rPr>
          <w:iCs/>
          <w:color w:val="auto"/>
          <w:sz w:val="21"/>
          <w:szCs w:val="21"/>
        </w:rPr>
        <w:t>disaster</w:t>
      </w:r>
      <w:r w:rsidRPr="00FF2A2F">
        <w:rPr>
          <w:iCs/>
          <w:color w:val="auto"/>
          <w:sz w:val="21"/>
          <w:szCs w:val="21"/>
        </w:rPr>
        <w:t xml:space="preserve">. </w:t>
      </w:r>
      <w:r w:rsidR="00A03D5F" w:rsidRPr="00FF2A2F">
        <w:rPr>
          <w:iCs/>
          <w:color w:val="auto"/>
          <w:sz w:val="21"/>
          <w:szCs w:val="21"/>
        </w:rPr>
        <w:t>A response activity will also house any agreements funded by the</w:t>
      </w:r>
      <w:r w:rsidRPr="00FF2A2F">
        <w:rPr>
          <w:iCs/>
          <w:color w:val="auto"/>
          <w:sz w:val="21"/>
          <w:szCs w:val="21"/>
        </w:rPr>
        <w:t xml:space="preserve"> Humanitarian Emergency Fund</w:t>
      </w:r>
      <w:r w:rsidR="00A03D5F" w:rsidRPr="00FF2A2F">
        <w:rPr>
          <w:iCs/>
          <w:color w:val="auto"/>
          <w:sz w:val="21"/>
          <w:szCs w:val="21"/>
        </w:rPr>
        <w:t xml:space="preserve"> such as deployments, the purchase of emergency relief supplies, or partnerships</w:t>
      </w:r>
      <w:r w:rsidRPr="00FF2A2F">
        <w:rPr>
          <w:iCs/>
          <w:color w:val="auto"/>
          <w:sz w:val="21"/>
          <w:szCs w:val="21"/>
        </w:rPr>
        <w:t>.</w:t>
      </w:r>
      <w:r w:rsidR="005E4579" w:rsidRPr="00FF2A2F">
        <w:rPr>
          <w:iCs/>
          <w:color w:val="auto"/>
          <w:sz w:val="21"/>
          <w:szCs w:val="21"/>
        </w:rPr>
        <w:t xml:space="preserve"> Importantly, this investment does not alter current Humanitarian Division processes.</w:t>
      </w:r>
      <w:r w:rsidRPr="00FF2A2F">
        <w:rPr>
          <w:iCs/>
          <w:color w:val="auto"/>
          <w:sz w:val="21"/>
          <w:szCs w:val="21"/>
        </w:rPr>
        <w:t xml:space="preserve"> In the case of a small to medium response, Post may choose to reallocate bilateral funds to support response capabilities.  </w:t>
      </w:r>
    </w:p>
    <w:p w14:paraId="4B8DA021" w14:textId="60471C12"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Recovery activities may be ‘opened’ under the investment following a disaster or </w:t>
      </w:r>
      <w:r w:rsidR="007777A6" w:rsidRPr="00FF2A2F">
        <w:rPr>
          <w:iCs/>
          <w:color w:val="auto"/>
          <w:sz w:val="21"/>
          <w:szCs w:val="21"/>
        </w:rPr>
        <w:t>disaster</w:t>
      </w:r>
      <w:r w:rsidRPr="00FF2A2F">
        <w:rPr>
          <w:iCs/>
          <w:color w:val="auto"/>
          <w:sz w:val="21"/>
          <w:szCs w:val="21"/>
        </w:rPr>
        <w:t xml:space="preserve">. </w:t>
      </w:r>
      <w:r w:rsidR="00ED0859" w:rsidRPr="00FF2A2F">
        <w:rPr>
          <w:iCs/>
          <w:color w:val="auto"/>
          <w:sz w:val="21"/>
          <w:szCs w:val="21"/>
        </w:rPr>
        <w:t xml:space="preserve">Funding for recovery activities will likely be sourced from </w:t>
      </w:r>
      <w:r w:rsidR="00E83B58" w:rsidRPr="00FF2A2F">
        <w:rPr>
          <w:iCs/>
          <w:color w:val="auto"/>
          <w:sz w:val="21"/>
          <w:szCs w:val="21"/>
        </w:rPr>
        <w:t>available and additional</w:t>
      </w:r>
      <w:r w:rsidR="00ED0859" w:rsidRPr="00FF2A2F">
        <w:rPr>
          <w:iCs/>
          <w:color w:val="auto"/>
          <w:sz w:val="21"/>
          <w:szCs w:val="21"/>
        </w:rPr>
        <w:t xml:space="preserve"> DFAT budget line</w:t>
      </w:r>
      <w:r w:rsidR="00E83B58" w:rsidRPr="00FF2A2F">
        <w:rPr>
          <w:iCs/>
          <w:color w:val="auto"/>
          <w:sz w:val="21"/>
          <w:szCs w:val="21"/>
        </w:rPr>
        <w:t>s</w:t>
      </w:r>
      <w:r w:rsidR="001631A0" w:rsidRPr="00FF2A2F">
        <w:rPr>
          <w:iCs/>
          <w:color w:val="auto"/>
          <w:sz w:val="21"/>
          <w:szCs w:val="21"/>
        </w:rPr>
        <w:t>. Post may also choose to reallocate bilateral funds to support recovery activities implemented by CSOs. In this case, recovery</w:t>
      </w:r>
      <w:r w:rsidRPr="00FF2A2F">
        <w:rPr>
          <w:iCs/>
          <w:color w:val="auto"/>
          <w:sz w:val="21"/>
          <w:szCs w:val="21"/>
        </w:rPr>
        <w:t xml:space="preserve"> proposals will be required to focus on long term recovery and could include psychosocial support, food security, community reconstruction, livelihood and economic recovery, protection, shelter and resettlement. Recovery proposals may be multi-year up to the end of the investment, depending on recovery need following the disaster response.  </w:t>
      </w:r>
    </w:p>
    <w:p w14:paraId="7FCAECA2" w14:textId="33D0A5B4" w:rsidR="00C064D8" w:rsidRPr="00FF2A2F" w:rsidRDefault="00C064D8" w:rsidP="00760600">
      <w:pPr>
        <w:spacing w:before="120" w:line="260" w:lineRule="atLeast"/>
        <w:ind w:left="0" w:firstLine="0"/>
        <w:rPr>
          <w:b/>
          <w:bCs/>
          <w:iCs/>
          <w:color w:val="auto"/>
        </w:rPr>
      </w:pPr>
      <w:r w:rsidRPr="00FF2A2F">
        <w:rPr>
          <w:b/>
          <w:bCs/>
          <w:iCs/>
          <w:color w:val="auto"/>
        </w:rPr>
        <w:t xml:space="preserve">End of Program Outcome 2: </w:t>
      </w:r>
      <w:r w:rsidR="00760600" w:rsidRPr="00FF2A2F">
        <w:rPr>
          <w:b/>
          <w:bCs/>
          <w:iCs/>
          <w:color w:val="auto"/>
        </w:rPr>
        <w:t>Strengthening System Connectedness</w:t>
      </w:r>
    </w:p>
    <w:p w14:paraId="1344F426" w14:textId="73B70F2E" w:rsidR="00834706" w:rsidRPr="00FF2A2F" w:rsidRDefault="00C064D8" w:rsidP="00760600">
      <w:pPr>
        <w:ind w:left="0" w:firstLine="0"/>
        <w:rPr>
          <w:iCs/>
          <w:color w:val="auto"/>
          <w:sz w:val="21"/>
          <w:szCs w:val="21"/>
        </w:rPr>
      </w:pPr>
      <w:r w:rsidRPr="00FF2A2F">
        <w:rPr>
          <w:iCs/>
          <w:color w:val="auto"/>
          <w:sz w:val="21"/>
          <w:szCs w:val="21"/>
        </w:rPr>
        <w:t>85.</w:t>
      </w:r>
      <w:r w:rsidRPr="00FF2A2F">
        <w:rPr>
          <w:b/>
          <w:bCs/>
          <w:iCs/>
          <w:color w:val="auto"/>
          <w:sz w:val="21"/>
          <w:szCs w:val="21"/>
        </w:rPr>
        <w:t xml:space="preserve"> </w:t>
      </w:r>
      <w:r w:rsidRPr="00FF2A2F">
        <w:rPr>
          <w:iCs/>
          <w:color w:val="auto"/>
          <w:sz w:val="21"/>
          <w:szCs w:val="21"/>
        </w:rPr>
        <w:t>EOP</w:t>
      </w:r>
      <w:r w:rsidR="00760600" w:rsidRPr="00FF2A2F">
        <w:rPr>
          <w:iCs/>
          <w:color w:val="auto"/>
          <w:sz w:val="21"/>
          <w:szCs w:val="21"/>
        </w:rPr>
        <w:t>O</w:t>
      </w:r>
      <w:r w:rsidRPr="00FF2A2F">
        <w:rPr>
          <w:iCs/>
          <w:color w:val="auto"/>
          <w:sz w:val="21"/>
          <w:szCs w:val="21"/>
        </w:rPr>
        <w:t>3</w:t>
      </w:r>
      <w:r w:rsidR="00760600" w:rsidRPr="00FF2A2F">
        <w:rPr>
          <w:iCs/>
          <w:color w:val="auto"/>
          <w:sz w:val="21"/>
          <w:szCs w:val="21"/>
        </w:rPr>
        <w:t>:</w:t>
      </w:r>
      <w:r w:rsidRPr="00FF2A2F">
        <w:rPr>
          <w:iCs/>
          <w:color w:val="auto"/>
          <w:sz w:val="21"/>
          <w:szCs w:val="21"/>
        </w:rPr>
        <w:t xml:space="preserve"> has two intermediate outcomes:</w:t>
      </w:r>
    </w:p>
    <w:p w14:paraId="682E8782" w14:textId="6CE09440" w:rsidR="004E5D80" w:rsidRPr="00FF2A2F" w:rsidRDefault="004E5D80" w:rsidP="006B7677">
      <w:pPr>
        <w:pStyle w:val="ListParagraph"/>
        <w:numPr>
          <w:ilvl w:val="0"/>
          <w:numId w:val="36"/>
        </w:numPr>
        <w:spacing w:before="120" w:line="260" w:lineRule="atLeast"/>
        <w:rPr>
          <w:iCs/>
          <w:color w:val="auto"/>
          <w:sz w:val="21"/>
          <w:szCs w:val="21"/>
        </w:rPr>
      </w:pPr>
      <w:r w:rsidRPr="00FF2A2F">
        <w:rPr>
          <w:b/>
          <w:bCs/>
          <w:iCs/>
          <w:color w:val="auto"/>
          <w:sz w:val="21"/>
          <w:szCs w:val="21"/>
        </w:rPr>
        <w:t xml:space="preserve">10 </w:t>
      </w:r>
      <w:r w:rsidR="00601024" w:rsidRPr="00FF2A2F">
        <w:rPr>
          <w:b/>
          <w:bCs/>
          <w:iCs/>
          <w:color w:val="auto"/>
          <w:sz w:val="21"/>
          <w:szCs w:val="21"/>
        </w:rPr>
        <w:t>3.1</w:t>
      </w:r>
      <w:r w:rsidR="00760600" w:rsidRPr="00FF2A2F">
        <w:rPr>
          <w:b/>
          <w:bCs/>
          <w:iCs/>
          <w:color w:val="auto"/>
          <w:sz w:val="21"/>
          <w:szCs w:val="21"/>
        </w:rPr>
        <w:t>:</w:t>
      </w:r>
      <w:r w:rsidR="00760600" w:rsidRPr="00FF2A2F">
        <w:rPr>
          <w:iCs/>
          <w:color w:val="auto"/>
          <w:sz w:val="21"/>
          <w:szCs w:val="21"/>
        </w:rPr>
        <w:t xml:space="preserve"> </w:t>
      </w:r>
      <w:r w:rsidR="00D67F34" w:rsidRPr="00FF2A2F">
        <w:rPr>
          <w:iCs/>
          <w:color w:val="auto"/>
          <w:sz w:val="21"/>
          <w:szCs w:val="21"/>
        </w:rPr>
        <w:t xml:space="preserve">NDRMO </w:t>
      </w:r>
      <w:r w:rsidR="00871791" w:rsidRPr="00FF2A2F">
        <w:rPr>
          <w:iCs/>
          <w:color w:val="auto"/>
          <w:sz w:val="21"/>
          <w:szCs w:val="21"/>
        </w:rPr>
        <w:t xml:space="preserve">DRM </w:t>
      </w:r>
      <w:r w:rsidR="00D67F34" w:rsidRPr="00FF2A2F">
        <w:rPr>
          <w:iCs/>
          <w:color w:val="auto"/>
          <w:sz w:val="21"/>
          <w:szCs w:val="21"/>
        </w:rPr>
        <w:t xml:space="preserve">and cluster Standard Operating Procedures are </w:t>
      </w:r>
      <w:r w:rsidR="00601024" w:rsidRPr="00FF2A2F">
        <w:rPr>
          <w:iCs/>
          <w:color w:val="auto"/>
          <w:sz w:val="21"/>
          <w:szCs w:val="21"/>
        </w:rPr>
        <w:t>review</w:t>
      </w:r>
      <w:r w:rsidR="00D67F34" w:rsidRPr="00FF2A2F">
        <w:rPr>
          <w:iCs/>
          <w:color w:val="auto"/>
          <w:sz w:val="21"/>
          <w:szCs w:val="21"/>
        </w:rPr>
        <w:t>ed</w:t>
      </w:r>
      <w:r w:rsidR="00601024" w:rsidRPr="00FF2A2F">
        <w:rPr>
          <w:iCs/>
          <w:color w:val="auto"/>
          <w:sz w:val="21"/>
          <w:szCs w:val="21"/>
        </w:rPr>
        <w:t xml:space="preserve"> and update</w:t>
      </w:r>
      <w:r w:rsidR="00D67F34" w:rsidRPr="00FF2A2F">
        <w:rPr>
          <w:iCs/>
          <w:color w:val="auto"/>
          <w:sz w:val="21"/>
          <w:szCs w:val="21"/>
        </w:rPr>
        <w:t>d</w:t>
      </w:r>
      <w:r w:rsidR="00601024" w:rsidRPr="00FF2A2F">
        <w:rPr>
          <w:iCs/>
          <w:color w:val="auto"/>
          <w:sz w:val="21"/>
          <w:szCs w:val="21"/>
        </w:rPr>
        <w:t xml:space="preserve"> at least</w:t>
      </w:r>
      <w:r w:rsidR="00760600" w:rsidRPr="00FF2A2F">
        <w:rPr>
          <w:iCs/>
          <w:color w:val="auto"/>
          <w:sz w:val="21"/>
          <w:szCs w:val="21"/>
        </w:rPr>
        <w:t xml:space="preserve"> </w:t>
      </w:r>
      <w:r w:rsidR="00601024" w:rsidRPr="00FF2A2F">
        <w:rPr>
          <w:iCs/>
          <w:color w:val="auto"/>
          <w:sz w:val="21"/>
          <w:szCs w:val="21"/>
        </w:rPr>
        <w:t>every six months</w:t>
      </w:r>
      <w:r w:rsidRPr="00FF2A2F">
        <w:rPr>
          <w:iCs/>
          <w:color w:val="auto"/>
          <w:sz w:val="21"/>
          <w:szCs w:val="21"/>
        </w:rPr>
        <w:t>.</w:t>
      </w:r>
      <w:r w:rsidR="00D67F34" w:rsidRPr="00FF2A2F">
        <w:rPr>
          <w:iCs/>
          <w:color w:val="auto"/>
          <w:sz w:val="21"/>
          <w:szCs w:val="21"/>
        </w:rPr>
        <w:t xml:space="preserve"> </w:t>
      </w:r>
    </w:p>
    <w:p w14:paraId="585EC6C9" w14:textId="5881309A" w:rsidR="00601024" w:rsidRPr="00FF2A2F" w:rsidRDefault="004E5D80" w:rsidP="006B7677">
      <w:pPr>
        <w:pStyle w:val="ListParagraph"/>
        <w:numPr>
          <w:ilvl w:val="0"/>
          <w:numId w:val="36"/>
        </w:numPr>
        <w:spacing w:before="120" w:line="260" w:lineRule="atLeast"/>
        <w:rPr>
          <w:iCs/>
          <w:color w:val="auto"/>
          <w:sz w:val="21"/>
          <w:szCs w:val="21"/>
        </w:rPr>
      </w:pPr>
      <w:r w:rsidRPr="00FF2A2F">
        <w:rPr>
          <w:b/>
          <w:bCs/>
          <w:iCs/>
          <w:color w:val="auto"/>
          <w:sz w:val="21"/>
          <w:szCs w:val="21"/>
        </w:rPr>
        <w:t>IO 3.2</w:t>
      </w:r>
      <w:r w:rsidR="00760600" w:rsidRPr="00FF2A2F">
        <w:rPr>
          <w:b/>
          <w:bCs/>
          <w:iCs/>
          <w:color w:val="auto"/>
          <w:sz w:val="21"/>
          <w:szCs w:val="21"/>
        </w:rPr>
        <w:t>:</w:t>
      </w:r>
      <w:r w:rsidR="00760600" w:rsidRPr="00FF2A2F">
        <w:rPr>
          <w:iCs/>
          <w:color w:val="auto"/>
          <w:sz w:val="21"/>
          <w:szCs w:val="21"/>
        </w:rPr>
        <w:t xml:space="preserve"> </w:t>
      </w:r>
      <w:r w:rsidRPr="00FF2A2F">
        <w:rPr>
          <w:iCs/>
          <w:color w:val="auto"/>
          <w:sz w:val="21"/>
          <w:szCs w:val="21"/>
        </w:rPr>
        <w:t xml:space="preserve"> </w:t>
      </w:r>
      <w:r w:rsidR="00601024" w:rsidRPr="00FF2A2F">
        <w:rPr>
          <w:iCs/>
          <w:color w:val="auto"/>
          <w:sz w:val="21"/>
          <w:szCs w:val="21"/>
        </w:rPr>
        <w:t xml:space="preserve">Coordination mechanisms and </w:t>
      </w:r>
      <w:proofErr w:type="gramStart"/>
      <w:r w:rsidR="00601024" w:rsidRPr="00FF2A2F">
        <w:rPr>
          <w:iCs/>
          <w:color w:val="auto"/>
          <w:sz w:val="21"/>
          <w:szCs w:val="21"/>
        </w:rPr>
        <w:t>GoT</w:t>
      </w:r>
      <w:proofErr w:type="gramEnd"/>
      <w:r w:rsidR="00601024" w:rsidRPr="00FF2A2F">
        <w:rPr>
          <w:iCs/>
          <w:color w:val="auto"/>
          <w:sz w:val="21"/>
          <w:szCs w:val="21"/>
        </w:rPr>
        <w:t xml:space="preserve"> have timely access to information on DRM related matters,</w:t>
      </w:r>
      <w:r w:rsidR="00760600" w:rsidRPr="00FF2A2F">
        <w:rPr>
          <w:iCs/>
          <w:color w:val="auto"/>
          <w:sz w:val="21"/>
          <w:szCs w:val="21"/>
        </w:rPr>
        <w:t xml:space="preserve"> </w:t>
      </w:r>
      <w:r w:rsidR="00601024" w:rsidRPr="00FF2A2F">
        <w:rPr>
          <w:iCs/>
          <w:color w:val="auto"/>
          <w:sz w:val="21"/>
          <w:szCs w:val="21"/>
        </w:rPr>
        <w:t>including attention to inclusion and protection</w:t>
      </w:r>
      <w:r w:rsidRPr="00FF2A2F">
        <w:rPr>
          <w:iCs/>
          <w:color w:val="auto"/>
          <w:sz w:val="21"/>
          <w:szCs w:val="21"/>
        </w:rPr>
        <w:t>.</w:t>
      </w:r>
    </w:p>
    <w:p w14:paraId="2B89A99A" w14:textId="36122FD2" w:rsidR="00760600" w:rsidRPr="00FF2A2F" w:rsidRDefault="00760600" w:rsidP="00760600">
      <w:pPr>
        <w:spacing w:before="120" w:line="260" w:lineRule="atLeast"/>
        <w:ind w:left="0" w:firstLine="0"/>
        <w:rPr>
          <w:iCs/>
          <w:color w:val="auto"/>
          <w:sz w:val="21"/>
          <w:szCs w:val="21"/>
        </w:rPr>
      </w:pPr>
      <w:r w:rsidRPr="00FF2A2F">
        <w:rPr>
          <w:iCs/>
          <w:color w:val="auto"/>
          <w:sz w:val="21"/>
          <w:szCs w:val="21"/>
        </w:rPr>
        <w:t>86.</w:t>
      </w:r>
      <w:r w:rsidRPr="00FF2A2F">
        <w:rPr>
          <w:b/>
          <w:bCs/>
          <w:iCs/>
          <w:color w:val="auto"/>
          <w:sz w:val="21"/>
          <w:szCs w:val="21"/>
        </w:rPr>
        <w:t xml:space="preserve"> </w:t>
      </w:r>
      <w:r w:rsidRPr="00FF2A2F">
        <w:rPr>
          <w:iCs/>
          <w:color w:val="auto"/>
          <w:sz w:val="21"/>
          <w:szCs w:val="21"/>
        </w:rPr>
        <w:t>To achieve the outcomes, the following outputs will occur:</w:t>
      </w:r>
    </w:p>
    <w:p w14:paraId="7B6C3075" w14:textId="1F8FDD72" w:rsidR="008B0F23" w:rsidRPr="00FF2A2F" w:rsidRDefault="008B0F23" w:rsidP="006B7677">
      <w:pPr>
        <w:pStyle w:val="ListParagraph"/>
        <w:numPr>
          <w:ilvl w:val="0"/>
          <w:numId w:val="36"/>
        </w:numPr>
        <w:spacing w:before="120" w:line="260" w:lineRule="atLeast"/>
        <w:rPr>
          <w:iCs/>
          <w:color w:val="auto"/>
          <w:sz w:val="21"/>
          <w:szCs w:val="21"/>
        </w:rPr>
      </w:pPr>
      <w:r w:rsidRPr="00FF2A2F">
        <w:rPr>
          <w:iCs/>
          <w:color w:val="auto"/>
          <w:sz w:val="21"/>
          <w:szCs w:val="21"/>
        </w:rPr>
        <w:t>Comprehensive roles, responsibilities and expectations for all DRM stakeholders are established and communicated by GoT.</w:t>
      </w:r>
    </w:p>
    <w:p w14:paraId="008BF09E" w14:textId="464BF5C5" w:rsidR="008B0F23" w:rsidRPr="00FF2A2F" w:rsidRDefault="008B0F23" w:rsidP="006B7677">
      <w:pPr>
        <w:pStyle w:val="ListParagraph"/>
        <w:numPr>
          <w:ilvl w:val="0"/>
          <w:numId w:val="36"/>
        </w:numPr>
        <w:spacing w:before="120" w:line="260" w:lineRule="atLeast"/>
        <w:rPr>
          <w:iCs/>
          <w:color w:val="auto"/>
          <w:sz w:val="21"/>
          <w:szCs w:val="21"/>
        </w:rPr>
      </w:pPr>
      <w:r w:rsidRPr="00FF2A2F">
        <w:rPr>
          <w:iCs/>
          <w:color w:val="auto"/>
          <w:sz w:val="21"/>
          <w:szCs w:val="21"/>
        </w:rPr>
        <w:t>An information management process that provides relevant DRM related information is established and maintained.</w:t>
      </w:r>
    </w:p>
    <w:p w14:paraId="37961CE6" w14:textId="5441C5E6" w:rsidR="00EB68CF" w:rsidRPr="00FF2A2F" w:rsidRDefault="008B0F23" w:rsidP="006B7677">
      <w:pPr>
        <w:pStyle w:val="ListParagraph"/>
        <w:numPr>
          <w:ilvl w:val="0"/>
          <w:numId w:val="36"/>
        </w:numPr>
        <w:spacing w:before="120" w:line="260" w:lineRule="atLeast"/>
        <w:rPr>
          <w:iCs/>
          <w:color w:val="auto"/>
          <w:sz w:val="21"/>
          <w:szCs w:val="21"/>
        </w:rPr>
      </w:pPr>
      <w:r w:rsidRPr="00FF2A2F">
        <w:rPr>
          <w:iCs/>
          <w:color w:val="auto"/>
          <w:sz w:val="21"/>
          <w:szCs w:val="21"/>
        </w:rPr>
        <w:t>All DRM stakeholders regularly communicate their activities, plans and results to the GoT</w:t>
      </w:r>
      <w:r w:rsidR="002552DD" w:rsidRPr="00FF2A2F">
        <w:rPr>
          <w:iCs/>
          <w:color w:val="auto"/>
          <w:sz w:val="21"/>
          <w:szCs w:val="21"/>
        </w:rPr>
        <w:t xml:space="preserve">. </w:t>
      </w:r>
    </w:p>
    <w:p w14:paraId="7406F168" w14:textId="2B13F476" w:rsidR="00EF5BBE" w:rsidRPr="00FF2A2F" w:rsidRDefault="002552DD" w:rsidP="006B7677">
      <w:pPr>
        <w:pStyle w:val="ListParagraph"/>
        <w:numPr>
          <w:ilvl w:val="0"/>
          <w:numId w:val="36"/>
        </w:numPr>
        <w:spacing w:before="120" w:line="260" w:lineRule="atLeast"/>
        <w:rPr>
          <w:iCs/>
          <w:color w:val="auto"/>
          <w:sz w:val="21"/>
          <w:szCs w:val="21"/>
        </w:rPr>
      </w:pPr>
      <w:r w:rsidRPr="00FF2A2F">
        <w:rPr>
          <w:iCs/>
          <w:color w:val="auto"/>
          <w:sz w:val="21"/>
          <w:szCs w:val="21"/>
        </w:rPr>
        <w:t>Relevant DFAT programs regularly share information and capacity with NDRMO and Tonga CSOs.</w:t>
      </w:r>
    </w:p>
    <w:p w14:paraId="496374DB" w14:textId="7ABA540A" w:rsidR="00760600" w:rsidRPr="00FF2A2F" w:rsidRDefault="00760600" w:rsidP="00760600">
      <w:pPr>
        <w:spacing w:before="120" w:line="260" w:lineRule="atLeast"/>
        <w:ind w:left="0" w:firstLine="0"/>
        <w:rPr>
          <w:iCs/>
          <w:color w:val="auto"/>
          <w:sz w:val="21"/>
          <w:szCs w:val="21"/>
        </w:rPr>
      </w:pPr>
      <w:r w:rsidRPr="00FF2A2F">
        <w:rPr>
          <w:iCs/>
          <w:color w:val="auto"/>
          <w:sz w:val="21"/>
          <w:szCs w:val="21"/>
        </w:rPr>
        <w:lastRenderedPageBreak/>
        <w:t>87. Notes on EOPO3 are as follows:</w:t>
      </w:r>
    </w:p>
    <w:p w14:paraId="3AB884BC" w14:textId="5D9B71DD"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Activities under this IO are focused on strengthening connectedness across the </w:t>
      </w:r>
      <w:r w:rsidR="0034531F" w:rsidRPr="00FF2A2F">
        <w:rPr>
          <w:iCs/>
          <w:color w:val="auto"/>
          <w:sz w:val="21"/>
          <w:szCs w:val="21"/>
        </w:rPr>
        <w:t>DRM</w:t>
      </w:r>
      <w:r w:rsidRPr="00FF2A2F">
        <w:rPr>
          <w:iCs/>
          <w:color w:val="auto"/>
          <w:sz w:val="21"/>
          <w:szCs w:val="21"/>
        </w:rPr>
        <w:t xml:space="preserve"> architecture in Tonga, with a concentration on improving cluster </w:t>
      </w:r>
      <w:r w:rsidR="00091265" w:rsidRPr="00FF2A2F">
        <w:rPr>
          <w:iCs/>
          <w:color w:val="auto"/>
          <w:sz w:val="21"/>
          <w:szCs w:val="21"/>
        </w:rPr>
        <w:t xml:space="preserve">and working group (e.g., Tonga Cash </w:t>
      </w:r>
      <w:r w:rsidR="00823C8C" w:rsidRPr="00FF2A2F">
        <w:rPr>
          <w:iCs/>
          <w:color w:val="auto"/>
          <w:sz w:val="21"/>
          <w:szCs w:val="21"/>
        </w:rPr>
        <w:t xml:space="preserve">Working Group) </w:t>
      </w:r>
      <w:r w:rsidRPr="00FF2A2F">
        <w:rPr>
          <w:iCs/>
          <w:color w:val="auto"/>
          <w:sz w:val="21"/>
          <w:szCs w:val="21"/>
        </w:rPr>
        <w:t xml:space="preserve">participation and coordination by government, CSOs and other key disaster stakeholders. This investment intends to bring civil society and the GoT together to strengthen disaster management with better coordination and communication. </w:t>
      </w:r>
      <w:r w:rsidR="006F190D" w:rsidRPr="00FF2A2F">
        <w:rPr>
          <w:iCs/>
          <w:color w:val="auto"/>
          <w:sz w:val="21"/>
          <w:szCs w:val="21"/>
        </w:rPr>
        <w:t>Per IO1</w:t>
      </w:r>
      <w:r w:rsidR="00137EC5" w:rsidRPr="00FF2A2F">
        <w:rPr>
          <w:iCs/>
          <w:color w:val="auto"/>
          <w:sz w:val="21"/>
          <w:szCs w:val="21"/>
        </w:rPr>
        <w:t xml:space="preserve"> </w:t>
      </w:r>
      <w:r w:rsidRPr="00FF2A2F">
        <w:rPr>
          <w:iCs/>
          <w:color w:val="auto"/>
          <w:sz w:val="21"/>
          <w:szCs w:val="21"/>
        </w:rPr>
        <w:t>DFAT</w:t>
      </w:r>
      <w:r w:rsidR="005A7910" w:rsidRPr="00FF2A2F">
        <w:rPr>
          <w:iCs/>
          <w:color w:val="auto"/>
          <w:sz w:val="21"/>
          <w:szCs w:val="21"/>
        </w:rPr>
        <w:t xml:space="preserve"> will fund</w:t>
      </w:r>
      <w:r w:rsidRPr="00FF2A2F">
        <w:rPr>
          <w:iCs/>
          <w:color w:val="auto"/>
          <w:sz w:val="21"/>
          <w:szCs w:val="21"/>
        </w:rPr>
        <w:t xml:space="preserve"> a position within the NDRMO as a </w:t>
      </w:r>
      <w:r w:rsidR="005A7910" w:rsidRPr="00FF2A2F">
        <w:rPr>
          <w:iCs/>
          <w:color w:val="auto"/>
          <w:sz w:val="21"/>
          <w:szCs w:val="21"/>
        </w:rPr>
        <w:t>CSO Desk Officer</w:t>
      </w:r>
      <w:r w:rsidRPr="00FF2A2F">
        <w:rPr>
          <w:iCs/>
          <w:color w:val="auto"/>
          <w:sz w:val="21"/>
          <w:szCs w:val="21"/>
        </w:rPr>
        <w:t>, with initial support from A</w:t>
      </w:r>
      <w:r w:rsidR="0034531F" w:rsidRPr="00FF2A2F">
        <w:rPr>
          <w:iCs/>
          <w:color w:val="auto"/>
          <w:sz w:val="21"/>
          <w:szCs w:val="21"/>
        </w:rPr>
        <w:t>A</w:t>
      </w:r>
      <w:r w:rsidRPr="00FF2A2F">
        <w:rPr>
          <w:iCs/>
          <w:color w:val="auto"/>
          <w:sz w:val="21"/>
          <w:szCs w:val="21"/>
        </w:rPr>
        <w:t xml:space="preserve"> to build capacity.  </w:t>
      </w:r>
    </w:p>
    <w:p w14:paraId="5901569F" w14:textId="7146C011" w:rsidR="00760600" w:rsidRPr="00FF2A2F" w:rsidRDefault="00137EC5" w:rsidP="006B7677">
      <w:pPr>
        <w:pStyle w:val="ListParagraph"/>
        <w:numPr>
          <w:ilvl w:val="0"/>
          <w:numId w:val="36"/>
        </w:numPr>
        <w:spacing w:before="120" w:line="260" w:lineRule="atLeast"/>
        <w:rPr>
          <w:iCs/>
          <w:color w:val="auto"/>
          <w:sz w:val="21"/>
          <w:szCs w:val="21"/>
        </w:rPr>
      </w:pPr>
      <w:r w:rsidRPr="00FF2A2F">
        <w:rPr>
          <w:iCs/>
          <w:color w:val="auto"/>
          <w:sz w:val="21"/>
          <w:szCs w:val="21"/>
        </w:rPr>
        <w:t>Additional</w:t>
      </w:r>
      <w:r w:rsidR="00EA09CC" w:rsidRPr="00FF2A2F">
        <w:rPr>
          <w:iCs/>
          <w:color w:val="auto"/>
          <w:sz w:val="21"/>
          <w:szCs w:val="21"/>
        </w:rPr>
        <w:t xml:space="preserve"> focus</w:t>
      </w:r>
      <w:r w:rsidRPr="00FF2A2F">
        <w:rPr>
          <w:iCs/>
          <w:color w:val="auto"/>
          <w:sz w:val="21"/>
          <w:szCs w:val="21"/>
        </w:rPr>
        <w:t xml:space="preserve"> will be</w:t>
      </w:r>
      <w:r w:rsidR="00EA09CC" w:rsidRPr="00FF2A2F">
        <w:rPr>
          <w:iCs/>
          <w:color w:val="auto"/>
          <w:sz w:val="21"/>
          <w:szCs w:val="21"/>
        </w:rPr>
        <w:t xml:space="preserve"> on ensuring clusters are active outside of disaster response periods to work on preparedness activities. This will be achieved by funding cluster co-chairs to deliver improved secretariat functions, particularly consistent engagement of cluster members</w:t>
      </w:r>
      <w:r w:rsidR="0045218D" w:rsidRPr="00FF2A2F">
        <w:rPr>
          <w:iCs/>
          <w:color w:val="auto"/>
          <w:sz w:val="21"/>
          <w:szCs w:val="21"/>
        </w:rPr>
        <w:t>.</w:t>
      </w:r>
      <w:r w:rsidR="00EA09CC" w:rsidRPr="00FF2A2F">
        <w:rPr>
          <w:iCs/>
          <w:color w:val="auto"/>
          <w:sz w:val="21"/>
          <w:szCs w:val="21"/>
        </w:rPr>
        <w:t xml:space="preserve"> Design findings indicate a strong potential return on investment through funding a monitoring, evaluation and learning (MEL) position at inter-cluster level to support more systematic lessons learnt and adaptive management capacity within the cluster leads.</w:t>
      </w:r>
      <w:r w:rsidR="0045218D" w:rsidRPr="00FF2A2F">
        <w:rPr>
          <w:iCs/>
          <w:color w:val="auto"/>
          <w:sz w:val="21"/>
          <w:szCs w:val="21"/>
        </w:rPr>
        <w:t xml:space="preserve"> These options will be explored in consultation with the NDRMO during the inception phase of the investment.</w:t>
      </w:r>
    </w:p>
    <w:p w14:paraId="16C4AC6A" w14:textId="77777777" w:rsidR="00760600" w:rsidRPr="00FF2A2F" w:rsidRDefault="00F16043" w:rsidP="00760600">
      <w:pPr>
        <w:spacing w:before="120" w:line="260" w:lineRule="atLeast"/>
        <w:ind w:left="0" w:firstLine="0"/>
        <w:rPr>
          <w:iCs/>
          <w:color w:val="auto"/>
        </w:rPr>
      </w:pPr>
      <w:r w:rsidRPr="00FF2A2F">
        <w:rPr>
          <w:b/>
          <w:bCs/>
          <w:iCs/>
          <w:color w:val="auto"/>
        </w:rPr>
        <w:t>Conditional Intermediate Outcome</w:t>
      </w:r>
      <w:r w:rsidRPr="00FF2A2F">
        <w:rPr>
          <w:iCs/>
          <w:color w:val="auto"/>
        </w:rPr>
        <w:t xml:space="preserve"> </w:t>
      </w:r>
    </w:p>
    <w:p w14:paraId="04B85912" w14:textId="2743EBAB" w:rsidR="005B36DF" w:rsidRPr="00FF2A2F" w:rsidRDefault="00760600" w:rsidP="00760600">
      <w:pPr>
        <w:spacing w:before="120" w:line="260" w:lineRule="atLeast"/>
        <w:ind w:left="0" w:firstLine="0"/>
        <w:rPr>
          <w:iCs/>
          <w:color w:val="auto"/>
          <w:sz w:val="21"/>
          <w:szCs w:val="21"/>
        </w:rPr>
      </w:pPr>
      <w:r w:rsidRPr="00FF2A2F">
        <w:rPr>
          <w:iCs/>
          <w:color w:val="auto"/>
        </w:rPr>
        <w:t xml:space="preserve">88. </w:t>
      </w:r>
      <w:r w:rsidR="00F16043" w:rsidRPr="00FF2A2F">
        <w:rPr>
          <w:iCs/>
          <w:color w:val="auto"/>
          <w:sz w:val="21"/>
          <w:szCs w:val="21"/>
        </w:rPr>
        <w:t>Through the design process</w:t>
      </w:r>
      <w:r w:rsidR="00A1503D" w:rsidRPr="00FF2A2F">
        <w:rPr>
          <w:iCs/>
          <w:color w:val="auto"/>
          <w:sz w:val="21"/>
          <w:szCs w:val="21"/>
        </w:rPr>
        <w:t>,</w:t>
      </w:r>
      <w:r w:rsidR="00F16043" w:rsidRPr="00FF2A2F">
        <w:rPr>
          <w:iCs/>
          <w:color w:val="auto"/>
          <w:sz w:val="21"/>
          <w:szCs w:val="21"/>
        </w:rPr>
        <w:t xml:space="preserve"> an option for a conditional intermediate outcome focused on DFAT’s surge support through Post and Canberra </w:t>
      </w:r>
      <w:r w:rsidR="00CD0E67" w:rsidRPr="00FF2A2F">
        <w:rPr>
          <w:iCs/>
          <w:color w:val="auto"/>
          <w:sz w:val="21"/>
          <w:szCs w:val="21"/>
        </w:rPr>
        <w:t>was</w:t>
      </w:r>
      <w:r w:rsidR="00F16043" w:rsidRPr="00FF2A2F">
        <w:rPr>
          <w:iCs/>
          <w:color w:val="auto"/>
          <w:sz w:val="21"/>
          <w:szCs w:val="21"/>
        </w:rPr>
        <w:t xml:space="preserve"> </w:t>
      </w:r>
      <w:r w:rsidR="00292404" w:rsidRPr="00FF2A2F">
        <w:rPr>
          <w:iCs/>
          <w:color w:val="auto"/>
          <w:sz w:val="21"/>
          <w:szCs w:val="21"/>
        </w:rPr>
        <w:t xml:space="preserve">developed: </w:t>
      </w:r>
    </w:p>
    <w:p w14:paraId="30A24A69" w14:textId="65E37D28" w:rsidR="005B36DF" w:rsidRPr="00FF2A2F" w:rsidRDefault="00A1503D" w:rsidP="006B7677">
      <w:pPr>
        <w:pStyle w:val="ListParagraph"/>
        <w:numPr>
          <w:ilvl w:val="0"/>
          <w:numId w:val="36"/>
        </w:numPr>
        <w:spacing w:before="120" w:line="260" w:lineRule="atLeast"/>
        <w:rPr>
          <w:iCs/>
          <w:color w:val="auto"/>
          <w:sz w:val="21"/>
          <w:szCs w:val="21"/>
        </w:rPr>
      </w:pPr>
      <w:r w:rsidRPr="00FF2A2F">
        <w:rPr>
          <w:b/>
          <w:bCs/>
          <w:iCs/>
          <w:color w:val="auto"/>
          <w:sz w:val="21"/>
          <w:szCs w:val="21"/>
        </w:rPr>
        <w:t>IO4</w:t>
      </w:r>
      <w:r w:rsidRPr="00FF2A2F">
        <w:rPr>
          <w:iCs/>
          <w:color w:val="auto"/>
          <w:sz w:val="21"/>
          <w:szCs w:val="21"/>
        </w:rPr>
        <w:t>: DFAT’s surge support is coordinated, locally led, and delivered through the Investment</w:t>
      </w:r>
      <w:r w:rsidR="003C7A7D" w:rsidRPr="00FF2A2F">
        <w:rPr>
          <w:iCs/>
          <w:color w:val="auto"/>
          <w:sz w:val="21"/>
          <w:szCs w:val="21"/>
        </w:rPr>
        <w:t>.</w:t>
      </w:r>
      <w:r w:rsidR="005B36DF" w:rsidRPr="00FF2A2F">
        <w:rPr>
          <w:iCs/>
          <w:color w:val="auto"/>
          <w:sz w:val="21"/>
          <w:szCs w:val="21"/>
        </w:rPr>
        <w:t xml:space="preserve"> </w:t>
      </w:r>
    </w:p>
    <w:p w14:paraId="510C8F5F" w14:textId="77777777" w:rsidR="00760600" w:rsidRPr="00FF2A2F" w:rsidRDefault="00760600" w:rsidP="00760600">
      <w:pPr>
        <w:spacing w:before="120" w:line="260" w:lineRule="atLeast"/>
        <w:ind w:left="0" w:firstLine="0"/>
        <w:rPr>
          <w:b/>
          <w:bCs/>
          <w:iCs/>
          <w:color w:val="auto"/>
          <w:sz w:val="21"/>
          <w:szCs w:val="21"/>
        </w:rPr>
      </w:pPr>
      <w:r w:rsidRPr="00FF2A2F">
        <w:rPr>
          <w:iCs/>
          <w:color w:val="auto"/>
          <w:sz w:val="21"/>
          <w:szCs w:val="21"/>
        </w:rPr>
        <w:t>89.</w:t>
      </w:r>
      <w:r w:rsidRPr="00FF2A2F">
        <w:rPr>
          <w:b/>
          <w:bCs/>
          <w:iCs/>
          <w:color w:val="auto"/>
          <w:sz w:val="21"/>
          <w:szCs w:val="21"/>
        </w:rPr>
        <w:t xml:space="preserve"> </w:t>
      </w:r>
      <w:r w:rsidRPr="00FF2A2F">
        <w:rPr>
          <w:iCs/>
          <w:color w:val="auto"/>
          <w:sz w:val="21"/>
          <w:szCs w:val="21"/>
        </w:rPr>
        <w:t>To achieve the outcomes, the following outputs will occur:</w:t>
      </w:r>
      <w:r w:rsidR="005378E6" w:rsidRPr="00FF2A2F">
        <w:rPr>
          <w:b/>
          <w:bCs/>
          <w:iCs/>
          <w:color w:val="auto"/>
          <w:sz w:val="21"/>
          <w:szCs w:val="21"/>
        </w:rPr>
        <w:t xml:space="preserve"> </w:t>
      </w:r>
    </w:p>
    <w:p w14:paraId="375EA683" w14:textId="77777777" w:rsidR="00760600" w:rsidRPr="00FF2A2F" w:rsidRDefault="005378E6" w:rsidP="006B7677">
      <w:pPr>
        <w:pStyle w:val="ListParagraph"/>
        <w:numPr>
          <w:ilvl w:val="0"/>
          <w:numId w:val="36"/>
        </w:numPr>
        <w:spacing w:before="120" w:line="260" w:lineRule="atLeast"/>
        <w:rPr>
          <w:iCs/>
          <w:color w:val="auto"/>
          <w:sz w:val="21"/>
          <w:szCs w:val="21"/>
        </w:rPr>
      </w:pPr>
      <w:r w:rsidRPr="00FF2A2F">
        <w:rPr>
          <w:iCs/>
          <w:color w:val="auto"/>
          <w:sz w:val="21"/>
          <w:szCs w:val="21"/>
        </w:rPr>
        <w:t>Mechanism established to provide additional funding to GoT and CSO, as required, during a disaster response and recovery.</w:t>
      </w:r>
    </w:p>
    <w:p w14:paraId="4CB41E93" w14:textId="5E3C9D60" w:rsidR="00EB68CF" w:rsidRPr="00FF2A2F" w:rsidRDefault="00760600" w:rsidP="00760600">
      <w:pPr>
        <w:spacing w:before="120" w:line="260" w:lineRule="atLeast"/>
        <w:ind w:left="0" w:firstLine="0"/>
        <w:rPr>
          <w:iCs/>
          <w:color w:val="auto"/>
          <w:sz w:val="21"/>
          <w:szCs w:val="21"/>
        </w:rPr>
      </w:pPr>
      <w:r w:rsidRPr="00FF2A2F">
        <w:rPr>
          <w:iCs/>
          <w:color w:val="auto"/>
          <w:sz w:val="21"/>
          <w:szCs w:val="21"/>
        </w:rPr>
        <w:t xml:space="preserve">90. </w:t>
      </w:r>
      <w:r w:rsidR="00FF5430" w:rsidRPr="00FF2A2F">
        <w:rPr>
          <w:iCs/>
          <w:color w:val="auto"/>
          <w:sz w:val="21"/>
          <w:szCs w:val="21"/>
        </w:rPr>
        <w:t xml:space="preserve">This provides the opportunity to measure </w:t>
      </w:r>
      <w:r w:rsidR="00011312" w:rsidRPr="00FF2A2F">
        <w:rPr>
          <w:iCs/>
          <w:color w:val="auto"/>
          <w:sz w:val="21"/>
          <w:szCs w:val="21"/>
        </w:rPr>
        <w:t xml:space="preserve">surge response support in the event of a </w:t>
      </w:r>
      <w:r w:rsidR="00B86D36" w:rsidRPr="00FF2A2F">
        <w:rPr>
          <w:iCs/>
          <w:color w:val="auto"/>
          <w:sz w:val="21"/>
          <w:szCs w:val="21"/>
        </w:rPr>
        <w:t>significant humanitaria</w:t>
      </w:r>
      <w:r w:rsidR="00CD0E67" w:rsidRPr="00FF2A2F">
        <w:rPr>
          <w:iCs/>
          <w:color w:val="auto"/>
          <w:sz w:val="21"/>
          <w:szCs w:val="21"/>
        </w:rPr>
        <w:t>n</w:t>
      </w:r>
      <w:r w:rsidR="00B86D36" w:rsidRPr="00FF2A2F">
        <w:rPr>
          <w:iCs/>
          <w:color w:val="auto"/>
          <w:sz w:val="21"/>
          <w:szCs w:val="21"/>
        </w:rPr>
        <w:t xml:space="preserve"> response</w:t>
      </w:r>
      <w:r w:rsidR="00157A63" w:rsidRPr="00FF2A2F">
        <w:rPr>
          <w:iCs/>
          <w:color w:val="auto"/>
          <w:sz w:val="21"/>
          <w:szCs w:val="21"/>
        </w:rPr>
        <w:t xml:space="preserve">. The design process recommends testing the feasibility and relevance of this fourth IO </w:t>
      </w:r>
      <w:r w:rsidR="00A51F41" w:rsidRPr="00FF2A2F">
        <w:rPr>
          <w:iCs/>
          <w:color w:val="auto"/>
          <w:sz w:val="21"/>
          <w:szCs w:val="21"/>
        </w:rPr>
        <w:t xml:space="preserve">during the inception period as </w:t>
      </w:r>
      <w:r w:rsidR="00E30B99" w:rsidRPr="00FF2A2F">
        <w:rPr>
          <w:iCs/>
          <w:color w:val="auto"/>
          <w:sz w:val="21"/>
          <w:szCs w:val="21"/>
        </w:rPr>
        <w:t>stakeholder engagement</w:t>
      </w:r>
      <w:r w:rsidR="00A51F41" w:rsidRPr="00FF2A2F">
        <w:rPr>
          <w:iCs/>
          <w:color w:val="auto"/>
          <w:sz w:val="21"/>
          <w:szCs w:val="21"/>
        </w:rPr>
        <w:t xml:space="preserve"> continue</w:t>
      </w:r>
      <w:r w:rsidR="00E30B99" w:rsidRPr="00FF2A2F">
        <w:rPr>
          <w:iCs/>
          <w:color w:val="auto"/>
          <w:sz w:val="21"/>
          <w:szCs w:val="21"/>
        </w:rPr>
        <w:t>s</w:t>
      </w:r>
      <w:r w:rsidR="00A51F41" w:rsidRPr="00FF2A2F">
        <w:rPr>
          <w:iCs/>
          <w:color w:val="auto"/>
          <w:sz w:val="21"/>
          <w:szCs w:val="21"/>
        </w:rPr>
        <w:t xml:space="preserve"> and the MEL Plan is being drafted. </w:t>
      </w:r>
    </w:p>
    <w:p w14:paraId="1D29EC43" w14:textId="3451695A" w:rsidR="00834706" w:rsidRPr="00FF2A2F" w:rsidRDefault="00834706" w:rsidP="00760600">
      <w:pPr>
        <w:tabs>
          <w:tab w:val="left" w:pos="851"/>
        </w:tabs>
        <w:spacing w:before="120" w:line="260" w:lineRule="atLeast"/>
        <w:ind w:left="0" w:firstLine="0"/>
        <w:rPr>
          <w:b/>
          <w:bCs/>
          <w:iCs/>
          <w:color w:val="auto"/>
        </w:rPr>
      </w:pPr>
      <w:r w:rsidRPr="00FF2A2F">
        <w:rPr>
          <w:b/>
          <w:bCs/>
          <w:iCs/>
          <w:color w:val="auto"/>
        </w:rPr>
        <w:t>Assumptions</w:t>
      </w:r>
    </w:p>
    <w:p w14:paraId="6C59984F" w14:textId="0998B193" w:rsidR="00834706" w:rsidRPr="00FF2A2F" w:rsidRDefault="00760600" w:rsidP="00760600">
      <w:pPr>
        <w:tabs>
          <w:tab w:val="left" w:pos="851"/>
        </w:tabs>
        <w:spacing w:before="120" w:line="260" w:lineRule="atLeast"/>
        <w:ind w:left="0" w:firstLine="0"/>
        <w:rPr>
          <w:color w:val="auto"/>
          <w:sz w:val="21"/>
          <w:szCs w:val="21"/>
        </w:rPr>
      </w:pPr>
      <w:r w:rsidRPr="00FF2A2F">
        <w:rPr>
          <w:color w:val="auto"/>
          <w:sz w:val="21"/>
          <w:szCs w:val="21"/>
        </w:rPr>
        <w:t xml:space="preserve">91. </w:t>
      </w:r>
      <w:r w:rsidR="00834706" w:rsidRPr="00FF2A2F">
        <w:rPr>
          <w:color w:val="auto"/>
          <w:sz w:val="21"/>
          <w:szCs w:val="21"/>
        </w:rPr>
        <w:t>The following assumptions underpin the program logic and delivery approach for the investment</w:t>
      </w:r>
      <w:r w:rsidRPr="00FF2A2F">
        <w:rPr>
          <w:color w:val="auto"/>
          <w:sz w:val="21"/>
          <w:szCs w:val="21"/>
        </w:rPr>
        <w:t xml:space="preserve">: </w:t>
      </w:r>
    </w:p>
    <w:p w14:paraId="443503F6" w14:textId="06D7C9D9" w:rsidR="00834706" w:rsidRPr="00FF2A2F" w:rsidRDefault="00426C2F" w:rsidP="006B7677">
      <w:pPr>
        <w:pStyle w:val="ListParagraph"/>
        <w:numPr>
          <w:ilvl w:val="0"/>
          <w:numId w:val="36"/>
        </w:numPr>
        <w:spacing w:before="120" w:line="260" w:lineRule="atLeast"/>
        <w:rPr>
          <w:iCs/>
          <w:color w:val="auto"/>
          <w:sz w:val="21"/>
          <w:szCs w:val="21"/>
        </w:rPr>
      </w:pPr>
      <w:r w:rsidRPr="00FF2A2F">
        <w:rPr>
          <w:iCs/>
          <w:color w:val="auto"/>
          <w:sz w:val="21"/>
          <w:szCs w:val="21"/>
        </w:rPr>
        <w:t>B</w:t>
      </w:r>
      <w:r w:rsidR="00834706" w:rsidRPr="00FF2A2F">
        <w:rPr>
          <w:iCs/>
          <w:color w:val="auto"/>
          <w:sz w:val="21"/>
          <w:szCs w:val="21"/>
        </w:rPr>
        <w:t xml:space="preserve">etter coordination and information sharing between the </w:t>
      </w:r>
      <w:r w:rsidR="00E17839" w:rsidRPr="00FF2A2F">
        <w:rPr>
          <w:iCs/>
          <w:color w:val="auto"/>
          <w:sz w:val="21"/>
          <w:szCs w:val="21"/>
        </w:rPr>
        <w:t>GoT</w:t>
      </w:r>
      <w:r w:rsidR="00834706" w:rsidRPr="00FF2A2F">
        <w:rPr>
          <w:iCs/>
          <w:color w:val="auto"/>
          <w:sz w:val="21"/>
          <w:szCs w:val="21"/>
        </w:rPr>
        <w:t xml:space="preserve"> and other disaster stakeholders</w:t>
      </w:r>
      <w:r w:rsidRPr="00FF2A2F">
        <w:rPr>
          <w:iCs/>
          <w:color w:val="auto"/>
          <w:sz w:val="21"/>
          <w:szCs w:val="21"/>
        </w:rPr>
        <w:t xml:space="preserve"> will lead to </w:t>
      </w:r>
      <w:r w:rsidR="00834706" w:rsidRPr="00FF2A2F">
        <w:rPr>
          <w:iCs/>
          <w:color w:val="auto"/>
          <w:sz w:val="21"/>
          <w:szCs w:val="21"/>
        </w:rPr>
        <w:t>improved</w:t>
      </w:r>
      <w:r w:rsidRPr="00FF2A2F">
        <w:rPr>
          <w:iCs/>
          <w:color w:val="auto"/>
          <w:sz w:val="21"/>
          <w:szCs w:val="21"/>
        </w:rPr>
        <w:t xml:space="preserve"> disaster</w:t>
      </w:r>
      <w:r w:rsidR="00834706" w:rsidRPr="00FF2A2F">
        <w:rPr>
          <w:iCs/>
          <w:color w:val="auto"/>
          <w:sz w:val="21"/>
          <w:szCs w:val="21"/>
        </w:rPr>
        <w:t xml:space="preserve"> preparedness</w:t>
      </w:r>
      <w:r w:rsidR="00E17839" w:rsidRPr="00FF2A2F">
        <w:rPr>
          <w:iCs/>
          <w:color w:val="auto"/>
          <w:sz w:val="21"/>
          <w:szCs w:val="21"/>
        </w:rPr>
        <w:t>.</w:t>
      </w:r>
      <w:r w:rsidR="00834706" w:rsidRPr="00FF2A2F">
        <w:rPr>
          <w:iCs/>
          <w:color w:val="auto"/>
          <w:sz w:val="21"/>
          <w:szCs w:val="21"/>
        </w:rPr>
        <w:t xml:space="preserve"> </w:t>
      </w:r>
    </w:p>
    <w:p w14:paraId="40E5D88C" w14:textId="3359F5C5" w:rsidR="00834706" w:rsidRPr="00FF2A2F" w:rsidRDefault="00426C2F" w:rsidP="006B7677">
      <w:pPr>
        <w:pStyle w:val="ListParagraph"/>
        <w:numPr>
          <w:ilvl w:val="0"/>
          <w:numId w:val="36"/>
        </w:numPr>
        <w:spacing w:before="120" w:line="260" w:lineRule="atLeast"/>
        <w:rPr>
          <w:iCs/>
          <w:color w:val="auto"/>
          <w:sz w:val="21"/>
          <w:szCs w:val="21"/>
        </w:rPr>
      </w:pPr>
      <w:r w:rsidRPr="00FF2A2F">
        <w:rPr>
          <w:iCs/>
          <w:color w:val="auto"/>
          <w:sz w:val="21"/>
          <w:szCs w:val="21"/>
        </w:rPr>
        <w:t>The</w:t>
      </w:r>
      <w:r w:rsidR="00834706" w:rsidRPr="00FF2A2F">
        <w:rPr>
          <w:iCs/>
          <w:color w:val="auto"/>
          <w:sz w:val="21"/>
          <w:szCs w:val="21"/>
        </w:rPr>
        <w:t xml:space="preserve"> training and capa</w:t>
      </w:r>
      <w:r w:rsidR="004E38D7" w:rsidRPr="00FF2A2F">
        <w:rPr>
          <w:iCs/>
          <w:color w:val="auto"/>
          <w:sz w:val="21"/>
          <w:szCs w:val="21"/>
        </w:rPr>
        <w:t>bility</w:t>
      </w:r>
      <w:r w:rsidR="00834706" w:rsidRPr="00FF2A2F">
        <w:rPr>
          <w:iCs/>
          <w:color w:val="auto"/>
          <w:sz w:val="21"/>
          <w:szCs w:val="21"/>
        </w:rPr>
        <w:t xml:space="preserve"> strengthening activities offered by the investment</w:t>
      </w:r>
      <w:r w:rsidR="00536D64" w:rsidRPr="00FF2A2F">
        <w:rPr>
          <w:iCs/>
          <w:color w:val="auto"/>
          <w:sz w:val="21"/>
          <w:szCs w:val="21"/>
        </w:rPr>
        <w:t xml:space="preserve"> will be sufficient to meet the identified capability gap</w:t>
      </w:r>
      <w:r w:rsidR="00834706" w:rsidRPr="00FF2A2F">
        <w:rPr>
          <w:iCs/>
          <w:color w:val="auto"/>
          <w:sz w:val="21"/>
          <w:szCs w:val="21"/>
        </w:rPr>
        <w:t xml:space="preserve">. </w:t>
      </w:r>
    </w:p>
    <w:p w14:paraId="4CB14714" w14:textId="63332404" w:rsidR="00834706" w:rsidRPr="00FF2A2F" w:rsidRDefault="00536D64" w:rsidP="006B7677">
      <w:pPr>
        <w:pStyle w:val="ListParagraph"/>
        <w:numPr>
          <w:ilvl w:val="0"/>
          <w:numId w:val="36"/>
        </w:numPr>
        <w:spacing w:before="120" w:line="260" w:lineRule="atLeast"/>
        <w:rPr>
          <w:iCs/>
          <w:color w:val="auto"/>
          <w:sz w:val="21"/>
          <w:szCs w:val="21"/>
        </w:rPr>
      </w:pPr>
      <w:r w:rsidRPr="00FF2A2F">
        <w:rPr>
          <w:iCs/>
          <w:color w:val="auto"/>
          <w:sz w:val="21"/>
          <w:szCs w:val="21"/>
        </w:rPr>
        <w:t>S</w:t>
      </w:r>
      <w:r w:rsidR="00834706" w:rsidRPr="00FF2A2F">
        <w:rPr>
          <w:iCs/>
          <w:color w:val="auto"/>
          <w:sz w:val="21"/>
          <w:szCs w:val="21"/>
        </w:rPr>
        <w:t>enior</w:t>
      </w:r>
      <w:r w:rsidR="0005234F" w:rsidRPr="00FF2A2F">
        <w:rPr>
          <w:iCs/>
          <w:color w:val="auto"/>
          <w:sz w:val="21"/>
          <w:szCs w:val="21"/>
        </w:rPr>
        <w:t xml:space="preserve"> leadership have the space and resources to engage in </w:t>
      </w:r>
      <w:r w:rsidR="00836149" w:rsidRPr="00FF2A2F">
        <w:rPr>
          <w:iCs/>
          <w:color w:val="auto"/>
          <w:sz w:val="21"/>
          <w:szCs w:val="21"/>
        </w:rPr>
        <w:t xml:space="preserve">DRM </w:t>
      </w:r>
      <w:r w:rsidR="00834706" w:rsidRPr="00FF2A2F">
        <w:rPr>
          <w:iCs/>
          <w:color w:val="auto"/>
          <w:sz w:val="21"/>
          <w:szCs w:val="21"/>
        </w:rPr>
        <w:t>sector reform.</w:t>
      </w:r>
    </w:p>
    <w:p w14:paraId="71E98D13" w14:textId="3828178A" w:rsidR="004060E6" w:rsidRPr="00FF2A2F" w:rsidRDefault="0005234F"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The investment can sufficiently incentivise </w:t>
      </w:r>
      <w:r w:rsidR="00716178" w:rsidRPr="00FF2A2F">
        <w:rPr>
          <w:iCs/>
          <w:color w:val="auto"/>
          <w:sz w:val="21"/>
          <w:szCs w:val="21"/>
        </w:rPr>
        <w:t xml:space="preserve">stakeholders to participate in </w:t>
      </w:r>
      <w:r w:rsidR="00794D14" w:rsidRPr="00FF2A2F">
        <w:rPr>
          <w:iCs/>
          <w:color w:val="auto"/>
          <w:sz w:val="21"/>
          <w:szCs w:val="21"/>
        </w:rPr>
        <w:t>and strengthen</w:t>
      </w:r>
      <w:r w:rsidR="00834706" w:rsidRPr="00FF2A2F">
        <w:rPr>
          <w:iCs/>
          <w:color w:val="auto"/>
          <w:sz w:val="21"/>
          <w:szCs w:val="21"/>
        </w:rPr>
        <w:t xml:space="preserve"> information sharing mechanisms through the cluster system</w:t>
      </w:r>
      <w:r w:rsidR="007A517A" w:rsidRPr="00FF2A2F">
        <w:rPr>
          <w:iCs/>
          <w:color w:val="auto"/>
          <w:sz w:val="21"/>
          <w:szCs w:val="21"/>
        </w:rPr>
        <w:t xml:space="preserve"> as the primary DRM coordination mechanism for T</w:t>
      </w:r>
      <w:r w:rsidR="00794D14" w:rsidRPr="00FF2A2F">
        <w:rPr>
          <w:iCs/>
          <w:color w:val="auto"/>
          <w:sz w:val="21"/>
          <w:szCs w:val="21"/>
        </w:rPr>
        <w:t xml:space="preserve">onga. </w:t>
      </w:r>
    </w:p>
    <w:p w14:paraId="7AF1EDBB" w14:textId="2A01648F" w:rsidR="00836149" w:rsidRPr="00FF2A2F" w:rsidRDefault="00836149"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The value of CSOs and their existing capability in DRM programming is understood and appreciated by the GoT and UN. </w:t>
      </w:r>
    </w:p>
    <w:p w14:paraId="5C95E69E" w14:textId="40B8B3AE"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C</w:t>
      </w:r>
      <w:r w:rsidR="00EC0371" w:rsidRPr="00FF2A2F">
        <w:rPr>
          <w:iCs/>
          <w:color w:val="auto"/>
          <w:sz w:val="21"/>
          <w:szCs w:val="21"/>
        </w:rPr>
        <w:t>SO</w:t>
      </w:r>
      <w:r w:rsidRPr="00FF2A2F">
        <w:rPr>
          <w:iCs/>
          <w:color w:val="auto"/>
          <w:sz w:val="21"/>
          <w:szCs w:val="21"/>
        </w:rPr>
        <w:t xml:space="preserve">s are </w:t>
      </w:r>
      <w:r w:rsidR="004462EF" w:rsidRPr="00FF2A2F">
        <w:rPr>
          <w:iCs/>
          <w:color w:val="auto"/>
          <w:sz w:val="21"/>
          <w:szCs w:val="21"/>
        </w:rPr>
        <w:t>prepared</w:t>
      </w:r>
      <w:r w:rsidR="003033E6" w:rsidRPr="00FF2A2F">
        <w:rPr>
          <w:iCs/>
          <w:color w:val="auto"/>
          <w:sz w:val="21"/>
          <w:szCs w:val="21"/>
        </w:rPr>
        <w:t xml:space="preserve"> and</w:t>
      </w:r>
      <w:r w:rsidR="004462EF" w:rsidRPr="00FF2A2F">
        <w:rPr>
          <w:iCs/>
          <w:color w:val="auto"/>
          <w:sz w:val="21"/>
          <w:szCs w:val="21"/>
        </w:rPr>
        <w:t xml:space="preserve"> capable of</w:t>
      </w:r>
      <w:r w:rsidR="003033E6" w:rsidRPr="00FF2A2F">
        <w:rPr>
          <w:iCs/>
          <w:color w:val="auto"/>
          <w:sz w:val="21"/>
          <w:szCs w:val="21"/>
        </w:rPr>
        <w:t xml:space="preserve"> </w:t>
      </w:r>
      <w:r w:rsidR="004462EF" w:rsidRPr="00FF2A2F">
        <w:rPr>
          <w:iCs/>
          <w:color w:val="auto"/>
          <w:sz w:val="21"/>
          <w:szCs w:val="21"/>
        </w:rPr>
        <w:t>meeting</w:t>
      </w:r>
      <w:r w:rsidRPr="00FF2A2F">
        <w:rPr>
          <w:iCs/>
          <w:color w:val="auto"/>
          <w:sz w:val="21"/>
          <w:szCs w:val="21"/>
        </w:rPr>
        <w:t xml:space="preserve"> DFAT’s due diligence standards</w:t>
      </w:r>
      <w:r w:rsidR="003033E6" w:rsidRPr="00FF2A2F">
        <w:rPr>
          <w:iCs/>
          <w:color w:val="auto"/>
          <w:sz w:val="21"/>
          <w:szCs w:val="21"/>
        </w:rPr>
        <w:t xml:space="preserve"> and DFAT’s due diligence standards are not so onerous as to undermine the locally led and managed approaches used by CSOs</w:t>
      </w:r>
      <w:r w:rsidRPr="00FF2A2F">
        <w:rPr>
          <w:iCs/>
          <w:color w:val="auto"/>
          <w:sz w:val="21"/>
          <w:szCs w:val="21"/>
        </w:rPr>
        <w:t xml:space="preserve">. </w:t>
      </w:r>
    </w:p>
    <w:p w14:paraId="59B0D929" w14:textId="68887DD0"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Women’s organisations, OPDs, and other civil society representative groups </w:t>
      </w:r>
      <w:r w:rsidR="004462EF" w:rsidRPr="00FF2A2F">
        <w:rPr>
          <w:iCs/>
          <w:color w:val="auto"/>
          <w:sz w:val="21"/>
          <w:szCs w:val="21"/>
        </w:rPr>
        <w:t>have the capacity and availability</w:t>
      </w:r>
      <w:r w:rsidRPr="00FF2A2F">
        <w:rPr>
          <w:iCs/>
          <w:color w:val="auto"/>
          <w:sz w:val="21"/>
          <w:szCs w:val="21"/>
        </w:rPr>
        <w:t xml:space="preserve"> to engage </w:t>
      </w:r>
      <w:r w:rsidR="00A9445B" w:rsidRPr="00FF2A2F">
        <w:rPr>
          <w:iCs/>
          <w:color w:val="auto"/>
          <w:sz w:val="21"/>
          <w:szCs w:val="21"/>
        </w:rPr>
        <w:t xml:space="preserve">with </w:t>
      </w:r>
      <w:r w:rsidRPr="00FF2A2F">
        <w:rPr>
          <w:iCs/>
          <w:color w:val="auto"/>
          <w:sz w:val="21"/>
          <w:szCs w:val="21"/>
        </w:rPr>
        <w:t xml:space="preserve">and support efforts </w:t>
      </w:r>
      <w:r w:rsidR="00A9445B" w:rsidRPr="00FF2A2F">
        <w:rPr>
          <w:iCs/>
          <w:color w:val="auto"/>
          <w:sz w:val="21"/>
          <w:szCs w:val="21"/>
        </w:rPr>
        <w:t xml:space="preserve">under this investment </w:t>
      </w:r>
      <w:r w:rsidRPr="00FF2A2F">
        <w:rPr>
          <w:iCs/>
          <w:color w:val="auto"/>
          <w:sz w:val="21"/>
          <w:szCs w:val="21"/>
        </w:rPr>
        <w:t xml:space="preserve">to improve inclusion, equity, and rights. </w:t>
      </w:r>
    </w:p>
    <w:p w14:paraId="192A94C2" w14:textId="6BB07FC0" w:rsidR="004E38D7" w:rsidRPr="00FF2A2F" w:rsidRDefault="00BF7EF2" w:rsidP="006B7677">
      <w:pPr>
        <w:pStyle w:val="ListParagraph"/>
        <w:numPr>
          <w:ilvl w:val="0"/>
          <w:numId w:val="36"/>
        </w:numPr>
        <w:spacing w:before="120" w:line="260" w:lineRule="atLeast"/>
        <w:rPr>
          <w:iCs/>
          <w:color w:val="auto"/>
          <w:sz w:val="21"/>
          <w:szCs w:val="21"/>
        </w:rPr>
      </w:pPr>
      <w:r w:rsidRPr="00FF2A2F">
        <w:rPr>
          <w:iCs/>
          <w:color w:val="auto"/>
          <w:sz w:val="21"/>
          <w:szCs w:val="21"/>
        </w:rPr>
        <w:t>This investment can work in ways which increase national and local leadership of dis</w:t>
      </w:r>
      <w:r w:rsidR="00B476D3" w:rsidRPr="00FF2A2F">
        <w:rPr>
          <w:iCs/>
          <w:color w:val="auto"/>
          <w:sz w:val="21"/>
          <w:szCs w:val="21"/>
        </w:rPr>
        <w:t xml:space="preserve">aster preparedness and response. </w:t>
      </w:r>
      <w:r w:rsidR="00834706" w:rsidRPr="00FF2A2F">
        <w:rPr>
          <w:iCs/>
          <w:color w:val="auto"/>
          <w:sz w:val="21"/>
          <w:szCs w:val="21"/>
        </w:rPr>
        <w:t>Increasing national and local ownership will increase the sustainability of investment interventions.</w:t>
      </w:r>
    </w:p>
    <w:p w14:paraId="6F584647" w14:textId="77777777" w:rsidR="00760600" w:rsidRPr="00FF2A2F" w:rsidRDefault="00834706" w:rsidP="00760600">
      <w:pPr>
        <w:spacing w:before="120" w:line="260" w:lineRule="atLeast"/>
        <w:ind w:left="0" w:firstLine="0"/>
        <w:rPr>
          <w:b/>
          <w:bCs/>
          <w:iCs/>
          <w:color w:val="auto"/>
        </w:rPr>
      </w:pPr>
      <w:r w:rsidRPr="00FF2A2F">
        <w:rPr>
          <w:b/>
          <w:bCs/>
          <w:iCs/>
          <w:color w:val="auto"/>
        </w:rPr>
        <w:t>Delivery Approach</w:t>
      </w:r>
    </w:p>
    <w:p w14:paraId="620F0C01" w14:textId="1A620878" w:rsidR="00834706" w:rsidRPr="00FF2A2F" w:rsidRDefault="00760600" w:rsidP="00760600">
      <w:pPr>
        <w:spacing w:before="120" w:line="260" w:lineRule="atLeast"/>
        <w:ind w:left="0" w:firstLine="0"/>
        <w:rPr>
          <w:iCs/>
          <w:color w:val="auto"/>
          <w:sz w:val="21"/>
          <w:szCs w:val="21"/>
        </w:rPr>
      </w:pPr>
      <w:r w:rsidRPr="00FF2A2F">
        <w:rPr>
          <w:iCs/>
          <w:color w:val="auto"/>
        </w:rPr>
        <w:t xml:space="preserve">92. </w:t>
      </w:r>
      <w:r w:rsidR="00834706" w:rsidRPr="00FF2A2F">
        <w:rPr>
          <w:iCs/>
          <w:color w:val="auto"/>
          <w:sz w:val="21"/>
          <w:szCs w:val="21"/>
        </w:rPr>
        <w:t xml:space="preserve">DFAT </w:t>
      </w:r>
      <w:r w:rsidR="00F10634" w:rsidRPr="00FF2A2F">
        <w:rPr>
          <w:iCs/>
          <w:color w:val="auto"/>
          <w:sz w:val="21"/>
          <w:szCs w:val="21"/>
        </w:rPr>
        <w:t>will</w:t>
      </w:r>
      <w:r w:rsidR="004376E5" w:rsidRPr="00FF2A2F">
        <w:rPr>
          <w:iCs/>
          <w:color w:val="auto"/>
          <w:sz w:val="21"/>
          <w:szCs w:val="21"/>
        </w:rPr>
        <w:t xml:space="preserve"> be flexible and</w:t>
      </w:r>
      <w:r w:rsidR="00F10634" w:rsidRPr="00FF2A2F">
        <w:rPr>
          <w:iCs/>
          <w:color w:val="auto"/>
          <w:sz w:val="21"/>
          <w:szCs w:val="21"/>
        </w:rPr>
        <w:t xml:space="preserve"> use a </w:t>
      </w:r>
      <w:r w:rsidR="00834706" w:rsidRPr="00FF2A2F">
        <w:rPr>
          <w:iCs/>
          <w:color w:val="auto"/>
          <w:sz w:val="21"/>
          <w:szCs w:val="21"/>
        </w:rPr>
        <w:t>range of modalities</w:t>
      </w:r>
      <w:r w:rsidR="00F10634" w:rsidRPr="00FF2A2F">
        <w:rPr>
          <w:iCs/>
          <w:color w:val="auto"/>
          <w:sz w:val="21"/>
          <w:szCs w:val="21"/>
        </w:rPr>
        <w:t xml:space="preserve"> to deliver the investment a</w:t>
      </w:r>
      <w:r w:rsidR="00BA483D" w:rsidRPr="00FF2A2F">
        <w:rPr>
          <w:iCs/>
          <w:color w:val="auto"/>
          <w:sz w:val="21"/>
          <w:szCs w:val="21"/>
        </w:rPr>
        <w:t>nd meet expected outcomes</w:t>
      </w:r>
      <w:r w:rsidR="00834706" w:rsidRPr="00FF2A2F">
        <w:rPr>
          <w:iCs/>
          <w:color w:val="auto"/>
          <w:sz w:val="21"/>
          <w:szCs w:val="21"/>
        </w:rPr>
        <w:t xml:space="preserve">. These will be planned, implemented and managed by </w:t>
      </w:r>
      <w:r w:rsidR="009929FF" w:rsidRPr="00FF2A2F">
        <w:rPr>
          <w:iCs/>
          <w:color w:val="auto"/>
          <w:sz w:val="21"/>
          <w:szCs w:val="21"/>
        </w:rPr>
        <w:t>Nuku’alofa</w:t>
      </w:r>
      <w:r w:rsidR="00834706" w:rsidRPr="00FF2A2F">
        <w:rPr>
          <w:iCs/>
          <w:color w:val="auto"/>
          <w:sz w:val="21"/>
          <w:szCs w:val="21"/>
        </w:rPr>
        <w:t xml:space="preserve"> Post:</w:t>
      </w:r>
    </w:p>
    <w:p w14:paraId="764C75E6" w14:textId="3E7FA40F" w:rsidR="00834706" w:rsidRPr="00FF2A2F" w:rsidRDefault="009929FF" w:rsidP="006B7677">
      <w:pPr>
        <w:pStyle w:val="ListParagraph"/>
        <w:numPr>
          <w:ilvl w:val="0"/>
          <w:numId w:val="36"/>
        </w:numPr>
        <w:spacing w:before="120" w:line="260" w:lineRule="atLeast"/>
        <w:rPr>
          <w:iCs/>
          <w:color w:val="auto"/>
          <w:sz w:val="21"/>
          <w:szCs w:val="21"/>
        </w:rPr>
      </w:pPr>
      <w:r w:rsidRPr="00FF2A2F">
        <w:rPr>
          <w:iCs/>
          <w:color w:val="auto"/>
          <w:sz w:val="21"/>
          <w:szCs w:val="21"/>
        </w:rPr>
        <w:lastRenderedPageBreak/>
        <w:t>Nuku’alofa</w:t>
      </w:r>
      <w:r w:rsidR="00490BC0" w:rsidRPr="00FF2A2F">
        <w:rPr>
          <w:iCs/>
          <w:color w:val="auto"/>
          <w:sz w:val="21"/>
          <w:szCs w:val="21"/>
        </w:rPr>
        <w:t xml:space="preserve"> </w:t>
      </w:r>
      <w:r w:rsidR="00834706" w:rsidRPr="00FF2A2F">
        <w:rPr>
          <w:iCs/>
          <w:color w:val="auto"/>
          <w:sz w:val="21"/>
          <w:szCs w:val="21"/>
        </w:rPr>
        <w:t>Post</w:t>
      </w:r>
      <w:r w:rsidR="00BA483D" w:rsidRPr="00FF2A2F">
        <w:rPr>
          <w:iCs/>
          <w:color w:val="auto"/>
          <w:sz w:val="21"/>
          <w:szCs w:val="21"/>
        </w:rPr>
        <w:t xml:space="preserve"> </w:t>
      </w:r>
      <w:r w:rsidR="00553C8A" w:rsidRPr="00FF2A2F">
        <w:rPr>
          <w:iCs/>
          <w:color w:val="auto"/>
          <w:sz w:val="21"/>
          <w:szCs w:val="21"/>
        </w:rPr>
        <w:t xml:space="preserve">may </w:t>
      </w:r>
      <w:r w:rsidR="00834706" w:rsidRPr="00FF2A2F">
        <w:rPr>
          <w:iCs/>
          <w:color w:val="auto"/>
          <w:sz w:val="21"/>
          <w:szCs w:val="21"/>
        </w:rPr>
        <w:t>partner</w:t>
      </w:r>
      <w:r w:rsidR="00D82149" w:rsidRPr="00FF2A2F">
        <w:rPr>
          <w:iCs/>
          <w:color w:val="auto"/>
          <w:sz w:val="21"/>
          <w:szCs w:val="21"/>
        </w:rPr>
        <w:t xml:space="preserve"> and leverage other</w:t>
      </w:r>
      <w:r w:rsidR="00834706" w:rsidRPr="00FF2A2F">
        <w:rPr>
          <w:iCs/>
          <w:color w:val="auto"/>
          <w:sz w:val="21"/>
          <w:szCs w:val="21"/>
        </w:rPr>
        <w:t xml:space="preserve"> DFAT programs including PHWP, HLC, Australia Assists</w:t>
      </w:r>
      <w:r w:rsidR="00D82149" w:rsidRPr="00FF2A2F">
        <w:rPr>
          <w:iCs/>
          <w:color w:val="auto"/>
          <w:sz w:val="21"/>
          <w:szCs w:val="21"/>
        </w:rPr>
        <w:t xml:space="preserve">, </w:t>
      </w:r>
      <w:r w:rsidR="00834706" w:rsidRPr="00FF2A2F">
        <w:rPr>
          <w:iCs/>
          <w:color w:val="auto"/>
          <w:sz w:val="21"/>
          <w:szCs w:val="21"/>
        </w:rPr>
        <w:t>P4SP</w:t>
      </w:r>
      <w:r w:rsidR="00DA478E" w:rsidRPr="00FF2A2F">
        <w:rPr>
          <w:iCs/>
          <w:color w:val="auto"/>
          <w:sz w:val="21"/>
          <w:szCs w:val="21"/>
        </w:rPr>
        <w:t xml:space="preserve"> and</w:t>
      </w:r>
      <w:r w:rsidR="00D82149" w:rsidRPr="00FF2A2F">
        <w:rPr>
          <w:iCs/>
          <w:color w:val="auto"/>
          <w:sz w:val="21"/>
          <w:szCs w:val="21"/>
        </w:rPr>
        <w:t xml:space="preserve"> CRC</w:t>
      </w:r>
      <w:r w:rsidR="00834706" w:rsidRPr="00FF2A2F">
        <w:rPr>
          <w:iCs/>
          <w:color w:val="auto"/>
          <w:sz w:val="21"/>
          <w:szCs w:val="21"/>
        </w:rPr>
        <w:t xml:space="preserve">. Where possible, Post may seek to contract these programs through additional Service Orders under DFAT’s existing head agreements. </w:t>
      </w:r>
    </w:p>
    <w:p w14:paraId="6E53FC34" w14:textId="304DCC8A" w:rsidR="00834706" w:rsidRPr="00FF2A2F" w:rsidRDefault="00834706"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DFAT will continue to provide direct financing to the NDRMO and other aligned departments using one direct financing agreement and established mechanisms for identifying and prioritising the type of support. </w:t>
      </w:r>
    </w:p>
    <w:p w14:paraId="26FF3647" w14:textId="733F29FB" w:rsidR="00834706" w:rsidRPr="00FF2A2F" w:rsidRDefault="006425BD" w:rsidP="006B7677">
      <w:pPr>
        <w:pStyle w:val="ListParagraph"/>
        <w:numPr>
          <w:ilvl w:val="0"/>
          <w:numId w:val="36"/>
        </w:numPr>
        <w:spacing w:before="120" w:line="260" w:lineRule="atLeast"/>
        <w:rPr>
          <w:iCs/>
          <w:color w:val="auto"/>
          <w:sz w:val="21"/>
          <w:szCs w:val="21"/>
        </w:rPr>
      </w:pPr>
      <w:r w:rsidRPr="00FF2A2F">
        <w:rPr>
          <w:iCs/>
          <w:color w:val="auto"/>
          <w:sz w:val="21"/>
          <w:szCs w:val="21"/>
        </w:rPr>
        <w:t>Nuku’alofa</w:t>
      </w:r>
      <w:r w:rsidR="000F7039" w:rsidRPr="00FF2A2F">
        <w:rPr>
          <w:iCs/>
          <w:color w:val="auto"/>
          <w:sz w:val="21"/>
          <w:szCs w:val="21"/>
        </w:rPr>
        <w:t xml:space="preserve"> </w:t>
      </w:r>
      <w:r w:rsidR="00834706" w:rsidRPr="00FF2A2F">
        <w:rPr>
          <w:iCs/>
          <w:color w:val="auto"/>
          <w:sz w:val="21"/>
          <w:szCs w:val="21"/>
        </w:rPr>
        <w:t xml:space="preserve">Post will </w:t>
      </w:r>
      <w:r w:rsidR="000F7039" w:rsidRPr="00FF2A2F">
        <w:rPr>
          <w:iCs/>
          <w:color w:val="auto"/>
          <w:sz w:val="21"/>
          <w:szCs w:val="21"/>
        </w:rPr>
        <w:t xml:space="preserve">manage the grant making process for CSOs. </w:t>
      </w:r>
      <w:r w:rsidR="0092032C" w:rsidRPr="00FF2A2F">
        <w:rPr>
          <w:iCs/>
          <w:color w:val="auto"/>
          <w:sz w:val="21"/>
          <w:szCs w:val="21"/>
        </w:rPr>
        <w:t xml:space="preserve"> </w:t>
      </w:r>
      <w:r w:rsidR="00834706" w:rsidRPr="00FF2A2F">
        <w:rPr>
          <w:iCs/>
          <w:color w:val="auto"/>
          <w:sz w:val="21"/>
          <w:szCs w:val="21"/>
        </w:rPr>
        <w:t xml:space="preserve"> </w:t>
      </w:r>
    </w:p>
    <w:p w14:paraId="5B7C0A37" w14:textId="5AE1AD27" w:rsidR="00C2235D" w:rsidRPr="00FF2A2F" w:rsidRDefault="006425BD" w:rsidP="006B7677">
      <w:pPr>
        <w:pStyle w:val="ListParagraph"/>
        <w:numPr>
          <w:ilvl w:val="0"/>
          <w:numId w:val="36"/>
        </w:numPr>
        <w:spacing w:before="120" w:line="260" w:lineRule="atLeast"/>
        <w:rPr>
          <w:iCs/>
          <w:color w:val="auto"/>
          <w:sz w:val="21"/>
          <w:szCs w:val="21"/>
        </w:rPr>
      </w:pPr>
      <w:r w:rsidRPr="00FF2A2F">
        <w:rPr>
          <w:iCs/>
          <w:color w:val="auto"/>
          <w:sz w:val="21"/>
          <w:szCs w:val="21"/>
        </w:rPr>
        <w:t>Nuku’alofa</w:t>
      </w:r>
      <w:r w:rsidR="00C2235D" w:rsidRPr="00FF2A2F">
        <w:rPr>
          <w:iCs/>
          <w:color w:val="auto"/>
          <w:sz w:val="21"/>
          <w:szCs w:val="21"/>
        </w:rPr>
        <w:t xml:space="preserve"> Post will contract an implementing partner to </w:t>
      </w:r>
      <w:r w:rsidR="0056078B" w:rsidRPr="00FF2A2F">
        <w:rPr>
          <w:iCs/>
          <w:color w:val="auto"/>
          <w:sz w:val="21"/>
          <w:szCs w:val="21"/>
        </w:rPr>
        <w:t>deliver MEL, GEDSI and due diligence processes and services for the investment</w:t>
      </w:r>
      <w:r w:rsidR="001D13F9" w:rsidRPr="00FF2A2F">
        <w:rPr>
          <w:iCs/>
          <w:color w:val="auto"/>
          <w:sz w:val="21"/>
          <w:szCs w:val="21"/>
        </w:rPr>
        <w:t xml:space="preserve"> and may draw on this expertise to deliver training to GoT and CSOs as required. A Statement of Requirements will be prepared to </w:t>
      </w:r>
      <w:r w:rsidR="00607D48" w:rsidRPr="00FF2A2F">
        <w:rPr>
          <w:iCs/>
          <w:color w:val="auto"/>
          <w:sz w:val="21"/>
          <w:szCs w:val="21"/>
        </w:rPr>
        <w:t>facilitate</w:t>
      </w:r>
      <w:r w:rsidR="0018178A" w:rsidRPr="00FF2A2F">
        <w:rPr>
          <w:iCs/>
          <w:color w:val="auto"/>
          <w:sz w:val="21"/>
          <w:szCs w:val="21"/>
        </w:rPr>
        <w:t xml:space="preserve"> this procurement. </w:t>
      </w:r>
      <w:proofErr w:type="gramStart"/>
      <w:r w:rsidR="008C5314" w:rsidRPr="00FF2A2F">
        <w:rPr>
          <w:iCs/>
          <w:color w:val="auto"/>
          <w:sz w:val="21"/>
          <w:szCs w:val="21"/>
        </w:rPr>
        <w:t>In the event that</w:t>
      </w:r>
      <w:proofErr w:type="gramEnd"/>
      <w:r w:rsidR="008C5314" w:rsidRPr="00FF2A2F">
        <w:rPr>
          <w:iCs/>
          <w:color w:val="auto"/>
          <w:sz w:val="21"/>
          <w:szCs w:val="21"/>
        </w:rPr>
        <w:t xml:space="preserve"> a single</w:t>
      </w:r>
      <w:r w:rsidR="00C333C7" w:rsidRPr="00FF2A2F">
        <w:rPr>
          <w:iCs/>
          <w:color w:val="auto"/>
          <w:sz w:val="21"/>
          <w:szCs w:val="21"/>
        </w:rPr>
        <w:t xml:space="preserve"> implementing partner </w:t>
      </w:r>
      <w:r w:rsidR="00FB0FA4" w:rsidRPr="00FF2A2F">
        <w:rPr>
          <w:iCs/>
          <w:color w:val="auto"/>
          <w:sz w:val="21"/>
          <w:szCs w:val="21"/>
        </w:rPr>
        <w:t>cannot</w:t>
      </w:r>
      <w:r w:rsidR="008C5314" w:rsidRPr="00FF2A2F">
        <w:rPr>
          <w:iCs/>
          <w:color w:val="auto"/>
          <w:sz w:val="21"/>
          <w:szCs w:val="21"/>
        </w:rPr>
        <w:t xml:space="preserve"> </w:t>
      </w:r>
      <w:r w:rsidR="00817BFC" w:rsidRPr="00FF2A2F">
        <w:rPr>
          <w:iCs/>
          <w:color w:val="auto"/>
          <w:sz w:val="21"/>
          <w:szCs w:val="21"/>
        </w:rPr>
        <w:t>deliver across all three areas, Post will</w:t>
      </w:r>
      <w:r w:rsidR="007C303D" w:rsidRPr="00FF2A2F">
        <w:rPr>
          <w:iCs/>
          <w:color w:val="auto"/>
          <w:sz w:val="21"/>
          <w:szCs w:val="21"/>
        </w:rPr>
        <w:t xml:space="preserve"> take a flexible approach in contracting </w:t>
      </w:r>
      <w:r w:rsidR="009E4E2B" w:rsidRPr="00FF2A2F">
        <w:rPr>
          <w:iCs/>
          <w:color w:val="auto"/>
          <w:sz w:val="21"/>
          <w:szCs w:val="21"/>
        </w:rPr>
        <w:t>a few</w:t>
      </w:r>
      <w:r w:rsidR="007C303D" w:rsidRPr="00FF2A2F">
        <w:rPr>
          <w:iCs/>
          <w:color w:val="auto"/>
          <w:sz w:val="21"/>
          <w:szCs w:val="21"/>
        </w:rPr>
        <w:t xml:space="preserve"> </w:t>
      </w:r>
      <w:r w:rsidR="00C333C7" w:rsidRPr="00FF2A2F">
        <w:rPr>
          <w:iCs/>
          <w:color w:val="auto"/>
          <w:sz w:val="21"/>
          <w:szCs w:val="21"/>
        </w:rPr>
        <w:t>partners</w:t>
      </w:r>
      <w:r w:rsidR="007C303D" w:rsidRPr="00FF2A2F">
        <w:rPr>
          <w:iCs/>
          <w:color w:val="auto"/>
          <w:sz w:val="21"/>
          <w:szCs w:val="21"/>
        </w:rPr>
        <w:t xml:space="preserve"> through </w:t>
      </w:r>
      <w:r w:rsidR="009E4E2B" w:rsidRPr="00FF2A2F">
        <w:rPr>
          <w:iCs/>
          <w:color w:val="auto"/>
          <w:sz w:val="21"/>
          <w:szCs w:val="21"/>
        </w:rPr>
        <w:t>DEV</w:t>
      </w:r>
      <w:r w:rsidR="005B36DF" w:rsidRPr="00FF2A2F">
        <w:rPr>
          <w:iCs/>
          <w:color w:val="auto"/>
          <w:sz w:val="21"/>
          <w:szCs w:val="21"/>
        </w:rPr>
        <w:t xml:space="preserve">+ </w:t>
      </w:r>
      <w:r w:rsidR="007C303D" w:rsidRPr="00FF2A2F">
        <w:rPr>
          <w:iCs/>
          <w:color w:val="auto"/>
          <w:sz w:val="21"/>
          <w:szCs w:val="21"/>
        </w:rPr>
        <w:t xml:space="preserve">panel to deliver </w:t>
      </w:r>
      <w:r w:rsidR="00847221" w:rsidRPr="00FF2A2F">
        <w:rPr>
          <w:iCs/>
          <w:color w:val="auto"/>
          <w:sz w:val="21"/>
          <w:szCs w:val="21"/>
        </w:rPr>
        <w:t>MEL, GEDSI</w:t>
      </w:r>
      <w:r w:rsidR="009E4E2B" w:rsidRPr="00FF2A2F">
        <w:rPr>
          <w:iCs/>
          <w:color w:val="auto"/>
          <w:sz w:val="21"/>
          <w:szCs w:val="21"/>
        </w:rPr>
        <w:t xml:space="preserve">, </w:t>
      </w:r>
      <w:r w:rsidR="00847221" w:rsidRPr="00FF2A2F">
        <w:rPr>
          <w:iCs/>
          <w:color w:val="auto"/>
          <w:sz w:val="21"/>
          <w:szCs w:val="21"/>
        </w:rPr>
        <w:t xml:space="preserve">and due diligence processes and services for the investment. </w:t>
      </w:r>
    </w:p>
    <w:p w14:paraId="75AAD4C6" w14:textId="21E67A44" w:rsidR="009E4E2B" w:rsidRPr="00FF2A2F" w:rsidRDefault="009E4E2B" w:rsidP="006B7677">
      <w:pPr>
        <w:pStyle w:val="ListParagraph"/>
        <w:numPr>
          <w:ilvl w:val="0"/>
          <w:numId w:val="36"/>
        </w:numPr>
        <w:spacing w:before="120" w:line="260" w:lineRule="atLeast"/>
        <w:rPr>
          <w:iCs/>
          <w:color w:val="auto"/>
          <w:sz w:val="21"/>
          <w:szCs w:val="21"/>
        </w:rPr>
      </w:pPr>
      <w:r w:rsidRPr="00FF2A2F">
        <w:rPr>
          <w:iCs/>
          <w:color w:val="auto"/>
          <w:sz w:val="21"/>
          <w:szCs w:val="21"/>
        </w:rPr>
        <w:t>Nuku</w:t>
      </w:r>
      <w:r w:rsidR="00C333C7" w:rsidRPr="00FF2A2F">
        <w:rPr>
          <w:iCs/>
          <w:color w:val="auto"/>
          <w:sz w:val="21"/>
          <w:szCs w:val="21"/>
        </w:rPr>
        <w:t xml:space="preserve">alofa </w:t>
      </w:r>
      <w:r w:rsidRPr="00FF2A2F">
        <w:rPr>
          <w:iCs/>
          <w:color w:val="auto"/>
          <w:sz w:val="21"/>
          <w:szCs w:val="21"/>
        </w:rPr>
        <w:t>Post</w:t>
      </w:r>
      <w:r w:rsidR="00C333C7" w:rsidRPr="00FF2A2F">
        <w:rPr>
          <w:iCs/>
          <w:color w:val="auto"/>
          <w:sz w:val="21"/>
          <w:szCs w:val="21"/>
        </w:rPr>
        <w:t xml:space="preserve"> will also draw on Canberra </w:t>
      </w:r>
      <w:r w:rsidRPr="00FF2A2F">
        <w:rPr>
          <w:iCs/>
          <w:color w:val="auto"/>
          <w:sz w:val="21"/>
          <w:szCs w:val="21"/>
        </w:rPr>
        <w:t xml:space="preserve">resources </w:t>
      </w:r>
      <w:r w:rsidR="00C333C7" w:rsidRPr="00FF2A2F">
        <w:rPr>
          <w:iCs/>
          <w:color w:val="auto"/>
          <w:sz w:val="21"/>
          <w:szCs w:val="21"/>
        </w:rPr>
        <w:t xml:space="preserve">such as the </w:t>
      </w:r>
      <w:r w:rsidRPr="00FF2A2F">
        <w:rPr>
          <w:iCs/>
          <w:color w:val="auto"/>
          <w:sz w:val="21"/>
          <w:szCs w:val="21"/>
        </w:rPr>
        <w:t xml:space="preserve">Gender and Disability help desks. </w:t>
      </w:r>
    </w:p>
    <w:p w14:paraId="6812F155" w14:textId="4A47288D" w:rsidR="009E4E2B" w:rsidRPr="00FF2A2F" w:rsidRDefault="009929FF" w:rsidP="006B7677">
      <w:pPr>
        <w:pStyle w:val="ListParagraph"/>
        <w:numPr>
          <w:ilvl w:val="0"/>
          <w:numId w:val="36"/>
        </w:numPr>
        <w:spacing w:before="120" w:line="260" w:lineRule="atLeast"/>
        <w:rPr>
          <w:iCs/>
          <w:color w:val="auto"/>
          <w:sz w:val="21"/>
          <w:szCs w:val="21"/>
        </w:rPr>
      </w:pPr>
      <w:r w:rsidRPr="00FF2A2F">
        <w:rPr>
          <w:iCs/>
          <w:color w:val="auto"/>
          <w:sz w:val="21"/>
          <w:szCs w:val="21"/>
        </w:rPr>
        <w:t>Noting the</w:t>
      </w:r>
      <w:r w:rsidR="00EC3D83" w:rsidRPr="00FF2A2F">
        <w:rPr>
          <w:iCs/>
          <w:color w:val="auto"/>
          <w:sz w:val="21"/>
          <w:szCs w:val="21"/>
        </w:rPr>
        <w:t xml:space="preserve"> potential time required to procure and contract</w:t>
      </w:r>
      <w:r w:rsidRPr="00FF2A2F">
        <w:rPr>
          <w:iCs/>
          <w:color w:val="auto"/>
          <w:sz w:val="21"/>
          <w:szCs w:val="21"/>
        </w:rPr>
        <w:t xml:space="preserve"> implementing partner(s)</w:t>
      </w:r>
      <w:r w:rsidR="001033A6" w:rsidRPr="00FF2A2F">
        <w:rPr>
          <w:iCs/>
          <w:color w:val="auto"/>
          <w:sz w:val="21"/>
          <w:szCs w:val="21"/>
        </w:rPr>
        <w:t xml:space="preserve">, </w:t>
      </w:r>
      <w:r w:rsidR="009E4E2B" w:rsidRPr="00FF2A2F">
        <w:rPr>
          <w:iCs/>
          <w:color w:val="auto"/>
          <w:sz w:val="21"/>
          <w:szCs w:val="21"/>
        </w:rPr>
        <w:t xml:space="preserve">Post </w:t>
      </w:r>
      <w:r w:rsidR="001033A6" w:rsidRPr="00FF2A2F">
        <w:rPr>
          <w:iCs/>
          <w:color w:val="auto"/>
          <w:sz w:val="21"/>
          <w:szCs w:val="21"/>
        </w:rPr>
        <w:t>will directly</w:t>
      </w:r>
      <w:r w:rsidR="009E4E2B" w:rsidRPr="00FF2A2F">
        <w:rPr>
          <w:iCs/>
          <w:color w:val="auto"/>
          <w:sz w:val="21"/>
          <w:szCs w:val="21"/>
        </w:rPr>
        <w:t xml:space="preserve"> progress</w:t>
      </w:r>
      <w:r w:rsidR="001033A6" w:rsidRPr="00FF2A2F">
        <w:rPr>
          <w:iCs/>
          <w:color w:val="auto"/>
          <w:sz w:val="21"/>
          <w:szCs w:val="21"/>
        </w:rPr>
        <w:t xml:space="preserve"> some investment </w:t>
      </w:r>
      <w:r w:rsidR="00D5667F" w:rsidRPr="00FF2A2F">
        <w:rPr>
          <w:iCs/>
          <w:color w:val="auto"/>
          <w:sz w:val="21"/>
          <w:szCs w:val="21"/>
        </w:rPr>
        <w:t>activities</w:t>
      </w:r>
      <w:r w:rsidR="009E4E2B" w:rsidRPr="00FF2A2F">
        <w:rPr>
          <w:iCs/>
          <w:color w:val="auto"/>
          <w:sz w:val="21"/>
          <w:szCs w:val="21"/>
        </w:rPr>
        <w:t xml:space="preserve"> </w:t>
      </w:r>
      <w:r w:rsidR="00D5667F" w:rsidRPr="00FF2A2F">
        <w:rPr>
          <w:iCs/>
          <w:color w:val="auto"/>
          <w:sz w:val="21"/>
          <w:szCs w:val="21"/>
        </w:rPr>
        <w:t xml:space="preserve">such as the </w:t>
      </w:r>
      <w:r w:rsidR="009E4E2B" w:rsidRPr="00FF2A2F">
        <w:rPr>
          <w:iCs/>
          <w:color w:val="auto"/>
          <w:sz w:val="21"/>
          <w:szCs w:val="21"/>
        </w:rPr>
        <w:t>government support activity</w:t>
      </w:r>
      <w:r w:rsidR="005B7AC4" w:rsidRPr="00FF2A2F">
        <w:rPr>
          <w:iCs/>
          <w:color w:val="auto"/>
          <w:sz w:val="21"/>
          <w:szCs w:val="21"/>
        </w:rPr>
        <w:t xml:space="preserve"> and </w:t>
      </w:r>
      <w:r w:rsidR="009E4E2B" w:rsidRPr="00FF2A2F">
        <w:rPr>
          <w:iCs/>
          <w:color w:val="auto"/>
          <w:sz w:val="21"/>
          <w:szCs w:val="21"/>
        </w:rPr>
        <w:t>an early/targeted grants round to CSOs who are already on DFAT’s due diligence register</w:t>
      </w:r>
      <w:r w:rsidR="005271C9" w:rsidRPr="00FF2A2F">
        <w:rPr>
          <w:iCs/>
          <w:color w:val="auto"/>
          <w:sz w:val="21"/>
          <w:szCs w:val="21"/>
        </w:rPr>
        <w:t xml:space="preserve"> (up to 5 currently). This ensures the investment </w:t>
      </w:r>
      <w:r w:rsidR="00BC18CC" w:rsidRPr="00FF2A2F">
        <w:rPr>
          <w:iCs/>
          <w:color w:val="auto"/>
          <w:sz w:val="21"/>
          <w:szCs w:val="21"/>
        </w:rPr>
        <w:t xml:space="preserve">is prepared to manage the onset of the next cyclone season (November 2025 – April 2026). </w:t>
      </w:r>
      <w:r w:rsidR="009E4E2B" w:rsidRPr="00FF2A2F">
        <w:rPr>
          <w:iCs/>
          <w:color w:val="auto"/>
          <w:sz w:val="21"/>
          <w:szCs w:val="21"/>
        </w:rPr>
        <w:t xml:space="preserve"> </w:t>
      </w:r>
    </w:p>
    <w:p w14:paraId="453DE117" w14:textId="75C9F0B9" w:rsidR="00526D5F" w:rsidRPr="00FF2A2F" w:rsidRDefault="006425BD"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Nuku’alofa </w:t>
      </w:r>
      <w:r w:rsidR="00834706" w:rsidRPr="00FF2A2F">
        <w:rPr>
          <w:iCs/>
          <w:color w:val="auto"/>
          <w:sz w:val="21"/>
          <w:szCs w:val="21"/>
        </w:rPr>
        <w:t xml:space="preserve">Post </w:t>
      </w:r>
      <w:r w:rsidR="0018178A" w:rsidRPr="00FF2A2F">
        <w:rPr>
          <w:iCs/>
          <w:color w:val="auto"/>
          <w:sz w:val="21"/>
          <w:szCs w:val="21"/>
        </w:rPr>
        <w:t>may</w:t>
      </w:r>
      <w:r w:rsidR="00834706" w:rsidRPr="00FF2A2F">
        <w:rPr>
          <w:iCs/>
          <w:color w:val="auto"/>
          <w:sz w:val="21"/>
          <w:szCs w:val="21"/>
        </w:rPr>
        <w:t xml:space="preserve"> consider contracting discreet investment management activities to</w:t>
      </w:r>
      <w:r w:rsidR="002C3B97" w:rsidRPr="00FF2A2F">
        <w:rPr>
          <w:iCs/>
          <w:color w:val="auto"/>
          <w:sz w:val="21"/>
          <w:szCs w:val="21"/>
        </w:rPr>
        <w:t xml:space="preserve"> </w:t>
      </w:r>
      <w:r w:rsidR="00C26655" w:rsidRPr="00FF2A2F">
        <w:rPr>
          <w:iCs/>
          <w:color w:val="auto"/>
          <w:sz w:val="21"/>
          <w:szCs w:val="21"/>
        </w:rPr>
        <w:t>independent consulta</w:t>
      </w:r>
      <w:r w:rsidR="0054770C" w:rsidRPr="00FF2A2F">
        <w:rPr>
          <w:iCs/>
          <w:color w:val="auto"/>
          <w:sz w:val="21"/>
          <w:szCs w:val="21"/>
        </w:rPr>
        <w:t>nts to deliver</w:t>
      </w:r>
      <w:r w:rsidR="00607D48" w:rsidRPr="00FF2A2F">
        <w:rPr>
          <w:iCs/>
          <w:color w:val="auto"/>
          <w:sz w:val="21"/>
          <w:szCs w:val="21"/>
        </w:rPr>
        <w:t xml:space="preserve"> other services and</w:t>
      </w:r>
      <w:r w:rsidR="00834706" w:rsidRPr="00FF2A2F">
        <w:rPr>
          <w:iCs/>
          <w:color w:val="auto"/>
          <w:sz w:val="21"/>
          <w:szCs w:val="21"/>
        </w:rPr>
        <w:t xml:space="preserve"> processes as required</w:t>
      </w:r>
      <w:r w:rsidR="00C26655" w:rsidRPr="00FF2A2F">
        <w:rPr>
          <w:iCs/>
          <w:color w:val="auto"/>
          <w:sz w:val="21"/>
          <w:szCs w:val="21"/>
        </w:rPr>
        <w:t>.</w:t>
      </w:r>
    </w:p>
    <w:p w14:paraId="4FEA3A35" w14:textId="3AC72C34" w:rsidR="00415442" w:rsidRPr="00FF2A2F" w:rsidRDefault="00760600" w:rsidP="00760600">
      <w:pPr>
        <w:spacing w:before="120" w:line="260" w:lineRule="atLeast"/>
        <w:ind w:left="0" w:firstLine="0"/>
        <w:rPr>
          <w:iCs/>
          <w:color w:val="auto"/>
        </w:rPr>
      </w:pPr>
      <w:r w:rsidRPr="00FF2A2F">
        <w:rPr>
          <w:iCs/>
          <w:color w:val="auto"/>
        </w:rPr>
        <w:t xml:space="preserve">93. </w:t>
      </w:r>
      <w:r w:rsidR="00CC5F0F" w:rsidRPr="00FF2A2F">
        <w:rPr>
          <w:iCs/>
          <w:color w:val="auto"/>
        </w:rPr>
        <w:t xml:space="preserve">Providing </w:t>
      </w:r>
      <w:r w:rsidR="00526D5F" w:rsidRPr="00FF2A2F">
        <w:rPr>
          <w:iCs/>
          <w:color w:val="auto"/>
        </w:rPr>
        <w:t>consistent budget support to NDRMO under this investment will alleviate a burden on</w:t>
      </w:r>
      <w:r w:rsidR="00CC5F0F" w:rsidRPr="00FF2A2F">
        <w:rPr>
          <w:iCs/>
          <w:color w:val="auto"/>
        </w:rPr>
        <w:t xml:space="preserve"> Nuku’alofa P</w:t>
      </w:r>
      <w:r w:rsidR="00526D5F" w:rsidRPr="00FF2A2F">
        <w:rPr>
          <w:iCs/>
          <w:color w:val="auto"/>
        </w:rPr>
        <w:t>ost caused by ad-hoc NDRMO</w:t>
      </w:r>
      <w:r w:rsidR="00AD7709" w:rsidRPr="00FF2A2F">
        <w:rPr>
          <w:iCs/>
          <w:color w:val="auto"/>
        </w:rPr>
        <w:t xml:space="preserve"> and </w:t>
      </w:r>
      <w:r w:rsidR="00526D5F" w:rsidRPr="00FF2A2F">
        <w:rPr>
          <w:iCs/>
          <w:color w:val="auto"/>
        </w:rPr>
        <w:t>humanitarian requests</w:t>
      </w:r>
      <w:r w:rsidR="00CC5F0F" w:rsidRPr="00FF2A2F">
        <w:rPr>
          <w:iCs/>
          <w:color w:val="auto"/>
        </w:rPr>
        <w:t xml:space="preserve">. The </w:t>
      </w:r>
      <w:r w:rsidR="008C75DF" w:rsidRPr="00FF2A2F">
        <w:rPr>
          <w:iCs/>
          <w:color w:val="auto"/>
        </w:rPr>
        <w:t xml:space="preserve">investment will work in </w:t>
      </w:r>
      <w:r w:rsidR="00526D5F" w:rsidRPr="00FF2A2F">
        <w:rPr>
          <w:iCs/>
          <w:color w:val="auto"/>
        </w:rPr>
        <w:t xml:space="preserve">pre-established modalities (partner systems) that through experience Post knows to be </w:t>
      </w:r>
      <w:r w:rsidR="006B6833" w:rsidRPr="00FF2A2F">
        <w:rPr>
          <w:iCs/>
          <w:color w:val="auto"/>
        </w:rPr>
        <w:t>low effort</w:t>
      </w:r>
      <w:r w:rsidR="00526D5F" w:rsidRPr="00FF2A2F">
        <w:rPr>
          <w:iCs/>
          <w:color w:val="auto"/>
        </w:rPr>
        <w:t>/high reward.</w:t>
      </w:r>
      <w:r w:rsidR="008C75DF" w:rsidRPr="00FF2A2F">
        <w:rPr>
          <w:iCs/>
          <w:color w:val="auto"/>
        </w:rPr>
        <w:t xml:space="preserve"> Taking this approach </w:t>
      </w:r>
      <w:r w:rsidR="00526D5F" w:rsidRPr="00FF2A2F">
        <w:rPr>
          <w:iCs/>
          <w:color w:val="auto"/>
        </w:rPr>
        <w:t>will</w:t>
      </w:r>
      <w:r w:rsidR="003C7508" w:rsidRPr="00FF2A2F">
        <w:rPr>
          <w:iCs/>
          <w:color w:val="auto"/>
        </w:rPr>
        <w:t xml:space="preserve"> create capacity for</w:t>
      </w:r>
      <w:r w:rsidR="00526D5F" w:rsidRPr="00FF2A2F">
        <w:rPr>
          <w:iCs/>
          <w:color w:val="auto"/>
        </w:rPr>
        <w:t xml:space="preserve"> Post to manage </w:t>
      </w:r>
      <w:r w:rsidR="0018121E" w:rsidRPr="00FF2A2F">
        <w:rPr>
          <w:iCs/>
          <w:color w:val="auto"/>
        </w:rPr>
        <w:t xml:space="preserve">the </w:t>
      </w:r>
      <w:r w:rsidR="00526D5F" w:rsidRPr="00FF2A2F">
        <w:rPr>
          <w:iCs/>
          <w:color w:val="auto"/>
        </w:rPr>
        <w:t>CSO grant administration. Post</w:t>
      </w:r>
      <w:r w:rsidR="00626F75" w:rsidRPr="00FF2A2F">
        <w:rPr>
          <w:iCs/>
          <w:color w:val="auto"/>
        </w:rPr>
        <w:t xml:space="preserve"> currently</w:t>
      </w:r>
      <w:r w:rsidR="00526D5F" w:rsidRPr="00FF2A2F">
        <w:rPr>
          <w:iCs/>
          <w:color w:val="auto"/>
        </w:rPr>
        <w:t xml:space="preserve"> manages </w:t>
      </w:r>
      <w:r w:rsidR="00626F75" w:rsidRPr="00FF2A2F">
        <w:rPr>
          <w:iCs/>
          <w:color w:val="auto"/>
        </w:rPr>
        <w:t>five</w:t>
      </w:r>
      <w:r w:rsidR="00526D5F" w:rsidRPr="00FF2A2F">
        <w:rPr>
          <w:iCs/>
          <w:color w:val="auto"/>
        </w:rPr>
        <w:t xml:space="preserve"> agreements with humanitarian partners in an ad hoc and uncoordinated way</w:t>
      </w:r>
      <w:r w:rsidR="00626F75" w:rsidRPr="00FF2A2F">
        <w:rPr>
          <w:iCs/>
          <w:color w:val="auto"/>
        </w:rPr>
        <w:t xml:space="preserve">. This investment provides a more coordinated and streamlined way of managing the same number of </w:t>
      </w:r>
      <w:r w:rsidR="00415442" w:rsidRPr="00FF2A2F">
        <w:rPr>
          <w:iCs/>
          <w:color w:val="auto"/>
        </w:rPr>
        <w:t>agreements</w:t>
      </w:r>
      <w:r w:rsidR="00D7239C" w:rsidRPr="00FF2A2F">
        <w:rPr>
          <w:iCs/>
          <w:color w:val="auto"/>
        </w:rPr>
        <w:t xml:space="preserve">. </w:t>
      </w:r>
      <w:r w:rsidR="00415442" w:rsidRPr="00FF2A2F">
        <w:rPr>
          <w:iCs/>
          <w:color w:val="auto"/>
        </w:rPr>
        <w:t xml:space="preserve"> </w:t>
      </w:r>
    </w:p>
    <w:p w14:paraId="42463E0A" w14:textId="166D75AC" w:rsidR="00526D5F" w:rsidRPr="00FF2A2F" w:rsidRDefault="00760600" w:rsidP="00760600">
      <w:pPr>
        <w:spacing w:before="120" w:line="260" w:lineRule="atLeast"/>
        <w:ind w:left="0" w:firstLine="0"/>
        <w:rPr>
          <w:iCs/>
          <w:color w:val="auto"/>
        </w:rPr>
      </w:pPr>
      <w:r w:rsidRPr="00FF2A2F">
        <w:rPr>
          <w:iCs/>
          <w:color w:val="auto"/>
        </w:rPr>
        <w:t xml:space="preserve">94. </w:t>
      </w:r>
      <w:r w:rsidR="00415442" w:rsidRPr="00FF2A2F">
        <w:rPr>
          <w:iCs/>
          <w:color w:val="auto"/>
        </w:rPr>
        <w:t xml:space="preserve">The </w:t>
      </w:r>
      <w:r w:rsidR="008516F2" w:rsidRPr="00FF2A2F">
        <w:rPr>
          <w:iCs/>
          <w:color w:val="auto"/>
        </w:rPr>
        <w:t xml:space="preserve">proposed </w:t>
      </w:r>
      <w:r w:rsidR="00A44BF0" w:rsidRPr="00FF2A2F">
        <w:rPr>
          <w:iCs/>
          <w:color w:val="auto"/>
        </w:rPr>
        <w:t xml:space="preserve">program management team at </w:t>
      </w:r>
      <w:r w:rsidR="00354FA3" w:rsidRPr="00FF2A2F">
        <w:rPr>
          <w:iCs/>
          <w:color w:val="auto"/>
        </w:rPr>
        <w:t xml:space="preserve">Post </w:t>
      </w:r>
      <w:r w:rsidR="00A44BF0" w:rsidRPr="00FF2A2F">
        <w:rPr>
          <w:iCs/>
          <w:color w:val="auto"/>
        </w:rPr>
        <w:t xml:space="preserve">are highly </w:t>
      </w:r>
      <w:r w:rsidR="00354FA3" w:rsidRPr="00FF2A2F">
        <w:rPr>
          <w:iCs/>
          <w:color w:val="auto"/>
        </w:rPr>
        <w:t xml:space="preserve">experienced in grant management </w:t>
      </w:r>
      <w:r w:rsidR="002970BF" w:rsidRPr="00FF2A2F">
        <w:rPr>
          <w:iCs/>
          <w:color w:val="auto"/>
        </w:rPr>
        <w:t xml:space="preserve">as they are currently responsible for </w:t>
      </w:r>
      <w:r w:rsidR="00526D5F" w:rsidRPr="00FF2A2F">
        <w:rPr>
          <w:iCs/>
          <w:color w:val="auto"/>
        </w:rPr>
        <w:t xml:space="preserve">all community grants in the </w:t>
      </w:r>
      <w:r w:rsidR="002970BF" w:rsidRPr="00FF2A2F">
        <w:rPr>
          <w:iCs/>
          <w:color w:val="auto"/>
        </w:rPr>
        <w:t xml:space="preserve">AHC. </w:t>
      </w:r>
      <w:r w:rsidR="00E6716C" w:rsidRPr="00FF2A2F">
        <w:rPr>
          <w:iCs/>
          <w:color w:val="auto"/>
        </w:rPr>
        <w:t xml:space="preserve">Continuing </w:t>
      </w:r>
      <w:r w:rsidR="00AD7709" w:rsidRPr="00FF2A2F">
        <w:rPr>
          <w:iCs/>
          <w:color w:val="auto"/>
        </w:rPr>
        <w:t>to capitalise on the emb</w:t>
      </w:r>
      <w:r w:rsidR="00E6716C" w:rsidRPr="00FF2A2F">
        <w:rPr>
          <w:iCs/>
          <w:color w:val="auto"/>
        </w:rPr>
        <w:t xml:space="preserve">edded </w:t>
      </w:r>
      <w:r w:rsidR="00526D5F" w:rsidRPr="00FF2A2F">
        <w:rPr>
          <w:iCs/>
          <w:color w:val="auto"/>
        </w:rPr>
        <w:t>skills and experience of this team is more efficient than outsourcing the grant management</w:t>
      </w:r>
      <w:r w:rsidR="00E6716C" w:rsidRPr="00FF2A2F">
        <w:rPr>
          <w:iCs/>
          <w:color w:val="auto"/>
        </w:rPr>
        <w:t xml:space="preserve">. </w:t>
      </w:r>
      <w:r w:rsidR="001E35BF" w:rsidRPr="00FF2A2F">
        <w:rPr>
          <w:iCs/>
          <w:color w:val="auto"/>
        </w:rPr>
        <w:t xml:space="preserve">Post is increasing its </w:t>
      </w:r>
      <w:r w:rsidR="00A44BF0" w:rsidRPr="00FF2A2F">
        <w:rPr>
          <w:iCs/>
          <w:color w:val="auto"/>
        </w:rPr>
        <w:t>A</w:t>
      </w:r>
      <w:r w:rsidR="001E35BF" w:rsidRPr="00FF2A2F">
        <w:rPr>
          <w:iCs/>
          <w:color w:val="auto"/>
        </w:rPr>
        <w:t>-based presence with an additional A</w:t>
      </w:r>
      <w:r w:rsidR="00A44BF0" w:rsidRPr="00FF2A2F">
        <w:rPr>
          <w:iCs/>
          <w:color w:val="auto"/>
        </w:rPr>
        <w:t>-</w:t>
      </w:r>
      <w:r w:rsidR="001E35BF" w:rsidRPr="00FF2A2F">
        <w:rPr>
          <w:iCs/>
          <w:color w:val="auto"/>
        </w:rPr>
        <w:t xml:space="preserve">based being onboarded in the next 3-6 months. While this role will not be responsible for this investment, </w:t>
      </w:r>
      <w:r w:rsidR="00A44BF0" w:rsidRPr="00FF2A2F">
        <w:rPr>
          <w:iCs/>
          <w:color w:val="auto"/>
        </w:rPr>
        <w:t xml:space="preserve">it will </w:t>
      </w:r>
      <w:r w:rsidR="008611D1" w:rsidRPr="00FF2A2F">
        <w:rPr>
          <w:iCs/>
          <w:color w:val="auto"/>
        </w:rPr>
        <w:t>absorb o</w:t>
      </w:r>
      <w:r w:rsidR="001E35BF" w:rsidRPr="00FF2A2F">
        <w:rPr>
          <w:iCs/>
          <w:color w:val="auto"/>
        </w:rPr>
        <w:t xml:space="preserve">ther taskings of the team </w:t>
      </w:r>
      <w:r w:rsidR="007547ED" w:rsidRPr="00FF2A2F">
        <w:rPr>
          <w:iCs/>
          <w:color w:val="auto"/>
        </w:rPr>
        <w:t xml:space="preserve">proposed to manage this </w:t>
      </w:r>
      <w:r w:rsidR="001E35BF" w:rsidRPr="00FF2A2F">
        <w:rPr>
          <w:iCs/>
          <w:color w:val="auto"/>
        </w:rPr>
        <w:t>investmen</w:t>
      </w:r>
      <w:r w:rsidR="008611D1" w:rsidRPr="00FF2A2F">
        <w:rPr>
          <w:iCs/>
          <w:color w:val="auto"/>
        </w:rPr>
        <w:t xml:space="preserve">t. </w:t>
      </w:r>
    </w:p>
    <w:p w14:paraId="55D78D56" w14:textId="77777777" w:rsidR="00760600" w:rsidRPr="00FF2A2F" w:rsidRDefault="00760600" w:rsidP="00760600">
      <w:pPr>
        <w:spacing w:before="120" w:line="260" w:lineRule="atLeast"/>
        <w:ind w:left="0" w:firstLine="0"/>
        <w:rPr>
          <w:iCs/>
          <w:color w:val="auto"/>
        </w:rPr>
      </w:pPr>
      <w:r w:rsidRPr="00FF2A2F">
        <w:rPr>
          <w:iCs/>
          <w:color w:val="auto"/>
        </w:rPr>
        <w:t xml:space="preserve">95. </w:t>
      </w:r>
      <w:r w:rsidR="00BD07C2" w:rsidRPr="00FF2A2F">
        <w:rPr>
          <w:iCs/>
          <w:color w:val="auto"/>
        </w:rPr>
        <w:t>The design process carefully assess</w:t>
      </w:r>
      <w:r w:rsidR="002F46F4" w:rsidRPr="00FF2A2F">
        <w:rPr>
          <w:iCs/>
          <w:color w:val="auto"/>
        </w:rPr>
        <w:t>ed</w:t>
      </w:r>
      <w:r w:rsidR="00BD07C2" w:rsidRPr="00FF2A2F">
        <w:rPr>
          <w:iCs/>
          <w:color w:val="auto"/>
        </w:rPr>
        <w:t xml:space="preserve"> other delivery </w:t>
      </w:r>
      <w:r w:rsidR="00834706" w:rsidRPr="00FF2A2F">
        <w:rPr>
          <w:iCs/>
          <w:color w:val="auto"/>
        </w:rPr>
        <w:t>approaches</w:t>
      </w:r>
      <w:r w:rsidR="00BD07C2" w:rsidRPr="00FF2A2F">
        <w:rPr>
          <w:iCs/>
          <w:color w:val="auto"/>
        </w:rPr>
        <w:t>. This</w:t>
      </w:r>
      <w:r w:rsidR="00834706" w:rsidRPr="00FF2A2F">
        <w:rPr>
          <w:iCs/>
          <w:color w:val="auto"/>
        </w:rPr>
        <w:t xml:space="preserve"> included </w:t>
      </w:r>
      <w:r w:rsidR="006425BD" w:rsidRPr="00FF2A2F">
        <w:rPr>
          <w:iCs/>
          <w:color w:val="auto"/>
        </w:rPr>
        <w:t xml:space="preserve">Nukualofa </w:t>
      </w:r>
      <w:r w:rsidR="00555589" w:rsidRPr="00FF2A2F">
        <w:rPr>
          <w:iCs/>
          <w:color w:val="auto"/>
        </w:rPr>
        <w:t xml:space="preserve">Post </w:t>
      </w:r>
      <w:r w:rsidR="002F46F4" w:rsidRPr="00FF2A2F">
        <w:rPr>
          <w:iCs/>
          <w:color w:val="auto"/>
        </w:rPr>
        <w:t xml:space="preserve">delivering </w:t>
      </w:r>
      <w:r w:rsidR="00607D48" w:rsidRPr="00FF2A2F">
        <w:rPr>
          <w:iCs/>
          <w:color w:val="auto"/>
        </w:rPr>
        <w:t>all</w:t>
      </w:r>
      <w:r w:rsidR="002F46F4" w:rsidRPr="00FF2A2F">
        <w:rPr>
          <w:iCs/>
          <w:color w:val="auto"/>
        </w:rPr>
        <w:t xml:space="preserve"> the investment</w:t>
      </w:r>
      <w:r w:rsidR="00643D27" w:rsidRPr="00FF2A2F">
        <w:rPr>
          <w:iCs/>
          <w:color w:val="auto"/>
        </w:rPr>
        <w:t xml:space="preserve"> which likely would have overwhelmed current capacity. </w:t>
      </w:r>
    </w:p>
    <w:p w14:paraId="10CD558A" w14:textId="58A4869E" w:rsidR="002B084C" w:rsidRPr="00FF2A2F" w:rsidRDefault="00760600" w:rsidP="00760600">
      <w:pPr>
        <w:spacing w:before="120" w:line="260" w:lineRule="atLeast"/>
        <w:ind w:left="0" w:firstLine="0"/>
        <w:rPr>
          <w:color w:val="auto"/>
          <w:sz w:val="21"/>
          <w:szCs w:val="21"/>
        </w:rPr>
      </w:pPr>
      <w:r w:rsidRPr="00FF2A2F">
        <w:rPr>
          <w:iCs/>
          <w:color w:val="auto"/>
        </w:rPr>
        <w:t xml:space="preserve">96. </w:t>
      </w:r>
      <w:r w:rsidR="00F71324" w:rsidRPr="00FF2A2F">
        <w:rPr>
          <w:color w:val="auto"/>
          <w:sz w:val="21"/>
          <w:szCs w:val="21"/>
        </w:rPr>
        <w:t xml:space="preserve">The design process assessed the feasibility </w:t>
      </w:r>
      <w:r w:rsidR="008A570A" w:rsidRPr="00FF2A2F">
        <w:rPr>
          <w:color w:val="auto"/>
          <w:sz w:val="21"/>
          <w:szCs w:val="21"/>
        </w:rPr>
        <w:t>of contracting</w:t>
      </w:r>
      <w:r w:rsidR="00C40786" w:rsidRPr="00FF2A2F">
        <w:rPr>
          <w:color w:val="auto"/>
          <w:sz w:val="21"/>
          <w:szCs w:val="21"/>
        </w:rPr>
        <w:t xml:space="preserve"> some investment activities</w:t>
      </w:r>
      <w:r w:rsidR="002B084C" w:rsidRPr="00FF2A2F">
        <w:rPr>
          <w:color w:val="auto"/>
          <w:sz w:val="21"/>
          <w:szCs w:val="21"/>
        </w:rPr>
        <w:t xml:space="preserve"> to</w:t>
      </w:r>
      <w:r w:rsidR="00F71324" w:rsidRPr="00FF2A2F">
        <w:rPr>
          <w:color w:val="auto"/>
          <w:sz w:val="21"/>
          <w:szCs w:val="21"/>
        </w:rPr>
        <w:t xml:space="preserve"> the Tonga Australia Support Platform</w:t>
      </w:r>
      <w:r w:rsidR="002B084C" w:rsidRPr="00FF2A2F">
        <w:rPr>
          <w:color w:val="auto"/>
          <w:sz w:val="21"/>
          <w:szCs w:val="21"/>
        </w:rPr>
        <w:t xml:space="preserve"> </w:t>
      </w:r>
      <w:r w:rsidR="00F71324" w:rsidRPr="00FF2A2F">
        <w:rPr>
          <w:color w:val="auto"/>
          <w:sz w:val="21"/>
          <w:szCs w:val="21"/>
        </w:rPr>
        <w:t>(</w:t>
      </w:r>
      <w:r w:rsidR="002B084C" w:rsidRPr="00FF2A2F">
        <w:rPr>
          <w:color w:val="auto"/>
          <w:sz w:val="21"/>
          <w:szCs w:val="21"/>
        </w:rPr>
        <w:t>TASP</w:t>
      </w:r>
      <w:proofErr w:type="gramStart"/>
      <w:r w:rsidR="009A63E9" w:rsidRPr="00FF2A2F">
        <w:rPr>
          <w:color w:val="auto"/>
          <w:sz w:val="21"/>
          <w:szCs w:val="21"/>
        </w:rPr>
        <w:t>)</w:t>
      </w:r>
      <w:proofErr w:type="gramEnd"/>
      <w:r w:rsidR="009A63E9" w:rsidRPr="00FF2A2F">
        <w:rPr>
          <w:color w:val="auto"/>
          <w:sz w:val="21"/>
          <w:szCs w:val="21"/>
        </w:rPr>
        <w:t xml:space="preserve"> but this </w:t>
      </w:r>
      <w:r w:rsidR="00C40786" w:rsidRPr="00FF2A2F">
        <w:rPr>
          <w:color w:val="auto"/>
          <w:sz w:val="21"/>
          <w:szCs w:val="21"/>
        </w:rPr>
        <w:t xml:space="preserve">is deemed </w:t>
      </w:r>
      <w:r w:rsidR="009A63E9" w:rsidRPr="00FF2A2F">
        <w:rPr>
          <w:color w:val="auto"/>
          <w:sz w:val="21"/>
          <w:szCs w:val="21"/>
        </w:rPr>
        <w:t>unviable due to</w:t>
      </w:r>
      <w:r w:rsidR="0089487F" w:rsidRPr="00FF2A2F">
        <w:rPr>
          <w:color w:val="auto"/>
          <w:sz w:val="21"/>
          <w:szCs w:val="21"/>
        </w:rPr>
        <w:t xml:space="preserve"> the following factors</w:t>
      </w:r>
      <w:r w:rsidR="009A63E9" w:rsidRPr="00FF2A2F">
        <w:rPr>
          <w:color w:val="auto"/>
          <w:sz w:val="21"/>
          <w:szCs w:val="21"/>
        </w:rPr>
        <w:t xml:space="preserve">: </w:t>
      </w:r>
      <w:r w:rsidR="002B084C" w:rsidRPr="00FF2A2F">
        <w:rPr>
          <w:color w:val="auto"/>
          <w:sz w:val="21"/>
          <w:szCs w:val="21"/>
        </w:rPr>
        <w:t xml:space="preserve"> </w:t>
      </w:r>
    </w:p>
    <w:p w14:paraId="30574382" w14:textId="77777777" w:rsidR="002B084C" w:rsidRPr="00FF2A2F" w:rsidRDefault="002B084C"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Contract ceilings limit the amount of new work TASP can absorb for the next 2.5 years. </w:t>
      </w:r>
    </w:p>
    <w:p w14:paraId="2035FC0C" w14:textId="796A7D44" w:rsidR="002B084C" w:rsidRPr="00FF2A2F" w:rsidRDefault="009A63E9"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The current </w:t>
      </w:r>
      <w:r w:rsidR="002B084C" w:rsidRPr="00FF2A2F">
        <w:rPr>
          <w:iCs/>
          <w:color w:val="auto"/>
          <w:sz w:val="21"/>
          <w:szCs w:val="21"/>
        </w:rPr>
        <w:t>TASP grants mechanism has struggled to maintain a grants manager role</w:t>
      </w:r>
      <w:r w:rsidR="00616B41" w:rsidRPr="00FF2A2F">
        <w:rPr>
          <w:iCs/>
          <w:color w:val="auto"/>
          <w:sz w:val="21"/>
          <w:szCs w:val="21"/>
        </w:rPr>
        <w:t xml:space="preserve"> as these skills are in short supply in Tonga. As noted in the first section, </w:t>
      </w:r>
      <w:r w:rsidR="002B084C" w:rsidRPr="00FF2A2F">
        <w:rPr>
          <w:iCs/>
          <w:color w:val="auto"/>
          <w:sz w:val="21"/>
          <w:szCs w:val="21"/>
        </w:rPr>
        <w:t>Post has a strong team that specialises in grant management</w:t>
      </w:r>
      <w:r w:rsidR="0004611F" w:rsidRPr="00FF2A2F">
        <w:rPr>
          <w:iCs/>
          <w:color w:val="auto"/>
          <w:sz w:val="21"/>
          <w:szCs w:val="21"/>
        </w:rPr>
        <w:t xml:space="preserve"> to</w:t>
      </w:r>
      <w:r w:rsidR="002B084C" w:rsidRPr="00FF2A2F">
        <w:rPr>
          <w:iCs/>
          <w:color w:val="auto"/>
          <w:sz w:val="21"/>
          <w:szCs w:val="21"/>
        </w:rPr>
        <w:t xml:space="preserve"> implement this activity. </w:t>
      </w:r>
    </w:p>
    <w:p w14:paraId="41E0228D" w14:textId="77777777" w:rsidR="00760600" w:rsidRPr="00FF2A2F" w:rsidRDefault="002B084C" w:rsidP="006B7677">
      <w:pPr>
        <w:pStyle w:val="ListParagraph"/>
        <w:numPr>
          <w:ilvl w:val="0"/>
          <w:numId w:val="36"/>
        </w:numPr>
        <w:spacing w:before="120" w:line="260" w:lineRule="atLeast"/>
        <w:rPr>
          <w:color w:val="auto"/>
          <w:sz w:val="21"/>
          <w:szCs w:val="21"/>
        </w:rPr>
      </w:pPr>
      <w:r w:rsidRPr="00FF2A2F">
        <w:rPr>
          <w:iCs/>
          <w:color w:val="auto"/>
          <w:sz w:val="21"/>
          <w:szCs w:val="21"/>
        </w:rPr>
        <w:t>TASP is a development facility with no mandate for humanitarian action</w:t>
      </w:r>
      <w:r w:rsidR="0004611F" w:rsidRPr="00FF2A2F">
        <w:rPr>
          <w:iCs/>
          <w:color w:val="auto"/>
          <w:sz w:val="21"/>
          <w:szCs w:val="21"/>
        </w:rPr>
        <w:t>. G</w:t>
      </w:r>
      <w:r w:rsidRPr="00FF2A2F">
        <w:rPr>
          <w:iCs/>
          <w:color w:val="auto"/>
          <w:sz w:val="21"/>
          <w:szCs w:val="21"/>
        </w:rPr>
        <w:t xml:space="preserve">iven this is a new </w:t>
      </w:r>
      <w:r w:rsidR="005F292F" w:rsidRPr="00FF2A2F">
        <w:rPr>
          <w:iCs/>
          <w:color w:val="auto"/>
          <w:sz w:val="21"/>
          <w:szCs w:val="21"/>
        </w:rPr>
        <w:t xml:space="preserve">humanitarian </w:t>
      </w:r>
      <w:r w:rsidRPr="00FF2A2F">
        <w:rPr>
          <w:iCs/>
          <w:color w:val="auto"/>
          <w:sz w:val="21"/>
          <w:szCs w:val="21"/>
        </w:rPr>
        <w:t>investment</w:t>
      </w:r>
      <w:r w:rsidR="0004611F" w:rsidRPr="00FF2A2F">
        <w:rPr>
          <w:iCs/>
          <w:color w:val="auto"/>
          <w:sz w:val="21"/>
          <w:szCs w:val="21"/>
        </w:rPr>
        <w:t>,</w:t>
      </w:r>
      <w:r w:rsidRPr="00FF2A2F">
        <w:rPr>
          <w:iCs/>
          <w:color w:val="auto"/>
          <w:sz w:val="21"/>
          <w:szCs w:val="21"/>
        </w:rPr>
        <w:t xml:space="preserve"> </w:t>
      </w:r>
      <w:r w:rsidR="00CA61B9" w:rsidRPr="00FF2A2F">
        <w:rPr>
          <w:iCs/>
          <w:color w:val="auto"/>
          <w:sz w:val="21"/>
          <w:szCs w:val="21"/>
        </w:rPr>
        <w:t>there is a strong preference for Post</w:t>
      </w:r>
      <w:r w:rsidRPr="00FF2A2F">
        <w:rPr>
          <w:iCs/>
          <w:color w:val="auto"/>
          <w:sz w:val="21"/>
          <w:szCs w:val="21"/>
        </w:rPr>
        <w:t xml:space="preserve"> to maintain strategic direction and control to ensure it remains humanitarian focussed</w:t>
      </w:r>
      <w:r w:rsidR="000C5B81" w:rsidRPr="00FF2A2F">
        <w:rPr>
          <w:iCs/>
          <w:color w:val="auto"/>
          <w:sz w:val="21"/>
          <w:szCs w:val="21"/>
        </w:rPr>
        <w:t>.</w:t>
      </w:r>
    </w:p>
    <w:p w14:paraId="52132B14" w14:textId="35951999" w:rsidR="002B084C" w:rsidRPr="00FF2A2F" w:rsidRDefault="00760600" w:rsidP="00760600">
      <w:pPr>
        <w:spacing w:before="120" w:line="260" w:lineRule="atLeast"/>
        <w:ind w:left="0" w:firstLine="0"/>
        <w:rPr>
          <w:iCs/>
          <w:color w:val="auto"/>
        </w:rPr>
      </w:pPr>
      <w:r w:rsidRPr="00FF2A2F">
        <w:rPr>
          <w:iCs/>
          <w:color w:val="auto"/>
        </w:rPr>
        <w:t xml:space="preserve">97. </w:t>
      </w:r>
      <w:r w:rsidR="00EF3C00" w:rsidRPr="00FF2A2F">
        <w:rPr>
          <w:iCs/>
          <w:color w:val="auto"/>
        </w:rPr>
        <w:t>T</w:t>
      </w:r>
      <w:r w:rsidR="000C5B81" w:rsidRPr="00FF2A2F">
        <w:rPr>
          <w:iCs/>
          <w:color w:val="auto"/>
        </w:rPr>
        <w:t>here is a possibility to incorporate the management of this investment into a future iteration of a Post facility (TASP phase 3)</w:t>
      </w:r>
      <w:r w:rsidR="00607F28" w:rsidRPr="00FF2A2F">
        <w:rPr>
          <w:iCs/>
          <w:color w:val="auto"/>
        </w:rPr>
        <w:t>. With a new TASP design estimated in the</w:t>
      </w:r>
      <w:r w:rsidR="000C5B81" w:rsidRPr="00FF2A2F">
        <w:rPr>
          <w:iCs/>
          <w:color w:val="auto"/>
        </w:rPr>
        <w:t xml:space="preserve"> next 12</w:t>
      </w:r>
      <w:r w:rsidR="005B36DF" w:rsidRPr="00FF2A2F">
        <w:rPr>
          <w:iCs/>
          <w:color w:val="auto"/>
        </w:rPr>
        <w:t xml:space="preserve"> </w:t>
      </w:r>
      <w:r w:rsidR="000C5B81" w:rsidRPr="00FF2A2F">
        <w:rPr>
          <w:iCs/>
          <w:color w:val="auto"/>
        </w:rPr>
        <w:t>-</w:t>
      </w:r>
      <w:r w:rsidR="005B36DF" w:rsidRPr="00FF2A2F">
        <w:rPr>
          <w:iCs/>
          <w:color w:val="auto"/>
        </w:rPr>
        <w:t xml:space="preserve"> </w:t>
      </w:r>
      <w:r w:rsidR="000C5B81" w:rsidRPr="00FF2A2F">
        <w:rPr>
          <w:iCs/>
          <w:color w:val="auto"/>
        </w:rPr>
        <w:t>18</w:t>
      </w:r>
      <w:r w:rsidR="00DC6FC9" w:rsidRPr="00FF2A2F">
        <w:rPr>
          <w:iCs/>
          <w:color w:val="auto"/>
        </w:rPr>
        <w:t xml:space="preserve"> </w:t>
      </w:r>
      <w:r w:rsidR="000C5B81" w:rsidRPr="00FF2A2F">
        <w:rPr>
          <w:iCs/>
          <w:color w:val="auto"/>
        </w:rPr>
        <w:t>months</w:t>
      </w:r>
      <w:r w:rsidR="00EA11DE" w:rsidRPr="00FF2A2F">
        <w:rPr>
          <w:iCs/>
          <w:color w:val="auto"/>
        </w:rPr>
        <w:t xml:space="preserve">, this provides </w:t>
      </w:r>
      <w:r w:rsidR="008516F2" w:rsidRPr="00FF2A2F">
        <w:rPr>
          <w:iCs/>
          <w:color w:val="auto"/>
        </w:rPr>
        <w:t>sufficient</w:t>
      </w:r>
      <w:r w:rsidR="007821E8" w:rsidRPr="00FF2A2F">
        <w:rPr>
          <w:iCs/>
          <w:color w:val="auto"/>
        </w:rPr>
        <w:t xml:space="preserve"> time </w:t>
      </w:r>
      <w:r w:rsidR="00EA11DE" w:rsidRPr="00FF2A2F">
        <w:rPr>
          <w:iCs/>
          <w:color w:val="auto"/>
        </w:rPr>
        <w:t xml:space="preserve">to assess </w:t>
      </w:r>
      <w:r w:rsidR="00DE4C18" w:rsidRPr="00FF2A2F">
        <w:rPr>
          <w:iCs/>
          <w:color w:val="auto"/>
        </w:rPr>
        <w:t xml:space="preserve">Post’s performance in managing the investment. </w:t>
      </w:r>
      <w:r w:rsidR="000C5B81" w:rsidRPr="00FF2A2F">
        <w:rPr>
          <w:iCs/>
          <w:color w:val="auto"/>
        </w:rPr>
        <w:t xml:space="preserve"> </w:t>
      </w:r>
      <w:r w:rsidR="002B084C" w:rsidRPr="00FF2A2F">
        <w:rPr>
          <w:iCs/>
          <w:color w:val="auto"/>
        </w:rPr>
        <w:t xml:space="preserve"> </w:t>
      </w:r>
    </w:p>
    <w:p w14:paraId="3FBC2400" w14:textId="7AA90058" w:rsidR="00E934DC" w:rsidRPr="00FF2A2F" w:rsidRDefault="00760600" w:rsidP="00760600">
      <w:pPr>
        <w:spacing w:before="120" w:line="260" w:lineRule="atLeast"/>
        <w:ind w:left="0" w:firstLine="0"/>
        <w:rPr>
          <w:iCs/>
          <w:color w:val="auto"/>
        </w:rPr>
      </w:pPr>
      <w:r w:rsidRPr="00FF2A2F">
        <w:rPr>
          <w:iCs/>
          <w:color w:val="auto"/>
        </w:rPr>
        <w:t xml:space="preserve">98. </w:t>
      </w:r>
      <w:r w:rsidR="002B084C" w:rsidRPr="00FF2A2F">
        <w:rPr>
          <w:iCs/>
          <w:color w:val="auto"/>
        </w:rPr>
        <w:t xml:space="preserve">The design process also considered a managing contractor or International/Australian NGO to manage and deliver the investment in its entirety however this would undermine the investment’s unique opportunity to deliver a locally led approach to DRM. The design process recommends the hybrid approach outlined above in </w:t>
      </w:r>
      <w:r w:rsidR="002B084C" w:rsidRPr="00FF2A2F">
        <w:rPr>
          <w:iCs/>
          <w:color w:val="auto"/>
        </w:rPr>
        <w:lastRenderedPageBreak/>
        <w:t xml:space="preserve">paragraph 1 to provide flexibility for bringing in TA where needed, while remaining Tongan-led and -determined in day-to-day program and operations. </w:t>
      </w:r>
    </w:p>
    <w:p w14:paraId="79E0AA6C" w14:textId="7C0E8CC9" w:rsidR="00935A34" w:rsidRPr="00FF2A2F" w:rsidRDefault="00760600" w:rsidP="00760600">
      <w:pPr>
        <w:spacing w:before="120" w:line="260" w:lineRule="atLeast"/>
        <w:ind w:left="0" w:firstLine="0"/>
        <w:rPr>
          <w:iCs/>
          <w:color w:val="auto"/>
        </w:rPr>
      </w:pPr>
      <w:r w:rsidRPr="00FF2A2F">
        <w:rPr>
          <w:iCs/>
          <w:color w:val="auto"/>
        </w:rPr>
        <w:t xml:space="preserve">99. </w:t>
      </w:r>
      <w:r w:rsidR="004E38D7" w:rsidRPr="00FF2A2F">
        <w:rPr>
          <w:iCs/>
          <w:color w:val="auto"/>
        </w:rPr>
        <w:t>As the</w:t>
      </w:r>
      <w:r w:rsidR="00834706" w:rsidRPr="00FF2A2F">
        <w:rPr>
          <w:iCs/>
          <w:color w:val="auto"/>
        </w:rPr>
        <w:t xml:space="preserve"> investment will fund priority needs of the GoT</w:t>
      </w:r>
      <w:r w:rsidR="0020346F" w:rsidRPr="00FF2A2F">
        <w:rPr>
          <w:iCs/>
          <w:color w:val="auto"/>
        </w:rPr>
        <w:t xml:space="preserve">, primarily the </w:t>
      </w:r>
      <w:r w:rsidR="00E771C6" w:rsidRPr="00FF2A2F">
        <w:rPr>
          <w:iCs/>
          <w:color w:val="auto"/>
        </w:rPr>
        <w:t>implementation of the DRM Policy</w:t>
      </w:r>
      <w:r w:rsidR="002807D4" w:rsidRPr="00FF2A2F">
        <w:rPr>
          <w:iCs/>
          <w:color w:val="auto"/>
        </w:rPr>
        <w:t xml:space="preserve">, </w:t>
      </w:r>
      <w:r w:rsidR="0034300D" w:rsidRPr="00FF2A2F">
        <w:rPr>
          <w:iCs/>
          <w:color w:val="auto"/>
        </w:rPr>
        <w:t>Post</w:t>
      </w:r>
      <w:r w:rsidR="00834706" w:rsidRPr="00FF2A2F">
        <w:rPr>
          <w:iCs/>
          <w:color w:val="auto"/>
        </w:rPr>
        <w:t xml:space="preserve"> will host consultations with the government every six months </w:t>
      </w:r>
      <w:r w:rsidR="00EE47A7" w:rsidRPr="00FF2A2F">
        <w:rPr>
          <w:iCs/>
          <w:color w:val="auto"/>
        </w:rPr>
        <w:t xml:space="preserve">through the investment’s </w:t>
      </w:r>
      <w:r w:rsidR="00022775" w:rsidRPr="00FF2A2F">
        <w:rPr>
          <w:iCs/>
          <w:color w:val="auto"/>
        </w:rPr>
        <w:t xml:space="preserve">steering committee </w:t>
      </w:r>
      <w:r w:rsidR="006425BD" w:rsidRPr="00FF2A2F">
        <w:rPr>
          <w:iCs/>
          <w:color w:val="auto"/>
        </w:rPr>
        <w:t xml:space="preserve">meeting </w:t>
      </w:r>
      <w:r w:rsidR="00834706" w:rsidRPr="00FF2A2F">
        <w:rPr>
          <w:iCs/>
          <w:color w:val="auto"/>
        </w:rPr>
        <w:t>to ensure requests are mapped out early so funds can be allocated appropriately. GEDSI, localisation, climate change, resilience,</w:t>
      </w:r>
      <w:r w:rsidR="003670EB" w:rsidRPr="00FF2A2F">
        <w:rPr>
          <w:iCs/>
          <w:color w:val="auto"/>
        </w:rPr>
        <w:t xml:space="preserve"> MEL</w:t>
      </w:r>
      <w:r w:rsidR="00834706" w:rsidRPr="00FF2A2F">
        <w:rPr>
          <w:iCs/>
          <w:color w:val="auto"/>
        </w:rPr>
        <w:t xml:space="preserve"> and risk management are to be core elements of the proposed workstreams. </w:t>
      </w:r>
    </w:p>
    <w:p w14:paraId="6B6FD519" w14:textId="7C2722F5" w:rsidR="00B94953" w:rsidRPr="00FF2A2F" w:rsidRDefault="00760600" w:rsidP="007972D0">
      <w:pPr>
        <w:spacing w:before="120" w:line="260" w:lineRule="atLeast"/>
        <w:ind w:left="0" w:firstLine="0"/>
        <w:rPr>
          <w:iCs/>
          <w:color w:val="auto"/>
        </w:rPr>
      </w:pPr>
      <w:r w:rsidRPr="00FF2A2F">
        <w:rPr>
          <w:iCs/>
          <w:color w:val="auto"/>
        </w:rPr>
        <w:t xml:space="preserve">100. </w:t>
      </w:r>
      <w:r w:rsidR="007C228B" w:rsidRPr="00FF2A2F">
        <w:rPr>
          <w:iCs/>
          <w:color w:val="auto"/>
        </w:rPr>
        <w:t>Other than th</w:t>
      </w:r>
      <w:r w:rsidR="007E3D96" w:rsidRPr="00FF2A2F">
        <w:rPr>
          <w:iCs/>
          <w:color w:val="auto"/>
        </w:rPr>
        <w:t>e investment-</w:t>
      </w:r>
      <w:r w:rsidR="007C228B" w:rsidRPr="00FF2A2F">
        <w:rPr>
          <w:iCs/>
          <w:color w:val="auto"/>
        </w:rPr>
        <w:t xml:space="preserve">specific governance and </w:t>
      </w:r>
      <w:r w:rsidR="00C717FF" w:rsidRPr="00FF2A2F">
        <w:rPr>
          <w:iCs/>
          <w:color w:val="auto"/>
        </w:rPr>
        <w:t xml:space="preserve">working </w:t>
      </w:r>
      <w:r w:rsidR="007C228B" w:rsidRPr="00FF2A2F">
        <w:rPr>
          <w:iCs/>
          <w:color w:val="auto"/>
        </w:rPr>
        <w:t>groups</w:t>
      </w:r>
      <w:r w:rsidR="00880736" w:rsidRPr="00FF2A2F">
        <w:rPr>
          <w:iCs/>
          <w:color w:val="auto"/>
        </w:rPr>
        <w:t xml:space="preserve"> proposed in </w:t>
      </w:r>
      <w:r w:rsidR="007A6F3A" w:rsidRPr="00FF2A2F">
        <w:rPr>
          <w:iCs/>
          <w:color w:val="auto"/>
        </w:rPr>
        <w:t>Section E (below)</w:t>
      </w:r>
      <w:r w:rsidR="007C228B" w:rsidRPr="00FF2A2F">
        <w:rPr>
          <w:iCs/>
          <w:color w:val="auto"/>
        </w:rPr>
        <w:t xml:space="preserve">, all other coordination meetings outlined in the </w:t>
      </w:r>
      <w:r w:rsidR="00694352" w:rsidRPr="00FF2A2F">
        <w:rPr>
          <w:iCs/>
          <w:color w:val="auto"/>
        </w:rPr>
        <w:t>IDD related</w:t>
      </w:r>
      <w:r w:rsidR="00F7478A" w:rsidRPr="00FF2A2F">
        <w:rPr>
          <w:iCs/>
          <w:color w:val="auto"/>
        </w:rPr>
        <w:t xml:space="preserve"> </w:t>
      </w:r>
      <w:r w:rsidR="00694352" w:rsidRPr="00FF2A2F">
        <w:rPr>
          <w:iCs/>
          <w:color w:val="auto"/>
        </w:rPr>
        <w:t>a</w:t>
      </w:r>
      <w:r w:rsidR="00306481" w:rsidRPr="00FF2A2F">
        <w:rPr>
          <w:iCs/>
          <w:color w:val="auto"/>
        </w:rPr>
        <w:t>lready occur on a regular basis. The</w:t>
      </w:r>
      <w:r w:rsidR="007C228B" w:rsidRPr="00FF2A2F">
        <w:rPr>
          <w:iCs/>
          <w:color w:val="auto"/>
        </w:rPr>
        <w:t xml:space="preserve"> design </w:t>
      </w:r>
      <w:r w:rsidR="00F7478A" w:rsidRPr="00FF2A2F">
        <w:rPr>
          <w:iCs/>
          <w:color w:val="auto"/>
        </w:rPr>
        <w:t xml:space="preserve">just </w:t>
      </w:r>
      <w:r w:rsidR="007C228B" w:rsidRPr="00FF2A2F">
        <w:rPr>
          <w:iCs/>
          <w:color w:val="auto"/>
        </w:rPr>
        <w:t>seeks to capture the outcomes of these meetings</w:t>
      </w:r>
      <w:r w:rsidR="00F7478A" w:rsidRPr="00FF2A2F">
        <w:rPr>
          <w:iCs/>
          <w:color w:val="auto"/>
        </w:rPr>
        <w:t xml:space="preserve"> -</w:t>
      </w:r>
      <w:r w:rsidR="00306481" w:rsidRPr="00FF2A2F">
        <w:rPr>
          <w:iCs/>
          <w:color w:val="auto"/>
        </w:rPr>
        <w:t xml:space="preserve"> such as </w:t>
      </w:r>
      <w:r w:rsidR="007C228B" w:rsidRPr="00FF2A2F">
        <w:rPr>
          <w:iCs/>
          <w:color w:val="auto"/>
        </w:rPr>
        <w:t>FRANZ meetings, broader regular donor coordination meetings, and regular (monthly) meetings with NDRMO</w:t>
      </w:r>
      <w:r w:rsidR="00880736" w:rsidRPr="00FF2A2F">
        <w:rPr>
          <w:iCs/>
          <w:color w:val="auto"/>
        </w:rPr>
        <w:t xml:space="preserve"> </w:t>
      </w:r>
      <w:r w:rsidR="00F7478A" w:rsidRPr="00FF2A2F">
        <w:rPr>
          <w:iCs/>
          <w:color w:val="auto"/>
        </w:rPr>
        <w:t xml:space="preserve">- </w:t>
      </w:r>
      <w:r w:rsidR="00880736" w:rsidRPr="00FF2A2F">
        <w:rPr>
          <w:iCs/>
          <w:color w:val="auto"/>
        </w:rPr>
        <w:t>in a more systematic way.</w:t>
      </w:r>
    </w:p>
    <w:p w14:paraId="19A9356F" w14:textId="77777777" w:rsidR="00912480" w:rsidRPr="00FF2A2F" w:rsidRDefault="00912480">
      <w:pPr>
        <w:rPr>
          <w:b/>
          <w:bCs/>
          <w:iCs/>
          <w:color w:val="auto"/>
          <w:sz w:val="18"/>
          <w:szCs w:val="18"/>
        </w:rPr>
      </w:pPr>
      <w:r w:rsidRPr="00FF2A2F">
        <w:rPr>
          <w:b/>
          <w:bCs/>
          <w:iCs/>
          <w:color w:val="auto"/>
          <w:sz w:val="18"/>
          <w:szCs w:val="18"/>
        </w:rPr>
        <w:br w:type="page"/>
      </w:r>
    </w:p>
    <w:p w14:paraId="50C47D17" w14:textId="04750E10" w:rsidR="00347546" w:rsidRPr="00FF2A2F" w:rsidRDefault="003E2343" w:rsidP="0036597E">
      <w:pPr>
        <w:spacing w:before="120" w:line="260" w:lineRule="atLeast"/>
        <w:ind w:left="0" w:firstLine="0"/>
        <w:rPr>
          <w:b/>
          <w:bCs/>
          <w:iCs/>
          <w:color w:val="auto"/>
          <w:sz w:val="18"/>
          <w:szCs w:val="18"/>
        </w:rPr>
      </w:pPr>
      <w:r w:rsidRPr="00FF2A2F">
        <w:rPr>
          <w:b/>
          <w:bCs/>
          <w:iCs/>
          <w:color w:val="auto"/>
          <w:sz w:val="18"/>
          <w:szCs w:val="18"/>
        </w:rPr>
        <w:lastRenderedPageBreak/>
        <w:t>Figure 1: Program Logic</w:t>
      </w:r>
    </w:p>
    <w:p w14:paraId="6DB63995" w14:textId="0B73B0F4" w:rsidR="0036597E" w:rsidRPr="00FF2A2F" w:rsidRDefault="00347546" w:rsidP="0036597E">
      <w:pPr>
        <w:spacing w:before="120" w:line="260" w:lineRule="atLeast"/>
        <w:ind w:left="0" w:firstLine="0"/>
        <w:rPr>
          <w:b/>
          <w:bCs/>
          <w:iCs/>
          <w:color w:val="auto"/>
          <w:sz w:val="18"/>
          <w:szCs w:val="18"/>
        </w:rPr>
      </w:pPr>
      <w:r w:rsidRPr="00FF2A2F">
        <w:rPr>
          <w:iCs/>
          <w:color w:val="auto"/>
          <w:sz w:val="18"/>
          <w:szCs w:val="18"/>
        </w:rPr>
        <w:t xml:space="preserve">Image depicts the program logic </w:t>
      </w:r>
      <w:r w:rsidR="00B94953" w:rsidRPr="00FF2A2F">
        <w:rPr>
          <w:iCs/>
          <w:color w:val="auto"/>
          <w:sz w:val="18"/>
          <w:szCs w:val="18"/>
        </w:rPr>
        <w:t xml:space="preserve">outlined in chapter D. </w:t>
      </w:r>
      <w:r w:rsidR="0036597E" w:rsidRPr="00FF2A2F">
        <w:rPr>
          <w:b/>
          <w:bCs/>
          <w:iCs/>
          <w:noProof/>
          <w:color w:val="auto"/>
          <w:sz w:val="18"/>
          <w:szCs w:val="18"/>
        </w:rPr>
        <w:drawing>
          <wp:inline distT="0" distB="0" distL="0" distR="0" wp14:anchorId="75535085" wp14:editId="67DC4DCF">
            <wp:extent cx="6536321" cy="7829550"/>
            <wp:effectExtent l="0" t="0" r="0" b="0"/>
            <wp:docPr id="1493164562" name="Picture 1" descr="Image of program logic as described in chapter D. See Annex 1 for written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64562" name="Picture 1" descr="Image of program logic as described in chapter D. See Annex 1 for written version."/>
                    <pic:cNvPicPr/>
                  </pic:nvPicPr>
                  <pic:blipFill>
                    <a:blip r:embed="rId12"/>
                    <a:stretch>
                      <a:fillRect/>
                    </a:stretch>
                  </pic:blipFill>
                  <pic:spPr>
                    <a:xfrm>
                      <a:off x="0" y="0"/>
                      <a:ext cx="6564793" cy="7863655"/>
                    </a:xfrm>
                    <a:prstGeom prst="rect">
                      <a:avLst/>
                    </a:prstGeom>
                  </pic:spPr>
                </pic:pic>
              </a:graphicData>
            </a:graphic>
          </wp:inline>
        </w:drawing>
      </w:r>
    </w:p>
    <w:p w14:paraId="2EDB71F9" w14:textId="2D5E7242" w:rsidR="00A32858" w:rsidRPr="00FF2A2F" w:rsidRDefault="00C77675" w:rsidP="00E6131F">
      <w:pPr>
        <w:pStyle w:val="Heading2"/>
        <w:ind w:hanging="568"/>
        <w:rPr>
          <w:color w:val="auto"/>
          <w:sz w:val="32"/>
          <w:szCs w:val="32"/>
        </w:rPr>
      </w:pPr>
      <w:bookmarkStart w:id="8" w:name="_Toc214543663"/>
      <w:r w:rsidRPr="00FF2A2F">
        <w:rPr>
          <w:color w:val="auto"/>
          <w:sz w:val="32"/>
          <w:szCs w:val="32"/>
        </w:rPr>
        <w:lastRenderedPageBreak/>
        <w:t xml:space="preserve">E: </w:t>
      </w:r>
      <w:r w:rsidR="00A32858" w:rsidRPr="00FF2A2F">
        <w:rPr>
          <w:color w:val="auto"/>
          <w:sz w:val="32"/>
          <w:szCs w:val="32"/>
        </w:rPr>
        <w:t>Implementation Arrangements</w:t>
      </w:r>
      <w:bookmarkEnd w:id="8"/>
      <w:r w:rsidR="00A32858" w:rsidRPr="00FF2A2F">
        <w:rPr>
          <w:color w:val="auto"/>
          <w:sz w:val="32"/>
          <w:szCs w:val="32"/>
        </w:rPr>
        <w:t xml:space="preserve"> </w:t>
      </w:r>
    </w:p>
    <w:p w14:paraId="33B01D99" w14:textId="77777777" w:rsidR="00A32858" w:rsidRPr="00FF2A2F" w:rsidRDefault="00A32858" w:rsidP="00E6131F">
      <w:pPr>
        <w:ind w:left="0" w:firstLine="0"/>
        <w:rPr>
          <w:b/>
          <w:bCs/>
          <w:iCs/>
          <w:color w:val="auto"/>
        </w:rPr>
      </w:pPr>
      <w:r w:rsidRPr="00FF2A2F">
        <w:rPr>
          <w:b/>
          <w:bCs/>
          <w:iCs/>
          <w:color w:val="auto"/>
        </w:rPr>
        <w:t>Governance Arrangements and Structure</w:t>
      </w:r>
    </w:p>
    <w:p w14:paraId="7F8A0C47" w14:textId="77777777" w:rsidR="00E6131F" w:rsidRPr="00FF2A2F" w:rsidRDefault="00E6131F" w:rsidP="00E6131F">
      <w:pPr>
        <w:spacing w:before="120" w:line="260" w:lineRule="atLeast"/>
        <w:ind w:left="0" w:firstLine="0"/>
        <w:rPr>
          <w:iCs/>
          <w:color w:val="auto"/>
        </w:rPr>
      </w:pPr>
      <w:r w:rsidRPr="00FF2A2F">
        <w:rPr>
          <w:iCs/>
          <w:color w:val="auto"/>
        </w:rPr>
        <w:t>101</w:t>
      </w:r>
      <w:r w:rsidR="00721236" w:rsidRPr="00FF2A2F">
        <w:rPr>
          <w:iCs/>
          <w:color w:val="auto"/>
        </w:rPr>
        <w:t>.</w:t>
      </w:r>
      <w:r w:rsidRPr="00FF2A2F">
        <w:rPr>
          <w:iCs/>
          <w:color w:val="auto"/>
        </w:rPr>
        <w:t xml:space="preserve"> </w:t>
      </w:r>
      <w:r w:rsidR="00304C51" w:rsidRPr="00FF2A2F">
        <w:rPr>
          <w:iCs/>
          <w:color w:val="auto"/>
        </w:rPr>
        <w:t xml:space="preserve">Well-formed internal governance and management operations are important for </w:t>
      </w:r>
      <w:r w:rsidR="00E40FDB" w:rsidRPr="00FF2A2F">
        <w:rPr>
          <w:iCs/>
          <w:color w:val="auto"/>
        </w:rPr>
        <w:t xml:space="preserve">the successful </w:t>
      </w:r>
      <w:r w:rsidR="00975129" w:rsidRPr="00FF2A2F">
        <w:rPr>
          <w:iCs/>
          <w:color w:val="auto"/>
        </w:rPr>
        <w:t>delivery</w:t>
      </w:r>
      <w:r w:rsidR="00E40FDB" w:rsidRPr="00FF2A2F">
        <w:rPr>
          <w:iCs/>
          <w:color w:val="auto"/>
        </w:rPr>
        <w:t xml:space="preserve"> of the Investment</w:t>
      </w:r>
      <w:r w:rsidR="00304C51" w:rsidRPr="00FF2A2F">
        <w:rPr>
          <w:iCs/>
          <w:color w:val="auto"/>
        </w:rPr>
        <w:t xml:space="preserve">. </w:t>
      </w:r>
      <w:r w:rsidR="00C61BA0" w:rsidRPr="00FF2A2F">
        <w:rPr>
          <w:iCs/>
          <w:color w:val="auto"/>
        </w:rPr>
        <w:t>Key c</w:t>
      </w:r>
      <w:r w:rsidR="00304C51" w:rsidRPr="00FF2A2F">
        <w:rPr>
          <w:iCs/>
          <w:color w:val="auto"/>
        </w:rPr>
        <w:t xml:space="preserve">onsiderations </w:t>
      </w:r>
      <w:bookmarkStart w:id="9" w:name="_Hlk174804522"/>
      <w:r w:rsidR="00304C51" w:rsidRPr="00FF2A2F">
        <w:rPr>
          <w:iCs/>
          <w:color w:val="auto"/>
        </w:rPr>
        <w:t>include the role of governance bodies</w:t>
      </w:r>
      <w:r w:rsidR="00CC0ECD" w:rsidRPr="00FF2A2F">
        <w:rPr>
          <w:iCs/>
          <w:color w:val="auto"/>
        </w:rPr>
        <w:t xml:space="preserve"> and </w:t>
      </w:r>
      <w:r w:rsidR="00304C51" w:rsidRPr="00FF2A2F">
        <w:rPr>
          <w:iCs/>
          <w:color w:val="auto"/>
        </w:rPr>
        <w:t xml:space="preserve">DFAT’s management of the </w:t>
      </w:r>
      <w:r w:rsidR="008B49A4" w:rsidRPr="00FF2A2F">
        <w:rPr>
          <w:iCs/>
          <w:color w:val="auto"/>
        </w:rPr>
        <w:t>investment</w:t>
      </w:r>
      <w:bookmarkEnd w:id="9"/>
      <w:r w:rsidR="00225C1E" w:rsidRPr="00FF2A2F">
        <w:rPr>
          <w:iCs/>
          <w:color w:val="auto"/>
        </w:rPr>
        <w:t>, as well as</w:t>
      </w:r>
      <w:r w:rsidR="006C34BF" w:rsidRPr="00FF2A2F">
        <w:rPr>
          <w:iCs/>
          <w:color w:val="auto"/>
        </w:rPr>
        <w:t xml:space="preserve"> ensuring e</w:t>
      </w:r>
      <w:r w:rsidR="00304C51" w:rsidRPr="00FF2A2F">
        <w:rPr>
          <w:iCs/>
          <w:color w:val="auto"/>
        </w:rPr>
        <w:t xml:space="preserve">ffective risk identification and management </w:t>
      </w:r>
      <w:r w:rsidR="006C34BF" w:rsidRPr="00FF2A2F">
        <w:rPr>
          <w:iCs/>
          <w:color w:val="auto"/>
        </w:rPr>
        <w:t xml:space="preserve">actions </w:t>
      </w:r>
      <w:r w:rsidR="00225C1E" w:rsidRPr="00FF2A2F">
        <w:rPr>
          <w:iCs/>
          <w:color w:val="auto"/>
        </w:rPr>
        <w:t>are i</w:t>
      </w:r>
      <w:r w:rsidR="00304C51" w:rsidRPr="00FF2A2F">
        <w:rPr>
          <w:iCs/>
          <w:color w:val="auto"/>
        </w:rPr>
        <w:t xml:space="preserve">ncluded in the mandates and agendas of </w:t>
      </w:r>
      <w:r w:rsidR="00CC0ECD" w:rsidRPr="00FF2A2F">
        <w:rPr>
          <w:iCs/>
          <w:color w:val="auto"/>
        </w:rPr>
        <w:t>the investment governance structure</w:t>
      </w:r>
      <w:r w:rsidR="00304C51" w:rsidRPr="00FF2A2F">
        <w:rPr>
          <w:iCs/>
          <w:color w:val="auto"/>
        </w:rPr>
        <w:t xml:space="preserve"> to ensure these become an effective vehicle for sharing insights on risk between DFAT and stakeholders.</w:t>
      </w:r>
    </w:p>
    <w:p w14:paraId="55C02A10" w14:textId="097E89D8" w:rsidR="001D2BDC" w:rsidRPr="00FF2A2F" w:rsidRDefault="00E6131F" w:rsidP="00E6131F">
      <w:pPr>
        <w:spacing w:before="120" w:line="260" w:lineRule="atLeast"/>
        <w:ind w:left="0" w:firstLine="0"/>
        <w:rPr>
          <w:iCs/>
          <w:color w:val="auto"/>
        </w:rPr>
      </w:pPr>
      <w:r w:rsidRPr="00FF2A2F">
        <w:rPr>
          <w:iCs/>
          <w:color w:val="auto"/>
        </w:rPr>
        <w:t>102</w:t>
      </w:r>
      <w:r w:rsidRPr="00FF2A2F">
        <w:rPr>
          <w:color w:val="auto"/>
          <w:sz w:val="21"/>
          <w:szCs w:val="21"/>
        </w:rPr>
        <w:t xml:space="preserve">. </w:t>
      </w:r>
      <w:r w:rsidR="001D2BDC" w:rsidRPr="00FF2A2F">
        <w:rPr>
          <w:iCs/>
          <w:color w:val="auto"/>
        </w:rPr>
        <w:t>Strengthening the cluster system as the primary mechanism for dialogue between the GoT and CSOs</w:t>
      </w:r>
      <w:r w:rsidR="004248F0" w:rsidRPr="00FF2A2F">
        <w:rPr>
          <w:iCs/>
          <w:color w:val="auto"/>
        </w:rPr>
        <w:t xml:space="preserve"> for preparedness</w:t>
      </w:r>
      <w:r w:rsidR="001D2BDC" w:rsidRPr="00FF2A2F">
        <w:rPr>
          <w:iCs/>
          <w:color w:val="auto"/>
        </w:rPr>
        <w:t xml:space="preserve"> is a priority of the investment and </w:t>
      </w:r>
      <w:r w:rsidR="00887B54" w:rsidRPr="00FF2A2F">
        <w:rPr>
          <w:iCs/>
          <w:color w:val="auto"/>
        </w:rPr>
        <w:t>DFAT will</w:t>
      </w:r>
      <w:r w:rsidR="00EC72E5" w:rsidRPr="00FF2A2F">
        <w:rPr>
          <w:iCs/>
          <w:color w:val="auto"/>
        </w:rPr>
        <w:t xml:space="preserve"> be</w:t>
      </w:r>
      <w:r w:rsidR="00887B54" w:rsidRPr="00FF2A2F">
        <w:rPr>
          <w:iCs/>
          <w:color w:val="auto"/>
        </w:rPr>
        <w:t xml:space="preserve"> mindful of not setting up parallel meetings and mechanisms </w:t>
      </w:r>
      <w:r w:rsidR="004248F0" w:rsidRPr="00FF2A2F">
        <w:rPr>
          <w:iCs/>
          <w:color w:val="auto"/>
        </w:rPr>
        <w:t>which duplicate the cluster system</w:t>
      </w:r>
      <w:r w:rsidR="00EC72E5" w:rsidRPr="00FF2A2F">
        <w:rPr>
          <w:iCs/>
          <w:color w:val="auto"/>
        </w:rPr>
        <w:t xml:space="preserve"> or place an additional</w:t>
      </w:r>
      <w:r w:rsidR="005418F1" w:rsidRPr="00FF2A2F">
        <w:rPr>
          <w:iCs/>
          <w:color w:val="auto"/>
        </w:rPr>
        <w:t xml:space="preserve"> meeting</w:t>
      </w:r>
      <w:r w:rsidR="00EC72E5" w:rsidRPr="00FF2A2F">
        <w:rPr>
          <w:iCs/>
          <w:color w:val="auto"/>
        </w:rPr>
        <w:t xml:space="preserve"> burden on stakeholders.</w:t>
      </w:r>
    </w:p>
    <w:p w14:paraId="4A613FD4" w14:textId="7A34FA5E" w:rsidR="00A3561E" w:rsidRPr="00FF2A2F" w:rsidRDefault="00E6131F" w:rsidP="00E6131F">
      <w:pPr>
        <w:spacing w:before="120" w:line="260" w:lineRule="atLeast"/>
        <w:ind w:left="0" w:firstLine="0"/>
        <w:rPr>
          <w:iCs/>
          <w:color w:val="auto"/>
        </w:rPr>
      </w:pPr>
      <w:r w:rsidRPr="00FF2A2F">
        <w:rPr>
          <w:iCs/>
          <w:color w:val="auto"/>
        </w:rPr>
        <w:t xml:space="preserve">103. </w:t>
      </w:r>
      <w:r w:rsidRPr="00FF2A2F">
        <w:rPr>
          <w:color w:val="auto"/>
          <w:sz w:val="21"/>
          <w:szCs w:val="21"/>
        </w:rPr>
        <w:t xml:space="preserve">The investment governance structure will operate at two levels: (1) GoT and Post oversight and policy direction of the investment – the Tala Kei Kapa Steering Committee; and (2) a working level partnership forum among DFAT, GoT and delivery partners that focuses on implementation – the Tala Kei Kapa Working Group. Leadership opportunities for women and people with disability in investment governance and management structures will be pursued and prioritised by Post, as will the identification and proactive management of risks. </w:t>
      </w:r>
    </w:p>
    <w:p w14:paraId="2E594408" w14:textId="67E7E835" w:rsidR="006C1ABF" w:rsidRPr="00FF2A2F" w:rsidRDefault="00E6131F" w:rsidP="00E6131F">
      <w:pPr>
        <w:spacing w:before="120" w:line="260" w:lineRule="atLeast"/>
        <w:ind w:left="0" w:firstLine="0"/>
        <w:rPr>
          <w:iCs/>
          <w:color w:val="auto"/>
        </w:rPr>
      </w:pPr>
      <w:r w:rsidRPr="00FF2A2F">
        <w:rPr>
          <w:iCs/>
          <w:color w:val="auto"/>
        </w:rPr>
        <w:t xml:space="preserve">104. </w:t>
      </w:r>
      <w:r w:rsidR="00EB5F1B" w:rsidRPr="00FF2A2F">
        <w:rPr>
          <w:iCs/>
          <w:color w:val="auto"/>
        </w:rPr>
        <w:t xml:space="preserve">As </w:t>
      </w:r>
      <w:r w:rsidR="002A3132" w:rsidRPr="00FF2A2F">
        <w:rPr>
          <w:iCs/>
          <w:color w:val="auto"/>
        </w:rPr>
        <w:t>the</w:t>
      </w:r>
      <w:r w:rsidR="00EB5F1B" w:rsidRPr="00FF2A2F">
        <w:rPr>
          <w:iCs/>
          <w:color w:val="auto"/>
        </w:rPr>
        <w:t xml:space="preserve"> primary governance tier, </w:t>
      </w:r>
      <w:r w:rsidR="0034300D" w:rsidRPr="00FF2A2F">
        <w:rPr>
          <w:iCs/>
          <w:color w:val="auto"/>
        </w:rPr>
        <w:t>Post</w:t>
      </w:r>
      <w:r w:rsidR="00BA6670" w:rsidRPr="00FF2A2F">
        <w:rPr>
          <w:iCs/>
          <w:color w:val="auto"/>
        </w:rPr>
        <w:t xml:space="preserve"> will</w:t>
      </w:r>
      <w:r w:rsidR="00177804" w:rsidRPr="00FF2A2F">
        <w:rPr>
          <w:iCs/>
          <w:color w:val="auto"/>
        </w:rPr>
        <w:t xml:space="preserve"> establish </w:t>
      </w:r>
      <w:r w:rsidR="002A3132" w:rsidRPr="00FF2A2F">
        <w:rPr>
          <w:iCs/>
          <w:color w:val="auto"/>
        </w:rPr>
        <w:t xml:space="preserve">the </w:t>
      </w:r>
      <w:r w:rsidR="003A599B" w:rsidRPr="00FF2A2F">
        <w:rPr>
          <w:iCs/>
          <w:color w:val="auto"/>
        </w:rPr>
        <w:t xml:space="preserve">Tala Kei Kapa </w:t>
      </w:r>
      <w:r w:rsidR="00C717FF" w:rsidRPr="00FF2A2F">
        <w:rPr>
          <w:iCs/>
          <w:color w:val="auto"/>
        </w:rPr>
        <w:t>Steering Committee</w:t>
      </w:r>
      <w:r w:rsidR="003D051F" w:rsidRPr="00FF2A2F">
        <w:rPr>
          <w:iCs/>
          <w:color w:val="auto"/>
        </w:rPr>
        <w:t>. Membership of the steering committee</w:t>
      </w:r>
      <w:r w:rsidR="008534AF" w:rsidRPr="00FF2A2F">
        <w:rPr>
          <w:iCs/>
          <w:color w:val="auto"/>
        </w:rPr>
        <w:t xml:space="preserve"> consists of </w:t>
      </w:r>
      <w:r w:rsidR="006C1ABF" w:rsidRPr="00FF2A2F">
        <w:rPr>
          <w:iCs/>
          <w:color w:val="auto"/>
        </w:rPr>
        <w:t>NDRMO representatives</w:t>
      </w:r>
      <w:r w:rsidR="008534AF" w:rsidRPr="00FF2A2F">
        <w:rPr>
          <w:iCs/>
          <w:color w:val="auto"/>
        </w:rPr>
        <w:t xml:space="preserve">, Nuku’alofa </w:t>
      </w:r>
      <w:r w:rsidR="006C1ABF" w:rsidRPr="00FF2A2F">
        <w:rPr>
          <w:iCs/>
          <w:color w:val="auto"/>
        </w:rPr>
        <w:t>Post</w:t>
      </w:r>
      <w:r w:rsidR="008534AF" w:rsidRPr="00FF2A2F">
        <w:rPr>
          <w:iCs/>
          <w:color w:val="auto"/>
        </w:rPr>
        <w:t xml:space="preserve"> and CSFT</w:t>
      </w:r>
      <w:r w:rsidR="00F042AA" w:rsidRPr="00FF2A2F">
        <w:rPr>
          <w:iCs/>
          <w:color w:val="auto"/>
        </w:rPr>
        <w:t xml:space="preserve"> to provide oversight of, and policy direction to </w:t>
      </w:r>
      <w:r w:rsidR="009E2A59" w:rsidRPr="00FF2A2F">
        <w:rPr>
          <w:iCs/>
          <w:color w:val="auto"/>
        </w:rPr>
        <w:t>the investment</w:t>
      </w:r>
      <w:r w:rsidR="00AA126E" w:rsidRPr="00FF2A2F">
        <w:rPr>
          <w:iCs/>
          <w:color w:val="auto"/>
        </w:rPr>
        <w:t xml:space="preserve">, </w:t>
      </w:r>
      <w:r w:rsidR="00273A98" w:rsidRPr="00FF2A2F">
        <w:rPr>
          <w:iCs/>
          <w:color w:val="auto"/>
        </w:rPr>
        <w:t>prioritise requests</w:t>
      </w:r>
      <w:r w:rsidR="00557803" w:rsidRPr="00FF2A2F">
        <w:rPr>
          <w:iCs/>
          <w:color w:val="auto"/>
        </w:rPr>
        <w:t xml:space="preserve">, </w:t>
      </w:r>
      <w:r w:rsidR="00B525D8" w:rsidRPr="00FF2A2F">
        <w:rPr>
          <w:iCs/>
          <w:color w:val="auto"/>
        </w:rPr>
        <w:t>address significant</w:t>
      </w:r>
      <w:r w:rsidR="006C5B3A" w:rsidRPr="00FF2A2F">
        <w:rPr>
          <w:iCs/>
          <w:color w:val="auto"/>
        </w:rPr>
        <w:t xml:space="preserve"> risks</w:t>
      </w:r>
      <w:r w:rsidR="00273A98" w:rsidRPr="00FF2A2F">
        <w:rPr>
          <w:iCs/>
          <w:color w:val="auto"/>
        </w:rPr>
        <w:t xml:space="preserve"> </w:t>
      </w:r>
      <w:r w:rsidR="00AA126E" w:rsidRPr="00FF2A2F">
        <w:rPr>
          <w:iCs/>
          <w:color w:val="auto"/>
        </w:rPr>
        <w:t>and identify and action lessons learned</w:t>
      </w:r>
      <w:r w:rsidR="006C1ABF" w:rsidRPr="00FF2A2F">
        <w:rPr>
          <w:iCs/>
          <w:color w:val="auto"/>
        </w:rPr>
        <w:t xml:space="preserve">. The </w:t>
      </w:r>
      <w:r w:rsidR="00C717FF" w:rsidRPr="00FF2A2F">
        <w:rPr>
          <w:iCs/>
          <w:color w:val="auto"/>
        </w:rPr>
        <w:t>Steering Committee</w:t>
      </w:r>
      <w:r w:rsidR="006C1ABF" w:rsidRPr="00FF2A2F">
        <w:rPr>
          <w:iCs/>
          <w:color w:val="auto"/>
        </w:rPr>
        <w:t xml:space="preserve"> will not be involved in day-to-day operational matters but will convene </w:t>
      </w:r>
      <w:r w:rsidR="00022775" w:rsidRPr="00FF2A2F">
        <w:rPr>
          <w:iCs/>
          <w:color w:val="auto"/>
        </w:rPr>
        <w:t>every six months to</w:t>
      </w:r>
      <w:r w:rsidR="006C1ABF" w:rsidRPr="00FF2A2F">
        <w:rPr>
          <w:iCs/>
          <w:color w:val="auto"/>
        </w:rPr>
        <w:t xml:space="preserve"> review </w:t>
      </w:r>
      <w:r w:rsidR="003A599B" w:rsidRPr="00FF2A2F">
        <w:rPr>
          <w:iCs/>
          <w:color w:val="auto"/>
        </w:rPr>
        <w:t xml:space="preserve">Tala Kei Kapa </w:t>
      </w:r>
      <w:r w:rsidR="006C1ABF" w:rsidRPr="00FF2A2F">
        <w:rPr>
          <w:iCs/>
          <w:color w:val="auto"/>
        </w:rPr>
        <w:t>strategic direction</w:t>
      </w:r>
      <w:r w:rsidR="00D46F31" w:rsidRPr="00FF2A2F">
        <w:rPr>
          <w:iCs/>
          <w:color w:val="auto"/>
        </w:rPr>
        <w:t>, emerging significant risks</w:t>
      </w:r>
      <w:r w:rsidR="006C1ABF" w:rsidRPr="00FF2A2F">
        <w:rPr>
          <w:iCs/>
          <w:color w:val="auto"/>
        </w:rPr>
        <w:t xml:space="preserve"> and annual reports and workplans. </w:t>
      </w:r>
      <w:r w:rsidR="002A3132" w:rsidRPr="00FF2A2F">
        <w:rPr>
          <w:iCs/>
          <w:color w:val="auto"/>
        </w:rPr>
        <w:t>Resource s</w:t>
      </w:r>
      <w:r w:rsidR="00E019FB" w:rsidRPr="00FF2A2F">
        <w:rPr>
          <w:iCs/>
          <w:color w:val="auto"/>
        </w:rPr>
        <w:t>upport will be provided to</w:t>
      </w:r>
      <w:r w:rsidR="00C137D9" w:rsidRPr="00FF2A2F">
        <w:rPr>
          <w:iCs/>
          <w:color w:val="auto"/>
        </w:rPr>
        <w:t xml:space="preserve"> representatives of</w:t>
      </w:r>
      <w:r w:rsidR="00E019FB" w:rsidRPr="00FF2A2F">
        <w:rPr>
          <w:iCs/>
          <w:color w:val="auto"/>
        </w:rPr>
        <w:t xml:space="preserve"> OPDs and </w:t>
      </w:r>
      <w:r w:rsidR="006D3829" w:rsidRPr="00FF2A2F">
        <w:rPr>
          <w:iCs/>
          <w:color w:val="auto"/>
        </w:rPr>
        <w:t>women’s CSO</w:t>
      </w:r>
      <w:r w:rsidR="00C137D9" w:rsidRPr="00FF2A2F">
        <w:rPr>
          <w:iCs/>
          <w:color w:val="auto"/>
        </w:rPr>
        <w:t>s</w:t>
      </w:r>
      <w:r w:rsidR="006D3829" w:rsidRPr="00FF2A2F">
        <w:rPr>
          <w:iCs/>
          <w:color w:val="auto"/>
        </w:rPr>
        <w:t xml:space="preserve"> to facilitate their participation in the meetings, as well as preparation and consultation outside of the meeting periods. </w:t>
      </w:r>
    </w:p>
    <w:p w14:paraId="29154AAF" w14:textId="00022E70" w:rsidR="00B36B8A" w:rsidRPr="00FF2A2F" w:rsidRDefault="00E6131F" w:rsidP="00E6131F">
      <w:pPr>
        <w:spacing w:before="120" w:line="260" w:lineRule="atLeast"/>
        <w:ind w:left="0" w:firstLine="0"/>
        <w:rPr>
          <w:iCs/>
          <w:color w:val="auto"/>
        </w:rPr>
      </w:pPr>
      <w:r w:rsidRPr="00FF2A2F">
        <w:rPr>
          <w:iCs/>
          <w:color w:val="auto"/>
        </w:rPr>
        <w:t>105.</w:t>
      </w:r>
      <w:r w:rsidR="00B36B8A" w:rsidRPr="00FF2A2F">
        <w:rPr>
          <w:iCs/>
          <w:color w:val="auto"/>
        </w:rPr>
        <w:t xml:space="preserve"> Risk is a standing agenda item at </w:t>
      </w:r>
      <w:r w:rsidR="00175A65" w:rsidRPr="00FF2A2F">
        <w:rPr>
          <w:iCs/>
          <w:color w:val="auto"/>
        </w:rPr>
        <w:t>S</w:t>
      </w:r>
      <w:r w:rsidR="00B36B8A" w:rsidRPr="00FF2A2F">
        <w:rPr>
          <w:iCs/>
          <w:color w:val="auto"/>
        </w:rPr>
        <w:t xml:space="preserve">teering </w:t>
      </w:r>
      <w:r w:rsidR="00175A65" w:rsidRPr="00FF2A2F">
        <w:rPr>
          <w:iCs/>
          <w:color w:val="auto"/>
        </w:rPr>
        <w:t>C</w:t>
      </w:r>
      <w:r w:rsidR="00B36B8A" w:rsidRPr="00FF2A2F">
        <w:rPr>
          <w:iCs/>
          <w:color w:val="auto"/>
        </w:rPr>
        <w:t>ommittee meetings</w:t>
      </w:r>
      <w:r w:rsidR="00E30CD2" w:rsidRPr="00FF2A2F">
        <w:rPr>
          <w:iCs/>
          <w:color w:val="auto"/>
        </w:rPr>
        <w:t xml:space="preserve"> and </w:t>
      </w:r>
      <w:r w:rsidR="00B36B8A" w:rsidRPr="00FF2A2F">
        <w:rPr>
          <w:iCs/>
          <w:color w:val="auto"/>
        </w:rPr>
        <w:t xml:space="preserve">significant risks </w:t>
      </w:r>
      <w:r w:rsidR="00E30CD2" w:rsidRPr="00FF2A2F">
        <w:rPr>
          <w:iCs/>
          <w:color w:val="auto"/>
        </w:rPr>
        <w:t xml:space="preserve">will be consistently </w:t>
      </w:r>
      <w:r w:rsidR="00B36B8A" w:rsidRPr="00FF2A2F">
        <w:rPr>
          <w:iCs/>
          <w:color w:val="auto"/>
        </w:rPr>
        <w:t xml:space="preserve">escalated </w:t>
      </w:r>
      <w:r w:rsidR="00175A65" w:rsidRPr="00FF2A2F">
        <w:rPr>
          <w:iCs/>
          <w:color w:val="auto"/>
        </w:rPr>
        <w:t>to the Steering Committee by the Working Group. R</w:t>
      </w:r>
      <w:r w:rsidR="00B36B8A" w:rsidRPr="00FF2A2F">
        <w:rPr>
          <w:iCs/>
          <w:color w:val="auto"/>
        </w:rPr>
        <w:t>isk will be a factor in determining CSO grants and approval of NDRMO work plans</w:t>
      </w:r>
      <w:r w:rsidR="00175A65" w:rsidRPr="00FF2A2F">
        <w:rPr>
          <w:iCs/>
          <w:color w:val="auto"/>
        </w:rPr>
        <w:t xml:space="preserve">. </w:t>
      </w:r>
    </w:p>
    <w:p w14:paraId="3D57B581" w14:textId="378F2AEE" w:rsidR="001244C0" w:rsidRPr="00FF2A2F" w:rsidRDefault="00E6131F" w:rsidP="00E6131F">
      <w:pPr>
        <w:spacing w:before="120" w:line="260" w:lineRule="atLeast"/>
        <w:ind w:left="0" w:firstLine="0"/>
        <w:rPr>
          <w:iCs/>
          <w:color w:val="auto"/>
        </w:rPr>
      </w:pPr>
      <w:r w:rsidRPr="00FF2A2F">
        <w:rPr>
          <w:iCs/>
          <w:color w:val="auto"/>
        </w:rPr>
        <w:t xml:space="preserve">106. </w:t>
      </w:r>
      <w:r w:rsidR="003D7AB5" w:rsidRPr="00FF2A2F">
        <w:rPr>
          <w:iCs/>
          <w:color w:val="auto"/>
        </w:rPr>
        <w:t>A second level of governance will be</w:t>
      </w:r>
      <w:r w:rsidR="00056C7E" w:rsidRPr="00FF2A2F">
        <w:rPr>
          <w:iCs/>
          <w:color w:val="auto"/>
        </w:rPr>
        <w:t xml:space="preserve"> </w:t>
      </w:r>
      <w:r w:rsidR="00FB1544" w:rsidRPr="00FF2A2F">
        <w:rPr>
          <w:iCs/>
          <w:color w:val="auto"/>
        </w:rPr>
        <w:t xml:space="preserve">the </w:t>
      </w:r>
      <w:r w:rsidR="003A599B" w:rsidRPr="00FF2A2F">
        <w:rPr>
          <w:iCs/>
          <w:color w:val="auto"/>
        </w:rPr>
        <w:t xml:space="preserve">Tala Kei Kapa </w:t>
      </w:r>
      <w:r w:rsidR="00056C7E" w:rsidRPr="00FF2A2F">
        <w:rPr>
          <w:iCs/>
          <w:color w:val="auto"/>
        </w:rPr>
        <w:t xml:space="preserve">Working Group established by </w:t>
      </w:r>
      <w:r w:rsidR="0034300D" w:rsidRPr="00FF2A2F">
        <w:rPr>
          <w:iCs/>
          <w:color w:val="auto"/>
        </w:rPr>
        <w:t>Post</w:t>
      </w:r>
      <w:r w:rsidR="009E68DC" w:rsidRPr="00FF2A2F">
        <w:rPr>
          <w:iCs/>
          <w:color w:val="auto"/>
        </w:rPr>
        <w:t xml:space="preserve"> </w:t>
      </w:r>
      <w:r w:rsidR="0008596C" w:rsidRPr="00FF2A2F">
        <w:rPr>
          <w:iCs/>
          <w:color w:val="auto"/>
        </w:rPr>
        <w:t>to coordinate and provide advice on decisions made at the activity level. The Working Group</w:t>
      </w:r>
      <w:r w:rsidR="00FB4A58" w:rsidRPr="00FF2A2F">
        <w:rPr>
          <w:iCs/>
          <w:color w:val="auto"/>
        </w:rPr>
        <w:t xml:space="preserve"> </w:t>
      </w:r>
      <w:r w:rsidR="00FE5D6D" w:rsidRPr="00FF2A2F">
        <w:rPr>
          <w:iCs/>
          <w:color w:val="auto"/>
        </w:rPr>
        <w:t>will</w:t>
      </w:r>
      <w:r w:rsidR="00FB4A58" w:rsidRPr="00FF2A2F">
        <w:rPr>
          <w:iCs/>
          <w:color w:val="auto"/>
        </w:rPr>
        <w:t xml:space="preserve"> convene </w:t>
      </w:r>
      <w:r w:rsidR="00AB45CC" w:rsidRPr="00FF2A2F">
        <w:rPr>
          <w:iCs/>
          <w:color w:val="auto"/>
        </w:rPr>
        <w:t>quarterly and</w:t>
      </w:r>
      <w:r w:rsidR="00F872EF" w:rsidRPr="00FF2A2F">
        <w:rPr>
          <w:iCs/>
          <w:color w:val="auto"/>
        </w:rPr>
        <w:t xml:space="preserve"> be</w:t>
      </w:r>
      <w:r w:rsidR="00FB4A58" w:rsidRPr="00FF2A2F">
        <w:rPr>
          <w:iCs/>
          <w:color w:val="auto"/>
        </w:rPr>
        <w:t xml:space="preserve"> tasked with advising on implementing the decisions made by the </w:t>
      </w:r>
      <w:r w:rsidR="00C717FF" w:rsidRPr="00FF2A2F">
        <w:rPr>
          <w:iCs/>
          <w:color w:val="auto"/>
        </w:rPr>
        <w:t>Steering Committee</w:t>
      </w:r>
      <w:r w:rsidR="00FB4A58" w:rsidRPr="00FF2A2F">
        <w:rPr>
          <w:iCs/>
          <w:color w:val="auto"/>
        </w:rPr>
        <w:t>.</w:t>
      </w:r>
      <w:r w:rsidR="00F872EF" w:rsidRPr="00FF2A2F">
        <w:rPr>
          <w:iCs/>
          <w:color w:val="auto"/>
        </w:rPr>
        <w:t xml:space="preserve"> Risk identification and management will be a standing agenda item for the </w:t>
      </w:r>
      <w:r w:rsidR="003A599B" w:rsidRPr="00FF2A2F">
        <w:rPr>
          <w:iCs/>
          <w:color w:val="auto"/>
        </w:rPr>
        <w:t xml:space="preserve">Tala Kei Kapa </w:t>
      </w:r>
      <w:r w:rsidR="00F872EF" w:rsidRPr="00FF2A2F">
        <w:rPr>
          <w:iCs/>
          <w:color w:val="auto"/>
        </w:rPr>
        <w:t>Working Group</w:t>
      </w:r>
      <w:r w:rsidR="00A1330D" w:rsidRPr="00FF2A2F">
        <w:rPr>
          <w:iCs/>
          <w:color w:val="auto"/>
        </w:rPr>
        <w:t xml:space="preserve">, with significant risks escalated to the </w:t>
      </w:r>
      <w:r w:rsidR="003A599B" w:rsidRPr="00FF2A2F">
        <w:rPr>
          <w:iCs/>
          <w:color w:val="auto"/>
        </w:rPr>
        <w:t xml:space="preserve">Tala Kei Kapa </w:t>
      </w:r>
      <w:r w:rsidR="00C717FF" w:rsidRPr="00FF2A2F">
        <w:rPr>
          <w:iCs/>
          <w:color w:val="auto"/>
        </w:rPr>
        <w:t>Steering Committee</w:t>
      </w:r>
      <w:r w:rsidR="007E33A3" w:rsidRPr="00FF2A2F">
        <w:rPr>
          <w:iCs/>
          <w:color w:val="auto"/>
        </w:rPr>
        <w:t>. This group is responsible for providing advice, feedback, and expertise on NDRMO annual work plans and CSO approved applications to make them more gender and climate responsive.</w:t>
      </w:r>
      <w:r w:rsidR="00A1330D" w:rsidRPr="00FF2A2F">
        <w:rPr>
          <w:iCs/>
          <w:color w:val="auto"/>
        </w:rPr>
        <w:t xml:space="preserve"> </w:t>
      </w:r>
      <w:r w:rsidR="003911FD" w:rsidRPr="00FF2A2F">
        <w:rPr>
          <w:iCs/>
          <w:color w:val="auto"/>
        </w:rPr>
        <w:t>DFAT will aim for 50</w:t>
      </w:r>
      <w:r w:rsidR="00FB1544" w:rsidRPr="00FF2A2F">
        <w:rPr>
          <w:iCs/>
          <w:color w:val="auto"/>
        </w:rPr>
        <w:t>%</w:t>
      </w:r>
      <w:r w:rsidR="003911FD" w:rsidRPr="00FF2A2F">
        <w:rPr>
          <w:iCs/>
          <w:color w:val="auto"/>
        </w:rPr>
        <w:t xml:space="preserve"> women’s representation</w:t>
      </w:r>
      <w:r w:rsidR="004922A7" w:rsidRPr="00FF2A2F">
        <w:rPr>
          <w:iCs/>
          <w:color w:val="auto"/>
        </w:rPr>
        <w:t xml:space="preserve"> on the Working Group and support </w:t>
      </w:r>
      <w:r w:rsidR="00773D9F" w:rsidRPr="00FF2A2F">
        <w:rPr>
          <w:iCs/>
          <w:color w:val="auto"/>
        </w:rPr>
        <w:t>wo</w:t>
      </w:r>
      <w:r w:rsidR="003911FD" w:rsidRPr="00FF2A2F">
        <w:rPr>
          <w:iCs/>
          <w:color w:val="auto"/>
        </w:rPr>
        <w:t xml:space="preserve">men’s meaningful participation </w:t>
      </w:r>
      <w:r w:rsidR="00773D9F" w:rsidRPr="00FF2A2F">
        <w:rPr>
          <w:iCs/>
          <w:color w:val="auto"/>
        </w:rPr>
        <w:t>through</w:t>
      </w:r>
      <w:r w:rsidR="003911FD" w:rsidRPr="00FF2A2F">
        <w:rPr>
          <w:iCs/>
          <w:color w:val="auto"/>
        </w:rPr>
        <w:t xml:space="preserve"> dedicated preparation time, and rotating meeting locations to accommodate different women’s availability.</w:t>
      </w:r>
      <w:r w:rsidR="0041682E" w:rsidRPr="00FF2A2F">
        <w:rPr>
          <w:iCs/>
          <w:color w:val="auto"/>
        </w:rPr>
        <w:t xml:space="preserve"> </w:t>
      </w:r>
    </w:p>
    <w:p w14:paraId="1481A5EB" w14:textId="13B3E984" w:rsidR="003F613D" w:rsidRPr="00FF2A2F" w:rsidRDefault="00E6131F" w:rsidP="00E6131F">
      <w:pPr>
        <w:spacing w:before="120" w:line="260" w:lineRule="atLeast"/>
        <w:ind w:left="0" w:firstLine="0"/>
        <w:rPr>
          <w:iCs/>
          <w:color w:val="auto"/>
        </w:rPr>
      </w:pPr>
      <w:r w:rsidRPr="00FF2A2F">
        <w:rPr>
          <w:iCs/>
          <w:color w:val="auto"/>
        </w:rPr>
        <w:t xml:space="preserve">107. </w:t>
      </w:r>
      <w:r w:rsidR="003F613D" w:rsidRPr="00FF2A2F">
        <w:rPr>
          <w:iCs/>
          <w:color w:val="auto"/>
        </w:rPr>
        <w:t xml:space="preserve">Membership of the </w:t>
      </w:r>
      <w:r w:rsidR="00D65F85" w:rsidRPr="00FF2A2F">
        <w:rPr>
          <w:iCs/>
          <w:color w:val="auto"/>
        </w:rPr>
        <w:t>W</w:t>
      </w:r>
      <w:r w:rsidR="003F613D" w:rsidRPr="00FF2A2F">
        <w:rPr>
          <w:iCs/>
          <w:color w:val="auto"/>
        </w:rPr>
        <w:t xml:space="preserve">orking </w:t>
      </w:r>
      <w:r w:rsidR="00D65F85" w:rsidRPr="00FF2A2F">
        <w:rPr>
          <w:iCs/>
          <w:color w:val="auto"/>
        </w:rPr>
        <w:t>G</w:t>
      </w:r>
      <w:r w:rsidR="003F613D" w:rsidRPr="00FF2A2F">
        <w:rPr>
          <w:iCs/>
          <w:color w:val="auto"/>
        </w:rPr>
        <w:t xml:space="preserve">roup will include: </w:t>
      </w:r>
      <w:r w:rsidR="003C06A3" w:rsidRPr="00FF2A2F">
        <w:rPr>
          <w:iCs/>
          <w:color w:val="auto"/>
        </w:rPr>
        <w:t>NDRMO, Nuku’alofa Post, CSO, GEDSI specialist (</w:t>
      </w:r>
      <w:r w:rsidR="00C379C2" w:rsidRPr="00FF2A2F">
        <w:rPr>
          <w:iCs/>
          <w:color w:val="auto"/>
        </w:rPr>
        <w:t xml:space="preserve">implementing partner) </w:t>
      </w:r>
      <w:r w:rsidR="003C06A3" w:rsidRPr="00FF2A2F">
        <w:rPr>
          <w:iCs/>
          <w:color w:val="auto"/>
        </w:rPr>
        <w:t xml:space="preserve">and </w:t>
      </w:r>
      <w:r w:rsidR="00553C8A" w:rsidRPr="00FF2A2F">
        <w:rPr>
          <w:iCs/>
          <w:color w:val="auto"/>
        </w:rPr>
        <w:t xml:space="preserve">may include </w:t>
      </w:r>
      <w:r w:rsidR="003C06A3" w:rsidRPr="00FF2A2F">
        <w:rPr>
          <w:iCs/>
          <w:color w:val="auto"/>
        </w:rPr>
        <w:t xml:space="preserve">other specialist members as required </w:t>
      </w:r>
      <w:r w:rsidR="007E33A3" w:rsidRPr="00FF2A2F">
        <w:rPr>
          <w:iCs/>
          <w:color w:val="auto"/>
        </w:rPr>
        <w:t xml:space="preserve">such as </w:t>
      </w:r>
      <w:r w:rsidR="003C06A3" w:rsidRPr="00FF2A2F">
        <w:rPr>
          <w:iCs/>
          <w:color w:val="auto"/>
        </w:rPr>
        <w:t xml:space="preserve">climate </w:t>
      </w:r>
      <w:r w:rsidR="003E69B0" w:rsidRPr="00FF2A2F">
        <w:rPr>
          <w:iCs/>
          <w:color w:val="auto"/>
        </w:rPr>
        <w:t>(</w:t>
      </w:r>
      <w:r w:rsidR="003C06A3" w:rsidRPr="00FF2A2F">
        <w:rPr>
          <w:iCs/>
          <w:color w:val="auto"/>
        </w:rPr>
        <w:t>CRC)</w:t>
      </w:r>
      <w:r w:rsidR="003E69B0" w:rsidRPr="00FF2A2F">
        <w:rPr>
          <w:iCs/>
          <w:color w:val="auto"/>
        </w:rPr>
        <w:t xml:space="preserve"> and </w:t>
      </w:r>
      <w:r w:rsidR="003C06A3" w:rsidRPr="00FF2A2F">
        <w:rPr>
          <w:iCs/>
          <w:color w:val="auto"/>
        </w:rPr>
        <w:t>infrastructure (GoT Ministry of Infr</w:t>
      </w:r>
      <w:r w:rsidR="003E69B0" w:rsidRPr="00FF2A2F">
        <w:rPr>
          <w:iCs/>
          <w:color w:val="auto"/>
        </w:rPr>
        <w:t xml:space="preserve">astructure). </w:t>
      </w:r>
    </w:p>
    <w:p w14:paraId="044DF5DB" w14:textId="25049F15" w:rsidR="003C0629" w:rsidRPr="00FF2A2F" w:rsidRDefault="003C0629" w:rsidP="00E6131F">
      <w:pPr>
        <w:spacing w:before="120" w:line="260" w:lineRule="atLeast"/>
        <w:ind w:left="0" w:firstLine="0"/>
        <w:rPr>
          <w:b/>
          <w:bCs/>
          <w:iCs/>
          <w:color w:val="auto"/>
        </w:rPr>
      </w:pPr>
      <w:r w:rsidRPr="00FF2A2F">
        <w:rPr>
          <w:b/>
          <w:bCs/>
          <w:iCs/>
          <w:color w:val="auto"/>
        </w:rPr>
        <w:t>Management</w:t>
      </w:r>
    </w:p>
    <w:p w14:paraId="0AF07166" w14:textId="77777777" w:rsidR="00E6131F" w:rsidRPr="00FF2A2F" w:rsidRDefault="00E6131F" w:rsidP="00E6131F">
      <w:pPr>
        <w:spacing w:before="120" w:line="260" w:lineRule="atLeast"/>
        <w:ind w:left="0" w:firstLine="0"/>
        <w:rPr>
          <w:iCs/>
          <w:color w:val="auto"/>
        </w:rPr>
      </w:pPr>
      <w:r w:rsidRPr="00FF2A2F">
        <w:rPr>
          <w:iCs/>
          <w:color w:val="auto"/>
        </w:rPr>
        <w:t xml:space="preserve">108. </w:t>
      </w:r>
      <w:r w:rsidR="00541CEC" w:rsidRPr="00FF2A2F">
        <w:rPr>
          <w:iCs/>
          <w:color w:val="auto"/>
        </w:rPr>
        <w:t xml:space="preserve">The </w:t>
      </w:r>
      <w:r w:rsidR="009E2A59" w:rsidRPr="00FF2A2F">
        <w:rPr>
          <w:iCs/>
          <w:color w:val="auto"/>
        </w:rPr>
        <w:t xml:space="preserve">investment </w:t>
      </w:r>
      <w:r w:rsidR="00335A88" w:rsidRPr="00FF2A2F">
        <w:rPr>
          <w:iCs/>
          <w:color w:val="auto"/>
        </w:rPr>
        <w:t xml:space="preserve">will be managed by </w:t>
      </w:r>
      <w:r w:rsidR="0034300D" w:rsidRPr="00FF2A2F">
        <w:rPr>
          <w:iCs/>
          <w:color w:val="auto"/>
        </w:rPr>
        <w:t>Post</w:t>
      </w:r>
      <w:r w:rsidR="00E9022C" w:rsidRPr="00FF2A2F">
        <w:rPr>
          <w:iCs/>
          <w:color w:val="auto"/>
        </w:rPr>
        <w:t xml:space="preserve"> with</w:t>
      </w:r>
      <w:r w:rsidR="00425EC1" w:rsidRPr="00FF2A2F">
        <w:rPr>
          <w:iCs/>
          <w:color w:val="auto"/>
        </w:rPr>
        <w:t xml:space="preserve"> a </w:t>
      </w:r>
      <w:r w:rsidR="0041787F" w:rsidRPr="00FF2A2F">
        <w:rPr>
          <w:iCs/>
          <w:color w:val="auto"/>
        </w:rPr>
        <w:t>0.</w:t>
      </w:r>
      <w:r w:rsidR="009E2A59" w:rsidRPr="00FF2A2F">
        <w:rPr>
          <w:iCs/>
          <w:color w:val="auto"/>
        </w:rPr>
        <w:t>3</w:t>
      </w:r>
      <w:r w:rsidR="0041787F" w:rsidRPr="00FF2A2F">
        <w:rPr>
          <w:iCs/>
          <w:color w:val="auto"/>
        </w:rPr>
        <w:t xml:space="preserve"> </w:t>
      </w:r>
      <w:r w:rsidR="00A25EE7" w:rsidRPr="00FF2A2F">
        <w:rPr>
          <w:iCs/>
          <w:color w:val="auto"/>
        </w:rPr>
        <w:t xml:space="preserve">FTE A-based staff and </w:t>
      </w:r>
      <w:r w:rsidR="0041787F" w:rsidRPr="00FF2A2F">
        <w:rPr>
          <w:iCs/>
          <w:color w:val="auto"/>
        </w:rPr>
        <w:t>0.</w:t>
      </w:r>
      <w:r w:rsidR="002128FC" w:rsidRPr="00FF2A2F">
        <w:rPr>
          <w:iCs/>
          <w:color w:val="auto"/>
        </w:rPr>
        <w:t>8</w:t>
      </w:r>
      <w:r w:rsidR="00A25EE7" w:rsidRPr="00FF2A2F">
        <w:rPr>
          <w:iCs/>
          <w:color w:val="auto"/>
        </w:rPr>
        <w:t xml:space="preserve"> FTE Loca</w:t>
      </w:r>
      <w:r w:rsidR="00B3605D" w:rsidRPr="00FF2A2F">
        <w:rPr>
          <w:iCs/>
          <w:color w:val="auto"/>
        </w:rPr>
        <w:t>lly Engaged Staff anticipated to oversee the investment</w:t>
      </w:r>
      <w:r w:rsidR="00335A88" w:rsidRPr="00FF2A2F">
        <w:rPr>
          <w:iCs/>
          <w:color w:val="auto"/>
        </w:rPr>
        <w:t xml:space="preserve">. </w:t>
      </w:r>
      <w:r w:rsidR="00191E87" w:rsidRPr="00FF2A2F">
        <w:rPr>
          <w:iCs/>
          <w:color w:val="auto"/>
        </w:rPr>
        <w:t xml:space="preserve">This reflects the </w:t>
      </w:r>
      <w:r w:rsidR="00F225F6" w:rsidRPr="00FF2A2F">
        <w:rPr>
          <w:iCs/>
          <w:color w:val="auto"/>
        </w:rPr>
        <w:t>arrangement for managing the current humanitarian investment</w:t>
      </w:r>
      <w:r w:rsidR="00F4425E" w:rsidRPr="00FF2A2F">
        <w:rPr>
          <w:iCs/>
          <w:color w:val="auto"/>
        </w:rPr>
        <w:t>, including CSO grant</w:t>
      </w:r>
      <w:r w:rsidR="00E557F2" w:rsidRPr="00FF2A2F">
        <w:rPr>
          <w:iCs/>
          <w:color w:val="auto"/>
        </w:rPr>
        <w:t xml:space="preserve"> making</w:t>
      </w:r>
      <w:r w:rsidR="00507D51" w:rsidRPr="00FF2A2F">
        <w:rPr>
          <w:iCs/>
          <w:color w:val="auto"/>
        </w:rPr>
        <w:t xml:space="preserve">. </w:t>
      </w:r>
      <w:r w:rsidR="00310C56" w:rsidRPr="00FF2A2F">
        <w:rPr>
          <w:iCs/>
          <w:color w:val="auto"/>
        </w:rPr>
        <w:t>However, it</w:t>
      </w:r>
      <w:r w:rsidR="00507D51" w:rsidRPr="00FF2A2F">
        <w:rPr>
          <w:iCs/>
          <w:color w:val="auto"/>
        </w:rPr>
        <w:t xml:space="preserve"> is anticipated the </w:t>
      </w:r>
      <w:r w:rsidR="009E2A59" w:rsidRPr="00FF2A2F">
        <w:rPr>
          <w:iCs/>
          <w:color w:val="auto"/>
        </w:rPr>
        <w:t xml:space="preserve">investment </w:t>
      </w:r>
      <w:r w:rsidR="00507D51" w:rsidRPr="00FF2A2F">
        <w:rPr>
          <w:iCs/>
          <w:color w:val="auto"/>
        </w:rPr>
        <w:t>will be delivered and managed in a more strategic, organised and streamlined manner</w:t>
      </w:r>
      <w:r w:rsidR="009F05D6" w:rsidRPr="00FF2A2F">
        <w:rPr>
          <w:iCs/>
          <w:color w:val="auto"/>
        </w:rPr>
        <w:t>. To test this</w:t>
      </w:r>
      <w:r w:rsidR="0016239E" w:rsidRPr="00FF2A2F">
        <w:rPr>
          <w:iCs/>
          <w:color w:val="auto"/>
        </w:rPr>
        <w:t xml:space="preserve"> assumption</w:t>
      </w:r>
      <w:r w:rsidR="00E557F2" w:rsidRPr="00FF2A2F">
        <w:rPr>
          <w:iCs/>
          <w:color w:val="auto"/>
        </w:rPr>
        <w:t xml:space="preserve">, </w:t>
      </w:r>
      <w:r w:rsidR="009F05D6" w:rsidRPr="00FF2A2F">
        <w:rPr>
          <w:iCs/>
          <w:color w:val="auto"/>
        </w:rPr>
        <w:t xml:space="preserve">a </w:t>
      </w:r>
      <w:r w:rsidR="00737114" w:rsidRPr="00FF2A2F">
        <w:rPr>
          <w:iCs/>
          <w:color w:val="auto"/>
        </w:rPr>
        <w:t>key evaluation question</w:t>
      </w:r>
      <w:r w:rsidR="009F05D6" w:rsidRPr="00FF2A2F">
        <w:rPr>
          <w:iCs/>
          <w:color w:val="auto"/>
        </w:rPr>
        <w:t xml:space="preserve"> has been included so </w:t>
      </w:r>
      <w:r w:rsidR="00737114" w:rsidRPr="00FF2A2F">
        <w:rPr>
          <w:iCs/>
          <w:color w:val="auto"/>
        </w:rPr>
        <w:t>an eventual mid-term review</w:t>
      </w:r>
      <w:r w:rsidR="009F05D6" w:rsidRPr="00FF2A2F">
        <w:rPr>
          <w:iCs/>
          <w:color w:val="auto"/>
        </w:rPr>
        <w:t xml:space="preserve"> can assess </w:t>
      </w:r>
      <w:r w:rsidR="00310C56" w:rsidRPr="00FF2A2F">
        <w:rPr>
          <w:iCs/>
          <w:color w:val="auto"/>
        </w:rPr>
        <w:t xml:space="preserve">DFAT </w:t>
      </w:r>
      <w:r w:rsidR="00C8293A" w:rsidRPr="00FF2A2F">
        <w:rPr>
          <w:iCs/>
          <w:color w:val="auto"/>
        </w:rPr>
        <w:t>management arrangements</w:t>
      </w:r>
      <w:r w:rsidR="00C426D9" w:rsidRPr="00FF2A2F">
        <w:rPr>
          <w:iCs/>
          <w:color w:val="auto"/>
        </w:rPr>
        <w:t xml:space="preserve"> and provide recommendation</w:t>
      </w:r>
      <w:r w:rsidR="00CE1ABF" w:rsidRPr="00FF2A2F">
        <w:rPr>
          <w:iCs/>
          <w:color w:val="auto"/>
        </w:rPr>
        <w:t xml:space="preserve">s if required. </w:t>
      </w:r>
    </w:p>
    <w:p w14:paraId="379BD9E4" w14:textId="159D8E2B" w:rsidR="008A709F" w:rsidRPr="00FF2A2F" w:rsidRDefault="00E6131F" w:rsidP="00E6131F">
      <w:pPr>
        <w:spacing w:before="120" w:line="260" w:lineRule="atLeast"/>
        <w:ind w:left="0" w:firstLine="0"/>
        <w:rPr>
          <w:iCs/>
          <w:color w:val="auto"/>
        </w:rPr>
      </w:pPr>
      <w:r w:rsidRPr="00FF2A2F">
        <w:rPr>
          <w:iCs/>
          <w:color w:val="auto"/>
        </w:rPr>
        <w:lastRenderedPageBreak/>
        <w:t xml:space="preserve">109. </w:t>
      </w:r>
      <w:r w:rsidR="0034300D" w:rsidRPr="00FF2A2F">
        <w:rPr>
          <w:iCs/>
          <w:color w:val="auto"/>
        </w:rPr>
        <w:t>Post</w:t>
      </w:r>
      <w:r w:rsidR="00CF247F" w:rsidRPr="00FF2A2F">
        <w:rPr>
          <w:iCs/>
          <w:color w:val="auto"/>
        </w:rPr>
        <w:t>’s deep understanding of</w:t>
      </w:r>
      <w:r w:rsidR="00134A66" w:rsidRPr="00FF2A2F">
        <w:rPr>
          <w:iCs/>
          <w:color w:val="auto"/>
        </w:rPr>
        <w:t xml:space="preserve"> Tonga </w:t>
      </w:r>
      <w:r w:rsidR="004A1813" w:rsidRPr="00FF2A2F">
        <w:rPr>
          <w:iCs/>
          <w:color w:val="auto"/>
        </w:rPr>
        <w:t>DRM</w:t>
      </w:r>
      <w:r w:rsidR="00134A66" w:rsidRPr="00FF2A2F">
        <w:rPr>
          <w:iCs/>
          <w:color w:val="auto"/>
        </w:rPr>
        <w:t xml:space="preserve"> settings remains central to investment management. </w:t>
      </w:r>
      <w:r w:rsidR="00E85121" w:rsidRPr="00FF2A2F">
        <w:rPr>
          <w:iCs/>
          <w:color w:val="auto"/>
        </w:rPr>
        <w:t xml:space="preserve">It will be important for the investment to </w:t>
      </w:r>
      <w:r w:rsidR="00A912B8" w:rsidRPr="00FF2A2F">
        <w:rPr>
          <w:iCs/>
          <w:color w:val="auto"/>
        </w:rPr>
        <w:t>capture</w:t>
      </w:r>
      <w:r w:rsidR="00E85121" w:rsidRPr="00FF2A2F">
        <w:rPr>
          <w:iCs/>
          <w:color w:val="auto"/>
        </w:rPr>
        <w:t xml:space="preserve"> learning on what works, what doesn’t, and why—including partner performance—to inform DFAT decision-making</w:t>
      </w:r>
      <w:r w:rsidR="00425EC1" w:rsidRPr="00FF2A2F">
        <w:rPr>
          <w:iCs/>
          <w:color w:val="auto"/>
        </w:rPr>
        <w:t xml:space="preserve">, sustainability and </w:t>
      </w:r>
      <w:r w:rsidR="000D2BE8" w:rsidRPr="00FF2A2F">
        <w:rPr>
          <w:iCs/>
          <w:color w:val="auto"/>
        </w:rPr>
        <w:t xml:space="preserve">effective adaptive management of the investment. </w:t>
      </w:r>
    </w:p>
    <w:p w14:paraId="3C363A89" w14:textId="62DF1D25" w:rsidR="00A32858" w:rsidRPr="00FF2A2F" w:rsidRDefault="002B60C2" w:rsidP="00310C56">
      <w:pPr>
        <w:tabs>
          <w:tab w:val="left" w:pos="284"/>
        </w:tabs>
        <w:spacing w:before="120" w:line="260" w:lineRule="atLeast"/>
        <w:ind w:left="644" w:hanging="644"/>
        <w:rPr>
          <w:rFonts w:eastAsia="Times New Roman" w:cs="Times New Roman"/>
          <w:iCs/>
          <w:color w:val="auto"/>
          <w:sz w:val="21"/>
          <w:szCs w:val="24"/>
          <w:lang w:val="en-AU" w:eastAsia="en-AU"/>
        </w:rPr>
      </w:pPr>
      <w:r w:rsidRPr="00FF2A2F">
        <w:rPr>
          <w:rFonts w:eastAsia="Times New Roman" w:cs="Times New Roman"/>
          <w:b/>
          <w:bCs/>
          <w:iCs/>
          <w:color w:val="auto"/>
          <w:lang w:val="en-AU" w:eastAsia="en-AU"/>
        </w:rPr>
        <w:t>Early Activities</w:t>
      </w:r>
      <w:r w:rsidR="00F01B9B" w:rsidRPr="00FF2A2F">
        <w:rPr>
          <w:rFonts w:eastAsia="Times New Roman" w:cs="Times New Roman"/>
          <w:b/>
          <w:bCs/>
          <w:iCs/>
          <w:color w:val="auto"/>
          <w:lang w:val="en-AU" w:eastAsia="en-AU"/>
        </w:rPr>
        <w:t xml:space="preserve"> </w:t>
      </w:r>
      <w:r w:rsidR="0034300D" w:rsidRPr="00FF2A2F">
        <w:rPr>
          <w:rFonts w:eastAsia="Times New Roman" w:cs="Times New Roman"/>
          <w:b/>
          <w:bCs/>
          <w:iCs/>
          <w:color w:val="auto"/>
          <w:lang w:val="en-AU" w:eastAsia="en-AU"/>
        </w:rPr>
        <w:t>December 2025 –</w:t>
      </w:r>
      <w:r w:rsidR="00E6131F" w:rsidRPr="00FF2A2F">
        <w:rPr>
          <w:rFonts w:eastAsia="Times New Roman" w:cs="Times New Roman"/>
          <w:b/>
          <w:bCs/>
          <w:iCs/>
          <w:color w:val="auto"/>
          <w:lang w:val="en-AU" w:eastAsia="en-AU"/>
        </w:rPr>
        <w:t xml:space="preserve"> March</w:t>
      </w:r>
      <w:r w:rsidR="0034300D" w:rsidRPr="00FF2A2F">
        <w:rPr>
          <w:rFonts w:eastAsia="Times New Roman" w:cs="Times New Roman"/>
          <w:b/>
          <w:bCs/>
          <w:iCs/>
          <w:color w:val="auto"/>
          <w:lang w:val="en-AU" w:eastAsia="en-AU"/>
        </w:rPr>
        <w:t xml:space="preserve"> 2026 </w:t>
      </w:r>
    </w:p>
    <w:p w14:paraId="66458F88" w14:textId="74584620" w:rsidR="00741C01" w:rsidRPr="00FF2A2F" w:rsidRDefault="00E6131F" w:rsidP="00E6131F">
      <w:pPr>
        <w:spacing w:before="120" w:line="260" w:lineRule="atLeast"/>
        <w:ind w:left="0" w:firstLine="0"/>
        <w:rPr>
          <w:rFonts w:eastAsia="Times New Roman" w:cs="Times New Roman"/>
          <w:iCs/>
          <w:color w:val="auto"/>
          <w:sz w:val="21"/>
          <w:szCs w:val="24"/>
          <w:lang w:val="en-AU" w:eastAsia="en-AU"/>
        </w:rPr>
      </w:pPr>
      <w:r w:rsidRPr="00FF2A2F">
        <w:rPr>
          <w:iCs/>
          <w:color w:val="auto"/>
        </w:rPr>
        <w:t>110</w:t>
      </w:r>
      <w:r w:rsidR="002E598C" w:rsidRPr="00FF2A2F">
        <w:rPr>
          <w:iCs/>
          <w:color w:val="auto"/>
        </w:rPr>
        <w:t>.</w:t>
      </w:r>
      <w:r w:rsidRPr="00FF2A2F">
        <w:rPr>
          <w:iCs/>
          <w:color w:val="auto"/>
        </w:rPr>
        <w:t xml:space="preserve"> </w:t>
      </w:r>
      <w:r w:rsidR="00F01B9B" w:rsidRPr="00FF2A2F">
        <w:rPr>
          <w:iCs/>
          <w:color w:val="auto"/>
        </w:rPr>
        <w:t>Th</w:t>
      </w:r>
      <w:r w:rsidR="00741C01" w:rsidRPr="00FF2A2F">
        <w:rPr>
          <w:iCs/>
          <w:color w:val="auto"/>
        </w:rPr>
        <w:t>e</w:t>
      </w:r>
      <w:r w:rsidR="00F01B9B" w:rsidRPr="00FF2A2F">
        <w:rPr>
          <w:iCs/>
          <w:color w:val="auto"/>
        </w:rPr>
        <w:t xml:space="preserve"> following early activities </w:t>
      </w:r>
      <w:r w:rsidR="007E767A" w:rsidRPr="00FF2A2F">
        <w:rPr>
          <w:iCs/>
          <w:color w:val="auto"/>
        </w:rPr>
        <w:t>will</w:t>
      </w:r>
      <w:r w:rsidR="00B1789B" w:rsidRPr="00FF2A2F">
        <w:rPr>
          <w:iCs/>
          <w:color w:val="auto"/>
        </w:rPr>
        <w:t xml:space="preserve"> establish the investment</w:t>
      </w:r>
      <w:r w:rsidR="00D01A94" w:rsidRPr="00FF2A2F">
        <w:rPr>
          <w:iCs/>
          <w:color w:val="auto"/>
        </w:rPr>
        <w:t xml:space="preserve"> and set it up for success. </w:t>
      </w:r>
    </w:p>
    <w:p w14:paraId="67052564" w14:textId="5C52D5BE" w:rsidR="00741C01" w:rsidRPr="00FF2A2F" w:rsidRDefault="00DA36CD"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Design and facilitate an </w:t>
      </w:r>
      <w:r w:rsidR="00200E72" w:rsidRPr="00FF2A2F">
        <w:rPr>
          <w:iCs/>
          <w:color w:val="auto"/>
          <w:sz w:val="21"/>
          <w:szCs w:val="21"/>
        </w:rPr>
        <w:t>i</w:t>
      </w:r>
      <w:r w:rsidRPr="00FF2A2F">
        <w:rPr>
          <w:iCs/>
          <w:color w:val="auto"/>
          <w:sz w:val="21"/>
          <w:szCs w:val="21"/>
        </w:rPr>
        <w:t xml:space="preserve">nception </w:t>
      </w:r>
      <w:r w:rsidR="00200E72" w:rsidRPr="00FF2A2F">
        <w:rPr>
          <w:iCs/>
          <w:color w:val="auto"/>
          <w:sz w:val="21"/>
          <w:szCs w:val="21"/>
        </w:rPr>
        <w:t>w</w:t>
      </w:r>
      <w:r w:rsidRPr="00FF2A2F">
        <w:rPr>
          <w:iCs/>
          <w:color w:val="auto"/>
          <w:sz w:val="21"/>
          <w:szCs w:val="21"/>
        </w:rPr>
        <w:t xml:space="preserve">orkshop </w:t>
      </w:r>
      <w:r w:rsidR="001F734B" w:rsidRPr="00FF2A2F">
        <w:rPr>
          <w:iCs/>
          <w:color w:val="auto"/>
          <w:sz w:val="21"/>
          <w:szCs w:val="21"/>
        </w:rPr>
        <w:t xml:space="preserve">for key stakeholders </w:t>
      </w:r>
      <w:r w:rsidRPr="00FF2A2F">
        <w:rPr>
          <w:iCs/>
          <w:color w:val="auto"/>
          <w:sz w:val="21"/>
          <w:szCs w:val="21"/>
        </w:rPr>
        <w:t>for the Investment in Tonga.</w:t>
      </w:r>
      <w:r w:rsidR="001F734B" w:rsidRPr="00FF2A2F">
        <w:rPr>
          <w:iCs/>
          <w:color w:val="auto"/>
          <w:sz w:val="21"/>
          <w:szCs w:val="21"/>
        </w:rPr>
        <w:t xml:space="preserve"> The purpose of the workshop will be to socialise the investment </w:t>
      </w:r>
      <w:r w:rsidR="00DA0C89" w:rsidRPr="00FF2A2F">
        <w:rPr>
          <w:iCs/>
          <w:color w:val="auto"/>
          <w:sz w:val="21"/>
          <w:szCs w:val="21"/>
        </w:rPr>
        <w:t xml:space="preserve">with key </w:t>
      </w:r>
      <w:r w:rsidR="001F734B" w:rsidRPr="00FF2A2F">
        <w:rPr>
          <w:iCs/>
          <w:color w:val="auto"/>
          <w:sz w:val="21"/>
          <w:szCs w:val="21"/>
        </w:rPr>
        <w:t>stakeholder</w:t>
      </w:r>
      <w:r w:rsidR="00DA0C89" w:rsidRPr="00FF2A2F">
        <w:rPr>
          <w:iCs/>
          <w:color w:val="auto"/>
          <w:sz w:val="21"/>
          <w:szCs w:val="21"/>
        </w:rPr>
        <w:t xml:space="preserve">s and </w:t>
      </w:r>
      <w:r w:rsidR="005045F7" w:rsidRPr="00FF2A2F">
        <w:rPr>
          <w:iCs/>
          <w:color w:val="auto"/>
          <w:sz w:val="21"/>
          <w:szCs w:val="21"/>
        </w:rPr>
        <w:t xml:space="preserve">further </w:t>
      </w:r>
      <w:r w:rsidR="00DA0C89" w:rsidRPr="00FF2A2F">
        <w:rPr>
          <w:iCs/>
          <w:color w:val="auto"/>
          <w:sz w:val="21"/>
          <w:szCs w:val="21"/>
        </w:rPr>
        <w:t xml:space="preserve">test </w:t>
      </w:r>
      <w:r w:rsidR="00E97E21" w:rsidRPr="00FF2A2F">
        <w:rPr>
          <w:iCs/>
          <w:color w:val="auto"/>
          <w:sz w:val="21"/>
          <w:szCs w:val="21"/>
        </w:rPr>
        <w:t xml:space="preserve">investment alignment with related </w:t>
      </w:r>
      <w:r w:rsidR="00F913FC" w:rsidRPr="00FF2A2F">
        <w:rPr>
          <w:iCs/>
          <w:color w:val="auto"/>
          <w:sz w:val="21"/>
          <w:szCs w:val="21"/>
        </w:rPr>
        <w:t>GoT and CSO</w:t>
      </w:r>
      <w:r w:rsidR="00E97E21" w:rsidRPr="00FF2A2F">
        <w:rPr>
          <w:iCs/>
          <w:color w:val="auto"/>
          <w:sz w:val="21"/>
          <w:szCs w:val="21"/>
        </w:rPr>
        <w:t xml:space="preserve"> priorit</w:t>
      </w:r>
      <w:r w:rsidR="00EB76C9" w:rsidRPr="00FF2A2F">
        <w:rPr>
          <w:iCs/>
          <w:color w:val="auto"/>
          <w:sz w:val="21"/>
          <w:szCs w:val="21"/>
        </w:rPr>
        <w:t xml:space="preserve">ies and programs. </w:t>
      </w:r>
      <w:r w:rsidR="001F734B" w:rsidRPr="00FF2A2F">
        <w:rPr>
          <w:iCs/>
          <w:color w:val="auto"/>
          <w:sz w:val="21"/>
          <w:szCs w:val="21"/>
        </w:rPr>
        <w:t xml:space="preserve"> </w:t>
      </w:r>
    </w:p>
    <w:p w14:paraId="7917D660" w14:textId="034B998F" w:rsidR="00526DC7" w:rsidRPr="00FF2A2F" w:rsidRDefault="00DD58B1"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An inception meeting with representatives from aligned Australian investments such as </w:t>
      </w:r>
      <w:r w:rsidR="006D5933" w:rsidRPr="00FF2A2F">
        <w:rPr>
          <w:iCs/>
          <w:color w:val="auto"/>
          <w:sz w:val="21"/>
          <w:szCs w:val="21"/>
        </w:rPr>
        <w:t>AHP Disaster R</w:t>
      </w:r>
      <w:r w:rsidR="007369AD" w:rsidRPr="00FF2A2F">
        <w:rPr>
          <w:iCs/>
          <w:color w:val="auto"/>
          <w:sz w:val="21"/>
          <w:szCs w:val="21"/>
        </w:rPr>
        <w:t>EADY</w:t>
      </w:r>
      <w:r w:rsidR="006D5933" w:rsidRPr="00FF2A2F">
        <w:rPr>
          <w:iCs/>
          <w:color w:val="auto"/>
          <w:sz w:val="21"/>
          <w:szCs w:val="21"/>
        </w:rPr>
        <w:t xml:space="preserve">, </w:t>
      </w:r>
      <w:r w:rsidRPr="00FF2A2F">
        <w:rPr>
          <w:iCs/>
          <w:color w:val="auto"/>
          <w:sz w:val="21"/>
          <w:szCs w:val="21"/>
        </w:rPr>
        <w:t>P4SP, PHWP, Australia Assists</w:t>
      </w:r>
      <w:r w:rsidR="00F913FC" w:rsidRPr="00FF2A2F">
        <w:rPr>
          <w:iCs/>
          <w:color w:val="auto"/>
          <w:sz w:val="21"/>
          <w:szCs w:val="21"/>
        </w:rPr>
        <w:t>, PIEMA</w:t>
      </w:r>
      <w:r w:rsidR="005B3329" w:rsidRPr="00FF2A2F">
        <w:rPr>
          <w:iCs/>
          <w:color w:val="auto"/>
          <w:sz w:val="21"/>
          <w:szCs w:val="21"/>
        </w:rPr>
        <w:t>, CRC</w:t>
      </w:r>
      <w:r w:rsidR="00F913FC" w:rsidRPr="00FF2A2F">
        <w:rPr>
          <w:iCs/>
          <w:color w:val="auto"/>
          <w:sz w:val="21"/>
          <w:szCs w:val="21"/>
        </w:rPr>
        <w:t xml:space="preserve"> and HLC</w:t>
      </w:r>
      <w:r w:rsidR="00FC7F57" w:rsidRPr="00FF2A2F">
        <w:rPr>
          <w:iCs/>
          <w:color w:val="auto"/>
          <w:sz w:val="21"/>
          <w:szCs w:val="21"/>
        </w:rPr>
        <w:t xml:space="preserve"> to determine</w:t>
      </w:r>
      <w:r w:rsidR="00767936" w:rsidRPr="00FF2A2F">
        <w:rPr>
          <w:iCs/>
          <w:color w:val="auto"/>
          <w:sz w:val="21"/>
          <w:szCs w:val="21"/>
        </w:rPr>
        <w:t xml:space="preserve"> early sight of </w:t>
      </w:r>
      <w:r w:rsidR="001B459D" w:rsidRPr="00FF2A2F">
        <w:rPr>
          <w:iCs/>
          <w:color w:val="auto"/>
          <w:sz w:val="21"/>
          <w:szCs w:val="21"/>
        </w:rPr>
        <w:t xml:space="preserve">potential </w:t>
      </w:r>
      <w:r w:rsidR="00767936" w:rsidRPr="00FF2A2F">
        <w:rPr>
          <w:iCs/>
          <w:color w:val="auto"/>
          <w:sz w:val="21"/>
          <w:szCs w:val="21"/>
        </w:rPr>
        <w:t>entry and leverage points and</w:t>
      </w:r>
      <w:r w:rsidR="001B459D" w:rsidRPr="00FF2A2F">
        <w:rPr>
          <w:iCs/>
          <w:color w:val="auto"/>
          <w:sz w:val="21"/>
          <w:szCs w:val="21"/>
        </w:rPr>
        <w:t xml:space="preserve"> provide </w:t>
      </w:r>
      <w:r w:rsidR="00767936" w:rsidRPr="00FF2A2F">
        <w:rPr>
          <w:iCs/>
          <w:color w:val="auto"/>
          <w:sz w:val="21"/>
          <w:szCs w:val="21"/>
        </w:rPr>
        <w:t>strategic input to help shape possibilities</w:t>
      </w:r>
      <w:r w:rsidR="00DB0BC5" w:rsidRPr="00FF2A2F">
        <w:rPr>
          <w:iCs/>
          <w:color w:val="auto"/>
          <w:sz w:val="21"/>
          <w:szCs w:val="21"/>
        </w:rPr>
        <w:t xml:space="preserve"> </w:t>
      </w:r>
      <w:r w:rsidR="00880387" w:rsidRPr="00FF2A2F">
        <w:rPr>
          <w:iCs/>
          <w:color w:val="auto"/>
          <w:sz w:val="21"/>
          <w:szCs w:val="21"/>
        </w:rPr>
        <w:t>a</w:t>
      </w:r>
      <w:r w:rsidR="00DB0BC5" w:rsidRPr="00FF2A2F">
        <w:rPr>
          <w:iCs/>
          <w:color w:val="auto"/>
          <w:sz w:val="21"/>
          <w:szCs w:val="21"/>
        </w:rPr>
        <w:t xml:space="preserve">nd reduce the potential for </w:t>
      </w:r>
      <w:r w:rsidR="006D5933" w:rsidRPr="00FF2A2F">
        <w:rPr>
          <w:iCs/>
          <w:color w:val="auto"/>
          <w:sz w:val="21"/>
          <w:szCs w:val="21"/>
        </w:rPr>
        <w:t>overlap and duplication.</w:t>
      </w:r>
    </w:p>
    <w:p w14:paraId="23C0C2CC" w14:textId="1E275018" w:rsidR="006425BD" w:rsidRPr="00FF2A2F" w:rsidRDefault="006425BD" w:rsidP="006B7677">
      <w:pPr>
        <w:pStyle w:val="ListParagraph"/>
        <w:numPr>
          <w:ilvl w:val="0"/>
          <w:numId w:val="36"/>
        </w:numPr>
        <w:spacing w:before="120" w:line="260" w:lineRule="atLeast"/>
        <w:rPr>
          <w:iCs/>
          <w:color w:val="auto"/>
          <w:sz w:val="21"/>
          <w:szCs w:val="21"/>
        </w:rPr>
      </w:pPr>
      <w:r w:rsidRPr="00FF2A2F">
        <w:rPr>
          <w:iCs/>
          <w:color w:val="auto"/>
          <w:sz w:val="21"/>
          <w:szCs w:val="21"/>
        </w:rPr>
        <w:t>A Fiduciary Risk Assessment (FRA) of the NDRMO systems will be completed by an independent contractor (at the request Nuku’alofa Post) to identify safeguards needed within the Direct Financing Agreement with NDRMO to ensure financial accountability and effective use of resources.</w:t>
      </w:r>
    </w:p>
    <w:p w14:paraId="488EABB8" w14:textId="74F42B70" w:rsidR="00566CD7" w:rsidRPr="00FF2A2F" w:rsidRDefault="00566CD7"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Scoping </w:t>
      </w:r>
      <w:r w:rsidR="00D01A94" w:rsidRPr="00FF2A2F">
        <w:rPr>
          <w:iCs/>
          <w:color w:val="auto"/>
          <w:sz w:val="21"/>
          <w:szCs w:val="21"/>
        </w:rPr>
        <w:t>and sequencing activities</w:t>
      </w:r>
      <w:r w:rsidR="0052762D" w:rsidRPr="00FF2A2F">
        <w:rPr>
          <w:iCs/>
          <w:color w:val="auto"/>
          <w:sz w:val="21"/>
          <w:szCs w:val="21"/>
        </w:rPr>
        <w:t xml:space="preserve">, with a prioritisation of </w:t>
      </w:r>
      <w:r w:rsidR="00D54142" w:rsidRPr="00FF2A2F">
        <w:rPr>
          <w:iCs/>
          <w:color w:val="auto"/>
          <w:sz w:val="21"/>
          <w:szCs w:val="21"/>
        </w:rPr>
        <w:t xml:space="preserve">activities that deliver visible, </w:t>
      </w:r>
      <w:r w:rsidR="00BD5CCC" w:rsidRPr="00FF2A2F">
        <w:rPr>
          <w:iCs/>
          <w:color w:val="auto"/>
          <w:sz w:val="21"/>
          <w:szCs w:val="21"/>
        </w:rPr>
        <w:t>near-term</w:t>
      </w:r>
      <w:r w:rsidR="00D54142" w:rsidRPr="00FF2A2F">
        <w:rPr>
          <w:iCs/>
          <w:color w:val="auto"/>
          <w:sz w:val="21"/>
          <w:szCs w:val="21"/>
        </w:rPr>
        <w:t xml:space="preserve"> results and / or support </w:t>
      </w:r>
      <w:r w:rsidR="00E503D1" w:rsidRPr="00FF2A2F">
        <w:rPr>
          <w:iCs/>
          <w:color w:val="auto"/>
          <w:sz w:val="21"/>
          <w:szCs w:val="21"/>
        </w:rPr>
        <w:t>existing reform actions</w:t>
      </w:r>
      <w:r w:rsidR="00BD5CCC" w:rsidRPr="00FF2A2F">
        <w:rPr>
          <w:iCs/>
          <w:color w:val="auto"/>
          <w:sz w:val="21"/>
          <w:szCs w:val="21"/>
        </w:rPr>
        <w:t xml:space="preserve"> and </w:t>
      </w:r>
      <w:r w:rsidR="00E503D1" w:rsidRPr="00FF2A2F">
        <w:rPr>
          <w:iCs/>
          <w:color w:val="auto"/>
          <w:sz w:val="21"/>
          <w:szCs w:val="21"/>
        </w:rPr>
        <w:t>government priorities</w:t>
      </w:r>
      <w:r w:rsidR="00D01A94" w:rsidRPr="00FF2A2F">
        <w:rPr>
          <w:iCs/>
          <w:color w:val="auto"/>
          <w:sz w:val="21"/>
          <w:szCs w:val="21"/>
        </w:rPr>
        <w:t xml:space="preserve">. </w:t>
      </w:r>
      <w:r w:rsidR="008E1E58" w:rsidRPr="00FF2A2F">
        <w:rPr>
          <w:iCs/>
          <w:color w:val="auto"/>
          <w:sz w:val="21"/>
          <w:szCs w:val="21"/>
        </w:rPr>
        <w:t>This includes prioritising cluster planning for the cycl</w:t>
      </w:r>
      <w:r w:rsidR="005B48FB" w:rsidRPr="00FF2A2F">
        <w:rPr>
          <w:iCs/>
          <w:color w:val="auto"/>
          <w:sz w:val="21"/>
          <w:szCs w:val="21"/>
        </w:rPr>
        <w:t xml:space="preserve">one season. </w:t>
      </w:r>
    </w:p>
    <w:p w14:paraId="22D4A39C" w14:textId="327A8C37" w:rsidR="00CF5B97" w:rsidRPr="00FF2A2F" w:rsidRDefault="00CF5B97"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Initiating procurement for the implementing partner. </w:t>
      </w:r>
    </w:p>
    <w:p w14:paraId="306B74E0" w14:textId="2D57827D" w:rsidR="00741C01" w:rsidRPr="00FF2A2F" w:rsidRDefault="00DA36CD"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Developing a ‘light touch’ MEL Plan and </w:t>
      </w:r>
      <w:r w:rsidR="00183DD1" w:rsidRPr="00FF2A2F">
        <w:rPr>
          <w:iCs/>
          <w:color w:val="auto"/>
          <w:sz w:val="21"/>
          <w:szCs w:val="21"/>
        </w:rPr>
        <w:t>s</w:t>
      </w:r>
      <w:r w:rsidRPr="00FF2A2F">
        <w:rPr>
          <w:iCs/>
          <w:color w:val="auto"/>
          <w:sz w:val="21"/>
          <w:szCs w:val="21"/>
        </w:rPr>
        <w:t>yste</w:t>
      </w:r>
      <w:r w:rsidR="00AC1FF8" w:rsidRPr="00FF2A2F">
        <w:rPr>
          <w:iCs/>
          <w:color w:val="auto"/>
          <w:sz w:val="21"/>
          <w:szCs w:val="21"/>
        </w:rPr>
        <w:t>m</w:t>
      </w:r>
      <w:r w:rsidR="00183DD1" w:rsidRPr="00FF2A2F">
        <w:rPr>
          <w:iCs/>
          <w:color w:val="auto"/>
          <w:sz w:val="21"/>
          <w:szCs w:val="21"/>
        </w:rPr>
        <w:t>s</w:t>
      </w:r>
      <w:r w:rsidRPr="00FF2A2F">
        <w:rPr>
          <w:iCs/>
          <w:color w:val="auto"/>
          <w:sz w:val="21"/>
          <w:szCs w:val="21"/>
        </w:rPr>
        <w:t xml:space="preserve"> (data collection,</w:t>
      </w:r>
      <w:r w:rsidR="00741C01" w:rsidRPr="00FF2A2F">
        <w:rPr>
          <w:iCs/>
          <w:color w:val="auto"/>
          <w:sz w:val="21"/>
          <w:szCs w:val="21"/>
        </w:rPr>
        <w:t xml:space="preserve"> </w:t>
      </w:r>
      <w:r w:rsidRPr="00FF2A2F">
        <w:rPr>
          <w:iCs/>
          <w:color w:val="auto"/>
          <w:sz w:val="21"/>
          <w:szCs w:val="21"/>
        </w:rPr>
        <w:t xml:space="preserve">analysis and sense-making processes) for the investment. The MEL Plan will build on and update the MEL Approach and Framework described in </w:t>
      </w:r>
      <w:r w:rsidR="001F734B" w:rsidRPr="00FF2A2F">
        <w:rPr>
          <w:iCs/>
          <w:color w:val="auto"/>
          <w:sz w:val="21"/>
          <w:szCs w:val="21"/>
        </w:rPr>
        <w:t>this IDD</w:t>
      </w:r>
      <w:r w:rsidRPr="00FF2A2F">
        <w:rPr>
          <w:iCs/>
          <w:color w:val="auto"/>
          <w:sz w:val="21"/>
          <w:szCs w:val="21"/>
        </w:rPr>
        <w:t xml:space="preserve"> and will align with DFAT’s Design, Monitoring and Evaluation Standards. </w:t>
      </w:r>
      <w:r w:rsidR="00285396" w:rsidRPr="00FF2A2F">
        <w:rPr>
          <w:iCs/>
          <w:color w:val="auto"/>
          <w:sz w:val="21"/>
          <w:szCs w:val="21"/>
        </w:rPr>
        <w:t xml:space="preserve">The </w:t>
      </w:r>
      <w:r w:rsidR="006107F2" w:rsidRPr="00FF2A2F">
        <w:rPr>
          <w:iCs/>
          <w:color w:val="auto"/>
          <w:sz w:val="21"/>
          <w:szCs w:val="21"/>
        </w:rPr>
        <w:t>s</w:t>
      </w:r>
      <w:r w:rsidR="00285396" w:rsidRPr="00FF2A2F">
        <w:rPr>
          <w:iCs/>
          <w:color w:val="auto"/>
          <w:sz w:val="21"/>
          <w:szCs w:val="21"/>
        </w:rPr>
        <w:t>ystem</w:t>
      </w:r>
      <w:r w:rsidR="006107F2" w:rsidRPr="00FF2A2F">
        <w:rPr>
          <w:iCs/>
          <w:color w:val="auto"/>
          <w:sz w:val="21"/>
          <w:szCs w:val="21"/>
        </w:rPr>
        <w:t>s</w:t>
      </w:r>
      <w:r w:rsidR="00285396" w:rsidRPr="00FF2A2F">
        <w:rPr>
          <w:iCs/>
          <w:color w:val="auto"/>
          <w:sz w:val="21"/>
          <w:szCs w:val="21"/>
        </w:rPr>
        <w:t xml:space="preserve"> will support DFAT to collect the necessary data to monitor, understand and report on investment performance</w:t>
      </w:r>
      <w:r w:rsidR="008A5F31" w:rsidRPr="00FF2A2F">
        <w:rPr>
          <w:iCs/>
          <w:color w:val="auto"/>
          <w:sz w:val="21"/>
          <w:szCs w:val="21"/>
        </w:rPr>
        <w:t xml:space="preserve"> through DFAT’s Investment Monitoring Report</w:t>
      </w:r>
      <w:r w:rsidR="007369AD" w:rsidRPr="00FF2A2F">
        <w:rPr>
          <w:iCs/>
          <w:color w:val="auto"/>
          <w:sz w:val="21"/>
          <w:szCs w:val="21"/>
        </w:rPr>
        <w:t xml:space="preserve"> (IMR)</w:t>
      </w:r>
      <w:r w:rsidR="008A5F31" w:rsidRPr="00FF2A2F">
        <w:rPr>
          <w:iCs/>
          <w:color w:val="auto"/>
          <w:sz w:val="21"/>
          <w:szCs w:val="21"/>
        </w:rPr>
        <w:t xml:space="preserve"> process.</w:t>
      </w:r>
    </w:p>
    <w:p w14:paraId="7E302F7D" w14:textId="77777777" w:rsidR="003F11AA" w:rsidRPr="00FF2A2F" w:rsidRDefault="00DA36CD" w:rsidP="006B7677">
      <w:pPr>
        <w:pStyle w:val="ListParagraph"/>
        <w:numPr>
          <w:ilvl w:val="0"/>
          <w:numId w:val="36"/>
        </w:numPr>
        <w:spacing w:before="120" w:line="260" w:lineRule="atLeast"/>
        <w:rPr>
          <w:iCs/>
          <w:color w:val="auto"/>
          <w:sz w:val="21"/>
          <w:szCs w:val="21"/>
        </w:rPr>
      </w:pPr>
      <w:r w:rsidRPr="00FF2A2F">
        <w:rPr>
          <w:iCs/>
          <w:color w:val="auto"/>
          <w:sz w:val="21"/>
          <w:szCs w:val="21"/>
        </w:rPr>
        <w:t>Supporting the C</w:t>
      </w:r>
      <w:r w:rsidR="00880387" w:rsidRPr="00FF2A2F">
        <w:rPr>
          <w:iCs/>
          <w:color w:val="auto"/>
          <w:sz w:val="21"/>
          <w:szCs w:val="21"/>
        </w:rPr>
        <w:t>SFT</w:t>
      </w:r>
      <w:r w:rsidRPr="00FF2A2F">
        <w:rPr>
          <w:iCs/>
          <w:color w:val="auto"/>
          <w:sz w:val="21"/>
          <w:szCs w:val="21"/>
        </w:rPr>
        <w:t xml:space="preserve"> to complete due diligence processes</w:t>
      </w:r>
      <w:r w:rsidR="006F750D" w:rsidRPr="00FF2A2F">
        <w:rPr>
          <w:iCs/>
          <w:color w:val="auto"/>
          <w:sz w:val="21"/>
          <w:szCs w:val="21"/>
        </w:rPr>
        <w:t xml:space="preserve"> </w:t>
      </w:r>
      <w:r w:rsidR="00FF4C48" w:rsidRPr="00FF2A2F">
        <w:rPr>
          <w:iCs/>
          <w:color w:val="auto"/>
          <w:sz w:val="21"/>
          <w:szCs w:val="21"/>
        </w:rPr>
        <w:t>to be eligible for grants</w:t>
      </w:r>
      <w:r w:rsidR="003F11AA" w:rsidRPr="00FF2A2F">
        <w:rPr>
          <w:iCs/>
          <w:color w:val="auto"/>
          <w:sz w:val="21"/>
          <w:szCs w:val="21"/>
        </w:rPr>
        <w:t xml:space="preserve"> and strengthen its CSO coordination and leadership role.</w:t>
      </w:r>
    </w:p>
    <w:p w14:paraId="35B5DC1B" w14:textId="008B194F" w:rsidR="00754559" w:rsidRPr="00FF2A2F" w:rsidRDefault="00FF4C48" w:rsidP="006B7677">
      <w:pPr>
        <w:pStyle w:val="ListParagraph"/>
        <w:numPr>
          <w:ilvl w:val="0"/>
          <w:numId w:val="36"/>
        </w:numPr>
        <w:spacing w:before="120" w:line="260" w:lineRule="atLeast"/>
        <w:rPr>
          <w:iCs/>
          <w:color w:val="auto"/>
          <w:sz w:val="21"/>
          <w:szCs w:val="21"/>
        </w:rPr>
      </w:pPr>
      <w:r w:rsidRPr="00FF2A2F">
        <w:rPr>
          <w:iCs/>
          <w:color w:val="auto"/>
          <w:sz w:val="21"/>
          <w:szCs w:val="21"/>
        </w:rPr>
        <w:t>D</w:t>
      </w:r>
      <w:r w:rsidR="00EB76C9" w:rsidRPr="00FF2A2F">
        <w:rPr>
          <w:iCs/>
          <w:color w:val="auto"/>
          <w:sz w:val="21"/>
          <w:szCs w:val="21"/>
        </w:rPr>
        <w:t>evelop</w:t>
      </w:r>
      <w:r w:rsidR="00DA36CD" w:rsidRPr="00FF2A2F">
        <w:rPr>
          <w:iCs/>
          <w:color w:val="auto"/>
          <w:sz w:val="21"/>
          <w:szCs w:val="21"/>
        </w:rPr>
        <w:t xml:space="preserve"> a set of due diligence tools for use by the </w:t>
      </w:r>
      <w:r w:rsidR="00631EEA" w:rsidRPr="00FF2A2F">
        <w:rPr>
          <w:iCs/>
          <w:color w:val="auto"/>
          <w:sz w:val="21"/>
          <w:szCs w:val="21"/>
        </w:rPr>
        <w:t xml:space="preserve">investment </w:t>
      </w:r>
      <w:r w:rsidR="00DA36CD" w:rsidRPr="00FF2A2F">
        <w:rPr>
          <w:iCs/>
          <w:color w:val="auto"/>
          <w:sz w:val="21"/>
          <w:szCs w:val="21"/>
        </w:rPr>
        <w:t xml:space="preserve">and </w:t>
      </w:r>
      <w:proofErr w:type="gramStart"/>
      <w:r w:rsidR="0034300D" w:rsidRPr="00FF2A2F">
        <w:rPr>
          <w:iCs/>
          <w:color w:val="auto"/>
          <w:sz w:val="21"/>
          <w:szCs w:val="21"/>
        </w:rPr>
        <w:t>Post</w:t>
      </w:r>
      <w:proofErr w:type="gramEnd"/>
      <w:r w:rsidR="0041787F" w:rsidRPr="00FF2A2F">
        <w:rPr>
          <w:iCs/>
          <w:color w:val="auto"/>
          <w:sz w:val="21"/>
          <w:szCs w:val="21"/>
        </w:rPr>
        <w:t xml:space="preserve"> to provide to local CSOs to meet DFAT’s due diligence requirements</w:t>
      </w:r>
      <w:r w:rsidR="00754559" w:rsidRPr="00FF2A2F">
        <w:rPr>
          <w:iCs/>
          <w:color w:val="auto"/>
          <w:sz w:val="21"/>
          <w:szCs w:val="21"/>
        </w:rPr>
        <w:t xml:space="preserve">. </w:t>
      </w:r>
    </w:p>
    <w:p w14:paraId="037E5C36" w14:textId="728636EC" w:rsidR="001C2510" w:rsidRPr="00FF2A2F" w:rsidRDefault="001C2510"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Establish the </w:t>
      </w:r>
      <w:r w:rsidR="00C717FF" w:rsidRPr="00FF2A2F">
        <w:rPr>
          <w:iCs/>
          <w:color w:val="auto"/>
          <w:sz w:val="21"/>
          <w:szCs w:val="21"/>
        </w:rPr>
        <w:t>Steering Committee</w:t>
      </w:r>
      <w:r w:rsidRPr="00FF2A2F">
        <w:rPr>
          <w:iCs/>
          <w:color w:val="auto"/>
          <w:sz w:val="21"/>
          <w:szCs w:val="21"/>
        </w:rPr>
        <w:t xml:space="preserve"> and</w:t>
      </w:r>
      <w:r w:rsidR="009E2A59" w:rsidRPr="00FF2A2F">
        <w:rPr>
          <w:iCs/>
          <w:color w:val="auto"/>
          <w:sz w:val="21"/>
          <w:szCs w:val="21"/>
        </w:rPr>
        <w:t xml:space="preserve"> Wo</w:t>
      </w:r>
      <w:r w:rsidRPr="00FF2A2F">
        <w:rPr>
          <w:iCs/>
          <w:color w:val="auto"/>
          <w:sz w:val="21"/>
          <w:szCs w:val="21"/>
        </w:rPr>
        <w:t xml:space="preserve">rking Group </w:t>
      </w:r>
      <w:r w:rsidR="00B85E09" w:rsidRPr="00FF2A2F">
        <w:rPr>
          <w:iCs/>
          <w:color w:val="auto"/>
          <w:sz w:val="21"/>
          <w:szCs w:val="21"/>
        </w:rPr>
        <w:t xml:space="preserve">with an agreed </w:t>
      </w:r>
      <w:r w:rsidRPr="00FF2A2F">
        <w:rPr>
          <w:iCs/>
          <w:color w:val="auto"/>
          <w:sz w:val="21"/>
          <w:szCs w:val="21"/>
        </w:rPr>
        <w:t>Terms of Reference</w:t>
      </w:r>
      <w:r w:rsidR="00B85E09" w:rsidRPr="00FF2A2F">
        <w:rPr>
          <w:iCs/>
          <w:color w:val="auto"/>
          <w:sz w:val="21"/>
          <w:szCs w:val="21"/>
        </w:rPr>
        <w:t xml:space="preserve"> and membership.</w:t>
      </w:r>
    </w:p>
    <w:p w14:paraId="0770782F" w14:textId="4AF92413" w:rsidR="00A32858" w:rsidRPr="00FF2A2F" w:rsidRDefault="00A32858" w:rsidP="00E6131F">
      <w:pPr>
        <w:tabs>
          <w:tab w:val="left" w:pos="284"/>
        </w:tabs>
        <w:spacing w:before="120" w:line="260" w:lineRule="atLeast"/>
        <w:ind w:left="0" w:firstLine="0"/>
        <w:rPr>
          <w:rFonts w:eastAsia="Times New Roman" w:cs="Times New Roman"/>
          <w:b/>
          <w:bCs/>
          <w:iCs/>
          <w:color w:val="auto"/>
          <w:lang w:val="en-AU" w:eastAsia="en-AU"/>
        </w:rPr>
      </w:pPr>
      <w:r w:rsidRPr="00FF2A2F">
        <w:rPr>
          <w:rFonts w:eastAsia="Times New Roman" w:cs="Times New Roman"/>
          <w:b/>
          <w:bCs/>
          <w:iCs/>
          <w:color w:val="auto"/>
          <w:lang w:val="en-AU" w:eastAsia="en-AU"/>
        </w:rPr>
        <w:t>Policy Dialogue</w:t>
      </w:r>
    </w:p>
    <w:p w14:paraId="7563D3FF" w14:textId="581677F9" w:rsidR="00CD5512" w:rsidRPr="00FF2A2F" w:rsidRDefault="00E6131F" w:rsidP="00E6131F">
      <w:pPr>
        <w:spacing w:before="120" w:line="260" w:lineRule="atLeast"/>
        <w:ind w:left="0" w:firstLine="0"/>
        <w:rPr>
          <w:iCs/>
          <w:color w:val="auto"/>
        </w:rPr>
      </w:pPr>
      <w:r w:rsidRPr="00FF2A2F">
        <w:rPr>
          <w:iCs/>
          <w:color w:val="auto"/>
        </w:rPr>
        <w:t xml:space="preserve">111. </w:t>
      </w:r>
      <w:r w:rsidR="00CD5512" w:rsidRPr="00FF2A2F">
        <w:rPr>
          <w:iCs/>
          <w:color w:val="auto"/>
        </w:rPr>
        <w:t xml:space="preserve">The implementation of Tonga’s Disaster Risk Management Policy remains a critical priority to the Government of Tonga, yet progress has been slow due to competing national priorities. Government </w:t>
      </w:r>
      <w:r w:rsidR="00F83572" w:rsidRPr="00FF2A2F">
        <w:rPr>
          <w:iCs/>
          <w:color w:val="auto"/>
        </w:rPr>
        <w:t xml:space="preserve">will continue its </w:t>
      </w:r>
      <w:r w:rsidR="005B3EC4" w:rsidRPr="00FF2A2F">
        <w:rPr>
          <w:iCs/>
          <w:color w:val="auto"/>
        </w:rPr>
        <w:t xml:space="preserve">current live </w:t>
      </w:r>
      <w:r w:rsidR="00CD5512" w:rsidRPr="00FF2A2F">
        <w:rPr>
          <w:iCs/>
          <w:color w:val="auto"/>
        </w:rPr>
        <w:t>engag</w:t>
      </w:r>
      <w:r w:rsidR="005B3EC4" w:rsidRPr="00FF2A2F">
        <w:rPr>
          <w:iCs/>
          <w:color w:val="auto"/>
        </w:rPr>
        <w:t xml:space="preserve">ements in </w:t>
      </w:r>
      <w:r w:rsidR="00CD5512" w:rsidRPr="00FF2A2F">
        <w:rPr>
          <w:iCs/>
          <w:color w:val="auto"/>
        </w:rPr>
        <w:t>a range of policy dialogue mechanisms</w:t>
      </w:r>
      <w:r w:rsidR="00585361" w:rsidRPr="00FF2A2F">
        <w:rPr>
          <w:iCs/>
          <w:color w:val="auto"/>
        </w:rPr>
        <w:t xml:space="preserve"> to influence key</w:t>
      </w:r>
      <w:r w:rsidR="00CD5512" w:rsidRPr="00FF2A2F">
        <w:rPr>
          <w:iCs/>
          <w:color w:val="auto"/>
        </w:rPr>
        <w:t xml:space="preserve"> DRM</w:t>
      </w:r>
      <w:r w:rsidR="00585361" w:rsidRPr="00FF2A2F">
        <w:rPr>
          <w:iCs/>
          <w:color w:val="auto"/>
        </w:rPr>
        <w:t xml:space="preserve"> reform</w:t>
      </w:r>
      <w:r w:rsidR="00CD5512" w:rsidRPr="00FF2A2F">
        <w:rPr>
          <w:iCs/>
          <w:color w:val="auto"/>
        </w:rPr>
        <w:t>, including:</w:t>
      </w:r>
    </w:p>
    <w:p w14:paraId="4745257B" w14:textId="0527754B" w:rsidR="00CD5512" w:rsidRPr="00FF2A2F" w:rsidRDefault="00CD5512" w:rsidP="006B7677">
      <w:pPr>
        <w:pStyle w:val="ListParagraph"/>
        <w:numPr>
          <w:ilvl w:val="0"/>
          <w:numId w:val="36"/>
        </w:numPr>
        <w:spacing w:before="120" w:line="260" w:lineRule="atLeast"/>
        <w:rPr>
          <w:iCs/>
          <w:color w:val="auto"/>
          <w:sz w:val="21"/>
          <w:szCs w:val="21"/>
        </w:rPr>
      </w:pPr>
      <w:r w:rsidRPr="00FF2A2F">
        <w:rPr>
          <w:iCs/>
          <w:color w:val="auto"/>
          <w:sz w:val="21"/>
          <w:szCs w:val="21"/>
        </w:rPr>
        <w:t>Bilateral strategic dialogues where DRM priorities can be elevated and linked to broader development cooperation, including milestone payments of this investment.</w:t>
      </w:r>
      <w:r w:rsidR="005B3EC4" w:rsidRPr="00FF2A2F">
        <w:rPr>
          <w:iCs/>
          <w:color w:val="auto"/>
          <w:sz w:val="21"/>
          <w:szCs w:val="21"/>
        </w:rPr>
        <w:t xml:space="preserve"> In particular, the regular </w:t>
      </w:r>
      <w:r w:rsidR="00316AD6" w:rsidRPr="00FF2A2F">
        <w:rPr>
          <w:iCs/>
          <w:color w:val="auto"/>
          <w:sz w:val="21"/>
          <w:szCs w:val="21"/>
        </w:rPr>
        <w:t xml:space="preserve">informal </w:t>
      </w:r>
      <w:r w:rsidR="005B3EC4" w:rsidRPr="00FF2A2F">
        <w:rPr>
          <w:iCs/>
          <w:color w:val="auto"/>
          <w:sz w:val="21"/>
          <w:szCs w:val="21"/>
        </w:rPr>
        <w:t>monthly meetings</w:t>
      </w:r>
      <w:r w:rsidR="00316AD6" w:rsidRPr="00FF2A2F">
        <w:rPr>
          <w:iCs/>
          <w:color w:val="auto"/>
          <w:sz w:val="21"/>
          <w:szCs w:val="21"/>
        </w:rPr>
        <w:t xml:space="preserve"> between</w:t>
      </w:r>
      <w:r w:rsidR="005B3EC4" w:rsidRPr="00FF2A2F">
        <w:rPr>
          <w:iCs/>
          <w:color w:val="auto"/>
          <w:sz w:val="21"/>
          <w:szCs w:val="21"/>
        </w:rPr>
        <w:t xml:space="preserve"> Post and NDRMO. </w:t>
      </w:r>
    </w:p>
    <w:p w14:paraId="3C4208AB" w14:textId="6B92FB57" w:rsidR="00686A17" w:rsidRPr="00FF2A2F" w:rsidRDefault="00686A17"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The FRANZ Partnership (activated during the HTHH response in 2022) continues to be an important </w:t>
      </w:r>
      <w:r w:rsidR="00255087" w:rsidRPr="00FF2A2F">
        <w:rPr>
          <w:iCs/>
          <w:color w:val="auto"/>
          <w:sz w:val="21"/>
          <w:szCs w:val="21"/>
        </w:rPr>
        <w:t xml:space="preserve">cooperative arrangement for coordination of </w:t>
      </w:r>
      <w:r w:rsidR="00BD0AEF" w:rsidRPr="00FF2A2F">
        <w:rPr>
          <w:iCs/>
          <w:color w:val="auto"/>
          <w:sz w:val="21"/>
          <w:szCs w:val="21"/>
        </w:rPr>
        <w:t xml:space="preserve">humanitarian assistance between France, Australia and New Zealand. </w:t>
      </w:r>
    </w:p>
    <w:p w14:paraId="7B8DBF1F" w14:textId="562718B6" w:rsidR="00CD5512" w:rsidRPr="00FF2A2F" w:rsidRDefault="00CD5512" w:rsidP="006B7677">
      <w:pPr>
        <w:pStyle w:val="ListParagraph"/>
        <w:numPr>
          <w:ilvl w:val="0"/>
          <w:numId w:val="36"/>
        </w:numPr>
        <w:spacing w:before="120" w:line="260" w:lineRule="atLeast"/>
        <w:rPr>
          <w:iCs/>
          <w:color w:val="auto"/>
          <w:sz w:val="21"/>
          <w:szCs w:val="21"/>
        </w:rPr>
      </w:pPr>
      <w:r w:rsidRPr="00FF2A2F">
        <w:rPr>
          <w:iCs/>
          <w:color w:val="auto"/>
          <w:sz w:val="21"/>
          <w:szCs w:val="21"/>
        </w:rPr>
        <w:t xml:space="preserve">Supporting NDRMO to influence other Government agencies to incorporate the DRM Policy in their Corporate Plans and Sector Frameworks. </w:t>
      </w:r>
    </w:p>
    <w:p w14:paraId="0EBBB9D0" w14:textId="31CE1F39" w:rsidR="00BD0AEF" w:rsidRPr="00FF2A2F" w:rsidRDefault="00BD0AEF" w:rsidP="006B7677">
      <w:pPr>
        <w:pStyle w:val="ListParagraph"/>
        <w:numPr>
          <w:ilvl w:val="0"/>
          <w:numId w:val="36"/>
        </w:numPr>
        <w:spacing w:before="120" w:line="260" w:lineRule="atLeast"/>
        <w:rPr>
          <w:iCs/>
          <w:color w:val="auto"/>
          <w:sz w:val="21"/>
          <w:szCs w:val="21"/>
        </w:rPr>
      </w:pPr>
      <w:r w:rsidRPr="00FF2A2F">
        <w:rPr>
          <w:iCs/>
          <w:color w:val="auto"/>
          <w:sz w:val="21"/>
          <w:szCs w:val="21"/>
        </w:rPr>
        <w:t>Leveraging policy dialogue</w:t>
      </w:r>
      <w:r w:rsidR="00FB679B" w:rsidRPr="00FF2A2F">
        <w:rPr>
          <w:iCs/>
          <w:color w:val="auto"/>
          <w:sz w:val="21"/>
          <w:szCs w:val="21"/>
        </w:rPr>
        <w:t xml:space="preserve"> through other Australian investments such as Australia Assists </w:t>
      </w:r>
      <w:r w:rsidR="0026299A" w:rsidRPr="00FF2A2F">
        <w:rPr>
          <w:iCs/>
          <w:color w:val="auto"/>
          <w:sz w:val="21"/>
          <w:szCs w:val="21"/>
        </w:rPr>
        <w:t xml:space="preserve">and Climate Resilient Communities. </w:t>
      </w:r>
    </w:p>
    <w:p w14:paraId="5F09EAD6" w14:textId="302BF34E" w:rsidR="00CD5512" w:rsidRPr="00FF2A2F" w:rsidRDefault="00CD5512" w:rsidP="006B7677">
      <w:pPr>
        <w:pStyle w:val="ListParagraph"/>
        <w:numPr>
          <w:ilvl w:val="0"/>
          <w:numId w:val="36"/>
        </w:numPr>
        <w:spacing w:before="120" w:line="260" w:lineRule="atLeast"/>
        <w:rPr>
          <w:iCs/>
          <w:color w:val="auto"/>
          <w:sz w:val="21"/>
          <w:szCs w:val="21"/>
        </w:rPr>
      </w:pPr>
      <w:r w:rsidRPr="00FF2A2F">
        <w:rPr>
          <w:iCs/>
          <w:color w:val="auto"/>
          <w:sz w:val="21"/>
          <w:szCs w:val="21"/>
        </w:rPr>
        <w:t>Public diplomacy and advocacy, including support for civil society engagement and media campaigns that promote the importance of DRM policy implementation.</w:t>
      </w:r>
    </w:p>
    <w:p w14:paraId="27D894CE" w14:textId="7E42F7CC" w:rsidR="00585361" w:rsidRPr="00FF2A2F" w:rsidRDefault="00E6131F" w:rsidP="00E6131F">
      <w:pPr>
        <w:spacing w:before="120" w:line="260" w:lineRule="atLeast"/>
        <w:ind w:left="0" w:firstLine="0"/>
        <w:rPr>
          <w:iCs/>
          <w:color w:val="auto"/>
        </w:rPr>
      </w:pPr>
      <w:r w:rsidRPr="00FF2A2F">
        <w:rPr>
          <w:iCs/>
          <w:color w:val="auto"/>
        </w:rPr>
        <w:lastRenderedPageBreak/>
        <w:t xml:space="preserve">112. </w:t>
      </w:r>
      <w:r w:rsidR="000F5ADF" w:rsidRPr="00FF2A2F">
        <w:rPr>
          <w:iCs/>
          <w:color w:val="auto"/>
        </w:rPr>
        <w:t xml:space="preserve">The focus will be on practical </w:t>
      </w:r>
      <w:r w:rsidR="0010395F" w:rsidRPr="00FF2A2F">
        <w:rPr>
          <w:iCs/>
          <w:color w:val="auto"/>
        </w:rPr>
        <w:t xml:space="preserve">improvements where there </w:t>
      </w:r>
      <w:proofErr w:type="gramStart"/>
      <w:r w:rsidR="0010395F" w:rsidRPr="00FF2A2F">
        <w:rPr>
          <w:iCs/>
          <w:color w:val="auto"/>
        </w:rPr>
        <w:t>is</w:t>
      </w:r>
      <w:proofErr w:type="gramEnd"/>
      <w:r w:rsidR="0010395F" w:rsidRPr="00FF2A2F">
        <w:rPr>
          <w:iCs/>
          <w:color w:val="auto"/>
        </w:rPr>
        <w:t xml:space="preserve"> </w:t>
      </w:r>
      <w:r w:rsidR="00637610" w:rsidRPr="00FF2A2F">
        <w:rPr>
          <w:iCs/>
          <w:color w:val="auto"/>
        </w:rPr>
        <w:t>an</w:t>
      </w:r>
      <w:r w:rsidR="0010395F" w:rsidRPr="00FF2A2F">
        <w:rPr>
          <w:iCs/>
          <w:color w:val="auto"/>
        </w:rPr>
        <w:t xml:space="preserve"> appetite and capacity for change to occur, particularly the</w:t>
      </w:r>
      <w:r w:rsidR="00FC74C6" w:rsidRPr="00FF2A2F">
        <w:rPr>
          <w:iCs/>
          <w:color w:val="auto"/>
        </w:rPr>
        <w:t xml:space="preserve"> DRM</w:t>
      </w:r>
      <w:r w:rsidR="0010395F" w:rsidRPr="00FF2A2F">
        <w:rPr>
          <w:iCs/>
          <w:color w:val="auto"/>
        </w:rPr>
        <w:t xml:space="preserve"> Act</w:t>
      </w:r>
      <w:r w:rsidR="00FC74C6" w:rsidRPr="00FF2A2F">
        <w:rPr>
          <w:iCs/>
          <w:color w:val="auto"/>
        </w:rPr>
        <w:t xml:space="preserve"> and Policy </w:t>
      </w:r>
      <w:r w:rsidR="005424BE" w:rsidRPr="00FF2A2F">
        <w:rPr>
          <w:iCs/>
          <w:color w:val="auto"/>
        </w:rPr>
        <w:t>as the primary instruments for DRM reform</w:t>
      </w:r>
      <w:r w:rsidR="007069D0" w:rsidRPr="00FF2A2F">
        <w:rPr>
          <w:iCs/>
          <w:color w:val="auto"/>
        </w:rPr>
        <w:t xml:space="preserve">. The </w:t>
      </w:r>
      <w:r w:rsidR="009E2A59" w:rsidRPr="00FF2A2F">
        <w:rPr>
          <w:iCs/>
          <w:color w:val="auto"/>
        </w:rPr>
        <w:t>investment</w:t>
      </w:r>
      <w:r w:rsidR="00FC74C6" w:rsidRPr="00FF2A2F">
        <w:rPr>
          <w:iCs/>
          <w:color w:val="auto"/>
        </w:rPr>
        <w:t xml:space="preserve"> will directly support</w:t>
      </w:r>
      <w:r w:rsidR="007069D0" w:rsidRPr="00FF2A2F">
        <w:rPr>
          <w:iCs/>
          <w:color w:val="auto"/>
        </w:rPr>
        <w:t xml:space="preserve"> the DRM Act and DRM Policy implementation and operationalisation.</w:t>
      </w:r>
    </w:p>
    <w:p w14:paraId="1EB6B60C" w14:textId="15D5E814" w:rsidR="00ED7AEA" w:rsidRPr="00FF2A2F" w:rsidRDefault="00E6131F" w:rsidP="00E6131F">
      <w:pPr>
        <w:spacing w:before="120" w:line="260" w:lineRule="atLeast"/>
        <w:ind w:left="0" w:firstLine="0"/>
        <w:rPr>
          <w:iCs/>
          <w:color w:val="auto"/>
        </w:rPr>
      </w:pPr>
      <w:r w:rsidRPr="00FF2A2F">
        <w:rPr>
          <w:iCs/>
          <w:color w:val="auto"/>
        </w:rPr>
        <w:t xml:space="preserve">113. </w:t>
      </w:r>
      <w:r w:rsidR="00D94FDA" w:rsidRPr="00FF2A2F">
        <w:rPr>
          <w:iCs/>
          <w:color w:val="auto"/>
        </w:rPr>
        <w:t xml:space="preserve">A policy priority for DFAT will be </w:t>
      </w:r>
      <w:r w:rsidR="0015745E" w:rsidRPr="00FF2A2F">
        <w:rPr>
          <w:iCs/>
          <w:color w:val="auto"/>
        </w:rPr>
        <w:t xml:space="preserve">to engage the </w:t>
      </w:r>
      <w:r w:rsidR="00754559" w:rsidRPr="00FF2A2F">
        <w:rPr>
          <w:iCs/>
          <w:color w:val="auto"/>
        </w:rPr>
        <w:t>GoT</w:t>
      </w:r>
      <w:r w:rsidR="0015745E" w:rsidRPr="00FF2A2F">
        <w:rPr>
          <w:iCs/>
          <w:color w:val="auto"/>
        </w:rPr>
        <w:t xml:space="preserve"> in dialogue to ensure </w:t>
      </w:r>
      <w:r w:rsidR="000E61E8" w:rsidRPr="00FF2A2F">
        <w:rPr>
          <w:iCs/>
          <w:color w:val="auto"/>
        </w:rPr>
        <w:t>a</w:t>
      </w:r>
      <w:r w:rsidR="00ED7AEA" w:rsidRPr="00FF2A2F">
        <w:rPr>
          <w:iCs/>
          <w:color w:val="auto"/>
        </w:rPr>
        <w:t xml:space="preserve">dditional roles in </w:t>
      </w:r>
      <w:r w:rsidR="000E61E8" w:rsidRPr="00FF2A2F">
        <w:rPr>
          <w:iCs/>
          <w:color w:val="auto"/>
        </w:rPr>
        <w:t xml:space="preserve">the </w:t>
      </w:r>
      <w:r w:rsidR="00ED7AEA" w:rsidRPr="00FF2A2F">
        <w:rPr>
          <w:iCs/>
          <w:color w:val="auto"/>
        </w:rPr>
        <w:t>NDRMO</w:t>
      </w:r>
      <w:r w:rsidR="000E61E8" w:rsidRPr="00FF2A2F">
        <w:rPr>
          <w:iCs/>
          <w:color w:val="auto"/>
        </w:rPr>
        <w:t xml:space="preserve"> are absorbed as the “</w:t>
      </w:r>
      <w:r w:rsidR="00ED7AEA" w:rsidRPr="00FF2A2F">
        <w:rPr>
          <w:iCs/>
          <w:color w:val="auto"/>
        </w:rPr>
        <w:t>off ramp</w:t>
      </w:r>
      <w:r w:rsidR="000E61E8" w:rsidRPr="00FF2A2F">
        <w:rPr>
          <w:iCs/>
          <w:color w:val="auto"/>
        </w:rPr>
        <w:t>”</w:t>
      </w:r>
      <w:r w:rsidR="00ED7AEA" w:rsidRPr="00FF2A2F">
        <w:rPr>
          <w:iCs/>
          <w:color w:val="auto"/>
        </w:rPr>
        <w:t xml:space="preserve"> to </w:t>
      </w:r>
      <w:r w:rsidR="000E61E8" w:rsidRPr="00FF2A2F">
        <w:rPr>
          <w:iCs/>
          <w:color w:val="auto"/>
        </w:rPr>
        <w:t xml:space="preserve">Australia’s </w:t>
      </w:r>
      <w:r w:rsidR="00ED7AEA" w:rsidRPr="00FF2A2F">
        <w:rPr>
          <w:iCs/>
          <w:color w:val="auto"/>
        </w:rPr>
        <w:t>support</w:t>
      </w:r>
      <w:r w:rsidR="00295C41" w:rsidRPr="00FF2A2F">
        <w:rPr>
          <w:iCs/>
          <w:color w:val="auto"/>
        </w:rPr>
        <w:t xml:space="preserve"> and there remains a </w:t>
      </w:r>
      <w:r w:rsidR="00ED7AEA" w:rsidRPr="00FF2A2F">
        <w:rPr>
          <w:iCs/>
          <w:color w:val="auto"/>
        </w:rPr>
        <w:t>sufficiently resourced NDRMO</w:t>
      </w:r>
      <w:r w:rsidR="00295C41" w:rsidRPr="00FF2A2F">
        <w:rPr>
          <w:iCs/>
          <w:color w:val="auto"/>
        </w:rPr>
        <w:t xml:space="preserve">. </w:t>
      </w:r>
    </w:p>
    <w:p w14:paraId="6B827D92" w14:textId="487657A7" w:rsidR="00CA481D" w:rsidRPr="00FF2A2F" w:rsidRDefault="00E6131F" w:rsidP="00E6131F">
      <w:pPr>
        <w:spacing w:before="120" w:line="260" w:lineRule="atLeast"/>
        <w:ind w:left="0" w:firstLine="0"/>
        <w:rPr>
          <w:iCs/>
          <w:color w:val="auto"/>
        </w:rPr>
      </w:pPr>
      <w:r w:rsidRPr="00FF2A2F">
        <w:rPr>
          <w:iCs/>
          <w:color w:val="auto"/>
        </w:rPr>
        <w:t xml:space="preserve">114. </w:t>
      </w:r>
      <w:r w:rsidR="00EA5CE6" w:rsidRPr="00FF2A2F">
        <w:rPr>
          <w:iCs/>
          <w:color w:val="auto"/>
        </w:rPr>
        <w:t xml:space="preserve">The investment will also </w:t>
      </w:r>
      <w:r w:rsidR="00CA481D" w:rsidRPr="00FF2A2F">
        <w:rPr>
          <w:iCs/>
          <w:color w:val="auto"/>
        </w:rPr>
        <w:t>brid</w:t>
      </w:r>
      <w:r w:rsidR="003E469A" w:rsidRPr="00FF2A2F">
        <w:rPr>
          <w:iCs/>
          <w:color w:val="auto"/>
        </w:rPr>
        <w:t>ge</w:t>
      </w:r>
      <w:r w:rsidR="00CA481D" w:rsidRPr="00FF2A2F">
        <w:rPr>
          <w:iCs/>
          <w:color w:val="auto"/>
        </w:rPr>
        <w:t xml:space="preserve"> the gap between </w:t>
      </w:r>
      <w:r w:rsidR="00312158" w:rsidRPr="00FF2A2F">
        <w:rPr>
          <w:iCs/>
          <w:color w:val="auto"/>
        </w:rPr>
        <w:t xml:space="preserve">the </w:t>
      </w:r>
      <w:r w:rsidR="00CA481D" w:rsidRPr="00FF2A2F">
        <w:rPr>
          <w:iCs/>
          <w:color w:val="auto"/>
        </w:rPr>
        <w:t>NDRMO and CSO</w:t>
      </w:r>
      <w:r w:rsidR="000D09EA" w:rsidRPr="00FF2A2F">
        <w:rPr>
          <w:iCs/>
          <w:color w:val="auto"/>
        </w:rPr>
        <w:t>s</w:t>
      </w:r>
      <w:r w:rsidR="00CA481D" w:rsidRPr="00FF2A2F">
        <w:rPr>
          <w:iCs/>
          <w:color w:val="auto"/>
        </w:rPr>
        <w:t xml:space="preserve"> by facilitating </w:t>
      </w:r>
      <w:r w:rsidR="00312158" w:rsidRPr="00FF2A2F">
        <w:rPr>
          <w:iCs/>
          <w:color w:val="auto"/>
        </w:rPr>
        <w:t xml:space="preserve">dialogue and contributing </w:t>
      </w:r>
      <w:r w:rsidR="00CC3C86" w:rsidRPr="00FF2A2F">
        <w:rPr>
          <w:iCs/>
          <w:color w:val="auto"/>
        </w:rPr>
        <w:t>to</w:t>
      </w:r>
      <w:r w:rsidR="00312158" w:rsidRPr="00FF2A2F">
        <w:rPr>
          <w:iCs/>
          <w:color w:val="auto"/>
        </w:rPr>
        <w:t xml:space="preserve"> more trusting relationships</w:t>
      </w:r>
      <w:r w:rsidR="00263612" w:rsidRPr="00FF2A2F">
        <w:rPr>
          <w:iCs/>
          <w:color w:val="auto"/>
        </w:rPr>
        <w:t xml:space="preserve">. As CSOs need Village DRM Committee approval of their proposals, this </w:t>
      </w:r>
      <w:r w:rsidR="00CC3C86" w:rsidRPr="00FF2A2F">
        <w:rPr>
          <w:iCs/>
          <w:color w:val="auto"/>
        </w:rPr>
        <w:t xml:space="preserve">strengthens </w:t>
      </w:r>
      <w:r w:rsidR="00CA481D" w:rsidRPr="00FF2A2F">
        <w:rPr>
          <w:iCs/>
          <w:color w:val="auto"/>
        </w:rPr>
        <w:t xml:space="preserve">locally led decision </w:t>
      </w:r>
      <w:r w:rsidR="000D09EA" w:rsidRPr="00FF2A2F">
        <w:rPr>
          <w:iCs/>
          <w:color w:val="auto"/>
        </w:rPr>
        <w:t>making and</w:t>
      </w:r>
      <w:r w:rsidR="00CA481D" w:rsidRPr="00FF2A2F">
        <w:rPr>
          <w:iCs/>
          <w:color w:val="auto"/>
        </w:rPr>
        <w:t xml:space="preserve"> impro</w:t>
      </w:r>
      <w:r w:rsidR="000D09EA" w:rsidRPr="00FF2A2F">
        <w:rPr>
          <w:iCs/>
          <w:color w:val="auto"/>
        </w:rPr>
        <w:t>ves</w:t>
      </w:r>
      <w:r w:rsidR="00CA481D" w:rsidRPr="00FF2A2F">
        <w:rPr>
          <w:iCs/>
          <w:color w:val="auto"/>
        </w:rPr>
        <w:t xml:space="preserve"> the governance and accountability </w:t>
      </w:r>
      <w:r w:rsidR="000D09EA" w:rsidRPr="00FF2A2F">
        <w:rPr>
          <w:iCs/>
          <w:color w:val="auto"/>
        </w:rPr>
        <w:t xml:space="preserve">of </w:t>
      </w:r>
      <w:r w:rsidR="00CA481D" w:rsidRPr="00FF2A2F">
        <w:rPr>
          <w:iCs/>
          <w:color w:val="auto"/>
        </w:rPr>
        <w:t>CSOs.</w:t>
      </w:r>
    </w:p>
    <w:p w14:paraId="07BE3475" w14:textId="51B80E2B" w:rsidR="00585361" w:rsidRPr="00FF2A2F" w:rsidRDefault="00E6131F" w:rsidP="00E6131F">
      <w:pPr>
        <w:spacing w:before="120" w:line="260" w:lineRule="atLeast"/>
        <w:ind w:left="0" w:firstLine="0"/>
        <w:rPr>
          <w:iCs/>
          <w:color w:val="auto"/>
        </w:rPr>
      </w:pPr>
      <w:r w:rsidRPr="00FF2A2F">
        <w:rPr>
          <w:iCs/>
          <w:color w:val="auto"/>
        </w:rPr>
        <w:t xml:space="preserve">115. </w:t>
      </w:r>
      <w:r w:rsidR="00585361" w:rsidRPr="00FF2A2F">
        <w:rPr>
          <w:iCs/>
          <w:color w:val="auto"/>
        </w:rPr>
        <w:t>Policy dialogue will be informed by</w:t>
      </w:r>
      <w:r w:rsidR="00751CBB" w:rsidRPr="00FF2A2F">
        <w:rPr>
          <w:iCs/>
          <w:color w:val="auto"/>
        </w:rPr>
        <w:t xml:space="preserve"> DFAT’s</w:t>
      </w:r>
      <w:r w:rsidR="00585361" w:rsidRPr="00FF2A2F">
        <w:rPr>
          <w:iCs/>
          <w:color w:val="auto"/>
        </w:rPr>
        <w:t xml:space="preserve"> technical and contextual </w:t>
      </w:r>
      <w:r w:rsidR="00295C41" w:rsidRPr="00FF2A2F">
        <w:rPr>
          <w:iCs/>
          <w:color w:val="auto"/>
        </w:rPr>
        <w:t>analysis and</w:t>
      </w:r>
      <w:r w:rsidR="00585361" w:rsidRPr="00FF2A2F">
        <w:rPr>
          <w:iCs/>
          <w:color w:val="auto"/>
        </w:rPr>
        <w:t xml:space="preserve"> supported by program-generated evidence and performance data. DFAT will engage in sectoral and cross-sectoral dialogue in partnership with other donors and local reform champions using evidence to advocate for inclusive and sustainable reforms.</w:t>
      </w:r>
      <w:r w:rsidR="002F62B9" w:rsidRPr="00FF2A2F">
        <w:rPr>
          <w:iCs/>
          <w:color w:val="auto"/>
        </w:rPr>
        <w:t xml:space="preserve"> </w:t>
      </w:r>
      <w:r w:rsidR="00585361" w:rsidRPr="00FF2A2F">
        <w:rPr>
          <w:iCs/>
          <w:color w:val="auto"/>
        </w:rPr>
        <w:t xml:space="preserve">Processes for agreeing policy priorities will be iterative and grounded in regular engagement with stakeholders. The Policy Dialogue Matrix (Annex </w:t>
      </w:r>
      <w:r w:rsidR="00E51FCF" w:rsidRPr="00FF2A2F">
        <w:rPr>
          <w:iCs/>
          <w:color w:val="auto"/>
        </w:rPr>
        <w:t>A</w:t>
      </w:r>
      <w:r w:rsidR="00754559" w:rsidRPr="00FF2A2F">
        <w:rPr>
          <w:iCs/>
          <w:color w:val="auto"/>
        </w:rPr>
        <w:t>)</w:t>
      </w:r>
      <w:r w:rsidR="00585361" w:rsidRPr="00FF2A2F">
        <w:rPr>
          <w:iCs/>
          <w:color w:val="auto"/>
        </w:rPr>
        <w:t xml:space="preserve"> outlines potential entry points for policy engagement across investment areas, including indicative roles for DFAT and other key actors.</w:t>
      </w:r>
    </w:p>
    <w:p w14:paraId="3F049498" w14:textId="77777777" w:rsidR="00E6131F" w:rsidRPr="00FF2A2F" w:rsidRDefault="00A32858" w:rsidP="00E6131F">
      <w:pPr>
        <w:spacing w:before="120" w:line="260" w:lineRule="atLeast"/>
        <w:ind w:left="0" w:firstLine="0"/>
        <w:rPr>
          <w:b/>
          <w:bCs/>
          <w:iCs/>
          <w:color w:val="auto"/>
        </w:rPr>
      </w:pPr>
      <w:r w:rsidRPr="00FF2A2F">
        <w:rPr>
          <w:b/>
          <w:bCs/>
          <w:iCs/>
          <w:color w:val="auto"/>
        </w:rPr>
        <w:t>Profile and Public Diplomacy</w:t>
      </w:r>
    </w:p>
    <w:p w14:paraId="4F90DA19" w14:textId="5AD16F80" w:rsidR="000C56D0" w:rsidRPr="00FF2A2F" w:rsidRDefault="00E6131F" w:rsidP="00E6131F">
      <w:pPr>
        <w:spacing w:before="120" w:line="260" w:lineRule="atLeast"/>
        <w:ind w:left="0" w:firstLine="0"/>
        <w:rPr>
          <w:i/>
          <w:color w:val="auto"/>
          <w:sz w:val="21"/>
          <w:szCs w:val="21"/>
        </w:rPr>
      </w:pPr>
      <w:r w:rsidRPr="00FF2A2F">
        <w:rPr>
          <w:iCs/>
          <w:color w:val="auto"/>
        </w:rPr>
        <w:t xml:space="preserve">116. </w:t>
      </w:r>
      <w:r w:rsidR="00DA7D70" w:rsidRPr="00FF2A2F">
        <w:rPr>
          <w:rFonts w:eastAsia="Times New Roman" w:cstheme="minorHAnsi"/>
          <w:color w:val="auto"/>
          <w:sz w:val="21"/>
          <w:szCs w:val="21"/>
          <w:lang w:eastAsia="en-AU"/>
        </w:rPr>
        <w:t>The investment will provide a platform to</w:t>
      </w:r>
      <w:r w:rsidR="00D7163D" w:rsidRPr="00FF2A2F">
        <w:rPr>
          <w:rFonts w:eastAsia="Times New Roman" w:cstheme="minorHAnsi"/>
          <w:color w:val="auto"/>
          <w:sz w:val="21"/>
          <w:szCs w:val="21"/>
          <w:lang w:eastAsia="en-AU"/>
        </w:rPr>
        <w:t xml:space="preserve"> continue to</w:t>
      </w:r>
      <w:r w:rsidR="00DA7D70" w:rsidRPr="00FF2A2F">
        <w:rPr>
          <w:rFonts w:eastAsia="Times New Roman" w:cstheme="minorHAnsi"/>
          <w:color w:val="auto"/>
          <w:sz w:val="21"/>
          <w:szCs w:val="21"/>
          <w:lang w:eastAsia="en-AU"/>
        </w:rPr>
        <w:t xml:space="preserve"> elevate Australia’s </w:t>
      </w:r>
      <w:r w:rsidR="002A2CA5" w:rsidRPr="00FF2A2F">
        <w:rPr>
          <w:rFonts w:eastAsia="Times New Roman" w:cstheme="minorHAnsi"/>
          <w:color w:val="auto"/>
          <w:sz w:val="21"/>
          <w:szCs w:val="21"/>
          <w:lang w:eastAsia="en-AU"/>
        </w:rPr>
        <w:t>humanitarian</w:t>
      </w:r>
      <w:r w:rsidR="00DA7D70" w:rsidRPr="00FF2A2F">
        <w:rPr>
          <w:rFonts w:eastAsia="Times New Roman" w:cstheme="minorHAnsi"/>
          <w:color w:val="auto"/>
          <w:sz w:val="21"/>
          <w:szCs w:val="21"/>
          <w:lang w:eastAsia="en-AU"/>
        </w:rPr>
        <w:t xml:space="preserve"> profile in </w:t>
      </w:r>
      <w:r w:rsidR="002A2CA5" w:rsidRPr="00FF2A2F">
        <w:rPr>
          <w:rFonts w:eastAsia="Times New Roman" w:cstheme="minorHAnsi"/>
          <w:color w:val="auto"/>
          <w:sz w:val="21"/>
          <w:szCs w:val="21"/>
          <w:lang w:eastAsia="en-AU"/>
        </w:rPr>
        <w:t xml:space="preserve">Tonga and </w:t>
      </w:r>
      <w:r w:rsidR="00DA7D70" w:rsidRPr="00FF2A2F">
        <w:rPr>
          <w:rFonts w:eastAsia="Times New Roman" w:cstheme="minorHAnsi"/>
          <w:color w:val="auto"/>
          <w:sz w:val="21"/>
          <w:szCs w:val="21"/>
          <w:lang w:eastAsia="en-AU"/>
        </w:rPr>
        <w:t xml:space="preserve">the region. </w:t>
      </w:r>
      <w:r w:rsidR="0034300D" w:rsidRPr="00FF2A2F">
        <w:rPr>
          <w:rFonts w:eastAsia="Times New Roman" w:cstheme="minorHAnsi"/>
          <w:color w:val="auto"/>
          <w:sz w:val="21"/>
          <w:szCs w:val="21"/>
          <w:lang w:eastAsia="en-AU"/>
        </w:rPr>
        <w:t>Post</w:t>
      </w:r>
      <w:r w:rsidR="002A2CA5" w:rsidRPr="00FF2A2F">
        <w:rPr>
          <w:rFonts w:eastAsia="Times New Roman" w:cstheme="minorHAnsi"/>
          <w:color w:val="auto"/>
          <w:sz w:val="21"/>
          <w:szCs w:val="21"/>
          <w:lang w:eastAsia="en-AU"/>
        </w:rPr>
        <w:t xml:space="preserve"> </w:t>
      </w:r>
      <w:r w:rsidR="00DA7D70" w:rsidRPr="00FF2A2F">
        <w:rPr>
          <w:rFonts w:eastAsia="Times New Roman" w:cstheme="minorHAnsi"/>
          <w:color w:val="auto"/>
          <w:sz w:val="21"/>
          <w:szCs w:val="21"/>
          <w:lang w:eastAsia="en-AU"/>
        </w:rPr>
        <w:t xml:space="preserve">will identify key opportunities for public diplomacy aligned with </w:t>
      </w:r>
      <w:r w:rsidR="00AC1FF8" w:rsidRPr="00FF2A2F">
        <w:rPr>
          <w:rFonts w:eastAsia="Times New Roman" w:cstheme="minorHAnsi"/>
          <w:color w:val="auto"/>
          <w:sz w:val="21"/>
          <w:szCs w:val="21"/>
          <w:lang w:eastAsia="en-AU"/>
        </w:rPr>
        <w:t>investment</w:t>
      </w:r>
      <w:r w:rsidR="00DA7D70" w:rsidRPr="00FF2A2F">
        <w:rPr>
          <w:rFonts w:eastAsia="Times New Roman" w:cstheme="minorHAnsi"/>
          <w:color w:val="auto"/>
          <w:sz w:val="21"/>
          <w:szCs w:val="21"/>
          <w:lang w:eastAsia="en-AU"/>
        </w:rPr>
        <w:t xml:space="preserve"> milestones and outcomes. These may include launch events, knowledge-sharing fora, media engagements, and digital storytelling that highlights Australia’s contribution to</w:t>
      </w:r>
      <w:r w:rsidR="00AC1FF8" w:rsidRPr="00FF2A2F">
        <w:rPr>
          <w:rFonts w:eastAsia="Times New Roman" w:cstheme="minorHAnsi"/>
          <w:color w:val="auto"/>
          <w:sz w:val="21"/>
          <w:szCs w:val="21"/>
          <w:lang w:eastAsia="en-AU"/>
        </w:rPr>
        <w:t xml:space="preserve"> improved</w:t>
      </w:r>
      <w:r w:rsidR="00DA7D70" w:rsidRPr="00FF2A2F">
        <w:rPr>
          <w:rFonts w:eastAsia="Times New Roman" w:cstheme="minorHAnsi"/>
          <w:color w:val="auto"/>
          <w:sz w:val="21"/>
          <w:szCs w:val="21"/>
          <w:lang w:eastAsia="en-AU"/>
        </w:rPr>
        <w:t xml:space="preserve"> </w:t>
      </w:r>
      <w:r w:rsidR="002A2CA5" w:rsidRPr="00FF2A2F">
        <w:rPr>
          <w:rFonts w:eastAsia="Times New Roman" w:cstheme="minorHAnsi"/>
          <w:color w:val="auto"/>
          <w:sz w:val="21"/>
          <w:szCs w:val="21"/>
          <w:lang w:eastAsia="en-AU"/>
        </w:rPr>
        <w:t>humanitarian action</w:t>
      </w:r>
      <w:r w:rsidR="00DA7D70" w:rsidRPr="00FF2A2F">
        <w:rPr>
          <w:rFonts w:eastAsia="Times New Roman" w:cstheme="minorHAnsi"/>
          <w:color w:val="auto"/>
          <w:sz w:val="21"/>
          <w:szCs w:val="21"/>
          <w:lang w:eastAsia="en-AU"/>
        </w:rPr>
        <w:t xml:space="preserve">. </w:t>
      </w:r>
      <w:r w:rsidR="003E4E77" w:rsidRPr="00FF2A2F">
        <w:rPr>
          <w:rFonts w:eastAsia="Times New Roman" w:cstheme="minorHAnsi"/>
          <w:color w:val="auto"/>
          <w:sz w:val="21"/>
          <w:szCs w:val="21"/>
          <w:lang w:eastAsia="en-AU"/>
        </w:rPr>
        <w:t xml:space="preserve">In the event </w:t>
      </w:r>
      <w:r w:rsidR="003A599B" w:rsidRPr="00FF2A2F">
        <w:rPr>
          <w:rFonts w:cstheme="minorHAnsi"/>
          <w:color w:val="auto"/>
          <w:sz w:val="21"/>
          <w:szCs w:val="21"/>
        </w:rPr>
        <w:t xml:space="preserve">Tala Kei Kapa </w:t>
      </w:r>
      <w:r w:rsidR="003E4E77" w:rsidRPr="00FF2A2F">
        <w:rPr>
          <w:rFonts w:eastAsia="Times New Roman" w:cstheme="minorHAnsi"/>
          <w:color w:val="auto"/>
          <w:sz w:val="21"/>
          <w:szCs w:val="21"/>
          <w:lang w:eastAsia="en-AU"/>
        </w:rPr>
        <w:t>-specific</w:t>
      </w:r>
      <w:r w:rsidR="00DA7D70" w:rsidRPr="00FF2A2F">
        <w:rPr>
          <w:rFonts w:eastAsia="Times New Roman" w:cstheme="minorHAnsi"/>
          <w:color w:val="auto"/>
          <w:sz w:val="21"/>
          <w:szCs w:val="21"/>
          <w:lang w:eastAsia="en-AU"/>
        </w:rPr>
        <w:t xml:space="preserve"> signage, branding, and communication materials</w:t>
      </w:r>
      <w:r w:rsidR="003E4E77" w:rsidRPr="00FF2A2F">
        <w:rPr>
          <w:rFonts w:eastAsia="Times New Roman" w:cstheme="minorHAnsi"/>
          <w:color w:val="auto"/>
          <w:sz w:val="21"/>
          <w:szCs w:val="21"/>
          <w:lang w:eastAsia="en-AU"/>
        </w:rPr>
        <w:t xml:space="preserve"> are developed, these</w:t>
      </w:r>
      <w:r w:rsidR="00DA7D70" w:rsidRPr="00FF2A2F">
        <w:rPr>
          <w:rFonts w:eastAsia="Times New Roman" w:cstheme="minorHAnsi"/>
          <w:color w:val="auto"/>
          <w:sz w:val="21"/>
          <w:szCs w:val="21"/>
          <w:lang w:eastAsia="en-AU"/>
        </w:rPr>
        <w:t xml:space="preserve"> will adhere to DFAT’s accessibility guidelines, and </w:t>
      </w:r>
      <w:r w:rsidR="0034300D" w:rsidRPr="00FF2A2F">
        <w:rPr>
          <w:rFonts w:eastAsia="Times New Roman" w:cstheme="minorHAnsi"/>
          <w:color w:val="auto"/>
          <w:sz w:val="21"/>
          <w:szCs w:val="21"/>
          <w:lang w:eastAsia="en-AU"/>
        </w:rPr>
        <w:t>Post</w:t>
      </w:r>
      <w:r w:rsidR="00754559" w:rsidRPr="00FF2A2F">
        <w:rPr>
          <w:rFonts w:eastAsia="Times New Roman" w:cstheme="minorHAnsi"/>
          <w:color w:val="auto"/>
          <w:sz w:val="21"/>
          <w:szCs w:val="21"/>
          <w:lang w:eastAsia="en-AU"/>
        </w:rPr>
        <w:t xml:space="preserve"> </w:t>
      </w:r>
      <w:r w:rsidR="00DA7D70" w:rsidRPr="00FF2A2F">
        <w:rPr>
          <w:rFonts w:eastAsia="Times New Roman" w:cstheme="minorHAnsi"/>
          <w:color w:val="auto"/>
          <w:sz w:val="21"/>
          <w:szCs w:val="21"/>
          <w:lang w:eastAsia="en-AU"/>
        </w:rPr>
        <w:t>will ensure regular content production for use in Australia’s domestic and international platforms.</w:t>
      </w:r>
    </w:p>
    <w:p w14:paraId="57116B6D" w14:textId="77777777" w:rsidR="00E6131F" w:rsidRPr="00FF2A2F" w:rsidRDefault="00A32858" w:rsidP="00E6131F">
      <w:pPr>
        <w:spacing w:before="120" w:line="260" w:lineRule="atLeast"/>
        <w:ind w:left="0" w:firstLine="0"/>
        <w:rPr>
          <w:rFonts w:eastAsia="Times New Roman" w:cs="Times New Roman"/>
          <w:b/>
          <w:bCs/>
          <w:iCs/>
          <w:color w:val="auto"/>
          <w:lang w:val="en-AU" w:eastAsia="en-AU"/>
        </w:rPr>
      </w:pPr>
      <w:r w:rsidRPr="00FF2A2F">
        <w:rPr>
          <w:rFonts w:eastAsia="Times New Roman" w:cs="Times New Roman"/>
          <w:b/>
          <w:bCs/>
          <w:iCs/>
          <w:color w:val="auto"/>
          <w:lang w:val="en-AU" w:eastAsia="en-AU"/>
        </w:rPr>
        <w:t>Sustainability</w:t>
      </w:r>
    </w:p>
    <w:p w14:paraId="2DCBE13D" w14:textId="77777777" w:rsidR="00E6131F" w:rsidRPr="00FF2A2F" w:rsidRDefault="00E6131F" w:rsidP="00E6131F">
      <w:pPr>
        <w:spacing w:before="120" w:line="260" w:lineRule="atLeast"/>
        <w:ind w:left="0" w:firstLine="0"/>
        <w:rPr>
          <w:color w:val="auto"/>
          <w:sz w:val="21"/>
          <w:szCs w:val="21"/>
          <w:lang w:eastAsia="en-AU"/>
        </w:rPr>
      </w:pPr>
      <w:r w:rsidRPr="00FF2A2F">
        <w:rPr>
          <w:rFonts w:eastAsia="Times New Roman" w:cs="Times New Roman"/>
          <w:iCs/>
          <w:color w:val="auto"/>
          <w:lang w:val="en-AU" w:eastAsia="en-AU"/>
        </w:rPr>
        <w:t xml:space="preserve">117. </w:t>
      </w:r>
      <w:r w:rsidR="009A1BDB" w:rsidRPr="00FF2A2F">
        <w:rPr>
          <w:color w:val="auto"/>
          <w:sz w:val="21"/>
          <w:szCs w:val="21"/>
          <w:lang w:eastAsia="en-AU"/>
        </w:rPr>
        <w:t xml:space="preserve">A central goal of the investment is to enhance sustainability by strengthening systems, institutions, and local </w:t>
      </w:r>
      <w:r w:rsidR="00637610" w:rsidRPr="00FF2A2F">
        <w:rPr>
          <w:color w:val="auto"/>
          <w:sz w:val="21"/>
          <w:szCs w:val="21"/>
          <w:lang w:eastAsia="en-AU"/>
        </w:rPr>
        <w:t xml:space="preserve">leadership </w:t>
      </w:r>
      <w:r w:rsidR="009A1BDB" w:rsidRPr="00FF2A2F">
        <w:rPr>
          <w:color w:val="auto"/>
          <w:sz w:val="21"/>
          <w:szCs w:val="21"/>
          <w:lang w:eastAsia="en-AU"/>
        </w:rPr>
        <w:t>capacity. Recognising that donor support is time-bound, the program will focus on embedding sustainable practices into the design and implementation of all activities</w:t>
      </w:r>
      <w:r w:rsidR="00D7163D" w:rsidRPr="00FF2A2F">
        <w:rPr>
          <w:color w:val="auto"/>
          <w:sz w:val="21"/>
          <w:szCs w:val="21"/>
          <w:lang w:eastAsia="en-AU"/>
        </w:rPr>
        <w:t xml:space="preserve">. This includes policy dialogue with the GoT to </w:t>
      </w:r>
      <w:r w:rsidR="006B2065" w:rsidRPr="00FF2A2F">
        <w:rPr>
          <w:color w:val="auto"/>
          <w:sz w:val="21"/>
          <w:szCs w:val="21"/>
          <w:lang w:eastAsia="en-AU"/>
        </w:rPr>
        <w:t xml:space="preserve">ensure budget provision for </w:t>
      </w:r>
      <w:r w:rsidR="0090494E" w:rsidRPr="00FF2A2F">
        <w:rPr>
          <w:color w:val="auto"/>
          <w:sz w:val="21"/>
          <w:szCs w:val="21"/>
          <w:lang w:eastAsia="en-AU"/>
        </w:rPr>
        <w:t xml:space="preserve">government positions </w:t>
      </w:r>
      <w:r w:rsidR="004B6CF3" w:rsidRPr="00FF2A2F">
        <w:rPr>
          <w:color w:val="auto"/>
          <w:sz w:val="21"/>
          <w:szCs w:val="21"/>
          <w:lang w:eastAsia="en-AU"/>
        </w:rPr>
        <w:t>is increasingly</w:t>
      </w:r>
      <w:r w:rsidR="007A315A" w:rsidRPr="00FF2A2F">
        <w:rPr>
          <w:color w:val="auto"/>
          <w:sz w:val="21"/>
          <w:szCs w:val="21"/>
          <w:lang w:eastAsia="en-AU"/>
        </w:rPr>
        <w:t xml:space="preserve"> </w:t>
      </w:r>
      <w:r w:rsidR="004B6CF3" w:rsidRPr="00FF2A2F">
        <w:rPr>
          <w:color w:val="auto"/>
          <w:sz w:val="21"/>
          <w:szCs w:val="21"/>
          <w:lang w:eastAsia="en-AU"/>
        </w:rPr>
        <w:t>account</w:t>
      </w:r>
      <w:r w:rsidR="007A315A" w:rsidRPr="00FF2A2F">
        <w:rPr>
          <w:color w:val="auto"/>
          <w:sz w:val="21"/>
          <w:szCs w:val="21"/>
          <w:lang w:eastAsia="en-AU"/>
        </w:rPr>
        <w:t>ed for</w:t>
      </w:r>
      <w:r w:rsidR="004B6CF3" w:rsidRPr="00FF2A2F">
        <w:rPr>
          <w:color w:val="auto"/>
          <w:sz w:val="21"/>
          <w:szCs w:val="21"/>
          <w:lang w:eastAsia="en-AU"/>
        </w:rPr>
        <w:t xml:space="preserve"> over the life of the investment</w:t>
      </w:r>
      <w:r w:rsidR="00350ADE" w:rsidRPr="00FF2A2F">
        <w:rPr>
          <w:color w:val="auto"/>
          <w:sz w:val="21"/>
          <w:szCs w:val="21"/>
          <w:lang w:eastAsia="en-AU"/>
        </w:rPr>
        <w:t xml:space="preserve">. </w:t>
      </w:r>
    </w:p>
    <w:p w14:paraId="3A34079D" w14:textId="52E7ED2B" w:rsidR="009E653A" w:rsidRPr="00FF2A2F" w:rsidRDefault="00E6131F" w:rsidP="00E6131F">
      <w:pPr>
        <w:spacing w:before="120" w:line="260" w:lineRule="atLeast"/>
        <w:ind w:left="0" w:firstLine="0"/>
        <w:rPr>
          <w:color w:val="auto"/>
          <w:sz w:val="21"/>
          <w:szCs w:val="21"/>
        </w:rPr>
      </w:pPr>
      <w:r w:rsidRPr="00FF2A2F">
        <w:rPr>
          <w:color w:val="auto"/>
          <w:sz w:val="21"/>
          <w:szCs w:val="21"/>
          <w:lang w:eastAsia="en-AU"/>
        </w:rPr>
        <w:t xml:space="preserve">118. </w:t>
      </w:r>
      <w:r w:rsidR="009A1BDB" w:rsidRPr="00FF2A2F">
        <w:rPr>
          <w:color w:val="auto"/>
          <w:sz w:val="21"/>
          <w:szCs w:val="21"/>
          <w:lang w:eastAsia="en-AU"/>
        </w:rPr>
        <w:t xml:space="preserve">Climate change impacts—such as disaster risk, displacement, and increased economic volatility—pose additional challenges to sustainability. These will be </w:t>
      </w:r>
      <w:r w:rsidR="009029FF" w:rsidRPr="00FF2A2F">
        <w:rPr>
          <w:color w:val="auto"/>
          <w:sz w:val="21"/>
          <w:szCs w:val="21"/>
          <w:lang w:eastAsia="en-AU"/>
        </w:rPr>
        <w:t>partially addressed</w:t>
      </w:r>
      <w:r w:rsidR="009A1BDB" w:rsidRPr="00FF2A2F">
        <w:rPr>
          <w:color w:val="auto"/>
          <w:sz w:val="21"/>
          <w:szCs w:val="21"/>
          <w:lang w:eastAsia="en-AU"/>
        </w:rPr>
        <w:t xml:space="preserve"> by integrating climate risk management into institutional planning and supporting locally led adaptation strategies</w:t>
      </w:r>
      <w:r w:rsidR="00C24BA1" w:rsidRPr="00FF2A2F">
        <w:rPr>
          <w:color w:val="auto"/>
          <w:sz w:val="21"/>
          <w:szCs w:val="21"/>
          <w:lang w:eastAsia="en-AU"/>
        </w:rPr>
        <w:t xml:space="preserve"> which will reduce the impact of climate change</w:t>
      </w:r>
      <w:r w:rsidR="001256DB" w:rsidRPr="00FF2A2F">
        <w:rPr>
          <w:color w:val="auto"/>
          <w:sz w:val="21"/>
          <w:szCs w:val="21"/>
          <w:lang w:eastAsia="en-AU"/>
        </w:rPr>
        <w:t xml:space="preserve">. </w:t>
      </w:r>
    </w:p>
    <w:p w14:paraId="24EE21DC" w14:textId="7A49AA6D" w:rsidR="00A32858" w:rsidRPr="00FF2A2F" w:rsidRDefault="00C77675" w:rsidP="00E6131F">
      <w:pPr>
        <w:pStyle w:val="Heading2"/>
        <w:ind w:hanging="568"/>
        <w:rPr>
          <w:color w:val="auto"/>
          <w:sz w:val="32"/>
          <w:szCs w:val="32"/>
        </w:rPr>
      </w:pPr>
      <w:bookmarkStart w:id="10" w:name="_Toc214543664"/>
      <w:r w:rsidRPr="00FF2A2F">
        <w:rPr>
          <w:color w:val="auto"/>
          <w:sz w:val="32"/>
          <w:szCs w:val="32"/>
        </w:rPr>
        <w:t xml:space="preserve">F: </w:t>
      </w:r>
      <w:r w:rsidR="00A32858" w:rsidRPr="00FF2A2F">
        <w:rPr>
          <w:color w:val="auto"/>
          <w:sz w:val="32"/>
          <w:szCs w:val="32"/>
        </w:rPr>
        <w:t>Monitoring</w:t>
      </w:r>
      <w:r w:rsidR="00A07A84" w:rsidRPr="00FF2A2F">
        <w:rPr>
          <w:color w:val="auto"/>
          <w:sz w:val="32"/>
          <w:szCs w:val="32"/>
        </w:rPr>
        <w:t>, Evaluation and Learning (MEL)</w:t>
      </w:r>
      <w:bookmarkEnd w:id="10"/>
      <w:r w:rsidR="00A32858" w:rsidRPr="00FF2A2F">
        <w:rPr>
          <w:color w:val="auto"/>
          <w:sz w:val="32"/>
          <w:szCs w:val="32"/>
        </w:rPr>
        <w:t xml:space="preserve"> </w:t>
      </w:r>
    </w:p>
    <w:p w14:paraId="27668CCF" w14:textId="3AA93171" w:rsidR="007B7FA9" w:rsidRPr="00FF2A2F" w:rsidRDefault="00E6131F" w:rsidP="00E6131F">
      <w:pPr>
        <w:spacing w:before="120" w:line="260" w:lineRule="atLeast"/>
        <w:ind w:left="0" w:firstLine="0"/>
        <w:rPr>
          <w:iCs/>
          <w:color w:val="auto"/>
        </w:rPr>
      </w:pPr>
      <w:bookmarkStart w:id="11" w:name="_Hlk131516736"/>
      <w:r w:rsidRPr="00FF2A2F">
        <w:rPr>
          <w:iCs/>
          <w:color w:val="auto"/>
        </w:rPr>
        <w:t>119</w:t>
      </w:r>
      <w:r w:rsidR="00D76843" w:rsidRPr="00FF2A2F">
        <w:rPr>
          <w:iCs/>
          <w:color w:val="auto"/>
        </w:rPr>
        <w:t>.</w:t>
      </w:r>
      <w:r w:rsidRPr="00FF2A2F">
        <w:rPr>
          <w:iCs/>
          <w:color w:val="auto"/>
        </w:rPr>
        <w:t xml:space="preserve"> </w:t>
      </w:r>
      <w:r w:rsidR="009856F0" w:rsidRPr="00FF2A2F">
        <w:rPr>
          <w:iCs/>
          <w:color w:val="auto"/>
        </w:rPr>
        <w:t>MEL</w:t>
      </w:r>
      <w:r w:rsidR="00D7163D" w:rsidRPr="00FF2A2F">
        <w:rPr>
          <w:iCs/>
          <w:color w:val="auto"/>
        </w:rPr>
        <w:t xml:space="preserve"> </w:t>
      </w:r>
      <w:r w:rsidR="00A12FEC" w:rsidRPr="00FF2A2F">
        <w:rPr>
          <w:iCs/>
          <w:color w:val="auto"/>
        </w:rPr>
        <w:t>will</w:t>
      </w:r>
      <w:r w:rsidR="00CB314C" w:rsidRPr="00FF2A2F">
        <w:rPr>
          <w:iCs/>
          <w:color w:val="auto"/>
        </w:rPr>
        <w:t xml:space="preserve"> support accountability and demonstrate the effectiveness of the investment delivery and results.  An initial MEL Framework has been developed to</w:t>
      </w:r>
      <w:r w:rsidR="00D76843" w:rsidRPr="00FF2A2F">
        <w:rPr>
          <w:iCs/>
          <w:color w:val="auto"/>
        </w:rPr>
        <w:t xml:space="preserve"> </w:t>
      </w:r>
      <w:r w:rsidR="007B7FA9" w:rsidRPr="00FF2A2F">
        <w:rPr>
          <w:iCs/>
          <w:color w:val="auto"/>
        </w:rPr>
        <w:t>IO</w:t>
      </w:r>
      <w:r w:rsidR="00F92760" w:rsidRPr="00FF2A2F">
        <w:rPr>
          <w:iCs/>
          <w:color w:val="auto"/>
        </w:rPr>
        <w:t xml:space="preserve"> </w:t>
      </w:r>
      <w:r w:rsidR="00CB314C" w:rsidRPr="00FF2A2F">
        <w:rPr>
          <w:iCs/>
          <w:color w:val="auto"/>
        </w:rPr>
        <w:t>level</w:t>
      </w:r>
      <w:r w:rsidR="000D09EA" w:rsidRPr="00FF2A2F">
        <w:rPr>
          <w:iCs/>
          <w:color w:val="auto"/>
        </w:rPr>
        <w:t xml:space="preserve">. </w:t>
      </w:r>
      <w:r w:rsidR="00757E01" w:rsidRPr="00FF2A2F">
        <w:rPr>
          <w:iCs/>
          <w:color w:val="auto"/>
        </w:rPr>
        <w:t xml:space="preserve">The investment’s MEL Framework purposefully </w:t>
      </w:r>
      <w:r w:rsidR="00226CFE" w:rsidRPr="00FF2A2F">
        <w:rPr>
          <w:iCs/>
          <w:color w:val="auto"/>
        </w:rPr>
        <w:t>aligns</w:t>
      </w:r>
      <w:r w:rsidR="000D09EA" w:rsidRPr="00FF2A2F">
        <w:rPr>
          <w:iCs/>
          <w:color w:val="auto"/>
        </w:rPr>
        <w:t xml:space="preserve"> </w:t>
      </w:r>
      <w:r w:rsidR="00757E01" w:rsidRPr="00FF2A2F">
        <w:rPr>
          <w:iCs/>
          <w:color w:val="auto"/>
        </w:rPr>
        <w:t>with the DRM policy MEL framework to ensure it is supporting local systems reporting.</w:t>
      </w:r>
    </w:p>
    <w:p w14:paraId="025579DF" w14:textId="05DE5ECD" w:rsidR="00CB314C" w:rsidRPr="00FF2A2F" w:rsidRDefault="00E6131F" w:rsidP="00E6131F">
      <w:pPr>
        <w:spacing w:before="120" w:line="260" w:lineRule="atLeast"/>
        <w:ind w:left="0" w:firstLine="0"/>
        <w:rPr>
          <w:iCs/>
          <w:color w:val="auto"/>
        </w:rPr>
      </w:pPr>
      <w:r w:rsidRPr="00FF2A2F">
        <w:rPr>
          <w:iCs/>
          <w:color w:val="auto"/>
        </w:rPr>
        <w:t>120</w:t>
      </w:r>
      <w:r w:rsidR="007B7FA9" w:rsidRPr="00FF2A2F">
        <w:rPr>
          <w:iCs/>
          <w:color w:val="auto"/>
        </w:rPr>
        <w:t>.</w:t>
      </w:r>
      <w:r w:rsidRPr="00FF2A2F">
        <w:rPr>
          <w:iCs/>
          <w:color w:val="auto"/>
        </w:rPr>
        <w:t xml:space="preserve"> </w:t>
      </w:r>
      <w:r w:rsidR="005C755B" w:rsidRPr="00FF2A2F">
        <w:rPr>
          <w:iCs/>
          <w:color w:val="auto"/>
        </w:rPr>
        <w:t>An implementing partner</w:t>
      </w:r>
      <w:r w:rsidR="007B7FA9" w:rsidRPr="00FF2A2F">
        <w:rPr>
          <w:iCs/>
          <w:color w:val="auto"/>
        </w:rPr>
        <w:t xml:space="preserve"> </w:t>
      </w:r>
      <w:r w:rsidR="00DC21AE" w:rsidRPr="00FF2A2F">
        <w:rPr>
          <w:iCs/>
          <w:color w:val="auto"/>
        </w:rPr>
        <w:t>will be procured to deliver</w:t>
      </w:r>
      <w:r w:rsidR="007B7FA9" w:rsidRPr="00FF2A2F">
        <w:rPr>
          <w:iCs/>
          <w:color w:val="auto"/>
        </w:rPr>
        <w:t xml:space="preserve"> investment</w:t>
      </w:r>
      <w:r w:rsidR="00D246EB" w:rsidRPr="00FF2A2F">
        <w:rPr>
          <w:iCs/>
          <w:color w:val="auto"/>
        </w:rPr>
        <w:t xml:space="preserve"> MEL</w:t>
      </w:r>
      <w:r w:rsidR="00034A72" w:rsidRPr="00FF2A2F">
        <w:rPr>
          <w:iCs/>
          <w:color w:val="auto"/>
        </w:rPr>
        <w:t>,</w:t>
      </w:r>
      <w:r w:rsidR="00D246EB" w:rsidRPr="00FF2A2F">
        <w:rPr>
          <w:iCs/>
          <w:color w:val="auto"/>
        </w:rPr>
        <w:t xml:space="preserve"> including </w:t>
      </w:r>
      <w:r w:rsidR="00034A72" w:rsidRPr="00FF2A2F">
        <w:rPr>
          <w:iCs/>
          <w:color w:val="auto"/>
        </w:rPr>
        <w:t xml:space="preserve">systems, plan, </w:t>
      </w:r>
      <w:r w:rsidR="00D246EB" w:rsidRPr="00FF2A2F">
        <w:rPr>
          <w:iCs/>
          <w:color w:val="auto"/>
        </w:rPr>
        <w:t xml:space="preserve">data collection, analysis and reporting. </w:t>
      </w:r>
      <w:r w:rsidR="00CB314C" w:rsidRPr="00FF2A2F">
        <w:rPr>
          <w:iCs/>
          <w:color w:val="auto"/>
        </w:rPr>
        <w:t>In implementation, indicators will be tested with stakeholders and confirmed, and the MEL Framework updated with details on how to track each indicator. A MEL Plan with associated tools will be developed at implementation in line with DFAT’s Design, Monitoring and Evaluation</w:t>
      </w:r>
      <w:r w:rsidR="00AD04A6" w:rsidRPr="00FF2A2F">
        <w:rPr>
          <w:iCs/>
          <w:color w:val="auto"/>
        </w:rPr>
        <w:t xml:space="preserve"> </w:t>
      </w:r>
      <w:r w:rsidR="00CB314C" w:rsidRPr="00FF2A2F">
        <w:rPr>
          <w:iCs/>
          <w:color w:val="auto"/>
        </w:rPr>
        <w:t>Standards.</w:t>
      </w:r>
      <w:r w:rsidR="003C5771" w:rsidRPr="00FF2A2F">
        <w:rPr>
          <w:iCs/>
          <w:color w:val="auto"/>
        </w:rPr>
        <w:t xml:space="preserve"> </w:t>
      </w:r>
      <w:r w:rsidR="00FD14D7" w:rsidRPr="00FF2A2F">
        <w:rPr>
          <w:iCs/>
          <w:color w:val="auto"/>
        </w:rPr>
        <w:t xml:space="preserve">The </w:t>
      </w:r>
      <w:r w:rsidR="009856F0" w:rsidRPr="00FF2A2F">
        <w:rPr>
          <w:iCs/>
          <w:color w:val="auto"/>
        </w:rPr>
        <w:t xml:space="preserve">MEL </w:t>
      </w:r>
      <w:r w:rsidR="00FD14D7" w:rsidRPr="00FF2A2F">
        <w:rPr>
          <w:iCs/>
          <w:color w:val="auto"/>
        </w:rPr>
        <w:t xml:space="preserve">Plan will specify </w:t>
      </w:r>
      <w:r w:rsidR="003C6BC1" w:rsidRPr="00FF2A2F">
        <w:rPr>
          <w:iCs/>
          <w:color w:val="auto"/>
        </w:rPr>
        <w:t xml:space="preserve">how DFAT will work with implementing partners to </w:t>
      </w:r>
      <w:r w:rsidR="008421C7" w:rsidRPr="00FF2A2F">
        <w:rPr>
          <w:iCs/>
          <w:color w:val="auto"/>
        </w:rPr>
        <w:t>collect</w:t>
      </w:r>
      <w:r w:rsidR="004D21DA" w:rsidRPr="00FF2A2F">
        <w:rPr>
          <w:iCs/>
          <w:color w:val="auto"/>
        </w:rPr>
        <w:t xml:space="preserve"> </w:t>
      </w:r>
      <w:r w:rsidR="00C754B6" w:rsidRPr="00FF2A2F">
        <w:rPr>
          <w:iCs/>
          <w:color w:val="auto"/>
        </w:rPr>
        <w:t>GEDSI data</w:t>
      </w:r>
      <w:r w:rsidR="003C5771" w:rsidRPr="00FF2A2F">
        <w:rPr>
          <w:iCs/>
          <w:color w:val="auto"/>
        </w:rPr>
        <w:t xml:space="preserve"> </w:t>
      </w:r>
      <w:r w:rsidR="008421C7" w:rsidRPr="00FF2A2F">
        <w:rPr>
          <w:iCs/>
          <w:color w:val="auto"/>
        </w:rPr>
        <w:t xml:space="preserve">and apply it to program management and decision making. </w:t>
      </w:r>
      <w:r w:rsidR="0049403B" w:rsidRPr="00FF2A2F">
        <w:rPr>
          <w:iCs/>
          <w:color w:val="auto"/>
        </w:rPr>
        <w:t>The MEL Plan</w:t>
      </w:r>
      <w:r w:rsidR="00CB314C" w:rsidRPr="00FF2A2F">
        <w:rPr>
          <w:iCs/>
          <w:color w:val="auto"/>
        </w:rPr>
        <w:t xml:space="preserve"> will be quality assured against these standards at 6 months from the start of the investment. All MEL activities will be conducted in accordance with DFAT’s privacy, ethics, and safeguarding policies. </w:t>
      </w:r>
    </w:p>
    <w:p w14:paraId="085E2441" w14:textId="411C89BF" w:rsidR="00CB314C" w:rsidRPr="00FF2A2F" w:rsidRDefault="00E6131F" w:rsidP="00E6131F">
      <w:pPr>
        <w:spacing w:before="120" w:line="260" w:lineRule="atLeast"/>
        <w:ind w:left="0" w:firstLine="0"/>
        <w:rPr>
          <w:iCs/>
          <w:color w:val="auto"/>
        </w:rPr>
      </w:pPr>
      <w:r w:rsidRPr="00FF2A2F">
        <w:rPr>
          <w:iCs/>
          <w:color w:val="auto"/>
        </w:rPr>
        <w:t xml:space="preserve">121. </w:t>
      </w:r>
      <w:r w:rsidR="00CB314C" w:rsidRPr="00FF2A2F">
        <w:rPr>
          <w:iCs/>
          <w:color w:val="auto"/>
        </w:rPr>
        <w:t>The MEL Framework has</w:t>
      </w:r>
      <w:r w:rsidR="00835A6D" w:rsidRPr="00FF2A2F">
        <w:rPr>
          <w:iCs/>
          <w:color w:val="auto"/>
        </w:rPr>
        <w:t xml:space="preserve"> the</w:t>
      </w:r>
      <w:r w:rsidR="00CB314C" w:rsidRPr="00FF2A2F">
        <w:rPr>
          <w:iCs/>
          <w:color w:val="auto"/>
        </w:rPr>
        <w:t xml:space="preserve"> program goal, objective, outcomes</w:t>
      </w:r>
      <w:r w:rsidR="00835A6D" w:rsidRPr="00FF2A2F">
        <w:rPr>
          <w:iCs/>
          <w:color w:val="auto"/>
        </w:rPr>
        <w:t xml:space="preserve"> </w:t>
      </w:r>
      <w:r w:rsidR="00CB314C" w:rsidRPr="00FF2A2F">
        <w:rPr>
          <w:iCs/>
          <w:color w:val="auto"/>
        </w:rPr>
        <w:t>and draft indicators</w:t>
      </w:r>
      <w:r w:rsidR="00ED02A9" w:rsidRPr="00FF2A2F">
        <w:rPr>
          <w:iCs/>
          <w:color w:val="auto"/>
        </w:rPr>
        <w:t xml:space="preserve"> (with reference to </w:t>
      </w:r>
      <w:r w:rsidR="00CB314C" w:rsidRPr="00FF2A2F">
        <w:rPr>
          <w:iCs/>
          <w:color w:val="auto"/>
        </w:rPr>
        <w:t>relevant DFAT Tier 2</w:t>
      </w:r>
      <w:r w:rsidR="004E03AD" w:rsidRPr="00FF2A2F">
        <w:rPr>
          <w:iCs/>
          <w:color w:val="auto"/>
        </w:rPr>
        <w:t xml:space="preserve"> </w:t>
      </w:r>
      <w:r w:rsidR="00CB314C" w:rsidRPr="00FF2A2F">
        <w:rPr>
          <w:iCs/>
          <w:color w:val="auto"/>
        </w:rPr>
        <w:t>indicators</w:t>
      </w:r>
      <w:r w:rsidR="004E03AD" w:rsidRPr="00FF2A2F">
        <w:rPr>
          <w:iCs/>
          <w:color w:val="auto"/>
        </w:rPr>
        <w:t>)</w:t>
      </w:r>
      <w:r w:rsidR="00CB314C" w:rsidRPr="00FF2A2F">
        <w:rPr>
          <w:iCs/>
          <w:color w:val="auto"/>
        </w:rPr>
        <w:t xml:space="preserve">. An investment baseline will be developed within 6 months of beginning </w:t>
      </w:r>
      <w:r w:rsidR="00CB314C" w:rsidRPr="00FF2A2F">
        <w:rPr>
          <w:iCs/>
          <w:color w:val="auto"/>
        </w:rPr>
        <w:lastRenderedPageBreak/>
        <w:t>implementation</w:t>
      </w:r>
      <w:r w:rsidR="006A1685" w:rsidRPr="00FF2A2F">
        <w:rPr>
          <w:iCs/>
          <w:color w:val="auto"/>
        </w:rPr>
        <w:t>, drawing heavily on</w:t>
      </w:r>
      <w:r w:rsidR="002E188C" w:rsidRPr="00FF2A2F">
        <w:rPr>
          <w:iCs/>
          <w:color w:val="auto"/>
        </w:rPr>
        <w:t xml:space="preserve"> documents for</w:t>
      </w:r>
      <w:r w:rsidR="006A1685" w:rsidRPr="00FF2A2F">
        <w:rPr>
          <w:iCs/>
          <w:color w:val="auto"/>
        </w:rPr>
        <w:t xml:space="preserve"> after action reviews and evaluations of recent responses.</w:t>
      </w:r>
      <w:r w:rsidR="00CB314C" w:rsidRPr="00FF2A2F">
        <w:rPr>
          <w:iCs/>
          <w:color w:val="auto"/>
        </w:rPr>
        <w:t xml:space="preserve"> Details of the responsible parties and the approval processes for each MEL action of the program will also be included in the MEL Plan.  </w:t>
      </w:r>
    </w:p>
    <w:p w14:paraId="359293FE" w14:textId="49344960" w:rsidR="00CB314C" w:rsidRPr="00FF2A2F" w:rsidRDefault="00E6131F" w:rsidP="00E6131F">
      <w:pPr>
        <w:spacing w:before="120" w:line="260" w:lineRule="atLeast"/>
        <w:ind w:left="0" w:firstLine="0"/>
        <w:rPr>
          <w:iCs/>
          <w:color w:val="auto"/>
        </w:rPr>
      </w:pPr>
      <w:r w:rsidRPr="00FF2A2F">
        <w:rPr>
          <w:iCs/>
          <w:color w:val="auto"/>
        </w:rPr>
        <w:t xml:space="preserve">122. </w:t>
      </w:r>
      <w:r w:rsidR="00CB314C" w:rsidRPr="00FF2A2F">
        <w:rPr>
          <w:iCs/>
          <w:color w:val="auto"/>
        </w:rPr>
        <w:t xml:space="preserve">The MEL Plan will be designed, implemented, and overseen by qualified MEL practitioners with input from GEDSI practitioners </w:t>
      </w:r>
      <w:r w:rsidR="009846AC" w:rsidRPr="00FF2A2F">
        <w:rPr>
          <w:iCs/>
          <w:color w:val="auto"/>
        </w:rPr>
        <w:t>to ensure collection of sex-</w:t>
      </w:r>
      <w:r w:rsidR="00CD250F" w:rsidRPr="00FF2A2F">
        <w:rPr>
          <w:iCs/>
          <w:color w:val="auto"/>
        </w:rPr>
        <w:t xml:space="preserve"> and disability- </w:t>
      </w:r>
      <w:r w:rsidR="009846AC" w:rsidRPr="00FF2A2F">
        <w:rPr>
          <w:iCs/>
          <w:color w:val="auto"/>
        </w:rPr>
        <w:t xml:space="preserve">disaggregated data at a minimum. </w:t>
      </w:r>
      <w:r w:rsidR="00CB314C" w:rsidRPr="00FF2A2F">
        <w:rPr>
          <w:iCs/>
          <w:color w:val="auto"/>
        </w:rPr>
        <w:t xml:space="preserve">The plan will include activities to monitor the effective implementation of risks, risk mitigation, and safeguarding procedures.  </w:t>
      </w:r>
    </w:p>
    <w:p w14:paraId="7FA64EAB" w14:textId="184E31FC" w:rsidR="00CB314C" w:rsidRPr="00FF2A2F" w:rsidRDefault="00E6131F" w:rsidP="00E6131F">
      <w:pPr>
        <w:spacing w:before="120" w:line="260" w:lineRule="atLeast"/>
        <w:ind w:left="0" w:firstLine="0"/>
        <w:rPr>
          <w:iCs/>
          <w:color w:val="auto"/>
        </w:rPr>
      </w:pPr>
      <w:r w:rsidRPr="00FF2A2F">
        <w:rPr>
          <w:iCs/>
          <w:color w:val="auto"/>
        </w:rPr>
        <w:t xml:space="preserve">123. </w:t>
      </w:r>
      <w:r w:rsidR="00CB314C" w:rsidRPr="00FF2A2F">
        <w:rPr>
          <w:iCs/>
          <w:color w:val="auto"/>
        </w:rPr>
        <w:t xml:space="preserve">The primary users of the MEL Plan will be DFAT, </w:t>
      </w:r>
      <w:r w:rsidR="00D764CA" w:rsidRPr="00FF2A2F">
        <w:rPr>
          <w:iCs/>
          <w:color w:val="auto"/>
        </w:rPr>
        <w:t>the GoT</w:t>
      </w:r>
      <w:r w:rsidR="001A0AFB" w:rsidRPr="00FF2A2F">
        <w:rPr>
          <w:iCs/>
          <w:color w:val="auto"/>
        </w:rPr>
        <w:t xml:space="preserve"> and</w:t>
      </w:r>
      <w:r w:rsidR="00D764CA" w:rsidRPr="00FF2A2F">
        <w:rPr>
          <w:iCs/>
          <w:color w:val="auto"/>
        </w:rPr>
        <w:t xml:space="preserve"> CSO delivery partners</w:t>
      </w:r>
      <w:r w:rsidR="001A0AFB" w:rsidRPr="00FF2A2F">
        <w:rPr>
          <w:iCs/>
          <w:color w:val="auto"/>
        </w:rPr>
        <w:t>.</w:t>
      </w:r>
      <w:r w:rsidR="00CB314C" w:rsidRPr="00FF2A2F">
        <w:rPr>
          <w:iCs/>
          <w:color w:val="auto"/>
        </w:rPr>
        <w:t xml:space="preserve"> Data will be shared transparently to facilitate a collective understanding of targets and performance. MEL data will feed into governance structures and </w:t>
      </w:r>
      <w:r w:rsidR="00BF5815" w:rsidRPr="00FF2A2F">
        <w:rPr>
          <w:iCs/>
          <w:color w:val="auto"/>
        </w:rPr>
        <w:t xml:space="preserve">DFAT </w:t>
      </w:r>
      <w:r w:rsidR="00CB314C" w:rsidRPr="00FF2A2F">
        <w:rPr>
          <w:iCs/>
          <w:color w:val="auto"/>
        </w:rPr>
        <w:t xml:space="preserve">quality processes.  </w:t>
      </w:r>
    </w:p>
    <w:p w14:paraId="6675269F" w14:textId="0675B8F0" w:rsidR="00CB314C" w:rsidRPr="00FF2A2F" w:rsidRDefault="00E6131F" w:rsidP="00E6131F">
      <w:pPr>
        <w:spacing w:before="120" w:line="260" w:lineRule="atLeast"/>
        <w:ind w:left="0" w:firstLine="0"/>
        <w:rPr>
          <w:iCs/>
          <w:color w:val="auto"/>
        </w:rPr>
      </w:pPr>
      <w:r w:rsidRPr="00FF2A2F">
        <w:rPr>
          <w:iCs/>
          <w:color w:val="auto"/>
        </w:rPr>
        <w:t xml:space="preserve">124. </w:t>
      </w:r>
      <w:r w:rsidR="00CB314C" w:rsidRPr="00FF2A2F">
        <w:rPr>
          <w:iCs/>
          <w:color w:val="auto"/>
        </w:rPr>
        <w:t xml:space="preserve">Monitoring data will be collected and analysed every 6 months, </w:t>
      </w:r>
      <w:r w:rsidR="00D949DF" w:rsidRPr="00FF2A2F">
        <w:rPr>
          <w:iCs/>
          <w:color w:val="auto"/>
        </w:rPr>
        <w:t xml:space="preserve">producing </w:t>
      </w:r>
      <w:r w:rsidR="00CB314C" w:rsidRPr="00FF2A2F">
        <w:rPr>
          <w:iCs/>
          <w:color w:val="auto"/>
        </w:rPr>
        <w:t xml:space="preserve">a balance of quantitative and qualitative data, recognising that the latter can provide additional context that enables more comprehensive analysis, including on gender and disability.  </w:t>
      </w:r>
    </w:p>
    <w:p w14:paraId="4E1D5E79" w14:textId="63793454" w:rsidR="00CB314C" w:rsidRPr="00FF2A2F" w:rsidRDefault="00E6131F" w:rsidP="00E6131F">
      <w:pPr>
        <w:spacing w:before="120" w:line="260" w:lineRule="atLeast"/>
        <w:ind w:left="0" w:firstLine="0"/>
        <w:rPr>
          <w:iCs/>
          <w:color w:val="auto"/>
        </w:rPr>
      </w:pPr>
      <w:r w:rsidRPr="00FF2A2F">
        <w:rPr>
          <w:iCs/>
          <w:color w:val="auto"/>
        </w:rPr>
        <w:t xml:space="preserve">125. </w:t>
      </w:r>
      <w:r w:rsidR="00CB314C" w:rsidRPr="00FF2A2F">
        <w:rPr>
          <w:iCs/>
          <w:color w:val="auto"/>
        </w:rPr>
        <w:t>Governance</w:t>
      </w:r>
      <w:r w:rsidR="00C24BA1" w:rsidRPr="00FF2A2F">
        <w:rPr>
          <w:iCs/>
          <w:color w:val="auto"/>
        </w:rPr>
        <w:t xml:space="preserve"> and </w:t>
      </w:r>
      <w:r w:rsidR="000679DC" w:rsidRPr="00FF2A2F">
        <w:rPr>
          <w:iCs/>
          <w:color w:val="auto"/>
        </w:rPr>
        <w:t>management</w:t>
      </w:r>
      <w:r w:rsidR="00CB314C" w:rsidRPr="00FF2A2F">
        <w:rPr>
          <w:iCs/>
          <w:color w:val="auto"/>
        </w:rPr>
        <w:t xml:space="preserve"> meetings will also provide a formal opportunity to reflect, learn, and refocus. Learning will focus on each stakeholder’s role in contributing to the </w:t>
      </w:r>
      <w:r w:rsidR="00CE32B9" w:rsidRPr="00FF2A2F">
        <w:rPr>
          <w:iCs/>
          <w:color w:val="auto"/>
        </w:rPr>
        <w:t xml:space="preserve">investment’s </w:t>
      </w:r>
      <w:r w:rsidR="00CB314C" w:rsidRPr="00FF2A2F">
        <w:rPr>
          <w:iCs/>
          <w:color w:val="auto"/>
        </w:rPr>
        <w:t xml:space="preserve">EOPO. It will identify what has worked, what has not worked, and how it can be improved. DFAT will initiate events to share learnings more formally with stakeholders where it will add value. </w:t>
      </w:r>
    </w:p>
    <w:p w14:paraId="36E0C13A" w14:textId="32EF81FA" w:rsidR="00CB314C" w:rsidRPr="00FF2A2F" w:rsidRDefault="00E6131F" w:rsidP="00E6131F">
      <w:pPr>
        <w:spacing w:before="120" w:line="260" w:lineRule="atLeast"/>
        <w:ind w:left="0" w:firstLine="0"/>
        <w:rPr>
          <w:iCs/>
          <w:color w:val="auto"/>
        </w:rPr>
      </w:pPr>
      <w:r w:rsidRPr="00FF2A2F">
        <w:rPr>
          <w:iCs/>
          <w:color w:val="auto"/>
        </w:rPr>
        <w:t xml:space="preserve">126. </w:t>
      </w:r>
      <w:r w:rsidR="00CB314C" w:rsidRPr="00FF2A2F">
        <w:rPr>
          <w:iCs/>
          <w:color w:val="auto"/>
        </w:rPr>
        <w:t xml:space="preserve">The investment will be </w:t>
      </w:r>
      <w:r w:rsidR="00C45022" w:rsidRPr="00FF2A2F">
        <w:rPr>
          <w:iCs/>
          <w:color w:val="auto"/>
        </w:rPr>
        <w:t xml:space="preserve">independently </w:t>
      </w:r>
      <w:r w:rsidR="00CB314C" w:rsidRPr="00FF2A2F">
        <w:rPr>
          <w:iCs/>
          <w:color w:val="auto"/>
        </w:rPr>
        <w:t xml:space="preserve">reviewed at the mid-point of the </w:t>
      </w:r>
      <w:r w:rsidR="00A65AB1" w:rsidRPr="00FF2A2F">
        <w:rPr>
          <w:iCs/>
          <w:color w:val="auto"/>
        </w:rPr>
        <w:t>five</w:t>
      </w:r>
      <w:r w:rsidR="00CB314C" w:rsidRPr="00FF2A2F">
        <w:rPr>
          <w:iCs/>
          <w:color w:val="auto"/>
        </w:rPr>
        <w:t xml:space="preserve">-year investment period, with the option of an evaluation at the end of the </w:t>
      </w:r>
      <w:r w:rsidR="00A65AB1" w:rsidRPr="00FF2A2F">
        <w:rPr>
          <w:iCs/>
          <w:color w:val="auto"/>
        </w:rPr>
        <w:t>five</w:t>
      </w:r>
      <w:r w:rsidR="00CB314C" w:rsidRPr="00FF2A2F">
        <w:rPr>
          <w:iCs/>
          <w:color w:val="auto"/>
        </w:rPr>
        <w:t xml:space="preserve"> years. These processes will assess performance against outcomes and select DFAT quality criteria. A focused review of the investment or individual partners may be conducted at any time, should the monitoring processes identify a cause for concern.  </w:t>
      </w:r>
    </w:p>
    <w:p w14:paraId="67619F5E" w14:textId="1FE50118" w:rsidR="00CB314C" w:rsidRPr="00FF2A2F" w:rsidRDefault="00E6131F" w:rsidP="00E6131F">
      <w:pPr>
        <w:spacing w:before="120" w:line="260" w:lineRule="atLeast"/>
        <w:ind w:left="0" w:firstLine="0"/>
        <w:rPr>
          <w:iCs/>
          <w:color w:val="auto"/>
        </w:rPr>
      </w:pPr>
      <w:r w:rsidRPr="00FF2A2F">
        <w:rPr>
          <w:iCs/>
          <w:color w:val="auto"/>
        </w:rPr>
        <w:t xml:space="preserve">127. </w:t>
      </w:r>
      <w:r w:rsidR="00CB314C" w:rsidRPr="00FF2A2F">
        <w:rPr>
          <w:iCs/>
          <w:color w:val="auto"/>
        </w:rPr>
        <w:t>The following principles underpin the approach to</w:t>
      </w:r>
      <w:r w:rsidR="003918BA" w:rsidRPr="00FF2A2F">
        <w:rPr>
          <w:iCs/>
          <w:color w:val="auto"/>
        </w:rPr>
        <w:t xml:space="preserve"> the</w:t>
      </w:r>
      <w:r w:rsidR="00CB314C" w:rsidRPr="00FF2A2F">
        <w:rPr>
          <w:iCs/>
          <w:color w:val="auto"/>
        </w:rPr>
        <w:t xml:space="preserve"> MEL Framework: </w:t>
      </w:r>
    </w:p>
    <w:p w14:paraId="279D3ADB" w14:textId="6C0E4747" w:rsidR="00CB314C" w:rsidRPr="00FF2A2F" w:rsidRDefault="00CB314C" w:rsidP="00CA2443">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Focused on understanding and building knowledge of the broader </w:t>
      </w:r>
      <w:r w:rsidR="00F95701" w:rsidRPr="00FF2A2F">
        <w:rPr>
          <w:rFonts w:eastAsia="Times New Roman" w:cs="Times New Roman"/>
          <w:color w:val="auto"/>
          <w:sz w:val="21"/>
          <w:szCs w:val="24"/>
          <w:lang w:val="en-AU"/>
        </w:rPr>
        <w:t>DRM</w:t>
      </w:r>
      <w:r w:rsidRPr="00FF2A2F">
        <w:rPr>
          <w:rFonts w:eastAsia="Times New Roman" w:cs="Times New Roman"/>
          <w:color w:val="auto"/>
          <w:sz w:val="21"/>
          <w:szCs w:val="24"/>
          <w:lang w:val="en-AU"/>
        </w:rPr>
        <w:t xml:space="preserve"> landscape: </w:t>
      </w:r>
      <w:r w:rsidR="003918BA" w:rsidRPr="00FF2A2F">
        <w:rPr>
          <w:rFonts w:eastAsia="Times New Roman" w:cs="Times New Roman"/>
          <w:color w:val="auto"/>
          <w:sz w:val="21"/>
          <w:szCs w:val="24"/>
          <w:lang w:val="en-AU"/>
        </w:rPr>
        <w:t>The investment</w:t>
      </w:r>
      <w:r w:rsidRPr="00FF2A2F">
        <w:rPr>
          <w:rFonts w:eastAsia="Times New Roman" w:cs="Times New Roman"/>
          <w:color w:val="auto"/>
          <w:sz w:val="21"/>
          <w:szCs w:val="24"/>
          <w:lang w:val="en-AU"/>
        </w:rPr>
        <w:t xml:space="preserve"> is committed to building an evidence base around </w:t>
      </w:r>
      <w:r w:rsidR="00F95701" w:rsidRPr="00FF2A2F">
        <w:rPr>
          <w:rFonts w:eastAsia="Times New Roman" w:cs="Times New Roman"/>
          <w:color w:val="auto"/>
          <w:sz w:val="21"/>
          <w:szCs w:val="24"/>
          <w:lang w:val="en-AU"/>
        </w:rPr>
        <w:t>DRM</w:t>
      </w:r>
      <w:r w:rsidR="00936889" w:rsidRPr="00FF2A2F">
        <w:rPr>
          <w:rFonts w:eastAsia="Times New Roman" w:cs="Times New Roman"/>
          <w:color w:val="auto"/>
          <w:sz w:val="21"/>
          <w:szCs w:val="24"/>
          <w:lang w:val="en-AU"/>
        </w:rPr>
        <w:t xml:space="preserve"> in Tonga</w:t>
      </w:r>
      <w:r w:rsidRPr="00FF2A2F">
        <w:rPr>
          <w:rFonts w:eastAsia="Times New Roman" w:cs="Times New Roman"/>
          <w:color w:val="auto"/>
          <w:sz w:val="21"/>
          <w:szCs w:val="24"/>
          <w:lang w:val="en-AU"/>
        </w:rPr>
        <w:t xml:space="preserve"> </w:t>
      </w:r>
      <w:r w:rsidR="00C24BA1" w:rsidRPr="00FF2A2F">
        <w:rPr>
          <w:rFonts w:eastAsia="Times New Roman" w:cs="Times New Roman"/>
          <w:color w:val="auto"/>
          <w:sz w:val="21"/>
          <w:szCs w:val="24"/>
          <w:lang w:val="en-AU"/>
        </w:rPr>
        <w:t xml:space="preserve">and </w:t>
      </w:r>
      <w:r w:rsidRPr="00FF2A2F">
        <w:rPr>
          <w:rFonts w:eastAsia="Times New Roman" w:cs="Times New Roman"/>
          <w:color w:val="auto"/>
          <w:sz w:val="21"/>
          <w:szCs w:val="24"/>
          <w:lang w:val="en-AU"/>
        </w:rPr>
        <w:t xml:space="preserve">understanding how its work can support contextually appropriate change. </w:t>
      </w:r>
    </w:p>
    <w:p w14:paraId="3E8F432D" w14:textId="53F5C938" w:rsidR="00CB314C" w:rsidRPr="00FF2A2F" w:rsidRDefault="00CB314C" w:rsidP="00CA2443">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Utilisation-focused: Data collection and analysis will be designed to directly meet the needs and interests of key stakeholders, monitor risk, and support learning, adaptive management, and decision making. </w:t>
      </w:r>
    </w:p>
    <w:p w14:paraId="1910F136" w14:textId="2AC221E2" w:rsidR="00CB314C" w:rsidRPr="00FF2A2F" w:rsidRDefault="00CB314C" w:rsidP="00CA2443">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Responsive to GEDSI considerations: </w:t>
      </w:r>
      <w:r w:rsidR="003918BA" w:rsidRPr="00FF2A2F">
        <w:rPr>
          <w:rFonts w:eastAsia="Times New Roman" w:cs="Times New Roman"/>
          <w:color w:val="auto"/>
          <w:sz w:val="21"/>
          <w:szCs w:val="24"/>
          <w:lang w:val="en-AU"/>
        </w:rPr>
        <w:t>Investment</w:t>
      </w:r>
      <w:r w:rsidRPr="00FF2A2F">
        <w:rPr>
          <w:rFonts w:eastAsia="Times New Roman" w:cs="Times New Roman"/>
          <w:color w:val="auto"/>
          <w:sz w:val="21"/>
          <w:szCs w:val="24"/>
          <w:lang w:val="en-AU"/>
        </w:rPr>
        <w:t xml:space="preserve"> will seek to understand who is</w:t>
      </w:r>
      <w:r w:rsidR="00D32540" w:rsidRPr="00FF2A2F">
        <w:rPr>
          <w:rFonts w:eastAsia="Times New Roman" w:cs="Times New Roman"/>
          <w:color w:val="auto"/>
          <w:sz w:val="21"/>
          <w:szCs w:val="24"/>
          <w:lang w:val="en-AU"/>
        </w:rPr>
        <w:t xml:space="preserve"> </w:t>
      </w:r>
      <w:r w:rsidRPr="00FF2A2F">
        <w:rPr>
          <w:rFonts w:eastAsia="Times New Roman" w:cs="Times New Roman"/>
          <w:color w:val="auto"/>
          <w:sz w:val="21"/>
          <w:szCs w:val="24"/>
          <w:lang w:val="en-AU"/>
        </w:rPr>
        <w:t>/</w:t>
      </w:r>
      <w:r w:rsidR="00D32540" w:rsidRPr="00FF2A2F">
        <w:rPr>
          <w:rFonts w:eastAsia="Times New Roman" w:cs="Times New Roman"/>
          <w:color w:val="auto"/>
          <w:sz w:val="21"/>
          <w:szCs w:val="24"/>
          <w:lang w:val="en-AU"/>
        </w:rPr>
        <w:t xml:space="preserve"> </w:t>
      </w:r>
      <w:r w:rsidRPr="00FF2A2F">
        <w:rPr>
          <w:rFonts w:eastAsia="Times New Roman" w:cs="Times New Roman"/>
          <w:color w:val="auto"/>
          <w:sz w:val="21"/>
          <w:szCs w:val="24"/>
          <w:lang w:val="en-AU"/>
        </w:rPr>
        <w:t xml:space="preserve">is not engaged in its work, how its activities impact on diverse groups, and to build evidence that supports policy advocacy and programming to elevate diverse voices and meet their needs. </w:t>
      </w:r>
    </w:p>
    <w:p w14:paraId="03A8C98A" w14:textId="77777777" w:rsidR="00E6131F" w:rsidRPr="00FF2A2F" w:rsidRDefault="00CB314C" w:rsidP="00E6131F">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Committed to locally led deve</w:t>
      </w:r>
      <w:r w:rsidR="00480677" w:rsidRPr="00FF2A2F">
        <w:rPr>
          <w:rFonts w:eastAsia="Times New Roman" w:cs="Times New Roman"/>
          <w:color w:val="auto"/>
          <w:sz w:val="21"/>
          <w:szCs w:val="24"/>
          <w:lang w:val="en-AU"/>
        </w:rPr>
        <w:t>lopment and humanitarian action,</w:t>
      </w:r>
      <w:r w:rsidRPr="00FF2A2F">
        <w:rPr>
          <w:rFonts w:eastAsia="Times New Roman" w:cs="Times New Roman"/>
          <w:color w:val="auto"/>
          <w:sz w:val="21"/>
          <w:szCs w:val="24"/>
          <w:lang w:val="en-AU"/>
        </w:rPr>
        <w:t xml:space="preserve"> and supporting genuine enabling environments for localised practice: Using contextually relevant and culturally responsive methods and tools across the MEL cycle of the investment. </w:t>
      </w:r>
      <w:r w:rsidR="00480677" w:rsidRPr="00FF2A2F">
        <w:rPr>
          <w:rFonts w:eastAsia="Times New Roman" w:cs="Times New Roman"/>
          <w:color w:val="auto"/>
          <w:sz w:val="21"/>
          <w:szCs w:val="24"/>
          <w:lang w:val="en-AU"/>
        </w:rPr>
        <w:t xml:space="preserve">Tongan or Pacific MEL capability should be utilised in the first instance.  </w:t>
      </w:r>
    </w:p>
    <w:p w14:paraId="5FF1A81A" w14:textId="4DB06894" w:rsidR="00CB314C" w:rsidRPr="00FF2A2F" w:rsidRDefault="00CB314C" w:rsidP="00E6131F">
      <w:pPr>
        <w:tabs>
          <w:tab w:val="left" w:pos="284"/>
        </w:tabs>
        <w:spacing w:before="120" w:line="260" w:lineRule="atLeast"/>
        <w:ind w:left="0" w:firstLine="0"/>
        <w:rPr>
          <w:rFonts w:eastAsia="Times New Roman" w:cs="Times New Roman"/>
          <w:color w:val="auto"/>
          <w:sz w:val="21"/>
          <w:szCs w:val="24"/>
          <w:lang w:val="en-AU"/>
        </w:rPr>
      </w:pPr>
      <w:r w:rsidRPr="00FF2A2F">
        <w:rPr>
          <w:rFonts w:eastAsia="Times New Roman" w:cs="Times New Roman"/>
          <w:b/>
          <w:bCs/>
          <w:color w:val="auto"/>
          <w:lang w:val="en-AU"/>
        </w:rPr>
        <w:t xml:space="preserve">Key Evaluation Questions </w:t>
      </w:r>
    </w:p>
    <w:p w14:paraId="04FDEE28" w14:textId="2A9338E0" w:rsidR="00CB314C" w:rsidRPr="00FF2A2F" w:rsidRDefault="00491B46" w:rsidP="00E6131F">
      <w:pPr>
        <w:spacing w:before="120" w:line="260" w:lineRule="atLeast"/>
        <w:ind w:left="0" w:firstLine="0"/>
        <w:rPr>
          <w:iCs/>
          <w:color w:val="auto"/>
        </w:rPr>
      </w:pPr>
      <w:r w:rsidRPr="00FF2A2F">
        <w:rPr>
          <w:iCs/>
          <w:color w:val="auto"/>
        </w:rPr>
        <w:t>128</w:t>
      </w:r>
      <w:r w:rsidR="00F95701" w:rsidRPr="00FF2A2F">
        <w:rPr>
          <w:iCs/>
          <w:color w:val="auto"/>
        </w:rPr>
        <w:t>.</w:t>
      </w:r>
      <w:r w:rsidR="00E6131F" w:rsidRPr="00FF2A2F">
        <w:rPr>
          <w:iCs/>
          <w:color w:val="auto"/>
        </w:rPr>
        <w:t xml:space="preserve"> </w:t>
      </w:r>
      <w:r w:rsidR="00CB314C" w:rsidRPr="00FF2A2F">
        <w:rPr>
          <w:iCs/>
          <w:color w:val="auto"/>
        </w:rPr>
        <w:t xml:space="preserve">A selection of questions has been formulated and may form the basis for review or evaluation at the mid-point and the end of the investment. It is assumed these will be adapted as the investment matures.  </w:t>
      </w:r>
    </w:p>
    <w:p w14:paraId="79578F0B" w14:textId="77777777" w:rsidR="00D938C1" w:rsidRPr="00FF2A2F" w:rsidRDefault="00D938C1" w:rsidP="00E6131F">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To what extent has the GoT been able to provide the leadership and resourcing to progress the DRM Policy and associated actions?</w:t>
      </w:r>
    </w:p>
    <w:p w14:paraId="2F1795FA" w14:textId="77777777" w:rsidR="00D938C1" w:rsidRPr="00FF2A2F" w:rsidRDefault="00D938C1" w:rsidP="00E6131F">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In what ways have CSOs championed community priorities and locally led preparation and response? </w:t>
      </w:r>
    </w:p>
    <w:p w14:paraId="36E170C3" w14:textId="354739F8" w:rsidR="00D938C1" w:rsidRPr="00FF2A2F" w:rsidRDefault="00D938C1" w:rsidP="00E6131F">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In what ways are cluster stakeholders changing their communication or behaviour? Is there evidence of more cohesion and collaboration amongst stakeholders?</w:t>
      </w:r>
    </w:p>
    <w:p w14:paraId="01AFB39F" w14:textId="77777777" w:rsidR="00D938C1" w:rsidRPr="00FF2A2F" w:rsidRDefault="00D938C1" w:rsidP="00E6131F">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lastRenderedPageBreak/>
        <w:t>To what extent is the investment locally owned and influenced at all stages of the DRM cycle (preparedness, response, recovery)? How have DFAT and other international DRM partners supported local leadership? (ALNAP)</w:t>
      </w:r>
    </w:p>
    <w:p w14:paraId="4C8A98E0" w14:textId="77777777" w:rsidR="00D938C1" w:rsidRPr="00FF2A2F" w:rsidRDefault="00D938C1" w:rsidP="00E6131F">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To what extent did the investment work in ways that were efficient, maximising outcomes from available time and resources?  </w:t>
      </w:r>
    </w:p>
    <w:p w14:paraId="7C17B977" w14:textId="77777777" w:rsidR="00D938C1" w:rsidRPr="00FF2A2F" w:rsidRDefault="00D938C1" w:rsidP="00E6131F">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To what extent and how has the investment increased the number of people with disabilities, women, and other socially disadvantaged groups participating in investment activities? </w:t>
      </w:r>
    </w:p>
    <w:p w14:paraId="3533173F" w14:textId="77777777" w:rsidR="00D938C1" w:rsidRPr="00FF2A2F" w:rsidRDefault="00D938C1" w:rsidP="00E6131F">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How effective is the investment’s MEL Plan for reporting and for providing data and evidence for prioritisation and adaptation? </w:t>
      </w:r>
    </w:p>
    <w:p w14:paraId="040FA009" w14:textId="77777777" w:rsidR="00D938C1" w:rsidRPr="00FF2A2F" w:rsidRDefault="00D938C1" w:rsidP="00E6131F">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To what extent is the investment fulfilling its value proposition as described in its design?</w:t>
      </w:r>
    </w:p>
    <w:p w14:paraId="667B2C12" w14:textId="77777777" w:rsidR="00D938C1" w:rsidRPr="00FF2A2F" w:rsidRDefault="00D938C1" w:rsidP="00E6131F">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Are DFAT’s management arrangements for the investment providing effective and efficient delivery of activities, including proactive risk management? What changes are recommended? </w:t>
      </w:r>
    </w:p>
    <w:p w14:paraId="6AC51ABD" w14:textId="0719639F" w:rsidR="00CB314C" w:rsidRPr="00FF2A2F" w:rsidRDefault="00CB314C" w:rsidP="00E6131F">
      <w:pPr>
        <w:tabs>
          <w:tab w:val="left" w:pos="284"/>
        </w:tabs>
        <w:spacing w:before="120" w:line="260" w:lineRule="atLeast"/>
        <w:ind w:left="0" w:firstLine="0"/>
        <w:rPr>
          <w:rFonts w:eastAsia="Times New Roman" w:cs="Times New Roman"/>
          <w:color w:val="auto"/>
          <w:sz w:val="21"/>
          <w:szCs w:val="24"/>
          <w:lang w:val="en-AU"/>
        </w:rPr>
      </w:pPr>
      <w:r w:rsidRPr="00FF2A2F">
        <w:rPr>
          <w:rFonts w:eastAsia="Times New Roman" w:cs="Times New Roman"/>
          <w:b/>
          <w:bCs/>
          <w:color w:val="auto"/>
          <w:lang w:val="en-AU"/>
        </w:rPr>
        <w:t xml:space="preserve">Processes and Reporting   </w:t>
      </w:r>
    </w:p>
    <w:p w14:paraId="56C3CCE6" w14:textId="4C196892" w:rsidR="00CB314C" w:rsidRPr="00FF2A2F" w:rsidRDefault="00491B46" w:rsidP="00E6131F">
      <w:pPr>
        <w:tabs>
          <w:tab w:val="left" w:pos="284"/>
        </w:tabs>
        <w:spacing w:before="120" w:line="260" w:lineRule="atLeast"/>
        <w:ind w:left="0" w:firstLine="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129. </w:t>
      </w:r>
      <w:r w:rsidR="00CB314C" w:rsidRPr="00FF2A2F">
        <w:rPr>
          <w:rFonts w:eastAsia="Times New Roman" w:cs="Times New Roman"/>
          <w:color w:val="auto"/>
          <w:sz w:val="21"/>
          <w:szCs w:val="24"/>
          <w:lang w:val="en-AU"/>
        </w:rPr>
        <w:t>During the inception phase the following activities are expected</w:t>
      </w:r>
      <w:r w:rsidR="003F3304" w:rsidRPr="00FF2A2F">
        <w:rPr>
          <w:rFonts w:eastAsia="Times New Roman" w:cs="Times New Roman"/>
          <w:color w:val="auto"/>
          <w:sz w:val="21"/>
          <w:szCs w:val="24"/>
          <w:lang w:val="en-AU"/>
        </w:rPr>
        <w:t>:</w:t>
      </w:r>
      <w:r w:rsidR="00CB314C" w:rsidRPr="00FF2A2F">
        <w:rPr>
          <w:rFonts w:eastAsia="Times New Roman" w:cs="Times New Roman"/>
          <w:color w:val="auto"/>
          <w:sz w:val="21"/>
          <w:szCs w:val="24"/>
          <w:lang w:val="en-AU"/>
        </w:rPr>
        <w:t xml:space="preserve"> </w:t>
      </w:r>
    </w:p>
    <w:p w14:paraId="635325BB" w14:textId="77777777" w:rsidR="00CB314C" w:rsidRPr="00FF2A2F" w:rsidRDefault="00CB314C" w:rsidP="00491B46">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MEL practitioners engaged; full MEL Plan and tools to be developed.  </w:t>
      </w:r>
    </w:p>
    <w:p w14:paraId="0773C28A" w14:textId="15B3A841" w:rsidR="00CB314C" w:rsidRPr="00FF2A2F" w:rsidRDefault="00CB314C" w:rsidP="00491B46">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G</w:t>
      </w:r>
      <w:r w:rsidR="00745A32" w:rsidRPr="00FF2A2F">
        <w:rPr>
          <w:rFonts w:eastAsia="Times New Roman" w:cs="Times New Roman"/>
          <w:color w:val="auto"/>
          <w:sz w:val="21"/>
          <w:szCs w:val="24"/>
          <w:lang w:val="en-AU"/>
        </w:rPr>
        <w:t>EDSI p</w:t>
      </w:r>
      <w:r w:rsidRPr="00FF2A2F">
        <w:rPr>
          <w:rFonts w:eastAsia="Times New Roman" w:cs="Times New Roman"/>
          <w:color w:val="auto"/>
          <w:sz w:val="21"/>
          <w:szCs w:val="24"/>
          <w:lang w:val="en-AU"/>
        </w:rPr>
        <w:t>ractitioners</w:t>
      </w:r>
      <w:r w:rsidR="00665FBD" w:rsidRPr="00FF2A2F">
        <w:rPr>
          <w:rFonts w:eastAsia="Times New Roman" w:cs="Times New Roman"/>
          <w:color w:val="auto"/>
          <w:sz w:val="21"/>
          <w:szCs w:val="24"/>
          <w:lang w:val="en-AU"/>
        </w:rPr>
        <w:t xml:space="preserve"> engaged as required to ensure the</w:t>
      </w:r>
      <w:r w:rsidRPr="00FF2A2F">
        <w:rPr>
          <w:rFonts w:eastAsia="Times New Roman" w:cs="Times New Roman"/>
          <w:color w:val="auto"/>
          <w:sz w:val="21"/>
          <w:szCs w:val="24"/>
          <w:lang w:val="en-AU"/>
        </w:rPr>
        <w:t xml:space="preserve"> MEL Plan that includes GEDSI markers and tools.  </w:t>
      </w:r>
    </w:p>
    <w:p w14:paraId="7A06D2FC" w14:textId="15370152" w:rsidR="00CB314C" w:rsidRPr="00FF2A2F" w:rsidRDefault="00CB314C" w:rsidP="00491B46">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Investment baseline developed.   </w:t>
      </w:r>
    </w:p>
    <w:p w14:paraId="690408DA" w14:textId="68F7D4CA" w:rsidR="00CB314C" w:rsidRPr="00FF2A2F" w:rsidRDefault="00CB314C" w:rsidP="00491B46">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MEL Plan and tools quality assured.  </w:t>
      </w:r>
    </w:p>
    <w:p w14:paraId="689572FC" w14:textId="77777777" w:rsidR="00491B46" w:rsidRPr="00FF2A2F" w:rsidRDefault="00491B46" w:rsidP="00491B46">
      <w:pPr>
        <w:tabs>
          <w:tab w:val="left" w:pos="284"/>
        </w:tabs>
        <w:spacing w:before="120" w:line="260" w:lineRule="atLeast"/>
        <w:ind w:left="0" w:firstLine="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130. </w:t>
      </w:r>
      <w:r w:rsidR="00CB314C" w:rsidRPr="00FF2A2F">
        <w:rPr>
          <w:rFonts w:eastAsia="Times New Roman" w:cs="Times New Roman"/>
          <w:color w:val="auto"/>
          <w:sz w:val="21"/>
          <w:szCs w:val="24"/>
          <w:lang w:val="en-AU"/>
        </w:rPr>
        <w:t xml:space="preserve">Alongside this, there will be a series of ongoing, bi-annual, annual, mid-point and ad-hoc activities: </w:t>
      </w:r>
    </w:p>
    <w:p w14:paraId="7C183079" w14:textId="77777777" w:rsidR="00491B46" w:rsidRPr="00FF2A2F" w:rsidRDefault="00491B46" w:rsidP="00491B46">
      <w:pPr>
        <w:tabs>
          <w:tab w:val="left" w:pos="284"/>
        </w:tabs>
        <w:spacing w:before="120" w:line="260" w:lineRule="atLeast"/>
        <w:ind w:left="0" w:firstLine="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131. </w:t>
      </w:r>
      <w:r w:rsidR="00CB314C" w:rsidRPr="00FF2A2F">
        <w:rPr>
          <w:rFonts w:eastAsia="Times New Roman" w:cs="Times New Roman"/>
          <w:color w:val="auto"/>
          <w:sz w:val="21"/>
          <w:szCs w:val="24"/>
          <w:lang w:val="en-AU"/>
        </w:rPr>
        <w:t>Ongoing</w:t>
      </w:r>
      <w:r w:rsidRPr="00FF2A2F">
        <w:rPr>
          <w:rFonts w:eastAsia="Times New Roman" w:cs="Times New Roman"/>
          <w:color w:val="auto"/>
          <w:sz w:val="21"/>
          <w:szCs w:val="24"/>
          <w:lang w:val="en-AU"/>
        </w:rPr>
        <w:t xml:space="preserve"> activities include an o</w:t>
      </w:r>
      <w:r w:rsidR="00CB314C" w:rsidRPr="00FF2A2F">
        <w:rPr>
          <w:rFonts w:eastAsia="Times New Roman" w:cs="Times New Roman"/>
          <w:color w:val="auto"/>
          <w:sz w:val="21"/>
          <w:szCs w:val="24"/>
          <w:lang w:val="en-AU"/>
        </w:rPr>
        <w:t xml:space="preserve">pportunity for regular engagement and monitoring in-country, including with investment participants as appropriate.  </w:t>
      </w:r>
    </w:p>
    <w:p w14:paraId="7021C64F" w14:textId="75AC6F5A" w:rsidR="00CB314C" w:rsidRPr="00FF2A2F" w:rsidRDefault="00491B46" w:rsidP="00491B46">
      <w:pPr>
        <w:tabs>
          <w:tab w:val="left" w:pos="284"/>
        </w:tabs>
        <w:spacing w:before="120" w:line="260" w:lineRule="atLeast"/>
        <w:ind w:left="0" w:firstLine="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132. </w:t>
      </w:r>
      <w:r w:rsidR="00CB314C" w:rsidRPr="00FF2A2F">
        <w:rPr>
          <w:rFonts w:eastAsia="Times New Roman" w:cs="Times New Roman"/>
          <w:color w:val="auto"/>
          <w:sz w:val="21"/>
          <w:szCs w:val="24"/>
          <w:lang w:val="en-AU"/>
        </w:rPr>
        <w:t>Bi-annual</w:t>
      </w:r>
      <w:r w:rsidRPr="00FF2A2F">
        <w:rPr>
          <w:rFonts w:eastAsia="Times New Roman" w:cs="Times New Roman"/>
          <w:color w:val="auto"/>
          <w:sz w:val="21"/>
          <w:szCs w:val="24"/>
          <w:lang w:val="en-AU"/>
        </w:rPr>
        <w:t xml:space="preserve"> activities include</w:t>
      </w:r>
    </w:p>
    <w:p w14:paraId="0C3C1F24" w14:textId="0B2CEB60" w:rsidR="00CB314C" w:rsidRPr="00FF2A2F" w:rsidRDefault="00CB314C" w:rsidP="00491B46">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Progress reporting: These reports should adhere to DFAT </w:t>
      </w:r>
      <w:r w:rsidR="00085A09" w:rsidRPr="00FF2A2F">
        <w:rPr>
          <w:rFonts w:eastAsia="Times New Roman" w:cs="Times New Roman"/>
          <w:color w:val="auto"/>
          <w:sz w:val="21"/>
          <w:szCs w:val="24"/>
          <w:lang w:val="en-AU"/>
        </w:rPr>
        <w:t>D</w:t>
      </w:r>
      <w:r w:rsidR="009F665A" w:rsidRPr="00FF2A2F">
        <w:rPr>
          <w:rFonts w:eastAsia="Times New Roman" w:cs="Times New Roman"/>
          <w:color w:val="auto"/>
          <w:sz w:val="21"/>
          <w:szCs w:val="24"/>
          <w:lang w:val="en-AU"/>
        </w:rPr>
        <w:t>esign, Monitoring and Evaluation</w:t>
      </w:r>
      <w:r w:rsidRPr="00FF2A2F">
        <w:rPr>
          <w:rFonts w:eastAsia="Times New Roman" w:cs="Times New Roman"/>
          <w:color w:val="auto"/>
          <w:sz w:val="21"/>
          <w:szCs w:val="24"/>
          <w:lang w:val="en-AU"/>
        </w:rPr>
        <w:t xml:space="preserve"> </w:t>
      </w:r>
      <w:r w:rsidR="00085A09" w:rsidRPr="00FF2A2F">
        <w:rPr>
          <w:rFonts w:eastAsia="Times New Roman" w:cs="Times New Roman"/>
          <w:color w:val="auto"/>
          <w:sz w:val="21"/>
          <w:szCs w:val="24"/>
          <w:lang w:val="en-AU"/>
        </w:rPr>
        <w:t>S</w:t>
      </w:r>
      <w:r w:rsidRPr="00FF2A2F">
        <w:rPr>
          <w:rFonts w:eastAsia="Times New Roman" w:cs="Times New Roman"/>
          <w:color w:val="auto"/>
          <w:sz w:val="21"/>
          <w:szCs w:val="24"/>
          <w:lang w:val="en-AU"/>
        </w:rPr>
        <w:t xml:space="preserve">tandards but may be infographic/ presentation based and report against EOPO and IOs utilising case studies. </w:t>
      </w:r>
    </w:p>
    <w:p w14:paraId="40E316AB" w14:textId="1CDB5F2F" w:rsidR="00CB314C" w:rsidRPr="00FF2A2F" w:rsidRDefault="00CB314C" w:rsidP="00491B46">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In-country progress discussions</w:t>
      </w:r>
      <w:r w:rsidR="00531339" w:rsidRPr="00FF2A2F">
        <w:rPr>
          <w:rFonts w:eastAsia="Times New Roman" w:cs="Times New Roman"/>
          <w:color w:val="auto"/>
          <w:sz w:val="21"/>
          <w:szCs w:val="24"/>
          <w:lang w:val="en-AU"/>
        </w:rPr>
        <w:t>: f</w:t>
      </w:r>
      <w:r w:rsidR="004E03AD" w:rsidRPr="00FF2A2F">
        <w:rPr>
          <w:rFonts w:eastAsia="Times New Roman" w:cs="Times New Roman"/>
          <w:color w:val="auto"/>
          <w:sz w:val="21"/>
          <w:szCs w:val="24"/>
          <w:lang w:val="en-AU"/>
        </w:rPr>
        <w:t>ormal opportunities</w:t>
      </w:r>
      <w:r w:rsidR="00531339" w:rsidRPr="00FF2A2F">
        <w:rPr>
          <w:rFonts w:eastAsia="Times New Roman" w:cs="Times New Roman"/>
          <w:color w:val="auto"/>
          <w:sz w:val="21"/>
          <w:szCs w:val="24"/>
          <w:lang w:val="en-AU"/>
        </w:rPr>
        <w:t xml:space="preserve"> </w:t>
      </w:r>
      <w:r w:rsidR="00793708" w:rsidRPr="00FF2A2F">
        <w:rPr>
          <w:rFonts w:eastAsia="Times New Roman" w:cs="Times New Roman"/>
          <w:color w:val="auto"/>
          <w:sz w:val="21"/>
          <w:szCs w:val="24"/>
          <w:lang w:val="en-AU"/>
        </w:rPr>
        <w:t>for all stakeholders to</w:t>
      </w:r>
      <w:r w:rsidR="004E03AD" w:rsidRPr="00FF2A2F">
        <w:rPr>
          <w:rFonts w:eastAsia="Times New Roman" w:cs="Times New Roman"/>
          <w:color w:val="auto"/>
          <w:sz w:val="21"/>
          <w:szCs w:val="24"/>
          <w:lang w:val="en-AU"/>
        </w:rPr>
        <w:t xml:space="preserve"> report on progress and standards</w:t>
      </w:r>
      <w:r w:rsidR="00323FE5" w:rsidRPr="00FF2A2F">
        <w:rPr>
          <w:rFonts w:eastAsia="Times New Roman" w:cs="Times New Roman"/>
          <w:color w:val="auto"/>
          <w:sz w:val="21"/>
          <w:szCs w:val="24"/>
          <w:lang w:val="en-AU"/>
        </w:rPr>
        <w:t xml:space="preserve">, peer review </w:t>
      </w:r>
      <w:r w:rsidR="002A664C" w:rsidRPr="00FF2A2F">
        <w:rPr>
          <w:rFonts w:eastAsia="Times New Roman" w:cs="Times New Roman"/>
          <w:color w:val="auto"/>
          <w:sz w:val="21"/>
          <w:szCs w:val="24"/>
          <w:lang w:val="en-AU"/>
        </w:rPr>
        <w:t xml:space="preserve">others’ work </w:t>
      </w:r>
      <w:r w:rsidR="00323FE5" w:rsidRPr="00FF2A2F">
        <w:rPr>
          <w:rFonts w:eastAsia="Times New Roman" w:cs="Times New Roman"/>
          <w:color w:val="auto"/>
          <w:sz w:val="21"/>
          <w:szCs w:val="24"/>
          <w:lang w:val="en-AU"/>
        </w:rPr>
        <w:t>and build mutual accountability.</w:t>
      </w:r>
      <w:r w:rsidR="002A664C" w:rsidRPr="00FF2A2F">
        <w:rPr>
          <w:rFonts w:eastAsia="Times New Roman" w:cs="Times New Roman"/>
          <w:color w:val="auto"/>
          <w:sz w:val="21"/>
          <w:szCs w:val="24"/>
          <w:lang w:val="en-AU"/>
        </w:rPr>
        <w:t xml:space="preserve"> This establishes a </w:t>
      </w:r>
      <w:r w:rsidR="004E03AD" w:rsidRPr="00FF2A2F">
        <w:rPr>
          <w:rFonts w:eastAsia="Times New Roman" w:cs="Times New Roman"/>
          <w:color w:val="auto"/>
          <w:sz w:val="21"/>
          <w:szCs w:val="24"/>
          <w:lang w:val="en-AU"/>
        </w:rPr>
        <w:t>process for locally led accountability</w:t>
      </w:r>
      <w:r w:rsidR="002A664C" w:rsidRPr="00FF2A2F">
        <w:rPr>
          <w:rFonts w:eastAsia="Times New Roman" w:cs="Times New Roman"/>
          <w:color w:val="auto"/>
          <w:sz w:val="21"/>
          <w:szCs w:val="24"/>
          <w:lang w:val="en-AU"/>
        </w:rPr>
        <w:t xml:space="preserve"> for when </w:t>
      </w:r>
      <w:r w:rsidR="004E03AD" w:rsidRPr="00FF2A2F">
        <w:rPr>
          <w:rFonts w:eastAsia="Times New Roman" w:cs="Times New Roman"/>
          <w:color w:val="auto"/>
          <w:sz w:val="21"/>
          <w:szCs w:val="24"/>
          <w:lang w:val="en-AU"/>
        </w:rPr>
        <w:t>a disaster strikes.</w:t>
      </w:r>
    </w:p>
    <w:p w14:paraId="59A2997F" w14:textId="086B67F7" w:rsidR="002A664C" w:rsidRPr="00FF2A2F" w:rsidRDefault="00007B48" w:rsidP="00491B46">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P</w:t>
      </w:r>
      <w:r w:rsidR="002A664C" w:rsidRPr="00FF2A2F">
        <w:rPr>
          <w:rFonts w:eastAsia="Times New Roman" w:cs="Times New Roman"/>
          <w:color w:val="auto"/>
          <w:sz w:val="21"/>
          <w:szCs w:val="24"/>
          <w:lang w:val="en-AU"/>
        </w:rPr>
        <w:t>artner performance meetings.</w:t>
      </w:r>
    </w:p>
    <w:p w14:paraId="6D181CDB" w14:textId="3AB71332" w:rsidR="00CB314C" w:rsidRPr="00FF2A2F" w:rsidRDefault="00491B46" w:rsidP="00491B46">
      <w:pPr>
        <w:tabs>
          <w:tab w:val="left" w:pos="284"/>
        </w:tabs>
        <w:spacing w:before="120" w:line="260" w:lineRule="atLeast"/>
        <w:ind w:left="0" w:firstLine="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133. Annual activities include: </w:t>
      </w:r>
      <w:r w:rsidR="00CB314C" w:rsidRPr="00FF2A2F">
        <w:rPr>
          <w:rFonts w:eastAsia="Times New Roman" w:cs="Times New Roman"/>
          <w:color w:val="auto"/>
          <w:sz w:val="21"/>
          <w:szCs w:val="24"/>
          <w:lang w:val="en-AU"/>
        </w:rPr>
        <w:t>DFAT’s annual Investment Quality Reporting processes including IMRs</w:t>
      </w:r>
      <w:r w:rsidR="00E13E10" w:rsidRPr="00FF2A2F">
        <w:rPr>
          <w:rFonts w:eastAsia="Times New Roman" w:cs="Times New Roman"/>
          <w:color w:val="auto"/>
          <w:sz w:val="21"/>
          <w:szCs w:val="24"/>
          <w:lang w:val="en-AU"/>
        </w:rPr>
        <w:t xml:space="preserve"> and</w:t>
      </w:r>
      <w:r w:rsidR="00CB314C" w:rsidRPr="00FF2A2F">
        <w:rPr>
          <w:rFonts w:eastAsia="Times New Roman" w:cs="Times New Roman"/>
          <w:color w:val="auto"/>
          <w:sz w:val="21"/>
          <w:szCs w:val="24"/>
          <w:lang w:val="en-AU"/>
        </w:rPr>
        <w:t xml:space="preserve"> Tier 2 and 3 indicators</w:t>
      </w:r>
      <w:r w:rsidR="00E13E10" w:rsidRPr="00FF2A2F">
        <w:rPr>
          <w:rFonts w:eastAsia="Times New Roman" w:cs="Times New Roman"/>
          <w:color w:val="auto"/>
          <w:sz w:val="21"/>
          <w:szCs w:val="24"/>
          <w:lang w:val="en-AU"/>
        </w:rPr>
        <w:t>.</w:t>
      </w:r>
      <w:r w:rsidR="00CB314C" w:rsidRPr="00FF2A2F">
        <w:rPr>
          <w:rFonts w:eastAsia="Times New Roman" w:cs="Times New Roman"/>
          <w:color w:val="auto"/>
          <w:sz w:val="21"/>
          <w:szCs w:val="24"/>
          <w:lang w:val="en-AU"/>
        </w:rPr>
        <w:t xml:space="preserve"> </w:t>
      </w:r>
    </w:p>
    <w:p w14:paraId="2FE5D4AE" w14:textId="53755392" w:rsidR="00CB314C" w:rsidRPr="00FF2A2F" w:rsidRDefault="00491B46" w:rsidP="00491B46">
      <w:pPr>
        <w:tabs>
          <w:tab w:val="left" w:pos="284"/>
        </w:tabs>
        <w:spacing w:before="120" w:line="260" w:lineRule="atLeast"/>
        <w:ind w:left="0" w:firstLine="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134: </w:t>
      </w:r>
      <w:r w:rsidR="00CB314C" w:rsidRPr="00FF2A2F">
        <w:rPr>
          <w:rFonts w:eastAsia="Times New Roman" w:cs="Times New Roman"/>
          <w:color w:val="auto"/>
          <w:sz w:val="21"/>
          <w:szCs w:val="24"/>
          <w:lang w:val="en-AU"/>
        </w:rPr>
        <w:t>Mid-point and end</w:t>
      </w:r>
      <w:r w:rsidRPr="00FF2A2F">
        <w:rPr>
          <w:rFonts w:eastAsia="Times New Roman" w:cs="Times New Roman"/>
          <w:color w:val="auto"/>
          <w:sz w:val="21"/>
          <w:szCs w:val="24"/>
          <w:lang w:val="en-AU"/>
        </w:rPr>
        <w:t xml:space="preserve"> activities include</w:t>
      </w:r>
      <w:r w:rsidR="00CB314C" w:rsidRPr="00FF2A2F">
        <w:rPr>
          <w:rFonts w:eastAsia="Times New Roman" w:cs="Times New Roman"/>
          <w:color w:val="auto"/>
          <w:sz w:val="21"/>
          <w:szCs w:val="24"/>
          <w:lang w:val="en-AU"/>
        </w:rPr>
        <w:t xml:space="preserve">: </w:t>
      </w:r>
      <w:r w:rsidRPr="00FF2A2F">
        <w:rPr>
          <w:rFonts w:eastAsia="Times New Roman" w:cs="Times New Roman"/>
          <w:color w:val="auto"/>
          <w:sz w:val="21"/>
          <w:szCs w:val="24"/>
          <w:lang w:val="en-AU"/>
        </w:rPr>
        <w:t>I</w:t>
      </w:r>
      <w:r w:rsidR="00CB314C" w:rsidRPr="00FF2A2F">
        <w:rPr>
          <w:rFonts w:eastAsia="Times New Roman" w:cs="Times New Roman"/>
          <w:color w:val="auto"/>
          <w:sz w:val="21"/>
          <w:szCs w:val="24"/>
          <w:lang w:val="en-AU"/>
        </w:rPr>
        <w:t>ndependent review/evaluation</w:t>
      </w:r>
      <w:r w:rsidRPr="00FF2A2F">
        <w:rPr>
          <w:rFonts w:eastAsia="Times New Roman" w:cs="Times New Roman"/>
          <w:color w:val="auto"/>
          <w:sz w:val="21"/>
          <w:szCs w:val="24"/>
          <w:lang w:val="en-AU"/>
        </w:rPr>
        <w:t xml:space="preserve"> and </w:t>
      </w:r>
      <w:r w:rsidR="00CB314C" w:rsidRPr="00FF2A2F">
        <w:rPr>
          <w:rFonts w:eastAsia="Times New Roman" w:cs="Times New Roman"/>
          <w:color w:val="auto"/>
          <w:sz w:val="21"/>
          <w:szCs w:val="24"/>
          <w:lang w:val="en-AU"/>
        </w:rPr>
        <w:t xml:space="preserve">End of program report (Year </w:t>
      </w:r>
      <w:r w:rsidR="00085A09" w:rsidRPr="00FF2A2F">
        <w:rPr>
          <w:rFonts w:eastAsia="Times New Roman" w:cs="Times New Roman"/>
          <w:color w:val="auto"/>
          <w:sz w:val="21"/>
          <w:szCs w:val="24"/>
          <w:lang w:val="en-AU"/>
        </w:rPr>
        <w:t>5</w:t>
      </w:r>
      <w:r w:rsidR="00CB314C" w:rsidRPr="00FF2A2F">
        <w:rPr>
          <w:rFonts w:eastAsia="Times New Roman" w:cs="Times New Roman"/>
          <w:color w:val="auto"/>
          <w:sz w:val="21"/>
          <w:szCs w:val="24"/>
          <w:lang w:val="en-AU"/>
        </w:rPr>
        <w:t xml:space="preserve">). </w:t>
      </w:r>
    </w:p>
    <w:p w14:paraId="2FFD0393" w14:textId="67FDA4F5" w:rsidR="00CB314C" w:rsidRPr="00FF2A2F" w:rsidRDefault="00491B46" w:rsidP="00491B46">
      <w:pPr>
        <w:tabs>
          <w:tab w:val="left" w:pos="284"/>
        </w:tabs>
        <w:spacing w:before="120" w:line="260" w:lineRule="atLeast"/>
        <w:ind w:left="0" w:firstLine="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135. </w:t>
      </w:r>
      <w:r w:rsidR="00CB314C" w:rsidRPr="00FF2A2F">
        <w:rPr>
          <w:rFonts w:eastAsia="Times New Roman" w:cs="Times New Roman"/>
          <w:color w:val="auto"/>
          <w:sz w:val="21"/>
          <w:szCs w:val="24"/>
          <w:lang w:val="en-AU"/>
        </w:rPr>
        <w:t>Ad-hoc</w:t>
      </w:r>
      <w:r w:rsidRPr="00FF2A2F">
        <w:rPr>
          <w:rFonts w:eastAsia="Times New Roman" w:cs="Times New Roman"/>
          <w:color w:val="auto"/>
          <w:sz w:val="21"/>
          <w:szCs w:val="24"/>
          <w:lang w:val="en-AU"/>
        </w:rPr>
        <w:t xml:space="preserve"> activities include: </w:t>
      </w:r>
    </w:p>
    <w:p w14:paraId="471957F2" w14:textId="75B10DF0" w:rsidR="00B218C5" w:rsidRPr="00FF2A2F" w:rsidRDefault="00B218C5" w:rsidP="00491B46">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After Action Review</w:t>
      </w:r>
      <w:r w:rsidR="005B1778" w:rsidRPr="00FF2A2F">
        <w:rPr>
          <w:rFonts w:eastAsia="Times New Roman" w:cs="Times New Roman"/>
          <w:color w:val="auto"/>
          <w:sz w:val="21"/>
          <w:szCs w:val="24"/>
          <w:lang w:val="en-AU"/>
        </w:rPr>
        <w:t>s.</w:t>
      </w:r>
    </w:p>
    <w:p w14:paraId="581D8A2E" w14:textId="68A2C2D5" w:rsidR="00CB314C" w:rsidRPr="00FF2A2F" w:rsidRDefault="00CB314C" w:rsidP="00491B46">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 xml:space="preserve">Whole-of-program and/or partner review if concerns are identified. </w:t>
      </w:r>
    </w:p>
    <w:p w14:paraId="56F18450" w14:textId="1DD84CD3" w:rsidR="002D3613" w:rsidRDefault="003E7453" w:rsidP="00491B46">
      <w:pPr>
        <w:pStyle w:val="ListParagraph"/>
        <w:numPr>
          <w:ilvl w:val="0"/>
          <w:numId w:val="17"/>
        </w:numPr>
        <w:tabs>
          <w:tab w:val="left" w:pos="284"/>
        </w:tabs>
        <w:spacing w:before="120" w:line="260" w:lineRule="atLeast"/>
        <w:contextualSpacing w:val="0"/>
        <w:rPr>
          <w:rFonts w:eastAsia="Times New Roman" w:cs="Times New Roman"/>
          <w:color w:val="auto"/>
          <w:sz w:val="21"/>
          <w:szCs w:val="24"/>
          <w:lang w:val="en-AU"/>
        </w:rPr>
      </w:pPr>
      <w:r w:rsidRPr="00FF2A2F">
        <w:rPr>
          <w:rFonts w:eastAsia="Times New Roman" w:cs="Times New Roman"/>
          <w:color w:val="auto"/>
          <w:sz w:val="21"/>
          <w:szCs w:val="24"/>
          <w:lang w:val="en-AU"/>
        </w:rPr>
        <w:t>M</w:t>
      </w:r>
      <w:r w:rsidR="00CB314C" w:rsidRPr="00FF2A2F">
        <w:rPr>
          <w:rFonts w:eastAsia="Times New Roman" w:cs="Times New Roman"/>
          <w:color w:val="auto"/>
          <w:sz w:val="21"/>
          <w:szCs w:val="24"/>
          <w:lang w:val="en-AU"/>
        </w:rPr>
        <w:t xml:space="preserve">onitoring </w:t>
      </w:r>
      <w:r w:rsidRPr="00FF2A2F">
        <w:rPr>
          <w:rFonts w:eastAsia="Times New Roman" w:cs="Times New Roman"/>
          <w:color w:val="auto"/>
          <w:sz w:val="21"/>
          <w:szCs w:val="24"/>
          <w:lang w:val="en-AU"/>
        </w:rPr>
        <w:t>visits</w:t>
      </w:r>
      <w:r w:rsidR="00CB314C" w:rsidRPr="00FF2A2F">
        <w:rPr>
          <w:rFonts w:eastAsia="Times New Roman" w:cs="Times New Roman"/>
          <w:color w:val="auto"/>
          <w:sz w:val="21"/>
          <w:szCs w:val="24"/>
          <w:lang w:val="en-AU"/>
        </w:rPr>
        <w:t xml:space="preserve">. </w:t>
      </w:r>
    </w:p>
    <w:p w14:paraId="0E07F5ED" w14:textId="77777777" w:rsidR="002D3613" w:rsidRDefault="002D3613">
      <w:pPr>
        <w:rPr>
          <w:rFonts w:eastAsia="Times New Roman" w:cs="Times New Roman"/>
          <w:color w:val="auto"/>
          <w:sz w:val="21"/>
          <w:szCs w:val="24"/>
          <w:lang w:val="en-AU"/>
        </w:rPr>
      </w:pPr>
      <w:r>
        <w:rPr>
          <w:rFonts w:eastAsia="Times New Roman" w:cs="Times New Roman"/>
          <w:color w:val="auto"/>
          <w:sz w:val="21"/>
          <w:szCs w:val="24"/>
          <w:lang w:val="en-AU"/>
        </w:rPr>
        <w:br w:type="page"/>
      </w:r>
    </w:p>
    <w:p w14:paraId="1A4693C5" w14:textId="2DB33BD0" w:rsidR="00A32858" w:rsidRPr="00FF2A2F" w:rsidRDefault="00C77675" w:rsidP="00491B46">
      <w:pPr>
        <w:pStyle w:val="Heading2"/>
        <w:ind w:hanging="568"/>
        <w:rPr>
          <w:color w:val="auto"/>
          <w:sz w:val="32"/>
          <w:szCs w:val="32"/>
        </w:rPr>
      </w:pPr>
      <w:bookmarkStart w:id="12" w:name="_Toc214543665"/>
      <w:bookmarkEnd w:id="11"/>
      <w:r w:rsidRPr="00FF2A2F">
        <w:rPr>
          <w:color w:val="auto"/>
          <w:sz w:val="32"/>
          <w:szCs w:val="32"/>
        </w:rPr>
        <w:lastRenderedPageBreak/>
        <w:t xml:space="preserve">G: </w:t>
      </w:r>
      <w:r w:rsidR="00A32858" w:rsidRPr="00FF2A2F">
        <w:rPr>
          <w:color w:val="auto"/>
          <w:sz w:val="32"/>
          <w:szCs w:val="32"/>
        </w:rPr>
        <w:t>Gender</w:t>
      </w:r>
      <w:r w:rsidR="005509E9" w:rsidRPr="00FF2A2F">
        <w:rPr>
          <w:color w:val="auto"/>
          <w:sz w:val="32"/>
          <w:szCs w:val="32"/>
        </w:rPr>
        <w:t xml:space="preserve"> Equality</w:t>
      </w:r>
      <w:r w:rsidR="00A32858" w:rsidRPr="00FF2A2F">
        <w:rPr>
          <w:color w:val="auto"/>
          <w:sz w:val="32"/>
          <w:szCs w:val="32"/>
        </w:rPr>
        <w:t>, Disability</w:t>
      </w:r>
      <w:r w:rsidR="00D714CC" w:rsidRPr="00FF2A2F">
        <w:rPr>
          <w:color w:val="auto"/>
          <w:sz w:val="32"/>
          <w:szCs w:val="32"/>
        </w:rPr>
        <w:t xml:space="preserve"> </w:t>
      </w:r>
      <w:r w:rsidR="006629AB" w:rsidRPr="00FF2A2F">
        <w:rPr>
          <w:color w:val="auto"/>
          <w:sz w:val="32"/>
          <w:szCs w:val="32"/>
        </w:rPr>
        <w:t>Equity</w:t>
      </w:r>
      <w:r w:rsidR="005509E9" w:rsidRPr="00FF2A2F">
        <w:rPr>
          <w:color w:val="auto"/>
          <w:sz w:val="32"/>
          <w:szCs w:val="32"/>
        </w:rPr>
        <w:t>, Climate Change,</w:t>
      </w:r>
      <w:r w:rsidR="00A32858" w:rsidRPr="00FF2A2F">
        <w:rPr>
          <w:color w:val="auto"/>
          <w:sz w:val="32"/>
          <w:szCs w:val="32"/>
        </w:rPr>
        <w:t xml:space="preserve"> and Other </w:t>
      </w:r>
      <w:r w:rsidR="00546F37" w:rsidRPr="00FF2A2F">
        <w:rPr>
          <w:color w:val="auto"/>
          <w:sz w:val="32"/>
          <w:szCs w:val="32"/>
        </w:rPr>
        <w:t>Cross-</w:t>
      </w:r>
      <w:r w:rsidR="00A32858" w:rsidRPr="00FF2A2F">
        <w:rPr>
          <w:color w:val="auto"/>
          <w:sz w:val="32"/>
          <w:szCs w:val="32"/>
        </w:rPr>
        <w:t>Cutting Issues</w:t>
      </w:r>
      <w:bookmarkEnd w:id="12"/>
    </w:p>
    <w:p w14:paraId="209F9BB3" w14:textId="1824B411" w:rsidR="00A32858" w:rsidRPr="00FF2A2F" w:rsidRDefault="00A32858" w:rsidP="00213362">
      <w:pPr>
        <w:ind w:left="284"/>
        <w:rPr>
          <w:b/>
          <w:bCs/>
          <w:iCs/>
          <w:color w:val="auto"/>
        </w:rPr>
      </w:pPr>
      <w:r w:rsidRPr="00FF2A2F">
        <w:rPr>
          <w:b/>
          <w:bCs/>
          <w:iCs/>
          <w:color w:val="auto"/>
        </w:rPr>
        <w:t xml:space="preserve">Gender </w:t>
      </w:r>
      <w:r w:rsidR="006629AB" w:rsidRPr="00FF2A2F">
        <w:rPr>
          <w:b/>
          <w:bCs/>
          <w:iCs/>
          <w:color w:val="auto"/>
        </w:rPr>
        <w:t>Equality, Disability</w:t>
      </w:r>
      <w:r w:rsidR="00BA28E1" w:rsidRPr="00FF2A2F">
        <w:rPr>
          <w:b/>
          <w:bCs/>
          <w:iCs/>
          <w:color w:val="auto"/>
        </w:rPr>
        <w:t xml:space="preserve"> Equity and </w:t>
      </w:r>
      <w:r w:rsidR="00051876" w:rsidRPr="00FF2A2F">
        <w:rPr>
          <w:b/>
          <w:bCs/>
          <w:iCs/>
          <w:color w:val="auto"/>
        </w:rPr>
        <w:t xml:space="preserve">Social </w:t>
      </w:r>
      <w:r w:rsidR="00EC491F" w:rsidRPr="00FF2A2F">
        <w:rPr>
          <w:b/>
          <w:bCs/>
          <w:iCs/>
          <w:color w:val="auto"/>
        </w:rPr>
        <w:t>Inclusion</w:t>
      </w:r>
    </w:p>
    <w:p w14:paraId="5F6ABD3B" w14:textId="1A535C8D" w:rsidR="00956880" w:rsidRPr="00FF2A2F" w:rsidRDefault="00491B46" w:rsidP="00D81D94">
      <w:pPr>
        <w:suppressAutoHyphens/>
        <w:spacing w:before="120" w:line="260" w:lineRule="atLeast"/>
        <w:ind w:left="0" w:firstLine="0"/>
        <w:rPr>
          <w:rFonts w:eastAsiaTheme="minorEastAsia"/>
          <w:color w:val="auto"/>
          <w:sz w:val="21"/>
          <w:szCs w:val="21"/>
          <w:lang w:val="en-AU"/>
        </w:rPr>
      </w:pPr>
      <w:r w:rsidRPr="00FF2A2F">
        <w:rPr>
          <w:rFonts w:eastAsiaTheme="minorEastAsia"/>
          <w:color w:val="auto"/>
          <w:sz w:val="21"/>
          <w:szCs w:val="21"/>
          <w:lang w:val="en-AU"/>
        </w:rPr>
        <w:t xml:space="preserve">136. </w:t>
      </w:r>
      <w:r w:rsidR="003918BA" w:rsidRPr="00FF2A2F">
        <w:rPr>
          <w:rFonts w:eastAsia="Times New Roman" w:cs="Times New Roman"/>
          <w:color w:val="auto"/>
          <w:sz w:val="21"/>
          <w:szCs w:val="24"/>
          <w:lang w:val="en-AU"/>
        </w:rPr>
        <w:t>This investment</w:t>
      </w:r>
      <w:r w:rsidR="00956880" w:rsidRPr="00FF2A2F">
        <w:rPr>
          <w:rFonts w:eastAsiaTheme="minorEastAsia"/>
          <w:color w:val="auto"/>
          <w:sz w:val="21"/>
          <w:szCs w:val="21"/>
          <w:lang w:val="en-AU"/>
        </w:rPr>
        <w:t xml:space="preserve"> will contribute to the achievement of GEDSI priorities shared by Australia and Tonga through its focus on improving GEDSI outcomes across the disaster management cycle. The approach aligns with Australia's commitment to inclusive humanitarian action, recognising that addressing gender inequalities, the marginalisation of people with disabilities, and social exclusion is fundamental to achieving sustainable progress. </w:t>
      </w:r>
    </w:p>
    <w:p w14:paraId="5357FA54" w14:textId="6EBDAC82" w:rsidR="00A60862" w:rsidRPr="00FF2A2F" w:rsidRDefault="00491B46" w:rsidP="00D81D94">
      <w:pPr>
        <w:suppressAutoHyphens/>
        <w:spacing w:before="120" w:line="260" w:lineRule="atLeast"/>
        <w:ind w:left="0" w:firstLine="0"/>
        <w:rPr>
          <w:color w:val="auto"/>
          <w:sz w:val="21"/>
          <w:szCs w:val="21"/>
        </w:rPr>
      </w:pPr>
      <w:r w:rsidRPr="00FF2A2F">
        <w:rPr>
          <w:color w:val="auto"/>
          <w:sz w:val="21"/>
          <w:szCs w:val="21"/>
        </w:rPr>
        <w:t xml:space="preserve">137. </w:t>
      </w:r>
      <w:r w:rsidR="00E113DD" w:rsidRPr="00FF2A2F">
        <w:rPr>
          <w:color w:val="auto"/>
          <w:sz w:val="21"/>
          <w:szCs w:val="21"/>
        </w:rPr>
        <w:t>The following analysis draws on a literature review</w:t>
      </w:r>
      <w:r w:rsidR="00997A12" w:rsidRPr="00FF2A2F">
        <w:rPr>
          <w:color w:val="auto"/>
          <w:sz w:val="21"/>
          <w:szCs w:val="21"/>
        </w:rPr>
        <w:t xml:space="preserve"> and </w:t>
      </w:r>
      <w:r w:rsidR="00E113DD" w:rsidRPr="00FF2A2F">
        <w:rPr>
          <w:color w:val="auto"/>
          <w:sz w:val="21"/>
          <w:szCs w:val="21"/>
        </w:rPr>
        <w:t xml:space="preserve">in-country consultations with women’s organisations and </w:t>
      </w:r>
      <w:r w:rsidR="00D81D94" w:rsidRPr="00FF2A2F">
        <w:rPr>
          <w:color w:val="auto"/>
          <w:sz w:val="21"/>
          <w:szCs w:val="21"/>
        </w:rPr>
        <w:t>OPDs</w:t>
      </w:r>
      <w:r w:rsidR="00E113DD" w:rsidRPr="00FF2A2F">
        <w:rPr>
          <w:color w:val="auto"/>
          <w:sz w:val="21"/>
          <w:szCs w:val="21"/>
        </w:rPr>
        <w:t xml:space="preserve">. </w:t>
      </w:r>
      <w:r w:rsidR="00A60862" w:rsidRPr="00FF2A2F">
        <w:rPr>
          <w:rFonts w:eastAsia="Times New Roman" w:cs="Times New Roman"/>
          <w:color w:val="auto"/>
          <w:sz w:val="21"/>
          <w:szCs w:val="21"/>
        </w:rPr>
        <w:t xml:space="preserve">Humanitarian crises exacerbate existing inequities and unequal social norms, increasing the risk that women and girls will be subject to gender-based violence (GBV), including sexual assault and harassment. This heightened threat of violence also prevents women and girls from accessing essential supplies and infrastructure, including </w:t>
      </w:r>
      <w:r w:rsidR="00523940" w:rsidRPr="00FF2A2F">
        <w:rPr>
          <w:rFonts w:eastAsia="Times New Roman" w:cs="Times New Roman"/>
          <w:color w:val="auto"/>
          <w:sz w:val="21"/>
          <w:szCs w:val="21"/>
        </w:rPr>
        <w:t xml:space="preserve">water and sanitation </w:t>
      </w:r>
      <w:r w:rsidR="00A60862" w:rsidRPr="00FF2A2F">
        <w:rPr>
          <w:rFonts w:eastAsia="Times New Roman" w:cs="Times New Roman"/>
          <w:color w:val="auto"/>
          <w:sz w:val="21"/>
          <w:szCs w:val="21"/>
        </w:rPr>
        <w:t>facilities, menstrual health and hygiene products, and vital, life-saving nutrition. By limiting access to essential sexual and reproductive health care services, disasters and post-conflict crises also precipitate higher rates of maternal and child mortality. These deprivations are so extreme that the WHO estimates 60</w:t>
      </w:r>
      <w:r w:rsidR="00615EC3" w:rsidRPr="00FF2A2F">
        <w:rPr>
          <w:rFonts w:eastAsia="Times New Roman" w:cs="Times New Roman"/>
          <w:color w:val="auto"/>
          <w:sz w:val="21"/>
          <w:szCs w:val="21"/>
        </w:rPr>
        <w:t xml:space="preserve">% </w:t>
      </w:r>
      <w:r w:rsidR="00A60862" w:rsidRPr="00FF2A2F">
        <w:rPr>
          <w:rFonts w:eastAsia="Times New Roman" w:cs="Times New Roman"/>
          <w:color w:val="auto"/>
          <w:sz w:val="21"/>
          <w:szCs w:val="21"/>
        </w:rPr>
        <w:t>of preventable maternal mortality occurs in countries affected by humanitarian crises.</w:t>
      </w:r>
      <w:r w:rsidR="00A60862" w:rsidRPr="00FF2A2F">
        <w:rPr>
          <w:rStyle w:val="FootnoteReference"/>
          <w:rFonts w:eastAsia="Times New Roman" w:cs="Times New Roman"/>
          <w:color w:val="auto"/>
          <w:sz w:val="21"/>
          <w:szCs w:val="21"/>
        </w:rPr>
        <w:footnoteReference w:id="7"/>
      </w:r>
      <w:r w:rsidR="00A60862" w:rsidRPr="00FF2A2F">
        <w:rPr>
          <w:rFonts w:eastAsia="Times New Roman" w:cs="Times New Roman"/>
          <w:color w:val="auto"/>
          <w:sz w:val="21"/>
          <w:szCs w:val="21"/>
        </w:rPr>
        <w:t xml:space="preserve"> </w:t>
      </w:r>
    </w:p>
    <w:p w14:paraId="690C56DB" w14:textId="40E9A92E" w:rsidR="00DB261A" w:rsidRPr="00FF2A2F" w:rsidRDefault="00491B46" w:rsidP="00D81D94">
      <w:pPr>
        <w:tabs>
          <w:tab w:val="left" w:pos="284"/>
        </w:tabs>
        <w:spacing w:before="120" w:line="260" w:lineRule="atLeast"/>
        <w:ind w:left="0" w:firstLine="0"/>
        <w:rPr>
          <w:rFonts w:eastAsia="Times New Roman" w:cs="Times New Roman"/>
          <w:color w:val="auto"/>
          <w:sz w:val="21"/>
          <w:szCs w:val="21"/>
        </w:rPr>
      </w:pPr>
      <w:r w:rsidRPr="00FF2A2F">
        <w:rPr>
          <w:rFonts w:eastAsia="Times New Roman" w:cs="Times New Roman"/>
          <w:color w:val="auto"/>
          <w:sz w:val="21"/>
          <w:szCs w:val="21"/>
        </w:rPr>
        <w:t xml:space="preserve">138. </w:t>
      </w:r>
      <w:r w:rsidR="00A60862" w:rsidRPr="00FF2A2F">
        <w:rPr>
          <w:rFonts w:eastAsia="Times New Roman" w:cs="Times New Roman"/>
          <w:color w:val="auto"/>
          <w:sz w:val="21"/>
          <w:szCs w:val="21"/>
        </w:rPr>
        <w:t>These gendered deprivations are exacerbated and compounded by other social identities, norms, and relations to which women and girls may be subject, including poverty, LGBTIQA+ identity, ethno-linguistic heritage, age, and disability status, among others.</w:t>
      </w:r>
      <w:r w:rsidR="00A60862" w:rsidRPr="00FF2A2F">
        <w:rPr>
          <w:rStyle w:val="FootnoteReference"/>
          <w:i/>
          <w:color w:val="auto"/>
          <w:sz w:val="21"/>
          <w:szCs w:val="21"/>
        </w:rPr>
        <w:t xml:space="preserve"> </w:t>
      </w:r>
      <w:r w:rsidR="00A60862" w:rsidRPr="00FF2A2F">
        <w:rPr>
          <w:rStyle w:val="FootnoteReference"/>
          <w:color w:val="auto"/>
          <w:sz w:val="21"/>
          <w:szCs w:val="21"/>
        </w:rPr>
        <w:footnoteReference w:id="8"/>
      </w:r>
      <w:r w:rsidR="00A60862" w:rsidRPr="00FF2A2F">
        <w:rPr>
          <w:rFonts w:eastAsia="Times New Roman" w:cs="Times New Roman"/>
          <w:color w:val="auto"/>
          <w:sz w:val="21"/>
          <w:szCs w:val="21"/>
        </w:rPr>
        <w:t xml:space="preserve"> These intersectional experiences of relative privilege and oppression create complex needs to which adequate and appropriate humanitarian interventions can and must respond. </w:t>
      </w:r>
      <w:r w:rsidR="00FC3136" w:rsidRPr="00FF2A2F">
        <w:rPr>
          <w:rFonts w:eastAsia="Times New Roman" w:cs="Times New Roman"/>
          <w:color w:val="auto"/>
          <w:sz w:val="21"/>
          <w:szCs w:val="21"/>
        </w:rPr>
        <w:t xml:space="preserve">At the same time, </w:t>
      </w:r>
      <w:r w:rsidR="009B0F88" w:rsidRPr="00FF2A2F">
        <w:rPr>
          <w:rFonts w:eastAsia="Times New Roman" w:cs="Times New Roman"/>
          <w:color w:val="auto"/>
          <w:sz w:val="21"/>
          <w:szCs w:val="21"/>
        </w:rPr>
        <w:t xml:space="preserve">women with the appropriate </w:t>
      </w:r>
      <w:r w:rsidR="00A45BE6" w:rsidRPr="00FF2A2F">
        <w:rPr>
          <w:rFonts w:eastAsia="Times New Roman" w:cs="Times New Roman"/>
          <w:color w:val="auto"/>
          <w:sz w:val="21"/>
          <w:szCs w:val="21"/>
        </w:rPr>
        <w:t xml:space="preserve">support, </w:t>
      </w:r>
      <w:r w:rsidR="009B0F88" w:rsidRPr="00FF2A2F">
        <w:rPr>
          <w:rFonts w:eastAsia="Times New Roman" w:cs="Times New Roman"/>
          <w:color w:val="auto"/>
          <w:sz w:val="21"/>
          <w:szCs w:val="21"/>
        </w:rPr>
        <w:t xml:space="preserve">resources and leadership roles </w:t>
      </w:r>
      <w:r w:rsidR="0099066D" w:rsidRPr="00FF2A2F">
        <w:rPr>
          <w:rFonts w:eastAsia="Times New Roman" w:cs="Times New Roman"/>
          <w:color w:val="auto"/>
          <w:sz w:val="21"/>
          <w:szCs w:val="21"/>
        </w:rPr>
        <w:t>can contribute to more inclusive preparedness, response and recovery.</w:t>
      </w:r>
      <w:r w:rsidR="009B0F88" w:rsidRPr="00FF2A2F">
        <w:rPr>
          <w:rFonts w:eastAsia="Times New Roman" w:cs="Times New Roman"/>
          <w:color w:val="auto"/>
          <w:sz w:val="21"/>
          <w:szCs w:val="21"/>
        </w:rPr>
        <w:t xml:space="preserve"> </w:t>
      </w:r>
    </w:p>
    <w:p w14:paraId="058FD9B5" w14:textId="307A3473" w:rsidR="00DB261A" w:rsidRPr="00FF2A2F" w:rsidRDefault="00491B46" w:rsidP="00D81D94">
      <w:pPr>
        <w:tabs>
          <w:tab w:val="left" w:pos="284"/>
        </w:tabs>
        <w:spacing w:before="120" w:line="260" w:lineRule="atLeast"/>
        <w:ind w:left="0" w:firstLine="0"/>
        <w:rPr>
          <w:rFonts w:eastAsia="Times New Roman" w:cs="Times New Roman"/>
          <w:color w:val="auto"/>
          <w:sz w:val="21"/>
          <w:szCs w:val="21"/>
        </w:rPr>
      </w:pPr>
      <w:r w:rsidRPr="00FF2A2F">
        <w:rPr>
          <w:rFonts w:eastAsia="Times New Roman" w:cs="Times New Roman"/>
          <w:color w:val="auto"/>
          <w:sz w:val="21"/>
          <w:szCs w:val="21"/>
        </w:rPr>
        <w:t xml:space="preserve">139. </w:t>
      </w:r>
      <w:r w:rsidR="00DB261A" w:rsidRPr="00FF2A2F">
        <w:rPr>
          <w:rFonts w:eastAsia="Times New Roman" w:cs="Times New Roman"/>
          <w:color w:val="auto"/>
          <w:sz w:val="21"/>
          <w:szCs w:val="21"/>
        </w:rPr>
        <w:t>People with disabilities face disproportionate risk and their specific needs are seldom catered for as most preparedness activities focus on a “one size fits all” approach. Approximately 15% of the world’s population has some form of disability, however, at a country level, official statistics may state substantially differing and much lower estimates. This is often due to the methodologies used to estimate numbers of people with disabilities. Additionally, disability is extremely varied both in impairment type and severity so, particularly in a rapid onset disaster, it is extremely difficult to know the scale and particular types of assistive devices and other supplies that may be needed.</w:t>
      </w:r>
    </w:p>
    <w:p w14:paraId="76434F89" w14:textId="098DE2A0" w:rsidR="005F071D" w:rsidRPr="00FF2A2F" w:rsidRDefault="00491B46" w:rsidP="00D81D94">
      <w:pPr>
        <w:tabs>
          <w:tab w:val="left" w:pos="284"/>
        </w:tabs>
        <w:spacing w:before="120" w:line="260" w:lineRule="atLeast"/>
        <w:ind w:left="0" w:firstLine="0"/>
        <w:rPr>
          <w:rFonts w:eastAsia="Times New Roman" w:cs="Times New Roman"/>
          <w:color w:val="auto"/>
          <w:sz w:val="21"/>
          <w:szCs w:val="21"/>
        </w:rPr>
      </w:pPr>
      <w:r w:rsidRPr="00FF2A2F">
        <w:rPr>
          <w:rFonts w:eastAsia="Times New Roman" w:cs="Times New Roman"/>
          <w:color w:val="auto"/>
          <w:sz w:val="21"/>
          <w:szCs w:val="21"/>
        </w:rPr>
        <w:t xml:space="preserve">140. </w:t>
      </w:r>
      <w:r w:rsidR="00786EEB" w:rsidRPr="00FF2A2F">
        <w:rPr>
          <w:rFonts w:eastAsia="Times New Roman" w:cs="Times New Roman"/>
          <w:color w:val="auto"/>
          <w:sz w:val="21"/>
          <w:szCs w:val="21"/>
        </w:rPr>
        <w:t>Gender</w:t>
      </w:r>
      <w:r w:rsidR="0034300D" w:rsidRPr="00FF2A2F">
        <w:rPr>
          <w:rFonts w:eastAsia="Times New Roman" w:cs="Times New Roman"/>
          <w:color w:val="auto"/>
          <w:sz w:val="21"/>
          <w:szCs w:val="21"/>
        </w:rPr>
        <w:t xml:space="preserve"> </w:t>
      </w:r>
      <w:r w:rsidR="00786EEB" w:rsidRPr="00FF2A2F">
        <w:rPr>
          <w:rFonts w:eastAsia="Times New Roman" w:cs="Times New Roman"/>
          <w:color w:val="auto"/>
          <w:sz w:val="21"/>
          <w:szCs w:val="21"/>
        </w:rPr>
        <w:t>and disability</w:t>
      </w:r>
      <w:r w:rsidR="0034300D" w:rsidRPr="00FF2A2F">
        <w:rPr>
          <w:rFonts w:eastAsia="Times New Roman" w:cs="Times New Roman"/>
          <w:color w:val="auto"/>
          <w:sz w:val="21"/>
          <w:szCs w:val="21"/>
        </w:rPr>
        <w:t xml:space="preserve"> </w:t>
      </w:r>
      <w:r w:rsidR="00786EEB" w:rsidRPr="00FF2A2F">
        <w:rPr>
          <w:rFonts w:eastAsia="Times New Roman" w:cs="Times New Roman"/>
          <w:color w:val="auto"/>
          <w:sz w:val="21"/>
          <w:szCs w:val="21"/>
        </w:rPr>
        <w:t>responsive disaster risk reduction, preparedness and response</w:t>
      </w:r>
      <w:r w:rsidR="00C06DF4" w:rsidRPr="00FF2A2F">
        <w:rPr>
          <w:rFonts w:eastAsia="Times New Roman" w:cs="Times New Roman"/>
          <w:color w:val="auto"/>
          <w:sz w:val="21"/>
          <w:szCs w:val="21"/>
        </w:rPr>
        <w:t xml:space="preserve"> through </w:t>
      </w:r>
      <w:r w:rsidR="003918BA" w:rsidRPr="00FF2A2F">
        <w:rPr>
          <w:rFonts w:eastAsia="Times New Roman" w:cs="Times New Roman"/>
          <w:color w:val="auto"/>
          <w:sz w:val="21"/>
          <w:szCs w:val="21"/>
        </w:rPr>
        <w:t>the investment</w:t>
      </w:r>
      <w:r w:rsidR="00786EEB" w:rsidRPr="00FF2A2F">
        <w:rPr>
          <w:rFonts w:eastAsia="Times New Roman" w:cs="Times New Roman"/>
          <w:color w:val="auto"/>
          <w:sz w:val="21"/>
          <w:szCs w:val="21"/>
        </w:rPr>
        <w:t xml:space="preserve"> can socialise equitable disaster preparation, management, and response practices and approaches. In pre-</w:t>
      </w:r>
      <w:r w:rsidR="007777A6" w:rsidRPr="00FF2A2F">
        <w:rPr>
          <w:rFonts w:eastAsia="Times New Roman" w:cs="Times New Roman"/>
          <w:color w:val="auto"/>
          <w:sz w:val="21"/>
          <w:szCs w:val="21"/>
        </w:rPr>
        <w:t>disaster</w:t>
      </w:r>
      <w:r w:rsidR="00786EEB" w:rsidRPr="00FF2A2F">
        <w:rPr>
          <w:rFonts w:eastAsia="Times New Roman" w:cs="Times New Roman"/>
          <w:color w:val="auto"/>
          <w:sz w:val="21"/>
          <w:szCs w:val="21"/>
        </w:rPr>
        <w:t xml:space="preserve"> phases, programs can engage women and people with disabilities in planning, preparation, and response activities through ensuring comprehensive and inclusive consultation and participation, inclusion targets for staff and contractors, and gender aware and disability inclusive approaches, training, briefing, and coordination (including distribution protocols). Throughout crises, and in immediate post-</w:t>
      </w:r>
      <w:r w:rsidR="007777A6" w:rsidRPr="00FF2A2F">
        <w:rPr>
          <w:rFonts w:eastAsia="Times New Roman" w:cs="Times New Roman"/>
          <w:color w:val="auto"/>
          <w:sz w:val="21"/>
          <w:szCs w:val="21"/>
        </w:rPr>
        <w:t>disaster</w:t>
      </w:r>
      <w:r w:rsidR="00786EEB" w:rsidRPr="00FF2A2F">
        <w:rPr>
          <w:rFonts w:eastAsia="Times New Roman" w:cs="Times New Roman"/>
          <w:color w:val="auto"/>
          <w:sz w:val="21"/>
          <w:szCs w:val="21"/>
        </w:rPr>
        <w:t xml:space="preserve"> conditions, programs can promote gender responsiveness by targeting </w:t>
      </w:r>
      <w:r w:rsidR="009F30C5" w:rsidRPr="00FF2A2F">
        <w:rPr>
          <w:rFonts w:eastAsia="Times New Roman" w:cs="Times New Roman"/>
          <w:color w:val="auto"/>
          <w:sz w:val="21"/>
          <w:szCs w:val="21"/>
        </w:rPr>
        <w:t>assistance to</w:t>
      </w:r>
      <w:r w:rsidR="00786EEB" w:rsidRPr="00FF2A2F">
        <w:rPr>
          <w:rFonts w:eastAsia="Times New Roman" w:cs="Times New Roman"/>
          <w:color w:val="auto"/>
          <w:sz w:val="21"/>
          <w:szCs w:val="21"/>
        </w:rPr>
        <w:t xml:space="preserve"> female-heads-of-households, remaining sensitive to women’s unpaid care and labour, and ensuring </w:t>
      </w:r>
      <w:r w:rsidR="009F30C5" w:rsidRPr="00FF2A2F">
        <w:rPr>
          <w:rFonts w:eastAsia="Times New Roman" w:cs="Times New Roman"/>
          <w:color w:val="auto"/>
          <w:sz w:val="21"/>
          <w:szCs w:val="21"/>
        </w:rPr>
        <w:t>assistance</w:t>
      </w:r>
      <w:r w:rsidR="00786EEB" w:rsidRPr="00FF2A2F">
        <w:rPr>
          <w:rFonts w:eastAsia="Times New Roman" w:cs="Times New Roman"/>
          <w:color w:val="auto"/>
          <w:sz w:val="21"/>
          <w:szCs w:val="21"/>
        </w:rPr>
        <w:t xml:space="preserve"> and community engagement is scheduled in ways that enhance safety and protection for women and girls, including by ensuring these processes occur during daylight hours. Similarly, these programs can also embed disability responsiveness by ensuring reasonable accommodations are made in the targeting, collection processes and location of HERS, including by maintaining close coordination and communications with OPDs throughout preparation for, and during, </w:t>
      </w:r>
      <w:r w:rsidR="007777A6" w:rsidRPr="00FF2A2F">
        <w:rPr>
          <w:rFonts w:eastAsia="Times New Roman" w:cs="Times New Roman"/>
          <w:color w:val="auto"/>
          <w:sz w:val="21"/>
          <w:szCs w:val="21"/>
        </w:rPr>
        <w:t>disaster</w:t>
      </w:r>
      <w:r w:rsidR="00786EEB" w:rsidRPr="00FF2A2F">
        <w:rPr>
          <w:rFonts w:eastAsia="Times New Roman" w:cs="Times New Roman"/>
          <w:color w:val="auto"/>
          <w:sz w:val="21"/>
          <w:szCs w:val="21"/>
        </w:rPr>
        <w:t xml:space="preserve"> events. </w:t>
      </w:r>
    </w:p>
    <w:p w14:paraId="39AB4AE8" w14:textId="71863A7B" w:rsidR="006027B0" w:rsidRPr="00FF2A2F" w:rsidRDefault="00786412" w:rsidP="00491B46">
      <w:pPr>
        <w:suppressAutoHyphens/>
        <w:spacing w:before="120" w:line="260" w:lineRule="atLeast"/>
        <w:ind w:left="0" w:firstLine="0"/>
        <w:rPr>
          <w:rFonts w:eastAsiaTheme="minorEastAsia"/>
          <w:color w:val="auto"/>
          <w:sz w:val="21"/>
          <w:szCs w:val="21"/>
          <w:lang w:val="en-AU"/>
        </w:rPr>
      </w:pPr>
      <w:r w:rsidRPr="00FF2A2F">
        <w:rPr>
          <w:rFonts w:eastAsiaTheme="minorEastAsia"/>
          <w:color w:val="auto"/>
          <w:sz w:val="21"/>
          <w:szCs w:val="21"/>
          <w:lang w:val="en-AU"/>
        </w:rPr>
        <w:t>1</w:t>
      </w:r>
      <w:r w:rsidR="00491B46" w:rsidRPr="00FF2A2F">
        <w:rPr>
          <w:rFonts w:eastAsiaTheme="minorEastAsia"/>
          <w:color w:val="auto"/>
          <w:sz w:val="21"/>
          <w:szCs w:val="21"/>
          <w:lang w:val="en-AU"/>
        </w:rPr>
        <w:t xml:space="preserve">41. </w:t>
      </w:r>
      <w:r w:rsidR="006027B0" w:rsidRPr="00FF2A2F">
        <w:rPr>
          <w:rFonts w:eastAsiaTheme="minorEastAsia"/>
          <w:color w:val="auto"/>
          <w:sz w:val="21"/>
          <w:szCs w:val="21"/>
          <w:lang w:val="en-AU"/>
        </w:rPr>
        <w:t>The investment enables GEDSI</w:t>
      </w:r>
      <w:r w:rsidR="00F87796" w:rsidRPr="00FF2A2F">
        <w:rPr>
          <w:rFonts w:eastAsiaTheme="minorEastAsia"/>
          <w:color w:val="auto"/>
          <w:sz w:val="21"/>
          <w:szCs w:val="21"/>
          <w:lang w:val="en-AU"/>
        </w:rPr>
        <w:t xml:space="preserve"> mainstreaming</w:t>
      </w:r>
      <w:r w:rsidR="006027B0" w:rsidRPr="00FF2A2F">
        <w:rPr>
          <w:rFonts w:eastAsiaTheme="minorEastAsia"/>
          <w:color w:val="auto"/>
          <w:sz w:val="21"/>
          <w:szCs w:val="21"/>
          <w:lang w:val="en-AU"/>
        </w:rPr>
        <w:t xml:space="preserve"> as being a fundamental </w:t>
      </w:r>
      <w:r w:rsidR="003756E6" w:rsidRPr="00FF2A2F">
        <w:rPr>
          <w:rFonts w:eastAsiaTheme="minorEastAsia"/>
          <w:color w:val="auto"/>
          <w:sz w:val="21"/>
          <w:szCs w:val="21"/>
          <w:lang w:val="en-AU"/>
        </w:rPr>
        <w:t>approach</w:t>
      </w:r>
      <w:r w:rsidR="006027B0" w:rsidRPr="00FF2A2F">
        <w:rPr>
          <w:rFonts w:eastAsiaTheme="minorEastAsia"/>
          <w:color w:val="auto"/>
          <w:sz w:val="21"/>
          <w:szCs w:val="21"/>
          <w:lang w:val="en-AU"/>
        </w:rPr>
        <w:t xml:space="preserve"> underlying and informing all workstreams</w:t>
      </w:r>
      <w:r w:rsidR="00AC040B" w:rsidRPr="00FF2A2F">
        <w:rPr>
          <w:rFonts w:eastAsiaTheme="minorEastAsia"/>
          <w:color w:val="auto"/>
          <w:sz w:val="21"/>
          <w:szCs w:val="21"/>
          <w:lang w:val="en-AU"/>
        </w:rPr>
        <w:t>.</w:t>
      </w:r>
      <w:r w:rsidR="006027B0" w:rsidRPr="00FF2A2F">
        <w:rPr>
          <w:rFonts w:eastAsiaTheme="minorEastAsia"/>
          <w:color w:val="auto"/>
          <w:sz w:val="21"/>
          <w:szCs w:val="21"/>
          <w:lang w:val="en-AU"/>
        </w:rPr>
        <w:t xml:space="preserve"> Key areas where </w:t>
      </w:r>
      <w:bookmarkStart w:id="13" w:name="_Hlk207445215"/>
      <w:r w:rsidR="006027B0" w:rsidRPr="00FF2A2F">
        <w:rPr>
          <w:rFonts w:eastAsiaTheme="minorEastAsia"/>
          <w:color w:val="auto"/>
          <w:sz w:val="21"/>
          <w:szCs w:val="21"/>
          <w:lang w:val="en-AU"/>
        </w:rPr>
        <w:t>GEDSI will be integrated and addressed include:</w:t>
      </w:r>
    </w:p>
    <w:p w14:paraId="7B65836A" w14:textId="6B8C41C6" w:rsidR="006027B0" w:rsidRPr="00FF2A2F" w:rsidRDefault="006027B0" w:rsidP="006B7677">
      <w:pPr>
        <w:numPr>
          <w:ilvl w:val="0"/>
          <w:numId w:val="22"/>
        </w:numPr>
        <w:tabs>
          <w:tab w:val="left" w:pos="709"/>
        </w:tabs>
        <w:suppressAutoHyphens/>
        <w:spacing w:before="120" w:line="260" w:lineRule="atLeast"/>
        <w:ind w:left="993"/>
        <w:rPr>
          <w:rFonts w:eastAsia="Times New Roman" w:cs="Times New Roman"/>
          <w:color w:val="auto"/>
          <w:sz w:val="21"/>
          <w:szCs w:val="21"/>
          <w:lang w:val="en-AU"/>
        </w:rPr>
      </w:pPr>
      <w:r w:rsidRPr="00FF2A2F">
        <w:rPr>
          <w:rFonts w:eastAsia="Times New Roman" w:cs="Times New Roman"/>
          <w:color w:val="auto"/>
          <w:sz w:val="21"/>
          <w:szCs w:val="21"/>
          <w:lang w:val="en-AU"/>
        </w:rPr>
        <w:t>Partnerships with CSOs, including OPDs and women's organisations</w:t>
      </w:r>
      <w:r w:rsidR="00C97E6D" w:rsidRPr="00FF2A2F">
        <w:rPr>
          <w:rFonts w:eastAsia="Times New Roman" w:cs="Times New Roman"/>
          <w:color w:val="auto"/>
          <w:sz w:val="21"/>
          <w:szCs w:val="21"/>
          <w:lang w:val="en-AU"/>
        </w:rPr>
        <w:t>.</w:t>
      </w:r>
    </w:p>
    <w:p w14:paraId="006F713F" w14:textId="4683BFED" w:rsidR="006027B0" w:rsidRPr="00FF2A2F" w:rsidRDefault="00946996" w:rsidP="006B7677">
      <w:pPr>
        <w:numPr>
          <w:ilvl w:val="0"/>
          <w:numId w:val="22"/>
        </w:numPr>
        <w:tabs>
          <w:tab w:val="left" w:pos="709"/>
        </w:tabs>
        <w:suppressAutoHyphens/>
        <w:spacing w:before="120" w:line="260" w:lineRule="atLeast"/>
        <w:ind w:left="993"/>
        <w:rPr>
          <w:rFonts w:eastAsia="Times New Roman" w:cs="Times New Roman"/>
          <w:color w:val="auto"/>
          <w:sz w:val="21"/>
          <w:szCs w:val="21"/>
        </w:rPr>
      </w:pPr>
      <w:r w:rsidRPr="00FF2A2F">
        <w:rPr>
          <w:rFonts w:eastAsia="Times New Roman" w:cs="Times New Roman"/>
          <w:color w:val="auto"/>
          <w:sz w:val="21"/>
          <w:szCs w:val="21"/>
        </w:rPr>
        <w:t>Promotion</w:t>
      </w:r>
      <w:r w:rsidR="006027B0" w:rsidRPr="00FF2A2F">
        <w:rPr>
          <w:rFonts w:eastAsia="Times New Roman" w:cs="Times New Roman"/>
          <w:color w:val="auto"/>
          <w:sz w:val="21"/>
          <w:szCs w:val="21"/>
        </w:rPr>
        <w:t xml:space="preserve"> of GEDSI awareness raising material</w:t>
      </w:r>
      <w:r w:rsidRPr="00FF2A2F">
        <w:rPr>
          <w:rFonts w:eastAsia="Times New Roman" w:cs="Times New Roman"/>
          <w:color w:val="auto"/>
          <w:sz w:val="21"/>
          <w:szCs w:val="21"/>
        </w:rPr>
        <w:t xml:space="preserve"> through </w:t>
      </w:r>
      <w:r w:rsidR="000D1C0B" w:rsidRPr="00FF2A2F">
        <w:rPr>
          <w:rFonts w:eastAsia="Times New Roman" w:cs="Times New Roman"/>
          <w:color w:val="auto"/>
          <w:sz w:val="21"/>
          <w:szCs w:val="21"/>
        </w:rPr>
        <w:t>investment activities</w:t>
      </w:r>
      <w:r w:rsidR="009277E7" w:rsidRPr="00FF2A2F">
        <w:rPr>
          <w:rFonts w:eastAsia="Times New Roman" w:cs="Times New Roman"/>
          <w:color w:val="auto"/>
          <w:sz w:val="21"/>
          <w:szCs w:val="21"/>
        </w:rPr>
        <w:t xml:space="preserve">. </w:t>
      </w:r>
      <w:r w:rsidR="006027B0" w:rsidRPr="00FF2A2F">
        <w:rPr>
          <w:rFonts w:eastAsia="Times New Roman" w:cs="Times New Roman"/>
          <w:color w:val="auto"/>
          <w:sz w:val="21"/>
          <w:szCs w:val="21"/>
        </w:rPr>
        <w:t xml:space="preserve"> </w:t>
      </w:r>
    </w:p>
    <w:p w14:paraId="4E583B8D" w14:textId="34E53177" w:rsidR="006027B0" w:rsidRPr="00FF2A2F" w:rsidRDefault="006027B0" w:rsidP="006B7677">
      <w:pPr>
        <w:numPr>
          <w:ilvl w:val="0"/>
          <w:numId w:val="22"/>
        </w:numPr>
        <w:tabs>
          <w:tab w:val="left" w:pos="709"/>
        </w:tabs>
        <w:suppressAutoHyphens/>
        <w:spacing w:before="120" w:line="260" w:lineRule="atLeast"/>
        <w:ind w:left="993"/>
        <w:rPr>
          <w:rFonts w:eastAsia="Times New Roman" w:cs="Times New Roman"/>
          <w:color w:val="auto"/>
          <w:sz w:val="21"/>
          <w:szCs w:val="21"/>
          <w:lang w:val="en-AU"/>
        </w:rPr>
      </w:pPr>
      <w:r w:rsidRPr="00FF2A2F">
        <w:rPr>
          <w:rFonts w:eastAsia="Times New Roman" w:cs="Times New Roman"/>
          <w:color w:val="auto"/>
          <w:sz w:val="21"/>
          <w:szCs w:val="21"/>
          <w:lang w:val="en-AU"/>
        </w:rPr>
        <w:lastRenderedPageBreak/>
        <w:t xml:space="preserve">Support for </w:t>
      </w:r>
      <w:r w:rsidR="00DF27BA" w:rsidRPr="00FF2A2F">
        <w:rPr>
          <w:rFonts w:eastAsia="Times New Roman" w:cs="Times New Roman"/>
          <w:color w:val="auto"/>
          <w:sz w:val="21"/>
          <w:szCs w:val="21"/>
          <w:lang w:val="en-AU"/>
        </w:rPr>
        <w:t>government</w:t>
      </w:r>
      <w:r w:rsidRPr="00FF2A2F">
        <w:rPr>
          <w:rFonts w:eastAsia="Times New Roman" w:cs="Times New Roman"/>
          <w:color w:val="auto"/>
          <w:sz w:val="21"/>
          <w:szCs w:val="21"/>
          <w:lang w:val="en-AU"/>
        </w:rPr>
        <w:t xml:space="preserve"> to strengthen leadership and management systems</w:t>
      </w:r>
      <w:r w:rsidRPr="00FF2A2F">
        <w:rPr>
          <w:rFonts w:eastAsiaTheme="minorEastAsia"/>
          <w:color w:val="auto"/>
          <w:sz w:val="21"/>
          <w:szCs w:val="21"/>
          <w:lang w:val="en-AU"/>
        </w:rPr>
        <w:t xml:space="preserve"> to better enable participation of diverse people.</w:t>
      </w:r>
    </w:p>
    <w:bookmarkEnd w:id="13"/>
    <w:p w14:paraId="3050447D" w14:textId="045BF357" w:rsidR="006027B0" w:rsidRPr="00FF2A2F" w:rsidRDefault="006027B0" w:rsidP="006B7677">
      <w:pPr>
        <w:numPr>
          <w:ilvl w:val="0"/>
          <w:numId w:val="22"/>
        </w:numPr>
        <w:tabs>
          <w:tab w:val="left" w:pos="709"/>
        </w:tabs>
        <w:suppressAutoHyphens/>
        <w:spacing w:before="120" w:line="260" w:lineRule="atLeast"/>
        <w:ind w:left="993"/>
        <w:rPr>
          <w:rFonts w:eastAsia="Times New Roman" w:cs="Times New Roman"/>
          <w:color w:val="auto"/>
          <w:sz w:val="21"/>
          <w:szCs w:val="21"/>
          <w:lang w:val="en-AU"/>
        </w:rPr>
      </w:pPr>
      <w:r w:rsidRPr="00FF2A2F">
        <w:rPr>
          <w:rFonts w:eastAsia="Times New Roman" w:cs="Times New Roman"/>
          <w:color w:val="auto"/>
          <w:sz w:val="21"/>
          <w:szCs w:val="21"/>
          <w:lang w:val="en-AU"/>
        </w:rPr>
        <w:t>P</w:t>
      </w:r>
      <w:r w:rsidR="00B5017E" w:rsidRPr="00FF2A2F">
        <w:rPr>
          <w:rFonts w:eastAsia="Times New Roman" w:cs="Times New Roman"/>
          <w:color w:val="auto"/>
          <w:sz w:val="21"/>
          <w:szCs w:val="21"/>
          <w:lang w:val="en-AU"/>
        </w:rPr>
        <w:t xml:space="preserve">artnering with </w:t>
      </w:r>
      <w:r w:rsidR="00CD5512" w:rsidRPr="00FF2A2F">
        <w:rPr>
          <w:rFonts w:eastAsia="Times New Roman" w:cs="Times New Roman"/>
          <w:color w:val="auto"/>
          <w:sz w:val="21"/>
          <w:szCs w:val="21"/>
          <w:lang w:val="en-AU"/>
        </w:rPr>
        <w:t>bilateral gender programs</w:t>
      </w:r>
      <w:r w:rsidR="00B5017E" w:rsidRPr="00FF2A2F">
        <w:rPr>
          <w:rFonts w:eastAsia="Times New Roman" w:cs="Times New Roman"/>
          <w:color w:val="auto"/>
          <w:sz w:val="21"/>
          <w:szCs w:val="21"/>
          <w:lang w:val="en-AU"/>
        </w:rPr>
        <w:t xml:space="preserve"> to </w:t>
      </w:r>
      <w:r w:rsidR="00F90972" w:rsidRPr="00FF2A2F">
        <w:rPr>
          <w:rFonts w:eastAsia="Times New Roman" w:cs="Times New Roman"/>
          <w:color w:val="auto"/>
          <w:sz w:val="21"/>
          <w:szCs w:val="21"/>
          <w:lang w:val="en-AU"/>
        </w:rPr>
        <w:t>p</w:t>
      </w:r>
      <w:r w:rsidRPr="00FF2A2F">
        <w:rPr>
          <w:rFonts w:eastAsia="Times New Roman" w:cs="Times New Roman"/>
          <w:color w:val="auto"/>
          <w:sz w:val="21"/>
          <w:szCs w:val="21"/>
          <w:lang w:val="en-AU"/>
        </w:rPr>
        <w:t>romot</w:t>
      </w:r>
      <w:r w:rsidR="00F90972" w:rsidRPr="00FF2A2F">
        <w:rPr>
          <w:rFonts w:eastAsia="Times New Roman" w:cs="Times New Roman"/>
          <w:color w:val="auto"/>
          <w:sz w:val="21"/>
          <w:szCs w:val="21"/>
          <w:lang w:val="en-AU"/>
        </w:rPr>
        <w:t>e</w:t>
      </w:r>
      <w:r w:rsidRPr="00FF2A2F">
        <w:rPr>
          <w:rFonts w:eastAsia="Times New Roman" w:cs="Times New Roman"/>
          <w:color w:val="auto"/>
          <w:sz w:val="21"/>
          <w:szCs w:val="21"/>
          <w:lang w:val="en-AU"/>
        </w:rPr>
        <w:t xml:space="preserve"> good practices through case studies and communications to influence harmful social norms.</w:t>
      </w:r>
    </w:p>
    <w:p w14:paraId="6FEC2193" w14:textId="77777777" w:rsidR="00DF27BA" w:rsidRPr="00FF2A2F" w:rsidRDefault="006027B0" w:rsidP="006B7677">
      <w:pPr>
        <w:numPr>
          <w:ilvl w:val="0"/>
          <w:numId w:val="22"/>
        </w:numPr>
        <w:tabs>
          <w:tab w:val="left" w:pos="709"/>
        </w:tabs>
        <w:suppressAutoHyphens/>
        <w:spacing w:before="120" w:line="260" w:lineRule="atLeast"/>
        <w:ind w:left="993"/>
        <w:rPr>
          <w:color w:val="auto"/>
          <w:sz w:val="21"/>
          <w:szCs w:val="21"/>
          <w:lang w:val="en-AU"/>
        </w:rPr>
      </w:pPr>
      <w:r w:rsidRPr="00FF2A2F">
        <w:rPr>
          <w:rFonts w:eastAsia="Times New Roman" w:cs="Times New Roman"/>
          <w:color w:val="auto"/>
          <w:sz w:val="21"/>
          <w:szCs w:val="21"/>
          <w:lang w:val="en-AU"/>
        </w:rPr>
        <w:t>Strengthening representation of diverse groups and ensuring consideration of GEDSI issues within the investment governance structure</w:t>
      </w:r>
      <w:r w:rsidRPr="00FF2A2F">
        <w:rPr>
          <w:color w:val="auto"/>
          <w:sz w:val="21"/>
          <w:szCs w:val="21"/>
          <w:lang w:val="en-AU"/>
        </w:rPr>
        <w:t xml:space="preserve">. </w:t>
      </w:r>
    </w:p>
    <w:p w14:paraId="7EBEB7C0" w14:textId="77777777" w:rsidR="00491B46" w:rsidRPr="00FF2A2F" w:rsidRDefault="00214FCA" w:rsidP="006B7677">
      <w:pPr>
        <w:numPr>
          <w:ilvl w:val="0"/>
          <w:numId w:val="22"/>
        </w:numPr>
        <w:tabs>
          <w:tab w:val="left" w:pos="709"/>
        </w:tabs>
        <w:suppressAutoHyphens/>
        <w:spacing w:before="120" w:line="260" w:lineRule="atLeast"/>
        <w:ind w:left="993"/>
        <w:rPr>
          <w:rFonts w:eastAsiaTheme="minorEastAsia"/>
          <w:color w:val="auto"/>
          <w:sz w:val="21"/>
          <w:szCs w:val="21"/>
          <w:lang w:val="en-AU"/>
        </w:rPr>
      </w:pPr>
      <w:r w:rsidRPr="00FF2A2F">
        <w:rPr>
          <w:color w:val="auto"/>
          <w:sz w:val="21"/>
          <w:szCs w:val="21"/>
          <w:lang w:val="en-AU"/>
        </w:rPr>
        <w:t xml:space="preserve">Explore a partnership with </w:t>
      </w:r>
      <w:r w:rsidR="00DF27BA" w:rsidRPr="00FF2A2F">
        <w:rPr>
          <w:rFonts w:eastAsia="Times New Roman" w:cs="Times New Roman"/>
          <w:i/>
          <w:iCs/>
          <w:color w:val="auto"/>
          <w:sz w:val="21"/>
          <w:szCs w:val="21"/>
          <w:lang w:val="en-AU"/>
        </w:rPr>
        <w:t>Women Weather Watch</w:t>
      </w:r>
      <w:r w:rsidR="00DF27BA" w:rsidRPr="00FF2A2F">
        <w:rPr>
          <w:rFonts w:eastAsia="Times New Roman" w:cs="Times New Roman"/>
          <w:color w:val="auto"/>
          <w:sz w:val="21"/>
          <w:szCs w:val="21"/>
          <w:lang w:val="en-AU"/>
        </w:rPr>
        <w:t xml:space="preserve"> </w:t>
      </w:r>
      <w:r w:rsidRPr="00FF2A2F">
        <w:rPr>
          <w:rFonts w:eastAsia="Times New Roman" w:cs="Times New Roman"/>
          <w:color w:val="auto"/>
          <w:sz w:val="21"/>
          <w:szCs w:val="21"/>
          <w:lang w:val="en-AU"/>
        </w:rPr>
        <w:t xml:space="preserve">to </w:t>
      </w:r>
      <w:r w:rsidR="00DF27BA" w:rsidRPr="00FF2A2F">
        <w:rPr>
          <w:rFonts w:eastAsia="Times New Roman" w:cs="Times New Roman"/>
          <w:color w:val="auto"/>
          <w:sz w:val="21"/>
          <w:szCs w:val="21"/>
          <w:lang w:val="en-AU"/>
        </w:rPr>
        <w:t>provid</w:t>
      </w:r>
      <w:r w:rsidRPr="00FF2A2F">
        <w:rPr>
          <w:rFonts w:eastAsia="Times New Roman" w:cs="Times New Roman"/>
          <w:color w:val="auto"/>
          <w:sz w:val="21"/>
          <w:szCs w:val="21"/>
          <w:lang w:val="en-AU"/>
        </w:rPr>
        <w:t xml:space="preserve">e </w:t>
      </w:r>
      <w:r w:rsidR="00DF27BA" w:rsidRPr="00FF2A2F">
        <w:rPr>
          <w:rFonts w:eastAsia="Times New Roman" w:cs="Times New Roman"/>
          <w:color w:val="auto"/>
          <w:sz w:val="21"/>
          <w:szCs w:val="21"/>
          <w:lang w:val="en-AU"/>
        </w:rPr>
        <w:t xml:space="preserve">insights and model women’s leadership in disaster preparedness and climate resilient communities. </w:t>
      </w:r>
    </w:p>
    <w:p w14:paraId="5C26A633" w14:textId="0A42B020" w:rsidR="00580D94" w:rsidRPr="00FF2A2F" w:rsidRDefault="00847D79" w:rsidP="00847D79">
      <w:pPr>
        <w:suppressAutoHyphens/>
        <w:spacing w:before="120" w:line="260" w:lineRule="atLeast"/>
        <w:ind w:left="0" w:firstLine="0"/>
        <w:rPr>
          <w:rFonts w:eastAsiaTheme="minorEastAsia"/>
          <w:color w:val="auto"/>
          <w:sz w:val="21"/>
          <w:szCs w:val="21"/>
          <w:lang w:val="en-AU"/>
        </w:rPr>
      </w:pPr>
      <w:r w:rsidRPr="00FF2A2F">
        <w:rPr>
          <w:rFonts w:eastAsiaTheme="minorEastAsia"/>
          <w:color w:val="auto"/>
          <w:sz w:val="21"/>
          <w:szCs w:val="21"/>
          <w:lang w:val="en-AU"/>
        </w:rPr>
        <w:t xml:space="preserve">142. </w:t>
      </w:r>
      <w:r w:rsidR="00580D94" w:rsidRPr="00FF2A2F">
        <w:rPr>
          <w:rFonts w:eastAsiaTheme="minorEastAsia"/>
          <w:color w:val="auto"/>
          <w:sz w:val="21"/>
          <w:szCs w:val="21"/>
          <w:lang w:val="en-AU"/>
        </w:rPr>
        <w:t xml:space="preserve">Based on </w:t>
      </w:r>
      <w:r w:rsidR="00883E37" w:rsidRPr="00FF2A2F">
        <w:rPr>
          <w:rFonts w:eastAsiaTheme="minorEastAsia"/>
          <w:color w:val="auto"/>
          <w:sz w:val="21"/>
          <w:szCs w:val="21"/>
          <w:lang w:val="en-AU"/>
        </w:rPr>
        <w:t>the design</w:t>
      </w:r>
      <w:r w:rsidR="002270CB" w:rsidRPr="00FF2A2F">
        <w:rPr>
          <w:rFonts w:eastAsiaTheme="minorEastAsia"/>
          <w:color w:val="auto"/>
          <w:sz w:val="21"/>
          <w:szCs w:val="21"/>
          <w:lang w:val="en-AU"/>
        </w:rPr>
        <w:t>’s</w:t>
      </w:r>
      <w:r w:rsidR="00883E37" w:rsidRPr="00FF2A2F">
        <w:rPr>
          <w:rFonts w:eastAsiaTheme="minorEastAsia"/>
          <w:color w:val="auto"/>
          <w:sz w:val="21"/>
          <w:szCs w:val="21"/>
          <w:lang w:val="en-AU"/>
        </w:rPr>
        <w:t xml:space="preserve"> gender analysis, </w:t>
      </w:r>
      <w:r w:rsidR="003918BA" w:rsidRPr="00FF2A2F">
        <w:rPr>
          <w:rFonts w:eastAsiaTheme="minorEastAsia"/>
          <w:color w:val="auto"/>
          <w:sz w:val="21"/>
          <w:szCs w:val="21"/>
          <w:lang w:val="en-AU"/>
        </w:rPr>
        <w:t>this investment</w:t>
      </w:r>
      <w:r w:rsidR="00883E37" w:rsidRPr="00FF2A2F">
        <w:rPr>
          <w:rFonts w:eastAsiaTheme="minorEastAsia"/>
          <w:color w:val="auto"/>
          <w:sz w:val="21"/>
          <w:szCs w:val="21"/>
          <w:lang w:val="en-AU"/>
        </w:rPr>
        <w:t xml:space="preserve"> </w:t>
      </w:r>
      <w:r w:rsidR="0064211B" w:rsidRPr="00FF2A2F">
        <w:rPr>
          <w:rFonts w:eastAsiaTheme="minorEastAsia"/>
          <w:color w:val="auto"/>
          <w:sz w:val="21"/>
          <w:szCs w:val="21"/>
          <w:lang w:val="en-AU"/>
        </w:rPr>
        <w:t>would likely qualify for a ‘Significant’ score</w:t>
      </w:r>
      <w:r w:rsidR="00060B61" w:rsidRPr="00FF2A2F">
        <w:rPr>
          <w:rFonts w:eastAsiaTheme="minorEastAsia"/>
          <w:color w:val="auto"/>
          <w:sz w:val="21"/>
          <w:szCs w:val="21"/>
          <w:lang w:val="en-AU"/>
        </w:rPr>
        <w:t xml:space="preserve"> based on</w:t>
      </w:r>
      <w:r w:rsidR="0064211B" w:rsidRPr="00FF2A2F">
        <w:rPr>
          <w:rFonts w:eastAsiaTheme="minorEastAsia"/>
          <w:color w:val="auto"/>
          <w:sz w:val="21"/>
          <w:szCs w:val="21"/>
          <w:lang w:val="en-AU"/>
        </w:rPr>
        <w:t xml:space="preserve"> the OECD-DAC</w:t>
      </w:r>
      <w:r w:rsidR="002270CB" w:rsidRPr="00FF2A2F">
        <w:rPr>
          <w:rFonts w:eastAsiaTheme="minorEastAsia"/>
          <w:color w:val="auto"/>
          <w:sz w:val="21"/>
          <w:szCs w:val="21"/>
          <w:lang w:val="en-AU"/>
        </w:rPr>
        <w:t xml:space="preserve"> gender policy marker.</w:t>
      </w:r>
      <w:r w:rsidR="0064211B" w:rsidRPr="00FF2A2F">
        <w:rPr>
          <w:rFonts w:eastAsiaTheme="minorEastAsia"/>
          <w:color w:val="auto"/>
          <w:sz w:val="21"/>
          <w:szCs w:val="21"/>
          <w:lang w:val="en-AU"/>
        </w:rPr>
        <w:t xml:space="preserve"> </w:t>
      </w:r>
      <w:r w:rsidR="002270CB" w:rsidRPr="00FF2A2F">
        <w:rPr>
          <w:rFonts w:eastAsiaTheme="minorEastAsia"/>
          <w:color w:val="auto"/>
          <w:sz w:val="21"/>
          <w:szCs w:val="21"/>
          <w:lang w:val="en-AU"/>
        </w:rPr>
        <w:t>Gender equality is an important and deliberate objective, but not the principal reason for undertaking the investment.</w:t>
      </w:r>
    </w:p>
    <w:p w14:paraId="4D03F361" w14:textId="33DBD22A" w:rsidR="009E0E4D" w:rsidRPr="00FF2A2F" w:rsidRDefault="00847D79" w:rsidP="00847D79">
      <w:pPr>
        <w:spacing w:before="120" w:line="260" w:lineRule="atLeast"/>
        <w:ind w:left="0" w:firstLine="0"/>
        <w:rPr>
          <w:color w:val="auto"/>
          <w:sz w:val="21"/>
          <w:szCs w:val="21"/>
          <w:lang w:val="en-AU"/>
        </w:rPr>
      </w:pPr>
      <w:r w:rsidRPr="00FF2A2F">
        <w:rPr>
          <w:color w:val="auto"/>
          <w:sz w:val="21"/>
          <w:szCs w:val="21"/>
          <w:lang w:val="en-AU"/>
        </w:rPr>
        <w:t xml:space="preserve">143. </w:t>
      </w:r>
      <w:r w:rsidR="009E0E4D" w:rsidRPr="00FF2A2F">
        <w:rPr>
          <w:color w:val="auto"/>
          <w:sz w:val="21"/>
          <w:szCs w:val="21"/>
          <w:lang w:val="en-AU"/>
        </w:rPr>
        <w:t xml:space="preserve">The investment will contribute to </w:t>
      </w:r>
      <w:r w:rsidR="00E5111B" w:rsidRPr="00FF2A2F">
        <w:rPr>
          <w:color w:val="auto"/>
          <w:sz w:val="21"/>
          <w:szCs w:val="21"/>
          <w:lang w:val="en-AU"/>
        </w:rPr>
        <w:t xml:space="preserve">Australia’s </w:t>
      </w:r>
      <w:r w:rsidR="00E5111B" w:rsidRPr="00FF2A2F">
        <w:rPr>
          <w:i/>
          <w:iCs/>
          <w:color w:val="auto"/>
          <w:sz w:val="21"/>
          <w:szCs w:val="21"/>
          <w:lang w:val="en-AU"/>
        </w:rPr>
        <w:t>International Gender Equality Strategy</w:t>
      </w:r>
      <w:r w:rsidR="00AC02EA" w:rsidRPr="00FF2A2F">
        <w:rPr>
          <w:i/>
          <w:iCs/>
          <w:color w:val="auto"/>
          <w:sz w:val="21"/>
          <w:szCs w:val="21"/>
          <w:lang w:val="en-AU"/>
        </w:rPr>
        <w:t xml:space="preserve"> (2025)</w:t>
      </w:r>
      <w:r w:rsidR="00E5111B" w:rsidRPr="00FF2A2F">
        <w:rPr>
          <w:color w:val="auto"/>
          <w:sz w:val="21"/>
          <w:szCs w:val="21"/>
          <w:lang w:val="en-AU"/>
        </w:rPr>
        <w:t xml:space="preserve"> by</w:t>
      </w:r>
      <w:r w:rsidR="007C1118" w:rsidRPr="00FF2A2F">
        <w:rPr>
          <w:color w:val="auto"/>
          <w:sz w:val="21"/>
          <w:szCs w:val="21"/>
          <w:lang w:val="en-AU"/>
        </w:rPr>
        <w:t xml:space="preserve">: </w:t>
      </w:r>
    </w:p>
    <w:p w14:paraId="3D17C157" w14:textId="27B31B0A" w:rsidR="007C1118" w:rsidRPr="00FF2A2F" w:rsidRDefault="007C1118" w:rsidP="006B7677">
      <w:pPr>
        <w:pStyle w:val="ListParagraph"/>
        <w:numPr>
          <w:ilvl w:val="0"/>
          <w:numId w:val="19"/>
        </w:numPr>
        <w:spacing w:before="120" w:line="260" w:lineRule="atLeast"/>
        <w:contextualSpacing w:val="0"/>
        <w:rPr>
          <w:color w:val="auto"/>
          <w:sz w:val="21"/>
          <w:szCs w:val="21"/>
          <w:lang w:val="en-AU"/>
        </w:rPr>
      </w:pPr>
      <w:r w:rsidRPr="00FF2A2F">
        <w:rPr>
          <w:color w:val="auto"/>
          <w:sz w:val="21"/>
          <w:szCs w:val="21"/>
          <w:lang w:val="en-AU"/>
        </w:rPr>
        <w:t>Deliver</w:t>
      </w:r>
      <w:r w:rsidR="00AF3A83" w:rsidRPr="00FF2A2F">
        <w:rPr>
          <w:color w:val="auto"/>
          <w:sz w:val="21"/>
          <w:szCs w:val="21"/>
          <w:lang w:val="en-AU"/>
        </w:rPr>
        <w:t>ing</w:t>
      </w:r>
      <w:r w:rsidRPr="00FF2A2F">
        <w:rPr>
          <w:color w:val="auto"/>
          <w:sz w:val="21"/>
          <w:szCs w:val="21"/>
          <w:lang w:val="en-AU"/>
        </w:rPr>
        <w:t xml:space="preserve"> gender equitable climate action and humanitarian assistance</w:t>
      </w:r>
      <w:r w:rsidR="00A450B7" w:rsidRPr="00FF2A2F">
        <w:rPr>
          <w:color w:val="auto"/>
          <w:sz w:val="21"/>
          <w:szCs w:val="21"/>
          <w:lang w:val="en-AU"/>
        </w:rPr>
        <w:t xml:space="preserve">, including enabling women’s leadership of </w:t>
      </w:r>
      <w:r w:rsidR="007777A6" w:rsidRPr="00FF2A2F">
        <w:rPr>
          <w:color w:val="auto"/>
          <w:sz w:val="21"/>
          <w:szCs w:val="21"/>
          <w:lang w:val="en-AU"/>
        </w:rPr>
        <w:t>disaster</w:t>
      </w:r>
      <w:r w:rsidR="00A450B7" w:rsidRPr="00FF2A2F">
        <w:rPr>
          <w:color w:val="auto"/>
          <w:sz w:val="21"/>
          <w:szCs w:val="21"/>
          <w:lang w:val="en-AU"/>
        </w:rPr>
        <w:t xml:space="preserve"> preparedness and response efforts.</w:t>
      </w:r>
    </w:p>
    <w:p w14:paraId="23ACF0AB" w14:textId="16613C21" w:rsidR="00672948" w:rsidRPr="00FF2A2F" w:rsidRDefault="007C1118" w:rsidP="006B7677">
      <w:pPr>
        <w:pStyle w:val="ListParagraph"/>
        <w:numPr>
          <w:ilvl w:val="0"/>
          <w:numId w:val="19"/>
        </w:numPr>
        <w:spacing w:before="120" w:line="260" w:lineRule="atLeast"/>
        <w:contextualSpacing w:val="0"/>
        <w:rPr>
          <w:color w:val="auto"/>
          <w:sz w:val="21"/>
          <w:szCs w:val="21"/>
          <w:lang w:val="en-AU"/>
        </w:rPr>
      </w:pPr>
      <w:r w:rsidRPr="00FF2A2F">
        <w:rPr>
          <w:color w:val="auto"/>
          <w:sz w:val="21"/>
          <w:szCs w:val="21"/>
          <w:lang w:val="en-AU"/>
        </w:rPr>
        <w:t>Support</w:t>
      </w:r>
      <w:r w:rsidR="003756E6" w:rsidRPr="00FF2A2F">
        <w:rPr>
          <w:color w:val="auto"/>
          <w:sz w:val="21"/>
          <w:szCs w:val="21"/>
          <w:lang w:val="en-AU"/>
        </w:rPr>
        <w:t>ing</w:t>
      </w:r>
      <w:r w:rsidRPr="00FF2A2F">
        <w:rPr>
          <w:color w:val="auto"/>
          <w:sz w:val="21"/>
          <w:szCs w:val="21"/>
          <w:lang w:val="en-AU"/>
        </w:rPr>
        <w:t xml:space="preserve"> locally led approaches to women’s leadership</w:t>
      </w:r>
      <w:r w:rsidR="00AC02EA" w:rsidRPr="00FF2A2F">
        <w:rPr>
          <w:color w:val="auto"/>
          <w:sz w:val="21"/>
          <w:szCs w:val="21"/>
          <w:lang w:val="en-AU"/>
        </w:rPr>
        <w:t>.</w:t>
      </w:r>
    </w:p>
    <w:p w14:paraId="22C56E69" w14:textId="5EDF9432" w:rsidR="00CF3412" w:rsidRPr="00FF2A2F" w:rsidRDefault="00F66A94" w:rsidP="006B7677">
      <w:pPr>
        <w:pStyle w:val="ListParagraph"/>
        <w:numPr>
          <w:ilvl w:val="0"/>
          <w:numId w:val="19"/>
        </w:numPr>
        <w:spacing w:before="120" w:line="260" w:lineRule="atLeast"/>
        <w:contextualSpacing w:val="0"/>
        <w:rPr>
          <w:color w:val="auto"/>
          <w:sz w:val="21"/>
          <w:szCs w:val="21"/>
          <w:lang w:val="en-AU"/>
        </w:rPr>
      </w:pPr>
      <w:r w:rsidRPr="00FF2A2F">
        <w:rPr>
          <w:color w:val="auto"/>
          <w:sz w:val="21"/>
          <w:szCs w:val="21"/>
          <w:lang w:val="en-AU"/>
        </w:rPr>
        <w:t xml:space="preserve">Engaging </w:t>
      </w:r>
      <w:r w:rsidR="00CF3412" w:rsidRPr="00FF2A2F">
        <w:rPr>
          <w:color w:val="auto"/>
          <w:sz w:val="21"/>
          <w:szCs w:val="21"/>
          <w:lang w:val="en-AU"/>
        </w:rPr>
        <w:t>with traditional leaders and government officials to address documented barriers including cultural restrictions on women's (public)</w:t>
      </w:r>
      <w:r w:rsidR="00C9750E" w:rsidRPr="00FF2A2F">
        <w:rPr>
          <w:color w:val="auto"/>
          <w:sz w:val="21"/>
          <w:szCs w:val="21"/>
          <w:lang w:val="en-AU"/>
        </w:rPr>
        <w:t xml:space="preserve"> </w:t>
      </w:r>
      <w:r w:rsidR="00CF3412" w:rsidRPr="00FF2A2F">
        <w:rPr>
          <w:color w:val="auto"/>
          <w:sz w:val="21"/>
          <w:szCs w:val="21"/>
          <w:lang w:val="en-AU"/>
        </w:rPr>
        <w:t>participation. This includes supporting policy dialogue and working with churches to promote positive messaging about women's leadership</w:t>
      </w:r>
      <w:r w:rsidR="00FC56CC" w:rsidRPr="00FF2A2F">
        <w:rPr>
          <w:color w:val="auto"/>
          <w:sz w:val="21"/>
          <w:szCs w:val="21"/>
          <w:lang w:val="en-AU"/>
        </w:rPr>
        <w:t>.</w:t>
      </w:r>
    </w:p>
    <w:p w14:paraId="722C2AB6" w14:textId="42B2552A" w:rsidR="00FC56CC" w:rsidRPr="00FF2A2F" w:rsidRDefault="00F66A94" w:rsidP="006B7677">
      <w:pPr>
        <w:pStyle w:val="ListParagraph"/>
        <w:numPr>
          <w:ilvl w:val="0"/>
          <w:numId w:val="19"/>
        </w:numPr>
        <w:spacing w:before="120" w:line="260" w:lineRule="atLeast"/>
        <w:contextualSpacing w:val="0"/>
        <w:rPr>
          <w:color w:val="auto"/>
          <w:sz w:val="21"/>
          <w:szCs w:val="21"/>
          <w:lang w:val="en-AU"/>
        </w:rPr>
      </w:pPr>
      <w:r w:rsidRPr="00FF2A2F">
        <w:rPr>
          <w:color w:val="auto"/>
          <w:sz w:val="21"/>
          <w:szCs w:val="21"/>
          <w:lang w:val="en-AU"/>
        </w:rPr>
        <w:t>P</w:t>
      </w:r>
      <w:r w:rsidR="00FC56CC" w:rsidRPr="00FF2A2F">
        <w:rPr>
          <w:color w:val="auto"/>
          <w:sz w:val="21"/>
          <w:szCs w:val="21"/>
          <w:lang w:val="en-AU"/>
        </w:rPr>
        <w:t>romot</w:t>
      </w:r>
      <w:r w:rsidR="00E729AF" w:rsidRPr="00FF2A2F">
        <w:rPr>
          <w:color w:val="auto"/>
          <w:sz w:val="21"/>
          <w:szCs w:val="21"/>
          <w:lang w:val="en-AU"/>
        </w:rPr>
        <w:t>ing</w:t>
      </w:r>
      <w:r w:rsidR="00FC56CC" w:rsidRPr="00FF2A2F">
        <w:rPr>
          <w:color w:val="auto"/>
          <w:sz w:val="21"/>
          <w:szCs w:val="21"/>
          <w:lang w:val="en-AU"/>
        </w:rPr>
        <w:t xml:space="preserve"> women-only consultation spaces for disaster planning, whilst separate engagement strategies will ensure meaningful participation of fakaleitis community members and men as gender equality advocates.</w:t>
      </w:r>
    </w:p>
    <w:p w14:paraId="5474A14D" w14:textId="151B8C5C" w:rsidR="008237D5" w:rsidRPr="00FF2A2F" w:rsidRDefault="00371081" w:rsidP="006B7677">
      <w:pPr>
        <w:pStyle w:val="ListParagraph"/>
        <w:numPr>
          <w:ilvl w:val="0"/>
          <w:numId w:val="19"/>
        </w:numPr>
        <w:spacing w:before="120" w:line="260" w:lineRule="atLeast"/>
        <w:contextualSpacing w:val="0"/>
        <w:rPr>
          <w:color w:val="auto"/>
          <w:sz w:val="21"/>
          <w:szCs w:val="21"/>
          <w:lang w:val="en-AU"/>
        </w:rPr>
      </w:pPr>
      <w:r w:rsidRPr="00FF2A2F">
        <w:rPr>
          <w:color w:val="auto"/>
          <w:sz w:val="21"/>
          <w:szCs w:val="21"/>
          <w:lang w:val="en-AU"/>
        </w:rPr>
        <w:t>Promote emergency shelters and distribution sites to include women-only areas with lockable facilities, adequate lighting, and female security presence. These spaces will provide privacy for breastfeeding, feminine hygiene needs, and confidential reporting of protection concerns.</w:t>
      </w:r>
    </w:p>
    <w:p w14:paraId="16C9119E" w14:textId="637893E6" w:rsidR="008237D5" w:rsidRPr="00FF2A2F" w:rsidRDefault="00786412" w:rsidP="00847D79">
      <w:pPr>
        <w:suppressAutoHyphens/>
        <w:spacing w:before="120" w:line="260" w:lineRule="atLeast"/>
        <w:ind w:left="0" w:firstLine="0"/>
        <w:rPr>
          <w:rFonts w:eastAsiaTheme="minorEastAsia"/>
          <w:color w:val="auto"/>
          <w:sz w:val="21"/>
          <w:szCs w:val="21"/>
          <w:lang w:val="en-AU"/>
        </w:rPr>
      </w:pPr>
      <w:r w:rsidRPr="00FF2A2F">
        <w:rPr>
          <w:rFonts w:eastAsiaTheme="minorEastAsia"/>
          <w:color w:val="auto"/>
          <w:sz w:val="21"/>
          <w:szCs w:val="21"/>
          <w:lang w:val="en-AU"/>
        </w:rPr>
        <w:t>1</w:t>
      </w:r>
      <w:r w:rsidR="00847D79" w:rsidRPr="00FF2A2F">
        <w:rPr>
          <w:rFonts w:eastAsiaTheme="minorEastAsia"/>
          <w:color w:val="auto"/>
          <w:sz w:val="21"/>
          <w:szCs w:val="21"/>
          <w:lang w:val="en-AU"/>
        </w:rPr>
        <w:t xml:space="preserve">44. </w:t>
      </w:r>
      <w:r w:rsidR="00EF7C50" w:rsidRPr="00FF2A2F">
        <w:rPr>
          <w:rFonts w:eastAsiaTheme="minorEastAsia"/>
          <w:color w:val="auto"/>
          <w:sz w:val="21"/>
          <w:szCs w:val="21"/>
          <w:lang w:val="en-AU"/>
        </w:rPr>
        <w:t xml:space="preserve">While the investment </w:t>
      </w:r>
      <w:r w:rsidR="00D87E2D" w:rsidRPr="00FF2A2F">
        <w:rPr>
          <w:rFonts w:eastAsiaTheme="minorEastAsia"/>
          <w:color w:val="auto"/>
          <w:sz w:val="21"/>
          <w:szCs w:val="21"/>
          <w:lang w:val="en-AU"/>
        </w:rPr>
        <w:t xml:space="preserve">is not specifically focused on children, they are </w:t>
      </w:r>
      <w:r w:rsidR="00496BD7" w:rsidRPr="00FF2A2F">
        <w:rPr>
          <w:rFonts w:eastAsiaTheme="minorEastAsia"/>
          <w:color w:val="auto"/>
          <w:sz w:val="21"/>
          <w:szCs w:val="21"/>
          <w:lang w:val="en-AU"/>
        </w:rPr>
        <w:t xml:space="preserve">a priority group </w:t>
      </w:r>
      <w:r w:rsidR="00E7288C" w:rsidRPr="00FF2A2F">
        <w:rPr>
          <w:rFonts w:eastAsiaTheme="minorEastAsia"/>
          <w:color w:val="auto"/>
          <w:sz w:val="21"/>
          <w:szCs w:val="21"/>
          <w:lang w:val="en-AU"/>
        </w:rPr>
        <w:t>intended to</w:t>
      </w:r>
      <w:r w:rsidR="001C27EF" w:rsidRPr="00FF2A2F">
        <w:rPr>
          <w:rFonts w:eastAsiaTheme="minorEastAsia"/>
          <w:color w:val="auto"/>
          <w:sz w:val="21"/>
          <w:szCs w:val="21"/>
          <w:lang w:val="en-AU"/>
        </w:rPr>
        <w:t xml:space="preserve"> benefit from </w:t>
      </w:r>
      <w:r w:rsidR="00496BD7" w:rsidRPr="00FF2A2F">
        <w:rPr>
          <w:rFonts w:eastAsiaTheme="minorEastAsia"/>
          <w:color w:val="auto"/>
          <w:sz w:val="21"/>
          <w:szCs w:val="21"/>
          <w:lang w:val="en-AU"/>
        </w:rPr>
        <w:t xml:space="preserve">investment </w:t>
      </w:r>
      <w:r w:rsidR="001C27EF" w:rsidRPr="00FF2A2F">
        <w:rPr>
          <w:rFonts w:eastAsiaTheme="minorEastAsia"/>
          <w:color w:val="auto"/>
          <w:sz w:val="21"/>
          <w:szCs w:val="21"/>
          <w:lang w:val="en-AU"/>
        </w:rPr>
        <w:t>outcomes</w:t>
      </w:r>
      <w:r w:rsidR="00C2071F" w:rsidRPr="00FF2A2F">
        <w:rPr>
          <w:rFonts w:eastAsiaTheme="minorEastAsia"/>
          <w:color w:val="auto"/>
          <w:sz w:val="21"/>
          <w:szCs w:val="21"/>
          <w:lang w:val="en-AU"/>
        </w:rPr>
        <w:t xml:space="preserve">. </w:t>
      </w:r>
      <w:r w:rsidR="00A14154" w:rsidRPr="00FF2A2F">
        <w:rPr>
          <w:rFonts w:eastAsiaTheme="minorEastAsia"/>
          <w:color w:val="auto"/>
          <w:sz w:val="21"/>
          <w:szCs w:val="21"/>
          <w:lang w:val="en-AU"/>
        </w:rPr>
        <w:t xml:space="preserve">Design findings </w:t>
      </w:r>
      <w:r w:rsidR="0062694C" w:rsidRPr="00FF2A2F">
        <w:rPr>
          <w:rFonts w:eastAsiaTheme="minorEastAsia"/>
          <w:color w:val="auto"/>
          <w:sz w:val="21"/>
          <w:szCs w:val="21"/>
          <w:lang w:val="en-AU"/>
        </w:rPr>
        <w:t>recommend</w:t>
      </w:r>
      <w:r w:rsidR="00A14154" w:rsidRPr="00FF2A2F">
        <w:rPr>
          <w:rFonts w:eastAsiaTheme="minorEastAsia"/>
          <w:color w:val="auto"/>
          <w:sz w:val="21"/>
          <w:szCs w:val="21"/>
          <w:lang w:val="en-AU"/>
        </w:rPr>
        <w:t xml:space="preserve"> </w:t>
      </w:r>
      <w:r w:rsidR="00E23300" w:rsidRPr="00FF2A2F">
        <w:rPr>
          <w:rFonts w:eastAsiaTheme="minorEastAsia"/>
          <w:color w:val="auto"/>
          <w:sz w:val="21"/>
          <w:szCs w:val="21"/>
          <w:lang w:val="en-AU"/>
        </w:rPr>
        <w:t>this</w:t>
      </w:r>
      <w:r w:rsidR="003918BA" w:rsidRPr="00FF2A2F">
        <w:rPr>
          <w:rFonts w:eastAsiaTheme="minorEastAsia"/>
          <w:color w:val="auto"/>
          <w:sz w:val="21"/>
          <w:szCs w:val="21"/>
          <w:lang w:val="en-AU"/>
        </w:rPr>
        <w:t xml:space="preserve"> investment</w:t>
      </w:r>
      <w:r w:rsidR="00C2071F" w:rsidRPr="00FF2A2F">
        <w:rPr>
          <w:rFonts w:eastAsiaTheme="minorEastAsia"/>
          <w:color w:val="auto"/>
          <w:sz w:val="21"/>
          <w:szCs w:val="21"/>
          <w:lang w:val="en-AU"/>
        </w:rPr>
        <w:t xml:space="preserve"> support</w:t>
      </w:r>
      <w:r w:rsidR="0062694C" w:rsidRPr="00FF2A2F">
        <w:rPr>
          <w:rFonts w:eastAsiaTheme="minorEastAsia"/>
          <w:color w:val="auto"/>
          <w:sz w:val="21"/>
          <w:szCs w:val="21"/>
          <w:lang w:val="en-AU"/>
        </w:rPr>
        <w:t>s</w:t>
      </w:r>
      <w:r w:rsidR="00C2071F" w:rsidRPr="00FF2A2F">
        <w:rPr>
          <w:rFonts w:eastAsiaTheme="minorEastAsia"/>
          <w:color w:val="auto"/>
          <w:sz w:val="21"/>
          <w:szCs w:val="21"/>
          <w:lang w:val="en-AU"/>
        </w:rPr>
        <w:t xml:space="preserve"> current</w:t>
      </w:r>
      <w:r w:rsidR="006F0846" w:rsidRPr="00FF2A2F">
        <w:rPr>
          <w:rFonts w:eastAsiaTheme="minorEastAsia"/>
          <w:color w:val="auto"/>
          <w:sz w:val="21"/>
          <w:szCs w:val="21"/>
          <w:lang w:val="en-AU"/>
        </w:rPr>
        <w:t xml:space="preserve"> </w:t>
      </w:r>
      <w:r w:rsidR="00496BD7" w:rsidRPr="00FF2A2F">
        <w:rPr>
          <w:rFonts w:eastAsiaTheme="minorEastAsia"/>
          <w:color w:val="auto"/>
          <w:sz w:val="21"/>
          <w:szCs w:val="21"/>
          <w:lang w:val="en-AU"/>
        </w:rPr>
        <w:t xml:space="preserve">child protection protocols established for community engagement, </w:t>
      </w:r>
      <w:r w:rsidR="007777A6" w:rsidRPr="00FF2A2F">
        <w:rPr>
          <w:rFonts w:eastAsiaTheme="minorEastAsia"/>
          <w:color w:val="auto"/>
          <w:sz w:val="21"/>
          <w:szCs w:val="21"/>
          <w:lang w:val="en-AU"/>
        </w:rPr>
        <w:t>disaster</w:t>
      </w:r>
      <w:r w:rsidR="00496BD7" w:rsidRPr="00FF2A2F">
        <w:rPr>
          <w:rFonts w:eastAsiaTheme="minorEastAsia"/>
          <w:color w:val="auto"/>
          <w:sz w:val="21"/>
          <w:szCs w:val="21"/>
          <w:lang w:val="en-AU"/>
        </w:rPr>
        <w:t xml:space="preserve"> response, and recovery activities</w:t>
      </w:r>
      <w:r w:rsidR="00D61F8D" w:rsidRPr="00FF2A2F">
        <w:rPr>
          <w:rFonts w:eastAsiaTheme="minorEastAsia"/>
          <w:color w:val="auto"/>
          <w:sz w:val="21"/>
          <w:szCs w:val="21"/>
          <w:lang w:val="en-AU"/>
        </w:rPr>
        <w:t xml:space="preserve"> by the clusters</w:t>
      </w:r>
      <w:r w:rsidR="008F28C9" w:rsidRPr="00FF2A2F">
        <w:rPr>
          <w:rFonts w:eastAsiaTheme="minorEastAsia"/>
          <w:color w:val="auto"/>
          <w:sz w:val="21"/>
          <w:szCs w:val="21"/>
          <w:lang w:val="en-AU"/>
        </w:rPr>
        <w:t>,</w:t>
      </w:r>
      <w:r w:rsidR="00D61F8D" w:rsidRPr="00FF2A2F">
        <w:rPr>
          <w:rFonts w:eastAsiaTheme="minorEastAsia"/>
          <w:color w:val="auto"/>
          <w:sz w:val="21"/>
          <w:szCs w:val="21"/>
          <w:lang w:val="en-AU"/>
        </w:rPr>
        <w:t xml:space="preserve"> as well as government and CSOs. The investment will seek opportunities to</w:t>
      </w:r>
      <w:r w:rsidR="008F28C9" w:rsidRPr="00FF2A2F">
        <w:rPr>
          <w:rFonts w:eastAsiaTheme="minorEastAsia"/>
          <w:color w:val="auto"/>
          <w:sz w:val="21"/>
          <w:szCs w:val="21"/>
          <w:lang w:val="en-AU"/>
        </w:rPr>
        <w:t xml:space="preserve"> suggest and</w:t>
      </w:r>
      <w:r w:rsidR="00D61F8D" w:rsidRPr="00FF2A2F">
        <w:rPr>
          <w:rFonts w:eastAsiaTheme="minorEastAsia"/>
          <w:color w:val="auto"/>
          <w:sz w:val="21"/>
          <w:szCs w:val="21"/>
          <w:lang w:val="en-AU"/>
        </w:rPr>
        <w:t xml:space="preserve"> p</w:t>
      </w:r>
      <w:r w:rsidR="00F45C05" w:rsidRPr="00FF2A2F">
        <w:rPr>
          <w:rFonts w:eastAsiaTheme="minorEastAsia"/>
          <w:color w:val="auto"/>
          <w:sz w:val="21"/>
          <w:szCs w:val="21"/>
          <w:lang w:val="en-AU"/>
        </w:rPr>
        <w:t>romot</w:t>
      </w:r>
      <w:r w:rsidR="00D61F8D" w:rsidRPr="00FF2A2F">
        <w:rPr>
          <w:rFonts w:eastAsiaTheme="minorEastAsia"/>
          <w:color w:val="auto"/>
          <w:sz w:val="21"/>
          <w:szCs w:val="21"/>
          <w:lang w:val="en-AU"/>
        </w:rPr>
        <w:t>e</w:t>
      </w:r>
      <w:r w:rsidR="00F45C05" w:rsidRPr="00FF2A2F">
        <w:rPr>
          <w:rFonts w:eastAsiaTheme="minorEastAsia"/>
          <w:color w:val="auto"/>
          <w:sz w:val="21"/>
          <w:szCs w:val="21"/>
          <w:lang w:val="en-AU"/>
        </w:rPr>
        <w:t xml:space="preserve"> improvements</w:t>
      </w:r>
      <w:r w:rsidR="006F0846" w:rsidRPr="00FF2A2F">
        <w:rPr>
          <w:rFonts w:eastAsiaTheme="minorEastAsia"/>
          <w:color w:val="auto"/>
          <w:sz w:val="21"/>
          <w:szCs w:val="21"/>
          <w:lang w:val="en-AU"/>
        </w:rPr>
        <w:t xml:space="preserve"> to child</w:t>
      </w:r>
      <w:r w:rsidR="008F28C9" w:rsidRPr="00FF2A2F">
        <w:rPr>
          <w:rFonts w:eastAsiaTheme="minorEastAsia"/>
          <w:color w:val="auto"/>
          <w:sz w:val="21"/>
          <w:szCs w:val="21"/>
          <w:lang w:val="en-AU"/>
        </w:rPr>
        <w:t xml:space="preserve">-responsive disaster preparedness, response and recovery </w:t>
      </w:r>
      <w:r w:rsidR="00EF7C50" w:rsidRPr="00FF2A2F">
        <w:rPr>
          <w:rFonts w:eastAsiaTheme="minorEastAsia"/>
          <w:color w:val="auto"/>
          <w:sz w:val="21"/>
          <w:szCs w:val="21"/>
          <w:lang w:val="en-AU"/>
        </w:rPr>
        <w:t>activities</w:t>
      </w:r>
      <w:r w:rsidR="00F45C05" w:rsidRPr="00FF2A2F">
        <w:rPr>
          <w:rFonts w:eastAsiaTheme="minorEastAsia"/>
          <w:color w:val="auto"/>
          <w:sz w:val="21"/>
          <w:szCs w:val="21"/>
          <w:lang w:val="en-AU"/>
        </w:rPr>
        <w:t xml:space="preserve"> as required. </w:t>
      </w:r>
    </w:p>
    <w:p w14:paraId="05957F70" w14:textId="7341C9EB" w:rsidR="00672948" w:rsidRPr="00FF2A2F" w:rsidRDefault="00847D79" w:rsidP="00847D79">
      <w:pPr>
        <w:suppressAutoHyphens/>
        <w:spacing w:before="120" w:line="260" w:lineRule="atLeast"/>
        <w:ind w:left="0" w:firstLine="0"/>
        <w:rPr>
          <w:color w:val="auto"/>
          <w:sz w:val="21"/>
          <w:szCs w:val="21"/>
          <w:lang w:val="en-AU"/>
        </w:rPr>
      </w:pPr>
      <w:r w:rsidRPr="00FF2A2F">
        <w:rPr>
          <w:rFonts w:eastAsiaTheme="minorEastAsia"/>
          <w:color w:val="auto"/>
          <w:sz w:val="21"/>
          <w:szCs w:val="21"/>
          <w:lang w:val="en-AU"/>
        </w:rPr>
        <w:t xml:space="preserve">145. </w:t>
      </w:r>
      <w:r w:rsidR="00672948" w:rsidRPr="00FF2A2F">
        <w:rPr>
          <w:rFonts w:eastAsiaTheme="minorEastAsia"/>
          <w:color w:val="auto"/>
          <w:sz w:val="21"/>
          <w:szCs w:val="21"/>
          <w:lang w:val="en-AU"/>
        </w:rPr>
        <w:t>The investment will contribute to Australia</w:t>
      </w:r>
      <w:r w:rsidR="00C84F54" w:rsidRPr="00FF2A2F">
        <w:rPr>
          <w:rFonts w:eastAsiaTheme="minorEastAsia"/>
          <w:color w:val="auto"/>
          <w:sz w:val="21"/>
          <w:szCs w:val="21"/>
          <w:lang w:val="en-AU"/>
        </w:rPr>
        <w:t xml:space="preserve">’s Disability Equity and Rights Strategy </w:t>
      </w:r>
      <w:r w:rsidR="007845C1" w:rsidRPr="00FF2A2F">
        <w:rPr>
          <w:rFonts w:eastAsiaTheme="minorEastAsia"/>
          <w:color w:val="auto"/>
          <w:sz w:val="21"/>
          <w:szCs w:val="21"/>
          <w:lang w:val="en-AU"/>
        </w:rPr>
        <w:t xml:space="preserve">(2024) </w:t>
      </w:r>
      <w:r w:rsidR="00C84F54" w:rsidRPr="00FF2A2F">
        <w:rPr>
          <w:rFonts w:eastAsiaTheme="minorEastAsia"/>
          <w:color w:val="auto"/>
          <w:sz w:val="21"/>
          <w:szCs w:val="21"/>
          <w:lang w:val="en-AU"/>
        </w:rPr>
        <w:t>by</w:t>
      </w:r>
      <w:r w:rsidR="007845C1" w:rsidRPr="00FF2A2F">
        <w:rPr>
          <w:rFonts w:eastAsiaTheme="minorEastAsia"/>
          <w:color w:val="auto"/>
          <w:sz w:val="21"/>
          <w:szCs w:val="21"/>
          <w:lang w:val="en-AU"/>
        </w:rPr>
        <w:t xml:space="preserve">: </w:t>
      </w:r>
    </w:p>
    <w:p w14:paraId="0F84A108" w14:textId="5E328D25" w:rsidR="00F13F69" w:rsidRPr="00FF2A2F" w:rsidRDefault="00F13F69" w:rsidP="006B7677">
      <w:pPr>
        <w:pStyle w:val="ListParagraph"/>
        <w:numPr>
          <w:ilvl w:val="0"/>
          <w:numId w:val="20"/>
        </w:numPr>
        <w:spacing w:before="120" w:line="260" w:lineRule="atLeast"/>
        <w:contextualSpacing w:val="0"/>
        <w:rPr>
          <w:color w:val="auto"/>
          <w:sz w:val="21"/>
          <w:szCs w:val="21"/>
          <w:lang w:val="en-AU"/>
        </w:rPr>
      </w:pPr>
      <w:r w:rsidRPr="00FF2A2F">
        <w:rPr>
          <w:color w:val="auto"/>
          <w:sz w:val="21"/>
          <w:szCs w:val="21"/>
          <w:lang w:val="en-AU"/>
        </w:rPr>
        <w:t xml:space="preserve">Mainstreaming disability equity principles across humanitarian preparedness, response and recovery </w:t>
      </w:r>
      <w:r w:rsidR="001C6BC3" w:rsidRPr="00FF2A2F">
        <w:rPr>
          <w:color w:val="auto"/>
          <w:sz w:val="21"/>
          <w:szCs w:val="21"/>
          <w:lang w:val="en-AU"/>
        </w:rPr>
        <w:t xml:space="preserve">activities. </w:t>
      </w:r>
    </w:p>
    <w:p w14:paraId="40178F93" w14:textId="255AEECA" w:rsidR="00435070" w:rsidRPr="00FF2A2F" w:rsidRDefault="001C6BC3" w:rsidP="006B7677">
      <w:pPr>
        <w:pStyle w:val="ListParagraph"/>
        <w:numPr>
          <w:ilvl w:val="0"/>
          <w:numId w:val="20"/>
        </w:numPr>
        <w:spacing w:before="120" w:line="260" w:lineRule="atLeast"/>
        <w:contextualSpacing w:val="0"/>
        <w:rPr>
          <w:color w:val="auto"/>
          <w:sz w:val="21"/>
          <w:szCs w:val="21"/>
          <w:lang w:val="en-AU"/>
        </w:rPr>
      </w:pPr>
      <w:r w:rsidRPr="00FF2A2F">
        <w:rPr>
          <w:color w:val="auto"/>
          <w:sz w:val="21"/>
          <w:szCs w:val="21"/>
          <w:lang w:val="en-AU"/>
        </w:rPr>
        <w:t xml:space="preserve">Ensuring all clusters prioritise disability-responsive </w:t>
      </w:r>
      <w:r w:rsidR="00FA5470" w:rsidRPr="00FF2A2F">
        <w:rPr>
          <w:color w:val="auto"/>
          <w:sz w:val="21"/>
          <w:szCs w:val="21"/>
          <w:lang w:val="en-AU"/>
        </w:rPr>
        <w:t>planning and coordination activities</w:t>
      </w:r>
      <w:r w:rsidR="00E3798F" w:rsidRPr="00FF2A2F">
        <w:rPr>
          <w:color w:val="auto"/>
          <w:sz w:val="21"/>
          <w:szCs w:val="21"/>
          <w:lang w:val="en-AU"/>
        </w:rPr>
        <w:t>; invite</w:t>
      </w:r>
      <w:r w:rsidR="00D66A9A" w:rsidRPr="00FF2A2F">
        <w:rPr>
          <w:color w:val="auto"/>
          <w:sz w:val="21"/>
          <w:szCs w:val="21"/>
          <w:lang w:val="en-AU"/>
        </w:rPr>
        <w:t xml:space="preserve"> OPDs to participate in clusters</w:t>
      </w:r>
      <w:r w:rsidR="00CA57E1" w:rsidRPr="00FF2A2F">
        <w:rPr>
          <w:color w:val="auto"/>
          <w:sz w:val="21"/>
          <w:szCs w:val="21"/>
          <w:lang w:val="en-AU"/>
        </w:rPr>
        <w:t>.</w:t>
      </w:r>
    </w:p>
    <w:p w14:paraId="0D5326B2" w14:textId="77777777" w:rsidR="0045494D" w:rsidRPr="00FF2A2F" w:rsidRDefault="00CA57E1" w:rsidP="006B7677">
      <w:pPr>
        <w:pStyle w:val="ListParagraph"/>
        <w:numPr>
          <w:ilvl w:val="0"/>
          <w:numId w:val="20"/>
        </w:numPr>
        <w:spacing w:before="120" w:line="260" w:lineRule="atLeast"/>
        <w:rPr>
          <w:color w:val="auto"/>
          <w:sz w:val="21"/>
          <w:szCs w:val="21"/>
        </w:rPr>
      </w:pPr>
      <w:r w:rsidRPr="00FF2A2F">
        <w:rPr>
          <w:color w:val="auto"/>
          <w:sz w:val="21"/>
          <w:szCs w:val="21"/>
        </w:rPr>
        <w:t>Resource OPD participation in clusters through</w:t>
      </w:r>
      <w:r w:rsidR="00435070" w:rsidRPr="00FF2A2F">
        <w:rPr>
          <w:color w:val="auto"/>
          <w:sz w:val="21"/>
          <w:szCs w:val="21"/>
        </w:rPr>
        <w:t xml:space="preserve"> accessible venues, communication formats, transport, and other reasonable accommodations to ensure OPDs can actively participate</w:t>
      </w:r>
      <w:r w:rsidR="0045494D" w:rsidRPr="00FF2A2F">
        <w:rPr>
          <w:color w:val="auto"/>
          <w:sz w:val="21"/>
          <w:szCs w:val="21"/>
        </w:rPr>
        <w:t xml:space="preserve">. </w:t>
      </w:r>
      <w:r w:rsidR="00435070" w:rsidRPr="00FF2A2F">
        <w:rPr>
          <w:color w:val="auto"/>
          <w:sz w:val="21"/>
          <w:szCs w:val="21"/>
        </w:rPr>
        <w:t xml:space="preserve"> </w:t>
      </w:r>
    </w:p>
    <w:p w14:paraId="0A5CF5AB" w14:textId="5A7ACAB9" w:rsidR="00435070" w:rsidRPr="00FF2A2F" w:rsidRDefault="00435070" w:rsidP="006B7677">
      <w:pPr>
        <w:pStyle w:val="ListParagraph"/>
        <w:numPr>
          <w:ilvl w:val="0"/>
          <w:numId w:val="20"/>
        </w:numPr>
        <w:spacing w:before="120" w:line="260" w:lineRule="atLeast"/>
        <w:contextualSpacing w:val="0"/>
        <w:rPr>
          <w:color w:val="auto"/>
          <w:sz w:val="21"/>
          <w:szCs w:val="21"/>
          <w:lang w:val="en-AU"/>
        </w:rPr>
      </w:pPr>
      <w:r w:rsidRPr="00FF2A2F">
        <w:rPr>
          <w:color w:val="auto"/>
          <w:sz w:val="21"/>
          <w:szCs w:val="21"/>
          <w:lang w:val="en-AU"/>
        </w:rPr>
        <w:t xml:space="preserve">Reimburse OPDs for their time </w:t>
      </w:r>
      <w:r w:rsidR="0045494D" w:rsidRPr="00FF2A2F">
        <w:rPr>
          <w:color w:val="auto"/>
          <w:sz w:val="21"/>
          <w:szCs w:val="21"/>
          <w:lang w:val="en-AU"/>
        </w:rPr>
        <w:t xml:space="preserve">if they do </w:t>
      </w:r>
      <w:r w:rsidRPr="00FF2A2F">
        <w:rPr>
          <w:color w:val="auto"/>
          <w:sz w:val="21"/>
          <w:szCs w:val="21"/>
          <w:lang w:val="en-AU"/>
        </w:rPr>
        <w:t>not have dedicated personnel to attend cluster meetings and contribute their expertise.</w:t>
      </w:r>
    </w:p>
    <w:p w14:paraId="510B1DA2" w14:textId="44229364" w:rsidR="006F774D" w:rsidRPr="00FF2A2F" w:rsidRDefault="003A3525" w:rsidP="006B7677">
      <w:pPr>
        <w:pStyle w:val="ListParagraph"/>
        <w:numPr>
          <w:ilvl w:val="0"/>
          <w:numId w:val="20"/>
        </w:numPr>
        <w:spacing w:before="120" w:line="260" w:lineRule="atLeast"/>
        <w:contextualSpacing w:val="0"/>
        <w:rPr>
          <w:color w:val="auto"/>
          <w:sz w:val="21"/>
          <w:szCs w:val="21"/>
          <w:lang w:val="en-AU"/>
        </w:rPr>
      </w:pPr>
      <w:r w:rsidRPr="00FF2A2F">
        <w:rPr>
          <w:color w:val="auto"/>
          <w:sz w:val="21"/>
          <w:szCs w:val="21"/>
          <w:lang w:val="en-AU"/>
        </w:rPr>
        <w:t xml:space="preserve">Ensure that government support and CSO training includes accessibility across all aspects of preparedness planning, including information and communication (e.g. early warning systems), facilities, services and processes. </w:t>
      </w:r>
    </w:p>
    <w:p w14:paraId="22B7EEEC" w14:textId="76647CC0" w:rsidR="00F13F69" w:rsidRPr="00FF2A2F" w:rsidRDefault="00D76F7F" w:rsidP="006B7677">
      <w:pPr>
        <w:pStyle w:val="ListParagraph"/>
        <w:numPr>
          <w:ilvl w:val="0"/>
          <w:numId w:val="20"/>
        </w:numPr>
        <w:spacing w:before="120" w:line="260" w:lineRule="atLeast"/>
        <w:contextualSpacing w:val="0"/>
        <w:rPr>
          <w:color w:val="auto"/>
          <w:sz w:val="21"/>
          <w:szCs w:val="21"/>
          <w:lang w:val="en-AU"/>
        </w:rPr>
      </w:pPr>
      <w:r w:rsidRPr="00FF2A2F">
        <w:rPr>
          <w:color w:val="auto"/>
          <w:sz w:val="21"/>
          <w:szCs w:val="21"/>
          <w:lang w:val="en-AU"/>
        </w:rPr>
        <w:t>Promoting and p</w:t>
      </w:r>
      <w:r w:rsidR="00F13F69" w:rsidRPr="00FF2A2F">
        <w:rPr>
          <w:color w:val="auto"/>
          <w:sz w:val="21"/>
          <w:szCs w:val="21"/>
          <w:lang w:val="en-AU"/>
        </w:rPr>
        <w:t xml:space="preserve">roviding technical support to </w:t>
      </w:r>
      <w:r w:rsidR="005C42EA" w:rsidRPr="00FF2A2F">
        <w:rPr>
          <w:color w:val="auto"/>
          <w:sz w:val="21"/>
          <w:szCs w:val="21"/>
          <w:lang w:val="en-AU"/>
        </w:rPr>
        <w:t xml:space="preserve">the government </w:t>
      </w:r>
      <w:r w:rsidR="00F13F69" w:rsidRPr="00FF2A2F">
        <w:rPr>
          <w:color w:val="auto"/>
          <w:sz w:val="21"/>
          <w:szCs w:val="21"/>
          <w:lang w:val="en-AU"/>
        </w:rPr>
        <w:t xml:space="preserve">to improve their reporting of disability, gender and age disaggregated data through monitoring of the </w:t>
      </w:r>
      <w:r w:rsidR="00F13F69" w:rsidRPr="00FF2A2F">
        <w:rPr>
          <w:i/>
          <w:iCs/>
          <w:color w:val="auto"/>
          <w:sz w:val="21"/>
          <w:szCs w:val="21"/>
          <w:lang w:val="en-AU"/>
        </w:rPr>
        <w:t>Sendai Framework for Disaster Risk Reduction</w:t>
      </w:r>
      <w:r w:rsidR="005C42EA" w:rsidRPr="00FF2A2F">
        <w:rPr>
          <w:i/>
          <w:iCs/>
          <w:color w:val="auto"/>
          <w:sz w:val="21"/>
          <w:szCs w:val="21"/>
          <w:lang w:val="en-AU"/>
        </w:rPr>
        <w:t xml:space="preserve">. </w:t>
      </w:r>
    </w:p>
    <w:p w14:paraId="352491DF" w14:textId="5C796C4B" w:rsidR="00DF4F22" w:rsidRPr="00FF2A2F" w:rsidRDefault="002001EC" w:rsidP="006B7677">
      <w:pPr>
        <w:pStyle w:val="ListParagraph"/>
        <w:numPr>
          <w:ilvl w:val="0"/>
          <w:numId w:val="20"/>
        </w:numPr>
        <w:spacing w:before="120" w:line="260" w:lineRule="atLeast"/>
        <w:contextualSpacing w:val="0"/>
        <w:rPr>
          <w:color w:val="auto"/>
          <w:sz w:val="21"/>
          <w:szCs w:val="21"/>
          <w:lang w:val="en-AU"/>
        </w:rPr>
      </w:pPr>
      <w:r w:rsidRPr="00FF2A2F">
        <w:rPr>
          <w:color w:val="auto"/>
          <w:sz w:val="21"/>
          <w:szCs w:val="21"/>
          <w:lang w:val="en-AU"/>
        </w:rPr>
        <w:lastRenderedPageBreak/>
        <w:t xml:space="preserve">Promotion of accessible humanitarian supplies and inclusive supply chains, as part of the role </w:t>
      </w:r>
      <w:r w:rsidR="003918BA" w:rsidRPr="00FF2A2F">
        <w:rPr>
          <w:color w:val="auto"/>
          <w:sz w:val="21"/>
          <w:szCs w:val="21"/>
          <w:lang w:val="en-AU"/>
        </w:rPr>
        <w:t xml:space="preserve">the investment </w:t>
      </w:r>
      <w:r w:rsidRPr="00FF2A2F">
        <w:rPr>
          <w:color w:val="auto"/>
          <w:sz w:val="21"/>
          <w:szCs w:val="21"/>
          <w:lang w:val="en-AU"/>
        </w:rPr>
        <w:t xml:space="preserve">plays alongside PHWP and HLC. </w:t>
      </w:r>
      <w:r w:rsidR="00446B8A" w:rsidRPr="00FF2A2F">
        <w:rPr>
          <w:color w:val="auto"/>
          <w:sz w:val="21"/>
          <w:szCs w:val="21"/>
          <w:lang w:val="en-AU"/>
        </w:rPr>
        <w:t xml:space="preserve">This </w:t>
      </w:r>
      <w:r w:rsidR="00E7288C" w:rsidRPr="00FF2A2F">
        <w:rPr>
          <w:color w:val="auto"/>
          <w:sz w:val="21"/>
          <w:szCs w:val="21"/>
          <w:lang w:val="en-AU"/>
        </w:rPr>
        <w:t>i</w:t>
      </w:r>
      <w:r w:rsidRPr="00FF2A2F">
        <w:rPr>
          <w:color w:val="auto"/>
          <w:sz w:val="21"/>
          <w:szCs w:val="21"/>
          <w:lang w:val="en-AU"/>
        </w:rPr>
        <w:t>ncl</w:t>
      </w:r>
      <w:r w:rsidR="00446B8A" w:rsidRPr="00FF2A2F">
        <w:rPr>
          <w:color w:val="auto"/>
          <w:sz w:val="21"/>
          <w:szCs w:val="21"/>
          <w:lang w:val="en-AU"/>
        </w:rPr>
        <w:t>ud</w:t>
      </w:r>
      <w:r w:rsidRPr="00FF2A2F">
        <w:rPr>
          <w:color w:val="auto"/>
          <w:sz w:val="21"/>
          <w:szCs w:val="21"/>
          <w:lang w:val="en-AU"/>
        </w:rPr>
        <w:t>e</w:t>
      </w:r>
      <w:r w:rsidR="00446B8A" w:rsidRPr="00FF2A2F">
        <w:rPr>
          <w:color w:val="auto"/>
          <w:sz w:val="21"/>
          <w:szCs w:val="21"/>
          <w:lang w:val="en-AU"/>
        </w:rPr>
        <w:t>s</w:t>
      </w:r>
      <w:r w:rsidRPr="00FF2A2F">
        <w:rPr>
          <w:color w:val="auto"/>
          <w:sz w:val="21"/>
          <w:szCs w:val="21"/>
          <w:lang w:val="en-AU"/>
        </w:rPr>
        <w:t xml:space="preserve"> appropriate assistive technology that address the needs of people with different types of disabilities</w:t>
      </w:r>
      <w:r w:rsidR="00446B8A" w:rsidRPr="00FF2A2F">
        <w:rPr>
          <w:color w:val="auto"/>
          <w:sz w:val="21"/>
          <w:szCs w:val="21"/>
          <w:lang w:val="en-AU"/>
        </w:rPr>
        <w:t xml:space="preserve">. </w:t>
      </w:r>
      <w:r w:rsidRPr="00FF2A2F">
        <w:rPr>
          <w:color w:val="auto"/>
          <w:sz w:val="21"/>
          <w:szCs w:val="21"/>
          <w:lang w:val="en-AU"/>
        </w:rPr>
        <w:t xml:space="preserve">Coordinate with HLC to review the outcomes and lessons learned from its pilot study, to apply to </w:t>
      </w:r>
      <w:r w:rsidR="003918BA" w:rsidRPr="00FF2A2F">
        <w:rPr>
          <w:color w:val="auto"/>
          <w:sz w:val="21"/>
          <w:szCs w:val="21"/>
          <w:lang w:val="en-AU"/>
        </w:rPr>
        <w:t xml:space="preserve">investment </w:t>
      </w:r>
      <w:r w:rsidRPr="00FF2A2F">
        <w:rPr>
          <w:color w:val="auto"/>
          <w:sz w:val="21"/>
          <w:szCs w:val="21"/>
          <w:lang w:val="en-AU"/>
        </w:rPr>
        <w:t>planning.</w:t>
      </w:r>
    </w:p>
    <w:p w14:paraId="50DC649E" w14:textId="1BCE5454" w:rsidR="00492537" w:rsidRPr="00FF2A2F" w:rsidRDefault="003702BF" w:rsidP="00847D79">
      <w:pPr>
        <w:spacing w:before="120" w:line="260" w:lineRule="atLeast"/>
        <w:ind w:left="0" w:firstLine="0"/>
        <w:rPr>
          <w:b/>
          <w:bCs/>
          <w:color w:val="auto"/>
          <w:lang w:val="en-AU"/>
        </w:rPr>
      </w:pPr>
      <w:r w:rsidRPr="00FF2A2F">
        <w:rPr>
          <w:b/>
          <w:bCs/>
          <w:color w:val="auto"/>
          <w:lang w:val="en-AU"/>
        </w:rPr>
        <w:t xml:space="preserve">Locally led </w:t>
      </w:r>
      <w:r w:rsidR="00213362" w:rsidRPr="00FF2A2F">
        <w:rPr>
          <w:b/>
          <w:bCs/>
          <w:color w:val="auto"/>
          <w:lang w:val="en-AU"/>
        </w:rPr>
        <w:t>humanita</w:t>
      </w:r>
      <w:r w:rsidR="00A51F4F" w:rsidRPr="00FF2A2F">
        <w:rPr>
          <w:b/>
          <w:bCs/>
          <w:color w:val="auto"/>
          <w:lang w:val="en-AU"/>
        </w:rPr>
        <w:t>rian action</w:t>
      </w:r>
    </w:p>
    <w:p w14:paraId="0BF88416" w14:textId="5F787D22" w:rsidR="000465F1" w:rsidRPr="00FF2A2F" w:rsidRDefault="00786412" w:rsidP="00847D79">
      <w:pPr>
        <w:suppressAutoHyphens/>
        <w:spacing w:before="120" w:line="260" w:lineRule="atLeast"/>
        <w:ind w:left="0" w:firstLine="0"/>
        <w:rPr>
          <w:rFonts w:eastAsiaTheme="minorEastAsia"/>
          <w:color w:val="auto"/>
          <w:sz w:val="21"/>
          <w:szCs w:val="21"/>
          <w:lang w:val="en-AU"/>
        </w:rPr>
      </w:pPr>
      <w:r w:rsidRPr="00FF2A2F">
        <w:rPr>
          <w:rFonts w:eastAsiaTheme="minorEastAsia"/>
          <w:color w:val="auto"/>
          <w:sz w:val="21"/>
          <w:szCs w:val="21"/>
          <w:lang w:val="en-AU"/>
        </w:rPr>
        <w:t>1</w:t>
      </w:r>
      <w:r w:rsidR="00847D79" w:rsidRPr="00FF2A2F">
        <w:rPr>
          <w:rFonts w:eastAsiaTheme="minorEastAsia"/>
          <w:color w:val="auto"/>
          <w:sz w:val="21"/>
          <w:szCs w:val="21"/>
          <w:lang w:val="en-AU"/>
        </w:rPr>
        <w:t xml:space="preserve">46. </w:t>
      </w:r>
      <w:r w:rsidR="005F16F3" w:rsidRPr="00FF2A2F">
        <w:rPr>
          <w:rFonts w:eastAsiaTheme="minorEastAsia"/>
          <w:color w:val="auto"/>
          <w:sz w:val="21"/>
          <w:szCs w:val="21"/>
          <w:lang w:val="en-AU"/>
        </w:rPr>
        <w:t xml:space="preserve">The investment also adopts and integrates local leadership and processes - as described in DFAT’s Guidance Note on Locally Led Development (2023) - which is an important principle within Tonga’s DRM Policy. </w:t>
      </w:r>
      <w:r w:rsidR="00D66F75" w:rsidRPr="00FF2A2F">
        <w:rPr>
          <w:rFonts w:eastAsiaTheme="minorEastAsia"/>
          <w:color w:val="auto"/>
          <w:sz w:val="21"/>
          <w:szCs w:val="21"/>
          <w:lang w:val="en-AU"/>
        </w:rPr>
        <w:t>The design process has</w:t>
      </w:r>
      <w:r w:rsidR="005F4206" w:rsidRPr="00FF2A2F">
        <w:rPr>
          <w:rFonts w:eastAsiaTheme="minorEastAsia"/>
          <w:color w:val="auto"/>
          <w:sz w:val="21"/>
          <w:szCs w:val="21"/>
          <w:lang w:val="en-AU"/>
        </w:rPr>
        <w:t xml:space="preserve"> integrated</w:t>
      </w:r>
      <w:r w:rsidR="00C856DD" w:rsidRPr="00FF2A2F">
        <w:rPr>
          <w:rFonts w:eastAsiaTheme="minorEastAsia"/>
          <w:color w:val="auto"/>
          <w:sz w:val="21"/>
          <w:szCs w:val="21"/>
          <w:lang w:val="en-AU"/>
        </w:rPr>
        <w:t xml:space="preserve"> locally led development</w:t>
      </w:r>
      <w:r w:rsidR="005F4206" w:rsidRPr="00FF2A2F">
        <w:rPr>
          <w:rFonts w:eastAsiaTheme="minorEastAsia"/>
          <w:color w:val="auto"/>
          <w:sz w:val="21"/>
          <w:szCs w:val="21"/>
          <w:lang w:val="en-AU"/>
        </w:rPr>
        <w:t xml:space="preserve"> principles</w:t>
      </w:r>
      <w:r w:rsidR="00C856DD" w:rsidRPr="00FF2A2F">
        <w:rPr>
          <w:rFonts w:eastAsiaTheme="minorEastAsia"/>
          <w:color w:val="auto"/>
          <w:sz w:val="21"/>
          <w:szCs w:val="21"/>
          <w:lang w:val="en-AU"/>
        </w:rPr>
        <w:t xml:space="preserve"> through its</w:t>
      </w:r>
      <w:r w:rsidR="004A7CB3" w:rsidRPr="00FF2A2F">
        <w:rPr>
          <w:rFonts w:eastAsiaTheme="minorEastAsia"/>
          <w:color w:val="auto"/>
          <w:sz w:val="21"/>
          <w:szCs w:val="21"/>
          <w:lang w:val="en-AU"/>
        </w:rPr>
        <w:t xml:space="preserve"> engagement and consultation with diverse local actors, a</w:t>
      </w:r>
      <w:r w:rsidR="00C856DD" w:rsidRPr="00FF2A2F">
        <w:rPr>
          <w:rFonts w:eastAsiaTheme="minorEastAsia"/>
          <w:color w:val="auto"/>
          <w:sz w:val="21"/>
          <w:szCs w:val="21"/>
          <w:lang w:val="en-AU"/>
        </w:rPr>
        <w:t xml:space="preserve"> co-de</w:t>
      </w:r>
      <w:r w:rsidR="00012077" w:rsidRPr="00FF2A2F">
        <w:rPr>
          <w:rFonts w:eastAsiaTheme="minorEastAsia"/>
          <w:color w:val="auto"/>
          <w:sz w:val="21"/>
          <w:szCs w:val="21"/>
          <w:lang w:val="en-AU"/>
        </w:rPr>
        <w:t xml:space="preserve">sign approach with key stakeholders </w:t>
      </w:r>
      <w:r w:rsidR="00B66962" w:rsidRPr="00FF2A2F">
        <w:rPr>
          <w:rFonts w:eastAsiaTheme="minorEastAsia"/>
          <w:color w:val="auto"/>
          <w:sz w:val="21"/>
          <w:szCs w:val="21"/>
          <w:lang w:val="en-AU"/>
        </w:rPr>
        <w:t xml:space="preserve">and embedding </w:t>
      </w:r>
      <w:r w:rsidR="00495AA2" w:rsidRPr="00FF2A2F">
        <w:rPr>
          <w:rFonts w:eastAsiaTheme="minorEastAsia"/>
          <w:color w:val="auto"/>
          <w:sz w:val="21"/>
          <w:szCs w:val="21"/>
          <w:lang w:val="en-AU"/>
        </w:rPr>
        <w:t xml:space="preserve">local leadership as a key program outcome. </w:t>
      </w:r>
      <w:r w:rsidR="000465F1" w:rsidRPr="00FF2A2F">
        <w:rPr>
          <w:rFonts w:eastAsiaTheme="minorEastAsia"/>
          <w:color w:val="auto"/>
          <w:sz w:val="21"/>
          <w:szCs w:val="21"/>
          <w:lang w:val="en-AU"/>
        </w:rPr>
        <w:t>Th</w:t>
      </w:r>
      <w:r w:rsidR="002B5B60" w:rsidRPr="00FF2A2F">
        <w:rPr>
          <w:rFonts w:eastAsiaTheme="minorEastAsia"/>
          <w:color w:val="auto"/>
          <w:sz w:val="21"/>
          <w:szCs w:val="21"/>
          <w:lang w:val="en-AU"/>
        </w:rPr>
        <w:t xml:space="preserve">ere is </w:t>
      </w:r>
      <w:r w:rsidR="000465F1" w:rsidRPr="00FF2A2F">
        <w:rPr>
          <w:rFonts w:eastAsiaTheme="minorEastAsia"/>
          <w:color w:val="auto"/>
          <w:sz w:val="21"/>
          <w:szCs w:val="21"/>
          <w:lang w:val="en-AU"/>
        </w:rPr>
        <w:t xml:space="preserve">strong evidence of </w:t>
      </w:r>
      <w:r w:rsidR="002B5B60" w:rsidRPr="00FF2A2F">
        <w:rPr>
          <w:rFonts w:eastAsiaTheme="minorEastAsia"/>
          <w:color w:val="auto"/>
          <w:sz w:val="21"/>
          <w:szCs w:val="21"/>
          <w:lang w:val="en-AU"/>
        </w:rPr>
        <w:t xml:space="preserve">Tongan </w:t>
      </w:r>
      <w:r w:rsidR="000465F1" w:rsidRPr="00FF2A2F">
        <w:rPr>
          <w:rFonts w:eastAsiaTheme="minorEastAsia"/>
          <w:color w:val="auto"/>
          <w:sz w:val="21"/>
          <w:szCs w:val="21"/>
          <w:lang w:val="en-AU"/>
        </w:rPr>
        <w:t>actors</w:t>
      </w:r>
      <w:r w:rsidR="002B5B60" w:rsidRPr="00FF2A2F">
        <w:rPr>
          <w:rFonts w:eastAsiaTheme="minorEastAsia"/>
          <w:color w:val="auto"/>
          <w:sz w:val="21"/>
          <w:szCs w:val="21"/>
          <w:lang w:val="en-AU"/>
        </w:rPr>
        <w:t xml:space="preserve"> and institutions</w:t>
      </w:r>
      <w:r w:rsidR="000465F1" w:rsidRPr="00FF2A2F">
        <w:rPr>
          <w:rFonts w:eastAsiaTheme="minorEastAsia"/>
          <w:color w:val="auto"/>
          <w:sz w:val="21"/>
          <w:szCs w:val="21"/>
          <w:lang w:val="en-AU"/>
        </w:rPr>
        <w:t xml:space="preserve"> demonstrating leadership in determining priorities for improved </w:t>
      </w:r>
      <w:r w:rsidR="00BB377C" w:rsidRPr="00FF2A2F">
        <w:rPr>
          <w:rFonts w:eastAsiaTheme="minorEastAsia"/>
          <w:color w:val="auto"/>
          <w:sz w:val="21"/>
          <w:szCs w:val="21"/>
          <w:lang w:val="en-AU"/>
        </w:rPr>
        <w:t xml:space="preserve">humanitarian </w:t>
      </w:r>
      <w:r w:rsidR="000465F1" w:rsidRPr="00FF2A2F">
        <w:rPr>
          <w:rFonts w:eastAsiaTheme="minorEastAsia"/>
          <w:color w:val="auto"/>
          <w:sz w:val="21"/>
          <w:szCs w:val="21"/>
          <w:lang w:val="en-AU"/>
        </w:rPr>
        <w:t xml:space="preserve">planning, response and recovery. This is a sound and sustainable localisation foundation for the investment to build </w:t>
      </w:r>
      <w:r w:rsidR="005F4206" w:rsidRPr="00FF2A2F">
        <w:rPr>
          <w:rFonts w:eastAsiaTheme="minorEastAsia"/>
          <w:color w:val="auto"/>
          <w:sz w:val="21"/>
          <w:szCs w:val="21"/>
          <w:lang w:val="en-AU"/>
        </w:rPr>
        <w:t>from,</w:t>
      </w:r>
      <w:r w:rsidR="00C674B1" w:rsidRPr="00FF2A2F">
        <w:rPr>
          <w:rFonts w:eastAsiaTheme="minorEastAsia"/>
          <w:color w:val="auto"/>
          <w:sz w:val="21"/>
          <w:szCs w:val="21"/>
          <w:lang w:val="en-AU"/>
        </w:rPr>
        <w:t xml:space="preserve"> and it is expected that implementation will continue to be grounded in </w:t>
      </w:r>
      <w:r w:rsidR="00710B5E" w:rsidRPr="00FF2A2F">
        <w:rPr>
          <w:rFonts w:eastAsiaTheme="minorEastAsia"/>
          <w:color w:val="auto"/>
          <w:sz w:val="21"/>
          <w:szCs w:val="21"/>
          <w:lang w:val="en-AU"/>
        </w:rPr>
        <w:t xml:space="preserve">locally led intention and approach. </w:t>
      </w:r>
    </w:p>
    <w:p w14:paraId="15B29F64" w14:textId="06E27A30" w:rsidR="008A0E79" w:rsidRPr="00FF2A2F" w:rsidRDefault="00847D79" w:rsidP="00847D79">
      <w:pPr>
        <w:suppressAutoHyphens/>
        <w:spacing w:before="120" w:line="260" w:lineRule="atLeast"/>
        <w:ind w:left="0" w:firstLine="0"/>
        <w:rPr>
          <w:rFonts w:eastAsiaTheme="minorEastAsia"/>
          <w:color w:val="auto"/>
          <w:sz w:val="21"/>
          <w:szCs w:val="21"/>
          <w:lang w:val="en-AU"/>
        </w:rPr>
      </w:pPr>
      <w:r w:rsidRPr="00FF2A2F">
        <w:rPr>
          <w:rFonts w:eastAsiaTheme="minorEastAsia"/>
          <w:color w:val="auto"/>
          <w:sz w:val="21"/>
          <w:szCs w:val="21"/>
          <w:lang w:val="en-AU"/>
        </w:rPr>
        <w:t xml:space="preserve">147. </w:t>
      </w:r>
      <w:r w:rsidR="00975F69" w:rsidRPr="00FF2A2F">
        <w:rPr>
          <w:rFonts w:eastAsiaTheme="minorEastAsia"/>
          <w:color w:val="auto"/>
          <w:sz w:val="21"/>
          <w:szCs w:val="21"/>
          <w:lang w:val="en-AU"/>
        </w:rPr>
        <w:t xml:space="preserve">It will be important </w:t>
      </w:r>
      <w:r w:rsidR="007F71B4" w:rsidRPr="00FF2A2F">
        <w:rPr>
          <w:rFonts w:eastAsiaTheme="minorEastAsia"/>
          <w:color w:val="auto"/>
          <w:sz w:val="21"/>
          <w:szCs w:val="21"/>
          <w:lang w:val="en-AU"/>
        </w:rPr>
        <w:t xml:space="preserve">to </w:t>
      </w:r>
      <w:r w:rsidR="00F27616" w:rsidRPr="00FF2A2F">
        <w:rPr>
          <w:rFonts w:eastAsiaTheme="minorEastAsia"/>
          <w:color w:val="auto"/>
          <w:sz w:val="21"/>
          <w:szCs w:val="21"/>
          <w:lang w:val="en-AU"/>
        </w:rPr>
        <w:t xml:space="preserve">monitor and assess the impact </w:t>
      </w:r>
      <w:r w:rsidR="007F71B4" w:rsidRPr="00FF2A2F">
        <w:rPr>
          <w:rFonts w:eastAsiaTheme="minorEastAsia"/>
          <w:color w:val="auto"/>
          <w:sz w:val="21"/>
          <w:szCs w:val="21"/>
          <w:lang w:val="en-AU"/>
        </w:rPr>
        <w:t xml:space="preserve">DFAT’s due diligence standards and other compliance </w:t>
      </w:r>
      <w:r w:rsidR="00F27616" w:rsidRPr="00FF2A2F">
        <w:rPr>
          <w:rFonts w:eastAsiaTheme="minorEastAsia"/>
          <w:color w:val="auto"/>
          <w:sz w:val="21"/>
          <w:szCs w:val="21"/>
          <w:lang w:val="en-AU"/>
        </w:rPr>
        <w:t xml:space="preserve">measures have on CSOs and </w:t>
      </w:r>
      <w:r w:rsidR="00A9284D" w:rsidRPr="00FF2A2F">
        <w:rPr>
          <w:rFonts w:eastAsiaTheme="minorEastAsia"/>
          <w:color w:val="auto"/>
          <w:sz w:val="21"/>
          <w:szCs w:val="21"/>
          <w:lang w:val="en-AU"/>
        </w:rPr>
        <w:t>locally led and managed approaches more broadly</w:t>
      </w:r>
      <w:r w:rsidR="00E83AF6" w:rsidRPr="00FF2A2F">
        <w:rPr>
          <w:rFonts w:eastAsiaTheme="minorEastAsia"/>
          <w:color w:val="auto"/>
          <w:sz w:val="21"/>
          <w:szCs w:val="21"/>
          <w:lang w:val="en-AU"/>
        </w:rPr>
        <w:t xml:space="preserve">. </w:t>
      </w:r>
      <w:r w:rsidR="00D318E1" w:rsidRPr="00FF2A2F">
        <w:rPr>
          <w:rFonts w:eastAsiaTheme="minorEastAsia"/>
          <w:color w:val="auto"/>
          <w:sz w:val="21"/>
          <w:szCs w:val="21"/>
          <w:lang w:val="en-AU"/>
        </w:rPr>
        <w:t>This has been identified in the MEL Framework at design and will be expanded on in the MEL Plan.</w:t>
      </w:r>
    </w:p>
    <w:p w14:paraId="57EFE48E" w14:textId="216578E8" w:rsidR="000465F1" w:rsidRPr="00FF2A2F" w:rsidRDefault="00786412" w:rsidP="00847D79">
      <w:pPr>
        <w:suppressAutoHyphens/>
        <w:spacing w:before="120" w:line="260" w:lineRule="atLeast"/>
        <w:ind w:left="0" w:firstLine="0"/>
        <w:rPr>
          <w:rFonts w:eastAsiaTheme="minorEastAsia"/>
          <w:color w:val="auto"/>
          <w:sz w:val="21"/>
          <w:szCs w:val="21"/>
          <w:lang w:val="en-AU"/>
        </w:rPr>
      </w:pPr>
      <w:r w:rsidRPr="00FF2A2F">
        <w:rPr>
          <w:rFonts w:eastAsiaTheme="minorEastAsia"/>
          <w:color w:val="auto"/>
          <w:sz w:val="21"/>
          <w:szCs w:val="21"/>
          <w:lang w:val="en-AU"/>
        </w:rPr>
        <w:t>1</w:t>
      </w:r>
      <w:r w:rsidR="00847D79" w:rsidRPr="00FF2A2F">
        <w:rPr>
          <w:rFonts w:eastAsiaTheme="minorEastAsia"/>
          <w:color w:val="auto"/>
          <w:sz w:val="21"/>
          <w:szCs w:val="21"/>
          <w:lang w:val="en-AU"/>
        </w:rPr>
        <w:t xml:space="preserve">48. </w:t>
      </w:r>
      <w:r w:rsidR="003918BA" w:rsidRPr="00FF2A2F">
        <w:rPr>
          <w:rFonts w:eastAsiaTheme="minorEastAsia"/>
          <w:color w:val="auto"/>
          <w:sz w:val="21"/>
          <w:szCs w:val="21"/>
          <w:lang w:val="en-AU"/>
        </w:rPr>
        <w:t>The investment</w:t>
      </w:r>
      <w:r w:rsidR="00BB377C" w:rsidRPr="00FF2A2F">
        <w:rPr>
          <w:rFonts w:eastAsiaTheme="minorEastAsia"/>
          <w:color w:val="auto"/>
          <w:sz w:val="21"/>
          <w:szCs w:val="21"/>
          <w:lang w:val="en-AU"/>
        </w:rPr>
        <w:t xml:space="preserve"> </w:t>
      </w:r>
      <w:r w:rsidR="000465F1" w:rsidRPr="00FF2A2F">
        <w:rPr>
          <w:rFonts w:eastAsiaTheme="minorEastAsia"/>
          <w:color w:val="auto"/>
          <w:sz w:val="21"/>
          <w:szCs w:val="21"/>
          <w:lang w:val="en-AU"/>
        </w:rPr>
        <w:t xml:space="preserve">will value local knowledge, priorities, networks, and cultural understanding in its design and delivery, recognising that this engenders more effective, relevant, and efficient </w:t>
      </w:r>
      <w:r w:rsidR="00BB377C" w:rsidRPr="00FF2A2F">
        <w:rPr>
          <w:rFonts w:eastAsiaTheme="minorEastAsia"/>
          <w:color w:val="auto"/>
          <w:sz w:val="21"/>
          <w:szCs w:val="21"/>
          <w:lang w:val="en-AU"/>
        </w:rPr>
        <w:t xml:space="preserve">disaster risk </w:t>
      </w:r>
      <w:r w:rsidR="00FC77AC" w:rsidRPr="00FF2A2F">
        <w:rPr>
          <w:rFonts w:eastAsiaTheme="minorEastAsia"/>
          <w:color w:val="auto"/>
          <w:sz w:val="21"/>
          <w:szCs w:val="21"/>
          <w:lang w:val="en-AU"/>
        </w:rPr>
        <w:t>management</w:t>
      </w:r>
      <w:r w:rsidR="000465F1" w:rsidRPr="00FF2A2F">
        <w:rPr>
          <w:rFonts w:eastAsiaTheme="minorEastAsia"/>
          <w:color w:val="auto"/>
          <w:sz w:val="21"/>
          <w:szCs w:val="21"/>
          <w:lang w:val="en-AU"/>
        </w:rPr>
        <w:t xml:space="preserve"> with more sustainable outcomes. </w:t>
      </w:r>
      <w:r w:rsidR="003918BA" w:rsidRPr="00FF2A2F">
        <w:rPr>
          <w:rFonts w:eastAsiaTheme="minorEastAsia"/>
          <w:color w:val="auto"/>
          <w:sz w:val="21"/>
          <w:szCs w:val="21"/>
          <w:lang w:val="en-AU"/>
        </w:rPr>
        <w:t>The investment will</w:t>
      </w:r>
      <w:r w:rsidR="000465F1" w:rsidRPr="00FF2A2F">
        <w:rPr>
          <w:rFonts w:eastAsiaTheme="minorEastAsia"/>
          <w:color w:val="auto"/>
          <w:sz w:val="21"/>
          <w:szCs w:val="21"/>
          <w:lang w:val="en-AU"/>
        </w:rPr>
        <w:t xml:space="preserve"> seek to integrate indigenous wisdom, customary practices, and traditional skills into its approach</w:t>
      </w:r>
      <w:r w:rsidR="004A3CC8" w:rsidRPr="00FF2A2F">
        <w:rPr>
          <w:rFonts w:eastAsiaTheme="minorEastAsia"/>
          <w:color w:val="auto"/>
          <w:sz w:val="21"/>
          <w:szCs w:val="21"/>
          <w:lang w:val="en-AU"/>
        </w:rPr>
        <w:t xml:space="preserve">. The work by Tonga Meteorological Services documenting traditional forecasting and early warning knowledge and practices was highlighted </w:t>
      </w:r>
      <w:r w:rsidR="00812680" w:rsidRPr="00FF2A2F">
        <w:rPr>
          <w:rFonts w:eastAsiaTheme="minorEastAsia"/>
          <w:color w:val="auto"/>
          <w:sz w:val="21"/>
          <w:szCs w:val="21"/>
          <w:lang w:val="en-AU"/>
        </w:rPr>
        <w:t xml:space="preserve">in </w:t>
      </w:r>
      <w:r w:rsidR="004A3CC8" w:rsidRPr="00FF2A2F">
        <w:rPr>
          <w:rFonts w:eastAsiaTheme="minorEastAsia"/>
          <w:color w:val="auto"/>
          <w:sz w:val="21"/>
          <w:szCs w:val="21"/>
          <w:lang w:val="en-AU"/>
        </w:rPr>
        <w:t>design consultations as a means of promoting greater local and Indigenous participation in the investment.</w:t>
      </w:r>
      <w:r w:rsidR="000465F1" w:rsidRPr="00FF2A2F">
        <w:rPr>
          <w:rFonts w:eastAsiaTheme="minorEastAsia"/>
          <w:color w:val="auto"/>
          <w:sz w:val="21"/>
          <w:szCs w:val="21"/>
          <w:lang w:val="en-AU"/>
        </w:rPr>
        <w:t xml:space="preserve"> </w:t>
      </w:r>
      <w:r w:rsidR="004A3CC8" w:rsidRPr="00FF2A2F">
        <w:rPr>
          <w:rFonts w:eastAsiaTheme="minorEastAsia"/>
          <w:color w:val="auto"/>
          <w:sz w:val="21"/>
          <w:szCs w:val="21"/>
          <w:lang w:val="en-AU"/>
        </w:rPr>
        <w:t>E</w:t>
      </w:r>
      <w:r w:rsidR="000465F1" w:rsidRPr="00FF2A2F">
        <w:rPr>
          <w:rFonts w:eastAsiaTheme="minorEastAsia"/>
          <w:color w:val="auto"/>
          <w:sz w:val="21"/>
          <w:szCs w:val="21"/>
          <w:lang w:val="en-AU"/>
        </w:rPr>
        <w:t xml:space="preserve">mbracing the leadership of local actors and communities is one of the principles for addressing climate and environmental crises.   </w:t>
      </w:r>
    </w:p>
    <w:p w14:paraId="29200E01" w14:textId="1EBBAC7E" w:rsidR="000465F1" w:rsidRPr="00FF2A2F" w:rsidRDefault="00847D79" w:rsidP="00847D79">
      <w:pPr>
        <w:suppressAutoHyphens/>
        <w:spacing w:before="120" w:line="260" w:lineRule="atLeast"/>
        <w:ind w:left="0" w:firstLine="0"/>
        <w:rPr>
          <w:rFonts w:eastAsiaTheme="minorEastAsia"/>
          <w:color w:val="auto"/>
          <w:sz w:val="21"/>
          <w:szCs w:val="21"/>
          <w:lang w:val="en-AU"/>
        </w:rPr>
      </w:pPr>
      <w:r w:rsidRPr="00FF2A2F">
        <w:rPr>
          <w:rFonts w:eastAsiaTheme="minorEastAsia"/>
          <w:color w:val="auto"/>
          <w:sz w:val="21"/>
          <w:szCs w:val="21"/>
          <w:lang w:val="en-AU"/>
        </w:rPr>
        <w:t xml:space="preserve">149. </w:t>
      </w:r>
      <w:r w:rsidR="000465F1" w:rsidRPr="00FF2A2F">
        <w:rPr>
          <w:rFonts w:eastAsiaTheme="minorEastAsia"/>
          <w:color w:val="auto"/>
          <w:sz w:val="21"/>
          <w:szCs w:val="21"/>
          <w:lang w:val="en-AU"/>
        </w:rPr>
        <w:t>The design process has developed these localisation principles</w:t>
      </w:r>
      <w:r w:rsidR="006F70F6" w:rsidRPr="00FF2A2F">
        <w:rPr>
          <w:rFonts w:eastAsiaTheme="minorEastAsia"/>
          <w:color w:val="auto"/>
          <w:sz w:val="21"/>
          <w:szCs w:val="21"/>
          <w:lang w:val="en-AU"/>
        </w:rPr>
        <w:t xml:space="preserve"> to guide implementation</w:t>
      </w:r>
      <w:r w:rsidR="004676E0" w:rsidRPr="00FF2A2F">
        <w:rPr>
          <w:rFonts w:eastAsiaTheme="minorEastAsia"/>
          <w:color w:val="auto"/>
          <w:sz w:val="21"/>
          <w:szCs w:val="21"/>
          <w:lang w:val="en-AU"/>
        </w:rPr>
        <w:t xml:space="preserve">; </w:t>
      </w:r>
      <w:r w:rsidR="007E129A" w:rsidRPr="00FF2A2F">
        <w:rPr>
          <w:rFonts w:eastAsiaTheme="minorEastAsia"/>
          <w:color w:val="auto"/>
          <w:sz w:val="21"/>
          <w:szCs w:val="21"/>
          <w:lang w:val="en-AU"/>
        </w:rPr>
        <w:t xml:space="preserve">centring </w:t>
      </w:r>
      <w:r w:rsidR="004676E0" w:rsidRPr="00FF2A2F">
        <w:rPr>
          <w:rFonts w:eastAsiaTheme="minorEastAsia"/>
          <w:color w:val="auto"/>
          <w:sz w:val="21"/>
          <w:szCs w:val="21"/>
          <w:lang w:val="en-AU"/>
        </w:rPr>
        <w:t>local decision making and supporting development of capacity as driven by local actors at multiple levels/in multiple sectors.</w:t>
      </w:r>
      <w:r w:rsidR="000465F1" w:rsidRPr="00FF2A2F">
        <w:rPr>
          <w:rFonts w:eastAsiaTheme="minorEastAsia"/>
          <w:color w:val="auto"/>
          <w:sz w:val="21"/>
          <w:szCs w:val="21"/>
          <w:lang w:val="en-AU"/>
        </w:rPr>
        <w:t xml:space="preserve">: </w:t>
      </w:r>
    </w:p>
    <w:p w14:paraId="4DC5FDDA" w14:textId="5FE14B24" w:rsidR="000465F1" w:rsidRPr="00FF2A2F" w:rsidRDefault="000465F1" w:rsidP="006B7677">
      <w:pPr>
        <w:pStyle w:val="ListParagraph"/>
        <w:numPr>
          <w:ilvl w:val="0"/>
          <w:numId w:val="23"/>
        </w:numPr>
        <w:spacing w:before="120" w:line="260" w:lineRule="atLeast"/>
        <w:contextualSpacing w:val="0"/>
        <w:rPr>
          <w:color w:val="auto"/>
          <w:sz w:val="21"/>
          <w:szCs w:val="21"/>
          <w:lang w:val="en-AU"/>
        </w:rPr>
      </w:pPr>
      <w:r w:rsidRPr="00FF2A2F">
        <w:rPr>
          <w:color w:val="auto"/>
          <w:sz w:val="21"/>
          <w:szCs w:val="21"/>
          <w:lang w:val="en-AU"/>
        </w:rPr>
        <w:t xml:space="preserve">Build on existing national mechanisms, initiatives, and systems. </w:t>
      </w:r>
    </w:p>
    <w:p w14:paraId="3A27F13D" w14:textId="2E2031C3" w:rsidR="000465F1" w:rsidRPr="00FF2A2F" w:rsidRDefault="00013AC6" w:rsidP="006B7677">
      <w:pPr>
        <w:pStyle w:val="ListParagraph"/>
        <w:numPr>
          <w:ilvl w:val="0"/>
          <w:numId w:val="23"/>
        </w:numPr>
        <w:spacing w:before="120" w:line="260" w:lineRule="atLeast"/>
        <w:contextualSpacing w:val="0"/>
        <w:rPr>
          <w:color w:val="auto"/>
          <w:sz w:val="21"/>
          <w:szCs w:val="21"/>
        </w:rPr>
      </w:pPr>
      <w:r w:rsidRPr="00FF2A2F">
        <w:rPr>
          <w:color w:val="auto"/>
          <w:sz w:val="21"/>
          <w:szCs w:val="21"/>
        </w:rPr>
        <w:t>E</w:t>
      </w:r>
      <w:r w:rsidR="000465F1" w:rsidRPr="00FF2A2F">
        <w:rPr>
          <w:color w:val="auto"/>
          <w:sz w:val="21"/>
          <w:szCs w:val="21"/>
        </w:rPr>
        <w:t xml:space="preserve">nsure a </w:t>
      </w:r>
      <w:r w:rsidRPr="00FF2A2F">
        <w:rPr>
          <w:color w:val="auto"/>
          <w:sz w:val="21"/>
          <w:szCs w:val="21"/>
        </w:rPr>
        <w:t>Tonga-led and -</w:t>
      </w:r>
      <w:r w:rsidR="000465F1" w:rsidRPr="00FF2A2F">
        <w:rPr>
          <w:color w:val="auto"/>
          <w:sz w:val="21"/>
          <w:szCs w:val="21"/>
        </w:rPr>
        <w:t>owned approach – working at an appropriate pace and timeframe</w:t>
      </w:r>
      <w:r w:rsidR="00553F1A" w:rsidRPr="00FF2A2F">
        <w:rPr>
          <w:color w:val="auto"/>
          <w:sz w:val="21"/>
          <w:szCs w:val="21"/>
        </w:rPr>
        <w:t xml:space="preserve">. </w:t>
      </w:r>
      <w:r w:rsidR="000465F1" w:rsidRPr="00FF2A2F">
        <w:rPr>
          <w:color w:val="auto"/>
          <w:sz w:val="21"/>
          <w:szCs w:val="21"/>
        </w:rPr>
        <w:t xml:space="preserve">  </w:t>
      </w:r>
    </w:p>
    <w:p w14:paraId="4C4605F3" w14:textId="77777777" w:rsidR="00847D79" w:rsidRPr="00FF2A2F" w:rsidRDefault="000465F1" w:rsidP="006B7677">
      <w:pPr>
        <w:pStyle w:val="ListParagraph"/>
        <w:numPr>
          <w:ilvl w:val="0"/>
          <w:numId w:val="23"/>
        </w:numPr>
        <w:spacing w:before="120" w:line="260" w:lineRule="atLeast"/>
        <w:contextualSpacing w:val="0"/>
        <w:rPr>
          <w:color w:val="auto"/>
          <w:sz w:val="21"/>
          <w:szCs w:val="21"/>
          <w:lang w:val="en-AU"/>
        </w:rPr>
      </w:pPr>
      <w:r w:rsidRPr="00FF2A2F">
        <w:rPr>
          <w:color w:val="auto"/>
          <w:sz w:val="21"/>
          <w:szCs w:val="21"/>
          <w:lang w:val="en-AU"/>
        </w:rPr>
        <w:t>Creating opportunities for local</w:t>
      </w:r>
      <w:r w:rsidR="00553F1A" w:rsidRPr="00FF2A2F">
        <w:rPr>
          <w:color w:val="auto"/>
          <w:sz w:val="21"/>
          <w:szCs w:val="21"/>
          <w:lang w:val="en-AU"/>
        </w:rPr>
        <w:t xml:space="preserve"> suppliers to participate in the investment. </w:t>
      </w:r>
    </w:p>
    <w:p w14:paraId="3A951681" w14:textId="77777777" w:rsidR="00847D79" w:rsidRPr="00FF2A2F" w:rsidRDefault="00ED378A" w:rsidP="00847D79">
      <w:pPr>
        <w:spacing w:before="120" w:line="260" w:lineRule="atLeast"/>
        <w:ind w:left="0" w:firstLine="0"/>
        <w:rPr>
          <w:b/>
          <w:bCs/>
          <w:iCs/>
          <w:color w:val="auto"/>
        </w:rPr>
      </w:pPr>
      <w:r w:rsidRPr="00FF2A2F">
        <w:rPr>
          <w:b/>
          <w:bCs/>
          <w:iCs/>
          <w:color w:val="auto"/>
        </w:rPr>
        <w:t>Climate Change</w:t>
      </w:r>
    </w:p>
    <w:p w14:paraId="3245A8C7" w14:textId="77777777" w:rsidR="00847D79" w:rsidRPr="00FF2A2F" w:rsidRDefault="00847D79" w:rsidP="00847D79">
      <w:pPr>
        <w:spacing w:before="120" w:line="260" w:lineRule="atLeast"/>
        <w:ind w:left="0" w:firstLine="0"/>
        <w:rPr>
          <w:color w:val="auto"/>
          <w:sz w:val="21"/>
          <w:szCs w:val="21"/>
        </w:rPr>
      </w:pPr>
      <w:r w:rsidRPr="00FF2A2F">
        <w:rPr>
          <w:iCs/>
          <w:color w:val="auto"/>
        </w:rPr>
        <w:t>150.</w:t>
      </w:r>
      <w:r w:rsidRPr="00FF2A2F">
        <w:rPr>
          <w:b/>
          <w:bCs/>
          <w:iCs/>
          <w:color w:val="auto"/>
        </w:rPr>
        <w:t xml:space="preserve"> </w:t>
      </w:r>
      <w:r w:rsidR="003918BA" w:rsidRPr="00FF2A2F">
        <w:rPr>
          <w:rFonts w:eastAsia="Times New Roman" w:cs="Times New Roman"/>
          <w:color w:val="auto"/>
          <w:sz w:val="21"/>
          <w:szCs w:val="24"/>
          <w:lang w:val="en-AU"/>
        </w:rPr>
        <w:t xml:space="preserve">This investment </w:t>
      </w:r>
      <w:r w:rsidR="005F1350" w:rsidRPr="00FF2A2F">
        <w:rPr>
          <w:color w:val="auto"/>
          <w:sz w:val="21"/>
          <w:szCs w:val="21"/>
        </w:rPr>
        <w:t xml:space="preserve">will contribute to Australia’s </w:t>
      </w:r>
      <w:r w:rsidR="00AF1BC6" w:rsidRPr="00FF2A2F">
        <w:rPr>
          <w:i/>
          <w:iCs/>
          <w:color w:val="auto"/>
          <w:sz w:val="21"/>
          <w:szCs w:val="21"/>
        </w:rPr>
        <w:t>Climate Change Action Strategy 2020-25</w:t>
      </w:r>
      <w:r w:rsidR="00E96564" w:rsidRPr="00FF2A2F">
        <w:rPr>
          <w:i/>
          <w:iCs/>
          <w:color w:val="auto"/>
          <w:sz w:val="21"/>
          <w:szCs w:val="21"/>
        </w:rPr>
        <w:t xml:space="preserve"> </w:t>
      </w:r>
      <w:r w:rsidR="00E96564" w:rsidRPr="00FF2A2F">
        <w:rPr>
          <w:color w:val="auto"/>
          <w:sz w:val="21"/>
          <w:szCs w:val="21"/>
        </w:rPr>
        <w:t xml:space="preserve">primarily by supporting the GoT to adapt to climate change, and to plan, prepare for and respond to climate related impacts. </w:t>
      </w:r>
      <w:r w:rsidR="006727D4" w:rsidRPr="00FF2A2F">
        <w:rPr>
          <w:color w:val="auto"/>
          <w:sz w:val="21"/>
          <w:szCs w:val="21"/>
        </w:rPr>
        <w:t xml:space="preserve">Climate resilience has been woven throughout the Program Logic </w:t>
      </w:r>
      <w:r w:rsidR="00FA54D2" w:rsidRPr="00FF2A2F">
        <w:rPr>
          <w:color w:val="auto"/>
          <w:sz w:val="21"/>
          <w:szCs w:val="21"/>
        </w:rPr>
        <w:t xml:space="preserve">starting with the goal and down to </w:t>
      </w:r>
      <w:r w:rsidR="00D33F3A" w:rsidRPr="00FF2A2F">
        <w:rPr>
          <w:color w:val="auto"/>
          <w:sz w:val="21"/>
          <w:szCs w:val="21"/>
        </w:rPr>
        <w:t>activity</w:t>
      </w:r>
      <w:r w:rsidR="00FA54D2" w:rsidRPr="00FF2A2F">
        <w:rPr>
          <w:color w:val="auto"/>
          <w:sz w:val="21"/>
          <w:szCs w:val="21"/>
        </w:rPr>
        <w:t xml:space="preserve"> level. </w:t>
      </w:r>
      <w:r w:rsidR="00BE1DB7" w:rsidRPr="00FF2A2F">
        <w:rPr>
          <w:color w:val="auto"/>
          <w:sz w:val="21"/>
          <w:szCs w:val="21"/>
        </w:rPr>
        <w:t xml:space="preserve">Integration of climate change adaptation activities at the community level and promotion of climate risk analysis through the cluster system will be prioritised through the cycle of activities from preparedness to response and recovery. </w:t>
      </w:r>
    </w:p>
    <w:p w14:paraId="53ACEDF5" w14:textId="77777777" w:rsidR="00847D79" w:rsidRPr="00FF2A2F" w:rsidRDefault="00847D79" w:rsidP="00847D79">
      <w:pPr>
        <w:spacing w:before="120" w:line="260" w:lineRule="atLeast"/>
        <w:ind w:left="0" w:firstLine="0"/>
        <w:rPr>
          <w:rFonts w:eastAsia="Times New Roman" w:cs="Times New Roman"/>
          <w:color w:val="auto"/>
          <w:sz w:val="21"/>
          <w:szCs w:val="21"/>
          <w:lang w:val="en-AU"/>
        </w:rPr>
      </w:pPr>
      <w:r w:rsidRPr="00FF2A2F">
        <w:rPr>
          <w:color w:val="auto"/>
          <w:sz w:val="21"/>
          <w:szCs w:val="21"/>
        </w:rPr>
        <w:t xml:space="preserve">151. </w:t>
      </w:r>
      <w:r w:rsidR="00BA115D" w:rsidRPr="00FF2A2F">
        <w:rPr>
          <w:color w:val="auto"/>
          <w:sz w:val="21"/>
          <w:szCs w:val="21"/>
        </w:rPr>
        <w:t xml:space="preserve">The investment’s support </w:t>
      </w:r>
      <w:r w:rsidR="00B62791" w:rsidRPr="00FF2A2F">
        <w:rPr>
          <w:color w:val="auto"/>
          <w:sz w:val="21"/>
          <w:szCs w:val="21"/>
        </w:rPr>
        <w:t xml:space="preserve">for operationalising </w:t>
      </w:r>
      <w:r w:rsidR="00BA115D" w:rsidRPr="00FF2A2F">
        <w:rPr>
          <w:color w:val="auto"/>
          <w:sz w:val="21"/>
          <w:szCs w:val="21"/>
        </w:rPr>
        <w:t xml:space="preserve">the </w:t>
      </w:r>
      <w:r w:rsidR="00D33F3A" w:rsidRPr="00FF2A2F">
        <w:rPr>
          <w:i/>
          <w:iCs/>
          <w:color w:val="auto"/>
          <w:sz w:val="21"/>
          <w:szCs w:val="21"/>
        </w:rPr>
        <w:t>DRM</w:t>
      </w:r>
      <w:r w:rsidR="00BA115D" w:rsidRPr="00FF2A2F">
        <w:rPr>
          <w:i/>
          <w:iCs/>
          <w:color w:val="auto"/>
          <w:sz w:val="21"/>
          <w:szCs w:val="21"/>
        </w:rPr>
        <w:t xml:space="preserve"> Act</w:t>
      </w:r>
      <w:r w:rsidR="00DE240C" w:rsidRPr="00FF2A2F">
        <w:rPr>
          <w:color w:val="auto"/>
          <w:sz w:val="21"/>
          <w:szCs w:val="21"/>
        </w:rPr>
        <w:t xml:space="preserve"> inherently </w:t>
      </w:r>
      <w:r w:rsidR="00160270" w:rsidRPr="00FF2A2F">
        <w:rPr>
          <w:color w:val="auto"/>
          <w:sz w:val="21"/>
          <w:szCs w:val="21"/>
        </w:rPr>
        <w:t xml:space="preserve">means a focus on climate change </w:t>
      </w:r>
      <w:r w:rsidR="0038562B" w:rsidRPr="00FF2A2F">
        <w:rPr>
          <w:color w:val="auto"/>
          <w:sz w:val="21"/>
          <w:szCs w:val="21"/>
        </w:rPr>
        <w:t>strategy</w:t>
      </w:r>
      <w:r w:rsidR="00160270" w:rsidRPr="00FF2A2F">
        <w:rPr>
          <w:color w:val="auto"/>
          <w:sz w:val="21"/>
          <w:szCs w:val="21"/>
        </w:rPr>
        <w:t xml:space="preserve">, given the </w:t>
      </w:r>
      <w:r w:rsidR="0038562B" w:rsidRPr="00FF2A2F">
        <w:rPr>
          <w:color w:val="auto"/>
          <w:sz w:val="21"/>
          <w:szCs w:val="21"/>
        </w:rPr>
        <w:t xml:space="preserve">integration of climate adaptation and </w:t>
      </w:r>
      <w:r w:rsidR="00EE5D6D" w:rsidRPr="00FF2A2F">
        <w:rPr>
          <w:color w:val="auto"/>
          <w:sz w:val="21"/>
          <w:szCs w:val="21"/>
        </w:rPr>
        <w:t>disaster risk management</w:t>
      </w:r>
      <w:r w:rsidR="00D57864" w:rsidRPr="00FF2A2F">
        <w:rPr>
          <w:color w:val="auto"/>
          <w:sz w:val="21"/>
          <w:szCs w:val="21"/>
        </w:rPr>
        <w:t xml:space="preserve"> </w:t>
      </w:r>
      <w:r w:rsidR="00B81206" w:rsidRPr="00FF2A2F">
        <w:rPr>
          <w:color w:val="auto"/>
          <w:sz w:val="21"/>
          <w:szCs w:val="21"/>
        </w:rPr>
        <w:t>for joint consideration</w:t>
      </w:r>
      <w:r w:rsidR="00EE5D6D" w:rsidRPr="00FF2A2F">
        <w:rPr>
          <w:color w:val="auto"/>
          <w:sz w:val="21"/>
          <w:szCs w:val="21"/>
        </w:rPr>
        <w:t xml:space="preserve">. </w:t>
      </w:r>
      <w:r w:rsidR="00F55491" w:rsidRPr="00FF2A2F">
        <w:rPr>
          <w:color w:val="auto"/>
          <w:sz w:val="21"/>
          <w:szCs w:val="21"/>
        </w:rPr>
        <w:t xml:space="preserve">Climate change is a secondary </w:t>
      </w:r>
      <w:r w:rsidR="006F3F4B" w:rsidRPr="00FF2A2F">
        <w:rPr>
          <w:color w:val="auto"/>
          <w:sz w:val="21"/>
          <w:szCs w:val="21"/>
        </w:rPr>
        <w:t>objective,</w:t>
      </w:r>
      <w:r w:rsidR="00F55491" w:rsidRPr="00FF2A2F">
        <w:rPr>
          <w:color w:val="auto"/>
          <w:sz w:val="21"/>
          <w:szCs w:val="21"/>
        </w:rPr>
        <w:t xml:space="preserve"> and the investment</w:t>
      </w:r>
      <w:r w:rsidR="00507D3B" w:rsidRPr="00FF2A2F">
        <w:rPr>
          <w:color w:val="auto"/>
          <w:sz w:val="21"/>
          <w:szCs w:val="21"/>
        </w:rPr>
        <w:t xml:space="preserve"> is designed to thrive in the face of a climate related disaster.</w:t>
      </w:r>
      <w:r w:rsidR="00F55491" w:rsidRPr="00FF2A2F">
        <w:rPr>
          <w:color w:val="auto"/>
          <w:sz w:val="21"/>
          <w:szCs w:val="21"/>
        </w:rPr>
        <w:t xml:space="preserve"> </w:t>
      </w:r>
      <w:r w:rsidR="005A0882" w:rsidRPr="00FF2A2F">
        <w:rPr>
          <w:rFonts w:eastAsia="Times New Roman" w:cs="Times New Roman"/>
          <w:color w:val="auto"/>
          <w:sz w:val="21"/>
          <w:szCs w:val="21"/>
          <w:lang w:val="en-AU"/>
        </w:rPr>
        <w:t xml:space="preserve">Resources and expertise for technical support in climate risk assessment and adaptation planning may be made available through aligned DFAT investments such as Australia Assists or the </w:t>
      </w:r>
      <w:r w:rsidR="00A35FA1" w:rsidRPr="00FF2A2F">
        <w:rPr>
          <w:rFonts w:eastAsia="Times New Roman" w:cs="Times New Roman"/>
          <w:color w:val="auto"/>
          <w:sz w:val="21"/>
          <w:szCs w:val="21"/>
          <w:lang w:val="en-AU"/>
        </w:rPr>
        <w:t>Climate Resilient Communities Support Unit.</w:t>
      </w:r>
    </w:p>
    <w:p w14:paraId="039D6701" w14:textId="30AA8FB8" w:rsidR="00850D26" w:rsidRPr="00FF2A2F" w:rsidRDefault="00847D79" w:rsidP="00847D79">
      <w:pPr>
        <w:spacing w:before="120" w:line="260" w:lineRule="atLeast"/>
        <w:ind w:left="0" w:firstLine="0"/>
        <w:rPr>
          <w:color w:val="auto"/>
          <w:sz w:val="21"/>
          <w:szCs w:val="21"/>
        </w:rPr>
      </w:pPr>
      <w:r w:rsidRPr="00FF2A2F">
        <w:rPr>
          <w:rFonts w:eastAsia="Times New Roman" w:cs="Times New Roman"/>
          <w:color w:val="auto"/>
          <w:sz w:val="21"/>
          <w:szCs w:val="21"/>
          <w:lang w:val="en-AU"/>
        </w:rPr>
        <w:t xml:space="preserve">152. </w:t>
      </w:r>
      <w:r w:rsidR="009A2747" w:rsidRPr="00FF2A2F">
        <w:rPr>
          <w:color w:val="auto"/>
          <w:sz w:val="21"/>
          <w:szCs w:val="21"/>
        </w:rPr>
        <w:t>CSOs will be</w:t>
      </w:r>
      <w:r w:rsidR="003E5887" w:rsidRPr="00FF2A2F">
        <w:rPr>
          <w:color w:val="auto"/>
          <w:sz w:val="21"/>
          <w:szCs w:val="21"/>
        </w:rPr>
        <w:t xml:space="preserve"> supported in sharing </w:t>
      </w:r>
      <w:r w:rsidR="00074D21" w:rsidRPr="00FF2A2F">
        <w:rPr>
          <w:color w:val="auto"/>
          <w:sz w:val="21"/>
          <w:szCs w:val="21"/>
        </w:rPr>
        <w:t>their</w:t>
      </w:r>
      <w:r w:rsidR="009A2747" w:rsidRPr="00FF2A2F">
        <w:rPr>
          <w:color w:val="auto"/>
          <w:sz w:val="21"/>
          <w:szCs w:val="21"/>
        </w:rPr>
        <w:t xml:space="preserve"> expertise in climate adaptation, and to localise capacity and resilience building</w:t>
      </w:r>
      <w:r w:rsidR="004419C5" w:rsidRPr="00FF2A2F">
        <w:rPr>
          <w:color w:val="auto"/>
          <w:sz w:val="21"/>
          <w:szCs w:val="21"/>
        </w:rPr>
        <w:t xml:space="preserve">. </w:t>
      </w:r>
      <w:r w:rsidR="009B4DDB" w:rsidRPr="00FF2A2F">
        <w:rPr>
          <w:color w:val="auto"/>
          <w:sz w:val="21"/>
          <w:szCs w:val="21"/>
        </w:rPr>
        <w:t xml:space="preserve">They will also </w:t>
      </w:r>
      <w:r w:rsidR="004419C5" w:rsidRPr="00FF2A2F">
        <w:rPr>
          <w:color w:val="auto"/>
          <w:sz w:val="21"/>
          <w:szCs w:val="21"/>
        </w:rPr>
        <w:t xml:space="preserve">be encouraged to explore adaptive action and resilience </w:t>
      </w:r>
      <w:r w:rsidR="00A04EC1" w:rsidRPr="00FF2A2F">
        <w:rPr>
          <w:color w:val="auto"/>
          <w:sz w:val="21"/>
          <w:szCs w:val="21"/>
        </w:rPr>
        <w:t>building and</w:t>
      </w:r>
      <w:r w:rsidR="00C46408" w:rsidRPr="00FF2A2F">
        <w:rPr>
          <w:color w:val="auto"/>
          <w:sz w:val="21"/>
          <w:szCs w:val="21"/>
        </w:rPr>
        <w:t xml:space="preserve"> </w:t>
      </w:r>
      <w:r w:rsidR="009B4DDB" w:rsidRPr="00FF2A2F">
        <w:rPr>
          <w:color w:val="auto"/>
          <w:sz w:val="21"/>
          <w:szCs w:val="21"/>
        </w:rPr>
        <w:t xml:space="preserve">uncovering </w:t>
      </w:r>
      <w:r w:rsidR="00C46408" w:rsidRPr="00FF2A2F">
        <w:rPr>
          <w:color w:val="auto"/>
          <w:sz w:val="21"/>
          <w:szCs w:val="21"/>
        </w:rPr>
        <w:t xml:space="preserve">opportunities for collaboration with </w:t>
      </w:r>
      <w:r w:rsidR="009B4DDB" w:rsidRPr="00FF2A2F">
        <w:rPr>
          <w:color w:val="auto"/>
          <w:sz w:val="21"/>
          <w:szCs w:val="21"/>
        </w:rPr>
        <w:t xml:space="preserve">aligned </w:t>
      </w:r>
      <w:r w:rsidR="00C46408" w:rsidRPr="00FF2A2F">
        <w:rPr>
          <w:color w:val="auto"/>
          <w:sz w:val="21"/>
          <w:szCs w:val="21"/>
        </w:rPr>
        <w:t xml:space="preserve">climate change </w:t>
      </w:r>
      <w:r w:rsidR="009B4DDB" w:rsidRPr="00FF2A2F">
        <w:rPr>
          <w:color w:val="auto"/>
          <w:sz w:val="21"/>
          <w:szCs w:val="21"/>
        </w:rPr>
        <w:t xml:space="preserve">programs. </w:t>
      </w:r>
    </w:p>
    <w:p w14:paraId="7102E424" w14:textId="1684E6F8" w:rsidR="004F2AF9" w:rsidRPr="00FF2A2F" w:rsidRDefault="004F2AF9" w:rsidP="00847D79">
      <w:pPr>
        <w:spacing w:before="120" w:line="260" w:lineRule="atLeast"/>
        <w:ind w:left="0" w:firstLine="0"/>
        <w:rPr>
          <w:b/>
          <w:bCs/>
          <w:iCs/>
          <w:color w:val="auto"/>
        </w:rPr>
      </w:pPr>
      <w:r w:rsidRPr="00FF2A2F">
        <w:rPr>
          <w:b/>
          <w:bCs/>
          <w:iCs/>
          <w:color w:val="auto"/>
        </w:rPr>
        <w:t>Private Sector</w:t>
      </w:r>
      <w:r w:rsidR="00D04AE9" w:rsidRPr="00FF2A2F">
        <w:rPr>
          <w:b/>
          <w:bCs/>
          <w:iCs/>
          <w:color w:val="auto"/>
        </w:rPr>
        <w:t xml:space="preserve"> Engagement</w:t>
      </w:r>
      <w:r w:rsidR="00341382" w:rsidRPr="00FF2A2F">
        <w:rPr>
          <w:b/>
          <w:bCs/>
          <w:iCs/>
          <w:color w:val="auto"/>
        </w:rPr>
        <w:t xml:space="preserve"> and Innovation</w:t>
      </w:r>
    </w:p>
    <w:p w14:paraId="44477D52" w14:textId="52D88C7F" w:rsidR="001A74D2" w:rsidRPr="00FF2A2F" w:rsidRDefault="00786412" w:rsidP="00847D79">
      <w:pPr>
        <w:spacing w:before="120" w:line="260" w:lineRule="atLeast"/>
        <w:ind w:left="0" w:firstLine="0"/>
        <w:rPr>
          <w:color w:val="auto"/>
          <w:sz w:val="21"/>
          <w:szCs w:val="21"/>
        </w:rPr>
      </w:pPr>
      <w:r w:rsidRPr="00FF2A2F">
        <w:rPr>
          <w:color w:val="auto"/>
          <w:sz w:val="21"/>
          <w:szCs w:val="21"/>
        </w:rPr>
        <w:lastRenderedPageBreak/>
        <w:t>1</w:t>
      </w:r>
      <w:r w:rsidR="00847D79" w:rsidRPr="00FF2A2F">
        <w:rPr>
          <w:color w:val="auto"/>
          <w:sz w:val="21"/>
          <w:szCs w:val="21"/>
        </w:rPr>
        <w:t xml:space="preserve">53. </w:t>
      </w:r>
      <w:r w:rsidR="00CF2A5D" w:rsidRPr="00FF2A2F">
        <w:rPr>
          <w:color w:val="auto"/>
          <w:sz w:val="21"/>
          <w:szCs w:val="21"/>
        </w:rPr>
        <w:t xml:space="preserve">While the </w:t>
      </w:r>
      <w:r w:rsidR="003918BA" w:rsidRPr="00FF2A2F">
        <w:rPr>
          <w:color w:val="auto"/>
          <w:sz w:val="21"/>
          <w:szCs w:val="21"/>
        </w:rPr>
        <w:t>investment</w:t>
      </w:r>
      <w:r w:rsidR="0034300D" w:rsidRPr="00FF2A2F">
        <w:rPr>
          <w:color w:val="auto"/>
          <w:sz w:val="21"/>
          <w:szCs w:val="21"/>
        </w:rPr>
        <w:t>’</w:t>
      </w:r>
      <w:r w:rsidR="003918BA" w:rsidRPr="00FF2A2F">
        <w:rPr>
          <w:color w:val="auto"/>
          <w:sz w:val="21"/>
          <w:szCs w:val="21"/>
        </w:rPr>
        <w:t>s</w:t>
      </w:r>
      <w:r w:rsidR="00CF2A5D" w:rsidRPr="00FF2A2F">
        <w:rPr>
          <w:color w:val="auto"/>
          <w:sz w:val="21"/>
          <w:szCs w:val="21"/>
        </w:rPr>
        <w:t xml:space="preserve"> primary stakeholders are the </w:t>
      </w:r>
      <w:r w:rsidR="000A0B90" w:rsidRPr="00FF2A2F">
        <w:rPr>
          <w:color w:val="auto"/>
          <w:sz w:val="21"/>
          <w:szCs w:val="21"/>
        </w:rPr>
        <w:t xml:space="preserve">GoT </w:t>
      </w:r>
      <w:r w:rsidR="00CF2A5D" w:rsidRPr="00FF2A2F">
        <w:rPr>
          <w:color w:val="auto"/>
          <w:sz w:val="21"/>
          <w:szCs w:val="21"/>
        </w:rPr>
        <w:t xml:space="preserve">and </w:t>
      </w:r>
      <w:r w:rsidR="002B6F75" w:rsidRPr="00FF2A2F">
        <w:rPr>
          <w:color w:val="auto"/>
          <w:sz w:val="21"/>
          <w:szCs w:val="21"/>
        </w:rPr>
        <w:t xml:space="preserve">CSO </w:t>
      </w:r>
      <w:r w:rsidR="00CF2A5D" w:rsidRPr="00FF2A2F">
        <w:rPr>
          <w:color w:val="auto"/>
          <w:sz w:val="21"/>
          <w:szCs w:val="21"/>
        </w:rPr>
        <w:t>partners, opportunities to wor</w:t>
      </w:r>
      <w:r w:rsidR="002C13A5" w:rsidRPr="00FF2A2F">
        <w:rPr>
          <w:color w:val="auto"/>
          <w:sz w:val="21"/>
          <w:szCs w:val="21"/>
        </w:rPr>
        <w:t xml:space="preserve">k with </w:t>
      </w:r>
      <w:r w:rsidR="00830725" w:rsidRPr="00FF2A2F">
        <w:rPr>
          <w:color w:val="auto"/>
          <w:sz w:val="21"/>
          <w:szCs w:val="21"/>
        </w:rPr>
        <w:t xml:space="preserve">the local private sector will be encouraged by </w:t>
      </w:r>
      <w:r w:rsidR="0034300D" w:rsidRPr="00FF2A2F">
        <w:rPr>
          <w:color w:val="auto"/>
          <w:sz w:val="21"/>
          <w:szCs w:val="21"/>
        </w:rPr>
        <w:t>Post</w:t>
      </w:r>
      <w:r w:rsidR="00830725" w:rsidRPr="00FF2A2F">
        <w:rPr>
          <w:color w:val="auto"/>
          <w:sz w:val="21"/>
          <w:szCs w:val="21"/>
        </w:rPr>
        <w:t>.</w:t>
      </w:r>
      <w:r w:rsidR="006F774D" w:rsidRPr="00FF2A2F">
        <w:rPr>
          <w:color w:val="auto"/>
          <w:sz w:val="21"/>
          <w:szCs w:val="21"/>
        </w:rPr>
        <w:t xml:space="preserve"> </w:t>
      </w:r>
      <w:r w:rsidR="00830725" w:rsidRPr="00FF2A2F">
        <w:rPr>
          <w:color w:val="auto"/>
          <w:sz w:val="21"/>
          <w:szCs w:val="21"/>
        </w:rPr>
        <w:t xml:space="preserve">This could take the form of procuring humanitarian supplies from local </w:t>
      </w:r>
      <w:r w:rsidR="00B02D50" w:rsidRPr="00FF2A2F">
        <w:rPr>
          <w:color w:val="auto"/>
          <w:sz w:val="21"/>
          <w:szCs w:val="21"/>
        </w:rPr>
        <w:t xml:space="preserve">suppliers or </w:t>
      </w:r>
      <w:r w:rsidR="000600E4" w:rsidRPr="00FF2A2F">
        <w:rPr>
          <w:color w:val="auto"/>
          <w:sz w:val="21"/>
          <w:szCs w:val="21"/>
        </w:rPr>
        <w:t xml:space="preserve">expanding </w:t>
      </w:r>
      <w:r w:rsidR="004634A7" w:rsidRPr="00FF2A2F">
        <w:rPr>
          <w:color w:val="auto"/>
          <w:sz w:val="21"/>
          <w:szCs w:val="21"/>
        </w:rPr>
        <w:t xml:space="preserve">cash assistance through </w:t>
      </w:r>
      <w:r w:rsidR="00213FAA" w:rsidRPr="00FF2A2F">
        <w:rPr>
          <w:color w:val="auto"/>
          <w:sz w:val="21"/>
          <w:szCs w:val="21"/>
        </w:rPr>
        <w:t>banks. E</w:t>
      </w:r>
      <w:r w:rsidR="00B02D50" w:rsidRPr="00FF2A2F">
        <w:rPr>
          <w:color w:val="auto"/>
          <w:sz w:val="21"/>
          <w:szCs w:val="21"/>
        </w:rPr>
        <w:t xml:space="preserve">xploring the use of mobile top ups with </w:t>
      </w:r>
      <w:r w:rsidR="00A955C1" w:rsidRPr="00FF2A2F">
        <w:rPr>
          <w:color w:val="auto"/>
          <w:sz w:val="21"/>
          <w:szCs w:val="21"/>
        </w:rPr>
        <w:t>telecom companies</w:t>
      </w:r>
      <w:r w:rsidR="00213FAA" w:rsidRPr="00FF2A2F">
        <w:rPr>
          <w:color w:val="auto"/>
          <w:sz w:val="21"/>
          <w:szCs w:val="21"/>
        </w:rPr>
        <w:t xml:space="preserve"> has been trialled by other programs and could be a useful </w:t>
      </w:r>
      <w:r w:rsidR="003B7C92" w:rsidRPr="00FF2A2F">
        <w:rPr>
          <w:color w:val="auto"/>
          <w:sz w:val="21"/>
          <w:szCs w:val="21"/>
        </w:rPr>
        <w:t>foundation</w:t>
      </w:r>
      <w:r w:rsidR="00213FAA" w:rsidRPr="00FF2A2F">
        <w:rPr>
          <w:color w:val="auto"/>
          <w:sz w:val="21"/>
          <w:szCs w:val="21"/>
        </w:rPr>
        <w:t xml:space="preserve"> for the investment</w:t>
      </w:r>
      <w:r w:rsidR="004E15F2" w:rsidRPr="00FF2A2F">
        <w:rPr>
          <w:color w:val="auto"/>
          <w:sz w:val="21"/>
          <w:szCs w:val="21"/>
        </w:rPr>
        <w:t xml:space="preserve"> to </w:t>
      </w:r>
      <w:r w:rsidR="003B7C92" w:rsidRPr="00FF2A2F">
        <w:rPr>
          <w:color w:val="auto"/>
          <w:sz w:val="21"/>
          <w:szCs w:val="21"/>
        </w:rPr>
        <w:t>expand on</w:t>
      </w:r>
      <w:r w:rsidR="00A955C1" w:rsidRPr="00FF2A2F">
        <w:rPr>
          <w:color w:val="auto"/>
          <w:sz w:val="21"/>
          <w:szCs w:val="21"/>
        </w:rPr>
        <w:t xml:space="preserve">. </w:t>
      </w:r>
      <w:r w:rsidR="00027392" w:rsidRPr="00FF2A2F">
        <w:rPr>
          <w:color w:val="auto"/>
          <w:sz w:val="21"/>
          <w:szCs w:val="21"/>
        </w:rPr>
        <w:t>An emerging opportunity may be working with local media companies and journalists to promote community preparedness activities</w:t>
      </w:r>
      <w:r w:rsidR="000A0B90" w:rsidRPr="00FF2A2F">
        <w:rPr>
          <w:color w:val="auto"/>
          <w:sz w:val="21"/>
          <w:szCs w:val="21"/>
        </w:rPr>
        <w:t xml:space="preserve"> and disseminate key preparedness messaging through social media, radio and television networks. </w:t>
      </w:r>
      <w:r w:rsidR="00027392" w:rsidRPr="00FF2A2F">
        <w:rPr>
          <w:color w:val="auto"/>
          <w:sz w:val="21"/>
          <w:szCs w:val="21"/>
        </w:rPr>
        <w:t xml:space="preserve"> </w:t>
      </w:r>
    </w:p>
    <w:p w14:paraId="2BA3142E" w14:textId="36CADC83" w:rsidR="00BB18F1" w:rsidRPr="00FF2A2F" w:rsidRDefault="00786412" w:rsidP="00847D79">
      <w:pPr>
        <w:spacing w:before="120" w:line="260" w:lineRule="atLeast"/>
        <w:ind w:left="0" w:firstLine="0"/>
        <w:rPr>
          <w:color w:val="auto"/>
          <w:sz w:val="21"/>
          <w:szCs w:val="21"/>
        </w:rPr>
      </w:pPr>
      <w:r w:rsidRPr="00FF2A2F">
        <w:rPr>
          <w:color w:val="auto"/>
          <w:sz w:val="21"/>
          <w:szCs w:val="21"/>
        </w:rPr>
        <w:t>1</w:t>
      </w:r>
      <w:r w:rsidR="00847D79" w:rsidRPr="00FF2A2F">
        <w:rPr>
          <w:color w:val="auto"/>
          <w:sz w:val="21"/>
          <w:szCs w:val="21"/>
        </w:rPr>
        <w:t xml:space="preserve">54. </w:t>
      </w:r>
      <w:r w:rsidR="00341382" w:rsidRPr="00FF2A2F">
        <w:rPr>
          <w:color w:val="auto"/>
          <w:sz w:val="21"/>
          <w:szCs w:val="21"/>
        </w:rPr>
        <w:t>The investment</w:t>
      </w:r>
      <w:r w:rsidR="002C13A5" w:rsidRPr="00FF2A2F">
        <w:rPr>
          <w:color w:val="auto"/>
          <w:sz w:val="21"/>
          <w:szCs w:val="21"/>
        </w:rPr>
        <w:t xml:space="preserve">’s focus on Tongan civil society as a key stakeholder and implementing partner represents an innovative departure from the status quo of delivery though </w:t>
      </w:r>
      <w:r w:rsidR="002B6F75" w:rsidRPr="00FF2A2F">
        <w:rPr>
          <w:color w:val="auto"/>
          <w:sz w:val="21"/>
          <w:szCs w:val="21"/>
        </w:rPr>
        <w:t>I</w:t>
      </w:r>
      <w:r w:rsidR="002C13A5" w:rsidRPr="00FF2A2F">
        <w:rPr>
          <w:color w:val="auto"/>
          <w:sz w:val="21"/>
          <w:szCs w:val="21"/>
        </w:rPr>
        <w:t xml:space="preserve">nternational or Australian NGOs. </w:t>
      </w:r>
      <w:r w:rsidR="00E55DD2" w:rsidRPr="00FF2A2F">
        <w:rPr>
          <w:color w:val="auto"/>
          <w:sz w:val="21"/>
          <w:szCs w:val="21"/>
        </w:rPr>
        <w:t>It also represents more dedicated focus on supporting locally led humanitarian action, providing a valuable learning opportunity for DFAT and the sector. The</w:t>
      </w:r>
      <w:r w:rsidR="003918BA" w:rsidRPr="00FF2A2F">
        <w:rPr>
          <w:color w:val="auto"/>
          <w:sz w:val="21"/>
          <w:szCs w:val="21"/>
        </w:rPr>
        <w:t xml:space="preserve"> investment </w:t>
      </w:r>
      <w:r w:rsidR="005D0989" w:rsidRPr="00FF2A2F">
        <w:rPr>
          <w:color w:val="auto"/>
          <w:sz w:val="21"/>
          <w:szCs w:val="21"/>
        </w:rPr>
        <w:t>will ensure, through its MEL Plan</w:t>
      </w:r>
      <w:r w:rsidR="00FB5651" w:rsidRPr="00FF2A2F">
        <w:rPr>
          <w:color w:val="auto"/>
          <w:sz w:val="21"/>
          <w:szCs w:val="21"/>
        </w:rPr>
        <w:t xml:space="preserve"> and processes</w:t>
      </w:r>
      <w:r w:rsidR="005D0989" w:rsidRPr="00FF2A2F">
        <w:rPr>
          <w:color w:val="auto"/>
          <w:sz w:val="21"/>
          <w:szCs w:val="21"/>
        </w:rPr>
        <w:t xml:space="preserve">, that </w:t>
      </w:r>
      <w:r w:rsidR="00A44D24" w:rsidRPr="00FF2A2F">
        <w:rPr>
          <w:color w:val="auto"/>
          <w:sz w:val="21"/>
          <w:szCs w:val="21"/>
        </w:rPr>
        <w:t xml:space="preserve">a focus on </w:t>
      </w:r>
      <w:r w:rsidR="00E55DD2" w:rsidRPr="00FF2A2F">
        <w:rPr>
          <w:color w:val="auto"/>
          <w:sz w:val="21"/>
          <w:szCs w:val="21"/>
        </w:rPr>
        <w:t>research</w:t>
      </w:r>
      <w:r w:rsidR="00A44D24" w:rsidRPr="00FF2A2F">
        <w:rPr>
          <w:color w:val="auto"/>
          <w:sz w:val="21"/>
          <w:szCs w:val="21"/>
        </w:rPr>
        <w:t xml:space="preserve"> and</w:t>
      </w:r>
      <w:r w:rsidR="00E55DD2" w:rsidRPr="00FF2A2F">
        <w:rPr>
          <w:color w:val="auto"/>
          <w:sz w:val="21"/>
          <w:szCs w:val="21"/>
        </w:rPr>
        <w:t xml:space="preserve"> learning </w:t>
      </w:r>
      <w:r w:rsidR="00A44D24" w:rsidRPr="00FF2A2F">
        <w:rPr>
          <w:color w:val="auto"/>
          <w:sz w:val="21"/>
          <w:szCs w:val="21"/>
        </w:rPr>
        <w:t xml:space="preserve">is prioritised and that </w:t>
      </w:r>
      <w:r w:rsidR="00197C54" w:rsidRPr="00FF2A2F">
        <w:rPr>
          <w:color w:val="auto"/>
          <w:sz w:val="21"/>
          <w:szCs w:val="21"/>
        </w:rPr>
        <w:t xml:space="preserve">sharing and dissemination of lessons is built into management and governance </w:t>
      </w:r>
      <w:r w:rsidR="00FB5651" w:rsidRPr="00FF2A2F">
        <w:rPr>
          <w:color w:val="auto"/>
          <w:sz w:val="21"/>
          <w:szCs w:val="21"/>
        </w:rPr>
        <w:t xml:space="preserve">activities </w:t>
      </w:r>
      <w:r w:rsidR="00295B65" w:rsidRPr="00FF2A2F">
        <w:rPr>
          <w:color w:val="auto"/>
          <w:sz w:val="21"/>
          <w:szCs w:val="21"/>
        </w:rPr>
        <w:t>so successes can be replicated.</w:t>
      </w:r>
    </w:p>
    <w:p w14:paraId="2CA87065" w14:textId="3B6E0AEA" w:rsidR="004F2AF9" w:rsidRPr="00FF2A2F" w:rsidRDefault="00C77675" w:rsidP="002F5656">
      <w:pPr>
        <w:pStyle w:val="Heading2"/>
        <w:spacing w:before="240"/>
        <w:ind w:left="0" w:firstLine="0"/>
        <w:rPr>
          <w:color w:val="auto"/>
          <w:sz w:val="32"/>
          <w:szCs w:val="32"/>
        </w:rPr>
      </w:pPr>
      <w:bookmarkStart w:id="14" w:name="_Toc214543666"/>
      <w:r w:rsidRPr="00FF2A2F">
        <w:rPr>
          <w:color w:val="auto"/>
          <w:sz w:val="32"/>
          <w:szCs w:val="32"/>
        </w:rPr>
        <w:t xml:space="preserve">H: </w:t>
      </w:r>
      <w:r w:rsidR="004F2AF9" w:rsidRPr="00FF2A2F">
        <w:rPr>
          <w:color w:val="auto"/>
          <w:sz w:val="32"/>
          <w:szCs w:val="32"/>
        </w:rPr>
        <w:t>Budget and Resources</w:t>
      </w:r>
      <w:bookmarkEnd w:id="14"/>
      <w:r w:rsidR="004F2AF9" w:rsidRPr="00FF2A2F">
        <w:rPr>
          <w:color w:val="auto"/>
          <w:sz w:val="32"/>
          <w:szCs w:val="32"/>
        </w:rPr>
        <w:t xml:space="preserve"> </w:t>
      </w:r>
    </w:p>
    <w:p w14:paraId="35290672" w14:textId="3BCAF171" w:rsidR="00BB062B" w:rsidRPr="00FF2A2F" w:rsidRDefault="00786412" w:rsidP="00847D79">
      <w:pPr>
        <w:spacing w:before="120" w:line="260" w:lineRule="atLeast"/>
        <w:ind w:left="0" w:firstLine="0"/>
        <w:rPr>
          <w:color w:val="auto"/>
          <w:sz w:val="21"/>
          <w:szCs w:val="21"/>
        </w:rPr>
      </w:pPr>
      <w:r w:rsidRPr="00FF2A2F">
        <w:rPr>
          <w:color w:val="auto"/>
          <w:sz w:val="21"/>
          <w:szCs w:val="21"/>
        </w:rPr>
        <w:t>1</w:t>
      </w:r>
      <w:r w:rsidR="00900BB4" w:rsidRPr="00FF2A2F">
        <w:rPr>
          <w:color w:val="auto"/>
          <w:sz w:val="21"/>
          <w:szCs w:val="21"/>
        </w:rPr>
        <w:t xml:space="preserve">55. </w:t>
      </w:r>
      <w:r w:rsidR="001560BA" w:rsidRPr="00FF2A2F">
        <w:rPr>
          <w:color w:val="auto"/>
          <w:sz w:val="21"/>
          <w:szCs w:val="21"/>
        </w:rPr>
        <w:t>The investment is intended to be scalable with the proposed budget allocation from the Tonga program fund being AUD10 million over five years (FY202</w:t>
      </w:r>
      <w:r w:rsidR="00CD5512" w:rsidRPr="00FF2A2F">
        <w:rPr>
          <w:color w:val="auto"/>
          <w:sz w:val="21"/>
          <w:szCs w:val="21"/>
        </w:rPr>
        <w:t>5-</w:t>
      </w:r>
      <w:r w:rsidR="001560BA" w:rsidRPr="00FF2A2F">
        <w:rPr>
          <w:color w:val="auto"/>
          <w:sz w:val="21"/>
          <w:szCs w:val="21"/>
        </w:rPr>
        <w:t>20</w:t>
      </w:r>
      <w:r w:rsidR="00CD5512" w:rsidRPr="00FF2A2F">
        <w:rPr>
          <w:color w:val="auto"/>
          <w:sz w:val="21"/>
          <w:szCs w:val="21"/>
        </w:rPr>
        <w:t>30</w:t>
      </w:r>
      <w:r w:rsidR="001560BA" w:rsidRPr="00FF2A2F">
        <w:rPr>
          <w:color w:val="auto"/>
          <w:sz w:val="21"/>
          <w:szCs w:val="21"/>
        </w:rPr>
        <w:t xml:space="preserve">), delivering activities with a value of approximately </w:t>
      </w:r>
      <w:r w:rsidR="00944333" w:rsidRPr="00FF2A2F">
        <w:rPr>
          <w:color w:val="auto"/>
          <w:sz w:val="21"/>
          <w:szCs w:val="21"/>
        </w:rPr>
        <w:br/>
      </w:r>
      <w:r w:rsidR="001560BA" w:rsidRPr="00FF2A2F">
        <w:rPr>
          <w:color w:val="auto"/>
          <w:sz w:val="21"/>
          <w:szCs w:val="21"/>
        </w:rPr>
        <w:t xml:space="preserve">AUD2 million </w:t>
      </w:r>
      <w:r w:rsidR="00944333" w:rsidRPr="00FF2A2F">
        <w:rPr>
          <w:color w:val="auto"/>
          <w:sz w:val="21"/>
          <w:szCs w:val="21"/>
        </w:rPr>
        <w:t>per annum</w:t>
      </w:r>
      <w:r w:rsidR="004840FE" w:rsidRPr="00FF2A2F">
        <w:rPr>
          <w:color w:val="auto"/>
          <w:sz w:val="21"/>
          <w:szCs w:val="21"/>
        </w:rPr>
        <w:t xml:space="preserve">. </w:t>
      </w:r>
      <w:r w:rsidR="001560BA" w:rsidRPr="00FF2A2F">
        <w:rPr>
          <w:color w:val="auto"/>
          <w:sz w:val="21"/>
          <w:szCs w:val="21"/>
        </w:rPr>
        <w:t xml:space="preserve">This is approximately the same value per year as the current humanitarian investment. </w:t>
      </w:r>
      <w:r w:rsidR="00E62E0E" w:rsidRPr="00FF2A2F">
        <w:rPr>
          <w:color w:val="auto"/>
          <w:sz w:val="21"/>
          <w:szCs w:val="21"/>
        </w:rPr>
        <w:t xml:space="preserve">An initial, indicative budget summary can be found below (Table 1). The summary makes provision for </w:t>
      </w:r>
      <w:r w:rsidR="00744458" w:rsidRPr="00FF2A2F">
        <w:rPr>
          <w:color w:val="auto"/>
          <w:sz w:val="21"/>
          <w:szCs w:val="21"/>
        </w:rPr>
        <w:t>3.5</w:t>
      </w:r>
      <w:r w:rsidR="00082F47" w:rsidRPr="00FF2A2F">
        <w:rPr>
          <w:color w:val="auto"/>
          <w:sz w:val="21"/>
          <w:szCs w:val="21"/>
        </w:rPr>
        <w:t>% each for</w:t>
      </w:r>
      <w:r w:rsidR="00465BD9" w:rsidRPr="00FF2A2F">
        <w:rPr>
          <w:color w:val="auto"/>
          <w:sz w:val="21"/>
          <w:szCs w:val="21"/>
        </w:rPr>
        <w:t xml:space="preserve"> </w:t>
      </w:r>
      <w:r w:rsidR="00C22474" w:rsidRPr="00FF2A2F">
        <w:rPr>
          <w:color w:val="auto"/>
          <w:sz w:val="21"/>
          <w:szCs w:val="21"/>
        </w:rPr>
        <w:t>MEL and GEDSI costs</w:t>
      </w:r>
      <w:r w:rsidR="00BD2249" w:rsidRPr="00FF2A2F">
        <w:rPr>
          <w:color w:val="auto"/>
          <w:sz w:val="21"/>
          <w:szCs w:val="21"/>
        </w:rPr>
        <w:t xml:space="preserve"> and a </w:t>
      </w:r>
      <w:r w:rsidR="005C18ED" w:rsidRPr="00FF2A2F">
        <w:rPr>
          <w:color w:val="auto"/>
          <w:sz w:val="21"/>
          <w:szCs w:val="21"/>
        </w:rPr>
        <w:t>5% allocation for operational costs. The total amount allocated to MEL, GEDSI and operational will be used to procure the services of an implementing partner</w:t>
      </w:r>
      <w:r w:rsidR="00D04F77" w:rsidRPr="00FF2A2F">
        <w:rPr>
          <w:color w:val="auto"/>
          <w:sz w:val="21"/>
          <w:szCs w:val="21"/>
        </w:rPr>
        <w:t xml:space="preserve"> to deliver MEL, GEDSI and due diligence services </w:t>
      </w:r>
      <w:r w:rsidR="000F2182" w:rsidRPr="00FF2A2F">
        <w:rPr>
          <w:color w:val="auto"/>
          <w:sz w:val="21"/>
          <w:szCs w:val="21"/>
        </w:rPr>
        <w:t xml:space="preserve">for the investment. </w:t>
      </w:r>
    </w:p>
    <w:p w14:paraId="5FCE00B2" w14:textId="0CEED251" w:rsidR="00900BB4" w:rsidRPr="00FF2A2F" w:rsidRDefault="00786412" w:rsidP="00847D79">
      <w:pPr>
        <w:spacing w:before="120" w:line="260" w:lineRule="atLeast"/>
        <w:ind w:left="0" w:firstLine="0"/>
        <w:rPr>
          <w:color w:val="auto"/>
          <w:sz w:val="21"/>
          <w:szCs w:val="21"/>
        </w:rPr>
      </w:pPr>
      <w:r w:rsidRPr="00FF2A2F">
        <w:rPr>
          <w:color w:val="auto"/>
          <w:sz w:val="21"/>
          <w:szCs w:val="21"/>
        </w:rPr>
        <w:t>1</w:t>
      </w:r>
      <w:r w:rsidR="00900BB4" w:rsidRPr="00FF2A2F">
        <w:rPr>
          <w:color w:val="auto"/>
          <w:sz w:val="21"/>
          <w:szCs w:val="21"/>
        </w:rPr>
        <w:t>56</w:t>
      </w:r>
      <w:r w:rsidR="00BB18F1" w:rsidRPr="00FF2A2F">
        <w:rPr>
          <w:color w:val="auto"/>
          <w:sz w:val="21"/>
          <w:szCs w:val="21"/>
        </w:rPr>
        <w:t>.</w:t>
      </w:r>
      <w:r w:rsidR="00900BB4" w:rsidRPr="00FF2A2F">
        <w:rPr>
          <w:color w:val="auto"/>
          <w:sz w:val="21"/>
          <w:szCs w:val="21"/>
        </w:rPr>
        <w:t xml:space="preserve"> </w:t>
      </w:r>
      <w:r w:rsidR="001560BA" w:rsidRPr="00FF2A2F">
        <w:rPr>
          <w:color w:val="auto"/>
          <w:sz w:val="21"/>
          <w:szCs w:val="21"/>
        </w:rPr>
        <w:t>The investment will be flexible to accommodate surge</w:t>
      </w:r>
      <w:r w:rsidR="00C97E6D" w:rsidRPr="00FF2A2F">
        <w:rPr>
          <w:color w:val="auto"/>
          <w:sz w:val="21"/>
          <w:szCs w:val="21"/>
        </w:rPr>
        <w:t xml:space="preserve"> / throughput</w:t>
      </w:r>
      <w:r w:rsidR="001560BA" w:rsidRPr="00FF2A2F">
        <w:rPr>
          <w:color w:val="auto"/>
          <w:sz w:val="21"/>
          <w:szCs w:val="21"/>
        </w:rPr>
        <w:t xml:space="preserve"> funding provided by Canberra for response and recovery in the event of a significant disaster or multiple disasters. This may be reflected in the eventual budget</w:t>
      </w:r>
      <w:r w:rsidR="00DD4321" w:rsidRPr="00FF2A2F">
        <w:rPr>
          <w:color w:val="auto"/>
          <w:sz w:val="21"/>
          <w:szCs w:val="21"/>
        </w:rPr>
        <w:t xml:space="preserve"> </w:t>
      </w:r>
      <w:r w:rsidR="001560BA" w:rsidRPr="00FF2A2F">
        <w:rPr>
          <w:color w:val="auto"/>
          <w:sz w:val="21"/>
          <w:szCs w:val="21"/>
        </w:rPr>
        <w:t xml:space="preserve">as ‘throughput’ funding. </w:t>
      </w:r>
    </w:p>
    <w:p w14:paraId="1836E9E0" w14:textId="13B6A999" w:rsidR="003F1B57" w:rsidRPr="00FF2A2F" w:rsidRDefault="00900BB4" w:rsidP="00900BB4">
      <w:pPr>
        <w:spacing w:before="120" w:line="260" w:lineRule="atLeast"/>
        <w:ind w:left="0" w:firstLine="0"/>
        <w:rPr>
          <w:iCs/>
          <w:color w:val="auto"/>
        </w:rPr>
      </w:pPr>
      <w:r w:rsidRPr="00FF2A2F">
        <w:rPr>
          <w:color w:val="auto"/>
          <w:sz w:val="21"/>
          <w:szCs w:val="21"/>
        </w:rPr>
        <w:t xml:space="preserve">157. </w:t>
      </w:r>
      <w:r w:rsidRPr="00FF2A2F">
        <w:rPr>
          <w:iCs/>
          <w:color w:val="auto"/>
        </w:rPr>
        <w:t>The investment will be managed by Post using existing DFAT resources, with approximately 0.3 FTE A</w:t>
      </w:r>
      <w:r w:rsidRPr="00FF2A2F">
        <w:rPr>
          <w:rFonts w:ascii="Cambria Math" w:hAnsi="Cambria Math" w:cs="Cambria Math"/>
          <w:iCs/>
          <w:color w:val="auto"/>
        </w:rPr>
        <w:t>‑</w:t>
      </w:r>
      <w:r w:rsidRPr="00FF2A2F">
        <w:rPr>
          <w:iCs/>
          <w:color w:val="auto"/>
        </w:rPr>
        <w:t xml:space="preserve">based staff and 0.8 FTE Locally Engaged Staff dedicated </w:t>
      </w:r>
      <w:proofErr w:type="gramStart"/>
      <w:r w:rsidRPr="00FF2A2F">
        <w:rPr>
          <w:iCs/>
          <w:color w:val="auto"/>
        </w:rPr>
        <w:t>to day</w:t>
      </w:r>
      <w:proofErr w:type="gramEnd"/>
      <w:r w:rsidRPr="00FF2A2F">
        <w:rPr>
          <w:rFonts w:ascii="Cambria Math" w:hAnsi="Cambria Math" w:cs="Cambria Math"/>
          <w:iCs/>
          <w:color w:val="auto"/>
        </w:rPr>
        <w:t>‑</w:t>
      </w:r>
      <w:r w:rsidRPr="00FF2A2F">
        <w:rPr>
          <w:iCs/>
          <w:color w:val="auto"/>
        </w:rPr>
        <w:t>to</w:t>
      </w:r>
      <w:r w:rsidRPr="00FF2A2F">
        <w:rPr>
          <w:rFonts w:ascii="Cambria Math" w:hAnsi="Cambria Math" w:cs="Cambria Math"/>
          <w:iCs/>
          <w:color w:val="auto"/>
        </w:rPr>
        <w:t>‑</w:t>
      </w:r>
      <w:r w:rsidRPr="00FF2A2F">
        <w:rPr>
          <w:iCs/>
          <w:color w:val="auto"/>
        </w:rPr>
        <w:t>day management, implementation oversight and CSO grant administration. Oversight will sit with the Head of Development</w:t>
      </w:r>
      <w:r w:rsidR="002F5656" w:rsidRPr="00FF2A2F">
        <w:rPr>
          <w:iCs/>
          <w:color w:val="auto"/>
        </w:rPr>
        <w:t xml:space="preserve"> (DHOM)</w:t>
      </w:r>
      <w:r w:rsidRPr="00FF2A2F">
        <w:rPr>
          <w:iCs/>
          <w:color w:val="auto"/>
        </w:rPr>
        <w:t>, ensuring strategic alignment across the Tonga program and consistent whole</w:t>
      </w:r>
      <w:r w:rsidRPr="00FF2A2F">
        <w:rPr>
          <w:rFonts w:ascii="Cambria Math" w:hAnsi="Cambria Math" w:cs="Cambria Math"/>
          <w:iCs/>
          <w:color w:val="auto"/>
        </w:rPr>
        <w:t>‑</w:t>
      </w:r>
      <w:r w:rsidRPr="00FF2A2F">
        <w:rPr>
          <w:iCs/>
          <w:color w:val="auto"/>
        </w:rPr>
        <w:t>of</w:t>
      </w:r>
      <w:r w:rsidRPr="00FF2A2F">
        <w:rPr>
          <w:rFonts w:ascii="Cambria Math" w:hAnsi="Cambria Math" w:cs="Cambria Math"/>
          <w:iCs/>
          <w:color w:val="auto"/>
        </w:rPr>
        <w:t>‑</w:t>
      </w:r>
      <w:r w:rsidRPr="00FF2A2F">
        <w:rPr>
          <w:iCs/>
          <w:color w:val="auto"/>
        </w:rPr>
        <w:t xml:space="preserve">government engagement. These resourcing levels reflect the current arrangements for managing the existing humanitarian investment, noting that this new investment is expected to be implemented in a more strategic and streamlined manner. </w:t>
      </w:r>
    </w:p>
    <w:p w14:paraId="783CC9C1" w14:textId="25A0AD51" w:rsidR="003F1B57" w:rsidRPr="00FF2A2F" w:rsidRDefault="00900BB4" w:rsidP="00900BB4">
      <w:pPr>
        <w:spacing w:before="120" w:line="260" w:lineRule="atLeast"/>
        <w:ind w:left="0" w:firstLine="0"/>
        <w:rPr>
          <w:iCs/>
          <w:color w:val="auto"/>
          <w:lang w:val="en-US"/>
        </w:rPr>
      </w:pPr>
      <w:r w:rsidRPr="00FF2A2F">
        <w:rPr>
          <w:iCs/>
          <w:color w:val="auto"/>
        </w:rPr>
        <w:t xml:space="preserve">158. </w:t>
      </w:r>
      <w:r w:rsidRPr="00FF2A2F">
        <w:rPr>
          <w:iCs/>
          <w:color w:val="auto"/>
          <w:lang w:val="en-US"/>
        </w:rPr>
        <w:t>To manage DFAT’s resources effectively Nuku’alofa Post will engage an implementing partner as the primary mechanism for program management, with costs fully provisioned in the investment budget (including ME</w:t>
      </w:r>
      <w:r w:rsidR="002F5656" w:rsidRPr="00FF2A2F">
        <w:rPr>
          <w:iCs/>
          <w:color w:val="auto"/>
          <w:lang w:val="en-US"/>
        </w:rPr>
        <w:t xml:space="preserve">L &amp; </w:t>
      </w:r>
      <w:r w:rsidRPr="00FF2A2F">
        <w:rPr>
          <w:iCs/>
          <w:color w:val="auto"/>
          <w:lang w:val="en-US"/>
        </w:rPr>
        <w:t>GEDSI). The partner will support day</w:t>
      </w:r>
      <w:r w:rsidRPr="00FF2A2F">
        <w:rPr>
          <w:iCs/>
          <w:color w:val="auto"/>
          <w:lang w:val="en-US"/>
        </w:rPr>
        <w:noBreakHyphen/>
        <w:t>to</w:t>
      </w:r>
      <w:r w:rsidRPr="00FF2A2F">
        <w:rPr>
          <w:iCs/>
          <w:color w:val="auto"/>
          <w:lang w:val="en-US"/>
        </w:rPr>
        <w:noBreakHyphen/>
        <w:t xml:space="preserve">day implementation, coordination with government and CSOs, and surge requirements during disaster events. </w:t>
      </w:r>
    </w:p>
    <w:p w14:paraId="14C1DF74" w14:textId="07B72A49" w:rsidR="0047293D" w:rsidRPr="00FF2A2F" w:rsidRDefault="00E62E0E" w:rsidP="001560BA">
      <w:pPr>
        <w:tabs>
          <w:tab w:val="left" w:pos="284"/>
        </w:tabs>
        <w:ind w:left="284" w:firstLine="0"/>
        <w:rPr>
          <w:rFonts w:eastAsia="Times New Roman" w:cs="Times New Roman"/>
          <w:b/>
          <w:bCs/>
          <w:color w:val="auto"/>
          <w:sz w:val="18"/>
          <w:szCs w:val="18"/>
          <w:lang w:val="en-AU" w:eastAsia="en-AU"/>
        </w:rPr>
      </w:pPr>
      <w:r w:rsidRPr="00FF2A2F">
        <w:rPr>
          <w:rFonts w:eastAsia="Times New Roman" w:cs="Times New Roman"/>
          <w:b/>
          <w:bCs/>
          <w:color w:val="auto"/>
          <w:sz w:val="18"/>
          <w:szCs w:val="18"/>
          <w:lang w:val="en-AU" w:eastAsia="en-AU"/>
        </w:rPr>
        <w:t xml:space="preserve">Table </w:t>
      </w:r>
      <w:r w:rsidR="00512024" w:rsidRPr="00FF2A2F">
        <w:rPr>
          <w:rFonts w:eastAsia="Times New Roman" w:cs="Times New Roman"/>
          <w:b/>
          <w:bCs/>
          <w:color w:val="auto"/>
          <w:sz w:val="18"/>
          <w:szCs w:val="18"/>
          <w:lang w:val="en-AU" w:eastAsia="en-AU"/>
        </w:rPr>
        <w:t>1</w:t>
      </w:r>
      <w:r w:rsidRPr="00FF2A2F">
        <w:rPr>
          <w:rFonts w:eastAsia="Times New Roman" w:cs="Times New Roman"/>
          <w:b/>
          <w:bCs/>
          <w:color w:val="auto"/>
          <w:sz w:val="18"/>
          <w:szCs w:val="18"/>
          <w:lang w:val="en-AU" w:eastAsia="en-AU"/>
        </w:rPr>
        <w:t>: Initial Budget Summary</w:t>
      </w:r>
    </w:p>
    <w:tbl>
      <w:tblPr>
        <w:tblStyle w:val="TableGrid1"/>
        <w:tblW w:w="9504" w:type="dxa"/>
        <w:tblLook w:val="04A0" w:firstRow="1" w:lastRow="0" w:firstColumn="1" w:lastColumn="0" w:noHBand="0" w:noVBand="1"/>
      </w:tblPr>
      <w:tblGrid>
        <w:gridCol w:w="1432"/>
        <w:gridCol w:w="1165"/>
        <w:gridCol w:w="1145"/>
        <w:gridCol w:w="1155"/>
        <w:gridCol w:w="1155"/>
        <w:gridCol w:w="1155"/>
        <w:gridCol w:w="1482"/>
        <w:gridCol w:w="815"/>
      </w:tblGrid>
      <w:tr w:rsidR="00FF2A2F" w:rsidRPr="00FF2A2F" w14:paraId="7BBF778B" w14:textId="77777777" w:rsidTr="000A1C34">
        <w:trPr>
          <w:trHeight w:val="284"/>
          <w:tblHeader/>
        </w:trPr>
        <w:tc>
          <w:tcPr>
            <w:tcW w:w="1432" w:type="dxa"/>
          </w:tcPr>
          <w:p w14:paraId="69ECEAAE" w14:textId="74773AA5" w:rsidR="00912480" w:rsidRPr="00FF2A2F" w:rsidRDefault="00912480" w:rsidP="0047293D">
            <w:pPr>
              <w:ind w:left="0" w:firstLine="0"/>
              <w:jc w:val="center"/>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Budget Category/Item</w:t>
            </w:r>
          </w:p>
        </w:tc>
        <w:tc>
          <w:tcPr>
            <w:tcW w:w="1165" w:type="dxa"/>
          </w:tcPr>
          <w:p w14:paraId="40F4126B" w14:textId="6651D091" w:rsidR="00912480" w:rsidRPr="00FF2A2F" w:rsidRDefault="00912480" w:rsidP="0047293D">
            <w:pPr>
              <w:ind w:left="0" w:firstLine="0"/>
              <w:jc w:val="center"/>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Year 1</w:t>
            </w:r>
          </w:p>
        </w:tc>
        <w:tc>
          <w:tcPr>
            <w:tcW w:w="1145" w:type="dxa"/>
          </w:tcPr>
          <w:p w14:paraId="6E735A5A" w14:textId="46CE60B2" w:rsidR="00912480" w:rsidRPr="00FF2A2F" w:rsidRDefault="00912480" w:rsidP="0047293D">
            <w:pPr>
              <w:ind w:left="0" w:firstLine="0"/>
              <w:jc w:val="center"/>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Year 2</w:t>
            </w:r>
          </w:p>
        </w:tc>
        <w:tc>
          <w:tcPr>
            <w:tcW w:w="1155" w:type="dxa"/>
          </w:tcPr>
          <w:p w14:paraId="5A5E1379" w14:textId="623D6E17" w:rsidR="00912480" w:rsidRPr="00FF2A2F" w:rsidRDefault="00912480" w:rsidP="0047293D">
            <w:pPr>
              <w:ind w:left="0" w:firstLine="0"/>
              <w:jc w:val="center"/>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Year 3</w:t>
            </w:r>
          </w:p>
        </w:tc>
        <w:tc>
          <w:tcPr>
            <w:tcW w:w="1155" w:type="dxa"/>
          </w:tcPr>
          <w:p w14:paraId="661DEEA2" w14:textId="71F246AC" w:rsidR="00912480" w:rsidRPr="00FF2A2F" w:rsidRDefault="00912480" w:rsidP="0047293D">
            <w:pPr>
              <w:ind w:left="0" w:firstLine="0"/>
              <w:jc w:val="center"/>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Year 4</w:t>
            </w:r>
          </w:p>
        </w:tc>
        <w:tc>
          <w:tcPr>
            <w:tcW w:w="1155" w:type="dxa"/>
          </w:tcPr>
          <w:p w14:paraId="2558A95A" w14:textId="0B610709" w:rsidR="00912480" w:rsidRPr="00FF2A2F" w:rsidRDefault="00912480" w:rsidP="0047293D">
            <w:pPr>
              <w:ind w:left="0" w:firstLine="0"/>
              <w:jc w:val="center"/>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Year 5</w:t>
            </w:r>
          </w:p>
        </w:tc>
        <w:tc>
          <w:tcPr>
            <w:tcW w:w="1482" w:type="dxa"/>
          </w:tcPr>
          <w:p w14:paraId="556595C5" w14:textId="1590B20A" w:rsidR="00912480" w:rsidRPr="00FF2A2F" w:rsidRDefault="00912480" w:rsidP="0047293D">
            <w:pPr>
              <w:ind w:left="0" w:firstLine="0"/>
              <w:jc w:val="center"/>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Total</w:t>
            </w:r>
          </w:p>
        </w:tc>
        <w:tc>
          <w:tcPr>
            <w:tcW w:w="815" w:type="dxa"/>
          </w:tcPr>
          <w:p w14:paraId="352F899F" w14:textId="6B0AD709" w:rsidR="00912480" w:rsidRPr="00FF2A2F" w:rsidRDefault="00912480" w:rsidP="0047293D">
            <w:pPr>
              <w:ind w:left="0" w:firstLine="0"/>
              <w:jc w:val="center"/>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w:t>
            </w:r>
          </w:p>
        </w:tc>
      </w:tr>
      <w:tr w:rsidR="00FF2A2F" w:rsidRPr="00FF2A2F" w14:paraId="47D3514E" w14:textId="77777777" w:rsidTr="00912480">
        <w:trPr>
          <w:trHeight w:val="293"/>
        </w:trPr>
        <w:tc>
          <w:tcPr>
            <w:tcW w:w="1432" w:type="dxa"/>
            <w:hideMark/>
          </w:tcPr>
          <w:p w14:paraId="24D8BFD4" w14:textId="77777777" w:rsidR="0047293D" w:rsidRPr="00FF2A2F" w:rsidRDefault="0047293D" w:rsidP="0047293D">
            <w:pPr>
              <w:ind w:left="0" w:firstLine="0"/>
              <w:jc w:val="center"/>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Operations Costs</w:t>
            </w:r>
          </w:p>
        </w:tc>
        <w:tc>
          <w:tcPr>
            <w:tcW w:w="1165" w:type="dxa"/>
          </w:tcPr>
          <w:p w14:paraId="2A43E59C" w14:textId="700068C7" w:rsidR="0047293D" w:rsidRPr="00FF2A2F" w:rsidRDefault="00DD5B56"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100,000</w:t>
            </w:r>
          </w:p>
        </w:tc>
        <w:tc>
          <w:tcPr>
            <w:tcW w:w="1145" w:type="dxa"/>
          </w:tcPr>
          <w:p w14:paraId="09CC50FD" w14:textId="1CA9445E" w:rsidR="0047293D" w:rsidRPr="00FF2A2F" w:rsidRDefault="00DC31BC"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w:t>
            </w:r>
            <w:r w:rsidR="007A11D6" w:rsidRPr="00FF2A2F">
              <w:rPr>
                <w:rFonts w:ascii="Calibri" w:eastAsia="Times New Roman" w:hAnsi="Calibri" w:cs="Calibri"/>
                <w:color w:val="auto"/>
                <w:sz w:val="20"/>
                <w:szCs w:val="20"/>
                <w:lang w:val="en-AU" w:eastAsia="en-AU"/>
              </w:rPr>
              <w:t>00,000</w:t>
            </w:r>
          </w:p>
        </w:tc>
        <w:tc>
          <w:tcPr>
            <w:tcW w:w="1155" w:type="dxa"/>
          </w:tcPr>
          <w:p w14:paraId="7E4BC00A" w14:textId="5F719D30" w:rsidR="0047293D" w:rsidRPr="00FF2A2F" w:rsidRDefault="000E5889"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100,000</w:t>
            </w:r>
          </w:p>
        </w:tc>
        <w:tc>
          <w:tcPr>
            <w:tcW w:w="1155" w:type="dxa"/>
          </w:tcPr>
          <w:p w14:paraId="3B13406F" w14:textId="58831866" w:rsidR="0047293D" w:rsidRPr="00FF2A2F" w:rsidRDefault="00F343C6"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100,000</w:t>
            </w:r>
          </w:p>
        </w:tc>
        <w:tc>
          <w:tcPr>
            <w:tcW w:w="1155" w:type="dxa"/>
          </w:tcPr>
          <w:p w14:paraId="6C9BC574" w14:textId="4A42264C" w:rsidR="0047293D" w:rsidRPr="00FF2A2F" w:rsidRDefault="008617D5"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100,000</w:t>
            </w:r>
          </w:p>
        </w:tc>
        <w:tc>
          <w:tcPr>
            <w:tcW w:w="1482" w:type="dxa"/>
            <w:noWrap/>
          </w:tcPr>
          <w:p w14:paraId="2EF2D8E5" w14:textId="42CA7105" w:rsidR="0047293D" w:rsidRPr="00FF2A2F" w:rsidRDefault="008617D5" w:rsidP="0047293D">
            <w:pPr>
              <w:ind w:left="0" w:firstLine="0"/>
              <w:jc w:val="right"/>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500,000</w:t>
            </w:r>
          </w:p>
        </w:tc>
        <w:tc>
          <w:tcPr>
            <w:tcW w:w="815" w:type="dxa"/>
          </w:tcPr>
          <w:p w14:paraId="35779672" w14:textId="6B6EA64A" w:rsidR="0047293D" w:rsidRPr="00FF2A2F" w:rsidRDefault="000E0AEB" w:rsidP="0047293D">
            <w:pPr>
              <w:ind w:left="0" w:firstLine="0"/>
              <w:jc w:val="center"/>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5</w:t>
            </w:r>
          </w:p>
        </w:tc>
      </w:tr>
      <w:tr w:rsidR="00FF2A2F" w:rsidRPr="00FF2A2F" w14:paraId="6DE99AFD" w14:textId="77777777" w:rsidTr="00912480">
        <w:trPr>
          <w:trHeight w:val="519"/>
        </w:trPr>
        <w:tc>
          <w:tcPr>
            <w:tcW w:w="1432" w:type="dxa"/>
            <w:hideMark/>
          </w:tcPr>
          <w:p w14:paraId="10E2F887" w14:textId="77777777" w:rsidR="0047293D" w:rsidRPr="00FF2A2F" w:rsidRDefault="0047293D" w:rsidP="0047293D">
            <w:pPr>
              <w:ind w:left="0" w:firstLine="0"/>
              <w:jc w:val="center"/>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Program Activity Costs</w:t>
            </w:r>
          </w:p>
        </w:tc>
        <w:tc>
          <w:tcPr>
            <w:tcW w:w="1165" w:type="dxa"/>
          </w:tcPr>
          <w:p w14:paraId="6E6508B0" w14:textId="55F71448" w:rsidR="0047293D" w:rsidRPr="00FF2A2F" w:rsidRDefault="00875EDA"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w:t>
            </w:r>
            <w:r w:rsidR="007369FB" w:rsidRPr="00FF2A2F">
              <w:rPr>
                <w:rFonts w:ascii="Calibri" w:eastAsia="Times New Roman" w:hAnsi="Calibri" w:cs="Calibri"/>
                <w:color w:val="auto"/>
                <w:sz w:val="20"/>
                <w:szCs w:val="20"/>
                <w:lang w:val="en-AU" w:eastAsia="en-AU"/>
              </w:rPr>
              <w:t>,</w:t>
            </w:r>
            <w:r w:rsidRPr="00FF2A2F">
              <w:rPr>
                <w:rFonts w:ascii="Calibri" w:eastAsia="Times New Roman" w:hAnsi="Calibri" w:cs="Calibri"/>
                <w:color w:val="auto"/>
                <w:sz w:val="20"/>
                <w:szCs w:val="20"/>
                <w:lang w:val="en-AU" w:eastAsia="en-AU"/>
              </w:rPr>
              <w:t>7</w:t>
            </w:r>
            <w:r w:rsidR="00196B28" w:rsidRPr="00FF2A2F">
              <w:rPr>
                <w:rFonts w:ascii="Calibri" w:eastAsia="Times New Roman" w:hAnsi="Calibri" w:cs="Calibri"/>
                <w:color w:val="auto"/>
                <w:sz w:val="20"/>
                <w:szCs w:val="20"/>
                <w:lang w:val="en-AU" w:eastAsia="en-AU"/>
              </w:rPr>
              <w:t>3</w:t>
            </w:r>
            <w:r w:rsidRPr="00FF2A2F">
              <w:rPr>
                <w:rFonts w:ascii="Calibri" w:eastAsia="Times New Roman" w:hAnsi="Calibri" w:cs="Calibri"/>
                <w:color w:val="auto"/>
                <w:sz w:val="20"/>
                <w:szCs w:val="20"/>
                <w:lang w:val="en-AU" w:eastAsia="en-AU"/>
              </w:rPr>
              <w:t>0</w:t>
            </w:r>
            <w:r w:rsidR="00BB0F44" w:rsidRPr="00FF2A2F">
              <w:rPr>
                <w:rFonts w:ascii="Calibri" w:eastAsia="Times New Roman" w:hAnsi="Calibri" w:cs="Calibri"/>
                <w:color w:val="auto"/>
                <w:sz w:val="20"/>
                <w:szCs w:val="20"/>
                <w:lang w:val="en-AU" w:eastAsia="en-AU"/>
              </w:rPr>
              <w:t>,</w:t>
            </w:r>
            <w:r w:rsidRPr="00FF2A2F">
              <w:rPr>
                <w:rFonts w:ascii="Calibri" w:eastAsia="Times New Roman" w:hAnsi="Calibri" w:cs="Calibri"/>
                <w:color w:val="auto"/>
                <w:sz w:val="20"/>
                <w:szCs w:val="20"/>
                <w:lang w:val="en-AU" w:eastAsia="en-AU"/>
              </w:rPr>
              <w:t>000</w:t>
            </w:r>
          </w:p>
        </w:tc>
        <w:tc>
          <w:tcPr>
            <w:tcW w:w="1145" w:type="dxa"/>
          </w:tcPr>
          <w:p w14:paraId="350B4A3D" w14:textId="4AE8E5DC" w:rsidR="0047293D" w:rsidRPr="00FF2A2F" w:rsidRDefault="007A11D6"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1,7</w:t>
            </w:r>
            <w:r w:rsidR="00196B28" w:rsidRPr="00FF2A2F">
              <w:rPr>
                <w:rFonts w:ascii="Calibri" w:eastAsia="Times New Roman" w:hAnsi="Calibri" w:cs="Calibri"/>
                <w:color w:val="auto"/>
                <w:sz w:val="20"/>
                <w:szCs w:val="20"/>
                <w:lang w:val="en-AU" w:eastAsia="en-AU"/>
              </w:rPr>
              <w:t>3</w:t>
            </w:r>
            <w:r w:rsidRPr="00FF2A2F">
              <w:rPr>
                <w:rFonts w:ascii="Calibri" w:eastAsia="Times New Roman" w:hAnsi="Calibri" w:cs="Calibri"/>
                <w:color w:val="auto"/>
                <w:sz w:val="20"/>
                <w:szCs w:val="20"/>
                <w:lang w:val="en-AU" w:eastAsia="en-AU"/>
              </w:rPr>
              <w:t>0,000</w:t>
            </w:r>
          </w:p>
        </w:tc>
        <w:tc>
          <w:tcPr>
            <w:tcW w:w="1155" w:type="dxa"/>
          </w:tcPr>
          <w:p w14:paraId="0D2BDB35" w14:textId="63B3A7AB" w:rsidR="0047293D" w:rsidRPr="00FF2A2F" w:rsidRDefault="007A11D6"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w:t>
            </w:r>
            <w:r w:rsidR="00D404ED" w:rsidRPr="00FF2A2F">
              <w:rPr>
                <w:rFonts w:ascii="Calibri" w:eastAsia="Times New Roman" w:hAnsi="Calibri" w:cs="Calibri"/>
                <w:color w:val="auto"/>
                <w:sz w:val="20"/>
                <w:szCs w:val="20"/>
                <w:lang w:val="en-AU" w:eastAsia="en-AU"/>
              </w:rPr>
              <w:t>,7</w:t>
            </w:r>
            <w:r w:rsidR="00196B28" w:rsidRPr="00FF2A2F">
              <w:rPr>
                <w:rFonts w:ascii="Calibri" w:eastAsia="Times New Roman" w:hAnsi="Calibri" w:cs="Calibri"/>
                <w:color w:val="auto"/>
                <w:sz w:val="20"/>
                <w:szCs w:val="20"/>
                <w:lang w:val="en-AU" w:eastAsia="en-AU"/>
              </w:rPr>
              <w:t>3</w:t>
            </w:r>
            <w:r w:rsidR="00D404ED" w:rsidRPr="00FF2A2F">
              <w:rPr>
                <w:rFonts w:ascii="Calibri" w:eastAsia="Times New Roman" w:hAnsi="Calibri" w:cs="Calibri"/>
                <w:color w:val="auto"/>
                <w:sz w:val="20"/>
                <w:szCs w:val="20"/>
                <w:lang w:val="en-AU" w:eastAsia="en-AU"/>
              </w:rPr>
              <w:t>0,000</w:t>
            </w:r>
          </w:p>
        </w:tc>
        <w:tc>
          <w:tcPr>
            <w:tcW w:w="1155" w:type="dxa"/>
          </w:tcPr>
          <w:p w14:paraId="668539F2" w14:textId="365D2AC8" w:rsidR="0047293D" w:rsidRPr="00FF2A2F" w:rsidRDefault="00F343C6"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1,7</w:t>
            </w:r>
            <w:r w:rsidR="00196B28" w:rsidRPr="00FF2A2F">
              <w:rPr>
                <w:rFonts w:ascii="Calibri" w:eastAsia="Times New Roman" w:hAnsi="Calibri" w:cs="Calibri"/>
                <w:color w:val="auto"/>
                <w:sz w:val="20"/>
                <w:szCs w:val="20"/>
                <w:lang w:val="en-AU" w:eastAsia="en-AU"/>
              </w:rPr>
              <w:t>3</w:t>
            </w:r>
            <w:r w:rsidRPr="00FF2A2F">
              <w:rPr>
                <w:rFonts w:ascii="Calibri" w:eastAsia="Times New Roman" w:hAnsi="Calibri" w:cs="Calibri"/>
                <w:color w:val="auto"/>
                <w:sz w:val="20"/>
                <w:szCs w:val="20"/>
                <w:lang w:val="en-AU" w:eastAsia="en-AU"/>
              </w:rPr>
              <w:t>0,000</w:t>
            </w:r>
          </w:p>
        </w:tc>
        <w:tc>
          <w:tcPr>
            <w:tcW w:w="1155" w:type="dxa"/>
          </w:tcPr>
          <w:p w14:paraId="200CF3E0" w14:textId="23834C7B" w:rsidR="0047293D" w:rsidRPr="00FF2A2F" w:rsidRDefault="008617D5"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1,7</w:t>
            </w:r>
            <w:r w:rsidR="00196B28" w:rsidRPr="00FF2A2F">
              <w:rPr>
                <w:rFonts w:ascii="Calibri" w:eastAsia="Times New Roman" w:hAnsi="Calibri" w:cs="Calibri"/>
                <w:color w:val="auto"/>
                <w:sz w:val="20"/>
                <w:szCs w:val="20"/>
                <w:lang w:val="en-AU" w:eastAsia="en-AU"/>
              </w:rPr>
              <w:t>3</w:t>
            </w:r>
            <w:r w:rsidRPr="00FF2A2F">
              <w:rPr>
                <w:rFonts w:ascii="Calibri" w:eastAsia="Times New Roman" w:hAnsi="Calibri" w:cs="Calibri"/>
                <w:color w:val="auto"/>
                <w:sz w:val="20"/>
                <w:szCs w:val="20"/>
                <w:lang w:val="en-AU" w:eastAsia="en-AU"/>
              </w:rPr>
              <w:t>0,000</w:t>
            </w:r>
          </w:p>
        </w:tc>
        <w:tc>
          <w:tcPr>
            <w:tcW w:w="1482" w:type="dxa"/>
            <w:noWrap/>
          </w:tcPr>
          <w:p w14:paraId="2BF48EA0" w14:textId="2A6DFEC7" w:rsidR="0047293D" w:rsidRPr="00FF2A2F" w:rsidRDefault="007C4474" w:rsidP="0047293D">
            <w:pPr>
              <w:ind w:left="0" w:firstLine="0"/>
              <w:jc w:val="right"/>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8,</w:t>
            </w:r>
            <w:r w:rsidR="00D92C1B" w:rsidRPr="00FF2A2F">
              <w:rPr>
                <w:rFonts w:ascii="Calibri" w:eastAsia="Times New Roman" w:hAnsi="Calibri" w:cs="Calibri"/>
                <w:b/>
                <w:bCs/>
                <w:color w:val="auto"/>
                <w:sz w:val="20"/>
                <w:szCs w:val="20"/>
                <w:lang w:val="en-AU" w:eastAsia="en-AU"/>
              </w:rPr>
              <w:t>650,00</w:t>
            </w:r>
            <w:r w:rsidR="00196B28" w:rsidRPr="00FF2A2F">
              <w:rPr>
                <w:rFonts w:ascii="Calibri" w:eastAsia="Times New Roman" w:hAnsi="Calibri" w:cs="Calibri"/>
                <w:b/>
                <w:bCs/>
                <w:color w:val="auto"/>
                <w:sz w:val="20"/>
                <w:szCs w:val="20"/>
                <w:lang w:val="en-AU" w:eastAsia="en-AU"/>
              </w:rPr>
              <w:t>0</w:t>
            </w:r>
          </w:p>
        </w:tc>
        <w:tc>
          <w:tcPr>
            <w:tcW w:w="815" w:type="dxa"/>
          </w:tcPr>
          <w:p w14:paraId="60105715" w14:textId="4BE641A7" w:rsidR="0047293D" w:rsidRPr="00FF2A2F" w:rsidRDefault="00E2632D" w:rsidP="0047293D">
            <w:pPr>
              <w:ind w:left="0" w:firstLine="0"/>
              <w:jc w:val="center"/>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8</w:t>
            </w:r>
            <w:r w:rsidR="00E54EBC" w:rsidRPr="00FF2A2F">
              <w:rPr>
                <w:rFonts w:ascii="Calibri" w:eastAsia="Times New Roman" w:hAnsi="Calibri" w:cs="Calibri"/>
                <w:color w:val="auto"/>
                <w:sz w:val="20"/>
                <w:szCs w:val="20"/>
                <w:lang w:val="en-AU" w:eastAsia="en-AU"/>
              </w:rPr>
              <w:t>6.5</w:t>
            </w:r>
          </w:p>
        </w:tc>
      </w:tr>
      <w:tr w:rsidR="00FF2A2F" w:rsidRPr="00FF2A2F" w14:paraId="1B211442" w14:textId="77777777" w:rsidTr="00912480">
        <w:trPr>
          <w:trHeight w:val="519"/>
        </w:trPr>
        <w:tc>
          <w:tcPr>
            <w:tcW w:w="1432" w:type="dxa"/>
          </w:tcPr>
          <w:p w14:paraId="0297BACF" w14:textId="1DCFE142" w:rsidR="00E557A5" w:rsidRPr="00FF2A2F" w:rsidRDefault="000E0AEB" w:rsidP="0047293D">
            <w:pPr>
              <w:ind w:left="0" w:firstLine="0"/>
              <w:jc w:val="center"/>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GEDSI Costs</w:t>
            </w:r>
          </w:p>
        </w:tc>
        <w:tc>
          <w:tcPr>
            <w:tcW w:w="1165" w:type="dxa"/>
          </w:tcPr>
          <w:p w14:paraId="11E6437C" w14:textId="67038E44" w:rsidR="00E557A5" w:rsidRPr="00FF2A2F" w:rsidRDefault="00A6514F"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7</w:t>
            </w:r>
            <w:r w:rsidR="007F7E1D" w:rsidRPr="00FF2A2F">
              <w:rPr>
                <w:rFonts w:ascii="Calibri" w:eastAsia="Times New Roman" w:hAnsi="Calibri" w:cs="Calibri"/>
                <w:color w:val="auto"/>
                <w:sz w:val="20"/>
                <w:szCs w:val="20"/>
                <w:lang w:val="en-AU" w:eastAsia="en-AU"/>
              </w:rPr>
              <w:t>0,00</w:t>
            </w:r>
            <w:r w:rsidR="000E5889" w:rsidRPr="00FF2A2F">
              <w:rPr>
                <w:rFonts w:ascii="Calibri" w:eastAsia="Times New Roman" w:hAnsi="Calibri" w:cs="Calibri"/>
                <w:color w:val="auto"/>
                <w:sz w:val="20"/>
                <w:szCs w:val="20"/>
                <w:lang w:val="en-AU" w:eastAsia="en-AU"/>
              </w:rPr>
              <w:t>0</w:t>
            </w:r>
          </w:p>
        </w:tc>
        <w:tc>
          <w:tcPr>
            <w:tcW w:w="1145" w:type="dxa"/>
          </w:tcPr>
          <w:p w14:paraId="49B7ACF0" w14:textId="35BC5F1C" w:rsidR="00E557A5" w:rsidRPr="00FF2A2F" w:rsidRDefault="00A6514F"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7</w:t>
            </w:r>
            <w:r w:rsidR="00D404ED" w:rsidRPr="00FF2A2F">
              <w:rPr>
                <w:rFonts w:ascii="Calibri" w:eastAsia="Times New Roman" w:hAnsi="Calibri" w:cs="Calibri"/>
                <w:color w:val="auto"/>
                <w:sz w:val="20"/>
                <w:szCs w:val="20"/>
                <w:lang w:val="en-AU" w:eastAsia="en-AU"/>
              </w:rPr>
              <w:t>0,000</w:t>
            </w:r>
          </w:p>
        </w:tc>
        <w:tc>
          <w:tcPr>
            <w:tcW w:w="1155" w:type="dxa"/>
          </w:tcPr>
          <w:p w14:paraId="26724935" w14:textId="64F70895" w:rsidR="00E557A5" w:rsidRPr="00FF2A2F" w:rsidRDefault="00A6514F"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70,</w:t>
            </w:r>
            <w:r w:rsidR="00D404ED" w:rsidRPr="00FF2A2F">
              <w:rPr>
                <w:rFonts w:ascii="Calibri" w:eastAsia="Times New Roman" w:hAnsi="Calibri" w:cs="Calibri"/>
                <w:color w:val="auto"/>
                <w:sz w:val="20"/>
                <w:szCs w:val="20"/>
                <w:lang w:val="en-AU" w:eastAsia="en-AU"/>
              </w:rPr>
              <w:t>000</w:t>
            </w:r>
          </w:p>
        </w:tc>
        <w:tc>
          <w:tcPr>
            <w:tcW w:w="1155" w:type="dxa"/>
          </w:tcPr>
          <w:p w14:paraId="096F3DD0" w14:textId="36CC670F" w:rsidR="00E557A5" w:rsidRPr="00FF2A2F" w:rsidRDefault="00A6514F"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7</w:t>
            </w:r>
            <w:r w:rsidR="008617D5" w:rsidRPr="00FF2A2F">
              <w:rPr>
                <w:rFonts w:ascii="Calibri" w:eastAsia="Times New Roman" w:hAnsi="Calibri" w:cs="Calibri"/>
                <w:color w:val="auto"/>
                <w:sz w:val="20"/>
                <w:szCs w:val="20"/>
                <w:lang w:val="en-AU" w:eastAsia="en-AU"/>
              </w:rPr>
              <w:t>0,000</w:t>
            </w:r>
          </w:p>
        </w:tc>
        <w:tc>
          <w:tcPr>
            <w:tcW w:w="1155" w:type="dxa"/>
          </w:tcPr>
          <w:p w14:paraId="0BA319F3" w14:textId="7F3DA323" w:rsidR="00E557A5" w:rsidRPr="00FF2A2F" w:rsidRDefault="00A6514F"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7</w:t>
            </w:r>
            <w:r w:rsidR="008617D5" w:rsidRPr="00FF2A2F">
              <w:rPr>
                <w:rFonts w:ascii="Calibri" w:eastAsia="Times New Roman" w:hAnsi="Calibri" w:cs="Calibri"/>
                <w:color w:val="auto"/>
                <w:sz w:val="20"/>
                <w:szCs w:val="20"/>
                <w:lang w:val="en-AU" w:eastAsia="en-AU"/>
              </w:rPr>
              <w:t>0,000</w:t>
            </w:r>
          </w:p>
        </w:tc>
        <w:tc>
          <w:tcPr>
            <w:tcW w:w="1482" w:type="dxa"/>
            <w:noWrap/>
          </w:tcPr>
          <w:p w14:paraId="0B273A66" w14:textId="3E42F16F" w:rsidR="00E557A5" w:rsidRPr="00FF2A2F" w:rsidRDefault="002D1459" w:rsidP="0047293D">
            <w:pPr>
              <w:ind w:left="0" w:firstLine="0"/>
              <w:jc w:val="right"/>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350</w:t>
            </w:r>
            <w:r w:rsidR="002B7B0B" w:rsidRPr="00FF2A2F">
              <w:rPr>
                <w:rFonts w:ascii="Calibri" w:eastAsia="Times New Roman" w:hAnsi="Calibri" w:cs="Calibri"/>
                <w:b/>
                <w:bCs/>
                <w:color w:val="auto"/>
                <w:sz w:val="20"/>
                <w:szCs w:val="20"/>
                <w:lang w:val="en-AU" w:eastAsia="en-AU"/>
              </w:rPr>
              <w:t>,000</w:t>
            </w:r>
          </w:p>
        </w:tc>
        <w:tc>
          <w:tcPr>
            <w:tcW w:w="815" w:type="dxa"/>
          </w:tcPr>
          <w:p w14:paraId="7AF81A97" w14:textId="149BB211" w:rsidR="00E557A5" w:rsidRPr="00FF2A2F" w:rsidRDefault="002D1459" w:rsidP="0047293D">
            <w:pPr>
              <w:ind w:left="0" w:firstLine="0"/>
              <w:jc w:val="center"/>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3.5</w:t>
            </w:r>
          </w:p>
        </w:tc>
      </w:tr>
      <w:tr w:rsidR="00FF2A2F" w:rsidRPr="00FF2A2F" w14:paraId="45842BA7" w14:textId="77777777" w:rsidTr="00912480">
        <w:trPr>
          <w:trHeight w:val="519"/>
        </w:trPr>
        <w:tc>
          <w:tcPr>
            <w:tcW w:w="1432" w:type="dxa"/>
          </w:tcPr>
          <w:p w14:paraId="53F08198" w14:textId="2D137AE9" w:rsidR="00A6514F" w:rsidRPr="00FF2A2F" w:rsidRDefault="00A6514F" w:rsidP="0047293D">
            <w:pPr>
              <w:ind w:left="0" w:firstLine="0"/>
              <w:jc w:val="center"/>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MEL Costs</w:t>
            </w:r>
          </w:p>
        </w:tc>
        <w:tc>
          <w:tcPr>
            <w:tcW w:w="1165" w:type="dxa"/>
          </w:tcPr>
          <w:p w14:paraId="4CA88ED7" w14:textId="200FA4DC" w:rsidR="00A6514F" w:rsidRPr="00FF2A2F" w:rsidRDefault="00901B38"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10</w:t>
            </w:r>
            <w:r w:rsidR="00927DBD" w:rsidRPr="00FF2A2F">
              <w:rPr>
                <w:rFonts w:ascii="Calibri" w:eastAsia="Times New Roman" w:hAnsi="Calibri" w:cs="Calibri"/>
                <w:color w:val="auto"/>
                <w:sz w:val="20"/>
                <w:szCs w:val="20"/>
                <w:lang w:val="en-AU" w:eastAsia="en-AU"/>
              </w:rPr>
              <w:t>0,000</w:t>
            </w:r>
          </w:p>
        </w:tc>
        <w:tc>
          <w:tcPr>
            <w:tcW w:w="1145" w:type="dxa"/>
          </w:tcPr>
          <w:p w14:paraId="797CBA26" w14:textId="43B69F9E" w:rsidR="00A6514F" w:rsidRPr="00FF2A2F" w:rsidRDefault="00901B38"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10</w:t>
            </w:r>
            <w:r w:rsidR="00927DBD" w:rsidRPr="00FF2A2F">
              <w:rPr>
                <w:rFonts w:ascii="Calibri" w:eastAsia="Times New Roman" w:hAnsi="Calibri" w:cs="Calibri"/>
                <w:color w:val="auto"/>
                <w:sz w:val="20"/>
                <w:szCs w:val="20"/>
                <w:lang w:val="en-AU" w:eastAsia="en-AU"/>
              </w:rPr>
              <w:t>0,000</w:t>
            </w:r>
          </w:p>
        </w:tc>
        <w:tc>
          <w:tcPr>
            <w:tcW w:w="1155" w:type="dxa"/>
          </w:tcPr>
          <w:p w14:paraId="40FE4129" w14:textId="67C8B701" w:rsidR="00A6514F" w:rsidRPr="00FF2A2F" w:rsidRDefault="00901B38"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10</w:t>
            </w:r>
            <w:r w:rsidR="00927DBD" w:rsidRPr="00FF2A2F">
              <w:rPr>
                <w:rFonts w:ascii="Calibri" w:eastAsia="Times New Roman" w:hAnsi="Calibri" w:cs="Calibri"/>
                <w:color w:val="auto"/>
                <w:sz w:val="20"/>
                <w:szCs w:val="20"/>
                <w:lang w:val="en-AU" w:eastAsia="en-AU"/>
              </w:rPr>
              <w:t>0,000</w:t>
            </w:r>
          </w:p>
        </w:tc>
        <w:tc>
          <w:tcPr>
            <w:tcW w:w="1155" w:type="dxa"/>
          </w:tcPr>
          <w:p w14:paraId="75169763" w14:textId="00E6C3DA" w:rsidR="00A6514F" w:rsidRPr="00FF2A2F" w:rsidRDefault="00901B38"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10</w:t>
            </w:r>
            <w:r w:rsidR="00927DBD" w:rsidRPr="00FF2A2F">
              <w:rPr>
                <w:rFonts w:ascii="Calibri" w:eastAsia="Times New Roman" w:hAnsi="Calibri" w:cs="Calibri"/>
                <w:color w:val="auto"/>
                <w:sz w:val="20"/>
                <w:szCs w:val="20"/>
                <w:lang w:val="en-AU" w:eastAsia="en-AU"/>
              </w:rPr>
              <w:t>0,000</w:t>
            </w:r>
          </w:p>
        </w:tc>
        <w:tc>
          <w:tcPr>
            <w:tcW w:w="1155" w:type="dxa"/>
          </w:tcPr>
          <w:p w14:paraId="7EBA9477" w14:textId="25E526FF" w:rsidR="00A6514F" w:rsidRPr="00FF2A2F" w:rsidRDefault="00901B38"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10</w:t>
            </w:r>
            <w:r w:rsidR="00927DBD" w:rsidRPr="00FF2A2F">
              <w:rPr>
                <w:rFonts w:ascii="Calibri" w:eastAsia="Times New Roman" w:hAnsi="Calibri" w:cs="Calibri"/>
                <w:color w:val="auto"/>
                <w:sz w:val="20"/>
                <w:szCs w:val="20"/>
                <w:lang w:val="en-AU" w:eastAsia="en-AU"/>
              </w:rPr>
              <w:t>0,000</w:t>
            </w:r>
          </w:p>
        </w:tc>
        <w:tc>
          <w:tcPr>
            <w:tcW w:w="1482" w:type="dxa"/>
            <w:noWrap/>
          </w:tcPr>
          <w:p w14:paraId="56DEA1D3" w14:textId="33D46310" w:rsidR="00A6514F" w:rsidRPr="00FF2A2F" w:rsidRDefault="00B249C9" w:rsidP="0047293D">
            <w:pPr>
              <w:ind w:left="0" w:firstLine="0"/>
              <w:jc w:val="right"/>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500,000</w:t>
            </w:r>
          </w:p>
        </w:tc>
        <w:tc>
          <w:tcPr>
            <w:tcW w:w="815" w:type="dxa"/>
          </w:tcPr>
          <w:p w14:paraId="35F2FA96" w14:textId="5FDCEC71" w:rsidR="00A6514F" w:rsidRPr="00FF2A2F" w:rsidRDefault="00B249C9" w:rsidP="0047293D">
            <w:pPr>
              <w:ind w:left="0" w:firstLine="0"/>
              <w:jc w:val="center"/>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5</w:t>
            </w:r>
          </w:p>
        </w:tc>
      </w:tr>
      <w:tr w:rsidR="00FF2A2F" w:rsidRPr="00FF2A2F" w14:paraId="08204586" w14:textId="77777777" w:rsidTr="00912480">
        <w:trPr>
          <w:trHeight w:val="293"/>
        </w:trPr>
        <w:tc>
          <w:tcPr>
            <w:tcW w:w="1432" w:type="dxa"/>
            <w:hideMark/>
          </w:tcPr>
          <w:p w14:paraId="35EBDE5C" w14:textId="77777777" w:rsidR="0047293D" w:rsidRPr="00FF2A2F" w:rsidRDefault="0047293D" w:rsidP="0047293D">
            <w:pPr>
              <w:ind w:left="0" w:firstLine="0"/>
              <w:jc w:val="center"/>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TOTAL</w:t>
            </w:r>
          </w:p>
        </w:tc>
        <w:tc>
          <w:tcPr>
            <w:tcW w:w="1165" w:type="dxa"/>
          </w:tcPr>
          <w:p w14:paraId="34BE5267" w14:textId="64A93ED0" w:rsidR="0047293D" w:rsidRPr="00FF2A2F" w:rsidRDefault="00DC31BC"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2,000,000</w:t>
            </w:r>
          </w:p>
        </w:tc>
        <w:tc>
          <w:tcPr>
            <w:tcW w:w="1145" w:type="dxa"/>
          </w:tcPr>
          <w:p w14:paraId="046C113D" w14:textId="01CF2CC5" w:rsidR="0047293D" w:rsidRPr="00FF2A2F" w:rsidRDefault="009112DA"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2,000,000</w:t>
            </w:r>
          </w:p>
        </w:tc>
        <w:tc>
          <w:tcPr>
            <w:tcW w:w="1155" w:type="dxa"/>
          </w:tcPr>
          <w:p w14:paraId="40DE0024" w14:textId="65325977" w:rsidR="0047293D" w:rsidRPr="00FF2A2F" w:rsidRDefault="009112DA"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2,000,000</w:t>
            </w:r>
          </w:p>
        </w:tc>
        <w:tc>
          <w:tcPr>
            <w:tcW w:w="1155" w:type="dxa"/>
          </w:tcPr>
          <w:p w14:paraId="1FB83AA6" w14:textId="4EFEC570" w:rsidR="0047293D" w:rsidRPr="00FF2A2F" w:rsidRDefault="00445E9B"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2,000,000</w:t>
            </w:r>
          </w:p>
        </w:tc>
        <w:tc>
          <w:tcPr>
            <w:tcW w:w="1155" w:type="dxa"/>
          </w:tcPr>
          <w:p w14:paraId="79AEB669" w14:textId="522FA381" w:rsidR="0047293D" w:rsidRPr="00FF2A2F" w:rsidRDefault="00B35C07" w:rsidP="0047293D">
            <w:pPr>
              <w:ind w:left="0" w:firstLine="0"/>
              <w:jc w:val="right"/>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2,000,000</w:t>
            </w:r>
          </w:p>
        </w:tc>
        <w:tc>
          <w:tcPr>
            <w:tcW w:w="1482" w:type="dxa"/>
            <w:noWrap/>
          </w:tcPr>
          <w:p w14:paraId="3E98DE9E" w14:textId="57FBF3EF" w:rsidR="0047293D" w:rsidRPr="00FF2A2F" w:rsidRDefault="00735D47" w:rsidP="0047293D">
            <w:pPr>
              <w:ind w:left="0" w:firstLine="0"/>
              <w:jc w:val="right"/>
              <w:rPr>
                <w:rFonts w:ascii="Calibri" w:eastAsia="Times New Roman" w:hAnsi="Calibri" w:cs="Calibri"/>
                <w:b/>
                <w:bCs/>
                <w:color w:val="auto"/>
                <w:sz w:val="20"/>
                <w:szCs w:val="20"/>
                <w:lang w:val="en-AU" w:eastAsia="en-AU"/>
              </w:rPr>
            </w:pPr>
            <w:r w:rsidRPr="00FF2A2F">
              <w:rPr>
                <w:rFonts w:ascii="Calibri" w:eastAsia="Times New Roman" w:hAnsi="Calibri" w:cs="Calibri"/>
                <w:b/>
                <w:bCs/>
                <w:color w:val="auto"/>
                <w:sz w:val="20"/>
                <w:szCs w:val="20"/>
                <w:lang w:val="en-AU" w:eastAsia="en-AU"/>
              </w:rPr>
              <w:t>10,000,000</w:t>
            </w:r>
          </w:p>
        </w:tc>
        <w:tc>
          <w:tcPr>
            <w:tcW w:w="815" w:type="dxa"/>
          </w:tcPr>
          <w:p w14:paraId="09A132A3" w14:textId="61290C91" w:rsidR="0047293D" w:rsidRPr="00FF2A2F" w:rsidRDefault="009112DA" w:rsidP="0047293D">
            <w:pPr>
              <w:ind w:left="0" w:firstLine="0"/>
              <w:jc w:val="center"/>
              <w:rPr>
                <w:rFonts w:ascii="Calibri" w:eastAsia="Times New Roman" w:hAnsi="Calibri" w:cs="Calibri"/>
                <w:color w:val="auto"/>
                <w:sz w:val="20"/>
                <w:szCs w:val="20"/>
                <w:lang w:val="en-AU" w:eastAsia="en-AU"/>
              </w:rPr>
            </w:pPr>
            <w:r w:rsidRPr="00FF2A2F">
              <w:rPr>
                <w:rFonts w:ascii="Calibri" w:eastAsia="Times New Roman" w:hAnsi="Calibri" w:cs="Calibri"/>
                <w:color w:val="auto"/>
                <w:sz w:val="20"/>
                <w:szCs w:val="20"/>
                <w:lang w:val="en-AU" w:eastAsia="en-AU"/>
              </w:rPr>
              <w:t>100</w:t>
            </w:r>
          </w:p>
        </w:tc>
      </w:tr>
    </w:tbl>
    <w:p w14:paraId="7C1F2C33" w14:textId="195D896F" w:rsidR="004F2AF9" w:rsidRPr="00FF2A2F" w:rsidRDefault="00C77675" w:rsidP="002F5656">
      <w:pPr>
        <w:pStyle w:val="Heading2"/>
        <w:ind w:hanging="568"/>
        <w:rPr>
          <w:color w:val="auto"/>
          <w:sz w:val="32"/>
          <w:szCs w:val="32"/>
        </w:rPr>
      </w:pPr>
      <w:bookmarkStart w:id="15" w:name="_Toc214543667"/>
      <w:r w:rsidRPr="00FF2A2F">
        <w:rPr>
          <w:color w:val="auto"/>
          <w:sz w:val="32"/>
          <w:szCs w:val="32"/>
        </w:rPr>
        <w:lastRenderedPageBreak/>
        <w:t xml:space="preserve">I: </w:t>
      </w:r>
      <w:r w:rsidR="004F2AF9" w:rsidRPr="00FF2A2F">
        <w:rPr>
          <w:color w:val="auto"/>
          <w:sz w:val="32"/>
          <w:szCs w:val="32"/>
        </w:rPr>
        <w:t>Procurement and Partnering</w:t>
      </w:r>
      <w:bookmarkEnd w:id="15"/>
    </w:p>
    <w:p w14:paraId="593FC2A6" w14:textId="21E9FA9A" w:rsidR="00BB062B" w:rsidRPr="00FF2A2F" w:rsidRDefault="00786412" w:rsidP="002F5656">
      <w:pPr>
        <w:spacing w:before="120" w:line="260" w:lineRule="atLeast"/>
        <w:ind w:left="0" w:firstLine="0"/>
        <w:rPr>
          <w:color w:val="auto"/>
          <w:sz w:val="21"/>
          <w:szCs w:val="21"/>
        </w:rPr>
      </w:pPr>
      <w:r w:rsidRPr="00FF2A2F">
        <w:rPr>
          <w:color w:val="auto"/>
          <w:sz w:val="21"/>
          <w:szCs w:val="21"/>
        </w:rPr>
        <w:t>1</w:t>
      </w:r>
      <w:r w:rsidR="002F5656" w:rsidRPr="00FF2A2F">
        <w:rPr>
          <w:color w:val="auto"/>
          <w:sz w:val="21"/>
          <w:szCs w:val="21"/>
        </w:rPr>
        <w:t>60</w:t>
      </w:r>
      <w:r w:rsidR="00D55B38" w:rsidRPr="00FF2A2F">
        <w:rPr>
          <w:color w:val="auto"/>
          <w:sz w:val="21"/>
          <w:szCs w:val="21"/>
        </w:rPr>
        <w:t>.</w:t>
      </w:r>
      <w:r w:rsidR="002F5656" w:rsidRPr="00FF2A2F">
        <w:rPr>
          <w:color w:val="auto"/>
          <w:sz w:val="21"/>
          <w:szCs w:val="21"/>
        </w:rPr>
        <w:t xml:space="preserve"> </w:t>
      </w:r>
      <w:r w:rsidR="00E15B21" w:rsidRPr="00FF2A2F">
        <w:rPr>
          <w:color w:val="auto"/>
          <w:sz w:val="21"/>
          <w:szCs w:val="21"/>
        </w:rPr>
        <w:t>Post</w:t>
      </w:r>
      <w:r w:rsidR="00BB18F1" w:rsidRPr="00FF2A2F">
        <w:rPr>
          <w:color w:val="auto"/>
          <w:sz w:val="21"/>
          <w:szCs w:val="21"/>
        </w:rPr>
        <w:t xml:space="preserve"> will procure an </w:t>
      </w:r>
      <w:r w:rsidR="00FC4CD8" w:rsidRPr="00FF2A2F">
        <w:rPr>
          <w:color w:val="auto"/>
          <w:sz w:val="21"/>
          <w:szCs w:val="21"/>
        </w:rPr>
        <w:t xml:space="preserve">implementing partner </w:t>
      </w:r>
      <w:r w:rsidR="00BB18F1" w:rsidRPr="00FF2A2F">
        <w:rPr>
          <w:color w:val="auto"/>
          <w:sz w:val="21"/>
          <w:szCs w:val="21"/>
        </w:rPr>
        <w:t>through a competitive open tender process to deliver the investment</w:t>
      </w:r>
      <w:r w:rsidR="00FC4CD8" w:rsidRPr="00FF2A2F">
        <w:rPr>
          <w:color w:val="auto"/>
          <w:sz w:val="21"/>
          <w:szCs w:val="21"/>
        </w:rPr>
        <w:t>’s MEL, GEDSI and due diligence services</w:t>
      </w:r>
      <w:r w:rsidR="00BB18F1" w:rsidRPr="00FF2A2F">
        <w:rPr>
          <w:color w:val="auto"/>
          <w:sz w:val="21"/>
          <w:szCs w:val="21"/>
        </w:rPr>
        <w:t xml:space="preserve"> in compliance with the Commonwealth Procurement Rules (CPRs). </w:t>
      </w:r>
      <w:r w:rsidR="0027482C" w:rsidRPr="00FF2A2F">
        <w:rPr>
          <w:color w:val="auto"/>
          <w:sz w:val="21"/>
          <w:szCs w:val="21"/>
        </w:rPr>
        <w:t>Contracted s</w:t>
      </w:r>
      <w:r w:rsidR="00BB18F1" w:rsidRPr="00FF2A2F">
        <w:rPr>
          <w:color w:val="auto"/>
          <w:sz w:val="21"/>
          <w:szCs w:val="21"/>
        </w:rPr>
        <w:t>ervices</w:t>
      </w:r>
      <w:r w:rsidR="0027482C" w:rsidRPr="00FF2A2F">
        <w:rPr>
          <w:color w:val="auto"/>
          <w:sz w:val="21"/>
          <w:szCs w:val="21"/>
        </w:rPr>
        <w:t xml:space="preserve"> are described </w:t>
      </w:r>
      <w:r w:rsidR="00BB18F1" w:rsidRPr="00FF2A2F">
        <w:rPr>
          <w:color w:val="auto"/>
          <w:sz w:val="21"/>
          <w:szCs w:val="21"/>
        </w:rPr>
        <w:t>in the</w:t>
      </w:r>
      <w:r w:rsidR="00E15B21" w:rsidRPr="00FF2A2F">
        <w:rPr>
          <w:color w:val="auto"/>
          <w:sz w:val="21"/>
          <w:szCs w:val="21"/>
        </w:rPr>
        <w:t xml:space="preserve"> investment’s</w:t>
      </w:r>
      <w:r w:rsidR="00BB18F1" w:rsidRPr="00FF2A2F">
        <w:rPr>
          <w:color w:val="auto"/>
          <w:sz w:val="21"/>
          <w:szCs w:val="21"/>
        </w:rPr>
        <w:t xml:space="preserve"> Statement of Requirements (</w:t>
      </w:r>
      <w:r w:rsidR="0027482C" w:rsidRPr="00FF2A2F">
        <w:rPr>
          <w:color w:val="auto"/>
          <w:sz w:val="21"/>
          <w:szCs w:val="21"/>
        </w:rPr>
        <w:t>under development)</w:t>
      </w:r>
      <w:r w:rsidR="00BB18F1" w:rsidRPr="00FF2A2F">
        <w:rPr>
          <w:color w:val="auto"/>
          <w:sz w:val="21"/>
          <w:szCs w:val="21"/>
        </w:rPr>
        <w:t xml:space="preserve"> through a Deed and Service Order model. </w:t>
      </w:r>
    </w:p>
    <w:p w14:paraId="0BB3C58B" w14:textId="2DFB72BB" w:rsidR="00BB062B" w:rsidRPr="00FF2A2F" w:rsidRDefault="00786412" w:rsidP="002F5656">
      <w:pPr>
        <w:spacing w:before="120" w:line="260" w:lineRule="atLeast"/>
        <w:ind w:left="0" w:firstLine="0"/>
        <w:rPr>
          <w:color w:val="auto"/>
          <w:sz w:val="21"/>
          <w:szCs w:val="21"/>
        </w:rPr>
      </w:pPr>
      <w:r w:rsidRPr="00FF2A2F">
        <w:rPr>
          <w:color w:val="auto"/>
          <w:sz w:val="21"/>
          <w:szCs w:val="21"/>
        </w:rPr>
        <w:t>1</w:t>
      </w:r>
      <w:r w:rsidR="002F5656" w:rsidRPr="00FF2A2F">
        <w:rPr>
          <w:color w:val="auto"/>
          <w:sz w:val="21"/>
          <w:szCs w:val="21"/>
        </w:rPr>
        <w:t>61</w:t>
      </w:r>
      <w:r w:rsidR="00D55B38" w:rsidRPr="00FF2A2F">
        <w:rPr>
          <w:color w:val="auto"/>
          <w:sz w:val="21"/>
          <w:szCs w:val="21"/>
        </w:rPr>
        <w:t>.</w:t>
      </w:r>
      <w:r w:rsidR="002F5656" w:rsidRPr="00FF2A2F">
        <w:rPr>
          <w:color w:val="auto"/>
          <w:sz w:val="21"/>
          <w:szCs w:val="21"/>
        </w:rPr>
        <w:t xml:space="preserve"> </w:t>
      </w:r>
      <w:r w:rsidR="00511173" w:rsidRPr="00FF2A2F">
        <w:rPr>
          <w:color w:val="auto"/>
          <w:sz w:val="21"/>
          <w:szCs w:val="21"/>
        </w:rPr>
        <w:t xml:space="preserve">Post </w:t>
      </w:r>
      <w:r w:rsidR="00BB18F1" w:rsidRPr="00FF2A2F">
        <w:rPr>
          <w:color w:val="auto"/>
          <w:sz w:val="21"/>
          <w:szCs w:val="21"/>
        </w:rPr>
        <w:t xml:space="preserve">will look to use procurement </w:t>
      </w:r>
      <w:r w:rsidR="00C22E01" w:rsidRPr="00FF2A2F">
        <w:rPr>
          <w:color w:val="auto"/>
          <w:sz w:val="21"/>
          <w:szCs w:val="21"/>
        </w:rPr>
        <w:t>to</w:t>
      </w:r>
      <w:r w:rsidR="00BB18F1" w:rsidRPr="00FF2A2F">
        <w:rPr>
          <w:color w:val="auto"/>
          <w:sz w:val="21"/>
          <w:szCs w:val="21"/>
        </w:rPr>
        <w:t xml:space="preserve"> address inequalities by promoting local, disability-inclusive, gender-responsive, and First Nations’ procurement. </w:t>
      </w:r>
      <w:r w:rsidR="0034300D" w:rsidRPr="00FF2A2F">
        <w:rPr>
          <w:color w:val="auto"/>
          <w:sz w:val="21"/>
          <w:szCs w:val="21"/>
        </w:rPr>
        <w:t>Post</w:t>
      </w:r>
      <w:r w:rsidR="00822D80" w:rsidRPr="00FF2A2F">
        <w:rPr>
          <w:color w:val="auto"/>
          <w:sz w:val="21"/>
          <w:szCs w:val="21"/>
        </w:rPr>
        <w:t xml:space="preserve"> may </w:t>
      </w:r>
      <w:r w:rsidR="00AB58F4" w:rsidRPr="00FF2A2F">
        <w:rPr>
          <w:color w:val="auto"/>
          <w:sz w:val="21"/>
          <w:szCs w:val="21"/>
        </w:rPr>
        <w:t xml:space="preserve">from time to time procure specific technical </w:t>
      </w:r>
      <w:r w:rsidR="006B0189" w:rsidRPr="00FF2A2F">
        <w:rPr>
          <w:color w:val="auto"/>
          <w:sz w:val="21"/>
          <w:szCs w:val="21"/>
        </w:rPr>
        <w:t xml:space="preserve">advice such </w:t>
      </w:r>
      <w:r w:rsidR="008D485B" w:rsidRPr="00FF2A2F">
        <w:rPr>
          <w:color w:val="auto"/>
          <w:sz w:val="21"/>
          <w:szCs w:val="21"/>
        </w:rPr>
        <w:t xml:space="preserve">evaluation </w:t>
      </w:r>
      <w:r w:rsidR="006B0189" w:rsidRPr="00FF2A2F">
        <w:rPr>
          <w:color w:val="auto"/>
          <w:sz w:val="21"/>
          <w:szCs w:val="21"/>
        </w:rPr>
        <w:t>services</w:t>
      </w:r>
      <w:r w:rsidR="009E29CB" w:rsidRPr="00FF2A2F">
        <w:rPr>
          <w:color w:val="auto"/>
          <w:sz w:val="21"/>
          <w:szCs w:val="21"/>
        </w:rPr>
        <w:t xml:space="preserve"> from the DFAT Panel</w:t>
      </w:r>
      <w:r w:rsidR="00C25E8F" w:rsidRPr="00FF2A2F">
        <w:rPr>
          <w:color w:val="auto"/>
          <w:sz w:val="21"/>
          <w:szCs w:val="21"/>
        </w:rPr>
        <w:t xml:space="preserve"> or by going out to market</w:t>
      </w:r>
      <w:r w:rsidR="006B0189" w:rsidRPr="00FF2A2F">
        <w:rPr>
          <w:color w:val="auto"/>
          <w:sz w:val="21"/>
          <w:szCs w:val="21"/>
        </w:rPr>
        <w:t xml:space="preserve">. </w:t>
      </w:r>
      <w:r w:rsidR="002149A5" w:rsidRPr="00FF2A2F">
        <w:rPr>
          <w:color w:val="auto"/>
          <w:sz w:val="21"/>
          <w:szCs w:val="21"/>
        </w:rPr>
        <w:t xml:space="preserve">This will be done </w:t>
      </w:r>
      <w:r w:rsidR="009E29CB" w:rsidRPr="00FF2A2F">
        <w:rPr>
          <w:color w:val="auto"/>
          <w:sz w:val="21"/>
          <w:szCs w:val="21"/>
        </w:rPr>
        <w:t xml:space="preserve">through a Service Order model with tasking </w:t>
      </w:r>
      <w:r w:rsidR="00DA12CE" w:rsidRPr="00FF2A2F">
        <w:rPr>
          <w:color w:val="auto"/>
          <w:sz w:val="21"/>
          <w:szCs w:val="21"/>
        </w:rPr>
        <w:t xml:space="preserve">notes or a </w:t>
      </w:r>
      <w:proofErr w:type="gramStart"/>
      <w:r w:rsidR="00DA12CE" w:rsidRPr="00FF2A2F">
        <w:rPr>
          <w:color w:val="auto"/>
          <w:sz w:val="21"/>
          <w:szCs w:val="21"/>
        </w:rPr>
        <w:t>terms of reference</w:t>
      </w:r>
      <w:proofErr w:type="gramEnd"/>
      <w:r w:rsidR="00DA12CE" w:rsidRPr="00FF2A2F">
        <w:rPr>
          <w:color w:val="auto"/>
          <w:sz w:val="21"/>
          <w:szCs w:val="21"/>
        </w:rPr>
        <w:t xml:space="preserve"> as appropriate</w:t>
      </w:r>
      <w:r w:rsidR="00C25E8F" w:rsidRPr="00FF2A2F">
        <w:rPr>
          <w:color w:val="auto"/>
          <w:sz w:val="21"/>
          <w:szCs w:val="21"/>
        </w:rPr>
        <w:t xml:space="preserve">. </w:t>
      </w:r>
    </w:p>
    <w:p w14:paraId="211EAEF8" w14:textId="226D40EF" w:rsidR="00EA67FB" w:rsidRPr="00FF2A2F" w:rsidRDefault="00786412" w:rsidP="002F5656">
      <w:pPr>
        <w:spacing w:before="120" w:line="260" w:lineRule="atLeast"/>
        <w:ind w:left="0" w:firstLine="0"/>
        <w:rPr>
          <w:color w:val="auto"/>
          <w:sz w:val="21"/>
          <w:szCs w:val="21"/>
        </w:rPr>
      </w:pPr>
      <w:r w:rsidRPr="00FF2A2F">
        <w:rPr>
          <w:color w:val="auto"/>
          <w:sz w:val="21"/>
          <w:szCs w:val="21"/>
        </w:rPr>
        <w:t>1</w:t>
      </w:r>
      <w:r w:rsidR="002F5656" w:rsidRPr="00FF2A2F">
        <w:rPr>
          <w:color w:val="auto"/>
          <w:sz w:val="21"/>
          <w:szCs w:val="21"/>
        </w:rPr>
        <w:t>62</w:t>
      </w:r>
      <w:r w:rsidR="00D55B38" w:rsidRPr="00FF2A2F">
        <w:rPr>
          <w:color w:val="auto"/>
          <w:sz w:val="21"/>
          <w:szCs w:val="21"/>
        </w:rPr>
        <w:t>.</w:t>
      </w:r>
      <w:r w:rsidR="00C25E8F" w:rsidRPr="00FF2A2F">
        <w:rPr>
          <w:color w:val="auto"/>
          <w:sz w:val="21"/>
          <w:szCs w:val="21"/>
        </w:rPr>
        <w:t xml:space="preserve">Post will continue to </w:t>
      </w:r>
      <w:r w:rsidR="00F71EB7" w:rsidRPr="00FF2A2F">
        <w:rPr>
          <w:color w:val="auto"/>
          <w:sz w:val="21"/>
          <w:szCs w:val="21"/>
        </w:rPr>
        <w:t>provide</w:t>
      </w:r>
      <w:r w:rsidR="00C22E01" w:rsidRPr="00FF2A2F">
        <w:rPr>
          <w:color w:val="auto"/>
          <w:sz w:val="21"/>
          <w:szCs w:val="21"/>
        </w:rPr>
        <w:t xml:space="preserve"> support</w:t>
      </w:r>
      <w:r w:rsidR="00F71EB7" w:rsidRPr="00FF2A2F">
        <w:rPr>
          <w:color w:val="auto"/>
          <w:sz w:val="21"/>
          <w:szCs w:val="21"/>
        </w:rPr>
        <w:t xml:space="preserve"> to the NDRMO and other government agencies through </w:t>
      </w:r>
      <w:r w:rsidR="003E0630" w:rsidRPr="00FF2A2F">
        <w:rPr>
          <w:color w:val="auto"/>
          <w:sz w:val="21"/>
          <w:szCs w:val="21"/>
        </w:rPr>
        <w:t xml:space="preserve">already </w:t>
      </w:r>
      <w:r w:rsidR="00F71EB7" w:rsidRPr="00FF2A2F">
        <w:rPr>
          <w:color w:val="auto"/>
          <w:sz w:val="21"/>
          <w:szCs w:val="21"/>
        </w:rPr>
        <w:t xml:space="preserve">established </w:t>
      </w:r>
      <w:r w:rsidR="004C5925" w:rsidRPr="00FF2A2F">
        <w:rPr>
          <w:color w:val="auto"/>
          <w:sz w:val="21"/>
          <w:szCs w:val="21"/>
        </w:rPr>
        <w:t>investments</w:t>
      </w:r>
      <w:r w:rsidR="003E0630" w:rsidRPr="00FF2A2F">
        <w:rPr>
          <w:color w:val="auto"/>
          <w:sz w:val="21"/>
          <w:szCs w:val="21"/>
        </w:rPr>
        <w:t xml:space="preserve"> separate to the investment</w:t>
      </w:r>
      <w:r w:rsidR="00593962" w:rsidRPr="00FF2A2F">
        <w:rPr>
          <w:color w:val="auto"/>
          <w:sz w:val="21"/>
          <w:szCs w:val="21"/>
        </w:rPr>
        <w:t>.</w:t>
      </w:r>
      <w:r w:rsidR="00EA67FB" w:rsidRPr="00FF2A2F">
        <w:rPr>
          <w:color w:val="auto"/>
          <w:sz w:val="21"/>
          <w:szCs w:val="21"/>
        </w:rPr>
        <w:t xml:space="preserve"> As this investment increases direct financing to the NDRMO Post will procure a</w:t>
      </w:r>
      <w:r w:rsidR="00593962" w:rsidRPr="00FF2A2F">
        <w:rPr>
          <w:color w:val="auto"/>
          <w:sz w:val="21"/>
          <w:szCs w:val="21"/>
        </w:rPr>
        <w:t xml:space="preserve"> </w:t>
      </w:r>
      <w:r w:rsidR="00EA67FB" w:rsidRPr="00FF2A2F">
        <w:rPr>
          <w:color w:val="auto"/>
          <w:sz w:val="21"/>
          <w:szCs w:val="21"/>
        </w:rPr>
        <w:t xml:space="preserve">fiduciary risk assessment of NDRMO to </w:t>
      </w:r>
      <w:r w:rsidR="00593962" w:rsidRPr="00FF2A2F">
        <w:rPr>
          <w:color w:val="auto"/>
          <w:sz w:val="21"/>
          <w:szCs w:val="21"/>
        </w:rPr>
        <w:t>assesse</w:t>
      </w:r>
      <w:r w:rsidR="00EA67FB" w:rsidRPr="00FF2A2F">
        <w:rPr>
          <w:color w:val="auto"/>
          <w:sz w:val="21"/>
          <w:szCs w:val="21"/>
        </w:rPr>
        <w:t>s risks in their financial governance processes and identify safeguards and risk mitigation strategies, controls and treatments needed within the Direct Financing Agreement with NDRMO to ensure financial accountability is robust and there is an effective use of public resources.</w:t>
      </w:r>
    </w:p>
    <w:p w14:paraId="7731A9E3" w14:textId="0F7BFF9E" w:rsidR="004F2AF9" w:rsidRPr="00FF2A2F" w:rsidRDefault="00C77675" w:rsidP="002F5656">
      <w:pPr>
        <w:pStyle w:val="Heading2"/>
        <w:spacing w:before="240"/>
        <w:ind w:left="0" w:firstLine="0"/>
        <w:rPr>
          <w:color w:val="auto"/>
          <w:sz w:val="32"/>
          <w:szCs w:val="32"/>
        </w:rPr>
      </w:pPr>
      <w:bookmarkStart w:id="16" w:name="_Toc214543668"/>
      <w:r w:rsidRPr="00FF2A2F">
        <w:rPr>
          <w:color w:val="auto"/>
          <w:sz w:val="32"/>
          <w:szCs w:val="32"/>
        </w:rPr>
        <w:t xml:space="preserve">J: </w:t>
      </w:r>
      <w:r w:rsidR="004F2AF9" w:rsidRPr="00FF2A2F">
        <w:rPr>
          <w:color w:val="auto"/>
          <w:sz w:val="32"/>
          <w:szCs w:val="32"/>
        </w:rPr>
        <w:t>Risk Management and Safeguards</w:t>
      </w:r>
      <w:bookmarkEnd w:id="16"/>
    </w:p>
    <w:p w14:paraId="67C202A0" w14:textId="6AD14458" w:rsidR="004E0E7A" w:rsidRPr="00FF2A2F" w:rsidRDefault="00786412" w:rsidP="002F5656">
      <w:pPr>
        <w:spacing w:before="120" w:line="260" w:lineRule="atLeast"/>
        <w:ind w:left="0" w:firstLine="0"/>
        <w:rPr>
          <w:color w:val="auto"/>
          <w:sz w:val="21"/>
          <w:szCs w:val="21"/>
        </w:rPr>
      </w:pPr>
      <w:r w:rsidRPr="00FF2A2F">
        <w:rPr>
          <w:color w:val="auto"/>
        </w:rPr>
        <w:t>1</w:t>
      </w:r>
      <w:r w:rsidR="002F5656" w:rsidRPr="00FF2A2F">
        <w:rPr>
          <w:color w:val="auto"/>
        </w:rPr>
        <w:t>63</w:t>
      </w:r>
      <w:r w:rsidR="00D55B38" w:rsidRPr="00FF2A2F">
        <w:rPr>
          <w:color w:val="auto"/>
        </w:rPr>
        <w:t>.</w:t>
      </w:r>
      <w:r w:rsidR="003918BA" w:rsidRPr="00FF2A2F">
        <w:rPr>
          <w:color w:val="auto"/>
        </w:rPr>
        <w:t>The investment</w:t>
      </w:r>
      <w:r w:rsidR="0034300D" w:rsidRPr="00FF2A2F">
        <w:rPr>
          <w:color w:val="auto"/>
        </w:rPr>
        <w:t>’</w:t>
      </w:r>
      <w:r w:rsidR="003918BA" w:rsidRPr="00FF2A2F">
        <w:rPr>
          <w:color w:val="auto"/>
        </w:rPr>
        <w:t>s</w:t>
      </w:r>
      <w:r w:rsidR="00797AA5" w:rsidRPr="00FF2A2F">
        <w:rPr>
          <w:color w:val="auto"/>
        </w:rPr>
        <w:t xml:space="preserve"> approach to risk management is guided by the Australian Government’s Development Risk Management Policy and Practice Notes (August 2023) and complies with the:  </w:t>
      </w:r>
    </w:p>
    <w:p w14:paraId="7C4649A9" w14:textId="77777777" w:rsidR="00797AA5" w:rsidRPr="00FF2A2F" w:rsidRDefault="00797AA5" w:rsidP="00414D71">
      <w:pPr>
        <w:pStyle w:val="paragraph"/>
        <w:numPr>
          <w:ilvl w:val="0"/>
          <w:numId w:val="12"/>
        </w:numPr>
        <w:tabs>
          <w:tab w:val="clear" w:pos="720"/>
          <w:tab w:val="num" w:pos="1156"/>
        </w:tabs>
        <w:spacing w:before="120" w:beforeAutospacing="0" w:after="60" w:afterAutospacing="0" w:line="260" w:lineRule="atLeast"/>
        <w:ind w:firstLine="0"/>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 xml:space="preserve">Governance, Performance and Accountability Act 2013 </w:t>
      </w:r>
      <w:proofErr w:type="spellStart"/>
      <w:r w:rsidRPr="00FF2A2F">
        <w:rPr>
          <w:rStyle w:val="normaltextrun"/>
          <w:rFonts w:asciiTheme="minorHAnsi" w:hAnsiTheme="minorHAnsi" w:cstheme="minorHAnsi"/>
          <w:sz w:val="21"/>
          <w:szCs w:val="21"/>
        </w:rPr>
        <w:t>Cth</w:t>
      </w:r>
      <w:proofErr w:type="spellEnd"/>
      <w:r w:rsidRPr="00FF2A2F">
        <w:rPr>
          <w:rStyle w:val="normaltextrun"/>
          <w:rFonts w:asciiTheme="minorHAnsi" w:hAnsiTheme="minorHAnsi" w:cstheme="minorHAnsi"/>
          <w:sz w:val="21"/>
          <w:szCs w:val="21"/>
        </w:rPr>
        <w:t xml:space="preserve"> (section 16) (the ‘PGPA Act’).</w:t>
      </w:r>
      <w:r w:rsidRPr="00FF2A2F">
        <w:rPr>
          <w:rStyle w:val="eop"/>
          <w:rFonts w:asciiTheme="minorHAnsi" w:hAnsiTheme="minorHAnsi" w:cstheme="minorHAnsi"/>
          <w:sz w:val="21"/>
          <w:szCs w:val="21"/>
        </w:rPr>
        <w:t> </w:t>
      </w:r>
    </w:p>
    <w:p w14:paraId="2F84DCDE" w14:textId="77777777" w:rsidR="00797AA5" w:rsidRPr="00FF2A2F" w:rsidRDefault="00797AA5" w:rsidP="00414D71">
      <w:pPr>
        <w:pStyle w:val="paragraph"/>
        <w:numPr>
          <w:ilvl w:val="0"/>
          <w:numId w:val="13"/>
        </w:numPr>
        <w:tabs>
          <w:tab w:val="clear" w:pos="720"/>
          <w:tab w:val="num" w:pos="1156"/>
        </w:tabs>
        <w:spacing w:before="120" w:beforeAutospacing="0" w:after="60" w:afterAutospacing="0" w:line="260" w:lineRule="atLeast"/>
        <w:ind w:firstLine="0"/>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Commonwealth Risk Management Policy 2023.</w:t>
      </w:r>
      <w:r w:rsidRPr="00FF2A2F">
        <w:rPr>
          <w:rStyle w:val="eop"/>
          <w:rFonts w:asciiTheme="minorHAnsi" w:hAnsiTheme="minorHAnsi" w:cstheme="minorHAnsi"/>
          <w:sz w:val="21"/>
          <w:szCs w:val="21"/>
        </w:rPr>
        <w:t> </w:t>
      </w:r>
    </w:p>
    <w:p w14:paraId="171A0FE3" w14:textId="77777777" w:rsidR="00797AA5" w:rsidRPr="00FF2A2F" w:rsidRDefault="00797AA5" w:rsidP="00414D71">
      <w:pPr>
        <w:pStyle w:val="paragraph"/>
        <w:numPr>
          <w:ilvl w:val="0"/>
          <w:numId w:val="14"/>
        </w:numPr>
        <w:tabs>
          <w:tab w:val="clear" w:pos="720"/>
          <w:tab w:val="num" w:pos="1156"/>
        </w:tabs>
        <w:spacing w:before="120" w:beforeAutospacing="0" w:after="60" w:afterAutospacing="0" w:line="260" w:lineRule="atLeast"/>
        <w:ind w:firstLine="0"/>
        <w:textAlignment w:val="baseline"/>
        <w:rPr>
          <w:rStyle w:val="eop"/>
          <w:rFonts w:asciiTheme="minorHAnsi" w:hAnsiTheme="minorHAnsi" w:cstheme="minorHAnsi"/>
          <w:sz w:val="21"/>
          <w:szCs w:val="21"/>
        </w:rPr>
      </w:pPr>
      <w:r w:rsidRPr="00FF2A2F">
        <w:rPr>
          <w:rStyle w:val="normaltextrun"/>
          <w:rFonts w:asciiTheme="minorHAnsi" w:hAnsiTheme="minorHAnsi" w:cstheme="minorHAnsi"/>
          <w:sz w:val="21"/>
          <w:szCs w:val="21"/>
        </w:rPr>
        <w:t>International Organization for Standardization (ISO) (31000:2018) Risk Management Guidelines.</w:t>
      </w:r>
      <w:r w:rsidRPr="00FF2A2F">
        <w:rPr>
          <w:rStyle w:val="eop"/>
          <w:rFonts w:asciiTheme="minorHAnsi" w:hAnsiTheme="minorHAnsi" w:cstheme="minorHAnsi"/>
          <w:sz w:val="21"/>
          <w:szCs w:val="21"/>
        </w:rPr>
        <w:t> </w:t>
      </w:r>
    </w:p>
    <w:p w14:paraId="5DE025C5" w14:textId="6BA21EE7" w:rsidR="00797AA5" w:rsidRPr="00FF2A2F" w:rsidRDefault="00786412" w:rsidP="002F5656">
      <w:pPr>
        <w:spacing w:before="120" w:line="260" w:lineRule="atLeast"/>
        <w:ind w:left="0" w:firstLine="0"/>
        <w:rPr>
          <w:color w:val="auto"/>
        </w:rPr>
      </w:pPr>
      <w:r w:rsidRPr="00FF2A2F">
        <w:rPr>
          <w:color w:val="auto"/>
        </w:rPr>
        <w:t>1</w:t>
      </w:r>
      <w:r w:rsidR="002F5656" w:rsidRPr="00FF2A2F">
        <w:rPr>
          <w:color w:val="auto"/>
        </w:rPr>
        <w:t xml:space="preserve">64. </w:t>
      </w:r>
      <w:r w:rsidR="00797AA5" w:rsidRPr="00FF2A2F">
        <w:rPr>
          <w:color w:val="auto"/>
        </w:rPr>
        <w:t xml:space="preserve">In accordance with the above policy, </w:t>
      </w:r>
      <w:bookmarkStart w:id="17" w:name="_Hlk206090591"/>
      <w:r w:rsidR="00797AA5" w:rsidRPr="00FF2A2F">
        <w:rPr>
          <w:color w:val="auto"/>
        </w:rPr>
        <w:t xml:space="preserve">all </w:t>
      </w:r>
      <w:r w:rsidR="003918BA" w:rsidRPr="00FF2A2F">
        <w:rPr>
          <w:color w:val="auto"/>
        </w:rPr>
        <w:t xml:space="preserve">investment </w:t>
      </w:r>
      <w:r w:rsidR="00797AA5" w:rsidRPr="00FF2A2F">
        <w:rPr>
          <w:color w:val="auto"/>
        </w:rPr>
        <w:t xml:space="preserve">risk and control measures are captured in a single risk register and will be guided by a risk management plan (including fraud control plan) to be developed by </w:t>
      </w:r>
      <w:r w:rsidR="004E0E7A" w:rsidRPr="00FF2A2F">
        <w:rPr>
          <w:color w:val="auto"/>
        </w:rPr>
        <w:t xml:space="preserve">DFAT </w:t>
      </w:r>
      <w:r w:rsidR="00797AA5" w:rsidRPr="00FF2A2F">
        <w:rPr>
          <w:color w:val="auto"/>
        </w:rPr>
        <w:t>in the inception phase</w:t>
      </w:r>
      <w:r w:rsidR="008D2B3D" w:rsidRPr="00FF2A2F">
        <w:rPr>
          <w:color w:val="auto"/>
        </w:rPr>
        <w:t xml:space="preserve">. </w:t>
      </w:r>
      <w:r w:rsidR="00797AA5" w:rsidRPr="00FF2A2F">
        <w:rPr>
          <w:color w:val="auto"/>
        </w:rPr>
        <w:t>The</w:t>
      </w:r>
      <w:r w:rsidR="001F22D3" w:rsidRPr="00FF2A2F">
        <w:rPr>
          <w:color w:val="auto"/>
        </w:rPr>
        <w:t xml:space="preserve"> current</w:t>
      </w:r>
      <w:r w:rsidR="00797AA5" w:rsidRPr="00FF2A2F">
        <w:rPr>
          <w:color w:val="auto"/>
        </w:rPr>
        <w:t xml:space="preserve"> </w:t>
      </w:r>
      <w:r w:rsidR="00712330" w:rsidRPr="00FF2A2F">
        <w:rPr>
          <w:color w:val="auto"/>
        </w:rPr>
        <w:t>R</w:t>
      </w:r>
      <w:r w:rsidR="00797AA5" w:rsidRPr="00FF2A2F">
        <w:rPr>
          <w:color w:val="auto"/>
        </w:rPr>
        <w:t xml:space="preserve">isk </w:t>
      </w:r>
      <w:r w:rsidR="00712330" w:rsidRPr="00FF2A2F">
        <w:rPr>
          <w:color w:val="auto"/>
        </w:rPr>
        <w:t>R</w:t>
      </w:r>
      <w:r w:rsidR="00797AA5" w:rsidRPr="00FF2A2F">
        <w:rPr>
          <w:color w:val="auto"/>
        </w:rPr>
        <w:t xml:space="preserve">egister </w:t>
      </w:r>
      <w:r w:rsidR="001F22D3" w:rsidRPr="00FF2A2F">
        <w:rPr>
          <w:color w:val="auto"/>
        </w:rPr>
        <w:t xml:space="preserve">at </w:t>
      </w:r>
      <w:r w:rsidR="00712330" w:rsidRPr="00FF2A2F">
        <w:rPr>
          <w:color w:val="auto"/>
        </w:rPr>
        <w:t>D</w:t>
      </w:r>
      <w:r w:rsidR="001F22D3" w:rsidRPr="00FF2A2F">
        <w:rPr>
          <w:color w:val="auto"/>
        </w:rPr>
        <w:t xml:space="preserve">esign </w:t>
      </w:r>
      <w:r w:rsidR="00797AA5" w:rsidRPr="00FF2A2F">
        <w:rPr>
          <w:color w:val="auto"/>
        </w:rPr>
        <w:t xml:space="preserve">has been developed with </w:t>
      </w:r>
      <w:r w:rsidR="0034300D" w:rsidRPr="00FF2A2F">
        <w:rPr>
          <w:color w:val="auto"/>
        </w:rPr>
        <w:t>Post</w:t>
      </w:r>
      <w:r w:rsidR="002F3CA3" w:rsidRPr="00FF2A2F">
        <w:rPr>
          <w:color w:val="auto"/>
        </w:rPr>
        <w:t xml:space="preserve"> a</w:t>
      </w:r>
      <w:r w:rsidR="00797AA5" w:rsidRPr="00FF2A2F">
        <w:rPr>
          <w:color w:val="auto"/>
        </w:rPr>
        <w:t xml:space="preserve">nd draws on a) current experience implementing </w:t>
      </w:r>
      <w:r w:rsidR="00683E41" w:rsidRPr="00FF2A2F">
        <w:rPr>
          <w:color w:val="auto"/>
        </w:rPr>
        <w:t xml:space="preserve">humanitarian </w:t>
      </w:r>
      <w:r w:rsidR="00C15864" w:rsidRPr="00FF2A2F">
        <w:rPr>
          <w:color w:val="auto"/>
        </w:rPr>
        <w:t>preparedness and response programs</w:t>
      </w:r>
      <w:r w:rsidR="00797AA5" w:rsidRPr="00FF2A2F">
        <w:rPr>
          <w:color w:val="auto"/>
        </w:rPr>
        <w:t xml:space="preserve"> </w:t>
      </w:r>
      <w:r w:rsidR="002F3CA3" w:rsidRPr="00FF2A2F">
        <w:rPr>
          <w:color w:val="auto"/>
        </w:rPr>
        <w:t xml:space="preserve">in Tonga </w:t>
      </w:r>
      <w:r w:rsidR="00797AA5" w:rsidRPr="00FF2A2F">
        <w:rPr>
          <w:color w:val="auto"/>
        </w:rPr>
        <w:t xml:space="preserve">and b) analysis in this IDD. The risk register was developed using the Australian Government’s Risk Factors Screening Tool template with </w:t>
      </w:r>
      <w:r w:rsidR="003918BA" w:rsidRPr="00FF2A2F">
        <w:rPr>
          <w:color w:val="auto"/>
        </w:rPr>
        <w:t xml:space="preserve">the investment </w:t>
      </w:r>
      <w:r w:rsidR="00797AA5" w:rsidRPr="00FF2A2F">
        <w:rPr>
          <w:color w:val="auto"/>
        </w:rPr>
        <w:t xml:space="preserve">currently having a </w:t>
      </w:r>
      <w:r w:rsidR="00BB7BD3" w:rsidRPr="00FF2A2F">
        <w:rPr>
          <w:color w:val="auto"/>
        </w:rPr>
        <w:t>high</w:t>
      </w:r>
      <w:r w:rsidR="00797AA5" w:rsidRPr="00FF2A2F">
        <w:rPr>
          <w:color w:val="auto"/>
        </w:rPr>
        <w:t xml:space="preserve"> ‘inherent’ and a </w:t>
      </w:r>
      <w:r w:rsidR="52E28B7E" w:rsidRPr="00FF2A2F">
        <w:rPr>
          <w:color w:val="auto"/>
        </w:rPr>
        <w:t>medium</w:t>
      </w:r>
      <w:r w:rsidR="00C15864" w:rsidRPr="00FF2A2F">
        <w:rPr>
          <w:color w:val="auto"/>
        </w:rPr>
        <w:t xml:space="preserve"> </w:t>
      </w:r>
      <w:r w:rsidR="00797AA5" w:rsidRPr="00FF2A2F">
        <w:rPr>
          <w:color w:val="auto"/>
        </w:rPr>
        <w:t>‘residual’ risk profile.   </w:t>
      </w:r>
    </w:p>
    <w:p w14:paraId="7B15DA25" w14:textId="0F5F03B0" w:rsidR="00797AA5" w:rsidRPr="00FF2A2F" w:rsidRDefault="00786412" w:rsidP="002F5656">
      <w:pPr>
        <w:spacing w:before="120" w:line="260" w:lineRule="atLeast"/>
        <w:ind w:left="0" w:firstLine="0"/>
        <w:rPr>
          <w:color w:val="auto"/>
        </w:rPr>
      </w:pPr>
      <w:r w:rsidRPr="00FF2A2F">
        <w:rPr>
          <w:color w:val="auto"/>
        </w:rPr>
        <w:t>1</w:t>
      </w:r>
      <w:r w:rsidR="002F5656" w:rsidRPr="00FF2A2F">
        <w:rPr>
          <w:color w:val="auto"/>
        </w:rPr>
        <w:t>65</w:t>
      </w:r>
      <w:r w:rsidR="00D55B38" w:rsidRPr="00FF2A2F">
        <w:rPr>
          <w:color w:val="auto"/>
        </w:rPr>
        <w:t>.</w:t>
      </w:r>
      <w:r w:rsidR="00797AA5" w:rsidRPr="00FF2A2F">
        <w:rPr>
          <w:color w:val="auto"/>
        </w:rPr>
        <w:t xml:space="preserve">The risk register currently identifies </w:t>
      </w:r>
      <w:r w:rsidR="00267F15" w:rsidRPr="00FF2A2F">
        <w:rPr>
          <w:color w:val="auto"/>
        </w:rPr>
        <w:t>1</w:t>
      </w:r>
      <w:r w:rsidR="002174FF" w:rsidRPr="00FF2A2F">
        <w:rPr>
          <w:color w:val="auto"/>
        </w:rPr>
        <w:t>4</w:t>
      </w:r>
      <w:r w:rsidR="00797AA5" w:rsidRPr="00FF2A2F">
        <w:rPr>
          <w:color w:val="auto"/>
        </w:rPr>
        <w:t xml:space="preserve"> risks across </w:t>
      </w:r>
      <w:r w:rsidR="005C018B" w:rsidRPr="00FF2A2F">
        <w:rPr>
          <w:color w:val="auto"/>
        </w:rPr>
        <w:t xml:space="preserve">7 </w:t>
      </w:r>
      <w:r w:rsidR="00797AA5" w:rsidRPr="00FF2A2F">
        <w:rPr>
          <w:color w:val="auto"/>
        </w:rPr>
        <w:t>primary risk categories in the Risk Factors Screening Tool and outlines how</w:t>
      </w:r>
      <w:r w:rsidR="003918BA" w:rsidRPr="00FF2A2F">
        <w:rPr>
          <w:color w:val="auto"/>
        </w:rPr>
        <w:t xml:space="preserve"> the investment</w:t>
      </w:r>
      <w:r w:rsidR="00797AA5" w:rsidRPr="00FF2A2F">
        <w:rPr>
          <w:color w:val="auto"/>
        </w:rPr>
        <w:t xml:space="preserve"> will manage each of these risks (avoid, treat, or accept). The risk register is a dynamic document that will be reviewed and updated by </w:t>
      </w:r>
      <w:r w:rsidR="0038694F" w:rsidRPr="00FF2A2F">
        <w:rPr>
          <w:color w:val="auto"/>
        </w:rPr>
        <w:t>Post</w:t>
      </w:r>
      <w:r w:rsidR="006D2196" w:rsidRPr="00FF2A2F">
        <w:rPr>
          <w:color w:val="auto"/>
        </w:rPr>
        <w:t xml:space="preserve"> in AidWorks on a quarterly basis</w:t>
      </w:r>
      <w:r w:rsidR="0038694F" w:rsidRPr="00FF2A2F">
        <w:rPr>
          <w:color w:val="auto"/>
        </w:rPr>
        <w:t xml:space="preserve"> </w:t>
      </w:r>
      <w:r w:rsidR="00004C69" w:rsidRPr="00FF2A2F">
        <w:rPr>
          <w:color w:val="auto"/>
        </w:rPr>
        <w:t>t</w:t>
      </w:r>
      <w:r w:rsidR="00797AA5" w:rsidRPr="00FF2A2F">
        <w:rPr>
          <w:color w:val="auto"/>
        </w:rPr>
        <w:t>hroughout implementation. </w:t>
      </w:r>
      <w:r w:rsidR="007F08DE" w:rsidRPr="00FF2A2F">
        <w:rPr>
          <w:color w:val="auto"/>
        </w:rPr>
        <w:t>The key risks that need to be managed are as follows:</w:t>
      </w:r>
    </w:p>
    <w:p w14:paraId="0CE70EC8" w14:textId="51E91B4A" w:rsidR="000B0FE5" w:rsidRPr="00FF2A2F" w:rsidRDefault="000B0FE5" w:rsidP="006B7677">
      <w:pPr>
        <w:pStyle w:val="paragraph"/>
        <w:numPr>
          <w:ilvl w:val="0"/>
          <w:numId w:val="24"/>
        </w:numPr>
        <w:spacing w:before="120" w:beforeAutospacing="0" w:after="60" w:afterAutospacing="0" w:line="260" w:lineRule="atLeast"/>
        <w:textAlignment w:val="baseline"/>
        <w:rPr>
          <w:rFonts w:asciiTheme="minorHAnsi" w:hAnsiTheme="minorHAnsi" w:cstheme="minorHAnsi"/>
          <w:sz w:val="21"/>
          <w:szCs w:val="21"/>
        </w:rPr>
      </w:pPr>
      <w:r w:rsidRPr="00FF2A2F">
        <w:rPr>
          <w:rFonts w:asciiTheme="minorHAnsi" w:hAnsiTheme="minorHAnsi" w:cstheme="minorHAnsi"/>
          <w:sz w:val="21"/>
          <w:szCs w:val="21"/>
        </w:rPr>
        <w:t>Use of Australian funds contracted to local partners are delayed</w:t>
      </w:r>
      <w:r w:rsidR="00DA231A" w:rsidRPr="00FF2A2F">
        <w:rPr>
          <w:rFonts w:asciiTheme="minorHAnsi" w:hAnsiTheme="minorHAnsi" w:cstheme="minorHAnsi"/>
          <w:sz w:val="21"/>
          <w:szCs w:val="21"/>
        </w:rPr>
        <w:t xml:space="preserve"> and / or</w:t>
      </w:r>
      <w:r w:rsidRPr="00FF2A2F">
        <w:rPr>
          <w:rFonts w:asciiTheme="minorHAnsi" w:hAnsiTheme="minorHAnsi" w:cstheme="minorHAnsi"/>
          <w:sz w:val="21"/>
          <w:szCs w:val="21"/>
        </w:rPr>
        <w:t xml:space="preserve"> not used for intended purposes. </w:t>
      </w:r>
    </w:p>
    <w:p w14:paraId="7B529C0F" w14:textId="72EE6B15" w:rsidR="000B0FE5" w:rsidRPr="00FF2A2F" w:rsidRDefault="000B0FE5" w:rsidP="006B7677">
      <w:pPr>
        <w:pStyle w:val="paragraph"/>
        <w:numPr>
          <w:ilvl w:val="0"/>
          <w:numId w:val="24"/>
        </w:numPr>
        <w:spacing w:before="120" w:beforeAutospacing="0" w:after="60" w:afterAutospacing="0" w:line="260" w:lineRule="atLeast"/>
        <w:textAlignment w:val="baseline"/>
        <w:rPr>
          <w:rFonts w:asciiTheme="minorHAnsi" w:hAnsiTheme="minorHAnsi" w:cstheme="minorHAnsi"/>
          <w:sz w:val="21"/>
          <w:szCs w:val="21"/>
        </w:rPr>
      </w:pPr>
      <w:r w:rsidRPr="00FF2A2F">
        <w:rPr>
          <w:rFonts w:asciiTheme="minorHAnsi" w:hAnsiTheme="minorHAnsi" w:cstheme="minorHAnsi"/>
          <w:sz w:val="21"/>
          <w:szCs w:val="21"/>
        </w:rPr>
        <w:t>Community beneficiaries of Australia’s funding</w:t>
      </w:r>
      <w:r w:rsidR="00DD016B" w:rsidRPr="00FF2A2F">
        <w:rPr>
          <w:rFonts w:asciiTheme="minorHAnsi" w:hAnsiTheme="minorHAnsi" w:cstheme="minorHAnsi"/>
          <w:sz w:val="21"/>
          <w:szCs w:val="21"/>
        </w:rPr>
        <w:t xml:space="preserve"> and resources</w:t>
      </w:r>
      <w:r w:rsidRPr="00FF2A2F">
        <w:rPr>
          <w:rFonts w:asciiTheme="minorHAnsi" w:hAnsiTheme="minorHAnsi" w:cstheme="minorHAnsi"/>
          <w:sz w:val="21"/>
          <w:szCs w:val="21"/>
        </w:rPr>
        <w:t xml:space="preserve"> through the Tonga HPPR are exposed to various types of safety hazards, risk and harm including sexual exploitation, abuse and harassment.  </w:t>
      </w:r>
    </w:p>
    <w:p w14:paraId="66E46511" w14:textId="77777777" w:rsidR="000B0FE5" w:rsidRPr="00FF2A2F" w:rsidRDefault="000B0FE5" w:rsidP="006B7677">
      <w:pPr>
        <w:pStyle w:val="paragraph"/>
        <w:numPr>
          <w:ilvl w:val="0"/>
          <w:numId w:val="24"/>
        </w:numPr>
        <w:spacing w:before="120" w:beforeAutospacing="0" w:after="60" w:afterAutospacing="0" w:line="260" w:lineRule="atLeast"/>
        <w:textAlignment w:val="baseline"/>
        <w:rPr>
          <w:rFonts w:asciiTheme="minorHAnsi" w:hAnsiTheme="minorHAnsi" w:cstheme="minorHAnsi"/>
          <w:sz w:val="21"/>
          <w:szCs w:val="21"/>
        </w:rPr>
      </w:pPr>
      <w:r w:rsidRPr="00FF2A2F">
        <w:rPr>
          <w:rFonts w:asciiTheme="minorHAnsi" w:hAnsiTheme="minorHAnsi" w:cstheme="minorHAnsi"/>
          <w:sz w:val="21"/>
          <w:szCs w:val="21"/>
        </w:rPr>
        <w:t xml:space="preserve">Partners funded by the investment do not have the capacity or capability to absorb programming. </w:t>
      </w:r>
    </w:p>
    <w:p w14:paraId="05A569FE" w14:textId="05E5092D" w:rsidR="00167778" w:rsidRPr="00FF2A2F" w:rsidRDefault="00167778" w:rsidP="006B7677">
      <w:pPr>
        <w:pStyle w:val="paragraph"/>
        <w:numPr>
          <w:ilvl w:val="0"/>
          <w:numId w:val="24"/>
        </w:numPr>
        <w:spacing w:before="120" w:beforeAutospacing="0" w:after="60" w:afterAutospacing="0" w:line="260" w:lineRule="atLeast"/>
        <w:textAlignment w:val="baseline"/>
        <w:rPr>
          <w:rFonts w:asciiTheme="minorHAnsi" w:hAnsiTheme="minorHAnsi" w:cstheme="minorHAnsi"/>
          <w:sz w:val="21"/>
          <w:szCs w:val="21"/>
        </w:rPr>
      </w:pPr>
      <w:r w:rsidRPr="00FF2A2F">
        <w:rPr>
          <w:rFonts w:asciiTheme="minorHAnsi" w:hAnsiTheme="minorHAnsi" w:cstheme="minorHAnsi"/>
          <w:sz w:val="21"/>
          <w:szCs w:val="21"/>
        </w:rPr>
        <w:t xml:space="preserve">DFAT does not have the requisite </w:t>
      </w:r>
      <w:r w:rsidR="00FB6BEA" w:rsidRPr="00FF2A2F">
        <w:rPr>
          <w:rFonts w:asciiTheme="minorHAnsi" w:hAnsiTheme="minorHAnsi" w:cstheme="minorHAnsi"/>
          <w:sz w:val="21"/>
          <w:szCs w:val="21"/>
        </w:rPr>
        <w:t xml:space="preserve">time to </w:t>
      </w:r>
      <w:r w:rsidR="006A1E19" w:rsidRPr="00FF2A2F">
        <w:rPr>
          <w:rFonts w:asciiTheme="minorHAnsi" w:hAnsiTheme="minorHAnsi" w:cstheme="minorHAnsi"/>
          <w:sz w:val="21"/>
          <w:szCs w:val="21"/>
        </w:rPr>
        <w:t xml:space="preserve">effectively </w:t>
      </w:r>
      <w:r w:rsidR="00CD6AE2" w:rsidRPr="00FF2A2F">
        <w:rPr>
          <w:rFonts w:asciiTheme="minorHAnsi" w:hAnsiTheme="minorHAnsi" w:cstheme="minorHAnsi"/>
          <w:sz w:val="21"/>
          <w:szCs w:val="21"/>
        </w:rPr>
        <w:t xml:space="preserve">directly </w:t>
      </w:r>
      <w:r w:rsidR="006A1E19" w:rsidRPr="00FF2A2F">
        <w:rPr>
          <w:rFonts w:asciiTheme="minorHAnsi" w:hAnsiTheme="minorHAnsi" w:cstheme="minorHAnsi"/>
          <w:sz w:val="21"/>
          <w:szCs w:val="21"/>
        </w:rPr>
        <w:t>manage</w:t>
      </w:r>
      <w:r w:rsidR="00A01CE7" w:rsidRPr="00FF2A2F">
        <w:rPr>
          <w:rFonts w:asciiTheme="minorHAnsi" w:hAnsiTheme="minorHAnsi" w:cstheme="minorHAnsi"/>
          <w:sz w:val="21"/>
          <w:szCs w:val="21"/>
        </w:rPr>
        <w:t xml:space="preserve"> and monitor such a complex</w:t>
      </w:r>
      <w:r w:rsidR="00CD6AE2" w:rsidRPr="00FF2A2F">
        <w:rPr>
          <w:rFonts w:asciiTheme="minorHAnsi" w:hAnsiTheme="minorHAnsi" w:cstheme="minorHAnsi"/>
          <w:sz w:val="21"/>
          <w:szCs w:val="21"/>
        </w:rPr>
        <w:t xml:space="preserve"> program comprising so many individual contracts</w:t>
      </w:r>
      <w:r w:rsidR="00A01CE7" w:rsidRPr="00FF2A2F">
        <w:rPr>
          <w:rFonts w:asciiTheme="minorHAnsi" w:hAnsiTheme="minorHAnsi" w:cstheme="minorHAnsi"/>
          <w:sz w:val="21"/>
          <w:szCs w:val="21"/>
        </w:rPr>
        <w:t xml:space="preserve"> and partners.</w:t>
      </w:r>
    </w:p>
    <w:p w14:paraId="04A77E5D" w14:textId="7AF20019" w:rsidR="000B0FE5" w:rsidRPr="00FF2A2F" w:rsidRDefault="002F5656" w:rsidP="002F5656">
      <w:pPr>
        <w:pStyle w:val="paragraph"/>
        <w:spacing w:before="120" w:beforeAutospacing="0" w:after="60" w:afterAutospacing="0" w:line="260" w:lineRule="atLeast"/>
        <w:ind w:left="0" w:firstLine="0"/>
        <w:textAlignment w:val="baseline"/>
        <w:rPr>
          <w:rFonts w:asciiTheme="minorHAnsi" w:hAnsiTheme="minorHAnsi" w:cstheme="minorHAnsi"/>
          <w:sz w:val="21"/>
          <w:szCs w:val="21"/>
        </w:rPr>
      </w:pPr>
      <w:r w:rsidRPr="00FF2A2F">
        <w:rPr>
          <w:rFonts w:asciiTheme="minorHAnsi" w:hAnsiTheme="minorHAnsi" w:cstheme="minorHAnsi"/>
          <w:sz w:val="21"/>
          <w:szCs w:val="21"/>
        </w:rPr>
        <w:t xml:space="preserve">166. </w:t>
      </w:r>
      <w:r w:rsidR="000B0FE5" w:rsidRPr="00FF2A2F">
        <w:rPr>
          <w:rFonts w:asciiTheme="minorHAnsi" w:hAnsiTheme="minorHAnsi" w:cstheme="minorHAnsi"/>
          <w:sz w:val="21"/>
          <w:szCs w:val="21"/>
        </w:rPr>
        <w:t xml:space="preserve">The following mitigation measures are proposed to address these risks: </w:t>
      </w:r>
    </w:p>
    <w:p w14:paraId="389DCB1A" w14:textId="77777777" w:rsidR="000B0FE5" w:rsidRPr="00FF2A2F" w:rsidRDefault="000B0FE5" w:rsidP="006B7677">
      <w:pPr>
        <w:pStyle w:val="paragraph"/>
        <w:numPr>
          <w:ilvl w:val="0"/>
          <w:numId w:val="25"/>
        </w:numPr>
        <w:spacing w:before="120" w:beforeAutospacing="0" w:after="60" w:afterAutospacing="0" w:line="260" w:lineRule="atLeast"/>
        <w:textAlignment w:val="baseline"/>
        <w:rPr>
          <w:rFonts w:asciiTheme="minorHAnsi" w:hAnsiTheme="minorHAnsi" w:cstheme="minorHAnsi"/>
          <w:sz w:val="21"/>
          <w:szCs w:val="21"/>
        </w:rPr>
      </w:pPr>
      <w:r w:rsidRPr="00FF2A2F">
        <w:rPr>
          <w:rFonts w:asciiTheme="minorHAnsi" w:hAnsiTheme="minorHAnsi" w:cstheme="minorHAnsi"/>
          <w:sz w:val="21"/>
          <w:szCs w:val="21"/>
        </w:rPr>
        <w:t xml:space="preserve">Post engages with reliable and reputable partners by conducting proper due diligence and regular performance assessments, as well as close monitoring of the activity implementations. </w:t>
      </w:r>
    </w:p>
    <w:p w14:paraId="50A73218" w14:textId="77777777" w:rsidR="000B0FE5" w:rsidRPr="00FF2A2F" w:rsidRDefault="000B0FE5" w:rsidP="006B7677">
      <w:pPr>
        <w:pStyle w:val="paragraph"/>
        <w:numPr>
          <w:ilvl w:val="0"/>
          <w:numId w:val="25"/>
        </w:numPr>
        <w:spacing w:before="120" w:beforeAutospacing="0" w:after="60" w:afterAutospacing="0" w:line="260" w:lineRule="atLeast"/>
        <w:textAlignment w:val="baseline"/>
        <w:rPr>
          <w:rFonts w:asciiTheme="minorHAnsi" w:hAnsiTheme="minorHAnsi" w:cstheme="minorHAnsi"/>
          <w:sz w:val="21"/>
          <w:szCs w:val="21"/>
        </w:rPr>
      </w:pPr>
      <w:r w:rsidRPr="00FF2A2F">
        <w:rPr>
          <w:rFonts w:asciiTheme="minorHAnsi" w:hAnsiTheme="minorHAnsi" w:cstheme="minorHAnsi"/>
          <w:sz w:val="21"/>
          <w:szCs w:val="21"/>
        </w:rPr>
        <w:lastRenderedPageBreak/>
        <w:t xml:space="preserve">Partners have appropriate safeguarding policies, procedures and guidelines in place, particularly for Child Protection and Preventing Sexual Exploitation, Abuse and Harassment (PSEAH).  </w:t>
      </w:r>
    </w:p>
    <w:p w14:paraId="6D2CABA3" w14:textId="066C00C2" w:rsidR="00C57600" w:rsidRPr="00FF2A2F" w:rsidRDefault="000B0FE5" w:rsidP="006B7677">
      <w:pPr>
        <w:pStyle w:val="paragraph"/>
        <w:numPr>
          <w:ilvl w:val="0"/>
          <w:numId w:val="25"/>
        </w:numPr>
        <w:spacing w:before="120" w:beforeAutospacing="0" w:after="60" w:afterAutospacing="0" w:line="260" w:lineRule="atLeast"/>
        <w:textAlignment w:val="baseline"/>
        <w:rPr>
          <w:rFonts w:asciiTheme="minorHAnsi" w:hAnsiTheme="minorHAnsi" w:cstheme="minorHAnsi"/>
          <w:sz w:val="21"/>
          <w:szCs w:val="21"/>
        </w:rPr>
      </w:pPr>
      <w:r w:rsidRPr="00FF2A2F">
        <w:rPr>
          <w:rFonts w:asciiTheme="minorHAnsi" w:hAnsiTheme="minorHAnsi" w:cstheme="minorHAnsi"/>
          <w:sz w:val="21"/>
          <w:szCs w:val="21"/>
        </w:rPr>
        <w:t>Post works with partners to build capacity and capability and only enters into programming agreements where partners can demonstrate their ability to absorb the funding offered by Post</w:t>
      </w:r>
      <w:r w:rsidR="00C14DE6" w:rsidRPr="00FF2A2F">
        <w:rPr>
          <w:rFonts w:asciiTheme="minorHAnsi" w:hAnsiTheme="minorHAnsi" w:cstheme="minorHAnsi"/>
          <w:sz w:val="21"/>
          <w:szCs w:val="21"/>
        </w:rPr>
        <w:t xml:space="preserve"> and meet DFAT’s due diligence standards. </w:t>
      </w:r>
    </w:p>
    <w:bookmarkEnd w:id="17"/>
    <w:p w14:paraId="15707736" w14:textId="45572327" w:rsidR="00C96284" w:rsidRPr="00FF2A2F" w:rsidRDefault="00786412" w:rsidP="002F5656">
      <w:pPr>
        <w:spacing w:before="120" w:line="260" w:lineRule="atLeast"/>
        <w:ind w:left="0" w:firstLine="0"/>
        <w:rPr>
          <w:color w:val="auto"/>
        </w:rPr>
      </w:pPr>
      <w:r w:rsidRPr="00FF2A2F">
        <w:rPr>
          <w:rStyle w:val="normaltextrun"/>
          <w:rFonts w:cstheme="minorHAnsi"/>
          <w:color w:val="auto"/>
          <w:sz w:val="21"/>
          <w:szCs w:val="21"/>
        </w:rPr>
        <w:t>1</w:t>
      </w:r>
      <w:r w:rsidR="002F5656" w:rsidRPr="00FF2A2F">
        <w:rPr>
          <w:rStyle w:val="normaltextrun"/>
          <w:rFonts w:cstheme="minorHAnsi"/>
          <w:color w:val="auto"/>
          <w:sz w:val="21"/>
          <w:szCs w:val="21"/>
        </w:rPr>
        <w:t>67</w:t>
      </w:r>
      <w:r w:rsidR="00D55B38" w:rsidRPr="00FF2A2F">
        <w:rPr>
          <w:rStyle w:val="normaltextrun"/>
          <w:rFonts w:cstheme="minorHAnsi"/>
          <w:color w:val="auto"/>
          <w:sz w:val="21"/>
          <w:szCs w:val="21"/>
        </w:rPr>
        <w:t>.</w:t>
      </w:r>
      <w:r w:rsidR="002F5656" w:rsidRPr="00FF2A2F">
        <w:rPr>
          <w:rStyle w:val="normaltextrun"/>
          <w:rFonts w:cstheme="minorHAnsi"/>
          <w:color w:val="auto"/>
          <w:sz w:val="21"/>
          <w:szCs w:val="21"/>
        </w:rPr>
        <w:t xml:space="preserve"> </w:t>
      </w:r>
      <w:r w:rsidR="00797AA5" w:rsidRPr="00FF2A2F">
        <w:rPr>
          <w:rStyle w:val="normaltextrun"/>
          <w:rFonts w:cstheme="minorHAnsi"/>
          <w:color w:val="auto"/>
          <w:sz w:val="21"/>
          <w:szCs w:val="21"/>
        </w:rPr>
        <w:t xml:space="preserve">DFAT owns the risk for the investment and will deploy the roles and resources to manage this risk </w:t>
      </w:r>
      <w:r w:rsidR="00797AA5" w:rsidRPr="00FF2A2F">
        <w:rPr>
          <w:color w:val="auto"/>
        </w:rPr>
        <w:t xml:space="preserve">effectively. Key roles are outlined </w:t>
      </w:r>
      <w:r w:rsidR="001315F1" w:rsidRPr="00FF2A2F">
        <w:rPr>
          <w:color w:val="auto"/>
        </w:rPr>
        <w:t>below;</w:t>
      </w:r>
      <w:r w:rsidR="00797AA5" w:rsidRPr="00FF2A2F">
        <w:rPr>
          <w:color w:val="auto"/>
        </w:rPr>
        <w:t xml:space="preserve"> </w:t>
      </w:r>
      <w:proofErr w:type="gramStart"/>
      <w:r w:rsidR="00797AA5" w:rsidRPr="00FF2A2F">
        <w:rPr>
          <w:color w:val="auto"/>
        </w:rPr>
        <w:t>however</w:t>
      </w:r>
      <w:proofErr w:type="gramEnd"/>
      <w:r w:rsidR="00797AA5" w:rsidRPr="00FF2A2F">
        <w:rPr>
          <w:color w:val="auto"/>
        </w:rPr>
        <w:t xml:space="preserve"> </w:t>
      </w:r>
      <w:r w:rsidR="00DD1678" w:rsidRPr="00FF2A2F">
        <w:rPr>
          <w:color w:val="auto"/>
        </w:rPr>
        <w:t>the investment</w:t>
      </w:r>
      <w:r w:rsidR="00797AA5" w:rsidRPr="00FF2A2F">
        <w:rPr>
          <w:color w:val="auto"/>
        </w:rPr>
        <w:t xml:space="preserve"> will engender a strong risk management culture where staff across DFAT, </w:t>
      </w:r>
      <w:r w:rsidR="00EC39B6" w:rsidRPr="00FF2A2F">
        <w:rPr>
          <w:color w:val="auto"/>
        </w:rPr>
        <w:t xml:space="preserve">government partners, </w:t>
      </w:r>
      <w:r w:rsidR="003E5D32" w:rsidRPr="00FF2A2F">
        <w:rPr>
          <w:color w:val="auto"/>
        </w:rPr>
        <w:t>CSO</w:t>
      </w:r>
      <w:r w:rsidR="00EC39B6" w:rsidRPr="00FF2A2F">
        <w:rPr>
          <w:color w:val="auto"/>
        </w:rPr>
        <w:t xml:space="preserve">s and </w:t>
      </w:r>
      <w:r w:rsidR="00797AA5" w:rsidRPr="00FF2A2F">
        <w:rPr>
          <w:color w:val="auto"/>
        </w:rPr>
        <w:t xml:space="preserve">stakeholders actively monitor risks and raise issues for discussion. </w:t>
      </w:r>
      <w:r w:rsidR="00CE2B30" w:rsidRPr="00FF2A2F">
        <w:rPr>
          <w:color w:val="auto"/>
        </w:rPr>
        <w:t xml:space="preserve">Nuku’alofa Post </w:t>
      </w:r>
      <w:r w:rsidR="009B788B" w:rsidRPr="00FF2A2F">
        <w:rPr>
          <w:color w:val="auto"/>
        </w:rPr>
        <w:t xml:space="preserve">will be responsible for ensuring </w:t>
      </w:r>
      <w:r w:rsidR="00CE2B30" w:rsidRPr="00FF2A2F">
        <w:rPr>
          <w:color w:val="auto"/>
        </w:rPr>
        <w:t xml:space="preserve">the investment’s </w:t>
      </w:r>
      <w:r w:rsidR="009B788B" w:rsidRPr="00FF2A2F">
        <w:rPr>
          <w:color w:val="auto"/>
        </w:rPr>
        <w:t>safeguards work is aligned with DFAT risks and safeguards policies. They will hold the</w:t>
      </w:r>
      <w:r w:rsidR="00CE2B30" w:rsidRPr="00FF2A2F">
        <w:rPr>
          <w:color w:val="auto"/>
        </w:rPr>
        <w:t xml:space="preserve"> implementing partner</w:t>
      </w:r>
      <w:r w:rsidR="009B788B" w:rsidRPr="00FF2A2F">
        <w:rPr>
          <w:color w:val="auto"/>
        </w:rPr>
        <w:t xml:space="preserve"> accountable for developing and implementing child protection, PSEAH, and other relevant safeguarding policies, consistent with current (2025) and future DFAT standards. There are high expectations of safeguarding compliance and effective management. There are also shared global commitments around safeguards such as Do No Harm principles with which the investment will adhere.  </w:t>
      </w:r>
      <w:r w:rsidR="00EA0657" w:rsidRPr="00FF2A2F">
        <w:rPr>
          <w:color w:val="auto"/>
        </w:rPr>
        <w:t>G</w:t>
      </w:r>
      <w:r w:rsidR="009B788B" w:rsidRPr="00FF2A2F">
        <w:rPr>
          <w:color w:val="auto"/>
        </w:rPr>
        <w:t xml:space="preserve">overnance arrangements will include explicit oversight of safeguard implementation, ensuring even application across sectors and delivery partners. Likewise, all contracts under </w:t>
      </w:r>
      <w:r w:rsidR="00EA0657" w:rsidRPr="00FF2A2F">
        <w:rPr>
          <w:color w:val="auto"/>
        </w:rPr>
        <w:t>the investment</w:t>
      </w:r>
      <w:r w:rsidR="009B788B" w:rsidRPr="00FF2A2F">
        <w:rPr>
          <w:color w:val="auto"/>
        </w:rPr>
        <w:t xml:space="preserve"> will include explicit modern slavery provisions, aligned with Australia’s Modern Slavery Act (2018).</w:t>
      </w:r>
    </w:p>
    <w:p w14:paraId="627E671D" w14:textId="763FE7C7" w:rsidR="00753546" w:rsidRPr="00FF2A2F" w:rsidRDefault="002F5656" w:rsidP="002F5656">
      <w:pPr>
        <w:spacing w:before="120" w:line="260" w:lineRule="atLeast"/>
        <w:ind w:left="0" w:firstLine="0"/>
        <w:rPr>
          <w:color w:val="auto"/>
        </w:rPr>
      </w:pPr>
      <w:r w:rsidRPr="00FF2A2F">
        <w:rPr>
          <w:color w:val="auto"/>
        </w:rPr>
        <w:t xml:space="preserve">168. </w:t>
      </w:r>
      <w:r w:rsidR="0068278A" w:rsidRPr="00FF2A2F">
        <w:rPr>
          <w:color w:val="auto"/>
        </w:rPr>
        <w:t xml:space="preserve">Post </w:t>
      </w:r>
      <w:r w:rsidR="00E00B05" w:rsidRPr="00FF2A2F">
        <w:rPr>
          <w:color w:val="auto"/>
        </w:rPr>
        <w:t xml:space="preserve">will review and update the </w:t>
      </w:r>
      <w:r w:rsidR="00797AA5" w:rsidRPr="00FF2A2F">
        <w:rPr>
          <w:color w:val="auto"/>
        </w:rPr>
        <w:t xml:space="preserve">investment risk register </w:t>
      </w:r>
      <w:r w:rsidR="00C96284" w:rsidRPr="00FF2A2F">
        <w:rPr>
          <w:color w:val="auto"/>
        </w:rPr>
        <w:t>monthly (and then in AidWorks quarterly)</w:t>
      </w:r>
      <w:r w:rsidR="00797AA5" w:rsidRPr="00FF2A2F">
        <w:rPr>
          <w:color w:val="auto"/>
        </w:rPr>
        <w:t>, and risk management will be a standing agenda item at all</w:t>
      </w:r>
      <w:r w:rsidR="00EC39B6" w:rsidRPr="00FF2A2F">
        <w:rPr>
          <w:color w:val="auto"/>
        </w:rPr>
        <w:t xml:space="preserve"> </w:t>
      </w:r>
      <w:r w:rsidR="003918BA" w:rsidRPr="00FF2A2F">
        <w:rPr>
          <w:color w:val="auto"/>
        </w:rPr>
        <w:t>investment</w:t>
      </w:r>
      <w:r w:rsidR="00EC39B6" w:rsidRPr="00FF2A2F">
        <w:rPr>
          <w:color w:val="auto"/>
        </w:rPr>
        <w:t xml:space="preserve"> management</w:t>
      </w:r>
      <w:r w:rsidR="00797AA5" w:rsidRPr="00FF2A2F">
        <w:rPr>
          <w:color w:val="auto"/>
        </w:rPr>
        <w:t xml:space="preserve"> meetings</w:t>
      </w:r>
      <w:r w:rsidR="00355CD1" w:rsidRPr="00FF2A2F">
        <w:rPr>
          <w:color w:val="auto"/>
        </w:rPr>
        <w:t xml:space="preserve">, including </w:t>
      </w:r>
      <w:r w:rsidR="00C717FF" w:rsidRPr="00FF2A2F">
        <w:rPr>
          <w:color w:val="auto"/>
        </w:rPr>
        <w:t>Steering Committee</w:t>
      </w:r>
      <w:r w:rsidR="00355CD1" w:rsidRPr="00FF2A2F">
        <w:rPr>
          <w:color w:val="auto"/>
        </w:rPr>
        <w:t xml:space="preserve"> </w:t>
      </w:r>
      <w:r w:rsidR="00E43424" w:rsidRPr="00FF2A2F">
        <w:rPr>
          <w:color w:val="auto"/>
        </w:rPr>
        <w:t xml:space="preserve">and Working Group </w:t>
      </w:r>
      <w:r w:rsidR="00355CD1" w:rsidRPr="00FF2A2F">
        <w:rPr>
          <w:color w:val="auto"/>
        </w:rPr>
        <w:t>meetings</w:t>
      </w:r>
      <w:r w:rsidR="00797AA5" w:rsidRPr="00FF2A2F">
        <w:rPr>
          <w:color w:val="auto"/>
        </w:rPr>
        <w:t>.</w:t>
      </w:r>
      <w:r w:rsidR="00753546" w:rsidRPr="00FF2A2F">
        <w:rPr>
          <w:color w:val="auto"/>
        </w:rPr>
        <w:t xml:space="preserve"> </w:t>
      </w:r>
    </w:p>
    <w:p w14:paraId="13C03894" w14:textId="1357E1FF" w:rsidR="00EC39B6" w:rsidRPr="00FF2A2F" w:rsidRDefault="002F5656" w:rsidP="002F5656">
      <w:pPr>
        <w:spacing w:before="120" w:line="260" w:lineRule="atLeast"/>
        <w:ind w:left="0" w:firstLine="0"/>
        <w:rPr>
          <w:color w:val="auto"/>
        </w:rPr>
      </w:pPr>
      <w:r w:rsidRPr="00FF2A2F">
        <w:rPr>
          <w:color w:val="auto"/>
        </w:rPr>
        <w:t xml:space="preserve">169. </w:t>
      </w:r>
      <w:r w:rsidR="007E58B0" w:rsidRPr="00FF2A2F">
        <w:rPr>
          <w:color w:val="auto"/>
        </w:rPr>
        <w:t>The investment will be included in the</w:t>
      </w:r>
      <w:r w:rsidR="00D64DE0" w:rsidRPr="00FF2A2F">
        <w:rPr>
          <w:color w:val="auto"/>
        </w:rPr>
        <w:t xml:space="preserve"> </w:t>
      </w:r>
      <w:r w:rsidR="00753546" w:rsidRPr="00FF2A2F">
        <w:rPr>
          <w:color w:val="auto"/>
        </w:rPr>
        <w:t>internal escalation protocol,</w:t>
      </w:r>
      <w:r w:rsidR="00F31D32" w:rsidRPr="00FF2A2F">
        <w:rPr>
          <w:color w:val="auto"/>
        </w:rPr>
        <w:t xml:space="preserve"> with</w:t>
      </w:r>
      <w:r w:rsidR="00D64DE0" w:rsidRPr="00FF2A2F">
        <w:rPr>
          <w:color w:val="auto"/>
        </w:rPr>
        <w:t xml:space="preserve"> the investment manager meeting with the </w:t>
      </w:r>
      <w:r w:rsidR="00753546" w:rsidRPr="00FF2A2F">
        <w:rPr>
          <w:color w:val="auto"/>
        </w:rPr>
        <w:t xml:space="preserve">Senior Responsible Officer </w:t>
      </w:r>
      <w:r w:rsidR="00F31D32" w:rsidRPr="00FF2A2F">
        <w:rPr>
          <w:color w:val="auto"/>
        </w:rPr>
        <w:t xml:space="preserve">(SRO) </w:t>
      </w:r>
      <w:r w:rsidR="00753546" w:rsidRPr="00FF2A2F">
        <w:rPr>
          <w:color w:val="auto"/>
        </w:rPr>
        <w:t>for Development (DHOM) monthly to update the Tonga Australia Development Program Risk Register</w:t>
      </w:r>
      <w:r w:rsidR="00F31D32" w:rsidRPr="00FF2A2F">
        <w:rPr>
          <w:color w:val="auto"/>
        </w:rPr>
        <w:t>. T</w:t>
      </w:r>
      <w:r w:rsidR="00753546" w:rsidRPr="00FF2A2F">
        <w:rPr>
          <w:color w:val="auto"/>
        </w:rPr>
        <w:t xml:space="preserve">his provides an opportunity to discuss with the SRO </w:t>
      </w:r>
      <w:proofErr w:type="gramStart"/>
      <w:r w:rsidR="00753546" w:rsidRPr="00FF2A2F">
        <w:rPr>
          <w:color w:val="auto"/>
        </w:rPr>
        <w:t>and also</w:t>
      </w:r>
      <w:proofErr w:type="gramEnd"/>
      <w:r w:rsidR="00753546" w:rsidRPr="00FF2A2F">
        <w:rPr>
          <w:color w:val="auto"/>
        </w:rPr>
        <w:t xml:space="preserve"> grants an opportunity to escalate to HOM to work through issues</w:t>
      </w:r>
      <w:r w:rsidR="00553C8A" w:rsidRPr="00FF2A2F">
        <w:rPr>
          <w:color w:val="auto"/>
        </w:rPr>
        <w:t>.</w:t>
      </w:r>
      <w:r w:rsidR="00753546" w:rsidRPr="00FF2A2F">
        <w:rPr>
          <w:color w:val="auto"/>
        </w:rPr>
        <w:t xml:space="preserve"> </w:t>
      </w:r>
      <w:r w:rsidR="00797AA5" w:rsidRPr="00FF2A2F">
        <w:rPr>
          <w:color w:val="auto"/>
        </w:rPr>
        <w:t xml:space="preserve"> Primary DFAT roles responsible for risk management: </w:t>
      </w:r>
    </w:p>
    <w:p w14:paraId="1A2BBC52" w14:textId="0CD28853" w:rsidR="00797AA5" w:rsidRPr="00FF2A2F" w:rsidRDefault="0034300D" w:rsidP="00414D71">
      <w:pPr>
        <w:pStyle w:val="paragraph"/>
        <w:numPr>
          <w:ilvl w:val="0"/>
          <w:numId w:val="15"/>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SRO</w:t>
      </w:r>
      <w:r w:rsidR="00797AA5" w:rsidRPr="00FF2A2F">
        <w:rPr>
          <w:rStyle w:val="normaltextrun"/>
          <w:rFonts w:asciiTheme="minorHAnsi" w:hAnsiTheme="minorHAnsi" w:cstheme="minorHAnsi"/>
          <w:sz w:val="21"/>
          <w:szCs w:val="21"/>
        </w:rPr>
        <w:t xml:space="preserve">: overall accountability for engaging with </w:t>
      </w:r>
      <w:r w:rsidR="00DD1678" w:rsidRPr="00FF2A2F">
        <w:rPr>
          <w:rStyle w:val="normaltextrun"/>
          <w:rFonts w:asciiTheme="minorHAnsi" w:hAnsiTheme="minorHAnsi" w:cstheme="minorHAnsi"/>
          <w:sz w:val="21"/>
          <w:szCs w:val="21"/>
        </w:rPr>
        <w:t>the investment</w:t>
      </w:r>
      <w:r w:rsidRPr="00FF2A2F">
        <w:rPr>
          <w:rStyle w:val="normaltextrun"/>
          <w:rFonts w:asciiTheme="minorHAnsi" w:hAnsiTheme="minorHAnsi" w:cstheme="minorHAnsi"/>
          <w:sz w:val="21"/>
          <w:szCs w:val="21"/>
        </w:rPr>
        <w:t>’</w:t>
      </w:r>
      <w:r w:rsidR="00DD1678" w:rsidRPr="00FF2A2F">
        <w:rPr>
          <w:rStyle w:val="normaltextrun"/>
          <w:rFonts w:asciiTheme="minorHAnsi" w:hAnsiTheme="minorHAnsi" w:cstheme="minorHAnsi"/>
          <w:sz w:val="21"/>
          <w:szCs w:val="21"/>
        </w:rPr>
        <w:t xml:space="preserve">s </w:t>
      </w:r>
      <w:r w:rsidR="00797AA5" w:rsidRPr="00FF2A2F">
        <w:rPr>
          <w:rStyle w:val="normaltextrun"/>
          <w:rFonts w:asciiTheme="minorHAnsi" w:hAnsiTheme="minorHAnsi" w:cstheme="minorHAnsi"/>
          <w:sz w:val="21"/>
          <w:szCs w:val="21"/>
        </w:rPr>
        <w:t>risk, including safeguarding and fraud/corruption risk.</w:t>
      </w:r>
      <w:r w:rsidR="00797AA5" w:rsidRPr="00FF2A2F">
        <w:rPr>
          <w:rStyle w:val="eop"/>
          <w:rFonts w:asciiTheme="minorHAnsi" w:hAnsiTheme="minorHAnsi" w:cstheme="minorHAnsi"/>
          <w:sz w:val="21"/>
          <w:szCs w:val="21"/>
        </w:rPr>
        <w:t> </w:t>
      </w:r>
    </w:p>
    <w:p w14:paraId="1AE447FE" w14:textId="0DEF353E" w:rsidR="00797AA5" w:rsidRPr="00FF2A2F" w:rsidRDefault="00797AA5" w:rsidP="00414D71">
      <w:pPr>
        <w:pStyle w:val="paragraph"/>
        <w:numPr>
          <w:ilvl w:val="0"/>
          <w:numId w:val="15"/>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Investment Manager: responsible for overseeing day-to-day implementation. “Owns” operational/programmatic and DFAT policy compliance risks on the risk register.</w:t>
      </w:r>
      <w:r w:rsidRPr="00FF2A2F">
        <w:rPr>
          <w:rStyle w:val="eop"/>
          <w:rFonts w:asciiTheme="minorHAnsi" w:hAnsiTheme="minorHAnsi" w:cstheme="minorHAnsi"/>
          <w:sz w:val="21"/>
          <w:szCs w:val="21"/>
        </w:rPr>
        <w:t> </w:t>
      </w:r>
    </w:p>
    <w:p w14:paraId="42AAA993" w14:textId="6017240D" w:rsidR="00797AA5" w:rsidRPr="00FF2A2F" w:rsidRDefault="00797AA5" w:rsidP="00414D71">
      <w:pPr>
        <w:pStyle w:val="paragraph"/>
        <w:numPr>
          <w:ilvl w:val="0"/>
          <w:numId w:val="15"/>
        </w:numPr>
        <w:spacing w:before="120" w:beforeAutospacing="0" w:after="60" w:afterAutospacing="0" w:line="260" w:lineRule="atLeast"/>
        <w:textAlignment w:val="baseline"/>
        <w:rPr>
          <w:rStyle w:val="eop"/>
          <w:rFonts w:asciiTheme="minorHAnsi" w:hAnsiTheme="minorHAnsi" w:cstheme="minorHAnsi"/>
          <w:sz w:val="21"/>
          <w:szCs w:val="21"/>
        </w:rPr>
      </w:pPr>
      <w:r w:rsidRPr="00FF2A2F">
        <w:rPr>
          <w:rStyle w:val="normaltextrun"/>
          <w:rFonts w:asciiTheme="minorHAnsi" w:hAnsiTheme="minorHAnsi" w:cstheme="minorHAnsi"/>
          <w:sz w:val="21"/>
          <w:szCs w:val="21"/>
        </w:rPr>
        <w:t>Agreement Manager: reviews and discusses changes to the risk register</w:t>
      </w:r>
      <w:r w:rsidR="00A43BC2" w:rsidRPr="00FF2A2F">
        <w:rPr>
          <w:rStyle w:val="normaltextrun"/>
          <w:rFonts w:asciiTheme="minorHAnsi" w:hAnsiTheme="minorHAnsi" w:cstheme="minorHAnsi"/>
          <w:sz w:val="21"/>
          <w:szCs w:val="21"/>
        </w:rPr>
        <w:t xml:space="preserve"> with the Investment Manager</w:t>
      </w:r>
      <w:r w:rsidRPr="00FF2A2F">
        <w:rPr>
          <w:rStyle w:val="normaltextrun"/>
          <w:rFonts w:asciiTheme="minorHAnsi" w:hAnsiTheme="minorHAnsi" w:cstheme="minorHAnsi"/>
          <w:sz w:val="21"/>
          <w:szCs w:val="21"/>
        </w:rPr>
        <w:t xml:space="preserve"> and updates the risk register in AidWorks.</w:t>
      </w:r>
      <w:r w:rsidRPr="00FF2A2F">
        <w:rPr>
          <w:rStyle w:val="eop"/>
          <w:rFonts w:asciiTheme="minorHAnsi" w:hAnsiTheme="minorHAnsi" w:cstheme="minorHAnsi"/>
          <w:sz w:val="21"/>
          <w:szCs w:val="21"/>
        </w:rPr>
        <w:t> </w:t>
      </w:r>
    </w:p>
    <w:p w14:paraId="0B3BB04B" w14:textId="4E71AB4F" w:rsidR="00797AA5" w:rsidRPr="00FF2A2F" w:rsidRDefault="00786412" w:rsidP="002F5656">
      <w:pPr>
        <w:spacing w:before="120" w:line="260" w:lineRule="atLeast"/>
        <w:ind w:left="0" w:firstLine="0"/>
        <w:rPr>
          <w:rStyle w:val="normaltextrun"/>
          <w:rFonts w:cstheme="minorHAnsi"/>
          <w:color w:val="auto"/>
          <w:sz w:val="21"/>
          <w:szCs w:val="21"/>
        </w:rPr>
      </w:pPr>
      <w:r w:rsidRPr="00FF2A2F">
        <w:rPr>
          <w:rStyle w:val="normaltextrun"/>
          <w:rFonts w:cstheme="minorHAnsi"/>
          <w:color w:val="auto"/>
          <w:sz w:val="21"/>
          <w:szCs w:val="21"/>
        </w:rPr>
        <w:t>1</w:t>
      </w:r>
      <w:r w:rsidR="002F5656" w:rsidRPr="00FF2A2F">
        <w:rPr>
          <w:rStyle w:val="normaltextrun"/>
          <w:rFonts w:cstheme="minorHAnsi"/>
          <w:color w:val="auto"/>
          <w:sz w:val="21"/>
          <w:szCs w:val="21"/>
        </w:rPr>
        <w:t>70</w:t>
      </w:r>
      <w:r w:rsidR="00D55B38" w:rsidRPr="00FF2A2F">
        <w:rPr>
          <w:rStyle w:val="normaltextrun"/>
          <w:rFonts w:cstheme="minorHAnsi"/>
          <w:color w:val="auto"/>
          <w:sz w:val="21"/>
          <w:szCs w:val="21"/>
        </w:rPr>
        <w:t>.</w:t>
      </w:r>
      <w:r w:rsidR="002F5656" w:rsidRPr="00FF2A2F">
        <w:rPr>
          <w:rStyle w:val="normaltextrun"/>
          <w:rFonts w:cstheme="minorHAnsi"/>
          <w:color w:val="auto"/>
          <w:sz w:val="21"/>
          <w:szCs w:val="21"/>
        </w:rPr>
        <w:t xml:space="preserve"> </w:t>
      </w:r>
      <w:r w:rsidR="00797AA5" w:rsidRPr="00FF2A2F">
        <w:rPr>
          <w:rStyle w:val="normaltextrun"/>
          <w:rFonts w:cstheme="minorHAnsi"/>
          <w:color w:val="auto"/>
          <w:sz w:val="21"/>
          <w:szCs w:val="21"/>
        </w:rPr>
        <w:t xml:space="preserve">Additional effort will also be made by </w:t>
      </w:r>
      <w:r w:rsidR="0087739C" w:rsidRPr="00FF2A2F">
        <w:rPr>
          <w:rStyle w:val="normaltextrun"/>
          <w:rFonts w:cstheme="minorHAnsi"/>
          <w:color w:val="auto"/>
          <w:sz w:val="21"/>
          <w:szCs w:val="21"/>
        </w:rPr>
        <w:t xml:space="preserve">Post </w:t>
      </w:r>
      <w:r w:rsidR="00797AA5" w:rsidRPr="00FF2A2F">
        <w:rPr>
          <w:rStyle w:val="normaltextrun"/>
          <w:rFonts w:cstheme="minorHAnsi"/>
          <w:color w:val="auto"/>
          <w:sz w:val="21"/>
          <w:szCs w:val="21"/>
        </w:rPr>
        <w:t xml:space="preserve">to work with the </w:t>
      </w:r>
      <w:r w:rsidR="0087739C" w:rsidRPr="00FF2A2F">
        <w:rPr>
          <w:rStyle w:val="normaltextrun"/>
          <w:rFonts w:cstheme="minorHAnsi"/>
          <w:color w:val="auto"/>
          <w:sz w:val="21"/>
          <w:szCs w:val="21"/>
        </w:rPr>
        <w:t>GoT</w:t>
      </w:r>
      <w:r w:rsidR="00797AA5" w:rsidRPr="00FF2A2F">
        <w:rPr>
          <w:rStyle w:val="normaltextrun"/>
          <w:rFonts w:cstheme="minorHAnsi"/>
          <w:color w:val="auto"/>
          <w:sz w:val="21"/>
          <w:szCs w:val="21"/>
        </w:rPr>
        <w:t xml:space="preserve"> and</w:t>
      </w:r>
      <w:r w:rsidR="00326D88" w:rsidRPr="00FF2A2F">
        <w:rPr>
          <w:rStyle w:val="normaltextrun"/>
          <w:rFonts w:cstheme="minorHAnsi"/>
          <w:color w:val="auto"/>
          <w:sz w:val="21"/>
          <w:szCs w:val="21"/>
        </w:rPr>
        <w:t xml:space="preserve"> CSOs </w:t>
      </w:r>
      <w:r w:rsidR="00797AA5" w:rsidRPr="00FF2A2F">
        <w:rPr>
          <w:rStyle w:val="normaltextrun"/>
          <w:rFonts w:cstheme="minorHAnsi"/>
          <w:color w:val="auto"/>
          <w:sz w:val="21"/>
          <w:szCs w:val="21"/>
        </w:rPr>
        <w:t>to</w:t>
      </w:r>
      <w:r w:rsidR="0024408E" w:rsidRPr="00FF2A2F">
        <w:rPr>
          <w:rStyle w:val="normaltextrun"/>
          <w:rFonts w:cstheme="minorHAnsi"/>
          <w:color w:val="auto"/>
          <w:sz w:val="21"/>
          <w:szCs w:val="21"/>
        </w:rPr>
        <w:t xml:space="preserve"> ensure</w:t>
      </w:r>
      <w:r w:rsidR="0045335D" w:rsidRPr="00FF2A2F">
        <w:rPr>
          <w:rStyle w:val="normaltextrun"/>
          <w:rFonts w:cstheme="minorHAnsi"/>
          <w:color w:val="auto"/>
          <w:sz w:val="21"/>
          <w:szCs w:val="21"/>
        </w:rPr>
        <w:t xml:space="preserve"> they have</w:t>
      </w:r>
      <w:r w:rsidR="00C66D7F" w:rsidRPr="00FF2A2F">
        <w:rPr>
          <w:rStyle w:val="normaltextrun"/>
          <w:rFonts w:cstheme="minorHAnsi"/>
          <w:color w:val="auto"/>
          <w:sz w:val="21"/>
          <w:szCs w:val="21"/>
        </w:rPr>
        <w:t xml:space="preserve"> an appropriate level of </w:t>
      </w:r>
      <w:r w:rsidR="00797AA5" w:rsidRPr="00FF2A2F">
        <w:rPr>
          <w:rStyle w:val="normaltextrun"/>
          <w:rFonts w:cstheme="minorHAnsi"/>
          <w:color w:val="auto"/>
          <w:sz w:val="21"/>
          <w:szCs w:val="21"/>
        </w:rPr>
        <w:t>risk and safeguarding management processes</w:t>
      </w:r>
      <w:r w:rsidR="00663ECC" w:rsidRPr="00FF2A2F">
        <w:rPr>
          <w:rStyle w:val="normaltextrun"/>
          <w:rFonts w:cstheme="minorHAnsi"/>
          <w:color w:val="auto"/>
          <w:sz w:val="21"/>
          <w:szCs w:val="21"/>
        </w:rPr>
        <w:t xml:space="preserve"> that meet DFAT standards</w:t>
      </w:r>
      <w:r w:rsidR="00797AA5" w:rsidRPr="00FF2A2F">
        <w:rPr>
          <w:rStyle w:val="normaltextrun"/>
          <w:rFonts w:cstheme="minorHAnsi"/>
          <w:color w:val="auto"/>
          <w:sz w:val="21"/>
          <w:szCs w:val="21"/>
        </w:rPr>
        <w:t>. This will provide assurance and engender a collective responsibility for managing and reducing potential risk and harm.</w:t>
      </w:r>
    </w:p>
    <w:p w14:paraId="43D775B9" w14:textId="14DF64FC" w:rsidR="00A12EF4" w:rsidRPr="00FF2A2F" w:rsidRDefault="00786412" w:rsidP="002F5656">
      <w:pPr>
        <w:spacing w:before="120" w:line="260" w:lineRule="atLeast"/>
        <w:ind w:left="0" w:firstLine="0"/>
        <w:rPr>
          <w:rStyle w:val="normaltextrun"/>
          <w:color w:val="auto"/>
        </w:rPr>
      </w:pPr>
      <w:r w:rsidRPr="00FF2A2F">
        <w:rPr>
          <w:rStyle w:val="normaltextrun"/>
          <w:rFonts w:cstheme="minorHAnsi"/>
          <w:color w:val="auto"/>
          <w:sz w:val="21"/>
          <w:szCs w:val="21"/>
        </w:rPr>
        <w:t>1</w:t>
      </w:r>
      <w:r w:rsidR="002F5656" w:rsidRPr="00FF2A2F">
        <w:rPr>
          <w:rStyle w:val="normaltextrun"/>
          <w:rFonts w:cstheme="minorHAnsi"/>
          <w:color w:val="auto"/>
          <w:sz w:val="21"/>
          <w:szCs w:val="21"/>
        </w:rPr>
        <w:t>71</w:t>
      </w:r>
      <w:r w:rsidR="00D55B38" w:rsidRPr="00FF2A2F">
        <w:rPr>
          <w:rStyle w:val="normaltextrun"/>
          <w:rFonts w:cstheme="minorHAnsi"/>
          <w:color w:val="auto"/>
          <w:sz w:val="21"/>
          <w:szCs w:val="21"/>
        </w:rPr>
        <w:t>.</w:t>
      </w:r>
      <w:r w:rsidR="002F5656" w:rsidRPr="00FF2A2F">
        <w:rPr>
          <w:rStyle w:val="normaltextrun"/>
          <w:rFonts w:cstheme="minorHAnsi"/>
          <w:color w:val="auto"/>
          <w:sz w:val="21"/>
          <w:szCs w:val="21"/>
        </w:rPr>
        <w:t xml:space="preserve"> </w:t>
      </w:r>
      <w:r w:rsidR="00A12EF4" w:rsidRPr="00FF2A2F">
        <w:rPr>
          <w:rStyle w:val="normaltextrun"/>
          <w:rFonts w:cstheme="minorHAnsi"/>
          <w:color w:val="auto"/>
          <w:sz w:val="21"/>
          <w:szCs w:val="21"/>
        </w:rPr>
        <w:t xml:space="preserve">A fiduciary risk assessment of the NDRMO will be undertaken in the first </w:t>
      </w:r>
      <w:r w:rsidR="006F4509" w:rsidRPr="00FF2A2F">
        <w:rPr>
          <w:rStyle w:val="normaltextrun"/>
          <w:rFonts w:cstheme="minorHAnsi"/>
          <w:color w:val="auto"/>
          <w:sz w:val="21"/>
          <w:szCs w:val="21"/>
        </w:rPr>
        <w:t>6 months</w:t>
      </w:r>
      <w:r w:rsidR="00A12EF4" w:rsidRPr="00FF2A2F">
        <w:rPr>
          <w:rStyle w:val="normaltextrun"/>
          <w:rFonts w:cstheme="minorHAnsi"/>
          <w:color w:val="auto"/>
          <w:sz w:val="21"/>
          <w:szCs w:val="21"/>
        </w:rPr>
        <w:t xml:space="preserve"> given the increase in funding </w:t>
      </w:r>
      <w:r w:rsidR="007407CC" w:rsidRPr="00FF2A2F">
        <w:rPr>
          <w:rStyle w:val="normaltextrun"/>
          <w:rFonts w:cstheme="minorHAnsi"/>
          <w:color w:val="auto"/>
          <w:sz w:val="21"/>
          <w:szCs w:val="21"/>
        </w:rPr>
        <w:t xml:space="preserve">provided by this investment. </w:t>
      </w:r>
    </w:p>
    <w:p w14:paraId="0BE6F5A1" w14:textId="39C0B011" w:rsidR="00797AA5" w:rsidRPr="00FF2A2F" w:rsidRDefault="00797AA5" w:rsidP="002F5656">
      <w:pPr>
        <w:pStyle w:val="paragraph"/>
        <w:spacing w:before="120" w:beforeAutospacing="0" w:after="60" w:afterAutospacing="0" w:line="260" w:lineRule="atLeast"/>
        <w:ind w:left="0" w:firstLine="0"/>
        <w:textAlignment w:val="baseline"/>
        <w:rPr>
          <w:rFonts w:asciiTheme="minorHAnsi" w:hAnsiTheme="minorHAnsi" w:cstheme="minorHAnsi"/>
          <w:sz w:val="22"/>
          <w:szCs w:val="22"/>
        </w:rPr>
      </w:pPr>
      <w:r w:rsidRPr="00FF2A2F">
        <w:rPr>
          <w:rStyle w:val="normaltextrun"/>
          <w:rFonts w:asciiTheme="minorHAnsi" w:hAnsiTheme="minorHAnsi" w:cstheme="minorHAnsi"/>
          <w:b/>
          <w:bCs/>
          <w:sz w:val="22"/>
          <w:szCs w:val="22"/>
        </w:rPr>
        <w:t>Child Protection, Sexual Exploitation, Harassment and Abuse and Environmental and Social</w:t>
      </w:r>
      <w:r w:rsidR="00E216A1" w:rsidRPr="00FF2A2F">
        <w:rPr>
          <w:rStyle w:val="normaltextrun"/>
          <w:rFonts w:asciiTheme="minorHAnsi" w:hAnsiTheme="minorHAnsi" w:cstheme="minorHAnsi"/>
          <w:b/>
          <w:bCs/>
          <w:sz w:val="22"/>
          <w:szCs w:val="22"/>
        </w:rPr>
        <w:t xml:space="preserve"> </w:t>
      </w:r>
      <w:r w:rsidR="00EC491F" w:rsidRPr="00FF2A2F">
        <w:rPr>
          <w:rStyle w:val="normaltextrun"/>
          <w:rFonts w:asciiTheme="minorHAnsi" w:hAnsiTheme="minorHAnsi" w:cstheme="minorHAnsi"/>
          <w:b/>
          <w:bCs/>
          <w:sz w:val="22"/>
          <w:szCs w:val="22"/>
        </w:rPr>
        <w:t>Safeguards</w:t>
      </w:r>
      <w:r w:rsidR="00EC491F" w:rsidRPr="00FF2A2F">
        <w:rPr>
          <w:rStyle w:val="eop"/>
          <w:rFonts w:asciiTheme="minorHAnsi" w:hAnsiTheme="minorHAnsi" w:cstheme="minorHAnsi"/>
          <w:sz w:val="22"/>
          <w:szCs w:val="22"/>
        </w:rPr>
        <w:t> </w:t>
      </w:r>
    </w:p>
    <w:p w14:paraId="62F3E639" w14:textId="373DDF0C" w:rsidR="00D269FE" w:rsidRPr="00FF2A2F" w:rsidRDefault="00786412" w:rsidP="002F5656">
      <w:pPr>
        <w:spacing w:before="120" w:line="260" w:lineRule="atLeast"/>
        <w:ind w:left="0" w:firstLine="0"/>
        <w:rPr>
          <w:rStyle w:val="normaltextrun"/>
          <w:color w:val="auto"/>
        </w:rPr>
      </w:pPr>
      <w:r w:rsidRPr="00FF2A2F">
        <w:rPr>
          <w:rStyle w:val="normaltextrun"/>
          <w:rFonts w:cstheme="minorHAnsi"/>
          <w:color w:val="auto"/>
          <w:sz w:val="21"/>
          <w:szCs w:val="21"/>
        </w:rPr>
        <w:t>1</w:t>
      </w:r>
      <w:r w:rsidR="002F5656" w:rsidRPr="00FF2A2F">
        <w:rPr>
          <w:rStyle w:val="normaltextrun"/>
          <w:rFonts w:cstheme="minorHAnsi"/>
          <w:color w:val="auto"/>
          <w:sz w:val="21"/>
          <w:szCs w:val="21"/>
        </w:rPr>
        <w:t>72</w:t>
      </w:r>
      <w:r w:rsidR="00D55B38" w:rsidRPr="00FF2A2F">
        <w:rPr>
          <w:rStyle w:val="normaltextrun"/>
          <w:rFonts w:cstheme="minorHAnsi"/>
          <w:color w:val="auto"/>
          <w:sz w:val="21"/>
          <w:szCs w:val="21"/>
        </w:rPr>
        <w:t>.</w:t>
      </w:r>
      <w:r w:rsidR="002F5656" w:rsidRPr="00FF2A2F">
        <w:rPr>
          <w:rStyle w:val="normaltextrun"/>
          <w:rFonts w:cstheme="minorHAnsi"/>
          <w:color w:val="auto"/>
          <w:sz w:val="21"/>
          <w:szCs w:val="21"/>
        </w:rPr>
        <w:t xml:space="preserve"> </w:t>
      </w:r>
      <w:r w:rsidR="00797AA5" w:rsidRPr="00FF2A2F">
        <w:rPr>
          <w:rStyle w:val="normaltextrun"/>
          <w:rFonts w:cstheme="minorHAnsi"/>
          <w:color w:val="auto"/>
          <w:sz w:val="21"/>
          <w:szCs w:val="21"/>
        </w:rPr>
        <w:t>The design has analysed the child protection, SEAH, and environmental and social safeguard (ESS) risks and found there to be a moderate rating after controls and treatments are applied. </w:t>
      </w:r>
      <w:r w:rsidR="00797AA5" w:rsidRPr="00FF2A2F">
        <w:rPr>
          <w:rStyle w:val="normaltextrun"/>
          <w:color w:val="auto"/>
        </w:rPr>
        <w:t> </w:t>
      </w:r>
    </w:p>
    <w:p w14:paraId="2AFAF356" w14:textId="49F5943A" w:rsidR="0013293A" w:rsidRPr="00FF2A2F" w:rsidRDefault="00797AA5" w:rsidP="002F5656">
      <w:pPr>
        <w:pStyle w:val="paragraph"/>
        <w:numPr>
          <w:ilvl w:val="0"/>
          <w:numId w:val="15"/>
        </w:numPr>
        <w:spacing w:before="120" w:beforeAutospacing="0" w:after="60" w:afterAutospacing="0" w:line="260" w:lineRule="atLeast"/>
        <w:textAlignment w:val="baseline"/>
        <w:rPr>
          <w:rStyle w:val="normaltextrun"/>
          <w:rFonts w:asciiTheme="minorHAnsi" w:hAnsiTheme="minorHAnsi" w:cstheme="minorHAnsi"/>
          <w:sz w:val="21"/>
          <w:szCs w:val="21"/>
        </w:rPr>
      </w:pPr>
      <w:r w:rsidRPr="00FF2A2F">
        <w:rPr>
          <w:rStyle w:val="normaltextrun"/>
          <w:rFonts w:asciiTheme="minorHAnsi" w:hAnsiTheme="minorHAnsi" w:cstheme="minorHAnsi"/>
          <w:sz w:val="21"/>
          <w:szCs w:val="21"/>
        </w:rPr>
        <w:t>Child protection: Direct contact with children in the day-to-day investment activities is relatively unlikely, there is the potential for contact with children as part of monitoring visits and consultation processes. </w:t>
      </w:r>
      <w:r w:rsidRPr="00FF2A2F">
        <w:rPr>
          <w:rStyle w:val="normaltextrun"/>
        </w:rPr>
        <w:t> </w:t>
      </w:r>
    </w:p>
    <w:p w14:paraId="6DE68FC8" w14:textId="42BDD336" w:rsidR="0013293A" w:rsidRPr="00FF2A2F" w:rsidRDefault="00797AA5" w:rsidP="002F5656">
      <w:pPr>
        <w:pStyle w:val="paragraph"/>
        <w:numPr>
          <w:ilvl w:val="0"/>
          <w:numId w:val="15"/>
        </w:numPr>
        <w:spacing w:before="120" w:beforeAutospacing="0" w:after="60" w:afterAutospacing="0" w:line="260" w:lineRule="atLeast"/>
        <w:textAlignment w:val="baseline"/>
        <w:rPr>
          <w:rStyle w:val="normaltextrun"/>
        </w:rPr>
      </w:pPr>
      <w:r w:rsidRPr="00FF2A2F">
        <w:rPr>
          <w:rStyle w:val="normaltextrun"/>
          <w:rFonts w:asciiTheme="minorHAnsi" w:hAnsiTheme="minorHAnsi" w:cstheme="minorHAnsi"/>
          <w:sz w:val="21"/>
          <w:szCs w:val="21"/>
        </w:rPr>
        <w:t xml:space="preserve">SEAH: </w:t>
      </w:r>
      <w:r w:rsidR="00DD1678" w:rsidRPr="00FF2A2F">
        <w:rPr>
          <w:rStyle w:val="normaltextrun"/>
          <w:rFonts w:asciiTheme="minorHAnsi" w:hAnsiTheme="minorHAnsi" w:cstheme="minorHAnsi"/>
          <w:sz w:val="21"/>
          <w:szCs w:val="21"/>
        </w:rPr>
        <w:t>The investment</w:t>
      </w:r>
      <w:r w:rsidRPr="00FF2A2F">
        <w:rPr>
          <w:rStyle w:val="normaltextrun"/>
          <w:rFonts w:asciiTheme="minorHAnsi" w:hAnsiTheme="minorHAnsi" w:cstheme="minorHAnsi"/>
          <w:sz w:val="21"/>
          <w:szCs w:val="21"/>
        </w:rPr>
        <w:t xml:space="preserve"> will create and sustain more inclusive policy and practice. It is anticipated this will support a reduction in the potential for power dynamics, particularly between men and women, to lead to exploitation and abuse. </w:t>
      </w:r>
      <w:r w:rsidRPr="00FF2A2F">
        <w:rPr>
          <w:rStyle w:val="normaltextrun"/>
        </w:rPr>
        <w:t> </w:t>
      </w:r>
    </w:p>
    <w:p w14:paraId="7997F583" w14:textId="23285CD5" w:rsidR="00444166" w:rsidRPr="00FF2A2F" w:rsidRDefault="00797AA5" w:rsidP="002F5656">
      <w:pPr>
        <w:pStyle w:val="paragraph"/>
        <w:numPr>
          <w:ilvl w:val="0"/>
          <w:numId w:val="15"/>
        </w:numPr>
        <w:spacing w:before="120" w:beforeAutospacing="0" w:after="60" w:afterAutospacing="0" w:line="260" w:lineRule="atLeast"/>
        <w:textAlignment w:val="baseline"/>
        <w:rPr>
          <w:rStyle w:val="normaltextrun"/>
          <w:rFonts w:asciiTheme="minorHAnsi" w:hAnsiTheme="minorHAnsi" w:cstheme="minorHAnsi"/>
          <w:sz w:val="21"/>
          <w:szCs w:val="21"/>
        </w:rPr>
      </w:pPr>
      <w:r w:rsidRPr="00FF2A2F">
        <w:rPr>
          <w:rStyle w:val="normaltextrun"/>
          <w:rFonts w:asciiTheme="minorHAnsi" w:hAnsiTheme="minorHAnsi" w:cstheme="minorHAnsi"/>
          <w:sz w:val="21"/>
          <w:szCs w:val="21"/>
        </w:rPr>
        <w:lastRenderedPageBreak/>
        <w:t xml:space="preserve">ESS: </w:t>
      </w:r>
      <w:r w:rsidR="002E777A" w:rsidRPr="00FF2A2F">
        <w:rPr>
          <w:rStyle w:val="normaltextrun"/>
          <w:rFonts w:asciiTheme="minorHAnsi" w:hAnsiTheme="minorHAnsi" w:cstheme="minorHAnsi"/>
          <w:sz w:val="21"/>
          <w:szCs w:val="21"/>
        </w:rPr>
        <w:t xml:space="preserve">It is not anticipated there will be significant environmental or social risks created by </w:t>
      </w:r>
      <w:r w:rsidR="00DD1678" w:rsidRPr="00FF2A2F">
        <w:rPr>
          <w:rStyle w:val="normaltextrun"/>
          <w:rFonts w:asciiTheme="minorHAnsi" w:hAnsiTheme="minorHAnsi" w:cstheme="minorHAnsi"/>
          <w:sz w:val="21"/>
          <w:szCs w:val="21"/>
        </w:rPr>
        <w:t>the investment</w:t>
      </w:r>
      <w:r w:rsidR="002E777A" w:rsidRPr="00FF2A2F">
        <w:rPr>
          <w:rStyle w:val="normaltextrun"/>
          <w:rFonts w:asciiTheme="minorHAnsi" w:hAnsiTheme="minorHAnsi" w:cstheme="minorHAnsi"/>
          <w:sz w:val="21"/>
          <w:szCs w:val="21"/>
        </w:rPr>
        <w:t xml:space="preserve">. One potential risk could be any infrastructure on the surrounding environment however the investment will not be directly engaging in construction activities. </w:t>
      </w:r>
    </w:p>
    <w:p w14:paraId="2E56BDCD" w14:textId="03018F7E" w:rsidR="00A76EC4" w:rsidRPr="00FF2A2F" w:rsidRDefault="00797AA5" w:rsidP="002F5656">
      <w:pPr>
        <w:pStyle w:val="paragraph"/>
        <w:numPr>
          <w:ilvl w:val="0"/>
          <w:numId w:val="15"/>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 xml:space="preserve">Safeguarding risks have been identified in the risk register. </w:t>
      </w:r>
      <w:r w:rsidR="00745355" w:rsidRPr="00FF2A2F">
        <w:rPr>
          <w:rStyle w:val="normaltextrun"/>
          <w:rFonts w:asciiTheme="minorHAnsi" w:hAnsiTheme="minorHAnsi" w:cstheme="minorHAnsi"/>
          <w:sz w:val="21"/>
          <w:szCs w:val="21"/>
        </w:rPr>
        <w:t>Post</w:t>
      </w:r>
      <w:r w:rsidR="00CF3988" w:rsidRPr="00FF2A2F">
        <w:rPr>
          <w:rStyle w:val="normaltextrun"/>
          <w:rFonts w:asciiTheme="minorHAnsi" w:hAnsiTheme="minorHAnsi" w:cstheme="minorHAnsi"/>
          <w:sz w:val="21"/>
          <w:szCs w:val="21"/>
        </w:rPr>
        <w:t xml:space="preserve"> </w:t>
      </w:r>
      <w:r w:rsidRPr="00FF2A2F">
        <w:rPr>
          <w:rStyle w:val="normaltextrun"/>
          <w:rFonts w:asciiTheme="minorHAnsi" w:hAnsiTheme="minorHAnsi" w:cstheme="minorHAnsi"/>
          <w:sz w:val="21"/>
          <w:szCs w:val="21"/>
        </w:rPr>
        <w:t xml:space="preserve">will ensure that safeguarding risk management is incorporated into governance and MEL processes and extends </w:t>
      </w:r>
      <w:r w:rsidR="00A32BAA" w:rsidRPr="00FF2A2F">
        <w:rPr>
          <w:rStyle w:val="normaltextrun"/>
          <w:rFonts w:asciiTheme="minorHAnsi" w:hAnsiTheme="minorHAnsi" w:cstheme="minorHAnsi"/>
          <w:sz w:val="21"/>
          <w:szCs w:val="21"/>
        </w:rPr>
        <w:t>to government</w:t>
      </w:r>
      <w:r w:rsidRPr="00FF2A2F">
        <w:rPr>
          <w:rStyle w:val="normaltextrun"/>
          <w:rFonts w:asciiTheme="minorHAnsi" w:hAnsiTheme="minorHAnsi" w:cstheme="minorHAnsi"/>
          <w:sz w:val="21"/>
          <w:szCs w:val="21"/>
        </w:rPr>
        <w:t xml:space="preserve"> and downstream partners. </w:t>
      </w:r>
      <w:r w:rsidRPr="00FF2A2F">
        <w:rPr>
          <w:rStyle w:val="normaltextrun"/>
        </w:rPr>
        <w:t> </w:t>
      </w:r>
    </w:p>
    <w:p w14:paraId="5B2D7312" w14:textId="5D26D0F8" w:rsidR="00D55B38" w:rsidRPr="00FF2A2F" w:rsidRDefault="002F5656" w:rsidP="002F5656">
      <w:pPr>
        <w:pStyle w:val="paragraph"/>
        <w:spacing w:before="120" w:beforeAutospacing="0" w:after="60" w:afterAutospacing="0" w:line="260" w:lineRule="atLeast"/>
        <w:ind w:left="0" w:firstLine="0"/>
        <w:textAlignment w:val="baseline"/>
        <w:rPr>
          <w:rStyle w:val="normaltextrun"/>
          <w:rFonts w:asciiTheme="minorHAnsi" w:hAnsiTheme="minorHAnsi" w:cstheme="minorHAnsi"/>
          <w:sz w:val="21"/>
          <w:szCs w:val="21"/>
        </w:rPr>
      </w:pPr>
      <w:r w:rsidRPr="00FF2A2F">
        <w:rPr>
          <w:rStyle w:val="normaltextrun"/>
          <w:rFonts w:asciiTheme="minorHAnsi" w:hAnsiTheme="minorHAnsi" w:cstheme="minorHAnsi"/>
          <w:sz w:val="21"/>
          <w:szCs w:val="21"/>
        </w:rPr>
        <w:t xml:space="preserve">173. </w:t>
      </w:r>
      <w:r w:rsidR="00797AA5" w:rsidRPr="00FF2A2F">
        <w:rPr>
          <w:rStyle w:val="normaltextrun"/>
          <w:rFonts w:asciiTheme="minorHAnsi" w:hAnsiTheme="minorHAnsi" w:cstheme="minorHAnsi"/>
          <w:sz w:val="21"/>
          <w:szCs w:val="21"/>
        </w:rPr>
        <w:t>Mitigation measure</w:t>
      </w:r>
      <w:r w:rsidR="00125F44" w:rsidRPr="00FF2A2F">
        <w:rPr>
          <w:rStyle w:val="normaltextrun"/>
          <w:rFonts w:asciiTheme="minorHAnsi" w:hAnsiTheme="minorHAnsi" w:cstheme="minorHAnsi"/>
          <w:sz w:val="21"/>
          <w:szCs w:val="21"/>
        </w:rPr>
        <w:t>s</w:t>
      </w:r>
      <w:r w:rsidR="00797AA5" w:rsidRPr="00FF2A2F">
        <w:rPr>
          <w:rStyle w:val="normaltextrun"/>
          <w:rFonts w:asciiTheme="minorHAnsi" w:hAnsiTheme="minorHAnsi" w:cstheme="minorHAnsi"/>
          <w:sz w:val="21"/>
          <w:szCs w:val="21"/>
        </w:rPr>
        <w:t xml:space="preserve"> to address what is likely to be an ongoing</w:t>
      </w:r>
      <w:r w:rsidR="0063779E" w:rsidRPr="00FF2A2F">
        <w:rPr>
          <w:rStyle w:val="normaltextrun"/>
          <w:rFonts w:asciiTheme="minorHAnsi" w:hAnsiTheme="minorHAnsi" w:cstheme="minorHAnsi"/>
          <w:sz w:val="21"/>
          <w:szCs w:val="21"/>
        </w:rPr>
        <w:t xml:space="preserve"> moderate</w:t>
      </w:r>
      <w:r w:rsidR="00797AA5" w:rsidRPr="00FF2A2F">
        <w:rPr>
          <w:rStyle w:val="normaltextrun"/>
          <w:rFonts w:asciiTheme="minorHAnsi" w:hAnsiTheme="minorHAnsi" w:cstheme="minorHAnsi"/>
          <w:sz w:val="21"/>
          <w:szCs w:val="21"/>
        </w:rPr>
        <w:t xml:space="preserve"> rating will include: </w:t>
      </w:r>
      <w:r w:rsidR="00797AA5" w:rsidRPr="00FF2A2F">
        <w:rPr>
          <w:rStyle w:val="eop"/>
          <w:rFonts w:asciiTheme="minorHAnsi" w:hAnsiTheme="minorHAnsi" w:cstheme="minorHAnsi"/>
          <w:sz w:val="21"/>
          <w:szCs w:val="21"/>
        </w:rPr>
        <w:t> </w:t>
      </w:r>
    </w:p>
    <w:p w14:paraId="1B26E911" w14:textId="77777777" w:rsidR="00125F44" w:rsidRPr="00FF2A2F" w:rsidRDefault="00797AA5" w:rsidP="006B7677">
      <w:pPr>
        <w:pStyle w:val="paragraph"/>
        <w:numPr>
          <w:ilvl w:val="0"/>
          <w:numId w:val="28"/>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 xml:space="preserve">Mandatory child protection, ESS, and PSEAH training for all </w:t>
      </w:r>
      <w:r w:rsidR="00325EF5" w:rsidRPr="00FF2A2F">
        <w:rPr>
          <w:rStyle w:val="normaltextrun"/>
          <w:rFonts w:asciiTheme="minorHAnsi" w:hAnsiTheme="minorHAnsi" w:cstheme="minorHAnsi"/>
          <w:sz w:val="21"/>
          <w:szCs w:val="21"/>
        </w:rPr>
        <w:t xml:space="preserve">government and CSO staff </w:t>
      </w:r>
      <w:r w:rsidRPr="00FF2A2F">
        <w:rPr>
          <w:rStyle w:val="normaltextrun"/>
          <w:rFonts w:asciiTheme="minorHAnsi" w:hAnsiTheme="minorHAnsi" w:cstheme="minorHAnsi"/>
          <w:sz w:val="21"/>
          <w:szCs w:val="21"/>
        </w:rPr>
        <w:t>and partners, and regular refresher sessions.  </w:t>
      </w:r>
      <w:r w:rsidRPr="00FF2A2F">
        <w:rPr>
          <w:rStyle w:val="eop"/>
          <w:rFonts w:asciiTheme="minorHAnsi" w:hAnsiTheme="minorHAnsi" w:cstheme="minorHAnsi"/>
          <w:sz w:val="21"/>
          <w:szCs w:val="21"/>
        </w:rPr>
        <w:t> </w:t>
      </w:r>
    </w:p>
    <w:p w14:paraId="770413B8" w14:textId="136F329B" w:rsidR="00125F44" w:rsidRPr="00FF2A2F" w:rsidRDefault="00797AA5" w:rsidP="006B7677">
      <w:pPr>
        <w:pStyle w:val="paragraph"/>
        <w:numPr>
          <w:ilvl w:val="0"/>
          <w:numId w:val="28"/>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Policies</w:t>
      </w:r>
      <w:r w:rsidR="007F3C04" w:rsidRPr="00FF2A2F">
        <w:rPr>
          <w:rStyle w:val="normaltextrun"/>
          <w:rFonts w:asciiTheme="minorHAnsi" w:hAnsiTheme="minorHAnsi" w:cstheme="minorHAnsi"/>
          <w:sz w:val="21"/>
          <w:szCs w:val="21"/>
        </w:rPr>
        <w:t xml:space="preserve"> </w:t>
      </w:r>
      <w:r w:rsidRPr="00FF2A2F">
        <w:rPr>
          <w:rStyle w:val="normaltextrun"/>
          <w:rFonts w:asciiTheme="minorHAnsi" w:hAnsiTheme="minorHAnsi" w:cstheme="minorHAnsi"/>
          <w:sz w:val="21"/>
          <w:szCs w:val="21"/>
        </w:rPr>
        <w:t>/</w:t>
      </w:r>
      <w:r w:rsidR="007F3C04" w:rsidRPr="00FF2A2F">
        <w:rPr>
          <w:rStyle w:val="normaltextrun"/>
          <w:rFonts w:asciiTheme="minorHAnsi" w:hAnsiTheme="minorHAnsi" w:cstheme="minorHAnsi"/>
          <w:sz w:val="21"/>
          <w:szCs w:val="21"/>
        </w:rPr>
        <w:t xml:space="preserve"> </w:t>
      </w:r>
      <w:r w:rsidRPr="00FF2A2F">
        <w:rPr>
          <w:rStyle w:val="normaltextrun"/>
          <w:rFonts w:asciiTheme="minorHAnsi" w:hAnsiTheme="minorHAnsi" w:cstheme="minorHAnsi"/>
          <w:sz w:val="21"/>
          <w:szCs w:val="21"/>
        </w:rPr>
        <w:t>Codes of Conduct include explicit references to child protection and PSEAH are signed by all staff and contractors. </w:t>
      </w:r>
      <w:r w:rsidRPr="00FF2A2F">
        <w:rPr>
          <w:rStyle w:val="eop"/>
          <w:rFonts w:asciiTheme="minorHAnsi" w:hAnsiTheme="minorHAnsi" w:cstheme="minorHAnsi"/>
          <w:sz w:val="21"/>
          <w:szCs w:val="21"/>
        </w:rPr>
        <w:t> </w:t>
      </w:r>
    </w:p>
    <w:p w14:paraId="3B9AFFA4" w14:textId="77777777" w:rsidR="00125F44" w:rsidRPr="00FF2A2F" w:rsidRDefault="00797AA5" w:rsidP="006B7677">
      <w:pPr>
        <w:pStyle w:val="paragraph"/>
        <w:numPr>
          <w:ilvl w:val="0"/>
          <w:numId w:val="28"/>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Incident reporting and investigation systems and procedures are in place. </w:t>
      </w:r>
      <w:r w:rsidRPr="00FF2A2F">
        <w:rPr>
          <w:rStyle w:val="eop"/>
          <w:rFonts w:asciiTheme="minorHAnsi" w:hAnsiTheme="minorHAnsi" w:cstheme="minorHAnsi"/>
          <w:sz w:val="21"/>
          <w:szCs w:val="21"/>
        </w:rPr>
        <w:t> </w:t>
      </w:r>
    </w:p>
    <w:p w14:paraId="24EFDFB3" w14:textId="711CB1F6" w:rsidR="00125F44" w:rsidRPr="00FF2A2F" w:rsidRDefault="00797AA5" w:rsidP="006B7677">
      <w:pPr>
        <w:pStyle w:val="paragraph"/>
        <w:numPr>
          <w:ilvl w:val="0"/>
          <w:numId w:val="28"/>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Recruitment screening measures are in place and utilised</w:t>
      </w:r>
      <w:r w:rsidR="00330065" w:rsidRPr="00FF2A2F">
        <w:rPr>
          <w:rStyle w:val="normaltextrun"/>
          <w:rFonts w:asciiTheme="minorHAnsi" w:hAnsiTheme="minorHAnsi" w:cstheme="minorHAnsi"/>
          <w:sz w:val="21"/>
          <w:szCs w:val="21"/>
        </w:rPr>
        <w:t xml:space="preserve"> by DFAT and all </w:t>
      </w:r>
      <w:r w:rsidR="007F3C04" w:rsidRPr="00FF2A2F">
        <w:rPr>
          <w:rStyle w:val="normaltextrun"/>
          <w:rFonts w:asciiTheme="minorHAnsi" w:hAnsiTheme="minorHAnsi" w:cstheme="minorHAnsi"/>
          <w:sz w:val="21"/>
          <w:szCs w:val="21"/>
        </w:rPr>
        <w:t>investment</w:t>
      </w:r>
      <w:r w:rsidR="00330065" w:rsidRPr="00FF2A2F">
        <w:rPr>
          <w:rStyle w:val="normaltextrun"/>
          <w:rFonts w:asciiTheme="minorHAnsi" w:hAnsiTheme="minorHAnsi" w:cstheme="minorHAnsi"/>
          <w:sz w:val="21"/>
          <w:szCs w:val="21"/>
        </w:rPr>
        <w:t xml:space="preserve"> partners</w:t>
      </w:r>
      <w:r w:rsidRPr="00FF2A2F">
        <w:rPr>
          <w:rStyle w:val="normaltextrun"/>
          <w:rFonts w:asciiTheme="minorHAnsi" w:hAnsiTheme="minorHAnsi" w:cstheme="minorHAnsi"/>
          <w:sz w:val="21"/>
          <w:szCs w:val="21"/>
        </w:rPr>
        <w:t>. </w:t>
      </w:r>
      <w:r w:rsidRPr="00FF2A2F">
        <w:rPr>
          <w:rStyle w:val="eop"/>
          <w:rFonts w:asciiTheme="minorHAnsi" w:hAnsiTheme="minorHAnsi" w:cstheme="minorHAnsi"/>
          <w:sz w:val="21"/>
          <w:szCs w:val="21"/>
        </w:rPr>
        <w:t> </w:t>
      </w:r>
    </w:p>
    <w:p w14:paraId="704ECB60" w14:textId="77777777" w:rsidR="00125F44" w:rsidRPr="00FF2A2F" w:rsidRDefault="00797AA5" w:rsidP="006B7677">
      <w:pPr>
        <w:pStyle w:val="paragraph"/>
        <w:numPr>
          <w:ilvl w:val="0"/>
          <w:numId w:val="28"/>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Mandatory reporting of child protection and SEAH incidents that meet DFAT timelines and standards. </w:t>
      </w:r>
      <w:r w:rsidRPr="00FF2A2F">
        <w:rPr>
          <w:rStyle w:val="eop"/>
          <w:rFonts w:asciiTheme="minorHAnsi" w:hAnsiTheme="minorHAnsi" w:cstheme="minorHAnsi"/>
          <w:sz w:val="21"/>
          <w:szCs w:val="21"/>
        </w:rPr>
        <w:t> </w:t>
      </w:r>
    </w:p>
    <w:p w14:paraId="2F58A995" w14:textId="77777777" w:rsidR="00125F44" w:rsidRPr="00FF2A2F" w:rsidRDefault="00797AA5" w:rsidP="006B7677">
      <w:pPr>
        <w:pStyle w:val="paragraph"/>
        <w:numPr>
          <w:ilvl w:val="0"/>
          <w:numId w:val="28"/>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Criminal penalties for notifications and breaches are specified.</w:t>
      </w:r>
      <w:r w:rsidRPr="00FF2A2F">
        <w:rPr>
          <w:rStyle w:val="eop"/>
          <w:rFonts w:asciiTheme="minorHAnsi" w:hAnsiTheme="minorHAnsi" w:cstheme="minorHAnsi"/>
          <w:sz w:val="21"/>
          <w:szCs w:val="21"/>
        </w:rPr>
        <w:t> </w:t>
      </w:r>
    </w:p>
    <w:p w14:paraId="74D91885" w14:textId="62248D96" w:rsidR="00623B95" w:rsidRPr="00FF2A2F" w:rsidRDefault="00797AA5" w:rsidP="006B7677">
      <w:pPr>
        <w:pStyle w:val="paragraph"/>
        <w:numPr>
          <w:ilvl w:val="0"/>
          <w:numId w:val="28"/>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Confirmation of staff accountabilities for safeguards management, and for handling complaints and notifications.  </w:t>
      </w:r>
      <w:r w:rsidRPr="00FF2A2F">
        <w:rPr>
          <w:rStyle w:val="eop"/>
          <w:rFonts w:asciiTheme="minorHAnsi" w:hAnsiTheme="minorHAnsi" w:cstheme="minorHAnsi"/>
          <w:sz w:val="21"/>
          <w:szCs w:val="21"/>
        </w:rPr>
        <w:t> </w:t>
      </w:r>
    </w:p>
    <w:p w14:paraId="26B3F7B9" w14:textId="3DAA212E" w:rsidR="002622BB" w:rsidRPr="00FF2A2F" w:rsidRDefault="00786412" w:rsidP="002F5656">
      <w:pPr>
        <w:pStyle w:val="paragraph"/>
        <w:spacing w:before="120" w:beforeAutospacing="0" w:after="60" w:afterAutospacing="0" w:line="260" w:lineRule="atLeast"/>
        <w:ind w:left="0" w:firstLine="0"/>
        <w:textAlignment w:val="baseline"/>
        <w:rPr>
          <w:rStyle w:val="normaltextrun"/>
        </w:rPr>
      </w:pPr>
      <w:r w:rsidRPr="00FF2A2F">
        <w:rPr>
          <w:rStyle w:val="normaltextrun"/>
          <w:rFonts w:asciiTheme="minorHAnsi" w:hAnsiTheme="minorHAnsi" w:cstheme="minorHAnsi"/>
          <w:sz w:val="21"/>
          <w:szCs w:val="21"/>
        </w:rPr>
        <w:t>1</w:t>
      </w:r>
      <w:r w:rsidR="002F5656" w:rsidRPr="00FF2A2F">
        <w:rPr>
          <w:rStyle w:val="normaltextrun"/>
          <w:rFonts w:asciiTheme="minorHAnsi" w:hAnsiTheme="minorHAnsi" w:cstheme="minorHAnsi"/>
          <w:sz w:val="21"/>
          <w:szCs w:val="21"/>
        </w:rPr>
        <w:t>74</w:t>
      </w:r>
      <w:r w:rsidR="00125F44" w:rsidRPr="00FF2A2F">
        <w:rPr>
          <w:rStyle w:val="normaltextrun"/>
          <w:rFonts w:asciiTheme="minorHAnsi" w:hAnsiTheme="minorHAnsi" w:cstheme="minorHAnsi"/>
          <w:sz w:val="21"/>
          <w:szCs w:val="21"/>
        </w:rPr>
        <w:t>.</w:t>
      </w:r>
      <w:r w:rsidR="002F5656" w:rsidRPr="00FF2A2F">
        <w:rPr>
          <w:rStyle w:val="normaltextrun"/>
          <w:rFonts w:asciiTheme="minorHAnsi" w:hAnsiTheme="minorHAnsi" w:cstheme="minorHAnsi"/>
          <w:sz w:val="21"/>
          <w:szCs w:val="21"/>
        </w:rPr>
        <w:t xml:space="preserve"> </w:t>
      </w:r>
      <w:r w:rsidR="00E703B3" w:rsidRPr="00FF2A2F">
        <w:rPr>
          <w:rStyle w:val="normaltextrun"/>
          <w:rFonts w:asciiTheme="minorHAnsi" w:hAnsiTheme="minorHAnsi" w:cstheme="minorHAnsi"/>
          <w:sz w:val="21"/>
          <w:szCs w:val="21"/>
        </w:rPr>
        <w:t xml:space="preserve">Post </w:t>
      </w:r>
      <w:r w:rsidR="00797AA5" w:rsidRPr="00FF2A2F">
        <w:rPr>
          <w:rStyle w:val="normaltextrun"/>
          <w:rFonts w:asciiTheme="minorHAnsi" w:hAnsiTheme="minorHAnsi" w:cstheme="minorHAnsi"/>
          <w:sz w:val="21"/>
          <w:szCs w:val="21"/>
        </w:rPr>
        <w:t xml:space="preserve">will be responsible for ensuring </w:t>
      </w:r>
      <w:r w:rsidR="00DD1678" w:rsidRPr="00FF2A2F">
        <w:rPr>
          <w:rStyle w:val="normaltextrun"/>
          <w:rFonts w:asciiTheme="minorHAnsi" w:hAnsiTheme="minorHAnsi" w:cstheme="minorHAnsi"/>
          <w:sz w:val="21"/>
          <w:szCs w:val="21"/>
        </w:rPr>
        <w:t>the investment</w:t>
      </w:r>
      <w:r w:rsidR="00204452" w:rsidRPr="00FF2A2F">
        <w:rPr>
          <w:rStyle w:val="normaltextrun"/>
          <w:rFonts w:asciiTheme="minorHAnsi" w:hAnsiTheme="minorHAnsi" w:cstheme="minorHAnsi"/>
          <w:sz w:val="21"/>
          <w:szCs w:val="21"/>
        </w:rPr>
        <w:t xml:space="preserve">s </w:t>
      </w:r>
      <w:r w:rsidR="00797AA5" w:rsidRPr="00FF2A2F">
        <w:rPr>
          <w:rStyle w:val="normaltextrun"/>
          <w:rFonts w:asciiTheme="minorHAnsi" w:hAnsiTheme="minorHAnsi" w:cstheme="minorHAnsi"/>
          <w:sz w:val="21"/>
          <w:szCs w:val="21"/>
        </w:rPr>
        <w:t>safeguards work is aligned with DFAT risks and safeguards policies. There are high expectations of safeguarding compliance and effective management. There are also shared global commitments around safeguards such as Do No Harm principles with which the investment will adhere. </w:t>
      </w:r>
      <w:r w:rsidR="00797AA5" w:rsidRPr="00FF2A2F">
        <w:rPr>
          <w:rStyle w:val="normaltextrun"/>
        </w:rPr>
        <w:t> </w:t>
      </w:r>
    </w:p>
    <w:p w14:paraId="77BE036C" w14:textId="36F08BB6" w:rsidR="00F028E6" w:rsidRPr="00FF2A2F" w:rsidRDefault="00786412" w:rsidP="002F5656">
      <w:pPr>
        <w:pStyle w:val="paragraph"/>
        <w:spacing w:before="120" w:beforeAutospacing="0" w:after="60" w:afterAutospacing="0" w:line="260" w:lineRule="atLeast"/>
        <w:ind w:left="0" w:firstLine="0"/>
        <w:textAlignment w:val="baseline"/>
        <w:rPr>
          <w:rStyle w:val="normaltextrun"/>
        </w:rPr>
      </w:pPr>
      <w:r w:rsidRPr="00FF2A2F">
        <w:rPr>
          <w:rStyle w:val="normaltextrun"/>
          <w:rFonts w:asciiTheme="minorHAnsi" w:hAnsiTheme="minorHAnsi" w:cstheme="minorHAnsi"/>
          <w:sz w:val="21"/>
          <w:szCs w:val="21"/>
        </w:rPr>
        <w:t>1</w:t>
      </w:r>
      <w:r w:rsidR="002F5656" w:rsidRPr="00FF2A2F">
        <w:rPr>
          <w:rStyle w:val="normaltextrun"/>
          <w:rFonts w:asciiTheme="minorHAnsi" w:hAnsiTheme="minorHAnsi" w:cstheme="minorHAnsi"/>
          <w:sz w:val="21"/>
          <w:szCs w:val="21"/>
        </w:rPr>
        <w:t xml:space="preserve">75. </w:t>
      </w:r>
      <w:r w:rsidR="00797AA5" w:rsidRPr="00FF2A2F">
        <w:rPr>
          <w:rStyle w:val="normaltextrun"/>
          <w:rFonts w:asciiTheme="minorHAnsi" w:hAnsiTheme="minorHAnsi" w:cstheme="minorHAnsi"/>
          <w:sz w:val="21"/>
          <w:szCs w:val="21"/>
        </w:rPr>
        <w:t>An investment Environmental Social Impact Report (ESIRs) and an Environmental and Social Safeguards Management Plan (ESMPs) will be developed</w:t>
      </w:r>
      <w:r w:rsidR="0062326D" w:rsidRPr="00FF2A2F">
        <w:rPr>
          <w:rStyle w:val="normaltextrun"/>
          <w:rFonts w:asciiTheme="minorHAnsi" w:hAnsiTheme="minorHAnsi" w:cstheme="minorHAnsi"/>
          <w:sz w:val="21"/>
          <w:szCs w:val="21"/>
        </w:rPr>
        <w:t xml:space="preserve"> by </w:t>
      </w:r>
      <w:r w:rsidR="00444166" w:rsidRPr="00FF2A2F">
        <w:rPr>
          <w:rStyle w:val="normaltextrun"/>
          <w:rFonts w:asciiTheme="minorHAnsi" w:hAnsiTheme="minorHAnsi" w:cstheme="minorHAnsi"/>
          <w:sz w:val="21"/>
          <w:szCs w:val="21"/>
        </w:rPr>
        <w:t xml:space="preserve">Post </w:t>
      </w:r>
      <w:r w:rsidR="00797AA5" w:rsidRPr="00FF2A2F">
        <w:rPr>
          <w:rStyle w:val="normaltextrun"/>
          <w:rFonts w:asciiTheme="minorHAnsi" w:hAnsiTheme="minorHAnsi" w:cstheme="minorHAnsi"/>
          <w:sz w:val="21"/>
          <w:szCs w:val="21"/>
        </w:rPr>
        <w:t xml:space="preserve">to support a more robust safeguarding environment. The ESMP will identify mitigation and management measures for environmental and social impacts of the investment activities and be prepared against the requirements of DFAT’s Environmental and Social Safeguards Policy. The plans will include a thorough risk analysis </w:t>
      </w:r>
      <w:r w:rsidR="00745355" w:rsidRPr="00FF2A2F">
        <w:rPr>
          <w:rStyle w:val="normaltextrun"/>
          <w:rFonts w:asciiTheme="minorHAnsi" w:hAnsiTheme="minorHAnsi" w:cstheme="minorHAnsi"/>
          <w:sz w:val="21"/>
          <w:szCs w:val="21"/>
        </w:rPr>
        <w:t>considering</w:t>
      </w:r>
      <w:r w:rsidR="00797AA5" w:rsidRPr="00FF2A2F">
        <w:rPr>
          <w:rStyle w:val="normaltextrun"/>
          <w:rFonts w:asciiTheme="minorHAnsi" w:hAnsiTheme="minorHAnsi" w:cstheme="minorHAnsi"/>
          <w:sz w:val="21"/>
          <w:szCs w:val="21"/>
        </w:rPr>
        <w:t xml:space="preserve"> </w:t>
      </w:r>
      <w:r w:rsidR="002622BB" w:rsidRPr="00FF2A2F">
        <w:rPr>
          <w:rStyle w:val="normaltextrun"/>
          <w:rFonts w:asciiTheme="minorHAnsi" w:hAnsiTheme="minorHAnsi" w:cstheme="minorHAnsi"/>
          <w:sz w:val="21"/>
          <w:szCs w:val="21"/>
        </w:rPr>
        <w:t xml:space="preserve">Tonga’s </w:t>
      </w:r>
      <w:r w:rsidR="00797AA5" w:rsidRPr="00FF2A2F">
        <w:rPr>
          <w:rStyle w:val="normaltextrun"/>
          <w:rFonts w:asciiTheme="minorHAnsi" w:hAnsiTheme="minorHAnsi" w:cstheme="minorHAnsi"/>
          <w:sz w:val="21"/>
          <w:szCs w:val="21"/>
        </w:rPr>
        <w:t>context, planned activities (people-to-people contact, involvement of women</w:t>
      </w:r>
      <w:r w:rsidR="00E9389B" w:rsidRPr="00FF2A2F">
        <w:rPr>
          <w:rStyle w:val="normaltextrun"/>
          <w:rFonts w:asciiTheme="minorHAnsi" w:hAnsiTheme="minorHAnsi" w:cstheme="minorHAnsi"/>
          <w:sz w:val="21"/>
          <w:szCs w:val="21"/>
        </w:rPr>
        <w:t>, people with disabilities</w:t>
      </w:r>
      <w:r w:rsidR="00797AA5" w:rsidRPr="00FF2A2F">
        <w:rPr>
          <w:rStyle w:val="normaltextrun"/>
          <w:rFonts w:asciiTheme="minorHAnsi" w:hAnsiTheme="minorHAnsi" w:cstheme="minorHAnsi"/>
          <w:sz w:val="21"/>
          <w:szCs w:val="21"/>
        </w:rPr>
        <w:t xml:space="preserve">), and the stakeholders (public sector, private companies, labour market </w:t>
      </w:r>
      <w:proofErr w:type="gramStart"/>
      <w:r w:rsidR="00797AA5" w:rsidRPr="00FF2A2F">
        <w:rPr>
          <w:rStyle w:val="normaltextrun"/>
          <w:rFonts w:asciiTheme="minorHAnsi" w:hAnsiTheme="minorHAnsi" w:cstheme="minorHAnsi"/>
          <w:sz w:val="21"/>
          <w:szCs w:val="21"/>
        </w:rPr>
        <w:t>etc. )</w:t>
      </w:r>
      <w:proofErr w:type="gramEnd"/>
      <w:r w:rsidR="00797AA5" w:rsidRPr="00FF2A2F">
        <w:rPr>
          <w:rStyle w:val="normaltextrun"/>
          <w:rFonts w:asciiTheme="minorHAnsi" w:hAnsiTheme="minorHAnsi" w:cstheme="minorHAnsi"/>
          <w:sz w:val="21"/>
          <w:szCs w:val="21"/>
        </w:rPr>
        <w:t xml:space="preserve"> so that there is a good understanding of these risks and appropriate ways of handling them.</w:t>
      </w:r>
      <w:r w:rsidR="00797AA5" w:rsidRPr="00FF2A2F">
        <w:rPr>
          <w:rStyle w:val="normaltextrun"/>
        </w:rPr>
        <w:t> </w:t>
      </w:r>
    </w:p>
    <w:p w14:paraId="2B1BBD68" w14:textId="1884D635" w:rsidR="00797AA5" w:rsidRPr="00FF2A2F" w:rsidRDefault="00797AA5" w:rsidP="002F5656">
      <w:pPr>
        <w:pStyle w:val="paragraph"/>
        <w:spacing w:before="120" w:beforeAutospacing="0" w:after="60" w:afterAutospacing="0" w:line="260" w:lineRule="atLeast"/>
        <w:ind w:left="0" w:firstLine="0"/>
        <w:textAlignment w:val="baseline"/>
        <w:rPr>
          <w:rFonts w:asciiTheme="minorHAnsi" w:hAnsiTheme="minorHAnsi" w:cstheme="minorHAnsi"/>
          <w:sz w:val="22"/>
          <w:szCs w:val="22"/>
        </w:rPr>
      </w:pPr>
      <w:r w:rsidRPr="00FF2A2F">
        <w:rPr>
          <w:rStyle w:val="normaltextrun"/>
          <w:rFonts w:asciiTheme="minorHAnsi" w:hAnsiTheme="minorHAnsi" w:cstheme="minorHAnsi"/>
          <w:b/>
          <w:bCs/>
          <w:sz w:val="22"/>
          <w:szCs w:val="22"/>
        </w:rPr>
        <w:t>Fraud Control</w:t>
      </w:r>
      <w:r w:rsidRPr="00FF2A2F">
        <w:rPr>
          <w:rStyle w:val="eop"/>
          <w:rFonts w:asciiTheme="minorHAnsi" w:hAnsiTheme="minorHAnsi" w:cstheme="minorHAnsi"/>
          <w:sz w:val="22"/>
          <w:szCs w:val="22"/>
        </w:rPr>
        <w:t> </w:t>
      </w:r>
    </w:p>
    <w:p w14:paraId="2E438FE1" w14:textId="7ACD6A4D" w:rsidR="00540143" w:rsidRPr="00FF2A2F" w:rsidRDefault="00786412" w:rsidP="002F5656">
      <w:pPr>
        <w:pStyle w:val="paragraph"/>
        <w:spacing w:before="120" w:beforeAutospacing="0" w:after="60" w:afterAutospacing="0" w:line="260" w:lineRule="atLeast"/>
        <w:ind w:left="0" w:firstLine="0"/>
        <w:textAlignment w:val="baseline"/>
        <w:rPr>
          <w:rStyle w:val="normaltextrun"/>
        </w:rPr>
      </w:pPr>
      <w:r w:rsidRPr="00FF2A2F">
        <w:rPr>
          <w:rStyle w:val="normaltextrun"/>
          <w:rFonts w:asciiTheme="minorHAnsi" w:hAnsiTheme="minorHAnsi" w:cstheme="minorHAnsi"/>
          <w:sz w:val="21"/>
          <w:szCs w:val="21"/>
        </w:rPr>
        <w:t>1</w:t>
      </w:r>
      <w:r w:rsidR="002F5656" w:rsidRPr="00FF2A2F">
        <w:rPr>
          <w:rStyle w:val="normaltextrun"/>
          <w:rFonts w:asciiTheme="minorHAnsi" w:hAnsiTheme="minorHAnsi" w:cstheme="minorHAnsi"/>
          <w:sz w:val="21"/>
          <w:szCs w:val="21"/>
        </w:rPr>
        <w:t xml:space="preserve">76. </w:t>
      </w:r>
      <w:r w:rsidR="003918BA" w:rsidRPr="00FF2A2F">
        <w:rPr>
          <w:rStyle w:val="normaltextrun"/>
          <w:rFonts w:asciiTheme="minorHAnsi" w:hAnsiTheme="minorHAnsi" w:cstheme="minorHAnsi"/>
          <w:sz w:val="21"/>
          <w:szCs w:val="21"/>
        </w:rPr>
        <w:t xml:space="preserve">The </w:t>
      </w:r>
      <w:r w:rsidR="00AE09B8" w:rsidRPr="00FF2A2F">
        <w:rPr>
          <w:rStyle w:val="normaltextrun"/>
          <w:rFonts w:asciiTheme="minorHAnsi" w:hAnsiTheme="minorHAnsi" w:cstheme="minorHAnsi"/>
          <w:sz w:val="21"/>
          <w:szCs w:val="21"/>
        </w:rPr>
        <w:t>investment</w:t>
      </w:r>
      <w:r w:rsidR="00797AA5" w:rsidRPr="00FF2A2F">
        <w:rPr>
          <w:rStyle w:val="normaltextrun"/>
          <w:rFonts w:asciiTheme="minorHAnsi" w:hAnsiTheme="minorHAnsi" w:cstheme="minorHAnsi"/>
          <w:sz w:val="21"/>
          <w:szCs w:val="21"/>
        </w:rPr>
        <w:t xml:space="preserve"> will be delivered in a context with moderate to high fraud risks. </w:t>
      </w:r>
      <w:r w:rsidR="00136D1A" w:rsidRPr="00FF2A2F">
        <w:rPr>
          <w:rStyle w:val="normaltextrun"/>
          <w:rFonts w:asciiTheme="minorHAnsi" w:hAnsiTheme="minorHAnsi" w:cstheme="minorHAnsi"/>
          <w:sz w:val="21"/>
          <w:szCs w:val="21"/>
        </w:rPr>
        <w:t xml:space="preserve">Post </w:t>
      </w:r>
      <w:r w:rsidR="00797AA5" w:rsidRPr="00FF2A2F">
        <w:rPr>
          <w:rStyle w:val="normaltextrun"/>
          <w:rFonts w:asciiTheme="minorHAnsi" w:hAnsiTheme="minorHAnsi" w:cstheme="minorHAnsi"/>
          <w:sz w:val="21"/>
          <w:szCs w:val="21"/>
        </w:rPr>
        <w:t>will have mechanisms in place to proactively monitor, report, and manage fraud risks</w:t>
      </w:r>
      <w:r w:rsidR="00EA047A" w:rsidRPr="00FF2A2F">
        <w:rPr>
          <w:rStyle w:val="normaltextrun"/>
          <w:rFonts w:asciiTheme="minorHAnsi" w:hAnsiTheme="minorHAnsi" w:cstheme="minorHAnsi"/>
          <w:sz w:val="21"/>
          <w:szCs w:val="21"/>
        </w:rPr>
        <w:t xml:space="preserve"> and will </w:t>
      </w:r>
      <w:r w:rsidR="00797AA5" w:rsidRPr="00FF2A2F">
        <w:rPr>
          <w:rStyle w:val="normaltextrun"/>
          <w:rFonts w:asciiTheme="minorHAnsi" w:hAnsiTheme="minorHAnsi" w:cstheme="minorHAnsi"/>
          <w:sz w:val="21"/>
          <w:szCs w:val="21"/>
        </w:rPr>
        <w:t>operationalise fraud requirements such as those outlined in DFAT’s Fraud Control Toolkit for Funding Recipients and Risk Management Guide for Aid Investments. Key requirements:</w:t>
      </w:r>
      <w:r w:rsidR="00797AA5" w:rsidRPr="00FF2A2F">
        <w:rPr>
          <w:rStyle w:val="normaltextrun"/>
        </w:rPr>
        <w:t> </w:t>
      </w:r>
    </w:p>
    <w:p w14:paraId="02E76193" w14:textId="6259E8C4" w:rsidR="00797AA5" w:rsidRPr="00FF2A2F" w:rsidRDefault="00797AA5" w:rsidP="00CA2443">
      <w:pPr>
        <w:pStyle w:val="paragraph"/>
        <w:numPr>
          <w:ilvl w:val="0"/>
          <w:numId w:val="16"/>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Evidence of organisational fraud control policies and anti-corruption and bribery policies.</w:t>
      </w:r>
      <w:r w:rsidRPr="00FF2A2F">
        <w:rPr>
          <w:rStyle w:val="eop"/>
          <w:rFonts w:asciiTheme="minorHAnsi" w:hAnsiTheme="minorHAnsi" w:cstheme="minorHAnsi"/>
          <w:sz w:val="21"/>
          <w:szCs w:val="21"/>
        </w:rPr>
        <w:t> </w:t>
      </w:r>
    </w:p>
    <w:p w14:paraId="01970837" w14:textId="65211CFF" w:rsidR="00797AA5" w:rsidRPr="00FF2A2F" w:rsidRDefault="00797AA5" w:rsidP="00CA2443">
      <w:pPr>
        <w:pStyle w:val="paragraph"/>
        <w:numPr>
          <w:ilvl w:val="0"/>
          <w:numId w:val="16"/>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 xml:space="preserve">Making fraud and anti-corruption expectations known up-front with </w:t>
      </w:r>
      <w:r w:rsidR="00136D1A" w:rsidRPr="00FF2A2F">
        <w:rPr>
          <w:rStyle w:val="normaltextrun"/>
          <w:rFonts w:asciiTheme="minorHAnsi" w:hAnsiTheme="minorHAnsi" w:cstheme="minorHAnsi"/>
          <w:sz w:val="21"/>
          <w:szCs w:val="21"/>
        </w:rPr>
        <w:t>GoT</w:t>
      </w:r>
      <w:r w:rsidR="00A278B0" w:rsidRPr="00FF2A2F">
        <w:rPr>
          <w:rStyle w:val="normaltextrun"/>
          <w:rFonts w:asciiTheme="minorHAnsi" w:hAnsiTheme="minorHAnsi" w:cstheme="minorHAnsi"/>
          <w:sz w:val="21"/>
          <w:szCs w:val="21"/>
        </w:rPr>
        <w:t xml:space="preserve">, investment </w:t>
      </w:r>
      <w:r w:rsidR="00136D1A" w:rsidRPr="00FF2A2F">
        <w:rPr>
          <w:rStyle w:val="normaltextrun"/>
          <w:rFonts w:asciiTheme="minorHAnsi" w:hAnsiTheme="minorHAnsi" w:cstheme="minorHAnsi"/>
          <w:sz w:val="21"/>
          <w:szCs w:val="21"/>
        </w:rPr>
        <w:t>partners</w:t>
      </w:r>
      <w:r w:rsidRPr="00FF2A2F">
        <w:rPr>
          <w:rStyle w:val="normaltextrun"/>
          <w:rFonts w:asciiTheme="minorHAnsi" w:hAnsiTheme="minorHAnsi" w:cstheme="minorHAnsi"/>
          <w:sz w:val="21"/>
          <w:szCs w:val="21"/>
        </w:rPr>
        <w:t xml:space="preserve"> and stakeholders.</w:t>
      </w:r>
      <w:r w:rsidRPr="00FF2A2F">
        <w:rPr>
          <w:rStyle w:val="eop"/>
          <w:rFonts w:asciiTheme="minorHAnsi" w:hAnsiTheme="minorHAnsi" w:cstheme="minorHAnsi"/>
          <w:sz w:val="21"/>
          <w:szCs w:val="21"/>
        </w:rPr>
        <w:t> </w:t>
      </w:r>
    </w:p>
    <w:p w14:paraId="1A22E839" w14:textId="52B8EC50" w:rsidR="00797AA5" w:rsidRPr="00FF2A2F" w:rsidRDefault="00797AA5" w:rsidP="00CA2443">
      <w:pPr>
        <w:pStyle w:val="paragraph"/>
        <w:numPr>
          <w:ilvl w:val="0"/>
          <w:numId w:val="16"/>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Undertaking due diligence assessments to identify potential deficiencies and building in improvement measures using a capacity building approach (e.g. assisting the development of fraud risk assessments, providing training on policies</w:t>
      </w:r>
      <w:r w:rsidR="00A278B0" w:rsidRPr="00FF2A2F">
        <w:rPr>
          <w:rStyle w:val="normaltextrun"/>
          <w:rFonts w:asciiTheme="minorHAnsi" w:hAnsiTheme="minorHAnsi" w:cstheme="minorHAnsi"/>
          <w:sz w:val="21"/>
          <w:szCs w:val="21"/>
        </w:rPr>
        <w:t xml:space="preserve"> </w:t>
      </w:r>
      <w:r w:rsidRPr="00FF2A2F">
        <w:rPr>
          <w:rStyle w:val="normaltextrun"/>
          <w:rFonts w:asciiTheme="minorHAnsi" w:hAnsiTheme="minorHAnsi" w:cstheme="minorHAnsi"/>
          <w:sz w:val="21"/>
          <w:szCs w:val="21"/>
        </w:rPr>
        <w:t>/</w:t>
      </w:r>
      <w:r w:rsidR="00A278B0" w:rsidRPr="00FF2A2F">
        <w:rPr>
          <w:rStyle w:val="normaltextrun"/>
          <w:rFonts w:asciiTheme="minorHAnsi" w:hAnsiTheme="minorHAnsi" w:cstheme="minorHAnsi"/>
          <w:sz w:val="21"/>
          <w:szCs w:val="21"/>
        </w:rPr>
        <w:t xml:space="preserve"> </w:t>
      </w:r>
      <w:r w:rsidRPr="00FF2A2F">
        <w:rPr>
          <w:rStyle w:val="normaltextrun"/>
          <w:rFonts w:asciiTheme="minorHAnsi" w:hAnsiTheme="minorHAnsi" w:cstheme="minorHAnsi"/>
          <w:sz w:val="21"/>
          <w:szCs w:val="21"/>
        </w:rPr>
        <w:t>procedures).</w:t>
      </w:r>
      <w:r w:rsidRPr="00FF2A2F">
        <w:rPr>
          <w:rStyle w:val="eop"/>
          <w:rFonts w:asciiTheme="minorHAnsi" w:hAnsiTheme="minorHAnsi" w:cstheme="minorHAnsi"/>
          <w:sz w:val="21"/>
          <w:szCs w:val="21"/>
        </w:rPr>
        <w:t> </w:t>
      </w:r>
    </w:p>
    <w:p w14:paraId="48338CB2" w14:textId="77777777" w:rsidR="00797AA5" w:rsidRPr="00FF2A2F" w:rsidRDefault="00797AA5" w:rsidP="00CA2443">
      <w:pPr>
        <w:pStyle w:val="paragraph"/>
        <w:numPr>
          <w:ilvl w:val="0"/>
          <w:numId w:val="16"/>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Ongoing communications/dialogue about zero tolerance and use of case studies, including in local languages and using context-specific examples.</w:t>
      </w:r>
      <w:r w:rsidRPr="00FF2A2F">
        <w:rPr>
          <w:rStyle w:val="eop"/>
          <w:rFonts w:asciiTheme="minorHAnsi" w:hAnsiTheme="minorHAnsi" w:cstheme="minorHAnsi"/>
          <w:sz w:val="21"/>
          <w:szCs w:val="21"/>
        </w:rPr>
        <w:t> </w:t>
      </w:r>
    </w:p>
    <w:p w14:paraId="7CA96601" w14:textId="77777777" w:rsidR="00797AA5" w:rsidRPr="00FF2A2F" w:rsidRDefault="00797AA5" w:rsidP="00CA2443">
      <w:pPr>
        <w:pStyle w:val="paragraph"/>
        <w:numPr>
          <w:ilvl w:val="0"/>
          <w:numId w:val="16"/>
        </w:numPr>
        <w:spacing w:before="120" w:beforeAutospacing="0" w:after="60" w:afterAutospacing="0" w:line="260" w:lineRule="atLeast"/>
        <w:textAlignment w:val="baseline"/>
        <w:rPr>
          <w:rFonts w:asciiTheme="minorHAnsi" w:hAnsiTheme="minorHAnsi" w:cstheme="minorHAnsi"/>
          <w:sz w:val="21"/>
          <w:szCs w:val="21"/>
        </w:rPr>
      </w:pPr>
      <w:r w:rsidRPr="00FF2A2F">
        <w:rPr>
          <w:rStyle w:val="normaltextrun"/>
          <w:rFonts w:asciiTheme="minorHAnsi" w:hAnsiTheme="minorHAnsi" w:cstheme="minorHAnsi"/>
          <w:sz w:val="21"/>
          <w:szCs w:val="21"/>
        </w:rPr>
        <w:t>Maintaining robust and fit-for-purpose financial monitoring systems to prevent, detect, and correct instances of fraud and non-compliance with fraud controls, including commissioning independent audits. </w:t>
      </w:r>
      <w:r w:rsidRPr="00FF2A2F">
        <w:rPr>
          <w:rStyle w:val="eop"/>
          <w:rFonts w:asciiTheme="minorHAnsi" w:hAnsiTheme="minorHAnsi" w:cstheme="minorHAnsi"/>
          <w:sz w:val="21"/>
          <w:szCs w:val="21"/>
        </w:rPr>
        <w:t> </w:t>
      </w:r>
    </w:p>
    <w:p w14:paraId="182A99BA" w14:textId="06228400" w:rsidR="004E6B90" w:rsidRPr="00FF2A2F" w:rsidRDefault="00797AA5" w:rsidP="00C021B1">
      <w:pPr>
        <w:pStyle w:val="paragraph"/>
        <w:numPr>
          <w:ilvl w:val="0"/>
          <w:numId w:val="16"/>
        </w:numPr>
        <w:spacing w:before="120" w:beforeAutospacing="0" w:after="60" w:afterAutospacing="0" w:line="260" w:lineRule="atLeast"/>
        <w:textAlignment w:val="baseline"/>
        <w:rPr>
          <w:rStyle w:val="normaltextrun"/>
        </w:rPr>
      </w:pPr>
      <w:r w:rsidRPr="00FF2A2F">
        <w:rPr>
          <w:rStyle w:val="normaltextrun"/>
          <w:rFonts w:asciiTheme="minorHAnsi" w:hAnsiTheme="minorHAnsi" w:cstheme="minorHAnsi"/>
          <w:sz w:val="21"/>
          <w:szCs w:val="21"/>
        </w:rPr>
        <w:lastRenderedPageBreak/>
        <w:t xml:space="preserve">Robust financial controls and testing of controls (e.g. spot checks/sampling of invoices and receipts, procurements, overriding of any </w:t>
      </w:r>
    </w:p>
    <w:p w14:paraId="75EE160C" w14:textId="49D0D401" w:rsidR="00394836" w:rsidRPr="00FF2A2F" w:rsidRDefault="00394836">
      <w:pPr>
        <w:rPr>
          <w:rStyle w:val="normaltextrun"/>
          <w:rFonts w:eastAsia="Times New Roman" w:cstheme="minorHAnsi"/>
          <w:color w:val="auto"/>
          <w:sz w:val="21"/>
          <w:szCs w:val="21"/>
          <w:lang w:val="en-AU" w:eastAsia="en-AU"/>
        </w:rPr>
      </w:pPr>
      <w:r w:rsidRPr="00FF2A2F">
        <w:rPr>
          <w:rStyle w:val="normaltextrun"/>
          <w:rFonts w:cstheme="minorHAnsi"/>
          <w:color w:val="auto"/>
          <w:sz w:val="21"/>
          <w:szCs w:val="21"/>
        </w:rPr>
        <w:br w:type="page"/>
      </w:r>
    </w:p>
    <w:p w14:paraId="539BF37B" w14:textId="118A55A3" w:rsidR="00394836" w:rsidRPr="00FF2A2F" w:rsidRDefault="00394836" w:rsidP="00394836">
      <w:pPr>
        <w:pStyle w:val="Heading2"/>
        <w:spacing w:before="240"/>
        <w:ind w:left="0" w:firstLine="0"/>
        <w:rPr>
          <w:color w:val="auto"/>
          <w:sz w:val="32"/>
          <w:szCs w:val="32"/>
        </w:rPr>
      </w:pPr>
      <w:r w:rsidRPr="00FF2A2F">
        <w:rPr>
          <w:color w:val="auto"/>
          <w:sz w:val="32"/>
          <w:szCs w:val="32"/>
        </w:rPr>
        <w:lastRenderedPageBreak/>
        <w:t>Annex 1:</w:t>
      </w:r>
    </w:p>
    <w:p w14:paraId="4C938B88" w14:textId="3D535E35" w:rsidR="00394836" w:rsidRPr="00FF2A2F" w:rsidRDefault="00394836" w:rsidP="00394836">
      <w:pPr>
        <w:pStyle w:val="paragraph"/>
        <w:spacing w:before="120" w:beforeAutospacing="0" w:after="60" w:afterAutospacing="0" w:line="260" w:lineRule="atLeast"/>
        <w:ind w:left="0" w:firstLine="0"/>
        <w:textAlignment w:val="baseline"/>
        <w:rPr>
          <w:rStyle w:val="normaltextrun"/>
          <w:rFonts w:asciiTheme="minorHAnsi" w:hAnsiTheme="minorHAnsi" w:cstheme="minorHAnsi"/>
          <w:sz w:val="21"/>
          <w:szCs w:val="21"/>
        </w:rPr>
      </w:pPr>
      <w:r w:rsidRPr="00FF2A2F">
        <w:rPr>
          <w:rStyle w:val="normaltextrun"/>
          <w:rFonts w:asciiTheme="minorHAnsi" w:hAnsiTheme="minorHAnsi" w:cstheme="minorHAnsi"/>
          <w:sz w:val="21"/>
          <w:szCs w:val="21"/>
        </w:rPr>
        <w:t>Alt text for image 1.</w:t>
      </w:r>
    </w:p>
    <w:p w14:paraId="5C6CF975" w14:textId="43A7EAE4" w:rsidR="00394836" w:rsidRPr="00FF2A2F" w:rsidRDefault="00394836" w:rsidP="00394836">
      <w:pPr>
        <w:pStyle w:val="paragraph"/>
        <w:spacing w:before="120" w:beforeAutospacing="0" w:after="60" w:afterAutospacing="0" w:line="260" w:lineRule="atLeast"/>
        <w:ind w:left="0" w:firstLine="0"/>
        <w:textAlignment w:val="baseline"/>
        <w:rPr>
          <w:rStyle w:val="normaltextrun"/>
          <w:rFonts w:asciiTheme="minorHAnsi" w:hAnsiTheme="minorHAnsi" w:cstheme="minorHAnsi"/>
          <w:sz w:val="21"/>
          <w:szCs w:val="21"/>
        </w:rPr>
      </w:pPr>
      <w:r w:rsidRPr="00FF2A2F">
        <w:rPr>
          <w:rStyle w:val="normaltextrun"/>
          <w:rFonts w:asciiTheme="minorHAnsi" w:hAnsiTheme="minorHAnsi" w:cstheme="minorHAnsi"/>
          <w:sz w:val="21"/>
          <w:szCs w:val="21"/>
        </w:rPr>
        <w:t>Line 1- Goal: Australia supports the Kingdom of Tonga to further develop its resilience and wellbeing.</w:t>
      </w:r>
    </w:p>
    <w:p w14:paraId="249F0672" w14:textId="418F402C" w:rsidR="00394836" w:rsidRPr="00FF2A2F" w:rsidRDefault="00394836" w:rsidP="00394836">
      <w:pPr>
        <w:pStyle w:val="paragraph"/>
        <w:spacing w:before="120" w:beforeAutospacing="0" w:after="60" w:afterAutospacing="0" w:line="260" w:lineRule="atLeast"/>
        <w:ind w:left="0" w:firstLine="0"/>
        <w:textAlignment w:val="baseline"/>
        <w:rPr>
          <w:rStyle w:val="normaltextrun"/>
          <w:rFonts w:asciiTheme="minorHAnsi" w:hAnsiTheme="minorHAnsi" w:cstheme="minorHAnsi"/>
          <w:sz w:val="21"/>
          <w:szCs w:val="21"/>
        </w:rPr>
      </w:pPr>
      <w:r w:rsidRPr="00FF2A2F">
        <w:rPr>
          <w:rStyle w:val="normaltextrun"/>
          <w:rFonts w:asciiTheme="minorHAnsi" w:hAnsiTheme="minorHAnsi" w:cstheme="minorHAnsi"/>
          <w:sz w:val="21"/>
          <w:szCs w:val="21"/>
        </w:rPr>
        <w:t>Line 2</w:t>
      </w:r>
      <w:proofErr w:type="gramStart"/>
      <w:r w:rsidRPr="00FF2A2F">
        <w:rPr>
          <w:rStyle w:val="normaltextrun"/>
          <w:rFonts w:asciiTheme="minorHAnsi" w:hAnsiTheme="minorHAnsi" w:cstheme="minorHAnsi"/>
          <w:sz w:val="21"/>
          <w:szCs w:val="21"/>
        </w:rPr>
        <w:t>-  Objective</w:t>
      </w:r>
      <w:proofErr w:type="gramEnd"/>
      <w:r w:rsidRPr="00FF2A2F">
        <w:rPr>
          <w:rStyle w:val="normaltextrun"/>
          <w:rFonts w:asciiTheme="minorHAnsi" w:hAnsiTheme="minorHAnsi" w:cstheme="minorHAnsi"/>
          <w:sz w:val="21"/>
          <w:szCs w:val="21"/>
        </w:rPr>
        <w:t>: The Government of Tonga, together with civil society and communities in Tonga, leads effective and inclusive response to disasters and climate change.</w:t>
      </w:r>
    </w:p>
    <w:p w14:paraId="2313EA2E" w14:textId="22D35DF2" w:rsidR="00394836" w:rsidRPr="00FF2A2F" w:rsidRDefault="00394836" w:rsidP="00394836">
      <w:pPr>
        <w:pStyle w:val="paragraph"/>
        <w:spacing w:before="120" w:beforeAutospacing="0" w:after="60" w:afterAutospacing="0" w:line="260" w:lineRule="atLeast"/>
        <w:ind w:left="0" w:firstLine="0"/>
        <w:textAlignment w:val="baseline"/>
        <w:rPr>
          <w:rStyle w:val="normaltextrun"/>
          <w:rFonts w:asciiTheme="minorHAnsi" w:hAnsiTheme="minorHAnsi" w:cstheme="minorHAnsi"/>
          <w:sz w:val="21"/>
          <w:szCs w:val="21"/>
        </w:rPr>
      </w:pPr>
      <w:r w:rsidRPr="00FF2A2F">
        <w:rPr>
          <w:rStyle w:val="normaltextrun"/>
          <w:rFonts w:asciiTheme="minorHAnsi" w:hAnsiTheme="minorHAnsi" w:cstheme="minorHAnsi"/>
          <w:sz w:val="21"/>
          <w:szCs w:val="21"/>
        </w:rPr>
        <w:t>Line 3- EOPO: (left column) 1.</w:t>
      </w:r>
      <w:r w:rsidRPr="00FF2A2F">
        <w:t xml:space="preserve"> </w:t>
      </w:r>
      <w:r w:rsidRPr="00FF2A2F">
        <w:rPr>
          <w:rStyle w:val="normaltextrun"/>
          <w:rFonts w:asciiTheme="minorHAnsi" w:hAnsiTheme="minorHAnsi" w:cstheme="minorHAnsi"/>
          <w:sz w:val="21"/>
          <w:szCs w:val="21"/>
        </w:rPr>
        <w:t xml:space="preserve">The NRMDO improves their coordination of responses to disaster and climate change impacts in line with DRM policy (middle </w:t>
      </w:r>
      <w:proofErr w:type="gramStart"/>
      <w:r w:rsidRPr="00FF2A2F">
        <w:rPr>
          <w:rStyle w:val="normaltextrun"/>
          <w:rFonts w:asciiTheme="minorHAnsi" w:hAnsiTheme="minorHAnsi" w:cstheme="minorHAnsi"/>
          <w:sz w:val="21"/>
          <w:szCs w:val="21"/>
        </w:rPr>
        <w:t>column)  2</w:t>
      </w:r>
      <w:proofErr w:type="gramEnd"/>
      <w:r w:rsidRPr="00FF2A2F">
        <w:rPr>
          <w:rStyle w:val="normaltextrun"/>
          <w:rFonts w:asciiTheme="minorHAnsi" w:hAnsiTheme="minorHAnsi" w:cstheme="minorHAnsi"/>
          <w:sz w:val="21"/>
          <w:szCs w:val="21"/>
        </w:rPr>
        <w:t>. CSOs better represent and support community DRM and climate priorities prior, during and following DRM and climate related events. (right column) 3. Stronger DRM coordination in Tonga supports effective, inclusive and locally led responses to disaster and climate change.</w:t>
      </w:r>
    </w:p>
    <w:p w14:paraId="15AE9278" w14:textId="3590F27E" w:rsidR="00394836" w:rsidRPr="00FF2A2F" w:rsidRDefault="00394836" w:rsidP="00394836">
      <w:pPr>
        <w:pStyle w:val="paragraph"/>
        <w:spacing w:before="120" w:line="260" w:lineRule="atLeast"/>
        <w:ind w:left="0" w:firstLine="0"/>
        <w:textAlignment w:val="baseline"/>
        <w:rPr>
          <w:rStyle w:val="normaltextrun"/>
          <w:rFonts w:asciiTheme="minorHAnsi" w:hAnsiTheme="minorHAnsi" w:cstheme="minorHAnsi"/>
          <w:sz w:val="21"/>
          <w:szCs w:val="21"/>
        </w:rPr>
      </w:pPr>
      <w:r w:rsidRPr="00FF2A2F">
        <w:rPr>
          <w:rStyle w:val="normaltextrun"/>
          <w:rFonts w:asciiTheme="minorHAnsi" w:hAnsiTheme="minorHAnsi" w:cstheme="minorHAnsi"/>
          <w:sz w:val="21"/>
          <w:szCs w:val="21"/>
        </w:rPr>
        <w:t xml:space="preserve">Line 4- IO (left column) 1.1 NDRMO has sufficient staff with appropriate technical expertise to implement DRM policy. 1.2: NDRMO has operational plans to coordinate inclusive and countrywide disaster response. (middle </w:t>
      </w:r>
      <w:proofErr w:type="gramStart"/>
      <w:r w:rsidRPr="00FF2A2F">
        <w:rPr>
          <w:rStyle w:val="normaltextrun"/>
          <w:rFonts w:asciiTheme="minorHAnsi" w:hAnsiTheme="minorHAnsi" w:cstheme="minorHAnsi"/>
          <w:sz w:val="21"/>
          <w:szCs w:val="21"/>
        </w:rPr>
        <w:t>column)  2.1</w:t>
      </w:r>
      <w:proofErr w:type="gramEnd"/>
      <w:r w:rsidRPr="00FF2A2F">
        <w:rPr>
          <w:rStyle w:val="normaltextrun"/>
          <w:rFonts w:asciiTheme="minorHAnsi" w:hAnsiTheme="minorHAnsi" w:cstheme="minorHAnsi"/>
          <w:sz w:val="21"/>
          <w:szCs w:val="21"/>
        </w:rPr>
        <w:t xml:space="preserve">: Select Tongan CSOs are better able to serve their communities drawing on a comprehensive range of DRM capabilities, including protection and inclusion. 2.2: Communication and support systems for village DRM committees is improved. (right column) 3.1: NDRMO DRM and cluster Standard Operating Procedures are reviewed and updated at least every six months. 3.2: Coordination mechanisms and </w:t>
      </w:r>
      <w:proofErr w:type="gramStart"/>
      <w:r w:rsidRPr="00FF2A2F">
        <w:rPr>
          <w:rStyle w:val="normaltextrun"/>
          <w:rFonts w:asciiTheme="minorHAnsi" w:hAnsiTheme="minorHAnsi" w:cstheme="minorHAnsi"/>
          <w:sz w:val="21"/>
          <w:szCs w:val="21"/>
        </w:rPr>
        <w:t>GoT</w:t>
      </w:r>
      <w:proofErr w:type="gramEnd"/>
      <w:r w:rsidRPr="00FF2A2F">
        <w:rPr>
          <w:rStyle w:val="normaltextrun"/>
          <w:rFonts w:asciiTheme="minorHAnsi" w:hAnsiTheme="minorHAnsi" w:cstheme="minorHAnsi"/>
          <w:sz w:val="21"/>
          <w:szCs w:val="21"/>
        </w:rPr>
        <w:t xml:space="preserve"> have timely access to information on DRM related matters, including attention to inclusion and protection.</w:t>
      </w:r>
      <w:r w:rsidR="00ED3EB6" w:rsidRPr="00FF2A2F">
        <w:rPr>
          <w:rStyle w:val="normaltextrun"/>
          <w:rFonts w:asciiTheme="minorHAnsi" w:hAnsiTheme="minorHAnsi" w:cstheme="minorHAnsi"/>
          <w:sz w:val="21"/>
          <w:szCs w:val="21"/>
        </w:rPr>
        <w:t xml:space="preserve"> </w:t>
      </w:r>
    </w:p>
    <w:p w14:paraId="0E63A281" w14:textId="2A51A815" w:rsidR="00394836" w:rsidRPr="00FF2A2F" w:rsidRDefault="00394836" w:rsidP="00F52B2D">
      <w:pPr>
        <w:pStyle w:val="paragraph"/>
        <w:spacing w:before="120" w:line="260" w:lineRule="atLeast"/>
        <w:ind w:left="0" w:firstLine="0"/>
        <w:textAlignment w:val="baseline"/>
        <w:rPr>
          <w:rStyle w:val="normaltextrun"/>
          <w:rFonts w:asciiTheme="minorHAnsi" w:hAnsiTheme="minorHAnsi" w:cstheme="minorHAnsi"/>
          <w:sz w:val="21"/>
          <w:szCs w:val="21"/>
        </w:rPr>
      </w:pPr>
      <w:r w:rsidRPr="00FF2A2F">
        <w:rPr>
          <w:rStyle w:val="normaltextrun"/>
          <w:rFonts w:asciiTheme="minorHAnsi" w:hAnsiTheme="minorHAnsi" w:cstheme="minorHAnsi"/>
          <w:sz w:val="21"/>
          <w:szCs w:val="21"/>
        </w:rPr>
        <w:t xml:space="preserve">Line 5- </w:t>
      </w:r>
      <w:r w:rsidR="00F52B2D" w:rsidRPr="00FF2A2F">
        <w:rPr>
          <w:rStyle w:val="normaltextrun"/>
          <w:rFonts w:asciiTheme="minorHAnsi" w:hAnsiTheme="minorHAnsi" w:cstheme="minorHAnsi"/>
          <w:sz w:val="21"/>
          <w:szCs w:val="21"/>
        </w:rPr>
        <w:t>initial</w:t>
      </w:r>
      <w:r w:rsidRPr="00FF2A2F">
        <w:rPr>
          <w:rStyle w:val="normaltextrun"/>
          <w:rFonts w:asciiTheme="minorHAnsi" w:hAnsiTheme="minorHAnsi" w:cstheme="minorHAnsi"/>
          <w:sz w:val="21"/>
          <w:szCs w:val="21"/>
        </w:rPr>
        <w:t xml:space="preserve"> </w:t>
      </w:r>
      <w:proofErr w:type="gramStart"/>
      <w:r w:rsidRPr="00FF2A2F">
        <w:rPr>
          <w:rStyle w:val="normaltextrun"/>
          <w:rFonts w:asciiTheme="minorHAnsi" w:hAnsiTheme="minorHAnsi" w:cstheme="minorHAnsi"/>
          <w:sz w:val="21"/>
          <w:szCs w:val="21"/>
        </w:rPr>
        <w:t xml:space="preserve">outputs </w:t>
      </w:r>
      <w:r w:rsidR="00ED3EB6" w:rsidRPr="00FF2A2F">
        <w:rPr>
          <w:rStyle w:val="normaltextrun"/>
          <w:rFonts w:asciiTheme="minorHAnsi" w:hAnsiTheme="minorHAnsi" w:cstheme="minorHAnsi"/>
          <w:sz w:val="21"/>
          <w:szCs w:val="21"/>
        </w:rPr>
        <w:t xml:space="preserve"> (</w:t>
      </w:r>
      <w:proofErr w:type="gramEnd"/>
      <w:r w:rsidR="00ED3EB6" w:rsidRPr="00FF2A2F">
        <w:rPr>
          <w:rStyle w:val="normaltextrun"/>
          <w:rFonts w:asciiTheme="minorHAnsi" w:hAnsiTheme="minorHAnsi" w:cstheme="minorHAnsi"/>
          <w:sz w:val="21"/>
          <w:szCs w:val="21"/>
        </w:rPr>
        <w:t xml:space="preserve">left column) In line positions established and filled, according to technical, capacity and locational requirements. NDRMO utilises inline and in house capacity to identify and fulfil core responsibilities in line with DRM policy. NDRMO establishes working relationships with other relevant GoT ministries.  NDRMO establishes working relationships with relevant CSOs and community level DRM implementation. Mechanism established to provide additional funding to GoT and CSOs, as required, during a </w:t>
      </w:r>
      <w:proofErr w:type="gramStart"/>
      <w:r w:rsidR="00ED3EB6" w:rsidRPr="00FF2A2F">
        <w:rPr>
          <w:rStyle w:val="normaltextrun"/>
          <w:rFonts w:asciiTheme="minorHAnsi" w:hAnsiTheme="minorHAnsi" w:cstheme="minorHAnsi"/>
          <w:sz w:val="21"/>
          <w:szCs w:val="21"/>
        </w:rPr>
        <w:t>disaster  response</w:t>
      </w:r>
      <w:proofErr w:type="gramEnd"/>
      <w:r w:rsidR="00ED3EB6" w:rsidRPr="00FF2A2F">
        <w:rPr>
          <w:rStyle w:val="normaltextrun"/>
          <w:rFonts w:asciiTheme="minorHAnsi" w:hAnsiTheme="minorHAnsi" w:cstheme="minorHAnsi"/>
          <w:sz w:val="21"/>
          <w:szCs w:val="21"/>
        </w:rPr>
        <w:t xml:space="preserve"> and recovery. (middle column) CSOs utilise grant funding to support DRM mechanisms including at village and community level to prepare, respond and recovery from disaster and climate change impacts.</w:t>
      </w:r>
      <w:r w:rsidR="00F52B2D" w:rsidRPr="00FF2A2F">
        <w:rPr>
          <w:rStyle w:val="normaltextrun"/>
          <w:rFonts w:asciiTheme="minorHAnsi" w:hAnsiTheme="minorHAnsi" w:cstheme="minorHAnsi"/>
          <w:sz w:val="21"/>
          <w:szCs w:val="21"/>
        </w:rPr>
        <w:t xml:space="preserve"> </w:t>
      </w:r>
      <w:r w:rsidR="00ED3EB6" w:rsidRPr="00FF2A2F">
        <w:rPr>
          <w:rStyle w:val="normaltextrun"/>
          <w:rFonts w:asciiTheme="minorHAnsi" w:hAnsiTheme="minorHAnsi" w:cstheme="minorHAnsi"/>
          <w:sz w:val="21"/>
          <w:szCs w:val="21"/>
        </w:rPr>
        <w:t xml:space="preserve">CSOs establish systems to collect and represent community level DRM needs and experience to GoT and other DRM stakeholders. CSOs utilise grant finding to continue to develop their expertise and capacity in DRM related areas with particular attention to protection and inclusion. CSOs develop their program management systems to meet Australian government minimum requirements. Mechanism established to provide additional funding to GoT and CSOs, as required, during a </w:t>
      </w:r>
      <w:proofErr w:type="gramStart"/>
      <w:r w:rsidR="00ED3EB6" w:rsidRPr="00FF2A2F">
        <w:rPr>
          <w:rStyle w:val="normaltextrun"/>
          <w:rFonts w:asciiTheme="minorHAnsi" w:hAnsiTheme="minorHAnsi" w:cstheme="minorHAnsi"/>
          <w:sz w:val="21"/>
          <w:szCs w:val="21"/>
        </w:rPr>
        <w:t>disaster  response</w:t>
      </w:r>
      <w:proofErr w:type="gramEnd"/>
      <w:r w:rsidR="00ED3EB6" w:rsidRPr="00FF2A2F">
        <w:rPr>
          <w:rStyle w:val="normaltextrun"/>
          <w:rFonts w:asciiTheme="minorHAnsi" w:hAnsiTheme="minorHAnsi" w:cstheme="minorHAnsi"/>
          <w:sz w:val="21"/>
          <w:szCs w:val="21"/>
        </w:rPr>
        <w:t xml:space="preserve"> and recovery. (right column)</w:t>
      </w:r>
      <w:r w:rsidR="00F52B2D" w:rsidRPr="00FF2A2F">
        <w:t xml:space="preserve"> </w:t>
      </w:r>
      <w:r w:rsidR="00F52B2D" w:rsidRPr="00FF2A2F">
        <w:rPr>
          <w:rStyle w:val="normaltextrun"/>
          <w:rFonts w:asciiTheme="minorHAnsi" w:hAnsiTheme="minorHAnsi" w:cstheme="minorHAnsi"/>
          <w:sz w:val="21"/>
          <w:szCs w:val="21"/>
        </w:rPr>
        <w:t>Comprehensive roles, responsibilities and expectations for all DRM stakeholders are established and communicated by GoT.  An information management process that provides relevant DRM related information is established and maintained.  All DRM stakeholders regularly communicate their activities, plans and results to the GoT. Relevant DFAT programs regularly share information and capacity with NDRMO and Tonga CSOs.</w:t>
      </w:r>
    </w:p>
    <w:p w14:paraId="26E84691" w14:textId="09571528" w:rsidR="00F52B2D" w:rsidRPr="00FF2A2F" w:rsidRDefault="00F52B2D" w:rsidP="00F52B2D">
      <w:pPr>
        <w:pStyle w:val="paragraph"/>
        <w:spacing w:before="120" w:line="260" w:lineRule="atLeast"/>
        <w:ind w:left="0" w:firstLine="0"/>
        <w:textAlignment w:val="baseline"/>
        <w:rPr>
          <w:rStyle w:val="normaltextrun"/>
          <w:rFonts w:asciiTheme="minorHAnsi" w:hAnsiTheme="minorHAnsi" w:cstheme="minorHAnsi"/>
          <w:sz w:val="21"/>
          <w:szCs w:val="21"/>
        </w:rPr>
      </w:pPr>
      <w:r w:rsidRPr="00FF2A2F">
        <w:rPr>
          <w:rStyle w:val="normaltextrun"/>
          <w:rFonts w:asciiTheme="minorHAnsi" w:hAnsiTheme="minorHAnsi" w:cstheme="minorHAnsi"/>
          <w:sz w:val="21"/>
          <w:szCs w:val="21"/>
        </w:rPr>
        <w:t xml:space="preserve">Line 6- Indicative inputs: (left column) TA support, Direct financing, surge funding mechanism, facilitation with other DFAT programs. (middle column) DRM CSO Grant system. (Right Column) Information management process established, funding for coordination clusters, facilitation of DRM stakeholder meeting </w:t>
      </w:r>
    </w:p>
    <w:sectPr w:rsidR="00F52B2D" w:rsidRPr="00FF2A2F" w:rsidSect="007F1A7F">
      <w:headerReference w:type="default" r:id="rId13"/>
      <w:footerReference w:type="default" r:id="rId14"/>
      <w:headerReference w:type="first" r:id="rId15"/>
      <w:footerReference w:type="first" r:id="rId16"/>
      <w:pgSz w:w="11906" w:h="16838" w:code="9"/>
      <w:pgMar w:top="1701" w:right="1134" w:bottom="1418" w:left="992" w:header="425" w:footer="493"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4797" w14:textId="77777777" w:rsidR="0052177E" w:rsidRDefault="0052177E" w:rsidP="00D37B04">
      <w:r>
        <w:separator/>
      </w:r>
    </w:p>
  </w:endnote>
  <w:endnote w:type="continuationSeparator" w:id="0">
    <w:p w14:paraId="6DAEBBE1" w14:textId="77777777" w:rsidR="0052177E" w:rsidRDefault="0052177E" w:rsidP="00D37B04">
      <w:r>
        <w:continuationSeparator/>
      </w:r>
    </w:p>
  </w:endnote>
  <w:endnote w:type="continuationNotice" w:id="1">
    <w:p w14:paraId="0A2F245C" w14:textId="77777777" w:rsidR="0052177E" w:rsidRDefault="00521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368916890"/>
      <w:docPartObj>
        <w:docPartGallery w:val="Page Numbers (Bottom of Page)"/>
        <w:docPartUnique/>
      </w:docPartObj>
    </w:sdtPr>
    <w:sdtEndPr>
      <w:rPr>
        <w:noProof/>
      </w:rPr>
    </w:sdtEndPr>
    <w:sdtContent>
      <w:p w14:paraId="65081A38" w14:textId="3BA3F588" w:rsidR="00453888" w:rsidRDefault="00453888">
        <w:pPr>
          <w:pStyle w:val="Footer"/>
          <w:jc w:val="right"/>
        </w:pPr>
        <w:r w:rsidRPr="006D6C4B">
          <w:rPr>
            <w:color w:val="auto"/>
            <w:sz w:val="20"/>
          </w:rPr>
          <w:fldChar w:fldCharType="begin"/>
        </w:r>
        <w:r w:rsidRPr="006D6C4B">
          <w:rPr>
            <w:color w:val="auto"/>
            <w:sz w:val="20"/>
          </w:rPr>
          <w:instrText xml:space="preserve"> PAGE   \* MERGEFORMAT </w:instrText>
        </w:r>
        <w:r w:rsidRPr="006D6C4B">
          <w:rPr>
            <w:color w:val="auto"/>
            <w:sz w:val="20"/>
          </w:rPr>
          <w:fldChar w:fldCharType="separate"/>
        </w:r>
        <w:r w:rsidR="003A0448" w:rsidRPr="006D6C4B">
          <w:rPr>
            <w:noProof/>
            <w:color w:val="auto"/>
            <w:sz w:val="20"/>
          </w:rPr>
          <w:t>5</w:t>
        </w:r>
        <w:r w:rsidRPr="006D6C4B">
          <w:rPr>
            <w:noProof/>
            <w:color w:val="auto"/>
            <w:sz w:val="20"/>
          </w:rPr>
          <w:fldChar w:fldCharType="end"/>
        </w:r>
      </w:p>
    </w:sdtContent>
  </w:sdt>
  <w:p w14:paraId="02E2C8FD" w14:textId="77777777" w:rsidR="00FC322F" w:rsidRPr="00FC322F" w:rsidRDefault="00FC322F" w:rsidP="00FC322F">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FD81" w14:textId="56DA1A2C" w:rsidR="00453888" w:rsidRDefault="00453888">
    <w:pPr>
      <w:pStyle w:val="Footer"/>
      <w:jc w:val="right"/>
    </w:pPr>
    <w:r w:rsidRPr="006D6C4B">
      <w:rPr>
        <w:color w:val="auto"/>
      </w:rPr>
      <w:fldChar w:fldCharType="begin"/>
    </w:r>
    <w:r w:rsidRPr="006D6C4B">
      <w:rPr>
        <w:color w:val="auto"/>
      </w:rPr>
      <w:instrText xml:space="preserve"> PAGE   \* MERGEFORMAT </w:instrText>
    </w:r>
    <w:r w:rsidRPr="006D6C4B">
      <w:rPr>
        <w:color w:val="auto"/>
      </w:rPr>
      <w:fldChar w:fldCharType="separate"/>
    </w:r>
    <w:r w:rsidR="003A0448" w:rsidRPr="006D6C4B">
      <w:rPr>
        <w:noProof/>
        <w:color w:val="auto"/>
      </w:rPr>
      <w:t>8</w:t>
    </w:r>
    <w:r w:rsidRPr="006D6C4B">
      <w:rPr>
        <w:noProof/>
        <w:color w:val="auto"/>
      </w:rPr>
      <w:fldChar w:fldCharType="end"/>
    </w:r>
  </w:p>
  <w:p w14:paraId="0C3712FC" w14:textId="77777777" w:rsidR="00FC322F" w:rsidRPr="00FC322F" w:rsidRDefault="00FC322F" w:rsidP="00FC322F">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29F9" w14:textId="77777777" w:rsidR="0052177E" w:rsidRPr="008C5A0E" w:rsidRDefault="0052177E" w:rsidP="00D37B04">
      <w:pPr>
        <w:pStyle w:val="Footer"/>
      </w:pPr>
    </w:p>
  </w:footnote>
  <w:footnote w:type="continuationSeparator" w:id="0">
    <w:p w14:paraId="19DF5999" w14:textId="77777777" w:rsidR="0052177E" w:rsidRDefault="0052177E" w:rsidP="00D37B04">
      <w:r>
        <w:continuationSeparator/>
      </w:r>
    </w:p>
  </w:footnote>
  <w:footnote w:type="continuationNotice" w:id="1">
    <w:p w14:paraId="5E2C0148" w14:textId="77777777" w:rsidR="0052177E" w:rsidRDefault="0052177E">
      <w:pPr>
        <w:spacing w:after="0" w:line="240" w:lineRule="auto"/>
      </w:pPr>
    </w:p>
  </w:footnote>
  <w:footnote w:id="2">
    <w:p w14:paraId="6D1A474C" w14:textId="22455C10" w:rsidR="00A10264" w:rsidRPr="00A10264" w:rsidRDefault="00A10264" w:rsidP="00960198">
      <w:pPr>
        <w:pStyle w:val="FootnoteText"/>
        <w:ind w:left="284" w:firstLine="0"/>
        <w:rPr>
          <w:lang w:val="en-AU"/>
        </w:rPr>
      </w:pPr>
      <w:r w:rsidRPr="005614E8">
        <w:rPr>
          <w:rStyle w:val="FootnoteReference"/>
          <w:sz w:val="16"/>
          <w:szCs w:val="16"/>
        </w:rPr>
        <w:footnoteRef/>
      </w:r>
      <w:r w:rsidRPr="005614E8">
        <w:rPr>
          <w:sz w:val="16"/>
          <w:szCs w:val="16"/>
        </w:rPr>
        <w:t xml:space="preserve"> </w:t>
      </w:r>
      <w:r w:rsidRPr="005614E8">
        <w:rPr>
          <w:sz w:val="16"/>
          <w:szCs w:val="16"/>
          <w:lang w:val="en-AU"/>
        </w:rPr>
        <w:t xml:space="preserve">Consultation meetings and strategies are in progress to </w:t>
      </w:r>
      <w:r w:rsidR="003E589D" w:rsidRPr="005614E8">
        <w:rPr>
          <w:sz w:val="16"/>
          <w:szCs w:val="16"/>
          <w:lang w:val="en-AU"/>
        </w:rPr>
        <w:t>develop the third Tonga Strategic Development Framework 2026 - 2036</w:t>
      </w:r>
    </w:p>
  </w:footnote>
  <w:footnote w:id="3">
    <w:p w14:paraId="42A04902" w14:textId="777908E8" w:rsidR="006D0CC5" w:rsidRPr="00C4282B" w:rsidRDefault="001A3186" w:rsidP="001A3186">
      <w:pPr>
        <w:pStyle w:val="FootnoteText"/>
        <w:rPr>
          <w:rStyle w:val="FootnoteTextChar"/>
        </w:rPr>
      </w:pPr>
      <w:r>
        <w:rPr>
          <w:rStyle w:val="FootnoteReference"/>
        </w:rPr>
        <w:footnoteRef/>
      </w:r>
      <w:r>
        <w:t xml:space="preserve"> </w:t>
      </w:r>
      <w:r w:rsidRPr="00A4067B">
        <w:rPr>
          <w:rStyle w:val="FootnoteTextChar"/>
          <w:sz w:val="16"/>
          <w:szCs w:val="16"/>
        </w:rPr>
        <w:t xml:space="preserve">Nakamura, S. and Pape, U. March 2023. ‘Uncovering the untold impact of the 2022 Tonga volcano and tsunami: How phone surveys reveal crucial insight’. </w:t>
      </w:r>
      <w:hyperlink r:id="rId1" w:history="1">
        <w:r w:rsidRPr="00A4067B">
          <w:rPr>
            <w:rStyle w:val="FootnoteTextChar"/>
            <w:sz w:val="16"/>
            <w:szCs w:val="16"/>
          </w:rPr>
          <w:t>https://blogs.worldbank.org/eastasiapacific/uncovering-untold-impact-2022-tonga-volcano-and-tsunami-how-phone-surveys-reveal</w:t>
        </w:r>
      </w:hyperlink>
    </w:p>
  </w:footnote>
  <w:footnote w:id="4">
    <w:p w14:paraId="75ADF969" w14:textId="1573C0E2" w:rsidR="009C04D4" w:rsidRPr="009303F7" w:rsidRDefault="009C04D4" w:rsidP="009C04D4">
      <w:pPr>
        <w:pStyle w:val="FootnoteText"/>
        <w:rPr>
          <w:lang w:val="en-AU"/>
        </w:rPr>
      </w:pPr>
      <w:r>
        <w:rPr>
          <w:rStyle w:val="FootnoteReference"/>
        </w:rPr>
        <w:footnoteRef/>
      </w:r>
      <w:r>
        <w:t xml:space="preserve"> </w:t>
      </w:r>
      <w:r w:rsidR="00A4067B" w:rsidRPr="00A4067B">
        <w:rPr>
          <w:sz w:val="16"/>
          <w:szCs w:val="16"/>
        </w:rPr>
        <w:t xml:space="preserve">For </w:t>
      </w:r>
      <w:r w:rsidR="00497153">
        <w:rPr>
          <w:sz w:val="16"/>
          <w:szCs w:val="16"/>
        </w:rPr>
        <w:t xml:space="preserve">this investment </w:t>
      </w:r>
      <w:r w:rsidR="00A4067B" w:rsidRPr="00A4067B">
        <w:rPr>
          <w:sz w:val="16"/>
          <w:szCs w:val="16"/>
        </w:rPr>
        <w:t>CSOs</w:t>
      </w:r>
      <w:r w:rsidRPr="00114E7D">
        <w:rPr>
          <w:sz w:val="16"/>
          <w:szCs w:val="16"/>
          <w:lang w:val="en-AU"/>
        </w:rPr>
        <w:t xml:space="preserve"> in Tonga include church and faith-based organisations, local non-government organisations and Tongan organisations with an international affiliate.</w:t>
      </w:r>
    </w:p>
  </w:footnote>
  <w:footnote w:id="5">
    <w:p w14:paraId="2704C2A7" w14:textId="77777777" w:rsidR="005F5DCB" w:rsidRPr="00AC61C9" w:rsidRDefault="005F5DCB" w:rsidP="005F5DCB">
      <w:pPr>
        <w:pStyle w:val="FootnoteText"/>
        <w:rPr>
          <w:lang w:val="en-AU"/>
        </w:rPr>
      </w:pPr>
      <w:r>
        <w:rPr>
          <w:rStyle w:val="FootnoteReference"/>
        </w:rPr>
        <w:footnoteRef/>
      </w:r>
      <w:r>
        <w:t xml:space="preserve"> </w:t>
      </w:r>
      <w:hyperlink r:id="rId2" w:history="1">
        <w:r w:rsidRPr="00114E7D">
          <w:rPr>
            <w:rStyle w:val="Hyperlink"/>
            <w:rFonts w:cstheme="minorBidi"/>
            <w:sz w:val="16"/>
            <w:szCs w:val="16"/>
            <w:lang w:val="en-AU"/>
          </w:rPr>
          <w:t>Post Disaster Rapid Assessment, Tropical Cyclone Gita, February 12, 2018, Government of Tonga.</w:t>
        </w:r>
      </w:hyperlink>
      <w:r w:rsidRPr="00114E7D">
        <w:rPr>
          <w:sz w:val="16"/>
          <w:szCs w:val="16"/>
          <w:lang w:val="en-AU"/>
        </w:rPr>
        <w:t xml:space="preserve"> </w:t>
      </w:r>
    </w:p>
  </w:footnote>
  <w:footnote w:id="6">
    <w:p w14:paraId="3C70C24E" w14:textId="3C7C8B40" w:rsidR="001D7AD9" w:rsidRPr="006C2F93" w:rsidRDefault="001D7AD9">
      <w:pPr>
        <w:pStyle w:val="FootnoteText"/>
        <w:rPr>
          <w:sz w:val="16"/>
          <w:szCs w:val="16"/>
          <w:lang w:val="en-AU"/>
        </w:rPr>
      </w:pPr>
      <w:r>
        <w:rPr>
          <w:rStyle w:val="FootnoteReference"/>
        </w:rPr>
        <w:footnoteRef/>
      </w:r>
      <w:r>
        <w:t xml:space="preserve"> </w:t>
      </w:r>
      <w:r w:rsidR="00ED0E46" w:rsidRPr="006C2F93">
        <w:rPr>
          <w:sz w:val="16"/>
          <w:szCs w:val="16"/>
        </w:rPr>
        <w:t>Humanitarian Strategy 2016 Report; The Global Assessment Report 2015; International Journal of DRR 2014</w:t>
      </w:r>
    </w:p>
  </w:footnote>
  <w:footnote w:id="7">
    <w:p w14:paraId="734F66D2" w14:textId="77777777" w:rsidR="00A60862" w:rsidRPr="00F95701" w:rsidRDefault="00A60862" w:rsidP="00A60862">
      <w:pPr>
        <w:pStyle w:val="FootnoteText"/>
        <w:spacing w:before="0"/>
        <w:rPr>
          <w:rFonts w:cstheme="minorHAnsi"/>
          <w:color w:val="495965"/>
          <w:sz w:val="16"/>
          <w:szCs w:val="16"/>
          <w:lang w:val="en-AU"/>
        </w:rPr>
      </w:pPr>
      <w:r w:rsidRPr="00E26E1A">
        <w:rPr>
          <w:rStyle w:val="FootnoteReference"/>
          <w:rFonts w:cstheme="minorHAnsi"/>
          <w:color w:val="495965"/>
          <w:szCs w:val="12"/>
        </w:rPr>
        <w:footnoteRef/>
      </w:r>
      <w:r w:rsidRPr="00E26E1A">
        <w:rPr>
          <w:rFonts w:cstheme="minorHAnsi"/>
          <w:color w:val="495965"/>
          <w:szCs w:val="12"/>
        </w:rPr>
        <w:t xml:space="preserve"> </w:t>
      </w:r>
      <w:r w:rsidRPr="00F95701">
        <w:rPr>
          <w:rFonts w:cstheme="minorHAnsi"/>
          <w:color w:val="495965"/>
          <w:sz w:val="16"/>
          <w:szCs w:val="16"/>
          <w:lang w:val="en-AU"/>
        </w:rPr>
        <w:t xml:space="preserve">CARE. "Gender in Emergencies." CARE Emergency Toolkit, 2023. </w:t>
      </w:r>
      <w:hyperlink r:id="rId3" w:history="1">
        <w:r w:rsidRPr="00F95701">
          <w:rPr>
            <w:rStyle w:val="Hyperlink"/>
            <w:rFonts w:cstheme="minorHAnsi"/>
            <w:color w:val="495965"/>
            <w:sz w:val="16"/>
            <w:szCs w:val="16"/>
            <w:lang w:val="en-AU"/>
          </w:rPr>
          <w:t>https://www.careemergencytoolkit.org/gender/gender-in-emergencies/</w:t>
        </w:r>
      </w:hyperlink>
    </w:p>
  </w:footnote>
  <w:footnote w:id="8">
    <w:p w14:paraId="48288691" w14:textId="77777777" w:rsidR="00A60862" w:rsidRPr="00F95701" w:rsidRDefault="00A60862" w:rsidP="00A60862">
      <w:pPr>
        <w:pStyle w:val="FootnoteText"/>
        <w:spacing w:before="0"/>
        <w:rPr>
          <w:rFonts w:cstheme="minorHAnsi"/>
          <w:color w:val="495965"/>
          <w:sz w:val="16"/>
          <w:szCs w:val="16"/>
          <w:lang w:val="en-AU"/>
        </w:rPr>
      </w:pPr>
      <w:r w:rsidRPr="00F95701">
        <w:rPr>
          <w:rStyle w:val="FootnoteReference"/>
          <w:rFonts w:cstheme="minorHAnsi"/>
          <w:color w:val="495965"/>
          <w:sz w:val="16"/>
          <w:szCs w:val="16"/>
        </w:rPr>
        <w:footnoteRef/>
      </w:r>
      <w:r w:rsidRPr="00F95701">
        <w:rPr>
          <w:rFonts w:cstheme="minorHAnsi"/>
          <w:color w:val="495965"/>
          <w:sz w:val="16"/>
          <w:szCs w:val="16"/>
        </w:rPr>
        <w:t xml:space="preserve"> </w:t>
      </w:r>
      <w:r w:rsidRPr="00F95701">
        <w:rPr>
          <w:rFonts w:cstheme="minorHAnsi"/>
          <w:color w:val="495965"/>
          <w:sz w:val="16"/>
          <w:szCs w:val="16"/>
          <w:lang w:val="en-AU"/>
        </w:rPr>
        <w:t xml:space="preserve">UN Women &amp; UNPRPR. 2021. Intersectionality Resource Guide and Toolkit: An Intersectional Approach to Leave No One Behind. </w:t>
      </w:r>
      <w:hyperlink r:id="rId4" w:history="1">
        <w:r w:rsidRPr="00F95701">
          <w:rPr>
            <w:rStyle w:val="Hyperlink"/>
            <w:rFonts w:cstheme="minorHAnsi"/>
            <w:color w:val="495965"/>
            <w:sz w:val="16"/>
            <w:szCs w:val="16"/>
            <w:lang w:val="en-AU"/>
          </w:rPr>
          <w:t>https://www.unwomen.org/sites/default/files/2022-01/Intersectionality-resource-guide-and-toolkit-en.pdf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00D2" w14:textId="5881101B" w:rsidR="002D5B25" w:rsidRPr="000854FD" w:rsidRDefault="002D5B25" w:rsidP="00DB058C">
    <w:pPr>
      <w:pStyle w:val="Header"/>
      <w:tabs>
        <w:tab w:val="clear" w:pos="4513"/>
        <w:tab w:val="clear" w:pos="9026"/>
        <w:tab w:val="left" w:pos="9484"/>
      </w:tabs>
    </w:pPr>
    <w:r w:rsidRPr="00943730">
      <w:rPr>
        <w:noProof/>
        <w:lang w:val="en-AU" w:eastAsia="en-AU"/>
      </w:rPr>
      <w:drawing>
        <wp:anchor distT="0" distB="0" distL="114300" distR="114300" simplePos="0" relativeHeight="251658241" behindDoc="1" locked="1" layoutInCell="1" allowOverlap="1" wp14:anchorId="47599557" wp14:editId="14533DBB">
          <wp:simplePos x="0" y="0"/>
          <wp:positionH relativeFrom="page">
            <wp:posOffset>15240</wp:posOffset>
          </wp:positionH>
          <wp:positionV relativeFrom="page">
            <wp:posOffset>0</wp:posOffset>
          </wp:positionV>
          <wp:extent cx="10246995" cy="10692765"/>
          <wp:effectExtent l="0" t="0" r="1905" b="0"/>
          <wp:wrapNone/>
          <wp:docPr id="402500466" name="Picture 4025004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46995" cy="10692765"/>
                  </a:xfrm>
                  <a:prstGeom prst="rect">
                    <a:avLst/>
                  </a:prstGeom>
                </pic:spPr>
              </pic:pic>
            </a:graphicData>
          </a:graphic>
          <wp14:sizeRelH relativeFrom="margin">
            <wp14:pctWidth>0</wp14:pctWidth>
          </wp14:sizeRelH>
          <wp14:sizeRelV relativeFrom="margin">
            <wp14:pctHeight>0</wp14:pctHeight>
          </wp14:sizeRelV>
        </wp:anchor>
      </w:drawing>
    </w:r>
    <w:r w:rsidR="00DB058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2561" w14:textId="0E5C1274" w:rsidR="00665D77" w:rsidRDefault="00665D77" w:rsidP="00AA4B1E">
    <w:pPr>
      <w:pStyle w:val="Header"/>
      <w:jc w:val="right"/>
    </w:pPr>
  </w:p>
  <w:p w14:paraId="5B44DC2E" w14:textId="4D7D0215" w:rsidR="00665D77" w:rsidRDefault="007777A6" w:rsidP="00943730">
    <w:pPr>
      <w:pStyle w:val="Header"/>
    </w:pPr>
    <w:r w:rsidRPr="00943730">
      <w:rPr>
        <w:noProof/>
        <w:lang w:val="en-AU" w:eastAsia="en-AU"/>
      </w:rPr>
      <w:drawing>
        <wp:anchor distT="0" distB="0" distL="114300" distR="114300" simplePos="0" relativeHeight="251658243" behindDoc="0" locked="0" layoutInCell="1" allowOverlap="1" wp14:anchorId="0FEA1D05" wp14:editId="0698B628">
          <wp:simplePos x="0" y="0"/>
          <wp:positionH relativeFrom="column">
            <wp:posOffset>94615</wp:posOffset>
          </wp:positionH>
          <wp:positionV relativeFrom="paragraph">
            <wp:posOffset>133350</wp:posOffset>
          </wp:positionV>
          <wp:extent cx="3166745" cy="554355"/>
          <wp:effectExtent l="0" t="0" r="0" b="0"/>
          <wp:wrapNone/>
          <wp:docPr id="1459460491" name="Picture 1459460491" descr="Department of Foreign Affairs and Trade" title="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3166745" cy="554355"/>
                  </a:xfrm>
                  <a:prstGeom prst="rect">
                    <a:avLst/>
                  </a:prstGeom>
                </pic:spPr>
              </pic:pic>
            </a:graphicData>
          </a:graphic>
          <wp14:sizeRelH relativeFrom="page">
            <wp14:pctWidth>0</wp14:pctWidth>
          </wp14:sizeRelH>
          <wp14:sizeRelV relativeFrom="page">
            <wp14:pctHeight>0</wp14:pctHeight>
          </wp14:sizeRelV>
        </wp:anchor>
      </w:drawing>
    </w:r>
  </w:p>
  <w:p w14:paraId="030474A4" w14:textId="77777777" w:rsidR="00665D77" w:rsidRDefault="00665D77" w:rsidP="00943730">
    <w:pPr>
      <w:pStyle w:val="Header"/>
    </w:pPr>
  </w:p>
  <w:p w14:paraId="4DB5D794" w14:textId="77777777" w:rsidR="007777A6" w:rsidRDefault="007777A6" w:rsidP="002428CA">
    <w:pPr>
      <w:pStyle w:val="Header"/>
      <w:jc w:val="right"/>
    </w:pPr>
  </w:p>
  <w:p w14:paraId="68FF7E96" w14:textId="7D3CB019" w:rsidR="00D37B04" w:rsidRPr="00943730" w:rsidRDefault="00252C04" w:rsidP="00943730">
    <w:pPr>
      <w:pStyle w:val="Header"/>
    </w:pPr>
    <w:r w:rsidRPr="00252C04">
      <w:rPr>
        <w:noProof/>
        <w:lang w:val="en-AU" w:eastAsia="en-AU"/>
      </w:rPr>
      <w:drawing>
        <wp:anchor distT="0" distB="0" distL="114300" distR="114300" simplePos="0" relativeHeight="251658240" behindDoc="1" locked="1" layoutInCell="1" allowOverlap="1" wp14:anchorId="20F29F8B" wp14:editId="186FCD80">
          <wp:simplePos x="0" y="0"/>
          <wp:positionH relativeFrom="page">
            <wp:posOffset>11541760</wp:posOffset>
          </wp:positionH>
          <wp:positionV relativeFrom="page">
            <wp:posOffset>928370</wp:posOffset>
          </wp:positionV>
          <wp:extent cx="1115060" cy="512445"/>
          <wp:effectExtent l="0" t="0" r="8890" b="1905"/>
          <wp:wrapNone/>
          <wp:docPr id="883264450" name="Picture 8832644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002D5B25" w:rsidRPr="00943730">
      <w:rPr>
        <w:noProof/>
        <w:lang w:val="en-AU" w:eastAsia="en-AU"/>
      </w:rPr>
      <w:drawing>
        <wp:anchor distT="0" distB="0" distL="114300" distR="114300" simplePos="0" relativeHeight="251658242" behindDoc="1" locked="1" layoutInCell="1" allowOverlap="1" wp14:anchorId="67BC759D" wp14:editId="1C5B7D69">
          <wp:simplePos x="0" y="0"/>
          <wp:positionH relativeFrom="page">
            <wp:posOffset>-615315</wp:posOffset>
          </wp:positionH>
          <wp:positionV relativeFrom="page">
            <wp:align>top</wp:align>
          </wp:positionV>
          <wp:extent cx="14582775" cy="10692130"/>
          <wp:effectExtent l="0" t="0" r="9525" b="0"/>
          <wp:wrapNone/>
          <wp:docPr id="1714199919" name="Picture 17141999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4582775"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279"/>
    <w:multiLevelType w:val="hybridMultilevel"/>
    <w:tmpl w:val="D0AE53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3D35B50"/>
    <w:multiLevelType w:val="hybridMultilevel"/>
    <w:tmpl w:val="9E267EBE"/>
    <w:lvl w:ilvl="0" w:tplc="DF3A5BB2">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40A2CF2"/>
    <w:multiLevelType w:val="hybridMultilevel"/>
    <w:tmpl w:val="963CF758"/>
    <w:lvl w:ilvl="0" w:tplc="0C090001">
      <w:start w:val="1"/>
      <w:numFmt w:val="bullet"/>
      <w:lvlText w:val=""/>
      <w:lvlJc w:val="left"/>
      <w:pPr>
        <w:ind w:left="1004" w:hanging="360"/>
      </w:pPr>
      <w:rPr>
        <w:rFonts w:ascii="Symbol" w:hAnsi="Symbol" w:hint="default"/>
        <w:strike w:val="0"/>
      </w:rPr>
    </w:lvl>
    <w:lvl w:ilvl="1" w:tplc="FFFFFFFF">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3" w15:restartNumberingAfterBreak="0">
    <w:nsid w:val="05582585"/>
    <w:multiLevelType w:val="multilevel"/>
    <w:tmpl w:val="3344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3D01E2"/>
    <w:multiLevelType w:val="hybridMultilevel"/>
    <w:tmpl w:val="81AAB9E2"/>
    <w:lvl w:ilvl="0" w:tplc="0C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B92075A"/>
    <w:multiLevelType w:val="hybridMultilevel"/>
    <w:tmpl w:val="7FD489E0"/>
    <w:lvl w:ilvl="0" w:tplc="0C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16085AC2"/>
    <w:multiLevelType w:val="hybridMultilevel"/>
    <w:tmpl w:val="60C0F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9" w15:restartNumberingAfterBreak="0">
    <w:nsid w:val="1AF4299C"/>
    <w:multiLevelType w:val="hybridMultilevel"/>
    <w:tmpl w:val="03B0E57E"/>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20EA5B4C"/>
    <w:multiLevelType w:val="hybridMultilevel"/>
    <w:tmpl w:val="C1C432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1E92AB4"/>
    <w:multiLevelType w:val="hybridMultilevel"/>
    <w:tmpl w:val="11706202"/>
    <w:lvl w:ilvl="0" w:tplc="DF3A5BB2">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7483D03"/>
    <w:multiLevelType w:val="hybridMultilevel"/>
    <w:tmpl w:val="A0C64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F52372"/>
    <w:multiLevelType w:val="hybridMultilevel"/>
    <w:tmpl w:val="29C032E6"/>
    <w:lvl w:ilvl="0" w:tplc="0C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28C66CDB"/>
    <w:multiLevelType w:val="hybridMultilevel"/>
    <w:tmpl w:val="A7E0D27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D221A89"/>
    <w:multiLevelType w:val="hybridMultilevel"/>
    <w:tmpl w:val="8500DF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BE75532"/>
    <w:multiLevelType w:val="multilevel"/>
    <w:tmpl w:val="67D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CB566A"/>
    <w:multiLevelType w:val="hybridMultilevel"/>
    <w:tmpl w:val="F3246554"/>
    <w:lvl w:ilvl="0" w:tplc="04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451449BD"/>
    <w:multiLevelType w:val="hybridMultilevel"/>
    <w:tmpl w:val="0700C81A"/>
    <w:lvl w:ilvl="0" w:tplc="DF3A5BB2">
      <w:numFmt w:val="bullet"/>
      <w:lvlText w:val="-"/>
      <w:lvlJc w:val="left"/>
      <w:pPr>
        <w:ind w:left="1440" w:hanging="360"/>
      </w:pPr>
      <w:rPr>
        <w:rFonts w:ascii="Calibri" w:eastAsiaTheme="minorHAnsi" w:hAnsi="Calibri" w:cs="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C006125"/>
    <w:multiLevelType w:val="hybridMultilevel"/>
    <w:tmpl w:val="391694B8"/>
    <w:lvl w:ilvl="0" w:tplc="DF3A5BB2">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E5F5721"/>
    <w:multiLevelType w:val="hybridMultilevel"/>
    <w:tmpl w:val="80EA1748"/>
    <w:lvl w:ilvl="0" w:tplc="FFFFFFFF">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51BC4FF4"/>
    <w:multiLevelType w:val="hybridMultilevel"/>
    <w:tmpl w:val="015687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26C4F41"/>
    <w:multiLevelType w:val="hybridMultilevel"/>
    <w:tmpl w:val="84F4F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68E57269"/>
    <w:multiLevelType w:val="hybridMultilevel"/>
    <w:tmpl w:val="CC662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CA559E"/>
    <w:multiLevelType w:val="hybridMultilevel"/>
    <w:tmpl w:val="764EF36E"/>
    <w:lvl w:ilvl="0" w:tplc="647A38D0">
      <w:start w:val="1"/>
      <w:numFmt w:val="bullet"/>
      <w:lvlText w:val="›"/>
      <w:lvlJc w:val="left"/>
      <w:pPr>
        <w:ind w:left="502" w:hanging="360"/>
      </w:pPr>
      <w:rPr>
        <w:rFonts w:ascii="Times New Roman" w:hAnsi="Times New Roman" w:hint="default"/>
        <w:strike w:val="0"/>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73107305"/>
    <w:multiLevelType w:val="multilevel"/>
    <w:tmpl w:val="A6FA45D0"/>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42502D1"/>
    <w:multiLevelType w:val="multilevel"/>
    <w:tmpl w:val="70D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EF4F02"/>
    <w:multiLevelType w:val="hybridMultilevel"/>
    <w:tmpl w:val="AF606288"/>
    <w:lvl w:ilvl="0" w:tplc="DF3A5BB2">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79853EAE"/>
    <w:multiLevelType w:val="hybridMultilevel"/>
    <w:tmpl w:val="951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875870"/>
    <w:multiLevelType w:val="hybridMultilevel"/>
    <w:tmpl w:val="F40C296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7F7A528B"/>
    <w:multiLevelType w:val="hybridMultilevel"/>
    <w:tmpl w:val="A39658C0"/>
    <w:lvl w:ilvl="0" w:tplc="7B640FF6">
      <w:start w:val="1"/>
      <w:numFmt w:val="bullet"/>
      <w:pStyle w:val="ListBullet"/>
      <w:lvlText w:val="›"/>
      <w:lvlJc w:val="left"/>
      <w:pPr>
        <w:ind w:left="0" w:hanging="360"/>
      </w:pPr>
      <w:rPr>
        <w:rFonts w:ascii="Times New Roman" w:hAnsi="Times New Roman" w:cs="Times New Roman" w:hint="default"/>
        <w:color w:val="auto"/>
        <w:position w:val="3"/>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16cid:durableId="463933323">
    <w:abstractNumId w:val="28"/>
  </w:num>
  <w:num w:numId="2" w16cid:durableId="380373926">
    <w:abstractNumId w:val="5"/>
  </w:num>
  <w:num w:numId="3" w16cid:durableId="372120983">
    <w:abstractNumId w:val="15"/>
  </w:num>
  <w:num w:numId="4" w16cid:durableId="390615848">
    <w:abstractNumId w:val="24"/>
  </w:num>
  <w:num w:numId="5" w16cid:durableId="930310843">
    <w:abstractNumId w:val="25"/>
  </w:num>
  <w:num w:numId="6" w16cid:durableId="490633657">
    <w:abstractNumId w:val="15"/>
  </w:num>
  <w:num w:numId="7" w16cid:durableId="1669677604">
    <w:abstractNumId w:val="5"/>
  </w:num>
  <w:num w:numId="8" w16cid:durableId="1132865891">
    <w:abstractNumId w:val="8"/>
  </w:num>
  <w:num w:numId="9" w16cid:durableId="1975869933">
    <w:abstractNumId w:val="31"/>
  </w:num>
  <w:num w:numId="10" w16cid:durableId="1376735078">
    <w:abstractNumId w:val="27"/>
  </w:num>
  <w:num w:numId="11" w16cid:durableId="748500793">
    <w:abstractNumId w:val="34"/>
  </w:num>
  <w:num w:numId="12" w16cid:durableId="2092504879">
    <w:abstractNumId w:val="17"/>
  </w:num>
  <w:num w:numId="13" w16cid:durableId="1925676688">
    <w:abstractNumId w:val="3"/>
  </w:num>
  <w:num w:numId="14" w16cid:durableId="566961996">
    <w:abstractNumId w:val="29"/>
  </w:num>
  <w:num w:numId="15" w16cid:durableId="1214729176">
    <w:abstractNumId w:val="26"/>
  </w:num>
  <w:num w:numId="16" w16cid:durableId="2139909115">
    <w:abstractNumId w:val="23"/>
  </w:num>
  <w:num w:numId="17" w16cid:durableId="1287470304">
    <w:abstractNumId w:val="12"/>
  </w:num>
  <w:num w:numId="18" w16cid:durableId="1869441420">
    <w:abstractNumId w:val="30"/>
  </w:num>
  <w:num w:numId="19" w16cid:durableId="1099564457">
    <w:abstractNumId w:val="22"/>
  </w:num>
  <w:num w:numId="20" w16cid:durableId="275213400">
    <w:abstractNumId w:val="16"/>
  </w:num>
  <w:num w:numId="21" w16cid:durableId="2135172538">
    <w:abstractNumId w:val="33"/>
  </w:num>
  <w:num w:numId="22" w16cid:durableId="200291009">
    <w:abstractNumId w:val="2"/>
  </w:num>
  <w:num w:numId="23" w16cid:durableId="1411194315">
    <w:abstractNumId w:val="14"/>
  </w:num>
  <w:num w:numId="24" w16cid:durableId="918059401">
    <w:abstractNumId w:val="6"/>
  </w:num>
  <w:num w:numId="25" w16cid:durableId="1459058927">
    <w:abstractNumId w:val="4"/>
  </w:num>
  <w:num w:numId="26" w16cid:durableId="1264725366">
    <w:abstractNumId w:val="21"/>
  </w:num>
  <w:num w:numId="27" w16cid:durableId="38286653">
    <w:abstractNumId w:val="13"/>
  </w:num>
  <w:num w:numId="28" w16cid:durableId="546988148">
    <w:abstractNumId w:val="1"/>
  </w:num>
  <w:num w:numId="29" w16cid:durableId="1248684606">
    <w:abstractNumId w:val="7"/>
  </w:num>
  <w:num w:numId="30" w16cid:durableId="1996105288">
    <w:abstractNumId w:val="10"/>
  </w:num>
  <w:num w:numId="31" w16cid:durableId="874924203">
    <w:abstractNumId w:val="9"/>
  </w:num>
  <w:num w:numId="32" w16cid:durableId="159739866">
    <w:abstractNumId w:val="20"/>
  </w:num>
  <w:num w:numId="33" w16cid:durableId="160198237">
    <w:abstractNumId w:val="11"/>
  </w:num>
  <w:num w:numId="34" w16cid:durableId="510068779">
    <w:abstractNumId w:val="0"/>
  </w:num>
  <w:num w:numId="35" w16cid:durableId="2025478292">
    <w:abstractNumId w:val="18"/>
  </w:num>
  <w:num w:numId="36" w16cid:durableId="610552609">
    <w:abstractNumId w:val="32"/>
  </w:num>
  <w:num w:numId="37" w16cid:durableId="743643444">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583"/>
    <w:rsid w:val="000002DD"/>
    <w:rsid w:val="0000153D"/>
    <w:rsid w:val="00001DA8"/>
    <w:rsid w:val="00001DE3"/>
    <w:rsid w:val="000020C1"/>
    <w:rsid w:val="00002525"/>
    <w:rsid w:val="000030AC"/>
    <w:rsid w:val="00003123"/>
    <w:rsid w:val="00003410"/>
    <w:rsid w:val="00003D8C"/>
    <w:rsid w:val="00003E00"/>
    <w:rsid w:val="00004C69"/>
    <w:rsid w:val="00005DFF"/>
    <w:rsid w:val="00006975"/>
    <w:rsid w:val="00007882"/>
    <w:rsid w:val="00007B48"/>
    <w:rsid w:val="00007DB0"/>
    <w:rsid w:val="000108FA"/>
    <w:rsid w:val="00010DC5"/>
    <w:rsid w:val="000110B6"/>
    <w:rsid w:val="00011312"/>
    <w:rsid w:val="00012077"/>
    <w:rsid w:val="000139EA"/>
    <w:rsid w:val="00013AC6"/>
    <w:rsid w:val="00014930"/>
    <w:rsid w:val="000153E1"/>
    <w:rsid w:val="00015A2D"/>
    <w:rsid w:val="0001754B"/>
    <w:rsid w:val="000202ED"/>
    <w:rsid w:val="00020585"/>
    <w:rsid w:val="0002080A"/>
    <w:rsid w:val="00020EAF"/>
    <w:rsid w:val="000213E2"/>
    <w:rsid w:val="0002151E"/>
    <w:rsid w:val="0002174A"/>
    <w:rsid w:val="00021C8E"/>
    <w:rsid w:val="00022256"/>
    <w:rsid w:val="00022688"/>
    <w:rsid w:val="000226ED"/>
    <w:rsid w:val="00022775"/>
    <w:rsid w:val="0002294F"/>
    <w:rsid w:val="00024DA6"/>
    <w:rsid w:val="00024E87"/>
    <w:rsid w:val="0002513C"/>
    <w:rsid w:val="00025528"/>
    <w:rsid w:val="000264FE"/>
    <w:rsid w:val="00027301"/>
    <w:rsid w:val="00027392"/>
    <w:rsid w:val="0002755E"/>
    <w:rsid w:val="0002782F"/>
    <w:rsid w:val="000300B7"/>
    <w:rsid w:val="00031291"/>
    <w:rsid w:val="000319CE"/>
    <w:rsid w:val="00031E3C"/>
    <w:rsid w:val="00032057"/>
    <w:rsid w:val="00032950"/>
    <w:rsid w:val="00032A41"/>
    <w:rsid w:val="000332A1"/>
    <w:rsid w:val="00033E97"/>
    <w:rsid w:val="00034A72"/>
    <w:rsid w:val="00035BBF"/>
    <w:rsid w:val="00035BE1"/>
    <w:rsid w:val="00035FE7"/>
    <w:rsid w:val="0003657E"/>
    <w:rsid w:val="0003672D"/>
    <w:rsid w:val="00036A31"/>
    <w:rsid w:val="00036E03"/>
    <w:rsid w:val="00036FEC"/>
    <w:rsid w:val="00037169"/>
    <w:rsid w:val="000415A3"/>
    <w:rsid w:val="00041621"/>
    <w:rsid w:val="0004226F"/>
    <w:rsid w:val="00042529"/>
    <w:rsid w:val="00042B7F"/>
    <w:rsid w:val="00043673"/>
    <w:rsid w:val="00044E4C"/>
    <w:rsid w:val="00044F37"/>
    <w:rsid w:val="00045153"/>
    <w:rsid w:val="00045BE3"/>
    <w:rsid w:val="0004603C"/>
    <w:rsid w:val="0004611F"/>
    <w:rsid w:val="000465F1"/>
    <w:rsid w:val="00046CD4"/>
    <w:rsid w:val="0004706B"/>
    <w:rsid w:val="0004754C"/>
    <w:rsid w:val="0005017C"/>
    <w:rsid w:val="00050806"/>
    <w:rsid w:val="00051096"/>
    <w:rsid w:val="00051876"/>
    <w:rsid w:val="0005234F"/>
    <w:rsid w:val="000538E1"/>
    <w:rsid w:val="00053C88"/>
    <w:rsid w:val="00053FEE"/>
    <w:rsid w:val="000541A4"/>
    <w:rsid w:val="00054428"/>
    <w:rsid w:val="000546D9"/>
    <w:rsid w:val="00054E4D"/>
    <w:rsid w:val="0005509A"/>
    <w:rsid w:val="000550A1"/>
    <w:rsid w:val="00055633"/>
    <w:rsid w:val="00056210"/>
    <w:rsid w:val="00056C7E"/>
    <w:rsid w:val="00060073"/>
    <w:rsid w:val="000600E4"/>
    <w:rsid w:val="00060B61"/>
    <w:rsid w:val="00061009"/>
    <w:rsid w:val="000611CC"/>
    <w:rsid w:val="000616C6"/>
    <w:rsid w:val="000619CB"/>
    <w:rsid w:val="000629CC"/>
    <w:rsid w:val="000634B7"/>
    <w:rsid w:val="00063B3D"/>
    <w:rsid w:val="00064450"/>
    <w:rsid w:val="0006461C"/>
    <w:rsid w:val="0006474A"/>
    <w:rsid w:val="0006493A"/>
    <w:rsid w:val="000652B8"/>
    <w:rsid w:val="0006574B"/>
    <w:rsid w:val="00066673"/>
    <w:rsid w:val="00066B81"/>
    <w:rsid w:val="00066D77"/>
    <w:rsid w:val="000679DC"/>
    <w:rsid w:val="00067D57"/>
    <w:rsid w:val="00070F9A"/>
    <w:rsid w:val="000726C0"/>
    <w:rsid w:val="00072CC5"/>
    <w:rsid w:val="00073103"/>
    <w:rsid w:val="000732A0"/>
    <w:rsid w:val="000733B5"/>
    <w:rsid w:val="000743BC"/>
    <w:rsid w:val="00074D21"/>
    <w:rsid w:val="00075148"/>
    <w:rsid w:val="000756AF"/>
    <w:rsid w:val="00075CAC"/>
    <w:rsid w:val="00076235"/>
    <w:rsid w:val="000767D2"/>
    <w:rsid w:val="00076A23"/>
    <w:rsid w:val="00076ACB"/>
    <w:rsid w:val="00080175"/>
    <w:rsid w:val="000811DD"/>
    <w:rsid w:val="0008275F"/>
    <w:rsid w:val="00082B51"/>
    <w:rsid w:val="00082E00"/>
    <w:rsid w:val="00082F47"/>
    <w:rsid w:val="000832C1"/>
    <w:rsid w:val="000836FC"/>
    <w:rsid w:val="0008383E"/>
    <w:rsid w:val="00083892"/>
    <w:rsid w:val="000838DA"/>
    <w:rsid w:val="00083B68"/>
    <w:rsid w:val="000842CA"/>
    <w:rsid w:val="0008487A"/>
    <w:rsid w:val="000854FD"/>
    <w:rsid w:val="0008596C"/>
    <w:rsid w:val="00085A09"/>
    <w:rsid w:val="000862EF"/>
    <w:rsid w:val="000863AA"/>
    <w:rsid w:val="000863BA"/>
    <w:rsid w:val="000865C1"/>
    <w:rsid w:val="000868E5"/>
    <w:rsid w:val="00087071"/>
    <w:rsid w:val="0008715F"/>
    <w:rsid w:val="00087567"/>
    <w:rsid w:val="00087995"/>
    <w:rsid w:val="00090287"/>
    <w:rsid w:val="0009116A"/>
    <w:rsid w:val="00091265"/>
    <w:rsid w:val="0009129D"/>
    <w:rsid w:val="0009232B"/>
    <w:rsid w:val="00092BAE"/>
    <w:rsid w:val="00093B5D"/>
    <w:rsid w:val="0009460A"/>
    <w:rsid w:val="00095A25"/>
    <w:rsid w:val="00095BEE"/>
    <w:rsid w:val="00095CEE"/>
    <w:rsid w:val="00095E4A"/>
    <w:rsid w:val="00096614"/>
    <w:rsid w:val="0009696B"/>
    <w:rsid w:val="00096E0B"/>
    <w:rsid w:val="00096EB5"/>
    <w:rsid w:val="00097D15"/>
    <w:rsid w:val="00097E75"/>
    <w:rsid w:val="00097F21"/>
    <w:rsid w:val="000A0695"/>
    <w:rsid w:val="000A0B90"/>
    <w:rsid w:val="000A0DC3"/>
    <w:rsid w:val="000A1348"/>
    <w:rsid w:val="000A1C34"/>
    <w:rsid w:val="000A217A"/>
    <w:rsid w:val="000A26FF"/>
    <w:rsid w:val="000A2BFA"/>
    <w:rsid w:val="000A30CF"/>
    <w:rsid w:val="000A3373"/>
    <w:rsid w:val="000A3860"/>
    <w:rsid w:val="000A3862"/>
    <w:rsid w:val="000A3965"/>
    <w:rsid w:val="000A3B6E"/>
    <w:rsid w:val="000A3C61"/>
    <w:rsid w:val="000A4464"/>
    <w:rsid w:val="000A4AAF"/>
    <w:rsid w:val="000A52CD"/>
    <w:rsid w:val="000A67EC"/>
    <w:rsid w:val="000A7187"/>
    <w:rsid w:val="000A79A3"/>
    <w:rsid w:val="000A7AE5"/>
    <w:rsid w:val="000A7F87"/>
    <w:rsid w:val="000B0903"/>
    <w:rsid w:val="000B0DC9"/>
    <w:rsid w:val="000B0FE5"/>
    <w:rsid w:val="000B1531"/>
    <w:rsid w:val="000B20D8"/>
    <w:rsid w:val="000B2622"/>
    <w:rsid w:val="000B37F5"/>
    <w:rsid w:val="000B387C"/>
    <w:rsid w:val="000B3D23"/>
    <w:rsid w:val="000B3E83"/>
    <w:rsid w:val="000B43B7"/>
    <w:rsid w:val="000B5640"/>
    <w:rsid w:val="000B5660"/>
    <w:rsid w:val="000B5869"/>
    <w:rsid w:val="000B5A7A"/>
    <w:rsid w:val="000B64C2"/>
    <w:rsid w:val="000B6828"/>
    <w:rsid w:val="000B6907"/>
    <w:rsid w:val="000B7704"/>
    <w:rsid w:val="000C0331"/>
    <w:rsid w:val="000C0456"/>
    <w:rsid w:val="000C0952"/>
    <w:rsid w:val="000C2598"/>
    <w:rsid w:val="000C280D"/>
    <w:rsid w:val="000C2D30"/>
    <w:rsid w:val="000C39DA"/>
    <w:rsid w:val="000C4B06"/>
    <w:rsid w:val="000C4D0F"/>
    <w:rsid w:val="000C4DF8"/>
    <w:rsid w:val="000C4ED5"/>
    <w:rsid w:val="000C4F41"/>
    <w:rsid w:val="000C55F4"/>
    <w:rsid w:val="000C56D0"/>
    <w:rsid w:val="000C5B81"/>
    <w:rsid w:val="000C5EF7"/>
    <w:rsid w:val="000C604E"/>
    <w:rsid w:val="000C66B9"/>
    <w:rsid w:val="000C72D2"/>
    <w:rsid w:val="000D09EA"/>
    <w:rsid w:val="000D0AD5"/>
    <w:rsid w:val="000D1007"/>
    <w:rsid w:val="000D1343"/>
    <w:rsid w:val="000D1C0B"/>
    <w:rsid w:val="000D1EB6"/>
    <w:rsid w:val="000D2287"/>
    <w:rsid w:val="000D2974"/>
    <w:rsid w:val="000D2BE8"/>
    <w:rsid w:val="000D3AA8"/>
    <w:rsid w:val="000D3B5A"/>
    <w:rsid w:val="000D42C6"/>
    <w:rsid w:val="000D449E"/>
    <w:rsid w:val="000D45E4"/>
    <w:rsid w:val="000D530A"/>
    <w:rsid w:val="000D5A7D"/>
    <w:rsid w:val="000D60AB"/>
    <w:rsid w:val="000D61BE"/>
    <w:rsid w:val="000D6582"/>
    <w:rsid w:val="000D66D6"/>
    <w:rsid w:val="000D67F2"/>
    <w:rsid w:val="000D6ABE"/>
    <w:rsid w:val="000D787A"/>
    <w:rsid w:val="000D7AEC"/>
    <w:rsid w:val="000D7D33"/>
    <w:rsid w:val="000E02E3"/>
    <w:rsid w:val="000E04AA"/>
    <w:rsid w:val="000E09C3"/>
    <w:rsid w:val="000E0AEB"/>
    <w:rsid w:val="000E0D5C"/>
    <w:rsid w:val="000E310C"/>
    <w:rsid w:val="000E39B3"/>
    <w:rsid w:val="000E3A7F"/>
    <w:rsid w:val="000E4DDA"/>
    <w:rsid w:val="000E53D1"/>
    <w:rsid w:val="000E56C0"/>
    <w:rsid w:val="000E5889"/>
    <w:rsid w:val="000E61E8"/>
    <w:rsid w:val="000E66E9"/>
    <w:rsid w:val="000E712A"/>
    <w:rsid w:val="000E7718"/>
    <w:rsid w:val="000F06A4"/>
    <w:rsid w:val="000F10C4"/>
    <w:rsid w:val="000F197E"/>
    <w:rsid w:val="000F1995"/>
    <w:rsid w:val="000F2182"/>
    <w:rsid w:val="000F2663"/>
    <w:rsid w:val="000F2DE4"/>
    <w:rsid w:val="000F358A"/>
    <w:rsid w:val="000F3B17"/>
    <w:rsid w:val="000F48C8"/>
    <w:rsid w:val="000F5140"/>
    <w:rsid w:val="000F5A29"/>
    <w:rsid w:val="000F5ADF"/>
    <w:rsid w:val="000F6318"/>
    <w:rsid w:val="000F6321"/>
    <w:rsid w:val="000F654F"/>
    <w:rsid w:val="000F6711"/>
    <w:rsid w:val="000F6871"/>
    <w:rsid w:val="000F7039"/>
    <w:rsid w:val="00100B1F"/>
    <w:rsid w:val="00101077"/>
    <w:rsid w:val="001016E2"/>
    <w:rsid w:val="00101774"/>
    <w:rsid w:val="001018B5"/>
    <w:rsid w:val="001018DD"/>
    <w:rsid w:val="00101C34"/>
    <w:rsid w:val="00101CF2"/>
    <w:rsid w:val="00101F4D"/>
    <w:rsid w:val="00102ABF"/>
    <w:rsid w:val="00102D1E"/>
    <w:rsid w:val="001033A6"/>
    <w:rsid w:val="001036D8"/>
    <w:rsid w:val="001037C5"/>
    <w:rsid w:val="0010395F"/>
    <w:rsid w:val="00103BCA"/>
    <w:rsid w:val="001045F0"/>
    <w:rsid w:val="0010494F"/>
    <w:rsid w:val="001049DB"/>
    <w:rsid w:val="0010576D"/>
    <w:rsid w:val="00105BB8"/>
    <w:rsid w:val="00105BC2"/>
    <w:rsid w:val="001060BF"/>
    <w:rsid w:val="00107540"/>
    <w:rsid w:val="00107F27"/>
    <w:rsid w:val="00110361"/>
    <w:rsid w:val="00110641"/>
    <w:rsid w:val="00110EE6"/>
    <w:rsid w:val="00111174"/>
    <w:rsid w:val="0011290C"/>
    <w:rsid w:val="00113288"/>
    <w:rsid w:val="00113734"/>
    <w:rsid w:val="001143DD"/>
    <w:rsid w:val="0011447C"/>
    <w:rsid w:val="00114E7D"/>
    <w:rsid w:val="00115C70"/>
    <w:rsid w:val="00116379"/>
    <w:rsid w:val="001165B4"/>
    <w:rsid w:val="001178B8"/>
    <w:rsid w:val="00117D96"/>
    <w:rsid w:val="0012047F"/>
    <w:rsid w:val="00120654"/>
    <w:rsid w:val="0012082A"/>
    <w:rsid w:val="00120C10"/>
    <w:rsid w:val="001214BE"/>
    <w:rsid w:val="0012190E"/>
    <w:rsid w:val="00122510"/>
    <w:rsid w:val="001229C2"/>
    <w:rsid w:val="001229E3"/>
    <w:rsid w:val="00122E82"/>
    <w:rsid w:val="001231A1"/>
    <w:rsid w:val="00123676"/>
    <w:rsid w:val="0012399F"/>
    <w:rsid w:val="00123E4C"/>
    <w:rsid w:val="001244C0"/>
    <w:rsid w:val="001250B8"/>
    <w:rsid w:val="001254AF"/>
    <w:rsid w:val="001255C6"/>
    <w:rsid w:val="001256DB"/>
    <w:rsid w:val="0012593D"/>
    <w:rsid w:val="00125C32"/>
    <w:rsid w:val="00125F44"/>
    <w:rsid w:val="001260D0"/>
    <w:rsid w:val="0012612B"/>
    <w:rsid w:val="00127138"/>
    <w:rsid w:val="001274EE"/>
    <w:rsid w:val="00127543"/>
    <w:rsid w:val="001277F8"/>
    <w:rsid w:val="00127D31"/>
    <w:rsid w:val="00130CE7"/>
    <w:rsid w:val="0013101C"/>
    <w:rsid w:val="0013135F"/>
    <w:rsid w:val="001315F1"/>
    <w:rsid w:val="00131AFD"/>
    <w:rsid w:val="001320AF"/>
    <w:rsid w:val="001321CC"/>
    <w:rsid w:val="001325D7"/>
    <w:rsid w:val="0013293A"/>
    <w:rsid w:val="00132C80"/>
    <w:rsid w:val="00133442"/>
    <w:rsid w:val="00133CF2"/>
    <w:rsid w:val="00134164"/>
    <w:rsid w:val="00134943"/>
    <w:rsid w:val="00134A66"/>
    <w:rsid w:val="00134F67"/>
    <w:rsid w:val="001355C4"/>
    <w:rsid w:val="001356FF"/>
    <w:rsid w:val="0013587D"/>
    <w:rsid w:val="00136372"/>
    <w:rsid w:val="001364F2"/>
    <w:rsid w:val="00136D1A"/>
    <w:rsid w:val="00137032"/>
    <w:rsid w:val="00137D9A"/>
    <w:rsid w:val="00137EC5"/>
    <w:rsid w:val="001407CF"/>
    <w:rsid w:val="00140E25"/>
    <w:rsid w:val="001411EC"/>
    <w:rsid w:val="00141942"/>
    <w:rsid w:val="0014194A"/>
    <w:rsid w:val="001422D4"/>
    <w:rsid w:val="001425DB"/>
    <w:rsid w:val="00142E13"/>
    <w:rsid w:val="00143426"/>
    <w:rsid w:val="00143827"/>
    <w:rsid w:val="00143ADB"/>
    <w:rsid w:val="0014421B"/>
    <w:rsid w:val="00144F70"/>
    <w:rsid w:val="001457CB"/>
    <w:rsid w:val="001461D6"/>
    <w:rsid w:val="00150812"/>
    <w:rsid w:val="00150DB6"/>
    <w:rsid w:val="0015137D"/>
    <w:rsid w:val="00151F85"/>
    <w:rsid w:val="00152374"/>
    <w:rsid w:val="00153248"/>
    <w:rsid w:val="001537C5"/>
    <w:rsid w:val="00153B88"/>
    <w:rsid w:val="001541EA"/>
    <w:rsid w:val="00154466"/>
    <w:rsid w:val="0015498E"/>
    <w:rsid w:val="001550D2"/>
    <w:rsid w:val="001560BA"/>
    <w:rsid w:val="001568E8"/>
    <w:rsid w:val="00156FE5"/>
    <w:rsid w:val="0015745E"/>
    <w:rsid w:val="00157647"/>
    <w:rsid w:val="0015790F"/>
    <w:rsid w:val="00157A63"/>
    <w:rsid w:val="00157F90"/>
    <w:rsid w:val="00160270"/>
    <w:rsid w:val="0016037D"/>
    <w:rsid w:val="001609BE"/>
    <w:rsid w:val="00160CFD"/>
    <w:rsid w:val="001622CC"/>
    <w:rsid w:val="0016239E"/>
    <w:rsid w:val="00162DC8"/>
    <w:rsid w:val="001631A0"/>
    <w:rsid w:val="001636DD"/>
    <w:rsid w:val="001638EC"/>
    <w:rsid w:val="0016464E"/>
    <w:rsid w:val="0016480F"/>
    <w:rsid w:val="00165CE3"/>
    <w:rsid w:val="0016612F"/>
    <w:rsid w:val="00166E32"/>
    <w:rsid w:val="00167345"/>
    <w:rsid w:val="00167778"/>
    <w:rsid w:val="00167794"/>
    <w:rsid w:val="00167E65"/>
    <w:rsid w:val="001700C0"/>
    <w:rsid w:val="00170BEE"/>
    <w:rsid w:val="001711A0"/>
    <w:rsid w:val="00171EBB"/>
    <w:rsid w:val="00173C3F"/>
    <w:rsid w:val="001754B8"/>
    <w:rsid w:val="00175581"/>
    <w:rsid w:val="00175A13"/>
    <w:rsid w:val="00175A65"/>
    <w:rsid w:val="0017626A"/>
    <w:rsid w:val="001769D1"/>
    <w:rsid w:val="00176B1F"/>
    <w:rsid w:val="00177804"/>
    <w:rsid w:val="00177A1A"/>
    <w:rsid w:val="00177AAA"/>
    <w:rsid w:val="00181195"/>
    <w:rsid w:val="001811B7"/>
    <w:rsid w:val="0018121E"/>
    <w:rsid w:val="0018178A"/>
    <w:rsid w:val="00181AE4"/>
    <w:rsid w:val="00182861"/>
    <w:rsid w:val="0018329E"/>
    <w:rsid w:val="00183DD1"/>
    <w:rsid w:val="00184764"/>
    <w:rsid w:val="00184B01"/>
    <w:rsid w:val="00184DF9"/>
    <w:rsid w:val="00185985"/>
    <w:rsid w:val="00185A64"/>
    <w:rsid w:val="00185D30"/>
    <w:rsid w:val="00186006"/>
    <w:rsid w:val="00186324"/>
    <w:rsid w:val="001867E3"/>
    <w:rsid w:val="0018757F"/>
    <w:rsid w:val="001875B4"/>
    <w:rsid w:val="00187A15"/>
    <w:rsid w:val="00187AD0"/>
    <w:rsid w:val="00187E92"/>
    <w:rsid w:val="00190525"/>
    <w:rsid w:val="0019150A"/>
    <w:rsid w:val="001915C9"/>
    <w:rsid w:val="00191D24"/>
    <w:rsid w:val="00191E87"/>
    <w:rsid w:val="001928FA"/>
    <w:rsid w:val="00192C55"/>
    <w:rsid w:val="00192F51"/>
    <w:rsid w:val="00192FEE"/>
    <w:rsid w:val="00193291"/>
    <w:rsid w:val="00193CE0"/>
    <w:rsid w:val="00194022"/>
    <w:rsid w:val="00194E8E"/>
    <w:rsid w:val="00195733"/>
    <w:rsid w:val="001958C1"/>
    <w:rsid w:val="0019640F"/>
    <w:rsid w:val="001967A1"/>
    <w:rsid w:val="00196B28"/>
    <w:rsid w:val="00196E7B"/>
    <w:rsid w:val="001974E5"/>
    <w:rsid w:val="00197C54"/>
    <w:rsid w:val="00197F05"/>
    <w:rsid w:val="001A01C9"/>
    <w:rsid w:val="001A0AFB"/>
    <w:rsid w:val="001A14A8"/>
    <w:rsid w:val="001A2DE2"/>
    <w:rsid w:val="001A3186"/>
    <w:rsid w:val="001A31B0"/>
    <w:rsid w:val="001A40FC"/>
    <w:rsid w:val="001A439C"/>
    <w:rsid w:val="001A452D"/>
    <w:rsid w:val="001A52F9"/>
    <w:rsid w:val="001A5BF4"/>
    <w:rsid w:val="001A714A"/>
    <w:rsid w:val="001A74D2"/>
    <w:rsid w:val="001A7F14"/>
    <w:rsid w:val="001B04CF"/>
    <w:rsid w:val="001B05A2"/>
    <w:rsid w:val="001B0F81"/>
    <w:rsid w:val="001B16C1"/>
    <w:rsid w:val="001B33E3"/>
    <w:rsid w:val="001B383B"/>
    <w:rsid w:val="001B3AF0"/>
    <w:rsid w:val="001B459D"/>
    <w:rsid w:val="001B50ED"/>
    <w:rsid w:val="001B5B43"/>
    <w:rsid w:val="001B64C3"/>
    <w:rsid w:val="001B6A0F"/>
    <w:rsid w:val="001B6BC9"/>
    <w:rsid w:val="001B75E2"/>
    <w:rsid w:val="001B7E63"/>
    <w:rsid w:val="001C0CED"/>
    <w:rsid w:val="001C1344"/>
    <w:rsid w:val="001C1888"/>
    <w:rsid w:val="001C1E5A"/>
    <w:rsid w:val="001C1F84"/>
    <w:rsid w:val="001C1FDE"/>
    <w:rsid w:val="001C2510"/>
    <w:rsid w:val="001C27EF"/>
    <w:rsid w:val="001C2B9C"/>
    <w:rsid w:val="001C406E"/>
    <w:rsid w:val="001C43AE"/>
    <w:rsid w:val="001C442A"/>
    <w:rsid w:val="001C5C13"/>
    <w:rsid w:val="001C5F82"/>
    <w:rsid w:val="001C606A"/>
    <w:rsid w:val="001C60F9"/>
    <w:rsid w:val="001C6452"/>
    <w:rsid w:val="001C6454"/>
    <w:rsid w:val="001C6BC3"/>
    <w:rsid w:val="001C7F4C"/>
    <w:rsid w:val="001D09E4"/>
    <w:rsid w:val="001D0E2D"/>
    <w:rsid w:val="001D13F9"/>
    <w:rsid w:val="001D142B"/>
    <w:rsid w:val="001D175C"/>
    <w:rsid w:val="001D19C2"/>
    <w:rsid w:val="001D2BDC"/>
    <w:rsid w:val="001D2F31"/>
    <w:rsid w:val="001D4CE8"/>
    <w:rsid w:val="001D53C3"/>
    <w:rsid w:val="001D54B9"/>
    <w:rsid w:val="001D5686"/>
    <w:rsid w:val="001D5D12"/>
    <w:rsid w:val="001D5D94"/>
    <w:rsid w:val="001D5FB5"/>
    <w:rsid w:val="001D619C"/>
    <w:rsid w:val="001D663E"/>
    <w:rsid w:val="001D7AD9"/>
    <w:rsid w:val="001E05B5"/>
    <w:rsid w:val="001E0CDB"/>
    <w:rsid w:val="001E1115"/>
    <w:rsid w:val="001E11F9"/>
    <w:rsid w:val="001E1DC0"/>
    <w:rsid w:val="001E22FC"/>
    <w:rsid w:val="001E23B6"/>
    <w:rsid w:val="001E35BF"/>
    <w:rsid w:val="001E3771"/>
    <w:rsid w:val="001E4089"/>
    <w:rsid w:val="001E4923"/>
    <w:rsid w:val="001E49FB"/>
    <w:rsid w:val="001E52FE"/>
    <w:rsid w:val="001E5524"/>
    <w:rsid w:val="001E5613"/>
    <w:rsid w:val="001E7148"/>
    <w:rsid w:val="001E7CDD"/>
    <w:rsid w:val="001F1D2D"/>
    <w:rsid w:val="001F1E96"/>
    <w:rsid w:val="001F2113"/>
    <w:rsid w:val="001F22D3"/>
    <w:rsid w:val="001F258A"/>
    <w:rsid w:val="001F25FD"/>
    <w:rsid w:val="001F2AB7"/>
    <w:rsid w:val="001F2BC9"/>
    <w:rsid w:val="001F39F8"/>
    <w:rsid w:val="001F3B81"/>
    <w:rsid w:val="001F4166"/>
    <w:rsid w:val="001F41A3"/>
    <w:rsid w:val="001F4B8D"/>
    <w:rsid w:val="001F4DB9"/>
    <w:rsid w:val="001F4E99"/>
    <w:rsid w:val="001F50EE"/>
    <w:rsid w:val="001F5220"/>
    <w:rsid w:val="001F6B24"/>
    <w:rsid w:val="001F6C8E"/>
    <w:rsid w:val="001F734B"/>
    <w:rsid w:val="002001EC"/>
    <w:rsid w:val="002006D4"/>
    <w:rsid w:val="00200B89"/>
    <w:rsid w:val="00200E72"/>
    <w:rsid w:val="002010D9"/>
    <w:rsid w:val="00201307"/>
    <w:rsid w:val="00202A30"/>
    <w:rsid w:val="00202C28"/>
    <w:rsid w:val="00203277"/>
    <w:rsid w:val="0020346F"/>
    <w:rsid w:val="00203898"/>
    <w:rsid w:val="00203D69"/>
    <w:rsid w:val="00203EC0"/>
    <w:rsid w:val="0020432F"/>
    <w:rsid w:val="00204452"/>
    <w:rsid w:val="002059CC"/>
    <w:rsid w:val="00205B2E"/>
    <w:rsid w:val="00206B5E"/>
    <w:rsid w:val="002079EA"/>
    <w:rsid w:val="00207AD7"/>
    <w:rsid w:val="00210443"/>
    <w:rsid w:val="0021061D"/>
    <w:rsid w:val="0021076C"/>
    <w:rsid w:val="00210790"/>
    <w:rsid w:val="00210838"/>
    <w:rsid w:val="00210DC6"/>
    <w:rsid w:val="00210EA1"/>
    <w:rsid w:val="0021240F"/>
    <w:rsid w:val="002128FC"/>
    <w:rsid w:val="002131EE"/>
    <w:rsid w:val="00213362"/>
    <w:rsid w:val="00213C08"/>
    <w:rsid w:val="00213FAA"/>
    <w:rsid w:val="0021427C"/>
    <w:rsid w:val="002144ED"/>
    <w:rsid w:val="00214519"/>
    <w:rsid w:val="002149A5"/>
    <w:rsid w:val="00214AD8"/>
    <w:rsid w:val="00214AE7"/>
    <w:rsid w:val="00214D50"/>
    <w:rsid w:val="00214EF0"/>
    <w:rsid w:val="00214FCA"/>
    <w:rsid w:val="00215081"/>
    <w:rsid w:val="00215C4D"/>
    <w:rsid w:val="00215D00"/>
    <w:rsid w:val="0021619E"/>
    <w:rsid w:val="00216295"/>
    <w:rsid w:val="00216CD4"/>
    <w:rsid w:val="00216FA4"/>
    <w:rsid w:val="002174FF"/>
    <w:rsid w:val="00217AA3"/>
    <w:rsid w:val="00217F3A"/>
    <w:rsid w:val="002200D9"/>
    <w:rsid w:val="00220707"/>
    <w:rsid w:val="00220B75"/>
    <w:rsid w:val="00220B76"/>
    <w:rsid w:val="00221070"/>
    <w:rsid w:val="0022156B"/>
    <w:rsid w:val="00221AD6"/>
    <w:rsid w:val="00221F3F"/>
    <w:rsid w:val="0022231E"/>
    <w:rsid w:val="00222379"/>
    <w:rsid w:val="00222FDD"/>
    <w:rsid w:val="0022408D"/>
    <w:rsid w:val="00224569"/>
    <w:rsid w:val="00225AED"/>
    <w:rsid w:val="00225C1E"/>
    <w:rsid w:val="00225CA1"/>
    <w:rsid w:val="00225FBD"/>
    <w:rsid w:val="00226157"/>
    <w:rsid w:val="00226993"/>
    <w:rsid w:val="00226CFE"/>
    <w:rsid w:val="002270CB"/>
    <w:rsid w:val="002304BC"/>
    <w:rsid w:val="00230F78"/>
    <w:rsid w:val="00231EB6"/>
    <w:rsid w:val="0023242D"/>
    <w:rsid w:val="00232539"/>
    <w:rsid w:val="00232976"/>
    <w:rsid w:val="00232AFA"/>
    <w:rsid w:val="002333C1"/>
    <w:rsid w:val="002343EF"/>
    <w:rsid w:val="00234DF3"/>
    <w:rsid w:val="0023553E"/>
    <w:rsid w:val="00235649"/>
    <w:rsid w:val="002358EB"/>
    <w:rsid w:val="00235C2C"/>
    <w:rsid w:val="00236086"/>
    <w:rsid w:val="00236D35"/>
    <w:rsid w:val="0023764A"/>
    <w:rsid w:val="00237B56"/>
    <w:rsid w:val="00237BCC"/>
    <w:rsid w:val="00237D07"/>
    <w:rsid w:val="0024035C"/>
    <w:rsid w:val="00241693"/>
    <w:rsid w:val="002423B1"/>
    <w:rsid w:val="002428CA"/>
    <w:rsid w:val="00242B08"/>
    <w:rsid w:val="0024408E"/>
    <w:rsid w:val="002440B0"/>
    <w:rsid w:val="00244DCB"/>
    <w:rsid w:val="00244F89"/>
    <w:rsid w:val="0024504F"/>
    <w:rsid w:val="002453EF"/>
    <w:rsid w:val="00245E48"/>
    <w:rsid w:val="00246925"/>
    <w:rsid w:val="00247432"/>
    <w:rsid w:val="0024756C"/>
    <w:rsid w:val="002508E3"/>
    <w:rsid w:val="00250996"/>
    <w:rsid w:val="00250A9F"/>
    <w:rsid w:val="00251862"/>
    <w:rsid w:val="00252AB0"/>
    <w:rsid w:val="00252C04"/>
    <w:rsid w:val="00252D02"/>
    <w:rsid w:val="0025303B"/>
    <w:rsid w:val="00253557"/>
    <w:rsid w:val="002537DB"/>
    <w:rsid w:val="00253C99"/>
    <w:rsid w:val="00255087"/>
    <w:rsid w:val="002552DD"/>
    <w:rsid w:val="002562CE"/>
    <w:rsid w:val="002564FF"/>
    <w:rsid w:val="00256F2D"/>
    <w:rsid w:val="00257533"/>
    <w:rsid w:val="00257D52"/>
    <w:rsid w:val="00260AEF"/>
    <w:rsid w:val="002622BB"/>
    <w:rsid w:val="0026234B"/>
    <w:rsid w:val="002623B7"/>
    <w:rsid w:val="0026299A"/>
    <w:rsid w:val="00262DD3"/>
    <w:rsid w:val="00263049"/>
    <w:rsid w:val="00263612"/>
    <w:rsid w:val="002637E3"/>
    <w:rsid w:val="00263E15"/>
    <w:rsid w:val="00264493"/>
    <w:rsid w:val="002647E5"/>
    <w:rsid w:val="00264F93"/>
    <w:rsid w:val="00265ED1"/>
    <w:rsid w:val="002667B4"/>
    <w:rsid w:val="00266A04"/>
    <w:rsid w:val="00267D4A"/>
    <w:rsid w:val="00267F15"/>
    <w:rsid w:val="002705B7"/>
    <w:rsid w:val="00270F59"/>
    <w:rsid w:val="0027114E"/>
    <w:rsid w:val="00271A49"/>
    <w:rsid w:val="00272B65"/>
    <w:rsid w:val="00272BDC"/>
    <w:rsid w:val="00272DCD"/>
    <w:rsid w:val="00273131"/>
    <w:rsid w:val="00273A98"/>
    <w:rsid w:val="0027482C"/>
    <w:rsid w:val="00274B7A"/>
    <w:rsid w:val="0027635B"/>
    <w:rsid w:val="00277497"/>
    <w:rsid w:val="002778E4"/>
    <w:rsid w:val="002802A8"/>
    <w:rsid w:val="0028050E"/>
    <w:rsid w:val="002807D4"/>
    <w:rsid w:val="002812E0"/>
    <w:rsid w:val="002823BA"/>
    <w:rsid w:val="002825BA"/>
    <w:rsid w:val="00282A6B"/>
    <w:rsid w:val="002830FE"/>
    <w:rsid w:val="00284002"/>
    <w:rsid w:val="0028439F"/>
    <w:rsid w:val="00284BE7"/>
    <w:rsid w:val="00285396"/>
    <w:rsid w:val="002858E4"/>
    <w:rsid w:val="002859A4"/>
    <w:rsid w:val="00285FF2"/>
    <w:rsid w:val="0028602A"/>
    <w:rsid w:val="002873E3"/>
    <w:rsid w:val="00287B88"/>
    <w:rsid w:val="00290B56"/>
    <w:rsid w:val="00290E2F"/>
    <w:rsid w:val="00291E96"/>
    <w:rsid w:val="00292404"/>
    <w:rsid w:val="00292D47"/>
    <w:rsid w:val="00293030"/>
    <w:rsid w:val="00293E7D"/>
    <w:rsid w:val="00293E89"/>
    <w:rsid w:val="002942F2"/>
    <w:rsid w:val="00294D27"/>
    <w:rsid w:val="0029599A"/>
    <w:rsid w:val="00295B65"/>
    <w:rsid w:val="00295C41"/>
    <w:rsid w:val="00295F39"/>
    <w:rsid w:val="002970BF"/>
    <w:rsid w:val="00297199"/>
    <w:rsid w:val="00297C93"/>
    <w:rsid w:val="00297EFB"/>
    <w:rsid w:val="002A00A1"/>
    <w:rsid w:val="002A01B1"/>
    <w:rsid w:val="002A0253"/>
    <w:rsid w:val="002A02B2"/>
    <w:rsid w:val="002A0D2A"/>
    <w:rsid w:val="002A0F4A"/>
    <w:rsid w:val="002A1470"/>
    <w:rsid w:val="002A2CA5"/>
    <w:rsid w:val="002A3132"/>
    <w:rsid w:val="002A3B11"/>
    <w:rsid w:val="002A3BC2"/>
    <w:rsid w:val="002A3C97"/>
    <w:rsid w:val="002A4015"/>
    <w:rsid w:val="002A4444"/>
    <w:rsid w:val="002A496C"/>
    <w:rsid w:val="002A49B9"/>
    <w:rsid w:val="002A4A58"/>
    <w:rsid w:val="002A4AA3"/>
    <w:rsid w:val="002A4BF8"/>
    <w:rsid w:val="002A4C80"/>
    <w:rsid w:val="002A4D1B"/>
    <w:rsid w:val="002A5062"/>
    <w:rsid w:val="002A54A0"/>
    <w:rsid w:val="002A58EC"/>
    <w:rsid w:val="002A62D9"/>
    <w:rsid w:val="002A664C"/>
    <w:rsid w:val="002A74E9"/>
    <w:rsid w:val="002A7620"/>
    <w:rsid w:val="002A7972"/>
    <w:rsid w:val="002A7B40"/>
    <w:rsid w:val="002A7C2D"/>
    <w:rsid w:val="002B084C"/>
    <w:rsid w:val="002B0949"/>
    <w:rsid w:val="002B1703"/>
    <w:rsid w:val="002B2C23"/>
    <w:rsid w:val="002B3230"/>
    <w:rsid w:val="002B4791"/>
    <w:rsid w:val="002B5550"/>
    <w:rsid w:val="002B5B60"/>
    <w:rsid w:val="002B5E10"/>
    <w:rsid w:val="002B60C2"/>
    <w:rsid w:val="002B66D8"/>
    <w:rsid w:val="002B6F75"/>
    <w:rsid w:val="002B72BE"/>
    <w:rsid w:val="002B74B7"/>
    <w:rsid w:val="002B7993"/>
    <w:rsid w:val="002B7B0B"/>
    <w:rsid w:val="002B7D5F"/>
    <w:rsid w:val="002B7F4E"/>
    <w:rsid w:val="002C06C1"/>
    <w:rsid w:val="002C0AA7"/>
    <w:rsid w:val="002C13A5"/>
    <w:rsid w:val="002C1E31"/>
    <w:rsid w:val="002C341A"/>
    <w:rsid w:val="002C3B97"/>
    <w:rsid w:val="002C504A"/>
    <w:rsid w:val="002C5314"/>
    <w:rsid w:val="002C5355"/>
    <w:rsid w:val="002C6109"/>
    <w:rsid w:val="002C6ED8"/>
    <w:rsid w:val="002C757E"/>
    <w:rsid w:val="002C7831"/>
    <w:rsid w:val="002C793D"/>
    <w:rsid w:val="002D1459"/>
    <w:rsid w:val="002D1D27"/>
    <w:rsid w:val="002D1D9A"/>
    <w:rsid w:val="002D232B"/>
    <w:rsid w:val="002D30A5"/>
    <w:rsid w:val="002D3613"/>
    <w:rsid w:val="002D3D22"/>
    <w:rsid w:val="002D4692"/>
    <w:rsid w:val="002D532B"/>
    <w:rsid w:val="002D56D3"/>
    <w:rsid w:val="002D5B25"/>
    <w:rsid w:val="002D5C96"/>
    <w:rsid w:val="002D6A71"/>
    <w:rsid w:val="002D6F04"/>
    <w:rsid w:val="002E1450"/>
    <w:rsid w:val="002E1749"/>
    <w:rsid w:val="002E188C"/>
    <w:rsid w:val="002E18F0"/>
    <w:rsid w:val="002E1A14"/>
    <w:rsid w:val="002E1CC9"/>
    <w:rsid w:val="002E1D42"/>
    <w:rsid w:val="002E26C8"/>
    <w:rsid w:val="002E274E"/>
    <w:rsid w:val="002E31EB"/>
    <w:rsid w:val="002E4469"/>
    <w:rsid w:val="002E44FE"/>
    <w:rsid w:val="002E465E"/>
    <w:rsid w:val="002E51C7"/>
    <w:rsid w:val="002E598C"/>
    <w:rsid w:val="002E62BE"/>
    <w:rsid w:val="002E74D9"/>
    <w:rsid w:val="002E777A"/>
    <w:rsid w:val="002E7DA3"/>
    <w:rsid w:val="002E7DB9"/>
    <w:rsid w:val="002F022A"/>
    <w:rsid w:val="002F0431"/>
    <w:rsid w:val="002F09B0"/>
    <w:rsid w:val="002F0B89"/>
    <w:rsid w:val="002F1913"/>
    <w:rsid w:val="002F1B0A"/>
    <w:rsid w:val="002F3CA3"/>
    <w:rsid w:val="002F46F4"/>
    <w:rsid w:val="002F4F2B"/>
    <w:rsid w:val="002F5079"/>
    <w:rsid w:val="002F53B2"/>
    <w:rsid w:val="002F5656"/>
    <w:rsid w:val="002F5A02"/>
    <w:rsid w:val="002F604F"/>
    <w:rsid w:val="002F60FD"/>
    <w:rsid w:val="002F62B9"/>
    <w:rsid w:val="002F691F"/>
    <w:rsid w:val="002F6ABF"/>
    <w:rsid w:val="002F71CE"/>
    <w:rsid w:val="003002C0"/>
    <w:rsid w:val="00301010"/>
    <w:rsid w:val="00301144"/>
    <w:rsid w:val="00301DC8"/>
    <w:rsid w:val="00301FEF"/>
    <w:rsid w:val="00302FDE"/>
    <w:rsid w:val="00303013"/>
    <w:rsid w:val="003031C6"/>
    <w:rsid w:val="003033E6"/>
    <w:rsid w:val="003038ED"/>
    <w:rsid w:val="00303B87"/>
    <w:rsid w:val="00303CA7"/>
    <w:rsid w:val="00304984"/>
    <w:rsid w:val="00304C51"/>
    <w:rsid w:val="00304DC0"/>
    <w:rsid w:val="00305124"/>
    <w:rsid w:val="003055E3"/>
    <w:rsid w:val="003057C1"/>
    <w:rsid w:val="00305880"/>
    <w:rsid w:val="00305DF2"/>
    <w:rsid w:val="00306481"/>
    <w:rsid w:val="0030683D"/>
    <w:rsid w:val="00306ACC"/>
    <w:rsid w:val="003100A7"/>
    <w:rsid w:val="003107E8"/>
    <w:rsid w:val="00310822"/>
    <w:rsid w:val="00310C56"/>
    <w:rsid w:val="0031152E"/>
    <w:rsid w:val="0031171E"/>
    <w:rsid w:val="00312158"/>
    <w:rsid w:val="0031223A"/>
    <w:rsid w:val="00312BF8"/>
    <w:rsid w:val="00313043"/>
    <w:rsid w:val="003131E6"/>
    <w:rsid w:val="0031374B"/>
    <w:rsid w:val="00314770"/>
    <w:rsid w:val="003148B7"/>
    <w:rsid w:val="00314D32"/>
    <w:rsid w:val="003158C3"/>
    <w:rsid w:val="00315E72"/>
    <w:rsid w:val="003165EE"/>
    <w:rsid w:val="00316AD6"/>
    <w:rsid w:val="00316EBC"/>
    <w:rsid w:val="00317623"/>
    <w:rsid w:val="00317CDC"/>
    <w:rsid w:val="00320823"/>
    <w:rsid w:val="00321734"/>
    <w:rsid w:val="00321FBB"/>
    <w:rsid w:val="00321FDF"/>
    <w:rsid w:val="00322A75"/>
    <w:rsid w:val="0032329B"/>
    <w:rsid w:val="0032335F"/>
    <w:rsid w:val="00323394"/>
    <w:rsid w:val="0032386E"/>
    <w:rsid w:val="00323FE5"/>
    <w:rsid w:val="003241A6"/>
    <w:rsid w:val="00324869"/>
    <w:rsid w:val="00324DCB"/>
    <w:rsid w:val="00325361"/>
    <w:rsid w:val="00325EF5"/>
    <w:rsid w:val="00326554"/>
    <w:rsid w:val="00326D5B"/>
    <w:rsid w:val="00326D88"/>
    <w:rsid w:val="003274CD"/>
    <w:rsid w:val="00330065"/>
    <w:rsid w:val="003307E7"/>
    <w:rsid w:val="003329D8"/>
    <w:rsid w:val="00333501"/>
    <w:rsid w:val="00333A9F"/>
    <w:rsid w:val="00334B8D"/>
    <w:rsid w:val="003350D9"/>
    <w:rsid w:val="003358F4"/>
    <w:rsid w:val="003359AC"/>
    <w:rsid w:val="00335A88"/>
    <w:rsid w:val="00335DEA"/>
    <w:rsid w:val="003361CD"/>
    <w:rsid w:val="00336701"/>
    <w:rsid w:val="003368B2"/>
    <w:rsid w:val="00337063"/>
    <w:rsid w:val="0033729A"/>
    <w:rsid w:val="00337FD1"/>
    <w:rsid w:val="00341382"/>
    <w:rsid w:val="00341B54"/>
    <w:rsid w:val="00341B8A"/>
    <w:rsid w:val="003423FB"/>
    <w:rsid w:val="0034300D"/>
    <w:rsid w:val="0034334F"/>
    <w:rsid w:val="00343B4E"/>
    <w:rsid w:val="00343E58"/>
    <w:rsid w:val="00344A8C"/>
    <w:rsid w:val="00344B46"/>
    <w:rsid w:val="00344DE2"/>
    <w:rsid w:val="00345309"/>
    <w:rsid w:val="0034531F"/>
    <w:rsid w:val="003456EA"/>
    <w:rsid w:val="003457C4"/>
    <w:rsid w:val="00345C02"/>
    <w:rsid w:val="00345C69"/>
    <w:rsid w:val="00346CDC"/>
    <w:rsid w:val="0034743A"/>
    <w:rsid w:val="00347546"/>
    <w:rsid w:val="0034755E"/>
    <w:rsid w:val="00350ADE"/>
    <w:rsid w:val="00350E28"/>
    <w:rsid w:val="00350E6A"/>
    <w:rsid w:val="0035119D"/>
    <w:rsid w:val="00351444"/>
    <w:rsid w:val="0035182B"/>
    <w:rsid w:val="00351EAC"/>
    <w:rsid w:val="003529E9"/>
    <w:rsid w:val="00352C89"/>
    <w:rsid w:val="00352F8E"/>
    <w:rsid w:val="00353F5E"/>
    <w:rsid w:val="003540F0"/>
    <w:rsid w:val="00354823"/>
    <w:rsid w:val="00354FA3"/>
    <w:rsid w:val="0035514E"/>
    <w:rsid w:val="00355236"/>
    <w:rsid w:val="00355495"/>
    <w:rsid w:val="0035594E"/>
    <w:rsid w:val="00355C97"/>
    <w:rsid w:val="00355CD1"/>
    <w:rsid w:val="003567A7"/>
    <w:rsid w:val="00356D2A"/>
    <w:rsid w:val="003576B8"/>
    <w:rsid w:val="00357DE5"/>
    <w:rsid w:val="0036065B"/>
    <w:rsid w:val="0036077F"/>
    <w:rsid w:val="00360B78"/>
    <w:rsid w:val="00360C41"/>
    <w:rsid w:val="0036178A"/>
    <w:rsid w:val="00361F41"/>
    <w:rsid w:val="00364047"/>
    <w:rsid w:val="003645C4"/>
    <w:rsid w:val="0036597E"/>
    <w:rsid w:val="003662DD"/>
    <w:rsid w:val="0036697D"/>
    <w:rsid w:val="00366ED7"/>
    <w:rsid w:val="003670EB"/>
    <w:rsid w:val="003672BF"/>
    <w:rsid w:val="00367F5E"/>
    <w:rsid w:val="003702BF"/>
    <w:rsid w:val="0037097D"/>
    <w:rsid w:val="00370BE9"/>
    <w:rsid w:val="00370C5F"/>
    <w:rsid w:val="00370D3E"/>
    <w:rsid w:val="00371081"/>
    <w:rsid w:val="00371668"/>
    <w:rsid w:val="0037357B"/>
    <w:rsid w:val="0037381A"/>
    <w:rsid w:val="003743BE"/>
    <w:rsid w:val="003748C2"/>
    <w:rsid w:val="00374D09"/>
    <w:rsid w:val="00375234"/>
    <w:rsid w:val="003755BC"/>
    <w:rsid w:val="003756E6"/>
    <w:rsid w:val="0037572D"/>
    <w:rsid w:val="003759FA"/>
    <w:rsid w:val="00375C1A"/>
    <w:rsid w:val="003760C0"/>
    <w:rsid w:val="003763FC"/>
    <w:rsid w:val="00376664"/>
    <w:rsid w:val="00376CB6"/>
    <w:rsid w:val="00377308"/>
    <w:rsid w:val="0037745D"/>
    <w:rsid w:val="00377492"/>
    <w:rsid w:val="00377654"/>
    <w:rsid w:val="0038014F"/>
    <w:rsid w:val="0038054C"/>
    <w:rsid w:val="00381ADB"/>
    <w:rsid w:val="003824AF"/>
    <w:rsid w:val="00383E5D"/>
    <w:rsid w:val="00384AA5"/>
    <w:rsid w:val="00384D40"/>
    <w:rsid w:val="0038562B"/>
    <w:rsid w:val="0038694F"/>
    <w:rsid w:val="00387093"/>
    <w:rsid w:val="003872D9"/>
    <w:rsid w:val="003872DE"/>
    <w:rsid w:val="00387318"/>
    <w:rsid w:val="003875AF"/>
    <w:rsid w:val="0038761C"/>
    <w:rsid w:val="00387BDE"/>
    <w:rsid w:val="00387FDC"/>
    <w:rsid w:val="003908B0"/>
    <w:rsid w:val="00391086"/>
    <w:rsid w:val="003911FD"/>
    <w:rsid w:val="00391887"/>
    <w:rsid w:val="003918BA"/>
    <w:rsid w:val="00391EAF"/>
    <w:rsid w:val="00392B4A"/>
    <w:rsid w:val="00393092"/>
    <w:rsid w:val="0039344A"/>
    <w:rsid w:val="003938D8"/>
    <w:rsid w:val="00394836"/>
    <w:rsid w:val="003949C7"/>
    <w:rsid w:val="00394B68"/>
    <w:rsid w:val="00395163"/>
    <w:rsid w:val="00395832"/>
    <w:rsid w:val="00395835"/>
    <w:rsid w:val="0039670C"/>
    <w:rsid w:val="0039680F"/>
    <w:rsid w:val="00396981"/>
    <w:rsid w:val="0039782D"/>
    <w:rsid w:val="003A000C"/>
    <w:rsid w:val="003A0448"/>
    <w:rsid w:val="003A0BCE"/>
    <w:rsid w:val="003A0EFC"/>
    <w:rsid w:val="003A1267"/>
    <w:rsid w:val="003A2097"/>
    <w:rsid w:val="003A2398"/>
    <w:rsid w:val="003A34F5"/>
    <w:rsid w:val="003A3525"/>
    <w:rsid w:val="003A4156"/>
    <w:rsid w:val="003A4BD3"/>
    <w:rsid w:val="003A599B"/>
    <w:rsid w:val="003A6533"/>
    <w:rsid w:val="003A66A8"/>
    <w:rsid w:val="003A6DAD"/>
    <w:rsid w:val="003A764B"/>
    <w:rsid w:val="003A7B75"/>
    <w:rsid w:val="003A7E73"/>
    <w:rsid w:val="003B04A6"/>
    <w:rsid w:val="003B1132"/>
    <w:rsid w:val="003B1341"/>
    <w:rsid w:val="003B1346"/>
    <w:rsid w:val="003B198D"/>
    <w:rsid w:val="003B1B55"/>
    <w:rsid w:val="003B2930"/>
    <w:rsid w:val="003B2C9D"/>
    <w:rsid w:val="003B37AF"/>
    <w:rsid w:val="003B3F0C"/>
    <w:rsid w:val="003B44DE"/>
    <w:rsid w:val="003B496C"/>
    <w:rsid w:val="003B4F12"/>
    <w:rsid w:val="003B514B"/>
    <w:rsid w:val="003B5374"/>
    <w:rsid w:val="003B5FDC"/>
    <w:rsid w:val="003B652A"/>
    <w:rsid w:val="003B68B5"/>
    <w:rsid w:val="003B7C92"/>
    <w:rsid w:val="003C0629"/>
    <w:rsid w:val="003C06A3"/>
    <w:rsid w:val="003C26F5"/>
    <w:rsid w:val="003C2EC8"/>
    <w:rsid w:val="003C31E0"/>
    <w:rsid w:val="003C3552"/>
    <w:rsid w:val="003C3DB2"/>
    <w:rsid w:val="003C5771"/>
    <w:rsid w:val="003C5894"/>
    <w:rsid w:val="003C619C"/>
    <w:rsid w:val="003C6920"/>
    <w:rsid w:val="003C6B35"/>
    <w:rsid w:val="003C6BC1"/>
    <w:rsid w:val="003C7508"/>
    <w:rsid w:val="003C7A7D"/>
    <w:rsid w:val="003D0201"/>
    <w:rsid w:val="003D051F"/>
    <w:rsid w:val="003D22AF"/>
    <w:rsid w:val="003D23EE"/>
    <w:rsid w:val="003D25C7"/>
    <w:rsid w:val="003D2D5F"/>
    <w:rsid w:val="003D40BF"/>
    <w:rsid w:val="003D4AA7"/>
    <w:rsid w:val="003D4CD9"/>
    <w:rsid w:val="003D5990"/>
    <w:rsid w:val="003D5A12"/>
    <w:rsid w:val="003D6149"/>
    <w:rsid w:val="003D74AD"/>
    <w:rsid w:val="003D7AB5"/>
    <w:rsid w:val="003D7E33"/>
    <w:rsid w:val="003E0630"/>
    <w:rsid w:val="003E0954"/>
    <w:rsid w:val="003E0E18"/>
    <w:rsid w:val="003E0FDB"/>
    <w:rsid w:val="003E0FFE"/>
    <w:rsid w:val="003E1148"/>
    <w:rsid w:val="003E2075"/>
    <w:rsid w:val="003E2343"/>
    <w:rsid w:val="003E2610"/>
    <w:rsid w:val="003E2C5C"/>
    <w:rsid w:val="003E2DD1"/>
    <w:rsid w:val="003E380E"/>
    <w:rsid w:val="003E469A"/>
    <w:rsid w:val="003E4CD1"/>
    <w:rsid w:val="003E4D09"/>
    <w:rsid w:val="003E4E77"/>
    <w:rsid w:val="003E5684"/>
    <w:rsid w:val="003E5887"/>
    <w:rsid w:val="003E589D"/>
    <w:rsid w:val="003E5D32"/>
    <w:rsid w:val="003E682E"/>
    <w:rsid w:val="003E69B0"/>
    <w:rsid w:val="003E6D79"/>
    <w:rsid w:val="003E7453"/>
    <w:rsid w:val="003E7A5C"/>
    <w:rsid w:val="003F11AA"/>
    <w:rsid w:val="003F12A2"/>
    <w:rsid w:val="003F13D6"/>
    <w:rsid w:val="003F1B57"/>
    <w:rsid w:val="003F2041"/>
    <w:rsid w:val="003F2B8D"/>
    <w:rsid w:val="003F3304"/>
    <w:rsid w:val="003F35D4"/>
    <w:rsid w:val="003F37C5"/>
    <w:rsid w:val="003F447D"/>
    <w:rsid w:val="003F45C7"/>
    <w:rsid w:val="003F54AF"/>
    <w:rsid w:val="003F5562"/>
    <w:rsid w:val="003F5720"/>
    <w:rsid w:val="003F613D"/>
    <w:rsid w:val="003F6456"/>
    <w:rsid w:val="003F7774"/>
    <w:rsid w:val="003F7863"/>
    <w:rsid w:val="004011AA"/>
    <w:rsid w:val="0040176C"/>
    <w:rsid w:val="00401B20"/>
    <w:rsid w:val="00401B24"/>
    <w:rsid w:val="00402ACC"/>
    <w:rsid w:val="0040358E"/>
    <w:rsid w:val="00403EA9"/>
    <w:rsid w:val="00404BAC"/>
    <w:rsid w:val="0040537D"/>
    <w:rsid w:val="00405511"/>
    <w:rsid w:val="00405826"/>
    <w:rsid w:val="00405C7E"/>
    <w:rsid w:val="004060E6"/>
    <w:rsid w:val="00406BDA"/>
    <w:rsid w:val="00406EC6"/>
    <w:rsid w:val="00407941"/>
    <w:rsid w:val="00407D1C"/>
    <w:rsid w:val="004116A4"/>
    <w:rsid w:val="00411F56"/>
    <w:rsid w:val="004120EC"/>
    <w:rsid w:val="0041268E"/>
    <w:rsid w:val="00412D1E"/>
    <w:rsid w:val="00413817"/>
    <w:rsid w:val="00413A75"/>
    <w:rsid w:val="00414D71"/>
    <w:rsid w:val="00415059"/>
    <w:rsid w:val="00415442"/>
    <w:rsid w:val="004155D8"/>
    <w:rsid w:val="004157CA"/>
    <w:rsid w:val="00415B7A"/>
    <w:rsid w:val="00416106"/>
    <w:rsid w:val="0041682E"/>
    <w:rsid w:val="00416899"/>
    <w:rsid w:val="00416D7F"/>
    <w:rsid w:val="0041787F"/>
    <w:rsid w:val="004200A5"/>
    <w:rsid w:val="00420FD6"/>
    <w:rsid w:val="0042141A"/>
    <w:rsid w:val="00421C44"/>
    <w:rsid w:val="00422200"/>
    <w:rsid w:val="00422885"/>
    <w:rsid w:val="004229EA"/>
    <w:rsid w:val="004239B6"/>
    <w:rsid w:val="00423F31"/>
    <w:rsid w:val="004248F0"/>
    <w:rsid w:val="0042494B"/>
    <w:rsid w:val="00424A60"/>
    <w:rsid w:val="00425132"/>
    <w:rsid w:val="00425640"/>
    <w:rsid w:val="00425A6C"/>
    <w:rsid w:val="00425BAE"/>
    <w:rsid w:val="00425EC1"/>
    <w:rsid w:val="00426708"/>
    <w:rsid w:val="0042685C"/>
    <w:rsid w:val="00426C2F"/>
    <w:rsid w:val="00426ED4"/>
    <w:rsid w:val="00427135"/>
    <w:rsid w:val="0043051F"/>
    <w:rsid w:val="004305E6"/>
    <w:rsid w:val="004308E4"/>
    <w:rsid w:val="00430CC1"/>
    <w:rsid w:val="00431885"/>
    <w:rsid w:val="00431899"/>
    <w:rsid w:val="00431EBF"/>
    <w:rsid w:val="00432AC3"/>
    <w:rsid w:val="00432DF3"/>
    <w:rsid w:val="00433065"/>
    <w:rsid w:val="0043377F"/>
    <w:rsid w:val="00433C1C"/>
    <w:rsid w:val="00433C44"/>
    <w:rsid w:val="00434471"/>
    <w:rsid w:val="004344CE"/>
    <w:rsid w:val="004348BC"/>
    <w:rsid w:val="00434E76"/>
    <w:rsid w:val="00435070"/>
    <w:rsid w:val="00435457"/>
    <w:rsid w:val="004355E2"/>
    <w:rsid w:val="0043566D"/>
    <w:rsid w:val="00436C3F"/>
    <w:rsid w:val="00436F9E"/>
    <w:rsid w:val="004376E5"/>
    <w:rsid w:val="00437C5D"/>
    <w:rsid w:val="004400D5"/>
    <w:rsid w:val="0044028D"/>
    <w:rsid w:val="00440707"/>
    <w:rsid w:val="00440A9E"/>
    <w:rsid w:val="004411DC"/>
    <w:rsid w:val="004412FB"/>
    <w:rsid w:val="00441751"/>
    <w:rsid w:val="004419C5"/>
    <w:rsid w:val="00441E59"/>
    <w:rsid w:val="00442055"/>
    <w:rsid w:val="00442B2F"/>
    <w:rsid w:val="0044367C"/>
    <w:rsid w:val="00444070"/>
    <w:rsid w:val="00444166"/>
    <w:rsid w:val="004447F8"/>
    <w:rsid w:val="004448D4"/>
    <w:rsid w:val="00445E64"/>
    <w:rsid w:val="00445E9B"/>
    <w:rsid w:val="004462EF"/>
    <w:rsid w:val="004465FB"/>
    <w:rsid w:val="00446AFA"/>
    <w:rsid w:val="00446B8A"/>
    <w:rsid w:val="004472A9"/>
    <w:rsid w:val="004473D3"/>
    <w:rsid w:val="004475B4"/>
    <w:rsid w:val="004504ED"/>
    <w:rsid w:val="00450F81"/>
    <w:rsid w:val="00451272"/>
    <w:rsid w:val="00451604"/>
    <w:rsid w:val="00451CBB"/>
    <w:rsid w:val="00451E23"/>
    <w:rsid w:val="0045218D"/>
    <w:rsid w:val="00452B11"/>
    <w:rsid w:val="00452EED"/>
    <w:rsid w:val="0045335D"/>
    <w:rsid w:val="00453888"/>
    <w:rsid w:val="0045494D"/>
    <w:rsid w:val="00454C5F"/>
    <w:rsid w:val="004556CD"/>
    <w:rsid w:val="00455852"/>
    <w:rsid w:val="004563A1"/>
    <w:rsid w:val="0045671D"/>
    <w:rsid w:val="00460A9A"/>
    <w:rsid w:val="00460B90"/>
    <w:rsid w:val="00460DF5"/>
    <w:rsid w:val="00461121"/>
    <w:rsid w:val="004612C5"/>
    <w:rsid w:val="00461676"/>
    <w:rsid w:val="0046195C"/>
    <w:rsid w:val="00461CEC"/>
    <w:rsid w:val="00461D2F"/>
    <w:rsid w:val="00463033"/>
    <w:rsid w:val="0046304C"/>
    <w:rsid w:val="004631F1"/>
    <w:rsid w:val="004632BC"/>
    <w:rsid w:val="0046336D"/>
    <w:rsid w:val="004634A7"/>
    <w:rsid w:val="0046376D"/>
    <w:rsid w:val="00463C86"/>
    <w:rsid w:val="004655E8"/>
    <w:rsid w:val="00465BD9"/>
    <w:rsid w:val="00465E6F"/>
    <w:rsid w:val="00465F0C"/>
    <w:rsid w:val="00466B8B"/>
    <w:rsid w:val="00466EF3"/>
    <w:rsid w:val="004676E0"/>
    <w:rsid w:val="00467FAC"/>
    <w:rsid w:val="0047038A"/>
    <w:rsid w:val="0047039E"/>
    <w:rsid w:val="00470775"/>
    <w:rsid w:val="00470B03"/>
    <w:rsid w:val="004716F8"/>
    <w:rsid w:val="0047293D"/>
    <w:rsid w:val="004733E0"/>
    <w:rsid w:val="00473480"/>
    <w:rsid w:val="0047429C"/>
    <w:rsid w:val="004745D7"/>
    <w:rsid w:val="00474D7F"/>
    <w:rsid w:val="004756E9"/>
    <w:rsid w:val="00475872"/>
    <w:rsid w:val="004765D7"/>
    <w:rsid w:val="00476E4C"/>
    <w:rsid w:val="004772A5"/>
    <w:rsid w:val="004801A2"/>
    <w:rsid w:val="0048020E"/>
    <w:rsid w:val="00480677"/>
    <w:rsid w:val="00480B0C"/>
    <w:rsid w:val="0048135A"/>
    <w:rsid w:val="004822A5"/>
    <w:rsid w:val="00482AE8"/>
    <w:rsid w:val="00482E8C"/>
    <w:rsid w:val="004836F5"/>
    <w:rsid w:val="00483752"/>
    <w:rsid w:val="004840FE"/>
    <w:rsid w:val="0048492D"/>
    <w:rsid w:val="00484972"/>
    <w:rsid w:val="004852A1"/>
    <w:rsid w:val="00486418"/>
    <w:rsid w:val="004864C0"/>
    <w:rsid w:val="00486804"/>
    <w:rsid w:val="00486A92"/>
    <w:rsid w:val="00487634"/>
    <w:rsid w:val="00490BC0"/>
    <w:rsid w:val="00490D0F"/>
    <w:rsid w:val="00491B46"/>
    <w:rsid w:val="00491C3F"/>
    <w:rsid w:val="00491E52"/>
    <w:rsid w:val="004922A7"/>
    <w:rsid w:val="00492537"/>
    <w:rsid w:val="0049256F"/>
    <w:rsid w:val="00492595"/>
    <w:rsid w:val="00492CE8"/>
    <w:rsid w:val="004930DE"/>
    <w:rsid w:val="004931D0"/>
    <w:rsid w:val="004939C4"/>
    <w:rsid w:val="0049403B"/>
    <w:rsid w:val="00494675"/>
    <w:rsid w:val="00494826"/>
    <w:rsid w:val="00495A25"/>
    <w:rsid w:val="00495AA2"/>
    <w:rsid w:val="004961F7"/>
    <w:rsid w:val="00496BCE"/>
    <w:rsid w:val="00496BD7"/>
    <w:rsid w:val="00497153"/>
    <w:rsid w:val="00497268"/>
    <w:rsid w:val="0049793D"/>
    <w:rsid w:val="00497F2F"/>
    <w:rsid w:val="004A0231"/>
    <w:rsid w:val="004A081E"/>
    <w:rsid w:val="004A121B"/>
    <w:rsid w:val="004A1813"/>
    <w:rsid w:val="004A1AED"/>
    <w:rsid w:val="004A2678"/>
    <w:rsid w:val="004A38AF"/>
    <w:rsid w:val="004A3CC8"/>
    <w:rsid w:val="004A3E1D"/>
    <w:rsid w:val="004A498F"/>
    <w:rsid w:val="004A53CC"/>
    <w:rsid w:val="004A63F0"/>
    <w:rsid w:val="004A6712"/>
    <w:rsid w:val="004A772E"/>
    <w:rsid w:val="004A79D9"/>
    <w:rsid w:val="004A7CB3"/>
    <w:rsid w:val="004B04D7"/>
    <w:rsid w:val="004B1153"/>
    <w:rsid w:val="004B1C29"/>
    <w:rsid w:val="004B2007"/>
    <w:rsid w:val="004B2159"/>
    <w:rsid w:val="004B22A1"/>
    <w:rsid w:val="004B27B7"/>
    <w:rsid w:val="004B292D"/>
    <w:rsid w:val="004B3074"/>
    <w:rsid w:val="004B3105"/>
    <w:rsid w:val="004B3775"/>
    <w:rsid w:val="004B472B"/>
    <w:rsid w:val="004B52CE"/>
    <w:rsid w:val="004B5308"/>
    <w:rsid w:val="004B62CB"/>
    <w:rsid w:val="004B661D"/>
    <w:rsid w:val="004B6CF3"/>
    <w:rsid w:val="004B6F71"/>
    <w:rsid w:val="004B78B9"/>
    <w:rsid w:val="004B7AB4"/>
    <w:rsid w:val="004C01FB"/>
    <w:rsid w:val="004C0235"/>
    <w:rsid w:val="004C02B7"/>
    <w:rsid w:val="004C1250"/>
    <w:rsid w:val="004C1535"/>
    <w:rsid w:val="004C1FCB"/>
    <w:rsid w:val="004C26ED"/>
    <w:rsid w:val="004C289C"/>
    <w:rsid w:val="004C369F"/>
    <w:rsid w:val="004C3DAC"/>
    <w:rsid w:val="004C4197"/>
    <w:rsid w:val="004C5925"/>
    <w:rsid w:val="004C5AB4"/>
    <w:rsid w:val="004C614B"/>
    <w:rsid w:val="004C6342"/>
    <w:rsid w:val="004C64F4"/>
    <w:rsid w:val="004C67B3"/>
    <w:rsid w:val="004C7351"/>
    <w:rsid w:val="004C75D9"/>
    <w:rsid w:val="004C7ACB"/>
    <w:rsid w:val="004C7EE5"/>
    <w:rsid w:val="004D0818"/>
    <w:rsid w:val="004D0968"/>
    <w:rsid w:val="004D0BA0"/>
    <w:rsid w:val="004D12D9"/>
    <w:rsid w:val="004D154A"/>
    <w:rsid w:val="004D18B9"/>
    <w:rsid w:val="004D1ACF"/>
    <w:rsid w:val="004D1CA1"/>
    <w:rsid w:val="004D1F4D"/>
    <w:rsid w:val="004D21DA"/>
    <w:rsid w:val="004D2487"/>
    <w:rsid w:val="004D24F8"/>
    <w:rsid w:val="004D3887"/>
    <w:rsid w:val="004D3E23"/>
    <w:rsid w:val="004D42D7"/>
    <w:rsid w:val="004D4949"/>
    <w:rsid w:val="004D4E19"/>
    <w:rsid w:val="004D50BA"/>
    <w:rsid w:val="004D5589"/>
    <w:rsid w:val="004D5E30"/>
    <w:rsid w:val="004D6D06"/>
    <w:rsid w:val="004D70AD"/>
    <w:rsid w:val="004E03AD"/>
    <w:rsid w:val="004E050C"/>
    <w:rsid w:val="004E058F"/>
    <w:rsid w:val="004E09FD"/>
    <w:rsid w:val="004E0A3F"/>
    <w:rsid w:val="004E0E7A"/>
    <w:rsid w:val="004E15F2"/>
    <w:rsid w:val="004E2DDC"/>
    <w:rsid w:val="004E3180"/>
    <w:rsid w:val="004E38D7"/>
    <w:rsid w:val="004E3932"/>
    <w:rsid w:val="004E3B2A"/>
    <w:rsid w:val="004E3B87"/>
    <w:rsid w:val="004E3F9F"/>
    <w:rsid w:val="004E4646"/>
    <w:rsid w:val="004E5CB4"/>
    <w:rsid w:val="004E5D80"/>
    <w:rsid w:val="004E62BB"/>
    <w:rsid w:val="004E6B90"/>
    <w:rsid w:val="004E6CBE"/>
    <w:rsid w:val="004F0620"/>
    <w:rsid w:val="004F0994"/>
    <w:rsid w:val="004F1E67"/>
    <w:rsid w:val="004F2837"/>
    <w:rsid w:val="004F2AF9"/>
    <w:rsid w:val="004F3090"/>
    <w:rsid w:val="004F38AA"/>
    <w:rsid w:val="004F41BC"/>
    <w:rsid w:val="004F52AB"/>
    <w:rsid w:val="004F54AB"/>
    <w:rsid w:val="004F569C"/>
    <w:rsid w:val="004F62FD"/>
    <w:rsid w:val="004F70E2"/>
    <w:rsid w:val="004F753A"/>
    <w:rsid w:val="0050075E"/>
    <w:rsid w:val="00501165"/>
    <w:rsid w:val="00502F7F"/>
    <w:rsid w:val="005045F7"/>
    <w:rsid w:val="00504827"/>
    <w:rsid w:val="00504C9F"/>
    <w:rsid w:val="0050589A"/>
    <w:rsid w:val="00505E07"/>
    <w:rsid w:val="0050606C"/>
    <w:rsid w:val="00506810"/>
    <w:rsid w:val="00506B23"/>
    <w:rsid w:val="00507089"/>
    <w:rsid w:val="00507D3B"/>
    <w:rsid w:val="00507D51"/>
    <w:rsid w:val="00510921"/>
    <w:rsid w:val="00510AD3"/>
    <w:rsid w:val="00510E9C"/>
    <w:rsid w:val="00510EB6"/>
    <w:rsid w:val="00511173"/>
    <w:rsid w:val="00511183"/>
    <w:rsid w:val="005117D3"/>
    <w:rsid w:val="00512024"/>
    <w:rsid w:val="00512204"/>
    <w:rsid w:val="00512E17"/>
    <w:rsid w:val="00512FFF"/>
    <w:rsid w:val="0051320E"/>
    <w:rsid w:val="00513348"/>
    <w:rsid w:val="00513AD8"/>
    <w:rsid w:val="00513BC0"/>
    <w:rsid w:val="00513FB5"/>
    <w:rsid w:val="00514014"/>
    <w:rsid w:val="005140DA"/>
    <w:rsid w:val="005159C5"/>
    <w:rsid w:val="00515B7B"/>
    <w:rsid w:val="00515D6E"/>
    <w:rsid w:val="0051636E"/>
    <w:rsid w:val="00516A27"/>
    <w:rsid w:val="00517406"/>
    <w:rsid w:val="0052049A"/>
    <w:rsid w:val="005204D2"/>
    <w:rsid w:val="00520904"/>
    <w:rsid w:val="00520F97"/>
    <w:rsid w:val="005212DA"/>
    <w:rsid w:val="005215D5"/>
    <w:rsid w:val="00521603"/>
    <w:rsid w:val="0052177E"/>
    <w:rsid w:val="00521894"/>
    <w:rsid w:val="00521A5D"/>
    <w:rsid w:val="00521B38"/>
    <w:rsid w:val="00522396"/>
    <w:rsid w:val="00522780"/>
    <w:rsid w:val="0052279A"/>
    <w:rsid w:val="00523162"/>
    <w:rsid w:val="00523940"/>
    <w:rsid w:val="00523AFA"/>
    <w:rsid w:val="0052470D"/>
    <w:rsid w:val="00524D06"/>
    <w:rsid w:val="005258A7"/>
    <w:rsid w:val="00525B35"/>
    <w:rsid w:val="00526D5F"/>
    <w:rsid w:val="00526DC7"/>
    <w:rsid w:val="00526E85"/>
    <w:rsid w:val="005271C9"/>
    <w:rsid w:val="0052762D"/>
    <w:rsid w:val="0052783B"/>
    <w:rsid w:val="00527A86"/>
    <w:rsid w:val="00527B17"/>
    <w:rsid w:val="00527E05"/>
    <w:rsid w:val="005307BF"/>
    <w:rsid w:val="00530A32"/>
    <w:rsid w:val="00531339"/>
    <w:rsid w:val="0053188C"/>
    <w:rsid w:val="005323D2"/>
    <w:rsid w:val="005326CB"/>
    <w:rsid w:val="00533235"/>
    <w:rsid w:val="005334B0"/>
    <w:rsid w:val="00533B5D"/>
    <w:rsid w:val="00533C3B"/>
    <w:rsid w:val="00533C86"/>
    <w:rsid w:val="00534467"/>
    <w:rsid w:val="0053463E"/>
    <w:rsid w:val="00534D29"/>
    <w:rsid w:val="005351E7"/>
    <w:rsid w:val="005352AB"/>
    <w:rsid w:val="00535B45"/>
    <w:rsid w:val="00536461"/>
    <w:rsid w:val="00536CFE"/>
    <w:rsid w:val="00536D64"/>
    <w:rsid w:val="005378E6"/>
    <w:rsid w:val="00540143"/>
    <w:rsid w:val="0054060F"/>
    <w:rsid w:val="00540E29"/>
    <w:rsid w:val="005418F1"/>
    <w:rsid w:val="00541C98"/>
    <w:rsid w:val="00541CEC"/>
    <w:rsid w:val="0054217D"/>
    <w:rsid w:val="00542323"/>
    <w:rsid w:val="0054241B"/>
    <w:rsid w:val="005424BE"/>
    <w:rsid w:val="00544B08"/>
    <w:rsid w:val="00544ED1"/>
    <w:rsid w:val="00545097"/>
    <w:rsid w:val="0054565F"/>
    <w:rsid w:val="00546759"/>
    <w:rsid w:val="00546F37"/>
    <w:rsid w:val="0054770C"/>
    <w:rsid w:val="00547F68"/>
    <w:rsid w:val="005503FD"/>
    <w:rsid w:val="005509E9"/>
    <w:rsid w:val="00550D4E"/>
    <w:rsid w:val="005537CD"/>
    <w:rsid w:val="00553C8A"/>
    <w:rsid w:val="00553E2E"/>
    <w:rsid w:val="00553F1A"/>
    <w:rsid w:val="005545A8"/>
    <w:rsid w:val="00554D4F"/>
    <w:rsid w:val="00554EB6"/>
    <w:rsid w:val="0055502A"/>
    <w:rsid w:val="00555234"/>
    <w:rsid w:val="00555464"/>
    <w:rsid w:val="00555589"/>
    <w:rsid w:val="00555FFC"/>
    <w:rsid w:val="00557398"/>
    <w:rsid w:val="005577C6"/>
    <w:rsid w:val="00557803"/>
    <w:rsid w:val="00557A1F"/>
    <w:rsid w:val="005603FA"/>
    <w:rsid w:val="0056078B"/>
    <w:rsid w:val="005608AB"/>
    <w:rsid w:val="00560923"/>
    <w:rsid w:val="005610F9"/>
    <w:rsid w:val="005614E8"/>
    <w:rsid w:val="00561A97"/>
    <w:rsid w:val="005628C5"/>
    <w:rsid w:val="00562FCD"/>
    <w:rsid w:val="00563BDB"/>
    <w:rsid w:val="005648D3"/>
    <w:rsid w:val="0056505C"/>
    <w:rsid w:val="005656FF"/>
    <w:rsid w:val="00566CD7"/>
    <w:rsid w:val="005673A1"/>
    <w:rsid w:val="00567E5E"/>
    <w:rsid w:val="0057139D"/>
    <w:rsid w:val="00571903"/>
    <w:rsid w:val="00571F7B"/>
    <w:rsid w:val="005735D1"/>
    <w:rsid w:val="005739DE"/>
    <w:rsid w:val="005741B8"/>
    <w:rsid w:val="005748A4"/>
    <w:rsid w:val="00575128"/>
    <w:rsid w:val="00575C10"/>
    <w:rsid w:val="00576E10"/>
    <w:rsid w:val="0057706D"/>
    <w:rsid w:val="005775F5"/>
    <w:rsid w:val="00577E8E"/>
    <w:rsid w:val="005805BE"/>
    <w:rsid w:val="00580D3C"/>
    <w:rsid w:val="00580D94"/>
    <w:rsid w:val="00581C10"/>
    <w:rsid w:val="00582D76"/>
    <w:rsid w:val="00584029"/>
    <w:rsid w:val="00584410"/>
    <w:rsid w:val="00585361"/>
    <w:rsid w:val="00585395"/>
    <w:rsid w:val="00585579"/>
    <w:rsid w:val="00586816"/>
    <w:rsid w:val="00586F7B"/>
    <w:rsid w:val="00587171"/>
    <w:rsid w:val="005904D6"/>
    <w:rsid w:val="005910E5"/>
    <w:rsid w:val="00592044"/>
    <w:rsid w:val="005920EE"/>
    <w:rsid w:val="00592584"/>
    <w:rsid w:val="00592A46"/>
    <w:rsid w:val="00593365"/>
    <w:rsid w:val="005934B2"/>
    <w:rsid w:val="00593962"/>
    <w:rsid w:val="00593FD8"/>
    <w:rsid w:val="00594524"/>
    <w:rsid w:val="00594C7F"/>
    <w:rsid w:val="00595A04"/>
    <w:rsid w:val="00595DDA"/>
    <w:rsid w:val="0059644E"/>
    <w:rsid w:val="00596788"/>
    <w:rsid w:val="005968D0"/>
    <w:rsid w:val="00596A6D"/>
    <w:rsid w:val="00596B3E"/>
    <w:rsid w:val="00597DC8"/>
    <w:rsid w:val="005A0882"/>
    <w:rsid w:val="005A08AB"/>
    <w:rsid w:val="005A1012"/>
    <w:rsid w:val="005A1B92"/>
    <w:rsid w:val="005A20F6"/>
    <w:rsid w:val="005A367E"/>
    <w:rsid w:val="005A50E5"/>
    <w:rsid w:val="005A5798"/>
    <w:rsid w:val="005A6DA2"/>
    <w:rsid w:val="005A71C7"/>
    <w:rsid w:val="005A7910"/>
    <w:rsid w:val="005B0272"/>
    <w:rsid w:val="005B05DC"/>
    <w:rsid w:val="005B0FB2"/>
    <w:rsid w:val="005B12EE"/>
    <w:rsid w:val="005B1778"/>
    <w:rsid w:val="005B1CE0"/>
    <w:rsid w:val="005B1D70"/>
    <w:rsid w:val="005B1E26"/>
    <w:rsid w:val="005B3329"/>
    <w:rsid w:val="005B34B9"/>
    <w:rsid w:val="005B36DF"/>
    <w:rsid w:val="005B3CD4"/>
    <w:rsid w:val="005B3EC4"/>
    <w:rsid w:val="005B44F4"/>
    <w:rsid w:val="005B48FB"/>
    <w:rsid w:val="005B5138"/>
    <w:rsid w:val="005B53E7"/>
    <w:rsid w:val="005B55E8"/>
    <w:rsid w:val="005B6497"/>
    <w:rsid w:val="005B64DB"/>
    <w:rsid w:val="005B6F77"/>
    <w:rsid w:val="005B6FD5"/>
    <w:rsid w:val="005B7740"/>
    <w:rsid w:val="005B7AC4"/>
    <w:rsid w:val="005B7EB4"/>
    <w:rsid w:val="005C018B"/>
    <w:rsid w:val="005C01DE"/>
    <w:rsid w:val="005C065C"/>
    <w:rsid w:val="005C097A"/>
    <w:rsid w:val="005C13BE"/>
    <w:rsid w:val="005C18ED"/>
    <w:rsid w:val="005C1AD2"/>
    <w:rsid w:val="005C2EAB"/>
    <w:rsid w:val="005C31BE"/>
    <w:rsid w:val="005C42EA"/>
    <w:rsid w:val="005C44AF"/>
    <w:rsid w:val="005C470C"/>
    <w:rsid w:val="005C6367"/>
    <w:rsid w:val="005C6CD2"/>
    <w:rsid w:val="005C7489"/>
    <w:rsid w:val="005C755B"/>
    <w:rsid w:val="005C7954"/>
    <w:rsid w:val="005D0989"/>
    <w:rsid w:val="005D0A4B"/>
    <w:rsid w:val="005D104F"/>
    <w:rsid w:val="005D1C39"/>
    <w:rsid w:val="005D2FB2"/>
    <w:rsid w:val="005D3655"/>
    <w:rsid w:val="005D39BB"/>
    <w:rsid w:val="005D3CCB"/>
    <w:rsid w:val="005D4875"/>
    <w:rsid w:val="005D57B6"/>
    <w:rsid w:val="005D59A1"/>
    <w:rsid w:val="005D5B8F"/>
    <w:rsid w:val="005D601C"/>
    <w:rsid w:val="005D696D"/>
    <w:rsid w:val="005D74AE"/>
    <w:rsid w:val="005E0415"/>
    <w:rsid w:val="005E112E"/>
    <w:rsid w:val="005E30FB"/>
    <w:rsid w:val="005E31E4"/>
    <w:rsid w:val="005E3350"/>
    <w:rsid w:val="005E3B54"/>
    <w:rsid w:val="005E3BBE"/>
    <w:rsid w:val="005E3EC7"/>
    <w:rsid w:val="005E41CF"/>
    <w:rsid w:val="005E4579"/>
    <w:rsid w:val="005E4830"/>
    <w:rsid w:val="005E49B5"/>
    <w:rsid w:val="005E5637"/>
    <w:rsid w:val="005E5B61"/>
    <w:rsid w:val="005E5FE9"/>
    <w:rsid w:val="005E6239"/>
    <w:rsid w:val="005E64E5"/>
    <w:rsid w:val="005E67A2"/>
    <w:rsid w:val="005E6C4C"/>
    <w:rsid w:val="005E6E59"/>
    <w:rsid w:val="005E7B72"/>
    <w:rsid w:val="005E7BAE"/>
    <w:rsid w:val="005E7FA9"/>
    <w:rsid w:val="005F0297"/>
    <w:rsid w:val="005F02F2"/>
    <w:rsid w:val="005F0474"/>
    <w:rsid w:val="005F071D"/>
    <w:rsid w:val="005F1350"/>
    <w:rsid w:val="005F16F3"/>
    <w:rsid w:val="005F2334"/>
    <w:rsid w:val="005F292F"/>
    <w:rsid w:val="005F2D6D"/>
    <w:rsid w:val="005F2E0B"/>
    <w:rsid w:val="005F3124"/>
    <w:rsid w:val="005F31B1"/>
    <w:rsid w:val="005F33CA"/>
    <w:rsid w:val="005F392A"/>
    <w:rsid w:val="005F3BEC"/>
    <w:rsid w:val="005F4206"/>
    <w:rsid w:val="005F5DCB"/>
    <w:rsid w:val="005F6035"/>
    <w:rsid w:val="005F635D"/>
    <w:rsid w:val="005F636D"/>
    <w:rsid w:val="005F71F0"/>
    <w:rsid w:val="005F76FB"/>
    <w:rsid w:val="005F7A53"/>
    <w:rsid w:val="005F7BEE"/>
    <w:rsid w:val="00600C42"/>
    <w:rsid w:val="00600F08"/>
    <w:rsid w:val="00601024"/>
    <w:rsid w:val="00601338"/>
    <w:rsid w:val="00601423"/>
    <w:rsid w:val="0060267F"/>
    <w:rsid w:val="006027B0"/>
    <w:rsid w:val="00602DF9"/>
    <w:rsid w:val="0060340E"/>
    <w:rsid w:val="00603600"/>
    <w:rsid w:val="00604E7C"/>
    <w:rsid w:val="0060529F"/>
    <w:rsid w:val="006052EE"/>
    <w:rsid w:val="00605832"/>
    <w:rsid w:val="00605E9E"/>
    <w:rsid w:val="00606BBC"/>
    <w:rsid w:val="00607678"/>
    <w:rsid w:val="00607809"/>
    <w:rsid w:val="00607AF1"/>
    <w:rsid w:val="00607BA8"/>
    <w:rsid w:val="00607D48"/>
    <w:rsid w:val="00607F28"/>
    <w:rsid w:val="00610030"/>
    <w:rsid w:val="006105FA"/>
    <w:rsid w:val="006107F2"/>
    <w:rsid w:val="0061110F"/>
    <w:rsid w:val="0061183A"/>
    <w:rsid w:val="006119F7"/>
    <w:rsid w:val="00611D59"/>
    <w:rsid w:val="00612BDE"/>
    <w:rsid w:val="00612D59"/>
    <w:rsid w:val="00613AA8"/>
    <w:rsid w:val="00613E51"/>
    <w:rsid w:val="00613EF5"/>
    <w:rsid w:val="00614294"/>
    <w:rsid w:val="006147A5"/>
    <w:rsid w:val="0061491E"/>
    <w:rsid w:val="006153D1"/>
    <w:rsid w:val="00615884"/>
    <w:rsid w:val="00615EC3"/>
    <w:rsid w:val="0061602C"/>
    <w:rsid w:val="00616B41"/>
    <w:rsid w:val="00616B8C"/>
    <w:rsid w:val="00616D54"/>
    <w:rsid w:val="006176A8"/>
    <w:rsid w:val="00617DEC"/>
    <w:rsid w:val="00620658"/>
    <w:rsid w:val="0062133B"/>
    <w:rsid w:val="00621656"/>
    <w:rsid w:val="00621973"/>
    <w:rsid w:val="00621F15"/>
    <w:rsid w:val="006222E0"/>
    <w:rsid w:val="006227D6"/>
    <w:rsid w:val="00622A33"/>
    <w:rsid w:val="00622B86"/>
    <w:rsid w:val="0062326D"/>
    <w:rsid w:val="0062332D"/>
    <w:rsid w:val="0062342F"/>
    <w:rsid w:val="00623B95"/>
    <w:rsid w:val="00623BA1"/>
    <w:rsid w:val="0062427A"/>
    <w:rsid w:val="00624699"/>
    <w:rsid w:val="006246AF"/>
    <w:rsid w:val="00624C5E"/>
    <w:rsid w:val="00624CBD"/>
    <w:rsid w:val="00624E66"/>
    <w:rsid w:val="00626558"/>
    <w:rsid w:val="0062694C"/>
    <w:rsid w:val="00626AF4"/>
    <w:rsid w:val="00626C7A"/>
    <w:rsid w:val="00626F75"/>
    <w:rsid w:val="00630485"/>
    <w:rsid w:val="0063048E"/>
    <w:rsid w:val="00630BAC"/>
    <w:rsid w:val="006312D6"/>
    <w:rsid w:val="00631EEA"/>
    <w:rsid w:val="00631F9C"/>
    <w:rsid w:val="00632534"/>
    <w:rsid w:val="0063346B"/>
    <w:rsid w:val="006335D3"/>
    <w:rsid w:val="006338C6"/>
    <w:rsid w:val="006346BC"/>
    <w:rsid w:val="00634B86"/>
    <w:rsid w:val="00635A8E"/>
    <w:rsid w:val="00636817"/>
    <w:rsid w:val="00636CC4"/>
    <w:rsid w:val="006372B6"/>
    <w:rsid w:val="00637610"/>
    <w:rsid w:val="0063779E"/>
    <w:rsid w:val="006410C2"/>
    <w:rsid w:val="00641FFF"/>
    <w:rsid w:val="0064211B"/>
    <w:rsid w:val="006425BD"/>
    <w:rsid w:val="00642FDC"/>
    <w:rsid w:val="0064383A"/>
    <w:rsid w:val="00643B98"/>
    <w:rsid w:val="00643D27"/>
    <w:rsid w:val="00644471"/>
    <w:rsid w:val="0064478C"/>
    <w:rsid w:val="00644881"/>
    <w:rsid w:val="00646508"/>
    <w:rsid w:val="00646630"/>
    <w:rsid w:val="00646A6E"/>
    <w:rsid w:val="006501DA"/>
    <w:rsid w:val="00650E3A"/>
    <w:rsid w:val="006511AB"/>
    <w:rsid w:val="0065196F"/>
    <w:rsid w:val="00652192"/>
    <w:rsid w:val="00652E56"/>
    <w:rsid w:val="00652F1A"/>
    <w:rsid w:val="006530AC"/>
    <w:rsid w:val="0065358C"/>
    <w:rsid w:val="0065565F"/>
    <w:rsid w:val="00656085"/>
    <w:rsid w:val="00656B09"/>
    <w:rsid w:val="00656E99"/>
    <w:rsid w:val="00657519"/>
    <w:rsid w:val="00657A2A"/>
    <w:rsid w:val="00657BF6"/>
    <w:rsid w:val="00661116"/>
    <w:rsid w:val="00661374"/>
    <w:rsid w:val="0066290E"/>
    <w:rsid w:val="006629AB"/>
    <w:rsid w:val="00662C96"/>
    <w:rsid w:val="00663361"/>
    <w:rsid w:val="00663ECC"/>
    <w:rsid w:val="00664442"/>
    <w:rsid w:val="006648D0"/>
    <w:rsid w:val="006649BB"/>
    <w:rsid w:val="00665A8B"/>
    <w:rsid w:val="00665BF8"/>
    <w:rsid w:val="00665C89"/>
    <w:rsid w:val="00665CFF"/>
    <w:rsid w:val="00665D77"/>
    <w:rsid w:val="00665FBD"/>
    <w:rsid w:val="0066652A"/>
    <w:rsid w:val="00666B34"/>
    <w:rsid w:val="00667EFE"/>
    <w:rsid w:val="0067008B"/>
    <w:rsid w:val="0067035C"/>
    <w:rsid w:val="0067078A"/>
    <w:rsid w:val="006708AF"/>
    <w:rsid w:val="006709C6"/>
    <w:rsid w:val="006719C3"/>
    <w:rsid w:val="00671B7D"/>
    <w:rsid w:val="00671F1E"/>
    <w:rsid w:val="0067259A"/>
    <w:rsid w:val="006727D4"/>
    <w:rsid w:val="00672948"/>
    <w:rsid w:val="00672E3C"/>
    <w:rsid w:val="00674488"/>
    <w:rsid w:val="00674E67"/>
    <w:rsid w:val="00675B85"/>
    <w:rsid w:val="006763BF"/>
    <w:rsid w:val="00676DDB"/>
    <w:rsid w:val="00677A58"/>
    <w:rsid w:val="00677F51"/>
    <w:rsid w:val="006804B2"/>
    <w:rsid w:val="00680522"/>
    <w:rsid w:val="00680526"/>
    <w:rsid w:val="0068099E"/>
    <w:rsid w:val="006812E7"/>
    <w:rsid w:val="00681F9C"/>
    <w:rsid w:val="006820EA"/>
    <w:rsid w:val="00682167"/>
    <w:rsid w:val="0068245F"/>
    <w:rsid w:val="0068278A"/>
    <w:rsid w:val="006836B5"/>
    <w:rsid w:val="00683E41"/>
    <w:rsid w:val="00684EFA"/>
    <w:rsid w:val="00685830"/>
    <w:rsid w:val="006858CC"/>
    <w:rsid w:val="00685E5E"/>
    <w:rsid w:val="00686A17"/>
    <w:rsid w:val="0068742E"/>
    <w:rsid w:val="006903A7"/>
    <w:rsid w:val="00690748"/>
    <w:rsid w:val="00690B82"/>
    <w:rsid w:val="0069187D"/>
    <w:rsid w:val="00691AE7"/>
    <w:rsid w:val="00692596"/>
    <w:rsid w:val="00692841"/>
    <w:rsid w:val="00693A0D"/>
    <w:rsid w:val="00694352"/>
    <w:rsid w:val="00694429"/>
    <w:rsid w:val="00695297"/>
    <w:rsid w:val="00695737"/>
    <w:rsid w:val="00695FA8"/>
    <w:rsid w:val="006969E7"/>
    <w:rsid w:val="006970DC"/>
    <w:rsid w:val="0069743E"/>
    <w:rsid w:val="006A0332"/>
    <w:rsid w:val="006A0D13"/>
    <w:rsid w:val="006A1122"/>
    <w:rsid w:val="006A13DE"/>
    <w:rsid w:val="006A1685"/>
    <w:rsid w:val="006A1D5B"/>
    <w:rsid w:val="006A1E19"/>
    <w:rsid w:val="006A1F5F"/>
    <w:rsid w:val="006A23D2"/>
    <w:rsid w:val="006A2A24"/>
    <w:rsid w:val="006A2C91"/>
    <w:rsid w:val="006A4743"/>
    <w:rsid w:val="006A4EB7"/>
    <w:rsid w:val="006A56F8"/>
    <w:rsid w:val="006A5A9E"/>
    <w:rsid w:val="006A61AA"/>
    <w:rsid w:val="006A6996"/>
    <w:rsid w:val="006A6B40"/>
    <w:rsid w:val="006B0189"/>
    <w:rsid w:val="006B0350"/>
    <w:rsid w:val="006B0A79"/>
    <w:rsid w:val="006B0B41"/>
    <w:rsid w:val="006B1681"/>
    <w:rsid w:val="006B1D0C"/>
    <w:rsid w:val="006B2065"/>
    <w:rsid w:val="006B3051"/>
    <w:rsid w:val="006B421C"/>
    <w:rsid w:val="006B43A1"/>
    <w:rsid w:val="006B45D5"/>
    <w:rsid w:val="006B5A10"/>
    <w:rsid w:val="006B5D0E"/>
    <w:rsid w:val="006B644F"/>
    <w:rsid w:val="006B6833"/>
    <w:rsid w:val="006B6C6D"/>
    <w:rsid w:val="006B7677"/>
    <w:rsid w:val="006B79A1"/>
    <w:rsid w:val="006C08E0"/>
    <w:rsid w:val="006C0ADF"/>
    <w:rsid w:val="006C0E1F"/>
    <w:rsid w:val="006C15F4"/>
    <w:rsid w:val="006C1ABF"/>
    <w:rsid w:val="006C1FAF"/>
    <w:rsid w:val="006C2D16"/>
    <w:rsid w:val="006C2F93"/>
    <w:rsid w:val="006C3280"/>
    <w:rsid w:val="006C34BF"/>
    <w:rsid w:val="006C358A"/>
    <w:rsid w:val="006C3EC7"/>
    <w:rsid w:val="006C3F49"/>
    <w:rsid w:val="006C3F50"/>
    <w:rsid w:val="006C42AF"/>
    <w:rsid w:val="006C4360"/>
    <w:rsid w:val="006C43C3"/>
    <w:rsid w:val="006C51E8"/>
    <w:rsid w:val="006C52B9"/>
    <w:rsid w:val="006C5836"/>
    <w:rsid w:val="006C5B3A"/>
    <w:rsid w:val="006C664D"/>
    <w:rsid w:val="006C79D8"/>
    <w:rsid w:val="006C7D61"/>
    <w:rsid w:val="006D03FE"/>
    <w:rsid w:val="006D0CC5"/>
    <w:rsid w:val="006D2196"/>
    <w:rsid w:val="006D2A65"/>
    <w:rsid w:val="006D2AB8"/>
    <w:rsid w:val="006D3829"/>
    <w:rsid w:val="006D3CB4"/>
    <w:rsid w:val="006D4CF3"/>
    <w:rsid w:val="006D549F"/>
    <w:rsid w:val="006D5933"/>
    <w:rsid w:val="006D5C23"/>
    <w:rsid w:val="006D5CD3"/>
    <w:rsid w:val="006D5E00"/>
    <w:rsid w:val="006D67A8"/>
    <w:rsid w:val="006D6A5A"/>
    <w:rsid w:val="006D6C4B"/>
    <w:rsid w:val="006D75F5"/>
    <w:rsid w:val="006D7FA0"/>
    <w:rsid w:val="006E0E09"/>
    <w:rsid w:val="006E1561"/>
    <w:rsid w:val="006E16EA"/>
    <w:rsid w:val="006E1DD5"/>
    <w:rsid w:val="006E4078"/>
    <w:rsid w:val="006E4130"/>
    <w:rsid w:val="006E4A2D"/>
    <w:rsid w:val="006E6A5C"/>
    <w:rsid w:val="006E6AC1"/>
    <w:rsid w:val="006E6DEB"/>
    <w:rsid w:val="006E73AE"/>
    <w:rsid w:val="006E7B0E"/>
    <w:rsid w:val="006F00BA"/>
    <w:rsid w:val="006F0226"/>
    <w:rsid w:val="006F0846"/>
    <w:rsid w:val="006F1574"/>
    <w:rsid w:val="006F1899"/>
    <w:rsid w:val="006F190D"/>
    <w:rsid w:val="006F1F91"/>
    <w:rsid w:val="006F3F4B"/>
    <w:rsid w:val="006F4509"/>
    <w:rsid w:val="006F4AEF"/>
    <w:rsid w:val="006F602A"/>
    <w:rsid w:val="006F68C5"/>
    <w:rsid w:val="006F70F6"/>
    <w:rsid w:val="006F7314"/>
    <w:rsid w:val="006F750D"/>
    <w:rsid w:val="006F774D"/>
    <w:rsid w:val="007002D0"/>
    <w:rsid w:val="00700889"/>
    <w:rsid w:val="00701950"/>
    <w:rsid w:val="0070236D"/>
    <w:rsid w:val="007027E2"/>
    <w:rsid w:val="007033A6"/>
    <w:rsid w:val="00703494"/>
    <w:rsid w:val="0070357C"/>
    <w:rsid w:val="0070541B"/>
    <w:rsid w:val="007055FB"/>
    <w:rsid w:val="00705857"/>
    <w:rsid w:val="00705EFB"/>
    <w:rsid w:val="00705F5E"/>
    <w:rsid w:val="007069D0"/>
    <w:rsid w:val="0070729B"/>
    <w:rsid w:val="00707C01"/>
    <w:rsid w:val="00707D80"/>
    <w:rsid w:val="0071065B"/>
    <w:rsid w:val="00710B5E"/>
    <w:rsid w:val="00710E5E"/>
    <w:rsid w:val="00711005"/>
    <w:rsid w:val="007111EB"/>
    <w:rsid w:val="00711D8E"/>
    <w:rsid w:val="00712330"/>
    <w:rsid w:val="00712494"/>
    <w:rsid w:val="00712672"/>
    <w:rsid w:val="00712717"/>
    <w:rsid w:val="00712A7E"/>
    <w:rsid w:val="00712B45"/>
    <w:rsid w:val="00713197"/>
    <w:rsid w:val="0071397B"/>
    <w:rsid w:val="007148BB"/>
    <w:rsid w:val="00714EE4"/>
    <w:rsid w:val="00715459"/>
    <w:rsid w:val="00716178"/>
    <w:rsid w:val="00716657"/>
    <w:rsid w:val="00716914"/>
    <w:rsid w:val="00716BC7"/>
    <w:rsid w:val="00716E51"/>
    <w:rsid w:val="00717383"/>
    <w:rsid w:val="007174E0"/>
    <w:rsid w:val="0071788D"/>
    <w:rsid w:val="00717E83"/>
    <w:rsid w:val="00720068"/>
    <w:rsid w:val="007205C6"/>
    <w:rsid w:val="00721236"/>
    <w:rsid w:val="00721597"/>
    <w:rsid w:val="00721858"/>
    <w:rsid w:val="007221CC"/>
    <w:rsid w:val="00722616"/>
    <w:rsid w:val="00722692"/>
    <w:rsid w:val="00722D72"/>
    <w:rsid w:val="007231C8"/>
    <w:rsid w:val="007236DE"/>
    <w:rsid w:val="007239B0"/>
    <w:rsid w:val="00723A99"/>
    <w:rsid w:val="0072460C"/>
    <w:rsid w:val="007246FF"/>
    <w:rsid w:val="0072480B"/>
    <w:rsid w:val="00724D95"/>
    <w:rsid w:val="007256EA"/>
    <w:rsid w:val="007262C8"/>
    <w:rsid w:val="00726ADC"/>
    <w:rsid w:val="00726EDA"/>
    <w:rsid w:val="007276CA"/>
    <w:rsid w:val="00727EDF"/>
    <w:rsid w:val="00730FCC"/>
    <w:rsid w:val="00730FE2"/>
    <w:rsid w:val="00733273"/>
    <w:rsid w:val="00734C81"/>
    <w:rsid w:val="00734E3F"/>
    <w:rsid w:val="00734EA3"/>
    <w:rsid w:val="007351FB"/>
    <w:rsid w:val="007356EB"/>
    <w:rsid w:val="00735D47"/>
    <w:rsid w:val="00736596"/>
    <w:rsid w:val="00736985"/>
    <w:rsid w:val="007369AD"/>
    <w:rsid w:val="007369FB"/>
    <w:rsid w:val="00736C68"/>
    <w:rsid w:val="00737114"/>
    <w:rsid w:val="007376B8"/>
    <w:rsid w:val="00737EAA"/>
    <w:rsid w:val="007407CC"/>
    <w:rsid w:val="00740B7D"/>
    <w:rsid w:val="0074113E"/>
    <w:rsid w:val="007411AD"/>
    <w:rsid w:val="0074153C"/>
    <w:rsid w:val="00741C01"/>
    <w:rsid w:val="00741D78"/>
    <w:rsid w:val="00742678"/>
    <w:rsid w:val="00743360"/>
    <w:rsid w:val="00743677"/>
    <w:rsid w:val="00743E01"/>
    <w:rsid w:val="00744458"/>
    <w:rsid w:val="00744F49"/>
    <w:rsid w:val="007451F6"/>
    <w:rsid w:val="00745355"/>
    <w:rsid w:val="00745A32"/>
    <w:rsid w:val="00745DF5"/>
    <w:rsid w:val="00746A79"/>
    <w:rsid w:val="00747841"/>
    <w:rsid w:val="00747F92"/>
    <w:rsid w:val="007502F2"/>
    <w:rsid w:val="007503A8"/>
    <w:rsid w:val="00750DA9"/>
    <w:rsid w:val="00750E16"/>
    <w:rsid w:val="0075180B"/>
    <w:rsid w:val="007519C7"/>
    <w:rsid w:val="00751CBB"/>
    <w:rsid w:val="007523B8"/>
    <w:rsid w:val="0075260E"/>
    <w:rsid w:val="00752D06"/>
    <w:rsid w:val="00753546"/>
    <w:rsid w:val="00754559"/>
    <w:rsid w:val="007547ED"/>
    <w:rsid w:val="00755835"/>
    <w:rsid w:val="007567AD"/>
    <w:rsid w:val="00756AED"/>
    <w:rsid w:val="00757E01"/>
    <w:rsid w:val="00760600"/>
    <w:rsid w:val="00760DF0"/>
    <w:rsid w:val="00761768"/>
    <w:rsid w:val="007617A4"/>
    <w:rsid w:val="0076220F"/>
    <w:rsid w:val="007624F2"/>
    <w:rsid w:val="0076250F"/>
    <w:rsid w:val="00762B8D"/>
    <w:rsid w:val="00762B9B"/>
    <w:rsid w:val="00762BF9"/>
    <w:rsid w:val="00763E73"/>
    <w:rsid w:val="00764FE3"/>
    <w:rsid w:val="00765064"/>
    <w:rsid w:val="0076518F"/>
    <w:rsid w:val="00767936"/>
    <w:rsid w:val="00767C2B"/>
    <w:rsid w:val="0077063C"/>
    <w:rsid w:val="007706B8"/>
    <w:rsid w:val="00770BFB"/>
    <w:rsid w:val="0077225A"/>
    <w:rsid w:val="00773143"/>
    <w:rsid w:val="0077354D"/>
    <w:rsid w:val="0077382E"/>
    <w:rsid w:val="00773951"/>
    <w:rsid w:val="00773C77"/>
    <w:rsid w:val="00773D9F"/>
    <w:rsid w:val="00774045"/>
    <w:rsid w:val="00774086"/>
    <w:rsid w:val="00774EE4"/>
    <w:rsid w:val="00775DCE"/>
    <w:rsid w:val="00776410"/>
    <w:rsid w:val="00776AAB"/>
    <w:rsid w:val="00776DE6"/>
    <w:rsid w:val="0077705E"/>
    <w:rsid w:val="007777A6"/>
    <w:rsid w:val="00780A20"/>
    <w:rsid w:val="00780FA5"/>
    <w:rsid w:val="00781A44"/>
    <w:rsid w:val="007821E8"/>
    <w:rsid w:val="00782993"/>
    <w:rsid w:val="00782BE6"/>
    <w:rsid w:val="00784114"/>
    <w:rsid w:val="007845C1"/>
    <w:rsid w:val="00785D59"/>
    <w:rsid w:val="00785DC6"/>
    <w:rsid w:val="00786351"/>
    <w:rsid w:val="00786412"/>
    <w:rsid w:val="007864D5"/>
    <w:rsid w:val="007865AF"/>
    <w:rsid w:val="00786EEB"/>
    <w:rsid w:val="00787006"/>
    <w:rsid w:val="0079168C"/>
    <w:rsid w:val="00793708"/>
    <w:rsid w:val="00794D14"/>
    <w:rsid w:val="007952BB"/>
    <w:rsid w:val="007955E7"/>
    <w:rsid w:val="00795B65"/>
    <w:rsid w:val="00796127"/>
    <w:rsid w:val="0079646D"/>
    <w:rsid w:val="007971C4"/>
    <w:rsid w:val="007972D0"/>
    <w:rsid w:val="00797808"/>
    <w:rsid w:val="00797AA5"/>
    <w:rsid w:val="007A06C0"/>
    <w:rsid w:val="007A076E"/>
    <w:rsid w:val="007A0B5E"/>
    <w:rsid w:val="007A11D6"/>
    <w:rsid w:val="007A128A"/>
    <w:rsid w:val="007A166E"/>
    <w:rsid w:val="007A24C5"/>
    <w:rsid w:val="007A25F4"/>
    <w:rsid w:val="007A26F1"/>
    <w:rsid w:val="007A2F40"/>
    <w:rsid w:val="007A315A"/>
    <w:rsid w:val="007A39F3"/>
    <w:rsid w:val="007A456A"/>
    <w:rsid w:val="007A4589"/>
    <w:rsid w:val="007A48F8"/>
    <w:rsid w:val="007A517A"/>
    <w:rsid w:val="007A59BB"/>
    <w:rsid w:val="007A6240"/>
    <w:rsid w:val="007A645C"/>
    <w:rsid w:val="007A64F6"/>
    <w:rsid w:val="007A68D8"/>
    <w:rsid w:val="007A6976"/>
    <w:rsid w:val="007A6BF6"/>
    <w:rsid w:val="007A6F3A"/>
    <w:rsid w:val="007A71C3"/>
    <w:rsid w:val="007B1819"/>
    <w:rsid w:val="007B1B89"/>
    <w:rsid w:val="007B2075"/>
    <w:rsid w:val="007B2265"/>
    <w:rsid w:val="007B2748"/>
    <w:rsid w:val="007B2FC0"/>
    <w:rsid w:val="007B349D"/>
    <w:rsid w:val="007B356C"/>
    <w:rsid w:val="007B3EEB"/>
    <w:rsid w:val="007B44FD"/>
    <w:rsid w:val="007B4DDC"/>
    <w:rsid w:val="007B58A2"/>
    <w:rsid w:val="007B6200"/>
    <w:rsid w:val="007B62CF"/>
    <w:rsid w:val="007B64B1"/>
    <w:rsid w:val="007B69F6"/>
    <w:rsid w:val="007B6D86"/>
    <w:rsid w:val="007B7ABD"/>
    <w:rsid w:val="007B7C56"/>
    <w:rsid w:val="007B7FA9"/>
    <w:rsid w:val="007C0E48"/>
    <w:rsid w:val="007C1118"/>
    <w:rsid w:val="007C1C6F"/>
    <w:rsid w:val="007C228B"/>
    <w:rsid w:val="007C2A69"/>
    <w:rsid w:val="007C303D"/>
    <w:rsid w:val="007C343A"/>
    <w:rsid w:val="007C376F"/>
    <w:rsid w:val="007C3FB3"/>
    <w:rsid w:val="007C4474"/>
    <w:rsid w:val="007C44A0"/>
    <w:rsid w:val="007C46A1"/>
    <w:rsid w:val="007C4C88"/>
    <w:rsid w:val="007C4EAE"/>
    <w:rsid w:val="007C4FCB"/>
    <w:rsid w:val="007C6A07"/>
    <w:rsid w:val="007C6E13"/>
    <w:rsid w:val="007C7D27"/>
    <w:rsid w:val="007C7DDB"/>
    <w:rsid w:val="007D0D5E"/>
    <w:rsid w:val="007D1F43"/>
    <w:rsid w:val="007D274C"/>
    <w:rsid w:val="007D2C70"/>
    <w:rsid w:val="007D3061"/>
    <w:rsid w:val="007D37E5"/>
    <w:rsid w:val="007D3E75"/>
    <w:rsid w:val="007D5AA7"/>
    <w:rsid w:val="007D61D4"/>
    <w:rsid w:val="007D71A0"/>
    <w:rsid w:val="007D766E"/>
    <w:rsid w:val="007D7726"/>
    <w:rsid w:val="007D7781"/>
    <w:rsid w:val="007D7CC1"/>
    <w:rsid w:val="007D7F40"/>
    <w:rsid w:val="007E1161"/>
    <w:rsid w:val="007E129A"/>
    <w:rsid w:val="007E15B8"/>
    <w:rsid w:val="007E1B96"/>
    <w:rsid w:val="007E1DED"/>
    <w:rsid w:val="007E2227"/>
    <w:rsid w:val="007E29B7"/>
    <w:rsid w:val="007E2D4C"/>
    <w:rsid w:val="007E2E19"/>
    <w:rsid w:val="007E2EAD"/>
    <w:rsid w:val="007E32A0"/>
    <w:rsid w:val="007E32BD"/>
    <w:rsid w:val="007E33A3"/>
    <w:rsid w:val="007E3B79"/>
    <w:rsid w:val="007E3D96"/>
    <w:rsid w:val="007E3E46"/>
    <w:rsid w:val="007E4AAD"/>
    <w:rsid w:val="007E51B9"/>
    <w:rsid w:val="007E56A1"/>
    <w:rsid w:val="007E58B0"/>
    <w:rsid w:val="007E5B61"/>
    <w:rsid w:val="007E5B6C"/>
    <w:rsid w:val="007E600B"/>
    <w:rsid w:val="007E644F"/>
    <w:rsid w:val="007E66F5"/>
    <w:rsid w:val="007E6800"/>
    <w:rsid w:val="007E6B3D"/>
    <w:rsid w:val="007E7082"/>
    <w:rsid w:val="007E70AD"/>
    <w:rsid w:val="007E7242"/>
    <w:rsid w:val="007E767A"/>
    <w:rsid w:val="007E7E39"/>
    <w:rsid w:val="007E7E71"/>
    <w:rsid w:val="007E7F36"/>
    <w:rsid w:val="007F04A5"/>
    <w:rsid w:val="007F08DE"/>
    <w:rsid w:val="007F134F"/>
    <w:rsid w:val="007F155B"/>
    <w:rsid w:val="007F1A7F"/>
    <w:rsid w:val="007F2FCE"/>
    <w:rsid w:val="007F3395"/>
    <w:rsid w:val="007F3423"/>
    <w:rsid w:val="007F36E7"/>
    <w:rsid w:val="007F37D1"/>
    <w:rsid w:val="007F3A6B"/>
    <w:rsid w:val="007F3C04"/>
    <w:rsid w:val="007F48B0"/>
    <w:rsid w:val="007F490B"/>
    <w:rsid w:val="007F5C8A"/>
    <w:rsid w:val="007F6363"/>
    <w:rsid w:val="007F6D8E"/>
    <w:rsid w:val="007F6DEA"/>
    <w:rsid w:val="007F71B4"/>
    <w:rsid w:val="007F72A4"/>
    <w:rsid w:val="007F7BB5"/>
    <w:rsid w:val="007F7BEE"/>
    <w:rsid w:val="007F7E1D"/>
    <w:rsid w:val="007F7ECF"/>
    <w:rsid w:val="00800759"/>
    <w:rsid w:val="00801417"/>
    <w:rsid w:val="00801784"/>
    <w:rsid w:val="00801912"/>
    <w:rsid w:val="00801B9F"/>
    <w:rsid w:val="0080204D"/>
    <w:rsid w:val="008025CB"/>
    <w:rsid w:val="00803230"/>
    <w:rsid w:val="0080367C"/>
    <w:rsid w:val="0080369C"/>
    <w:rsid w:val="00803D4E"/>
    <w:rsid w:val="00804255"/>
    <w:rsid w:val="008044A6"/>
    <w:rsid w:val="008049F9"/>
    <w:rsid w:val="00804D27"/>
    <w:rsid w:val="008051F8"/>
    <w:rsid w:val="00805B9C"/>
    <w:rsid w:val="008066E6"/>
    <w:rsid w:val="00806836"/>
    <w:rsid w:val="00806BC1"/>
    <w:rsid w:val="00806CCB"/>
    <w:rsid w:val="00806FA5"/>
    <w:rsid w:val="00807085"/>
    <w:rsid w:val="008074E7"/>
    <w:rsid w:val="0080759D"/>
    <w:rsid w:val="00807F13"/>
    <w:rsid w:val="00810106"/>
    <w:rsid w:val="00811048"/>
    <w:rsid w:val="00811497"/>
    <w:rsid w:val="00811D1F"/>
    <w:rsid w:val="00812243"/>
    <w:rsid w:val="008123E1"/>
    <w:rsid w:val="00812680"/>
    <w:rsid w:val="00812FF7"/>
    <w:rsid w:val="008145AD"/>
    <w:rsid w:val="00814B1E"/>
    <w:rsid w:val="00814F3E"/>
    <w:rsid w:val="0081503B"/>
    <w:rsid w:val="00815A9B"/>
    <w:rsid w:val="0081637A"/>
    <w:rsid w:val="008164D9"/>
    <w:rsid w:val="00816720"/>
    <w:rsid w:val="00817BFC"/>
    <w:rsid w:val="00820786"/>
    <w:rsid w:val="00820BFE"/>
    <w:rsid w:val="0082151F"/>
    <w:rsid w:val="008218D5"/>
    <w:rsid w:val="00822835"/>
    <w:rsid w:val="00822A1B"/>
    <w:rsid w:val="00822D80"/>
    <w:rsid w:val="00822F1B"/>
    <w:rsid w:val="00823104"/>
    <w:rsid w:val="008237D5"/>
    <w:rsid w:val="00823C8C"/>
    <w:rsid w:val="00823CE5"/>
    <w:rsid w:val="00823FDF"/>
    <w:rsid w:val="00824B97"/>
    <w:rsid w:val="0082514C"/>
    <w:rsid w:val="0082527A"/>
    <w:rsid w:val="0082540C"/>
    <w:rsid w:val="00826B85"/>
    <w:rsid w:val="00827095"/>
    <w:rsid w:val="00827246"/>
    <w:rsid w:val="00827F9B"/>
    <w:rsid w:val="008303C3"/>
    <w:rsid w:val="0083049F"/>
    <w:rsid w:val="0083052F"/>
    <w:rsid w:val="00830725"/>
    <w:rsid w:val="00830CE6"/>
    <w:rsid w:val="008318CC"/>
    <w:rsid w:val="00831AC6"/>
    <w:rsid w:val="00831F4E"/>
    <w:rsid w:val="0083278A"/>
    <w:rsid w:val="00833083"/>
    <w:rsid w:val="0083359F"/>
    <w:rsid w:val="00833C41"/>
    <w:rsid w:val="008341EF"/>
    <w:rsid w:val="00834389"/>
    <w:rsid w:val="00834706"/>
    <w:rsid w:val="00834F38"/>
    <w:rsid w:val="008354EA"/>
    <w:rsid w:val="00835A6D"/>
    <w:rsid w:val="00835B63"/>
    <w:rsid w:val="00836149"/>
    <w:rsid w:val="00836300"/>
    <w:rsid w:val="00836E73"/>
    <w:rsid w:val="00836EBE"/>
    <w:rsid w:val="00836EC5"/>
    <w:rsid w:val="00837D86"/>
    <w:rsid w:val="00837FA1"/>
    <w:rsid w:val="00840359"/>
    <w:rsid w:val="00840F9F"/>
    <w:rsid w:val="00842126"/>
    <w:rsid w:val="008421C7"/>
    <w:rsid w:val="008422EE"/>
    <w:rsid w:val="0084295A"/>
    <w:rsid w:val="00843063"/>
    <w:rsid w:val="00843D56"/>
    <w:rsid w:val="00844D44"/>
    <w:rsid w:val="0084551F"/>
    <w:rsid w:val="00845FD6"/>
    <w:rsid w:val="0084608A"/>
    <w:rsid w:val="00846105"/>
    <w:rsid w:val="00846A38"/>
    <w:rsid w:val="00846B65"/>
    <w:rsid w:val="00847221"/>
    <w:rsid w:val="008475F0"/>
    <w:rsid w:val="0084772C"/>
    <w:rsid w:val="00847C0B"/>
    <w:rsid w:val="00847D79"/>
    <w:rsid w:val="008509E0"/>
    <w:rsid w:val="00850BB5"/>
    <w:rsid w:val="00850D26"/>
    <w:rsid w:val="00850EFC"/>
    <w:rsid w:val="008516F2"/>
    <w:rsid w:val="008519AA"/>
    <w:rsid w:val="008528E2"/>
    <w:rsid w:val="00852A0D"/>
    <w:rsid w:val="00852A78"/>
    <w:rsid w:val="00852D6A"/>
    <w:rsid w:val="00853445"/>
    <w:rsid w:val="0085349E"/>
    <w:rsid w:val="008534AF"/>
    <w:rsid w:val="008536E6"/>
    <w:rsid w:val="00853EEB"/>
    <w:rsid w:val="00854762"/>
    <w:rsid w:val="00854D0E"/>
    <w:rsid w:val="008557A7"/>
    <w:rsid w:val="00855C1A"/>
    <w:rsid w:val="00855F90"/>
    <w:rsid w:val="0085616A"/>
    <w:rsid w:val="0085685F"/>
    <w:rsid w:val="00856873"/>
    <w:rsid w:val="0085737B"/>
    <w:rsid w:val="008578D8"/>
    <w:rsid w:val="0086056E"/>
    <w:rsid w:val="0086079B"/>
    <w:rsid w:val="008611D1"/>
    <w:rsid w:val="008617D5"/>
    <w:rsid w:val="00861A89"/>
    <w:rsid w:val="00861ACC"/>
    <w:rsid w:val="00862DB8"/>
    <w:rsid w:val="0086351E"/>
    <w:rsid w:val="008664AA"/>
    <w:rsid w:val="00866DF6"/>
    <w:rsid w:val="008674EF"/>
    <w:rsid w:val="00867AFA"/>
    <w:rsid w:val="00867BF8"/>
    <w:rsid w:val="00867DB4"/>
    <w:rsid w:val="00870928"/>
    <w:rsid w:val="0087109D"/>
    <w:rsid w:val="0087132A"/>
    <w:rsid w:val="0087177E"/>
    <w:rsid w:val="00871791"/>
    <w:rsid w:val="008717E1"/>
    <w:rsid w:val="0087244D"/>
    <w:rsid w:val="00872BC5"/>
    <w:rsid w:val="008745BF"/>
    <w:rsid w:val="008745E5"/>
    <w:rsid w:val="0087470A"/>
    <w:rsid w:val="00874B44"/>
    <w:rsid w:val="00874C18"/>
    <w:rsid w:val="00874E21"/>
    <w:rsid w:val="008756FE"/>
    <w:rsid w:val="00875EDA"/>
    <w:rsid w:val="00876301"/>
    <w:rsid w:val="00876CEF"/>
    <w:rsid w:val="0087704F"/>
    <w:rsid w:val="0087739C"/>
    <w:rsid w:val="00880387"/>
    <w:rsid w:val="00880736"/>
    <w:rsid w:val="00881170"/>
    <w:rsid w:val="00883044"/>
    <w:rsid w:val="00883634"/>
    <w:rsid w:val="00883BFF"/>
    <w:rsid w:val="00883E37"/>
    <w:rsid w:val="0088429E"/>
    <w:rsid w:val="00884673"/>
    <w:rsid w:val="0088555A"/>
    <w:rsid w:val="008855B7"/>
    <w:rsid w:val="00885A62"/>
    <w:rsid w:val="00886374"/>
    <w:rsid w:val="0088662B"/>
    <w:rsid w:val="00886965"/>
    <w:rsid w:val="0088728C"/>
    <w:rsid w:val="00887B54"/>
    <w:rsid w:val="00887DDC"/>
    <w:rsid w:val="008909E7"/>
    <w:rsid w:val="00891146"/>
    <w:rsid w:val="008913BB"/>
    <w:rsid w:val="00891AE5"/>
    <w:rsid w:val="00891C5D"/>
    <w:rsid w:val="00891CA1"/>
    <w:rsid w:val="00891FEE"/>
    <w:rsid w:val="00892331"/>
    <w:rsid w:val="00892DA9"/>
    <w:rsid w:val="00893285"/>
    <w:rsid w:val="0089405C"/>
    <w:rsid w:val="00894341"/>
    <w:rsid w:val="0089487F"/>
    <w:rsid w:val="00894EAA"/>
    <w:rsid w:val="008953F2"/>
    <w:rsid w:val="00895CAF"/>
    <w:rsid w:val="00895DF9"/>
    <w:rsid w:val="00896986"/>
    <w:rsid w:val="00897066"/>
    <w:rsid w:val="00897283"/>
    <w:rsid w:val="008978AC"/>
    <w:rsid w:val="00897FA2"/>
    <w:rsid w:val="008A0685"/>
    <w:rsid w:val="008A0825"/>
    <w:rsid w:val="008A0D42"/>
    <w:rsid w:val="008A0E79"/>
    <w:rsid w:val="008A1FA6"/>
    <w:rsid w:val="008A25C6"/>
    <w:rsid w:val="008A28A2"/>
    <w:rsid w:val="008A2DF6"/>
    <w:rsid w:val="008A2EFB"/>
    <w:rsid w:val="008A33F0"/>
    <w:rsid w:val="008A370C"/>
    <w:rsid w:val="008A41E5"/>
    <w:rsid w:val="008A570A"/>
    <w:rsid w:val="008A5972"/>
    <w:rsid w:val="008A5AFE"/>
    <w:rsid w:val="008A5F31"/>
    <w:rsid w:val="008A6218"/>
    <w:rsid w:val="008A6BDA"/>
    <w:rsid w:val="008A709F"/>
    <w:rsid w:val="008A7386"/>
    <w:rsid w:val="008A76D4"/>
    <w:rsid w:val="008B0BE0"/>
    <w:rsid w:val="008B0F0D"/>
    <w:rsid w:val="008B0F23"/>
    <w:rsid w:val="008B1340"/>
    <w:rsid w:val="008B219C"/>
    <w:rsid w:val="008B2528"/>
    <w:rsid w:val="008B2965"/>
    <w:rsid w:val="008B305D"/>
    <w:rsid w:val="008B330C"/>
    <w:rsid w:val="008B3E7F"/>
    <w:rsid w:val="008B4104"/>
    <w:rsid w:val="008B49A4"/>
    <w:rsid w:val="008B4F36"/>
    <w:rsid w:val="008B509E"/>
    <w:rsid w:val="008B53CD"/>
    <w:rsid w:val="008B5551"/>
    <w:rsid w:val="008B5B7B"/>
    <w:rsid w:val="008B5BCB"/>
    <w:rsid w:val="008B5D86"/>
    <w:rsid w:val="008B702B"/>
    <w:rsid w:val="008B747B"/>
    <w:rsid w:val="008B7E8E"/>
    <w:rsid w:val="008C0427"/>
    <w:rsid w:val="008C05FB"/>
    <w:rsid w:val="008C0DA5"/>
    <w:rsid w:val="008C14AA"/>
    <w:rsid w:val="008C17B3"/>
    <w:rsid w:val="008C20E9"/>
    <w:rsid w:val="008C2C37"/>
    <w:rsid w:val="008C2EFF"/>
    <w:rsid w:val="008C35EE"/>
    <w:rsid w:val="008C3D4A"/>
    <w:rsid w:val="008C3DAA"/>
    <w:rsid w:val="008C3E5B"/>
    <w:rsid w:val="008C4A39"/>
    <w:rsid w:val="008C4EDE"/>
    <w:rsid w:val="008C5133"/>
    <w:rsid w:val="008C5314"/>
    <w:rsid w:val="008C5324"/>
    <w:rsid w:val="008C554E"/>
    <w:rsid w:val="008C5A0E"/>
    <w:rsid w:val="008C5A4A"/>
    <w:rsid w:val="008C6680"/>
    <w:rsid w:val="008C675B"/>
    <w:rsid w:val="008C68F7"/>
    <w:rsid w:val="008C6919"/>
    <w:rsid w:val="008C6EF3"/>
    <w:rsid w:val="008C7552"/>
    <w:rsid w:val="008C75DF"/>
    <w:rsid w:val="008C75E1"/>
    <w:rsid w:val="008C7C46"/>
    <w:rsid w:val="008C7D71"/>
    <w:rsid w:val="008D07C9"/>
    <w:rsid w:val="008D2B3D"/>
    <w:rsid w:val="008D485B"/>
    <w:rsid w:val="008D4A22"/>
    <w:rsid w:val="008D4B2F"/>
    <w:rsid w:val="008D4CF9"/>
    <w:rsid w:val="008D620E"/>
    <w:rsid w:val="008D6A9C"/>
    <w:rsid w:val="008E02E4"/>
    <w:rsid w:val="008E0F24"/>
    <w:rsid w:val="008E15C6"/>
    <w:rsid w:val="008E18C4"/>
    <w:rsid w:val="008E1E58"/>
    <w:rsid w:val="008E26D3"/>
    <w:rsid w:val="008E2C89"/>
    <w:rsid w:val="008E3729"/>
    <w:rsid w:val="008E3A69"/>
    <w:rsid w:val="008E44E1"/>
    <w:rsid w:val="008E4838"/>
    <w:rsid w:val="008E5178"/>
    <w:rsid w:val="008E6405"/>
    <w:rsid w:val="008E643F"/>
    <w:rsid w:val="008E660C"/>
    <w:rsid w:val="008E77D5"/>
    <w:rsid w:val="008E7A1D"/>
    <w:rsid w:val="008F092A"/>
    <w:rsid w:val="008F0AEF"/>
    <w:rsid w:val="008F1219"/>
    <w:rsid w:val="008F2604"/>
    <w:rsid w:val="008F28C9"/>
    <w:rsid w:val="008F2AE8"/>
    <w:rsid w:val="008F30D5"/>
    <w:rsid w:val="008F32AC"/>
    <w:rsid w:val="008F3976"/>
    <w:rsid w:val="008F3FF3"/>
    <w:rsid w:val="008F4639"/>
    <w:rsid w:val="008F64DA"/>
    <w:rsid w:val="008F74EE"/>
    <w:rsid w:val="008F7B27"/>
    <w:rsid w:val="00900BB4"/>
    <w:rsid w:val="0090116A"/>
    <w:rsid w:val="00901173"/>
    <w:rsid w:val="00901426"/>
    <w:rsid w:val="00901B38"/>
    <w:rsid w:val="0090260A"/>
    <w:rsid w:val="0090279E"/>
    <w:rsid w:val="009029FF"/>
    <w:rsid w:val="00902B00"/>
    <w:rsid w:val="00903ADA"/>
    <w:rsid w:val="009044D6"/>
    <w:rsid w:val="009046B2"/>
    <w:rsid w:val="0090494E"/>
    <w:rsid w:val="00904DCC"/>
    <w:rsid w:val="00905C83"/>
    <w:rsid w:val="0091055F"/>
    <w:rsid w:val="009109B7"/>
    <w:rsid w:val="009112DA"/>
    <w:rsid w:val="00911A8B"/>
    <w:rsid w:val="00911B86"/>
    <w:rsid w:val="00911EF1"/>
    <w:rsid w:val="00912085"/>
    <w:rsid w:val="00912480"/>
    <w:rsid w:val="00912676"/>
    <w:rsid w:val="00912B96"/>
    <w:rsid w:val="0091392F"/>
    <w:rsid w:val="00913AAB"/>
    <w:rsid w:val="0091450E"/>
    <w:rsid w:val="009168D7"/>
    <w:rsid w:val="0092032C"/>
    <w:rsid w:val="009210E3"/>
    <w:rsid w:val="0092151A"/>
    <w:rsid w:val="00921579"/>
    <w:rsid w:val="00923591"/>
    <w:rsid w:val="0092361E"/>
    <w:rsid w:val="0092374F"/>
    <w:rsid w:val="00924042"/>
    <w:rsid w:val="00924903"/>
    <w:rsid w:val="00924AA1"/>
    <w:rsid w:val="009257B3"/>
    <w:rsid w:val="00925A7A"/>
    <w:rsid w:val="00925D1A"/>
    <w:rsid w:val="00926246"/>
    <w:rsid w:val="009277E7"/>
    <w:rsid w:val="00927DBD"/>
    <w:rsid w:val="00927F88"/>
    <w:rsid w:val="009303F7"/>
    <w:rsid w:val="00931A65"/>
    <w:rsid w:val="009320DC"/>
    <w:rsid w:val="00932664"/>
    <w:rsid w:val="00933CA4"/>
    <w:rsid w:val="00933CC2"/>
    <w:rsid w:val="00934CED"/>
    <w:rsid w:val="00935A34"/>
    <w:rsid w:val="00936057"/>
    <w:rsid w:val="0093605B"/>
    <w:rsid w:val="00936388"/>
    <w:rsid w:val="009363C1"/>
    <w:rsid w:val="00936631"/>
    <w:rsid w:val="00936889"/>
    <w:rsid w:val="00936DB3"/>
    <w:rsid w:val="00937097"/>
    <w:rsid w:val="009370DE"/>
    <w:rsid w:val="00940893"/>
    <w:rsid w:val="009425E9"/>
    <w:rsid w:val="00942F2C"/>
    <w:rsid w:val="00943651"/>
    <w:rsid w:val="00943730"/>
    <w:rsid w:val="00943B94"/>
    <w:rsid w:val="00944333"/>
    <w:rsid w:val="00944956"/>
    <w:rsid w:val="009449AC"/>
    <w:rsid w:val="00944B95"/>
    <w:rsid w:val="009464CB"/>
    <w:rsid w:val="00946532"/>
    <w:rsid w:val="0094673A"/>
    <w:rsid w:val="00946770"/>
    <w:rsid w:val="00946996"/>
    <w:rsid w:val="00947E34"/>
    <w:rsid w:val="00950602"/>
    <w:rsid w:val="00950EA0"/>
    <w:rsid w:val="00951B2D"/>
    <w:rsid w:val="00952423"/>
    <w:rsid w:val="0095327C"/>
    <w:rsid w:val="009533AA"/>
    <w:rsid w:val="009545C5"/>
    <w:rsid w:val="00954A1F"/>
    <w:rsid w:val="00955C81"/>
    <w:rsid w:val="00955F98"/>
    <w:rsid w:val="0095625B"/>
    <w:rsid w:val="009566F7"/>
    <w:rsid w:val="00956880"/>
    <w:rsid w:val="009570C9"/>
    <w:rsid w:val="00957807"/>
    <w:rsid w:val="00960198"/>
    <w:rsid w:val="009602A4"/>
    <w:rsid w:val="009602A5"/>
    <w:rsid w:val="0096079B"/>
    <w:rsid w:val="00960A4B"/>
    <w:rsid w:val="00960C6E"/>
    <w:rsid w:val="00961E72"/>
    <w:rsid w:val="0096286E"/>
    <w:rsid w:val="00962DAD"/>
    <w:rsid w:val="00963037"/>
    <w:rsid w:val="009637D8"/>
    <w:rsid w:val="0096432F"/>
    <w:rsid w:val="0096585A"/>
    <w:rsid w:val="0096598B"/>
    <w:rsid w:val="00966E7E"/>
    <w:rsid w:val="00966E8E"/>
    <w:rsid w:val="0096798C"/>
    <w:rsid w:val="00967A6A"/>
    <w:rsid w:val="00967AD6"/>
    <w:rsid w:val="00967D0B"/>
    <w:rsid w:val="009705E9"/>
    <w:rsid w:val="00970E4B"/>
    <w:rsid w:val="00972F97"/>
    <w:rsid w:val="00973398"/>
    <w:rsid w:val="009734AB"/>
    <w:rsid w:val="009744CD"/>
    <w:rsid w:val="00974A26"/>
    <w:rsid w:val="00974D92"/>
    <w:rsid w:val="00975129"/>
    <w:rsid w:val="00975440"/>
    <w:rsid w:val="00975B41"/>
    <w:rsid w:val="00975CA5"/>
    <w:rsid w:val="00975F5C"/>
    <w:rsid w:val="00975F69"/>
    <w:rsid w:val="009765DC"/>
    <w:rsid w:val="0097731D"/>
    <w:rsid w:val="009777C1"/>
    <w:rsid w:val="00977A8A"/>
    <w:rsid w:val="00980296"/>
    <w:rsid w:val="009808AF"/>
    <w:rsid w:val="00980B74"/>
    <w:rsid w:val="00980F72"/>
    <w:rsid w:val="00981F9D"/>
    <w:rsid w:val="00983801"/>
    <w:rsid w:val="00983AED"/>
    <w:rsid w:val="009846AC"/>
    <w:rsid w:val="0098471B"/>
    <w:rsid w:val="00985338"/>
    <w:rsid w:val="009856F0"/>
    <w:rsid w:val="00985EFC"/>
    <w:rsid w:val="00986557"/>
    <w:rsid w:val="00986590"/>
    <w:rsid w:val="00986C8C"/>
    <w:rsid w:val="009871BA"/>
    <w:rsid w:val="00987D73"/>
    <w:rsid w:val="00990123"/>
    <w:rsid w:val="0099066D"/>
    <w:rsid w:val="00990692"/>
    <w:rsid w:val="00991E53"/>
    <w:rsid w:val="009921F3"/>
    <w:rsid w:val="009924F3"/>
    <w:rsid w:val="009929FF"/>
    <w:rsid w:val="00992C76"/>
    <w:rsid w:val="00993785"/>
    <w:rsid w:val="00994D62"/>
    <w:rsid w:val="00995413"/>
    <w:rsid w:val="00995AC3"/>
    <w:rsid w:val="00995D4A"/>
    <w:rsid w:val="009964E7"/>
    <w:rsid w:val="009969D6"/>
    <w:rsid w:val="00997168"/>
    <w:rsid w:val="00997564"/>
    <w:rsid w:val="00997A12"/>
    <w:rsid w:val="009A016A"/>
    <w:rsid w:val="009A0EAE"/>
    <w:rsid w:val="009A0FBE"/>
    <w:rsid w:val="009A1BDB"/>
    <w:rsid w:val="009A2470"/>
    <w:rsid w:val="009A25A8"/>
    <w:rsid w:val="009A2747"/>
    <w:rsid w:val="009A3C3A"/>
    <w:rsid w:val="009A3DD2"/>
    <w:rsid w:val="009A52A0"/>
    <w:rsid w:val="009A5325"/>
    <w:rsid w:val="009A63E9"/>
    <w:rsid w:val="009A655C"/>
    <w:rsid w:val="009B0A10"/>
    <w:rsid w:val="009B0A17"/>
    <w:rsid w:val="009B0F88"/>
    <w:rsid w:val="009B15C3"/>
    <w:rsid w:val="009B1684"/>
    <w:rsid w:val="009B1AD3"/>
    <w:rsid w:val="009B1F33"/>
    <w:rsid w:val="009B1FDD"/>
    <w:rsid w:val="009B2505"/>
    <w:rsid w:val="009B2841"/>
    <w:rsid w:val="009B331E"/>
    <w:rsid w:val="009B3B3D"/>
    <w:rsid w:val="009B3B78"/>
    <w:rsid w:val="009B3CA4"/>
    <w:rsid w:val="009B48CF"/>
    <w:rsid w:val="009B4B92"/>
    <w:rsid w:val="009B4C18"/>
    <w:rsid w:val="009B4D3B"/>
    <w:rsid w:val="009B4DDB"/>
    <w:rsid w:val="009B4FF7"/>
    <w:rsid w:val="009B51C9"/>
    <w:rsid w:val="009B5725"/>
    <w:rsid w:val="009B6281"/>
    <w:rsid w:val="009B6ED4"/>
    <w:rsid w:val="009B6F94"/>
    <w:rsid w:val="009B72AB"/>
    <w:rsid w:val="009B788B"/>
    <w:rsid w:val="009B7942"/>
    <w:rsid w:val="009C04D4"/>
    <w:rsid w:val="009C155C"/>
    <w:rsid w:val="009C1EC6"/>
    <w:rsid w:val="009C3855"/>
    <w:rsid w:val="009C3AFD"/>
    <w:rsid w:val="009C420A"/>
    <w:rsid w:val="009C4702"/>
    <w:rsid w:val="009C4C88"/>
    <w:rsid w:val="009C4C91"/>
    <w:rsid w:val="009C4D8B"/>
    <w:rsid w:val="009C53CD"/>
    <w:rsid w:val="009C596B"/>
    <w:rsid w:val="009C5ED4"/>
    <w:rsid w:val="009C605A"/>
    <w:rsid w:val="009C76B1"/>
    <w:rsid w:val="009C7BDE"/>
    <w:rsid w:val="009D0481"/>
    <w:rsid w:val="009D0AE6"/>
    <w:rsid w:val="009D0DAD"/>
    <w:rsid w:val="009D13A6"/>
    <w:rsid w:val="009D2230"/>
    <w:rsid w:val="009D2485"/>
    <w:rsid w:val="009D271E"/>
    <w:rsid w:val="009D2EF1"/>
    <w:rsid w:val="009D30AF"/>
    <w:rsid w:val="009D3E91"/>
    <w:rsid w:val="009D3F2D"/>
    <w:rsid w:val="009D5167"/>
    <w:rsid w:val="009D51DE"/>
    <w:rsid w:val="009D5BB3"/>
    <w:rsid w:val="009D7407"/>
    <w:rsid w:val="009D7817"/>
    <w:rsid w:val="009D781A"/>
    <w:rsid w:val="009D7861"/>
    <w:rsid w:val="009D7A3D"/>
    <w:rsid w:val="009E06CE"/>
    <w:rsid w:val="009E0866"/>
    <w:rsid w:val="009E0E4D"/>
    <w:rsid w:val="009E1531"/>
    <w:rsid w:val="009E273C"/>
    <w:rsid w:val="009E29CB"/>
    <w:rsid w:val="009E2A59"/>
    <w:rsid w:val="009E30F1"/>
    <w:rsid w:val="009E38BD"/>
    <w:rsid w:val="009E43FB"/>
    <w:rsid w:val="009E4616"/>
    <w:rsid w:val="009E4A44"/>
    <w:rsid w:val="009E4E2B"/>
    <w:rsid w:val="009E5930"/>
    <w:rsid w:val="009E5DA6"/>
    <w:rsid w:val="009E653A"/>
    <w:rsid w:val="009E67D6"/>
    <w:rsid w:val="009E68DC"/>
    <w:rsid w:val="009E69AC"/>
    <w:rsid w:val="009F0397"/>
    <w:rsid w:val="009F05D6"/>
    <w:rsid w:val="009F1235"/>
    <w:rsid w:val="009F1350"/>
    <w:rsid w:val="009F2379"/>
    <w:rsid w:val="009F29D6"/>
    <w:rsid w:val="009F2ADA"/>
    <w:rsid w:val="009F2BE5"/>
    <w:rsid w:val="009F30C5"/>
    <w:rsid w:val="009F3FF8"/>
    <w:rsid w:val="009F4A6F"/>
    <w:rsid w:val="009F5854"/>
    <w:rsid w:val="009F5BA8"/>
    <w:rsid w:val="009F5C7E"/>
    <w:rsid w:val="009F6423"/>
    <w:rsid w:val="009F665A"/>
    <w:rsid w:val="009F687A"/>
    <w:rsid w:val="009F6A64"/>
    <w:rsid w:val="00A00340"/>
    <w:rsid w:val="00A0056C"/>
    <w:rsid w:val="00A005B5"/>
    <w:rsid w:val="00A00AE8"/>
    <w:rsid w:val="00A01CE7"/>
    <w:rsid w:val="00A024DB"/>
    <w:rsid w:val="00A02692"/>
    <w:rsid w:val="00A02A1D"/>
    <w:rsid w:val="00A02EEA"/>
    <w:rsid w:val="00A0379C"/>
    <w:rsid w:val="00A03C89"/>
    <w:rsid w:val="00A03D5F"/>
    <w:rsid w:val="00A04270"/>
    <w:rsid w:val="00A04BBC"/>
    <w:rsid w:val="00A04EC1"/>
    <w:rsid w:val="00A04F40"/>
    <w:rsid w:val="00A054B7"/>
    <w:rsid w:val="00A05C30"/>
    <w:rsid w:val="00A05F04"/>
    <w:rsid w:val="00A06361"/>
    <w:rsid w:val="00A06735"/>
    <w:rsid w:val="00A06D70"/>
    <w:rsid w:val="00A07161"/>
    <w:rsid w:val="00A07A84"/>
    <w:rsid w:val="00A101EA"/>
    <w:rsid w:val="00A10264"/>
    <w:rsid w:val="00A10CA2"/>
    <w:rsid w:val="00A110CB"/>
    <w:rsid w:val="00A112FC"/>
    <w:rsid w:val="00A11BAD"/>
    <w:rsid w:val="00A11D75"/>
    <w:rsid w:val="00A11E72"/>
    <w:rsid w:val="00A12EF4"/>
    <w:rsid w:val="00A12FEC"/>
    <w:rsid w:val="00A1330D"/>
    <w:rsid w:val="00A1340B"/>
    <w:rsid w:val="00A14154"/>
    <w:rsid w:val="00A14546"/>
    <w:rsid w:val="00A14AA3"/>
    <w:rsid w:val="00A1503D"/>
    <w:rsid w:val="00A1571E"/>
    <w:rsid w:val="00A158A6"/>
    <w:rsid w:val="00A158C0"/>
    <w:rsid w:val="00A15AAB"/>
    <w:rsid w:val="00A15C52"/>
    <w:rsid w:val="00A1663C"/>
    <w:rsid w:val="00A17462"/>
    <w:rsid w:val="00A175B3"/>
    <w:rsid w:val="00A20232"/>
    <w:rsid w:val="00A20337"/>
    <w:rsid w:val="00A21BBE"/>
    <w:rsid w:val="00A24A62"/>
    <w:rsid w:val="00A24B8B"/>
    <w:rsid w:val="00A25377"/>
    <w:rsid w:val="00A25EE7"/>
    <w:rsid w:val="00A26E25"/>
    <w:rsid w:val="00A2783C"/>
    <w:rsid w:val="00A278B0"/>
    <w:rsid w:val="00A27FF1"/>
    <w:rsid w:val="00A3011A"/>
    <w:rsid w:val="00A31852"/>
    <w:rsid w:val="00A31C9F"/>
    <w:rsid w:val="00A31DFA"/>
    <w:rsid w:val="00A32858"/>
    <w:rsid w:val="00A32BAA"/>
    <w:rsid w:val="00A33290"/>
    <w:rsid w:val="00A34164"/>
    <w:rsid w:val="00A3437F"/>
    <w:rsid w:val="00A352D2"/>
    <w:rsid w:val="00A3561E"/>
    <w:rsid w:val="00A35960"/>
    <w:rsid w:val="00A359CF"/>
    <w:rsid w:val="00A35FA1"/>
    <w:rsid w:val="00A363E0"/>
    <w:rsid w:val="00A365A3"/>
    <w:rsid w:val="00A36E53"/>
    <w:rsid w:val="00A4067B"/>
    <w:rsid w:val="00A40905"/>
    <w:rsid w:val="00A4144F"/>
    <w:rsid w:val="00A41FE4"/>
    <w:rsid w:val="00A425FE"/>
    <w:rsid w:val="00A43BC2"/>
    <w:rsid w:val="00A44066"/>
    <w:rsid w:val="00A4438E"/>
    <w:rsid w:val="00A4478A"/>
    <w:rsid w:val="00A44BF0"/>
    <w:rsid w:val="00A44D24"/>
    <w:rsid w:val="00A450B7"/>
    <w:rsid w:val="00A45BE6"/>
    <w:rsid w:val="00A45D6E"/>
    <w:rsid w:val="00A4638D"/>
    <w:rsid w:val="00A46641"/>
    <w:rsid w:val="00A469F5"/>
    <w:rsid w:val="00A4769B"/>
    <w:rsid w:val="00A47E44"/>
    <w:rsid w:val="00A47F68"/>
    <w:rsid w:val="00A501B3"/>
    <w:rsid w:val="00A5177D"/>
    <w:rsid w:val="00A51F41"/>
    <w:rsid w:val="00A51F4F"/>
    <w:rsid w:val="00A5208A"/>
    <w:rsid w:val="00A52273"/>
    <w:rsid w:val="00A52FA8"/>
    <w:rsid w:val="00A534A9"/>
    <w:rsid w:val="00A53818"/>
    <w:rsid w:val="00A54723"/>
    <w:rsid w:val="00A54B2B"/>
    <w:rsid w:val="00A54C6C"/>
    <w:rsid w:val="00A54E7D"/>
    <w:rsid w:val="00A552CB"/>
    <w:rsid w:val="00A555C4"/>
    <w:rsid w:val="00A55EB2"/>
    <w:rsid w:val="00A57437"/>
    <w:rsid w:val="00A60862"/>
    <w:rsid w:val="00A619B2"/>
    <w:rsid w:val="00A61B4D"/>
    <w:rsid w:val="00A6229A"/>
    <w:rsid w:val="00A622C7"/>
    <w:rsid w:val="00A6254C"/>
    <w:rsid w:val="00A62AF4"/>
    <w:rsid w:val="00A64085"/>
    <w:rsid w:val="00A6455A"/>
    <w:rsid w:val="00A64769"/>
    <w:rsid w:val="00A6514F"/>
    <w:rsid w:val="00A65340"/>
    <w:rsid w:val="00A658F9"/>
    <w:rsid w:val="00A65A6D"/>
    <w:rsid w:val="00A65AB1"/>
    <w:rsid w:val="00A6603C"/>
    <w:rsid w:val="00A664DD"/>
    <w:rsid w:val="00A669DC"/>
    <w:rsid w:val="00A66F21"/>
    <w:rsid w:val="00A677E5"/>
    <w:rsid w:val="00A67A9E"/>
    <w:rsid w:val="00A702E3"/>
    <w:rsid w:val="00A70782"/>
    <w:rsid w:val="00A72804"/>
    <w:rsid w:val="00A72DE3"/>
    <w:rsid w:val="00A732E2"/>
    <w:rsid w:val="00A74128"/>
    <w:rsid w:val="00A74E1D"/>
    <w:rsid w:val="00A757CC"/>
    <w:rsid w:val="00A75DC8"/>
    <w:rsid w:val="00A76EC4"/>
    <w:rsid w:val="00A80E34"/>
    <w:rsid w:val="00A80F95"/>
    <w:rsid w:val="00A81300"/>
    <w:rsid w:val="00A8139A"/>
    <w:rsid w:val="00A81502"/>
    <w:rsid w:val="00A815E4"/>
    <w:rsid w:val="00A819D1"/>
    <w:rsid w:val="00A8251C"/>
    <w:rsid w:val="00A83EED"/>
    <w:rsid w:val="00A845D2"/>
    <w:rsid w:val="00A848AC"/>
    <w:rsid w:val="00A85A42"/>
    <w:rsid w:val="00A85BBA"/>
    <w:rsid w:val="00A85CE6"/>
    <w:rsid w:val="00A85D9B"/>
    <w:rsid w:val="00A86314"/>
    <w:rsid w:val="00A864A9"/>
    <w:rsid w:val="00A869DF"/>
    <w:rsid w:val="00A86E10"/>
    <w:rsid w:val="00A879F1"/>
    <w:rsid w:val="00A87CC0"/>
    <w:rsid w:val="00A87DD6"/>
    <w:rsid w:val="00A90329"/>
    <w:rsid w:val="00A90F59"/>
    <w:rsid w:val="00A912B8"/>
    <w:rsid w:val="00A91461"/>
    <w:rsid w:val="00A91795"/>
    <w:rsid w:val="00A924A3"/>
    <w:rsid w:val="00A924E3"/>
    <w:rsid w:val="00A9284D"/>
    <w:rsid w:val="00A93660"/>
    <w:rsid w:val="00A93932"/>
    <w:rsid w:val="00A93ABB"/>
    <w:rsid w:val="00A93C4F"/>
    <w:rsid w:val="00A93D81"/>
    <w:rsid w:val="00A942EC"/>
    <w:rsid w:val="00A9445B"/>
    <w:rsid w:val="00A94B2B"/>
    <w:rsid w:val="00A955C1"/>
    <w:rsid w:val="00A95901"/>
    <w:rsid w:val="00A960AF"/>
    <w:rsid w:val="00A96464"/>
    <w:rsid w:val="00A96A8D"/>
    <w:rsid w:val="00A97A69"/>
    <w:rsid w:val="00A97BF1"/>
    <w:rsid w:val="00AA015B"/>
    <w:rsid w:val="00AA06C0"/>
    <w:rsid w:val="00AA126E"/>
    <w:rsid w:val="00AA298A"/>
    <w:rsid w:val="00AA2A96"/>
    <w:rsid w:val="00AA315B"/>
    <w:rsid w:val="00AA324A"/>
    <w:rsid w:val="00AA3D2C"/>
    <w:rsid w:val="00AA40A3"/>
    <w:rsid w:val="00AA415F"/>
    <w:rsid w:val="00AA4444"/>
    <w:rsid w:val="00AA47D0"/>
    <w:rsid w:val="00AA496F"/>
    <w:rsid w:val="00AA499A"/>
    <w:rsid w:val="00AA4B1E"/>
    <w:rsid w:val="00AA6768"/>
    <w:rsid w:val="00AA726A"/>
    <w:rsid w:val="00AA72BE"/>
    <w:rsid w:val="00AA74BB"/>
    <w:rsid w:val="00AB0655"/>
    <w:rsid w:val="00AB136F"/>
    <w:rsid w:val="00AB13B6"/>
    <w:rsid w:val="00AB1C3D"/>
    <w:rsid w:val="00AB26B5"/>
    <w:rsid w:val="00AB2FC6"/>
    <w:rsid w:val="00AB3824"/>
    <w:rsid w:val="00AB44F9"/>
    <w:rsid w:val="00AB45CC"/>
    <w:rsid w:val="00AB48A9"/>
    <w:rsid w:val="00AB5236"/>
    <w:rsid w:val="00AB58F4"/>
    <w:rsid w:val="00AB5AB6"/>
    <w:rsid w:val="00AB5B42"/>
    <w:rsid w:val="00AB63BB"/>
    <w:rsid w:val="00AB65F1"/>
    <w:rsid w:val="00AB6A38"/>
    <w:rsid w:val="00AB773B"/>
    <w:rsid w:val="00AB7998"/>
    <w:rsid w:val="00AB7A0D"/>
    <w:rsid w:val="00AC00F9"/>
    <w:rsid w:val="00AC02EA"/>
    <w:rsid w:val="00AC040B"/>
    <w:rsid w:val="00AC164A"/>
    <w:rsid w:val="00AC1FF8"/>
    <w:rsid w:val="00AC209A"/>
    <w:rsid w:val="00AC258A"/>
    <w:rsid w:val="00AC295C"/>
    <w:rsid w:val="00AC39C6"/>
    <w:rsid w:val="00AC3E8E"/>
    <w:rsid w:val="00AC50C1"/>
    <w:rsid w:val="00AC5121"/>
    <w:rsid w:val="00AC55C5"/>
    <w:rsid w:val="00AC58AF"/>
    <w:rsid w:val="00AC5F77"/>
    <w:rsid w:val="00AC61C9"/>
    <w:rsid w:val="00AC727A"/>
    <w:rsid w:val="00AC7B34"/>
    <w:rsid w:val="00AD0304"/>
    <w:rsid w:val="00AD048A"/>
    <w:rsid w:val="00AD04A6"/>
    <w:rsid w:val="00AD0A00"/>
    <w:rsid w:val="00AD14D3"/>
    <w:rsid w:val="00AD3EB8"/>
    <w:rsid w:val="00AD4127"/>
    <w:rsid w:val="00AD5E0C"/>
    <w:rsid w:val="00AD5F3F"/>
    <w:rsid w:val="00AD61D1"/>
    <w:rsid w:val="00AD6515"/>
    <w:rsid w:val="00AD6DF3"/>
    <w:rsid w:val="00AD76A2"/>
    <w:rsid w:val="00AD7709"/>
    <w:rsid w:val="00AE03ED"/>
    <w:rsid w:val="00AE09B8"/>
    <w:rsid w:val="00AE0D88"/>
    <w:rsid w:val="00AE0E48"/>
    <w:rsid w:val="00AE15ED"/>
    <w:rsid w:val="00AE2109"/>
    <w:rsid w:val="00AE313E"/>
    <w:rsid w:val="00AE4025"/>
    <w:rsid w:val="00AE4084"/>
    <w:rsid w:val="00AE43C1"/>
    <w:rsid w:val="00AE448A"/>
    <w:rsid w:val="00AE4910"/>
    <w:rsid w:val="00AE4FA9"/>
    <w:rsid w:val="00AE784B"/>
    <w:rsid w:val="00AF01E1"/>
    <w:rsid w:val="00AF034A"/>
    <w:rsid w:val="00AF1ADF"/>
    <w:rsid w:val="00AF1BC6"/>
    <w:rsid w:val="00AF1E1E"/>
    <w:rsid w:val="00AF2050"/>
    <w:rsid w:val="00AF2DA0"/>
    <w:rsid w:val="00AF2FC6"/>
    <w:rsid w:val="00AF33AF"/>
    <w:rsid w:val="00AF3A83"/>
    <w:rsid w:val="00AF3CA4"/>
    <w:rsid w:val="00AF50E2"/>
    <w:rsid w:val="00AF5B61"/>
    <w:rsid w:val="00AF5D59"/>
    <w:rsid w:val="00AF7032"/>
    <w:rsid w:val="00AF72D9"/>
    <w:rsid w:val="00AF7566"/>
    <w:rsid w:val="00AF759A"/>
    <w:rsid w:val="00AF7A1C"/>
    <w:rsid w:val="00AF7A39"/>
    <w:rsid w:val="00AF7AE5"/>
    <w:rsid w:val="00B004D0"/>
    <w:rsid w:val="00B01136"/>
    <w:rsid w:val="00B018D6"/>
    <w:rsid w:val="00B01CC6"/>
    <w:rsid w:val="00B01FA9"/>
    <w:rsid w:val="00B02D50"/>
    <w:rsid w:val="00B02F0C"/>
    <w:rsid w:val="00B030EE"/>
    <w:rsid w:val="00B03A30"/>
    <w:rsid w:val="00B03BE6"/>
    <w:rsid w:val="00B03CA8"/>
    <w:rsid w:val="00B03CFA"/>
    <w:rsid w:val="00B03E9D"/>
    <w:rsid w:val="00B040E8"/>
    <w:rsid w:val="00B04A3E"/>
    <w:rsid w:val="00B04CB2"/>
    <w:rsid w:val="00B052A0"/>
    <w:rsid w:val="00B05400"/>
    <w:rsid w:val="00B05560"/>
    <w:rsid w:val="00B059EC"/>
    <w:rsid w:val="00B05F4B"/>
    <w:rsid w:val="00B06D55"/>
    <w:rsid w:val="00B07281"/>
    <w:rsid w:val="00B11018"/>
    <w:rsid w:val="00B1130F"/>
    <w:rsid w:val="00B11A47"/>
    <w:rsid w:val="00B11FDF"/>
    <w:rsid w:val="00B13056"/>
    <w:rsid w:val="00B13427"/>
    <w:rsid w:val="00B138B3"/>
    <w:rsid w:val="00B13AE7"/>
    <w:rsid w:val="00B13E42"/>
    <w:rsid w:val="00B14079"/>
    <w:rsid w:val="00B14144"/>
    <w:rsid w:val="00B144F5"/>
    <w:rsid w:val="00B1789B"/>
    <w:rsid w:val="00B17C1F"/>
    <w:rsid w:val="00B17FB5"/>
    <w:rsid w:val="00B204BF"/>
    <w:rsid w:val="00B208FA"/>
    <w:rsid w:val="00B20976"/>
    <w:rsid w:val="00B214D9"/>
    <w:rsid w:val="00B218C5"/>
    <w:rsid w:val="00B223CC"/>
    <w:rsid w:val="00B22583"/>
    <w:rsid w:val="00B22D6E"/>
    <w:rsid w:val="00B2312B"/>
    <w:rsid w:val="00B234D6"/>
    <w:rsid w:val="00B238B4"/>
    <w:rsid w:val="00B23A6A"/>
    <w:rsid w:val="00B23AA9"/>
    <w:rsid w:val="00B23C16"/>
    <w:rsid w:val="00B241B9"/>
    <w:rsid w:val="00B249C9"/>
    <w:rsid w:val="00B24B9C"/>
    <w:rsid w:val="00B24EAB"/>
    <w:rsid w:val="00B25077"/>
    <w:rsid w:val="00B25342"/>
    <w:rsid w:val="00B25496"/>
    <w:rsid w:val="00B25737"/>
    <w:rsid w:val="00B25F6B"/>
    <w:rsid w:val="00B26ABA"/>
    <w:rsid w:val="00B27449"/>
    <w:rsid w:val="00B2762A"/>
    <w:rsid w:val="00B3161A"/>
    <w:rsid w:val="00B31E20"/>
    <w:rsid w:val="00B32143"/>
    <w:rsid w:val="00B334DE"/>
    <w:rsid w:val="00B336B8"/>
    <w:rsid w:val="00B33A13"/>
    <w:rsid w:val="00B33C0A"/>
    <w:rsid w:val="00B343B4"/>
    <w:rsid w:val="00B34D06"/>
    <w:rsid w:val="00B34E12"/>
    <w:rsid w:val="00B34EC5"/>
    <w:rsid w:val="00B35869"/>
    <w:rsid w:val="00B35952"/>
    <w:rsid w:val="00B35C07"/>
    <w:rsid w:val="00B35D41"/>
    <w:rsid w:val="00B3605D"/>
    <w:rsid w:val="00B3609B"/>
    <w:rsid w:val="00B36B8A"/>
    <w:rsid w:val="00B36BA8"/>
    <w:rsid w:val="00B3773D"/>
    <w:rsid w:val="00B378D2"/>
    <w:rsid w:val="00B37B45"/>
    <w:rsid w:val="00B40509"/>
    <w:rsid w:val="00B41142"/>
    <w:rsid w:val="00B41611"/>
    <w:rsid w:val="00B416F4"/>
    <w:rsid w:val="00B417F9"/>
    <w:rsid w:val="00B41E38"/>
    <w:rsid w:val="00B43740"/>
    <w:rsid w:val="00B4376C"/>
    <w:rsid w:val="00B437BF"/>
    <w:rsid w:val="00B43A4B"/>
    <w:rsid w:val="00B43E6D"/>
    <w:rsid w:val="00B44B1D"/>
    <w:rsid w:val="00B451F1"/>
    <w:rsid w:val="00B46ADA"/>
    <w:rsid w:val="00B476D3"/>
    <w:rsid w:val="00B47841"/>
    <w:rsid w:val="00B5017E"/>
    <w:rsid w:val="00B50B40"/>
    <w:rsid w:val="00B5120B"/>
    <w:rsid w:val="00B518F7"/>
    <w:rsid w:val="00B525D8"/>
    <w:rsid w:val="00B52988"/>
    <w:rsid w:val="00B558CF"/>
    <w:rsid w:val="00B55E19"/>
    <w:rsid w:val="00B55E27"/>
    <w:rsid w:val="00B562E7"/>
    <w:rsid w:val="00B57BFF"/>
    <w:rsid w:val="00B61267"/>
    <w:rsid w:val="00B61292"/>
    <w:rsid w:val="00B61C2B"/>
    <w:rsid w:val="00B61E14"/>
    <w:rsid w:val="00B61F2F"/>
    <w:rsid w:val="00B626B6"/>
    <w:rsid w:val="00B62791"/>
    <w:rsid w:val="00B62B6D"/>
    <w:rsid w:val="00B62E0E"/>
    <w:rsid w:val="00B62E3B"/>
    <w:rsid w:val="00B6305D"/>
    <w:rsid w:val="00B63586"/>
    <w:rsid w:val="00B63AEA"/>
    <w:rsid w:val="00B64142"/>
    <w:rsid w:val="00B64576"/>
    <w:rsid w:val="00B65019"/>
    <w:rsid w:val="00B65066"/>
    <w:rsid w:val="00B66962"/>
    <w:rsid w:val="00B669AB"/>
    <w:rsid w:val="00B6722E"/>
    <w:rsid w:val="00B67359"/>
    <w:rsid w:val="00B67531"/>
    <w:rsid w:val="00B67965"/>
    <w:rsid w:val="00B70736"/>
    <w:rsid w:val="00B719A9"/>
    <w:rsid w:val="00B72AC6"/>
    <w:rsid w:val="00B72D6F"/>
    <w:rsid w:val="00B73A0E"/>
    <w:rsid w:val="00B76384"/>
    <w:rsid w:val="00B76B1A"/>
    <w:rsid w:val="00B76EEE"/>
    <w:rsid w:val="00B7753A"/>
    <w:rsid w:val="00B77889"/>
    <w:rsid w:val="00B77B0B"/>
    <w:rsid w:val="00B77EE6"/>
    <w:rsid w:val="00B77F32"/>
    <w:rsid w:val="00B80223"/>
    <w:rsid w:val="00B81206"/>
    <w:rsid w:val="00B8157A"/>
    <w:rsid w:val="00B817E5"/>
    <w:rsid w:val="00B81BCB"/>
    <w:rsid w:val="00B82255"/>
    <w:rsid w:val="00B82472"/>
    <w:rsid w:val="00B828B4"/>
    <w:rsid w:val="00B83DB4"/>
    <w:rsid w:val="00B8460F"/>
    <w:rsid w:val="00B8556D"/>
    <w:rsid w:val="00B85827"/>
    <w:rsid w:val="00B85D48"/>
    <w:rsid w:val="00B85E09"/>
    <w:rsid w:val="00B862E7"/>
    <w:rsid w:val="00B8665B"/>
    <w:rsid w:val="00B86D36"/>
    <w:rsid w:val="00B86E5B"/>
    <w:rsid w:val="00B86FD0"/>
    <w:rsid w:val="00B8706D"/>
    <w:rsid w:val="00B87453"/>
    <w:rsid w:val="00B87582"/>
    <w:rsid w:val="00B907C7"/>
    <w:rsid w:val="00B90A33"/>
    <w:rsid w:val="00B90B46"/>
    <w:rsid w:val="00B90D0F"/>
    <w:rsid w:val="00B90DF5"/>
    <w:rsid w:val="00B915CF"/>
    <w:rsid w:val="00B920F7"/>
    <w:rsid w:val="00B923EC"/>
    <w:rsid w:val="00B92936"/>
    <w:rsid w:val="00B93485"/>
    <w:rsid w:val="00B94758"/>
    <w:rsid w:val="00B94926"/>
    <w:rsid w:val="00B94953"/>
    <w:rsid w:val="00B949F4"/>
    <w:rsid w:val="00B95093"/>
    <w:rsid w:val="00B95B73"/>
    <w:rsid w:val="00B95B8C"/>
    <w:rsid w:val="00B95DB4"/>
    <w:rsid w:val="00B964D9"/>
    <w:rsid w:val="00B96746"/>
    <w:rsid w:val="00B967FF"/>
    <w:rsid w:val="00B96C44"/>
    <w:rsid w:val="00B97ACA"/>
    <w:rsid w:val="00B97FEB"/>
    <w:rsid w:val="00BA115D"/>
    <w:rsid w:val="00BA2170"/>
    <w:rsid w:val="00BA25B5"/>
    <w:rsid w:val="00BA28E1"/>
    <w:rsid w:val="00BA2E9F"/>
    <w:rsid w:val="00BA2EED"/>
    <w:rsid w:val="00BA373E"/>
    <w:rsid w:val="00BA483D"/>
    <w:rsid w:val="00BA4B6D"/>
    <w:rsid w:val="00BA4EBF"/>
    <w:rsid w:val="00BA5B88"/>
    <w:rsid w:val="00BA630F"/>
    <w:rsid w:val="00BA6670"/>
    <w:rsid w:val="00BA6916"/>
    <w:rsid w:val="00BA6CAA"/>
    <w:rsid w:val="00BB0194"/>
    <w:rsid w:val="00BB036E"/>
    <w:rsid w:val="00BB052A"/>
    <w:rsid w:val="00BB062B"/>
    <w:rsid w:val="00BB0BE0"/>
    <w:rsid w:val="00BB0F44"/>
    <w:rsid w:val="00BB18F1"/>
    <w:rsid w:val="00BB26C5"/>
    <w:rsid w:val="00BB27C7"/>
    <w:rsid w:val="00BB2A47"/>
    <w:rsid w:val="00BB34DF"/>
    <w:rsid w:val="00BB377C"/>
    <w:rsid w:val="00BB4277"/>
    <w:rsid w:val="00BB46C9"/>
    <w:rsid w:val="00BB50D0"/>
    <w:rsid w:val="00BB6188"/>
    <w:rsid w:val="00BB6195"/>
    <w:rsid w:val="00BB6887"/>
    <w:rsid w:val="00BB6D41"/>
    <w:rsid w:val="00BB6D44"/>
    <w:rsid w:val="00BB7BD3"/>
    <w:rsid w:val="00BC0432"/>
    <w:rsid w:val="00BC09FD"/>
    <w:rsid w:val="00BC18CC"/>
    <w:rsid w:val="00BC3195"/>
    <w:rsid w:val="00BC31BD"/>
    <w:rsid w:val="00BC3CE0"/>
    <w:rsid w:val="00BC3F1B"/>
    <w:rsid w:val="00BC49DC"/>
    <w:rsid w:val="00BC500D"/>
    <w:rsid w:val="00BC54E2"/>
    <w:rsid w:val="00BC5D1A"/>
    <w:rsid w:val="00BC6908"/>
    <w:rsid w:val="00BC7DF2"/>
    <w:rsid w:val="00BD0642"/>
    <w:rsid w:val="00BD06D6"/>
    <w:rsid w:val="00BD07C2"/>
    <w:rsid w:val="00BD0AEF"/>
    <w:rsid w:val="00BD1F78"/>
    <w:rsid w:val="00BD2249"/>
    <w:rsid w:val="00BD2C8D"/>
    <w:rsid w:val="00BD3154"/>
    <w:rsid w:val="00BD39C4"/>
    <w:rsid w:val="00BD43C1"/>
    <w:rsid w:val="00BD53CA"/>
    <w:rsid w:val="00BD5AEA"/>
    <w:rsid w:val="00BD5CCC"/>
    <w:rsid w:val="00BD697E"/>
    <w:rsid w:val="00BD78BA"/>
    <w:rsid w:val="00BE0B1B"/>
    <w:rsid w:val="00BE1474"/>
    <w:rsid w:val="00BE1520"/>
    <w:rsid w:val="00BE1566"/>
    <w:rsid w:val="00BE15B6"/>
    <w:rsid w:val="00BE1DB7"/>
    <w:rsid w:val="00BE25AD"/>
    <w:rsid w:val="00BE2794"/>
    <w:rsid w:val="00BE2A64"/>
    <w:rsid w:val="00BE3497"/>
    <w:rsid w:val="00BE3989"/>
    <w:rsid w:val="00BE3F3B"/>
    <w:rsid w:val="00BE51E5"/>
    <w:rsid w:val="00BE5D42"/>
    <w:rsid w:val="00BE5EA8"/>
    <w:rsid w:val="00BE6074"/>
    <w:rsid w:val="00BE6175"/>
    <w:rsid w:val="00BE6216"/>
    <w:rsid w:val="00BE62B3"/>
    <w:rsid w:val="00BE6697"/>
    <w:rsid w:val="00BE676E"/>
    <w:rsid w:val="00BE6CE1"/>
    <w:rsid w:val="00BE6D5C"/>
    <w:rsid w:val="00BE6F33"/>
    <w:rsid w:val="00BE7C5A"/>
    <w:rsid w:val="00BF0BF7"/>
    <w:rsid w:val="00BF0C13"/>
    <w:rsid w:val="00BF110C"/>
    <w:rsid w:val="00BF22B4"/>
    <w:rsid w:val="00BF2B0D"/>
    <w:rsid w:val="00BF2D45"/>
    <w:rsid w:val="00BF2DB7"/>
    <w:rsid w:val="00BF31D5"/>
    <w:rsid w:val="00BF4122"/>
    <w:rsid w:val="00BF4CB8"/>
    <w:rsid w:val="00BF4DE6"/>
    <w:rsid w:val="00BF4FD0"/>
    <w:rsid w:val="00BF5189"/>
    <w:rsid w:val="00BF5815"/>
    <w:rsid w:val="00BF5E45"/>
    <w:rsid w:val="00BF6547"/>
    <w:rsid w:val="00BF6B95"/>
    <w:rsid w:val="00BF717A"/>
    <w:rsid w:val="00BF7EF2"/>
    <w:rsid w:val="00C000AD"/>
    <w:rsid w:val="00C002BC"/>
    <w:rsid w:val="00C00378"/>
    <w:rsid w:val="00C00B0E"/>
    <w:rsid w:val="00C015C5"/>
    <w:rsid w:val="00C01C81"/>
    <w:rsid w:val="00C020B8"/>
    <w:rsid w:val="00C021B1"/>
    <w:rsid w:val="00C023C0"/>
    <w:rsid w:val="00C02C5F"/>
    <w:rsid w:val="00C040FB"/>
    <w:rsid w:val="00C04309"/>
    <w:rsid w:val="00C04723"/>
    <w:rsid w:val="00C0547D"/>
    <w:rsid w:val="00C058BE"/>
    <w:rsid w:val="00C058E5"/>
    <w:rsid w:val="00C06368"/>
    <w:rsid w:val="00C0643B"/>
    <w:rsid w:val="00C064D8"/>
    <w:rsid w:val="00C06858"/>
    <w:rsid w:val="00C06B13"/>
    <w:rsid w:val="00C06BC0"/>
    <w:rsid w:val="00C06DF4"/>
    <w:rsid w:val="00C11391"/>
    <w:rsid w:val="00C12643"/>
    <w:rsid w:val="00C12792"/>
    <w:rsid w:val="00C12C46"/>
    <w:rsid w:val="00C13126"/>
    <w:rsid w:val="00C13220"/>
    <w:rsid w:val="00C137D9"/>
    <w:rsid w:val="00C145E2"/>
    <w:rsid w:val="00C14DBF"/>
    <w:rsid w:val="00C14DE6"/>
    <w:rsid w:val="00C15569"/>
    <w:rsid w:val="00C15634"/>
    <w:rsid w:val="00C15864"/>
    <w:rsid w:val="00C16A22"/>
    <w:rsid w:val="00C17292"/>
    <w:rsid w:val="00C17B19"/>
    <w:rsid w:val="00C20122"/>
    <w:rsid w:val="00C2071F"/>
    <w:rsid w:val="00C209BA"/>
    <w:rsid w:val="00C20A9F"/>
    <w:rsid w:val="00C2146E"/>
    <w:rsid w:val="00C21C71"/>
    <w:rsid w:val="00C22044"/>
    <w:rsid w:val="00C2235D"/>
    <w:rsid w:val="00C22474"/>
    <w:rsid w:val="00C22C88"/>
    <w:rsid w:val="00C22CDE"/>
    <w:rsid w:val="00C22D8E"/>
    <w:rsid w:val="00C22E01"/>
    <w:rsid w:val="00C23A69"/>
    <w:rsid w:val="00C23E19"/>
    <w:rsid w:val="00C245FB"/>
    <w:rsid w:val="00C24BA1"/>
    <w:rsid w:val="00C24E7C"/>
    <w:rsid w:val="00C25D9B"/>
    <w:rsid w:val="00C25E8F"/>
    <w:rsid w:val="00C26655"/>
    <w:rsid w:val="00C2686A"/>
    <w:rsid w:val="00C26C4C"/>
    <w:rsid w:val="00C27389"/>
    <w:rsid w:val="00C27D25"/>
    <w:rsid w:val="00C27D90"/>
    <w:rsid w:val="00C304FD"/>
    <w:rsid w:val="00C30D09"/>
    <w:rsid w:val="00C31B55"/>
    <w:rsid w:val="00C32906"/>
    <w:rsid w:val="00C32B1B"/>
    <w:rsid w:val="00C33036"/>
    <w:rsid w:val="00C333C7"/>
    <w:rsid w:val="00C341CA"/>
    <w:rsid w:val="00C3450D"/>
    <w:rsid w:val="00C348FE"/>
    <w:rsid w:val="00C349A1"/>
    <w:rsid w:val="00C354A3"/>
    <w:rsid w:val="00C35D3D"/>
    <w:rsid w:val="00C35EA4"/>
    <w:rsid w:val="00C35F74"/>
    <w:rsid w:val="00C36ADA"/>
    <w:rsid w:val="00C379C2"/>
    <w:rsid w:val="00C379CF"/>
    <w:rsid w:val="00C40786"/>
    <w:rsid w:val="00C40A07"/>
    <w:rsid w:val="00C40E8D"/>
    <w:rsid w:val="00C41118"/>
    <w:rsid w:val="00C41317"/>
    <w:rsid w:val="00C41371"/>
    <w:rsid w:val="00C41B34"/>
    <w:rsid w:val="00C41C5C"/>
    <w:rsid w:val="00C41C8A"/>
    <w:rsid w:val="00C42095"/>
    <w:rsid w:val="00C420D7"/>
    <w:rsid w:val="00C42541"/>
    <w:rsid w:val="00C42641"/>
    <w:rsid w:val="00C426D9"/>
    <w:rsid w:val="00C42CDE"/>
    <w:rsid w:val="00C42F74"/>
    <w:rsid w:val="00C4373B"/>
    <w:rsid w:val="00C43B1A"/>
    <w:rsid w:val="00C43EF2"/>
    <w:rsid w:val="00C44674"/>
    <w:rsid w:val="00C44CA6"/>
    <w:rsid w:val="00C45022"/>
    <w:rsid w:val="00C45716"/>
    <w:rsid w:val="00C46408"/>
    <w:rsid w:val="00C46C3A"/>
    <w:rsid w:val="00C47298"/>
    <w:rsid w:val="00C47DE8"/>
    <w:rsid w:val="00C50A84"/>
    <w:rsid w:val="00C50B4B"/>
    <w:rsid w:val="00C515B0"/>
    <w:rsid w:val="00C5182A"/>
    <w:rsid w:val="00C51FBE"/>
    <w:rsid w:val="00C5234D"/>
    <w:rsid w:val="00C524AF"/>
    <w:rsid w:val="00C53503"/>
    <w:rsid w:val="00C53652"/>
    <w:rsid w:val="00C53B90"/>
    <w:rsid w:val="00C543EE"/>
    <w:rsid w:val="00C551C6"/>
    <w:rsid w:val="00C5568F"/>
    <w:rsid w:val="00C5597C"/>
    <w:rsid w:val="00C55F99"/>
    <w:rsid w:val="00C56505"/>
    <w:rsid w:val="00C57600"/>
    <w:rsid w:val="00C57CBF"/>
    <w:rsid w:val="00C60155"/>
    <w:rsid w:val="00C60196"/>
    <w:rsid w:val="00C60961"/>
    <w:rsid w:val="00C6177E"/>
    <w:rsid w:val="00C61A2A"/>
    <w:rsid w:val="00C61BA0"/>
    <w:rsid w:val="00C61EF4"/>
    <w:rsid w:val="00C62093"/>
    <w:rsid w:val="00C620A6"/>
    <w:rsid w:val="00C625A6"/>
    <w:rsid w:val="00C63864"/>
    <w:rsid w:val="00C63EE9"/>
    <w:rsid w:val="00C64442"/>
    <w:rsid w:val="00C64E75"/>
    <w:rsid w:val="00C652C3"/>
    <w:rsid w:val="00C652D9"/>
    <w:rsid w:val="00C653D2"/>
    <w:rsid w:val="00C66D7F"/>
    <w:rsid w:val="00C6740B"/>
    <w:rsid w:val="00C674B1"/>
    <w:rsid w:val="00C7140F"/>
    <w:rsid w:val="00C717FF"/>
    <w:rsid w:val="00C72716"/>
    <w:rsid w:val="00C727A4"/>
    <w:rsid w:val="00C732F5"/>
    <w:rsid w:val="00C73E7C"/>
    <w:rsid w:val="00C73FB0"/>
    <w:rsid w:val="00C74353"/>
    <w:rsid w:val="00C7446F"/>
    <w:rsid w:val="00C751B1"/>
    <w:rsid w:val="00C754B6"/>
    <w:rsid w:val="00C755B8"/>
    <w:rsid w:val="00C75C10"/>
    <w:rsid w:val="00C7628B"/>
    <w:rsid w:val="00C77675"/>
    <w:rsid w:val="00C77AB1"/>
    <w:rsid w:val="00C77CCC"/>
    <w:rsid w:val="00C80297"/>
    <w:rsid w:val="00C80374"/>
    <w:rsid w:val="00C8097E"/>
    <w:rsid w:val="00C80FA8"/>
    <w:rsid w:val="00C815B5"/>
    <w:rsid w:val="00C81DFA"/>
    <w:rsid w:val="00C8293A"/>
    <w:rsid w:val="00C82ABE"/>
    <w:rsid w:val="00C82B92"/>
    <w:rsid w:val="00C83061"/>
    <w:rsid w:val="00C83446"/>
    <w:rsid w:val="00C83761"/>
    <w:rsid w:val="00C839CE"/>
    <w:rsid w:val="00C84F54"/>
    <w:rsid w:val="00C8521B"/>
    <w:rsid w:val="00C853E0"/>
    <w:rsid w:val="00C856DD"/>
    <w:rsid w:val="00C85D20"/>
    <w:rsid w:val="00C867C3"/>
    <w:rsid w:val="00C86F23"/>
    <w:rsid w:val="00C86F25"/>
    <w:rsid w:val="00C91CCB"/>
    <w:rsid w:val="00C92130"/>
    <w:rsid w:val="00C922D6"/>
    <w:rsid w:val="00C94188"/>
    <w:rsid w:val="00C947EF"/>
    <w:rsid w:val="00C94A5C"/>
    <w:rsid w:val="00C94A9C"/>
    <w:rsid w:val="00C94AAA"/>
    <w:rsid w:val="00C96284"/>
    <w:rsid w:val="00C9694C"/>
    <w:rsid w:val="00C9750E"/>
    <w:rsid w:val="00C97B69"/>
    <w:rsid w:val="00C97E6D"/>
    <w:rsid w:val="00CA029F"/>
    <w:rsid w:val="00CA0830"/>
    <w:rsid w:val="00CA0930"/>
    <w:rsid w:val="00CA141B"/>
    <w:rsid w:val="00CA169C"/>
    <w:rsid w:val="00CA16F3"/>
    <w:rsid w:val="00CA1E3E"/>
    <w:rsid w:val="00CA23D6"/>
    <w:rsid w:val="00CA2443"/>
    <w:rsid w:val="00CA33F5"/>
    <w:rsid w:val="00CA37B1"/>
    <w:rsid w:val="00CA481B"/>
    <w:rsid w:val="00CA481D"/>
    <w:rsid w:val="00CA485B"/>
    <w:rsid w:val="00CA4CEC"/>
    <w:rsid w:val="00CA524D"/>
    <w:rsid w:val="00CA528D"/>
    <w:rsid w:val="00CA57E1"/>
    <w:rsid w:val="00CA597F"/>
    <w:rsid w:val="00CA5E15"/>
    <w:rsid w:val="00CA60B8"/>
    <w:rsid w:val="00CA61B9"/>
    <w:rsid w:val="00CA6D5F"/>
    <w:rsid w:val="00CA6FB4"/>
    <w:rsid w:val="00CA72D7"/>
    <w:rsid w:val="00CA7D95"/>
    <w:rsid w:val="00CA7DB7"/>
    <w:rsid w:val="00CA7F34"/>
    <w:rsid w:val="00CB0469"/>
    <w:rsid w:val="00CB0BF6"/>
    <w:rsid w:val="00CB0DA5"/>
    <w:rsid w:val="00CB102C"/>
    <w:rsid w:val="00CB1445"/>
    <w:rsid w:val="00CB166A"/>
    <w:rsid w:val="00CB1959"/>
    <w:rsid w:val="00CB1AC2"/>
    <w:rsid w:val="00CB1D79"/>
    <w:rsid w:val="00CB231B"/>
    <w:rsid w:val="00CB248C"/>
    <w:rsid w:val="00CB2496"/>
    <w:rsid w:val="00CB3140"/>
    <w:rsid w:val="00CB314C"/>
    <w:rsid w:val="00CB3E78"/>
    <w:rsid w:val="00CB4F49"/>
    <w:rsid w:val="00CB55BA"/>
    <w:rsid w:val="00CB5829"/>
    <w:rsid w:val="00CB5A32"/>
    <w:rsid w:val="00CB7AB4"/>
    <w:rsid w:val="00CB7D7A"/>
    <w:rsid w:val="00CC08B4"/>
    <w:rsid w:val="00CC0DF6"/>
    <w:rsid w:val="00CC0ECD"/>
    <w:rsid w:val="00CC10EB"/>
    <w:rsid w:val="00CC14FE"/>
    <w:rsid w:val="00CC226B"/>
    <w:rsid w:val="00CC25D4"/>
    <w:rsid w:val="00CC2725"/>
    <w:rsid w:val="00CC3C86"/>
    <w:rsid w:val="00CC40BC"/>
    <w:rsid w:val="00CC45DA"/>
    <w:rsid w:val="00CC46FE"/>
    <w:rsid w:val="00CC49D8"/>
    <w:rsid w:val="00CC5B83"/>
    <w:rsid w:val="00CC5F0F"/>
    <w:rsid w:val="00CC6530"/>
    <w:rsid w:val="00CC67A6"/>
    <w:rsid w:val="00CC6F0E"/>
    <w:rsid w:val="00CC6FCE"/>
    <w:rsid w:val="00CC741B"/>
    <w:rsid w:val="00CD04A4"/>
    <w:rsid w:val="00CD0E4B"/>
    <w:rsid w:val="00CD0E67"/>
    <w:rsid w:val="00CD0F9F"/>
    <w:rsid w:val="00CD10E4"/>
    <w:rsid w:val="00CD2043"/>
    <w:rsid w:val="00CD2279"/>
    <w:rsid w:val="00CD250F"/>
    <w:rsid w:val="00CD2E9E"/>
    <w:rsid w:val="00CD3152"/>
    <w:rsid w:val="00CD36D2"/>
    <w:rsid w:val="00CD3EA6"/>
    <w:rsid w:val="00CD5512"/>
    <w:rsid w:val="00CD5C1A"/>
    <w:rsid w:val="00CD5DEF"/>
    <w:rsid w:val="00CD6329"/>
    <w:rsid w:val="00CD640A"/>
    <w:rsid w:val="00CD6AE2"/>
    <w:rsid w:val="00CD6BAC"/>
    <w:rsid w:val="00CD6D32"/>
    <w:rsid w:val="00CD7C2E"/>
    <w:rsid w:val="00CE0B7A"/>
    <w:rsid w:val="00CE17F0"/>
    <w:rsid w:val="00CE1ABF"/>
    <w:rsid w:val="00CE1D85"/>
    <w:rsid w:val="00CE1EC6"/>
    <w:rsid w:val="00CE2111"/>
    <w:rsid w:val="00CE2B30"/>
    <w:rsid w:val="00CE2DAD"/>
    <w:rsid w:val="00CE2E13"/>
    <w:rsid w:val="00CE2E1C"/>
    <w:rsid w:val="00CE32B9"/>
    <w:rsid w:val="00CE3ADE"/>
    <w:rsid w:val="00CE432F"/>
    <w:rsid w:val="00CE475D"/>
    <w:rsid w:val="00CE4C89"/>
    <w:rsid w:val="00CE50C8"/>
    <w:rsid w:val="00CE5170"/>
    <w:rsid w:val="00CE577D"/>
    <w:rsid w:val="00CE5FF3"/>
    <w:rsid w:val="00CE6338"/>
    <w:rsid w:val="00CE7BF3"/>
    <w:rsid w:val="00CE7F50"/>
    <w:rsid w:val="00CF0501"/>
    <w:rsid w:val="00CF0722"/>
    <w:rsid w:val="00CF07BA"/>
    <w:rsid w:val="00CF0B6B"/>
    <w:rsid w:val="00CF2138"/>
    <w:rsid w:val="00CF247F"/>
    <w:rsid w:val="00CF2A5D"/>
    <w:rsid w:val="00CF3412"/>
    <w:rsid w:val="00CF3988"/>
    <w:rsid w:val="00CF4549"/>
    <w:rsid w:val="00CF45E2"/>
    <w:rsid w:val="00CF4A39"/>
    <w:rsid w:val="00CF4BF7"/>
    <w:rsid w:val="00CF4DF0"/>
    <w:rsid w:val="00CF5441"/>
    <w:rsid w:val="00CF5B97"/>
    <w:rsid w:val="00CF6A5E"/>
    <w:rsid w:val="00D008AA"/>
    <w:rsid w:val="00D00EF2"/>
    <w:rsid w:val="00D01373"/>
    <w:rsid w:val="00D015A7"/>
    <w:rsid w:val="00D01A94"/>
    <w:rsid w:val="00D01D0D"/>
    <w:rsid w:val="00D01DE2"/>
    <w:rsid w:val="00D020C4"/>
    <w:rsid w:val="00D0296C"/>
    <w:rsid w:val="00D02C99"/>
    <w:rsid w:val="00D02E75"/>
    <w:rsid w:val="00D02EB6"/>
    <w:rsid w:val="00D03621"/>
    <w:rsid w:val="00D03D9C"/>
    <w:rsid w:val="00D0421C"/>
    <w:rsid w:val="00D04365"/>
    <w:rsid w:val="00D04739"/>
    <w:rsid w:val="00D048FB"/>
    <w:rsid w:val="00D04AE9"/>
    <w:rsid w:val="00D04D33"/>
    <w:rsid w:val="00D04F77"/>
    <w:rsid w:val="00D05C9A"/>
    <w:rsid w:val="00D06A16"/>
    <w:rsid w:val="00D07460"/>
    <w:rsid w:val="00D07D9F"/>
    <w:rsid w:val="00D07FBF"/>
    <w:rsid w:val="00D106F1"/>
    <w:rsid w:val="00D1072B"/>
    <w:rsid w:val="00D10E3F"/>
    <w:rsid w:val="00D128F5"/>
    <w:rsid w:val="00D12BBF"/>
    <w:rsid w:val="00D1317A"/>
    <w:rsid w:val="00D136AA"/>
    <w:rsid w:val="00D136E4"/>
    <w:rsid w:val="00D13D7F"/>
    <w:rsid w:val="00D1650D"/>
    <w:rsid w:val="00D16625"/>
    <w:rsid w:val="00D16FEE"/>
    <w:rsid w:val="00D1707B"/>
    <w:rsid w:val="00D17B90"/>
    <w:rsid w:val="00D2064E"/>
    <w:rsid w:val="00D20714"/>
    <w:rsid w:val="00D2118F"/>
    <w:rsid w:val="00D218DD"/>
    <w:rsid w:val="00D21FE9"/>
    <w:rsid w:val="00D223E8"/>
    <w:rsid w:val="00D226EC"/>
    <w:rsid w:val="00D22D9C"/>
    <w:rsid w:val="00D23AAD"/>
    <w:rsid w:val="00D23CB4"/>
    <w:rsid w:val="00D246EB"/>
    <w:rsid w:val="00D24739"/>
    <w:rsid w:val="00D24B02"/>
    <w:rsid w:val="00D24BB3"/>
    <w:rsid w:val="00D25118"/>
    <w:rsid w:val="00D25DA1"/>
    <w:rsid w:val="00D269FE"/>
    <w:rsid w:val="00D27350"/>
    <w:rsid w:val="00D277BF"/>
    <w:rsid w:val="00D30A5E"/>
    <w:rsid w:val="00D318E1"/>
    <w:rsid w:val="00D31B05"/>
    <w:rsid w:val="00D320C9"/>
    <w:rsid w:val="00D32540"/>
    <w:rsid w:val="00D32D6F"/>
    <w:rsid w:val="00D33F3A"/>
    <w:rsid w:val="00D34160"/>
    <w:rsid w:val="00D351C6"/>
    <w:rsid w:val="00D35B79"/>
    <w:rsid w:val="00D35C11"/>
    <w:rsid w:val="00D35DA1"/>
    <w:rsid w:val="00D36940"/>
    <w:rsid w:val="00D3728E"/>
    <w:rsid w:val="00D3762B"/>
    <w:rsid w:val="00D37A82"/>
    <w:rsid w:val="00D37B04"/>
    <w:rsid w:val="00D37DD1"/>
    <w:rsid w:val="00D404ED"/>
    <w:rsid w:val="00D40640"/>
    <w:rsid w:val="00D417B6"/>
    <w:rsid w:val="00D42106"/>
    <w:rsid w:val="00D42174"/>
    <w:rsid w:val="00D424C0"/>
    <w:rsid w:val="00D429EF"/>
    <w:rsid w:val="00D42B3B"/>
    <w:rsid w:val="00D42DC9"/>
    <w:rsid w:val="00D4353F"/>
    <w:rsid w:val="00D436A1"/>
    <w:rsid w:val="00D4390B"/>
    <w:rsid w:val="00D43E77"/>
    <w:rsid w:val="00D44F74"/>
    <w:rsid w:val="00D4501D"/>
    <w:rsid w:val="00D45DA2"/>
    <w:rsid w:val="00D46338"/>
    <w:rsid w:val="00D46546"/>
    <w:rsid w:val="00D46C18"/>
    <w:rsid w:val="00D46F31"/>
    <w:rsid w:val="00D47290"/>
    <w:rsid w:val="00D474C9"/>
    <w:rsid w:val="00D474DB"/>
    <w:rsid w:val="00D5015C"/>
    <w:rsid w:val="00D507BC"/>
    <w:rsid w:val="00D50840"/>
    <w:rsid w:val="00D50A74"/>
    <w:rsid w:val="00D52CB8"/>
    <w:rsid w:val="00D5364D"/>
    <w:rsid w:val="00D53D50"/>
    <w:rsid w:val="00D540C6"/>
    <w:rsid w:val="00D54142"/>
    <w:rsid w:val="00D55903"/>
    <w:rsid w:val="00D55980"/>
    <w:rsid w:val="00D55B38"/>
    <w:rsid w:val="00D55D41"/>
    <w:rsid w:val="00D56011"/>
    <w:rsid w:val="00D5627B"/>
    <w:rsid w:val="00D563DD"/>
    <w:rsid w:val="00D5667F"/>
    <w:rsid w:val="00D56C72"/>
    <w:rsid w:val="00D57447"/>
    <w:rsid w:val="00D57864"/>
    <w:rsid w:val="00D57976"/>
    <w:rsid w:val="00D613B1"/>
    <w:rsid w:val="00D615BE"/>
    <w:rsid w:val="00D61F88"/>
    <w:rsid w:val="00D61F8D"/>
    <w:rsid w:val="00D62467"/>
    <w:rsid w:val="00D62D20"/>
    <w:rsid w:val="00D630A8"/>
    <w:rsid w:val="00D6394B"/>
    <w:rsid w:val="00D63B9B"/>
    <w:rsid w:val="00D63DD0"/>
    <w:rsid w:val="00D64291"/>
    <w:rsid w:val="00D64526"/>
    <w:rsid w:val="00D646A9"/>
    <w:rsid w:val="00D64BD1"/>
    <w:rsid w:val="00D64DE0"/>
    <w:rsid w:val="00D64E64"/>
    <w:rsid w:val="00D655CD"/>
    <w:rsid w:val="00D65D65"/>
    <w:rsid w:val="00D65F85"/>
    <w:rsid w:val="00D66297"/>
    <w:rsid w:val="00D66A9A"/>
    <w:rsid w:val="00D66F75"/>
    <w:rsid w:val="00D66FEB"/>
    <w:rsid w:val="00D67439"/>
    <w:rsid w:val="00D67DDB"/>
    <w:rsid w:val="00D67F34"/>
    <w:rsid w:val="00D70484"/>
    <w:rsid w:val="00D70612"/>
    <w:rsid w:val="00D714CC"/>
    <w:rsid w:val="00D7163D"/>
    <w:rsid w:val="00D7168A"/>
    <w:rsid w:val="00D721CB"/>
    <w:rsid w:val="00D7239C"/>
    <w:rsid w:val="00D728B3"/>
    <w:rsid w:val="00D72D9D"/>
    <w:rsid w:val="00D7317A"/>
    <w:rsid w:val="00D7380D"/>
    <w:rsid w:val="00D73BD2"/>
    <w:rsid w:val="00D73EB6"/>
    <w:rsid w:val="00D74423"/>
    <w:rsid w:val="00D746DA"/>
    <w:rsid w:val="00D7513F"/>
    <w:rsid w:val="00D755CC"/>
    <w:rsid w:val="00D764CA"/>
    <w:rsid w:val="00D76843"/>
    <w:rsid w:val="00D76DD0"/>
    <w:rsid w:val="00D76F7F"/>
    <w:rsid w:val="00D77DF6"/>
    <w:rsid w:val="00D80407"/>
    <w:rsid w:val="00D8183C"/>
    <w:rsid w:val="00D81856"/>
    <w:rsid w:val="00D81D94"/>
    <w:rsid w:val="00D82149"/>
    <w:rsid w:val="00D83B66"/>
    <w:rsid w:val="00D83F8E"/>
    <w:rsid w:val="00D840F4"/>
    <w:rsid w:val="00D848CB"/>
    <w:rsid w:val="00D851B5"/>
    <w:rsid w:val="00D85A4B"/>
    <w:rsid w:val="00D8638D"/>
    <w:rsid w:val="00D86710"/>
    <w:rsid w:val="00D8685C"/>
    <w:rsid w:val="00D86CB5"/>
    <w:rsid w:val="00D86F5A"/>
    <w:rsid w:val="00D86FD4"/>
    <w:rsid w:val="00D86FE2"/>
    <w:rsid w:val="00D87925"/>
    <w:rsid w:val="00D87E2D"/>
    <w:rsid w:val="00D90D3D"/>
    <w:rsid w:val="00D90F7A"/>
    <w:rsid w:val="00D915F3"/>
    <w:rsid w:val="00D91694"/>
    <w:rsid w:val="00D91BEE"/>
    <w:rsid w:val="00D920FF"/>
    <w:rsid w:val="00D92254"/>
    <w:rsid w:val="00D92C1B"/>
    <w:rsid w:val="00D9330B"/>
    <w:rsid w:val="00D937A4"/>
    <w:rsid w:val="00D938C1"/>
    <w:rsid w:val="00D940B7"/>
    <w:rsid w:val="00D9486C"/>
    <w:rsid w:val="00D949DF"/>
    <w:rsid w:val="00D94DB1"/>
    <w:rsid w:val="00D94FDA"/>
    <w:rsid w:val="00D95651"/>
    <w:rsid w:val="00D95890"/>
    <w:rsid w:val="00D9698C"/>
    <w:rsid w:val="00D96AE7"/>
    <w:rsid w:val="00DA0ACD"/>
    <w:rsid w:val="00DA0C89"/>
    <w:rsid w:val="00DA12CE"/>
    <w:rsid w:val="00DA231A"/>
    <w:rsid w:val="00DA3081"/>
    <w:rsid w:val="00DA3176"/>
    <w:rsid w:val="00DA3310"/>
    <w:rsid w:val="00DA3367"/>
    <w:rsid w:val="00DA36CD"/>
    <w:rsid w:val="00DA3BF7"/>
    <w:rsid w:val="00DA42FB"/>
    <w:rsid w:val="00DA478E"/>
    <w:rsid w:val="00DA4AF1"/>
    <w:rsid w:val="00DA4E08"/>
    <w:rsid w:val="00DA4E89"/>
    <w:rsid w:val="00DA5112"/>
    <w:rsid w:val="00DA580A"/>
    <w:rsid w:val="00DA5825"/>
    <w:rsid w:val="00DA6723"/>
    <w:rsid w:val="00DA7184"/>
    <w:rsid w:val="00DA7348"/>
    <w:rsid w:val="00DA7956"/>
    <w:rsid w:val="00DA7D70"/>
    <w:rsid w:val="00DB0263"/>
    <w:rsid w:val="00DB058C"/>
    <w:rsid w:val="00DB0BC5"/>
    <w:rsid w:val="00DB14A6"/>
    <w:rsid w:val="00DB261A"/>
    <w:rsid w:val="00DB3341"/>
    <w:rsid w:val="00DB3961"/>
    <w:rsid w:val="00DB4FF9"/>
    <w:rsid w:val="00DB5076"/>
    <w:rsid w:val="00DB521E"/>
    <w:rsid w:val="00DB54D1"/>
    <w:rsid w:val="00DB577B"/>
    <w:rsid w:val="00DB729C"/>
    <w:rsid w:val="00DB7A0A"/>
    <w:rsid w:val="00DB7CCE"/>
    <w:rsid w:val="00DC0397"/>
    <w:rsid w:val="00DC0573"/>
    <w:rsid w:val="00DC0B21"/>
    <w:rsid w:val="00DC0B59"/>
    <w:rsid w:val="00DC1024"/>
    <w:rsid w:val="00DC1322"/>
    <w:rsid w:val="00DC21AE"/>
    <w:rsid w:val="00DC2EB3"/>
    <w:rsid w:val="00DC31BC"/>
    <w:rsid w:val="00DC3742"/>
    <w:rsid w:val="00DC47D9"/>
    <w:rsid w:val="00DC4F9D"/>
    <w:rsid w:val="00DC5E86"/>
    <w:rsid w:val="00DC6D73"/>
    <w:rsid w:val="00DC6FC9"/>
    <w:rsid w:val="00DC7545"/>
    <w:rsid w:val="00DC78B5"/>
    <w:rsid w:val="00DD016B"/>
    <w:rsid w:val="00DD1678"/>
    <w:rsid w:val="00DD2046"/>
    <w:rsid w:val="00DD265F"/>
    <w:rsid w:val="00DD353B"/>
    <w:rsid w:val="00DD4321"/>
    <w:rsid w:val="00DD57C9"/>
    <w:rsid w:val="00DD58B1"/>
    <w:rsid w:val="00DD5B56"/>
    <w:rsid w:val="00DD6BAF"/>
    <w:rsid w:val="00DD6F98"/>
    <w:rsid w:val="00DD72E9"/>
    <w:rsid w:val="00DD7427"/>
    <w:rsid w:val="00DE0474"/>
    <w:rsid w:val="00DE0827"/>
    <w:rsid w:val="00DE084C"/>
    <w:rsid w:val="00DE1013"/>
    <w:rsid w:val="00DE135C"/>
    <w:rsid w:val="00DE240C"/>
    <w:rsid w:val="00DE2B72"/>
    <w:rsid w:val="00DE3B96"/>
    <w:rsid w:val="00DE4C18"/>
    <w:rsid w:val="00DE4E6F"/>
    <w:rsid w:val="00DE5095"/>
    <w:rsid w:val="00DE5258"/>
    <w:rsid w:val="00DE58F8"/>
    <w:rsid w:val="00DE5977"/>
    <w:rsid w:val="00DE5CDB"/>
    <w:rsid w:val="00DE6303"/>
    <w:rsid w:val="00DE6915"/>
    <w:rsid w:val="00DE6C20"/>
    <w:rsid w:val="00DE7A00"/>
    <w:rsid w:val="00DE7ECE"/>
    <w:rsid w:val="00DF213A"/>
    <w:rsid w:val="00DF27BA"/>
    <w:rsid w:val="00DF396D"/>
    <w:rsid w:val="00DF4795"/>
    <w:rsid w:val="00DF4F22"/>
    <w:rsid w:val="00DF6300"/>
    <w:rsid w:val="00DF6B66"/>
    <w:rsid w:val="00DF70A2"/>
    <w:rsid w:val="00DF7DE0"/>
    <w:rsid w:val="00E00B05"/>
    <w:rsid w:val="00E01784"/>
    <w:rsid w:val="00E019FB"/>
    <w:rsid w:val="00E03366"/>
    <w:rsid w:val="00E040ED"/>
    <w:rsid w:val="00E0429E"/>
    <w:rsid w:val="00E0464C"/>
    <w:rsid w:val="00E051F4"/>
    <w:rsid w:val="00E05EFD"/>
    <w:rsid w:val="00E05F4F"/>
    <w:rsid w:val="00E0610A"/>
    <w:rsid w:val="00E07717"/>
    <w:rsid w:val="00E07E6D"/>
    <w:rsid w:val="00E1005E"/>
    <w:rsid w:val="00E107AB"/>
    <w:rsid w:val="00E10900"/>
    <w:rsid w:val="00E10BA9"/>
    <w:rsid w:val="00E10EA4"/>
    <w:rsid w:val="00E113DD"/>
    <w:rsid w:val="00E1187D"/>
    <w:rsid w:val="00E123A7"/>
    <w:rsid w:val="00E1292C"/>
    <w:rsid w:val="00E12A6A"/>
    <w:rsid w:val="00E12B22"/>
    <w:rsid w:val="00E139B9"/>
    <w:rsid w:val="00E13E10"/>
    <w:rsid w:val="00E14528"/>
    <w:rsid w:val="00E14D18"/>
    <w:rsid w:val="00E14F51"/>
    <w:rsid w:val="00E15B21"/>
    <w:rsid w:val="00E15CD0"/>
    <w:rsid w:val="00E16625"/>
    <w:rsid w:val="00E16924"/>
    <w:rsid w:val="00E16E92"/>
    <w:rsid w:val="00E17171"/>
    <w:rsid w:val="00E172E5"/>
    <w:rsid w:val="00E17839"/>
    <w:rsid w:val="00E17889"/>
    <w:rsid w:val="00E17894"/>
    <w:rsid w:val="00E17F05"/>
    <w:rsid w:val="00E201BE"/>
    <w:rsid w:val="00E2057E"/>
    <w:rsid w:val="00E216A1"/>
    <w:rsid w:val="00E2173A"/>
    <w:rsid w:val="00E22437"/>
    <w:rsid w:val="00E226C4"/>
    <w:rsid w:val="00E227B0"/>
    <w:rsid w:val="00E23300"/>
    <w:rsid w:val="00E23842"/>
    <w:rsid w:val="00E23A48"/>
    <w:rsid w:val="00E23A85"/>
    <w:rsid w:val="00E25192"/>
    <w:rsid w:val="00E25B96"/>
    <w:rsid w:val="00E25CE3"/>
    <w:rsid w:val="00E2632D"/>
    <w:rsid w:val="00E268AC"/>
    <w:rsid w:val="00E26DC4"/>
    <w:rsid w:val="00E26F75"/>
    <w:rsid w:val="00E2709A"/>
    <w:rsid w:val="00E300DE"/>
    <w:rsid w:val="00E30B99"/>
    <w:rsid w:val="00E30CD2"/>
    <w:rsid w:val="00E31989"/>
    <w:rsid w:val="00E32B93"/>
    <w:rsid w:val="00E342C0"/>
    <w:rsid w:val="00E343B2"/>
    <w:rsid w:val="00E34985"/>
    <w:rsid w:val="00E34CDE"/>
    <w:rsid w:val="00E353B1"/>
    <w:rsid w:val="00E357B7"/>
    <w:rsid w:val="00E35E49"/>
    <w:rsid w:val="00E376B3"/>
    <w:rsid w:val="00E3798F"/>
    <w:rsid w:val="00E379AA"/>
    <w:rsid w:val="00E37B00"/>
    <w:rsid w:val="00E40FDB"/>
    <w:rsid w:val="00E4273E"/>
    <w:rsid w:val="00E43424"/>
    <w:rsid w:val="00E436BA"/>
    <w:rsid w:val="00E43C96"/>
    <w:rsid w:val="00E4400D"/>
    <w:rsid w:val="00E44347"/>
    <w:rsid w:val="00E445A2"/>
    <w:rsid w:val="00E451E9"/>
    <w:rsid w:val="00E455CC"/>
    <w:rsid w:val="00E45A79"/>
    <w:rsid w:val="00E45BE9"/>
    <w:rsid w:val="00E465B1"/>
    <w:rsid w:val="00E467E4"/>
    <w:rsid w:val="00E4691F"/>
    <w:rsid w:val="00E47713"/>
    <w:rsid w:val="00E503D1"/>
    <w:rsid w:val="00E507F5"/>
    <w:rsid w:val="00E508C8"/>
    <w:rsid w:val="00E5111B"/>
    <w:rsid w:val="00E5131D"/>
    <w:rsid w:val="00E513D1"/>
    <w:rsid w:val="00E51996"/>
    <w:rsid w:val="00E51FCD"/>
    <w:rsid w:val="00E51FCF"/>
    <w:rsid w:val="00E5248E"/>
    <w:rsid w:val="00E524BB"/>
    <w:rsid w:val="00E52CB1"/>
    <w:rsid w:val="00E5318B"/>
    <w:rsid w:val="00E53205"/>
    <w:rsid w:val="00E53754"/>
    <w:rsid w:val="00E53800"/>
    <w:rsid w:val="00E53F25"/>
    <w:rsid w:val="00E53FFF"/>
    <w:rsid w:val="00E54329"/>
    <w:rsid w:val="00E54814"/>
    <w:rsid w:val="00E54D9F"/>
    <w:rsid w:val="00E54EBC"/>
    <w:rsid w:val="00E55339"/>
    <w:rsid w:val="00E557A5"/>
    <w:rsid w:val="00E557F2"/>
    <w:rsid w:val="00E55DD2"/>
    <w:rsid w:val="00E561F2"/>
    <w:rsid w:val="00E56858"/>
    <w:rsid w:val="00E56C8A"/>
    <w:rsid w:val="00E57745"/>
    <w:rsid w:val="00E606C7"/>
    <w:rsid w:val="00E6081F"/>
    <w:rsid w:val="00E6097A"/>
    <w:rsid w:val="00E60CA6"/>
    <w:rsid w:val="00E6131F"/>
    <w:rsid w:val="00E61AB6"/>
    <w:rsid w:val="00E62281"/>
    <w:rsid w:val="00E62BD9"/>
    <w:rsid w:val="00E62E0E"/>
    <w:rsid w:val="00E631E2"/>
    <w:rsid w:val="00E63611"/>
    <w:rsid w:val="00E63873"/>
    <w:rsid w:val="00E63CBE"/>
    <w:rsid w:val="00E644D6"/>
    <w:rsid w:val="00E6479A"/>
    <w:rsid w:val="00E6487F"/>
    <w:rsid w:val="00E6520F"/>
    <w:rsid w:val="00E65389"/>
    <w:rsid w:val="00E66186"/>
    <w:rsid w:val="00E6716C"/>
    <w:rsid w:val="00E67CF1"/>
    <w:rsid w:val="00E703B3"/>
    <w:rsid w:val="00E70D13"/>
    <w:rsid w:val="00E70E2E"/>
    <w:rsid w:val="00E71CFA"/>
    <w:rsid w:val="00E71EF9"/>
    <w:rsid w:val="00E723A5"/>
    <w:rsid w:val="00E7288C"/>
    <w:rsid w:val="00E729AF"/>
    <w:rsid w:val="00E7375A"/>
    <w:rsid w:val="00E7420F"/>
    <w:rsid w:val="00E74D2A"/>
    <w:rsid w:val="00E75347"/>
    <w:rsid w:val="00E765C9"/>
    <w:rsid w:val="00E76AF7"/>
    <w:rsid w:val="00E771C6"/>
    <w:rsid w:val="00E77637"/>
    <w:rsid w:val="00E801D0"/>
    <w:rsid w:val="00E80C7B"/>
    <w:rsid w:val="00E813C5"/>
    <w:rsid w:val="00E8177A"/>
    <w:rsid w:val="00E81909"/>
    <w:rsid w:val="00E8296D"/>
    <w:rsid w:val="00E83867"/>
    <w:rsid w:val="00E83AF6"/>
    <w:rsid w:val="00E83B58"/>
    <w:rsid w:val="00E84232"/>
    <w:rsid w:val="00E8457B"/>
    <w:rsid w:val="00E84CA0"/>
    <w:rsid w:val="00E85121"/>
    <w:rsid w:val="00E851F4"/>
    <w:rsid w:val="00E86F6E"/>
    <w:rsid w:val="00E87267"/>
    <w:rsid w:val="00E87826"/>
    <w:rsid w:val="00E87AC2"/>
    <w:rsid w:val="00E90218"/>
    <w:rsid w:val="00E9022C"/>
    <w:rsid w:val="00E9041E"/>
    <w:rsid w:val="00E90DD6"/>
    <w:rsid w:val="00E9207C"/>
    <w:rsid w:val="00E92EFE"/>
    <w:rsid w:val="00E92F03"/>
    <w:rsid w:val="00E931F7"/>
    <w:rsid w:val="00E934DC"/>
    <w:rsid w:val="00E934DE"/>
    <w:rsid w:val="00E936F0"/>
    <w:rsid w:val="00E937C9"/>
    <w:rsid w:val="00E9389B"/>
    <w:rsid w:val="00E93CA7"/>
    <w:rsid w:val="00E94547"/>
    <w:rsid w:val="00E953CE"/>
    <w:rsid w:val="00E95401"/>
    <w:rsid w:val="00E96564"/>
    <w:rsid w:val="00E96C75"/>
    <w:rsid w:val="00E97A8E"/>
    <w:rsid w:val="00E97E21"/>
    <w:rsid w:val="00EA0260"/>
    <w:rsid w:val="00EA047A"/>
    <w:rsid w:val="00EA04B2"/>
    <w:rsid w:val="00EA0545"/>
    <w:rsid w:val="00EA0657"/>
    <w:rsid w:val="00EA09CC"/>
    <w:rsid w:val="00EA11DE"/>
    <w:rsid w:val="00EA1391"/>
    <w:rsid w:val="00EA1868"/>
    <w:rsid w:val="00EA1F8A"/>
    <w:rsid w:val="00EA20F3"/>
    <w:rsid w:val="00EA2250"/>
    <w:rsid w:val="00EA2B8B"/>
    <w:rsid w:val="00EA2DEA"/>
    <w:rsid w:val="00EA4CF4"/>
    <w:rsid w:val="00EA4E97"/>
    <w:rsid w:val="00EA57AE"/>
    <w:rsid w:val="00EA5CE6"/>
    <w:rsid w:val="00EA5DC3"/>
    <w:rsid w:val="00EA67FB"/>
    <w:rsid w:val="00EA69AE"/>
    <w:rsid w:val="00EA6BD3"/>
    <w:rsid w:val="00EA70C9"/>
    <w:rsid w:val="00EA7996"/>
    <w:rsid w:val="00EA7D34"/>
    <w:rsid w:val="00EB200D"/>
    <w:rsid w:val="00EB215C"/>
    <w:rsid w:val="00EB25AF"/>
    <w:rsid w:val="00EB28B9"/>
    <w:rsid w:val="00EB2BA7"/>
    <w:rsid w:val="00EB3ACC"/>
    <w:rsid w:val="00EB3EE9"/>
    <w:rsid w:val="00EB497E"/>
    <w:rsid w:val="00EB4B64"/>
    <w:rsid w:val="00EB4CF0"/>
    <w:rsid w:val="00EB526A"/>
    <w:rsid w:val="00EB5616"/>
    <w:rsid w:val="00EB5F1B"/>
    <w:rsid w:val="00EB606E"/>
    <w:rsid w:val="00EB68CF"/>
    <w:rsid w:val="00EB74EB"/>
    <w:rsid w:val="00EB76C9"/>
    <w:rsid w:val="00EB798B"/>
    <w:rsid w:val="00EB7A6A"/>
    <w:rsid w:val="00EC0371"/>
    <w:rsid w:val="00EC03B0"/>
    <w:rsid w:val="00EC0D93"/>
    <w:rsid w:val="00EC162C"/>
    <w:rsid w:val="00EC168A"/>
    <w:rsid w:val="00EC1CB6"/>
    <w:rsid w:val="00EC20A2"/>
    <w:rsid w:val="00EC250B"/>
    <w:rsid w:val="00EC2547"/>
    <w:rsid w:val="00EC2767"/>
    <w:rsid w:val="00EC2AAE"/>
    <w:rsid w:val="00EC39B6"/>
    <w:rsid w:val="00EC3D83"/>
    <w:rsid w:val="00EC40D8"/>
    <w:rsid w:val="00EC491F"/>
    <w:rsid w:val="00EC4D6F"/>
    <w:rsid w:val="00EC4FFD"/>
    <w:rsid w:val="00EC5257"/>
    <w:rsid w:val="00EC5D0C"/>
    <w:rsid w:val="00EC692C"/>
    <w:rsid w:val="00EC6E7D"/>
    <w:rsid w:val="00EC72E5"/>
    <w:rsid w:val="00EC7711"/>
    <w:rsid w:val="00EC7B05"/>
    <w:rsid w:val="00EC7C33"/>
    <w:rsid w:val="00ED0019"/>
    <w:rsid w:val="00ED0245"/>
    <w:rsid w:val="00ED02A9"/>
    <w:rsid w:val="00ED0859"/>
    <w:rsid w:val="00ED0E46"/>
    <w:rsid w:val="00ED1ED9"/>
    <w:rsid w:val="00ED2831"/>
    <w:rsid w:val="00ED2912"/>
    <w:rsid w:val="00ED2D92"/>
    <w:rsid w:val="00ED378A"/>
    <w:rsid w:val="00ED3EB6"/>
    <w:rsid w:val="00ED43D1"/>
    <w:rsid w:val="00ED50A6"/>
    <w:rsid w:val="00ED5FF7"/>
    <w:rsid w:val="00ED66B7"/>
    <w:rsid w:val="00ED6E1E"/>
    <w:rsid w:val="00ED6F18"/>
    <w:rsid w:val="00ED7A9E"/>
    <w:rsid w:val="00ED7AEA"/>
    <w:rsid w:val="00EE0A9C"/>
    <w:rsid w:val="00EE0B9A"/>
    <w:rsid w:val="00EE0BAD"/>
    <w:rsid w:val="00EE14E5"/>
    <w:rsid w:val="00EE19F7"/>
    <w:rsid w:val="00EE1CAA"/>
    <w:rsid w:val="00EE25F4"/>
    <w:rsid w:val="00EE3146"/>
    <w:rsid w:val="00EE3183"/>
    <w:rsid w:val="00EE3A52"/>
    <w:rsid w:val="00EE420B"/>
    <w:rsid w:val="00EE47A7"/>
    <w:rsid w:val="00EE48FA"/>
    <w:rsid w:val="00EE4A2E"/>
    <w:rsid w:val="00EE4D5B"/>
    <w:rsid w:val="00EE4E47"/>
    <w:rsid w:val="00EE4EE1"/>
    <w:rsid w:val="00EE55B2"/>
    <w:rsid w:val="00EE5828"/>
    <w:rsid w:val="00EE5D6D"/>
    <w:rsid w:val="00EE5DF2"/>
    <w:rsid w:val="00EE6C4C"/>
    <w:rsid w:val="00EE7207"/>
    <w:rsid w:val="00EE74C2"/>
    <w:rsid w:val="00EE7E37"/>
    <w:rsid w:val="00EE7E59"/>
    <w:rsid w:val="00EF00B4"/>
    <w:rsid w:val="00EF07D7"/>
    <w:rsid w:val="00EF1002"/>
    <w:rsid w:val="00EF1137"/>
    <w:rsid w:val="00EF11E5"/>
    <w:rsid w:val="00EF1757"/>
    <w:rsid w:val="00EF18F7"/>
    <w:rsid w:val="00EF1A8A"/>
    <w:rsid w:val="00EF2D5C"/>
    <w:rsid w:val="00EF2D89"/>
    <w:rsid w:val="00EF2EF2"/>
    <w:rsid w:val="00EF3C00"/>
    <w:rsid w:val="00EF433B"/>
    <w:rsid w:val="00EF4574"/>
    <w:rsid w:val="00EF4DB4"/>
    <w:rsid w:val="00EF4DBB"/>
    <w:rsid w:val="00EF521F"/>
    <w:rsid w:val="00EF57A9"/>
    <w:rsid w:val="00EF5BBE"/>
    <w:rsid w:val="00EF5FB3"/>
    <w:rsid w:val="00EF74CE"/>
    <w:rsid w:val="00EF75A9"/>
    <w:rsid w:val="00EF7C50"/>
    <w:rsid w:val="00F004A1"/>
    <w:rsid w:val="00F00CE5"/>
    <w:rsid w:val="00F01B9B"/>
    <w:rsid w:val="00F02527"/>
    <w:rsid w:val="00F028E6"/>
    <w:rsid w:val="00F02E53"/>
    <w:rsid w:val="00F02F21"/>
    <w:rsid w:val="00F030F9"/>
    <w:rsid w:val="00F03216"/>
    <w:rsid w:val="00F042AA"/>
    <w:rsid w:val="00F055AE"/>
    <w:rsid w:val="00F056D3"/>
    <w:rsid w:val="00F061C5"/>
    <w:rsid w:val="00F066F2"/>
    <w:rsid w:val="00F06A1B"/>
    <w:rsid w:val="00F06A8A"/>
    <w:rsid w:val="00F07236"/>
    <w:rsid w:val="00F10634"/>
    <w:rsid w:val="00F10C84"/>
    <w:rsid w:val="00F10CD4"/>
    <w:rsid w:val="00F10DD0"/>
    <w:rsid w:val="00F11236"/>
    <w:rsid w:val="00F1144C"/>
    <w:rsid w:val="00F114ED"/>
    <w:rsid w:val="00F124B7"/>
    <w:rsid w:val="00F127C1"/>
    <w:rsid w:val="00F12FDF"/>
    <w:rsid w:val="00F13E0F"/>
    <w:rsid w:val="00F13F69"/>
    <w:rsid w:val="00F14583"/>
    <w:rsid w:val="00F16043"/>
    <w:rsid w:val="00F1668C"/>
    <w:rsid w:val="00F16DD9"/>
    <w:rsid w:val="00F17547"/>
    <w:rsid w:val="00F175D1"/>
    <w:rsid w:val="00F17F59"/>
    <w:rsid w:val="00F20192"/>
    <w:rsid w:val="00F209B9"/>
    <w:rsid w:val="00F22069"/>
    <w:rsid w:val="00F221FA"/>
    <w:rsid w:val="00F225F6"/>
    <w:rsid w:val="00F22BBF"/>
    <w:rsid w:val="00F23121"/>
    <w:rsid w:val="00F2335C"/>
    <w:rsid w:val="00F25719"/>
    <w:rsid w:val="00F25A93"/>
    <w:rsid w:val="00F26351"/>
    <w:rsid w:val="00F2684E"/>
    <w:rsid w:val="00F27498"/>
    <w:rsid w:val="00F27616"/>
    <w:rsid w:val="00F300B8"/>
    <w:rsid w:val="00F30CDE"/>
    <w:rsid w:val="00F31B4C"/>
    <w:rsid w:val="00F31D32"/>
    <w:rsid w:val="00F320BE"/>
    <w:rsid w:val="00F32AA1"/>
    <w:rsid w:val="00F33449"/>
    <w:rsid w:val="00F33D5A"/>
    <w:rsid w:val="00F34117"/>
    <w:rsid w:val="00F342A2"/>
    <w:rsid w:val="00F343C6"/>
    <w:rsid w:val="00F34579"/>
    <w:rsid w:val="00F3659C"/>
    <w:rsid w:val="00F366A6"/>
    <w:rsid w:val="00F36FF3"/>
    <w:rsid w:val="00F3787A"/>
    <w:rsid w:val="00F37C59"/>
    <w:rsid w:val="00F400FB"/>
    <w:rsid w:val="00F40391"/>
    <w:rsid w:val="00F40584"/>
    <w:rsid w:val="00F40696"/>
    <w:rsid w:val="00F4086D"/>
    <w:rsid w:val="00F40F5E"/>
    <w:rsid w:val="00F41D63"/>
    <w:rsid w:val="00F425C0"/>
    <w:rsid w:val="00F4270D"/>
    <w:rsid w:val="00F42ECA"/>
    <w:rsid w:val="00F433FE"/>
    <w:rsid w:val="00F4344B"/>
    <w:rsid w:val="00F4378E"/>
    <w:rsid w:val="00F43D4C"/>
    <w:rsid w:val="00F4425E"/>
    <w:rsid w:val="00F45C05"/>
    <w:rsid w:val="00F466DD"/>
    <w:rsid w:val="00F46E6E"/>
    <w:rsid w:val="00F47ADD"/>
    <w:rsid w:val="00F47B54"/>
    <w:rsid w:val="00F47BF9"/>
    <w:rsid w:val="00F47C9B"/>
    <w:rsid w:val="00F47FAD"/>
    <w:rsid w:val="00F50B7A"/>
    <w:rsid w:val="00F50CF5"/>
    <w:rsid w:val="00F50DCD"/>
    <w:rsid w:val="00F51852"/>
    <w:rsid w:val="00F51887"/>
    <w:rsid w:val="00F52B2D"/>
    <w:rsid w:val="00F53AD4"/>
    <w:rsid w:val="00F5404C"/>
    <w:rsid w:val="00F54757"/>
    <w:rsid w:val="00F54DC6"/>
    <w:rsid w:val="00F55491"/>
    <w:rsid w:val="00F567FF"/>
    <w:rsid w:val="00F57598"/>
    <w:rsid w:val="00F60451"/>
    <w:rsid w:val="00F605D3"/>
    <w:rsid w:val="00F60DAA"/>
    <w:rsid w:val="00F60E9B"/>
    <w:rsid w:val="00F61048"/>
    <w:rsid w:val="00F61314"/>
    <w:rsid w:val="00F614E0"/>
    <w:rsid w:val="00F6249D"/>
    <w:rsid w:val="00F62D32"/>
    <w:rsid w:val="00F62EFF"/>
    <w:rsid w:val="00F63A4A"/>
    <w:rsid w:val="00F63CDE"/>
    <w:rsid w:val="00F64064"/>
    <w:rsid w:val="00F64548"/>
    <w:rsid w:val="00F647C5"/>
    <w:rsid w:val="00F649FD"/>
    <w:rsid w:val="00F64A8C"/>
    <w:rsid w:val="00F65078"/>
    <w:rsid w:val="00F650AB"/>
    <w:rsid w:val="00F659A0"/>
    <w:rsid w:val="00F66A94"/>
    <w:rsid w:val="00F66CBA"/>
    <w:rsid w:val="00F66E89"/>
    <w:rsid w:val="00F66EAA"/>
    <w:rsid w:val="00F676C7"/>
    <w:rsid w:val="00F67F57"/>
    <w:rsid w:val="00F705A0"/>
    <w:rsid w:val="00F71324"/>
    <w:rsid w:val="00F71D85"/>
    <w:rsid w:val="00F71EB7"/>
    <w:rsid w:val="00F72187"/>
    <w:rsid w:val="00F7240B"/>
    <w:rsid w:val="00F724B9"/>
    <w:rsid w:val="00F72515"/>
    <w:rsid w:val="00F729EF"/>
    <w:rsid w:val="00F72E96"/>
    <w:rsid w:val="00F7306A"/>
    <w:rsid w:val="00F73400"/>
    <w:rsid w:val="00F73434"/>
    <w:rsid w:val="00F7349C"/>
    <w:rsid w:val="00F73558"/>
    <w:rsid w:val="00F73CAF"/>
    <w:rsid w:val="00F7417E"/>
    <w:rsid w:val="00F744A2"/>
    <w:rsid w:val="00F7478A"/>
    <w:rsid w:val="00F755F4"/>
    <w:rsid w:val="00F75802"/>
    <w:rsid w:val="00F759F2"/>
    <w:rsid w:val="00F75C03"/>
    <w:rsid w:val="00F761EB"/>
    <w:rsid w:val="00F76B2B"/>
    <w:rsid w:val="00F76C96"/>
    <w:rsid w:val="00F76F93"/>
    <w:rsid w:val="00F771DC"/>
    <w:rsid w:val="00F77434"/>
    <w:rsid w:val="00F77CAE"/>
    <w:rsid w:val="00F8009A"/>
    <w:rsid w:val="00F80716"/>
    <w:rsid w:val="00F808A3"/>
    <w:rsid w:val="00F8091C"/>
    <w:rsid w:val="00F80AC7"/>
    <w:rsid w:val="00F81774"/>
    <w:rsid w:val="00F81B0B"/>
    <w:rsid w:val="00F81CFF"/>
    <w:rsid w:val="00F82271"/>
    <w:rsid w:val="00F82300"/>
    <w:rsid w:val="00F82346"/>
    <w:rsid w:val="00F82628"/>
    <w:rsid w:val="00F83372"/>
    <w:rsid w:val="00F83428"/>
    <w:rsid w:val="00F83572"/>
    <w:rsid w:val="00F835B5"/>
    <w:rsid w:val="00F83B3C"/>
    <w:rsid w:val="00F83BD5"/>
    <w:rsid w:val="00F844A5"/>
    <w:rsid w:val="00F84A73"/>
    <w:rsid w:val="00F84EFE"/>
    <w:rsid w:val="00F85083"/>
    <w:rsid w:val="00F850C2"/>
    <w:rsid w:val="00F8571B"/>
    <w:rsid w:val="00F85792"/>
    <w:rsid w:val="00F8624A"/>
    <w:rsid w:val="00F8645B"/>
    <w:rsid w:val="00F86546"/>
    <w:rsid w:val="00F86B28"/>
    <w:rsid w:val="00F872EF"/>
    <w:rsid w:val="00F875CA"/>
    <w:rsid w:val="00F87796"/>
    <w:rsid w:val="00F87875"/>
    <w:rsid w:val="00F87B57"/>
    <w:rsid w:val="00F87D03"/>
    <w:rsid w:val="00F87DF2"/>
    <w:rsid w:val="00F90972"/>
    <w:rsid w:val="00F90CD1"/>
    <w:rsid w:val="00F90D06"/>
    <w:rsid w:val="00F913FC"/>
    <w:rsid w:val="00F914DE"/>
    <w:rsid w:val="00F916C1"/>
    <w:rsid w:val="00F9185A"/>
    <w:rsid w:val="00F91FA4"/>
    <w:rsid w:val="00F92760"/>
    <w:rsid w:val="00F92FC5"/>
    <w:rsid w:val="00F93E80"/>
    <w:rsid w:val="00F941DA"/>
    <w:rsid w:val="00F950AC"/>
    <w:rsid w:val="00F950C0"/>
    <w:rsid w:val="00F95701"/>
    <w:rsid w:val="00F96BB9"/>
    <w:rsid w:val="00FA030E"/>
    <w:rsid w:val="00FA09DC"/>
    <w:rsid w:val="00FA15DE"/>
    <w:rsid w:val="00FA26EE"/>
    <w:rsid w:val="00FA2901"/>
    <w:rsid w:val="00FA35CA"/>
    <w:rsid w:val="00FA3F96"/>
    <w:rsid w:val="00FA41D9"/>
    <w:rsid w:val="00FA4BDC"/>
    <w:rsid w:val="00FA5470"/>
    <w:rsid w:val="00FA54D2"/>
    <w:rsid w:val="00FA58D7"/>
    <w:rsid w:val="00FA5D6C"/>
    <w:rsid w:val="00FA628D"/>
    <w:rsid w:val="00FA6EF2"/>
    <w:rsid w:val="00FA719D"/>
    <w:rsid w:val="00FA75C5"/>
    <w:rsid w:val="00FA76DE"/>
    <w:rsid w:val="00FA7E17"/>
    <w:rsid w:val="00FA7EA5"/>
    <w:rsid w:val="00FB0B7B"/>
    <w:rsid w:val="00FB0FA4"/>
    <w:rsid w:val="00FB1544"/>
    <w:rsid w:val="00FB1875"/>
    <w:rsid w:val="00FB2804"/>
    <w:rsid w:val="00FB2B15"/>
    <w:rsid w:val="00FB40A4"/>
    <w:rsid w:val="00FB46BE"/>
    <w:rsid w:val="00FB4A58"/>
    <w:rsid w:val="00FB50E5"/>
    <w:rsid w:val="00FB5651"/>
    <w:rsid w:val="00FB679B"/>
    <w:rsid w:val="00FB6BEA"/>
    <w:rsid w:val="00FB7B34"/>
    <w:rsid w:val="00FB7BB9"/>
    <w:rsid w:val="00FC0A36"/>
    <w:rsid w:val="00FC0E28"/>
    <w:rsid w:val="00FC11B9"/>
    <w:rsid w:val="00FC13EF"/>
    <w:rsid w:val="00FC1426"/>
    <w:rsid w:val="00FC2218"/>
    <w:rsid w:val="00FC243A"/>
    <w:rsid w:val="00FC26FD"/>
    <w:rsid w:val="00FC3136"/>
    <w:rsid w:val="00FC322F"/>
    <w:rsid w:val="00FC38A5"/>
    <w:rsid w:val="00FC3C81"/>
    <w:rsid w:val="00FC416A"/>
    <w:rsid w:val="00FC499D"/>
    <w:rsid w:val="00FC4CD8"/>
    <w:rsid w:val="00FC4D62"/>
    <w:rsid w:val="00FC56CC"/>
    <w:rsid w:val="00FC5813"/>
    <w:rsid w:val="00FC6097"/>
    <w:rsid w:val="00FC62B1"/>
    <w:rsid w:val="00FC6498"/>
    <w:rsid w:val="00FC6FC0"/>
    <w:rsid w:val="00FC74C6"/>
    <w:rsid w:val="00FC77AC"/>
    <w:rsid w:val="00FC7A53"/>
    <w:rsid w:val="00FC7F57"/>
    <w:rsid w:val="00FD07F6"/>
    <w:rsid w:val="00FD0844"/>
    <w:rsid w:val="00FD129A"/>
    <w:rsid w:val="00FD14D7"/>
    <w:rsid w:val="00FD2016"/>
    <w:rsid w:val="00FD2320"/>
    <w:rsid w:val="00FD26C5"/>
    <w:rsid w:val="00FD47DE"/>
    <w:rsid w:val="00FD4DE3"/>
    <w:rsid w:val="00FD5071"/>
    <w:rsid w:val="00FD5533"/>
    <w:rsid w:val="00FD5B4A"/>
    <w:rsid w:val="00FD600D"/>
    <w:rsid w:val="00FD677E"/>
    <w:rsid w:val="00FD68A1"/>
    <w:rsid w:val="00FD7373"/>
    <w:rsid w:val="00FE095F"/>
    <w:rsid w:val="00FE0B9A"/>
    <w:rsid w:val="00FE2302"/>
    <w:rsid w:val="00FE4FC5"/>
    <w:rsid w:val="00FE516B"/>
    <w:rsid w:val="00FE55A5"/>
    <w:rsid w:val="00FE5D6D"/>
    <w:rsid w:val="00FE5FE2"/>
    <w:rsid w:val="00FE6139"/>
    <w:rsid w:val="00FE6497"/>
    <w:rsid w:val="00FE6D51"/>
    <w:rsid w:val="00FE6F2A"/>
    <w:rsid w:val="00FE707F"/>
    <w:rsid w:val="00FE753A"/>
    <w:rsid w:val="00FE7595"/>
    <w:rsid w:val="00FF0614"/>
    <w:rsid w:val="00FF0903"/>
    <w:rsid w:val="00FF0A00"/>
    <w:rsid w:val="00FF0DFB"/>
    <w:rsid w:val="00FF0F82"/>
    <w:rsid w:val="00FF21B3"/>
    <w:rsid w:val="00FF2A2F"/>
    <w:rsid w:val="00FF376E"/>
    <w:rsid w:val="00FF4C48"/>
    <w:rsid w:val="00FF5430"/>
    <w:rsid w:val="00FF5F23"/>
    <w:rsid w:val="00FF6A0B"/>
    <w:rsid w:val="00FF7060"/>
    <w:rsid w:val="00FF70F2"/>
    <w:rsid w:val="0718A19B"/>
    <w:rsid w:val="0A50F95D"/>
    <w:rsid w:val="0EC4D471"/>
    <w:rsid w:val="10DBE78F"/>
    <w:rsid w:val="11941E14"/>
    <w:rsid w:val="11ECBFD8"/>
    <w:rsid w:val="13984594"/>
    <w:rsid w:val="13CCAA4D"/>
    <w:rsid w:val="17A4BC7B"/>
    <w:rsid w:val="183D5774"/>
    <w:rsid w:val="1A8922C9"/>
    <w:rsid w:val="1DA5F46F"/>
    <w:rsid w:val="1DC0C38B"/>
    <w:rsid w:val="20C36E78"/>
    <w:rsid w:val="20E047CB"/>
    <w:rsid w:val="25CEA367"/>
    <w:rsid w:val="26515299"/>
    <w:rsid w:val="28CF54FB"/>
    <w:rsid w:val="299D51FF"/>
    <w:rsid w:val="29B74EE7"/>
    <w:rsid w:val="2C90148C"/>
    <w:rsid w:val="2F8F35C8"/>
    <w:rsid w:val="3154DEEC"/>
    <w:rsid w:val="328D7155"/>
    <w:rsid w:val="3555B07C"/>
    <w:rsid w:val="385F3070"/>
    <w:rsid w:val="38AFAE84"/>
    <w:rsid w:val="3A0CA53D"/>
    <w:rsid w:val="3A695321"/>
    <w:rsid w:val="3AB5E55A"/>
    <w:rsid w:val="3B4F258F"/>
    <w:rsid w:val="3CFA4FE9"/>
    <w:rsid w:val="3E8F6B95"/>
    <w:rsid w:val="40CE8408"/>
    <w:rsid w:val="417CF41E"/>
    <w:rsid w:val="44DF8683"/>
    <w:rsid w:val="44EB00FA"/>
    <w:rsid w:val="4518B908"/>
    <w:rsid w:val="453ED4BF"/>
    <w:rsid w:val="45A17CCA"/>
    <w:rsid w:val="46926D98"/>
    <w:rsid w:val="46CB1DCB"/>
    <w:rsid w:val="4802ED60"/>
    <w:rsid w:val="4AE4F2F2"/>
    <w:rsid w:val="4B135235"/>
    <w:rsid w:val="4F1A373F"/>
    <w:rsid w:val="4FA167EE"/>
    <w:rsid w:val="51AA15B1"/>
    <w:rsid w:val="51E9604E"/>
    <w:rsid w:val="522A4256"/>
    <w:rsid w:val="527656AC"/>
    <w:rsid w:val="52E28B7E"/>
    <w:rsid w:val="5316B565"/>
    <w:rsid w:val="535E32DB"/>
    <w:rsid w:val="553BD02C"/>
    <w:rsid w:val="55FE3FCF"/>
    <w:rsid w:val="576CCC65"/>
    <w:rsid w:val="5C98A1D8"/>
    <w:rsid w:val="5CA97A6E"/>
    <w:rsid w:val="5CE38C52"/>
    <w:rsid w:val="5D9CA69A"/>
    <w:rsid w:val="5DB9F578"/>
    <w:rsid w:val="5DC0BDAC"/>
    <w:rsid w:val="5E86FF20"/>
    <w:rsid w:val="62735219"/>
    <w:rsid w:val="64468FC8"/>
    <w:rsid w:val="6542144D"/>
    <w:rsid w:val="6ACFF864"/>
    <w:rsid w:val="6C8100F4"/>
    <w:rsid w:val="6D5BDC51"/>
    <w:rsid w:val="6FA86E15"/>
    <w:rsid w:val="71A80C5F"/>
    <w:rsid w:val="7369929D"/>
    <w:rsid w:val="742D33CA"/>
    <w:rsid w:val="78F88796"/>
    <w:rsid w:val="7C2DE0B9"/>
    <w:rsid w:val="7CD3D9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289E9"/>
  <w15:docId w15:val="{84F28379-4782-4ACB-8D3A-2EFDEB77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60" w:line="280" w:lineRule="exact"/>
        <w:ind w:left="568" w:hanging="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B55E8"/>
    <w:rPr>
      <w:color w:val="495965" w:themeColor="text2"/>
      <w:lang w:val="en-GB"/>
    </w:rPr>
  </w:style>
  <w:style w:type="paragraph" w:styleId="Heading1">
    <w:name w:val="heading 1"/>
    <w:basedOn w:val="Normal"/>
    <w:next w:val="Normal"/>
    <w:link w:val="Heading1Char"/>
    <w:uiPriority w:val="9"/>
    <w:qFormat/>
    <w:rsid w:val="007706B8"/>
    <w:pPr>
      <w:keepNext/>
      <w:keepLines/>
      <w:spacing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983AED"/>
    <w:pPr>
      <w:spacing w:before="480" w:after="120"/>
      <w:outlineLvl w:val="1"/>
    </w:pPr>
    <w:rPr>
      <w:b w:val="0"/>
      <w:bCs w:val="0"/>
      <w:szCs w:val="26"/>
    </w:rPr>
  </w:style>
  <w:style w:type="paragraph" w:styleId="Heading3">
    <w:name w:val="heading 3"/>
    <w:basedOn w:val="Heading2"/>
    <w:next w:val="Normal"/>
    <w:link w:val="Heading3Char"/>
    <w:uiPriority w:val="9"/>
    <w:unhideWhenUsed/>
    <w:qFormat/>
    <w:rsid w:val="00ED2831"/>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7706B8"/>
    <w:pPr>
      <w:spacing w:line="200" w:lineRule="atLeast"/>
      <w:outlineLvl w:val="4"/>
    </w:pPr>
    <w:rPr>
      <w:b/>
      <w:sz w:val="22"/>
    </w:rPr>
  </w:style>
  <w:style w:type="paragraph" w:styleId="Heading6">
    <w:name w:val="heading 6"/>
    <w:basedOn w:val="Heading5"/>
    <w:next w:val="Normal"/>
    <w:link w:val="Heading6Char"/>
    <w:uiPriority w:val="9"/>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B8"/>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uiPriority w:val="9"/>
    <w:rsid w:val="00983AED"/>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ED2831"/>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ind w:left="568" w:hanging="284"/>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7706B8"/>
    <w:pPr>
      <w:ind w:left="284"/>
    </w:pPr>
  </w:style>
  <w:style w:type="paragraph" w:customStyle="1" w:styleId="Bullet2">
    <w:name w:val="Bullet 2"/>
    <w:basedOn w:val="Bullet1"/>
    <w:qFormat/>
    <w:rsid w:val="00F2684E"/>
    <w:pPr>
      <w:ind w:left="568"/>
    </w:pPr>
  </w:style>
  <w:style w:type="paragraph" w:customStyle="1" w:styleId="Bullet3">
    <w:name w:val="Bullet 3"/>
    <w:basedOn w:val="Bullet2"/>
    <w:qFormat/>
    <w:rsid w:val="00F2684E"/>
    <w:pPr>
      <w:ind w:left="852"/>
    </w:pPr>
  </w:style>
  <w:style w:type="paragraph" w:customStyle="1" w:styleId="NumberedList1">
    <w:name w:val="Numbered List 1"/>
    <w:basedOn w:val="Normal"/>
    <w:qFormat/>
    <w:rsid w:val="00F2684E"/>
    <w:pPr>
      <w:numPr>
        <w:numId w:val="7"/>
      </w:numPr>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6"/>
      </w:numPr>
    </w:pPr>
  </w:style>
  <w:style w:type="paragraph" w:customStyle="1" w:styleId="Heading2Numbered">
    <w:name w:val="Heading 2 Numbered"/>
    <w:basedOn w:val="Heading2"/>
    <w:next w:val="Normal"/>
    <w:qFormat/>
    <w:rsid w:val="00ED2831"/>
    <w:pPr>
      <w:numPr>
        <w:ilvl w:val="1"/>
        <w:numId w:val="6"/>
      </w:numPr>
      <w:spacing w:after="60"/>
    </w:pPr>
    <w:rPr>
      <w:bCs/>
    </w:rPr>
  </w:style>
  <w:style w:type="paragraph" w:customStyle="1" w:styleId="Heading3Numbered">
    <w:name w:val="Heading 3 Numbered"/>
    <w:basedOn w:val="Heading3"/>
    <w:next w:val="Normal"/>
    <w:qFormat/>
    <w:rsid w:val="00ED2831"/>
    <w:pPr>
      <w:numPr>
        <w:ilvl w:val="2"/>
        <w:numId w:val="6"/>
      </w:numPr>
      <w:spacing w:before="300" w:after="60"/>
    </w:pPr>
    <w:rPr>
      <w:szCs w:val="22"/>
    </w:rPr>
  </w:style>
  <w:style w:type="numbering" w:customStyle="1" w:styleId="BulletsList">
    <w:name w:val="Bullets List"/>
    <w:uiPriority w:val="99"/>
    <w:rsid w:val="007706B8"/>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C322F"/>
    <w:pPr>
      <w:tabs>
        <w:tab w:val="center" w:pos="4513"/>
        <w:tab w:val="right" w:pos="9026"/>
      </w:tabs>
      <w:spacing w:after="0"/>
      <w:ind w:left="227"/>
    </w:pPr>
    <w:rPr>
      <w:b/>
      <w:caps/>
      <w:color w:val="FFFFFF" w:themeColor="background1"/>
      <w:sz w:val="20"/>
    </w:rPr>
  </w:style>
  <w:style w:type="paragraph" w:styleId="TOC4">
    <w:name w:val="toc 4"/>
    <w:basedOn w:val="Normal"/>
    <w:next w:val="Normal"/>
    <w:autoRedefine/>
    <w:uiPriority w:val="39"/>
    <w:unhideWhenUsed/>
    <w:locked/>
    <w:rsid w:val="0035119D"/>
    <w:pPr>
      <w:spacing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pacing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pacing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pacing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4"/>
      </w:numPr>
    </w:pPr>
  </w:style>
  <w:style w:type="paragraph" w:styleId="TOC8">
    <w:name w:val="toc 8"/>
    <w:basedOn w:val="Normal"/>
    <w:next w:val="Normal"/>
    <w:autoRedefine/>
    <w:uiPriority w:val="39"/>
    <w:unhideWhenUsed/>
    <w:locked/>
    <w:rsid w:val="0035119D"/>
    <w:pPr>
      <w:spacing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pacing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7706B8"/>
    <w:pPr>
      <w:spacing w:before="400" w:after="400"/>
    </w:pPr>
    <w:rPr>
      <w:b/>
      <w:color w:val="ACD08C" w:themeColor="accent2"/>
      <w:sz w:val="28"/>
    </w:rPr>
  </w:style>
  <w:style w:type="table" w:styleId="TableGrid">
    <w:name w:val="Table Grid"/>
    <w:basedOn w:val="TableNormal"/>
    <w:uiPriority w:val="39"/>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C322F"/>
    <w:rPr>
      <w:b/>
      <w:caps/>
      <w:color w:val="FFFFFF" w:themeColor="background1"/>
      <w:sz w:val="20"/>
      <w:lang w:val="en-GB"/>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7706B8"/>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FC322F"/>
    <w:pPr>
      <w:spacing w:after="0" w:line="240" w:lineRule="exact"/>
      <w:ind w:left="284" w:right="284"/>
    </w:pPr>
    <w:rPr>
      <w:color w:val="FFFFFF" w:themeColor="background1"/>
    </w:rPr>
  </w:style>
  <w:style w:type="character" w:customStyle="1" w:styleId="FooterChar">
    <w:name w:val="Footer Char"/>
    <w:basedOn w:val="DefaultParagraphFont"/>
    <w:link w:val="Footer"/>
    <w:uiPriority w:val="99"/>
    <w:rsid w:val="00FC322F"/>
    <w:rPr>
      <w:color w:val="FFFFFF" w:themeColor="background1"/>
      <w:lang w:val="en-GB"/>
    </w:rPr>
  </w:style>
  <w:style w:type="character" w:customStyle="1" w:styleId="Heading6Char">
    <w:name w:val="Heading 6 Char"/>
    <w:basedOn w:val="DefaultParagraphFont"/>
    <w:link w:val="Heading6"/>
    <w:uiPriority w:val="9"/>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aliases w:val="Footnote Text1,FOOTNOTES,fn,single space Char,single space,ft,Fußnote,ft Char Char,Footnote Text Char Char Char Char,Footnote Text Char Char Char Char Char,Footnote Text Char Char Char Char Char Char Char Char Char,Footnote reference,FA Fu"/>
    <w:basedOn w:val="Normal"/>
    <w:link w:val="FootnoteTextChar"/>
    <w:uiPriority w:val="99"/>
    <w:unhideWhenUsed/>
    <w:qFormat/>
    <w:rsid w:val="008C5A0E"/>
    <w:pPr>
      <w:spacing w:before="60" w:after="0" w:line="140" w:lineRule="atLeast"/>
      <w:ind w:left="170" w:hanging="170"/>
    </w:pPr>
    <w:rPr>
      <w:sz w:val="12"/>
      <w:szCs w:val="20"/>
    </w:rPr>
  </w:style>
  <w:style w:type="character" w:customStyle="1" w:styleId="FootnoteTextChar">
    <w:name w:val="Footnote Text Char"/>
    <w:aliases w:val="Footnote Text1 Char,FOOTNOTES Char,fn Char,single space Char Char,single space Char1,ft Char,Fußnote Char,ft Char Char Char,Footnote Text Char Char Char Char Char1,Footnote Text Char Char Char Char Char Char,Footnote reference Char"/>
    <w:basedOn w:val="DefaultParagraphFont"/>
    <w:link w:val="FootnoteText"/>
    <w:uiPriority w:val="99"/>
    <w:qFormat/>
    <w:rsid w:val="008C5A0E"/>
    <w:rPr>
      <w:color w:val="495965" w:themeColor="text2"/>
      <w:sz w:val="12"/>
      <w:szCs w:val="20"/>
    </w:r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Footnotes refss,4_G"/>
    <w:basedOn w:val="DefaultParagraphFont"/>
    <w:link w:val="referencianotaalpieChar"/>
    <w:uiPriority w:val="99"/>
    <w:unhideWhenUsed/>
    <w:qFormat/>
    <w:rsid w:val="003002C0"/>
    <w:rPr>
      <w:vertAlign w:val="superscript"/>
    </w:rPr>
  </w:style>
  <w:style w:type="paragraph" w:customStyle="1" w:styleId="GreyRoundBoxText">
    <w:name w:val="Grey Round Box Text"/>
    <w:basedOn w:val="Normal"/>
    <w:qFormat/>
    <w:rsid w:val="000D66D6"/>
    <w:rPr>
      <w:b/>
      <w:caps/>
      <w:color w:val="FFFFFF" w:themeColor="background1"/>
      <w:sz w:val="18"/>
    </w:rPr>
  </w:style>
  <w:style w:type="character" w:customStyle="1" w:styleId="Green">
    <w:name w:val="Green"/>
    <w:basedOn w:val="DefaultParagraphFont"/>
    <w:uiPriority w:val="1"/>
    <w:qFormat/>
    <w:rsid w:val="00961E72"/>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spacing w:before="60" w:line="220" w:lineRule="atLeast"/>
    </w:pPr>
    <w:rPr>
      <w:rFonts w:ascii="Calibri" w:hAnsi="Calibri"/>
      <w:sz w:val="18"/>
    </w:rPr>
  </w:style>
  <w:style w:type="paragraph" w:customStyle="1" w:styleId="TableBullet2">
    <w:name w:val="Table Bullet 2"/>
    <w:basedOn w:val="Bullet2"/>
    <w:qFormat/>
    <w:rsid w:val="00ED2831"/>
    <w:pPr>
      <w:spacing w:before="60" w:line="220" w:lineRule="atLeast"/>
    </w:pPr>
    <w:rPr>
      <w:rFonts w:ascii="Calibri" w:hAnsi="Calibri"/>
      <w:sz w:val="18"/>
    </w:rPr>
  </w:style>
  <w:style w:type="paragraph" w:customStyle="1" w:styleId="TableBullet3">
    <w:name w:val="Table Bullet 3"/>
    <w:basedOn w:val="Bullet3"/>
    <w:qFormat/>
    <w:rsid w:val="00ED2831"/>
    <w:pPr>
      <w:spacing w:before="60" w:line="220" w:lineRule="atLeast"/>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8"/>
      </w:numPr>
      <w:ind w:left="454" w:hanging="170"/>
    </w:pPr>
  </w:style>
  <w:style w:type="paragraph" w:customStyle="1" w:styleId="Box2Bullet">
    <w:name w:val="Box 2 Bullet"/>
    <w:basedOn w:val="Box2Text"/>
    <w:qFormat/>
    <w:rsid w:val="00C42541"/>
    <w:pPr>
      <w:numPr>
        <w:numId w:val="9"/>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aliases w:val="List Paragraph1,List Paragraph11,List Paragraph2,Bulit List -  Paragraph,Main numbered paragraph,Numbered List Paragraph,bullet 1,Recommendation,L,List Paragraph111,F5 List Paragraph,Dot pt,CV text,Numbered Paragraph,Bulleted Para,列 出 段 落"/>
    <w:basedOn w:val="Normal"/>
    <w:link w:val="ListParagraphChar"/>
    <w:uiPriority w:val="34"/>
    <w:qFormat/>
    <w:locked/>
    <w:rsid w:val="00A32858"/>
    <w:pPr>
      <w:ind w:left="720"/>
      <w:contextualSpacing/>
    </w:pPr>
  </w:style>
  <w:style w:type="paragraph" w:styleId="ListBullet">
    <w:name w:val="List Bullet"/>
    <w:basedOn w:val="BodyText"/>
    <w:qFormat/>
    <w:locked/>
    <w:rsid w:val="00A32858"/>
    <w:pPr>
      <w:numPr>
        <w:numId w:val="11"/>
      </w:numPr>
      <w:tabs>
        <w:tab w:val="left" w:pos="284"/>
      </w:tabs>
      <w:spacing w:after="120"/>
    </w:pPr>
    <w:rPr>
      <w:rFonts w:ascii="Franklin Gothic Book" w:eastAsia="Times New Roman" w:hAnsi="Franklin Gothic Book" w:cs="Times New Roman"/>
      <w:sz w:val="21"/>
      <w:szCs w:val="24"/>
      <w:lang w:val="en-AU" w:eastAsia="en-AU"/>
    </w:rPr>
  </w:style>
  <w:style w:type="table" w:customStyle="1" w:styleId="TableGrid1">
    <w:name w:val="Table Grid1"/>
    <w:basedOn w:val="TableNormal"/>
    <w:next w:val="TableGrid"/>
    <w:uiPriority w:val="39"/>
    <w:locked/>
    <w:rsid w:val="00B2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aliases w:val="Table/Chart Title"/>
    <w:basedOn w:val="Heading2Char"/>
    <w:uiPriority w:val="33"/>
    <w:qFormat/>
    <w:locked/>
    <w:rsid w:val="00B22583"/>
    <w:rPr>
      <w:rFonts w:ascii="Calibri" w:eastAsiaTheme="majorEastAsia" w:hAnsi="Calibri" w:cstheme="majorBidi"/>
      <w:b/>
      <w:caps w:val="0"/>
      <w:color w:val="7C8C88"/>
      <w:sz w:val="26"/>
      <w:szCs w:val="26"/>
      <w:lang w:val="en-GB"/>
    </w:rPr>
  </w:style>
  <w:style w:type="paragraph" w:customStyle="1" w:styleId="Tablecolumnheading">
    <w:name w:val="Table column heading"/>
    <w:basedOn w:val="Normal"/>
    <w:qFormat/>
    <w:rsid w:val="00B22583"/>
    <w:pPr>
      <w:keepNext/>
      <w:spacing w:before="57" w:after="57" w:line="220" w:lineRule="atLeast"/>
      <w:ind w:left="96" w:right="96"/>
      <w:jc w:val="center"/>
    </w:pPr>
    <w:rPr>
      <w:rFonts w:eastAsia="Times New Roman" w:cs="Times New Roman"/>
      <w:b/>
      <w:color w:val="FFFFFF" w:themeColor="background1"/>
      <w:sz w:val="20"/>
      <w:szCs w:val="20"/>
      <w:lang w:val="en-AU"/>
    </w:rPr>
  </w:style>
  <w:style w:type="paragraph" w:customStyle="1" w:styleId="BodyTextHanging">
    <w:name w:val="Body Text Hanging"/>
    <w:basedOn w:val="BodyText"/>
    <w:link w:val="BodyTextHangingChar"/>
    <w:qFormat/>
    <w:rsid w:val="00B22583"/>
    <w:pPr>
      <w:spacing w:after="120" w:line="240" w:lineRule="auto"/>
    </w:pPr>
    <w:rPr>
      <w:rFonts w:ascii="Calibri" w:hAnsi="Calibri"/>
      <w:color w:val="000000" w:themeColor="text1"/>
      <w:lang w:eastAsia="en-AU"/>
    </w:rPr>
  </w:style>
  <w:style w:type="character" w:customStyle="1" w:styleId="BodyTextHangingChar">
    <w:name w:val="Body Text Hanging Char"/>
    <w:basedOn w:val="BodyTextChar"/>
    <w:link w:val="BodyTextHanging"/>
    <w:rsid w:val="00B22583"/>
    <w:rPr>
      <w:rFonts w:ascii="Calibri" w:hAnsi="Calibri"/>
      <w:color w:val="000000" w:themeColor="text1"/>
      <w:lang w:val="en-GB" w:eastAsia="en-AU"/>
    </w:rPr>
  </w:style>
  <w:style w:type="table" w:styleId="GridTable1Light">
    <w:name w:val="Grid Table 1 Light"/>
    <w:basedOn w:val="TableNormal"/>
    <w:uiPriority w:val="46"/>
    <w:locked/>
    <w:rsid w:val="003617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E6074"/>
    <w:rPr>
      <w:color w:val="800080" w:themeColor="followedHyperlink"/>
      <w:u w:val="single"/>
    </w:rPr>
  </w:style>
  <w:style w:type="paragraph" w:styleId="Revision">
    <w:name w:val="Revision"/>
    <w:hidden/>
    <w:uiPriority w:val="99"/>
    <w:semiHidden/>
    <w:rsid w:val="00A64085"/>
    <w:pPr>
      <w:spacing w:after="0" w:line="240" w:lineRule="auto"/>
    </w:pPr>
    <w:rPr>
      <w:color w:val="495965" w:themeColor="text2"/>
      <w:lang w:val="en-GB"/>
    </w:rPr>
  </w:style>
  <w:style w:type="character" w:customStyle="1" w:styleId="ListParagraphChar">
    <w:name w:val="List Paragraph Char"/>
    <w:aliases w:val="List Paragraph1 Char,List Paragraph11 Char,List Paragraph2 Char,Bulit List -  Paragraph Char,Main numbered paragraph Char,Numbered List Paragraph Char,bullet 1 Char,Recommendation Char,L Char,List Paragraph111 Char,Dot pt Char"/>
    <w:basedOn w:val="DefaultParagraphFont"/>
    <w:link w:val="ListParagraph"/>
    <w:uiPriority w:val="34"/>
    <w:locked/>
    <w:rsid w:val="007A26F1"/>
    <w:rPr>
      <w:color w:val="495965" w:themeColor="text2"/>
      <w:lang w:val="en-GB"/>
    </w:rPr>
  </w:style>
  <w:style w:type="character" w:styleId="UnresolvedMention">
    <w:name w:val="Unresolved Mention"/>
    <w:basedOn w:val="DefaultParagraphFont"/>
    <w:uiPriority w:val="99"/>
    <w:semiHidden/>
    <w:unhideWhenUsed/>
    <w:rsid w:val="002200D9"/>
    <w:rPr>
      <w:color w:val="605E5C"/>
      <w:shd w:val="clear" w:color="auto" w:fill="E1DFDD"/>
    </w:rPr>
  </w:style>
  <w:style w:type="character" w:customStyle="1" w:styleId="normaltextrun">
    <w:name w:val="normaltextrun"/>
    <w:basedOn w:val="DefaultParagraphFont"/>
    <w:rsid w:val="00CA5E15"/>
  </w:style>
  <w:style w:type="character" w:customStyle="1" w:styleId="findhit">
    <w:name w:val="findhit"/>
    <w:basedOn w:val="DefaultParagraphFont"/>
    <w:rsid w:val="00CA5E15"/>
  </w:style>
  <w:style w:type="paragraph" w:customStyle="1" w:styleId="paragraph">
    <w:name w:val="paragraph"/>
    <w:basedOn w:val="Normal"/>
    <w:rsid w:val="00797AA5"/>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eop">
    <w:name w:val="eop"/>
    <w:basedOn w:val="DefaultParagraphFont"/>
    <w:rsid w:val="00797AA5"/>
  </w:style>
  <w:style w:type="paragraph" w:customStyle="1" w:styleId="referencianotaalpieChar">
    <w:name w:val="referencia nota al pie Char"/>
    <w:aliases w:val="BVI fnr Char,BVI fnr Car Car Char,BVI fnr Car Char,BVI fnr Car Car Car Car Char Char,BVI fnr Char Char Char Char,BVI fnr Car Car Char Char Char Char,BVI fnr Char Char1,BVI fnr Car Car Char Char1,BVI fnr Car Char Char1"/>
    <w:basedOn w:val="Normal"/>
    <w:link w:val="FootnoteReference"/>
    <w:uiPriority w:val="99"/>
    <w:rsid w:val="007F1A7F"/>
    <w:pPr>
      <w:spacing w:after="160" w:line="240" w:lineRule="exact"/>
      <w:ind w:left="0" w:firstLine="0"/>
    </w:pPr>
    <w:rPr>
      <w:color w:val="auto"/>
      <w:vertAlign w:val="superscript"/>
      <w:lang w:val="en-AU"/>
    </w:rPr>
  </w:style>
  <w:style w:type="paragraph" w:customStyle="1" w:styleId="Char2">
    <w:name w:val="Char2"/>
    <w:basedOn w:val="Normal"/>
    <w:uiPriority w:val="99"/>
    <w:rsid w:val="00E113DD"/>
    <w:pPr>
      <w:spacing w:after="160" w:line="240" w:lineRule="exact"/>
      <w:ind w:left="0" w:firstLine="0"/>
    </w:pPr>
    <w:rPr>
      <w:color w:val="auto"/>
      <w:vertAlign w:val="superscript"/>
      <w:lang w:val="en-AU"/>
    </w:rPr>
  </w:style>
  <w:style w:type="table" w:customStyle="1" w:styleId="TabelEcorys1">
    <w:name w:val="TabelEcorys1"/>
    <w:basedOn w:val="TableNormal"/>
    <w:next w:val="TableGrid"/>
    <w:uiPriority w:val="59"/>
    <w:locked/>
    <w:rsid w:val="00C2686A"/>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21">
    <w:name w:val="cf21"/>
    <w:basedOn w:val="DefaultParagraphFont"/>
    <w:rsid w:val="00632534"/>
    <w:rPr>
      <w:rFonts w:ascii="Segoe UI" w:hAnsi="Segoe UI" w:cs="Segoe UI" w:hint="default"/>
      <w:i/>
      <w:iCs/>
      <w:color w:val="495965"/>
      <w:sz w:val="18"/>
      <w:szCs w:val="18"/>
    </w:rPr>
  </w:style>
  <w:style w:type="table" w:customStyle="1" w:styleId="TableGrid11">
    <w:name w:val="Table Grid11"/>
    <w:basedOn w:val="TableNormal"/>
    <w:next w:val="TableGrid"/>
    <w:uiPriority w:val="39"/>
    <w:rsid w:val="001422D4"/>
    <w:pPr>
      <w:spacing w:after="0" w:line="240" w:lineRule="auto"/>
      <w:ind w:left="0" w:firstLine="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22D4"/>
    <w:pPr>
      <w:spacing w:after="0" w:line="240" w:lineRule="auto"/>
      <w:ind w:left="0" w:firstLine="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22D4"/>
    <w:pPr>
      <w:spacing w:after="0" w:line="240" w:lineRule="auto"/>
      <w:ind w:left="0" w:firstLine="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1637A"/>
    <w:pPr>
      <w:spacing w:after="0" w:line="240" w:lineRule="auto"/>
      <w:ind w:left="0" w:firstLine="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846">
      <w:bodyDiv w:val="1"/>
      <w:marLeft w:val="0"/>
      <w:marRight w:val="0"/>
      <w:marTop w:val="0"/>
      <w:marBottom w:val="0"/>
      <w:divBdr>
        <w:top w:val="none" w:sz="0" w:space="0" w:color="auto"/>
        <w:left w:val="none" w:sz="0" w:space="0" w:color="auto"/>
        <w:bottom w:val="none" w:sz="0" w:space="0" w:color="auto"/>
        <w:right w:val="none" w:sz="0" w:space="0" w:color="auto"/>
      </w:divBdr>
    </w:div>
    <w:div w:id="120079536">
      <w:bodyDiv w:val="1"/>
      <w:marLeft w:val="0"/>
      <w:marRight w:val="0"/>
      <w:marTop w:val="0"/>
      <w:marBottom w:val="0"/>
      <w:divBdr>
        <w:top w:val="none" w:sz="0" w:space="0" w:color="auto"/>
        <w:left w:val="none" w:sz="0" w:space="0" w:color="auto"/>
        <w:bottom w:val="none" w:sz="0" w:space="0" w:color="auto"/>
        <w:right w:val="none" w:sz="0" w:space="0" w:color="auto"/>
      </w:divBdr>
    </w:div>
    <w:div w:id="129057924">
      <w:bodyDiv w:val="1"/>
      <w:marLeft w:val="0"/>
      <w:marRight w:val="0"/>
      <w:marTop w:val="0"/>
      <w:marBottom w:val="0"/>
      <w:divBdr>
        <w:top w:val="none" w:sz="0" w:space="0" w:color="auto"/>
        <w:left w:val="none" w:sz="0" w:space="0" w:color="auto"/>
        <w:bottom w:val="none" w:sz="0" w:space="0" w:color="auto"/>
        <w:right w:val="none" w:sz="0" w:space="0" w:color="auto"/>
      </w:divBdr>
      <w:divsChild>
        <w:div w:id="1130127376">
          <w:marLeft w:val="0"/>
          <w:marRight w:val="0"/>
          <w:marTop w:val="0"/>
          <w:marBottom w:val="0"/>
          <w:divBdr>
            <w:top w:val="none" w:sz="0" w:space="0" w:color="auto"/>
            <w:left w:val="none" w:sz="0" w:space="0" w:color="auto"/>
            <w:bottom w:val="none" w:sz="0" w:space="0" w:color="auto"/>
            <w:right w:val="none" w:sz="0" w:space="0" w:color="auto"/>
          </w:divBdr>
        </w:div>
        <w:div w:id="1609653607">
          <w:marLeft w:val="0"/>
          <w:marRight w:val="0"/>
          <w:marTop w:val="0"/>
          <w:marBottom w:val="0"/>
          <w:divBdr>
            <w:top w:val="none" w:sz="0" w:space="0" w:color="auto"/>
            <w:left w:val="none" w:sz="0" w:space="0" w:color="auto"/>
            <w:bottom w:val="none" w:sz="0" w:space="0" w:color="auto"/>
            <w:right w:val="none" w:sz="0" w:space="0" w:color="auto"/>
          </w:divBdr>
        </w:div>
        <w:div w:id="1514228164">
          <w:marLeft w:val="0"/>
          <w:marRight w:val="0"/>
          <w:marTop w:val="0"/>
          <w:marBottom w:val="0"/>
          <w:divBdr>
            <w:top w:val="none" w:sz="0" w:space="0" w:color="auto"/>
            <w:left w:val="none" w:sz="0" w:space="0" w:color="auto"/>
            <w:bottom w:val="none" w:sz="0" w:space="0" w:color="auto"/>
            <w:right w:val="none" w:sz="0" w:space="0" w:color="auto"/>
          </w:divBdr>
        </w:div>
      </w:divsChild>
    </w:div>
    <w:div w:id="236864963">
      <w:bodyDiv w:val="1"/>
      <w:marLeft w:val="0"/>
      <w:marRight w:val="0"/>
      <w:marTop w:val="0"/>
      <w:marBottom w:val="0"/>
      <w:divBdr>
        <w:top w:val="none" w:sz="0" w:space="0" w:color="auto"/>
        <w:left w:val="none" w:sz="0" w:space="0" w:color="auto"/>
        <w:bottom w:val="none" w:sz="0" w:space="0" w:color="auto"/>
        <w:right w:val="none" w:sz="0" w:space="0" w:color="auto"/>
      </w:divBdr>
    </w:div>
    <w:div w:id="488593831">
      <w:bodyDiv w:val="1"/>
      <w:marLeft w:val="0"/>
      <w:marRight w:val="0"/>
      <w:marTop w:val="0"/>
      <w:marBottom w:val="0"/>
      <w:divBdr>
        <w:top w:val="none" w:sz="0" w:space="0" w:color="auto"/>
        <w:left w:val="none" w:sz="0" w:space="0" w:color="auto"/>
        <w:bottom w:val="none" w:sz="0" w:space="0" w:color="auto"/>
        <w:right w:val="none" w:sz="0" w:space="0" w:color="auto"/>
      </w:divBdr>
    </w:div>
    <w:div w:id="576591773">
      <w:bodyDiv w:val="1"/>
      <w:marLeft w:val="0"/>
      <w:marRight w:val="0"/>
      <w:marTop w:val="0"/>
      <w:marBottom w:val="0"/>
      <w:divBdr>
        <w:top w:val="none" w:sz="0" w:space="0" w:color="auto"/>
        <w:left w:val="none" w:sz="0" w:space="0" w:color="auto"/>
        <w:bottom w:val="none" w:sz="0" w:space="0" w:color="auto"/>
        <w:right w:val="none" w:sz="0" w:space="0" w:color="auto"/>
      </w:divBdr>
    </w:div>
    <w:div w:id="596905180">
      <w:bodyDiv w:val="1"/>
      <w:marLeft w:val="0"/>
      <w:marRight w:val="0"/>
      <w:marTop w:val="0"/>
      <w:marBottom w:val="0"/>
      <w:divBdr>
        <w:top w:val="none" w:sz="0" w:space="0" w:color="auto"/>
        <w:left w:val="none" w:sz="0" w:space="0" w:color="auto"/>
        <w:bottom w:val="none" w:sz="0" w:space="0" w:color="auto"/>
        <w:right w:val="none" w:sz="0" w:space="0" w:color="auto"/>
      </w:divBdr>
    </w:div>
    <w:div w:id="633755963">
      <w:bodyDiv w:val="1"/>
      <w:marLeft w:val="0"/>
      <w:marRight w:val="0"/>
      <w:marTop w:val="0"/>
      <w:marBottom w:val="0"/>
      <w:divBdr>
        <w:top w:val="none" w:sz="0" w:space="0" w:color="auto"/>
        <w:left w:val="none" w:sz="0" w:space="0" w:color="auto"/>
        <w:bottom w:val="none" w:sz="0" w:space="0" w:color="auto"/>
        <w:right w:val="none" w:sz="0" w:space="0" w:color="auto"/>
      </w:divBdr>
    </w:div>
    <w:div w:id="724259418">
      <w:bodyDiv w:val="1"/>
      <w:marLeft w:val="0"/>
      <w:marRight w:val="0"/>
      <w:marTop w:val="0"/>
      <w:marBottom w:val="0"/>
      <w:divBdr>
        <w:top w:val="none" w:sz="0" w:space="0" w:color="auto"/>
        <w:left w:val="none" w:sz="0" w:space="0" w:color="auto"/>
        <w:bottom w:val="none" w:sz="0" w:space="0" w:color="auto"/>
        <w:right w:val="none" w:sz="0" w:space="0" w:color="auto"/>
      </w:divBdr>
    </w:div>
    <w:div w:id="756824363">
      <w:bodyDiv w:val="1"/>
      <w:marLeft w:val="0"/>
      <w:marRight w:val="0"/>
      <w:marTop w:val="0"/>
      <w:marBottom w:val="0"/>
      <w:divBdr>
        <w:top w:val="none" w:sz="0" w:space="0" w:color="auto"/>
        <w:left w:val="none" w:sz="0" w:space="0" w:color="auto"/>
        <w:bottom w:val="none" w:sz="0" w:space="0" w:color="auto"/>
        <w:right w:val="none" w:sz="0" w:space="0" w:color="auto"/>
      </w:divBdr>
    </w:div>
    <w:div w:id="782962159">
      <w:bodyDiv w:val="1"/>
      <w:marLeft w:val="0"/>
      <w:marRight w:val="0"/>
      <w:marTop w:val="0"/>
      <w:marBottom w:val="0"/>
      <w:divBdr>
        <w:top w:val="none" w:sz="0" w:space="0" w:color="auto"/>
        <w:left w:val="none" w:sz="0" w:space="0" w:color="auto"/>
        <w:bottom w:val="none" w:sz="0" w:space="0" w:color="auto"/>
        <w:right w:val="none" w:sz="0" w:space="0" w:color="auto"/>
      </w:divBdr>
    </w:div>
    <w:div w:id="957178690">
      <w:bodyDiv w:val="1"/>
      <w:marLeft w:val="0"/>
      <w:marRight w:val="0"/>
      <w:marTop w:val="0"/>
      <w:marBottom w:val="0"/>
      <w:divBdr>
        <w:top w:val="none" w:sz="0" w:space="0" w:color="auto"/>
        <w:left w:val="none" w:sz="0" w:space="0" w:color="auto"/>
        <w:bottom w:val="none" w:sz="0" w:space="0" w:color="auto"/>
        <w:right w:val="none" w:sz="0" w:space="0" w:color="auto"/>
      </w:divBdr>
    </w:div>
    <w:div w:id="1228611659">
      <w:bodyDiv w:val="1"/>
      <w:marLeft w:val="0"/>
      <w:marRight w:val="0"/>
      <w:marTop w:val="0"/>
      <w:marBottom w:val="0"/>
      <w:divBdr>
        <w:top w:val="none" w:sz="0" w:space="0" w:color="auto"/>
        <w:left w:val="none" w:sz="0" w:space="0" w:color="auto"/>
        <w:bottom w:val="none" w:sz="0" w:space="0" w:color="auto"/>
        <w:right w:val="none" w:sz="0" w:space="0" w:color="auto"/>
      </w:divBdr>
    </w:div>
    <w:div w:id="1234780627">
      <w:bodyDiv w:val="1"/>
      <w:marLeft w:val="0"/>
      <w:marRight w:val="0"/>
      <w:marTop w:val="0"/>
      <w:marBottom w:val="0"/>
      <w:divBdr>
        <w:top w:val="none" w:sz="0" w:space="0" w:color="auto"/>
        <w:left w:val="none" w:sz="0" w:space="0" w:color="auto"/>
        <w:bottom w:val="none" w:sz="0" w:space="0" w:color="auto"/>
        <w:right w:val="none" w:sz="0" w:space="0" w:color="auto"/>
      </w:divBdr>
    </w:div>
    <w:div w:id="1378823522">
      <w:bodyDiv w:val="1"/>
      <w:marLeft w:val="0"/>
      <w:marRight w:val="0"/>
      <w:marTop w:val="0"/>
      <w:marBottom w:val="0"/>
      <w:divBdr>
        <w:top w:val="none" w:sz="0" w:space="0" w:color="auto"/>
        <w:left w:val="none" w:sz="0" w:space="0" w:color="auto"/>
        <w:bottom w:val="none" w:sz="0" w:space="0" w:color="auto"/>
        <w:right w:val="none" w:sz="0" w:space="0" w:color="auto"/>
      </w:divBdr>
    </w:div>
    <w:div w:id="1405907158">
      <w:bodyDiv w:val="1"/>
      <w:marLeft w:val="0"/>
      <w:marRight w:val="0"/>
      <w:marTop w:val="0"/>
      <w:marBottom w:val="0"/>
      <w:divBdr>
        <w:top w:val="none" w:sz="0" w:space="0" w:color="auto"/>
        <w:left w:val="none" w:sz="0" w:space="0" w:color="auto"/>
        <w:bottom w:val="none" w:sz="0" w:space="0" w:color="auto"/>
        <w:right w:val="none" w:sz="0" w:space="0" w:color="auto"/>
      </w:divBdr>
    </w:div>
    <w:div w:id="1486123512">
      <w:bodyDiv w:val="1"/>
      <w:marLeft w:val="0"/>
      <w:marRight w:val="0"/>
      <w:marTop w:val="0"/>
      <w:marBottom w:val="0"/>
      <w:divBdr>
        <w:top w:val="none" w:sz="0" w:space="0" w:color="auto"/>
        <w:left w:val="none" w:sz="0" w:space="0" w:color="auto"/>
        <w:bottom w:val="none" w:sz="0" w:space="0" w:color="auto"/>
        <w:right w:val="none" w:sz="0" w:space="0" w:color="auto"/>
      </w:divBdr>
      <w:divsChild>
        <w:div w:id="305017855">
          <w:marLeft w:val="0"/>
          <w:marRight w:val="0"/>
          <w:marTop w:val="0"/>
          <w:marBottom w:val="0"/>
          <w:divBdr>
            <w:top w:val="none" w:sz="0" w:space="0" w:color="auto"/>
            <w:left w:val="none" w:sz="0" w:space="0" w:color="auto"/>
            <w:bottom w:val="none" w:sz="0" w:space="0" w:color="auto"/>
            <w:right w:val="none" w:sz="0" w:space="0" w:color="auto"/>
          </w:divBdr>
          <w:divsChild>
            <w:div w:id="149295927">
              <w:marLeft w:val="0"/>
              <w:marRight w:val="0"/>
              <w:marTop w:val="0"/>
              <w:marBottom w:val="0"/>
              <w:divBdr>
                <w:top w:val="none" w:sz="0" w:space="0" w:color="auto"/>
                <w:left w:val="none" w:sz="0" w:space="0" w:color="auto"/>
                <w:bottom w:val="none" w:sz="0" w:space="0" w:color="auto"/>
                <w:right w:val="none" w:sz="0" w:space="0" w:color="auto"/>
              </w:divBdr>
            </w:div>
            <w:div w:id="1089929799">
              <w:marLeft w:val="0"/>
              <w:marRight w:val="0"/>
              <w:marTop w:val="0"/>
              <w:marBottom w:val="0"/>
              <w:divBdr>
                <w:top w:val="none" w:sz="0" w:space="0" w:color="auto"/>
                <w:left w:val="none" w:sz="0" w:space="0" w:color="auto"/>
                <w:bottom w:val="none" w:sz="0" w:space="0" w:color="auto"/>
                <w:right w:val="none" w:sz="0" w:space="0" w:color="auto"/>
              </w:divBdr>
            </w:div>
            <w:div w:id="1107846697">
              <w:marLeft w:val="0"/>
              <w:marRight w:val="0"/>
              <w:marTop w:val="0"/>
              <w:marBottom w:val="0"/>
              <w:divBdr>
                <w:top w:val="none" w:sz="0" w:space="0" w:color="auto"/>
                <w:left w:val="none" w:sz="0" w:space="0" w:color="auto"/>
                <w:bottom w:val="none" w:sz="0" w:space="0" w:color="auto"/>
                <w:right w:val="none" w:sz="0" w:space="0" w:color="auto"/>
              </w:divBdr>
            </w:div>
            <w:div w:id="1796219960">
              <w:marLeft w:val="0"/>
              <w:marRight w:val="0"/>
              <w:marTop w:val="0"/>
              <w:marBottom w:val="0"/>
              <w:divBdr>
                <w:top w:val="none" w:sz="0" w:space="0" w:color="auto"/>
                <w:left w:val="none" w:sz="0" w:space="0" w:color="auto"/>
                <w:bottom w:val="none" w:sz="0" w:space="0" w:color="auto"/>
                <w:right w:val="none" w:sz="0" w:space="0" w:color="auto"/>
              </w:divBdr>
            </w:div>
            <w:div w:id="1868374704">
              <w:marLeft w:val="0"/>
              <w:marRight w:val="0"/>
              <w:marTop w:val="0"/>
              <w:marBottom w:val="0"/>
              <w:divBdr>
                <w:top w:val="none" w:sz="0" w:space="0" w:color="auto"/>
                <w:left w:val="none" w:sz="0" w:space="0" w:color="auto"/>
                <w:bottom w:val="none" w:sz="0" w:space="0" w:color="auto"/>
                <w:right w:val="none" w:sz="0" w:space="0" w:color="auto"/>
              </w:divBdr>
            </w:div>
          </w:divsChild>
        </w:div>
        <w:div w:id="1204635267">
          <w:marLeft w:val="0"/>
          <w:marRight w:val="0"/>
          <w:marTop w:val="0"/>
          <w:marBottom w:val="0"/>
          <w:divBdr>
            <w:top w:val="none" w:sz="0" w:space="0" w:color="auto"/>
            <w:left w:val="none" w:sz="0" w:space="0" w:color="auto"/>
            <w:bottom w:val="none" w:sz="0" w:space="0" w:color="auto"/>
            <w:right w:val="none" w:sz="0" w:space="0" w:color="auto"/>
          </w:divBdr>
          <w:divsChild>
            <w:div w:id="29838654">
              <w:marLeft w:val="0"/>
              <w:marRight w:val="0"/>
              <w:marTop w:val="0"/>
              <w:marBottom w:val="0"/>
              <w:divBdr>
                <w:top w:val="none" w:sz="0" w:space="0" w:color="auto"/>
                <w:left w:val="none" w:sz="0" w:space="0" w:color="auto"/>
                <w:bottom w:val="none" w:sz="0" w:space="0" w:color="auto"/>
                <w:right w:val="none" w:sz="0" w:space="0" w:color="auto"/>
              </w:divBdr>
            </w:div>
            <w:div w:id="168833806">
              <w:marLeft w:val="0"/>
              <w:marRight w:val="0"/>
              <w:marTop w:val="0"/>
              <w:marBottom w:val="0"/>
              <w:divBdr>
                <w:top w:val="none" w:sz="0" w:space="0" w:color="auto"/>
                <w:left w:val="none" w:sz="0" w:space="0" w:color="auto"/>
                <w:bottom w:val="none" w:sz="0" w:space="0" w:color="auto"/>
                <w:right w:val="none" w:sz="0" w:space="0" w:color="auto"/>
              </w:divBdr>
            </w:div>
            <w:div w:id="208542910">
              <w:marLeft w:val="0"/>
              <w:marRight w:val="0"/>
              <w:marTop w:val="0"/>
              <w:marBottom w:val="0"/>
              <w:divBdr>
                <w:top w:val="none" w:sz="0" w:space="0" w:color="auto"/>
                <w:left w:val="none" w:sz="0" w:space="0" w:color="auto"/>
                <w:bottom w:val="none" w:sz="0" w:space="0" w:color="auto"/>
                <w:right w:val="none" w:sz="0" w:space="0" w:color="auto"/>
              </w:divBdr>
            </w:div>
            <w:div w:id="560677585">
              <w:marLeft w:val="0"/>
              <w:marRight w:val="0"/>
              <w:marTop w:val="0"/>
              <w:marBottom w:val="0"/>
              <w:divBdr>
                <w:top w:val="none" w:sz="0" w:space="0" w:color="auto"/>
                <w:left w:val="none" w:sz="0" w:space="0" w:color="auto"/>
                <w:bottom w:val="none" w:sz="0" w:space="0" w:color="auto"/>
                <w:right w:val="none" w:sz="0" w:space="0" w:color="auto"/>
              </w:divBdr>
            </w:div>
            <w:div w:id="564098954">
              <w:marLeft w:val="0"/>
              <w:marRight w:val="0"/>
              <w:marTop w:val="0"/>
              <w:marBottom w:val="0"/>
              <w:divBdr>
                <w:top w:val="none" w:sz="0" w:space="0" w:color="auto"/>
                <w:left w:val="none" w:sz="0" w:space="0" w:color="auto"/>
                <w:bottom w:val="none" w:sz="0" w:space="0" w:color="auto"/>
                <w:right w:val="none" w:sz="0" w:space="0" w:color="auto"/>
              </w:divBdr>
            </w:div>
            <w:div w:id="652686964">
              <w:marLeft w:val="0"/>
              <w:marRight w:val="0"/>
              <w:marTop w:val="0"/>
              <w:marBottom w:val="0"/>
              <w:divBdr>
                <w:top w:val="none" w:sz="0" w:space="0" w:color="auto"/>
                <w:left w:val="none" w:sz="0" w:space="0" w:color="auto"/>
                <w:bottom w:val="none" w:sz="0" w:space="0" w:color="auto"/>
                <w:right w:val="none" w:sz="0" w:space="0" w:color="auto"/>
              </w:divBdr>
            </w:div>
            <w:div w:id="963344365">
              <w:marLeft w:val="0"/>
              <w:marRight w:val="0"/>
              <w:marTop w:val="0"/>
              <w:marBottom w:val="0"/>
              <w:divBdr>
                <w:top w:val="none" w:sz="0" w:space="0" w:color="auto"/>
                <w:left w:val="none" w:sz="0" w:space="0" w:color="auto"/>
                <w:bottom w:val="none" w:sz="0" w:space="0" w:color="auto"/>
                <w:right w:val="none" w:sz="0" w:space="0" w:color="auto"/>
              </w:divBdr>
            </w:div>
            <w:div w:id="1099325935">
              <w:marLeft w:val="0"/>
              <w:marRight w:val="0"/>
              <w:marTop w:val="0"/>
              <w:marBottom w:val="0"/>
              <w:divBdr>
                <w:top w:val="none" w:sz="0" w:space="0" w:color="auto"/>
                <w:left w:val="none" w:sz="0" w:space="0" w:color="auto"/>
                <w:bottom w:val="none" w:sz="0" w:space="0" w:color="auto"/>
                <w:right w:val="none" w:sz="0" w:space="0" w:color="auto"/>
              </w:divBdr>
            </w:div>
            <w:div w:id="1173225867">
              <w:marLeft w:val="0"/>
              <w:marRight w:val="0"/>
              <w:marTop w:val="0"/>
              <w:marBottom w:val="0"/>
              <w:divBdr>
                <w:top w:val="none" w:sz="0" w:space="0" w:color="auto"/>
                <w:left w:val="none" w:sz="0" w:space="0" w:color="auto"/>
                <w:bottom w:val="none" w:sz="0" w:space="0" w:color="auto"/>
                <w:right w:val="none" w:sz="0" w:space="0" w:color="auto"/>
              </w:divBdr>
            </w:div>
            <w:div w:id="1194030590">
              <w:marLeft w:val="0"/>
              <w:marRight w:val="0"/>
              <w:marTop w:val="0"/>
              <w:marBottom w:val="0"/>
              <w:divBdr>
                <w:top w:val="none" w:sz="0" w:space="0" w:color="auto"/>
                <w:left w:val="none" w:sz="0" w:space="0" w:color="auto"/>
                <w:bottom w:val="none" w:sz="0" w:space="0" w:color="auto"/>
                <w:right w:val="none" w:sz="0" w:space="0" w:color="auto"/>
              </w:divBdr>
            </w:div>
            <w:div w:id="1305507051">
              <w:marLeft w:val="0"/>
              <w:marRight w:val="0"/>
              <w:marTop w:val="0"/>
              <w:marBottom w:val="0"/>
              <w:divBdr>
                <w:top w:val="none" w:sz="0" w:space="0" w:color="auto"/>
                <w:left w:val="none" w:sz="0" w:space="0" w:color="auto"/>
                <w:bottom w:val="none" w:sz="0" w:space="0" w:color="auto"/>
                <w:right w:val="none" w:sz="0" w:space="0" w:color="auto"/>
              </w:divBdr>
            </w:div>
            <w:div w:id="1406033362">
              <w:marLeft w:val="0"/>
              <w:marRight w:val="0"/>
              <w:marTop w:val="0"/>
              <w:marBottom w:val="0"/>
              <w:divBdr>
                <w:top w:val="none" w:sz="0" w:space="0" w:color="auto"/>
                <w:left w:val="none" w:sz="0" w:space="0" w:color="auto"/>
                <w:bottom w:val="none" w:sz="0" w:space="0" w:color="auto"/>
                <w:right w:val="none" w:sz="0" w:space="0" w:color="auto"/>
              </w:divBdr>
            </w:div>
            <w:div w:id="1436710026">
              <w:marLeft w:val="0"/>
              <w:marRight w:val="0"/>
              <w:marTop w:val="0"/>
              <w:marBottom w:val="0"/>
              <w:divBdr>
                <w:top w:val="none" w:sz="0" w:space="0" w:color="auto"/>
                <w:left w:val="none" w:sz="0" w:space="0" w:color="auto"/>
                <w:bottom w:val="none" w:sz="0" w:space="0" w:color="auto"/>
                <w:right w:val="none" w:sz="0" w:space="0" w:color="auto"/>
              </w:divBdr>
            </w:div>
            <w:div w:id="1483621764">
              <w:marLeft w:val="0"/>
              <w:marRight w:val="0"/>
              <w:marTop w:val="0"/>
              <w:marBottom w:val="0"/>
              <w:divBdr>
                <w:top w:val="none" w:sz="0" w:space="0" w:color="auto"/>
                <w:left w:val="none" w:sz="0" w:space="0" w:color="auto"/>
                <w:bottom w:val="none" w:sz="0" w:space="0" w:color="auto"/>
                <w:right w:val="none" w:sz="0" w:space="0" w:color="auto"/>
              </w:divBdr>
            </w:div>
            <w:div w:id="1538815748">
              <w:marLeft w:val="0"/>
              <w:marRight w:val="0"/>
              <w:marTop w:val="0"/>
              <w:marBottom w:val="0"/>
              <w:divBdr>
                <w:top w:val="none" w:sz="0" w:space="0" w:color="auto"/>
                <w:left w:val="none" w:sz="0" w:space="0" w:color="auto"/>
                <w:bottom w:val="none" w:sz="0" w:space="0" w:color="auto"/>
                <w:right w:val="none" w:sz="0" w:space="0" w:color="auto"/>
              </w:divBdr>
            </w:div>
            <w:div w:id="1825659810">
              <w:marLeft w:val="0"/>
              <w:marRight w:val="0"/>
              <w:marTop w:val="0"/>
              <w:marBottom w:val="0"/>
              <w:divBdr>
                <w:top w:val="none" w:sz="0" w:space="0" w:color="auto"/>
                <w:left w:val="none" w:sz="0" w:space="0" w:color="auto"/>
                <w:bottom w:val="none" w:sz="0" w:space="0" w:color="auto"/>
                <w:right w:val="none" w:sz="0" w:space="0" w:color="auto"/>
              </w:divBdr>
            </w:div>
            <w:div w:id="1866168063">
              <w:marLeft w:val="0"/>
              <w:marRight w:val="0"/>
              <w:marTop w:val="0"/>
              <w:marBottom w:val="0"/>
              <w:divBdr>
                <w:top w:val="none" w:sz="0" w:space="0" w:color="auto"/>
                <w:left w:val="none" w:sz="0" w:space="0" w:color="auto"/>
                <w:bottom w:val="none" w:sz="0" w:space="0" w:color="auto"/>
                <w:right w:val="none" w:sz="0" w:space="0" w:color="auto"/>
              </w:divBdr>
            </w:div>
            <w:div w:id="1868786017">
              <w:marLeft w:val="0"/>
              <w:marRight w:val="0"/>
              <w:marTop w:val="0"/>
              <w:marBottom w:val="0"/>
              <w:divBdr>
                <w:top w:val="none" w:sz="0" w:space="0" w:color="auto"/>
                <w:left w:val="none" w:sz="0" w:space="0" w:color="auto"/>
                <w:bottom w:val="none" w:sz="0" w:space="0" w:color="auto"/>
                <w:right w:val="none" w:sz="0" w:space="0" w:color="auto"/>
              </w:divBdr>
            </w:div>
            <w:div w:id="1988194964">
              <w:marLeft w:val="0"/>
              <w:marRight w:val="0"/>
              <w:marTop w:val="0"/>
              <w:marBottom w:val="0"/>
              <w:divBdr>
                <w:top w:val="none" w:sz="0" w:space="0" w:color="auto"/>
                <w:left w:val="none" w:sz="0" w:space="0" w:color="auto"/>
                <w:bottom w:val="none" w:sz="0" w:space="0" w:color="auto"/>
                <w:right w:val="none" w:sz="0" w:space="0" w:color="auto"/>
              </w:divBdr>
            </w:div>
          </w:divsChild>
        </w:div>
        <w:div w:id="1454207701">
          <w:marLeft w:val="0"/>
          <w:marRight w:val="0"/>
          <w:marTop w:val="0"/>
          <w:marBottom w:val="0"/>
          <w:divBdr>
            <w:top w:val="none" w:sz="0" w:space="0" w:color="auto"/>
            <w:left w:val="none" w:sz="0" w:space="0" w:color="auto"/>
            <w:bottom w:val="none" w:sz="0" w:space="0" w:color="auto"/>
            <w:right w:val="none" w:sz="0" w:space="0" w:color="auto"/>
          </w:divBdr>
          <w:divsChild>
            <w:div w:id="42993345">
              <w:marLeft w:val="0"/>
              <w:marRight w:val="0"/>
              <w:marTop w:val="0"/>
              <w:marBottom w:val="0"/>
              <w:divBdr>
                <w:top w:val="none" w:sz="0" w:space="0" w:color="auto"/>
                <w:left w:val="none" w:sz="0" w:space="0" w:color="auto"/>
                <w:bottom w:val="none" w:sz="0" w:space="0" w:color="auto"/>
                <w:right w:val="none" w:sz="0" w:space="0" w:color="auto"/>
              </w:divBdr>
            </w:div>
            <w:div w:id="53161856">
              <w:marLeft w:val="0"/>
              <w:marRight w:val="0"/>
              <w:marTop w:val="0"/>
              <w:marBottom w:val="0"/>
              <w:divBdr>
                <w:top w:val="none" w:sz="0" w:space="0" w:color="auto"/>
                <w:left w:val="none" w:sz="0" w:space="0" w:color="auto"/>
                <w:bottom w:val="none" w:sz="0" w:space="0" w:color="auto"/>
                <w:right w:val="none" w:sz="0" w:space="0" w:color="auto"/>
              </w:divBdr>
            </w:div>
            <w:div w:id="114445086">
              <w:marLeft w:val="0"/>
              <w:marRight w:val="0"/>
              <w:marTop w:val="0"/>
              <w:marBottom w:val="0"/>
              <w:divBdr>
                <w:top w:val="none" w:sz="0" w:space="0" w:color="auto"/>
                <w:left w:val="none" w:sz="0" w:space="0" w:color="auto"/>
                <w:bottom w:val="none" w:sz="0" w:space="0" w:color="auto"/>
                <w:right w:val="none" w:sz="0" w:space="0" w:color="auto"/>
              </w:divBdr>
            </w:div>
            <w:div w:id="128013657">
              <w:marLeft w:val="0"/>
              <w:marRight w:val="0"/>
              <w:marTop w:val="0"/>
              <w:marBottom w:val="0"/>
              <w:divBdr>
                <w:top w:val="none" w:sz="0" w:space="0" w:color="auto"/>
                <w:left w:val="none" w:sz="0" w:space="0" w:color="auto"/>
                <w:bottom w:val="none" w:sz="0" w:space="0" w:color="auto"/>
                <w:right w:val="none" w:sz="0" w:space="0" w:color="auto"/>
              </w:divBdr>
            </w:div>
            <w:div w:id="187909142">
              <w:marLeft w:val="0"/>
              <w:marRight w:val="0"/>
              <w:marTop w:val="0"/>
              <w:marBottom w:val="0"/>
              <w:divBdr>
                <w:top w:val="none" w:sz="0" w:space="0" w:color="auto"/>
                <w:left w:val="none" w:sz="0" w:space="0" w:color="auto"/>
                <w:bottom w:val="none" w:sz="0" w:space="0" w:color="auto"/>
                <w:right w:val="none" w:sz="0" w:space="0" w:color="auto"/>
              </w:divBdr>
            </w:div>
            <w:div w:id="305017658">
              <w:marLeft w:val="0"/>
              <w:marRight w:val="0"/>
              <w:marTop w:val="0"/>
              <w:marBottom w:val="0"/>
              <w:divBdr>
                <w:top w:val="none" w:sz="0" w:space="0" w:color="auto"/>
                <w:left w:val="none" w:sz="0" w:space="0" w:color="auto"/>
                <w:bottom w:val="none" w:sz="0" w:space="0" w:color="auto"/>
                <w:right w:val="none" w:sz="0" w:space="0" w:color="auto"/>
              </w:divBdr>
            </w:div>
            <w:div w:id="378553896">
              <w:marLeft w:val="0"/>
              <w:marRight w:val="0"/>
              <w:marTop w:val="0"/>
              <w:marBottom w:val="0"/>
              <w:divBdr>
                <w:top w:val="none" w:sz="0" w:space="0" w:color="auto"/>
                <w:left w:val="none" w:sz="0" w:space="0" w:color="auto"/>
                <w:bottom w:val="none" w:sz="0" w:space="0" w:color="auto"/>
                <w:right w:val="none" w:sz="0" w:space="0" w:color="auto"/>
              </w:divBdr>
            </w:div>
            <w:div w:id="445583437">
              <w:marLeft w:val="0"/>
              <w:marRight w:val="0"/>
              <w:marTop w:val="0"/>
              <w:marBottom w:val="0"/>
              <w:divBdr>
                <w:top w:val="none" w:sz="0" w:space="0" w:color="auto"/>
                <w:left w:val="none" w:sz="0" w:space="0" w:color="auto"/>
                <w:bottom w:val="none" w:sz="0" w:space="0" w:color="auto"/>
                <w:right w:val="none" w:sz="0" w:space="0" w:color="auto"/>
              </w:divBdr>
            </w:div>
            <w:div w:id="594509584">
              <w:marLeft w:val="0"/>
              <w:marRight w:val="0"/>
              <w:marTop w:val="0"/>
              <w:marBottom w:val="0"/>
              <w:divBdr>
                <w:top w:val="none" w:sz="0" w:space="0" w:color="auto"/>
                <w:left w:val="none" w:sz="0" w:space="0" w:color="auto"/>
                <w:bottom w:val="none" w:sz="0" w:space="0" w:color="auto"/>
                <w:right w:val="none" w:sz="0" w:space="0" w:color="auto"/>
              </w:divBdr>
            </w:div>
            <w:div w:id="628821866">
              <w:marLeft w:val="0"/>
              <w:marRight w:val="0"/>
              <w:marTop w:val="0"/>
              <w:marBottom w:val="0"/>
              <w:divBdr>
                <w:top w:val="none" w:sz="0" w:space="0" w:color="auto"/>
                <w:left w:val="none" w:sz="0" w:space="0" w:color="auto"/>
                <w:bottom w:val="none" w:sz="0" w:space="0" w:color="auto"/>
                <w:right w:val="none" w:sz="0" w:space="0" w:color="auto"/>
              </w:divBdr>
            </w:div>
            <w:div w:id="659892621">
              <w:marLeft w:val="0"/>
              <w:marRight w:val="0"/>
              <w:marTop w:val="0"/>
              <w:marBottom w:val="0"/>
              <w:divBdr>
                <w:top w:val="none" w:sz="0" w:space="0" w:color="auto"/>
                <w:left w:val="none" w:sz="0" w:space="0" w:color="auto"/>
                <w:bottom w:val="none" w:sz="0" w:space="0" w:color="auto"/>
                <w:right w:val="none" w:sz="0" w:space="0" w:color="auto"/>
              </w:divBdr>
            </w:div>
            <w:div w:id="721908700">
              <w:marLeft w:val="0"/>
              <w:marRight w:val="0"/>
              <w:marTop w:val="0"/>
              <w:marBottom w:val="0"/>
              <w:divBdr>
                <w:top w:val="none" w:sz="0" w:space="0" w:color="auto"/>
                <w:left w:val="none" w:sz="0" w:space="0" w:color="auto"/>
                <w:bottom w:val="none" w:sz="0" w:space="0" w:color="auto"/>
                <w:right w:val="none" w:sz="0" w:space="0" w:color="auto"/>
              </w:divBdr>
            </w:div>
            <w:div w:id="723062609">
              <w:marLeft w:val="0"/>
              <w:marRight w:val="0"/>
              <w:marTop w:val="0"/>
              <w:marBottom w:val="0"/>
              <w:divBdr>
                <w:top w:val="none" w:sz="0" w:space="0" w:color="auto"/>
                <w:left w:val="none" w:sz="0" w:space="0" w:color="auto"/>
                <w:bottom w:val="none" w:sz="0" w:space="0" w:color="auto"/>
                <w:right w:val="none" w:sz="0" w:space="0" w:color="auto"/>
              </w:divBdr>
            </w:div>
            <w:div w:id="840511543">
              <w:marLeft w:val="0"/>
              <w:marRight w:val="0"/>
              <w:marTop w:val="0"/>
              <w:marBottom w:val="0"/>
              <w:divBdr>
                <w:top w:val="none" w:sz="0" w:space="0" w:color="auto"/>
                <w:left w:val="none" w:sz="0" w:space="0" w:color="auto"/>
                <w:bottom w:val="none" w:sz="0" w:space="0" w:color="auto"/>
                <w:right w:val="none" w:sz="0" w:space="0" w:color="auto"/>
              </w:divBdr>
            </w:div>
            <w:div w:id="1209562155">
              <w:marLeft w:val="0"/>
              <w:marRight w:val="0"/>
              <w:marTop w:val="0"/>
              <w:marBottom w:val="0"/>
              <w:divBdr>
                <w:top w:val="none" w:sz="0" w:space="0" w:color="auto"/>
                <w:left w:val="none" w:sz="0" w:space="0" w:color="auto"/>
                <w:bottom w:val="none" w:sz="0" w:space="0" w:color="auto"/>
                <w:right w:val="none" w:sz="0" w:space="0" w:color="auto"/>
              </w:divBdr>
            </w:div>
            <w:div w:id="1372075252">
              <w:marLeft w:val="0"/>
              <w:marRight w:val="0"/>
              <w:marTop w:val="0"/>
              <w:marBottom w:val="0"/>
              <w:divBdr>
                <w:top w:val="none" w:sz="0" w:space="0" w:color="auto"/>
                <w:left w:val="none" w:sz="0" w:space="0" w:color="auto"/>
                <w:bottom w:val="none" w:sz="0" w:space="0" w:color="auto"/>
                <w:right w:val="none" w:sz="0" w:space="0" w:color="auto"/>
              </w:divBdr>
            </w:div>
            <w:div w:id="1406757480">
              <w:marLeft w:val="0"/>
              <w:marRight w:val="0"/>
              <w:marTop w:val="0"/>
              <w:marBottom w:val="0"/>
              <w:divBdr>
                <w:top w:val="none" w:sz="0" w:space="0" w:color="auto"/>
                <w:left w:val="none" w:sz="0" w:space="0" w:color="auto"/>
                <w:bottom w:val="none" w:sz="0" w:space="0" w:color="auto"/>
                <w:right w:val="none" w:sz="0" w:space="0" w:color="auto"/>
              </w:divBdr>
            </w:div>
            <w:div w:id="1638729390">
              <w:marLeft w:val="0"/>
              <w:marRight w:val="0"/>
              <w:marTop w:val="0"/>
              <w:marBottom w:val="0"/>
              <w:divBdr>
                <w:top w:val="none" w:sz="0" w:space="0" w:color="auto"/>
                <w:left w:val="none" w:sz="0" w:space="0" w:color="auto"/>
                <w:bottom w:val="none" w:sz="0" w:space="0" w:color="auto"/>
                <w:right w:val="none" w:sz="0" w:space="0" w:color="auto"/>
              </w:divBdr>
            </w:div>
            <w:div w:id="1830247527">
              <w:marLeft w:val="0"/>
              <w:marRight w:val="0"/>
              <w:marTop w:val="0"/>
              <w:marBottom w:val="0"/>
              <w:divBdr>
                <w:top w:val="none" w:sz="0" w:space="0" w:color="auto"/>
                <w:left w:val="none" w:sz="0" w:space="0" w:color="auto"/>
                <w:bottom w:val="none" w:sz="0" w:space="0" w:color="auto"/>
                <w:right w:val="none" w:sz="0" w:space="0" w:color="auto"/>
              </w:divBdr>
            </w:div>
            <w:div w:id="20309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3155">
      <w:bodyDiv w:val="1"/>
      <w:marLeft w:val="0"/>
      <w:marRight w:val="0"/>
      <w:marTop w:val="0"/>
      <w:marBottom w:val="0"/>
      <w:divBdr>
        <w:top w:val="none" w:sz="0" w:space="0" w:color="auto"/>
        <w:left w:val="none" w:sz="0" w:space="0" w:color="auto"/>
        <w:bottom w:val="none" w:sz="0" w:space="0" w:color="auto"/>
        <w:right w:val="none" w:sz="0" w:space="0" w:color="auto"/>
      </w:divBdr>
    </w:div>
    <w:div w:id="1633750969">
      <w:bodyDiv w:val="1"/>
      <w:marLeft w:val="0"/>
      <w:marRight w:val="0"/>
      <w:marTop w:val="0"/>
      <w:marBottom w:val="0"/>
      <w:divBdr>
        <w:top w:val="none" w:sz="0" w:space="0" w:color="auto"/>
        <w:left w:val="none" w:sz="0" w:space="0" w:color="auto"/>
        <w:bottom w:val="none" w:sz="0" w:space="0" w:color="auto"/>
        <w:right w:val="none" w:sz="0" w:space="0" w:color="auto"/>
      </w:divBdr>
    </w:div>
    <w:div w:id="1684436393">
      <w:bodyDiv w:val="1"/>
      <w:marLeft w:val="0"/>
      <w:marRight w:val="0"/>
      <w:marTop w:val="0"/>
      <w:marBottom w:val="0"/>
      <w:divBdr>
        <w:top w:val="none" w:sz="0" w:space="0" w:color="auto"/>
        <w:left w:val="none" w:sz="0" w:space="0" w:color="auto"/>
        <w:bottom w:val="none" w:sz="0" w:space="0" w:color="auto"/>
        <w:right w:val="none" w:sz="0" w:space="0" w:color="auto"/>
      </w:divBdr>
    </w:div>
    <w:div w:id="1764911418">
      <w:bodyDiv w:val="1"/>
      <w:marLeft w:val="0"/>
      <w:marRight w:val="0"/>
      <w:marTop w:val="0"/>
      <w:marBottom w:val="0"/>
      <w:divBdr>
        <w:top w:val="none" w:sz="0" w:space="0" w:color="auto"/>
        <w:left w:val="none" w:sz="0" w:space="0" w:color="auto"/>
        <w:bottom w:val="none" w:sz="0" w:space="0" w:color="auto"/>
        <w:right w:val="none" w:sz="0" w:space="0" w:color="auto"/>
      </w:divBdr>
      <w:divsChild>
        <w:div w:id="1678537354">
          <w:marLeft w:val="0"/>
          <w:marRight w:val="0"/>
          <w:marTop w:val="0"/>
          <w:marBottom w:val="0"/>
          <w:divBdr>
            <w:top w:val="none" w:sz="0" w:space="0" w:color="auto"/>
            <w:left w:val="none" w:sz="0" w:space="0" w:color="auto"/>
            <w:bottom w:val="none" w:sz="0" w:space="0" w:color="auto"/>
            <w:right w:val="none" w:sz="0" w:space="0" w:color="auto"/>
          </w:divBdr>
        </w:div>
        <w:div w:id="919170876">
          <w:marLeft w:val="0"/>
          <w:marRight w:val="0"/>
          <w:marTop w:val="0"/>
          <w:marBottom w:val="0"/>
          <w:divBdr>
            <w:top w:val="none" w:sz="0" w:space="0" w:color="auto"/>
            <w:left w:val="none" w:sz="0" w:space="0" w:color="auto"/>
            <w:bottom w:val="none" w:sz="0" w:space="0" w:color="auto"/>
            <w:right w:val="none" w:sz="0" w:space="0" w:color="auto"/>
          </w:divBdr>
        </w:div>
        <w:div w:id="2101023304">
          <w:marLeft w:val="0"/>
          <w:marRight w:val="0"/>
          <w:marTop w:val="0"/>
          <w:marBottom w:val="0"/>
          <w:divBdr>
            <w:top w:val="none" w:sz="0" w:space="0" w:color="auto"/>
            <w:left w:val="none" w:sz="0" w:space="0" w:color="auto"/>
            <w:bottom w:val="none" w:sz="0" w:space="0" w:color="auto"/>
            <w:right w:val="none" w:sz="0" w:space="0" w:color="auto"/>
          </w:divBdr>
        </w:div>
      </w:divsChild>
    </w:div>
    <w:div w:id="1771196521">
      <w:bodyDiv w:val="1"/>
      <w:marLeft w:val="0"/>
      <w:marRight w:val="0"/>
      <w:marTop w:val="0"/>
      <w:marBottom w:val="0"/>
      <w:divBdr>
        <w:top w:val="none" w:sz="0" w:space="0" w:color="auto"/>
        <w:left w:val="none" w:sz="0" w:space="0" w:color="auto"/>
        <w:bottom w:val="none" w:sz="0" w:space="0" w:color="auto"/>
        <w:right w:val="none" w:sz="0" w:space="0" w:color="auto"/>
      </w:divBdr>
    </w:div>
    <w:div w:id="1787193911">
      <w:bodyDiv w:val="1"/>
      <w:marLeft w:val="0"/>
      <w:marRight w:val="0"/>
      <w:marTop w:val="0"/>
      <w:marBottom w:val="0"/>
      <w:divBdr>
        <w:top w:val="none" w:sz="0" w:space="0" w:color="auto"/>
        <w:left w:val="none" w:sz="0" w:space="0" w:color="auto"/>
        <w:bottom w:val="none" w:sz="0" w:space="0" w:color="auto"/>
        <w:right w:val="none" w:sz="0" w:space="0" w:color="auto"/>
      </w:divBdr>
    </w:div>
    <w:div w:id="1921059139">
      <w:bodyDiv w:val="1"/>
      <w:marLeft w:val="0"/>
      <w:marRight w:val="0"/>
      <w:marTop w:val="0"/>
      <w:marBottom w:val="0"/>
      <w:divBdr>
        <w:top w:val="none" w:sz="0" w:space="0" w:color="auto"/>
        <w:left w:val="none" w:sz="0" w:space="0" w:color="auto"/>
        <w:bottom w:val="none" w:sz="0" w:space="0" w:color="auto"/>
        <w:right w:val="none" w:sz="0" w:space="0" w:color="auto"/>
      </w:divBdr>
    </w:div>
    <w:div w:id="1960214129">
      <w:bodyDiv w:val="1"/>
      <w:marLeft w:val="0"/>
      <w:marRight w:val="0"/>
      <w:marTop w:val="0"/>
      <w:marBottom w:val="0"/>
      <w:divBdr>
        <w:top w:val="none" w:sz="0" w:space="0" w:color="auto"/>
        <w:left w:val="none" w:sz="0" w:space="0" w:color="auto"/>
        <w:bottom w:val="none" w:sz="0" w:space="0" w:color="auto"/>
        <w:right w:val="none" w:sz="0" w:space="0" w:color="auto"/>
      </w:divBdr>
    </w:div>
    <w:div w:id="1989282819">
      <w:bodyDiv w:val="1"/>
      <w:marLeft w:val="0"/>
      <w:marRight w:val="0"/>
      <w:marTop w:val="0"/>
      <w:marBottom w:val="0"/>
      <w:divBdr>
        <w:top w:val="none" w:sz="0" w:space="0" w:color="auto"/>
        <w:left w:val="none" w:sz="0" w:space="0" w:color="auto"/>
        <w:bottom w:val="none" w:sz="0" w:space="0" w:color="auto"/>
        <w:right w:val="none" w:sz="0" w:space="0" w:color="auto"/>
      </w:divBdr>
    </w:div>
    <w:div w:id="2040356755">
      <w:bodyDiv w:val="1"/>
      <w:marLeft w:val="0"/>
      <w:marRight w:val="0"/>
      <w:marTop w:val="0"/>
      <w:marBottom w:val="0"/>
      <w:divBdr>
        <w:top w:val="none" w:sz="0" w:space="0" w:color="auto"/>
        <w:left w:val="none" w:sz="0" w:space="0" w:color="auto"/>
        <w:bottom w:val="none" w:sz="0" w:space="0" w:color="auto"/>
        <w:right w:val="none" w:sz="0" w:space="0" w:color="auto"/>
      </w:divBdr>
    </w:div>
    <w:div w:id="21140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liefweb.int/report/tonga/tonga-humanitarian-coordination-structure-10-july-202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areemergencytoolkit.org/gender/gender-in-emergencies/" TargetMode="External"/><Relationship Id="rId2" Type="http://schemas.openxmlformats.org/officeDocument/2006/relationships/hyperlink" Target="https://documents1.worldbank.org/curated/en/356451584939594362/pdf/Post-Disaster-Rapid-Assessment-Tropical-Cyclone-Gita.pdf" TargetMode="External"/><Relationship Id="rId1" Type="http://schemas.openxmlformats.org/officeDocument/2006/relationships/hyperlink" Target="https://blogs.worldbank.org/eastasiapacific/uncovering-untold-impact-2022-tonga-volcano-and-tsunami-how-phone-surveys-reveal" TargetMode="External"/><Relationship Id="rId4" Type="http://schemas.openxmlformats.org/officeDocument/2006/relationships/hyperlink" Target="https://www.unwomen.org/sites/default/files/2022-01/Intersectionality-resource-guide-and-toolkit-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D9A907E56EF540A5573F1D0F2A74F9" ma:contentTypeVersion="4" ma:contentTypeDescription="Create a new document." ma:contentTypeScope="" ma:versionID="e1632e7c149add2e67c4e481781477c3">
  <xsd:schema xmlns:xsd="http://www.w3.org/2001/XMLSchema" xmlns:xs="http://www.w3.org/2001/XMLSchema" xmlns:p="http://schemas.microsoft.com/office/2006/metadata/properties" xmlns:ns2="acb6020b-dc56-456d-b108-c207a71e58c4" targetNamespace="http://schemas.microsoft.com/office/2006/metadata/properties" ma:root="true" ma:fieldsID="7c694fec05eb9903222d9ec9559799c1" ns2:_="">
    <xsd:import namespace="acb6020b-dc56-456d-b108-c207a71e58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6020b-dc56-456d-b108-c207a71e5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AE144-AB29-4E46-A813-81863224A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6020b-dc56-456d-b108-c207a71e5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0DA99-981B-401A-99C1-0F811E8B46E1}">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acb6020b-dc56-456d-b108-c207a71e58c4"/>
    <ds:schemaRef ds:uri="http://purl.org/dc/dcmitype/"/>
  </ds:schemaRefs>
</ds:datastoreItem>
</file>

<file path=customXml/itemProps3.xml><?xml version="1.0" encoding="utf-8"?>
<ds:datastoreItem xmlns:ds="http://schemas.openxmlformats.org/officeDocument/2006/customXml" ds:itemID="{C79CFDAC-EC7B-4E37-ACB6-2ECB687D7150}">
  <ds:schemaRefs>
    <ds:schemaRef ds:uri="http://schemas.microsoft.com/sharepoint/v3/contenttype/forms"/>
  </ds:schemaRefs>
</ds:datastoreItem>
</file>

<file path=customXml/itemProps4.xml><?xml version="1.0" encoding="utf-8"?>
<ds:datastoreItem xmlns:ds="http://schemas.openxmlformats.org/officeDocument/2006/customXml" ds:itemID="{1646C378-F66F-464F-ADAA-9EF07A05A021}">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17775</Words>
  <Characters>105496</Characters>
  <Application>Microsoft Office Word</Application>
  <DocSecurity>4</DocSecurity>
  <Lines>1461</Lines>
  <Paragraphs>553</Paragraphs>
  <ScaleCrop>false</ScaleCrop>
  <HeadingPairs>
    <vt:vector size="2" baseType="variant">
      <vt:variant>
        <vt:lpstr>Title</vt:lpstr>
      </vt:variant>
      <vt:variant>
        <vt:i4>1</vt:i4>
      </vt:variant>
    </vt:vector>
  </HeadingPairs>
  <TitlesOfParts>
    <vt:vector size="1" baseType="lpstr">
      <vt:lpstr>DFAT-led design - Investment design template</vt:lpstr>
    </vt:vector>
  </TitlesOfParts>
  <Company/>
  <LinksUpToDate>false</LinksUpToDate>
  <CharactersWithSpaces>123307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 TALA KEI KAPA: Prepare, Respond, Recover</dc:title>
  <dc:subject/>
  <dc:creator>Chris Northey</dc:creator>
  <cp:keywords>[SEC=OFFICIAL]</cp:keywords>
  <cp:revision>2</cp:revision>
  <cp:lastPrinted>2025-12-15T05:16:00Z</cp:lastPrinted>
  <dcterms:created xsi:type="dcterms:W3CDTF">2026-02-24T23:01:00Z</dcterms:created>
  <dcterms:modified xsi:type="dcterms:W3CDTF">2026-02-24T23:01:00Z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OFFICIAL</vt:lpwstr>
  </property>
  <property fmtid="{D5CDD505-2E9C-101B-9397-08002B2CF9AE}" pid="3" name="PM_SecurityClassification">
    <vt:lpwstr>OFFICIAL</vt:lpwstr>
  </property>
  <property fmtid="{D5CDD505-2E9C-101B-9397-08002B2CF9AE}" pid="4" name="PMHMAC">
    <vt:lpwstr>v=2022.1;a=SHA256;h=C8DD7FA171D5432C8D803A315C21BCB718DC009F1CF5435C6B0232D170515DBF</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D9F6E5C82DFAF7AB6E3D596D48DD43C72EDFDAB4</vt:lpwstr>
  </property>
  <property fmtid="{D5CDD505-2E9C-101B-9397-08002B2CF9AE}" pid="9" name="PM_Originating_FileId">
    <vt:lpwstr>1FF7E5DC14D444DAA887E4DA98360471</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2023-04-27T04:56:04Z</vt:lpwstr>
  </property>
  <property fmtid="{D5CDD505-2E9C-101B-9397-08002B2CF9AE}" pid="13" name="PM_ProtectiveMarkingImage_Header">
    <vt:lpwstr>C:\Program Files\Common Files\janusNET Shared\janusSEAL\Images\DocumentSlashBlue.png</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2022.1</vt:lpwstr>
  </property>
  <property fmtid="{D5CDD505-2E9C-101B-9397-08002B2CF9AE}" pid="20" name="PM_Hash_Salt_Prev">
    <vt:lpwstr>6BE30C5E44318D30478342709D3F0879</vt:lpwstr>
  </property>
  <property fmtid="{D5CDD505-2E9C-101B-9397-08002B2CF9AE}" pid="21" name="PM_Hash_Salt">
    <vt:lpwstr>5C913BB8F8845D72538AEF8A13E88390</vt:lpwstr>
  </property>
  <property fmtid="{D5CDD505-2E9C-101B-9397-08002B2CF9AE}" pid="22" name="PM_Hash_SHA1">
    <vt:lpwstr>981BC4C0828F901E70F6F94BCF04941DB03DDC86</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PM_Display">
    <vt:lpwstr>OFFICIAL</vt:lpwstr>
  </property>
  <property fmtid="{D5CDD505-2E9C-101B-9397-08002B2CF9AE}" pid="26" name="PMUuid">
    <vt:lpwstr>v=2022.2;d=gov.au;g=46DD6D7C-8107-577B-BC6E-F348953B2E44</vt:lpwstr>
  </property>
  <property fmtid="{D5CDD505-2E9C-101B-9397-08002B2CF9AE}" pid="27" name="PM_OriginatorUserAccountName_SHA256">
    <vt:lpwstr>3E9DB5AB808CA91EB3E8EC398CDB7F67B110581D6BB28BC88565729DCE387350</vt:lpwstr>
  </property>
  <property fmtid="{D5CDD505-2E9C-101B-9397-08002B2CF9AE}" pid="28" name="PM_OriginatorDomainName_SHA256">
    <vt:lpwstr>6F3591835F3B2A8A025B00B5BA6418010DA3A17C9C26EA9C049FFD28039489A2</vt:lpwstr>
  </property>
  <property fmtid="{D5CDD505-2E9C-101B-9397-08002B2CF9AE}" pid="29" name="PM_Caveats_Count">
    <vt:lpwstr>0</vt:lpwstr>
  </property>
  <property fmtid="{D5CDD505-2E9C-101B-9397-08002B2CF9AE}" pid="30" name="ContentTypeId">
    <vt:lpwstr>0x0101005BD9A907E56EF540A5573F1D0F2A74F9</vt:lpwstr>
  </property>
  <property fmtid="{D5CDD505-2E9C-101B-9397-08002B2CF9AE}" pid="31" name="PM_Expires">
    <vt:lpwstr/>
  </property>
  <property fmtid="{D5CDD505-2E9C-101B-9397-08002B2CF9AE}" pid="32" name="PM_DownTo">
    <vt:lpwstr/>
  </property>
</Properties>
</file>