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A72A" w14:textId="6079751E" w:rsidR="00163095" w:rsidRPr="008B4AA8" w:rsidRDefault="00CE2A72" w:rsidP="008B4AA8">
      <w:pPr>
        <w:pStyle w:val="Heading1"/>
      </w:pPr>
      <w:r w:rsidRPr="008B4AA8">
        <w:t>DFAT MANAGEMENT RESPONSE TO THE</w:t>
      </w:r>
      <w:r>
        <w:t xml:space="preserve"> </w:t>
      </w:r>
      <w:r w:rsidRPr="008B4AA8">
        <w:t xml:space="preserve">REVIEW </w:t>
      </w:r>
      <w:r>
        <w:t>O</w:t>
      </w:r>
      <w:r w:rsidRPr="008B4AA8">
        <w:t xml:space="preserve">F </w:t>
      </w:r>
      <w:r>
        <w:t>T</w:t>
      </w:r>
      <w:r w:rsidRPr="008B4AA8">
        <w:t>HE</w:t>
      </w:r>
      <w:r>
        <w:br/>
      </w:r>
      <w:r w:rsidRPr="008B4AA8">
        <w:t xml:space="preserve">CIVIL SOCIETY SUPPORT PROGRAM (CSSP II) </w:t>
      </w:r>
      <w:r>
        <w:t>I</w:t>
      </w:r>
      <w:r w:rsidRPr="008B4AA8">
        <w:t>N SAMOA</w:t>
      </w:r>
      <w:r>
        <w:br/>
      </w:r>
      <w:r w:rsidRPr="008B4AA8">
        <w:t>2016 – 2021</w:t>
      </w:r>
    </w:p>
    <w:p w14:paraId="73C0058C" w14:textId="1B589DED" w:rsidR="00282592" w:rsidRPr="003B738C" w:rsidRDefault="00282592" w:rsidP="00F31823">
      <w:pPr>
        <w:jc w:val="both"/>
        <w:rPr>
          <w:b/>
          <w:bCs/>
          <w:color w:val="auto"/>
        </w:rPr>
      </w:pPr>
    </w:p>
    <w:p w14:paraId="0F8D04AD" w14:textId="2273D673" w:rsidR="0045052D" w:rsidRDefault="00A37370" w:rsidP="00F31823">
      <w:pPr>
        <w:jc w:val="both"/>
        <w:rPr>
          <w:color w:val="auto"/>
          <w:lang w:val="en-AU"/>
        </w:rPr>
      </w:pPr>
      <w:r w:rsidRPr="009877B4">
        <w:rPr>
          <w:color w:val="auto"/>
        </w:rPr>
        <w:t xml:space="preserve">DFAT commissioned an independent evaluation of the </w:t>
      </w:r>
      <w:r w:rsidR="00E05626" w:rsidRPr="009877B4">
        <w:rPr>
          <w:color w:val="auto"/>
        </w:rPr>
        <w:t>Civil Society Support Program (CSSP)</w:t>
      </w:r>
      <w:r w:rsidR="00B73F54">
        <w:rPr>
          <w:color w:val="auto"/>
        </w:rPr>
        <w:t xml:space="preserve"> in Samoa</w:t>
      </w:r>
      <w:r w:rsidR="00E05626" w:rsidRPr="009877B4">
        <w:rPr>
          <w:color w:val="auto"/>
        </w:rPr>
        <w:t xml:space="preserve"> </w:t>
      </w:r>
      <w:r w:rsidRPr="009877B4">
        <w:rPr>
          <w:color w:val="auto"/>
        </w:rPr>
        <w:t>in October 202</w:t>
      </w:r>
      <w:r w:rsidR="009877B4">
        <w:rPr>
          <w:color w:val="auto"/>
        </w:rPr>
        <w:t>1</w:t>
      </w:r>
      <w:r w:rsidRPr="009877B4">
        <w:rPr>
          <w:color w:val="auto"/>
        </w:rPr>
        <w:t xml:space="preserve"> to assess the </w:t>
      </w:r>
      <w:r w:rsidR="009877B4">
        <w:rPr>
          <w:color w:val="auto"/>
        </w:rPr>
        <w:t xml:space="preserve">performance of CSSP and the value it has generated for those involved. </w:t>
      </w:r>
      <w:r w:rsidR="00EC34BA">
        <w:rPr>
          <w:color w:val="auto"/>
          <w:lang w:val="en-AU"/>
        </w:rPr>
        <w:t>T</w:t>
      </w:r>
      <w:r w:rsidR="0001099B" w:rsidRPr="009877B4">
        <w:rPr>
          <w:color w:val="auto"/>
          <w:lang w:val="en-AU"/>
        </w:rPr>
        <w:t xml:space="preserve">his review will </w:t>
      </w:r>
      <w:r w:rsidR="007434C5">
        <w:rPr>
          <w:color w:val="auto"/>
          <w:lang w:val="en-AU"/>
        </w:rPr>
        <w:t xml:space="preserve">also assist in </w:t>
      </w:r>
      <w:r w:rsidR="0001099B" w:rsidRPr="009877B4">
        <w:rPr>
          <w:color w:val="auto"/>
          <w:lang w:val="en-AU"/>
        </w:rPr>
        <w:t>inform</w:t>
      </w:r>
      <w:r w:rsidR="007434C5">
        <w:rPr>
          <w:color w:val="auto"/>
          <w:lang w:val="en-AU"/>
        </w:rPr>
        <w:t>ing</w:t>
      </w:r>
      <w:r w:rsidR="0001099B" w:rsidRPr="009877B4">
        <w:rPr>
          <w:color w:val="auto"/>
          <w:lang w:val="en-AU"/>
        </w:rPr>
        <w:t xml:space="preserve"> the design of new investments</w:t>
      </w:r>
      <w:r w:rsidR="007434C5">
        <w:rPr>
          <w:color w:val="auto"/>
          <w:lang w:val="en-AU"/>
        </w:rPr>
        <w:t>,</w:t>
      </w:r>
      <w:r w:rsidR="0001099B" w:rsidRPr="009877B4">
        <w:rPr>
          <w:color w:val="auto"/>
          <w:lang w:val="en-AU"/>
        </w:rPr>
        <w:t xml:space="preserve"> </w:t>
      </w:r>
      <w:r w:rsidR="0045052D">
        <w:rPr>
          <w:color w:val="auto"/>
          <w:lang w:val="en-AU"/>
        </w:rPr>
        <w:t xml:space="preserve">particularly the Human Development and Social Inclusion Facility and the Governance and </w:t>
      </w:r>
      <w:r w:rsidR="00B73F54">
        <w:rPr>
          <w:color w:val="auto"/>
          <w:lang w:val="en-AU"/>
        </w:rPr>
        <w:t>E</w:t>
      </w:r>
      <w:r w:rsidR="0045052D">
        <w:rPr>
          <w:color w:val="auto"/>
          <w:lang w:val="en-AU"/>
        </w:rPr>
        <w:t xml:space="preserve">conomic Growth Facility, </w:t>
      </w:r>
      <w:r w:rsidR="00EC34BA">
        <w:rPr>
          <w:color w:val="auto"/>
          <w:lang w:val="en-AU"/>
        </w:rPr>
        <w:t xml:space="preserve">which </w:t>
      </w:r>
      <w:r w:rsidR="0045052D">
        <w:rPr>
          <w:color w:val="auto"/>
          <w:lang w:val="en-AU"/>
        </w:rPr>
        <w:t xml:space="preserve">may </w:t>
      </w:r>
      <w:r w:rsidR="00EC34BA">
        <w:rPr>
          <w:color w:val="auto"/>
          <w:lang w:val="en-AU"/>
        </w:rPr>
        <w:t>include</w:t>
      </w:r>
      <w:r w:rsidR="007434C5">
        <w:rPr>
          <w:color w:val="auto"/>
          <w:lang w:val="en-AU"/>
        </w:rPr>
        <w:t xml:space="preserve"> </w:t>
      </w:r>
      <w:r w:rsidR="0001099B" w:rsidRPr="009877B4">
        <w:rPr>
          <w:color w:val="auto"/>
          <w:lang w:val="en-AU"/>
        </w:rPr>
        <w:t>support to civil society.</w:t>
      </w:r>
    </w:p>
    <w:p w14:paraId="2ADE4675" w14:textId="77777777" w:rsidR="00F32ED0" w:rsidRDefault="00EF3C41" w:rsidP="00F31823">
      <w:pPr>
        <w:jc w:val="both"/>
        <w:rPr>
          <w:color w:val="auto"/>
          <w:lang w:val="en-AU"/>
        </w:rPr>
      </w:pPr>
      <w:r>
        <w:rPr>
          <w:color w:val="auto"/>
          <w:lang w:val="en-AU"/>
        </w:rPr>
        <w:t>In the broad, DFAT supports the findings of this report</w:t>
      </w:r>
      <w:r w:rsidR="0040201B">
        <w:rPr>
          <w:color w:val="auto"/>
          <w:lang w:val="en-AU"/>
        </w:rPr>
        <w:t xml:space="preserve">. </w:t>
      </w:r>
      <w:r w:rsidR="0001099B" w:rsidRPr="009877B4">
        <w:rPr>
          <w:color w:val="auto"/>
          <w:lang w:val="en-AU"/>
        </w:rPr>
        <w:t xml:space="preserve">DFAT agrees with the reviewers that the CSSP is a well-established mechanism </w:t>
      </w:r>
      <w:r w:rsidR="009E19D2">
        <w:rPr>
          <w:color w:val="auto"/>
          <w:lang w:val="en-AU"/>
        </w:rPr>
        <w:t xml:space="preserve">for facilitating small value grants to </w:t>
      </w:r>
      <w:r w:rsidR="0001099B" w:rsidRPr="009877B4">
        <w:rPr>
          <w:color w:val="auto"/>
          <w:lang w:val="en-AU"/>
        </w:rPr>
        <w:t>grassroots beneficiaries.</w:t>
      </w:r>
      <w:r w:rsidR="0040201B">
        <w:rPr>
          <w:color w:val="auto"/>
          <w:lang w:val="en-AU"/>
        </w:rPr>
        <w:t xml:space="preserve"> It has achieved significant success in this regard.</w:t>
      </w:r>
      <w:r w:rsidR="00EC34BA" w:rsidRPr="00EC34BA">
        <w:rPr>
          <w:color w:val="auto"/>
          <w:lang w:val="en-AU"/>
        </w:rPr>
        <w:t xml:space="preserve"> </w:t>
      </w:r>
    </w:p>
    <w:p w14:paraId="62694C79" w14:textId="67519AA3" w:rsidR="0001099B" w:rsidRDefault="001B32D8" w:rsidP="00F31823">
      <w:pPr>
        <w:jc w:val="both"/>
        <w:rPr>
          <w:color w:val="auto"/>
          <w:lang w:val="en-AU"/>
        </w:rPr>
      </w:pPr>
      <w:r>
        <w:rPr>
          <w:color w:val="auto"/>
          <w:lang w:val="en-AU"/>
        </w:rPr>
        <w:t>However,</w:t>
      </w:r>
      <w:r w:rsidR="00E60B7C">
        <w:rPr>
          <w:color w:val="auto"/>
          <w:lang w:val="en-AU"/>
        </w:rPr>
        <w:t xml:space="preserve"> as the re</w:t>
      </w:r>
      <w:r w:rsidR="00D8653B">
        <w:rPr>
          <w:color w:val="auto"/>
          <w:lang w:val="en-AU"/>
        </w:rPr>
        <w:t>view</w:t>
      </w:r>
      <w:r w:rsidR="00E60B7C">
        <w:rPr>
          <w:color w:val="auto"/>
          <w:lang w:val="en-AU"/>
        </w:rPr>
        <w:t xml:space="preserve"> notes,</w:t>
      </w:r>
      <w:r w:rsidR="00536E52">
        <w:rPr>
          <w:color w:val="auto"/>
          <w:lang w:val="en-AU"/>
        </w:rPr>
        <w:t xml:space="preserve"> this has come at the expense of a focus on capacity development of </w:t>
      </w:r>
      <w:r w:rsidR="00A0103E">
        <w:rPr>
          <w:color w:val="auto"/>
          <w:lang w:val="en-AU"/>
        </w:rPr>
        <w:t>civil society organisations.</w:t>
      </w:r>
      <w:r w:rsidR="00536E52">
        <w:rPr>
          <w:color w:val="auto"/>
          <w:lang w:val="en-AU"/>
        </w:rPr>
        <w:t xml:space="preserve"> </w:t>
      </w:r>
      <w:r>
        <w:rPr>
          <w:color w:val="auto"/>
          <w:lang w:val="en-AU"/>
        </w:rPr>
        <w:t xml:space="preserve"> </w:t>
      </w:r>
      <w:r w:rsidR="00E60B7C">
        <w:rPr>
          <w:color w:val="auto"/>
          <w:lang w:val="en-AU"/>
        </w:rPr>
        <w:t xml:space="preserve">There has also been a disproportionate focus </w:t>
      </w:r>
      <w:r w:rsidR="005D37D1">
        <w:rPr>
          <w:color w:val="auto"/>
          <w:lang w:val="en-AU"/>
        </w:rPr>
        <w:t xml:space="preserve">of DFAT resources </w:t>
      </w:r>
      <w:r w:rsidR="00E60B7C">
        <w:rPr>
          <w:color w:val="auto"/>
          <w:lang w:val="en-AU"/>
        </w:rPr>
        <w:t xml:space="preserve">on the implementation of </w:t>
      </w:r>
      <w:r w:rsidR="00A0103E">
        <w:rPr>
          <w:color w:val="auto"/>
          <w:lang w:val="en-AU"/>
        </w:rPr>
        <w:t xml:space="preserve">grant and </w:t>
      </w:r>
      <w:r w:rsidR="00BA3C7E">
        <w:rPr>
          <w:color w:val="auto"/>
          <w:lang w:val="en-AU"/>
        </w:rPr>
        <w:t xml:space="preserve">project-based activities </w:t>
      </w:r>
      <w:r w:rsidR="00D8653B">
        <w:rPr>
          <w:color w:val="auto"/>
          <w:lang w:val="en-AU"/>
        </w:rPr>
        <w:t>rather than</w:t>
      </w:r>
      <w:r w:rsidR="00E60B7C">
        <w:rPr>
          <w:color w:val="auto"/>
          <w:lang w:val="en-AU"/>
        </w:rPr>
        <w:t xml:space="preserve"> </w:t>
      </w:r>
      <w:r w:rsidR="00BA3C7E">
        <w:rPr>
          <w:color w:val="auto"/>
          <w:lang w:val="en-AU"/>
        </w:rPr>
        <w:t xml:space="preserve">a </w:t>
      </w:r>
      <w:r w:rsidR="00A12D99">
        <w:rPr>
          <w:color w:val="auto"/>
          <w:lang w:val="en-AU"/>
        </w:rPr>
        <w:t xml:space="preserve">focus on </w:t>
      </w:r>
      <w:r>
        <w:rPr>
          <w:color w:val="auto"/>
          <w:lang w:val="en-AU"/>
        </w:rPr>
        <w:t>outcome level achievements</w:t>
      </w:r>
      <w:r w:rsidR="00BA3C7E">
        <w:rPr>
          <w:color w:val="auto"/>
          <w:lang w:val="en-AU"/>
        </w:rPr>
        <w:t xml:space="preserve">. Overall, a range of structural issues </w:t>
      </w:r>
      <w:r w:rsidR="00A0103E">
        <w:rPr>
          <w:color w:val="auto"/>
          <w:lang w:val="en-AU"/>
        </w:rPr>
        <w:t>in</w:t>
      </w:r>
      <w:r w:rsidR="009A1417">
        <w:rPr>
          <w:color w:val="auto"/>
          <w:lang w:val="en-AU"/>
        </w:rPr>
        <w:t xml:space="preserve"> the CSSP program</w:t>
      </w:r>
      <w:r w:rsidR="00A0103E">
        <w:rPr>
          <w:color w:val="auto"/>
          <w:lang w:val="en-AU"/>
        </w:rPr>
        <w:t>, including a lack of a focus on M&amp;E resourcing and data collection,</w:t>
      </w:r>
      <w:r w:rsidR="009A1417">
        <w:rPr>
          <w:color w:val="auto"/>
          <w:lang w:val="en-AU"/>
        </w:rPr>
        <w:t xml:space="preserve"> </w:t>
      </w:r>
      <w:r w:rsidR="00536E52">
        <w:rPr>
          <w:color w:val="auto"/>
          <w:lang w:val="en-AU"/>
        </w:rPr>
        <w:t>mak</w:t>
      </w:r>
      <w:r w:rsidR="001317BE">
        <w:rPr>
          <w:color w:val="auto"/>
          <w:lang w:val="en-AU"/>
        </w:rPr>
        <w:t>ing</w:t>
      </w:r>
      <w:r w:rsidR="00536E52">
        <w:rPr>
          <w:color w:val="auto"/>
          <w:lang w:val="en-AU"/>
        </w:rPr>
        <w:t xml:space="preserve"> it difficult to </w:t>
      </w:r>
      <w:r w:rsidR="009A6ACC">
        <w:rPr>
          <w:color w:val="auto"/>
          <w:lang w:val="en-AU"/>
        </w:rPr>
        <w:t>assess</w:t>
      </w:r>
      <w:r w:rsidR="00536E52">
        <w:rPr>
          <w:color w:val="auto"/>
          <w:lang w:val="en-AU"/>
        </w:rPr>
        <w:t xml:space="preserve"> </w:t>
      </w:r>
      <w:r w:rsidR="00A0103E">
        <w:rPr>
          <w:color w:val="auto"/>
          <w:lang w:val="en-AU"/>
        </w:rPr>
        <w:t xml:space="preserve">overall </w:t>
      </w:r>
      <w:r w:rsidR="00536E52">
        <w:rPr>
          <w:color w:val="auto"/>
          <w:lang w:val="en-AU"/>
        </w:rPr>
        <w:t>program success.</w:t>
      </w:r>
      <w:r w:rsidR="009A1417">
        <w:rPr>
          <w:color w:val="auto"/>
          <w:lang w:val="en-AU"/>
        </w:rPr>
        <w:t xml:space="preserve"> In this regard, we view the ratings in some instances as</w:t>
      </w:r>
      <w:r w:rsidR="0064672A">
        <w:rPr>
          <w:color w:val="auto"/>
          <w:lang w:val="en-AU"/>
        </w:rPr>
        <w:t xml:space="preserve"> perhaps</w:t>
      </w:r>
      <w:r w:rsidR="009A1417">
        <w:rPr>
          <w:color w:val="auto"/>
          <w:lang w:val="en-AU"/>
        </w:rPr>
        <w:t xml:space="preserve"> generous.</w:t>
      </w:r>
    </w:p>
    <w:p w14:paraId="5D4BA150" w14:textId="4998FE30" w:rsidR="0064672A" w:rsidRDefault="00B73E17" w:rsidP="00F31823">
      <w:pPr>
        <w:jc w:val="both"/>
        <w:rPr>
          <w:color w:val="auto"/>
          <w:lang w:val="en-AU"/>
        </w:rPr>
      </w:pPr>
      <w:r>
        <w:rPr>
          <w:color w:val="auto"/>
          <w:lang w:val="en-AU"/>
        </w:rPr>
        <w:t>Nonetheless, in principle DFAT remains committed to continuing to support civil society in Samo</w:t>
      </w:r>
      <w:r w:rsidR="00A727C8">
        <w:rPr>
          <w:color w:val="auto"/>
          <w:lang w:val="en-AU"/>
        </w:rPr>
        <w:t xml:space="preserve">a. Civil </w:t>
      </w:r>
      <w:r w:rsidR="002D43E3">
        <w:rPr>
          <w:color w:val="auto"/>
          <w:lang w:val="en-AU"/>
        </w:rPr>
        <w:t>s</w:t>
      </w:r>
      <w:r w:rsidR="00A727C8">
        <w:rPr>
          <w:color w:val="auto"/>
          <w:lang w:val="en-AU"/>
        </w:rPr>
        <w:t>ociety has an important role in effecting change and support</w:t>
      </w:r>
      <w:r w:rsidR="00561972">
        <w:rPr>
          <w:color w:val="auto"/>
          <w:lang w:val="en-AU"/>
        </w:rPr>
        <w:t>ing</w:t>
      </w:r>
      <w:r w:rsidR="00A727C8">
        <w:rPr>
          <w:color w:val="auto"/>
          <w:lang w:val="en-AU"/>
        </w:rPr>
        <w:t xml:space="preserve"> the need</w:t>
      </w:r>
      <w:r w:rsidR="00145DFB">
        <w:rPr>
          <w:color w:val="auto"/>
          <w:lang w:val="en-AU"/>
        </w:rPr>
        <w:t>s</w:t>
      </w:r>
      <w:r w:rsidR="002D43E3">
        <w:rPr>
          <w:color w:val="auto"/>
          <w:lang w:val="en-AU"/>
        </w:rPr>
        <w:t xml:space="preserve"> of</w:t>
      </w:r>
      <w:r w:rsidR="00A727C8">
        <w:rPr>
          <w:color w:val="auto"/>
          <w:lang w:val="en-AU"/>
        </w:rPr>
        <w:t xml:space="preserve"> the vulnerable at </w:t>
      </w:r>
      <w:r w:rsidR="002D43E3">
        <w:rPr>
          <w:color w:val="auto"/>
          <w:lang w:val="en-AU"/>
        </w:rPr>
        <w:t xml:space="preserve">the community and village level, </w:t>
      </w:r>
      <w:r w:rsidR="00561972">
        <w:rPr>
          <w:color w:val="auto"/>
          <w:lang w:val="en-AU"/>
        </w:rPr>
        <w:t>while</w:t>
      </w:r>
      <w:r w:rsidR="002D43E3">
        <w:rPr>
          <w:color w:val="auto"/>
          <w:lang w:val="en-AU"/>
        </w:rPr>
        <w:t xml:space="preserve"> also </w:t>
      </w:r>
      <w:r w:rsidR="00145DFB">
        <w:rPr>
          <w:color w:val="auto"/>
          <w:lang w:val="en-AU"/>
        </w:rPr>
        <w:t xml:space="preserve">providing an important voice </w:t>
      </w:r>
      <w:r w:rsidR="00A0671C">
        <w:rPr>
          <w:color w:val="auto"/>
          <w:lang w:val="en-AU"/>
        </w:rPr>
        <w:t xml:space="preserve">for those same beneficiaries. </w:t>
      </w:r>
    </w:p>
    <w:p w14:paraId="2A2199D0" w14:textId="1D03A617" w:rsidR="00444C7F" w:rsidRPr="009877B4" w:rsidRDefault="00A0671C" w:rsidP="00F31823">
      <w:pPr>
        <w:jc w:val="both"/>
        <w:rPr>
          <w:color w:val="auto"/>
          <w:lang w:val="en-AU"/>
        </w:rPr>
      </w:pPr>
      <w:r>
        <w:rPr>
          <w:color w:val="auto"/>
          <w:lang w:val="en-AU"/>
        </w:rPr>
        <w:t xml:space="preserve">DFAT is </w:t>
      </w:r>
      <w:r w:rsidR="00723C33">
        <w:rPr>
          <w:color w:val="auto"/>
          <w:lang w:val="en-AU"/>
        </w:rPr>
        <w:t xml:space="preserve">currently planning two </w:t>
      </w:r>
      <w:r>
        <w:rPr>
          <w:color w:val="auto"/>
          <w:lang w:val="en-AU"/>
        </w:rPr>
        <w:t>sign</w:t>
      </w:r>
      <w:r w:rsidR="00B73F54">
        <w:rPr>
          <w:color w:val="auto"/>
          <w:lang w:val="en-AU"/>
        </w:rPr>
        <w:t>i</w:t>
      </w:r>
      <w:r>
        <w:rPr>
          <w:color w:val="auto"/>
          <w:lang w:val="en-AU"/>
        </w:rPr>
        <w:t xml:space="preserve">ficant, long term investments </w:t>
      </w:r>
      <w:r w:rsidR="00303BB1">
        <w:rPr>
          <w:color w:val="auto"/>
          <w:lang w:val="en-AU"/>
        </w:rPr>
        <w:t xml:space="preserve">– the Human Development and Social Inclusion Facility </w:t>
      </w:r>
      <w:r w:rsidR="008850A5">
        <w:rPr>
          <w:color w:val="auto"/>
          <w:lang w:val="en-AU"/>
        </w:rPr>
        <w:t xml:space="preserve">(HDSI) </w:t>
      </w:r>
      <w:r w:rsidR="00303BB1">
        <w:rPr>
          <w:color w:val="auto"/>
          <w:lang w:val="en-AU"/>
        </w:rPr>
        <w:t xml:space="preserve">and the Governance and Economic Growth </w:t>
      </w:r>
      <w:r w:rsidR="008850A5">
        <w:rPr>
          <w:color w:val="auto"/>
          <w:lang w:val="en-AU"/>
        </w:rPr>
        <w:t xml:space="preserve">(GEG) </w:t>
      </w:r>
      <w:r w:rsidR="00303BB1">
        <w:rPr>
          <w:color w:val="auto"/>
          <w:lang w:val="en-AU"/>
        </w:rPr>
        <w:t>Facility</w:t>
      </w:r>
      <w:r w:rsidR="00723C33">
        <w:rPr>
          <w:color w:val="auto"/>
          <w:lang w:val="en-AU"/>
        </w:rPr>
        <w:t xml:space="preserve"> – which will form the two key pillars of the Australia’s development program in Samoa. During the design process, these two investments will explore how Australia can best </w:t>
      </w:r>
      <w:r w:rsidR="008850A5">
        <w:rPr>
          <w:color w:val="auto"/>
          <w:lang w:val="en-AU"/>
        </w:rPr>
        <w:t xml:space="preserve">contribute to the </w:t>
      </w:r>
      <w:r w:rsidR="005D37D1">
        <w:rPr>
          <w:color w:val="auto"/>
          <w:lang w:val="en-AU"/>
        </w:rPr>
        <w:t xml:space="preserve">structured </w:t>
      </w:r>
      <w:r w:rsidR="008850A5">
        <w:rPr>
          <w:color w:val="auto"/>
          <w:lang w:val="en-AU"/>
        </w:rPr>
        <w:t xml:space="preserve">development of civil society in Samoa, including through future engagement with CSSP, and taking into account </w:t>
      </w:r>
      <w:r w:rsidR="009A0515">
        <w:rPr>
          <w:color w:val="auto"/>
          <w:lang w:val="en-AU"/>
        </w:rPr>
        <w:t xml:space="preserve">core </w:t>
      </w:r>
      <w:r w:rsidR="008850A5">
        <w:rPr>
          <w:color w:val="auto"/>
          <w:lang w:val="en-AU"/>
        </w:rPr>
        <w:t xml:space="preserve">considerations of effectiveness, efficiency, </w:t>
      </w:r>
      <w:r w:rsidR="009A0515">
        <w:rPr>
          <w:color w:val="auto"/>
          <w:lang w:val="en-AU"/>
        </w:rPr>
        <w:t xml:space="preserve">as well as considerations of aid </w:t>
      </w:r>
      <w:r w:rsidR="0064672A">
        <w:rPr>
          <w:color w:val="auto"/>
          <w:lang w:val="en-AU"/>
        </w:rPr>
        <w:t>coordination</w:t>
      </w:r>
      <w:r w:rsidR="009A0515">
        <w:rPr>
          <w:color w:val="auto"/>
          <w:lang w:val="en-AU"/>
        </w:rPr>
        <w:t>.</w:t>
      </w:r>
    </w:p>
    <w:p w14:paraId="480F2202" w14:textId="64670E38" w:rsidR="008B4AA8" w:rsidRDefault="00831B96" w:rsidP="00F31823">
      <w:pPr>
        <w:jc w:val="both"/>
        <w:rPr>
          <w:color w:val="auto"/>
          <w:lang w:val="en-AU"/>
        </w:rPr>
      </w:pPr>
      <w:r w:rsidRPr="009877B4">
        <w:rPr>
          <w:color w:val="auto"/>
          <w:lang w:val="en-AU"/>
        </w:rPr>
        <w:t>The action plan identified in this management response will be progressed by DFAT</w:t>
      </w:r>
      <w:r w:rsidR="009509FC" w:rsidRPr="009877B4">
        <w:rPr>
          <w:color w:val="auto"/>
          <w:lang w:val="en-AU"/>
        </w:rPr>
        <w:t xml:space="preserve"> </w:t>
      </w:r>
      <w:r w:rsidRPr="009877B4">
        <w:rPr>
          <w:color w:val="auto"/>
          <w:lang w:val="en-AU"/>
        </w:rPr>
        <w:t xml:space="preserve">in consultation with </w:t>
      </w:r>
      <w:r w:rsidR="009509FC" w:rsidRPr="009877B4">
        <w:rPr>
          <w:color w:val="auto"/>
          <w:lang w:val="en-AU"/>
        </w:rPr>
        <w:t xml:space="preserve">the </w:t>
      </w:r>
      <w:r w:rsidR="00AF2713">
        <w:rPr>
          <w:color w:val="auto"/>
          <w:lang w:val="en-AU"/>
        </w:rPr>
        <w:t>Government of Samoa.</w:t>
      </w:r>
    </w:p>
    <w:p w14:paraId="60995F7F" w14:textId="77777777" w:rsidR="008B4AA8" w:rsidRDefault="008B4AA8">
      <w:pPr>
        <w:suppressAutoHyphens w:val="0"/>
        <w:spacing w:before="0" w:after="160" w:line="259" w:lineRule="auto"/>
        <w:rPr>
          <w:color w:val="auto"/>
          <w:lang w:val="en-AU"/>
        </w:rPr>
      </w:pPr>
      <w:r>
        <w:rPr>
          <w:color w:val="auto"/>
          <w:lang w:val="en-AU"/>
        </w:rPr>
        <w:br w:type="page"/>
      </w:r>
    </w:p>
    <w:p w14:paraId="1391D92A" w14:textId="096F6952" w:rsidR="00831B96" w:rsidRPr="008B4AA8" w:rsidRDefault="00831B96" w:rsidP="008B4AA8">
      <w:pPr>
        <w:pStyle w:val="Heading2"/>
      </w:pPr>
      <w:r w:rsidRPr="008B4AA8">
        <w:lastRenderedPageBreak/>
        <w:t>STRATEGIC AND OUTCOME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1"/>
        <w:gridCol w:w="3905"/>
        <w:gridCol w:w="3268"/>
        <w:gridCol w:w="2640"/>
      </w:tblGrid>
      <w:tr w:rsidR="009877B4" w:rsidRPr="009877B4" w14:paraId="6D91C57E" w14:textId="36657721" w:rsidTr="008B4AA8">
        <w:trPr>
          <w:trHeight w:val="473"/>
          <w:tblHeader/>
        </w:trPr>
        <w:tc>
          <w:tcPr>
            <w:tcW w:w="4091" w:type="dxa"/>
          </w:tcPr>
          <w:p w14:paraId="64869B4E" w14:textId="5D8ABDCB" w:rsidR="00831B96" w:rsidRPr="009877B4" w:rsidRDefault="00831B96" w:rsidP="00831B96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 xml:space="preserve">Recommendations </w:t>
            </w:r>
          </w:p>
        </w:tc>
        <w:tc>
          <w:tcPr>
            <w:tcW w:w="3905" w:type="dxa"/>
          </w:tcPr>
          <w:p w14:paraId="1B00EA1D" w14:textId="2EA008D0" w:rsidR="00831B96" w:rsidRPr="009877B4" w:rsidRDefault="00831B96" w:rsidP="00831B96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Response</w:t>
            </w:r>
          </w:p>
        </w:tc>
        <w:tc>
          <w:tcPr>
            <w:tcW w:w="3268" w:type="dxa"/>
          </w:tcPr>
          <w:p w14:paraId="0D2207CC" w14:textId="1566A07A" w:rsidR="00831B96" w:rsidRPr="009877B4" w:rsidRDefault="00831B96" w:rsidP="00831B96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Action Plan</w:t>
            </w:r>
          </w:p>
        </w:tc>
        <w:tc>
          <w:tcPr>
            <w:tcW w:w="2640" w:type="dxa"/>
          </w:tcPr>
          <w:p w14:paraId="6D97EAF4" w14:textId="31C99C38" w:rsidR="00831B96" w:rsidRPr="009877B4" w:rsidRDefault="00831B96" w:rsidP="00831B96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Timeframe</w:t>
            </w:r>
          </w:p>
        </w:tc>
      </w:tr>
      <w:tr w:rsidR="009877B4" w:rsidRPr="009877B4" w14:paraId="70A47931" w14:textId="781D74CB" w:rsidTr="00010D5F">
        <w:trPr>
          <w:trHeight w:val="3201"/>
        </w:trPr>
        <w:tc>
          <w:tcPr>
            <w:tcW w:w="4091" w:type="dxa"/>
          </w:tcPr>
          <w:p w14:paraId="7084E042" w14:textId="3D489674" w:rsidR="00A37370" w:rsidRPr="009877B4" w:rsidRDefault="00EC34BA" w:rsidP="00EC34BA">
            <w:pPr>
              <w:rPr>
                <w:color w:val="auto"/>
              </w:rPr>
            </w:pPr>
            <w:bookmarkStart w:id="0" w:name="_Hlk94796227"/>
            <w:r>
              <w:rPr>
                <w:color w:val="auto"/>
              </w:rPr>
              <w:t xml:space="preserve">Strengthen </w:t>
            </w:r>
            <w:r w:rsidR="00E05626" w:rsidRPr="00E05626">
              <w:rPr>
                <w:color w:val="auto"/>
              </w:rPr>
              <w:t xml:space="preserve">strategic leadership and cooperation between donors and government including consideration of research, private sector engagement and donor harmonisation in CSSP future objectives. </w:t>
            </w:r>
          </w:p>
        </w:tc>
        <w:tc>
          <w:tcPr>
            <w:tcW w:w="3905" w:type="dxa"/>
          </w:tcPr>
          <w:p w14:paraId="23BDBEA5" w14:textId="1B663B94" w:rsidR="00A37370" w:rsidRPr="009877B4" w:rsidRDefault="00A37370" w:rsidP="00A37370">
            <w:pPr>
              <w:rPr>
                <w:color w:val="auto"/>
              </w:rPr>
            </w:pPr>
            <w:r w:rsidRPr="009877B4">
              <w:rPr>
                <w:color w:val="auto"/>
              </w:rPr>
              <w:t>Post agrees</w:t>
            </w:r>
          </w:p>
        </w:tc>
        <w:tc>
          <w:tcPr>
            <w:tcW w:w="3268" w:type="dxa"/>
          </w:tcPr>
          <w:p w14:paraId="41478ACC" w14:textId="73A8FB5C" w:rsidR="00A37370" w:rsidRPr="009877B4" w:rsidRDefault="00A37370" w:rsidP="00A37370">
            <w:pPr>
              <w:rPr>
                <w:color w:val="auto"/>
              </w:rPr>
            </w:pPr>
            <w:r w:rsidRPr="009877B4">
              <w:rPr>
                <w:color w:val="auto"/>
              </w:rPr>
              <w:t>Post will discuss</w:t>
            </w:r>
            <w:r w:rsidR="00C84943">
              <w:rPr>
                <w:color w:val="auto"/>
              </w:rPr>
              <w:t xml:space="preserve"> this</w:t>
            </w:r>
            <w:r w:rsidRPr="009877B4">
              <w:rPr>
                <w:color w:val="auto"/>
              </w:rPr>
              <w:t xml:space="preserve"> recommendation with Ministry of Finance</w:t>
            </w:r>
            <w:r w:rsidR="00EC34BA">
              <w:rPr>
                <w:color w:val="auto"/>
              </w:rPr>
              <w:t>.</w:t>
            </w:r>
            <w:r w:rsidR="00C84943">
              <w:rPr>
                <w:color w:val="auto"/>
              </w:rPr>
              <w:t xml:space="preserve"> The role of CSSP as a coordinating mechanism</w:t>
            </w:r>
            <w:r w:rsidR="003F1E59">
              <w:rPr>
                <w:color w:val="auto"/>
              </w:rPr>
              <w:t>, and the role of research and private sector engagement,</w:t>
            </w:r>
            <w:r w:rsidR="00C84943">
              <w:rPr>
                <w:color w:val="auto"/>
              </w:rPr>
              <w:t xml:space="preserve"> will be </w:t>
            </w:r>
            <w:r w:rsidR="007F342F">
              <w:rPr>
                <w:color w:val="auto"/>
              </w:rPr>
              <w:t xml:space="preserve">considered by the design teams for </w:t>
            </w:r>
            <w:r w:rsidR="0064672A">
              <w:rPr>
                <w:color w:val="auto"/>
              </w:rPr>
              <w:t xml:space="preserve">the </w:t>
            </w:r>
            <w:r w:rsidR="00423EF9">
              <w:rPr>
                <w:color w:val="auto"/>
              </w:rPr>
              <w:t>HDSI and GEG investments</w:t>
            </w:r>
            <w:r w:rsidR="0064672A">
              <w:rPr>
                <w:color w:val="auto"/>
              </w:rPr>
              <w:t>,</w:t>
            </w:r>
            <w:r w:rsidR="00423EF9">
              <w:rPr>
                <w:color w:val="auto"/>
              </w:rPr>
              <w:t xml:space="preserve"> and reflected in </w:t>
            </w:r>
            <w:r w:rsidR="007307A8">
              <w:rPr>
                <w:color w:val="auto"/>
              </w:rPr>
              <w:t xml:space="preserve">final </w:t>
            </w:r>
            <w:r w:rsidR="00423EF9">
              <w:rPr>
                <w:color w:val="auto"/>
              </w:rPr>
              <w:t>design</w:t>
            </w:r>
            <w:r w:rsidR="007307A8">
              <w:rPr>
                <w:color w:val="auto"/>
              </w:rPr>
              <w:t>s.</w:t>
            </w:r>
            <w:r w:rsidR="00423EF9">
              <w:rPr>
                <w:color w:val="auto"/>
              </w:rPr>
              <w:t xml:space="preserve"> </w:t>
            </w:r>
            <w:r w:rsidR="00C84943">
              <w:rPr>
                <w:color w:val="auto"/>
              </w:rPr>
              <w:t xml:space="preserve"> </w:t>
            </w:r>
          </w:p>
        </w:tc>
        <w:tc>
          <w:tcPr>
            <w:tcW w:w="2640" w:type="dxa"/>
          </w:tcPr>
          <w:p w14:paraId="1D168E27" w14:textId="02E264B1" w:rsidR="00A37370" w:rsidRPr="009877B4" w:rsidRDefault="006006B5" w:rsidP="00A37370">
            <w:pPr>
              <w:rPr>
                <w:color w:val="auto"/>
              </w:rPr>
            </w:pPr>
            <w:r>
              <w:rPr>
                <w:color w:val="auto"/>
              </w:rPr>
              <w:t>June 2022</w:t>
            </w:r>
          </w:p>
        </w:tc>
      </w:tr>
    </w:tbl>
    <w:bookmarkEnd w:id="0"/>
    <w:p w14:paraId="54BE4A8E" w14:textId="671009B0" w:rsidR="00CB2E35" w:rsidRPr="009877B4" w:rsidRDefault="00CB2E35" w:rsidP="008B4AA8">
      <w:pPr>
        <w:pStyle w:val="Heading2"/>
      </w:pPr>
      <w:r w:rsidRPr="009877B4">
        <w:t>CAPACITY BUILDING</w:t>
      </w:r>
      <w:r w:rsidR="00A37370" w:rsidRPr="009877B4">
        <w:t xml:space="preserve"> AND NETWORKING FOR CSOs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3119"/>
        <w:gridCol w:w="2696"/>
      </w:tblGrid>
      <w:tr w:rsidR="009877B4" w:rsidRPr="009877B4" w14:paraId="7B0CCFCC" w14:textId="3869609C" w:rsidTr="008B4AA8">
        <w:trPr>
          <w:trHeight w:val="575"/>
          <w:tblHeader/>
        </w:trPr>
        <w:tc>
          <w:tcPr>
            <w:tcW w:w="4106" w:type="dxa"/>
          </w:tcPr>
          <w:p w14:paraId="0E8B6457" w14:textId="18B103CE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Recommendations</w:t>
            </w:r>
          </w:p>
        </w:tc>
        <w:tc>
          <w:tcPr>
            <w:tcW w:w="3969" w:type="dxa"/>
          </w:tcPr>
          <w:p w14:paraId="149510C9" w14:textId="59EBC722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Response</w:t>
            </w:r>
          </w:p>
        </w:tc>
        <w:tc>
          <w:tcPr>
            <w:tcW w:w="3119" w:type="dxa"/>
          </w:tcPr>
          <w:p w14:paraId="35B1A4D2" w14:textId="45434043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Action Plan</w:t>
            </w:r>
          </w:p>
        </w:tc>
        <w:tc>
          <w:tcPr>
            <w:tcW w:w="2696" w:type="dxa"/>
          </w:tcPr>
          <w:p w14:paraId="3DAC180A" w14:textId="40052D2C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Timeframe</w:t>
            </w:r>
          </w:p>
        </w:tc>
      </w:tr>
      <w:tr w:rsidR="00EC34BA" w:rsidRPr="009877B4" w14:paraId="7BD8C2D3" w14:textId="0E230988" w:rsidTr="00010D5F">
        <w:trPr>
          <w:trHeight w:val="3106"/>
        </w:trPr>
        <w:tc>
          <w:tcPr>
            <w:tcW w:w="4106" w:type="dxa"/>
          </w:tcPr>
          <w:p w14:paraId="12A20977" w14:textId="78DAC828" w:rsidR="00E05626" w:rsidRPr="00E05626" w:rsidRDefault="00942D12" w:rsidP="008B4AA8">
            <w:pPr>
              <w:spacing w:before="0" w:after="0" w:line="240" w:lineRule="auto"/>
              <w:contextualSpacing/>
              <w:jc w:val="both"/>
              <w:rPr>
                <w:color w:val="auto"/>
              </w:rPr>
            </w:pPr>
            <w:r w:rsidRPr="00942D12">
              <w:rPr>
                <w:color w:val="auto"/>
              </w:rPr>
              <w:t>Strengthen</w:t>
            </w:r>
            <w:r>
              <w:rPr>
                <w:color w:val="auto"/>
              </w:rPr>
              <w:t xml:space="preserve"> </w:t>
            </w:r>
            <w:r w:rsidRPr="00942D12">
              <w:rPr>
                <w:color w:val="auto"/>
              </w:rPr>
              <w:t>capacity building and networking for CSOs</w:t>
            </w:r>
          </w:p>
          <w:p w14:paraId="358CB833" w14:textId="77777777" w:rsidR="00AC4A11" w:rsidRPr="009877B4" w:rsidRDefault="00AC4A11" w:rsidP="00AC4A11">
            <w:pPr>
              <w:rPr>
                <w:color w:val="auto"/>
              </w:rPr>
            </w:pPr>
          </w:p>
        </w:tc>
        <w:tc>
          <w:tcPr>
            <w:tcW w:w="3969" w:type="dxa"/>
          </w:tcPr>
          <w:p w14:paraId="7283565D" w14:textId="2C32BD69" w:rsidR="00AC4A11" w:rsidRPr="009877B4" w:rsidRDefault="00E05626" w:rsidP="00AC4A11">
            <w:pPr>
              <w:rPr>
                <w:color w:val="auto"/>
              </w:rPr>
            </w:pPr>
            <w:r w:rsidRPr="009877B4">
              <w:rPr>
                <w:color w:val="auto"/>
              </w:rPr>
              <w:t>Post agrees</w:t>
            </w:r>
          </w:p>
        </w:tc>
        <w:tc>
          <w:tcPr>
            <w:tcW w:w="3119" w:type="dxa"/>
          </w:tcPr>
          <w:p w14:paraId="53C79229" w14:textId="64930771" w:rsidR="0064672A" w:rsidRDefault="00EC34BA" w:rsidP="00AC4A11">
            <w:pPr>
              <w:rPr>
                <w:color w:val="auto"/>
              </w:rPr>
            </w:pPr>
            <w:r w:rsidRPr="00EC34BA">
              <w:rPr>
                <w:color w:val="auto"/>
              </w:rPr>
              <w:t>Post will discuss</w:t>
            </w:r>
            <w:r w:rsidR="0064672A">
              <w:rPr>
                <w:color w:val="auto"/>
              </w:rPr>
              <w:t xml:space="preserve"> this</w:t>
            </w:r>
            <w:r w:rsidRPr="00EC34BA">
              <w:rPr>
                <w:color w:val="auto"/>
              </w:rPr>
              <w:t xml:space="preserve"> recommendation with Ministry of Finance</w:t>
            </w:r>
            <w:r w:rsidR="0064672A">
              <w:rPr>
                <w:color w:val="auto"/>
              </w:rPr>
              <w:t>.</w:t>
            </w:r>
          </w:p>
          <w:p w14:paraId="339525D2" w14:textId="2F726CE0" w:rsidR="00AC4A11" w:rsidRPr="009877B4" w:rsidRDefault="000B6777" w:rsidP="00AC4A11">
            <w:pPr>
              <w:rPr>
                <w:color w:val="auto"/>
              </w:rPr>
            </w:pPr>
            <w:r>
              <w:rPr>
                <w:color w:val="auto"/>
              </w:rPr>
              <w:t xml:space="preserve">Future </w:t>
            </w:r>
            <w:r w:rsidR="0064672A">
              <w:rPr>
                <w:color w:val="auto"/>
              </w:rPr>
              <w:t xml:space="preserve">DFAT </w:t>
            </w:r>
            <w:r>
              <w:rPr>
                <w:color w:val="auto"/>
              </w:rPr>
              <w:t>support to CSOs will</w:t>
            </w:r>
            <w:r w:rsidR="006D6CB8">
              <w:rPr>
                <w:color w:val="auto"/>
              </w:rPr>
              <w:t xml:space="preserve"> consider a range of options </w:t>
            </w:r>
            <w:r w:rsidR="0098643F">
              <w:rPr>
                <w:color w:val="auto"/>
              </w:rPr>
              <w:t xml:space="preserve">and alternatives </w:t>
            </w:r>
            <w:r w:rsidR="006D6CB8">
              <w:rPr>
                <w:color w:val="auto"/>
              </w:rPr>
              <w:t xml:space="preserve">to support capacity development. </w:t>
            </w:r>
          </w:p>
        </w:tc>
        <w:tc>
          <w:tcPr>
            <w:tcW w:w="2696" w:type="dxa"/>
          </w:tcPr>
          <w:p w14:paraId="71316E56" w14:textId="48D6428A" w:rsidR="00AC4A11" w:rsidRPr="009877B4" w:rsidRDefault="006006B5" w:rsidP="00AC4A11">
            <w:pPr>
              <w:rPr>
                <w:color w:val="auto"/>
              </w:rPr>
            </w:pPr>
            <w:r>
              <w:rPr>
                <w:color w:val="auto"/>
              </w:rPr>
              <w:t>June 2022</w:t>
            </w:r>
          </w:p>
        </w:tc>
      </w:tr>
    </w:tbl>
    <w:p w14:paraId="4556F1F3" w14:textId="77777777" w:rsidR="008B4AA8" w:rsidRDefault="008B4AA8">
      <w:pPr>
        <w:suppressAutoHyphens w:val="0"/>
        <w:spacing w:before="0" w:after="160" w:line="259" w:lineRule="auto"/>
        <w:rPr>
          <w:color w:val="auto"/>
        </w:rPr>
      </w:pPr>
      <w:r>
        <w:br w:type="page"/>
      </w:r>
    </w:p>
    <w:p w14:paraId="35A8C09C" w14:textId="25F50F41" w:rsidR="00CB2E35" w:rsidRPr="009877B4" w:rsidRDefault="00CB2E35" w:rsidP="008B4AA8">
      <w:pPr>
        <w:pStyle w:val="Heading2"/>
      </w:pPr>
      <w:r w:rsidRPr="009877B4">
        <w:lastRenderedPageBreak/>
        <w:t>OPERATIONAL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6"/>
        <w:gridCol w:w="3836"/>
        <w:gridCol w:w="3559"/>
        <w:gridCol w:w="2533"/>
      </w:tblGrid>
      <w:tr w:rsidR="009877B4" w:rsidRPr="009877B4" w14:paraId="5E7DAEFC" w14:textId="77777777" w:rsidTr="008B4AA8">
        <w:trPr>
          <w:trHeight w:val="371"/>
          <w:tblHeader/>
        </w:trPr>
        <w:tc>
          <w:tcPr>
            <w:tcW w:w="3916" w:type="dxa"/>
          </w:tcPr>
          <w:p w14:paraId="5E5A0778" w14:textId="77777777" w:rsidR="00AC4A11" w:rsidRPr="009877B4" w:rsidRDefault="00AC4A11" w:rsidP="005450D2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Recommendations</w:t>
            </w:r>
          </w:p>
        </w:tc>
        <w:tc>
          <w:tcPr>
            <w:tcW w:w="3836" w:type="dxa"/>
          </w:tcPr>
          <w:p w14:paraId="3EDD8167" w14:textId="77777777" w:rsidR="00AC4A11" w:rsidRPr="009877B4" w:rsidRDefault="00AC4A11" w:rsidP="005450D2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Response</w:t>
            </w:r>
          </w:p>
        </w:tc>
        <w:tc>
          <w:tcPr>
            <w:tcW w:w="3559" w:type="dxa"/>
          </w:tcPr>
          <w:p w14:paraId="52BA1B18" w14:textId="77777777" w:rsidR="00AC4A11" w:rsidRPr="009877B4" w:rsidRDefault="00AC4A11" w:rsidP="005450D2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Action Plan</w:t>
            </w:r>
          </w:p>
        </w:tc>
        <w:tc>
          <w:tcPr>
            <w:tcW w:w="2533" w:type="dxa"/>
          </w:tcPr>
          <w:p w14:paraId="48AE36EB" w14:textId="77777777" w:rsidR="00AC4A11" w:rsidRPr="009877B4" w:rsidRDefault="00AC4A11" w:rsidP="005450D2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Timeframe</w:t>
            </w:r>
          </w:p>
        </w:tc>
      </w:tr>
      <w:tr w:rsidR="00EC34BA" w:rsidRPr="009877B4" w14:paraId="119AD3FF" w14:textId="77777777" w:rsidTr="00010D5F">
        <w:trPr>
          <w:trHeight w:val="3162"/>
        </w:trPr>
        <w:tc>
          <w:tcPr>
            <w:tcW w:w="3916" w:type="dxa"/>
          </w:tcPr>
          <w:p w14:paraId="0C4C5335" w14:textId="110CCA05" w:rsidR="00AC4A11" w:rsidRDefault="00A2382D" w:rsidP="00480C27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A2382D">
              <w:rPr>
                <w:color w:val="auto"/>
              </w:rPr>
              <w:t>treamline and refine Steering Committee and PMU operations</w:t>
            </w:r>
            <w:r w:rsidR="002C100B">
              <w:rPr>
                <w:color w:val="auto"/>
              </w:rPr>
              <w:t xml:space="preserve"> through a process review, considering: </w:t>
            </w:r>
          </w:p>
          <w:p w14:paraId="7C6A82CF" w14:textId="07B03D2C" w:rsidR="00D75B41" w:rsidRDefault="002C100B" w:rsidP="00480C27">
            <w:pPr>
              <w:rPr>
                <w:color w:val="auto"/>
              </w:rPr>
            </w:pPr>
            <w:r>
              <w:rPr>
                <w:color w:val="auto"/>
              </w:rPr>
              <w:t xml:space="preserve">- How to </w:t>
            </w:r>
            <w:proofErr w:type="spellStart"/>
            <w:r w:rsidR="00CA2431">
              <w:rPr>
                <w:color w:val="auto"/>
              </w:rPr>
              <w:t>commonise</w:t>
            </w:r>
            <w:proofErr w:type="spellEnd"/>
            <w:r w:rsidR="00CA2431">
              <w:rPr>
                <w:color w:val="auto"/>
              </w:rPr>
              <w:t xml:space="preserve"> donor reporting</w:t>
            </w:r>
            <w:r w:rsidR="005211B3">
              <w:rPr>
                <w:color w:val="auto"/>
              </w:rPr>
              <w:t xml:space="preserve"> and policies</w:t>
            </w:r>
          </w:p>
          <w:p w14:paraId="1073C425" w14:textId="05E52F90" w:rsidR="00CA2431" w:rsidRDefault="002C100B" w:rsidP="00480C27">
            <w:pPr>
              <w:rPr>
                <w:color w:val="auto"/>
              </w:rPr>
            </w:pPr>
            <w:r>
              <w:rPr>
                <w:color w:val="auto"/>
              </w:rPr>
              <w:t>- I</w:t>
            </w:r>
            <w:r w:rsidR="00CA2431">
              <w:rPr>
                <w:color w:val="auto"/>
              </w:rPr>
              <w:t>mprove information management systems</w:t>
            </w:r>
          </w:p>
          <w:p w14:paraId="4D54BE9A" w14:textId="26F7CE45" w:rsidR="00A2382D" w:rsidRPr="009877B4" w:rsidRDefault="002C100B" w:rsidP="008B4AA8">
            <w:pPr>
              <w:rPr>
                <w:color w:val="auto"/>
              </w:rPr>
            </w:pPr>
            <w:r>
              <w:rPr>
                <w:color w:val="auto"/>
              </w:rPr>
              <w:t>- R</w:t>
            </w:r>
            <w:r w:rsidR="005211B3">
              <w:rPr>
                <w:color w:val="auto"/>
              </w:rPr>
              <w:t>eview steering committee terms of reference an</w:t>
            </w:r>
            <w:r>
              <w:rPr>
                <w:color w:val="auto"/>
              </w:rPr>
              <w:t>d</w:t>
            </w:r>
            <w:r w:rsidR="005211B3">
              <w:rPr>
                <w:color w:val="auto"/>
              </w:rPr>
              <w:t xml:space="preserve"> operations</w:t>
            </w:r>
          </w:p>
        </w:tc>
        <w:tc>
          <w:tcPr>
            <w:tcW w:w="3836" w:type="dxa"/>
          </w:tcPr>
          <w:p w14:paraId="17E40948" w14:textId="09F51D00" w:rsidR="00AC4A11" w:rsidRPr="009877B4" w:rsidRDefault="00EC34BA" w:rsidP="00AC4A11">
            <w:pPr>
              <w:rPr>
                <w:color w:val="auto"/>
              </w:rPr>
            </w:pPr>
            <w:r>
              <w:rPr>
                <w:color w:val="auto"/>
              </w:rPr>
              <w:t>Post agrees</w:t>
            </w:r>
          </w:p>
        </w:tc>
        <w:tc>
          <w:tcPr>
            <w:tcW w:w="3559" w:type="dxa"/>
          </w:tcPr>
          <w:p w14:paraId="2244C40F" w14:textId="1A30481A" w:rsidR="00AC4A11" w:rsidRPr="009877B4" w:rsidRDefault="00EC34BA" w:rsidP="00AC4A11">
            <w:pPr>
              <w:rPr>
                <w:color w:val="auto"/>
              </w:rPr>
            </w:pPr>
            <w:r w:rsidRPr="00EC34BA">
              <w:rPr>
                <w:color w:val="auto"/>
              </w:rPr>
              <w:t>Post will discuss recommendation with Ministry of Finance</w:t>
            </w:r>
            <w:r w:rsidR="007A36C5">
              <w:rPr>
                <w:color w:val="auto"/>
              </w:rPr>
              <w:t xml:space="preserve"> and the CSSP PMU.</w:t>
            </w:r>
          </w:p>
        </w:tc>
        <w:tc>
          <w:tcPr>
            <w:tcW w:w="2533" w:type="dxa"/>
          </w:tcPr>
          <w:p w14:paraId="43223011" w14:textId="54C212E0" w:rsidR="00AC4A11" w:rsidRPr="009877B4" w:rsidRDefault="006006B5" w:rsidP="00AC4A11">
            <w:pPr>
              <w:rPr>
                <w:color w:val="auto"/>
              </w:rPr>
            </w:pPr>
            <w:r>
              <w:rPr>
                <w:color w:val="auto"/>
              </w:rPr>
              <w:t>June 2022</w:t>
            </w:r>
          </w:p>
        </w:tc>
      </w:tr>
    </w:tbl>
    <w:p w14:paraId="7E782424" w14:textId="21D2F90A" w:rsidR="00831B96" w:rsidRPr="009877B4" w:rsidRDefault="00CB2E35" w:rsidP="008B4AA8">
      <w:pPr>
        <w:pStyle w:val="Heading2"/>
      </w:pPr>
      <w:r w:rsidRPr="009877B4">
        <w:t>FUNDING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3543"/>
        <w:gridCol w:w="2552"/>
      </w:tblGrid>
      <w:tr w:rsidR="009877B4" w:rsidRPr="009877B4" w14:paraId="591097A9" w14:textId="5708631F" w:rsidTr="008B4AA8">
        <w:trPr>
          <w:tblHeader/>
        </w:trPr>
        <w:tc>
          <w:tcPr>
            <w:tcW w:w="3964" w:type="dxa"/>
          </w:tcPr>
          <w:p w14:paraId="6C12C39A" w14:textId="74A39198" w:rsidR="00AC4A11" w:rsidRPr="009877B4" w:rsidRDefault="00AC4A11" w:rsidP="00AC4A11">
            <w:pPr>
              <w:rPr>
                <w:b/>
                <w:bCs/>
                <w:color w:val="auto"/>
              </w:rPr>
            </w:pPr>
            <w:bookmarkStart w:id="1" w:name="_Hlk92368439"/>
            <w:r w:rsidRPr="009877B4">
              <w:rPr>
                <w:b/>
                <w:bCs/>
                <w:color w:val="auto"/>
              </w:rPr>
              <w:t>Recommendations</w:t>
            </w:r>
          </w:p>
        </w:tc>
        <w:tc>
          <w:tcPr>
            <w:tcW w:w="3828" w:type="dxa"/>
          </w:tcPr>
          <w:p w14:paraId="26E6E455" w14:textId="4215734C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Response</w:t>
            </w:r>
          </w:p>
        </w:tc>
        <w:tc>
          <w:tcPr>
            <w:tcW w:w="3543" w:type="dxa"/>
          </w:tcPr>
          <w:p w14:paraId="02D24E40" w14:textId="4BF506D8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Action Plan</w:t>
            </w:r>
          </w:p>
        </w:tc>
        <w:tc>
          <w:tcPr>
            <w:tcW w:w="2552" w:type="dxa"/>
          </w:tcPr>
          <w:p w14:paraId="77CF720D" w14:textId="12147D50" w:rsidR="00AC4A11" w:rsidRPr="009877B4" w:rsidRDefault="00AC4A11" w:rsidP="00AC4A11">
            <w:pPr>
              <w:rPr>
                <w:b/>
                <w:bCs/>
                <w:color w:val="auto"/>
              </w:rPr>
            </w:pPr>
            <w:r w:rsidRPr="009877B4">
              <w:rPr>
                <w:b/>
                <w:bCs/>
                <w:color w:val="auto"/>
              </w:rPr>
              <w:t>Timeframe</w:t>
            </w:r>
          </w:p>
        </w:tc>
      </w:tr>
      <w:tr w:rsidR="009877B4" w:rsidRPr="009877B4" w14:paraId="4B9F33A1" w14:textId="6C575C19" w:rsidTr="00010D5F">
        <w:tc>
          <w:tcPr>
            <w:tcW w:w="3964" w:type="dxa"/>
          </w:tcPr>
          <w:p w14:paraId="643804C2" w14:textId="4064DF64" w:rsidR="00AC4A11" w:rsidRPr="009877B4" w:rsidRDefault="00AC4A11" w:rsidP="008B4AA8">
            <w:pPr>
              <w:rPr>
                <w:color w:val="auto"/>
              </w:rPr>
            </w:pPr>
            <w:r w:rsidRPr="009877B4">
              <w:rPr>
                <w:color w:val="auto"/>
              </w:rPr>
              <w:t>CSSP to find a funding source to support core positions previously funded by DFAT.</w:t>
            </w:r>
          </w:p>
        </w:tc>
        <w:tc>
          <w:tcPr>
            <w:tcW w:w="3828" w:type="dxa"/>
          </w:tcPr>
          <w:p w14:paraId="6E4DCF2E" w14:textId="76F16D37" w:rsidR="00AC4A11" w:rsidRPr="009877B4" w:rsidRDefault="00AC4A11" w:rsidP="00AC4A11">
            <w:pPr>
              <w:rPr>
                <w:color w:val="auto"/>
              </w:rPr>
            </w:pPr>
            <w:r w:rsidRPr="009877B4">
              <w:rPr>
                <w:color w:val="auto"/>
              </w:rPr>
              <w:t>Post agrees</w:t>
            </w:r>
            <w:r w:rsidR="00A37370" w:rsidRPr="009877B4">
              <w:rPr>
                <w:color w:val="auto"/>
              </w:rPr>
              <w:t>.</w:t>
            </w:r>
            <w:r w:rsidRPr="009877B4">
              <w:rPr>
                <w:color w:val="auto"/>
              </w:rPr>
              <w:t xml:space="preserve"> </w:t>
            </w:r>
          </w:p>
          <w:p w14:paraId="541B670F" w14:textId="6ADA22CD" w:rsidR="00AC4A11" w:rsidRPr="009877B4" w:rsidRDefault="00AC4A11" w:rsidP="00AC4A11">
            <w:pPr>
              <w:rPr>
                <w:color w:val="auto"/>
              </w:rPr>
            </w:pPr>
            <w:bookmarkStart w:id="2" w:name="_Hlk92368593"/>
          </w:p>
        </w:tc>
        <w:tc>
          <w:tcPr>
            <w:tcW w:w="3543" w:type="dxa"/>
          </w:tcPr>
          <w:p w14:paraId="7433A384" w14:textId="07913834" w:rsidR="00136904" w:rsidRDefault="00561972" w:rsidP="00EC34BA">
            <w:pPr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Additional funding for the CSSP has been approved under the </w:t>
            </w:r>
            <w:proofErr w:type="spellStart"/>
            <w:r>
              <w:rPr>
                <w:color w:val="auto"/>
                <w:lang w:val="en-AU"/>
              </w:rPr>
              <w:t>GoS</w:t>
            </w:r>
            <w:proofErr w:type="spellEnd"/>
            <w:r>
              <w:rPr>
                <w:color w:val="auto"/>
                <w:lang w:val="en-AU"/>
              </w:rPr>
              <w:t xml:space="preserve"> budget FY21/22 and its supplementary budget. </w:t>
            </w:r>
          </w:p>
          <w:p w14:paraId="3A4D8975" w14:textId="1D328FEE" w:rsidR="00E05626" w:rsidRPr="00043300" w:rsidRDefault="00246A66" w:rsidP="00EC34BA">
            <w:pPr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F</w:t>
            </w:r>
            <w:r w:rsidR="00136904">
              <w:rPr>
                <w:color w:val="auto"/>
                <w:lang w:val="en-AU"/>
              </w:rPr>
              <w:t xml:space="preserve">uture </w:t>
            </w:r>
            <w:r w:rsidR="00043300">
              <w:rPr>
                <w:color w:val="auto"/>
                <w:lang w:val="en-AU"/>
              </w:rPr>
              <w:t xml:space="preserve">support to </w:t>
            </w:r>
            <w:r w:rsidR="005D37D1">
              <w:rPr>
                <w:color w:val="auto"/>
                <w:lang w:val="en-AU"/>
              </w:rPr>
              <w:t>civil society</w:t>
            </w:r>
            <w:r w:rsidR="005F5AB3">
              <w:rPr>
                <w:color w:val="auto"/>
                <w:lang w:val="en-AU"/>
              </w:rPr>
              <w:t xml:space="preserve"> will be explored through the design process for HDSI and GEG. </w:t>
            </w:r>
          </w:p>
        </w:tc>
        <w:tc>
          <w:tcPr>
            <w:tcW w:w="2552" w:type="dxa"/>
          </w:tcPr>
          <w:p w14:paraId="6E752331" w14:textId="441A4910" w:rsidR="00EA16D9" w:rsidRPr="009877B4" w:rsidRDefault="00EA16D9" w:rsidP="00EA16D9">
            <w:pPr>
              <w:rPr>
                <w:color w:val="auto"/>
              </w:rPr>
            </w:pPr>
            <w:r>
              <w:rPr>
                <w:color w:val="auto"/>
              </w:rPr>
              <w:t xml:space="preserve">N/A </w:t>
            </w:r>
            <w:r w:rsidRPr="00EA16D9">
              <w:rPr>
                <w:i/>
                <w:iCs/>
                <w:color w:val="auto"/>
              </w:rPr>
              <w:t>(HDSI/GEG designs due to be completed in June 2022)</w:t>
            </w:r>
          </w:p>
        </w:tc>
      </w:tr>
      <w:bookmarkEnd w:id="1"/>
      <w:bookmarkEnd w:id="2"/>
    </w:tbl>
    <w:p w14:paraId="08EA5BDE" w14:textId="77777777" w:rsidR="00CB2E35" w:rsidRPr="009877B4" w:rsidRDefault="00CB2E35">
      <w:pPr>
        <w:rPr>
          <w:color w:val="auto"/>
        </w:rPr>
      </w:pPr>
    </w:p>
    <w:sectPr w:rsidR="00CB2E35" w:rsidRPr="009877B4" w:rsidSect="00010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1BC11" w14:textId="77777777" w:rsidR="005A3C34" w:rsidRDefault="005A3C34" w:rsidP="00D653AE">
      <w:pPr>
        <w:spacing w:before="0" w:after="0" w:line="240" w:lineRule="auto"/>
      </w:pPr>
      <w:r>
        <w:separator/>
      </w:r>
    </w:p>
  </w:endnote>
  <w:endnote w:type="continuationSeparator" w:id="0">
    <w:p w14:paraId="3E717363" w14:textId="77777777" w:rsidR="005A3C34" w:rsidRDefault="005A3C34" w:rsidP="00D653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DBB9" w14:textId="77777777" w:rsidR="005A3C34" w:rsidRDefault="005A3C34" w:rsidP="00D653AE">
      <w:pPr>
        <w:spacing w:before="0" w:after="0" w:line="240" w:lineRule="auto"/>
      </w:pPr>
      <w:r>
        <w:separator/>
      </w:r>
    </w:p>
  </w:footnote>
  <w:footnote w:type="continuationSeparator" w:id="0">
    <w:p w14:paraId="233DD2AD" w14:textId="77777777" w:rsidR="005A3C34" w:rsidRDefault="005A3C34" w:rsidP="00D653A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A"/>
    <w:rsid w:val="0001099B"/>
    <w:rsid w:val="00010D5F"/>
    <w:rsid w:val="00043300"/>
    <w:rsid w:val="000B6777"/>
    <w:rsid w:val="000E1301"/>
    <w:rsid w:val="000E2AB2"/>
    <w:rsid w:val="001317BE"/>
    <w:rsid w:val="00136904"/>
    <w:rsid w:val="00145DFB"/>
    <w:rsid w:val="00150669"/>
    <w:rsid w:val="00163095"/>
    <w:rsid w:val="00183CB5"/>
    <w:rsid w:val="001B32D8"/>
    <w:rsid w:val="001E0200"/>
    <w:rsid w:val="0021534A"/>
    <w:rsid w:val="00233A8F"/>
    <w:rsid w:val="00246A66"/>
    <w:rsid w:val="00282592"/>
    <w:rsid w:val="00290E4A"/>
    <w:rsid w:val="002B7477"/>
    <w:rsid w:val="002C100B"/>
    <w:rsid w:val="002C32A5"/>
    <w:rsid w:val="002D43E3"/>
    <w:rsid w:val="00303BB1"/>
    <w:rsid w:val="00364844"/>
    <w:rsid w:val="003B738C"/>
    <w:rsid w:val="003E19BB"/>
    <w:rsid w:val="003F1E59"/>
    <w:rsid w:val="0040201B"/>
    <w:rsid w:val="00404BFE"/>
    <w:rsid w:val="00423EF9"/>
    <w:rsid w:val="00444C7F"/>
    <w:rsid w:val="0045052D"/>
    <w:rsid w:val="00457528"/>
    <w:rsid w:val="0046368F"/>
    <w:rsid w:val="00480C27"/>
    <w:rsid w:val="004E0C96"/>
    <w:rsid w:val="005211B3"/>
    <w:rsid w:val="00536620"/>
    <w:rsid w:val="00536E52"/>
    <w:rsid w:val="005370BF"/>
    <w:rsid w:val="00561972"/>
    <w:rsid w:val="005A3C34"/>
    <w:rsid w:val="005C2FCB"/>
    <w:rsid w:val="005D37D1"/>
    <w:rsid w:val="005F5AB3"/>
    <w:rsid w:val="006006B5"/>
    <w:rsid w:val="00627FC6"/>
    <w:rsid w:val="0064672A"/>
    <w:rsid w:val="00693436"/>
    <w:rsid w:val="006D6CB8"/>
    <w:rsid w:val="00723C33"/>
    <w:rsid w:val="007307A8"/>
    <w:rsid w:val="007434C5"/>
    <w:rsid w:val="00775956"/>
    <w:rsid w:val="00781DB7"/>
    <w:rsid w:val="007A36C5"/>
    <w:rsid w:val="007E2E61"/>
    <w:rsid w:val="007F342F"/>
    <w:rsid w:val="00831B96"/>
    <w:rsid w:val="008570D5"/>
    <w:rsid w:val="008850A5"/>
    <w:rsid w:val="008B4AA8"/>
    <w:rsid w:val="008F7CDE"/>
    <w:rsid w:val="00915A2A"/>
    <w:rsid w:val="00920956"/>
    <w:rsid w:val="00942D12"/>
    <w:rsid w:val="009509FC"/>
    <w:rsid w:val="0098643F"/>
    <w:rsid w:val="009877B4"/>
    <w:rsid w:val="009A0515"/>
    <w:rsid w:val="009A1417"/>
    <w:rsid w:val="009A6ACC"/>
    <w:rsid w:val="009E19D2"/>
    <w:rsid w:val="009F0593"/>
    <w:rsid w:val="00A0103E"/>
    <w:rsid w:val="00A0671C"/>
    <w:rsid w:val="00A12D99"/>
    <w:rsid w:val="00A2382D"/>
    <w:rsid w:val="00A37370"/>
    <w:rsid w:val="00A727C8"/>
    <w:rsid w:val="00AC4A11"/>
    <w:rsid w:val="00AF2713"/>
    <w:rsid w:val="00B06C09"/>
    <w:rsid w:val="00B73E17"/>
    <w:rsid w:val="00B73F54"/>
    <w:rsid w:val="00BA0908"/>
    <w:rsid w:val="00BA3C7E"/>
    <w:rsid w:val="00C84943"/>
    <w:rsid w:val="00CA2431"/>
    <w:rsid w:val="00CB2E35"/>
    <w:rsid w:val="00CE2A72"/>
    <w:rsid w:val="00CE4A87"/>
    <w:rsid w:val="00CF27C8"/>
    <w:rsid w:val="00CF7676"/>
    <w:rsid w:val="00CF7A7D"/>
    <w:rsid w:val="00D57A7F"/>
    <w:rsid w:val="00D653AE"/>
    <w:rsid w:val="00D75B41"/>
    <w:rsid w:val="00D8653B"/>
    <w:rsid w:val="00DD3C4E"/>
    <w:rsid w:val="00DE0812"/>
    <w:rsid w:val="00E05626"/>
    <w:rsid w:val="00E4238A"/>
    <w:rsid w:val="00E51C6D"/>
    <w:rsid w:val="00E60B7C"/>
    <w:rsid w:val="00EA16D9"/>
    <w:rsid w:val="00EC34BA"/>
    <w:rsid w:val="00ED1221"/>
    <w:rsid w:val="00EE0C37"/>
    <w:rsid w:val="00EF3C41"/>
    <w:rsid w:val="00EF5211"/>
    <w:rsid w:val="00F31823"/>
    <w:rsid w:val="00F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CD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4A"/>
    <w:pPr>
      <w:suppressAutoHyphens/>
      <w:spacing w:before="120" w:after="60" w:line="260" w:lineRule="atLeast"/>
    </w:pPr>
    <w:rPr>
      <w:rFonts w:ascii="Calibri" w:eastAsia="Calibri" w:hAnsi="Calibri" w:cs="Calibri"/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AA8"/>
    <w:pPr>
      <w:jc w:val="center"/>
      <w:outlineLvl w:val="0"/>
    </w:pPr>
    <w:rPr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A8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C7E"/>
    <w:rPr>
      <w:rFonts w:ascii="Calibri" w:eastAsia="Calibri" w:hAnsi="Calibri" w:cs="Calibri"/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7E"/>
    <w:rPr>
      <w:rFonts w:ascii="Calibri" w:eastAsia="Calibri" w:hAnsi="Calibri" w:cs="Calibri"/>
      <w:b/>
      <w:bCs/>
      <w:color w:val="44546A" w:themeColor="text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B4AA8"/>
    <w:rPr>
      <w:rFonts w:ascii="Calibri" w:eastAsia="Calibri" w:hAnsi="Calibri" w:cs="Calibri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B4AA8"/>
    <w:rPr>
      <w:rFonts w:ascii="Calibri" w:eastAsia="Calibri" w:hAnsi="Calibri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52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11"/>
    <w:rPr>
      <w:rFonts w:ascii="Calibri" w:eastAsia="Calibri" w:hAnsi="Calibri" w:cs="Calibri"/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2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11"/>
    <w:rPr>
      <w:rFonts w:ascii="Calibri" w:eastAsia="Calibri" w:hAnsi="Calibri" w:cs="Calibri"/>
      <w:color w:val="44546A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3507</Characters>
  <Application>Microsoft Office Word</Application>
  <DocSecurity>0</DocSecurity>
  <Lines>103</Lines>
  <Paragraphs>56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Management Response To The Review of the Civil Society Support Program (Cssp Ii) in Samoa 2016 – 2021</dc:title>
  <dc:subject/>
  <dc:creator/>
  <cp:keywords/>
  <dc:description/>
  <cp:lastModifiedBy/>
  <cp:revision>1</cp:revision>
  <dcterms:created xsi:type="dcterms:W3CDTF">2022-02-28T05:01:00Z</dcterms:created>
  <dcterms:modified xsi:type="dcterms:W3CDTF">2022-02-28T05:02:00Z</dcterms:modified>
  <cp:category/>
</cp:coreProperties>
</file>