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94DE" w14:textId="77777777" w:rsidR="007E6EC6" w:rsidRPr="00A46F46" w:rsidRDefault="00A46F46">
      <w:pPr>
        <w:spacing w:before="29"/>
        <w:ind w:right="134"/>
        <w:jc w:val="right"/>
        <w:rPr>
          <w:rStyle w:val="Strong"/>
        </w:rPr>
      </w:pPr>
      <w:r w:rsidRPr="00A46F46">
        <w:rPr>
          <w:rStyle w:val="Strong"/>
        </w:rPr>
        <w:t>CPTPP/COM/2019/D004</w:t>
      </w:r>
    </w:p>
    <w:p w14:paraId="3178C0D9" w14:textId="77777777" w:rsidR="007E6EC6" w:rsidRPr="00A46F46" w:rsidRDefault="00A46F46">
      <w:pPr>
        <w:spacing w:before="18"/>
        <w:ind w:right="133"/>
        <w:jc w:val="right"/>
        <w:rPr>
          <w:rStyle w:val="Strong"/>
        </w:rPr>
      </w:pPr>
      <w:r w:rsidRPr="00A46F46">
        <w:rPr>
          <w:rStyle w:val="Strong"/>
        </w:rPr>
        <w:t>19 January 2019</w:t>
      </w:r>
    </w:p>
    <w:p w14:paraId="008B0127" w14:textId="4E5D2BF9" w:rsidR="007E6EC6" w:rsidRDefault="00B861C1">
      <w:pPr>
        <w:pStyle w:val="BodyText"/>
        <w:spacing w:before="11"/>
        <w:rPr>
          <w:b/>
          <w:sz w:val="29"/>
        </w:rPr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76CD668" wp14:editId="782EB927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6231600" cy="0"/>
                <wp:effectExtent l="0" t="0" r="0" b="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9922D" id="Straight Connector 1" o:spid="_x0000_s1026" alt="&quot;&quot;" style="position:absolute;z-index:4875893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95pt" to="490.7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" strokecolor="black [3213]">
                <w10:wrap anchorx="margin"/>
              </v:line>
            </w:pict>
          </mc:Fallback>
        </mc:AlternateContent>
      </w:r>
    </w:p>
    <w:p w14:paraId="6FB7F11C" w14:textId="77777777" w:rsidR="007E6EC6" w:rsidRDefault="007E6EC6">
      <w:pPr>
        <w:pStyle w:val="BodyText"/>
        <w:rPr>
          <w:b/>
          <w:sz w:val="26"/>
        </w:rPr>
      </w:pPr>
    </w:p>
    <w:p w14:paraId="4D2BD0AF" w14:textId="22EC34A7" w:rsidR="007E6EC6" w:rsidRPr="00A46F46" w:rsidRDefault="00A46F46" w:rsidP="00A46F46">
      <w:pPr>
        <w:pStyle w:val="Heading1"/>
        <w:ind w:left="0" w:right="-35"/>
      </w:pPr>
      <w:r w:rsidRPr="00A46F46">
        <w:t>Decision by the Commission</w:t>
      </w:r>
      <w:r>
        <w:br/>
      </w:r>
      <w:r w:rsidRPr="00A46F46">
        <w:t>of the Comprehensive and Progressive Agreement for Trans‐Pacific Partnership regarding ISDS Code of Conduct</w:t>
      </w:r>
    </w:p>
    <w:p w14:paraId="24F1A1C4" w14:textId="2D16DFF9" w:rsidR="007E6EC6" w:rsidRDefault="007E6EC6">
      <w:pPr>
        <w:pStyle w:val="BodyText"/>
        <w:spacing w:before="1"/>
        <w:rPr>
          <w:b/>
          <w:sz w:val="23"/>
        </w:rPr>
      </w:pPr>
    </w:p>
    <w:p w14:paraId="64D7AE06" w14:textId="0C366134" w:rsidR="007E6EC6" w:rsidRDefault="00B861C1">
      <w:pPr>
        <w:pStyle w:val="BodyText"/>
        <w:spacing w:before="6"/>
        <w:rPr>
          <w:b/>
          <w:sz w:val="29"/>
        </w:rPr>
      </w:pPr>
      <w:r>
        <w:rPr>
          <w:b/>
          <w:noProof/>
          <w:sz w:val="29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D3BD1EC" wp14:editId="0620A2EC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3284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991EB" id="Straight Connector 2" o:spid="_x0000_s1026" alt="&quot;&quot;" style="position:absolute;z-index:4875914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35pt" to="104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atsQEAANQDAAAOAAAAZHJzL2Uyb0RvYy54bWysU01v2zAMvQ/ofxB0X+Rkw1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" strokecolor="black [3213]">
                <w10:wrap anchorx="margin"/>
              </v:line>
            </w:pict>
          </mc:Fallback>
        </mc:AlternateContent>
      </w:r>
    </w:p>
    <w:p w14:paraId="413C0382" w14:textId="77777777" w:rsidR="007E6EC6" w:rsidRPr="00A46F46" w:rsidRDefault="00A46F46" w:rsidP="00A46F46">
      <w:pPr>
        <w:pStyle w:val="Heading2"/>
      </w:pPr>
      <w:r w:rsidRPr="00A46F46">
        <w:t xml:space="preserve">The Commission decides </w:t>
      </w:r>
      <w:r w:rsidRPr="00170479">
        <w:rPr>
          <w:i w:val="0"/>
          <w:iCs/>
        </w:rPr>
        <w:t>as follows:</w:t>
      </w:r>
    </w:p>
    <w:p w14:paraId="365F5836" w14:textId="77777777" w:rsidR="007E6EC6" w:rsidRDefault="007E6EC6">
      <w:pPr>
        <w:pStyle w:val="BodyText"/>
        <w:rPr>
          <w:b/>
          <w:sz w:val="30"/>
        </w:rPr>
      </w:pPr>
    </w:p>
    <w:p w14:paraId="02C7DC1F" w14:textId="77777777" w:rsidR="007E6EC6" w:rsidRDefault="00A46F46">
      <w:pPr>
        <w:pStyle w:val="BodyText"/>
        <w:spacing w:before="0" w:line="211" w:lineRule="auto"/>
        <w:ind w:left="137"/>
      </w:pPr>
      <w:r>
        <w:t>Recalling the provisions of Article 9.22 (Selection of Arbitrators) paragraph 6 of the Comprehensive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Progressive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Trans‐Pacific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(CPTPP),</w:t>
      </w:r>
      <w:r>
        <w:rPr>
          <w:spacing w:val="-4"/>
        </w:rPr>
        <w:t xml:space="preserve"> </w:t>
      </w:r>
      <w:r>
        <w:t>the Commission establishes the Code of Conduct for Investor‐State Dispute Settlement Proceedings set out in the Annex.</w:t>
      </w:r>
    </w:p>
    <w:sectPr w:rsidR="007E6EC6">
      <w:type w:val="continuous"/>
      <w:pgSz w:w="11910" w:h="16840"/>
      <w:pgMar w:top="14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C6"/>
    <w:rsid w:val="00170479"/>
    <w:rsid w:val="007E6EC6"/>
    <w:rsid w:val="00A25ACF"/>
    <w:rsid w:val="00A46F46"/>
    <w:rsid w:val="00B341DE"/>
    <w:rsid w:val="00B861C1"/>
    <w:rsid w:val="00E9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B2D6"/>
  <w15:docId w15:val="{87434964-CF54-405F-B36A-55FCBF3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F46"/>
    <w:pPr>
      <w:spacing w:before="44"/>
      <w:ind w:left="422" w:right="420"/>
      <w:jc w:val="center"/>
      <w:outlineLvl w:val="0"/>
    </w:pPr>
    <w:rPr>
      <w:b/>
      <w:color w:val="006184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F46"/>
    <w:pPr>
      <w:spacing w:before="43"/>
      <w:ind w:left="137"/>
      <w:outlineLvl w:val="1"/>
    </w:pPr>
    <w:rPr>
      <w:b/>
      <w:i/>
      <w:color w:val="00618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46F46"/>
    <w:rPr>
      <w:rFonts w:ascii="Calibri" w:eastAsia="Calibri" w:hAnsi="Calibri" w:cs="Calibri"/>
      <w:b/>
      <w:color w:val="006184"/>
      <w:sz w:val="28"/>
    </w:rPr>
  </w:style>
  <w:style w:type="character" w:styleId="Strong">
    <w:name w:val="Strong"/>
    <w:uiPriority w:val="22"/>
    <w:qFormat/>
    <w:rsid w:val="00A46F46"/>
    <w:rPr>
      <w:b/>
      <w:spacing w:val="-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6F46"/>
    <w:rPr>
      <w:rFonts w:ascii="Calibri" w:eastAsia="Calibri" w:hAnsi="Calibri" w:cs="Calibri"/>
      <w:b/>
      <w:i/>
      <w:color w:val="006184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of the Comprehensive and Progressive Agreement for Trans-Pacific Partnership (CPTPP) - Dispute settlement - Decision by the Commission of the Comprehensive and Progressive Agreement for Trans‐Pacific Partnership regarding ISDS Code of Conduct</dc:title>
  <dc:creator>Linda Needs</dc:creator>
  <cp:lastModifiedBy>Embellish Creative - Linda Needs</cp:lastModifiedBy>
  <cp:revision>5</cp:revision>
  <dcterms:created xsi:type="dcterms:W3CDTF">2022-06-16T02:31:00Z</dcterms:created>
  <dcterms:modified xsi:type="dcterms:W3CDTF">2022-06-20T03:34:00Z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2022-06-16T00:00:00Z</vt:filetime>
  </property>
</Properties>
</file>