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CCA91" w14:textId="30F465DD" w:rsidR="00B17E1C" w:rsidRDefault="00124BCA" w:rsidP="00CA39B3">
      <w:pPr>
        <w:pStyle w:val="Heading1"/>
        <w:sectPr w:rsidR="00B17E1C" w:rsidSect="00CF5843">
          <w:headerReference w:type="default" r:id="rId8"/>
          <w:footerReference w:type="default" r:id="rId9"/>
          <w:headerReference w:type="first" r:id="rId10"/>
          <w:footerReference w:type="first" r:id="rId11"/>
          <w:pgSz w:w="11906" w:h="16838" w:code="9"/>
          <w:pgMar w:top="1559" w:right="680" w:bottom="1418" w:left="680" w:header="227" w:footer="567" w:gutter="0"/>
          <w:cols w:space="397"/>
          <w:titlePg/>
          <w:docGrid w:linePitch="360"/>
        </w:sectPr>
      </w:pPr>
      <w:r>
        <w:t xml:space="preserve">PACIFIC </w:t>
      </w:r>
      <w:r w:rsidRPr="00192A43">
        <w:t>COVID-19 RESPONSE</w:t>
      </w:r>
      <w:r>
        <w:t xml:space="preserve"> PACKAGE – </w:t>
      </w:r>
      <w:r w:rsidR="00F61519">
        <w:t>Vanuatu</w:t>
      </w:r>
      <w:r>
        <w:t xml:space="preserve"> Annex</w:t>
      </w:r>
    </w:p>
    <w:p w14:paraId="19408ABB" w14:textId="3CE8EA83" w:rsidR="007732DB" w:rsidRDefault="007732DB" w:rsidP="00CA39B3">
      <w:r w:rsidRPr="00293B6D">
        <w:t xml:space="preserve">As announced in the October 2020 budget, Australia will provide new funding </w:t>
      </w:r>
      <w:r w:rsidRPr="00937240">
        <w:rPr>
          <w:color w:val="0070C0"/>
        </w:rPr>
        <w:t xml:space="preserve">of $304.7 million for a COVID-19 Response Package </w:t>
      </w:r>
      <w:r w:rsidRPr="00293B6D">
        <w:t>(the</w:t>
      </w:r>
      <w:r>
        <w:t xml:space="preserve"> P</w:t>
      </w:r>
      <w:r w:rsidRPr="00293B6D">
        <w:t xml:space="preserve">ackage) </w:t>
      </w:r>
      <w:r>
        <w:t xml:space="preserve">in the </w:t>
      </w:r>
      <w:r w:rsidRPr="00293B6D">
        <w:t>Pacific and Timor</w:t>
      </w:r>
      <w:r>
        <w:t>-</w:t>
      </w:r>
      <w:r w:rsidRPr="00293B6D">
        <w:t xml:space="preserve">Leste. </w:t>
      </w:r>
      <w:r w:rsidRPr="008D59E2">
        <w:t xml:space="preserve">The two-year package (FY2020-21 and 2021-22) will be a temporary and time-bound addition to </w:t>
      </w:r>
      <w:r>
        <w:t xml:space="preserve">Australia’s </w:t>
      </w:r>
      <w:r w:rsidRPr="008D59E2">
        <w:t>existing and ongoing $4 billion O</w:t>
      </w:r>
      <w:r w:rsidR="00AF4DDF">
        <w:t>fficial Development Assistance</w:t>
      </w:r>
      <w:r w:rsidRPr="008D59E2">
        <w:t xml:space="preserve"> budget.</w:t>
      </w:r>
    </w:p>
    <w:p w14:paraId="4E38CABA" w14:textId="62CB0458" w:rsidR="007732DB" w:rsidRDefault="007732DB" w:rsidP="00CA39B3">
      <w:r>
        <w:t xml:space="preserve">In addition to support provided to maintain Pacific aviation, the Package has two funding windows: </w:t>
      </w:r>
      <w:proofErr w:type="gramStart"/>
      <w:r>
        <w:t>a</w:t>
      </w:r>
      <w:proofErr w:type="gramEnd"/>
      <w:r>
        <w:t xml:space="preserve"> </w:t>
      </w:r>
      <w:r w:rsidRPr="008D59E2">
        <w:t>Vulnerability and Economic Recovery Window</w:t>
      </w:r>
      <w:r>
        <w:t>; and a Fiscal Crisis Window for countries facing severe fiscal impacts</w:t>
      </w:r>
      <w:r w:rsidRPr="00F61519">
        <w:t xml:space="preserve">. The Australian Government will provide </w:t>
      </w:r>
      <w:r w:rsidR="003A0C33">
        <w:t xml:space="preserve">        </w:t>
      </w:r>
      <w:r w:rsidR="00F61519" w:rsidRPr="00F61519">
        <w:t xml:space="preserve">$10 </w:t>
      </w:r>
      <w:r w:rsidR="00EB4B16" w:rsidRPr="00F61519">
        <w:t xml:space="preserve">million in </w:t>
      </w:r>
      <w:r w:rsidRPr="00F61519">
        <w:t xml:space="preserve">funding to </w:t>
      </w:r>
      <w:r w:rsidR="00F61519" w:rsidRPr="00F61519">
        <w:t>Vanuatu under the Vulnerability and Economic Recovery Window.</w:t>
      </w:r>
    </w:p>
    <w:p w14:paraId="0197CC4E" w14:textId="060F4C40" w:rsidR="007732DB" w:rsidRPr="00EB4B16" w:rsidRDefault="007732DB" w:rsidP="00CA39B3">
      <w:r w:rsidRPr="00F10080">
        <w:t xml:space="preserve">This </w:t>
      </w:r>
      <w:r>
        <w:t xml:space="preserve">annex </w:t>
      </w:r>
      <w:r w:rsidRPr="00293B6D">
        <w:t xml:space="preserve">outlines Australia’s implementation of the Package </w:t>
      </w:r>
      <w:r>
        <w:t>in</w:t>
      </w:r>
      <w:r w:rsidRPr="00293B6D">
        <w:t xml:space="preserve"> </w:t>
      </w:r>
      <w:r w:rsidR="005027FC">
        <w:t>Vanuatu</w:t>
      </w:r>
      <w:r w:rsidRPr="00293B6D">
        <w:t>.</w:t>
      </w:r>
      <w:r>
        <w:t xml:space="preserve"> It also serves as an annex </w:t>
      </w:r>
      <w:r w:rsidRPr="00653119">
        <w:t xml:space="preserve">to the </w:t>
      </w:r>
      <w:r w:rsidR="00F61519">
        <w:rPr>
          <w:color w:val="0070C0"/>
        </w:rPr>
        <w:t>Vanuatu</w:t>
      </w:r>
      <w:r>
        <w:rPr>
          <w:color w:val="0070C0"/>
        </w:rPr>
        <w:t xml:space="preserve"> </w:t>
      </w:r>
      <w:r w:rsidRPr="0020545C">
        <w:rPr>
          <w:color w:val="0070C0"/>
        </w:rPr>
        <w:t>COVID-19 Development Response Plan</w:t>
      </w:r>
      <w:r>
        <w:t xml:space="preserve"> </w:t>
      </w:r>
      <w:r w:rsidRPr="00653119">
        <w:t xml:space="preserve">that forms part of </w:t>
      </w:r>
      <w:r>
        <w:t xml:space="preserve">Australia’s </w:t>
      </w:r>
      <w:r w:rsidRPr="0020545C">
        <w:rPr>
          <w:color w:val="0070C0"/>
        </w:rPr>
        <w:t>Partnerships for Recovery</w:t>
      </w:r>
      <w:r>
        <w:rPr>
          <w:color w:val="0070C0"/>
        </w:rPr>
        <w:t xml:space="preserve"> </w:t>
      </w:r>
      <w:r w:rsidRPr="00EB4B16">
        <w:t xml:space="preserve">development policy. </w:t>
      </w:r>
    </w:p>
    <w:p w14:paraId="2AFC50CA" w14:textId="13ECEB26" w:rsidR="00293B6D" w:rsidRDefault="00B17E1C" w:rsidP="0058573F">
      <w:pPr>
        <w:pStyle w:val="Heading3"/>
      </w:pPr>
      <w:r w:rsidRPr="00293B6D">
        <w:t>ECONOMIC, FISCAL AND SOCIAL SITUATION</w:t>
      </w:r>
    </w:p>
    <w:p w14:paraId="7026F92E" w14:textId="32E6502D" w:rsidR="002A7776" w:rsidRPr="002A7776" w:rsidRDefault="002A7776" w:rsidP="00CA39B3">
      <w:pPr>
        <w:pStyle w:val="NoSpacing"/>
        <w:spacing w:after="120"/>
        <w:jc w:val="left"/>
        <w:rPr>
          <w:rFonts w:asciiTheme="minorHAnsi" w:eastAsiaTheme="minorHAnsi" w:hAnsiTheme="minorHAnsi" w:cstheme="minorBidi"/>
          <w:color w:val="495965" w:themeColor="text2"/>
          <w:sz w:val="22"/>
          <w:szCs w:val="22"/>
          <w:lang w:val="en-GB"/>
        </w:rPr>
      </w:pPr>
      <w:r w:rsidRPr="002A7776">
        <w:rPr>
          <w:rFonts w:asciiTheme="minorHAnsi" w:eastAsiaTheme="minorHAnsi" w:hAnsiTheme="minorHAnsi" w:cstheme="minorBidi"/>
          <w:color w:val="495965" w:themeColor="text2"/>
          <w:sz w:val="22"/>
          <w:szCs w:val="22"/>
          <w:lang w:val="en-GB"/>
        </w:rPr>
        <w:t>A halt in tourism revenues (estimated at up to 46</w:t>
      </w:r>
      <w:r w:rsidR="00085B50">
        <w:rPr>
          <w:rFonts w:asciiTheme="minorHAnsi" w:eastAsiaTheme="minorHAnsi" w:hAnsiTheme="minorHAnsi" w:cstheme="minorBidi"/>
          <w:color w:val="495965" w:themeColor="text2"/>
          <w:sz w:val="22"/>
          <w:szCs w:val="22"/>
          <w:lang w:val="en-GB"/>
        </w:rPr>
        <w:t> </w:t>
      </w:r>
      <w:r>
        <w:rPr>
          <w:rFonts w:asciiTheme="minorHAnsi" w:eastAsiaTheme="minorHAnsi" w:hAnsiTheme="minorHAnsi" w:cstheme="minorBidi"/>
          <w:color w:val="495965" w:themeColor="text2"/>
          <w:sz w:val="22"/>
          <w:szCs w:val="22"/>
          <w:lang w:val="en-GB"/>
        </w:rPr>
        <w:t>per</w:t>
      </w:r>
      <w:r w:rsidR="00085B50">
        <w:rPr>
          <w:rFonts w:asciiTheme="minorHAnsi" w:eastAsiaTheme="minorHAnsi" w:hAnsiTheme="minorHAnsi" w:cstheme="minorBidi"/>
          <w:color w:val="495965" w:themeColor="text2"/>
          <w:sz w:val="22"/>
          <w:szCs w:val="22"/>
          <w:lang w:val="en-GB"/>
        </w:rPr>
        <w:t> </w:t>
      </w:r>
      <w:r>
        <w:rPr>
          <w:rFonts w:asciiTheme="minorHAnsi" w:eastAsiaTheme="minorHAnsi" w:hAnsiTheme="minorHAnsi" w:cstheme="minorBidi"/>
          <w:color w:val="495965" w:themeColor="text2"/>
          <w:sz w:val="22"/>
          <w:szCs w:val="22"/>
          <w:lang w:val="en-GB"/>
        </w:rPr>
        <w:t>cent</w:t>
      </w:r>
      <w:r w:rsidRPr="002A7776">
        <w:rPr>
          <w:rFonts w:asciiTheme="minorHAnsi" w:eastAsiaTheme="minorHAnsi" w:hAnsiTheme="minorHAnsi" w:cstheme="minorBidi"/>
          <w:color w:val="495965" w:themeColor="text2"/>
          <w:sz w:val="22"/>
          <w:szCs w:val="22"/>
          <w:lang w:val="en-GB"/>
        </w:rPr>
        <w:t xml:space="preserve"> of GDP), reduced remittances and rising unemployment have weakened Vanuatu’s growth and undermined development gains.</w:t>
      </w:r>
      <w:r>
        <w:rPr>
          <w:rFonts w:asciiTheme="minorHAnsi" w:eastAsiaTheme="minorHAnsi" w:hAnsiTheme="minorHAnsi" w:cstheme="minorBidi"/>
          <w:color w:val="495965" w:themeColor="text2"/>
          <w:sz w:val="22"/>
          <w:szCs w:val="22"/>
          <w:lang w:val="en-GB"/>
        </w:rPr>
        <w:t xml:space="preserve"> </w:t>
      </w:r>
      <w:r w:rsidRPr="002A7776">
        <w:rPr>
          <w:rFonts w:asciiTheme="minorHAnsi" w:eastAsiaTheme="minorHAnsi" w:hAnsiTheme="minorHAnsi" w:cstheme="minorBidi"/>
          <w:color w:val="495965" w:themeColor="text2"/>
          <w:sz w:val="22"/>
          <w:szCs w:val="22"/>
          <w:lang w:val="en-GB"/>
        </w:rPr>
        <w:t>These impacts were further compounded by Tropical Cyclone (TC) Harold – a Category 5 storm that struck Vanuatu in April 2020, affecting over 130,000 people (approximately 43</w:t>
      </w:r>
      <w:r w:rsidR="00085B50">
        <w:rPr>
          <w:rFonts w:asciiTheme="minorHAnsi" w:eastAsiaTheme="minorHAnsi" w:hAnsiTheme="minorHAnsi" w:cstheme="minorBidi"/>
          <w:color w:val="495965" w:themeColor="text2"/>
          <w:sz w:val="22"/>
          <w:szCs w:val="22"/>
          <w:lang w:val="en-GB"/>
        </w:rPr>
        <w:t> </w:t>
      </w:r>
      <w:r w:rsidRPr="002A7776">
        <w:rPr>
          <w:rFonts w:asciiTheme="minorHAnsi" w:eastAsiaTheme="minorHAnsi" w:hAnsiTheme="minorHAnsi" w:cstheme="minorBidi"/>
          <w:color w:val="495965" w:themeColor="text2"/>
          <w:sz w:val="22"/>
          <w:szCs w:val="22"/>
          <w:lang w:val="en-GB"/>
        </w:rPr>
        <w:t>per</w:t>
      </w:r>
      <w:r w:rsidR="00085B50">
        <w:rPr>
          <w:rFonts w:asciiTheme="minorHAnsi" w:eastAsiaTheme="minorHAnsi" w:hAnsiTheme="minorHAnsi" w:cstheme="minorBidi"/>
          <w:color w:val="495965" w:themeColor="text2"/>
          <w:sz w:val="22"/>
          <w:szCs w:val="22"/>
          <w:lang w:val="en-GB"/>
        </w:rPr>
        <w:t> </w:t>
      </w:r>
      <w:r w:rsidRPr="002A7776">
        <w:rPr>
          <w:rFonts w:asciiTheme="minorHAnsi" w:eastAsiaTheme="minorHAnsi" w:hAnsiTheme="minorHAnsi" w:cstheme="minorBidi"/>
          <w:color w:val="495965" w:themeColor="text2"/>
          <w:sz w:val="22"/>
          <w:szCs w:val="22"/>
          <w:lang w:val="en-GB"/>
        </w:rPr>
        <w:t>cent of the population) and causing widespread damage</w:t>
      </w:r>
      <w:r>
        <w:rPr>
          <w:rFonts w:asciiTheme="minorHAnsi" w:eastAsiaTheme="minorHAnsi" w:hAnsiTheme="minorHAnsi" w:cstheme="minorBidi"/>
          <w:color w:val="495965" w:themeColor="text2"/>
          <w:sz w:val="22"/>
          <w:szCs w:val="22"/>
          <w:lang w:val="en-GB"/>
        </w:rPr>
        <w:t>.</w:t>
      </w:r>
      <w:r w:rsidRPr="002A7776">
        <w:rPr>
          <w:rFonts w:asciiTheme="minorHAnsi" w:eastAsiaTheme="minorHAnsi" w:hAnsiTheme="minorHAnsi" w:cstheme="minorBidi"/>
          <w:color w:val="495965" w:themeColor="text2"/>
          <w:sz w:val="22"/>
          <w:szCs w:val="22"/>
          <w:lang w:val="en-GB"/>
        </w:rPr>
        <w:t xml:space="preserve"> </w:t>
      </w:r>
      <w:r>
        <w:rPr>
          <w:rFonts w:asciiTheme="minorHAnsi" w:eastAsiaTheme="minorHAnsi" w:hAnsiTheme="minorHAnsi" w:cstheme="minorBidi"/>
          <w:color w:val="495965" w:themeColor="text2"/>
          <w:sz w:val="22"/>
          <w:szCs w:val="22"/>
          <w:lang w:val="en-GB"/>
        </w:rPr>
        <w:t>T</w:t>
      </w:r>
      <w:r w:rsidRPr="002A7776">
        <w:rPr>
          <w:rFonts w:asciiTheme="minorHAnsi" w:eastAsiaTheme="minorHAnsi" w:hAnsiTheme="minorHAnsi" w:cstheme="minorBidi"/>
          <w:color w:val="495965" w:themeColor="text2"/>
          <w:sz w:val="22"/>
          <w:szCs w:val="22"/>
          <w:lang w:val="en-GB"/>
        </w:rPr>
        <w:t xml:space="preserve">he Government of Vanuatu estimates the combined economic cost of COVID-19 and TC Harold at </w:t>
      </w:r>
      <w:r w:rsidR="003A0C33">
        <w:rPr>
          <w:rFonts w:asciiTheme="minorHAnsi" w:eastAsiaTheme="minorHAnsi" w:hAnsiTheme="minorHAnsi" w:cstheme="minorBidi"/>
          <w:color w:val="495965" w:themeColor="text2"/>
          <w:sz w:val="22"/>
          <w:szCs w:val="22"/>
          <w:lang w:val="en-GB"/>
        </w:rPr>
        <w:t xml:space="preserve">             </w:t>
      </w:r>
      <w:r w:rsidRPr="002A7776">
        <w:rPr>
          <w:rFonts w:asciiTheme="minorHAnsi" w:eastAsiaTheme="minorHAnsi" w:hAnsiTheme="minorHAnsi" w:cstheme="minorBidi"/>
          <w:color w:val="495965" w:themeColor="text2"/>
          <w:sz w:val="22"/>
          <w:szCs w:val="22"/>
          <w:lang w:val="en-GB"/>
        </w:rPr>
        <w:t>$850 million. While no formal unemployment figures are available, there is evidence that both unemployment</w:t>
      </w:r>
      <w:r>
        <w:rPr>
          <w:rFonts w:asciiTheme="minorHAnsi" w:eastAsiaTheme="minorHAnsi" w:hAnsiTheme="minorHAnsi" w:cstheme="minorBidi"/>
          <w:color w:val="495965" w:themeColor="text2"/>
          <w:sz w:val="22"/>
          <w:szCs w:val="22"/>
          <w:lang w:val="en-GB"/>
        </w:rPr>
        <w:t xml:space="preserve"> </w:t>
      </w:r>
      <w:r w:rsidRPr="002A7776">
        <w:rPr>
          <w:rFonts w:asciiTheme="minorHAnsi" w:eastAsiaTheme="minorHAnsi" w:hAnsiTheme="minorHAnsi" w:cstheme="minorBidi"/>
          <w:color w:val="495965" w:themeColor="text2"/>
          <w:sz w:val="22"/>
          <w:szCs w:val="22"/>
          <w:lang w:val="en-GB"/>
        </w:rPr>
        <w:t xml:space="preserve">and rates of extreme poverty are rising. </w:t>
      </w:r>
    </w:p>
    <w:p w14:paraId="0305D79E" w14:textId="66C6515D" w:rsidR="005027FC" w:rsidRDefault="0044682B" w:rsidP="00CA39B3">
      <w:pPr>
        <w:pStyle w:val="NoSpacing"/>
        <w:spacing w:after="120"/>
        <w:jc w:val="left"/>
        <w:rPr>
          <w:rFonts w:asciiTheme="minorHAnsi" w:eastAsiaTheme="minorHAnsi" w:hAnsiTheme="minorHAnsi" w:cstheme="minorBidi"/>
          <w:color w:val="495965" w:themeColor="text2"/>
          <w:sz w:val="22"/>
          <w:szCs w:val="22"/>
          <w:lang w:val="en-GB"/>
        </w:rPr>
      </w:pPr>
      <w:r w:rsidRPr="0044682B">
        <w:rPr>
          <w:rFonts w:asciiTheme="minorHAnsi" w:eastAsiaTheme="minorHAnsi" w:hAnsiTheme="minorHAnsi" w:cstheme="minorBidi"/>
          <w:color w:val="495965" w:themeColor="text2"/>
          <w:sz w:val="22"/>
          <w:szCs w:val="22"/>
          <w:lang w:val="en-GB"/>
        </w:rPr>
        <w:t>The</w:t>
      </w:r>
      <w:r w:rsidR="001B62EC">
        <w:rPr>
          <w:rFonts w:asciiTheme="minorHAnsi" w:eastAsiaTheme="minorHAnsi" w:hAnsiTheme="minorHAnsi" w:cstheme="minorBidi"/>
          <w:color w:val="495965" w:themeColor="text2"/>
          <w:sz w:val="22"/>
          <w:szCs w:val="22"/>
          <w:lang w:val="en-GB"/>
        </w:rPr>
        <w:t xml:space="preserve"> Asian Development Bank (</w:t>
      </w:r>
      <w:r w:rsidRPr="0044682B">
        <w:rPr>
          <w:rFonts w:asciiTheme="minorHAnsi" w:eastAsiaTheme="minorHAnsi" w:hAnsiTheme="minorHAnsi" w:cstheme="minorBidi"/>
          <w:color w:val="495965" w:themeColor="text2"/>
          <w:sz w:val="22"/>
          <w:szCs w:val="22"/>
          <w:lang w:val="en-GB"/>
        </w:rPr>
        <w:t>ADB</w:t>
      </w:r>
      <w:r w:rsidR="001B62EC">
        <w:rPr>
          <w:rFonts w:asciiTheme="minorHAnsi" w:eastAsiaTheme="minorHAnsi" w:hAnsiTheme="minorHAnsi" w:cstheme="minorBidi"/>
          <w:color w:val="495965" w:themeColor="text2"/>
          <w:sz w:val="22"/>
          <w:szCs w:val="22"/>
          <w:lang w:val="en-GB"/>
        </w:rPr>
        <w:t>)</w:t>
      </w:r>
      <w:r w:rsidRPr="0044682B">
        <w:rPr>
          <w:rFonts w:asciiTheme="minorHAnsi" w:eastAsiaTheme="minorHAnsi" w:hAnsiTheme="minorHAnsi" w:cstheme="minorBidi"/>
          <w:color w:val="495965" w:themeColor="text2"/>
          <w:sz w:val="22"/>
          <w:szCs w:val="22"/>
          <w:lang w:val="en-GB"/>
        </w:rPr>
        <w:t xml:space="preserve"> has predicted that extreme poverty could rise from 14 per</w:t>
      </w:r>
      <w:r w:rsidR="003A0C33">
        <w:rPr>
          <w:rFonts w:asciiTheme="minorHAnsi" w:eastAsiaTheme="minorHAnsi" w:hAnsiTheme="minorHAnsi" w:cstheme="minorBidi"/>
          <w:color w:val="495965" w:themeColor="text2"/>
          <w:sz w:val="22"/>
          <w:szCs w:val="22"/>
          <w:lang w:val="en-GB"/>
        </w:rPr>
        <w:t xml:space="preserve"> </w:t>
      </w:r>
      <w:r w:rsidRPr="0044682B">
        <w:rPr>
          <w:rFonts w:asciiTheme="minorHAnsi" w:eastAsiaTheme="minorHAnsi" w:hAnsiTheme="minorHAnsi" w:cstheme="minorBidi"/>
          <w:color w:val="495965" w:themeColor="text2"/>
          <w:sz w:val="22"/>
          <w:szCs w:val="22"/>
          <w:lang w:val="en-GB"/>
        </w:rPr>
        <w:t>cent of Vanuatu’s population to 25 per cent, whilst the share of the population living at or below the medium national poverty line could rise from 40 per cent to 60 per</w:t>
      </w:r>
      <w:r w:rsidR="00CA39B3">
        <w:rPr>
          <w:rFonts w:asciiTheme="minorHAnsi" w:eastAsiaTheme="minorHAnsi" w:hAnsiTheme="minorHAnsi" w:cstheme="minorBidi"/>
          <w:color w:val="495965" w:themeColor="text2"/>
          <w:sz w:val="22"/>
          <w:szCs w:val="22"/>
          <w:lang w:val="en-GB"/>
        </w:rPr>
        <w:t xml:space="preserve"> </w:t>
      </w:r>
      <w:r w:rsidRPr="0044682B">
        <w:rPr>
          <w:rFonts w:asciiTheme="minorHAnsi" w:eastAsiaTheme="minorHAnsi" w:hAnsiTheme="minorHAnsi" w:cstheme="minorBidi"/>
          <w:color w:val="495965" w:themeColor="text2"/>
          <w:sz w:val="22"/>
          <w:szCs w:val="22"/>
          <w:lang w:val="en-GB"/>
        </w:rPr>
        <w:t>cent. Women are at particular</w:t>
      </w:r>
      <w:r w:rsidR="003A0C33">
        <w:rPr>
          <w:rFonts w:asciiTheme="minorHAnsi" w:eastAsiaTheme="minorHAnsi" w:hAnsiTheme="minorHAnsi" w:cstheme="minorBidi"/>
          <w:color w:val="495965" w:themeColor="text2"/>
          <w:sz w:val="22"/>
          <w:szCs w:val="22"/>
          <w:lang w:val="en-GB"/>
        </w:rPr>
        <w:t xml:space="preserve"> </w:t>
      </w:r>
      <w:r w:rsidRPr="0044682B">
        <w:rPr>
          <w:rFonts w:asciiTheme="minorHAnsi" w:eastAsiaTheme="minorHAnsi" w:hAnsiTheme="minorHAnsi" w:cstheme="minorBidi"/>
          <w:color w:val="495965" w:themeColor="text2"/>
          <w:sz w:val="22"/>
          <w:szCs w:val="22"/>
          <w:lang w:val="en-GB"/>
        </w:rPr>
        <w:t>risk due to high rates of employment within the informal sect</w:t>
      </w:r>
      <w:r w:rsidR="00CA39B3">
        <w:rPr>
          <w:rFonts w:asciiTheme="minorHAnsi" w:eastAsiaTheme="minorHAnsi" w:hAnsiTheme="minorHAnsi" w:cstheme="minorBidi"/>
          <w:color w:val="495965" w:themeColor="text2"/>
          <w:sz w:val="22"/>
          <w:szCs w:val="22"/>
          <w:lang w:val="en-GB"/>
        </w:rPr>
        <w:t>or</w:t>
      </w:r>
      <w:r w:rsidR="006236E9">
        <w:rPr>
          <w:rFonts w:asciiTheme="minorHAnsi" w:eastAsiaTheme="minorHAnsi" w:hAnsiTheme="minorHAnsi" w:cstheme="minorBidi"/>
          <w:color w:val="495965" w:themeColor="text2"/>
          <w:sz w:val="22"/>
          <w:szCs w:val="22"/>
          <w:lang w:val="en-GB"/>
        </w:rPr>
        <w:t xml:space="preserve"> and </w:t>
      </w:r>
      <w:r w:rsidR="00110A7A">
        <w:rPr>
          <w:rFonts w:asciiTheme="minorHAnsi" w:eastAsiaTheme="minorHAnsi" w:hAnsiTheme="minorHAnsi" w:cstheme="minorBidi"/>
          <w:color w:val="495965" w:themeColor="text2"/>
          <w:sz w:val="22"/>
          <w:szCs w:val="22"/>
          <w:lang w:val="en-GB"/>
        </w:rPr>
        <w:t xml:space="preserve">in </w:t>
      </w:r>
      <w:r w:rsidR="006236E9">
        <w:rPr>
          <w:rFonts w:asciiTheme="minorHAnsi" w:eastAsiaTheme="minorHAnsi" w:hAnsiTheme="minorHAnsi" w:cstheme="minorBidi"/>
          <w:color w:val="495965" w:themeColor="text2"/>
          <w:sz w:val="22"/>
          <w:szCs w:val="22"/>
          <w:lang w:val="en-GB"/>
        </w:rPr>
        <w:t>tourism</w:t>
      </w:r>
      <w:r w:rsidR="00110A7A">
        <w:rPr>
          <w:rFonts w:asciiTheme="minorHAnsi" w:eastAsiaTheme="minorHAnsi" w:hAnsiTheme="minorHAnsi" w:cstheme="minorBidi"/>
          <w:color w:val="495965" w:themeColor="text2"/>
          <w:sz w:val="22"/>
          <w:szCs w:val="22"/>
          <w:lang w:val="en-GB"/>
        </w:rPr>
        <w:t xml:space="preserve"> and hospitality</w:t>
      </w:r>
      <w:r w:rsidRPr="0044682B">
        <w:rPr>
          <w:rFonts w:asciiTheme="minorHAnsi" w:eastAsiaTheme="minorHAnsi" w:hAnsiTheme="minorHAnsi" w:cstheme="minorBidi"/>
          <w:color w:val="495965" w:themeColor="text2"/>
          <w:sz w:val="22"/>
          <w:szCs w:val="22"/>
          <w:lang w:val="en-GB"/>
        </w:rPr>
        <w:t xml:space="preserve">. It can be expected that already-high rates of violence against women and girls will have </w:t>
      </w:r>
      <w:r w:rsidRPr="0044682B">
        <w:rPr>
          <w:rFonts w:asciiTheme="minorHAnsi" w:eastAsiaTheme="minorHAnsi" w:hAnsiTheme="minorHAnsi" w:cstheme="minorBidi"/>
          <w:color w:val="495965" w:themeColor="text2"/>
          <w:sz w:val="22"/>
          <w:szCs w:val="22"/>
          <w:lang w:val="en-GB"/>
        </w:rPr>
        <w:t>increased due to the additional pressures created by the pandemic</w:t>
      </w:r>
      <w:r w:rsidR="00110A7A">
        <w:rPr>
          <w:rFonts w:asciiTheme="minorHAnsi" w:eastAsiaTheme="minorHAnsi" w:hAnsiTheme="minorHAnsi" w:cstheme="minorBidi"/>
          <w:color w:val="495965" w:themeColor="text2"/>
          <w:sz w:val="22"/>
          <w:szCs w:val="22"/>
          <w:lang w:val="en-GB"/>
        </w:rPr>
        <w:t xml:space="preserve"> and TC Harold</w:t>
      </w:r>
      <w:r w:rsidRPr="0044682B">
        <w:rPr>
          <w:rFonts w:asciiTheme="minorHAnsi" w:eastAsiaTheme="minorHAnsi" w:hAnsiTheme="minorHAnsi" w:cstheme="minorBidi"/>
          <w:color w:val="495965" w:themeColor="text2"/>
          <w:sz w:val="22"/>
          <w:szCs w:val="22"/>
          <w:lang w:val="en-GB"/>
        </w:rPr>
        <w:t>.</w:t>
      </w:r>
    </w:p>
    <w:p w14:paraId="095F8EF9" w14:textId="2B56B757" w:rsidR="00CB7563" w:rsidRDefault="00CB7563" w:rsidP="00CB7563">
      <w:pPr>
        <w:rPr>
          <w:color w:val="auto"/>
          <w:lang w:val="en-AU"/>
        </w:rPr>
      </w:pPr>
      <w:r>
        <w:t xml:space="preserve">COVID-19 and TC Harold have critically undermined Vanuatu’s domestic tax base, with the primary form of taxation, VAT, falling by more than 20% in 2020. Despite this, non-traditional revenue, mostly from citizenship schemes, have held up and shielded Vanuatu from the full fiscal impacts of COVID-19 felt elsewhere in the Pacific. Actual budget figures up to August 2020 show an operating surplus of 3.5 per cent of GDP in 2020, although </w:t>
      </w:r>
      <w:r w:rsidR="00402C90">
        <w:t xml:space="preserve">the 2020 fiscal outcome was revised to a small deficit </w:t>
      </w:r>
      <w:r>
        <w:t>in the 2021 Vanuatu budget.  Vanuatu is forecasting a small surplus in 2021.</w:t>
      </w:r>
    </w:p>
    <w:p w14:paraId="2480F615" w14:textId="19A191E2" w:rsidR="00C660BC" w:rsidRPr="00E621B4" w:rsidRDefault="00B17E1C" w:rsidP="0058573F">
      <w:pPr>
        <w:pStyle w:val="Heading3"/>
      </w:pPr>
      <w:r w:rsidRPr="00E621B4">
        <w:t>ACTIVITIE</w:t>
      </w:r>
      <w:r w:rsidR="00B25628" w:rsidRPr="00E621B4">
        <w:t xml:space="preserve">S </w:t>
      </w:r>
    </w:p>
    <w:p w14:paraId="7AFE7FAD" w14:textId="77777777" w:rsidR="0058573F" w:rsidRDefault="0058573F" w:rsidP="0058573F">
      <w:r>
        <w:t>Activities to be funded through the Package include:</w:t>
      </w:r>
    </w:p>
    <w:p w14:paraId="2DE85ED1" w14:textId="5F8345D6" w:rsidR="006509B6" w:rsidRDefault="001013A2" w:rsidP="00CA39B3">
      <w:r w:rsidRPr="0058573F">
        <w:rPr>
          <w:b/>
          <w:bCs/>
        </w:rPr>
        <w:t>Vulnerability and Economic Recovery Window</w:t>
      </w:r>
      <w:r w:rsidR="00547E22">
        <w:t xml:space="preserve">: </w:t>
      </w:r>
      <w:r w:rsidR="0058573F">
        <w:t>$10 million in 2020-21 for</w:t>
      </w:r>
      <w:r>
        <w:t xml:space="preserve"> the following:</w:t>
      </w:r>
    </w:p>
    <w:p w14:paraId="00DA41B3" w14:textId="2ABD6F28" w:rsidR="001013A2" w:rsidRPr="001013A2" w:rsidRDefault="001013A2" w:rsidP="00CA39B3">
      <w:pPr>
        <w:pStyle w:val="ListParagraph"/>
        <w:numPr>
          <w:ilvl w:val="0"/>
          <w:numId w:val="13"/>
        </w:numPr>
      </w:pPr>
      <w:r>
        <w:t>$5 million for school fee relief</w:t>
      </w:r>
      <w:r w:rsidR="00CA39B3">
        <w:t>,</w:t>
      </w:r>
      <w:r w:rsidR="001E7C8A">
        <w:t xml:space="preserve"> </w:t>
      </w:r>
      <w:r>
        <w:t xml:space="preserve">provided as a grant to the Vanuatu Ministry of Education and Training to provide </w:t>
      </w:r>
      <w:r w:rsidRPr="6ABB415F">
        <w:t xml:space="preserve">partial school fee relief to families of high school students in years 7-14. These funds </w:t>
      </w:r>
      <w:r w:rsidR="006236E9" w:rsidRPr="6ABB415F">
        <w:t>will</w:t>
      </w:r>
      <w:r w:rsidRPr="6ABB415F">
        <w:t xml:space="preserve"> ease economic pressure for families, ensuring children, particularly girls, can stay in school.</w:t>
      </w:r>
    </w:p>
    <w:p w14:paraId="39481A4D" w14:textId="17470A23" w:rsidR="001013A2" w:rsidRPr="001E7C8A" w:rsidRDefault="001013A2" w:rsidP="00CA39B3">
      <w:pPr>
        <w:pStyle w:val="ListParagraph"/>
        <w:numPr>
          <w:ilvl w:val="0"/>
          <w:numId w:val="13"/>
        </w:numPr>
      </w:pPr>
      <w:r>
        <w:t>$3.8 million for cash transfers to vulnerable households</w:t>
      </w:r>
      <w:r w:rsidR="001E7C8A">
        <w:t xml:space="preserve"> via the Australian and New Zealand funded Unblocked Cash program</w:t>
      </w:r>
      <w:r w:rsidR="00CA39B3">
        <w:t>. T</w:t>
      </w:r>
      <w:r w:rsidR="001E7C8A">
        <w:t xml:space="preserve">hese funds will contribute to monthly e-cash transfers to vulnerable households. E-cash payments can be spent by households through local vendors </w:t>
      </w:r>
      <w:r w:rsidR="001E7C8A" w:rsidRPr="6ABB415F">
        <w:t xml:space="preserve">on various goods and services including food, water, hardware, agriculture supplies, </w:t>
      </w:r>
      <w:proofErr w:type="gramStart"/>
      <w:r w:rsidR="001E7C8A" w:rsidRPr="6ABB415F">
        <w:t>medicines</w:t>
      </w:r>
      <w:proofErr w:type="gramEnd"/>
      <w:r w:rsidR="001E7C8A" w:rsidRPr="6ABB415F">
        <w:t xml:space="preserve"> and utility payments. While directly supporting vulnerable households with a monthly predictable income, the investment also promotes broader economic activity within communities.</w:t>
      </w:r>
    </w:p>
    <w:p w14:paraId="1531526A" w14:textId="27317A28" w:rsidR="001A0FF5" w:rsidRDefault="001E7C8A" w:rsidP="0058573F">
      <w:pPr>
        <w:pStyle w:val="ListParagraph"/>
        <w:numPr>
          <w:ilvl w:val="0"/>
          <w:numId w:val="13"/>
        </w:numPr>
      </w:pPr>
      <w:r w:rsidRPr="6ABB415F">
        <w:t>$1.2 million for tourism recovery</w:t>
      </w:r>
      <w:r w:rsidR="00CA39B3" w:rsidRPr="6ABB415F">
        <w:t>,</w:t>
      </w:r>
      <w:r w:rsidRPr="6ABB415F">
        <w:t xml:space="preserve"> provided as a grant to the Vanuatu Tourism Office to fund the development and implementation of a Vanuatu tourism recovery plan. </w:t>
      </w:r>
    </w:p>
    <w:p w14:paraId="30281E15" w14:textId="39536147" w:rsidR="00547E22" w:rsidRDefault="00547E22" w:rsidP="00547E22">
      <w:r w:rsidRPr="00547E22">
        <w:rPr>
          <w:b/>
          <w:bCs/>
        </w:rPr>
        <w:t>Fiscal Crisis Window:</w:t>
      </w:r>
      <w:r>
        <w:t xml:space="preserve"> Vanuatu is not currently under consideration for funding under this window.</w:t>
      </w:r>
    </w:p>
    <w:p w14:paraId="32C8664B" w14:textId="6C9026AE" w:rsidR="00293B6D" w:rsidRDefault="00653119" w:rsidP="0058573F">
      <w:pPr>
        <w:pStyle w:val="Heading3"/>
      </w:pPr>
      <w:r>
        <w:lastRenderedPageBreak/>
        <w:t>POLICY AND PROGRAM ALIGNMENT</w:t>
      </w:r>
    </w:p>
    <w:p w14:paraId="7128D62C" w14:textId="1724A697" w:rsidR="001E7C8A" w:rsidRPr="00CA39B3" w:rsidRDefault="00CA39B3" w:rsidP="00CA39B3">
      <w:pPr>
        <w:rPr>
          <w:rFonts w:cstheme="minorHAnsi"/>
        </w:rPr>
      </w:pPr>
      <w:r>
        <w:rPr>
          <w:rFonts w:cstheme="minorHAnsi"/>
        </w:rPr>
        <w:t xml:space="preserve">Australia’s </w:t>
      </w:r>
      <w:r w:rsidR="001E7C8A" w:rsidRPr="00CA39B3">
        <w:rPr>
          <w:rFonts w:cstheme="minorHAnsi"/>
        </w:rPr>
        <w:t>Vanuatu COVID-19 Development Response Plan focus</w:t>
      </w:r>
      <w:r w:rsidR="006236E9">
        <w:rPr>
          <w:rFonts w:cstheme="minorHAnsi"/>
        </w:rPr>
        <w:t>ses</w:t>
      </w:r>
      <w:r w:rsidR="001E7C8A" w:rsidRPr="00CA39B3">
        <w:rPr>
          <w:rFonts w:cstheme="minorHAnsi"/>
        </w:rPr>
        <w:t xml:space="preserve"> on health security, stability and economic recovery and align</w:t>
      </w:r>
      <w:r w:rsidR="006236E9">
        <w:rPr>
          <w:rFonts w:cstheme="minorHAnsi"/>
        </w:rPr>
        <w:t>s</w:t>
      </w:r>
      <w:r w:rsidR="001E7C8A" w:rsidRPr="00CA39B3">
        <w:rPr>
          <w:rFonts w:cstheme="minorHAnsi"/>
        </w:rPr>
        <w:t xml:space="preserve"> with the Government of </w:t>
      </w:r>
      <w:r w:rsidR="001E7C8A" w:rsidRPr="00C62095">
        <w:rPr>
          <w:rFonts w:cstheme="minorHAnsi"/>
          <w:i/>
          <w:iCs/>
        </w:rPr>
        <w:t>Vanuatu’s COVID-19 and TC Harold Recovery Strategy</w:t>
      </w:r>
      <w:r w:rsidR="001E7C8A" w:rsidRPr="00CA39B3">
        <w:rPr>
          <w:rFonts w:cstheme="minorHAnsi"/>
        </w:rPr>
        <w:t xml:space="preserve"> 2020</w:t>
      </w:r>
      <w:r w:rsidR="00C34530">
        <w:rPr>
          <w:rFonts w:cstheme="minorHAnsi"/>
        </w:rPr>
        <w:t>-</w:t>
      </w:r>
      <w:r w:rsidR="001E7C8A" w:rsidRPr="00CA39B3">
        <w:rPr>
          <w:rFonts w:cstheme="minorHAnsi"/>
        </w:rPr>
        <w:t xml:space="preserve">2023 and </w:t>
      </w:r>
      <w:r w:rsidR="001E7C8A" w:rsidRPr="00C62095">
        <w:rPr>
          <w:rFonts w:cstheme="minorHAnsi"/>
          <w:i/>
          <w:iCs/>
        </w:rPr>
        <w:t>National Sustainable Development Plan 2016</w:t>
      </w:r>
      <w:r w:rsidR="00C34530">
        <w:rPr>
          <w:rFonts w:cstheme="minorHAnsi"/>
          <w:i/>
          <w:iCs/>
        </w:rPr>
        <w:t>-</w:t>
      </w:r>
      <w:r w:rsidR="001E7C8A" w:rsidRPr="00C62095">
        <w:rPr>
          <w:rFonts w:cstheme="minorHAnsi"/>
          <w:i/>
          <w:iCs/>
        </w:rPr>
        <w:t>2030</w:t>
      </w:r>
      <w:r w:rsidR="001E7C8A" w:rsidRPr="00CA39B3">
        <w:rPr>
          <w:rFonts w:cstheme="minorHAnsi"/>
        </w:rPr>
        <w:t>.</w:t>
      </w:r>
    </w:p>
    <w:p w14:paraId="4788D3F7" w14:textId="06D03ECE" w:rsidR="006F4EC9" w:rsidRDefault="006F4EC9" w:rsidP="00CA39B3">
      <w:pPr>
        <w:pStyle w:val="NoSpacing"/>
        <w:spacing w:after="120"/>
        <w:jc w:val="left"/>
        <w:rPr>
          <w:rFonts w:asciiTheme="minorHAnsi" w:eastAsiaTheme="minorHAnsi" w:hAnsiTheme="minorHAnsi" w:cstheme="minorHAnsi"/>
          <w:color w:val="495965" w:themeColor="text2"/>
          <w:sz w:val="22"/>
          <w:szCs w:val="22"/>
          <w:lang w:val="en-GB"/>
        </w:rPr>
      </w:pPr>
      <w:r w:rsidRPr="006F4EC9">
        <w:rPr>
          <w:rFonts w:asciiTheme="minorHAnsi" w:eastAsiaTheme="minorHAnsi" w:hAnsiTheme="minorHAnsi" w:cstheme="minorHAnsi"/>
          <w:color w:val="495965" w:themeColor="text2"/>
          <w:sz w:val="22"/>
          <w:szCs w:val="22"/>
          <w:lang w:val="en-GB"/>
        </w:rPr>
        <w:t xml:space="preserve">Activities funded through </w:t>
      </w:r>
      <w:r>
        <w:rPr>
          <w:rFonts w:asciiTheme="minorHAnsi" w:eastAsiaTheme="minorHAnsi" w:hAnsiTheme="minorHAnsi" w:cstheme="minorHAnsi"/>
          <w:color w:val="495965" w:themeColor="text2"/>
          <w:sz w:val="22"/>
          <w:szCs w:val="22"/>
          <w:lang w:val="en-GB"/>
        </w:rPr>
        <w:t>the</w:t>
      </w:r>
      <w:r w:rsidRPr="006F4EC9">
        <w:rPr>
          <w:rFonts w:asciiTheme="minorHAnsi" w:eastAsiaTheme="minorHAnsi" w:hAnsiTheme="minorHAnsi" w:cstheme="minorHAnsi"/>
          <w:color w:val="495965" w:themeColor="text2"/>
          <w:sz w:val="22"/>
          <w:szCs w:val="22"/>
          <w:lang w:val="en-GB"/>
        </w:rPr>
        <w:t xml:space="preserve"> Package are situated within Australia’s existing partnerships, </w:t>
      </w:r>
      <w:proofErr w:type="gramStart"/>
      <w:r w:rsidRPr="006F4EC9">
        <w:rPr>
          <w:rFonts w:asciiTheme="minorHAnsi" w:eastAsiaTheme="minorHAnsi" w:hAnsiTheme="minorHAnsi" w:cstheme="minorHAnsi"/>
          <w:color w:val="495965" w:themeColor="text2"/>
          <w:sz w:val="22"/>
          <w:szCs w:val="22"/>
          <w:lang w:val="en-GB"/>
        </w:rPr>
        <w:t>networks</w:t>
      </w:r>
      <w:proofErr w:type="gramEnd"/>
      <w:r w:rsidRPr="006F4EC9">
        <w:rPr>
          <w:rFonts w:asciiTheme="minorHAnsi" w:eastAsiaTheme="minorHAnsi" w:hAnsiTheme="minorHAnsi" w:cstheme="minorHAnsi"/>
          <w:color w:val="495965" w:themeColor="text2"/>
          <w:sz w:val="22"/>
          <w:szCs w:val="22"/>
          <w:lang w:val="en-GB"/>
        </w:rPr>
        <w:t xml:space="preserve"> and programs</w:t>
      </w:r>
      <w:r w:rsidR="00CA39B3">
        <w:rPr>
          <w:rFonts w:asciiTheme="minorHAnsi" w:eastAsiaTheme="minorHAnsi" w:hAnsiTheme="minorHAnsi" w:cstheme="minorHAnsi"/>
          <w:color w:val="495965" w:themeColor="text2"/>
          <w:sz w:val="22"/>
          <w:szCs w:val="22"/>
          <w:lang w:val="en-GB"/>
        </w:rPr>
        <w:t xml:space="preserve"> in Vanuatu,</w:t>
      </w:r>
      <w:r>
        <w:rPr>
          <w:rFonts w:asciiTheme="minorHAnsi" w:eastAsiaTheme="minorHAnsi" w:hAnsiTheme="minorHAnsi" w:cstheme="minorHAnsi"/>
          <w:color w:val="495965" w:themeColor="text2"/>
          <w:sz w:val="22"/>
          <w:szCs w:val="22"/>
          <w:lang w:val="en-GB"/>
        </w:rPr>
        <w:t xml:space="preserve"> including</w:t>
      </w:r>
      <w:r w:rsidR="001B62EC">
        <w:rPr>
          <w:rFonts w:asciiTheme="minorHAnsi" w:eastAsiaTheme="minorHAnsi" w:hAnsiTheme="minorHAnsi" w:cstheme="minorHAnsi"/>
          <w:color w:val="495965" w:themeColor="text2"/>
          <w:sz w:val="22"/>
          <w:szCs w:val="22"/>
          <w:lang w:val="en-GB"/>
        </w:rPr>
        <w:t>:</w:t>
      </w:r>
      <w:r w:rsidR="00CA39B3">
        <w:rPr>
          <w:rFonts w:asciiTheme="minorHAnsi" w:eastAsiaTheme="minorHAnsi" w:hAnsiTheme="minorHAnsi" w:cstheme="minorHAnsi"/>
          <w:color w:val="495965" w:themeColor="text2"/>
          <w:sz w:val="22"/>
          <w:szCs w:val="22"/>
          <w:lang w:val="en-GB"/>
        </w:rPr>
        <w:t xml:space="preserve"> </w:t>
      </w:r>
    </w:p>
    <w:p w14:paraId="13FEAA3C" w14:textId="6CB6BBCB" w:rsidR="006F4EC9" w:rsidRPr="006F4EC9" w:rsidRDefault="00270C6E" w:rsidP="00CA39B3">
      <w:pPr>
        <w:pStyle w:val="NoSpacing"/>
        <w:numPr>
          <w:ilvl w:val="0"/>
          <w:numId w:val="14"/>
        </w:numPr>
        <w:spacing w:after="120"/>
        <w:jc w:val="left"/>
        <w:rPr>
          <w:rFonts w:asciiTheme="minorHAnsi" w:eastAsiaTheme="minorHAnsi" w:hAnsiTheme="minorHAnsi" w:cstheme="minorHAnsi"/>
          <w:color w:val="495965" w:themeColor="text2"/>
          <w:sz w:val="22"/>
          <w:szCs w:val="22"/>
          <w:lang w:val="en-GB"/>
        </w:rPr>
      </w:pPr>
      <w:r>
        <w:rPr>
          <w:rFonts w:asciiTheme="minorHAnsi" w:hAnsiTheme="minorHAnsi" w:cstheme="minorHAnsi"/>
          <w:color w:val="495965" w:themeColor="text2"/>
          <w:sz w:val="22"/>
          <w:szCs w:val="22"/>
        </w:rPr>
        <w:t xml:space="preserve">The </w:t>
      </w:r>
      <w:r w:rsidR="00CA39B3">
        <w:rPr>
          <w:rFonts w:asciiTheme="minorHAnsi" w:hAnsiTheme="minorHAnsi" w:cstheme="minorHAnsi"/>
          <w:color w:val="495965" w:themeColor="text2"/>
          <w:sz w:val="22"/>
          <w:szCs w:val="22"/>
        </w:rPr>
        <w:t>V</w:t>
      </w:r>
      <w:r w:rsidR="006F4EC9" w:rsidRPr="00050440">
        <w:rPr>
          <w:rFonts w:asciiTheme="minorHAnsi" w:hAnsiTheme="minorHAnsi" w:cstheme="minorHAnsi"/>
          <w:color w:val="495965" w:themeColor="text2"/>
          <w:sz w:val="22"/>
          <w:szCs w:val="22"/>
        </w:rPr>
        <w:t>anuatu Education Support Program</w:t>
      </w:r>
      <w:r w:rsidR="006F4EC9">
        <w:rPr>
          <w:rFonts w:asciiTheme="minorHAnsi" w:hAnsiTheme="minorHAnsi" w:cstheme="minorHAnsi"/>
          <w:color w:val="495965" w:themeColor="text2"/>
          <w:sz w:val="22"/>
          <w:szCs w:val="22"/>
        </w:rPr>
        <w:t xml:space="preserve">, which has provided </w:t>
      </w:r>
      <w:r w:rsidR="006F4EC9" w:rsidRPr="00050440">
        <w:rPr>
          <w:rFonts w:asciiTheme="minorHAnsi" w:hAnsiTheme="minorHAnsi" w:cstheme="minorHAnsi"/>
          <w:color w:val="495965" w:themeColor="text2"/>
          <w:sz w:val="22"/>
          <w:szCs w:val="22"/>
        </w:rPr>
        <w:t>technical assistance to the Ministry</w:t>
      </w:r>
      <w:r w:rsidR="006F4EC9">
        <w:rPr>
          <w:rFonts w:asciiTheme="minorHAnsi" w:hAnsiTheme="minorHAnsi" w:cstheme="minorHAnsi"/>
          <w:color w:val="495965" w:themeColor="text2"/>
          <w:sz w:val="22"/>
          <w:szCs w:val="22"/>
        </w:rPr>
        <w:t xml:space="preserve"> of Education and Training since 1980.</w:t>
      </w:r>
    </w:p>
    <w:p w14:paraId="2295F8EA" w14:textId="30D7DF4E" w:rsidR="006F4EC9" w:rsidRPr="006F4EC9" w:rsidRDefault="0037033B" w:rsidP="00CA39B3">
      <w:pPr>
        <w:pStyle w:val="NoSpacing"/>
        <w:numPr>
          <w:ilvl w:val="0"/>
          <w:numId w:val="14"/>
        </w:numPr>
        <w:spacing w:after="120"/>
        <w:jc w:val="left"/>
        <w:rPr>
          <w:rFonts w:asciiTheme="minorHAnsi" w:eastAsiaTheme="minorHAnsi" w:hAnsiTheme="minorHAnsi" w:cstheme="minorHAnsi"/>
          <w:color w:val="495965" w:themeColor="text2"/>
          <w:sz w:val="22"/>
          <w:szCs w:val="22"/>
          <w:lang w:val="en-GB"/>
        </w:rPr>
      </w:pPr>
      <w:r>
        <w:rPr>
          <w:rFonts w:asciiTheme="minorHAnsi" w:hAnsiTheme="minorHAnsi" w:cstheme="minorHAnsi"/>
          <w:color w:val="495965" w:themeColor="text2"/>
          <w:sz w:val="22"/>
          <w:szCs w:val="22"/>
        </w:rPr>
        <w:t>An existing c</w:t>
      </w:r>
      <w:r w:rsidR="006F4EC9" w:rsidRPr="00050440">
        <w:rPr>
          <w:rFonts w:asciiTheme="minorHAnsi" w:hAnsiTheme="minorHAnsi" w:cstheme="minorHAnsi"/>
          <w:color w:val="495965" w:themeColor="text2"/>
          <w:sz w:val="22"/>
          <w:szCs w:val="22"/>
        </w:rPr>
        <w:t xml:space="preserve">ash transfers </w:t>
      </w:r>
      <w:r w:rsidR="006F4EC9">
        <w:rPr>
          <w:rFonts w:asciiTheme="minorHAnsi" w:hAnsiTheme="minorHAnsi" w:cstheme="minorHAnsi"/>
          <w:color w:val="495965" w:themeColor="text2"/>
          <w:sz w:val="22"/>
          <w:szCs w:val="22"/>
        </w:rPr>
        <w:t>i</w:t>
      </w:r>
      <w:r w:rsidR="006F4EC9" w:rsidRPr="00050440">
        <w:rPr>
          <w:rFonts w:asciiTheme="minorHAnsi" w:hAnsiTheme="minorHAnsi" w:cstheme="minorHAnsi"/>
          <w:color w:val="495965" w:themeColor="text2"/>
          <w:sz w:val="22"/>
          <w:szCs w:val="22"/>
        </w:rPr>
        <w:t xml:space="preserve">nvestment </w:t>
      </w:r>
      <w:r>
        <w:rPr>
          <w:rFonts w:asciiTheme="minorHAnsi" w:hAnsiTheme="minorHAnsi" w:cstheme="minorHAnsi"/>
          <w:color w:val="495965" w:themeColor="text2"/>
          <w:sz w:val="22"/>
          <w:szCs w:val="22"/>
        </w:rPr>
        <w:t>that</w:t>
      </w:r>
      <w:r w:rsidR="00CA39B3">
        <w:rPr>
          <w:rFonts w:asciiTheme="minorHAnsi" w:hAnsiTheme="minorHAnsi" w:cstheme="minorHAnsi"/>
          <w:color w:val="495965" w:themeColor="text2"/>
          <w:sz w:val="22"/>
          <w:szCs w:val="22"/>
        </w:rPr>
        <w:t xml:space="preserve"> </w:t>
      </w:r>
      <w:r w:rsidR="006F4EC9" w:rsidRPr="00050440">
        <w:rPr>
          <w:rFonts w:asciiTheme="minorHAnsi" w:hAnsiTheme="minorHAnsi" w:cstheme="minorHAnsi"/>
          <w:color w:val="495965" w:themeColor="text2"/>
          <w:sz w:val="22"/>
          <w:szCs w:val="22"/>
        </w:rPr>
        <w:t xml:space="preserve">utilises Australia’s partnerships with Oxfam and other Australian NGOs in Vanuatu to deliver </w:t>
      </w:r>
      <w:r w:rsidR="00CA39B3">
        <w:rPr>
          <w:rFonts w:asciiTheme="minorHAnsi" w:hAnsiTheme="minorHAnsi" w:cstheme="minorHAnsi"/>
          <w:color w:val="495965" w:themeColor="text2"/>
          <w:sz w:val="22"/>
          <w:szCs w:val="22"/>
        </w:rPr>
        <w:t xml:space="preserve">cash </w:t>
      </w:r>
      <w:r w:rsidR="006F4EC9">
        <w:rPr>
          <w:rFonts w:asciiTheme="minorHAnsi" w:hAnsiTheme="minorHAnsi" w:cstheme="minorHAnsi"/>
          <w:color w:val="495965" w:themeColor="text2"/>
          <w:sz w:val="22"/>
          <w:szCs w:val="22"/>
        </w:rPr>
        <w:t>to</w:t>
      </w:r>
      <w:r w:rsidR="006F4EC9" w:rsidRPr="00050440">
        <w:rPr>
          <w:rFonts w:asciiTheme="minorHAnsi" w:hAnsiTheme="minorHAnsi" w:cstheme="minorHAnsi"/>
          <w:color w:val="495965" w:themeColor="text2"/>
          <w:sz w:val="22"/>
          <w:szCs w:val="22"/>
        </w:rPr>
        <w:t xml:space="preserve"> vulnerable </w:t>
      </w:r>
      <w:r w:rsidR="006F4EC9">
        <w:rPr>
          <w:rFonts w:asciiTheme="minorHAnsi" w:hAnsiTheme="minorHAnsi" w:cstheme="minorHAnsi"/>
          <w:color w:val="495965" w:themeColor="text2"/>
          <w:sz w:val="22"/>
          <w:szCs w:val="22"/>
        </w:rPr>
        <w:t>people</w:t>
      </w:r>
      <w:r w:rsidR="006F4EC9" w:rsidRPr="00050440">
        <w:rPr>
          <w:rFonts w:asciiTheme="minorHAnsi" w:hAnsiTheme="minorHAnsi" w:cstheme="minorHAnsi"/>
          <w:color w:val="495965" w:themeColor="text2"/>
          <w:sz w:val="22"/>
          <w:szCs w:val="22"/>
        </w:rPr>
        <w:t xml:space="preserve">. The cash transfers </w:t>
      </w:r>
      <w:r w:rsidR="006F4EC9">
        <w:rPr>
          <w:rFonts w:asciiTheme="minorHAnsi" w:hAnsiTheme="minorHAnsi" w:cstheme="minorHAnsi"/>
          <w:color w:val="495965" w:themeColor="text2"/>
          <w:sz w:val="22"/>
          <w:szCs w:val="22"/>
        </w:rPr>
        <w:t>i</w:t>
      </w:r>
      <w:r w:rsidR="006F4EC9" w:rsidRPr="00050440">
        <w:rPr>
          <w:rFonts w:asciiTheme="minorHAnsi" w:hAnsiTheme="minorHAnsi" w:cstheme="minorHAnsi"/>
          <w:color w:val="495965" w:themeColor="text2"/>
          <w:sz w:val="22"/>
          <w:szCs w:val="22"/>
        </w:rPr>
        <w:t>nvestment will also benefit from additional COVID-19 business resilience funding</w:t>
      </w:r>
      <w:r w:rsidR="006F4EC9">
        <w:rPr>
          <w:rFonts w:asciiTheme="minorHAnsi" w:hAnsiTheme="minorHAnsi" w:cstheme="minorHAnsi"/>
          <w:color w:val="495965" w:themeColor="text2"/>
          <w:sz w:val="22"/>
          <w:szCs w:val="22"/>
        </w:rPr>
        <w:t xml:space="preserve"> that</w:t>
      </w:r>
      <w:r w:rsidR="006F4EC9" w:rsidRPr="00050440">
        <w:rPr>
          <w:rFonts w:asciiTheme="minorHAnsi" w:hAnsiTheme="minorHAnsi" w:cstheme="minorHAnsi"/>
          <w:color w:val="495965" w:themeColor="text2"/>
          <w:sz w:val="22"/>
          <w:szCs w:val="22"/>
        </w:rPr>
        <w:t xml:space="preserve"> Australia provided to the V</w:t>
      </w:r>
      <w:r w:rsidR="006F4EC9">
        <w:rPr>
          <w:rFonts w:asciiTheme="minorHAnsi" w:hAnsiTheme="minorHAnsi" w:cstheme="minorHAnsi"/>
          <w:color w:val="495965" w:themeColor="text2"/>
          <w:sz w:val="22"/>
          <w:szCs w:val="22"/>
        </w:rPr>
        <w:t>anuatu Chamber of Commerce and Industry.</w:t>
      </w:r>
    </w:p>
    <w:p w14:paraId="31147604" w14:textId="2310EE89" w:rsidR="006F4EC9" w:rsidRPr="00050440" w:rsidRDefault="006F4EC9" w:rsidP="00CA39B3">
      <w:pPr>
        <w:pStyle w:val="NoSpacing"/>
        <w:numPr>
          <w:ilvl w:val="0"/>
          <w:numId w:val="14"/>
        </w:numPr>
        <w:suppressAutoHyphens/>
        <w:spacing w:after="120"/>
        <w:jc w:val="left"/>
        <w:rPr>
          <w:rFonts w:asciiTheme="minorHAnsi" w:hAnsiTheme="minorHAnsi" w:cstheme="minorHAnsi"/>
          <w:color w:val="495965" w:themeColor="text2"/>
          <w:sz w:val="22"/>
          <w:szCs w:val="22"/>
        </w:rPr>
      </w:pPr>
      <w:r w:rsidRPr="00050440">
        <w:rPr>
          <w:rFonts w:asciiTheme="minorHAnsi" w:hAnsiTheme="minorHAnsi" w:cstheme="minorHAnsi"/>
          <w:color w:val="495965" w:themeColor="text2"/>
          <w:sz w:val="22"/>
          <w:szCs w:val="22"/>
        </w:rPr>
        <w:t xml:space="preserve">Australia’s </w:t>
      </w:r>
      <w:r>
        <w:rPr>
          <w:rFonts w:asciiTheme="minorHAnsi" w:hAnsiTheme="minorHAnsi" w:cstheme="minorHAnsi"/>
          <w:color w:val="495965" w:themeColor="text2"/>
          <w:sz w:val="22"/>
          <w:szCs w:val="22"/>
        </w:rPr>
        <w:t>Governance for Growth program</w:t>
      </w:r>
      <w:r w:rsidR="0037033B">
        <w:rPr>
          <w:rFonts w:asciiTheme="minorHAnsi" w:hAnsiTheme="minorHAnsi" w:cstheme="minorHAnsi"/>
          <w:color w:val="495965" w:themeColor="text2"/>
          <w:sz w:val="22"/>
          <w:szCs w:val="22"/>
        </w:rPr>
        <w:t>, which</w:t>
      </w:r>
      <w:r w:rsidRPr="00050440">
        <w:rPr>
          <w:rFonts w:asciiTheme="minorHAnsi" w:hAnsiTheme="minorHAnsi" w:cstheme="minorHAnsi"/>
          <w:color w:val="495965" w:themeColor="text2"/>
          <w:sz w:val="22"/>
          <w:szCs w:val="22"/>
        </w:rPr>
        <w:t xml:space="preserve"> will support the V</w:t>
      </w:r>
      <w:r>
        <w:rPr>
          <w:rFonts w:asciiTheme="minorHAnsi" w:hAnsiTheme="minorHAnsi" w:cstheme="minorHAnsi"/>
          <w:color w:val="495965" w:themeColor="text2"/>
          <w:sz w:val="22"/>
          <w:szCs w:val="22"/>
        </w:rPr>
        <w:t>anuatu Tourism Office</w:t>
      </w:r>
      <w:r w:rsidRPr="00050440">
        <w:rPr>
          <w:rFonts w:asciiTheme="minorHAnsi" w:hAnsiTheme="minorHAnsi" w:cstheme="minorHAnsi"/>
          <w:color w:val="495965" w:themeColor="text2"/>
          <w:sz w:val="22"/>
          <w:szCs w:val="22"/>
        </w:rPr>
        <w:t xml:space="preserve"> with technical assistance, including through </w:t>
      </w:r>
      <w:r w:rsidR="00CA39B3">
        <w:rPr>
          <w:rFonts w:asciiTheme="minorHAnsi" w:hAnsiTheme="minorHAnsi" w:cstheme="minorHAnsi"/>
          <w:color w:val="495965" w:themeColor="text2"/>
          <w:sz w:val="22"/>
          <w:szCs w:val="22"/>
        </w:rPr>
        <w:t xml:space="preserve">a </w:t>
      </w:r>
      <w:r w:rsidRPr="00050440">
        <w:rPr>
          <w:rFonts w:asciiTheme="minorHAnsi" w:hAnsiTheme="minorHAnsi" w:cstheme="minorHAnsi"/>
          <w:color w:val="495965" w:themeColor="text2"/>
          <w:sz w:val="22"/>
          <w:szCs w:val="22"/>
        </w:rPr>
        <w:t xml:space="preserve">partnership with Vanuatu’s Ministry of Tourism and Trade, under which the </w:t>
      </w:r>
      <w:r>
        <w:rPr>
          <w:rFonts w:asciiTheme="minorHAnsi" w:hAnsiTheme="minorHAnsi" w:cstheme="minorHAnsi"/>
          <w:color w:val="495965" w:themeColor="text2"/>
          <w:sz w:val="22"/>
          <w:szCs w:val="22"/>
        </w:rPr>
        <w:t>Tourism Office</w:t>
      </w:r>
      <w:r w:rsidRPr="00050440">
        <w:rPr>
          <w:rFonts w:asciiTheme="minorHAnsi" w:hAnsiTheme="minorHAnsi" w:cstheme="minorHAnsi"/>
          <w:color w:val="495965" w:themeColor="text2"/>
          <w:sz w:val="22"/>
          <w:szCs w:val="22"/>
        </w:rPr>
        <w:t xml:space="preserve"> is a statutory body.</w:t>
      </w:r>
    </w:p>
    <w:p w14:paraId="585A6A40" w14:textId="1639A638" w:rsidR="001E7C8A" w:rsidRPr="006F4EC9" w:rsidRDefault="006F4EC9" w:rsidP="00CA39B3">
      <w:pPr>
        <w:pStyle w:val="NoSpacing"/>
        <w:spacing w:after="120"/>
        <w:jc w:val="left"/>
        <w:rPr>
          <w:rFonts w:asciiTheme="minorHAnsi" w:eastAsiaTheme="minorHAnsi" w:hAnsiTheme="minorHAnsi" w:cstheme="minorHAnsi"/>
          <w:color w:val="495965" w:themeColor="text2"/>
          <w:sz w:val="22"/>
          <w:szCs w:val="22"/>
          <w:lang w:val="en-GB"/>
        </w:rPr>
      </w:pPr>
      <w:r>
        <w:rPr>
          <w:rFonts w:asciiTheme="minorHAnsi" w:eastAsiaTheme="minorHAnsi" w:hAnsiTheme="minorHAnsi" w:cstheme="minorHAnsi"/>
          <w:color w:val="495965" w:themeColor="text2"/>
          <w:sz w:val="22"/>
          <w:szCs w:val="22"/>
          <w:lang w:val="en-GB"/>
        </w:rPr>
        <w:t>Th</w:t>
      </w:r>
      <w:r w:rsidR="00CA39B3">
        <w:rPr>
          <w:rFonts w:asciiTheme="minorHAnsi" w:eastAsiaTheme="minorHAnsi" w:hAnsiTheme="minorHAnsi" w:cstheme="minorHAnsi"/>
          <w:color w:val="495965" w:themeColor="text2"/>
          <w:sz w:val="22"/>
          <w:szCs w:val="22"/>
          <w:lang w:val="en-GB"/>
        </w:rPr>
        <w:t>e</w:t>
      </w:r>
      <w:r>
        <w:rPr>
          <w:rFonts w:asciiTheme="minorHAnsi" w:eastAsiaTheme="minorHAnsi" w:hAnsiTheme="minorHAnsi" w:cstheme="minorHAnsi"/>
          <w:color w:val="495965" w:themeColor="text2"/>
          <w:sz w:val="22"/>
          <w:szCs w:val="22"/>
          <w:lang w:val="en-GB"/>
        </w:rPr>
        <w:t xml:space="preserve"> funding through the Package builds on an initial </w:t>
      </w:r>
      <w:r w:rsidR="00CA39B3">
        <w:rPr>
          <w:rFonts w:asciiTheme="minorHAnsi" w:eastAsiaTheme="minorHAnsi" w:hAnsiTheme="minorHAnsi" w:cstheme="minorHAnsi"/>
          <w:color w:val="495965" w:themeColor="text2"/>
          <w:sz w:val="22"/>
          <w:szCs w:val="22"/>
          <w:lang w:val="en-GB"/>
        </w:rPr>
        <w:t xml:space="preserve">  </w:t>
      </w:r>
      <w:r>
        <w:rPr>
          <w:rFonts w:asciiTheme="minorHAnsi" w:eastAsiaTheme="minorHAnsi" w:hAnsiTheme="minorHAnsi" w:cstheme="minorHAnsi"/>
          <w:color w:val="495965" w:themeColor="text2"/>
          <w:sz w:val="22"/>
          <w:szCs w:val="22"/>
          <w:lang w:val="en-GB"/>
        </w:rPr>
        <w:t xml:space="preserve">$13 million provided to Vanuatu in 2020 to support the </w:t>
      </w:r>
      <w:r w:rsidR="00CA39B3">
        <w:rPr>
          <w:rFonts w:asciiTheme="minorHAnsi" w:eastAsiaTheme="minorHAnsi" w:hAnsiTheme="minorHAnsi" w:cstheme="minorHAnsi"/>
          <w:color w:val="495965" w:themeColor="text2"/>
          <w:sz w:val="22"/>
          <w:szCs w:val="22"/>
          <w:lang w:val="en-GB"/>
        </w:rPr>
        <w:t xml:space="preserve">immediate </w:t>
      </w:r>
      <w:r>
        <w:rPr>
          <w:rFonts w:asciiTheme="minorHAnsi" w:eastAsiaTheme="minorHAnsi" w:hAnsiTheme="minorHAnsi" w:cstheme="minorHAnsi"/>
          <w:color w:val="495965" w:themeColor="text2"/>
          <w:sz w:val="22"/>
          <w:szCs w:val="22"/>
          <w:lang w:val="en-GB"/>
        </w:rPr>
        <w:t xml:space="preserve">response to the economic and health impacts of COVID-19.   </w:t>
      </w:r>
    </w:p>
    <w:p w14:paraId="7011C36B" w14:textId="6D6B1515" w:rsidR="00EA004D" w:rsidRDefault="00EA004D" w:rsidP="0058573F">
      <w:pPr>
        <w:pStyle w:val="Heading3"/>
      </w:pPr>
      <w:r>
        <w:t>GENDER EQUALITY AND WOMEN’S EMPOWERMENT</w:t>
      </w:r>
    </w:p>
    <w:p w14:paraId="058B6009" w14:textId="4525D2F6" w:rsidR="006F4EC9" w:rsidRDefault="006F4EC9" w:rsidP="00CA39B3">
      <w:pPr>
        <w:spacing w:after="120"/>
      </w:pPr>
      <w:r w:rsidRPr="00F5043D">
        <w:t xml:space="preserve">The Package will </w:t>
      </w:r>
      <w:r w:rsidR="006F3C00" w:rsidRPr="00F5043D">
        <w:t>respond</w:t>
      </w:r>
      <w:r w:rsidRPr="00F5043D">
        <w:t xml:space="preserve"> to the impact of COVID-19 on women and girls in Vanuatu</w:t>
      </w:r>
      <w:r>
        <w:t>,</w:t>
      </w:r>
      <w:r w:rsidRPr="00F5043D">
        <w:t xml:space="preserve"> including loss of livelihoods and </w:t>
      </w:r>
      <w:r w:rsidR="00CA39B3">
        <w:t>likely</w:t>
      </w:r>
      <w:r w:rsidRPr="00F5043D">
        <w:t xml:space="preserve"> increase</w:t>
      </w:r>
      <w:r w:rsidR="00CA39B3">
        <w:t>d</w:t>
      </w:r>
      <w:r w:rsidRPr="00F5043D">
        <w:t xml:space="preserve"> rates of gender-based violence</w:t>
      </w:r>
      <w:r>
        <w:t>.</w:t>
      </w:r>
    </w:p>
    <w:p w14:paraId="5D14734D" w14:textId="394FEB04" w:rsidR="006F4EC9" w:rsidRPr="00F5043D" w:rsidRDefault="006F4EC9" w:rsidP="00CA39B3">
      <w:pPr>
        <w:spacing w:after="120"/>
      </w:pPr>
      <w:r w:rsidRPr="00F5043D">
        <w:t>The cash transfe</w:t>
      </w:r>
      <w:r w:rsidR="00CA39B3">
        <w:t>r</w:t>
      </w:r>
      <w:r w:rsidRPr="00F5043D">
        <w:t xml:space="preserve"> investment is directly focused on supporting vulnerable households including single mothers, </w:t>
      </w:r>
      <w:proofErr w:type="gramStart"/>
      <w:r w:rsidRPr="00F5043D">
        <w:t>widows</w:t>
      </w:r>
      <w:proofErr w:type="gramEnd"/>
      <w:r w:rsidRPr="00F5043D">
        <w:t xml:space="preserve"> and women with a disability. Overall, 53</w:t>
      </w:r>
      <w:r>
        <w:t xml:space="preserve"> per cent</w:t>
      </w:r>
      <w:r w:rsidRPr="00F5043D">
        <w:t xml:space="preserve"> of the program beneficiaries are women, and approximately 20</w:t>
      </w:r>
      <w:r>
        <w:t xml:space="preserve"> per cent</w:t>
      </w:r>
      <w:r w:rsidRPr="00F5043D">
        <w:t xml:space="preserve"> are women and girls with a disability. The program also directly supports women’s economic empowerment </w:t>
      </w:r>
      <w:r w:rsidR="006236E9">
        <w:t>by facilitating</w:t>
      </w:r>
      <w:r w:rsidRPr="00F5043D">
        <w:t xml:space="preserve"> many women</w:t>
      </w:r>
      <w:r>
        <w:t>-</w:t>
      </w:r>
      <w:r w:rsidRPr="00F5043D">
        <w:t>owned businesses to accept payments from cash transfer recipients.</w:t>
      </w:r>
    </w:p>
    <w:p w14:paraId="139F944D" w14:textId="1FE21605" w:rsidR="006F4EC9" w:rsidRDefault="006F4EC9" w:rsidP="00CA39B3">
      <w:pPr>
        <w:spacing w:after="120"/>
      </w:pPr>
      <w:r w:rsidRPr="00F5043D">
        <w:t>Approximately 51.5</w:t>
      </w:r>
      <w:r>
        <w:t xml:space="preserve"> per cent</w:t>
      </w:r>
      <w:r w:rsidRPr="00F5043D">
        <w:t xml:space="preserve"> of Vanuatu’s secondary school students are girls and are a</w:t>
      </w:r>
      <w:r>
        <w:t>t</w:t>
      </w:r>
      <w:r w:rsidRPr="00F5043D">
        <w:t xml:space="preserve"> particular risk of dropping out of secondary school due to </w:t>
      </w:r>
      <w:r w:rsidR="00CA39B3">
        <w:t xml:space="preserve">the </w:t>
      </w:r>
      <w:r w:rsidRPr="00F5043D">
        <w:t xml:space="preserve">high cost of tuition, boarding and exam fees. Australia’s school fee </w:t>
      </w:r>
      <w:r w:rsidRPr="00F5043D">
        <w:t>relief investment will help reduce pressure on family budgets, supporting girls to continue their education.</w:t>
      </w:r>
    </w:p>
    <w:p w14:paraId="4014A7F6" w14:textId="08FDFB05" w:rsidR="006F4EC9" w:rsidRPr="006F4EC9" w:rsidRDefault="006F4EC9" w:rsidP="00CA39B3">
      <w:pPr>
        <w:spacing w:after="120"/>
      </w:pPr>
      <w:r>
        <w:t xml:space="preserve">Vanuatu’s tourism sector is a major employer of women and Australia’s grant to the Vanuatu Tourism Office </w:t>
      </w:r>
      <w:r w:rsidRPr="00F5043D">
        <w:t>to develop a tourism recovery marketing plan will support Vanuatu’s future economic recovery a</w:t>
      </w:r>
      <w:r w:rsidR="00CA39B3">
        <w:t>s</w:t>
      </w:r>
      <w:r w:rsidRPr="00F5043D">
        <w:t xml:space="preserve"> well as offering employment opportunities.</w:t>
      </w:r>
    </w:p>
    <w:p w14:paraId="1F5B15A4" w14:textId="32077D0F" w:rsidR="00653119" w:rsidRPr="00653119" w:rsidRDefault="00B97905" w:rsidP="0058573F">
      <w:pPr>
        <w:pStyle w:val="Heading3"/>
      </w:pPr>
      <w:r>
        <w:t xml:space="preserve">PROGRAM AND </w:t>
      </w:r>
      <w:r w:rsidR="00653119" w:rsidRPr="00653119">
        <w:t>PERFORMANCE MANAGEMENT</w:t>
      </w:r>
    </w:p>
    <w:p w14:paraId="74BEA7F3" w14:textId="70E1C3D4" w:rsidR="00C34530" w:rsidRPr="00C34530" w:rsidRDefault="00C34530" w:rsidP="00C34530">
      <w:pPr>
        <w:spacing w:after="120"/>
        <w:textAlignment w:val="baseline"/>
        <w:rPr>
          <w:rStyle w:val="normaltextrun"/>
          <w:rFonts w:eastAsia="Times New Roman" w:cstheme="minorHAnsi"/>
          <w:lang w:val="en-AU" w:eastAsia="en-AU"/>
        </w:rPr>
      </w:pPr>
      <w:r w:rsidRPr="00C34530">
        <w:rPr>
          <w:rFonts w:eastAsia="Times New Roman" w:cstheme="minorHAnsi"/>
          <w:lang w:eastAsia="en-AU"/>
        </w:rPr>
        <w:t>The progress of each investment under the Package will be tracked through country-specific monitoring and evaluation frameworks. Monitoring will be</w:t>
      </w:r>
      <w:r>
        <w:rPr>
          <w:rFonts w:eastAsia="Times New Roman" w:cstheme="minorHAnsi"/>
          <w:lang w:eastAsia="en-AU"/>
        </w:rPr>
        <w:t xml:space="preserve"> </w:t>
      </w:r>
      <w:r w:rsidRPr="00C34530">
        <w:rPr>
          <w:rFonts w:eastAsia="Times New Roman" w:cstheme="minorHAnsi"/>
          <w:lang w:eastAsia="en-AU"/>
        </w:rPr>
        <w:t>undertaken</w:t>
      </w:r>
      <w:r>
        <w:rPr>
          <w:rFonts w:eastAsia="Times New Roman" w:cstheme="minorHAnsi"/>
          <w:lang w:eastAsia="en-AU"/>
        </w:rPr>
        <w:t xml:space="preserve"> </w:t>
      </w:r>
      <w:r w:rsidRPr="00C34530">
        <w:rPr>
          <w:rFonts w:eastAsia="Times New Roman" w:cstheme="minorHAnsi"/>
          <w:lang w:eastAsia="en-AU"/>
        </w:rPr>
        <w:t>by DFAT with delivery partners and reported through DFAT’s regular reporting processes. </w:t>
      </w:r>
    </w:p>
    <w:p w14:paraId="5471F0F3" w14:textId="4665911E" w:rsidR="00C34530" w:rsidRPr="00C34530" w:rsidRDefault="00C34530" w:rsidP="00C34530">
      <w:pPr>
        <w:pStyle w:val="paragraph"/>
        <w:spacing w:before="120" w:beforeAutospacing="0" w:after="120" w:afterAutospacing="0"/>
        <w:textAlignment w:val="baseline"/>
        <w:rPr>
          <w:rStyle w:val="normaltextrun"/>
          <w:rFonts w:asciiTheme="minorHAnsi" w:hAnsiTheme="minorHAnsi" w:cstheme="minorHAnsi"/>
          <w:color w:val="495965" w:themeColor="text2"/>
          <w:sz w:val="22"/>
          <w:szCs w:val="22"/>
        </w:rPr>
      </w:pPr>
      <w:r w:rsidRPr="00C34530">
        <w:rPr>
          <w:rStyle w:val="normaltextrun"/>
          <w:rFonts w:asciiTheme="minorHAnsi" w:hAnsiTheme="minorHAnsi" w:cstheme="minorHAnsi"/>
          <w:color w:val="495965" w:themeColor="text2"/>
          <w:sz w:val="22"/>
          <w:szCs w:val="22"/>
        </w:rPr>
        <w:t>Results under the package will contribute to reporting against indicators including the following:</w:t>
      </w:r>
    </w:p>
    <w:p w14:paraId="32357671" w14:textId="77777777" w:rsidR="00C34530" w:rsidRPr="00C34530" w:rsidRDefault="00C34530" w:rsidP="00C34530">
      <w:pPr>
        <w:pStyle w:val="paragraph"/>
        <w:spacing w:before="120" w:beforeAutospacing="0" w:after="120" w:afterAutospacing="0"/>
        <w:contextualSpacing/>
        <w:textAlignment w:val="baseline"/>
        <w:rPr>
          <w:rStyle w:val="normaltextrun"/>
          <w:rFonts w:asciiTheme="minorHAnsi" w:hAnsiTheme="minorHAnsi" w:cstheme="minorHAnsi"/>
          <w:color w:val="495965" w:themeColor="text2"/>
          <w:sz w:val="22"/>
          <w:szCs w:val="22"/>
        </w:rPr>
      </w:pPr>
      <w:r w:rsidRPr="00C34530">
        <w:rPr>
          <w:rStyle w:val="normaltextrun"/>
          <w:rFonts w:asciiTheme="minorHAnsi" w:hAnsiTheme="minorHAnsi" w:cstheme="minorHAnsi"/>
          <w:color w:val="495965" w:themeColor="text2"/>
          <w:sz w:val="22"/>
          <w:szCs w:val="22"/>
        </w:rPr>
        <w:t xml:space="preserve">From the Vanuatu COVID-19 Development Response Plan Performance Framework: </w:t>
      </w:r>
    </w:p>
    <w:p w14:paraId="480D9090" w14:textId="77777777" w:rsidR="00C34530" w:rsidRPr="00C34530" w:rsidRDefault="00C34530" w:rsidP="00C34530">
      <w:pPr>
        <w:pStyle w:val="paragraph"/>
        <w:numPr>
          <w:ilvl w:val="0"/>
          <w:numId w:val="22"/>
        </w:numPr>
        <w:spacing w:before="120" w:beforeAutospacing="0" w:after="120" w:afterAutospacing="0"/>
        <w:contextualSpacing/>
        <w:textAlignment w:val="baseline"/>
        <w:rPr>
          <w:rFonts w:asciiTheme="minorHAnsi" w:hAnsiTheme="minorHAnsi" w:cstheme="minorHAnsi"/>
          <w:color w:val="495965" w:themeColor="text2"/>
          <w:sz w:val="22"/>
          <w:szCs w:val="22"/>
        </w:rPr>
      </w:pPr>
      <w:r w:rsidRPr="00C34530">
        <w:rPr>
          <w:rStyle w:val="normaltextrun"/>
          <w:rFonts w:asciiTheme="minorHAnsi" w:hAnsiTheme="minorHAnsi" w:cstheme="minorHAnsi"/>
          <w:color w:val="495965" w:themeColor="text2"/>
          <w:sz w:val="22"/>
          <w:szCs w:val="22"/>
        </w:rPr>
        <w:t xml:space="preserve">Number of people reached with new or improved social protection programs, including remote communities </w:t>
      </w:r>
    </w:p>
    <w:p w14:paraId="4B6FB10A" w14:textId="77777777" w:rsidR="00C34530" w:rsidRPr="00C34530" w:rsidRDefault="00C34530" w:rsidP="00C34530">
      <w:pPr>
        <w:pStyle w:val="paragraph"/>
        <w:numPr>
          <w:ilvl w:val="0"/>
          <w:numId w:val="22"/>
        </w:numPr>
        <w:spacing w:before="120" w:beforeAutospacing="0" w:after="120" w:afterAutospacing="0"/>
        <w:contextualSpacing/>
        <w:textAlignment w:val="baseline"/>
        <w:rPr>
          <w:rFonts w:asciiTheme="minorHAnsi" w:hAnsiTheme="minorHAnsi" w:cstheme="minorHAnsi"/>
          <w:color w:val="495965" w:themeColor="text2"/>
          <w:sz w:val="22"/>
          <w:szCs w:val="22"/>
        </w:rPr>
      </w:pPr>
      <w:r w:rsidRPr="00C34530">
        <w:rPr>
          <w:rStyle w:val="normaltextrun"/>
          <w:rFonts w:asciiTheme="minorHAnsi" w:hAnsiTheme="minorHAnsi" w:cstheme="minorHAnsi"/>
          <w:color w:val="495965" w:themeColor="text2"/>
          <w:sz w:val="22"/>
          <w:szCs w:val="22"/>
        </w:rPr>
        <w:t xml:space="preserve">Policy and technical advice on sustainable stimulus measures and support for longer term economic recovery </w:t>
      </w:r>
    </w:p>
    <w:p w14:paraId="4FEA41A1" w14:textId="5A514D68" w:rsidR="00C34530" w:rsidRPr="00C34530" w:rsidRDefault="00C34530" w:rsidP="00C34530">
      <w:pPr>
        <w:pStyle w:val="paragraph"/>
        <w:numPr>
          <w:ilvl w:val="0"/>
          <w:numId w:val="22"/>
        </w:numPr>
        <w:spacing w:before="120" w:beforeAutospacing="0" w:after="120" w:afterAutospacing="0"/>
        <w:ind w:left="357" w:hanging="357"/>
        <w:textAlignment w:val="baseline"/>
        <w:rPr>
          <w:rFonts w:asciiTheme="minorHAnsi" w:hAnsiTheme="minorHAnsi" w:cstheme="minorHAnsi"/>
          <w:color w:val="495965" w:themeColor="text2"/>
          <w:sz w:val="22"/>
          <w:szCs w:val="22"/>
        </w:rPr>
      </w:pPr>
      <w:r w:rsidRPr="00C34530">
        <w:rPr>
          <w:rStyle w:val="normaltextrun"/>
          <w:rFonts w:asciiTheme="minorHAnsi" w:hAnsiTheme="minorHAnsi" w:cstheme="minorHAnsi"/>
          <w:color w:val="495965" w:themeColor="text2"/>
          <w:sz w:val="22"/>
          <w:szCs w:val="22"/>
        </w:rPr>
        <w:t>Australian budget support as a percentage of supplementary budget expenditure in response to COVID-19</w:t>
      </w:r>
      <w:r>
        <w:rPr>
          <w:rStyle w:val="normaltextrun"/>
          <w:rFonts w:asciiTheme="minorHAnsi" w:hAnsiTheme="minorHAnsi" w:cstheme="minorHAnsi"/>
          <w:color w:val="495965" w:themeColor="text2"/>
          <w:sz w:val="22"/>
          <w:szCs w:val="22"/>
        </w:rPr>
        <w:t>.</w:t>
      </w:r>
      <w:r w:rsidRPr="00C34530">
        <w:rPr>
          <w:rStyle w:val="normaltextrun"/>
          <w:rFonts w:asciiTheme="minorHAnsi" w:hAnsiTheme="minorHAnsi" w:cstheme="minorHAnsi"/>
          <w:color w:val="495965" w:themeColor="text2"/>
          <w:sz w:val="22"/>
          <w:szCs w:val="22"/>
        </w:rPr>
        <w:t xml:space="preserve"> </w:t>
      </w:r>
    </w:p>
    <w:p w14:paraId="68E496E0" w14:textId="77777777" w:rsidR="00C34530" w:rsidRPr="00C34530" w:rsidRDefault="00C34530" w:rsidP="00C34530">
      <w:pPr>
        <w:pStyle w:val="paragraph"/>
        <w:spacing w:before="120" w:beforeAutospacing="0" w:after="120" w:afterAutospacing="0"/>
        <w:contextualSpacing/>
        <w:textAlignment w:val="baseline"/>
        <w:rPr>
          <w:rFonts w:asciiTheme="minorHAnsi" w:hAnsiTheme="minorHAnsi" w:cstheme="minorHAnsi"/>
          <w:color w:val="495965" w:themeColor="text2"/>
          <w:sz w:val="22"/>
          <w:szCs w:val="22"/>
        </w:rPr>
      </w:pPr>
      <w:r w:rsidRPr="00C34530">
        <w:rPr>
          <w:rStyle w:val="normaltextrun"/>
          <w:rFonts w:asciiTheme="minorHAnsi" w:hAnsiTheme="minorHAnsi" w:cstheme="minorHAnsi"/>
          <w:color w:val="495965" w:themeColor="text2"/>
          <w:sz w:val="22"/>
          <w:szCs w:val="22"/>
        </w:rPr>
        <w:t>From the Pacific COVID-19 Response Package Design Framework:</w:t>
      </w:r>
      <w:r w:rsidRPr="00C34530">
        <w:rPr>
          <w:rStyle w:val="eop"/>
          <w:rFonts w:asciiTheme="minorHAnsi" w:hAnsiTheme="minorHAnsi" w:cstheme="minorHAnsi"/>
          <w:color w:val="495965" w:themeColor="text2"/>
          <w:sz w:val="22"/>
          <w:szCs w:val="22"/>
        </w:rPr>
        <w:t xml:space="preserve">  </w:t>
      </w:r>
    </w:p>
    <w:p w14:paraId="247D03F7" w14:textId="77777777" w:rsidR="00C34530" w:rsidRPr="00C34530" w:rsidRDefault="00C34530" w:rsidP="00C34530">
      <w:pPr>
        <w:pStyle w:val="paragraph"/>
        <w:numPr>
          <w:ilvl w:val="0"/>
          <w:numId w:val="23"/>
        </w:numPr>
        <w:spacing w:before="120" w:beforeAutospacing="0" w:after="120" w:afterAutospacing="0"/>
        <w:contextualSpacing/>
        <w:textAlignment w:val="baseline"/>
        <w:rPr>
          <w:rFonts w:asciiTheme="minorHAnsi" w:hAnsiTheme="minorHAnsi" w:cstheme="minorHAnsi"/>
          <w:color w:val="495965" w:themeColor="text2"/>
          <w:sz w:val="22"/>
          <w:szCs w:val="22"/>
        </w:rPr>
      </w:pPr>
      <w:r w:rsidRPr="00C34530">
        <w:rPr>
          <w:rFonts w:asciiTheme="minorHAnsi" w:hAnsiTheme="minorHAnsi" w:cstheme="minorHAnsi"/>
          <w:color w:val="495965" w:themeColor="text2"/>
          <w:sz w:val="22"/>
          <w:szCs w:val="22"/>
        </w:rPr>
        <w:t>Number of entrepreneurs (M/F) provided with financial and/or business development support services</w:t>
      </w:r>
    </w:p>
    <w:p w14:paraId="6B0DE67B" w14:textId="77777777" w:rsidR="00C34530" w:rsidRPr="00C34530" w:rsidRDefault="00C34530" w:rsidP="00C34530">
      <w:pPr>
        <w:pStyle w:val="paragraph"/>
        <w:numPr>
          <w:ilvl w:val="0"/>
          <w:numId w:val="23"/>
        </w:numPr>
        <w:spacing w:before="120" w:beforeAutospacing="0" w:after="120" w:afterAutospacing="0"/>
        <w:contextualSpacing/>
        <w:textAlignment w:val="baseline"/>
        <w:rPr>
          <w:rFonts w:asciiTheme="minorHAnsi" w:hAnsiTheme="minorHAnsi" w:cstheme="minorHAnsi"/>
          <w:color w:val="495965" w:themeColor="text2"/>
          <w:sz w:val="22"/>
          <w:szCs w:val="22"/>
        </w:rPr>
      </w:pPr>
      <w:r w:rsidRPr="00C34530">
        <w:rPr>
          <w:rStyle w:val="normaltextrun"/>
          <w:rFonts w:asciiTheme="minorHAnsi" w:hAnsiTheme="minorHAnsi" w:cstheme="minorHAnsi"/>
          <w:color w:val="495965" w:themeColor="text2"/>
          <w:sz w:val="22"/>
          <w:szCs w:val="22"/>
        </w:rPr>
        <w:t>Public expenditure allocation to institutions with functions relevant to economic recovery and support for vulnerable groups.</w:t>
      </w:r>
      <w:r w:rsidRPr="00C34530">
        <w:rPr>
          <w:rStyle w:val="eop"/>
          <w:rFonts w:asciiTheme="minorHAnsi" w:hAnsiTheme="minorHAnsi" w:cstheme="minorHAnsi"/>
          <w:color w:val="495965" w:themeColor="text2"/>
          <w:sz w:val="22"/>
          <w:szCs w:val="22"/>
        </w:rPr>
        <w:t> </w:t>
      </w:r>
    </w:p>
    <w:p w14:paraId="478A40B5" w14:textId="0F41939F" w:rsidR="006F4EC9" w:rsidRPr="0037033B" w:rsidRDefault="006F4EC9" w:rsidP="00C34530">
      <w:pPr>
        <w:rPr>
          <w:highlight w:val="yellow"/>
        </w:rPr>
      </w:pPr>
    </w:p>
    <w:sectPr w:rsidR="006F4EC9" w:rsidRPr="0037033B" w:rsidSect="00293B6D">
      <w:headerReference w:type="default" r:id="rId12"/>
      <w:headerReference w:type="first" r:id="rId13"/>
      <w:footerReference w:type="first" r:id="rId14"/>
      <w:type w:val="continuous"/>
      <w:pgSz w:w="11906" w:h="16838" w:code="9"/>
      <w:pgMar w:top="1559" w:right="680" w:bottom="1418" w:left="680" w:header="397" w:footer="624"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99998" w14:textId="77777777" w:rsidR="000C5875" w:rsidRDefault="000C5875" w:rsidP="00D37B04">
      <w:r>
        <w:separator/>
      </w:r>
    </w:p>
  </w:endnote>
  <w:endnote w:type="continuationSeparator" w:id="0">
    <w:p w14:paraId="3C90EB4C" w14:textId="77777777" w:rsidR="000C5875" w:rsidRDefault="000C5875"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0BEDD" w14:textId="381F9F99" w:rsidR="00FD36C8" w:rsidRPr="00C92805" w:rsidRDefault="00FD36C8">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3AD510B4" wp14:editId="0D89CE66">
          <wp:simplePos x="0" y="0"/>
          <wp:positionH relativeFrom="page">
            <wp:posOffset>329565</wp:posOffset>
          </wp:positionH>
          <wp:positionV relativeFrom="page">
            <wp:posOffset>9852660</wp:posOffset>
          </wp:positionV>
          <wp:extent cx="6895033" cy="737812"/>
          <wp:effectExtent l="0" t="0" r="1270" b="571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38A20354" w:rsidRPr="6ABB415F">
      <w:rPr>
        <w:b/>
        <w:bCs/>
        <w:noProof/>
        <w:color w:val="495965" w:themeColor="text2"/>
        <w:lang w:val="en-AU" w:eastAsia="en-AU"/>
      </w:rPr>
      <w:t>May 2021</w:t>
    </w:r>
    <w:r w:rsidR="00C07BF5">
      <w:rPr>
        <w:b/>
        <w:noProof/>
        <w:color w:val="495965" w:themeColor="text2"/>
        <w:lang w:val="en-AU" w:eastAsia="en-AU"/>
      </w:rPr>
      <w:tab/>
    </w:r>
    <w:r w:rsidR="00C07BF5" w:rsidRPr="6ABB415F">
      <w:rPr>
        <w:b/>
        <w:bCs/>
        <w:noProof/>
        <w:color w:val="495965" w:themeColor="text2"/>
        <w:lang w:val="en-AU" w:eastAsia="en-AU"/>
      </w:rPr>
      <w:fldChar w:fldCharType="begin"/>
    </w:r>
    <w:r w:rsidR="00C07BF5" w:rsidRPr="6ABB415F">
      <w:rPr>
        <w:b/>
        <w:bCs/>
        <w:noProof/>
        <w:color w:val="495965" w:themeColor="text2"/>
        <w:lang w:val="en-AU" w:eastAsia="en-AU"/>
      </w:rPr>
      <w:instrText xml:space="preserve"> PAGE   \* MERGEFORMAT </w:instrText>
    </w:r>
    <w:r w:rsidR="00C07BF5" w:rsidRPr="6ABB415F">
      <w:rPr>
        <w:b/>
        <w:bCs/>
        <w:noProof/>
        <w:color w:val="495965" w:themeColor="text2"/>
        <w:lang w:val="en-AU" w:eastAsia="en-AU"/>
      </w:rPr>
      <w:fldChar w:fldCharType="separate"/>
    </w:r>
    <w:r w:rsidR="38A20354" w:rsidRPr="6ABB415F">
      <w:rPr>
        <w:b/>
        <w:bCs/>
        <w:noProof/>
        <w:color w:val="495965" w:themeColor="text2"/>
        <w:lang w:val="en-AU" w:eastAsia="en-AU"/>
      </w:rPr>
      <w:t>3</w:t>
    </w:r>
    <w:r w:rsidR="00C07BF5" w:rsidRPr="6ABB415F">
      <w:rPr>
        <w:b/>
        <w:bCs/>
        <w:noProof/>
        <w:color w:val="495965" w:themeColor="text2"/>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0EC7A" w14:textId="0DFD0845" w:rsidR="00FD36C8" w:rsidRPr="00C92805" w:rsidRDefault="00FD36C8" w:rsidP="00C35791">
    <w:pPr>
      <w:pStyle w:val="Footer"/>
      <w:rPr>
        <w:b/>
        <w:color w:val="495965" w:themeColor="text2"/>
      </w:rPr>
    </w:pPr>
    <w:r w:rsidRPr="00C92805">
      <w:rPr>
        <w:b/>
        <w:noProof/>
        <w:color w:val="495965" w:themeColor="text2"/>
        <w:lang w:val="en-AU" w:eastAsia="en-AU"/>
      </w:rPr>
      <w:drawing>
        <wp:anchor distT="0" distB="0" distL="114300" distR="114300" simplePos="0" relativeHeight="251664384" behindDoc="1" locked="0" layoutInCell="1" allowOverlap="1" wp14:anchorId="392C37A8" wp14:editId="7ABFCC15">
          <wp:simplePos x="0" y="0"/>
          <wp:positionH relativeFrom="page">
            <wp:align>center</wp:align>
          </wp:positionH>
          <wp:positionV relativeFrom="page">
            <wp:posOffset>9858401</wp:posOffset>
          </wp:positionV>
          <wp:extent cx="6934835" cy="742071"/>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38A20354" w:rsidRPr="6ABB415F">
      <w:rPr>
        <w:b/>
        <w:bCs/>
        <w:noProof/>
        <w:color w:val="495965" w:themeColor="text2"/>
        <w:lang w:val="en-AU" w:eastAsia="en-AU"/>
      </w:rPr>
      <w:t>May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68BDE" w14:textId="77777777" w:rsidR="000842A1" w:rsidRPr="00C92805" w:rsidRDefault="000842A1" w:rsidP="00C35791">
    <w:pPr>
      <w:pStyle w:val="Footer"/>
      <w:rPr>
        <w:b/>
        <w:color w:val="495965"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EC918" w14:textId="77777777" w:rsidR="000C5875" w:rsidRPr="008C5A0E" w:rsidRDefault="000C5875" w:rsidP="00D37B04">
      <w:pPr>
        <w:pStyle w:val="Footer"/>
      </w:pPr>
    </w:p>
  </w:footnote>
  <w:footnote w:type="continuationSeparator" w:id="0">
    <w:p w14:paraId="5C8B5A7E" w14:textId="77777777" w:rsidR="000C5875" w:rsidRDefault="000C5875"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800AB" w14:textId="4AF70D8D" w:rsidR="00FD36C8" w:rsidRPr="00E055AB" w:rsidRDefault="00FD36C8" w:rsidP="20436C48">
    <w:pPr>
      <w:pStyle w:val="Header"/>
      <w:ind w:left="0"/>
      <w:rPr>
        <w:i/>
        <w:iCs/>
        <w:noProof/>
        <w:lang w:val="en-AU" w:eastAsia="en-AU"/>
      </w:rPr>
    </w:pPr>
    <w:r w:rsidRPr="00A12B40">
      <w:rPr>
        <w:i/>
        <w:noProof/>
        <w:lang w:val="en-AU" w:eastAsia="en-AU"/>
      </w:rPr>
      <w:drawing>
        <wp:anchor distT="0" distB="0" distL="114300" distR="114300" simplePos="0" relativeHeight="251668480" behindDoc="1" locked="0" layoutInCell="1" allowOverlap="1" wp14:anchorId="68CCCFB0" wp14:editId="1447475F">
          <wp:simplePos x="0" y="0"/>
          <wp:positionH relativeFrom="page">
            <wp:posOffset>316040</wp:posOffset>
          </wp:positionH>
          <wp:positionV relativeFrom="page">
            <wp:posOffset>94615</wp:posOffset>
          </wp:positionV>
          <wp:extent cx="6922959" cy="73265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38A20354" w:rsidRPr="38A20354">
      <w:rPr>
        <w:caps w:val="0"/>
      </w:rPr>
      <w:t>PACIFIC COVID-19 RESPONSE PACKAGE: VANUATU ANNEX</w:t>
    </w:r>
  </w:p>
  <w:p w14:paraId="22DA9827" w14:textId="58D503F0" w:rsidR="00FD36C8" w:rsidRPr="00E055AB" w:rsidRDefault="00FD36C8" w:rsidP="20436C48">
    <w:pPr>
      <w:pStyle w:val="Header"/>
      <w:ind w:left="142"/>
      <w:rPr>
        <w:bCs/>
        <w:i/>
        <w:iCs/>
        <w:caps w:val="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50BB3" w14:textId="5E385722" w:rsidR="00FD36C8" w:rsidRPr="00AF4DDF" w:rsidRDefault="00FD36C8" w:rsidP="000842A1">
    <w:pPr>
      <w:pStyle w:val="Header"/>
      <w:ind w:left="0"/>
      <w:rPr>
        <w:i/>
        <w:noProof/>
        <w:lang w:val="en-AU" w:eastAsia="en-AU"/>
      </w:rPr>
    </w:pPr>
    <w:r w:rsidRPr="007732DB">
      <w:rPr>
        <w:iCs/>
        <w:noProof/>
        <w:lang w:val="en-AU" w:eastAsia="en-AU"/>
      </w:rPr>
      <w:drawing>
        <wp:anchor distT="0" distB="0" distL="114300" distR="114300" simplePos="0" relativeHeight="251670528" behindDoc="1" locked="0" layoutInCell="1" allowOverlap="1" wp14:anchorId="51C4CB6A" wp14:editId="51376633">
          <wp:simplePos x="0" y="0"/>
          <wp:positionH relativeFrom="margin">
            <wp:align>right</wp:align>
          </wp:positionH>
          <wp:positionV relativeFrom="page">
            <wp:posOffset>95250</wp:posOffset>
          </wp:positionV>
          <wp:extent cx="6922959" cy="73265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bookmarkStart w:id="0" w:name="_Hlk66798988"/>
    <w:r w:rsidR="38A20354" w:rsidRPr="6ABB415F">
      <w:rPr>
        <w:noProof/>
        <w:lang w:val="en-AU" w:eastAsia="en-AU"/>
      </w:rPr>
      <w:t>P</w:t>
    </w:r>
    <w:r w:rsidR="38A20354" w:rsidRPr="38A20354">
      <w:rPr>
        <w:caps w:val="0"/>
      </w:rPr>
      <w:t>ACIFIC COVID-19 RESPONSE PACKAGE: VANUATU ANNEX</w:t>
    </w:r>
    <w:bookmarkEnd w:id="0"/>
  </w:p>
  <w:p w14:paraId="4BFED12E" w14:textId="77777777" w:rsidR="001B5798" w:rsidRDefault="001B5798" w:rsidP="000842A1">
    <w:pPr>
      <w:pStyle w:val="Header"/>
      <w:ind w:left="0"/>
    </w:pPr>
  </w:p>
  <w:p w14:paraId="09ABB4FF" w14:textId="77777777" w:rsidR="001B5798" w:rsidRDefault="001B5798" w:rsidP="000842A1">
    <w:pPr>
      <w:pStyle w:val="Header"/>
      <w:ind w:left="0"/>
    </w:pPr>
  </w:p>
  <w:p w14:paraId="1B4B419A" w14:textId="77777777" w:rsidR="001B5798" w:rsidRDefault="38A20354" w:rsidP="000842A1">
    <w:pPr>
      <w:pStyle w:val="Header"/>
      <w:ind w:left="0"/>
    </w:pPr>
    <w:r>
      <w:rPr>
        <w:noProof/>
      </w:rPr>
      <w:drawing>
        <wp:inline distT="0" distB="0" distL="0" distR="0" wp14:anchorId="2892F3D3" wp14:editId="4D9385C7">
          <wp:extent cx="3166920" cy="554400"/>
          <wp:effectExtent l="0" t="0" r="0" b="0"/>
          <wp:docPr id="2" name="Picture 2"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p>
  <w:p w14:paraId="312075CE" w14:textId="77777777" w:rsidR="00653119" w:rsidRDefault="00653119" w:rsidP="000842A1">
    <w:pPr>
      <w:pStyle w:val="Header"/>
      <w:ind w:left="0"/>
    </w:pPr>
  </w:p>
  <w:p w14:paraId="455436E7" w14:textId="77777777" w:rsidR="00653119" w:rsidRDefault="00653119" w:rsidP="000842A1">
    <w:pPr>
      <w:pStyle w:val="Header"/>
      <w:ind w:left="0"/>
    </w:pPr>
  </w:p>
  <w:p w14:paraId="4ACB184E" w14:textId="77777777" w:rsidR="00653119" w:rsidRDefault="00653119" w:rsidP="000842A1">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19A80" w14:textId="4AE3F82B" w:rsidR="00FD36C8" w:rsidRPr="00E055AB" w:rsidRDefault="00AE029F" w:rsidP="001C1F11">
    <w:pPr>
      <w:pStyle w:val="Header"/>
      <w:ind w:left="142"/>
      <w:rPr>
        <w:caps w:val="0"/>
      </w:rPr>
    </w:pPr>
    <w:r w:rsidRPr="00A12B40">
      <w:rPr>
        <w:i/>
        <w:noProof/>
        <w:lang w:val="en-AU" w:eastAsia="en-AU"/>
      </w:rPr>
      <w:drawing>
        <wp:anchor distT="0" distB="0" distL="114300" distR="114300" simplePos="0" relativeHeight="251672576" behindDoc="1" locked="0" layoutInCell="1" allowOverlap="1" wp14:anchorId="04142246" wp14:editId="79EE7B86">
          <wp:simplePos x="0" y="0"/>
          <wp:positionH relativeFrom="page">
            <wp:posOffset>325466</wp:posOffset>
          </wp:positionH>
          <wp:positionV relativeFrom="page">
            <wp:posOffset>179070</wp:posOffset>
          </wp:positionV>
          <wp:extent cx="6922770" cy="732155"/>
          <wp:effectExtent l="0" t="0" r="0"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770" cy="732155"/>
                  </a:xfrm>
                  <a:prstGeom prst="rect">
                    <a:avLst/>
                  </a:prstGeom>
                </pic:spPr>
              </pic:pic>
            </a:graphicData>
          </a:graphic>
          <wp14:sizeRelH relativeFrom="margin">
            <wp14:pctWidth>0</wp14:pctWidth>
          </wp14:sizeRelH>
          <wp14:sizeRelV relativeFrom="margin">
            <wp14:pctHeight>0</wp14:pctHeight>
          </wp14:sizeRelV>
        </wp:anchor>
      </w:drawing>
    </w:r>
    <w:r w:rsidR="38A20354" w:rsidRPr="6ABB415F">
      <w:rPr>
        <w:noProof/>
        <w:lang w:val="en-AU" w:eastAsia="en-AU"/>
      </w:rPr>
      <w:t>P</w:t>
    </w:r>
    <w:r w:rsidR="38A20354" w:rsidRPr="38A20354">
      <w:rPr>
        <w:caps w:val="0"/>
      </w:rPr>
      <w:t>ACIFIC COVID-19 RESPONSE PACKAGE: VANUATU ANNEX</w:t>
    </w:r>
    <w:r w:rsidR="38A20354" w:rsidRPr="38A20354">
      <w:rPr>
        <w:i/>
        <w:iCs/>
        <w:caps w:val="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5D63" w14:textId="77777777" w:rsidR="00FD6387" w:rsidRPr="00943730" w:rsidRDefault="00FD6387" w:rsidP="000842A1">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1A31098F"/>
    <w:multiLevelType w:val="multilevel"/>
    <w:tmpl w:val="2DD0D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2DE5624E"/>
    <w:multiLevelType w:val="multilevel"/>
    <w:tmpl w:val="2DD0D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1C4F96"/>
    <w:multiLevelType w:val="hybridMultilevel"/>
    <w:tmpl w:val="EDDE1CF4"/>
    <w:lvl w:ilvl="0" w:tplc="E0860958">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D425D6"/>
    <w:multiLevelType w:val="hybridMultilevel"/>
    <w:tmpl w:val="32F2B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F132CE"/>
    <w:multiLevelType w:val="multilevel"/>
    <w:tmpl w:val="3B7A10DE"/>
    <w:numStyleLink w:val="BulletsList"/>
  </w:abstractNum>
  <w:abstractNum w:abstractNumId="8" w15:restartNumberingAfterBreak="0">
    <w:nsid w:val="41063DC2"/>
    <w:multiLevelType w:val="hybridMultilevel"/>
    <w:tmpl w:val="DA9E685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417C76D4"/>
    <w:multiLevelType w:val="hybridMultilevel"/>
    <w:tmpl w:val="E4AC4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F35556"/>
    <w:multiLevelType w:val="multilevel"/>
    <w:tmpl w:val="2DD0D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8772C2"/>
    <w:multiLevelType w:val="hybridMultilevel"/>
    <w:tmpl w:val="87F2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C61A3"/>
    <w:multiLevelType w:val="hybridMultilevel"/>
    <w:tmpl w:val="9E6AB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161FA0"/>
    <w:multiLevelType w:val="hybridMultilevel"/>
    <w:tmpl w:val="10F617A4"/>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D0E2278"/>
    <w:multiLevelType w:val="multilevel"/>
    <w:tmpl w:val="2DD0D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B3F259A"/>
    <w:multiLevelType w:val="hybridMultilevel"/>
    <w:tmpl w:val="5D32B39E"/>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E92A88"/>
    <w:multiLevelType w:val="hybridMultilevel"/>
    <w:tmpl w:val="BB1A4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9"/>
  </w:num>
  <w:num w:numId="2">
    <w:abstractNumId w:val="0"/>
  </w:num>
  <w:num w:numId="3">
    <w:abstractNumId w:val="3"/>
  </w:num>
  <w:num w:numId="4">
    <w:abstractNumId w:val="14"/>
  </w:num>
  <w:num w:numId="5">
    <w:abstractNumId w:val="16"/>
  </w:num>
  <w:num w:numId="6">
    <w:abstractNumId w:val="3"/>
  </w:num>
  <w:num w:numId="7">
    <w:abstractNumId w:val="0"/>
  </w:num>
  <w:num w:numId="8">
    <w:abstractNumId w:val="1"/>
  </w:num>
  <w:num w:numId="9">
    <w:abstractNumId w:val="20"/>
  </w:num>
  <w:num w:numId="10">
    <w:abstractNumId w:val="7"/>
  </w:num>
  <w:num w:numId="11">
    <w:abstractNumId w:val="18"/>
  </w:num>
  <w:num w:numId="12">
    <w:abstractNumId w:val="11"/>
  </w:num>
  <w:num w:numId="13">
    <w:abstractNumId w:val="13"/>
  </w:num>
  <w:num w:numId="14">
    <w:abstractNumId w:val="5"/>
  </w:num>
  <w:num w:numId="15">
    <w:abstractNumId w:val="8"/>
  </w:num>
  <w:num w:numId="16">
    <w:abstractNumId w:val="17"/>
  </w:num>
  <w:num w:numId="17">
    <w:abstractNumId w:val="6"/>
  </w:num>
  <w:num w:numId="18">
    <w:abstractNumId w:val="4"/>
  </w:num>
  <w:num w:numId="19">
    <w:abstractNumId w:val="2"/>
  </w:num>
  <w:num w:numId="20">
    <w:abstractNumId w:val="10"/>
  </w:num>
  <w:num w:numId="21">
    <w:abstractNumId w:val="15"/>
  </w:num>
  <w:num w:numId="22">
    <w:abstractNumId w:val="9"/>
  </w:num>
  <w:num w:numId="2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1DA8"/>
    <w:rsid w:val="000020C1"/>
    <w:rsid w:val="00005048"/>
    <w:rsid w:val="000061E8"/>
    <w:rsid w:val="00015AB7"/>
    <w:rsid w:val="0002080A"/>
    <w:rsid w:val="00023121"/>
    <w:rsid w:val="0002782F"/>
    <w:rsid w:val="00027DE1"/>
    <w:rsid w:val="00031486"/>
    <w:rsid w:val="000348D9"/>
    <w:rsid w:val="00035BBF"/>
    <w:rsid w:val="000444F3"/>
    <w:rsid w:val="00050806"/>
    <w:rsid w:val="0005211C"/>
    <w:rsid w:val="000546D9"/>
    <w:rsid w:val="00054E4D"/>
    <w:rsid w:val="00060073"/>
    <w:rsid w:val="000616C6"/>
    <w:rsid w:val="00073A07"/>
    <w:rsid w:val="000842A1"/>
    <w:rsid w:val="000854FD"/>
    <w:rsid w:val="00085B50"/>
    <w:rsid w:val="0009574A"/>
    <w:rsid w:val="000A1DDA"/>
    <w:rsid w:val="000A2B82"/>
    <w:rsid w:val="000A407E"/>
    <w:rsid w:val="000B1945"/>
    <w:rsid w:val="000B37F5"/>
    <w:rsid w:val="000B5DA7"/>
    <w:rsid w:val="000C027D"/>
    <w:rsid w:val="000C3A4C"/>
    <w:rsid w:val="000C49F7"/>
    <w:rsid w:val="000C5875"/>
    <w:rsid w:val="000D66D6"/>
    <w:rsid w:val="000E58BF"/>
    <w:rsid w:val="000E6C44"/>
    <w:rsid w:val="000F6DF8"/>
    <w:rsid w:val="001013A2"/>
    <w:rsid w:val="00110A7A"/>
    <w:rsid w:val="00113288"/>
    <w:rsid w:val="001214BE"/>
    <w:rsid w:val="0012288C"/>
    <w:rsid w:val="00124BCA"/>
    <w:rsid w:val="0013101C"/>
    <w:rsid w:val="00132AAB"/>
    <w:rsid w:val="0013699C"/>
    <w:rsid w:val="00142EA0"/>
    <w:rsid w:val="00143E56"/>
    <w:rsid w:val="001461D6"/>
    <w:rsid w:val="00146E07"/>
    <w:rsid w:val="001522DA"/>
    <w:rsid w:val="00152420"/>
    <w:rsid w:val="001541EA"/>
    <w:rsid w:val="00166032"/>
    <w:rsid w:val="001775A3"/>
    <w:rsid w:val="0018405C"/>
    <w:rsid w:val="001841C8"/>
    <w:rsid w:val="00186AC0"/>
    <w:rsid w:val="001A0FF5"/>
    <w:rsid w:val="001A51EE"/>
    <w:rsid w:val="001B2FBB"/>
    <w:rsid w:val="001B4047"/>
    <w:rsid w:val="001B5798"/>
    <w:rsid w:val="001B62EC"/>
    <w:rsid w:val="001C01C6"/>
    <w:rsid w:val="001C1F11"/>
    <w:rsid w:val="001C743D"/>
    <w:rsid w:val="001D4E3A"/>
    <w:rsid w:val="001D663E"/>
    <w:rsid w:val="001E03BE"/>
    <w:rsid w:val="001E1DC0"/>
    <w:rsid w:val="001E563B"/>
    <w:rsid w:val="001E6D20"/>
    <w:rsid w:val="001E7C8A"/>
    <w:rsid w:val="001F10DC"/>
    <w:rsid w:val="001F2784"/>
    <w:rsid w:val="00200486"/>
    <w:rsid w:val="00212D6C"/>
    <w:rsid w:val="002231BD"/>
    <w:rsid w:val="002310E0"/>
    <w:rsid w:val="00244229"/>
    <w:rsid w:val="00247365"/>
    <w:rsid w:val="002565B7"/>
    <w:rsid w:val="002629A9"/>
    <w:rsid w:val="00270158"/>
    <w:rsid w:val="00270C6E"/>
    <w:rsid w:val="00275534"/>
    <w:rsid w:val="00276912"/>
    <w:rsid w:val="0028602A"/>
    <w:rsid w:val="00293B6D"/>
    <w:rsid w:val="002945C4"/>
    <w:rsid w:val="00297258"/>
    <w:rsid w:val="002A7776"/>
    <w:rsid w:val="002B3381"/>
    <w:rsid w:val="002B5E10"/>
    <w:rsid w:val="002C1765"/>
    <w:rsid w:val="002C6B25"/>
    <w:rsid w:val="002C793D"/>
    <w:rsid w:val="002D4108"/>
    <w:rsid w:val="002D430F"/>
    <w:rsid w:val="002D5B25"/>
    <w:rsid w:val="002E2AF4"/>
    <w:rsid w:val="002E38B2"/>
    <w:rsid w:val="002E3BEA"/>
    <w:rsid w:val="002F01C7"/>
    <w:rsid w:val="002F4F2B"/>
    <w:rsid w:val="003002C0"/>
    <w:rsid w:val="00301144"/>
    <w:rsid w:val="003031C6"/>
    <w:rsid w:val="00304984"/>
    <w:rsid w:val="00311A21"/>
    <w:rsid w:val="00312BF8"/>
    <w:rsid w:val="003148B7"/>
    <w:rsid w:val="003158C3"/>
    <w:rsid w:val="003274CD"/>
    <w:rsid w:val="00333501"/>
    <w:rsid w:val="00342D3F"/>
    <w:rsid w:val="003457C4"/>
    <w:rsid w:val="00347E07"/>
    <w:rsid w:val="0035119D"/>
    <w:rsid w:val="0037033B"/>
    <w:rsid w:val="00372214"/>
    <w:rsid w:val="00382530"/>
    <w:rsid w:val="0038768C"/>
    <w:rsid w:val="0039215F"/>
    <w:rsid w:val="0039344A"/>
    <w:rsid w:val="003A0C33"/>
    <w:rsid w:val="003B4F12"/>
    <w:rsid w:val="003C45DE"/>
    <w:rsid w:val="003C6C4F"/>
    <w:rsid w:val="003C7D0E"/>
    <w:rsid w:val="003E4C04"/>
    <w:rsid w:val="003E644B"/>
    <w:rsid w:val="003E66B1"/>
    <w:rsid w:val="003E6E72"/>
    <w:rsid w:val="003F2041"/>
    <w:rsid w:val="003F4769"/>
    <w:rsid w:val="00400D6B"/>
    <w:rsid w:val="00402ACC"/>
    <w:rsid w:val="00402C90"/>
    <w:rsid w:val="0040388C"/>
    <w:rsid w:val="00404602"/>
    <w:rsid w:val="004120EC"/>
    <w:rsid w:val="00412637"/>
    <w:rsid w:val="0042197E"/>
    <w:rsid w:val="00422129"/>
    <w:rsid w:val="00423F31"/>
    <w:rsid w:val="00431899"/>
    <w:rsid w:val="0044081B"/>
    <w:rsid w:val="0044682B"/>
    <w:rsid w:val="00453B1A"/>
    <w:rsid w:val="00471F8D"/>
    <w:rsid w:val="004728DD"/>
    <w:rsid w:val="00473D07"/>
    <w:rsid w:val="00482AE8"/>
    <w:rsid w:val="00486539"/>
    <w:rsid w:val="00486804"/>
    <w:rsid w:val="00487549"/>
    <w:rsid w:val="00494242"/>
    <w:rsid w:val="004A3390"/>
    <w:rsid w:val="004B3775"/>
    <w:rsid w:val="004B64F7"/>
    <w:rsid w:val="004C471F"/>
    <w:rsid w:val="004D0BA0"/>
    <w:rsid w:val="004E058F"/>
    <w:rsid w:val="004E3B87"/>
    <w:rsid w:val="004E4889"/>
    <w:rsid w:val="004E549D"/>
    <w:rsid w:val="004E6A0F"/>
    <w:rsid w:val="004F10A0"/>
    <w:rsid w:val="005006E1"/>
    <w:rsid w:val="005027FC"/>
    <w:rsid w:val="00506FC0"/>
    <w:rsid w:val="00510921"/>
    <w:rsid w:val="00510AD3"/>
    <w:rsid w:val="00513348"/>
    <w:rsid w:val="00513AD8"/>
    <w:rsid w:val="00514DC4"/>
    <w:rsid w:val="005204D2"/>
    <w:rsid w:val="00522396"/>
    <w:rsid w:val="00533B5D"/>
    <w:rsid w:val="00534D96"/>
    <w:rsid w:val="00536BAB"/>
    <w:rsid w:val="005402BE"/>
    <w:rsid w:val="005470CD"/>
    <w:rsid w:val="00547E22"/>
    <w:rsid w:val="005500A1"/>
    <w:rsid w:val="005711BD"/>
    <w:rsid w:val="0057236E"/>
    <w:rsid w:val="00574EB8"/>
    <w:rsid w:val="0058573F"/>
    <w:rsid w:val="005A20F6"/>
    <w:rsid w:val="005C0CD0"/>
    <w:rsid w:val="005C2973"/>
    <w:rsid w:val="005C355E"/>
    <w:rsid w:val="005C549C"/>
    <w:rsid w:val="005D3655"/>
    <w:rsid w:val="005E0058"/>
    <w:rsid w:val="005E4830"/>
    <w:rsid w:val="005E5524"/>
    <w:rsid w:val="005F28A3"/>
    <w:rsid w:val="005F2F66"/>
    <w:rsid w:val="00600DB1"/>
    <w:rsid w:val="0062246A"/>
    <w:rsid w:val="00622B86"/>
    <w:rsid w:val="006236E9"/>
    <w:rsid w:val="00623BA1"/>
    <w:rsid w:val="00634462"/>
    <w:rsid w:val="006346BC"/>
    <w:rsid w:val="006348C0"/>
    <w:rsid w:val="006378FE"/>
    <w:rsid w:val="006509B6"/>
    <w:rsid w:val="00650F80"/>
    <w:rsid w:val="00653119"/>
    <w:rsid w:val="00656AC6"/>
    <w:rsid w:val="006575D9"/>
    <w:rsid w:val="00664FBA"/>
    <w:rsid w:val="0066652A"/>
    <w:rsid w:val="006719C3"/>
    <w:rsid w:val="006745FC"/>
    <w:rsid w:val="00680522"/>
    <w:rsid w:val="00682167"/>
    <w:rsid w:val="00684252"/>
    <w:rsid w:val="006854E6"/>
    <w:rsid w:val="00685527"/>
    <w:rsid w:val="006922F6"/>
    <w:rsid w:val="006946C3"/>
    <w:rsid w:val="006A01D9"/>
    <w:rsid w:val="006A6F52"/>
    <w:rsid w:val="006A727A"/>
    <w:rsid w:val="006B6F6D"/>
    <w:rsid w:val="006C0B06"/>
    <w:rsid w:val="006C3BBD"/>
    <w:rsid w:val="006C42AF"/>
    <w:rsid w:val="006D5A56"/>
    <w:rsid w:val="006E4323"/>
    <w:rsid w:val="006E45DF"/>
    <w:rsid w:val="006E5348"/>
    <w:rsid w:val="006F3C00"/>
    <w:rsid w:val="006F4EC9"/>
    <w:rsid w:val="006F6365"/>
    <w:rsid w:val="006F6BA7"/>
    <w:rsid w:val="0070365D"/>
    <w:rsid w:val="0070506F"/>
    <w:rsid w:val="00706700"/>
    <w:rsid w:val="007075DF"/>
    <w:rsid w:val="00711D8E"/>
    <w:rsid w:val="00712672"/>
    <w:rsid w:val="00717C37"/>
    <w:rsid w:val="0072218B"/>
    <w:rsid w:val="007340D0"/>
    <w:rsid w:val="00734E3F"/>
    <w:rsid w:val="00736985"/>
    <w:rsid w:val="00745DF5"/>
    <w:rsid w:val="00751525"/>
    <w:rsid w:val="00755D6C"/>
    <w:rsid w:val="00760928"/>
    <w:rsid w:val="00761EA4"/>
    <w:rsid w:val="0076250F"/>
    <w:rsid w:val="007732DB"/>
    <w:rsid w:val="00780FA5"/>
    <w:rsid w:val="00783BDD"/>
    <w:rsid w:val="007876BF"/>
    <w:rsid w:val="007A1EED"/>
    <w:rsid w:val="007A434F"/>
    <w:rsid w:val="007B4DCE"/>
    <w:rsid w:val="007B6200"/>
    <w:rsid w:val="007C52C1"/>
    <w:rsid w:val="007C735B"/>
    <w:rsid w:val="007E556D"/>
    <w:rsid w:val="007F3395"/>
    <w:rsid w:val="007F5C0B"/>
    <w:rsid w:val="007F646C"/>
    <w:rsid w:val="00801B9F"/>
    <w:rsid w:val="0080204D"/>
    <w:rsid w:val="00814E46"/>
    <w:rsid w:val="00817FC6"/>
    <w:rsid w:val="0082053C"/>
    <w:rsid w:val="00824515"/>
    <w:rsid w:val="00830FFC"/>
    <w:rsid w:val="0084191E"/>
    <w:rsid w:val="00847337"/>
    <w:rsid w:val="008475F0"/>
    <w:rsid w:val="008508B0"/>
    <w:rsid w:val="00852C32"/>
    <w:rsid w:val="008557A7"/>
    <w:rsid w:val="00857312"/>
    <w:rsid w:val="0086020C"/>
    <w:rsid w:val="00870928"/>
    <w:rsid w:val="0088131F"/>
    <w:rsid w:val="00886074"/>
    <w:rsid w:val="00887404"/>
    <w:rsid w:val="0089405C"/>
    <w:rsid w:val="00897FA2"/>
    <w:rsid w:val="008A045E"/>
    <w:rsid w:val="008A2AAE"/>
    <w:rsid w:val="008A55FF"/>
    <w:rsid w:val="008A5AFE"/>
    <w:rsid w:val="008A7B6F"/>
    <w:rsid w:val="008C211A"/>
    <w:rsid w:val="008C56D4"/>
    <w:rsid w:val="008C5A0E"/>
    <w:rsid w:val="008C708C"/>
    <w:rsid w:val="008D371C"/>
    <w:rsid w:val="008E2B1D"/>
    <w:rsid w:val="008F2B4B"/>
    <w:rsid w:val="008F6625"/>
    <w:rsid w:val="00900B4A"/>
    <w:rsid w:val="00925070"/>
    <w:rsid w:val="00942E19"/>
    <w:rsid w:val="00942F84"/>
    <w:rsid w:val="00943730"/>
    <w:rsid w:val="00950D65"/>
    <w:rsid w:val="00954FA1"/>
    <w:rsid w:val="00962F55"/>
    <w:rsid w:val="00975CA5"/>
    <w:rsid w:val="009774B4"/>
    <w:rsid w:val="0098438D"/>
    <w:rsid w:val="00986590"/>
    <w:rsid w:val="00992C76"/>
    <w:rsid w:val="009969D6"/>
    <w:rsid w:val="009B11E5"/>
    <w:rsid w:val="009B4D3B"/>
    <w:rsid w:val="009C73D3"/>
    <w:rsid w:val="009D3438"/>
    <w:rsid w:val="009D7407"/>
    <w:rsid w:val="009E0866"/>
    <w:rsid w:val="009E21E9"/>
    <w:rsid w:val="009E273C"/>
    <w:rsid w:val="009F063F"/>
    <w:rsid w:val="009F1350"/>
    <w:rsid w:val="009F2FC5"/>
    <w:rsid w:val="009F6423"/>
    <w:rsid w:val="00A12B40"/>
    <w:rsid w:val="00A2278E"/>
    <w:rsid w:val="00A24A62"/>
    <w:rsid w:val="00A31C9F"/>
    <w:rsid w:val="00A4144F"/>
    <w:rsid w:val="00A53BC9"/>
    <w:rsid w:val="00A61B4D"/>
    <w:rsid w:val="00A6470F"/>
    <w:rsid w:val="00A711F3"/>
    <w:rsid w:val="00A80305"/>
    <w:rsid w:val="00A80F95"/>
    <w:rsid w:val="00A868CB"/>
    <w:rsid w:val="00A86E5B"/>
    <w:rsid w:val="00A97244"/>
    <w:rsid w:val="00A97BF1"/>
    <w:rsid w:val="00AA298A"/>
    <w:rsid w:val="00AA530F"/>
    <w:rsid w:val="00AA7393"/>
    <w:rsid w:val="00AB465A"/>
    <w:rsid w:val="00AC10E1"/>
    <w:rsid w:val="00AC164A"/>
    <w:rsid w:val="00AC3944"/>
    <w:rsid w:val="00AD7761"/>
    <w:rsid w:val="00AE029F"/>
    <w:rsid w:val="00AE2FAA"/>
    <w:rsid w:val="00AE448A"/>
    <w:rsid w:val="00AE74DA"/>
    <w:rsid w:val="00AF2050"/>
    <w:rsid w:val="00AF4DDF"/>
    <w:rsid w:val="00AF5E72"/>
    <w:rsid w:val="00AF630E"/>
    <w:rsid w:val="00B00BF4"/>
    <w:rsid w:val="00B02B2A"/>
    <w:rsid w:val="00B02F3E"/>
    <w:rsid w:val="00B03CA8"/>
    <w:rsid w:val="00B05B87"/>
    <w:rsid w:val="00B123B3"/>
    <w:rsid w:val="00B16885"/>
    <w:rsid w:val="00B16EF6"/>
    <w:rsid w:val="00B176FE"/>
    <w:rsid w:val="00B17E1C"/>
    <w:rsid w:val="00B22F0E"/>
    <w:rsid w:val="00B249EC"/>
    <w:rsid w:val="00B25628"/>
    <w:rsid w:val="00B31758"/>
    <w:rsid w:val="00B33C0A"/>
    <w:rsid w:val="00B401AF"/>
    <w:rsid w:val="00B41791"/>
    <w:rsid w:val="00B470EA"/>
    <w:rsid w:val="00B5068C"/>
    <w:rsid w:val="00B51C2F"/>
    <w:rsid w:val="00B55E19"/>
    <w:rsid w:val="00B56E71"/>
    <w:rsid w:val="00B579A6"/>
    <w:rsid w:val="00B636EE"/>
    <w:rsid w:val="00B7114B"/>
    <w:rsid w:val="00B71AD8"/>
    <w:rsid w:val="00B84B3C"/>
    <w:rsid w:val="00B857E1"/>
    <w:rsid w:val="00B8599B"/>
    <w:rsid w:val="00B94758"/>
    <w:rsid w:val="00B97905"/>
    <w:rsid w:val="00BA450D"/>
    <w:rsid w:val="00BA4B6D"/>
    <w:rsid w:val="00BB26C5"/>
    <w:rsid w:val="00BB38A8"/>
    <w:rsid w:val="00BB6CF9"/>
    <w:rsid w:val="00BC1FED"/>
    <w:rsid w:val="00BD0A2F"/>
    <w:rsid w:val="00BD21B4"/>
    <w:rsid w:val="00BD5ACC"/>
    <w:rsid w:val="00BE00B5"/>
    <w:rsid w:val="00BF0E75"/>
    <w:rsid w:val="00BF3AD9"/>
    <w:rsid w:val="00BF4DE6"/>
    <w:rsid w:val="00C023C0"/>
    <w:rsid w:val="00C06B13"/>
    <w:rsid w:val="00C07BF5"/>
    <w:rsid w:val="00C216BA"/>
    <w:rsid w:val="00C27D25"/>
    <w:rsid w:val="00C34530"/>
    <w:rsid w:val="00C35791"/>
    <w:rsid w:val="00C42541"/>
    <w:rsid w:val="00C42CDE"/>
    <w:rsid w:val="00C4307F"/>
    <w:rsid w:val="00C43A09"/>
    <w:rsid w:val="00C5182A"/>
    <w:rsid w:val="00C52463"/>
    <w:rsid w:val="00C62095"/>
    <w:rsid w:val="00C63EE9"/>
    <w:rsid w:val="00C660BC"/>
    <w:rsid w:val="00C711E9"/>
    <w:rsid w:val="00C73C1C"/>
    <w:rsid w:val="00C81767"/>
    <w:rsid w:val="00C87B9B"/>
    <w:rsid w:val="00C92805"/>
    <w:rsid w:val="00CA09A3"/>
    <w:rsid w:val="00CA16F3"/>
    <w:rsid w:val="00CA2187"/>
    <w:rsid w:val="00CA257B"/>
    <w:rsid w:val="00CA37B1"/>
    <w:rsid w:val="00CA39B3"/>
    <w:rsid w:val="00CB1488"/>
    <w:rsid w:val="00CB1959"/>
    <w:rsid w:val="00CB7563"/>
    <w:rsid w:val="00CC1690"/>
    <w:rsid w:val="00CC1D45"/>
    <w:rsid w:val="00CC741B"/>
    <w:rsid w:val="00CD0E4B"/>
    <w:rsid w:val="00CD3F5D"/>
    <w:rsid w:val="00CE0518"/>
    <w:rsid w:val="00CE4C89"/>
    <w:rsid w:val="00CF07BA"/>
    <w:rsid w:val="00CF5843"/>
    <w:rsid w:val="00D0296C"/>
    <w:rsid w:val="00D036E4"/>
    <w:rsid w:val="00D14658"/>
    <w:rsid w:val="00D17F89"/>
    <w:rsid w:val="00D236E8"/>
    <w:rsid w:val="00D257E3"/>
    <w:rsid w:val="00D2641E"/>
    <w:rsid w:val="00D32126"/>
    <w:rsid w:val="00D32D6F"/>
    <w:rsid w:val="00D37B04"/>
    <w:rsid w:val="00D540C6"/>
    <w:rsid w:val="00D61AC6"/>
    <w:rsid w:val="00D62DB2"/>
    <w:rsid w:val="00D64BD1"/>
    <w:rsid w:val="00D73A4D"/>
    <w:rsid w:val="00D85F0B"/>
    <w:rsid w:val="00D909F0"/>
    <w:rsid w:val="00D92254"/>
    <w:rsid w:val="00DA1B52"/>
    <w:rsid w:val="00DA3CDD"/>
    <w:rsid w:val="00DE084C"/>
    <w:rsid w:val="00DE2398"/>
    <w:rsid w:val="00DE53A0"/>
    <w:rsid w:val="00DF68CF"/>
    <w:rsid w:val="00E055AB"/>
    <w:rsid w:val="00E14F51"/>
    <w:rsid w:val="00E1545F"/>
    <w:rsid w:val="00E2355A"/>
    <w:rsid w:val="00E25CB4"/>
    <w:rsid w:val="00E357B7"/>
    <w:rsid w:val="00E411F2"/>
    <w:rsid w:val="00E41A3B"/>
    <w:rsid w:val="00E42E50"/>
    <w:rsid w:val="00E4584F"/>
    <w:rsid w:val="00E53800"/>
    <w:rsid w:val="00E6081F"/>
    <w:rsid w:val="00E621B4"/>
    <w:rsid w:val="00E62C2D"/>
    <w:rsid w:val="00E70C37"/>
    <w:rsid w:val="00E8296D"/>
    <w:rsid w:val="00E8457B"/>
    <w:rsid w:val="00E944AA"/>
    <w:rsid w:val="00EA004D"/>
    <w:rsid w:val="00EA04B2"/>
    <w:rsid w:val="00EA20F3"/>
    <w:rsid w:val="00EA36D9"/>
    <w:rsid w:val="00EA383C"/>
    <w:rsid w:val="00EA4060"/>
    <w:rsid w:val="00EA4217"/>
    <w:rsid w:val="00EB4B16"/>
    <w:rsid w:val="00EC41B1"/>
    <w:rsid w:val="00EC6D38"/>
    <w:rsid w:val="00ED001E"/>
    <w:rsid w:val="00ED22B0"/>
    <w:rsid w:val="00ED2831"/>
    <w:rsid w:val="00ED3B2D"/>
    <w:rsid w:val="00ED43D1"/>
    <w:rsid w:val="00ED7EC4"/>
    <w:rsid w:val="00EE3608"/>
    <w:rsid w:val="00EE4EE1"/>
    <w:rsid w:val="00EE7273"/>
    <w:rsid w:val="00EF2CD4"/>
    <w:rsid w:val="00EF4574"/>
    <w:rsid w:val="00F012D1"/>
    <w:rsid w:val="00F01921"/>
    <w:rsid w:val="00F14A46"/>
    <w:rsid w:val="00F22BA9"/>
    <w:rsid w:val="00F25A93"/>
    <w:rsid w:val="00F2684E"/>
    <w:rsid w:val="00F27235"/>
    <w:rsid w:val="00F45486"/>
    <w:rsid w:val="00F5404C"/>
    <w:rsid w:val="00F55791"/>
    <w:rsid w:val="00F61519"/>
    <w:rsid w:val="00F67C6A"/>
    <w:rsid w:val="00F729EF"/>
    <w:rsid w:val="00F77CAE"/>
    <w:rsid w:val="00F82271"/>
    <w:rsid w:val="00F83428"/>
    <w:rsid w:val="00F85666"/>
    <w:rsid w:val="00F96BB9"/>
    <w:rsid w:val="00FA50C9"/>
    <w:rsid w:val="00FA5EFD"/>
    <w:rsid w:val="00FB06CC"/>
    <w:rsid w:val="00FB1D5F"/>
    <w:rsid w:val="00FB4AA3"/>
    <w:rsid w:val="00FB4EDE"/>
    <w:rsid w:val="00FC4316"/>
    <w:rsid w:val="00FD1850"/>
    <w:rsid w:val="00FD36C8"/>
    <w:rsid w:val="00FD6387"/>
    <w:rsid w:val="00FE6D51"/>
    <w:rsid w:val="00FE6F2A"/>
    <w:rsid w:val="0750DCA1"/>
    <w:rsid w:val="20436C48"/>
    <w:rsid w:val="249138F8"/>
    <w:rsid w:val="2C280C92"/>
    <w:rsid w:val="2F2C5619"/>
    <w:rsid w:val="38A20354"/>
    <w:rsid w:val="3F28D99E"/>
    <w:rsid w:val="48BC3B62"/>
    <w:rsid w:val="6ABB41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594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E2FAA"/>
    <w:pPr>
      <w:suppressAutoHyphens/>
      <w:spacing w:before="120" w:after="60" w:line="260" w:lineRule="atLeast"/>
    </w:pPr>
    <w:rPr>
      <w:color w:val="495965" w:themeColor="text2"/>
      <w:lang w:val="en-GB"/>
    </w:rPr>
  </w:style>
  <w:style w:type="paragraph" w:styleId="Heading1">
    <w:name w:val="heading 1"/>
    <w:basedOn w:val="Normal"/>
    <w:next w:val="Normal"/>
    <w:link w:val="Heading1Char"/>
    <w:autoRedefine/>
    <w:uiPriority w:val="9"/>
    <w:qFormat/>
    <w:rsid w:val="00EB4B16"/>
    <w:pPr>
      <w:keepNext/>
      <w:keepLines/>
      <w:spacing w:before="0" w:after="240" w:line="380" w:lineRule="exact"/>
      <w:contextualSpacing/>
      <w:outlineLvl w:val="0"/>
    </w:pPr>
    <w:rPr>
      <w:rFonts w:asciiTheme="majorHAnsi" w:eastAsiaTheme="majorEastAsia" w:hAnsiTheme="majorHAnsi" w:cstheme="majorBidi"/>
      <w:b/>
      <w:bCs/>
      <w:caps/>
      <w:sz w:val="32"/>
      <w:szCs w:val="28"/>
    </w:rPr>
  </w:style>
  <w:style w:type="paragraph" w:styleId="Heading2">
    <w:name w:val="heading 2"/>
    <w:basedOn w:val="Heading1"/>
    <w:next w:val="Normal"/>
    <w:link w:val="Heading2Char"/>
    <w:autoRedefine/>
    <w:uiPriority w:val="9"/>
    <w:unhideWhenUsed/>
    <w:qFormat/>
    <w:rsid w:val="002310E0"/>
    <w:pPr>
      <w:spacing w:before="120" w:after="120"/>
      <w:outlineLvl w:val="1"/>
    </w:pPr>
    <w:rPr>
      <w:bCs w:val="0"/>
      <w:sz w:val="22"/>
      <w:szCs w:val="26"/>
    </w:rPr>
  </w:style>
  <w:style w:type="paragraph" w:styleId="Heading3">
    <w:name w:val="heading 3"/>
    <w:basedOn w:val="Heading2"/>
    <w:next w:val="Normal"/>
    <w:link w:val="Heading3Char"/>
    <w:autoRedefine/>
    <w:uiPriority w:val="9"/>
    <w:unhideWhenUsed/>
    <w:qFormat/>
    <w:rsid w:val="0058573F"/>
    <w:pPr>
      <w:spacing w:before="0"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B16"/>
    <w:rPr>
      <w:rFonts w:asciiTheme="majorHAnsi" w:eastAsiaTheme="majorEastAsia" w:hAnsiTheme="majorHAnsi" w:cstheme="majorBidi"/>
      <w:b/>
      <w:bCs/>
      <w:caps/>
      <w:color w:val="495965" w:themeColor="text2"/>
      <w:sz w:val="32"/>
      <w:szCs w:val="28"/>
      <w:lang w:val="en-GB"/>
    </w:rPr>
  </w:style>
  <w:style w:type="character" w:customStyle="1" w:styleId="Heading2Char">
    <w:name w:val="Heading 2 Char"/>
    <w:basedOn w:val="DefaultParagraphFont"/>
    <w:link w:val="Heading2"/>
    <w:uiPriority w:val="9"/>
    <w:rsid w:val="002310E0"/>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58573F"/>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styleId="EndnoteText">
    <w:name w:val="endnote text"/>
    <w:basedOn w:val="Normal"/>
    <w:link w:val="EndnoteTextChar"/>
    <w:uiPriority w:val="99"/>
    <w:semiHidden/>
    <w:unhideWhenUsed/>
    <w:rsid w:val="001C01C6"/>
    <w:pPr>
      <w:suppressAutoHyphens w:val="0"/>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C01C6"/>
    <w:rPr>
      <w:color w:val="495965" w:themeColor="text2"/>
      <w:sz w:val="20"/>
      <w:szCs w:val="20"/>
      <w:lang w:val="en-GB"/>
    </w:rPr>
  </w:style>
  <w:style w:type="character" w:styleId="EndnoteReference">
    <w:name w:val="endnote reference"/>
    <w:basedOn w:val="DefaultParagraphFont"/>
    <w:uiPriority w:val="99"/>
    <w:semiHidden/>
    <w:unhideWhenUsed/>
    <w:rsid w:val="001C01C6"/>
    <w:rPr>
      <w:vertAlign w:val="superscript"/>
    </w:rPr>
  </w:style>
  <w:style w:type="paragraph" w:styleId="NoSpacing">
    <w:name w:val="No Spacing"/>
    <w:uiPriority w:val="1"/>
    <w:qFormat/>
    <w:rsid w:val="002A7776"/>
    <w:pPr>
      <w:spacing w:after="0" w:line="240" w:lineRule="auto"/>
      <w:jc w:val="both"/>
    </w:pPr>
    <w:rPr>
      <w:rFonts w:ascii="Times New Roman" w:eastAsia="Times New Roman" w:hAnsi="Times New Roman" w:cs="Times New Roman"/>
      <w:sz w:val="24"/>
      <w:szCs w:val="20"/>
    </w:rPr>
  </w:style>
  <w:style w:type="paragraph" w:customStyle="1" w:styleId="paragraph">
    <w:name w:val="paragraph"/>
    <w:basedOn w:val="Normal"/>
    <w:rsid w:val="00C34530"/>
    <w:pPr>
      <w:suppressAutoHyphens w:val="0"/>
      <w:spacing w:before="100" w:beforeAutospacing="1" w:after="100" w:afterAutospacing="1" w:line="240" w:lineRule="auto"/>
    </w:pPr>
    <w:rPr>
      <w:rFonts w:ascii="Times New Roman" w:eastAsia="Calibri" w:hAnsi="Times New Roman" w:cs="Times New Roman"/>
      <w:color w:val="auto"/>
      <w:sz w:val="24"/>
      <w:szCs w:val="24"/>
      <w:lang w:val="en-AU" w:eastAsia="en-AU"/>
    </w:rPr>
  </w:style>
  <w:style w:type="character" w:customStyle="1" w:styleId="normaltextrun">
    <w:name w:val="normaltextrun"/>
    <w:basedOn w:val="DefaultParagraphFont"/>
    <w:rsid w:val="00C34530"/>
  </w:style>
  <w:style w:type="character" w:customStyle="1" w:styleId="eop">
    <w:name w:val="eop"/>
    <w:basedOn w:val="DefaultParagraphFont"/>
    <w:rsid w:val="00C34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317266">
      <w:bodyDiv w:val="1"/>
      <w:marLeft w:val="0"/>
      <w:marRight w:val="0"/>
      <w:marTop w:val="0"/>
      <w:marBottom w:val="0"/>
      <w:divBdr>
        <w:top w:val="none" w:sz="0" w:space="0" w:color="auto"/>
        <w:left w:val="none" w:sz="0" w:space="0" w:color="auto"/>
        <w:bottom w:val="none" w:sz="0" w:space="0" w:color="auto"/>
        <w:right w:val="none" w:sz="0" w:space="0" w:color="auto"/>
      </w:divBdr>
    </w:div>
    <w:div w:id="791829685">
      <w:bodyDiv w:val="1"/>
      <w:marLeft w:val="0"/>
      <w:marRight w:val="0"/>
      <w:marTop w:val="0"/>
      <w:marBottom w:val="0"/>
      <w:divBdr>
        <w:top w:val="none" w:sz="0" w:space="0" w:color="auto"/>
        <w:left w:val="none" w:sz="0" w:space="0" w:color="auto"/>
        <w:bottom w:val="none" w:sz="0" w:space="0" w:color="auto"/>
        <w:right w:val="none" w:sz="0" w:space="0" w:color="auto"/>
      </w:divBdr>
    </w:div>
    <w:div w:id="859273357">
      <w:bodyDiv w:val="1"/>
      <w:marLeft w:val="0"/>
      <w:marRight w:val="0"/>
      <w:marTop w:val="0"/>
      <w:marBottom w:val="0"/>
      <w:divBdr>
        <w:top w:val="none" w:sz="0" w:space="0" w:color="auto"/>
        <w:left w:val="none" w:sz="0" w:space="0" w:color="auto"/>
        <w:bottom w:val="none" w:sz="0" w:space="0" w:color="auto"/>
        <w:right w:val="none" w:sz="0" w:space="0" w:color="auto"/>
      </w:divBdr>
    </w:div>
    <w:div w:id="938215772">
      <w:bodyDiv w:val="1"/>
      <w:marLeft w:val="0"/>
      <w:marRight w:val="0"/>
      <w:marTop w:val="0"/>
      <w:marBottom w:val="0"/>
      <w:divBdr>
        <w:top w:val="none" w:sz="0" w:space="0" w:color="auto"/>
        <w:left w:val="none" w:sz="0" w:space="0" w:color="auto"/>
        <w:bottom w:val="none" w:sz="0" w:space="0" w:color="auto"/>
        <w:right w:val="none" w:sz="0" w:space="0" w:color="auto"/>
      </w:divBdr>
    </w:div>
    <w:div w:id="139396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9F64-0695-4D18-A40B-DEF16555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1126</Words>
  <Characters>6528</Characters>
  <Application>Microsoft Office Word</Application>
  <DocSecurity>0</DocSecurity>
  <Lines>164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2021-06-02T04:07:00Z</dcterms:created>
  <dcterms:modified xsi:type="dcterms:W3CDTF">2021-06-02T04:07:00Z</dcterms:modified>
  <cp:category/>
</cp:coreProperties>
</file>