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CA91" w14:textId="58EEFA11" w:rsidR="00B17E1C" w:rsidRDefault="00124BCA" w:rsidP="00514DC4">
      <w:pPr>
        <w:pStyle w:val="Heading1"/>
        <w:sectPr w:rsidR="00B17E1C" w:rsidSect="00CF5843">
          <w:headerReference w:type="default" r:id="rId8"/>
          <w:footerReference w:type="default" r:id="rId9"/>
          <w:headerReference w:type="first" r:id="rId10"/>
          <w:footerReference w:type="first" r:id="rId11"/>
          <w:pgSz w:w="11906" w:h="16838" w:code="9"/>
          <w:pgMar w:top="1559" w:right="680" w:bottom="1418" w:left="680" w:header="227" w:footer="567" w:gutter="0"/>
          <w:cols w:space="397"/>
          <w:titlePg/>
          <w:docGrid w:linePitch="360"/>
        </w:sectPr>
      </w:pPr>
      <w:r>
        <w:t xml:space="preserve">PACIFIC </w:t>
      </w:r>
      <w:r w:rsidRPr="00192A43">
        <w:t>COVID-19 RESPONSE</w:t>
      </w:r>
      <w:r>
        <w:t xml:space="preserve"> PACKAGE – </w:t>
      </w:r>
      <w:r w:rsidR="0009574A">
        <w:t>Tonga</w:t>
      </w:r>
      <w:r>
        <w:t xml:space="preserve"> Annex</w:t>
      </w:r>
    </w:p>
    <w:p w14:paraId="19408ABB" w14:textId="3CE8EA83" w:rsidR="007732DB" w:rsidRDefault="007732DB" w:rsidP="00514DC4">
      <w:r w:rsidRPr="00293B6D">
        <w:t xml:space="preserve">As announced in the October 2020 budget, Australia will provide new funding </w:t>
      </w:r>
      <w:r w:rsidRPr="00937240">
        <w:rPr>
          <w:color w:val="0070C0"/>
        </w:rPr>
        <w:t xml:space="preserve">of $304.7 million for a COVID-19 Response Package </w:t>
      </w:r>
      <w:r w:rsidRPr="00293B6D">
        <w:t>(the</w:t>
      </w:r>
      <w:r>
        <w:t xml:space="preserve"> P</w:t>
      </w:r>
      <w:r w:rsidRPr="00293B6D">
        <w:t xml:space="preserve">ackage) </w:t>
      </w:r>
      <w:r>
        <w:t xml:space="preserve">in the </w:t>
      </w:r>
      <w:r w:rsidRPr="00293B6D">
        <w:t>Pacific and Timor</w:t>
      </w:r>
      <w:r>
        <w:t>-</w:t>
      </w:r>
      <w:r w:rsidRPr="00293B6D">
        <w:t xml:space="preserve">Leste. </w:t>
      </w:r>
      <w:r w:rsidRPr="008D59E2">
        <w:t xml:space="preserve">The two-year package (FY2020-21 and 2021-22) will be a temporary and time-bound addition to </w:t>
      </w:r>
      <w:r>
        <w:t xml:space="preserve">Australia’s </w:t>
      </w:r>
      <w:r w:rsidRPr="008D59E2">
        <w:t>existing and ongoing $4 billion O</w:t>
      </w:r>
      <w:r w:rsidR="00AF4DDF">
        <w:t>fficial Development Assistance</w:t>
      </w:r>
      <w:r w:rsidRPr="008D59E2">
        <w:t xml:space="preserve"> budget.</w:t>
      </w:r>
    </w:p>
    <w:p w14:paraId="4E38CABA" w14:textId="76D375D0" w:rsidR="007732DB" w:rsidRDefault="007732DB" w:rsidP="00514DC4">
      <w:r>
        <w:t xml:space="preserve">In addition to support to maintain Pacific aviation, the Package has two funding windows: </w:t>
      </w:r>
      <w:proofErr w:type="gramStart"/>
      <w:r>
        <w:t>a</w:t>
      </w:r>
      <w:proofErr w:type="gramEnd"/>
      <w:r>
        <w:t xml:space="preserve"> </w:t>
      </w:r>
      <w:r w:rsidRPr="008D59E2">
        <w:t>Vulnerability and Economic Recovery Window</w:t>
      </w:r>
      <w:r>
        <w:t xml:space="preserve">; and a Fiscal Crisis Window for countries facing severe fiscal impacts. The Australian Government will provide </w:t>
      </w:r>
      <w:r w:rsidR="00EB4B16">
        <w:t>$10</w:t>
      </w:r>
      <w:r w:rsidR="00AF4DDF">
        <w:t> </w:t>
      </w:r>
      <w:r w:rsidR="00EB4B16">
        <w:t xml:space="preserve">million in </w:t>
      </w:r>
      <w:r>
        <w:t>funding to Tonga</w:t>
      </w:r>
      <w:r w:rsidR="00EB4B16">
        <w:t xml:space="preserve">, split between the two funding windows. </w:t>
      </w:r>
      <w:r>
        <w:t xml:space="preserve"> </w:t>
      </w:r>
    </w:p>
    <w:p w14:paraId="0197CC4E" w14:textId="7B9992AE" w:rsidR="007732DB" w:rsidRPr="00EB4B16" w:rsidRDefault="007732DB" w:rsidP="00514DC4">
      <w:r w:rsidRPr="00F10080">
        <w:t xml:space="preserve">This </w:t>
      </w:r>
      <w:r>
        <w:t xml:space="preserve">annex </w:t>
      </w:r>
      <w:r w:rsidRPr="00293B6D">
        <w:t xml:space="preserve">outlines Australia’s implementation of the Package </w:t>
      </w:r>
      <w:r>
        <w:t>in</w:t>
      </w:r>
      <w:r w:rsidRPr="00293B6D">
        <w:t xml:space="preserve"> </w:t>
      </w:r>
      <w:r>
        <w:t>Tonga</w:t>
      </w:r>
      <w:r w:rsidRPr="00293B6D">
        <w:t>.</w:t>
      </w:r>
      <w:r>
        <w:t xml:space="preserve"> It also serves as an annex </w:t>
      </w:r>
      <w:r w:rsidRPr="00653119">
        <w:t xml:space="preserve">to the </w:t>
      </w:r>
      <w:r>
        <w:rPr>
          <w:color w:val="0070C0"/>
        </w:rPr>
        <w:t xml:space="preserve">Tonga </w:t>
      </w:r>
      <w:r w:rsidRPr="0020545C">
        <w:rPr>
          <w:color w:val="0070C0"/>
        </w:rPr>
        <w:t>COVID-19 Development Response Plan</w:t>
      </w:r>
      <w:r>
        <w:t xml:space="preserve"> </w:t>
      </w:r>
      <w:r w:rsidRPr="00653119">
        <w:t xml:space="preserve">that forms part of </w:t>
      </w:r>
      <w:r>
        <w:t xml:space="preserve">Australia’s </w:t>
      </w:r>
      <w:r w:rsidRPr="0020545C">
        <w:rPr>
          <w:color w:val="0070C0"/>
        </w:rPr>
        <w:t>Partnerships for Recovery</w:t>
      </w:r>
      <w:r>
        <w:rPr>
          <w:color w:val="0070C0"/>
        </w:rPr>
        <w:t xml:space="preserve"> </w:t>
      </w:r>
      <w:r w:rsidRPr="00EB4B16">
        <w:t xml:space="preserve">development policy. </w:t>
      </w:r>
    </w:p>
    <w:p w14:paraId="2AFC50CA" w14:textId="77777777" w:rsidR="00293B6D" w:rsidRPr="00293B6D" w:rsidRDefault="00B17E1C" w:rsidP="00514DC4">
      <w:pPr>
        <w:pStyle w:val="Heading3"/>
      </w:pPr>
      <w:r w:rsidRPr="00293B6D">
        <w:t>ECONOMIC, FISCAL AND SOCIAL SITUATION</w:t>
      </w:r>
    </w:p>
    <w:p w14:paraId="5AE37493" w14:textId="279C29BD" w:rsidR="005402BE" w:rsidRDefault="005402BE" w:rsidP="00514DC4">
      <w:r>
        <w:t>The COVID-19 pandemic has badly impacted Tonga’s ability to increase or maintain its revenue base, presenting considerable risks to vulnerable families, women and small or informal businesses. Tourism has been brought to a standstill</w:t>
      </w:r>
      <w:r w:rsidR="00EB4B16">
        <w:t xml:space="preserve"> </w:t>
      </w:r>
      <w:r w:rsidR="007732DB">
        <w:t>and</w:t>
      </w:r>
      <w:r w:rsidR="00EB4B16">
        <w:t>,</w:t>
      </w:r>
      <w:r w:rsidR="007732DB">
        <w:t xml:space="preserve"> with</w:t>
      </w:r>
      <w:r>
        <w:t xml:space="preserve"> few opportunities to diversify its economy and a large trade deficit, Tonga continues to be highly vulnerable to debt distress.  </w:t>
      </w:r>
    </w:p>
    <w:p w14:paraId="7BB8DF2C" w14:textId="2CFA1193" w:rsidR="007732DB" w:rsidRDefault="007732DB" w:rsidP="00514DC4">
      <w:r>
        <w:t xml:space="preserve">Many Tongan households are reliant on </w:t>
      </w:r>
      <w:r w:rsidRPr="00880F82">
        <w:t xml:space="preserve">remittances from </w:t>
      </w:r>
      <w:r>
        <w:t>the Tongan diaspora and labour mobility participants working abroad</w:t>
      </w:r>
      <w:r w:rsidRPr="00880F82">
        <w:t>.</w:t>
      </w:r>
      <w:r w:rsidRPr="007732DB">
        <w:t xml:space="preserve"> </w:t>
      </w:r>
      <w:r>
        <w:t>Pre-COVID-19, remittances equated to 38 per cent of GDP. Since COVID-19</w:t>
      </w:r>
      <w:r w:rsidR="00EB4B16">
        <w:t>,</w:t>
      </w:r>
      <w:r>
        <w:t xml:space="preserve"> remittances have been higher across all currencies and sending countries, but it is not yet clear whether these levels will be sustained over time.</w:t>
      </w:r>
    </w:p>
    <w:p w14:paraId="44F8719B" w14:textId="0EDB4B1B" w:rsidR="00EA004D" w:rsidRDefault="00EA004D" w:rsidP="00514DC4">
      <w:r>
        <w:t>The A</w:t>
      </w:r>
      <w:r w:rsidR="00EB4B16">
        <w:t xml:space="preserve">sian </w:t>
      </w:r>
      <w:r>
        <w:t>D</w:t>
      </w:r>
      <w:r w:rsidR="00EB4B16">
        <w:t xml:space="preserve">evelopment </w:t>
      </w:r>
      <w:r>
        <w:t>B</w:t>
      </w:r>
      <w:r w:rsidR="00EB4B16">
        <w:t>ank</w:t>
      </w:r>
      <w:r>
        <w:t xml:space="preserve"> estimates a GDP contraction of 0.8</w:t>
      </w:r>
      <w:r w:rsidR="002629A9">
        <w:t xml:space="preserve"> per cent</w:t>
      </w:r>
      <w:r>
        <w:t xml:space="preserve"> per cent in 2020, and a further contraction of</w:t>
      </w:r>
      <w:r w:rsidR="00EB4B16">
        <w:t xml:space="preserve"> 5</w:t>
      </w:r>
      <w:r>
        <w:t xml:space="preserve">.3 per cent in 2021. In 2019-20 and 2020-21, Tonga received sufficient donor support to manage its budget </w:t>
      </w:r>
      <w:r w:rsidR="00EB4B16">
        <w:t>and</w:t>
      </w:r>
      <w:r>
        <w:t xml:space="preserve"> this donor support helped meet shortfalls in domestic revenue occurring due to COVID</w:t>
      </w:r>
      <w:r w:rsidR="00AF4DDF">
        <w:noBreakHyphen/>
      </w:r>
      <w:r>
        <w:t xml:space="preserve">19. The Government of Tonga also made expenditure cuts to manage the budget within its reduced revenue envelope, however, the changes were </w:t>
      </w:r>
      <w:r>
        <w:t xml:space="preserve">modest, </w:t>
      </w:r>
      <w:proofErr w:type="gramStart"/>
      <w:r>
        <w:t>proportionate</w:t>
      </w:r>
      <w:proofErr w:type="gramEnd"/>
      <w:r>
        <w:t xml:space="preserve"> and designed to ensure Tonga avoided a situation where excessive austerity led to worsening community vulnerability.</w:t>
      </w:r>
    </w:p>
    <w:p w14:paraId="4D626B00" w14:textId="0E28BC12" w:rsidR="00B5068C" w:rsidRPr="005C1AED" w:rsidRDefault="00B5068C" w:rsidP="00514DC4">
      <w:pPr>
        <w:suppressAutoHyphens w:val="0"/>
        <w:spacing w:before="0" w:after="120" w:line="240" w:lineRule="auto"/>
        <w:rPr>
          <w:rFonts w:eastAsia="Times New Roman" w:cstheme="minorHAnsi"/>
          <w:lang w:val="en-AU" w:eastAsia="en-GB"/>
        </w:rPr>
      </w:pPr>
      <w:r>
        <w:rPr>
          <w:rFonts w:eastAsia="Times New Roman" w:cstheme="minorHAnsi"/>
          <w:lang w:val="en-AU" w:eastAsia="en-GB"/>
        </w:rPr>
        <w:t xml:space="preserve">Despite </w:t>
      </w:r>
      <w:r w:rsidRPr="005C1AED">
        <w:rPr>
          <w:rFonts w:eastAsia="Times New Roman" w:cstheme="minorHAnsi"/>
          <w:lang w:val="en-AU" w:eastAsia="en-GB"/>
        </w:rPr>
        <w:t xml:space="preserve">strong cultural social safety nets as well as a national social protection scheme, women have </w:t>
      </w:r>
      <w:r>
        <w:rPr>
          <w:rFonts w:eastAsia="Times New Roman" w:cstheme="minorHAnsi"/>
          <w:lang w:val="en-AU" w:eastAsia="en-GB"/>
        </w:rPr>
        <w:t xml:space="preserve">reportedly </w:t>
      </w:r>
      <w:r w:rsidRPr="005C1AED">
        <w:rPr>
          <w:rFonts w:eastAsia="Times New Roman" w:cstheme="minorHAnsi"/>
          <w:lang w:val="en-AU" w:eastAsia="en-GB"/>
        </w:rPr>
        <w:t>been more adversely affected by the pandemic than men. </w:t>
      </w:r>
      <w:r>
        <w:rPr>
          <w:rFonts w:eastAsia="Times New Roman" w:cstheme="minorHAnsi"/>
          <w:lang w:val="en-AU" w:eastAsia="en-GB"/>
        </w:rPr>
        <w:t>Domestic service providers have reported</w:t>
      </w:r>
      <w:r w:rsidRPr="005C1AED">
        <w:rPr>
          <w:rFonts w:eastAsia="Times New Roman" w:cstheme="minorHAnsi"/>
          <w:lang w:val="en-AU" w:eastAsia="en-GB"/>
        </w:rPr>
        <w:t xml:space="preserve"> increases in family violence</w:t>
      </w:r>
      <w:r>
        <w:rPr>
          <w:rFonts w:eastAsia="Times New Roman" w:cstheme="minorHAnsi"/>
          <w:lang w:val="en-AU" w:eastAsia="en-GB"/>
        </w:rPr>
        <w:t xml:space="preserve"> and e</w:t>
      </w:r>
      <w:r w:rsidRPr="005C1AED">
        <w:rPr>
          <w:rFonts w:eastAsia="Times New Roman" w:cstheme="minorHAnsi"/>
          <w:lang w:val="en-AU" w:eastAsia="en-GB"/>
        </w:rPr>
        <w:t xml:space="preserve">conomic opportunities for women have decreased due to </w:t>
      </w:r>
      <w:r>
        <w:rPr>
          <w:rFonts w:eastAsia="Times New Roman" w:cstheme="minorHAnsi"/>
          <w:lang w:val="en-AU" w:eastAsia="en-GB"/>
        </w:rPr>
        <w:t>job losses</w:t>
      </w:r>
      <w:r w:rsidRPr="005C1AED">
        <w:rPr>
          <w:rFonts w:eastAsia="Times New Roman" w:cstheme="minorHAnsi"/>
          <w:lang w:val="en-AU" w:eastAsia="en-GB"/>
        </w:rPr>
        <w:t xml:space="preserve"> </w:t>
      </w:r>
      <w:r w:rsidR="007A434F">
        <w:rPr>
          <w:rFonts w:eastAsia="Times New Roman" w:cstheme="minorHAnsi"/>
          <w:lang w:val="en-AU" w:eastAsia="en-GB"/>
        </w:rPr>
        <w:t xml:space="preserve">in </w:t>
      </w:r>
      <w:r>
        <w:rPr>
          <w:rFonts w:eastAsia="Times New Roman" w:cstheme="minorHAnsi"/>
          <w:lang w:val="en-AU" w:eastAsia="en-GB"/>
        </w:rPr>
        <w:t xml:space="preserve">sectors where women represent a significant proportion of the labour force - </w:t>
      </w:r>
      <w:r w:rsidRPr="005C1AED">
        <w:rPr>
          <w:rFonts w:eastAsia="Times New Roman" w:cstheme="minorHAnsi"/>
          <w:lang w:val="en-AU" w:eastAsia="en-GB"/>
        </w:rPr>
        <w:t xml:space="preserve">tourism, </w:t>
      </w:r>
      <w:proofErr w:type="gramStart"/>
      <w:r w:rsidRPr="005C1AED">
        <w:rPr>
          <w:rFonts w:eastAsia="Times New Roman" w:cstheme="minorHAnsi"/>
          <w:lang w:val="en-AU" w:eastAsia="en-GB"/>
        </w:rPr>
        <w:t>retail</w:t>
      </w:r>
      <w:proofErr w:type="gramEnd"/>
      <w:r w:rsidRPr="005C1AED">
        <w:rPr>
          <w:rFonts w:eastAsia="Times New Roman" w:cstheme="minorHAnsi"/>
          <w:lang w:val="en-AU" w:eastAsia="en-GB"/>
        </w:rPr>
        <w:t xml:space="preserve"> and services</w:t>
      </w:r>
      <w:r>
        <w:rPr>
          <w:rFonts w:eastAsia="Times New Roman" w:cstheme="minorHAnsi"/>
          <w:lang w:val="en-AU" w:eastAsia="en-GB"/>
        </w:rPr>
        <w:t>.</w:t>
      </w:r>
    </w:p>
    <w:p w14:paraId="2480F615" w14:textId="0FBFD4C3" w:rsidR="00C660BC" w:rsidRPr="00E621B4" w:rsidRDefault="00B17E1C" w:rsidP="00514DC4">
      <w:pPr>
        <w:pStyle w:val="Heading3"/>
      </w:pPr>
      <w:r w:rsidRPr="00E621B4">
        <w:t>ACTIVITIE</w:t>
      </w:r>
      <w:r w:rsidR="00B25628" w:rsidRPr="00E621B4">
        <w:t xml:space="preserve">S </w:t>
      </w:r>
    </w:p>
    <w:p w14:paraId="7DB3D033" w14:textId="77777777" w:rsidR="00797AA5" w:rsidRDefault="00797AA5" w:rsidP="00797AA5">
      <w:r>
        <w:t>Activities to be funded through the Package include:</w:t>
      </w:r>
    </w:p>
    <w:p w14:paraId="0AFFB68D" w14:textId="295BA9C5" w:rsidR="00653119" w:rsidRPr="00B25628" w:rsidRDefault="006509B6" w:rsidP="00797AA5">
      <w:r w:rsidRPr="005B0B77">
        <w:rPr>
          <w:b/>
          <w:bCs/>
        </w:rPr>
        <w:t>Vulnerability and Economic Recovery Window</w:t>
      </w:r>
      <w:r>
        <w:rPr>
          <w:b/>
          <w:bCs/>
        </w:rPr>
        <w:t>:</w:t>
      </w:r>
      <w:r w:rsidR="004F10A0">
        <w:rPr>
          <w:b/>
          <w:bCs/>
        </w:rPr>
        <w:t xml:space="preserve"> </w:t>
      </w:r>
      <w:r w:rsidR="0009574A" w:rsidRPr="00C660BC">
        <w:rPr>
          <w:iCs/>
        </w:rPr>
        <w:t>$5</w:t>
      </w:r>
      <w:r w:rsidR="0009574A" w:rsidRPr="00C660BC">
        <w:t xml:space="preserve"> million in 2020-21</w:t>
      </w:r>
      <w:r w:rsidR="004F10A0">
        <w:t xml:space="preserve"> to be </w:t>
      </w:r>
      <w:r w:rsidR="0009574A" w:rsidRPr="00C660BC">
        <w:t xml:space="preserve">provided as earmarked budget </w:t>
      </w:r>
      <w:r w:rsidR="004F10A0">
        <w:t>support for</w:t>
      </w:r>
      <w:r w:rsidR="0009574A" w:rsidRPr="00C660BC">
        <w:t xml:space="preserve"> Tonga’s COVID-19 Business </w:t>
      </w:r>
      <w:r w:rsidR="00C660BC" w:rsidRPr="00C660BC">
        <w:t>Recovery</w:t>
      </w:r>
      <w:r w:rsidR="0009574A" w:rsidRPr="00C660BC">
        <w:t xml:space="preserve"> Assistance Program.</w:t>
      </w:r>
      <w:r w:rsidR="004F10A0">
        <w:t xml:space="preserve"> The Program provides</w:t>
      </w:r>
      <w:r w:rsidR="00EB4B16">
        <w:t>:</w:t>
      </w:r>
      <w:r w:rsidR="004F10A0">
        <w:t xml:space="preserve"> cash support to registered businesses with a demonstrated revenue loss as evidenced in tax statements and returns; wage subsidies to reduce </w:t>
      </w:r>
      <w:r w:rsidR="00E621B4">
        <w:t>u</w:t>
      </w:r>
      <w:r w:rsidR="004F10A0">
        <w:t>nemployment risk</w:t>
      </w:r>
      <w:r w:rsidR="00E621B4">
        <w:t>s</w:t>
      </w:r>
      <w:r w:rsidR="004F10A0">
        <w:t xml:space="preserve"> </w:t>
      </w:r>
      <w:r w:rsidR="00E621B4">
        <w:t>among</w:t>
      </w:r>
      <w:r w:rsidR="004F10A0">
        <w:t xml:space="preserve"> small business</w:t>
      </w:r>
      <w:r w:rsidR="00E621B4">
        <w:t>es; and</w:t>
      </w:r>
      <w:r w:rsidR="004F10A0">
        <w:t xml:space="preserve"> grants targeted at vulnerable </w:t>
      </w:r>
      <w:r w:rsidR="00EB4B16">
        <w:t xml:space="preserve">individuals </w:t>
      </w:r>
      <w:r w:rsidR="004F10A0">
        <w:t>reliant on informal business sector income.</w:t>
      </w:r>
    </w:p>
    <w:p w14:paraId="1531526A" w14:textId="1402F867" w:rsidR="001A0FF5" w:rsidRDefault="00B636EE" w:rsidP="00797AA5">
      <w:r w:rsidRPr="00B636EE">
        <w:rPr>
          <w:b/>
          <w:bCs/>
        </w:rPr>
        <w:t>F</w:t>
      </w:r>
      <w:r w:rsidR="001A0FF5">
        <w:rPr>
          <w:b/>
          <w:bCs/>
        </w:rPr>
        <w:t>iscal Crisis Window</w:t>
      </w:r>
      <w:r w:rsidRPr="00B636EE">
        <w:rPr>
          <w:b/>
          <w:bCs/>
        </w:rPr>
        <w:t>:</w:t>
      </w:r>
      <w:r>
        <w:t xml:space="preserve"> </w:t>
      </w:r>
      <w:r w:rsidR="0009574A">
        <w:t>$</w:t>
      </w:r>
      <w:r w:rsidR="0009574A" w:rsidRPr="00E47C86">
        <w:t xml:space="preserve">5 million in </w:t>
      </w:r>
      <w:r w:rsidR="001A0FF5">
        <w:t xml:space="preserve">budget support in </w:t>
      </w:r>
      <w:r w:rsidR="0009574A" w:rsidRPr="00E47C86">
        <w:t>2020-21</w:t>
      </w:r>
      <w:r w:rsidR="00E621B4">
        <w:t xml:space="preserve"> </w:t>
      </w:r>
      <w:r w:rsidR="001A0FF5">
        <w:t xml:space="preserve">provided through Australia’s </w:t>
      </w:r>
      <w:r w:rsidR="00E621B4">
        <w:t xml:space="preserve">existing </w:t>
      </w:r>
      <w:r w:rsidR="001A0FF5">
        <w:t>Accountable Cash Grant</w:t>
      </w:r>
      <w:r w:rsidR="00E621B4">
        <w:t xml:space="preserve"> mechanism</w:t>
      </w:r>
      <w:r w:rsidR="001A0FF5">
        <w:t xml:space="preserve"> with the Government of Tonga. </w:t>
      </w:r>
      <w:r w:rsidR="00E621B4">
        <w:t>These funds</w:t>
      </w:r>
      <w:r w:rsidR="0009574A">
        <w:t xml:space="preserve"> will </w:t>
      </w:r>
      <w:r w:rsidR="001A0FF5">
        <w:t>a</w:t>
      </w:r>
      <w:r w:rsidR="001A0FF5" w:rsidRPr="00E47C86">
        <w:t xml:space="preserve">ssist </w:t>
      </w:r>
      <w:r w:rsidR="001A0FF5">
        <w:t>the Government of Tonga to</w:t>
      </w:r>
      <w:r w:rsidR="001A0FF5" w:rsidRPr="00E47C86">
        <w:t xml:space="preserve"> </w:t>
      </w:r>
      <w:r w:rsidR="001A0FF5">
        <w:t>manage its</w:t>
      </w:r>
      <w:r w:rsidR="001A0FF5" w:rsidRPr="00E47C86">
        <w:t xml:space="preserve"> balance of payments and avoid unsustainable debt.</w:t>
      </w:r>
      <w:r w:rsidR="001A0FF5">
        <w:t xml:space="preserve"> Policy reform in the areas of debt management, </w:t>
      </w:r>
      <w:r w:rsidR="00E621B4">
        <w:t>l</w:t>
      </w:r>
      <w:r w:rsidR="001A0FF5">
        <w:t xml:space="preserve">abour </w:t>
      </w:r>
      <w:r w:rsidR="00E621B4">
        <w:t>m</w:t>
      </w:r>
      <w:r w:rsidR="001A0FF5">
        <w:t>obility and public service sexual harassment will also be linked to the funding, along with reforms required to access additional World Bank emergency financing in 2021-22 through its Catastrophe Disaster Draw Down Options instrument.</w:t>
      </w:r>
      <w:r w:rsidR="00E621B4">
        <w:t xml:space="preserve"> </w:t>
      </w:r>
      <w:r w:rsidR="001A0FF5">
        <w:t>Tonga</w:t>
      </w:r>
      <w:r w:rsidR="00E621B4">
        <w:t>’</w:t>
      </w:r>
      <w:r w:rsidR="001A0FF5">
        <w:t xml:space="preserve">s National Emergency Management Act will also be progressed. </w:t>
      </w:r>
    </w:p>
    <w:p w14:paraId="32C8664B" w14:textId="77777777" w:rsidR="00293B6D" w:rsidRPr="001E4B4C" w:rsidRDefault="00653119" w:rsidP="00514DC4">
      <w:pPr>
        <w:pStyle w:val="Heading3"/>
      </w:pPr>
      <w:r>
        <w:t>POLICY AND PROGRAM ALIGNMENT</w:t>
      </w:r>
    </w:p>
    <w:p w14:paraId="43DF747E" w14:textId="5BF3D6D2" w:rsidR="004E4889" w:rsidRDefault="004E4889" w:rsidP="00514DC4">
      <w:r>
        <w:t xml:space="preserve">Funding under the Pacific COVID-19 Response Package will contribute to the three pillars of DFAT’s Tonga COVID-19 Response Plan. It will enable increased support to the health sector and its systems, strengthen our </w:t>
      </w:r>
      <w:r>
        <w:lastRenderedPageBreak/>
        <w:t xml:space="preserve">security partnerships to ensure stability and support economic recovery. </w:t>
      </w:r>
    </w:p>
    <w:p w14:paraId="7C919D08" w14:textId="35CD7777" w:rsidR="004E4889" w:rsidRDefault="004E4889" w:rsidP="00514DC4">
      <w:r>
        <w:t>The funding builds on budget support provided in 2020</w:t>
      </w:r>
      <w:r w:rsidR="00AF4DDF">
        <w:noBreakHyphen/>
      </w:r>
      <w:r>
        <w:t xml:space="preserve">21 which included $2 million for social protection through the COVID-19 Development Response Plan and $3.5 million through </w:t>
      </w:r>
      <w:r w:rsidR="00EB4B16">
        <w:t>a</w:t>
      </w:r>
      <w:r>
        <w:t xml:space="preserve"> Joint Policy Reform Matrix. </w:t>
      </w:r>
      <w:r w:rsidRPr="007A669A">
        <w:t xml:space="preserve">The </w:t>
      </w:r>
      <w:r>
        <w:t>Fiscal Crisis Window</w:t>
      </w:r>
      <w:r w:rsidRPr="007A669A">
        <w:t xml:space="preserve"> </w:t>
      </w:r>
      <w:r>
        <w:t>will</w:t>
      </w:r>
      <w:r w:rsidRPr="007A669A">
        <w:t xml:space="preserve"> contribute to improved gender equality outcomes in support of Tonga’s National Women’s Empowerment and Gender Equality Policy and Strategic Plan of Action 2019-2025.</w:t>
      </w:r>
    </w:p>
    <w:p w14:paraId="7011C36B" w14:textId="48506B30" w:rsidR="00EA004D" w:rsidRDefault="00EA004D" w:rsidP="00514DC4">
      <w:pPr>
        <w:pStyle w:val="Heading3"/>
      </w:pPr>
      <w:r>
        <w:t>GENDER EQUALITY AND WOMEN’S EMPOWERMENT</w:t>
      </w:r>
    </w:p>
    <w:p w14:paraId="65F6A53C" w14:textId="273ECB37" w:rsidR="00B5068C" w:rsidRDefault="00B5068C" w:rsidP="00514DC4">
      <w:pPr>
        <w:suppressAutoHyphens w:val="0"/>
        <w:spacing w:before="0" w:after="120" w:line="240" w:lineRule="auto"/>
        <w:rPr>
          <w:rFonts w:eastAsia="Times New Roman" w:cstheme="minorHAnsi"/>
          <w:lang w:val="en-AU" w:eastAsia="en-GB"/>
        </w:rPr>
      </w:pPr>
      <w:r>
        <w:t>Budget support that underpins Tonga’s economic stability and provides fiscal stimulus during COVID-19 helps protect vulnerable women by ensuring their continued access to informal economic activity, such as through local markets, trades and street stalls – an important form of social protection for many poorer women. At the more formal level, women are well represented within Tonga’s public sector, and budget support that solidifies Tonga’s wage bill helps ensure stable employment for these women and their families.</w:t>
      </w:r>
    </w:p>
    <w:p w14:paraId="178FE437" w14:textId="57AC3363" w:rsidR="00EB4B16" w:rsidRDefault="00EB4B16" w:rsidP="00514DC4">
      <w:pPr>
        <w:suppressAutoHyphens w:val="0"/>
        <w:spacing w:before="0" w:after="120" w:line="240" w:lineRule="auto"/>
      </w:pPr>
      <w:r>
        <w:t xml:space="preserve">Fiscal crisis support </w:t>
      </w:r>
      <w:r w:rsidR="000C49F7">
        <w:t>can also help</w:t>
      </w:r>
      <w:r>
        <w:t xml:space="preserve"> ensure the ongoing provision of essential or basic government services on which vulnerable women rely, such as: government-provided services to mitigate domestic violence; maternal health services; education services for young girls; and economic empowerment grants through the Women Affairs and Gender Equality Division of the Ministry of Internal Affairs.</w:t>
      </w:r>
    </w:p>
    <w:p w14:paraId="7FC53A31" w14:textId="0632E117" w:rsidR="00E1545F" w:rsidRPr="00EB4B16" w:rsidRDefault="00E1545F" w:rsidP="00514DC4">
      <w:pPr>
        <w:suppressAutoHyphens w:val="0"/>
        <w:spacing w:before="0" w:after="120" w:line="240" w:lineRule="auto"/>
      </w:pPr>
      <w:r w:rsidRPr="00EB4B16">
        <w:t xml:space="preserve">Australia’s investments under the Response Package will target women, </w:t>
      </w:r>
      <w:proofErr w:type="gramStart"/>
      <w:r w:rsidRPr="00EB4B16">
        <w:t>girls</w:t>
      </w:r>
      <w:proofErr w:type="gramEnd"/>
      <w:r w:rsidRPr="00EB4B16">
        <w:t xml:space="preserve"> and other vulnerable groups by:</w:t>
      </w:r>
    </w:p>
    <w:p w14:paraId="1AC54E45" w14:textId="77777777" w:rsidR="00EB4B16" w:rsidRDefault="00E1545F" w:rsidP="00514DC4">
      <w:pPr>
        <w:pStyle w:val="ListParagraph"/>
        <w:numPr>
          <w:ilvl w:val="0"/>
          <w:numId w:val="12"/>
        </w:numPr>
        <w:suppressAutoHyphens w:val="0"/>
        <w:spacing w:before="0" w:after="120" w:line="240" w:lineRule="auto"/>
        <w:rPr>
          <w:rFonts w:eastAsia="Times New Roman" w:cstheme="minorHAnsi"/>
          <w:lang w:val="en-AU" w:eastAsia="en-GB"/>
        </w:rPr>
      </w:pPr>
      <w:r w:rsidRPr="00EB4B16">
        <w:t>Continuing support to integrate gender responsive budgeting</w:t>
      </w:r>
      <w:r w:rsidRPr="00EB4B16">
        <w:rPr>
          <w:rFonts w:eastAsia="Times New Roman" w:cstheme="minorHAnsi"/>
          <w:lang w:val="en-AU" w:eastAsia="en-GB"/>
        </w:rPr>
        <w:t xml:space="preserve"> in </w:t>
      </w:r>
      <w:r w:rsidR="007340D0" w:rsidRPr="00EB4B16">
        <w:rPr>
          <w:rFonts w:eastAsia="Times New Roman" w:cstheme="minorHAnsi"/>
          <w:lang w:val="en-AU" w:eastAsia="en-GB"/>
        </w:rPr>
        <w:t>public finance management</w:t>
      </w:r>
      <w:r w:rsidRPr="00EB4B16">
        <w:rPr>
          <w:rFonts w:eastAsia="Times New Roman" w:cstheme="minorHAnsi"/>
          <w:lang w:val="en-AU" w:eastAsia="en-GB"/>
        </w:rPr>
        <w:t xml:space="preserve"> reform, in line with Tonga’s National Women’s Empowerment and Gender Equality Strategy</w:t>
      </w:r>
      <w:r w:rsidR="007340D0" w:rsidRPr="00EB4B16">
        <w:rPr>
          <w:rFonts w:eastAsia="Times New Roman" w:cstheme="minorHAnsi"/>
          <w:lang w:val="en-AU" w:eastAsia="en-GB"/>
        </w:rPr>
        <w:t>.</w:t>
      </w:r>
    </w:p>
    <w:p w14:paraId="2095BDD2" w14:textId="77777777" w:rsidR="00EB4B16" w:rsidRDefault="00E1545F" w:rsidP="00514DC4">
      <w:pPr>
        <w:pStyle w:val="ListParagraph"/>
        <w:numPr>
          <w:ilvl w:val="0"/>
          <w:numId w:val="12"/>
        </w:numPr>
        <w:suppressAutoHyphens w:val="0"/>
        <w:spacing w:before="0" w:after="120" w:line="240" w:lineRule="auto"/>
        <w:rPr>
          <w:rFonts w:eastAsia="Times New Roman" w:cstheme="minorHAnsi"/>
          <w:lang w:val="en-AU" w:eastAsia="en-GB"/>
        </w:rPr>
      </w:pPr>
      <w:r w:rsidRPr="00EB4B16">
        <w:rPr>
          <w:rFonts w:eastAsia="Times New Roman" w:cstheme="minorHAnsi"/>
          <w:lang w:val="en-AU" w:eastAsia="en-GB"/>
        </w:rPr>
        <w:t>Supporting businesses hardest hit by COVID-19 to invest in female employees</w:t>
      </w:r>
      <w:r w:rsidR="007340D0" w:rsidRPr="00EB4B16">
        <w:rPr>
          <w:rFonts w:eastAsia="Times New Roman" w:cstheme="minorHAnsi"/>
          <w:lang w:val="en-AU" w:eastAsia="en-GB"/>
        </w:rPr>
        <w:t>.</w:t>
      </w:r>
    </w:p>
    <w:p w14:paraId="0A817CE1" w14:textId="77777777" w:rsidR="00EB4B16" w:rsidRDefault="00E1545F" w:rsidP="00514DC4">
      <w:pPr>
        <w:pStyle w:val="ListParagraph"/>
        <w:numPr>
          <w:ilvl w:val="0"/>
          <w:numId w:val="12"/>
        </w:numPr>
        <w:suppressAutoHyphens w:val="0"/>
        <w:spacing w:before="0" w:after="120" w:line="240" w:lineRule="auto"/>
        <w:rPr>
          <w:rFonts w:eastAsia="Times New Roman" w:cstheme="minorHAnsi"/>
          <w:lang w:val="en-AU" w:eastAsia="en-GB"/>
        </w:rPr>
      </w:pPr>
      <w:r w:rsidRPr="00EB4B16">
        <w:rPr>
          <w:rFonts w:eastAsia="Times New Roman" w:cstheme="minorHAnsi"/>
          <w:lang w:val="en-AU" w:eastAsia="en-GB"/>
        </w:rPr>
        <w:t>Prioritising support to the sectors in which women are employed</w:t>
      </w:r>
      <w:r w:rsidR="007340D0" w:rsidRPr="00EB4B16">
        <w:rPr>
          <w:rFonts w:eastAsia="Times New Roman" w:cstheme="minorHAnsi"/>
          <w:lang w:val="en-AU" w:eastAsia="en-GB"/>
        </w:rPr>
        <w:t>.</w:t>
      </w:r>
    </w:p>
    <w:p w14:paraId="4E68E8D9" w14:textId="1F047ECF" w:rsidR="00D236E8" w:rsidRPr="00EB4B16" w:rsidRDefault="00E1545F" w:rsidP="00514DC4">
      <w:pPr>
        <w:pStyle w:val="ListParagraph"/>
        <w:numPr>
          <w:ilvl w:val="0"/>
          <w:numId w:val="12"/>
        </w:numPr>
        <w:suppressAutoHyphens w:val="0"/>
        <w:spacing w:before="0" w:after="120" w:line="240" w:lineRule="auto"/>
        <w:rPr>
          <w:rFonts w:eastAsia="Times New Roman" w:cstheme="minorHAnsi"/>
          <w:lang w:val="en-AU" w:eastAsia="en-GB"/>
        </w:rPr>
      </w:pPr>
      <w:r w:rsidRPr="00EB4B16">
        <w:rPr>
          <w:rFonts w:eastAsia="Times New Roman" w:cstheme="minorHAnsi"/>
          <w:lang w:val="en-AU" w:eastAsia="en-GB"/>
        </w:rPr>
        <w:t>Enabling the Government of Tonga to maintain funding to essential health services.</w:t>
      </w:r>
    </w:p>
    <w:p w14:paraId="388734D6" w14:textId="77777777" w:rsidR="005025E0" w:rsidRDefault="005025E0" w:rsidP="00514DC4">
      <w:pPr>
        <w:pStyle w:val="Heading3"/>
      </w:pPr>
    </w:p>
    <w:p w14:paraId="25F92C42" w14:textId="79F50E55" w:rsidR="005025E0" w:rsidRDefault="005025E0" w:rsidP="00514DC4">
      <w:pPr>
        <w:pStyle w:val="Heading3"/>
      </w:pPr>
    </w:p>
    <w:p w14:paraId="4933D494" w14:textId="77777777" w:rsidR="005025E0" w:rsidRPr="005025E0" w:rsidRDefault="005025E0" w:rsidP="005025E0"/>
    <w:p w14:paraId="1F5B15A4" w14:textId="3602D6DA" w:rsidR="00653119" w:rsidRPr="00653119" w:rsidRDefault="00B97905" w:rsidP="00514DC4">
      <w:pPr>
        <w:pStyle w:val="Heading3"/>
      </w:pPr>
      <w:r>
        <w:t xml:space="preserve">PROGRAM AND </w:t>
      </w:r>
      <w:r w:rsidR="00653119" w:rsidRPr="00653119">
        <w:t>PERFORMANCE MANAGEMENT</w:t>
      </w:r>
    </w:p>
    <w:p w14:paraId="7403044E" w14:textId="4B6A38C3" w:rsidR="005025E0" w:rsidRPr="005025E0" w:rsidRDefault="005025E0" w:rsidP="005025E0">
      <w:pPr>
        <w:spacing w:after="120"/>
        <w:textAlignment w:val="baseline"/>
        <w:rPr>
          <w:rStyle w:val="normaltextrun"/>
          <w:rFonts w:eastAsia="Times New Roman" w:cstheme="minorHAnsi"/>
          <w:lang w:eastAsia="en-AU"/>
        </w:rPr>
      </w:pPr>
      <w:r w:rsidRPr="005025E0">
        <w:rPr>
          <w:rFonts w:eastAsia="Times New Roman" w:cstheme="minorHAnsi"/>
          <w:lang w:eastAsia="en-AU"/>
        </w:rPr>
        <w:t>The progress of each investment under the Package will be tracked through country-specific monitoring and evaluation frameworks. Monitoring will be</w:t>
      </w:r>
      <w:r>
        <w:rPr>
          <w:rFonts w:eastAsia="Times New Roman" w:cstheme="minorHAnsi"/>
          <w:lang w:eastAsia="en-AU"/>
        </w:rPr>
        <w:t xml:space="preserve"> </w:t>
      </w:r>
      <w:r w:rsidRPr="005025E0">
        <w:rPr>
          <w:rFonts w:eastAsia="Times New Roman" w:cstheme="minorHAnsi"/>
          <w:lang w:eastAsia="en-AU"/>
        </w:rPr>
        <w:t>undertaken</w:t>
      </w:r>
      <w:r>
        <w:rPr>
          <w:rFonts w:eastAsia="Times New Roman" w:cstheme="minorHAnsi"/>
          <w:lang w:eastAsia="en-AU"/>
        </w:rPr>
        <w:t xml:space="preserve"> </w:t>
      </w:r>
      <w:r w:rsidRPr="005025E0">
        <w:rPr>
          <w:rFonts w:eastAsia="Times New Roman" w:cstheme="minorHAnsi"/>
          <w:lang w:eastAsia="en-AU"/>
        </w:rPr>
        <w:t>by DFAT with delivery partners and reported through DFAT’s regular reporting processes. </w:t>
      </w:r>
    </w:p>
    <w:p w14:paraId="681BA46E" w14:textId="7F62EE48" w:rsidR="005025E0" w:rsidRPr="005025E0" w:rsidRDefault="005025E0" w:rsidP="005025E0">
      <w:pPr>
        <w:pStyle w:val="paragraph"/>
        <w:spacing w:before="120" w:beforeAutospacing="0" w:after="120" w:afterAutospacing="0"/>
        <w:textAlignment w:val="baseline"/>
        <w:rPr>
          <w:rStyle w:val="normaltextrun"/>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Results under the package will contribute to reporting against indicators including the following:</w:t>
      </w:r>
    </w:p>
    <w:p w14:paraId="07800D18" w14:textId="17ED7FE6" w:rsidR="005025E0" w:rsidRPr="005025E0" w:rsidRDefault="005025E0" w:rsidP="005025E0">
      <w:pPr>
        <w:pStyle w:val="paragraph"/>
        <w:spacing w:before="120" w:beforeAutospacing="0" w:after="120" w:afterAutospacing="0"/>
        <w:contextualSpacing/>
        <w:textAlignment w:val="baseline"/>
        <w:rPr>
          <w:rStyle w:val="normaltextrun"/>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From the Tonga COVID-19 Development Response Plan Perfor</w:t>
      </w:r>
      <w:r>
        <w:rPr>
          <w:rStyle w:val="normaltextrun"/>
          <w:rFonts w:asciiTheme="minorHAnsi" w:hAnsiTheme="minorHAnsi" w:cstheme="minorHAnsi"/>
          <w:color w:val="495965" w:themeColor="text2"/>
          <w:sz w:val="22"/>
          <w:szCs w:val="22"/>
        </w:rPr>
        <w:t>m</w:t>
      </w:r>
      <w:r w:rsidRPr="005025E0">
        <w:rPr>
          <w:rStyle w:val="normaltextrun"/>
          <w:rFonts w:asciiTheme="minorHAnsi" w:hAnsiTheme="minorHAnsi" w:cstheme="minorHAnsi"/>
          <w:color w:val="495965" w:themeColor="text2"/>
          <w:sz w:val="22"/>
          <w:szCs w:val="22"/>
        </w:rPr>
        <w:t xml:space="preserve">ance Framework: </w:t>
      </w:r>
    </w:p>
    <w:p w14:paraId="5683123B" w14:textId="77777777" w:rsidR="005025E0" w:rsidRPr="005025E0" w:rsidRDefault="005025E0" w:rsidP="005025E0">
      <w:pPr>
        <w:pStyle w:val="paragraph"/>
        <w:numPr>
          <w:ilvl w:val="0"/>
          <w:numId w:val="17"/>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Number of </w:t>
      </w:r>
      <w:proofErr w:type="gramStart"/>
      <w:r w:rsidRPr="005025E0">
        <w:rPr>
          <w:rStyle w:val="normaltextrun"/>
          <w:rFonts w:asciiTheme="minorHAnsi" w:hAnsiTheme="minorHAnsi" w:cstheme="minorHAnsi"/>
          <w:color w:val="495965" w:themeColor="text2"/>
          <w:sz w:val="22"/>
          <w:szCs w:val="22"/>
        </w:rPr>
        <w:t>micro</w:t>
      </w:r>
      <w:proofErr w:type="gramEnd"/>
      <w:r w:rsidRPr="005025E0">
        <w:rPr>
          <w:rStyle w:val="normaltextrun"/>
          <w:rFonts w:asciiTheme="minorHAnsi" w:hAnsiTheme="minorHAnsi" w:cstheme="minorHAnsi"/>
          <w:color w:val="495965" w:themeColor="text2"/>
          <w:sz w:val="22"/>
          <w:szCs w:val="22"/>
        </w:rPr>
        <w:t>, small and medium enterprises and members of cooperatives accessing financial assistance</w:t>
      </w:r>
      <w:r w:rsidRPr="005025E0">
        <w:rPr>
          <w:rStyle w:val="eop"/>
          <w:rFonts w:asciiTheme="minorHAnsi" w:hAnsiTheme="minorHAnsi" w:cstheme="minorHAnsi"/>
          <w:color w:val="495965" w:themeColor="text2"/>
          <w:sz w:val="22"/>
          <w:szCs w:val="22"/>
        </w:rPr>
        <w:t> </w:t>
      </w:r>
    </w:p>
    <w:p w14:paraId="7D5F4A54" w14:textId="77777777" w:rsidR="005025E0" w:rsidRPr="005025E0" w:rsidRDefault="005025E0" w:rsidP="005025E0">
      <w:pPr>
        <w:pStyle w:val="paragraph"/>
        <w:numPr>
          <w:ilvl w:val="0"/>
          <w:numId w:val="17"/>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Number of people receiving psychosocial support</w:t>
      </w:r>
      <w:r w:rsidRPr="005025E0">
        <w:rPr>
          <w:rStyle w:val="eop"/>
          <w:rFonts w:asciiTheme="minorHAnsi" w:hAnsiTheme="minorHAnsi" w:cstheme="minorHAnsi"/>
          <w:color w:val="495965" w:themeColor="text2"/>
          <w:sz w:val="22"/>
          <w:szCs w:val="22"/>
        </w:rPr>
        <w:t> </w:t>
      </w:r>
    </w:p>
    <w:p w14:paraId="4BB3841B" w14:textId="77777777" w:rsidR="005025E0" w:rsidRPr="005025E0" w:rsidRDefault="005025E0" w:rsidP="005025E0">
      <w:pPr>
        <w:pStyle w:val="paragraph"/>
        <w:numPr>
          <w:ilvl w:val="0"/>
          <w:numId w:val="17"/>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Numbers reached with new or improved social protection programs, including remote communities</w:t>
      </w:r>
      <w:r w:rsidRPr="005025E0">
        <w:rPr>
          <w:rStyle w:val="eop"/>
          <w:rFonts w:asciiTheme="minorHAnsi" w:hAnsiTheme="minorHAnsi" w:cstheme="minorHAnsi"/>
          <w:color w:val="495965" w:themeColor="text2"/>
          <w:sz w:val="22"/>
          <w:szCs w:val="22"/>
        </w:rPr>
        <w:t> </w:t>
      </w:r>
    </w:p>
    <w:p w14:paraId="40DFE8EF" w14:textId="77777777" w:rsidR="005025E0" w:rsidRPr="005025E0" w:rsidRDefault="005025E0" w:rsidP="005025E0">
      <w:pPr>
        <w:pStyle w:val="paragraph"/>
        <w:numPr>
          <w:ilvl w:val="0"/>
          <w:numId w:val="17"/>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Number of people receiving access to improved WASH facilities</w:t>
      </w:r>
      <w:r w:rsidRPr="005025E0">
        <w:rPr>
          <w:rStyle w:val="eop"/>
          <w:rFonts w:asciiTheme="minorHAnsi" w:hAnsiTheme="minorHAnsi" w:cstheme="minorHAnsi"/>
          <w:color w:val="495965" w:themeColor="text2"/>
          <w:sz w:val="22"/>
          <w:szCs w:val="22"/>
        </w:rPr>
        <w:t> </w:t>
      </w:r>
    </w:p>
    <w:p w14:paraId="0A3C5FE9" w14:textId="32A41B02" w:rsidR="005025E0" w:rsidRPr="005025E0" w:rsidRDefault="005025E0" w:rsidP="005025E0">
      <w:pPr>
        <w:pStyle w:val="paragraph"/>
        <w:numPr>
          <w:ilvl w:val="0"/>
          <w:numId w:val="17"/>
        </w:numPr>
        <w:spacing w:before="120" w:beforeAutospacing="0" w:after="120" w:afterAutospacing="0"/>
        <w:ind w:left="357" w:hanging="357"/>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Number of beneficiaries from COVID-19 and NCD health promotion efforts</w:t>
      </w:r>
      <w:r w:rsidRPr="005025E0">
        <w:rPr>
          <w:rStyle w:val="eop"/>
          <w:rFonts w:asciiTheme="minorHAnsi" w:hAnsiTheme="minorHAnsi" w:cstheme="minorHAnsi"/>
          <w:color w:val="495965" w:themeColor="text2"/>
          <w:sz w:val="22"/>
          <w:szCs w:val="22"/>
        </w:rPr>
        <w:t> </w:t>
      </w:r>
    </w:p>
    <w:p w14:paraId="49381535" w14:textId="77777777" w:rsidR="005025E0" w:rsidRPr="005025E0" w:rsidRDefault="005025E0" w:rsidP="005025E0">
      <w:pPr>
        <w:pStyle w:val="paragraph"/>
        <w:spacing w:before="120" w:beforeAutospacing="0" w:after="120" w:afterAutospacing="0"/>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From the Pacific COVID-19 Response Package Design Framework:</w:t>
      </w:r>
      <w:r w:rsidRPr="005025E0">
        <w:rPr>
          <w:rStyle w:val="eop"/>
          <w:rFonts w:asciiTheme="minorHAnsi" w:hAnsiTheme="minorHAnsi" w:cstheme="minorHAnsi"/>
          <w:color w:val="495965" w:themeColor="text2"/>
          <w:sz w:val="22"/>
          <w:szCs w:val="22"/>
        </w:rPr>
        <w:t xml:space="preserve">  </w:t>
      </w:r>
    </w:p>
    <w:p w14:paraId="07926880" w14:textId="77777777" w:rsidR="005025E0" w:rsidRPr="005025E0" w:rsidRDefault="005025E0" w:rsidP="005025E0">
      <w:pPr>
        <w:pStyle w:val="paragraph"/>
        <w:numPr>
          <w:ilvl w:val="0"/>
          <w:numId w:val="15"/>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Australian budget support as a percentage of supplementary budget expenditure (in response to COVID-19)</w:t>
      </w:r>
      <w:r w:rsidRPr="005025E0">
        <w:rPr>
          <w:rStyle w:val="eop"/>
          <w:rFonts w:asciiTheme="minorHAnsi" w:hAnsiTheme="minorHAnsi" w:cstheme="minorHAnsi"/>
          <w:color w:val="495965" w:themeColor="text2"/>
          <w:sz w:val="22"/>
          <w:szCs w:val="22"/>
        </w:rPr>
        <w:t> </w:t>
      </w:r>
    </w:p>
    <w:p w14:paraId="16BFAC9A" w14:textId="77777777" w:rsidR="005025E0" w:rsidRPr="005025E0" w:rsidRDefault="005025E0" w:rsidP="005025E0">
      <w:pPr>
        <w:pStyle w:val="paragraph"/>
        <w:numPr>
          <w:ilvl w:val="0"/>
          <w:numId w:val="15"/>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Fonts w:asciiTheme="minorHAnsi" w:hAnsiTheme="minorHAnsi" w:cstheme="minorHAnsi"/>
          <w:color w:val="495965" w:themeColor="text2"/>
          <w:sz w:val="22"/>
          <w:szCs w:val="22"/>
        </w:rPr>
        <w:t>Number of entrepreneurs (M/F) provided with financial and/or business development support services</w:t>
      </w:r>
    </w:p>
    <w:p w14:paraId="524D48F7" w14:textId="77777777" w:rsidR="005025E0" w:rsidRPr="005025E0" w:rsidRDefault="005025E0" w:rsidP="005025E0">
      <w:pPr>
        <w:pStyle w:val="paragraph"/>
        <w:numPr>
          <w:ilvl w:val="0"/>
          <w:numId w:val="15"/>
        </w:numPr>
        <w:spacing w:before="120" w:beforeAutospacing="0" w:after="120" w:afterAutospacing="0"/>
        <w:ind w:left="357" w:hanging="357"/>
        <w:contextualSpacing/>
        <w:textAlignment w:val="baseline"/>
        <w:rPr>
          <w:rFonts w:asciiTheme="minorHAnsi" w:hAnsiTheme="minorHAnsi" w:cstheme="minorHAnsi"/>
          <w:color w:val="495965" w:themeColor="text2"/>
          <w:sz w:val="22"/>
          <w:szCs w:val="22"/>
        </w:rPr>
      </w:pPr>
      <w:r w:rsidRPr="005025E0">
        <w:rPr>
          <w:rStyle w:val="normaltextrun"/>
          <w:rFonts w:asciiTheme="minorHAnsi" w:hAnsiTheme="minorHAnsi" w:cstheme="minorHAnsi"/>
          <w:color w:val="495965" w:themeColor="text2"/>
          <w:sz w:val="22"/>
          <w:szCs w:val="22"/>
        </w:rPr>
        <w:t>Public expenditure allocation to institutions with functions relevant to economic recovery and support for vulnerable groups.</w:t>
      </w:r>
      <w:r w:rsidRPr="005025E0">
        <w:rPr>
          <w:rStyle w:val="eop"/>
          <w:rFonts w:asciiTheme="minorHAnsi" w:hAnsiTheme="minorHAnsi" w:cstheme="minorHAnsi"/>
          <w:color w:val="495965" w:themeColor="text2"/>
          <w:sz w:val="22"/>
          <w:szCs w:val="22"/>
        </w:rPr>
        <w:t> </w:t>
      </w:r>
    </w:p>
    <w:p w14:paraId="3C1DE516" w14:textId="61EA516F" w:rsidR="00D236E8" w:rsidRDefault="00D236E8" w:rsidP="00514DC4">
      <w:pPr>
        <w:pStyle w:val="ListParagraph"/>
      </w:pPr>
    </w:p>
    <w:p w14:paraId="7543045C" w14:textId="270B32FC" w:rsidR="00D236E8" w:rsidRDefault="00D236E8" w:rsidP="00514DC4">
      <w:pPr>
        <w:pStyle w:val="ListParagraph"/>
      </w:pPr>
    </w:p>
    <w:p w14:paraId="73AFC73C" w14:textId="77777777" w:rsidR="00D236E8" w:rsidRDefault="00D236E8" w:rsidP="00514DC4">
      <w:pPr>
        <w:pStyle w:val="ListParagraph"/>
      </w:pPr>
    </w:p>
    <w:p w14:paraId="4DBF56DB" w14:textId="77777777" w:rsidR="00D236E8" w:rsidRDefault="00D236E8" w:rsidP="00514DC4">
      <w:pPr>
        <w:pStyle w:val="ListParagraph"/>
      </w:pPr>
    </w:p>
    <w:p w14:paraId="4B8B37FA" w14:textId="1991AE23" w:rsidR="00D236E8" w:rsidRDefault="00D236E8" w:rsidP="00514DC4"/>
    <w:p w14:paraId="3783A23D" w14:textId="64A17374" w:rsidR="005402BE" w:rsidRPr="00CF5843" w:rsidRDefault="005402BE" w:rsidP="00514DC4">
      <w:pPr>
        <w:spacing w:before="0" w:after="120" w:line="260" w:lineRule="exact"/>
      </w:pPr>
    </w:p>
    <w:sectPr w:rsidR="005402BE" w:rsidRPr="00CF5843" w:rsidSect="00293B6D">
      <w:headerReference w:type="default" r:id="rId12"/>
      <w:headerReference w:type="first" r:id="rId13"/>
      <w:footerReference w:type="first" r:id="rId14"/>
      <w:type w:val="continuous"/>
      <w:pgSz w:w="11906" w:h="16838" w:code="9"/>
      <w:pgMar w:top="1559" w:right="680" w:bottom="1418" w:left="680" w:header="397" w:footer="62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2209B" w14:textId="77777777" w:rsidR="00134F39" w:rsidRDefault="00134F39" w:rsidP="00D37B04">
      <w:r>
        <w:separator/>
      </w:r>
    </w:p>
  </w:endnote>
  <w:endnote w:type="continuationSeparator" w:id="0">
    <w:p w14:paraId="427CFE4B" w14:textId="77777777" w:rsidR="00134F39" w:rsidRDefault="00134F3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BEDD" w14:textId="381F9F99"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3AD510B4" wp14:editId="0D89CE66">
          <wp:simplePos x="0" y="0"/>
          <wp:positionH relativeFrom="page">
            <wp:posOffset>329565</wp:posOffset>
          </wp:positionH>
          <wp:positionV relativeFrom="page">
            <wp:posOffset>9852660</wp:posOffset>
          </wp:positionV>
          <wp:extent cx="6895033" cy="737812"/>
          <wp:effectExtent l="0" t="0" r="1270" b="57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4675F32" w:rsidRPr="04675F32">
      <w:rPr>
        <w:b/>
        <w:bCs/>
        <w:noProof/>
        <w:color w:val="495965" w:themeColor="text2"/>
        <w:lang w:val="en-AU" w:eastAsia="en-AU"/>
      </w:rPr>
      <w:t>May 2021</w:t>
    </w:r>
    <w:r w:rsidR="00C07BF5">
      <w:rPr>
        <w:b/>
        <w:noProof/>
        <w:color w:val="495965" w:themeColor="text2"/>
        <w:lang w:val="en-AU" w:eastAsia="en-AU"/>
      </w:rPr>
      <w:tab/>
    </w:r>
    <w:r w:rsidR="00C07BF5" w:rsidRPr="04675F32">
      <w:rPr>
        <w:b/>
        <w:bCs/>
        <w:noProof/>
        <w:color w:val="495965" w:themeColor="text2"/>
        <w:lang w:val="en-AU" w:eastAsia="en-AU"/>
      </w:rPr>
      <w:fldChar w:fldCharType="begin"/>
    </w:r>
    <w:r w:rsidR="00C07BF5" w:rsidRPr="04675F32">
      <w:rPr>
        <w:b/>
        <w:bCs/>
        <w:noProof/>
        <w:color w:val="495965" w:themeColor="text2"/>
        <w:lang w:val="en-AU" w:eastAsia="en-AU"/>
      </w:rPr>
      <w:instrText xml:space="preserve"> PAGE   \* MERGEFORMAT </w:instrText>
    </w:r>
    <w:r w:rsidR="00C07BF5" w:rsidRPr="04675F32">
      <w:rPr>
        <w:b/>
        <w:bCs/>
        <w:noProof/>
        <w:color w:val="495965" w:themeColor="text2"/>
        <w:lang w:val="en-AU" w:eastAsia="en-AU"/>
      </w:rPr>
      <w:fldChar w:fldCharType="separate"/>
    </w:r>
    <w:r w:rsidR="04675F32" w:rsidRPr="04675F32">
      <w:rPr>
        <w:b/>
        <w:bCs/>
        <w:noProof/>
        <w:color w:val="495965" w:themeColor="text2"/>
        <w:lang w:val="en-AU" w:eastAsia="en-AU"/>
      </w:rPr>
      <w:t>3</w:t>
    </w:r>
    <w:r w:rsidR="00C07BF5" w:rsidRPr="04675F32">
      <w:rPr>
        <w:b/>
        <w:bCs/>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EC7A" w14:textId="0DFD0845"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392C37A8" wp14:editId="7ABFCC15">
          <wp:simplePos x="0" y="0"/>
          <wp:positionH relativeFrom="page">
            <wp:align>center</wp:align>
          </wp:positionH>
          <wp:positionV relativeFrom="page">
            <wp:posOffset>9858401</wp:posOffset>
          </wp:positionV>
          <wp:extent cx="6934835" cy="742071"/>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4675F32" w:rsidRPr="04675F32">
      <w:rPr>
        <w:b/>
        <w:bCs/>
        <w:noProof/>
        <w:color w:val="495965" w:themeColor="text2"/>
        <w:lang w:val="en-AU" w:eastAsia="en-AU"/>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8BDE" w14:textId="77777777" w:rsidR="000842A1" w:rsidRPr="00C92805" w:rsidRDefault="000842A1" w:rsidP="00C35791">
    <w:pPr>
      <w:pStyle w:val="Footer"/>
      <w:rPr>
        <w:b/>
        <w:color w:val="4959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F4D11" w14:textId="77777777" w:rsidR="00134F39" w:rsidRPr="008C5A0E" w:rsidRDefault="00134F39" w:rsidP="00D37B04">
      <w:pPr>
        <w:pStyle w:val="Footer"/>
      </w:pPr>
    </w:p>
  </w:footnote>
  <w:footnote w:type="continuationSeparator" w:id="0">
    <w:p w14:paraId="61DC19C4" w14:textId="77777777" w:rsidR="00134F39" w:rsidRDefault="00134F3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26AC" w14:textId="2480D240" w:rsidR="04675F32" w:rsidRDefault="04675F32" w:rsidP="04675F32">
    <w:pPr>
      <w:pStyle w:val="Header"/>
      <w:ind w:left="0"/>
      <w:rPr>
        <w:bCs/>
        <w:caps w:val="0"/>
        <w:szCs w:val="20"/>
      </w:rPr>
    </w:pPr>
    <w:r>
      <w:rPr>
        <w:noProof/>
      </w:rPr>
      <w:drawing>
        <wp:inline distT="0" distB="0" distL="0" distR="0" wp14:anchorId="1C197C8D" wp14:editId="52AB0143">
          <wp:extent cx="6696075" cy="708644"/>
          <wp:effectExtent l="0" t="0" r="0" b="0"/>
          <wp:docPr id="137969340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93402"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6075" cy="7086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0BB3" w14:textId="68B7C719" w:rsidR="00FD36C8" w:rsidRPr="00AF4DDF" w:rsidRDefault="00FD36C8" w:rsidP="04675F32">
    <w:pPr>
      <w:pStyle w:val="Header"/>
      <w:ind w:left="0"/>
      <w:rPr>
        <w:i/>
        <w:iCs/>
        <w:noProof/>
        <w:lang w:val="en-AU" w:eastAsia="en-AU"/>
      </w:rPr>
    </w:pPr>
    <w:r w:rsidRPr="007732DB">
      <w:rPr>
        <w:iCs/>
        <w:noProof/>
        <w:lang w:val="en-AU" w:eastAsia="en-AU"/>
      </w:rPr>
      <w:drawing>
        <wp:anchor distT="0" distB="0" distL="114300" distR="114300" simplePos="0" relativeHeight="251670528" behindDoc="1" locked="0" layoutInCell="1" allowOverlap="1" wp14:anchorId="51C4CB6A" wp14:editId="51376633">
          <wp:simplePos x="0" y="0"/>
          <wp:positionH relativeFrom="margin">
            <wp:align>right</wp:align>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4675F32" w:rsidRPr="04675F32">
      <w:rPr>
        <w:noProof/>
        <w:lang w:val="en-AU" w:eastAsia="en-AU"/>
      </w:rPr>
      <w:t>P</w:t>
    </w:r>
    <w:r w:rsidR="04675F32" w:rsidRPr="04675F32">
      <w:rPr>
        <w:caps w:val="0"/>
      </w:rPr>
      <w:t>ACIFIC COVID-19 RESPONSE PACKAGE: TONGA ANNEX</w:t>
    </w:r>
  </w:p>
  <w:p w14:paraId="4BFED12E" w14:textId="77777777" w:rsidR="001B5798" w:rsidRDefault="001B5798" w:rsidP="000842A1">
    <w:pPr>
      <w:pStyle w:val="Header"/>
      <w:ind w:left="0"/>
    </w:pPr>
  </w:p>
  <w:p w14:paraId="09ABB4FF" w14:textId="77777777" w:rsidR="001B5798" w:rsidRDefault="001B5798" w:rsidP="000842A1">
    <w:pPr>
      <w:pStyle w:val="Header"/>
      <w:ind w:left="0"/>
    </w:pPr>
  </w:p>
  <w:p w14:paraId="1B4B419A" w14:textId="77777777" w:rsidR="001B5798" w:rsidRDefault="04675F32" w:rsidP="000842A1">
    <w:pPr>
      <w:pStyle w:val="Header"/>
      <w:ind w:left="0"/>
    </w:pPr>
    <w:r>
      <w:rPr>
        <w:noProof/>
      </w:rPr>
      <w:drawing>
        <wp:inline distT="0" distB="0" distL="0" distR="0" wp14:anchorId="2892F3D3" wp14:editId="24622A7A">
          <wp:extent cx="3166920" cy="554400"/>
          <wp:effectExtent l="0" t="0" r="0" b="0"/>
          <wp:docPr id="2" name="Picture 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312075CE" w14:textId="77777777" w:rsidR="00653119" w:rsidRDefault="00653119" w:rsidP="000842A1">
    <w:pPr>
      <w:pStyle w:val="Header"/>
      <w:ind w:left="0"/>
    </w:pPr>
  </w:p>
  <w:p w14:paraId="455436E7" w14:textId="77777777" w:rsidR="00653119" w:rsidRDefault="00653119" w:rsidP="000842A1">
    <w:pPr>
      <w:pStyle w:val="Header"/>
      <w:ind w:left="0"/>
    </w:pPr>
  </w:p>
  <w:p w14:paraId="4ACB184E" w14:textId="77777777" w:rsidR="00653119" w:rsidRDefault="00653119" w:rsidP="000842A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9A80" w14:textId="29F51174" w:rsidR="00FD36C8" w:rsidRPr="00E055AB" w:rsidRDefault="00AE029F" w:rsidP="001C1F11">
    <w:pPr>
      <w:pStyle w:val="Header"/>
      <w:ind w:left="142"/>
      <w:rPr>
        <w:caps w:val="0"/>
      </w:rPr>
    </w:pPr>
    <w:r w:rsidRPr="00A12B40">
      <w:rPr>
        <w:i/>
        <w:noProof/>
        <w:lang w:val="en-AU" w:eastAsia="en-AU"/>
      </w:rPr>
      <w:drawing>
        <wp:anchor distT="0" distB="0" distL="114300" distR="114300" simplePos="0" relativeHeight="251672576" behindDoc="1" locked="0" layoutInCell="1" allowOverlap="1" wp14:anchorId="04142246" wp14:editId="79EE7B86">
          <wp:simplePos x="0" y="0"/>
          <wp:positionH relativeFrom="page">
            <wp:posOffset>325466</wp:posOffset>
          </wp:positionH>
          <wp:positionV relativeFrom="page">
            <wp:posOffset>179070</wp:posOffset>
          </wp:positionV>
          <wp:extent cx="6922770" cy="73215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770" cy="732155"/>
                  </a:xfrm>
                  <a:prstGeom prst="rect">
                    <a:avLst/>
                  </a:prstGeom>
                </pic:spPr>
              </pic:pic>
            </a:graphicData>
          </a:graphic>
          <wp14:sizeRelH relativeFrom="margin">
            <wp14:pctWidth>0</wp14:pctWidth>
          </wp14:sizeRelH>
          <wp14:sizeRelV relativeFrom="margin">
            <wp14:pctHeight>0</wp14:pctHeight>
          </wp14:sizeRelV>
        </wp:anchor>
      </w:drawing>
    </w:r>
    <w:r w:rsidR="04675F32" w:rsidRPr="04675F32">
      <w:rPr>
        <w:noProof/>
        <w:lang w:val="en-AU" w:eastAsia="en-AU"/>
      </w:rPr>
      <w:t>P</w:t>
    </w:r>
    <w:r w:rsidR="04675F32" w:rsidRPr="04675F32">
      <w:rPr>
        <w:caps w:val="0"/>
      </w:rPr>
      <w:t>ACIFIC COVID-19 RESPONSE PACKAGE: T</w:t>
    </w:r>
    <w:r w:rsidR="00797AA5">
      <w:rPr>
        <w:caps w:val="0"/>
      </w:rPr>
      <w:t>ONGA ANNEX</w:t>
    </w:r>
    <w:r w:rsidR="04675F32" w:rsidRPr="04675F32">
      <w:rPr>
        <w:i/>
        <w:iCs/>
        <w:caps w:val="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5D63" w14:textId="77777777" w:rsidR="00FD6387" w:rsidRPr="00943730" w:rsidRDefault="00FD6387" w:rsidP="000842A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052"/>
    <w:multiLevelType w:val="multilevel"/>
    <w:tmpl w:val="2DD0DA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5060B3"/>
    <w:multiLevelType w:val="hybridMultilevel"/>
    <w:tmpl w:val="FEF0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8F132CE"/>
    <w:multiLevelType w:val="multilevel"/>
    <w:tmpl w:val="3B7A10DE"/>
    <w:numStyleLink w:val="BulletsList"/>
  </w:abstractNum>
  <w:abstractNum w:abstractNumId="6" w15:restartNumberingAfterBreak="0">
    <w:nsid w:val="44F35556"/>
    <w:multiLevelType w:val="multilevel"/>
    <w:tmpl w:val="2DD0DA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7734B39"/>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772C2"/>
    <w:multiLevelType w:val="hybridMultilevel"/>
    <w:tmpl w:val="87F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0E2278"/>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EE92A88"/>
    <w:multiLevelType w:val="hybridMultilevel"/>
    <w:tmpl w:val="BB1A4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1"/>
  </w:num>
  <w:num w:numId="3">
    <w:abstractNumId w:val="4"/>
  </w:num>
  <w:num w:numId="4">
    <w:abstractNumId w:val="9"/>
  </w:num>
  <w:num w:numId="5">
    <w:abstractNumId w:val="11"/>
  </w:num>
  <w:num w:numId="6">
    <w:abstractNumId w:val="4"/>
  </w:num>
  <w:num w:numId="7">
    <w:abstractNumId w:val="1"/>
  </w:num>
  <w:num w:numId="8">
    <w:abstractNumId w:val="3"/>
  </w:num>
  <w:num w:numId="9">
    <w:abstractNumId w:val="14"/>
  </w:num>
  <w:num w:numId="10">
    <w:abstractNumId w:val="5"/>
  </w:num>
  <w:num w:numId="11">
    <w:abstractNumId w:val="12"/>
  </w:num>
  <w:num w:numId="12">
    <w:abstractNumId w:val="8"/>
  </w:num>
  <w:num w:numId="13">
    <w:abstractNumId w:val="0"/>
  </w:num>
  <w:num w:numId="14">
    <w:abstractNumId w:val="7"/>
  </w:num>
  <w:num w:numId="15">
    <w:abstractNumId w:val="6"/>
  </w:num>
  <w:num w:numId="16">
    <w:abstractNumId w:val="10"/>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782F"/>
    <w:rsid w:val="00027DE1"/>
    <w:rsid w:val="00031486"/>
    <w:rsid w:val="000348D9"/>
    <w:rsid w:val="00035BBF"/>
    <w:rsid w:val="000444F3"/>
    <w:rsid w:val="00050806"/>
    <w:rsid w:val="0005211C"/>
    <w:rsid w:val="000546D9"/>
    <w:rsid w:val="00054E4D"/>
    <w:rsid w:val="00060073"/>
    <w:rsid w:val="000616C6"/>
    <w:rsid w:val="00073A07"/>
    <w:rsid w:val="000842A1"/>
    <w:rsid w:val="000854FD"/>
    <w:rsid w:val="0009574A"/>
    <w:rsid w:val="000A1DDA"/>
    <w:rsid w:val="000A2B82"/>
    <w:rsid w:val="000A407E"/>
    <w:rsid w:val="000B1945"/>
    <w:rsid w:val="000B37F5"/>
    <w:rsid w:val="000B5DA7"/>
    <w:rsid w:val="000C027D"/>
    <w:rsid w:val="000C3A4C"/>
    <w:rsid w:val="000C49F7"/>
    <w:rsid w:val="000D66D6"/>
    <w:rsid w:val="000E58BF"/>
    <w:rsid w:val="000E6C44"/>
    <w:rsid w:val="000F6DF8"/>
    <w:rsid w:val="00113288"/>
    <w:rsid w:val="001214BE"/>
    <w:rsid w:val="0012288C"/>
    <w:rsid w:val="00124BCA"/>
    <w:rsid w:val="0013101C"/>
    <w:rsid w:val="00132AAB"/>
    <w:rsid w:val="00134F39"/>
    <w:rsid w:val="0013699C"/>
    <w:rsid w:val="00142EA0"/>
    <w:rsid w:val="00143E56"/>
    <w:rsid w:val="001461D6"/>
    <w:rsid w:val="00146E07"/>
    <w:rsid w:val="001522DA"/>
    <w:rsid w:val="00152420"/>
    <w:rsid w:val="001541EA"/>
    <w:rsid w:val="00166032"/>
    <w:rsid w:val="001775A3"/>
    <w:rsid w:val="0018405C"/>
    <w:rsid w:val="001841C8"/>
    <w:rsid w:val="00186AC0"/>
    <w:rsid w:val="001A0FF5"/>
    <w:rsid w:val="001A51EE"/>
    <w:rsid w:val="001B2FBB"/>
    <w:rsid w:val="001B4047"/>
    <w:rsid w:val="001B5798"/>
    <w:rsid w:val="001C01C6"/>
    <w:rsid w:val="001C1F11"/>
    <w:rsid w:val="001C743D"/>
    <w:rsid w:val="001D4E3A"/>
    <w:rsid w:val="001D663E"/>
    <w:rsid w:val="001E03BE"/>
    <w:rsid w:val="001E1DC0"/>
    <w:rsid w:val="001E563B"/>
    <w:rsid w:val="001E6D20"/>
    <w:rsid w:val="001F10DC"/>
    <w:rsid w:val="001F2784"/>
    <w:rsid w:val="00200486"/>
    <w:rsid w:val="00212D6C"/>
    <w:rsid w:val="002231BD"/>
    <w:rsid w:val="002310E0"/>
    <w:rsid w:val="00244229"/>
    <w:rsid w:val="00247365"/>
    <w:rsid w:val="002565B7"/>
    <w:rsid w:val="002629A9"/>
    <w:rsid w:val="00270158"/>
    <w:rsid w:val="00276912"/>
    <w:rsid w:val="0028602A"/>
    <w:rsid w:val="00293B6D"/>
    <w:rsid w:val="002945C4"/>
    <w:rsid w:val="00297258"/>
    <w:rsid w:val="002B3381"/>
    <w:rsid w:val="002B5E10"/>
    <w:rsid w:val="002C1765"/>
    <w:rsid w:val="002C6B25"/>
    <w:rsid w:val="002C793D"/>
    <w:rsid w:val="002D4108"/>
    <w:rsid w:val="002D430F"/>
    <w:rsid w:val="002D5B25"/>
    <w:rsid w:val="002E2AF4"/>
    <w:rsid w:val="002E38B2"/>
    <w:rsid w:val="002E3BEA"/>
    <w:rsid w:val="002F4F2B"/>
    <w:rsid w:val="003002C0"/>
    <w:rsid w:val="00301144"/>
    <w:rsid w:val="003031C6"/>
    <w:rsid w:val="00304984"/>
    <w:rsid w:val="00311A21"/>
    <w:rsid w:val="00312BF8"/>
    <w:rsid w:val="003148B7"/>
    <w:rsid w:val="003158C3"/>
    <w:rsid w:val="003274CD"/>
    <w:rsid w:val="00333501"/>
    <w:rsid w:val="00342D3F"/>
    <w:rsid w:val="003457C4"/>
    <w:rsid w:val="00347E07"/>
    <w:rsid w:val="0035119D"/>
    <w:rsid w:val="00372214"/>
    <w:rsid w:val="00382530"/>
    <w:rsid w:val="0038768C"/>
    <w:rsid w:val="0039215F"/>
    <w:rsid w:val="0039344A"/>
    <w:rsid w:val="003B4F12"/>
    <w:rsid w:val="003C45DE"/>
    <w:rsid w:val="003C6C4F"/>
    <w:rsid w:val="003C7D0E"/>
    <w:rsid w:val="003E4C04"/>
    <w:rsid w:val="003E5DF3"/>
    <w:rsid w:val="003E644B"/>
    <w:rsid w:val="003E6E72"/>
    <w:rsid w:val="003F2041"/>
    <w:rsid w:val="003F4769"/>
    <w:rsid w:val="00400D6B"/>
    <w:rsid w:val="00402ACC"/>
    <w:rsid w:val="0040388C"/>
    <w:rsid w:val="00404602"/>
    <w:rsid w:val="004120EC"/>
    <w:rsid w:val="00412637"/>
    <w:rsid w:val="0042197E"/>
    <w:rsid w:val="00422129"/>
    <w:rsid w:val="00423F31"/>
    <w:rsid w:val="00431899"/>
    <w:rsid w:val="0044081B"/>
    <w:rsid w:val="00453B1A"/>
    <w:rsid w:val="00471F8D"/>
    <w:rsid w:val="004728DD"/>
    <w:rsid w:val="00473D07"/>
    <w:rsid w:val="00482AE8"/>
    <w:rsid w:val="00486539"/>
    <w:rsid w:val="00486804"/>
    <w:rsid w:val="00487549"/>
    <w:rsid w:val="00494242"/>
    <w:rsid w:val="004A3390"/>
    <w:rsid w:val="004B3775"/>
    <w:rsid w:val="004B64F7"/>
    <w:rsid w:val="004C471F"/>
    <w:rsid w:val="004D0BA0"/>
    <w:rsid w:val="004E058F"/>
    <w:rsid w:val="004E3B87"/>
    <w:rsid w:val="004E4889"/>
    <w:rsid w:val="004E549D"/>
    <w:rsid w:val="004E5C7B"/>
    <w:rsid w:val="004E6A0F"/>
    <w:rsid w:val="004F10A0"/>
    <w:rsid w:val="005006E1"/>
    <w:rsid w:val="005025E0"/>
    <w:rsid w:val="00506FC0"/>
    <w:rsid w:val="00510921"/>
    <w:rsid w:val="00510AD3"/>
    <w:rsid w:val="00513348"/>
    <w:rsid w:val="00513AD8"/>
    <w:rsid w:val="00514DC4"/>
    <w:rsid w:val="005204D2"/>
    <w:rsid w:val="00522396"/>
    <w:rsid w:val="00533B5D"/>
    <w:rsid w:val="00534D96"/>
    <w:rsid w:val="00536BAB"/>
    <w:rsid w:val="005402BE"/>
    <w:rsid w:val="005470CD"/>
    <w:rsid w:val="005500A1"/>
    <w:rsid w:val="005711BD"/>
    <w:rsid w:val="0057236E"/>
    <w:rsid w:val="00574EB8"/>
    <w:rsid w:val="005A20F6"/>
    <w:rsid w:val="005C0CD0"/>
    <w:rsid w:val="005C2973"/>
    <w:rsid w:val="005C355E"/>
    <w:rsid w:val="005C549C"/>
    <w:rsid w:val="005D3655"/>
    <w:rsid w:val="005E0058"/>
    <w:rsid w:val="005E4830"/>
    <w:rsid w:val="005E5524"/>
    <w:rsid w:val="005F28A3"/>
    <w:rsid w:val="005F2F66"/>
    <w:rsid w:val="00600DB1"/>
    <w:rsid w:val="0062246A"/>
    <w:rsid w:val="00622B86"/>
    <w:rsid w:val="00623BA1"/>
    <w:rsid w:val="00634462"/>
    <w:rsid w:val="006346BC"/>
    <w:rsid w:val="006348C0"/>
    <w:rsid w:val="006378FE"/>
    <w:rsid w:val="006509B6"/>
    <w:rsid w:val="00650F80"/>
    <w:rsid w:val="00653119"/>
    <w:rsid w:val="00656AC6"/>
    <w:rsid w:val="00664FBA"/>
    <w:rsid w:val="0066652A"/>
    <w:rsid w:val="006719C3"/>
    <w:rsid w:val="006745FC"/>
    <w:rsid w:val="00680522"/>
    <w:rsid w:val="00682167"/>
    <w:rsid w:val="00684252"/>
    <w:rsid w:val="006854E6"/>
    <w:rsid w:val="00685527"/>
    <w:rsid w:val="006922F6"/>
    <w:rsid w:val="006946C3"/>
    <w:rsid w:val="006A01D9"/>
    <w:rsid w:val="006A6F52"/>
    <w:rsid w:val="006A727A"/>
    <w:rsid w:val="006B6F6D"/>
    <w:rsid w:val="006C0B06"/>
    <w:rsid w:val="006C3BBD"/>
    <w:rsid w:val="006C42AF"/>
    <w:rsid w:val="006D5A56"/>
    <w:rsid w:val="006E4323"/>
    <w:rsid w:val="006E45DF"/>
    <w:rsid w:val="006E5348"/>
    <w:rsid w:val="006F6365"/>
    <w:rsid w:val="006F6BA7"/>
    <w:rsid w:val="0070365D"/>
    <w:rsid w:val="0070506F"/>
    <w:rsid w:val="00706700"/>
    <w:rsid w:val="007075DF"/>
    <w:rsid w:val="00711D8E"/>
    <w:rsid w:val="00712672"/>
    <w:rsid w:val="00717C37"/>
    <w:rsid w:val="007340D0"/>
    <w:rsid w:val="00734E3F"/>
    <w:rsid w:val="00736985"/>
    <w:rsid w:val="00745DF5"/>
    <w:rsid w:val="00751525"/>
    <w:rsid w:val="00755D6C"/>
    <w:rsid w:val="00760928"/>
    <w:rsid w:val="00761EA4"/>
    <w:rsid w:val="0076250F"/>
    <w:rsid w:val="007732DB"/>
    <w:rsid w:val="00780FA5"/>
    <w:rsid w:val="00783BDD"/>
    <w:rsid w:val="007876BF"/>
    <w:rsid w:val="00797AA5"/>
    <w:rsid w:val="007A1EED"/>
    <w:rsid w:val="007A434F"/>
    <w:rsid w:val="007B4DCE"/>
    <w:rsid w:val="007B6200"/>
    <w:rsid w:val="007C52C1"/>
    <w:rsid w:val="007C735B"/>
    <w:rsid w:val="007E556D"/>
    <w:rsid w:val="007F3395"/>
    <w:rsid w:val="007F5C0B"/>
    <w:rsid w:val="007F646C"/>
    <w:rsid w:val="00801B9F"/>
    <w:rsid w:val="0080204D"/>
    <w:rsid w:val="00814E46"/>
    <w:rsid w:val="00817FC6"/>
    <w:rsid w:val="0082053C"/>
    <w:rsid w:val="00824515"/>
    <w:rsid w:val="0084191E"/>
    <w:rsid w:val="00847337"/>
    <w:rsid w:val="008475F0"/>
    <w:rsid w:val="008508B0"/>
    <w:rsid w:val="00852C32"/>
    <w:rsid w:val="008557A7"/>
    <w:rsid w:val="00857312"/>
    <w:rsid w:val="0086020C"/>
    <w:rsid w:val="00870928"/>
    <w:rsid w:val="0088131F"/>
    <w:rsid w:val="00886074"/>
    <w:rsid w:val="00887404"/>
    <w:rsid w:val="0089405C"/>
    <w:rsid w:val="00897FA2"/>
    <w:rsid w:val="008A045E"/>
    <w:rsid w:val="008A2AAE"/>
    <w:rsid w:val="008A55FF"/>
    <w:rsid w:val="008A5AFE"/>
    <w:rsid w:val="008A7B6F"/>
    <w:rsid w:val="008C56D4"/>
    <w:rsid w:val="008C5A0E"/>
    <w:rsid w:val="008C708C"/>
    <w:rsid w:val="008D371C"/>
    <w:rsid w:val="008E2B1D"/>
    <w:rsid w:val="008F2B4B"/>
    <w:rsid w:val="008F6625"/>
    <w:rsid w:val="00900B4A"/>
    <w:rsid w:val="0090682C"/>
    <w:rsid w:val="00925070"/>
    <w:rsid w:val="00942E19"/>
    <w:rsid w:val="00942F84"/>
    <w:rsid w:val="00943730"/>
    <w:rsid w:val="00950D65"/>
    <w:rsid w:val="00954FA1"/>
    <w:rsid w:val="00962F55"/>
    <w:rsid w:val="00975CA5"/>
    <w:rsid w:val="009774B4"/>
    <w:rsid w:val="0098438D"/>
    <w:rsid w:val="00986590"/>
    <w:rsid w:val="00992C76"/>
    <w:rsid w:val="009969D6"/>
    <w:rsid w:val="009B11E5"/>
    <w:rsid w:val="009B4D3B"/>
    <w:rsid w:val="009C73D3"/>
    <w:rsid w:val="009D3438"/>
    <w:rsid w:val="009D343F"/>
    <w:rsid w:val="009D68A4"/>
    <w:rsid w:val="009D7407"/>
    <w:rsid w:val="009E0866"/>
    <w:rsid w:val="009E21E9"/>
    <w:rsid w:val="009E273C"/>
    <w:rsid w:val="009F063F"/>
    <w:rsid w:val="009F1350"/>
    <w:rsid w:val="009F2FC5"/>
    <w:rsid w:val="009F6423"/>
    <w:rsid w:val="00A12B40"/>
    <w:rsid w:val="00A2278E"/>
    <w:rsid w:val="00A24A62"/>
    <w:rsid w:val="00A31C9F"/>
    <w:rsid w:val="00A4144F"/>
    <w:rsid w:val="00A42488"/>
    <w:rsid w:val="00A53BC9"/>
    <w:rsid w:val="00A61B4D"/>
    <w:rsid w:val="00A6470F"/>
    <w:rsid w:val="00A711F3"/>
    <w:rsid w:val="00A80305"/>
    <w:rsid w:val="00A80F95"/>
    <w:rsid w:val="00A868CB"/>
    <w:rsid w:val="00A86E5B"/>
    <w:rsid w:val="00A97244"/>
    <w:rsid w:val="00A97BF1"/>
    <w:rsid w:val="00AA298A"/>
    <w:rsid w:val="00AA530F"/>
    <w:rsid w:val="00AA7393"/>
    <w:rsid w:val="00AB465A"/>
    <w:rsid w:val="00AC164A"/>
    <w:rsid w:val="00AC3944"/>
    <w:rsid w:val="00AD7761"/>
    <w:rsid w:val="00AE029F"/>
    <w:rsid w:val="00AE2FAA"/>
    <w:rsid w:val="00AE448A"/>
    <w:rsid w:val="00AE74DA"/>
    <w:rsid w:val="00AF2050"/>
    <w:rsid w:val="00AF4DDF"/>
    <w:rsid w:val="00AF5E72"/>
    <w:rsid w:val="00AF630E"/>
    <w:rsid w:val="00B00BF4"/>
    <w:rsid w:val="00B02B2A"/>
    <w:rsid w:val="00B02F3E"/>
    <w:rsid w:val="00B03CA8"/>
    <w:rsid w:val="00B05B87"/>
    <w:rsid w:val="00B123B3"/>
    <w:rsid w:val="00B16885"/>
    <w:rsid w:val="00B16EF6"/>
    <w:rsid w:val="00B176FE"/>
    <w:rsid w:val="00B17E1C"/>
    <w:rsid w:val="00B22F0E"/>
    <w:rsid w:val="00B249EC"/>
    <w:rsid w:val="00B25628"/>
    <w:rsid w:val="00B31758"/>
    <w:rsid w:val="00B33C0A"/>
    <w:rsid w:val="00B401AF"/>
    <w:rsid w:val="00B41791"/>
    <w:rsid w:val="00B470EA"/>
    <w:rsid w:val="00B5068C"/>
    <w:rsid w:val="00B51C2F"/>
    <w:rsid w:val="00B55E19"/>
    <w:rsid w:val="00B56E71"/>
    <w:rsid w:val="00B579A6"/>
    <w:rsid w:val="00B636EE"/>
    <w:rsid w:val="00B7114B"/>
    <w:rsid w:val="00B71AD8"/>
    <w:rsid w:val="00B84B3C"/>
    <w:rsid w:val="00B857E1"/>
    <w:rsid w:val="00B8599B"/>
    <w:rsid w:val="00B94758"/>
    <w:rsid w:val="00B97905"/>
    <w:rsid w:val="00BA450D"/>
    <w:rsid w:val="00BA4B6D"/>
    <w:rsid w:val="00BB26C5"/>
    <w:rsid w:val="00BB38A8"/>
    <w:rsid w:val="00BB6CF9"/>
    <w:rsid w:val="00BC1FED"/>
    <w:rsid w:val="00BD0A2F"/>
    <w:rsid w:val="00BD21B4"/>
    <w:rsid w:val="00BD5ACC"/>
    <w:rsid w:val="00BE00B5"/>
    <w:rsid w:val="00BF0E75"/>
    <w:rsid w:val="00BF3AD9"/>
    <w:rsid w:val="00BF4DE6"/>
    <w:rsid w:val="00C023C0"/>
    <w:rsid w:val="00C06B13"/>
    <w:rsid w:val="00C07BF5"/>
    <w:rsid w:val="00C216BA"/>
    <w:rsid w:val="00C27D25"/>
    <w:rsid w:val="00C32126"/>
    <w:rsid w:val="00C35791"/>
    <w:rsid w:val="00C42541"/>
    <w:rsid w:val="00C42CDE"/>
    <w:rsid w:val="00C4307F"/>
    <w:rsid w:val="00C43A09"/>
    <w:rsid w:val="00C5182A"/>
    <w:rsid w:val="00C52463"/>
    <w:rsid w:val="00C63EE9"/>
    <w:rsid w:val="00C660BC"/>
    <w:rsid w:val="00C711E9"/>
    <w:rsid w:val="00C73C1C"/>
    <w:rsid w:val="00C81767"/>
    <w:rsid w:val="00C87B9B"/>
    <w:rsid w:val="00C92805"/>
    <w:rsid w:val="00CA16F3"/>
    <w:rsid w:val="00CA2187"/>
    <w:rsid w:val="00CA257B"/>
    <w:rsid w:val="00CA37B1"/>
    <w:rsid w:val="00CB1488"/>
    <w:rsid w:val="00CB1959"/>
    <w:rsid w:val="00CC1690"/>
    <w:rsid w:val="00CC1D45"/>
    <w:rsid w:val="00CC741B"/>
    <w:rsid w:val="00CD0E4B"/>
    <w:rsid w:val="00CD3F5D"/>
    <w:rsid w:val="00CE0518"/>
    <w:rsid w:val="00CE4C89"/>
    <w:rsid w:val="00CF07BA"/>
    <w:rsid w:val="00CF16BF"/>
    <w:rsid w:val="00CF5843"/>
    <w:rsid w:val="00D0296C"/>
    <w:rsid w:val="00D036E4"/>
    <w:rsid w:val="00D17F89"/>
    <w:rsid w:val="00D236E8"/>
    <w:rsid w:val="00D257E3"/>
    <w:rsid w:val="00D2641E"/>
    <w:rsid w:val="00D32126"/>
    <w:rsid w:val="00D32D6F"/>
    <w:rsid w:val="00D37B04"/>
    <w:rsid w:val="00D50266"/>
    <w:rsid w:val="00D53E50"/>
    <w:rsid w:val="00D540C6"/>
    <w:rsid w:val="00D61AC6"/>
    <w:rsid w:val="00D62DB2"/>
    <w:rsid w:val="00D64BD1"/>
    <w:rsid w:val="00D73A4D"/>
    <w:rsid w:val="00D85F0B"/>
    <w:rsid w:val="00D92254"/>
    <w:rsid w:val="00DA1B52"/>
    <w:rsid w:val="00DA3CDD"/>
    <w:rsid w:val="00DE084C"/>
    <w:rsid w:val="00DE2398"/>
    <w:rsid w:val="00DF68CF"/>
    <w:rsid w:val="00E055AB"/>
    <w:rsid w:val="00E14F51"/>
    <w:rsid w:val="00E1545F"/>
    <w:rsid w:val="00E2355A"/>
    <w:rsid w:val="00E357B7"/>
    <w:rsid w:val="00E411F2"/>
    <w:rsid w:val="00E41A3B"/>
    <w:rsid w:val="00E42E50"/>
    <w:rsid w:val="00E4584F"/>
    <w:rsid w:val="00E53800"/>
    <w:rsid w:val="00E6081F"/>
    <w:rsid w:val="00E621B4"/>
    <w:rsid w:val="00E62C2D"/>
    <w:rsid w:val="00E70C37"/>
    <w:rsid w:val="00E8296D"/>
    <w:rsid w:val="00E8457B"/>
    <w:rsid w:val="00E944AA"/>
    <w:rsid w:val="00EA004D"/>
    <w:rsid w:val="00EA04B2"/>
    <w:rsid w:val="00EA20F3"/>
    <w:rsid w:val="00EA36D9"/>
    <w:rsid w:val="00EA383C"/>
    <w:rsid w:val="00EA4060"/>
    <w:rsid w:val="00EA4217"/>
    <w:rsid w:val="00EB4B16"/>
    <w:rsid w:val="00EC41B1"/>
    <w:rsid w:val="00EC6D38"/>
    <w:rsid w:val="00ED001E"/>
    <w:rsid w:val="00ED22B0"/>
    <w:rsid w:val="00ED2831"/>
    <w:rsid w:val="00ED3B2D"/>
    <w:rsid w:val="00ED43D1"/>
    <w:rsid w:val="00ED7EC4"/>
    <w:rsid w:val="00EE3608"/>
    <w:rsid w:val="00EE4EE1"/>
    <w:rsid w:val="00EE7273"/>
    <w:rsid w:val="00EF2CD4"/>
    <w:rsid w:val="00EF4574"/>
    <w:rsid w:val="00F012D1"/>
    <w:rsid w:val="00F01921"/>
    <w:rsid w:val="00F14A46"/>
    <w:rsid w:val="00F22BA9"/>
    <w:rsid w:val="00F25A93"/>
    <w:rsid w:val="00F2684E"/>
    <w:rsid w:val="00F27235"/>
    <w:rsid w:val="00F45486"/>
    <w:rsid w:val="00F5404C"/>
    <w:rsid w:val="00F55791"/>
    <w:rsid w:val="00F67C6A"/>
    <w:rsid w:val="00F729EF"/>
    <w:rsid w:val="00F77CAE"/>
    <w:rsid w:val="00F82271"/>
    <w:rsid w:val="00F83428"/>
    <w:rsid w:val="00F85666"/>
    <w:rsid w:val="00F96BB9"/>
    <w:rsid w:val="00FA5EFD"/>
    <w:rsid w:val="00FB06CC"/>
    <w:rsid w:val="00FB4AA3"/>
    <w:rsid w:val="00FB4EDE"/>
    <w:rsid w:val="00FC4316"/>
    <w:rsid w:val="00FD1850"/>
    <w:rsid w:val="00FD36C8"/>
    <w:rsid w:val="00FD6387"/>
    <w:rsid w:val="00FE6D51"/>
    <w:rsid w:val="00FE6F2A"/>
    <w:rsid w:val="04675F32"/>
    <w:rsid w:val="0E614C10"/>
    <w:rsid w:val="2E89D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94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EB4B16"/>
    <w:pPr>
      <w:keepNext/>
      <w:keepLines/>
      <w:spacing w:before="0" w:after="24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E621B4"/>
    <w:pPr>
      <w:spacing w:before="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16"/>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E621B4"/>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customStyle="1" w:styleId="paragraph">
    <w:name w:val="paragraph"/>
    <w:basedOn w:val="Normal"/>
    <w:rsid w:val="005025E0"/>
    <w:pPr>
      <w:suppressAutoHyphens w:val="0"/>
      <w:spacing w:before="100" w:beforeAutospacing="1" w:after="100" w:afterAutospacing="1" w:line="240" w:lineRule="auto"/>
    </w:pPr>
    <w:rPr>
      <w:rFonts w:ascii="Times New Roman" w:eastAsia="Calibri" w:hAnsi="Times New Roman" w:cs="Times New Roman"/>
      <w:color w:val="auto"/>
      <w:sz w:val="24"/>
      <w:szCs w:val="24"/>
      <w:lang w:val="en-AU" w:eastAsia="en-AU"/>
    </w:rPr>
  </w:style>
  <w:style w:type="character" w:customStyle="1" w:styleId="normaltextrun">
    <w:name w:val="normaltextrun"/>
    <w:basedOn w:val="DefaultParagraphFont"/>
    <w:rsid w:val="005025E0"/>
  </w:style>
  <w:style w:type="character" w:customStyle="1" w:styleId="eop">
    <w:name w:val="eop"/>
    <w:basedOn w:val="DefaultParagraphFont"/>
    <w:rsid w:val="0050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73357">
      <w:bodyDiv w:val="1"/>
      <w:marLeft w:val="0"/>
      <w:marRight w:val="0"/>
      <w:marTop w:val="0"/>
      <w:marBottom w:val="0"/>
      <w:divBdr>
        <w:top w:val="none" w:sz="0" w:space="0" w:color="auto"/>
        <w:left w:val="none" w:sz="0" w:space="0" w:color="auto"/>
        <w:bottom w:val="none" w:sz="0" w:space="0" w:color="auto"/>
        <w:right w:val="none" w:sz="0" w:space="0" w:color="auto"/>
      </w:divBdr>
    </w:div>
    <w:div w:id="938215772">
      <w:bodyDiv w:val="1"/>
      <w:marLeft w:val="0"/>
      <w:marRight w:val="0"/>
      <w:marTop w:val="0"/>
      <w:marBottom w:val="0"/>
      <w:divBdr>
        <w:top w:val="none" w:sz="0" w:space="0" w:color="auto"/>
        <w:left w:val="none" w:sz="0" w:space="0" w:color="auto"/>
        <w:bottom w:val="none" w:sz="0" w:space="0" w:color="auto"/>
        <w:right w:val="none" w:sz="0" w:space="0" w:color="auto"/>
      </w:divBdr>
    </w:div>
    <w:div w:id="1229609608">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9F64-0695-4D18-A40B-DEF16555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6238</Characters>
  <Application>Microsoft Office Word</Application>
  <DocSecurity>0</DocSecurity>
  <Lines>166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2021-06-02T04:03:00Z</dcterms:created>
  <dcterms:modified xsi:type="dcterms:W3CDTF">2021-06-02T04:03:00Z</dcterms:modified>
  <cp:category/>
</cp:coreProperties>
</file>