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43390B" w14:textId="0E3075AE" w:rsidR="00FA5EFD" w:rsidRDefault="006363DC" w:rsidP="004245FC">
      <w:pPr>
        <w:pStyle w:val="Heading1"/>
      </w:pPr>
      <w:r>
        <w:rPr>
          <w:caps w:val="0"/>
        </w:rPr>
        <w:t xml:space="preserve">SAMOA </w:t>
      </w:r>
      <w:r w:rsidRPr="00192A43">
        <w:rPr>
          <w:caps w:val="0"/>
        </w:rPr>
        <w:t>COVID-19 DEVELOPMENT RESPONSE PLAN</w:t>
      </w:r>
      <w:r>
        <w:rPr>
          <w:caps w:val="0"/>
        </w:rPr>
        <w:t xml:space="preserve"> </w:t>
      </w:r>
    </w:p>
    <w:p w14:paraId="7626E7D8" w14:textId="77777777" w:rsidR="002C7FC9" w:rsidRDefault="002C7FC9" w:rsidP="002C7FC9">
      <w:pPr>
        <w:numPr>
          <w:ilvl w:val="0"/>
          <w:numId w:val="38"/>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0"/>
        <w:ind w:left="567" w:hanging="425"/>
        <w:contextualSpacing/>
        <w:rPr>
          <w:color w:val="36424B" w:themeColor="text2" w:themeShade="BF"/>
        </w:rPr>
      </w:pPr>
      <w:r>
        <w:rPr>
          <w:color w:val="36424B" w:themeColor="text2" w:themeShade="BF"/>
        </w:rPr>
        <w:t xml:space="preserve">Samoa </w:t>
      </w:r>
      <w:r w:rsidRPr="00353505">
        <w:rPr>
          <w:color w:val="36424B" w:themeColor="text2" w:themeShade="BF"/>
        </w:rPr>
        <w:t>and Australia have an enduring partnership, strengthened by the Pacific Step-up, which focuses on shared labour mobility, governance, trade, development and security priorities.</w:t>
      </w:r>
    </w:p>
    <w:p w14:paraId="4D994819" w14:textId="77777777" w:rsidR="002C7FC9" w:rsidRDefault="002C7FC9" w:rsidP="002C7FC9">
      <w:pPr>
        <w:numPr>
          <w:ilvl w:val="0"/>
          <w:numId w:val="38"/>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0"/>
        <w:ind w:left="567" w:hanging="425"/>
        <w:contextualSpacing/>
        <w:rPr>
          <w:color w:val="36424B" w:themeColor="text2" w:themeShade="BF"/>
        </w:rPr>
      </w:pPr>
      <w:r w:rsidRPr="00353505">
        <w:rPr>
          <w:color w:val="36424B" w:themeColor="text2" w:themeShade="BF"/>
        </w:rPr>
        <w:t xml:space="preserve">Samoa responded early to COVID-19 and has not recorded any cases. </w:t>
      </w:r>
      <w:r>
        <w:rPr>
          <w:color w:val="36424B" w:themeColor="text2" w:themeShade="BF"/>
        </w:rPr>
        <w:t>T</w:t>
      </w:r>
      <w:r w:rsidRPr="00353505">
        <w:rPr>
          <w:color w:val="36424B" w:themeColor="text2" w:themeShade="BF"/>
        </w:rPr>
        <w:t>he global economic lockdown is having significant economic and social impacts on tourism, trade and human capital development.</w:t>
      </w:r>
    </w:p>
    <w:p w14:paraId="0C6FC006" w14:textId="77777777" w:rsidR="002C7FC9" w:rsidRPr="00353505" w:rsidRDefault="002C7FC9" w:rsidP="002C7FC9">
      <w:pPr>
        <w:numPr>
          <w:ilvl w:val="0"/>
          <w:numId w:val="38"/>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0"/>
        <w:ind w:left="567" w:hanging="425"/>
        <w:contextualSpacing/>
        <w:rPr>
          <w:color w:val="36424B" w:themeColor="text2" w:themeShade="BF"/>
        </w:rPr>
      </w:pPr>
      <w:r w:rsidRPr="00353505">
        <w:rPr>
          <w:color w:val="36424B" w:themeColor="text2" w:themeShade="BF"/>
        </w:rPr>
        <w:t xml:space="preserve">Australia and Samoa will work together to strengthen the preparedness and responsiveness of Samoa’s health system and enhance Samoa’s resilience to COVID-19 impacts as well as future economic and climate shocks. </w:t>
      </w:r>
    </w:p>
    <w:p w14:paraId="12717707" w14:textId="5963E9C0" w:rsidR="00116CC6" w:rsidRDefault="00116CC6" w:rsidP="00116CC6"/>
    <w:p w14:paraId="690B48EF" w14:textId="77777777" w:rsidR="00116CC6" w:rsidRPr="00116CC6" w:rsidRDefault="00116CC6" w:rsidP="00116CC6">
      <w:pPr>
        <w:sectPr w:rsidR="00116CC6" w:rsidRPr="00116CC6" w:rsidSect="004245FC">
          <w:headerReference w:type="even" r:id="rId8"/>
          <w:headerReference w:type="default" r:id="rId9"/>
          <w:footerReference w:type="even" r:id="rId10"/>
          <w:footerReference w:type="default" r:id="rId11"/>
          <w:headerReference w:type="first" r:id="rId12"/>
          <w:footerReference w:type="first" r:id="rId13"/>
          <w:pgSz w:w="11906" w:h="16838" w:code="9"/>
          <w:pgMar w:top="2694" w:right="680" w:bottom="1418" w:left="680" w:header="397" w:footer="624" w:gutter="0"/>
          <w:cols w:space="397"/>
          <w:titlePg/>
          <w:docGrid w:linePitch="360"/>
        </w:sectPr>
      </w:pPr>
    </w:p>
    <w:p w14:paraId="25F036C9" w14:textId="5A9BDD5A" w:rsidR="00353505" w:rsidRDefault="00353505" w:rsidP="00A671E8">
      <w:pPr>
        <w:widowControl w:val="0"/>
        <w:spacing w:before="60" w:after="120" w:line="260" w:lineRule="exact"/>
      </w:pPr>
      <w:r w:rsidRPr="008F69BD">
        <w:rPr>
          <w:rFonts w:cstheme="minorHAnsi"/>
        </w:rPr>
        <w:t xml:space="preserve">Australia and </w:t>
      </w:r>
      <w:r>
        <w:rPr>
          <w:rFonts w:cstheme="minorHAnsi"/>
        </w:rPr>
        <w:t>Samoa</w:t>
      </w:r>
      <w:r w:rsidRPr="008F69BD">
        <w:rPr>
          <w:rFonts w:cstheme="minorHAnsi"/>
        </w:rPr>
        <w:t xml:space="preserve"> </w:t>
      </w:r>
      <w:r>
        <w:rPr>
          <w:rFonts w:cstheme="minorHAnsi"/>
        </w:rPr>
        <w:t>have an enduring and cooperative relationship that spans political</w:t>
      </w:r>
      <w:r w:rsidR="00EF242D">
        <w:rPr>
          <w:rFonts w:cstheme="minorHAnsi"/>
        </w:rPr>
        <w:t>, security, business and people-to-</w:t>
      </w:r>
      <w:r>
        <w:rPr>
          <w:rFonts w:cstheme="minorHAnsi"/>
        </w:rPr>
        <w:t xml:space="preserve">people links. </w:t>
      </w:r>
      <w:r w:rsidRPr="008F69BD">
        <w:rPr>
          <w:rFonts w:cstheme="minorHAnsi"/>
        </w:rPr>
        <w:t>Australia</w:t>
      </w:r>
      <w:r w:rsidR="005C0FBA">
        <w:rPr>
          <w:rFonts w:cstheme="minorHAnsi"/>
        </w:rPr>
        <w:t xml:space="preserve"> will support Samoa to respond to COVID-19 and </w:t>
      </w:r>
      <w:r>
        <w:rPr>
          <w:rFonts w:cstheme="minorHAnsi"/>
        </w:rPr>
        <w:t>strengthen health systems, promote stability and support economic recovery.  We will work with other key partners including the World Bank, the United Nations, the Asian Development Bank</w:t>
      </w:r>
      <w:r w:rsidR="009C3436">
        <w:rPr>
          <w:rFonts w:cstheme="minorHAnsi"/>
        </w:rPr>
        <w:t xml:space="preserve"> (ADB)</w:t>
      </w:r>
      <w:r>
        <w:rPr>
          <w:rFonts w:cstheme="minorHAnsi"/>
        </w:rPr>
        <w:t>, and other bilateral donors</w:t>
      </w:r>
      <w:r>
        <w:rPr>
          <w:color w:val="1F497D"/>
          <w:lang w:eastAsia="en-AU"/>
        </w:rPr>
        <w:t xml:space="preserve">. </w:t>
      </w:r>
      <w:r>
        <w:t>Through Australian support</w:t>
      </w:r>
      <w:r w:rsidR="00192ACD">
        <w:t>, including in response to the measles outbreak in late 2019</w:t>
      </w:r>
      <w:r>
        <w:t xml:space="preserve">, Samoa has already accessed valuable public health and clinical expertise to support COVID-19 preparedness. </w:t>
      </w:r>
      <w:r w:rsidR="00AF13D2">
        <w:t>Australia</w:t>
      </w:r>
      <w:r>
        <w:t xml:space="preserve"> is supporting national policy makers to mitigate COVID</w:t>
      </w:r>
      <w:r>
        <w:noBreakHyphen/>
        <w:t>19’s economic impacts</w:t>
      </w:r>
      <w:r w:rsidR="00AF13D2">
        <w:t>, through our governance programs</w:t>
      </w:r>
      <w:r>
        <w:t>. Our ongoing partnership will focus both on meeting short term needs and laying the foundations for long-term recovery and resilience.</w:t>
      </w:r>
    </w:p>
    <w:p w14:paraId="0B72840E" w14:textId="77777777" w:rsidR="00166032" w:rsidRPr="00CC687B" w:rsidRDefault="00166032" w:rsidP="0092573E">
      <w:pPr>
        <w:pStyle w:val="Heading2"/>
      </w:pPr>
      <w:r w:rsidRPr="00CC687B">
        <w:t>COVID-19 Situation Analysis</w:t>
      </w:r>
      <w:r w:rsidRPr="00CC687B">
        <w:tab/>
      </w:r>
    </w:p>
    <w:p w14:paraId="4340C80E" w14:textId="362A2FCF" w:rsidR="00353505" w:rsidRDefault="00353505" w:rsidP="00A671E8">
      <w:pPr>
        <w:widowControl w:val="0"/>
        <w:spacing w:before="60" w:after="120" w:line="260" w:lineRule="exact"/>
      </w:pPr>
      <w:r>
        <w:t xml:space="preserve">Due to swift Government of Samoa action, Samoa has remained COVID-19 free as of </w:t>
      </w:r>
      <w:r w:rsidR="009C3436">
        <w:t xml:space="preserve">September </w:t>
      </w:r>
      <w:r>
        <w:t xml:space="preserve">2020. However, the effects of a future outbreak could be severe. Existing health challenges heighten Samoans’ individual susceptibility to COVID-19: 46 per cent of the adult population is obese and there is high prevalence of hypertension, diabetes and cardiovascular disease. </w:t>
      </w:r>
    </w:p>
    <w:p w14:paraId="08FA273B" w14:textId="082E6727" w:rsidR="00784F97" w:rsidRDefault="00353505" w:rsidP="00A671E8">
      <w:pPr>
        <w:widowControl w:val="0"/>
        <w:spacing w:before="60" w:after="120" w:line="260" w:lineRule="exact"/>
      </w:pPr>
      <w:r>
        <w:t xml:space="preserve">The </w:t>
      </w:r>
      <w:r w:rsidRPr="00E2362A">
        <w:t xml:space="preserve">health </w:t>
      </w:r>
      <w:r>
        <w:t>system requires further strengthening</w:t>
      </w:r>
      <w:r w:rsidRPr="00E2362A">
        <w:t xml:space="preserve"> </w:t>
      </w:r>
      <w:r>
        <w:t xml:space="preserve">in order to respond </w:t>
      </w:r>
      <w:r w:rsidRPr="008E5305">
        <w:t>efficiently and effectively to</w:t>
      </w:r>
      <w:r>
        <w:t xml:space="preserve"> future</w:t>
      </w:r>
      <w:r w:rsidRPr="008E5305">
        <w:t xml:space="preserve"> infectious diseases outbreaks. </w:t>
      </w:r>
      <w:r w:rsidR="00646360">
        <w:t xml:space="preserve">With Australia’s support, </w:t>
      </w:r>
      <w:r>
        <w:t xml:space="preserve">Samoa has secured greater </w:t>
      </w:r>
      <w:r w:rsidRPr="008E5305">
        <w:t>testing and diagnostic capacity, essential medical equipment, and personal protective equipment.</w:t>
      </w:r>
      <w:r>
        <w:t xml:space="preserve"> </w:t>
      </w:r>
      <w:r w:rsidR="005A56DF">
        <w:t xml:space="preserve">To maximise these assets, </w:t>
      </w:r>
      <w:r>
        <w:t>strong capabilities in planning, coordin</w:t>
      </w:r>
      <w:r w:rsidR="005A56DF">
        <w:t xml:space="preserve">ation, supply chain management </w:t>
      </w:r>
      <w:r>
        <w:t>and service delivery</w:t>
      </w:r>
      <w:r w:rsidR="005A56DF">
        <w:t xml:space="preserve"> are needed</w:t>
      </w:r>
      <w:r w:rsidR="003179DA">
        <w:t>.</w:t>
      </w:r>
      <w:r>
        <w:t xml:space="preserve"> Clear, consistent messaging, joined-up action and </w:t>
      </w:r>
      <w:r w:rsidR="002806CE">
        <w:br/>
      </w:r>
      <w:r>
        <w:t xml:space="preserve">timely deployment of appropriate skills and expertise </w:t>
      </w:r>
      <w:r w:rsidR="002806CE">
        <w:br/>
      </w:r>
      <w:r>
        <w:t xml:space="preserve">are also imperative. </w:t>
      </w:r>
    </w:p>
    <w:p w14:paraId="00C76B02" w14:textId="60969179" w:rsidR="00353505" w:rsidRDefault="00353505" w:rsidP="00A671E8">
      <w:pPr>
        <w:widowControl w:val="0"/>
        <w:spacing w:before="60" w:after="120" w:line="260" w:lineRule="exact"/>
      </w:pPr>
      <w:r>
        <w:t xml:space="preserve">Economically, </w:t>
      </w:r>
      <w:r w:rsidRPr="004C5344">
        <w:t>Samoa</w:t>
      </w:r>
      <w:r>
        <w:t xml:space="preserve"> </w:t>
      </w:r>
      <w:r w:rsidRPr="004C5344">
        <w:t xml:space="preserve">is reliant on tourism, agriculture, </w:t>
      </w:r>
      <w:r w:rsidR="00AC1176">
        <w:t>r</w:t>
      </w:r>
      <w:r w:rsidRPr="004C5344">
        <w:t>emittances</w:t>
      </w:r>
      <w:r w:rsidR="00284FA1">
        <w:t xml:space="preserve"> a</w:t>
      </w:r>
      <w:r w:rsidRPr="004C5344">
        <w:t xml:space="preserve">nd </w:t>
      </w:r>
      <w:r>
        <w:t xml:space="preserve">development assistance. It is </w:t>
      </w:r>
      <w:r w:rsidRPr="004C5344">
        <w:t>highly vulnerable to economic shocks and natural disasters.</w:t>
      </w:r>
      <w:r>
        <w:t xml:space="preserve"> The global financial crisis of 2008, coupled with the earthquake and tsunami of </w:t>
      </w:r>
      <w:r w:rsidRPr="00134B97">
        <w:t>2009</w:t>
      </w:r>
      <w:r>
        <w:t>,</w:t>
      </w:r>
      <w:r w:rsidRPr="00134B97">
        <w:t xml:space="preserve"> created economic losses equivalent to 20</w:t>
      </w:r>
      <w:r>
        <w:t xml:space="preserve"> per cent</w:t>
      </w:r>
      <w:r w:rsidRPr="00134B97">
        <w:t xml:space="preserve"> of G</w:t>
      </w:r>
      <w:r>
        <w:t xml:space="preserve">ross </w:t>
      </w:r>
      <w:r w:rsidRPr="00134B97">
        <w:t>D</w:t>
      </w:r>
      <w:r>
        <w:t xml:space="preserve">omestic </w:t>
      </w:r>
      <w:r w:rsidRPr="00134B97">
        <w:t>P</w:t>
      </w:r>
      <w:r>
        <w:t>roduct (GDP)</w:t>
      </w:r>
      <w:r w:rsidRPr="00134B97">
        <w:t xml:space="preserve">. </w:t>
      </w:r>
      <w:r>
        <w:t xml:space="preserve">The ADB anticipates an economic contraction of 5 per cent in 2020. There is a </w:t>
      </w:r>
      <w:r w:rsidRPr="00885CD3">
        <w:t xml:space="preserve">risk </w:t>
      </w:r>
      <w:r>
        <w:t xml:space="preserve">that </w:t>
      </w:r>
      <w:r w:rsidRPr="008D6280">
        <w:t xml:space="preserve">the economic toll of </w:t>
      </w:r>
      <w:r>
        <w:t>COVID-19</w:t>
      </w:r>
      <w:r w:rsidRPr="008D6280">
        <w:t xml:space="preserve"> may </w:t>
      </w:r>
      <w:r w:rsidRPr="00707394">
        <w:t>eclipse the</w:t>
      </w:r>
      <w:r w:rsidRPr="0075365C">
        <w:t xml:space="preserve"> downturn of </w:t>
      </w:r>
      <w:r w:rsidRPr="0096414D">
        <w:t>2009</w:t>
      </w:r>
      <w:r>
        <w:t xml:space="preserve">. </w:t>
      </w:r>
    </w:p>
    <w:p w14:paraId="7D60D2B0" w14:textId="0AE40EAF" w:rsidR="00353505" w:rsidRDefault="00353505" w:rsidP="00A671E8">
      <w:pPr>
        <w:widowControl w:val="0"/>
        <w:spacing w:before="60" w:after="120" w:line="260" w:lineRule="exact"/>
      </w:pPr>
      <w:r>
        <w:t>The full impacts of the recession will become clear over time, but Samoa is braced for</w:t>
      </w:r>
      <w:r w:rsidRPr="00B00B0C">
        <w:t xml:space="preserve"> a sharp decline in foreign earnings</w:t>
      </w:r>
      <w:r>
        <w:t xml:space="preserve">, </w:t>
      </w:r>
      <w:r w:rsidRPr="00885CD3">
        <w:t>private consumption and investment</w:t>
      </w:r>
      <w:r>
        <w:t xml:space="preserve">. The private sector is navigating the prospect of loan defaults and bankruptcies. Tourism has fallen sharply: as of June 2020, 33 of </w:t>
      </w:r>
      <w:r w:rsidRPr="00530CD3">
        <w:t>110 hotels and 131 of 141 handicraft businesses were closed for trading. More than 2,200 workers in the tourism sector are working</w:t>
      </w:r>
      <w:r>
        <w:t xml:space="preserve"> reduced hours </w:t>
      </w:r>
      <w:r w:rsidRPr="00530CD3">
        <w:t>or have been laid off</w:t>
      </w:r>
      <w:r>
        <w:t>. Unemployment rates, which have fallen steadily over the last six years (to 7.6 per cent in 2019) are expected to climb sharply. In 2019, remittances accounted for 16 per cent of GDP, meaning that a downturn in regional labour markets will compound falling national fortunes.</w:t>
      </w:r>
    </w:p>
    <w:p w14:paraId="067F952A" w14:textId="6A1406CB" w:rsidR="00353505" w:rsidRDefault="00353505" w:rsidP="00A671E8">
      <w:pPr>
        <w:widowControl w:val="0"/>
        <w:spacing w:before="60" w:after="120" w:line="260" w:lineRule="exact"/>
        <w:ind w:right="-171"/>
      </w:pPr>
      <w:r>
        <w:t>Total public debt stands at 48 per cent of GDP. In the last two years, the ADB and International Monetary Fund (IMF) have declared Samoa to have a “high risk of debt distress”. The economic effects of the measles outbreak and the COVID</w:t>
      </w:r>
      <w:r>
        <w:noBreakHyphen/>
        <w:t xml:space="preserve">19 pandemic have heightened that risk. In July 2020, the ADB projects that Samoa’s fiscal balance will fall from an estimated 2.7 per cent of GDP in 2019 to </w:t>
      </w:r>
      <w:r>
        <w:noBreakHyphen/>
        <w:t xml:space="preserve">7.3 per cent in 2020 and </w:t>
      </w:r>
      <w:r>
        <w:noBreakHyphen/>
        <w:t>9.9 per cent in 2021. Samoa’s vulnerability to natural disasters and climate change impacts increases the possibility of further shocks.</w:t>
      </w:r>
    </w:p>
    <w:p w14:paraId="678A2893" w14:textId="4F921CFE" w:rsidR="00353505" w:rsidRDefault="00353505" w:rsidP="00A671E8">
      <w:pPr>
        <w:widowControl w:val="0"/>
        <w:spacing w:before="60" w:after="120" w:line="260" w:lineRule="exact"/>
      </w:pPr>
      <w:r w:rsidRPr="00707394">
        <w:t xml:space="preserve">While </w:t>
      </w:r>
      <w:r>
        <w:t xml:space="preserve">Samoa has made </w:t>
      </w:r>
      <w:r w:rsidRPr="00707394">
        <w:t xml:space="preserve">significant progress in human </w:t>
      </w:r>
      <w:r w:rsidRPr="00707394">
        <w:lastRenderedPageBreak/>
        <w:t>development, 22.7</w:t>
      </w:r>
      <w:r>
        <w:t xml:space="preserve"> per cent </w:t>
      </w:r>
      <w:r w:rsidRPr="00707394">
        <w:t xml:space="preserve">of Samoans </w:t>
      </w:r>
      <w:r w:rsidR="00C403CA">
        <w:t xml:space="preserve">in 2018 </w:t>
      </w:r>
      <w:r w:rsidRPr="00707394">
        <w:t>continue</w:t>
      </w:r>
      <w:r>
        <w:t>d</w:t>
      </w:r>
      <w:r w:rsidRPr="00707394">
        <w:t xml:space="preserve"> to live below the </w:t>
      </w:r>
      <w:r>
        <w:t xml:space="preserve">basic </w:t>
      </w:r>
      <w:proofErr w:type="gramStart"/>
      <w:r>
        <w:t>needs</w:t>
      </w:r>
      <w:proofErr w:type="gramEnd"/>
      <w:r w:rsidRPr="00707394">
        <w:t xml:space="preserve"> poverty line</w:t>
      </w:r>
      <w:r w:rsidRPr="00885CD3">
        <w:t>.</w:t>
      </w:r>
      <w:r>
        <w:t xml:space="preserve"> In the next two years, </w:t>
      </w:r>
      <w:r w:rsidRPr="00885CD3">
        <w:t xml:space="preserve">progress made since the </w:t>
      </w:r>
      <w:r>
        <w:t>global financial crisis</w:t>
      </w:r>
      <w:r w:rsidRPr="00885CD3">
        <w:t xml:space="preserve"> </w:t>
      </w:r>
      <w:r>
        <w:t xml:space="preserve">may erode and </w:t>
      </w:r>
      <w:r w:rsidRPr="00885CD3">
        <w:t xml:space="preserve">poverty </w:t>
      </w:r>
      <w:r>
        <w:t xml:space="preserve">may </w:t>
      </w:r>
      <w:r w:rsidRPr="00885CD3">
        <w:t>climb towards</w:t>
      </w:r>
      <w:r>
        <w:t xml:space="preserve"> - or </w:t>
      </w:r>
      <w:r w:rsidRPr="00885CD3">
        <w:t xml:space="preserve">even </w:t>
      </w:r>
      <w:r w:rsidRPr="008D6280">
        <w:t>surpass</w:t>
      </w:r>
      <w:r>
        <w:t xml:space="preserve"> - </w:t>
      </w:r>
      <w:r w:rsidRPr="008D6280">
        <w:t>the 26.9</w:t>
      </w:r>
      <w:r>
        <w:t xml:space="preserve"> per cent basic needs poverty rate </w:t>
      </w:r>
      <w:r w:rsidRPr="00885CD3">
        <w:t xml:space="preserve">recorded in 2008. </w:t>
      </w:r>
    </w:p>
    <w:p w14:paraId="3A4371B5" w14:textId="3DBCFF9B" w:rsidR="00646360" w:rsidRDefault="00646360" w:rsidP="00A671E8">
      <w:pPr>
        <w:widowControl w:val="0"/>
        <w:spacing w:before="60" w:after="120" w:line="260" w:lineRule="exact"/>
      </w:pPr>
      <w:r>
        <w:t>The effects of COVID</w:t>
      </w:r>
      <w:r>
        <w:noBreakHyphen/>
        <w:t xml:space="preserve">19 will be felt unevenly: the unemployed, female-headed households, the elderly, persons with disabilities, informal sector workers and those in </w:t>
      </w:r>
      <w:proofErr w:type="gramStart"/>
      <w:r>
        <w:t>adversely-affected</w:t>
      </w:r>
      <w:proofErr w:type="gramEnd"/>
      <w:r>
        <w:t xml:space="preserve"> sectors (for example, tourism) are particularly vulnerable. Women may be expected to undertake more unpaid domestic work, while being less able to access essential health services and more vulnerable to economic hardship. Almost half of</w:t>
      </w:r>
      <w:r w:rsidR="00A8160B">
        <w:t xml:space="preserve"> Samoan</w:t>
      </w:r>
      <w:r>
        <w:t xml:space="preserve"> women aged 15-49 have reported experiencing sexual violence by an intimate partner and </w:t>
      </w:r>
      <w:r w:rsidR="00A8160B">
        <w:t>the impacts of</w:t>
      </w:r>
      <w:r>
        <w:t xml:space="preserve"> COVID-19</w:t>
      </w:r>
      <w:r w:rsidR="00A8160B">
        <w:t xml:space="preserve"> may increase</w:t>
      </w:r>
      <w:r w:rsidR="00192ACD">
        <w:t xml:space="preserve"> the rate of</w:t>
      </w:r>
      <w:r w:rsidR="00A8160B">
        <w:t xml:space="preserve"> such</w:t>
      </w:r>
      <w:r>
        <w:t xml:space="preserve"> incidents. There remains space to better protect and assist survivors and improve child protection systems. </w:t>
      </w:r>
    </w:p>
    <w:p w14:paraId="486E1295" w14:textId="77777777" w:rsidR="00646360" w:rsidRDefault="00646360" w:rsidP="00A671E8">
      <w:pPr>
        <w:widowControl w:val="0"/>
        <w:spacing w:before="60" w:after="120" w:line="260" w:lineRule="exact"/>
      </w:pPr>
      <w:r>
        <w:t>People with disabilities are more likely to experience pre</w:t>
      </w:r>
      <w:r>
        <w:noBreakHyphen/>
        <w:t xml:space="preserve">existing health conditions that put them at a higher risk of illness or COVID-19-related death. They are also at increased risk of social isolation and </w:t>
      </w:r>
      <w:r w:rsidRPr="00000C8B">
        <w:t>weakened access to essential items, services and support</w:t>
      </w:r>
      <w:r>
        <w:t xml:space="preserve">. </w:t>
      </w:r>
    </w:p>
    <w:p w14:paraId="41CBB233" w14:textId="784D61CF" w:rsidR="00353505" w:rsidRDefault="00646360" w:rsidP="00A671E8">
      <w:pPr>
        <w:widowControl w:val="0"/>
        <w:spacing w:before="60" w:after="120" w:line="260" w:lineRule="exact"/>
      </w:pPr>
      <w:r w:rsidRPr="00000C8B">
        <w:t xml:space="preserve">Further school closures and the absence of widely accessible online learning platforms may translate to a downturn in the mean years of </w:t>
      </w:r>
      <w:r>
        <w:t xml:space="preserve">schooling, falling test scores </w:t>
      </w:r>
      <w:r w:rsidRPr="00000C8B">
        <w:t xml:space="preserve">and a loss in earnings. In the short-term, boys from vulnerable households are particularly prone to dropping out. In the longer-term, Samoans with limited formal training may be unable to secure access to competitive overseas labour markets. In </w:t>
      </w:r>
      <w:r w:rsidR="00A43F26">
        <w:t>these</w:t>
      </w:r>
      <w:r w:rsidR="00A43F26" w:rsidRPr="00000C8B">
        <w:t xml:space="preserve"> </w:t>
      </w:r>
      <w:r w:rsidRPr="00000C8B">
        <w:t>circumstances, the economy would be poorly placed to support the</w:t>
      </w:r>
      <w:r>
        <w:t xml:space="preserve"> </w:t>
      </w:r>
      <w:r w:rsidRPr="00000C8B">
        <w:t>Government of Samoa’s goals of increasing domestic production and reducing reliance on imports.</w:t>
      </w:r>
    </w:p>
    <w:p w14:paraId="3E8020B9" w14:textId="77777777" w:rsidR="00E614AA" w:rsidRPr="00412EEC" w:rsidRDefault="00646360" w:rsidP="0092573E">
      <w:pPr>
        <w:pStyle w:val="Heading2"/>
      </w:pPr>
      <w:r>
        <w:t>AUSTRALIA’s RESPONSE</w:t>
      </w:r>
    </w:p>
    <w:p w14:paraId="54743D03" w14:textId="687B32E7" w:rsidR="00646360" w:rsidRDefault="00646360" w:rsidP="00A671E8">
      <w:pPr>
        <w:widowControl w:val="0"/>
        <w:spacing w:before="60" w:after="120" w:line="260" w:lineRule="exact"/>
      </w:pPr>
      <w:r>
        <w:t xml:space="preserve">Through the Pacific Step-up, the Australian Government will stand with Samoa in </w:t>
      </w:r>
      <w:r w:rsidRPr="007F5A72">
        <w:t>overcoming the</w:t>
      </w:r>
      <w:r>
        <w:t xml:space="preserve"> current</w:t>
      </w:r>
      <w:r w:rsidRPr="007F5A72">
        <w:t xml:space="preserve"> crisis</w:t>
      </w:r>
      <w:r>
        <w:t xml:space="preserve">, actively supporting Samoa’s COVID-19 </w:t>
      </w:r>
      <w:r w:rsidRPr="007F5A72">
        <w:t>preparedness, response</w:t>
      </w:r>
      <w:r>
        <w:t>,</w:t>
      </w:r>
      <w:r w:rsidRPr="007F5A72">
        <w:t xml:space="preserve"> and recovery</w:t>
      </w:r>
      <w:r>
        <w:t xml:space="preserve"> in line with </w:t>
      </w:r>
      <w:r w:rsidRPr="00646360">
        <w:rPr>
          <w:i/>
        </w:rPr>
        <w:t>Partnerships for Recovery: Australia’s COVID</w:t>
      </w:r>
      <w:r w:rsidR="00AC1176">
        <w:rPr>
          <w:i/>
        </w:rPr>
        <w:t>-19 Development Response</w:t>
      </w:r>
      <w:r w:rsidRPr="00000C8B">
        <w:t>.</w:t>
      </w:r>
      <w:r>
        <w:t xml:space="preserve"> </w:t>
      </w:r>
    </w:p>
    <w:p w14:paraId="0A5573D6" w14:textId="06F65420" w:rsidR="00646360" w:rsidRDefault="00646360" w:rsidP="00A671E8">
      <w:pPr>
        <w:widowControl w:val="0"/>
        <w:spacing w:before="60" w:after="120" w:line="260" w:lineRule="exact"/>
      </w:pPr>
      <w:r>
        <w:t>Our approach is informed by a degree of uncertainty about the trajectory, nature and timing of COVID</w:t>
      </w:r>
      <w:r>
        <w:noBreakHyphen/>
        <w:t>19 impacts in Samoa and the region. This uncertainty, coupled with the risks of COVID</w:t>
      </w:r>
      <w:r>
        <w:noBreakHyphen/>
        <w:t xml:space="preserve">19 cases and a long, deep economic downturn, will remain until an affordable and effective vaccine becomes </w:t>
      </w:r>
      <w:r w:rsidR="005A56DF">
        <w:t xml:space="preserve">readily </w:t>
      </w:r>
      <w:r>
        <w:t xml:space="preserve">available. Against this backdrop, we will work with partners to strengthen </w:t>
      </w:r>
      <w:r>
        <w:t>the preparedness, resilience and responsiveness of Samoa’s health system to respond to COVID</w:t>
      </w:r>
      <w:r>
        <w:noBreakHyphen/>
        <w:t>19 and public health crises, and to manage future disease outbreaks. We will also support Samoa to maintain stability, promote social cohesion and ensure vulnerable people have access to essential goods, services and opportunities. A key priority will be supporting Samoa to mitigate and recover from COVID</w:t>
      </w:r>
      <w:r>
        <w:noBreakHyphen/>
        <w:t xml:space="preserve">19’s economic impacts and enhance its resilience to future shocks. </w:t>
      </w:r>
    </w:p>
    <w:p w14:paraId="0B4980C2" w14:textId="77777777" w:rsidR="00646360" w:rsidRDefault="00646360" w:rsidP="0092573E">
      <w:pPr>
        <w:pStyle w:val="Heading3"/>
      </w:pPr>
      <w:r>
        <w:t xml:space="preserve">Health Security </w:t>
      </w:r>
    </w:p>
    <w:p w14:paraId="1DDD45CE" w14:textId="7D7AEA9D" w:rsidR="00646360" w:rsidRDefault="00646360" w:rsidP="00A671E8">
      <w:pPr>
        <w:widowControl w:val="0"/>
        <w:spacing w:before="60" w:after="120" w:line="260" w:lineRule="exact"/>
      </w:pPr>
      <w:r>
        <w:t>We will support Samoa to plan, deliver and monitor responses to COVID</w:t>
      </w:r>
      <w:r>
        <w:noBreakHyphen/>
        <w:t xml:space="preserve">19 and strengthen routine health systems, including through a new partnership with the World Bank. </w:t>
      </w:r>
      <w:r w:rsidR="001977F3">
        <w:t xml:space="preserve">Australia’s </w:t>
      </w:r>
      <w:r>
        <w:t>Samoa Health Program, working with the Indo</w:t>
      </w:r>
      <w:r>
        <w:noBreakHyphen/>
        <w:t>Pacific Centre for Health Security, will provide Samoan health sector professionals with improved skills and understanding in COVID</w:t>
      </w:r>
      <w:r>
        <w:noBreakHyphen/>
        <w:t xml:space="preserve">19-related fields (including building system capabilities in surveillance and pathology). </w:t>
      </w:r>
      <w:r w:rsidRPr="00AC1176">
        <w:t>We will work toward equitable access to safe and effective COVID</w:t>
      </w:r>
      <w:r w:rsidRPr="00AC1176">
        <w:noBreakHyphen/>
        <w:t>19 vaccines in Samoa through multilateral and regional initiatives to finance, assess, deliver and monitor COVID</w:t>
      </w:r>
      <w:r w:rsidRPr="00AC1176">
        <w:noBreakHyphen/>
        <w:t>19 vaccines.</w:t>
      </w:r>
      <w:r>
        <w:t xml:space="preserve"> In addition, </w:t>
      </w:r>
      <w:r w:rsidR="001977F3">
        <w:t xml:space="preserve">we will continue to provide advice to help Samoa maintain </w:t>
      </w:r>
      <w:r>
        <w:t xml:space="preserve">robust quarantine arrangements - which are crucial to Samoa’s health security - to facilitate the ongoing movement of people in the region. This is necessary for future economic recovery. </w:t>
      </w:r>
    </w:p>
    <w:p w14:paraId="4CCBB392" w14:textId="6F8781F8" w:rsidR="00646360" w:rsidRDefault="00646360" w:rsidP="00A671E8">
      <w:pPr>
        <w:widowControl w:val="0"/>
        <w:spacing w:before="60" w:after="120" w:line="260" w:lineRule="exact"/>
      </w:pPr>
      <w:r>
        <w:t>System preparedness and outbreak response capabilities are imperative, but these must not crowd-out other health system demands. Australian support will continue to address the ongoing communicable and non</w:t>
      </w:r>
      <w:r>
        <w:noBreakHyphen/>
        <w:t xml:space="preserve">communicable disease burden. We will provide access to sexual and reproductive health services, particularly for vulnerable individuals and households, through </w:t>
      </w:r>
      <w:r w:rsidR="00EC6B29">
        <w:t>the Impact Project:</w:t>
      </w:r>
      <w:r w:rsidRPr="00DF6AA9">
        <w:t xml:space="preserve"> </w:t>
      </w:r>
      <w:r>
        <w:t xml:space="preserve">Catalysing Sexual Reproductive Health and Rights in Samoa Project. </w:t>
      </w:r>
    </w:p>
    <w:p w14:paraId="3DB4C9AC" w14:textId="5A125B24" w:rsidR="00646360" w:rsidRDefault="00646360" w:rsidP="0092573E">
      <w:pPr>
        <w:pStyle w:val="Heading3"/>
      </w:pPr>
      <w:r>
        <w:t>Stability</w:t>
      </w:r>
    </w:p>
    <w:p w14:paraId="5BA998F5" w14:textId="670CA79A" w:rsidR="00646360" w:rsidRDefault="00646360" w:rsidP="00A671E8">
      <w:pPr>
        <w:widowControl w:val="0"/>
        <w:spacing w:before="60" w:after="120" w:line="260" w:lineRule="exact"/>
        <w:rPr>
          <w:rFonts w:cstheme="minorHAnsi"/>
        </w:rPr>
      </w:pPr>
      <w:r>
        <w:rPr>
          <w:rFonts w:cstheme="minorHAnsi"/>
        </w:rPr>
        <w:t>Samoa will require c</w:t>
      </w:r>
      <w:r w:rsidRPr="002504B8">
        <w:rPr>
          <w:rFonts w:cstheme="minorHAnsi"/>
        </w:rPr>
        <w:t xml:space="preserve">apable, efficient, transparent, inclusive, and accountable institutions as </w:t>
      </w:r>
      <w:r>
        <w:rPr>
          <w:rFonts w:cstheme="minorHAnsi"/>
        </w:rPr>
        <w:t>it seeks to bounce back</w:t>
      </w:r>
      <w:r w:rsidRPr="002504B8">
        <w:rPr>
          <w:rFonts w:cstheme="minorHAnsi"/>
        </w:rPr>
        <w:t>.</w:t>
      </w:r>
      <w:r>
        <w:rPr>
          <w:rFonts w:cstheme="minorHAnsi"/>
        </w:rPr>
        <w:t xml:space="preserve"> To this end,</w:t>
      </w:r>
      <w:r w:rsidRPr="002504B8">
        <w:rPr>
          <w:rFonts w:cstheme="minorHAnsi"/>
        </w:rPr>
        <w:t xml:space="preserve"> </w:t>
      </w:r>
      <w:r>
        <w:rPr>
          <w:rFonts w:cstheme="minorHAnsi"/>
        </w:rPr>
        <w:t>Australia will support Samoa to preserve critical governance and democratic reform</w:t>
      </w:r>
      <w:r w:rsidR="00AC1176">
        <w:rPr>
          <w:rFonts w:cstheme="minorHAnsi"/>
        </w:rPr>
        <w:t>s</w:t>
      </w:r>
      <w:r>
        <w:rPr>
          <w:rFonts w:cstheme="minorHAnsi"/>
        </w:rPr>
        <w:t xml:space="preserve"> undertaken since the </w:t>
      </w:r>
      <w:r w:rsidRPr="002504B8">
        <w:rPr>
          <w:rFonts w:cstheme="minorHAnsi"/>
        </w:rPr>
        <w:t xml:space="preserve">Asian </w:t>
      </w:r>
      <w:r>
        <w:rPr>
          <w:rFonts w:cstheme="minorHAnsi"/>
        </w:rPr>
        <w:t>f</w:t>
      </w:r>
      <w:r w:rsidRPr="002504B8">
        <w:rPr>
          <w:rFonts w:cstheme="minorHAnsi"/>
        </w:rPr>
        <w:t>inanc</w:t>
      </w:r>
      <w:r>
        <w:rPr>
          <w:rFonts w:cstheme="minorHAnsi"/>
        </w:rPr>
        <w:t>ial</w:t>
      </w:r>
      <w:r w:rsidRPr="002504B8">
        <w:rPr>
          <w:rFonts w:cstheme="minorHAnsi"/>
        </w:rPr>
        <w:t xml:space="preserve"> </w:t>
      </w:r>
      <w:r>
        <w:rPr>
          <w:rFonts w:cstheme="minorHAnsi"/>
        </w:rPr>
        <w:t>crisis. Australia will support Samoa to further enhance its state capabilities, ensure continuation of key services (for example, delivery of water and wastewater services) and supp</w:t>
      </w:r>
      <w:r w:rsidR="00AC1176">
        <w:rPr>
          <w:rFonts w:cstheme="minorHAnsi"/>
        </w:rPr>
        <w:t>ort vulnerable populations</w:t>
      </w:r>
      <w:r>
        <w:rPr>
          <w:rFonts w:cstheme="minorHAnsi"/>
        </w:rPr>
        <w:t xml:space="preserve"> during this time of crisis.</w:t>
      </w:r>
    </w:p>
    <w:p w14:paraId="145DE82A" w14:textId="2D89EF7F" w:rsidR="00646360" w:rsidRDefault="00EC6B29" w:rsidP="00A671E8">
      <w:pPr>
        <w:widowControl w:val="0"/>
        <w:spacing w:before="60" w:after="120" w:line="260" w:lineRule="exact"/>
        <w:rPr>
          <w:rFonts w:cstheme="minorHAnsi"/>
        </w:rPr>
      </w:pPr>
      <w:r>
        <w:rPr>
          <w:rFonts w:cstheme="minorHAnsi"/>
        </w:rPr>
        <w:t xml:space="preserve">The </w:t>
      </w:r>
      <w:r w:rsidR="00646360">
        <w:rPr>
          <w:rFonts w:cstheme="minorHAnsi"/>
        </w:rPr>
        <w:t>COVID</w:t>
      </w:r>
      <w:r w:rsidR="00646360">
        <w:rPr>
          <w:rFonts w:cstheme="minorHAnsi"/>
        </w:rPr>
        <w:noBreakHyphen/>
        <w:t xml:space="preserve">19 </w:t>
      </w:r>
      <w:r>
        <w:rPr>
          <w:rFonts w:cstheme="minorHAnsi"/>
        </w:rPr>
        <w:t xml:space="preserve">pandemic </w:t>
      </w:r>
      <w:r w:rsidR="00646360">
        <w:rPr>
          <w:rFonts w:cstheme="minorHAnsi"/>
        </w:rPr>
        <w:t xml:space="preserve">has demonstrated the ongoing </w:t>
      </w:r>
      <w:r w:rsidR="00646360">
        <w:rPr>
          <w:rFonts w:cstheme="minorHAnsi"/>
        </w:rPr>
        <w:lastRenderedPageBreak/>
        <w:t>need to i</w:t>
      </w:r>
      <w:r w:rsidR="00646360" w:rsidRPr="000F179E">
        <w:rPr>
          <w:rFonts w:cstheme="minorHAnsi"/>
        </w:rPr>
        <w:t>mprov</w:t>
      </w:r>
      <w:r w:rsidR="00646360">
        <w:rPr>
          <w:rFonts w:cstheme="minorHAnsi"/>
        </w:rPr>
        <w:t>e</w:t>
      </w:r>
      <w:r w:rsidR="00646360" w:rsidRPr="000F179E">
        <w:rPr>
          <w:rFonts w:cstheme="minorHAnsi"/>
        </w:rPr>
        <w:t xml:space="preserve"> </w:t>
      </w:r>
      <w:r w:rsidR="00646360">
        <w:rPr>
          <w:rFonts w:cstheme="minorHAnsi"/>
        </w:rPr>
        <w:t xml:space="preserve">planning and coordination, </w:t>
      </w:r>
      <w:r w:rsidR="00646360" w:rsidRPr="000F179E">
        <w:rPr>
          <w:rFonts w:cstheme="minorHAnsi"/>
        </w:rPr>
        <w:t xml:space="preserve">public financial management, modelling </w:t>
      </w:r>
      <w:r w:rsidR="00646360">
        <w:rPr>
          <w:rFonts w:cstheme="minorHAnsi"/>
        </w:rPr>
        <w:t xml:space="preserve">capabilities (for example, regarding </w:t>
      </w:r>
      <w:r w:rsidR="00646360" w:rsidRPr="000F179E">
        <w:rPr>
          <w:rFonts w:cstheme="minorHAnsi"/>
        </w:rPr>
        <w:t>climate cha</w:t>
      </w:r>
      <w:r w:rsidR="00646360">
        <w:rPr>
          <w:rFonts w:cstheme="minorHAnsi"/>
        </w:rPr>
        <w:t xml:space="preserve">nge) </w:t>
      </w:r>
      <w:r w:rsidR="00646360" w:rsidRPr="000F179E">
        <w:rPr>
          <w:rFonts w:cstheme="minorHAnsi"/>
        </w:rPr>
        <w:t xml:space="preserve">and </w:t>
      </w:r>
      <w:r w:rsidR="00646360">
        <w:rPr>
          <w:rFonts w:cstheme="minorHAnsi"/>
        </w:rPr>
        <w:t xml:space="preserve">public </w:t>
      </w:r>
      <w:r w:rsidR="00646360" w:rsidRPr="000F179E">
        <w:rPr>
          <w:rFonts w:cstheme="minorHAnsi"/>
        </w:rPr>
        <w:t>system resilience</w:t>
      </w:r>
      <w:r w:rsidR="00646360">
        <w:rPr>
          <w:rFonts w:cstheme="minorHAnsi"/>
        </w:rPr>
        <w:t xml:space="preserve">. These priorities </w:t>
      </w:r>
      <w:r w:rsidR="00646360" w:rsidRPr="000F179E">
        <w:rPr>
          <w:rFonts w:cstheme="minorHAnsi"/>
        </w:rPr>
        <w:t>must now be pursued in a</w:t>
      </w:r>
      <w:r w:rsidR="00646360">
        <w:rPr>
          <w:rFonts w:cstheme="minorHAnsi"/>
        </w:rPr>
        <w:t xml:space="preserve"> tightening fiscal environment, </w:t>
      </w:r>
      <w:r w:rsidR="00646360" w:rsidRPr="000F179E">
        <w:rPr>
          <w:rFonts w:cstheme="minorHAnsi"/>
        </w:rPr>
        <w:t xml:space="preserve">with </w:t>
      </w:r>
      <w:r w:rsidR="00646360">
        <w:rPr>
          <w:rFonts w:cstheme="minorHAnsi"/>
        </w:rPr>
        <w:t xml:space="preserve">the clear goal of improving </w:t>
      </w:r>
      <w:r w:rsidR="00646360" w:rsidRPr="000F179E">
        <w:rPr>
          <w:rFonts w:cstheme="minorHAnsi"/>
        </w:rPr>
        <w:t>frontline service delivery for the benefit of all.</w:t>
      </w:r>
      <w:r w:rsidR="00646360">
        <w:rPr>
          <w:rFonts w:cstheme="minorHAnsi"/>
        </w:rPr>
        <w:t xml:space="preserve"> Australia and Samoa</w:t>
      </w:r>
      <w:r w:rsidR="00646360" w:rsidRPr="000F179E">
        <w:rPr>
          <w:rFonts w:cstheme="minorHAnsi"/>
        </w:rPr>
        <w:t xml:space="preserve"> are</w:t>
      </w:r>
      <w:r w:rsidR="00646360">
        <w:rPr>
          <w:rFonts w:cstheme="minorHAnsi"/>
        </w:rPr>
        <w:t xml:space="preserve"> </w:t>
      </w:r>
      <w:r w:rsidR="00646360" w:rsidRPr="000F179E">
        <w:rPr>
          <w:rFonts w:cstheme="minorHAnsi"/>
        </w:rPr>
        <w:t>committed to facilitating evidence</w:t>
      </w:r>
      <w:r w:rsidR="00646360">
        <w:rPr>
          <w:rFonts w:cstheme="minorHAnsi"/>
        </w:rPr>
        <w:noBreakHyphen/>
      </w:r>
      <w:r w:rsidR="00646360" w:rsidRPr="000F179E">
        <w:rPr>
          <w:rFonts w:cstheme="minorHAnsi"/>
        </w:rPr>
        <w:t>info</w:t>
      </w:r>
      <w:r w:rsidR="00646360">
        <w:rPr>
          <w:rFonts w:cstheme="minorHAnsi"/>
        </w:rPr>
        <w:t>rmed decision</w:t>
      </w:r>
      <w:r w:rsidR="00646360">
        <w:rPr>
          <w:rFonts w:cstheme="minorHAnsi"/>
        </w:rPr>
        <w:noBreakHyphen/>
      </w:r>
      <w:r w:rsidR="00646360" w:rsidRPr="000F179E">
        <w:rPr>
          <w:rFonts w:cstheme="minorHAnsi"/>
        </w:rPr>
        <w:t xml:space="preserve">making, </w:t>
      </w:r>
      <w:r w:rsidR="00646360">
        <w:rPr>
          <w:rFonts w:cstheme="minorHAnsi"/>
        </w:rPr>
        <w:t>translating</w:t>
      </w:r>
      <w:r w:rsidR="00646360" w:rsidRPr="000F179E">
        <w:rPr>
          <w:rFonts w:cstheme="minorHAnsi"/>
        </w:rPr>
        <w:t xml:space="preserve"> policy into practice, and ensuring those affected by decisions are actively involved in decision-making processes</w:t>
      </w:r>
      <w:r w:rsidR="00646360">
        <w:rPr>
          <w:rFonts w:cstheme="minorHAnsi"/>
        </w:rPr>
        <w:t xml:space="preserve">. </w:t>
      </w:r>
    </w:p>
    <w:p w14:paraId="71A06214" w14:textId="4389A0D8" w:rsidR="00646360" w:rsidRDefault="00646360" w:rsidP="00A671E8">
      <w:pPr>
        <w:widowControl w:val="0"/>
        <w:spacing w:before="60" w:after="120" w:line="260" w:lineRule="exact"/>
        <w:rPr>
          <w:rFonts w:cstheme="minorHAnsi"/>
        </w:rPr>
      </w:pPr>
      <w:r w:rsidRPr="0029478C">
        <w:rPr>
          <w:rFonts w:cstheme="minorHAnsi"/>
        </w:rPr>
        <w:t xml:space="preserve">Human capital is vitally important to Samoa’s recovery. While school participation rates are high, there remains scope to secure and improve learning outcomes </w:t>
      </w:r>
      <w:r w:rsidRPr="0029478C">
        <w:rPr>
          <w:rFonts w:cstheme="minorHAnsi"/>
          <w:iCs/>
        </w:rPr>
        <w:t>for all</w:t>
      </w:r>
      <w:r w:rsidRPr="0029478C">
        <w:rPr>
          <w:rFonts w:cstheme="minorHAnsi"/>
        </w:rPr>
        <w:t xml:space="preserve">. We will promote necessary adjustments in the education system through the </w:t>
      </w:r>
      <w:r w:rsidRPr="0029478C">
        <w:rPr>
          <w:rFonts w:cstheme="minorHAnsi"/>
          <w:iCs/>
        </w:rPr>
        <w:t>Education Sector Support Program.</w:t>
      </w:r>
      <w:r w:rsidRPr="0029478C">
        <w:rPr>
          <w:rFonts w:cstheme="minorHAnsi"/>
          <w:i/>
          <w:iCs/>
        </w:rPr>
        <w:t xml:space="preserve"> </w:t>
      </w:r>
      <w:r w:rsidRPr="0029478C">
        <w:rPr>
          <w:rFonts w:cstheme="minorHAnsi"/>
        </w:rPr>
        <w:t xml:space="preserve">We will continue to focus on strengthening quality and inclusiveness in basic education, ensuring investments are consistent with </w:t>
      </w:r>
      <w:r w:rsidR="00AC1176">
        <w:rPr>
          <w:rFonts w:cstheme="minorHAnsi"/>
        </w:rPr>
        <w:t xml:space="preserve">the </w:t>
      </w:r>
      <w:r w:rsidRPr="0029478C">
        <w:rPr>
          <w:rFonts w:cstheme="minorHAnsi"/>
        </w:rPr>
        <w:t xml:space="preserve">needs and priorities of all learners, including those with disabilities. </w:t>
      </w:r>
      <w:r>
        <w:rPr>
          <w:rFonts w:cstheme="minorHAnsi"/>
        </w:rPr>
        <w:t xml:space="preserve">In the new context, we will support </w:t>
      </w:r>
      <w:r w:rsidRPr="0029478C">
        <w:rPr>
          <w:rFonts w:cstheme="minorHAnsi"/>
        </w:rPr>
        <w:t>partners to adapt and respond where there is need and opportunity (</w:t>
      </w:r>
      <w:r>
        <w:rPr>
          <w:rFonts w:cstheme="minorHAnsi"/>
        </w:rPr>
        <w:t xml:space="preserve">for example, through using </w:t>
      </w:r>
      <w:r w:rsidRPr="0029478C">
        <w:rPr>
          <w:rFonts w:cstheme="minorHAnsi"/>
        </w:rPr>
        <w:t xml:space="preserve">online delivery platforms). In addition, we will enhance the quality and relevance of technical </w:t>
      </w:r>
      <w:r w:rsidR="00AC1176">
        <w:rPr>
          <w:rFonts w:cstheme="minorHAnsi"/>
        </w:rPr>
        <w:t xml:space="preserve">and </w:t>
      </w:r>
      <w:r w:rsidRPr="0029478C">
        <w:rPr>
          <w:rFonts w:cstheme="minorHAnsi"/>
        </w:rPr>
        <w:t>vocational education and training programs and help broaden participation among those who have become disengaged from further education and employment</w:t>
      </w:r>
      <w:r>
        <w:rPr>
          <w:rFonts w:cstheme="minorHAnsi"/>
        </w:rPr>
        <w:t xml:space="preserve">. </w:t>
      </w:r>
    </w:p>
    <w:p w14:paraId="31A03069" w14:textId="3D47DE70" w:rsidR="00AE33A2" w:rsidRDefault="00AE33A2" w:rsidP="00A671E8">
      <w:pPr>
        <w:widowControl w:val="0"/>
        <w:spacing w:before="60" w:after="120" w:line="260" w:lineRule="exact"/>
      </w:pPr>
      <w:r>
        <w:t>Our g</w:t>
      </w:r>
      <w:r w:rsidRPr="00C44D17">
        <w:t xml:space="preserve">ender </w:t>
      </w:r>
      <w:r>
        <w:t>p</w:t>
      </w:r>
      <w:r w:rsidRPr="00C44D17">
        <w:t>rograms</w:t>
      </w:r>
      <w:r w:rsidRPr="00F13AC5">
        <w:t>, including</w:t>
      </w:r>
      <w:r w:rsidRPr="00C44D17">
        <w:t xml:space="preserve"> Women in Leadership</w:t>
      </w:r>
      <w:r>
        <w:t xml:space="preserve"> in Samoa</w:t>
      </w:r>
      <w:r w:rsidRPr="00F13AC5">
        <w:t>,</w:t>
      </w:r>
      <w:r>
        <w:t xml:space="preserve"> </w:t>
      </w:r>
      <w:r w:rsidRPr="007C0A6D">
        <w:t xml:space="preserve">will continue to </w:t>
      </w:r>
      <w:r w:rsidRPr="005203F4">
        <w:t xml:space="preserve">build resilience </w:t>
      </w:r>
      <w:r>
        <w:t xml:space="preserve">and facilitate </w:t>
      </w:r>
      <w:r w:rsidRPr="005203F4">
        <w:t xml:space="preserve">economic growth </w:t>
      </w:r>
      <w:r>
        <w:t>to enhance the well</w:t>
      </w:r>
      <w:r>
        <w:noBreakHyphen/>
      </w:r>
      <w:r w:rsidRPr="005203F4">
        <w:t>being of women and girls</w:t>
      </w:r>
      <w:r>
        <w:t xml:space="preserve">.  </w:t>
      </w:r>
      <w:r>
        <w:rPr>
          <w:rFonts w:cstheme="minorHAnsi"/>
        </w:rPr>
        <w:t xml:space="preserve">These programs, as well as our funding to </w:t>
      </w:r>
      <w:r w:rsidRPr="00BA3063">
        <w:rPr>
          <w:rFonts w:cstheme="minorHAnsi"/>
        </w:rPr>
        <w:t>the Samoa Disability Partnership Program</w:t>
      </w:r>
      <w:r>
        <w:rPr>
          <w:rFonts w:cstheme="minorHAnsi"/>
        </w:rPr>
        <w:t xml:space="preserve">, </w:t>
      </w:r>
      <w:r w:rsidRPr="00BA3063">
        <w:rPr>
          <w:rFonts w:cstheme="minorHAnsi"/>
        </w:rPr>
        <w:t>will further cement our mutual commitment to focus on the most vulnerable, including women and girls, people with disabilities, and those living in poverty</w:t>
      </w:r>
      <w:r>
        <w:t xml:space="preserve">. </w:t>
      </w:r>
    </w:p>
    <w:p w14:paraId="11EC4F05" w14:textId="092D51BF" w:rsidR="00AE33A2" w:rsidRDefault="00AE33A2" w:rsidP="00A671E8">
      <w:pPr>
        <w:widowControl w:val="0"/>
        <w:spacing w:before="60" w:after="120" w:line="260" w:lineRule="exact"/>
        <w:rPr>
          <w:rFonts w:cstheme="minorHAnsi"/>
        </w:rPr>
      </w:pPr>
      <w:r>
        <w:t xml:space="preserve">Australia will continue to invest in Samoa’s disaster and climate resilience and preparedness, including through regional climate change programs, and integrating resilience across our portfolio. To address the pressing food security needs of the most vulnerable, the </w:t>
      </w:r>
      <w:r w:rsidRPr="00C44D17">
        <w:t>Australian Centre for International Agricultural Research</w:t>
      </w:r>
      <w:r>
        <w:t xml:space="preserve"> (ACIAR) will enhance farmer resilience and improve </w:t>
      </w:r>
      <w:r w:rsidRPr="00DA1CA7">
        <w:t xml:space="preserve">food </w:t>
      </w:r>
      <w:r>
        <w:t xml:space="preserve">and nutrition </w:t>
      </w:r>
      <w:r w:rsidRPr="00DA1CA7">
        <w:t>security</w:t>
      </w:r>
      <w:r>
        <w:t>.</w:t>
      </w:r>
    </w:p>
    <w:p w14:paraId="30DF9CC4" w14:textId="17EF4126" w:rsidR="00646360" w:rsidRDefault="00646360" w:rsidP="00A671E8">
      <w:pPr>
        <w:widowControl w:val="0"/>
        <w:spacing w:before="60" w:after="120" w:line="260" w:lineRule="exact"/>
      </w:pPr>
      <w:r>
        <w:t xml:space="preserve">The </w:t>
      </w:r>
      <w:r w:rsidRPr="0029478C">
        <w:t>Australian Defence Force</w:t>
      </w:r>
      <w:r>
        <w:t xml:space="preserve"> </w:t>
      </w:r>
      <w:r w:rsidR="00BA7E27">
        <w:t xml:space="preserve">(ADF) </w:t>
      </w:r>
      <w:r>
        <w:t xml:space="preserve">will continue to build Samoa’s capability to police its borders and secure its exclusive economic zone, including fisheries. The </w:t>
      </w:r>
      <w:r w:rsidRPr="0029478C">
        <w:t>Australian Federal Police</w:t>
      </w:r>
      <w:r>
        <w:t xml:space="preserve"> (AFP) will continue to engage with the Samoa Police Service to </w:t>
      </w:r>
      <w:r w:rsidRPr="002A6E86">
        <w:t>strengthen core policing functions</w:t>
      </w:r>
      <w:r>
        <w:t xml:space="preserve"> and</w:t>
      </w:r>
      <w:r w:rsidRPr="002A6E86">
        <w:t xml:space="preserve"> </w:t>
      </w:r>
      <w:r>
        <w:t xml:space="preserve">bolster </w:t>
      </w:r>
      <w:r w:rsidRPr="002A6E86">
        <w:t>organisational leadership, management</w:t>
      </w:r>
      <w:r>
        <w:t>,</w:t>
      </w:r>
      <w:r w:rsidRPr="002A6E86">
        <w:t xml:space="preserve"> and corporate </w:t>
      </w:r>
      <w:r>
        <w:t>capabilities, broadly and in priority areas (for example, addressing gender-based violence).</w:t>
      </w:r>
    </w:p>
    <w:p w14:paraId="0D8DDCA7" w14:textId="1EB2460C" w:rsidR="00646360" w:rsidRPr="001E03BE" w:rsidRDefault="00646360" w:rsidP="0092573E">
      <w:pPr>
        <w:pStyle w:val="Heading3"/>
      </w:pPr>
      <w:r w:rsidRPr="001E03BE">
        <w:t>Economic Recovery</w:t>
      </w:r>
    </w:p>
    <w:p w14:paraId="1656B728" w14:textId="77777777" w:rsidR="00646360" w:rsidRDefault="00646360" w:rsidP="00A671E8">
      <w:pPr>
        <w:widowControl w:val="0"/>
        <w:spacing w:before="60" w:after="120" w:line="260" w:lineRule="exact"/>
      </w:pPr>
      <w:r>
        <w:rPr>
          <w:rFonts w:cstheme="minorHAnsi"/>
        </w:rPr>
        <w:t xml:space="preserve">The </w:t>
      </w:r>
      <w:r w:rsidRPr="0089033C">
        <w:rPr>
          <w:rFonts w:cstheme="minorHAnsi"/>
        </w:rPr>
        <w:t>Government of Samoa and business</w:t>
      </w:r>
      <w:r>
        <w:rPr>
          <w:rFonts w:cstheme="minorHAnsi"/>
        </w:rPr>
        <w:t>es</w:t>
      </w:r>
      <w:r w:rsidRPr="0089033C">
        <w:rPr>
          <w:rFonts w:cstheme="minorHAnsi"/>
        </w:rPr>
        <w:t xml:space="preserve"> face </w:t>
      </w:r>
      <w:r>
        <w:rPr>
          <w:rFonts w:cstheme="minorHAnsi"/>
        </w:rPr>
        <w:t xml:space="preserve">pressing </w:t>
      </w:r>
      <w:r w:rsidRPr="0089033C">
        <w:rPr>
          <w:rFonts w:cstheme="minorHAnsi"/>
        </w:rPr>
        <w:t xml:space="preserve">challenges. </w:t>
      </w:r>
      <w:r w:rsidRPr="000F179E">
        <w:t xml:space="preserve">The Government’s two </w:t>
      </w:r>
      <w:r w:rsidRPr="00DB3CD7">
        <w:t>stimulus packages in</w:t>
      </w:r>
      <w:r w:rsidRPr="000F179E">
        <w:t xml:space="preserve"> </w:t>
      </w:r>
      <w:r>
        <w:t>the first half of</w:t>
      </w:r>
      <w:r w:rsidRPr="000F179E">
        <w:t xml:space="preserve"> 2020 sought to protect or cushion families from the impact</w:t>
      </w:r>
      <w:r>
        <w:t>s of COVID</w:t>
      </w:r>
      <w:r>
        <w:noBreakHyphen/>
        <w:t>1</w:t>
      </w:r>
      <w:r w:rsidRPr="000F179E">
        <w:t xml:space="preserve">9, while keeping businesses solvent. </w:t>
      </w:r>
      <w:r>
        <w:t>T</w:t>
      </w:r>
      <w:r w:rsidRPr="000F179E">
        <w:t xml:space="preserve">he ability of Government to finance such measures </w:t>
      </w:r>
      <w:r>
        <w:t>in the medium-term</w:t>
      </w:r>
      <w:r w:rsidRPr="000F179E">
        <w:t xml:space="preserve"> will be informed by the depth and length of the economic downturn and the health of public finances</w:t>
      </w:r>
      <w:r w:rsidRPr="0089033C">
        <w:t xml:space="preserve">. </w:t>
      </w:r>
    </w:p>
    <w:p w14:paraId="17BD2DC2" w14:textId="2FA147F3" w:rsidR="00646360" w:rsidRPr="00C44D17" w:rsidRDefault="00646360" w:rsidP="00A671E8">
      <w:pPr>
        <w:widowControl w:val="0"/>
        <w:spacing w:before="60" w:after="120" w:line="260" w:lineRule="exact"/>
        <w:rPr>
          <w:rFonts w:cstheme="minorHAnsi"/>
        </w:rPr>
      </w:pPr>
      <w:r w:rsidRPr="000F179E">
        <w:t xml:space="preserve">The Government of Samoa will need to make prudent investments that stimulate recovery and economic resilience, while navigating a pathway through debt management and fiscal sustainability. </w:t>
      </w:r>
      <w:r>
        <w:t>Adjustments will be required across all sectors</w:t>
      </w:r>
      <w:r w:rsidRPr="000F179E">
        <w:t>. Line ministries</w:t>
      </w:r>
      <w:r>
        <w:t xml:space="preserve"> </w:t>
      </w:r>
      <w:r w:rsidRPr="000F179E">
        <w:t>may be</w:t>
      </w:r>
      <w:r w:rsidRPr="00646360">
        <w:t xml:space="preserve"> </w:t>
      </w:r>
      <w:r w:rsidRPr="000F179E">
        <w:t>required to operate in a tightening fiscal environment</w:t>
      </w:r>
      <w:r w:rsidR="00BA7E27">
        <w:t xml:space="preserve"> </w:t>
      </w:r>
      <w:r>
        <w:t>requir</w:t>
      </w:r>
      <w:r w:rsidR="00BA7E27">
        <w:t>ing</w:t>
      </w:r>
      <w:r w:rsidRPr="00C44D17">
        <w:rPr>
          <w:rFonts w:cstheme="minorHAnsi"/>
        </w:rPr>
        <w:t xml:space="preserve"> difficult policy and operational decisions.</w:t>
      </w:r>
    </w:p>
    <w:p w14:paraId="4F91361B" w14:textId="4BAE3F2E" w:rsidR="00646360" w:rsidRDefault="00646360" w:rsidP="00A671E8">
      <w:pPr>
        <w:widowControl w:val="0"/>
        <w:spacing w:before="60" w:after="120" w:line="260" w:lineRule="exact"/>
        <w:rPr>
          <w:rFonts w:cstheme="minorHAnsi"/>
        </w:rPr>
      </w:pPr>
      <w:r w:rsidRPr="00C44D17">
        <w:rPr>
          <w:rFonts w:cstheme="minorHAnsi"/>
        </w:rPr>
        <w:t>Australia is acutely aware of these challenges. The Joint Policy Action Matrix - a collaboration between the Governments of Samoa, Australia and New Zealand and the ADB and World Bank - will be used as a mechanism to leverage policy reforms and to channel and monitor budget support, including that provided by Australia in mid-2020. Through</w:t>
      </w:r>
      <w:r>
        <w:rPr>
          <w:rFonts w:cstheme="minorHAnsi"/>
        </w:rPr>
        <w:t xml:space="preserve"> close engagement with the Samoan Government and business community, we</w:t>
      </w:r>
      <w:r w:rsidRPr="00A90A66">
        <w:rPr>
          <w:rFonts w:cstheme="minorHAnsi"/>
        </w:rPr>
        <w:t xml:space="preserve"> will actively support </w:t>
      </w:r>
      <w:r>
        <w:rPr>
          <w:rFonts w:cstheme="minorHAnsi"/>
        </w:rPr>
        <w:t xml:space="preserve">measures that facilitate work and </w:t>
      </w:r>
      <w:r w:rsidRPr="00A77ADF">
        <w:rPr>
          <w:rFonts w:cstheme="minorHAnsi"/>
        </w:rPr>
        <w:t xml:space="preserve">economic </w:t>
      </w:r>
      <w:r w:rsidRPr="00671711">
        <w:rPr>
          <w:rFonts w:cstheme="minorHAnsi"/>
        </w:rPr>
        <w:t>empowerment</w:t>
      </w:r>
      <w:r w:rsidRPr="00A90A66">
        <w:rPr>
          <w:rFonts w:cstheme="minorHAnsi"/>
        </w:rPr>
        <w:t xml:space="preserve">, </w:t>
      </w:r>
      <w:r>
        <w:rPr>
          <w:rFonts w:cstheme="minorHAnsi"/>
        </w:rPr>
        <w:t>that nurture an enabling business environment,</w:t>
      </w:r>
      <w:r w:rsidRPr="00A90A66">
        <w:rPr>
          <w:rFonts w:cstheme="minorHAnsi"/>
        </w:rPr>
        <w:t xml:space="preserve"> and </w:t>
      </w:r>
      <w:r>
        <w:rPr>
          <w:rFonts w:cstheme="minorHAnsi"/>
        </w:rPr>
        <w:t xml:space="preserve">that stimulate </w:t>
      </w:r>
      <w:r w:rsidRPr="00A90A66">
        <w:rPr>
          <w:rFonts w:cstheme="minorHAnsi"/>
        </w:rPr>
        <w:t>long-term</w:t>
      </w:r>
      <w:r>
        <w:rPr>
          <w:rFonts w:cstheme="minorHAnsi"/>
        </w:rPr>
        <w:t xml:space="preserve"> recovery and</w:t>
      </w:r>
      <w:r w:rsidRPr="00A90A66">
        <w:rPr>
          <w:rFonts w:cstheme="minorHAnsi"/>
        </w:rPr>
        <w:t xml:space="preserve"> resilience</w:t>
      </w:r>
      <w:r>
        <w:rPr>
          <w:rFonts w:cstheme="minorHAnsi"/>
        </w:rPr>
        <w:t xml:space="preserve">. </w:t>
      </w:r>
    </w:p>
    <w:p w14:paraId="10D5805B" w14:textId="77777777" w:rsidR="00646360" w:rsidRPr="00C44D17" w:rsidRDefault="00646360" w:rsidP="00A671E8">
      <w:pPr>
        <w:widowControl w:val="0"/>
        <w:spacing w:before="60" w:after="120" w:line="260" w:lineRule="exact"/>
        <w:rPr>
          <w:rFonts w:cstheme="minorHAnsi"/>
        </w:rPr>
      </w:pPr>
      <w:r w:rsidRPr="00C44D17">
        <w:rPr>
          <w:rFonts w:cstheme="minorHAnsi"/>
        </w:rPr>
        <w:t>Australia’s resilient infrastructure investments, such as the planned construction of the Legislative Assembly Office, will provide opportunities for employment and skills generation. Further opportunities will be explored through the Australian Infrastructure Financing Facility for the Pacific.</w:t>
      </w:r>
    </w:p>
    <w:p w14:paraId="69A9CEAA" w14:textId="75C0235D" w:rsidR="00646360" w:rsidRDefault="00646360" w:rsidP="00A671E8">
      <w:pPr>
        <w:widowControl w:val="0"/>
        <w:spacing w:before="60" w:after="120" w:line="260" w:lineRule="exact"/>
        <w:rPr>
          <w:rFonts w:cstheme="minorHAnsi"/>
        </w:rPr>
      </w:pPr>
      <w:r>
        <w:rPr>
          <w:rFonts w:cstheme="minorHAnsi"/>
        </w:rPr>
        <w:t>Labour mobility remains a key mutual priority: w</w:t>
      </w:r>
      <w:r w:rsidRPr="00C44D17">
        <w:rPr>
          <w:rFonts w:cstheme="minorHAnsi"/>
        </w:rPr>
        <w:t xml:space="preserve">e will </w:t>
      </w:r>
      <w:r>
        <w:rPr>
          <w:rFonts w:cstheme="minorHAnsi"/>
        </w:rPr>
        <w:t xml:space="preserve">work </w:t>
      </w:r>
      <w:r w:rsidRPr="00C44D17">
        <w:rPr>
          <w:rFonts w:cstheme="minorHAnsi"/>
        </w:rPr>
        <w:t xml:space="preserve">closely with Samoa, Australian </w:t>
      </w:r>
      <w:r>
        <w:rPr>
          <w:rFonts w:cstheme="minorHAnsi"/>
        </w:rPr>
        <w:t>state and territory governments</w:t>
      </w:r>
      <w:r w:rsidRPr="00C44D17">
        <w:rPr>
          <w:rFonts w:cstheme="minorHAnsi"/>
        </w:rPr>
        <w:t xml:space="preserve"> and industry to safely re-establish labour mobility schemes, including negotiati</w:t>
      </w:r>
      <w:r w:rsidR="0017049E">
        <w:rPr>
          <w:rFonts w:cstheme="minorHAnsi"/>
        </w:rPr>
        <w:t>ng</w:t>
      </w:r>
      <w:r w:rsidR="001977F3">
        <w:rPr>
          <w:rFonts w:cstheme="minorHAnsi"/>
        </w:rPr>
        <w:t xml:space="preserve"> </w:t>
      </w:r>
      <w:r w:rsidRPr="00C44D17">
        <w:rPr>
          <w:rFonts w:cstheme="minorHAnsi"/>
        </w:rPr>
        <w:t xml:space="preserve">repatriation arrangements.  </w:t>
      </w:r>
      <w:r>
        <w:rPr>
          <w:rFonts w:cstheme="minorHAnsi"/>
        </w:rPr>
        <w:t xml:space="preserve">We will support </w:t>
      </w:r>
      <w:r w:rsidRPr="00C44D17">
        <w:rPr>
          <w:rFonts w:cstheme="minorHAnsi"/>
        </w:rPr>
        <w:t>inclusive skills development through the Australia Pacific Training Coalition, adapting training to ensure offerings reflect the needs of employers in Samoa and those industries hardest hit (such as tourism). We will also work to leverage opportunities to link skills with our infrastructure investments.</w:t>
      </w:r>
    </w:p>
    <w:p w14:paraId="326A4506" w14:textId="4658131F" w:rsidR="00646360" w:rsidRDefault="00646360" w:rsidP="00A671E8">
      <w:pPr>
        <w:widowControl w:val="0"/>
        <w:spacing w:before="60" w:after="120" w:line="260" w:lineRule="exact"/>
      </w:pPr>
      <w:r>
        <w:t xml:space="preserve">Samoa’s economic and social recovery will rely on open and </w:t>
      </w:r>
      <w:r w:rsidRPr="00C44D17">
        <w:rPr>
          <w:rFonts w:cstheme="minorHAnsi"/>
        </w:rPr>
        <w:t xml:space="preserve">reliable trade corridors and free movement of technical expertise, goods and, when safe and appropriate, tourists. </w:t>
      </w:r>
      <w:r w:rsidR="00C231CE">
        <w:rPr>
          <w:rFonts w:cstheme="minorHAnsi"/>
        </w:rPr>
        <w:t xml:space="preserve">Our support </w:t>
      </w:r>
      <w:r w:rsidR="00BA7E27">
        <w:rPr>
          <w:rFonts w:cstheme="minorHAnsi"/>
        </w:rPr>
        <w:t xml:space="preserve">for </w:t>
      </w:r>
      <w:r w:rsidR="00C231CE">
        <w:t>the Pacific Island</w:t>
      </w:r>
      <w:r w:rsidR="006F2F2B">
        <w:t>s</w:t>
      </w:r>
      <w:r w:rsidR="00C231CE">
        <w:t xml:space="preserve"> Forum’s Pacific Humanitarian Pathway</w:t>
      </w:r>
      <w:r w:rsidRPr="00C44D17">
        <w:rPr>
          <w:rFonts w:cstheme="minorHAnsi"/>
        </w:rPr>
        <w:t xml:space="preserve"> will </w:t>
      </w:r>
      <w:r>
        <w:rPr>
          <w:rFonts w:cstheme="minorHAnsi"/>
        </w:rPr>
        <w:t xml:space="preserve">foster </w:t>
      </w:r>
      <w:r>
        <w:rPr>
          <w:rFonts w:cstheme="minorHAnsi"/>
        </w:rPr>
        <w:lastRenderedPageBreak/>
        <w:t>ongoing connectivity between</w:t>
      </w:r>
      <w:r w:rsidR="00AC1176">
        <w:rPr>
          <w:rFonts w:cstheme="minorHAnsi"/>
        </w:rPr>
        <w:t xml:space="preserve"> Australia and Samoa, </w:t>
      </w:r>
      <w:r w:rsidRPr="00C44D17">
        <w:rPr>
          <w:rFonts w:cstheme="minorHAnsi"/>
        </w:rPr>
        <w:t>support</w:t>
      </w:r>
      <w:r w:rsidR="00AC1176">
        <w:rPr>
          <w:rFonts w:cstheme="minorHAnsi"/>
        </w:rPr>
        <w:t>ing</w:t>
      </w:r>
      <w:r w:rsidRPr="00C44D17">
        <w:rPr>
          <w:rFonts w:cstheme="minorHAnsi"/>
        </w:rPr>
        <w:t xml:space="preserve"> </w:t>
      </w:r>
      <w:r w:rsidR="00AC1176">
        <w:rPr>
          <w:rFonts w:cstheme="minorHAnsi"/>
        </w:rPr>
        <w:t>the</w:t>
      </w:r>
      <w:r w:rsidRPr="00C44D17">
        <w:rPr>
          <w:rFonts w:cstheme="minorHAnsi"/>
        </w:rPr>
        <w:t xml:space="preserve"> movement of critical supplies and people,</w:t>
      </w:r>
      <w:r>
        <w:rPr>
          <w:rFonts w:cstheme="minorHAnsi"/>
        </w:rPr>
        <w:t xml:space="preserve"> and</w:t>
      </w:r>
      <w:r w:rsidRPr="00C44D17">
        <w:rPr>
          <w:rFonts w:cstheme="minorHAnsi"/>
        </w:rPr>
        <w:t xml:space="preserve"> mitigating severe health and economic impacts. We will</w:t>
      </w:r>
      <w:r>
        <w:t xml:space="preserve"> look to support longer-term solutions for Pacific aviation.</w:t>
      </w:r>
    </w:p>
    <w:p w14:paraId="0AA4A06F" w14:textId="77777777" w:rsidR="005C3606" w:rsidRPr="00843FA0" w:rsidRDefault="005C3606" w:rsidP="00A671E8">
      <w:pPr>
        <w:widowControl w:val="0"/>
        <w:spacing w:before="60" w:after="120" w:line="260" w:lineRule="exact"/>
        <w:rPr>
          <w:lang w:val="en-AU"/>
        </w:rPr>
      </w:pPr>
      <w:r w:rsidRPr="00843FA0">
        <w:rPr>
          <w:lang w:val="en-AU"/>
        </w:rPr>
        <w:t>Australia will provide COVID-19 supplementary funding of $304.7 million as part of a COVID-19 Response Package.  This package will provide support to the Pacific and Timor-Leste to deliver critical, temporary, economic support to address pandemic impacts; this targeted, temporary (ODA) funding is for two years and is in addition to Australia’s $4</w:t>
      </w:r>
      <w:r>
        <w:rPr>
          <w:lang w:val="en-AU"/>
        </w:rPr>
        <w:t> </w:t>
      </w:r>
      <w:r w:rsidRPr="00843FA0">
        <w:rPr>
          <w:lang w:val="en-AU"/>
        </w:rPr>
        <w:t>billion ODA program.</w:t>
      </w:r>
    </w:p>
    <w:p w14:paraId="21683B3A" w14:textId="77777777" w:rsidR="00646360" w:rsidRPr="00646360" w:rsidRDefault="00646360" w:rsidP="0092573E">
      <w:pPr>
        <w:pStyle w:val="Heading2"/>
      </w:pPr>
      <w:r w:rsidRPr="00646360">
        <w:t>HOW WE WILL WORK</w:t>
      </w:r>
    </w:p>
    <w:p w14:paraId="2D36138E" w14:textId="0E1D4892" w:rsidR="003A1197" w:rsidRDefault="00646360" w:rsidP="00A671E8">
      <w:pPr>
        <w:widowControl w:val="0"/>
        <w:spacing w:before="60" w:after="120" w:line="260" w:lineRule="exact"/>
      </w:pPr>
      <w:r w:rsidRPr="00BA1DC6">
        <w:t>Australia’s support to Samoa</w:t>
      </w:r>
      <w:r>
        <w:t xml:space="preserve"> will be led b</w:t>
      </w:r>
      <w:r w:rsidRPr="00D90C2B">
        <w:t>y local priorities</w:t>
      </w:r>
      <w:r>
        <w:t>. We w</w:t>
      </w:r>
      <w:r w:rsidRPr="00D90C2B">
        <w:t xml:space="preserve">ill work closely with </w:t>
      </w:r>
      <w:r w:rsidR="003A1197">
        <w:t xml:space="preserve">a broad range of government, civil society, faith-based and international development partners </w:t>
      </w:r>
      <w:r w:rsidRPr="00D90C2B">
        <w:t>to help solve pressing problems. In doing so, Australia will play to its comparat</w:t>
      </w:r>
      <w:r>
        <w:t>ive advantages</w:t>
      </w:r>
      <w:r w:rsidRPr="00D90C2B">
        <w:t xml:space="preserve"> </w:t>
      </w:r>
      <w:r>
        <w:t xml:space="preserve">and </w:t>
      </w:r>
      <w:r w:rsidRPr="00D90C2B">
        <w:t>leverag</w:t>
      </w:r>
      <w:r>
        <w:t>e</w:t>
      </w:r>
      <w:r w:rsidRPr="00D90C2B">
        <w:t xml:space="preserve"> the expertise of others</w:t>
      </w:r>
      <w:r>
        <w:t>. Australia</w:t>
      </w:r>
      <w:r w:rsidRPr="00D90C2B">
        <w:t xml:space="preserve"> will ensure our investments in the response phase are </w:t>
      </w:r>
      <w:r>
        <w:t>consistent</w:t>
      </w:r>
      <w:r w:rsidRPr="00D90C2B">
        <w:t xml:space="preserve"> wit</w:t>
      </w:r>
      <w:r>
        <w:t>h a longer-term vision for post</w:t>
      </w:r>
      <w:r>
        <w:noBreakHyphen/>
      </w:r>
      <w:r w:rsidRPr="00D90C2B">
        <w:t>COVID</w:t>
      </w:r>
      <w:r>
        <w:t>-19</w:t>
      </w:r>
      <w:r w:rsidRPr="00D90C2B">
        <w:t xml:space="preserve"> Samoa. </w:t>
      </w:r>
    </w:p>
    <w:p w14:paraId="1BCD2B26" w14:textId="77777777" w:rsidR="000433F7" w:rsidRDefault="00646360" w:rsidP="00A671E8">
      <w:pPr>
        <w:widowControl w:val="0"/>
        <w:spacing w:before="60" w:after="120" w:line="260" w:lineRule="exact"/>
      </w:pPr>
      <w:r>
        <w:t>We</w:t>
      </w:r>
      <w:r w:rsidRPr="00D90C2B">
        <w:t xml:space="preserve"> will promote </w:t>
      </w:r>
      <w:r>
        <w:t>measures</w:t>
      </w:r>
      <w:r w:rsidRPr="00D90C2B">
        <w:t xml:space="preserve"> that </w:t>
      </w:r>
      <w:r>
        <w:t>are</w:t>
      </w:r>
      <w:r w:rsidRPr="00D90C2B">
        <w:t xml:space="preserve"> inclusive in ends </w:t>
      </w:r>
      <w:r w:rsidRPr="00D42CBE">
        <w:rPr>
          <w:iCs/>
        </w:rPr>
        <w:t>and</w:t>
      </w:r>
      <w:r w:rsidRPr="00D90C2B">
        <w:t xml:space="preserve"> means, ensur</w:t>
      </w:r>
      <w:r>
        <w:t>ing vulnerable groups -</w:t>
      </w:r>
      <w:r w:rsidRPr="00D90C2B">
        <w:t xml:space="preserve"> including women and girls</w:t>
      </w:r>
      <w:r>
        <w:t xml:space="preserve"> and people with disabilities - secure benefit from, </w:t>
      </w:r>
      <w:r w:rsidRPr="00BA3063">
        <w:rPr>
          <w:iCs/>
        </w:rPr>
        <w:t>and are involved in</w:t>
      </w:r>
      <w:r>
        <w:t xml:space="preserve">, </w:t>
      </w:r>
      <w:r w:rsidRPr="00D90C2B">
        <w:t xml:space="preserve">decision-making processes. </w:t>
      </w:r>
      <w:r>
        <w:t>W</w:t>
      </w:r>
      <w:r w:rsidRPr="00D90C2B">
        <w:t>e will</w:t>
      </w:r>
      <w:r>
        <w:t xml:space="preserve"> </w:t>
      </w:r>
      <w:r w:rsidRPr="00D90C2B">
        <w:t>advocate for</w:t>
      </w:r>
      <w:r>
        <w:t xml:space="preserve"> </w:t>
      </w:r>
      <w:r w:rsidRPr="00D90C2B">
        <w:t>and</w:t>
      </w:r>
      <w:r w:rsidR="00AF5B52">
        <w:t xml:space="preserve"> </w:t>
      </w:r>
      <w:r w:rsidRPr="00D90C2B">
        <w:t xml:space="preserve">undertake specific measures to ensure </w:t>
      </w:r>
      <w:r>
        <w:t xml:space="preserve">everyone has </w:t>
      </w:r>
      <w:r w:rsidRPr="00D90C2B">
        <w:t>access to opportunitie</w:t>
      </w:r>
      <w:r w:rsidR="005C0FBA">
        <w:t>s, goods and services, and that h</w:t>
      </w:r>
      <w:r w:rsidRPr="00D90C2B">
        <w:t xml:space="preserve">ouseholds, communities, service providers and the national economy are more resilient to future shocks. </w:t>
      </w:r>
    </w:p>
    <w:p w14:paraId="18778E99" w14:textId="1F840212" w:rsidR="00646360" w:rsidRDefault="00BC7E7C" w:rsidP="00A671E8">
      <w:pPr>
        <w:widowControl w:val="0"/>
        <w:spacing w:before="60" w:after="120" w:line="260" w:lineRule="exact"/>
      </w:pPr>
      <w:r>
        <w:t>Australia will use</w:t>
      </w:r>
      <w:r w:rsidR="00646360">
        <w:t xml:space="preserve"> a range of modalities to support Samoa’s resilience, security and prosperity. The choice of modality will be guided by our shared commitment to deliver effective and efficient change for those most in need. We will continue to work through Government of Samoa </w:t>
      </w:r>
      <w:r w:rsidR="00646360" w:rsidRPr="009B0DC3">
        <w:t xml:space="preserve">systems </w:t>
      </w:r>
      <w:r w:rsidR="00646360">
        <w:t xml:space="preserve">(providing </w:t>
      </w:r>
      <w:r w:rsidR="00646360" w:rsidRPr="00F13AC5">
        <w:t>targeted and general budget support</w:t>
      </w:r>
      <w:r w:rsidR="00646360">
        <w:t>)</w:t>
      </w:r>
      <w:r w:rsidR="00646360" w:rsidRPr="00F13AC5">
        <w:t xml:space="preserve"> </w:t>
      </w:r>
      <w:r w:rsidR="00646360">
        <w:t>w</w:t>
      </w:r>
      <w:r w:rsidR="00646360" w:rsidRPr="009B0DC3">
        <w:t>he</w:t>
      </w:r>
      <w:r w:rsidR="00646360">
        <w:t xml:space="preserve">re appropriate, while also working with and through multilateral institutions, non-government organisations, civil society, managing contractors and other bodies. </w:t>
      </w:r>
    </w:p>
    <w:p w14:paraId="480AEA58" w14:textId="3780FE30" w:rsidR="003A1197" w:rsidRDefault="003A1197" w:rsidP="00A671E8">
      <w:pPr>
        <w:widowControl w:val="0"/>
        <w:spacing w:before="60" w:after="120" w:line="260" w:lineRule="exact"/>
      </w:pPr>
      <w:r>
        <w:t>We</w:t>
      </w:r>
      <w:r>
        <w:rPr>
          <w:rFonts w:cstheme="minorHAnsi"/>
        </w:rPr>
        <w:t xml:space="preserve"> will continue to provide targeted technical assistance that meets the priority needs of key decision</w:t>
      </w:r>
      <w:r>
        <w:rPr>
          <w:rFonts w:cstheme="minorHAnsi"/>
        </w:rPr>
        <w:noBreakHyphen/>
        <w:t xml:space="preserve">makers in both established (for example, economic policy) and emerging areas (including social protection). </w:t>
      </w:r>
      <w:r w:rsidR="000433F7">
        <w:t xml:space="preserve">We will make greater use of local </w:t>
      </w:r>
      <w:proofErr w:type="gramStart"/>
      <w:r w:rsidR="000433F7">
        <w:t>expertise, and</w:t>
      </w:r>
      <w:proofErr w:type="gramEnd"/>
      <w:r w:rsidR="000433F7">
        <w:t xml:space="preserve"> develop creative models for remote support (for example, using mentoring, synthesising international evidence, peer review, and policy options drawn from external environments).</w:t>
      </w:r>
    </w:p>
    <w:p w14:paraId="3DA62F91" w14:textId="71496562" w:rsidR="00646360" w:rsidRDefault="00646360" w:rsidP="00A671E8">
      <w:pPr>
        <w:widowControl w:val="0"/>
        <w:spacing w:before="60" w:after="120" w:line="260" w:lineRule="exact"/>
        <w:rPr>
          <w:rFonts w:cstheme="minorHAnsi"/>
        </w:rPr>
      </w:pPr>
      <w:r>
        <w:t xml:space="preserve">We </w:t>
      </w:r>
      <w:r w:rsidRPr="00D107A5">
        <w:rPr>
          <w:rFonts w:cstheme="minorHAnsi"/>
        </w:rPr>
        <w:t xml:space="preserve">will </w:t>
      </w:r>
      <w:r>
        <w:rPr>
          <w:rFonts w:cstheme="minorHAnsi"/>
        </w:rPr>
        <w:t>continue</w:t>
      </w:r>
      <w:r w:rsidRPr="00D107A5">
        <w:rPr>
          <w:rFonts w:cstheme="minorHAnsi"/>
        </w:rPr>
        <w:t xml:space="preserve"> to nurture people-to-people links</w:t>
      </w:r>
      <w:r>
        <w:rPr>
          <w:rFonts w:cstheme="minorHAnsi"/>
        </w:rPr>
        <w:t xml:space="preserve"> and support tomorrow’s leaders, </w:t>
      </w:r>
      <w:r w:rsidRPr="00D107A5">
        <w:rPr>
          <w:rFonts w:cstheme="minorHAnsi"/>
        </w:rPr>
        <w:t>while building the skills and capabilities</w:t>
      </w:r>
      <w:r w:rsidRPr="006368CA">
        <w:t xml:space="preserve"> required to support Samoa’s </w:t>
      </w:r>
      <w:r>
        <w:t>recovery</w:t>
      </w:r>
      <w:r w:rsidRPr="006368CA">
        <w:t>.</w:t>
      </w:r>
      <w:r w:rsidRPr="00E9481E">
        <w:rPr>
          <w:rFonts w:cstheme="minorHAnsi"/>
        </w:rPr>
        <w:t xml:space="preserve"> </w:t>
      </w:r>
      <w:r>
        <w:rPr>
          <w:rFonts w:cstheme="minorHAnsi"/>
        </w:rPr>
        <w:t>We will pursue opportunities for virtual short-courses and continue offering</w:t>
      </w:r>
      <w:r w:rsidR="00CA4FEB">
        <w:rPr>
          <w:rFonts w:cstheme="minorHAnsi"/>
        </w:rPr>
        <w:t xml:space="preserve"> post</w:t>
      </w:r>
      <w:r w:rsidR="001977F3">
        <w:rPr>
          <w:rFonts w:cstheme="minorHAnsi"/>
        </w:rPr>
        <w:t>-</w:t>
      </w:r>
      <w:r w:rsidR="00CA4FEB">
        <w:rPr>
          <w:rFonts w:cstheme="minorHAnsi"/>
        </w:rPr>
        <w:t>graduate</w:t>
      </w:r>
      <w:r>
        <w:rPr>
          <w:rFonts w:cstheme="minorHAnsi"/>
        </w:rPr>
        <w:t xml:space="preserve"> scholarships for online programs.</w:t>
      </w:r>
    </w:p>
    <w:p w14:paraId="25AF9927" w14:textId="77777777" w:rsidR="00AF5B52" w:rsidRDefault="00646360" w:rsidP="00A671E8">
      <w:pPr>
        <w:widowControl w:val="0"/>
        <w:spacing w:before="60" w:after="120" w:line="260" w:lineRule="exact"/>
      </w:pPr>
      <w:r w:rsidRPr="00BA3063">
        <w:t xml:space="preserve">Inbuilt programming </w:t>
      </w:r>
      <w:r>
        <w:t xml:space="preserve">flexibility </w:t>
      </w:r>
      <w:r w:rsidRPr="00BA3063">
        <w:t>will allow us to respond to opportunities, navigate the evolving context and adjust strategies and investments in the pursuit of optimal returns. We will promote similar ways of working with our partners. We will foster a culture of mutual accountability and open and honest review, with a view to lea</w:t>
      </w:r>
      <w:r>
        <w:t>rning and improving performance.</w:t>
      </w:r>
    </w:p>
    <w:p w14:paraId="60008CD6" w14:textId="77777777" w:rsidR="00A671E8" w:rsidRDefault="00A671E8" w:rsidP="00A671E8">
      <w:pPr>
        <w:widowControl w:val="0"/>
        <w:spacing w:before="60" w:after="120" w:line="260" w:lineRule="exact"/>
        <w:sectPr w:rsidR="00A671E8" w:rsidSect="00A671E8">
          <w:type w:val="continuous"/>
          <w:pgSz w:w="11906" w:h="16838" w:code="9"/>
          <w:pgMar w:top="1559" w:right="680" w:bottom="1418" w:left="680" w:header="425" w:footer="567" w:gutter="0"/>
          <w:cols w:num="2" w:space="397"/>
          <w:titlePg/>
          <w:docGrid w:linePitch="360"/>
        </w:sectPr>
      </w:pPr>
    </w:p>
    <w:p w14:paraId="30FDB29E" w14:textId="77777777" w:rsidR="00B05B87" w:rsidRPr="002945C4" w:rsidRDefault="00B05B87" w:rsidP="00AF5B52">
      <w:pPr>
        <w:spacing w:before="360"/>
        <w:rPr>
          <w:sz w:val="14"/>
          <w:szCs w:val="14"/>
        </w:rPr>
        <w:sectPr w:rsidR="00B05B87" w:rsidRPr="002945C4" w:rsidSect="00116CC6">
          <w:type w:val="continuous"/>
          <w:pgSz w:w="11906" w:h="16838" w:code="9"/>
          <w:pgMar w:top="1559" w:right="680" w:bottom="1418" w:left="680" w:header="425" w:footer="567" w:gutter="0"/>
          <w:cols w:num="2" w:space="397"/>
          <w:titlePg/>
          <w:docGrid w:linePitch="360"/>
        </w:sectPr>
      </w:pPr>
    </w:p>
    <w:p w14:paraId="74E6D8D9" w14:textId="0B531B17" w:rsidR="00BC1FED" w:rsidRDefault="002C7FC9" w:rsidP="0092573E">
      <w:pPr>
        <w:pStyle w:val="Heading2"/>
      </w:pPr>
      <w:r w:rsidRPr="002945C4">
        <w:lastRenderedPageBreak/>
        <w:t>Table 1: COVID-19 Response Plan Performance Framework</w:t>
      </w:r>
    </w:p>
    <w:tbl>
      <w:tblPr>
        <w:tblStyle w:val="TableGrid"/>
        <w:tblW w:w="10915" w:type="dxa"/>
        <w:tblInd w:w="-1139" w:type="dxa"/>
        <w:tblLook w:val="04A0" w:firstRow="1" w:lastRow="0" w:firstColumn="1" w:lastColumn="0" w:noHBand="0" w:noVBand="1"/>
        <w:tblDescription w:val="Table 1: COVID-19 Response Plan Performance Framework"/>
      </w:tblPr>
      <w:tblGrid>
        <w:gridCol w:w="1843"/>
        <w:gridCol w:w="2977"/>
        <w:gridCol w:w="2977"/>
        <w:gridCol w:w="3118"/>
      </w:tblGrid>
      <w:tr w:rsidR="002C7FC9" w14:paraId="1DA46E10" w14:textId="77777777" w:rsidTr="002C7FC9">
        <w:trPr>
          <w:trHeight w:val="241"/>
          <w:tblHeader/>
        </w:trPr>
        <w:tc>
          <w:tcPr>
            <w:tcW w:w="1843" w:type="dxa"/>
            <w:shd w:val="clear" w:color="auto" w:fill="65C5B4" w:themeFill="accent1"/>
            <w:vAlign w:val="center"/>
          </w:tcPr>
          <w:p w14:paraId="085B50D1" w14:textId="630F38B2" w:rsidR="002C7FC9" w:rsidRDefault="002C7FC9" w:rsidP="002C7FC9">
            <w:pPr>
              <w:keepLines/>
              <w:widowControl w:val="0"/>
              <w:tabs>
                <w:tab w:val="left" w:pos="7830"/>
              </w:tabs>
              <w:suppressAutoHyphens w:val="0"/>
              <w:spacing w:before="100" w:beforeAutospacing="1" w:after="100" w:afterAutospacing="1"/>
              <w:jc w:val="center"/>
            </w:pPr>
            <w:r w:rsidRPr="004245FC">
              <w:rPr>
                <w:b/>
                <w:color w:val="000000" w:themeColor="text1"/>
                <w:sz w:val="20"/>
                <w:szCs w:val="20"/>
              </w:rPr>
              <w:t>Response Plan</w:t>
            </w:r>
          </w:p>
        </w:tc>
        <w:tc>
          <w:tcPr>
            <w:tcW w:w="2977" w:type="dxa"/>
            <w:shd w:val="clear" w:color="auto" w:fill="65C5B4" w:themeFill="accent1"/>
            <w:vAlign w:val="center"/>
          </w:tcPr>
          <w:p w14:paraId="323826F0" w14:textId="59FEE8FE" w:rsidR="002C7FC9" w:rsidRDefault="002C7FC9" w:rsidP="002C7FC9">
            <w:pPr>
              <w:keepLines/>
              <w:widowControl w:val="0"/>
              <w:tabs>
                <w:tab w:val="left" w:pos="7830"/>
              </w:tabs>
              <w:suppressAutoHyphens w:val="0"/>
              <w:spacing w:before="100" w:beforeAutospacing="1" w:after="100" w:afterAutospacing="1"/>
              <w:jc w:val="center"/>
            </w:pPr>
            <w:r w:rsidRPr="004245FC">
              <w:rPr>
                <w:b/>
                <w:color w:val="000000" w:themeColor="text1"/>
                <w:sz w:val="20"/>
                <w:szCs w:val="20"/>
              </w:rPr>
              <w:t>Health Security</w:t>
            </w:r>
          </w:p>
        </w:tc>
        <w:tc>
          <w:tcPr>
            <w:tcW w:w="2977" w:type="dxa"/>
            <w:shd w:val="clear" w:color="auto" w:fill="65C5B4" w:themeFill="accent1"/>
            <w:vAlign w:val="center"/>
          </w:tcPr>
          <w:p w14:paraId="2F3A83D4" w14:textId="233D3A6E" w:rsidR="002C7FC9" w:rsidRDefault="002C7FC9" w:rsidP="002C7FC9">
            <w:pPr>
              <w:keepLines/>
              <w:widowControl w:val="0"/>
              <w:tabs>
                <w:tab w:val="left" w:pos="7830"/>
              </w:tabs>
              <w:suppressAutoHyphens w:val="0"/>
              <w:spacing w:before="100" w:beforeAutospacing="1" w:after="100" w:afterAutospacing="1"/>
              <w:jc w:val="center"/>
            </w:pPr>
            <w:r w:rsidRPr="004245FC">
              <w:rPr>
                <w:b/>
                <w:color w:val="000000" w:themeColor="text1"/>
                <w:sz w:val="20"/>
                <w:szCs w:val="20"/>
              </w:rPr>
              <w:t>Stability</w:t>
            </w:r>
          </w:p>
        </w:tc>
        <w:tc>
          <w:tcPr>
            <w:tcW w:w="3118" w:type="dxa"/>
            <w:shd w:val="clear" w:color="auto" w:fill="65C5B4" w:themeFill="accent1"/>
            <w:vAlign w:val="center"/>
          </w:tcPr>
          <w:p w14:paraId="72E03028" w14:textId="7EF765D9" w:rsidR="002C7FC9" w:rsidRDefault="002C7FC9" w:rsidP="002C7FC9">
            <w:pPr>
              <w:keepLines/>
              <w:widowControl w:val="0"/>
              <w:tabs>
                <w:tab w:val="left" w:pos="7830"/>
              </w:tabs>
              <w:suppressAutoHyphens w:val="0"/>
              <w:spacing w:before="100" w:beforeAutospacing="1" w:after="100" w:afterAutospacing="1"/>
              <w:jc w:val="center"/>
            </w:pPr>
            <w:r w:rsidRPr="004245FC">
              <w:rPr>
                <w:b/>
                <w:color w:val="000000" w:themeColor="text1"/>
                <w:sz w:val="20"/>
                <w:szCs w:val="20"/>
              </w:rPr>
              <w:t>Economic Recovery</w:t>
            </w:r>
          </w:p>
        </w:tc>
      </w:tr>
      <w:tr w:rsidR="002C7FC9" w14:paraId="115CBD81" w14:textId="77777777" w:rsidTr="002C7FC9">
        <w:trPr>
          <w:tblHeader/>
        </w:trPr>
        <w:tc>
          <w:tcPr>
            <w:tcW w:w="1843" w:type="dxa"/>
            <w:shd w:val="clear" w:color="auto" w:fill="F2F2F2" w:themeFill="background1" w:themeFillShade="F2"/>
          </w:tcPr>
          <w:p w14:paraId="549C2D16" w14:textId="77777777" w:rsidR="002C7FC9" w:rsidRPr="005A56DF" w:rsidRDefault="002C7FC9" w:rsidP="002C7FC9">
            <w:pPr>
              <w:keepLines/>
              <w:widowControl w:val="0"/>
              <w:suppressAutoHyphens w:val="0"/>
              <w:spacing w:before="100" w:beforeAutospacing="1" w:after="100" w:afterAutospacing="1" w:line="240" w:lineRule="auto"/>
              <w:rPr>
                <w:b/>
                <w:sz w:val="20"/>
                <w:szCs w:val="20"/>
              </w:rPr>
            </w:pPr>
            <w:r w:rsidRPr="005A56DF">
              <w:rPr>
                <w:b/>
                <w:sz w:val="20"/>
                <w:szCs w:val="20"/>
              </w:rPr>
              <w:t>Expected Outcomes</w:t>
            </w:r>
          </w:p>
          <w:p w14:paraId="481F1548" w14:textId="77777777" w:rsidR="002C7FC9" w:rsidRDefault="002C7FC9" w:rsidP="002C7FC9">
            <w:pPr>
              <w:keepLines/>
              <w:widowControl w:val="0"/>
              <w:tabs>
                <w:tab w:val="left" w:pos="7830"/>
              </w:tabs>
              <w:suppressAutoHyphens w:val="0"/>
              <w:spacing w:before="100" w:beforeAutospacing="1" w:after="100" w:afterAutospacing="1"/>
            </w:pPr>
          </w:p>
        </w:tc>
        <w:tc>
          <w:tcPr>
            <w:tcW w:w="2977" w:type="dxa"/>
          </w:tcPr>
          <w:p w14:paraId="067A7D1D" w14:textId="77777777" w:rsidR="002C7FC9" w:rsidRPr="00966BAA" w:rsidRDefault="002C7FC9" w:rsidP="002C7FC9">
            <w:pPr>
              <w:keepLines/>
              <w:widowControl w:val="0"/>
              <w:numPr>
                <w:ilvl w:val="0"/>
                <w:numId w:val="36"/>
              </w:numPr>
              <w:suppressAutoHyphens w:val="0"/>
              <w:spacing w:before="100" w:beforeAutospacing="1" w:after="100" w:afterAutospacing="1" w:line="240" w:lineRule="auto"/>
              <w:contextualSpacing/>
              <w:rPr>
                <w:sz w:val="15"/>
                <w:szCs w:val="15"/>
              </w:rPr>
            </w:pPr>
            <w:r w:rsidRPr="00966BAA">
              <w:rPr>
                <w:sz w:val="15"/>
                <w:szCs w:val="15"/>
              </w:rPr>
              <w:t xml:space="preserve">The health system is better prepared to detect and control disease outbreaks and manage future public health crises </w:t>
            </w:r>
          </w:p>
          <w:p w14:paraId="241E6607" w14:textId="77777777" w:rsidR="002C7FC9" w:rsidRPr="00966BAA" w:rsidRDefault="002C7FC9" w:rsidP="002C7FC9">
            <w:pPr>
              <w:keepLines/>
              <w:widowControl w:val="0"/>
              <w:numPr>
                <w:ilvl w:val="0"/>
                <w:numId w:val="36"/>
              </w:numPr>
              <w:suppressAutoHyphens w:val="0"/>
              <w:spacing w:before="100" w:beforeAutospacing="1" w:after="100" w:afterAutospacing="1" w:line="240" w:lineRule="auto"/>
              <w:contextualSpacing/>
              <w:rPr>
                <w:sz w:val="15"/>
                <w:szCs w:val="15"/>
              </w:rPr>
            </w:pPr>
            <w:r w:rsidRPr="00966BAA">
              <w:rPr>
                <w:sz w:val="15"/>
                <w:szCs w:val="15"/>
              </w:rPr>
              <w:t xml:space="preserve">The health system improves service delivery to meet ongoing health needs </w:t>
            </w:r>
          </w:p>
          <w:p w14:paraId="6B805135" w14:textId="3D3CDFA1" w:rsidR="002C7FC9" w:rsidRDefault="002C7FC9" w:rsidP="002C7FC9">
            <w:pPr>
              <w:keepLines/>
              <w:widowControl w:val="0"/>
              <w:tabs>
                <w:tab w:val="left" w:pos="7830"/>
              </w:tabs>
              <w:suppressAutoHyphens w:val="0"/>
              <w:spacing w:before="100" w:beforeAutospacing="1" w:after="100" w:afterAutospacing="1"/>
            </w:pPr>
            <w:r w:rsidRPr="00966BAA">
              <w:rPr>
                <w:sz w:val="15"/>
                <w:szCs w:val="15"/>
              </w:rPr>
              <w:t>(SDGs 1, 3, 5, 13, 16 &amp; 17)</w:t>
            </w:r>
          </w:p>
        </w:tc>
        <w:tc>
          <w:tcPr>
            <w:tcW w:w="2977" w:type="dxa"/>
            <w:shd w:val="clear" w:color="auto" w:fill="F2F2F2" w:themeFill="background1" w:themeFillShade="F2"/>
          </w:tcPr>
          <w:p w14:paraId="635BE918" w14:textId="77777777" w:rsidR="002C7FC9" w:rsidRPr="00966BAA" w:rsidRDefault="002C7FC9" w:rsidP="002C7FC9">
            <w:pPr>
              <w:keepLines/>
              <w:widowControl w:val="0"/>
              <w:numPr>
                <w:ilvl w:val="0"/>
                <w:numId w:val="36"/>
              </w:numPr>
              <w:suppressAutoHyphens w:val="0"/>
              <w:spacing w:before="100" w:beforeAutospacing="1" w:after="100" w:afterAutospacing="1" w:line="240" w:lineRule="auto"/>
              <w:contextualSpacing/>
              <w:rPr>
                <w:sz w:val="15"/>
                <w:szCs w:val="15"/>
              </w:rPr>
            </w:pPr>
            <w:r w:rsidRPr="00966BAA">
              <w:rPr>
                <w:sz w:val="15"/>
                <w:szCs w:val="15"/>
              </w:rPr>
              <w:t xml:space="preserve">Vulnerable people have improved access to essential goods and services and livelihood opportunities that mitigate the impacts of COVID-19 </w:t>
            </w:r>
          </w:p>
          <w:p w14:paraId="580A341B" w14:textId="77777777" w:rsidR="002C7FC9" w:rsidRPr="00966BAA" w:rsidRDefault="002C7FC9" w:rsidP="002C7FC9">
            <w:pPr>
              <w:keepLines/>
              <w:widowControl w:val="0"/>
              <w:numPr>
                <w:ilvl w:val="0"/>
                <w:numId w:val="36"/>
              </w:numPr>
              <w:suppressAutoHyphens w:val="0"/>
              <w:spacing w:before="100" w:beforeAutospacing="1" w:after="100" w:afterAutospacing="1" w:line="240" w:lineRule="auto"/>
              <w:contextualSpacing/>
              <w:rPr>
                <w:sz w:val="15"/>
                <w:szCs w:val="15"/>
              </w:rPr>
            </w:pPr>
            <w:r w:rsidRPr="00966BAA">
              <w:rPr>
                <w:sz w:val="15"/>
                <w:szCs w:val="15"/>
              </w:rPr>
              <w:t>The Government of Samoa implements evidence-informed social measures that support COVID-19 response and recovery</w:t>
            </w:r>
          </w:p>
          <w:p w14:paraId="34B8473B" w14:textId="1A7DC95A" w:rsidR="002C7FC9" w:rsidRDefault="002C7FC9" w:rsidP="002C7FC9">
            <w:pPr>
              <w:keepLines/>
              <w:widowControl w:val="0"/>
              <w:tabs>
                <w:tab w:val="left" w:pos="7830"/>
              </w:tabs>
              <w:suppressAutoHyphens w:val="0"/>
              <w:spacing w:before="100" w:beforeAutospacing="1" w:after="100" w:afterAutospacing="1"/>
            </w:pPr>
            <w:r w:rsidRPr="00966BAA">
              <w:rPr>
                <w:sz w:val="15"/>
                <w:szCs w:val="15"/>
              </w:rPr>
              <w:t>(SDGs 1, 2, 4, 5, 10, 13, 16 &amp; 17)</w:t>
            </w:r>
          </w:p>
        </w:tc>
        <w:tc>
          <w:tcPr>
            <w:tcW w:w="3118" w:type="dxa"/>
          </w:tcPr>
          <w:p w14:paraId="66A2377E" w14:textId="77777777" w:rsidR="002C7FC9" w:rsidRPr="00966BAA" w:rsidRDefault="002C7FC9" w:rsidP="002C7FC9">
            <w:pPr>
              <w:keepLines/>
              <w:widowControl w:val="0"/>
              <w:numPr>
                <w:ilvl w:val="0"/>
                <w:numId w:val="36"/>
              </w:numPr>
              <w:suppressAutoHyphens w:val="0"/>
              <w:spacing w:before="100" w:beforeAutospacing="1" w:after="100" w:afterAutospacing="1" w:line="240" w:lineRule="auto"/>
              <w:contextualSpacing/>
              <w:rPr>
                <w:sz w:val="15"/>
                <w:szCs w:val="15"/>
              </w:rPr>
            </w:pPr>
            <w:r w:rsidRPr="00966BAA">
              <w:rPr>
                <w:sz w:val="15"/>
                <w:szCs w:val="15"/>
              </w:rPr>
              <w:t>The Government of Samoa implements responsible and evidence-informed fiscal and economic measures that mitigate the impacts of COVID-19 and support inclusive growth and resilience</w:t>
            </w:r>
          </w:p>
          <w:p w14:paraId="7837C6A5" w14:textId="77777777" w:rsidR="002C7FC9" w:rsidRPr="00966BAA" w:rsidRDefault="002C7FC9" w:rsidP="002C7FC9">
            <w:pPr>
              <w:keepLines/>
              <w:widowControl w:val="0"/>
              <w:numPr>
                <w:ilvl w:val="0"/>
                <w:numId w:val="36"/>
              </w:numPr>
              <w:suppressAutoHyphens w:val="0"/>
              <w:spacing w:before="100" w:beforeAutospacing="1" w:after="100" w:afterAutospacing="1" w:line="240" w:lineRule="auto"/>
              <w:contextualSpacing/>
              <w:rPr>
                <w:sz w:val="15"/>
                <w:szCs w:val="15"/>
              </w:rPr>
            </w:pPr>
            <w:r w:rsidRPr="00966BAA">
              <w:rPr>
                <w:sz w:val="15"/>
                <w:szCs w:val="15"/>
              </w:rPr>
              <w:t>Individuals and the business community are better placed to adapt to new market circumstances</w:t>
            </w:r>
          </w:p>
          <w:p w14:paraId="1C916858" w14:textId="0ECC9B09" w:rsidR="002C7FC9" w:rsidRDefault="002C7FC9" w:rsidP="002C7FC9">
            <w:pPr>
              <w:keepLines/>
              <w:widowControl w:val="0"/>
              <w:tabs>
                <w:tab w:val="left" w:pos="7830"/>
              </w:tabs>
              <w:suppressAutoHyphens w:val="0"/>
              <w:spacing w:before="100" w:beforeAutospacing="1" w:after="100" w:afterAutospacing="1"/>
            </w:pPr>
            <w:r w:rsidRPr="00966BAA">
              <w:rPr>
                <w:sz w:val="15"/>
                <w:szCs w:val="15"/>
              </w:rPr>
              <w:t>(SDGs 1, 5, 8, 9, 10, 13, 16 &amp; 17)</w:t>
            </w:r>
          </w:p>
        </w:tc>
      </w:tr>
      <w:tr w:rsidR="002C7FC9" w14:paraId="1FCF6200" w14:textId="77777777" w:rsidTr="002C7FC9">
        <w:trPr>
          <w:tblHeader/>
        </w:trPr>
        <w:tc>
          <w:tcPr>
            <w:tcW w:w="1843" w:type="dxa"/>
            <w:shd w:val="clear" w:color="auto" w:fill="F2F2F2" w:themeFill="background1" w:themeFillShade="F2"/>
          </w:tcPr>
          <w:p w14:paraId="2DDEC6EB" w14:textId="5A645BBE" w:rsidR="002C7FC9" w:rsidRDefault="002C7FC9" w:rsidP="002C7FC9">
            <w:pPr>
              <w:keepLines/>
              <w:widowControl w:val="0"/>
              <w:tabs>
                <w:tab w:val="left" w:pos="7830"/>
              </w:tabs>
              <w:suppressAutoHyphens w:val="0"/>
              <w:spacing w:before="100" w:beforeAutospacing="1" w:after="100" w:afterAutospacing="1"/>
            </w:pPr>
            <w:r w:rsidRPr="005A56DF">
              <w:rPr>
                <w:b/>
                <w:sz w:val="20"/>
                <w:szCs w:val="20"/>
              </w:rPr>
              <w:t>Key Results</w:t>
            </w:r>
          </w:p>
        </w:tc>
        <w:tc>
          <w:tcPr>
            <w:tcW w:w="2977" w:type="dxa"/>
          </w:tcPr>
          <w:p w14:paraId="5720800F" w14:textId="77777777" w:rsidR="002C7FC9" w:rsidRPr="00966BAA" w:rsidRDefault="002C7FC9" w:rsidP="002C7FC9">
            <w:pPr>
              <w:keepLines/>
              <w:widowControl w:val="0"/>
              <w:numPr>
                <w:ilvl w:val="0"/>
                <w:numId w:val="36"/>
              </w:numPr>
              <w:suppressAutoHyphens w:val="0"/>
              <w:spacing w:before="100" w:beforeAutospacing="1" w:after="100" w:afterAutospacing="1" w:line="240" w:lineRule="auto"/>
              <w:contextualSpacing/>
              <w:rPr>
                <w:sz w:val="15"/>
                <w:szCs w:val="15"/>
              </w:rPr>
            </w:pPr>
            <w:r w:rsidRPr="00966BAA">
              <w:rPr>
                <w:sz w:val="15"/>
                <w:szCs w:val="15"/>
              </w:rPr>
              <w:t>Number (and nature) of instances of strengthened health systems, including preparedness for emergencies and public health crises (Target: 3 significant instances of change)</w:t>
            </w:r>
          </w:p>
          <w:p w14:paraId="14DD98D7" w14:textId="77777777" w:rsidR="002C7FC9" w:rsidRPr="00966BAA" w:rsidRDefault="002C7FC9" w:rsidP="002C7FC9">
            <w:pPr>
              <w:keepLines/>
              <w:widowControl w:val="0"/>
              <w:numPr>
                <w:ilvl w:val="0"/>
                <w:numId w:val="36"/>
              </w:numPr>
              <w:suppressAutoHyphens w:val="0"/>
              <w:spacing w:before="100" w:beforeAutospacing="1" w:after="100" w:afterAutospacing="1" w:line="240" w:lineRule="auto"/>
              <w:contextualSpacing/>
              <w:rPr>
                <w:sz w:val="15"/>
                <w:szCs w:val="15"/>
              </w:rPr>
            </w:pPr>
            <w:r w:rsidRPr="00966BAA">
              <w:rPr>
                <w:sz w:val="15"/>
                <w:szCs w:val="15"/>
              </w:rPr>
              <w:t>Evidence of improved resp</w:t>
            </w:r>
            <w:r>
              <w:rPr>
                <w:sz w:val="15"/>
                <w:szCs w:val="15"/>
              </w:rPr>
              <w:t>onse to health security threats</w:t>
            </w:r>
            <w:r w:rsidRPr="00966BAA">
              <w:rPr>
                <w:sz w:val="15"/>
                <w:szCs w:val="15"/>
              </w:rPr>
              <w:t xml:space="preserve"> (Target: 2 significant instances of change)</w:t>
            </w:r>
          </w:p>
          <w:p w14:paraId="143D3E55" w14:textId="77777777" w:rsidR="002C7FC9" w:rsidRPr="00966BAA" w:rsidRDefault="002C7FC9" w:rsidP="002C7FC9">
            <w:pPr>
              <w:keepLines/>
              <w:widowControl w:val="0"/>
              <w:numPr>
                <w:ilvl w:val="0"/>
                <w:numId w:val="36"/>
              </w:numPr>
              <w:suppressAutoHyphens w:val="0"/>
              <w:spacing w:before="100" w:beforeAutospacing="1" w:after="100" w:afterAutospacing="1" w:line="240" w:lineRule="auto"/>
              <w:contextualSpacing/>
              <w:rPr>
                <w:sz w:val="15"/>
                <w:szCs w:val="15"/>
              </w:rPr>
            </w:pPr>
            <w:r w:rsidRPr="00966BAA">
              <w:rPr>
                <w:sz w:val="15"/>
                <w:szCs w:val="15"/>
              </w:rPr>
              <w:t>Number of people imm</w:t>
            </w:r>
            <w:r>
              <w:rPr>
                <w:sz w:val="15"/>
                <w:szCs w:val="15"/>
              </w:rPr>
              <w:t>unised with Australian support</w:t>
            </w:r>
          </w:p>
          <w:p w14:paraId="0C8D0EA3" w14:textId="77777777" w:rsidR="002C7FC9" w:rsidRPr="00966BAA" w:rsidRDefault="002C7FC9" w:rsidP="002C7FC9">
            <w:pPr>
              <w:keepLines/>
              <w:widowControl w:val="0"/>
              <w:numPr>
                <w:ilvl w:val="0"/>
                <w:numId w:val="36"/>
              </w:numPr>
              <w:suppressAutoHyphens w:val="0"/>
              <w:spacing w:before="100" w:beforeAutospacing="1" w:after="100" w:afterAutospacing="1" w:line="240" w:lineRule="auto"/>
              <w:contextualSpacing/>
              <w:rPr>
                <w:sz w:val="15"/>
                <w:szCs w:val="15"/>
              </w:rPr>
            </w:pPr>
            <w:r w:rsidRPr="00966BAA">
              <w:rPr>
                <w:sz w:val="15"/>
                <w:szCs w:val="15"/>
              </w:rPr>
              <w:t>Number of women and men accessing SRHR services provided with Australian support (a) (Target: 10 per cent increase over pre</w:t>
            </w:r>
            <w:r w:rsidRPr="00966BAA">
              <w:rPr>
                <w:sz w:val="15"/>
                <w:szCs w:val="15"/>
              </w:rPr>
              <w:noBreakHyphen/>
              <w:t>COVID-19 baseline)</w:t>
            </w:r>
          </w:p>
          <w:p w14:paraId="1A7728D5" w14:textId="77777777" w:rsidR="002C7FC9" w:rsidRPr="00966BAA" w:rsidRDefault="002C7FC9" w:rsidP="002C7FC9">
            <w:pPr>
              <w:keepLines/>
              <w:widowControl w:val="0"/>
              <w:numPr>
                <w:ilvl w:val="0"/>
                <w:numId w:val="36"/>
              </w:numPr>
              <w:suppressAutoHyphens w:val="0"/>
              <w:spacing w:before="100" w:beforeAutospacing="1" w:after="100" w:afterAutospacing="1" w:line="240" w:lineRule="auto"/>
              <w:contextualSpacing/>
              <w:rPr>
                <w:sz w:val="15"/>
                <w:szCs w:val="15"/>
              </w:rPr>
            </w:pPr>
            <w:r w:rsidRPr="00966BAA">
              <w:rPr>
                <w:sz w:val="15"/>
                <w:szCs w:val="15"/>
              </w:rPr>
              <w:t>Total number of SRHR</w:t>
            </w:r>
            <w:r w:rsidRPr="00966BAA">
              <w:rPr>
                <w:sz w:val="15"/>
                <w:szCs w:val="15"/>
              </w:rPr>
              <w:noBreakHyphen/>
              <w:t>related appointments held at frontline service units, provided with Australian support (Target: 10% increase over pre</w:t>
            </w:r>
            <w:r w:rsidRPr="00966BAA">
              <w:rPr>
                <w:sz w:val="15"/>
                <w:szCs w:val="15"/>
              </w:rPr>
              <w:noBreakHyphen/>
              <w:t>COVID-19 baseline)</w:t>
            </w:r>
          </w:p>
          <w:p w14:paraId="56820308" w14:textId="68662DE5" w:rsidR="002C7FC9" w:rsidRDefault="002C7FC9" w:rsidP="002C7FC9">
            <w:pPr>
              <w:keepLines/>
              <w:widowControl w:val="0"/>
              <w:tabs>
                <w:tab w:val="left" w:pos="7830"/>
              </w:tabs>
              <w:suppressAutoHyphens w:val="0"/>
              <w:spacing w:before="100" w:beforeAutospacing="1" w:after="100" w:afterAutospacing="1"/>
            </w:pPr>
            <w:r w:rsidRPr="00966BAA">
              <w:rPr>
                <w:sz w:val="15"/>
                <w:szCs w:val="15"/>
              </w:rPr>
              <w:t xml:space="preserve">Contraceptive protection from unplanned pregnancy made available through </w:t>
            </w:r>
            <w:r>
              <w:rPr>
                <w:sz w:val="15"/>
                <w:szCs w:val="15"/>
              </w:rPr>
              <w:t>Australian support</w:t>
            </w:r>
            <w:r w:rsidRPr="00966BAA">
              <w:rPr>
                <w:sz w:val="15"/>
                <w:szCs w:val="15"/>
              </w:rPr>
              <w:t xml:space="preserve"> (Target: 10 per cent increase in Couple-Years of Protection over pre</w:t>
            </w:r>
            <w:r w:rsidRPr="00966BAA">
              <w:rPr>
                <w:sz w:val="15"/>
                <w:szCs w:val="15"/>
              </w:rPr>
              <w:noBreakHyphen/>
              <w:t>COVID-19 baseline)</w:t>
            </w:r>
          </w:p>
        </w:tc>
        <w:tc>
          <w:tcPr>
            <w:tcW w:w="2977" w:type="dxa"/>
            <w:shd w:val="clear" w:color="auto" w:fill="F2F2F2" w:themeFill="background1" w:themeFillShade="F2"/>
          </w:tcPr>
          <w:p w14:paraId="32FBA513" w14:textId="77777777" w:rsidR="002C7FC9" w:rsidRPr="00966BAA" w:rsidRDefault="002C7FC9" w:rsidP="002C7FC9">
            <w:pPr>
              <w:keepLines/>
              <w:widowControl w:val="0"/>
              <w:numPr>
                <w:ilvl w:val="0"/>
                <w:numId w:val="36"/>
              </w:numPr>
              <w:suppressAutoHyphens w:val="0"/>
              <w:spacing w:before="100" w:beforeAutospacing="1" w:after="100" w:afterAutospacing="1" w:line="240" w:lineRule="auto"/>
              <w:contextualSpacing/>
              <w:rPr>
                <w:sz w:val="15"/>
                <w:szCs w:val="15"/>
              </w:rPr>
            </w:pPr>
            <w:r w:rsidRPr="00966BAA">
              <w:rPr>
                <w:sz w:val="15"/>
                <w:szCs w:val="15"/>
              </w:rPr>
              <w:t>Number (and nature) of instances of improved social protection-related policies and/or measures (Target: 1 significant instances of change)</w:t>
            </w:r>
          </w:p>
          <w:p w14:paraId="7AF89F8B" w14:textId="77777777" w:rsidR="002C7FC9" w:rsidRPr="00966BAA" w:rsidRDefault="002C7FC9" w:rsidP="002C7FC9">
            <w:pPr>
              <w:keepLines/>
              <w:widowControl w:val="0"/>
              <w:numPr>
                <w:ilvl w:val="0"/>
                <w:numId w:val="36"/>
              </w:numPr>
              <w:suppressAutoHyphens w:val="0"/>
              <w:spacing w:before="100" w:beforeAutospacing="1" w:after="100" w:afterAutospacing="1" w:line="240" w:lineRule="auto"/>
              <w:contextualSpacing/>
              <w:rPr>
                <w:sz w:val="15"/>
                <w:szCs w:val="15"/>
              </w:rPr>
            </w:pPr>
            <w:r w:rsidRPr="00966BAA">
              <w:rPr>
                <w:sz w:val="15"/>
                <w:szCs w:val="15"/>
              </w:rPr>
              <w:t>Number of women and girl survivors receiving support services</w:t>
            </w:r>
          </w:p>
          <w:p w14:paraId="2F0D88F0" w14:textId="77777777" w:rsidR="002C7FC9" w:rsidRPr="00966BAA" w:rsidRDefault="002C7FC9" w:rsidP="002C7FC9">
            <w:pPr>
              <w:keepLines/>
              <w:widowControl w:val="0"/>
              <w:numPr>
                <w:ilvl w:val="0"/>
                <w:numId w:val="36"/>
              </w:numPr>
              <w:suppressAutoHyphens w:val="0"/>
              <w:spacing w:before="100" w:beforeAutospacing="1" w:after="100" w:afterAutospacing="1" w:line="240" w:lineRule="auto"/>
              <w:contextualSpacing/>
              <w:rPr>
                <w:sz w:val="15"/>
                <w:szCs w:val="15"/>
              </w:rPr>
            </w:pPr>
            <w:r w:rsidRPr="00966BAA">
              <w:rPr>
                <w:sz w:val="15"/>
                <w:szCs w:val="15"/>
              </w:rPr>
              <w:t>Number (and nature) of instances of improved policies and/or measures that seek to combat gender-based violence (Target: 2 significant instances of change)</w:t>
            </w:r>
          </w:p>
          <w:p w14:paraId="354B3954" w14:textId="77777777" w:rsidR="002C7FC9" w:rsidRPr="00966BAA" w:rsidRDefault="002C7FC9" w:rsidP="002C7FC9">
            <w:pPr>
              <w:keepLines/>
              <w:widowControl w:val="0"/>
              <w:numPr>
                <w:ilvl w:val="0"/>
                <w:numId w:val="36"/>
              </w:numPr>
              <w:suppressAutoHyphens w:val="0"/>
              <w:spacing w:before="100" w:beforeAutospacing="1" w:after="100" w:afterAutospacing="1" w:line="240" w:lineRule="auto"/>
              <w:contextualSpacing/>
              <w:rPr>
                <w:sz w:val="15"/>
                <w:szCs w:val="15"/>
              </w:rPr>
            </w:pPr>
            <w:r w:rsidRPr="00966BAA">
              <w:rPr>
                <w:sz w:val="15"/>
                <w:szCs w:val="15"/>
              </w:rPr>
              <w:t>Percentage of Year 4 and Year 6 students meeting a minimum Level 3 for Literacy and Numeracy (Target: 3 per cent increase over baseline)</w:t>
            </w:r>
          </w:p>
          <w:p w14:paraId="21E312B3" w14:textId="77777777" w:rsidR="002C7FC9" w:rsidRPr="00966BAA" w:rsidRDefault="002C7FC9" w:rsidP="002C7FC9">
            <w:pPr>
              <w:keepLines/>
              <w:widowControl w:val="0"/>
              <w:numPr>
                <w:ilvl w:val="0"/>
                <w:numId w:val="36"/>
              </w:numPr>
              <w:suppressAutoHyphens w:val="0"/>
              <w:spacing w:before="100" w:beforeAutospacing="1" w:after="100" w:afterAutospacing="1" w:line="240" w:lineRule="auto"/>
              <w:contextualSpacing/>
              <w:rPr>
                <w:sz w:val="15"/>
                <w:szCs w:val="15"/>
              </w:rPr>
            </w:pPr>
            <w:r w:rsidRPr="00966BAA">
              <w:rPr>
                <w:sz w:val="15"/>
                <w:szCs w:val="15"/>
              </w:rPr>
              <w:t>Number of students with disabilities enrolled at all levels (Target: 278)</w:t>
            </w:r>
          </w:p>
          <w:p w14:paraId="1F5125EF" w14:textId="77777777" w:rsidR="002C7FC9" w:rsidRPr="00966BAA" w:rsidRDefault="002C7FC9" w:rsidP="002C7FC9">
            <w:pPr>
              <w:keepLines/>
              <w:widowControl w:val="0"/>
              <w:numPr>
                <w:ilvl w:val="0"/>
                <w:numId w:val="36"/>
              </w:numPr>
              <w:suppressAutoHyphens w:val="0"/>
              <w:spacing w:before="100" w:beforeAutospacing="1" w:after="100" w:afterAutospacing="1" w:line="240" w:lineRule="auto"/>
              <w:contextualSpacing/>
              <w:rPr>
                <w:sz w:val="15"/>
                <w:szCs w:val="15"/>
              </w:rPr>
            </w:pPr>
            <w:r w:rsidRPr="00966BAA">
              <w:rPr>
                <w:sz w:val="15"/>
                <w:szCs w:val="15"/>
              </w:rPr>
              <w:t>Percentage of schools implementing online learning plans (Target:  50 per cent of schools)</w:t>
            </w:r>
          </w:p>
          <w:p w14:paraId="0729118D" w14:textId="77777777" w:rsidR="002C7FC9" w:rsidRPr="00966BAA" w:rsidRDefault="002C7FC9" w:rsidP="002C7FC9">
            <w:pPr>
              <w:keepLines/>
              <w:widowControl w:val="0"/>
              <w:numPr>
                <w:ilvl w:val="0"/>
                <w:numId w:val="36"/>
              </w:numPr>
              <w:suppressAutoHyphens w:val="0"/>
              <w:spacing w:before="100" w:beforeAutospacing="1" w:after="100" w:afterAutospacing="1" w:line="240" w:lineRule="auto"/>
              <w:contextualSpacing/>
              <w:rPr>
                <w:sz w:val="15"/>
                <w:szCs w:val="15"/>
              </w:rPr>
            </w:pPr>
            <w:r w:rsidRPr="00966BAA">
              <w:rPr>
                <w:sz w:val="15"/>
                <w:szCs w:val="15"/>
              </w:rPr>
              <w:t>Number (and nature) of instances of improved policies and/or measures that seek to improve education quality for all (Target: 5 significant instances of change)</w:t>
            </w:r>
          </w:p>
          <w:p w14:paraId="54BB25B1" w14:textId="4D930BE3" w:rsidR="002C7FC9" w:rsidRDefault="002C7FC9" w:rsidP="002C7FC9">
            <w:pPr>
              <w:keepLines/>
              <w:widowControl w:val="0"/>
              <w:tabs>
                <w:tab w:val="left" w:pos="7830"/>
              </w:tabs>
              <w:suppressAutoHyphens w:val="0"/>
              <w:spacing w:before="100" w:beforeAutospacing="1" w:after="100" w:afterAutospacing="1"/>
            </w:pPr>
            <w:r w:rsidRPr="00966BAA">
              <w:rPr>
                <w:sz w:val="15"/>
                <w:szCs w:val="15"/>
              </w:rPr>
              <w:t>Number (and nature) of instances of improved food security-related policies and/or measures, including farmer resilience under climate change conditions and market challenges (Target: 1 significant instances of change)</w:t>
            </w:r>
          </w:p>
        </w:tc>
        <w:tc>
          <w:tcPr>
            <w:tcW w:w="3118" w:type="dxa"/>
          </w:tcPr>
          <w:p w14:paraId="1D3BF01D" w14:textId="77777777" w:rsidR="002C7FC9" w:rsidRPr="00966BAA" w:rsidRDefault="002C7FC9" w:rsidP="002C7FC9">
            <w:pPr>
              <w:keepLines/>
              <w:widowControl w:val="0"/>
              <w:numPr>
                <w:ilvl w:val="0"/>
                <w:numId w:val="36"/>
              </w:numPr>
              <w:suppressAutoHyphens w:val="0"/>
              <w:spacing w:before="100" w:beforeAutospacing="1" w:after="100" w:afterAutospacing="1" w:line="240" w:lineRule="auto"/>
              <w:contextualSpacing/>
              <w:rPr>
                <w:sz w:val="15"/>
                <w:szCs w:val="15"/>
              </w:rPr>
            </w:pPr>
            <w:r w:rsidRPr="00966BAA">
              <w:rPr>
                <w:sz w:val="15"/>
                <w:szCs w:val="15"/>
              </w:rPr>
              <w:t>Number (and nature) of instances of the Government of Samoa having adopted responsible and evidence-informed fiscal and economic measures that mitigate the impacts of COVID-19 (Target: 2 significant instances of change)</w:t>
            </w:r>
          </w:p>
          <w:p w14:paraId="1F774A8D" w14:textId="77777777" w:rsidR="002C7FC9" w:rsidRPr="00966BAA" w:rsidRDefault="002C7FC9" w:rsidP="002C7FC9">
            <w:pPr>
              <w:keepLines/>
              <w:widowControl w:val="0"/>
              <w:numPr>
                <w:ilvl w:val="0"/>
                <w:numId w:val="36"/>
              </w:numPr>
              <w:suppressAutoHyphens w:val="0"/>
              <w:spacing w:before="100" w:beforeAutospacing="1" w:after="100" w:afterAutospacing="1" w:line="240" w:lineRule="auto"/>
              <w:contextualSpacing/>
              <w:rPr>
                <w:sz w:val="15"/>
                <w:szCs w:val="15"/>
              </w:rPr>
            </w:pPr>
            <w:r w:rsidRPr="00966BAA">
              <w:rPr>
                <w:sz w:val="15"/>
                <w:szCs w:val="15"/>
              </w:rPr>
              <w:t>Number (and nature) of instances of the Government of Samoa having adopted responsible and evidence-informed fiscal and economic measures that support inclusive growth and resilience (Target: 2 significant instances of change)</w:t>
            </w:r>
          </w:p>
          <w:p w14:paraId="3E73B7AC" w14:textId="77777777" w:rsidR="002C7FC9" w:rsidRPr="00966BAA" w:rsidRDefault="002C7FC9" w:rsidP="002C7FC9">
            <w:pPr>
              <w:keepLines/>
              <w:widowControl w:val="0"/>
              <w:numPr>
                <w:ilvl w:val="0"/>
                <w:numId w:val="36"/>
              </w:numPr>
              <w:suppressAutoHyphens w:val="0"/>
              <w:spacing w:before="100" w:beforeAutospacing="1" w:after="100" w:afterAutospacing="1" w:line="240" w:lineRule="auto"/>
              <w:contextualSpacing/>
              <w:rPr>
                <w:sz w:val="15"/>
                <w:szCs w:val="15"/>
              </w:rPr>
            </w:pPr>
            <w:r w:rsidRPr="00966BAA">
              <w:rPr>
                <w:sz w:val="15"/>
                <w:szCs w:val="15"/>
              </w:rPr>
              <w:t>Number of people supported to have raised incomes and better jobs or livelihoods (Target: 600)</w:t>
            </w:r>
          </w:p>
          <w:p w14:paraId="785A2104" w14:textId="77777777" w:rsidR="002C7FC9" w:rsidRPr="00966BAA" w:rsidRDefault="002C7FC9" w:rsidP="002C7FC9">
            <w:pPr>
              <w:keepLines/>
              <w:widowControl w:val="0"/>
              <w:numPr>
                <w:ilvl w:val="0"/>
                <w:numId w:val="36"/>
              </w:numPr>
              <w:suppressAutoHyphens w:val="0"/>
              <w:spacing w:before="100" w:beforeAutospacing="1" w:after="100" w:afterAutospacing="1" w:line="240" w:lineRule="auto"/>
              <w:contextualSpacing/>
              <w:rPr>
                <w:sz w:val="15"/>
                <w:szCs w:val="15"/>
              </w:rPr>
            </w:pPr>
            <w:r w:rsidRPr="00966BAA">
              <w:rPr>
                <w:sz w:val="15"/>
                <w:szCs w:val="15"/>
              </w:rPr>
              <w:t xml:space="preserve">Examples of partnering with the private sector and other partners </w:t>
            </w:r>
            <w:r>
              <w:rPr>
                <w:sz w:val="15"/>
                <w:szCs w:val="15"/>
              </w:rPr>
              <w:t>to ensure supply lines are open</w:t>
            </w:r>
          </w:p>
          <w:p w14:paraId="2AA1E4B3" w14:textId="34B186FF" w:rsidR="002C7FC9" w:rsidRDefault="002C7FC9" w:rsidP="002C7FC9">
            <w:pPr>
              <w:keepLines/>
              <w:widowControl w:val="0"/>
              <w:tabs>
                <w:tab w:val="left" w:pos="7830"/>
              </w:tabs>
              <w:suppressAutoHyphens w:val="0"/>
              <w:spacing w:before="100" w:beforeAutospacing="1" w:after="100" w:afterAutospacing="1"/>
            </w:pPr>
            <w:r w:rsidRPr="00966BAA">
              <w:rPr>
                <w:sz w:val="15"/>
                <w:szCs w:val="15"/>
              </w:rPr>
              <w:t>Australian budget support as a % of supplementary budget expenditure in response to COVID-19</w:t>
            </w:r>
          </w:p>
        </w:tc>
      </w:tr>
      <w:tr w:rsidR="002C7FC9" w14:paraId="11B006F8" w14:textId="77777777" w:rsidTr="002C7FC9">
        <w:trPr>
          <w:tblHeader/>
        </w:trPr>
        <w:tc>
          <w:tcPr>
            <w:tcW w:w="1843" w:type="dxa"/>
            <w:shd w:val="clear" w:color="auto" w:fill="F2F2F2" w:themeFill="background1" w:themeFillShade="F2"/>
          </w:tcPr>
          <w:p w14:paraId="1994B7E2" w14:textId="77777777" w:rsidR="002C7FC9" w:rsidRPr="005A56DF" w:rsidRDefault="002C7FC9" w:rsidP="002C7FC9">
            <w:pPr>
              <w:keepLines/>
              <w:widowControl w:val="0"/>
              <w:suppressAutoHyphens w:val="0"/>
              <w:spacing w:before="100" w:beforeAutospacing="1" w:after="100" w:afterAutospacing="1" w:line="240" w:lineRule="auto"/>
              <w:rPr>
                <w:b/>
                <w:sz w:val="20"/>
                <w:szCs w:val="20"/>
              </w:rPr>
            </w:pPr>
            <w:r w:rsidRPr="005A56DF">
              <w:rPr>
                <w:b/>
                <w:sz w:val="20"/>
                <w:szCs w:val="20"/>
              </w:rPr>
              <w:t xml:space="preserve">Supporting Investments </w:t>
            </w:r>
          </w:p>
          <w:p w14:paraId="71EF4B9A" w14:textId="77777777" w:rsidR="002C7FC9" w:rsidRDefault="002C7FC9" w:rsidP="002C7FC9">
            <w:pPr>
              <w:keepLines/>
              <w:widowControl w:val="0"/>
              <w:tabs>
                <w:tab w:val="left" w:pos="7830"/>
              </w:tabs>
              <w:suppressAutoHyphens w:val="0"/>
              <w:spacing w:before="100" w:beforeAutospacing="1" w:after="100" w:afterAutospacing="1"/>
            </w:pPr>
          </w:p>
        </w:tc>
        <w:tc>
          <w:tcPr>
            <w:tcW w:w="2977" w:type="dxa"/>
          </w:tcPr>
          <w:p w14:paraId="795F2B5F" w14:textId="77777777" w:rsidR="002C7FC9" w:rsidRDefault="002C7FC9" w:rsidP="002C7FC9">
            <w:pPr>
              <w:keepLines/>
              <w:widowControl w:val="0"/>
              <w:numPr>
                <w:ilvl w:val="0"/>
                <w:numId w:val="36"/>
              </w:numPr>
              <w:suppressAutoHyphens w:val="0"/>
              <w:spacing w:before="100" w:beforeAutospacing="1" w:after="100" w:afterAutospacing="1" w:line="240" w:lineRule="auto"/>
              <w:contextualSpacing/>
              <w:rPr>
                <w:sz w:val="15"/>
                <w:szCs w:val="15"/>
              </w:rPr>
            </w:pPr>
            <w:r>
              <w:rPr>
                <w:sz w:val="15"/>
                <w:szCs w:val="15"/>
              </w:rPr>
              <w:t>Samoa Health Program</w:t>
            </w:r>
          </w:p>
          <w:p w14:paraId="530FC649" w14:textId="77777777" w:rsidR="002C7FC9" w:rsidRDefault="002C7FC9" w:rsidP="002C7FC9">
            <w:pPr>
              <w:keepLines/>
              <w:widowControl w:val="0"/>
              <w:numPr>
                <w:ilvl w:val="0"/>
                <w:numId w:val="36"/>
              </w:numPr>
              <w:suppressAutoHyphens w:val="0"/>
              <w:spacing w:before="100" w:beforeAutospacing="1" w:after="100" w:afterAutospacing="1" w:line="240" w:lineRule="auto"/>
              <w:contextualSpacing/>
              <w:rPr>
                <w:sz w:val="15"/>
                <w:szCs w:val="15"/>
              </w:rPr>
            </w:pPr>
            <w:r>
              <w:rPr>
                <w:sz w:val="15"/>
                <w:szCs w:val="15"/>
              </w:rPr>
              <w:t>The Impact Project: Catalysing Sexual and Reproductive Health and Rights in Samoa Project</w:t>
            </w:r>
          </w:p>
          <w:p w14:paraId="1F36B237" w14:textId="77777777" w:rsidR="002C7FC9" w:rsidRDefault="002C7FC9" w:rsidP="002C7FC9">
            <w:pPr>
              <w:keepLines/>
              <w:widowControl w:val="0"/>
              <w:numPr>
                <w:ilvl w:val="0"/>
                <w:numId w:val="36"/>
              </w:numPr>
              <w:suppressAutoHyphens w:val="0"/>
              <w:spacing w:before="100" w:beforeAutospacing="1" w:after="100" w:afterAutospacing="1" w:line="240" w:lineRule="auto"/>
              <w:contextualSpacing/>
              <w:rPr>
                <w:sz w:val="15"/>
                <w:szCs w:val="15"/>
              </w:rPr>
            </w:pPr>
            <w:r>
              <w:rPr>
                <w:sz w:val="15"/>
                <w:szCs w:val="15"/>
              </w:rPr>
              <w:t>Immunisation Systems Strengthening Program</w:t>
            </w:r>
          </w:p>
          <w:p w14:paraId="105FBDB4" w14:textId="77777777" w:rsidR="002C7FC9" w:rsidRDefault="002C7FC9" w:rsidP="002C7FC9">
            <w:pPr>
              <w:keepLines/>
              <w:widowControl w:val="0"/>
              <w:numPr>
                <w:ilvl w:val="0"/>
                <w:numId w:val="36"/>
              </w:numPr>
              <w:suppressAutoHyphens w:val="0"/>
              <w:spacing w:before="100" w:beforeAutospacing="1" w:after="100" w:afterAutospacing="1" w:line="240" w:lineRule="auto"/>
              <w:contextualSpacing/>
              <w:rPr>
                <w:sz w:val="15"/>
                <w:szCs w:val="15"/>
              </w:rPr>
            </w:pPr>
            <w:r>
              <w:rPr>
                <w:sz w:val="15"/>
                <w:szCs w:val="15"/>
              </w:rPr>
              <w:t>Australia Assists</w:t>
            </w:r>
          </w:p>
          <w:p w14:paraId="43FD4E13" w14:textId="77777777" w:rsidR="002C7FC9" w:rsidRDefault="002C7FC9" w:rsidP="002C7FC9">
            <w:pPr>
              <w:keepLines/>
              <w:widowControl w:val="0"/>
              <w:numPr>
                <w:ilvl w:val="0"/>
                <w:numId w:val="36"/>
              </w:numPr>
              <w:suppressAutoHyphens w:val="0"/>
              <w:spacing w:before="100" w:beforeAutospacing="1" w:after="100" w:afterAutospacing="1" w:line="240" w:lineRule="auto"/>
              <w:contextualSpacing/>
              <w:rPr>
                <w:sz w:val="15"/>
                <w:szCs w:val="15"/>
              </w:rPr>
            </w:pPr>
            <w:r>
              <w:rPr>
                <w:sz w:val="15"/>
                <w:szCs w:val="15"/>
              </w:rPr>
              <w:t>Transformative Agenda for Women, Youth and Adolescents in the Pacific (led by United Nations Population Fund)</w:t>
            </w:r>
          </w:p>
          <w:p w14:paraId="67A904C5" w14:textId="77777777" w:rsidR="002C7FC9" w:rsidRDefault="002C7FC9" w:rsidP="002C7FC9">
            <w:pPr>
              <w:keepLines/>
              <w:widowControl w:val="0"/>
              <w:numPr>
                <w:ilvl w:val="0"/>
                <w:numId w:val="36"/>
              </w:numPr>
              <w:suppressAutoHyphens w:val="0"/>
              <w:spacing w:before="100" w:beforeAutospacing="1" w:after="100" w:afterAutospacing="1" w:line="240" w:lineRule="auto"/>
              <w:contextualSpacing/>
              <w:rPr>
                <w:sz w:val="15"/>
                <w:szCs w:val="15"/>
              </w:rPr>
            </w:pPr>
            <w:r>
              <w:rPr>
                <w:sz w:val="15"/>
                <w:szCs w:val="15"/>
              </w:rPr>
              <w:t>Australia’s Health Security Initiative for the Indo-Pacific Region</w:t>
            </w:r>
          </w:p>
          <w:p w14:paraId="5A28D98C" w14:textId="77777777" w:rsidR="002C7FC9" w:rsidRDefault="002C7FC9" w:rsidP="002C7FC9">
            <w:pPr>
              <w:keepLines/>
              <w:widowControl w:val="0"/>
              <w:numPr>
                <w:ilvl w:val="0"/>
                <w:numId w:val="36"/>
              </w:numPr>
              <w:suppressAutoHyphens w:val="0"/>
              <w:spacing w:before="100" w:beforeAutospacing="1" w:after="100" w:afterAutospacing="1" w:line="240" w:lineRule="auto"/>
              <w:contextualSpacing/>
              <w:rPr>
                <w:sz w:val="15"/>
                <w:szCs w:val="15"/>
              </w:rPr>
            </w:pPr>
            <w:r>
              <w:rPr>
                <w:sz w:val="15"/>
                <w:szCs w:val="15"/>
              </w:rPr>
              <w:t>World Bank Advance Universal Health Care Multi</w:t>
            </w:r>
            <w:r>
              <w:rPr>
                <w:sz w:val="15"/>
                <w:szCs w:val="15"/>
              </w:rPr>
              <w:noBreakHyphen/>
              <w:t>Donor Trust Fund</w:t>
            </w:r>
          </w:p>
          <w:p w14:paraId="0434363B" w14:textId="77777777" w:rsidR="002C7FC9" w:rsidRDefault="002C7FC9" w:rsidP="002C7FC9">
            <w:pPr>
              <w:keepLines/>
              <w:widowControl w:val="0"/>
              <w:tabs>
                <w:tab w:val="left" w:pos="7830"/>
              </w:tabs>
              <w:suppressAutoHyphens w:val="0"/>
              <w:spacing w:before="100" w:beforeAutospacing="1" w:after="100" w:afterAutospacing="1"/>
            </w:pPr>
          </w:p>
        </w:tc>
        <w:tc>
          <w:tcPr>
            <w:tcW w:w="2977" w:type="dxa"/>
            <w:shd w:val="clear" w:color="auto" w:fill="F2F2F2" w:themeFill="background1" w:themeFillShade="F2"/>
          </w:tcPr>
          <w:p w14:paraId="6C2EC3D9" w14:textId="77777777" w:rsidR="002C7FC9" w:rsidRDefault="002C7FC9" w:rsidP="002C7FC9">
            <w:pPr>
              <w:keepLines/>
              <w:widowControl w:val="0"/>
              <w:numPr>
                <w:ilvl w:val="0"/>
                <w:numId w:val="36"/>
              </w:numPr>
              <w:suppressAutoHyphens w:val="0"/>
              <w:spacing w:before="100" w:beforeAutospacing="1" w:after="100" w:afterAutospacing="1" w:line="240" w:lineRule="auto"/>
              <w:contextualSpacing/>
              <w:rPr>
                <w:sz w:val="15"/>
                <w:szCs w:val="15"/>
              </w:rPr>
            </w:pPr>
            <w:r w:rsidRPr="00966BAA">
              <w:rPr>
                <w:sz w:val="15"/>
                <w:szCs w:val="15"/>
              </w:rPr>
              <w:t>Samoa Australia Police Partnership (led by Australian Federal Police)</w:t>
            </w:r>
          </w:p>
          <w:p w14:paraId="591C3C90" w14:textId="77777777" w:rsidR="002C7FC9" w:rsidRDefault="002C7FC9" w:rsidP="002C7FC9">
            <w:pPr>
              <w:keepLines/>
              <w:widowControl w:val="0"/>
              <w:numPr>
                <w:ilvl w:val="0"/>
                <w:numId w:val="36"/>
              </w:numPr>
              <w:suppressAutoHyphens w:val="0"/>
              <w:spacing w:before="100" w:beforeAutospacing="1" w:after="100" w:afterAutospacing="1" w:line="240" w:lineRule="auto"/>
              <w:contextualSpacing/>
              <w:rPr>
                <w:sz w:val="15"/>
                <w:szCs w:val="15"/>
              </w:rPr>
            </w:pPr>
            <w:r w:rsidRPr="00966BAA">
              <w:rPr>
                <w:sz w:val="15"/>
                <w:szCs w:val="15"/>
              </w:rPr>
              <w:t xml:space="preserve">Pacific Maritime Security Program (led by </w:t>
            </w:r>
            <w:r>
              <w:rPr>
                <w:sz w:val="15"/>
                <w:szCs w:val="15"/>
              </w:rPr>
              <w:t>Department of Defence)</w:t>
            </w:r>
          </w:p>
          <w:p w14:paraId="2B4C4D56" w14:textId="77777777" w:rsidR="002C7FC9" w:rsidRDefault="002C7FC9" w:rsidP="002C7FC9">
            <w:pPr>
              <w:keepLines/>
              <w:widowControl w:val="0"/>
              <w:numPr>
                <w:ilvl w:val="0"/>
                <w:numId w:val="36"/>
              </w:numPr>
              <w:suppressAutoHyphens w:val="0"/>
              <w:spacing w:before="100" w:beforeAutospacing="1" w:after="100" w:afterAutospacing="1" w:line="240" w:lineRule="auto"/>
              <w:contextualSpacing/>
              <w:rPr>
                <w:sz w:val="15"/>
                <w:szCs w:val="15"/>
              </w:rPr>
            </w:pPr>
            <w:r>
              <w:rPr>
                <w:sz w:val="15"/>
                <w:szCs w:val="15"/>
              </w:rPr>
              <w:t>Defence Cooperation Program</w:t>
            </w:r>
          </w:p>
          <w:p w14:paraId="293F9ABC" w14:textId="77777777" w:rsidR="002C7FC9" w:rsidRDefault="002C7FC9" w:rsidP="002C7FC9">
            <w:pPr>
              <w:keepLines/>
              <w:widowControl w:val="0"/>
              <w:numPr>
                <w:ilvl w:val="0"/>
                <w:numId w:val="36"/>
              </w:numPr>
              <w:suppressAutoHyphens w:val="0"/>
              <w:spacing w:before="100" w:beforeAutospacing="1" w:after="100" w:afterAutospacing="1" w:line="240" w:lineRule="auto"/>
              <w:contextualSpacing/>
              <w:rPr>
                <w:sz w:val="15"/>
                <w:szCs w:val="15"/>
              </w:rPr>
            </w:pPr>
            <w:r w:rsidRPr="00966BAA">
              <w:rPr>
                <w:sz w:val="15"/>
                <w:szCs w:val="15"/>
              </w:rPr>
              <w:t>Education Sector Support P</w:t>
            </w:r>
            <w:r>
              <w:rPr>
                <w:sz w:val="15"/>
                <w:szCs w:val="15"/>
              </w:rPr>
              <w:t>rogram</w:t>
            </w:r>
          </w:p>
          <w:p w14:paraId="081FE482" w14:textId="77777777" w:rsidR="002C7FC9" w:rsidRDefault="002C7FC9" w:rsidP="002C7FC9">
            <w:pPr>
              <w:keepLines/>
              <w:widowControl w:val="0"/>
              <w:numPr>
                <w:ilvl w:val="0"/>
                <w:numId w:val="36"/>
              </w:numPr>
              <w:suppressAutoHyphens w:val="0"/>
              <w:spacing w:before="100" w:beforeAutospacing="1" w:after="100" w:afterAutospacing="1" w:line="240" w:lineRule="auto"/>
              <w:contextualSpacing/>
              <w:rPr>
                <w:sz w:val="15"/>
                <w:szCs w:val="15"/>
              </w:rPr>
            </w:pPr>
            <w:r w:rsidRPr="00966BAA">
              <w:rPr>
                <w:sz w:val="15"/>
                <w:szCs w:val="15"/>
              </w:rPr>
              <w:t>G</w:t>
            </w:r>
            <w:r>
              <w:rPr>
                <w:sz w:val="15"/>
                <w:szCs w:val="15"/>
              </w:rPr>
              <w:t>lobal Partnership for Education</w:t>
            </w:r>
          </w:p>
          <w:p w14:paraId="4A8E0A45" w14:textId="77777777" w:rsidR="002C7FC9" w:rsidRDefault="002C7FC9" w:rsidP="002C7FC9">
            <w:pPr>
              <w:keepLines/>
              <w:widowControl w:val="0"/>
              <w:numPr>
                <w:ilvl w:val="0"/>
                <w:numId w:val="36"/>
              </w:numPr>
              <w:suppressAutoHyphens w:val="0"/>
              <w:spacing w:before="100" w:beforeAutospacing="1" w:after="100" w:afterAutospacing="1" w:line="240" w:lineRule="auto"/>
              <w:contextualSpacing/>
              <w:rPr>
                <w:sz w:val="15"/>
                <w:szCs w:val="15"/>
              </w:rPr>
            </w:pPr>
            <w:r w:rsidRPr="00966BAA">
              <w:rPr>
                <w:sz w:val="15"/>
                <w:szCs w:val="15"/>
              </w:rPr>
              <w:t>Austr</w:t>
            </w:r>
            <w:r>
              <w:rPr>
                <w:sz w:val="15"/>
                <w:szCs w:val="15"/>
              </w:rPr>
              <w:t>alian Humanitarian Partnership</w:t>
            </w:r>
          </w:p>
          <w:p w14:paraId="462CD800" w14:textId="77777777" w:rsidR="002C7FC9" w:rsidRDefault="002C7FC9" w:rsidP="002C7FC9">
            <w:pPr>
              <w:keepLines/>
              <w:widowControl w:val="0"/>
              <w:numPr>
                <w:ilvl w:val="0"/>
                <w:numId w:val="36"/>
              </w:numPr>
              <w:suppressAutoHyphens w:val="0"/>
              <w:spacing w:before="100" w:beforeAutospacing="1" w:after="100" w:afterAutospacing="1" w:line="240" w:lineRule="auto"/>
              <w:contextualSpacing/>
              <w:rPr>
                <w:sz w:val="15"/>
                <w:szCs w:val="15"/>
              </w:rPr>
            </w:pPr>
            <w:r w:rsidRPr="00966BAA">
              <w:rPr>
                <w:sz w:val="15"/>
                <w:szCs w:val="15"/>
              </w:rPr>
              <w:t>Australian Centre for Inte</w:t>
            </w:r>
            <w:r>
              <w:rPr>
                <w:sz w:val="15"/>
                <w:szCs w:val="15"/>
              </w:rPr>
              <w:t>rnational Agriculture Research</w:t>
            </w:r>
          </w:p>
          <w:p w14:paraId="41675729" w14:textId="77777777" w:rsidR="002C7FC9" w:rsidRDefault="002C7FC9" w:rsidP="002C7FC9">
            <w:pPr>
              <w:keepLines/>
              <w:widowControl w:val="0"/>
              <w:numPr>
                <w:ilvl w:val="0"/>
                <w:numId w:val="36"/>
              </w:numPr>
              <w:suppressAutoHyphens w:val="0"/>
              <w:spacing w:before="100" w:beforeAutospacing="1" w:after="100" w:afterAutospacing="1" w:line="240" w:lineRule="auto"/>
              <w:contextualSpacing/>
              <w:rPr>
                <w:sz w:val="15"/>
                <w:szCs w:val="15"/>
              </w:rPr>
            </w:pPr>
            <w:r w:rsidRPr="00966BAA">
              <w:rPr>
                <w:sz w:val="15"/>
                <w:szCs w:val="15"/>
              </w:rPr>
              <w:t>Cyber Cooperation Program</w:t>
            </w:r>
          </w:p>
          <w:p w14:paraId="34878D99" w14:textId="77777777" w:rsidR="002C7FC9" w:rsidRDefault="002C7FC9" w:rsidP="002C7FC9">
            <w:pPr>
              <w:keepLines/>
              <w:widowControl w:val="0"/>
              <w:numPr>
                <w:ilvl w:val="0"/>
                <w:numId w:val="36"/>
              </w:numPr>
              <w:suppressAutoHyphens w:val="0"/>
              <w:spacing w:before="100" w:beforeAutospacing="1" w:after="100" w:afterAutospacing="1" w:line="240" w:lineRule="auto"/>
              <w:contextualSpacing/>
              <w:rPr>
                <w:sz w:val="15"/>
                <w:szCs w:val="15"/>
              </w:rPr>
            </w:pPr>
            <w:r>
              <w:rPr>
                <w:sz w:val="15"/>
                <w:szCs w:val="15"/>
              </w:rPr>
              <w:t>Samoa Women Shaping Development</w:t>
            </w:r>
          </w:p>
          <w:p w14:paraId="4F4FE7EB" w14:textId="77777777" w:rsidR="002C7FC9" w:rsidRDefault="002C7FC9" w:rsidP="002C7FC9">
            <w:pPr>
              <w:keepLines/>
              <w:widowControl w:val="0"/>
              <w:numPr>
                <w:ilvl w:val="0"/>
                <w:numId w:val="36"/>
              </w:numPr>
              <w:suppressAutoHyphens w:val="0"/>
              <w:spacing w:before="100" w:beforeAutospacing="1" w:after="100" w:afterAutospacing="1" w:line="240" w:lineRule="auto"/>
              <w:contextualSpacing/>
              <w:rPr>
                <w:sz w:val="15"/>
                <w:szCs w:val="15"/>
              </w:rPr>
            </w:pPr>
            <w:r>
              <w:rPr>
                <w:sz w:val="15"/>
                <w:szCs w:val="15"/>
              </w:rPr>
              <w:t>Civil Society Support Program</w:t>
            </w:r>
          </w:p>
          <w:p w14:paraId="47810B32" w14:textId="77777777" w:rsidR="002C7FC9" w:rsidRDefault="002C7FC9" w:rsidP="002C7FC9">
            <w:pPr>
              <w:keepLines/>
              <w:widowControl w:val="0"/>
              <w:numPr>
                <w:ilvl w:val="0"/>
                <w:numId w:val="36"/>
              </w:numPr>
              <w:suppressAutoHyphens w:val="0"/>
              <w:spacing w:before="100" w:beforeAutospacing="1" w:after="100" w:afterAutospacing="1" w:line="240" w:lineRule="auto"/>
              <w:contextualSpacing/>
              <w:rPr>
                <w:sz w:val="15"/>
                <w:szCs w:val="15"/>
              </w:rPr>
            </w:pPr>
            <w:r>
              <w:rPr>
                <w:sz w:val="15"/>
                <w:szCs w:val="15"/>
              </w:rPr>
              <w:t>Samoa Disability Partnership Program</w:t>
            </w:r>
          </w:p>
          <w:p w14:paraId="3C975B6D" w14:textId="77777777" w:rsidR="002C7FC9" w:rsidRDefault="002C7FC9" w:rsidP="002C7FC9">
            <w:pPr>
              <w:keepLines/>
              <w:widowControl w:val="0"/>
              <w:numPr>
                <w:ilvl w:val="0"/>
                <w:numId w:val="36"/>
              </w:numPr>
              <w:suppressAutoHyphens w:val="0"/>
              <w:spacing w:before="100" w:beforeAutospacing="1" w:after="100" w:afterAutospacing="1" w:line="240" w:lineRule="auto"/>
              <w:contextualSpacing/>
              <w:rPr>
                <w:sz w:val="15"/>
                <w:szCs w:val="15"/>
              </w:rPr>
            </w:pPr>
            <w:r>
              <w:rPr>
                <w:sz w:val="15"/>
                <w:szCs w:val="15"/>
              </w:rPr>
              <w:t>Australia Pacific Climate Partnership</w:t>
            </w:r>
          </w:p>
          <w:p w14:paraId="159B2B68" w14:textId="77777777" w:rsidR="002C7FC9" w:rsidRDefault="002C7FC9" w:rsidP="002C7FC9">
            <w:pPr>
              <w:keepLines/>
              <w:widowControl w:val="0"/>
              <w:numPr>
                <w:ilvl w:val="0"/>
                <w:numId w:val="36"/>
              </w:numPr>
              <w:suppressAutoHyphens w:val="0"/>
              <w:spacing w:before="100" w:beforeAutospacing="1" w:after="100" w:afterAutospacing="1" w:line="240" w:lineRule="auto"/>
              <w:contextualSpacing/>
              <w:rPr>
                <w:sz w:val="15"/>
                <w:szCs w:val="15"/>
              </w:rPr>
            </w:pPr>
            <w:r>
              <w:rPr>
                <w:sz w:val="15"/>
                <w:szCs w:val="15"/>
              </w:rPr>
              <w:t>Samoa Governance Support Program</w:t>
            </w:r>
          </w:p>
          <w:p w14:paraId="7CDD0134" w14:textId="77777777" w:rsidR="002C7FC9" w:rsidRDefault="002C7FC9" w:rsidP="002C7FC9">
            <w:pPr>
              <w:keepLines/>
              <w:widowControl w:val="0"/>
              <w:numPr>
                <w:ilvl w:val="0"/>
                <w:numId w:val="36"/>
              </w:numPr>
              <w:suppressAutoHyphens w:val="0"/>
              <w:spacing w:before="100" w:beforeAutospacing="1" w:after="100" w:afterAutospacing="1" w:line="240" w:lineRule="auto"/>
              <w:contextualSpacing/>
              <w:rPr>
                <w:sz w:val="15"/>
                <w:szCs w:val="15"/>
              </w:rPr>
            </w:pPr>
            <w:r>
              <w:rPr>
                <w:sz w:val="15"/>
                <w:szCs w:val="15"/>
              </w:rPr>
              <w:t>Women in Leadership</w:t>
            </w:r>
          </w:p>
          <w:p w14:paraId="62111C78" w14:textId="45843295" w:rsidR="002C7FC9" w:rsidRDefault="002C7FC9" w:rsidP="002C7FC9">
            <w:pPr>
              <w:keepLines/>
              <w:widowControl w:val="0"/>
              <w:tabs>
                <w:tab w:val="left" w:pos="7830"/>
              </w:tabs>
              <w:suppressAutoHyphens w:val="0"/>
              <w:spacing w:before="100" w:beforeAutospacing="1" w:after="100" w:afterAutospacing="1"/>
            </w:pPr>
            <w:r w:rsidRPr="00966BAA">
              <w:rPr>
                <w:sz w:val="15"/>
                <w:szCs w:val="15"/>
              </w:rPr>
              <w:t>Samoa Gender Program</w:t>
            </w:r>
          </w:p>
        </w:tc>
        <w:tc>
          <w:tcPr>
            <w:tcW w:w="3118" w:type="dxa"/>
          </w:tcPr>
          <w:p w14:paraId="7B95605B" w14:textId="77777777" w:rsidR="002C7FC9" w:rsidRDefault="002C7FC9" w:rsidP="002C7FC9">
            <w:pPr>
              <w:keepLines/>
              <w:widowControl w:val="0"/>
              <w:numPr>
                <w:ilvl w:val="0"/>
                <w:numId w:val="36"/>
              </w:numPr>
              <w:suppressAutoHyphens w:val="0"/>
              <w:spacing w:before="100" w:beforeAutospacing="1" w:after="100" w:afterAutospacing="1" w:line="240" w:lineRule="auto"/>
              <w:contextualSpacing/>
              <w:rPr>
                <w:sz w:val="15"/>
                <w:szCs w:val="15"/>
              </w:rPr>
            </w:pPr>
            <w:r w:rsidRPr="00966BAA">
              <w:rPr>
                <w:sz w:val="15"/>
                <w:szCs w:val="15"/>
              </w:rPr>
              <w:t>Private Sector Development Initiative</w:t>
            </w:r>
          </w:p>
          <w:p w14:paraId="2C9E8848" w14:textId="77777777" w:rsidR="002C7FC9" w:rsidRDefault="002C7FC9" w:rsidP="002C7FC9">
            <w:pPr>
              <w:keepLines/>
              <w:widowControl w:val="0"/>
              <w:numPr>
                <w:ilvl w:val="0"/>
                <w:numId w:val="36"/>
              </w:numPr>
              <w:suppressAutoHyphens w:val="0"/>
              <w:spacing w:before="100" w:beforeAutospacing="1" w:after="100" w:afterAutospacing="1" w:line="240" w:lineRule="auto"/>
              <w:contextualSpacing/>
              <w:rPr>
                <w:sz w:val="15"/>
                <w:szCs w:val="15"/>
              </w:rPr>
            </w:pPr>
            <w:r>
              <w:rPr>
                <w:sz w:val="15"/>
                <w:szCs w:val="15"/>
              </w:rPr>
              <w:t>Business Partnerships Program</w:t>
            </w:r>
          </w:p>
          <w:p w14:paraId="58DF0A7F" w14:textId="77777777" w:rsidR="002C7FC9" w:rsidRDefault="002C7FC9" w:rsidP="002C7FC9">
            <w:pPr>
              <w:keepLines/>
              <w:widowControl w:val="0"/>
              <w:numPr>
                <w:ilvl w:val="0"/>
                <w:numId w:val="36"/>
              </w:numPr>
              <w:suppressAutoHyphens w:val="0"/>
              <w:spacing w:before="100" w:beforeAutospacing="1" w:after="100" w:afterAutospacing="1" w:line="240" w:lineRule="auto"/>
              <w:contextualSpacing/>
              <w:rPr>
                <w:sz w:val="15"/>
                <w:szCs w:val="15"/>
              </w:rPr>
            </w:pPr>
            <w:r w:rsidRPr="00966BAA">
              <w:rPr>
                <w:sz w:val="15"/>
                <w:szCs w:val="15"/>
              </w:rPr>
              <w:t xml:space="preserve">Pacific Labour Scheme </w:t>
            </w:r>
            <w:r>
              <w:rPr>
                <w:sz w:val="15"/>
                <w:szCs w:val="15"/>
              </w:rPr>
              <w:t>and Seasonal Workers Programme</w:t>
            </w:r>
          </w:p>
          <w:p w14:paraId="7FA289E4" w14:textId="77777777" w:rsidR="002C7FC9" w:rsidRDefault="002C7FC9" w:rsidP="002C7FC9">
            <w:pPr>
              <w:keepLines/>
              <w:widowControl w:val="0"/>
              <w:numPr>
                <w:ilvl w:val="0"/>
                <w:numId w:val="36"/>
              </w:numPr>
              <w:suppressAutoHyphens w:val="0"/>
              <w:spacing w:before="100" w:beforeAutospacing="1" w:after="100" w:afterAutospacing="1" w:line="240" w:lineRule="auto"/>
              <w:contextualSpacing/>
              <w:rPr>
                <w:sz w:val="15"/>
                <w:szCs w:val="15"/>
              </w:rPr>
            </w:pPr>
            <w:r w:rsidRPr="00966BAA">
              <w:rPr>
                <w:sz w:val="15"/>
                <w:szCs w:val="15"/>
              </w:rPr>
              <w:t>Samoa Pa</w:t>
            </w:r>
            <w:r>
              <w:rPr>
                <w:sz w:val="15"/>
                <w:szCs w:val="15"/>
              </w:rPr>
              <w:t>rliament Complex Redevelopment</w:t>
            </w:r>
          </w:p>
          <w:p w14:paraId="1990F547" w14:textId="77777777" w:rsidR="002C7FC9" w:rsidRDefault="002C7FC9" w:rsidP="002C7FC9">
            <w:pPr>
              <w:keepLines/>
              <w:widowControl w:val="0"/>
              <w:numPr>
                <w:ilvl w:val="0"/>
                <w:numId w:val="36"/>
              </w:numPr>
              <w:suppressAutoHyphens w:val="0"/>
              <w:spacing w:before="100" w:beforeAutospacing="1" w:after="100" w:afterAutospacing="1" w:line="240" w:lineRule="auto"/>
              <w:contextualSpacing/>
              <w:rPr>
                <w:sz w:val="15"/>
                <w:szCs w:val="15"/>
              </w:rPr>
            </w:pPr>
            <w:r w:rsidRPr="00966BAA">
              <w:rPr>
                <w:sz w:val="15"/>
                <w:szCs w:val="15"/>
              </w:rPr>
              <w:t>Austr</w:t>
            </w:r>
            <w:r>
              <w:rPr>
                <w:sz w:val="15"/>
                <w:szCs w:val="15"/>
              </w:rPr>
              <w:t>alia Pacific Training Coalition</w:t>
            </w:r>
          </w:p>
          <w:p w14:paraId="691E6B99" w14:textId="77777777" w:rsidR="002C7FC9" w:rsidRPr="00966BAA" w:rsidRDefault="002C7FC9" w:rsidP="002C7FC9">
            <w:pPr>
              <w:keepLines/>
              <w:widowControl w:val="0"/>
              <w:numPr>
                <w:ilvl w:val="0"/>
                <w:numId w:val="36"/>
              </w:numPr>
              <w:suppressAutoHyphens w:val="0"/>
              <w:spacing w:before="100" w:beforeAutospacing="1" w:after="100" w:afterAutospacing="1" w:line="240" w:lineRule="auto"/>
              <w:contextualSpacing/>
              <w:rPr>
                <w:sz w:val="15"/>
                <w:szCs w:val="15"/>
              </w:rPr>
            </w:pPr>
            <w:r w:rsidRPr="00966BAA">
              <w:rPr>
                <w:sz w:val="15"/>
                <w:szCs w:val="15"/>
              </w:rPr>
              <w:t>Australian Infrastructure Financing Facility for the Pacific</w:t>
            </w:r>
          </w:p>
          <w:p w14:paraId="4F12BF5F" w14:textId="77777777" w:rsidR="002C7FC9" w:rsidRDefault="002C7FC9" w:rsidP="002C7FC9">
            <w:pPr>
              <w:keepLines/>
              <w:widowControl w:val="0"/>
              <w:numPr>
                <w:ilvl w:val="0"/>
                <w:numId w:val="36"/>
              </w:numPr>
              <w:suppressAutoHyphens w:val="0"/>
              <w:spacing w:before="100" w:beforeAutospacing="1" w:after="100" w:afterAutospacing="1" w:line="240" w:lineRule="auto"/>
              <w:contextualSpacing/>
              <w:rPr>
                <w:sz w:val="15"/>
                <w:szCs w:val="15"/>
              </w:rPr>
            </w:pPr>
            <w:r>
              <w:rPr>
                <w:sz w:val="15"/>
                <w:szCs w:val="15"/>
              </w:rPr>
              <w:t>Samoa Fiscal Resilience Program</w:t>
            </w:r>
          </w:p>
          <w:p w14:paraId="1D4483D8" w14:textId="77777777" w:rsidR="002C7FC9" w:rsidRDefault="002C7FC9" w:rsidP="002C7FC9">
            <w:pPr>
              <w:keepLines/>
              <w:widowControl w:val="0"/>
              <w:numPr>
                <w:ilvl w:val="0"/>
                <w:numId w:val="36"/>
              </w:numPr>
              <w:suppressAutoHyphens w:val="0"/>
              <w:spacing w:before="100" w:beforeAutospacing="1" w:after="100" w:afterAutospacing="1" w:line="240" w:lineRule="auto"/>
              <w:contextualSpacing/>
              <w:rPr>
                <w:sz w:val="15"/>
                <w:szCs w:val="15"/>
              </w:rPr>
            </w:pPr>
            <w:r w:rsidRPr="00560BC0">
              <w:rPr>
                <w:sz w:val="15"/>
                <w:szCs w:val="15"/>
              </w:rPr>
              <w:t>Samoa Procurement Support Program</w:t>
            </w:r>
            <w:r w:rsidRPr="0018156B">
              <w:rPr>
                <w:sz w:val="15"/>
                <w:szCs w:val="15"/>
              </w:rPr>
              <w:t xml:space="preserve"> </w:t>
            </w:r>
          </w:p>
          <w:p w14:paraId="6882B142" w14:textId="77777777" w:rsidR="002C7FC9" w:rsidRDefault="002C7FC9" w:rsidP="002C7FC9">
            <w:pPr>
              <w:keepLines/>
              <w:widowControl w:val="0"/>
              <w:numPr>
                <w:ilvl w:val="0"/>
                <w:numId w:val="36"/>
              </w:numPr>
              <w:suppressAutoHyphens w:val="0"/>
              <w:spacing w:before="100" w:beforeAutospacing="1" w:after="100" w:afterAutospacing="1" w:line="240" w:lineRule="auto"/>
              <w:contextualSpacing/>
              <w:rPr>
                <w:sz w:val="15"/>
                <w:szCs w:val="15"/>
              </w:rPr>
            </w:pPr>
            <w:r w:rsidRPr="0018156B">
              <w:rPr>
                <w:sz w:val="15"/>
                <w:szCs w:val="15"/>
              </w:rPr>
              <w:t xml:space="preserve">Pacific Horticulture Agriculture Market Access Program </w:t>
            </w:r>
          </w:p>
          <w:p w14:paraId="78D72F3A" w14:textId="77777777" w:rsidR="002C7FC9" w:rsidRDefault="002C7FC9" w:rsidP="002C7FC9">
            <w:pPr>
              <w:keepLines/>
              <w:widowControl w:val="0"/>
              <w:numPr>
                <w:ilvl w:val="0"/>
                <w:numId w:val="36"/>
              </w:numPr>
              <w:suppressAutoHyphens w:val="0"/>
              <w:spacing w:before="100" w:beforeAutospacing="1" w:after="100" w:afterAutospacing="1" w:line="240" w:lineRule="auto"/>
              <w:contextualSpacing/>
              <w:rPr>
                <w:sz w:val="15"/>
                <w:szCs w:val="15"/>
              </w:rPr>
            </w:pPr>
            <w:r w:rsidRPr="0018156B">
              <w:rPr>
                <w:sz w:val="15"/>
                <w:szCs w:val="15"/>
              </w:rPr>
              <w:t>Samoa Agribusiness Support Program</w:t>
            </w:r>
          </w:p>
          <w:p w14:paraId="457E19C9" w14:textId="723BC6BE" w:rsidR="002C7FC9" w:rsidRDefault="002C7FC9" w:rsidP="002C7FC9">
            <w:pPr>
              <w:keepLines/>
              <w:widowControl w:val="0"/>
              <w:tabs>
                <w:tab w:val="left" w:pos="7830"/>
              </w:tabs>
              <w:suppressAutoHyphens w:val="0"/>
              <w:spacing w:before="100" w:beforeAutospacing="1" w:after="100" w:afterAutospacing="1"/>
            </w:pPr>
            <w:r w:rsidRPr="00C231CE">
              <w:rPr>
                <w:sz w:val="15"/>
                <w:szCs w:val="15"/>
              </w:rPr>
              <w:t>Essential Services and Humanitarian Corridor</w:t>
            </w:r>
          </w:p>
        </w:tc>
      </w:tr>
    </w:tbl>
    <w:p w14:paraId="0E42FAFB" w14:textId="77777777" w:rsidR="002C7FC9" w:rsidRPr="00116CC6" w:rsidRDefault="002C7FC9" w:rsidP="002C7FC9">
      <w:pPr>
        <w:tabs>
          <w:tab w:val="left" w:pos="7830"/>
        </w:tabs>
        <w:spacing w:before="720" w:after="120"/>
      </w:pPr>
    </w:p>
    <w:sectPr w:rsidR="002C7FC9" w:rsidRPr="00116CC6" w:rsidSect="00116CC6">
      <w:headerReference w:type="default" r:id="rId14"/>
      <w:headerReference w:type="first" r:id="rId15"/>
      <w:footerReference w:type="first" r:id="rId16"/>
      <w:pgSz w:w="11906" w:h="16838" w:code="9"/>
      <w:pgMar w:top="680" w:right="1418" w:bottom="680" w:left="1559" w:header="425" w:footer="567"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6557A2" w14:textId="77777777" w:rsidR="001977F3" w:rsidRDefault="001977F3" w:rsidP="00D37B04">
      <w:r>
        <w:separator/>
      </w:r>
    </w:p>
  </w:endnote>
  <w:endnote w:type="continuationSeparator" w:id="0">
    <w:p w14:paraId="68C38E6A" w14:textId="77777777" w:rsidR="001977F3" w:rsidRDefault="001977F3" w:rsidP="00D37B04">
      <w:r>
        <w:continuationSeparator/>
      </w:r>
    </w:p>
  </w:endnote>
  <w:endnote w:type="continuationNotice" w:id="1">
    <w:p w14:paraId="45FA998A" w14:textId="77777777" w:rsidR="001977F3" w:rsidRDefault="001977F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8DAD2" w14:textId="77777777" w:rsidR="00237277" w:rsidRDefault="002372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84C4C" w14:textId="45DC0D94" w:rsidR="00C35791" w:rsidRPr="00C92805" w:rsidRDefault="00FA5EFD" w:rsidP="00854F69">
    <w:pPr>
      <w:pStyle w:val="Footer"/>
      <w:rPr>
        <w:color w:val="495965" w:themeColor="text2"/>
      </w:rPr>
    </w:pPr>
    <w:r w:rsidRPr="00C92805">
      <w:rPr>
        <w:b/>
        <w:noProof/>
        <w:color w:val="495965" w:themeColor="text2"/>
        <w:lang w:val="en-AU" w:eastAsia="en-AU"/>
      </w:rPr>
      <w:drawing>
        <wp:anchor distT="0" distB="0" distL="114300" distR="114300" simplePos="0" relativeHeight="251666432" behindDoc="1" locked="0" layoutInCell="1" allowOverlap="1" wp14:anchorId="48419A51" wp14:editId="68769884">
          <wp:simplePos x="0" y="0"/>
          <wp:positionH relativeFrom="page">
            <wp:posOffset>329565</wp:posOffset>
          </wp:positionH>
          <wp:positionV relativeFrom="page">
            <wp:posOffset>9843325</wp:posOffset>
          </wp:positionV>
          <wp:extent cx="6895033" cy="737812"/>
          <wp:effectExtent l="0" t="0" r="1270" b="5715"/>
          <wp:wrapNone/>
          <wp:docPr id="219" name="Picture 2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S-Aqua-Footer-PT.png"/>
                  <pic:cNvPicPr/>
                </pic:nvPicPr>
                <pic:blipFill>
                  <a:blip r:embed="rId1">
                    <a:extLst>
                      <a:ext uri="{28A0092B-C50C-407E-A947-70E740481C1C}">
                        <a14:useLocalDpi xmlns:a14="http://schemas.microsoft.com/office/drawing/2010/main" val="0"/>
                      </a:ext>
                    </a:extLst>
                  </a:blip>
                  <a:stretch>
                    <a:fillRect/>
                  </a:stretch>
                </pic:blipFill>
                <pic:spPr>
                  <a:xfrm>
                    <a:off x="0" y="0"/>
                    <a:ext cx="6895033" cy="737812"/>
                  </a:xfrm>
                  <a:prstGeom prst="rect">
                    <a:avLst/>
                  </a:prstGeom>
                </pic:spPr>
              </pic:pic>
            </a:graphicData>
          </a:graphic>
          <wp14:sizeRelH relativeFrom="margin">
            <wp14:pctWidth>0</wp14:pctWidth>
          </wp14:sizeRelH>
          <wp14:sizeRelV relativeFrom="margin">
            <wp14:pctHeight>0</wp14:pctHeight>
          </wp14:sizeRelV>
        </wp:anchor>
      </w:drawing>
    </w:r>
    <w:r w:rsidR="00220FDB">
      <w:rPr>
        <w:b/>
        <w:noProof/>
        <w:color w:val="495965" w:themeColor="text2"/>
        <w:lang w:val="en-AU" w:eastAsia="en-AU"/>
      </w:rPr>
      <w:t>October</w:t>
    </w:r>
    <w:r w:rsidR="00297258">
      <w:rPr>
        <w:b/>
        <w:noProof/>
        <w:color w:val="495965" w:themeColor="text2"/>
        <w:lang w:val="en-AU" w:eastAsia="en-AU"/>
      </w:rPr>
      <w:t xml:space="preserve"> 20</w:t>
    </w:r>
    <w:r w:rsidR="00A12B40" w:rsidRPr="00C92805">
      <w:rPr>
        <w:b/>
        <w:noProof/>
        <w:color w:val="495965" w:themeColor="text2"/>
        <w:lang w:val="en-AU" w:eastAsia="en-AU"/>
      </w:rPr>
      <w:t>20</w:t>
    </w:r>
    <w:r w:rsidR="00712416">
      <w:rPr>
        <w:b/>
        <w:noProof/>
        <w:color w:val="495965" w:themeColor="text2"/>
        <w:lang w:val="en-AU" w:eastAsia="en-AU"/>
      </w:rPr>
      <w:tab/>
    </w:r>
    <w:r w:rsidR="00712416" w:rsidRPr="00712416">
      <w:rPr>
        <w:b/>
        <w:noProof/>
        <w:color w:val="495965" w:themeColor="text2"/>
        <w:lang w:val="en-AU" w:eastAsia="en-AU"/>
      </w:rPr>
      <w:fldChar w:fldCharType="begin"/>
    </w:r>
    <w:r w:rsidR="00712416" w:rsidRPr="00712416">
      <w:rPr>
        <w:b/>
        <w:noProof/>
        <w:color w:val="495965" w:themeColor="text2"/>
        <w:lang w:val="en-AU" w:eastAsia="en-AU"/>
      </w:rPr>
      <w:instrText xml:space="preserve"> PAGE   \* MERGEFORMAT </w:instrText>
    </w:r>
    <w:r w:rsidR="00712416" w:rsidRPr="00712416">
      <w:rPr>
        <w:b/>
        <w:noProof/>
        <w:color w:val="495965" w:themeColor="text2"/>
        <w:lang w:val="en-AU" w:eastAsia="en-AU"/>
      </w:rPr>
      <w:fldChar w:fldCharType="separate"/>
    </w:r>
    <w:r w:rsidR="007A14BB">
      <w:rPr>
        <w:b/>
        <w:noProof/>
        <w:color w:val="495965" w:themeColor="text2"/>
        <w:lang w:val="en-AU" w:eastAsia="en-AU"/>
      </w:rPr>
      <w:t>4</w:t>
    </w:r>
    <w:r w:rsidR="00712416" w:rsidRPr="00712416">
      <w:rPr>
        <w:b/>
        <w:noProof/>
        <w:color w:val="495965" w:themeColor="text2"/>
        <w:lang w:val="en-AU" w:eastAsia="en-AU"/>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20EB7" w14:textId="786B414C" w:rsidR="00C35791" w:rsidRPr="00854F69" w:rsidRDefault="00FA5EFD" w:rsidP="00854F69">
    <w:pPr>
      <w:pStyle w:val="Footer"/>
      <w:ind w:right="-113"/>
      <w:rPr>
        <w:b/>
        <w:noProof/>
        <w:color w:val="495965" w:themeColor="text2"/>
        <w:lang w:val="en-AU" w:eastAsia="en-AU"/>
      </w:rPr>
    </w:pPr>
    <w:r w:rsidRPr="00C92805">
      <w:rPr>
        <w:b/>
        <w:noProof/>
        <w:color w:val="495965" w:themeColor="text2"/>
        <w:lang w:val="en-AU" w:eastAsia="en-AU"/>
      </w:rPr>
      <w:drawing>
        <wp:anchor distT="0" distB="0" distL="114300" distR="114300" simplePos="0" relativeHeight="251664384" behindDoc="1" locked="0" layoutInCell="1" allowOverlap="1" wp14:anchorId="2287D790" wp14:editId="4DC1BE8F">
          <wp:simplePos x="0" y="0"/>
          <wp:positionH relativeFrom="margin">
            <wp:posOffset>-29845</wp:posOffset>
          </wp:positionH>
          <wp:positionV relativeFrom="page">
            <wp:posOffset>9843770</wp:posOffset>
          </wp:positionV>
          <wp:extent cx="6934835" cy="742071"/>
          <wp:effectExtent l="0" t="0" r="0" b="1270"/>
          <wp:wrapNone/>
          <wp:docPr id="223" name="Picture 2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S-Aqua-Footer-PT.png"/>
                  <pic:cNvPicPr/>
                </pic:nvPicPr>
                <pic:blipFill>
                  <a:blip r:embed="rId1">
                    <a:extLst>
                      <a:ext uri="{28A0092B-C50C-407E-A947-70E740481C1C}">
                        <a14:useLocalDpi xmlns:a14="http://schemas.microsoft.com/office/drawing/2010/main" val="0"/>
                      </a:ext>
                    </a:extLst>
                  </a:blip>
                  <a:stretch>
                    <a:fillRect/>
                  </a:stretch>
                </pic:blipFill>
                <pic:spPr>
                  <a:xfrm>
                    <a:off x="0" y="0"/>
                    <a:ext cx="6934835" cy="742071"/>
                  </a:xfrm>
                  <a:prstGeom prst="rect">
                    <a:avLst/>
                  </a:prstGeom>
                </pic:spPr>
              </pic:pic>
            </a:graphicData>
          </a:graphic>
          <wp14:sizeRelH relativeFrom="margin">
            <wp14:pctWidth>0</wp14:pctWidth>
          </wp14:sizeRelH>
          <wp14:sizeRelV relativeFrom="margin">
            <wp14:pctHeight>0</wp14:pctHeight>
          </wp14:sizeRelV>
        </wp:anchor>
      </w:drawing>
    </w:r>
    <w:r w:rsidR="00220FDB">
      <w:rPr>
        <w:b/>
        <w:noProof/>
        <w:color w:val="495965" w:themeColor="text2"/>
        <w:lang w:val="en-AU" w:eastAsia="en-AU"/>
      </w:rPr>
      <w:t>October</w:t>
    </w:r>
    <w:r w:rsidR="00220FDB" w:rsidRPr="00C92805">
      <w:rPr>
        <w:b/>
        <w:noProof/>
        <w:color w:val="495965" w:themeColor="text2"/>
        <w:lang w:val="en-AU" w:eastAsia="en-AU"/>
      </w:rPr>
      <w:t xml:space="preserve"> </w:t>
    </w:r>
    <w:r w:rsidR="005E5524">
      <w:rPr>
        <w:b/>
        <w:noProof/>
        <w:color w:val="495965" w:themeColor="text2"/>
        <w:lang w:val="en-AU" w:eastAsia="en-AU"/>
      </w:rPr>
      <w:t>20</w:t>
    </w:r>
    <w:r w:rsidR="00A12B40" w:rsidRPr="00C92805">
      <w:rPr>
        <w:b/>
        <w:noProof/>
        <w:color w:val="495965" w:themeColor="text2"/>
        <w:lang w:val="en-AU" w:eastAsia="en-AU"/>
      </w:rPr>
      <w:t>20</w:t>
    </w:r>
    <w:r w:rsidR="00712416">
      <w:rPr>
        <w:b/>
        <w:noProof/>
        <w:color w:val="495965" w:themeColor="text2"/>
        <w:lang w:val="en-AU" w:eastAsia="en-AU"/>
      </w:rPr>
      <w:tab/>
    </w:r>
    <w:r w:rsidR="00712416" w:rsidRPr="00712416">
      <w:rPr>
        <w:b/>
        <w:noProof/>
        <w:color w:val="495965" w:themeColor="text2"/>
        <w:lang w:val="en-AU" w:eastAsia="en-AU"/>
      </w:rPr>
      <w:fldChar w:fldCharType="begin"/>
    </w:r>
    <w:r w:rsidR="00712416" w:rsidRPr="00712416">
      <w:rPr>
        <w:b/>
        <w:noProof/>
        <w:color w:val="495965" w:themeColor="text2"/>
        <w:lang w:val="en-AU" w:eastAsia="en-AU"/>
      </w:rPr>
      <w:instrText xml:space="preserve"> PAGE   \* MERGEFORMAT </w:instrText>
    </w:r>
    <w:r w:rsidR="00712416" w:rsidRPr="00712416">
      <w:rPr>
        <w:b/>
        <w:noProof/>
        <w:color w:val="495965" w:themeColor="text2"/>
        <w:lang w:val="en-AU" w:eastAsia="en-AU"/>
      </w:rPr>
      <w:fldChar w:fldCharType="separate"/>
    </w:r>
    <w:r w:rsidR="007A14BB">
      <w:rPr>
        <w:b/>
        <w:noProof/>
        <w:color w:val="495965" w:themeColor="text2"/>
        <w:lang w:val="en-AU" w:eastAsia="en-AU"/>
      </w:rPr>
      <w:t>1</w:t>
    </w:r>
    <w:r w:rsidR="00712416" w:rsidRPr="00712416">
      <w:rPr>
        <w:b/>
        <w:noProof/>
        <w:color w:val="495965" w:themeColor="text2"/>
        <w:lang w:val="en-AU" w:eastAsia="en-AU"/>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D5A5F" w14:textId="5780D4FC" w:rsidR="00116CC6" w:rsidRPr="00854F69" w:rsidRDefault="00116CC6" w:rsidP="00854F69">
    <w:pPr>
      <w:pStyle w:val="Footer"/>
      <w:ind w:right="-113"/>
      <w:rPr>
        <w:b/>
        <w:noProof/>
        <w:color w:val="495965" w:themeColor="text2"/>
        <w:lang w:val="en-AU" w:eastAsia="en-AU"/>
      </w:rPr>
    </w:pPr>
    <w:r w:rsidRPr="00C92805">
      <w:rPr>
        <w:b/>
        <w:noProof/>
        <w:color w:val="495965" w:themeColor="text2"/>
        <w:lang w:val="en-AU" w:eastAsia="en-AU"/>
      </w:rPr>
      <w:drawing>
        <wp:anchor distT="0" distB="0" distL="114300" distR="114300" simplePos="0" relativeHeight="251681792" behindDoc="1" locked="0" layoutInCell="1" allowOverlap="1" wp14:anchorId="4780B2C5" wp14:editId="28C5F7D7">
          <wp:simplePos x="0" y="0"/>
          <wp:positionH relativeFrom="margin">
            <wp:posOffset>-706120</wp:posOffset>
          </wp:positionH>
          <wp:positionV relativeFrom="page">
            <wp:posOffset>9843770</wp:posOffset>
          </wp:positionV>
          <wp:extent cx="6934835" cy="742071"/>
          <wp:effectExtent l="0" t="0" r="0" b="127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S-Aqua-Footer-PT.png"/>
                  <pic:cNvPicPr/>
                </pic:nvPicPr>
                <pic:blipFill>
                  <a:blip r:embed="rId1">
                    <a:extLst>
                      <a:ext uri="{28A0092B-C50C-407E-A947-70E740481C1C}">
                        <a14:useLocalDpi xmlns:a14="http://schemas.microsoft.com/office/drawing/2010/main" val="0"/>
                      </a:ext>
                    </a:extLst>
                  </a:blip>
                  <a:stretch>
                    <a:fillRect/>
                  </a:stretch>
                </pic:blipFill>
                <pic:spPr>
                  <a:xfrm>
                    <a:off x="0" y="0"/>
                    <a:ext cx="6934835" cy="742071"/>
                  </a:xfrm>
                  <a:prstGeom prst="rect">
                    <a:avLst/>
                  </a:prstGeom>
                </pic:spPr>
              </pic:pic>
            </a:graphicData>
          </a:graphic>
          <wp14:sizeRelH relativeFrom="margin">
            <wp14:pctWidth>0</wp14:pctWidth>
          </wp14:sizeRelH>
          <wp14:sizeRelV relativeFrom="margin">
            <wp14:pctHeight>0</wp14:pctHeight>
          </wp14:sizeRelV>
        </wp:anchor>
      </w:drawing>
    </w:r>
    <w:r>
      <w:rPr>
        <w:b/>
        <w:noProof/>
        <w:color w:val="495965" w:themeColor="text2"/>
        <w:lang w:val="en-AU" w:eastAsia="en-AU"/>
      </w:rPr>
      <w:t>October</w:t>
    </w:r>
    <w:r w:rsidRPr="00C92805">
      <w:rPr>
        <w:b/>
        <w:noProof/>
        <w:color w:val="495965" w:themeColor="text2"/>
        <w:lang w:val="en-AU" w:eastAsia="en-AU"/>
      </w:rPr>
      <w:t xml:space="preserve"> </w:t>
    </w:r>
    <w:r>
      <w:rPr>
        <w:b/>
        <w:noProof/>
        <w:color w:val="495965" w:themeColor="text2"/>
        <w:lang w:val="en-AU" w:eastAsia="en-AU"/>
      </w:rPr>
      <w:t>20</w:t>
    </w:r>
    <w:r w:rsidRPr="00C92805">
      <w:rPr>
        <w:b/>
        <w:noProof/>
        <w:color w:val="495965" w:themeColor="text2"/>
        <w:lang w:val="en-AU" w:eastAsia="en-AU"/>
      </w:rPr>
      <w:t>20</w:t>
    </w:r>
    <w:r>
      <w:rPr>
        <w:b/>
        <w:noProof/>
        <w:color w:val="495965" w:themeColor="text2"/>
        <w:lang w:val="en-AU" w:eastAsia="en-AU"/>
      </w:rPr>
      <w:tab/>
    </w:r>
    <w:r w:rsidRPr="00712416">
      <w:rPr>
        <w:b/>
        <w:noProof/>
        <w:color w:val="495965" w:themeColor="text2"/>
        <w:lang w:val="en-AU" w:eastAsia="en-AU"/>
      </w:rPr>
      <w:fldChar w:fldCharType="begin"/>
    </w:r>
    <w:r w:rsidRPr="00712416">
      <w:rPr>
        <w:b/>
        <w:noProof/>
        <w:color w:val="495965" w:themeColor="text2"/>
        <w:lang w:val="en-AU" w:eastAsia="en-AU"/>
      </w:rPr>
      <w:instrText xml:space="preserve"> PAGE   \* MERGEFORMAT </w:instrText>
    </w:r>
    <w:r w:rsidRPr="00712416">
      <w:rPr>
        <w:b/>
        <w:noProof/>
        <w:color w:val="495965" w:themeColor="text2"/>
        <w:lang w:val="en-AU" w:eastAsia="en-AU"/>
      </w:rPr>
      <w:fldChar w:fldCharType="separate"/>
    </w:r>
    <w:r w:rsidR="007A14BB">
      <w:rPr>
        <w:b/>
        <w:noProof/>
        <w:color w:val="495965" w:themeColor="text2"/>
        <w:lang w:val="en-AU" w:eastAsia="en-AU"/>
      </w:rPr>
      <w:t>5</w:t>
    </w:r>
    <w:r w:rsidRPr="00712416">
      <w:rPr>
        <w:b/>
        <w:noProof/>
        <w:color w:val="495965" w:themeColor="text2"/>
        <w:lang w:val="en-AU" w:eastAsia="en-A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7C9CC8" w14:textId="77777777" w:rsidR="001977F3" w:rsidRPr="008C5A0E" w:rsidRDefault="001977F3" w:rsidP="00D37B04">
      <w:pPr>
        <w:pStyle w:val="Footer"/>
      </w:pPr>
    </w:p>
  </w:footnote>
  <w:footnote w:type="continuationSeparator" w:id="0">
    <w:p w14:paraId="1CB9CA6B" w14:textId="77777777" w:rsidR="001977F3" w:rsidRDefault="001977F3" w:rsidP="00D37B04">
      <w:r>
        <w:continuationSeparator/>
      </w:r>
    </w:p>
  </w:footnote>
  <w:footnote w:type="continuationNotice" w:id="1">
    <w:p w14:paraId="7940AE4C" w14:textId="77777777" w:rsidR="001977F3" w:rsidRDefault="001977F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6DDA7" w14:textId="77777777" w:rsidR="00237277" w:rsidRDefault="002372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20572" w14:textId="77777777" w:rsidR="002D5B25" w:rsidRPr="00E055AB" w:rsidRDefault="00FA5EFD" w:rsidP="00116CC6">
    <w:pPr>
      <w:pStyle w:val="Header"/>
      <w:ind w:left="142"/>
      <w:rPr>
        <w:caps w:val="0"/>
      </w:rPr>
    </w:pPr>
    <w:r w:rsidRPr="00A12B40">
      <w:rPr>
        <w:i/>
        <w:noProof/>
        <w:lang w:val="en-AU" w:eastAsia="en-AU"/>
      </w:rPr>
      <w:drawing>
        <wp:anchor distT="0" distB="0" distL="114300" distR="114300" simplePos="0" relativeHeight="251668480" behindDoc="1" locked="0" layoutInCell="1" allowOverlap="1" wp14:anchorId="2D3F14C5" wp14:editId="1A69D0A9">
          <wp:simplePos x="0" y="0"/>
          <wp:positionH relativeFrom="page">
            <wp:posOffset>316040</wp:posOffset>
          </wp:positionH>
          <wp:positionV relativeFrom="page">
            <wp:posOffset>94615</wp:posOffset>
          </wp:positionV>
          <wp:extent cx="6922959" cy="732655"/>
          <wp:effectExtent l="0" t="0" r="0" b="0"/>
          <wp:wrapNone/>
          <wp:docPr id="218" name="Picture 2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Aqua-Header-PT.png"/>
                  <pic:cNvPicPr/>
                </pic:nvPicPr>
                <pic:blipFill>
                  <a:blip r:embed="rId1">
                    <a:extLst>
                      <a:ext uri="{28A0092B-C50C-407E-A947-70E740481C1C}">
                        <a14:useLocalDpi xmlns:a14="http://schemas.microsoft.com/office/drawing/2010/main" val="0"/>
                      </a:ext>
                    </a:extLst>
                  </a:blip>
                  <a:stretch>
                    <a:fillRect/>
                  </a:stretch>
                </pic:blipFill>
                <pic:spPr>
                  <a:xfrm>
                    <a:off x="0" y="0"/>
                    <a:ext cx="6922959" cy="732655"/>
                  </a:xfrm>
                  <a:prstGeom prst="rect">
                    <a:avLst/>
                  </a:prstGeom>
                </pic:spPr>
              </pic:pic>
            </a:graphicData>
          </a:graphic>
          <wp14:sizeRelH relativeFrom="margin">
            <wp14:pctWidth>0</wp14:pctWidth>
          </wp14:sizeRelH>
          <wp14:sizeRelV relativeFrom="margin">
            <wp14:pctHeight>0</wp14:pctHeight>
          </wp14:sizeRelV>
        </wp:anchor>
      </w:drawing>
    </w:r>
    <w:r w:rsidR="00E055AB" w:rsidRPr="00A12B40">
      <w:rPr>
        <w:i/>
        <w:caps w:val="0"/>
      </w:rPr>
      <w:t>Partnerships for Recovery:</w:t>
    </w:r>
    <w:r w:rsidR="00E055AB">
      <w:rPr>
        <w:caps w:val="0"/>
      </w:rPr>
      <w:t xml:space="preserve"> COVID-19 Development Response</w:t>
    </w:r>
    <w:r w:rsidR="00603321">
      <w:rPr>
        <w:caps w:val="0"/>
      </w:rPr>
      <w:t xml:space="preserve"> Plans 2020-21 and 2021-22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40DE8" w14:textId="464F021A" w:rsidR="00D37B04" w:rsidRDefault="001E03BE" w:rsidP="00237277">
    <w:pPr>
      <w:pStyle w:val="Header"/>
      <w:spacing w:after="360"/>
      <w:ind w:left="142"/>
    </w:pPr>
    <w:r w:rsidRPr="00A12B40">
      <w:rPr>
        <w:i/>
        <w:noProof/>
        <w:lang w:val="en-AU" w:eastAsia="en-AU"/>
      </w:rPr>
      <w:drawing>
        <wp:anchor distT="0" distB="0" distL="114300" distR="114300" simplePos="0" relativeHeight="251670528" behindDoc="1" locked="0" layoutInCell="1" allowOverlap="1" wp14:anchorId="075C4A8E" wp14:editId="60108246">
          <wp:simplePos x="0" y="0"/>
          <wp:positionH relativeFrom="page">
            <wp:posOffset>305526</wp:posOffset>
          </wp:positionH>
          <wp:positionV relativeFrom="page">
            <wp:posOffset>95250</wp:posOffset>
          </wp:positionV>
          <wp:extent cx="6922959" cy="732655"/>
          <wp:effectExtent l="0" t="0" r="0" b="0"/>
          <wp:wrapNone/>
          <wp:docPr id="222" name="Picture 2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Aqua-Header-PT.png"/>
                  <pic:cNvPicPr/>
                </pic:nvPicPr>
                <pic:blipFill>
                  <a:blip r:embed="rId1">
                    <a:extLst>
                      <a:ext uri="{28A0092B-C50C-407E-A947-70E740481C1C}">
                        <a14:useLocalDpi xmlns:a14="http://schemas.microsoft.com/office/drawing/2010/main" val="0"/>
                      </a:ext>
                    </a:extLst>
                  </a:blip>
                  <a:stretch>
                    <a:fillRect/>
                  </a:stretch>
                </pic:blipFill>
                <pic:spPr>
                  <a:xfrm>
                    <a:off x="0" y="0"/>
                    <a:ext cx="6922959" cy="732655"/>
                  </a:xfrm>
                  <a:prstGeom prst="rect">
                    <a:avLst/>
                  </a:prstGeom>
                </pic:spPr>
              </pic:pic>
            </a:graphicData>
          </a:graphic>
          <wp14:sizeRelH relativeFrom="margin">
            <wp14:pctWidth>0</wp14:pctWidth>
          </wp14:sizeRelH>
          <wp14:sizeRelV relativeFrom="margin">
            <wp14:pctHeight>0</wp14:pctHeight>
          </wp14:sizeRelV>
        </wp:anchor>
      </w:drawing>
    </w:r>
    <w:r w:rsidR="002E2AF4" w:rsidRPr="00A12B40">
      <w:rPr>
        <w:i/>
        <w:caps w:val="0"/>
      </w:rPr>
      <w:t>Partnerships for Recovery:</w:t>
    </w:r>
    <w:r w:rsidR="002E2AF4">
      <w:rPr>
        <w:caps w:val="0"/>
      </w:rPr>
      <w:t xml:space="preserve"> COVID-19 Development Response</w:t>
    </w:r>
    <w:r w:rsidR="00603321">
      <w:rPr>
        <w:caps w:val="0"/>
      </w:rPr>
      <w:t xml:space="preserve"> Plans 2020-21 and 2021-22</w:t>
    </w:r>
    <w:r w:rsidR="002E2AF4" w:rsidRPr="0089195C">
      <w:rPr>
        <w:i/>
        <w:noProof/>
        <w:lang w:val="en-AU" w:eastAsia="en-AU"/>
      </w:rPr>
      <w:t xml:space="preserve"> </w:t>
    </w:r>
    <w:r w:rsidR="00B51C2F">
      <w:ptab w:relativeTo="margin" w:alignment="center" w:leader="none"/>
    </w:r>
  </w:p>
  <w:p w14:paraId="0036B1B0" w14:textId="1978CEBB" w:rsidR="00237277" w:rsidRPr="00943730" w:rsidRDefault="00237277" w:rsidP="00116CC6">
    <w:pPr>
      <w:pStyle w:val="Header"/>
      <w:ind w:left="142"/>
    </w:pPr>
    <w:bookmarkStart w:id="0" w:name="_GoBack"/>
    <w:r>
      <w:rPr>
        <w:noProof/>
      </w:rPr>
      <w:drawing>
        <wp:inline distT="0" distB="0" distL="0" distR="0" wp14:anchorId="4A9F91CF" wp14:editId="7E828891">
          <wp:extent cx="3571875" cy="752475"/>
          <wp:effectExtent l="0" t="0" r="9525" b="9525"/>
          <wp:docPr id="1" name="Picture 1" descr="Australian government crest and flag of Sam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571875" cy="752475"/>
                  </a:xfrm>
                  <a:prstGeom prst="rect">
                    <a:avLst/>
                  </a:prstGeom>
                </pic:spPr>
              </pic:pic>
            </a:graphicData>
          </a:graphic>
        </wp:inline>
      </w:drawing>
    </w:r>
    <w:bookmarkEnd w:id="0"/>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0F51D" w14:textId="77777777" w:rsidR="001E563B" w:rsidRPr="00E055AB" w:rsidRDefault="001E563B" w:rsidP="001C1F11">
    <w:pPr>
      <w:pStyle w:val="Header"/>
      <w:ind w:left="142"/>
      <w:rPr>
        <w:caps w:val="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48E39" w14:textId="6236E9C7" w:rsidR="00116CC6" w:rsidRPr="00943730" w:rsidRDefault="00116CC6" w:rsidP="00116CC6">
    <w:pPr>
      <w:pStyle w:val="Header"/>
      <w:ind w:left="-709"/>
    </w:pPr>
    <w:r w:rsidRPr="00A12B40">
      <w:rPr>
        <w:i/>
        <w:noProof/>
        <w:lang w:val="en-AU" w:eastAsia="en-AU"/>
      </w:rPr>
      <w:drawing>
        <wp:anchor distT="0" distB="0" distL="114300" distR="114300" simplePos="0" relativeHeight="251679744" behindDoc="1" locked="0" layoutInCell="1" allowOverlap="1" wp14:anchorId="366C2AB0" wp14:editId="5431ED4F">
          <wp:simplePos x="0" y="0"/>
          <wp:positionH relativeFrom="page">
            <wp:posOffset>305526</wp:posOffset>
          </wp:positionH>
          <wp:positionV relativeFrom="page">
            <wp:posOffset>95250</wp:posOffset>
          </wp:positionV>
          <wp:extent cx="6922959" cy="732655"/>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Aqua-Header-PT.png"/>
                  <pic:cNvPicPr/>
                </pic:nvPicPr>
                <pic:blipFill>
                  <a:blip r:embed="rId1">
                    <a:extLst>
                      <a:ext uri="{28A0092B-C50C-407E-A947-70E740481C1C}">
                        <a14:useLocalDpi xmlns:a14="http://schemas.microsoft.com/office/drawing/2010/main" val="0"/>
                      </a:ext>
                    </a:extLst>
                  </a:blip>
                  <a:stretch>
                    <a:fillRect/>
                  </a:stretch>
                </pic:blipFill>
                <pic:spPr>
                  <a:xfrm>
                    <a:off x="0" y="0"/>
                    <a:ext cx="6922959" cy="732655"/>
                  </a:xfrm>
                  <a:prstGeom prst="rect">
                    <a:avLst/>
                  </a:prstGeom>
                </pic:spPr>
              </pic:pic>
            </a:graphicData>
          </a:graphic>
          <wp14:sizeRelH relativeFrom="margin">
            <wp14:pctWidth>0</wp14:pctWidth>
          </wp14:sizeRelH>
          <wp14:sizeRelV relativeFrom="margin">
            <wp14:pctHeight>0</wp14:pctHeight>
          </wp14:sizeRelV>
        </wp:anchor>
      </w:drawing>
    </w:r>
    <w:r w:rsidRPr="00A12B40">
      <w:rPr>
        <w:i/>
        <w:caps w:val="0"/>
      </w:rPr>
      <w:t>Partnerships for Recovery:</w:t>
    </w:r>
    <w:r>
      <w:rPr>
        <w:caps w:val="0"/>
      </w:rPr>
      <w:t xml:space="preserve"> COVID-19 Development Response Plans 2020-21 and 2021-22</w:t>
    </w:r>
    <w:r w:rsidRPr="0089195C">
      <w:rPr>
        <w:i/>
        <w:noProof/>
        <w:lang w:val="en-AU" w:eastAsia="en-AU"/>
      </w:rPr>
      <w:t xml:space="preserve"> </w:t>
    </w: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974A5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DEED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1E89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C4BC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461C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16F7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C21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DCFF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EA93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5485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A0FC8"/>
    <w:multiLevelType w:val="hybridMultilevel"/>
    <w:tmpl w:val="1B5E3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3B56AC2"/>
    <w:multiLevelType w:val="hybridMultilevel"/>
    <w:tmpl w:val="8D94D83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5"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6" w15:restartNumberingAfterBreak="0">
    <w:nsid w:val="38F132CE"/>
    <w:multiLevelType w:val="multilevel"/>
    <w:tmpl w:val="3B7A10DE"/>
    <w:numStyleLink w:val="BulletsList"/>
  </w:abstractNum>
  <w:abstractNum w:abstractNumId="17" w15:restartNumberingAfterBreak="0">
    <w:nsid w:val="44D5739D"/>
    <w:multiLevelType w:val="hybridMultilevel"/>
    <w:tmpl w:val="26ECA3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74A148B"/>
    <w:multiLevelType w:val="hybridMultilevel"/>
    <w:tmpl w:val="FC90C7DA"/>
    <w:lvl w:ilvl="0" w:tplc="59463C12">
      <w:start w:val="6"/>
      <w:numFmt w:val="bullet"/>
      <w:lvlText w:val="-"/>
      <w:lvlJc w:val="left"/>
      <w:pPr>
        <w:ind w:left="269" w:hanging="360"/>
      </w:pPr>
      <w:rPr>
        <w:rFonts w:ascii="Calibri" w:eastAsiaTheme="minorHAnsi" w:hAnsi="Calibri" w:cs="Calibri" w:hint="default"/>
      </w:rPr>
    </w:lvl>
    <w:lvl w:ilvl="1" w:tplc="0C090003" w:tentative="1">
      <w:start w:val="1"/>
      <w:numFmt w:val="bullet"/>
      <w:lvlText w:val="o"/>
      <w:lvlJc w:val="left"/>
      <w:pPr>
        <w:ind w:left="989" w:hanging="360"/>
      </w:pPr>
      <w:rPr>
        <w:rFonts w:ascii="Courier New" w:hAnsi="Courier New" w:cs="Courier New" w:hint="default"/>
      </w:rPr>
    </w:lvl>
    <w:lvl w:ilvl="2" w:tplc="0C090005" w:tentative="1">
      <w:start w:val="1"/>
      <w:numFmt w:val="bullet"/>
      <w:lvlText w:val=""/>
      <w:lvlJc w:val="left"/>
      <w:pPr>
        <w:ind w:left="1709" w:hanging="360"/>
      </w:pPr>
      <w:rPr>
        <w:rFonts w:ascii="Wingdings" w:hAnsi="Wingdings" w:hint="default"/>
      </w:rPr>
    </w:lvl>
    <w:lvl w:ilvl="3" w:tplc="0C090001" w:tentative="1">
      <w:start w:val="1"/>
      <w:numFmt w:val="bullet"/>
      <w:lvlText w:val=""/>
      <w:lvlJc w:val="left"/>
      <w:pPr>
        <w:ind w:left="2429" w:hanging="360"/>
      </w:pPr>
      <w:rPr>
        <w:rFonts w:ascii="Symbol" w:hAnsi="Symbol" w:hint="default"/>
      </w:rPr>
    </w:lvl>
    <w:lvl w:ilvl="4" w:tplc="0C090003" w:tentative="1">
      <w:start w:val="1"/>
      <w:numFmt w:val="bullet"/>
      <w:lvlText w:val="o"/>
      <w:lvlJc w:val="left"/>
      <w:pPr>
        <w:ind w:left="3149" w:hanging="360"/>
      </w:pPr>
      <w:rPr>
        <w:rFonts w:ascii="Courier New" w:hAnsi="Courier New" w:cs="Courier New" w:hint="default"/>
      </w:rPr>
    </w:lvl>
    <w:lvl w:ilvl="5" w:tplc="0C090005" w:tentative="1">
      <w:start w:val="1"/>
      <w:numFmt w:val="bullet"/>
      <w:lvlText w:val=""/>
      <w:lvlJc w:val="left"/>
      <w:pPr>
        <w:ind w:left="3869" w:hanging="360"/>
      </w:pPr>
      <w:rPr>
        <w:rFonts w:ascii="Wingdings" w:hAnsi="Wingdings" w:hint="default"/>
      </w:rPr>
    </w:lvl>
    <w:lvl w:ilvl="6" w:tplc="0C090001" w:tentative="1">
      <w:start w:val="1"/>
      <w:numFmt w:val="bullet"/>
      <w:lvlText w:val=""/>
      <w:lvlJc w:val="left"/>
      <w:pPr>
        <w:ind w:left="4589" w:hanging="360"/>
      </w:pPr>
      <w:rPr>
        <w:rFonts w:ascii="Symbol" w:hAnsi="Symbol" w:hint="default"/>
      </w:rPr>
    </w:lvl>
    <w:lvl w:ilvl="7" w:tplc="0C090003" w:tentative="1">
      <w:start w:val="1"/>
      <w:numFmt w:val="bullet"/>
      <w:lvlText w:val="o"/>
      <w:lvlJc w:val="left"/>
      <w:pPr>
        <w:ind w:left="5309" w:hanging="360"/>
      </w:pPr>
      <w:rPr>
        <w:rFonts w:ascii="Courier New" w:hAnsi="Courier New" w:cs="Courier New" w:hint="default"/>
      </w:rPr>
    </w:lvl>
    <w:lvl w:ilvl="8" w:tplc="0C090005" w:tentative="1">
      <w:start w:val="1"/>
      <w:numFmt w:val="bullet"/>
      <w:lvlText w:val=""/>
      <w:lvlJc w:val="left"/>
      <w:pPr>
        <w:ind w:left="6029" w:hanging="360"/>
      </w:pPr>
      <w:rPr>
        <w:rFonts w:ascii="Wingdings" w:hAnsi="Wingdings" w:hint="default"/>
      </w:rPr>
    </w:lvl>
  </w:abstractNum>
  <w:abstractNum w:abstractNumId="19"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0" w15:restartNumberingAfterBreak="0">
    <w:nsid w:val="5D3C1EA7"/>
    <w:multiLevelType w:val="multilevel"/>
    <w:tmpl w:val="3B7A10DE"/>
    <w:numStyleLink w:val="BulletsList"/>
  </w:abstractNum>
  <w:abstractNum w:abstractNumId="21"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2" w15:restartNumberingAfterBreak="0">
    <w:nsid w:val="71E22DE1"/>
    <w:multiLevelType w:val="hybridMultilevel"/>
    <w:tmpl w:val="82602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3107305"/>
    <w:multiLevelType w:val="multilevel"/>
    <w:tmpl w:val="3B7A10DE"/>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4"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23"/>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9"/>
  </w:num>
  <w:num w:numId="10">
    <w:abstractNumId w:val="21"/>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0"/>
  </w:num>
  <w:num w:numId="22">
    <w:abstractNumId w:val="15"/>
  </w:num>
  <w:num w:numId="23">
    <w:abstractNumId w:val="15"/>
  </w:num>
  <w:num w:numId="24">
    <w:abstractNumId w:val="20"/>
  </w:num>
  <w:num w:numId="25">
    <w:abstractNumId w:val="20"/>
  </w:num>
  <w:num w:numId="26">
    <w:abstractNumId w:val="20"/>
  </w:num>
  <w:num w:numId="27">
    <w:abstractNumId w:val="19"/>
  </w:num>
  <w:num w:numId="28">
    <w:abstractNumId w:val="12"/>
  </w:num>
  <w:num w:numId="29">
    <w:abstractNumId w:val="12"/>
  </w:num>
  <w:num w:numId="30">
    <w:abstractNumId w:val="12"/>
  </w:num>
  <w:num w:numId="31">
    <w:abstractNumId w:val="14"/>
  </w:num>
  <w:num w:numId="32">
    <w:abstractNumId w:val="24"/>
  </w:num>
  <w:num w:numId="33">
    <w:abstractNumId w:val="16"/>
  </w:num>
  <w:num w:numId="34">
    <w:abstractNumId w:val="10"/>
  </w:num>
  <w:num w:numId="35">
    <w:abstractNumId w:val="11"/>
  </w:num>
  <w:num w:numId="36">
    <w:abstractNumId w:val="18"/>
  </w:num>
  <w:num w:numId="37">
    <w:abstractNumId w:val="22"/>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058"/>
    <w:rsid w:val="000005F0"/>
    <w:rsid w:val="00001DA8"/>
    <w:rsid w:val="000020C1"/>
    <w:rsid w:val="000046ED"/>
    <w:rsid w:val="00015AB7"/>
    <w:rsid w:val="0002080A"/>
    <w:rsid w:val="0002782F"/>
    <w:rsid w:val="00030F2E"/>
    <w:rsid w:val="00031486"/>
    <w:rsid w:val="00035BBF"/>
    <w:rsid w:val="00040372"/>
    <w:rsid w:val="00041BBE"/>
    <w:rsid w:val="000433F7"/>
    <w:rsid w:val="000444F3"/>
    <w:rsid w:val="00050806"/>
    <w:rsid w:val="000546D9"/>
    <w:rsid w:val="00054E4D"/>
    <w:rsid w:val="00060073"/>
    <w:rsid w:val="000616C6"/>
    <w:rsid w:val="000854FD"/>
    <w:rsid w:val="000A407E"/>
    <w:rsid w:val="000B37F5"/>
    <w:rsid w:val="000B5DA7"/>
    <w:rsid w:val="000C3A4C"/>
    <w:rsid w:val="000C6378"/>
    <w:rsid w:val="000D66D6"/>
    <w:rsid w:val="000E58BF"/>
    <w:rsid w:val="000E59F1"/>
    <w:rsid w:val="000E6C44"/>
    <w:rsid w:val="00113288"/>
    <w:rsid w:val="00116241"/>
    <w:rsid w:val="00116CC6"/>
    <w:rsid w:val="001214BE"/>
    <w:rsid w:val="0013101C"/>
    <w:rsid w:val="001461D6"/>
    <w:rsid w:val="00146E07"/>
    <w:rsid w:val="001541EA"/>
    <w:rsid w:val="00166032"/>
    <w:rsid w:val="001662F8"/>
    <w:rsid w:val="0017049E"/>
    <w:rsid w:val="001841C8"/>
    <w:rsid w:val="00192ACD"/>
    <w:rsid w:val="001977F3"/>
    <w:rsid w:val="001A51EE"/>
    <w:rsid w:val="001A62CA"/>
    <w:rsid w:val="001C1F11"/>
    <w:rsid w:val="001D663E"/>
    <w:rsid w:val="001E03BE"/>
    <w:rsid w:val="001E1DC0"/>
    <w:rsid w:val="001E563B"/>
    <w:rsid w:val="001E6D20"/>
    <w:rsid w:val="001E7B5C"/>
    <w:rsid w:val="00201B6D"/>
    <w:rsid w:val="00213BE9"/>
    <w:rsid w:val="00220FDB"/>
    <w:rsid w:val="002231BD"/>
    <w:rsid w:val="00237277"/>
    <w:rsid w:val="00244229"/>
    <w:rsid w:val="00247365"/>
    <w:rsid w:val="002806CE"/>
    <w:rsid w:val="00284FA1"/>
    <w:rsid w:val="0028602A"/>
    <w:rsid w:val="002945C4"/>
    <w:rsid w:val="00297258"/>
    <w:rsid w:val="002B3381"/>
    <w:rsid w:val="002B5E10"/>
    <w:rsid w:val="002C793D"/>
    <w:rsid w:val="002C7FC9"/>
    <w:rsid w:val="002D4108"/>
    <w:rsid w:val="002D430F"/>
    <w:rsid w:val="002D5B25"/>
    <w:rsid w:val="002E2AF4"/>
    <w:rsid w:val="002E38B2"/>
    <w:rsid w:val="002F4F2B"/>
    <w:rsid w:val="003002C0"/>
    <w:rsid w:val="00301144"/>
    <w:rsid w:val="003031C6"/>
    <w:rsid w:val="00304984"/>
    <w:rsid w:val="00311946"/>
    <w:rsid w:val="00312BF8"/>
    <w:rsid w:val="003148B7"/>
    <w:rsid w:val="003158C3"/>
    <w:rsid w:val="003179DA"/>
    <w:rsid w:val="00317B73"/>
    <w:rsid w:val="003274CD"/>
    <w:rsid w:val="00333501"/>
    <w:rsid w:val="0033554F"/>
    <w:rsid w:val="003457C4"/>
    <w:rsid w:val="0035119D"/>
    <w:rsid w:val="00353505"/>
    <w:rsid w:val="003719BE"/>
    <w:rsid w:val="0038333B"/>
    <w:rsid w:val="003841DB"/>
    <w:rsid w:val="0039215F"/>
    <w:rsid w:val="0039344A"/>
    <w:rsid w:val="003A1197"/>
    <w:rsid w:val="003B4F12"/>
    <w:rsid w:val="003C6C4F"/>
    <w:rsid w:val="003C7D0E"/>
    <w:rsid w:val="003F2041"/>
    <w:rsid w:val="004007ED"/>
    <w:rsid w:val="00402ACC"/>
    <w:rsid w:val="00404602"/>
    <w:rsid w:val="004120EC"/>
    <w:rsid w:val="00423F31"/>
    <w:rsid w:val="004245FC"/>
    <w:rsid w:val="00426340"/>
    <w:rsid w:val="00431899"/>
    <w:rsid w:val="00453B1A"/>
    <w:rsid w:val="004728DD"/>
    <w:rsid w:val="00473F2D"/>
    <w:rsid w:val="00473F39"/>
    <w:rsid w:val="00482AE8"/>
    <w:rsid w:val="00486804"/>
    <w:rsid w:val="00487549"/>
    <w:rsid w:val="00494242"/>
    <w:rsid w:val="004A672B"/>
    <w:rsid w:val="004B3775"/>
    <w:rsid w:val="004B7D6C"/>
    <w:rsid w:val="004D0BA0"/>
    <w:rsid w:val="004D5FA8"/>
    <w:rsid w:val="004E058F"/>
    <w:rsid w:val="004E3B87"/>
    <w:rsid w:val="004E549D"/>
    <w:rsid w:val="00502041"/>
    <w:rsid w:val="00510921"/>
    <w:rsid w:val="00510AD3"/>
    <w:rsid w:val="005122CE"/>
    <w:rsid w:val="00513348"/>
    <w:rsid w:val="00513AD8"/>
    <w:rsid w:val="005204D2"/>
    <w:rsid w:val="00522396"/>
    <w:rsid w:val="00533B5D"/>
    <w:rsid w:val="00534D96"/>
    <w:rsid w:val="00536BAB"/>
    <w:rsid w:val="005A20F6"/>
    <w:rsid w:val="005A56DF"/>
    <w:rsid w:val="005C0FBA"/>
    <w:rsid w:val="005C3606"/>
    <w:rsid w:val="005D3655"/>
    <w:rsid w:val="005E0058"/>
    <w:rsid w:val="005E4830"/>
    <w:rsid w:val="005E5524"/>
    <w:rsid w:val="005F2F66"/>
    <w:rsid w:val="00603321"/>
    <w:rsid w:val="00622B86"/>
    <w:rsid w:val="00623BA1"/>
    <w:rsid w:val="00632008"/>
    <w:rsid w:val="006346BC"/>
    <w:rsid w:val="006363DC"/>
    <w:rsid w:val="006378FE"/>
    <w:rsid w:val="00646360"/>
    <w:rsid w:val="0065649B"/>
    <w:rsid w:val="0066652A"/>
    <w:rsid w:val="006719C3"/>
    <w:rsid w:val="006745FC"/>
    <w:rsid w:val="00675C3C"/>
    <w:rsid w:val="00680522"/>
    <w:rsid w:val="00682167"/>
    <w:rsid w:val="006A6F52"/>
    <w:rsid w:val="006B2FA2"/>
    <w:rsid w:val="006B6F6D"/>
    <w:rsid w:val="006C0B06"/>
    <w:rsid w:val="006C19E1"/>
    <w:rsid w:val="006C3BBD"/>
    <w:rsid w:val="006C42AF"/>
    <w:rsid w:val="006D5A56"/>
    <w:rsid w:val="006E4323"/>
    <w:rsid w:val="006F2F2B"/>
    <w:rsid w:val="006F6BA7"/>
    <w:rsid w:val="007075DF"/>
    <w:rsid w:val="00711D8E"/>
    <w:rsid w:val="00712416"/>
    <w:rsid w:val="00712672"/>
    <w:rsid w:val="00734E3F"/>
    <w:rsid w:val="00736985"/>
    <w:rsid w:val="00745DF5"/>
    <w:rsid w:val="0076250F"/>
    <w:rsid w:val="00780FA5"/>
    <w:rsid w:val="00784F97"/>
    <w:rsid w:val="007A14BB"/>
    <w:rsid w:val="007B6200"/>
    <w:rsid w:val="007C735B"/>
    <w:rsid w:val="007D359E"/>
    <w:rsid w:val="007E1BF8"/>
    <w:rsid w:val="007E556D"/>
    <w:rsid w:val="007E5859"/>
    <w:rsid w:val="007E725A"/>
    <w:rsid w:val="007F3395"/>
    <w:rsid w:val="007F5C0B"/>
    <w:rsid w:val="007F646C"/>
    <w:rsid w:val="00801B9F"/>
    <w:rsid w:val="0080204D"/>
    <w:rsid w:val="0082053C"/>
    <w:rsid w:val="0084191E"/>
    <w:rsid w:val="00843B76"/>
    <w:rsid w:val="008475F0"/>
    <w:rsid w:val="008515AF"/>
    <w:rsid w:val="00852C32"/>
    <w:rsid w:val="00854F69"/>
    <w:rsid w:val="008557A7"/>
    <w:rsid w:val="00857312"/>
    <w:rsid w:val="0086058A"/>
    <w:rsid w:val="00870928"/>
    <w:rsid w:val="00887404"/>
    <w:rsid w:val="0089405C"/>
    <w:rsid w:val="00897FA2"/>
    <w:rsid w:val="008A5AFE"/>
    <w:rsid w:val="008A7B6F"/>
    <w:rsid w:val="008C5A0E"/>
    <w:rsid w:val="008C6A4F"/>
    <w:rsid w:val="008C708C"/>
    <w:rsid w:val="008E4B49"/>
    <w:rsid w:val="008F6625"/>
    <w:rsid w:val="0092573E"/>
    <w:rsid w:val="00943730"/>
    <w:rsid w:val="00950D65"/>
    <w:rsid w:val="00964CA9"/>
    <w:rsid w:val="00975CA5"/>
    <w:rsid w:val="009774B4"/>
    <w:rsid w:val="00986590"/>
    <w:rsid w:val="00992C76"/>
    <w:rsid w:val="0099494B"/>
    <w:rsid w:val="009969D6"/>
    <w:rsid w:val="009A112B"/>
    <w:rsid w:val="009B4D3B"/>
    <w:rsid w:val="009C3436"/>
    <w:rsid w:val="009C7254"/>
    <w:rsid w:val="009D3438"/>
    <w:rsid w:val="009D7407"/>
    <w:rsid w:val="009E0866"/>
    <w:rsid w:val="009E273C"/>
    <w:rsid w:val="009F1350"/>
    <w:rsid w:val="009F6423"/>
    <w:rsid w:val="00A12B40"/>
    <w:rsid w:val="00A24A62"/>
    <w:rsid w:val="00A31C9F"/>
    <w:rsid w:val="00A4144F"/>
    <w:rsid w:val="00A41DE9"/>
    <w:rsid w:val="00A43F26"/>
    <w:rsid w:val="00A61B4D"/>
    <w:rsid w:val="00A671E8"/>
    <w:rsid w:val="00A80305"/>
    <w:rsid w:val="00A80F95"/>
    <w:rsid w:val="00A8160B"/>
    <w:rsid w:val="00A868CB"/>
    <w:rsid w:val="00A97244"/>
    <w:rsid w:val="00A97BF1"/>
    <w:rsid w:val="00AA298A"/>
    <w:rsid w:val="00AC107C"/>
    <w:rsid w:val="00AC1176"/>
    <w:rsid w:val="00AC164A"/>
    <w:rsid w:val="00AC3944"/>
    <w:rsid w:val="00AE33A2"/>
    <w:rsid w:val="00AE448A"/>
    <w:rsid w:val="00AE74DA"/>
    <w:rsid w:val="00AF13D2"/>
    <w:rsid w:val="00AF2050"/>
    <w:rsid w:val="00AF5B52"/>
    <w:rsid w:val="00B00BF4"/>
    <w:rsid w:val="00B02B2A"/>
    <w:rsid w:val="00B03CA8"/>
    <w:rsid w:val="00B05B87"/>
    <w:rsid w:val="00B16EF6"/>
    <w:rsid w:val="00B22F0E"/>
    <w:rsid w:val="00B249EC"/>
    <w:rsid w:val="00B33C0A"/>
    <w:rsid w:val="00B34763"/>
    <w:rsid w:val="00B401AF"/>
    <w:rsid w:val="00B51C2F"/>
    <w:rsid w:val="00B55E19"/>
    <w:rsid w:val="00B55E81"/>
    <w:rsid w:val="00B562B8"/>
    <w:rsid w:val="00B56E71"/>
    <w:rsid w:val="00B579A6"/>
    <w:rsid w:val="00B66F81"/>
    <w:rsid w:val="00B71AD8"/>
    <w:rsid w:val="00B84B3C"/>
    <w:rsid w:val="00B857E1"/>
    <w:rsid w:val="00B8599B"/>
    <w:rsid w:val="00B94758"/>
    <w:rsid w:val="00B94C38"/>
    <w:rsid w:val="00BA4B6D"/>
    <w:rsid w:val="00BA7E27"/>
    <w:rsid w:val="00BB26C5"/>
    <w:rsid w:val="00BC1FED"/>
    <w:rsid w:val="00BC7E7C"/>
    <w:rsid w:val="00BF1700"/>
    <w:rsid w:val="00BF4DE6"/>
    <w:rsid w:val="00C06B13"/>
    <w:rsid w:val="00C176E3"/>
    <w:rsid w:val="00C231CE"/>
    <w:rsid w:val="00C27D25"/>
    <w:rsid w:val="00C35791"/>
    <w:rsid w:val="00C403CA"/>
    <w:rsid w:val="00C42541"/>
    <w:rsid w:val="00C42CDE"/>
    <w:rsid w:val="00C5182A"/>
    <w:rsid w:val="00C52463"/>
    <w:rsid w:val="00C52B3D"/>
    <w:rsid w:val="00C55983"/>
    <w:rsid w:val="00C63EE9"/>
    <w:rsid w:val="00C87B9B"/>
    <w:rsid w:val="00C92805"/>
    <w:rsid w:val="00CA16F3"/>
    <w:rsid w:val="00CA37B1"/>
    <w:rsid w:val="00CA4FEB"/>
    <w:rsid w:val="00CB1488"/>
    <w:rsid w:val="00CB1959"/>
    <w:rsid w:val="00CC1D45"/>
    <w:rsid w:val="00CC628A"/>
    <w:rsid w:val="00CC6877"/>
    <w:rsid w:val="00CC741B"/>
    <w:rsid w:val="00CD0E4B"/>
    <w:rsid w:val="00CD3F5D"/>
    <w:rsid w:val="00CE4C89"/>
    <w:rsid w:val="00CF07BA"/>
    <w:rsid w:val="00D0296C"/>
    <w:rsid w:val="00D2641E"/>
    <w:rsid w:val="00D32D6F"/>
    <w:rsid w:val="00D37B04"/>
    <w:rsid w:val="00D45555"/>
    <w:rsid w:val="00D540C6"/>
    <w:rsid w:val="00D64BD1"/>
    <w:rsid w:val="00D85F0B"/>
    <w:rsid w:val="00D92254"/>
    <w:rsid w:val="00DA1B52"/>
    <w:rsid w:val="00DC0996"/>
    <w:rsid w:val="00DC6D78"/>
    <w:rsid w:val="00DE084C"/>
    <w:rsid w:val="00DE51B4"/>
    <w:rsid w:val="00DF68CF"/>
    <w:rsid w:val="00E055AB"/>
    <w:rsid w:val="00E0705B"/>
    <w:rsid w:val="00E14F51"/>
    <w:rsid w:val="00E2549C"/>
    <w:rsid w:val="00E357B7"/>
    <w:rsid w:val="00E42E50"/>
    <w:rsid w:val="00E4584F"/>
    <w:rsid w:val="00E53800"/>
    <w:rsid w:val="00E6081F"/>
    <w:rsid w:val="00E614AA"/>
    <w:rsid w:val="00E624EC"/>
    <w:rsid w:val="00E70C37"/>
    <w:rsid w:val="00E8296D"/>
    <w:rsid w:val="00E8457B"/>
    <w:rsid w:val="00E944AA"/>
    <w:rsid w:val="00EA04B2"/>
    <w:rsid w:val="00EA20F3"/>
    <w:rsid w:val="00EA36D9"/>
    <w:rsid w:val="00EB019D"/>
    <w:rsid w:val="00EC6AC1"/>
    <w:rsid w:val="00EC6B29"/>
    <w:rsid w:val="00EC6D38"/>
    <w:rsid w:val="00ED2831"/>
    <w:rsid w:val="00ED3B2D"/>
    <w:rsid w:val="00ED43D1"/>
    <w:rsid w:val="00EE4EE1"/>
    <w:rsid w:val="00EF242D"/>
    <w:rsid w:val="00EF4574"/>
    <w:rsid w:val="00F01921"/>
    <w:rsid w:val="00F06C3A"/>
    <w:rsid w:val="00F13373"/>
    <w:rsid w:val="00F258BF"/>
    <w:rsid w:val="00F25A93"/>
    <w:rsid w:val="00F2684E"/>
    <w:rsid w:val="00F27235"/>
    <w:rsid w:val="00F35BDB"/>
    <w:rsid w:val="00F45486"/>
    <w:rsid w:val="00F5404C"/>
    <w:rsid w:val="00F55791"/>
    <w:rsid w:val="00F670E9"/>
    <w:rsid w:val="00F67C6A"/>
    <w:rsid w:val="00F7024D"/>
    <w:rsid w:val="00F729EF"/>
    <w:rsid w:val="00F77CAE"/>
    <w:rsid w:val="00F82271"/>
    <w:rsid w:val="00F83428"/>
    <w:rsid w:val="00F96BB9"/>
    <w:rsid w:val="00FA0E80"/>
    <w:rsid w:val="00FA5EFD"/>
    <w:rsid w:val="00FB400C"/>
    <w:rsid w:val="00FD1850"/>
    <w:rsid w:val="00FE6D51"/>
    <w:rsid w:val="00FE6F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06849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166032"/>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B71AD8"/>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autoRedefine/>
    <w:uiPriority w:val="9"/>
    <w:unhideWhenUsed/>
    <w:qFormat/>
    <w:rsid w:val="0092573E"/>
    <w:pPr>
      <w:spacing w:before="480" w:after="120"/>
      <w:outlineLvl w:val="1"/>
    </w:pPr>
    <w:rPr>
      <w:bCs w:val="0"/>
      <w:sz w:val="22"/>
      <w:szCs w:val="26"/>
    </w:rPr>
  </w:style>
  <w:style w:type="paragraph" w:styleId="Heading3">
    <w:name w:val="heading 3"/>
    <w:basedOn w:val="Heading2"/>
    <w:next w:val="Normal"/>
    <w:link w:val="Heading3Char"/>
    <w:autoRedefine/>
    <w:uiPriority w:val="9"/>
    <w:unhideWhenUsed/>
    <w:qFormat/>
    <w:rsid w:val="004245FC"/>
    <w:pPr>
      <w:spacing w:line="360" w:lineRule="atLeast"/>
      <w:outlineLvl w:val="2"/>
    </w:pPr>
    <w:rPr>
      <w:bCs/>
      <w:i/>
      <w:caps w:val="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B71AD8"/>
    <w:pPr>
      <w:spacing w:line="200" w:lineRule="atLeast"/>
      <w:outlineLvl w:val="4"/>
    </w:pPr>
    <w:rPr>
      <w:b w:val="0"/>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val="0"/>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AD8"/>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92573E"/>
    <w:rPr>
      <w:rFonts w:asciiTheme="majorHAnsi" w:eastAsiaTheme="majorEastAsia" w:hAnsiTheme="majorHAnsi" w:cstheme="majorBidi"/>
      <w:b/>
      <w:caps/>
      <w:color w:val="495965" w:themeColor="text2"/>
      <w:szCs w:val="26"/>
      <w:lang w:val="en-GB"/>
    </w:rPr>
  </w:style>
  <w:style w:type="character" w:customStyle="1" w:styleId="Heading3Char">
    <w:name w:val="Heading 3 Char"/>
    <w:basedOn w:val="DefaultParagraphFont"/>
    <w:link w:val="Heading3"/>
    <w:uiPriority w:val="9"/>
    <w:rsid w:val="004245FC"/>
    <w:rPr>
      <w:rFonts w:asciiTheme="majorHAnsi" w:eastAsiaTheme="majorEastAsia" w:hAnsiTheme="majorHAnsi" w:cstheme="majorBidi"/>
      <w:b/>
      <w:bCs/>
      <w:i/>
      <w:color w:val="495965" w:themeColor="text2"/>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B71AD8"/>
    <w:pPr>
      <w:numPr>
        <w:numId w:val="33"/>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B71AD8"/>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E6F2A"/>
    <w:pPr>
      <w:tabs>
        <w:tab w:val="center" w:pos="4513"/>
        <w:tab w:val="right" w:pos="9026"/>
      </w:tabs>
      <w:spacing w:before="0" w:after="0"/>
      <w:ind w:left="227"/>
    </w:pPr>
    <w:rPr>
      <w:b/>
      <w:caps/>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B71AD8"/>
    <w:pPr>
      <w:spacing w:before="400" w:after="400" w:line="280" w:lineRule="exact"/>
    </w:pPr>
    <w:rPr>
      <w:b/>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E6F2A"/>
    <w:rPr>
      <w:b/>
      <w:caps/>
      <w:color w:val="495965" w:themeColor="text2"/>
      <w:sz w:val="20"/>
      <w:lang w:val="en-GB"/>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B71AD8"/>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244229"/>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31"/>
      </w:numPr>
      <w:ind w:left="454" w:hanging="170"/>
    </w:pPr>
  </w:style>
  <w:style w:type="paragraph" w:customStyle="1" w:styleId="Box2Bullet">
    <w:name w:val="Box 2 Bullet"/>
    <w:basedOn w:val="Box2Text"/>
    <w:qFormat/>
    <w:rsid w:val="00C42541"/>
    <w:pPr>
      <w:numPr>
        <w:numId w:val="32"/>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aliases w:val="List Paragraph1,Recommendation,List Paragraph11,L,F5 List Paragraph,Dot pt,CV text,Table text,List Paragraph111,Medium Grid 1 - Accent 21,Numbered Paragraph,List Paragraph2,Bulleted Para,NFP GP Bulleted List,FooterText,numbered,列出段落,列出段落1"/>
    <w:basedOn w:val="Normal"/>
    <w:link w:val="ListParagraphChar"/>
    <w:uiPriority w:val="34"/>
    <w:qFormat/>
    <w:locked/>
    <w:rsid w:val="00A97244"/>
    <w:pPr>
      <w:ind w:left="720"/>
      <w:contextualSpacing/>
    </w:pPr>
  </w:style>
  <w:style w:type="character" w:customStyle="1" w:styleId="ListParagraphChar">
    <w:name w:val="List Paragraph Char"/>
    <w:aliases w:val="List Paragraph1 Char,Recommendation Char,List Paragraph11 Char,L Char,F5 List Paragraph Char,Dot pt Char,CV text Char,Table text Char,List Paragraph111 Char,Medium Grid 1 - Accent 21 Char,Numbered Paragraph Char,List Paragraph2 Char"/>
    <w:link w:val="ListParagraph"/>
    <w:uiPriority w:val="34"/>
    <w:qFormat/>
    <w:locked/>
    <w:rsid w:val="00A97244"/>
    <w:rPr>
      <w:color w:val="495965" w:themeColor="text2"/>
      <w:lang w:val="en-GB"/>
    </w:rPr>
  </w:style>
  <w:style w:type="table" w:customStyle="1" w:styleId="DFATTable11">
    <w:name w:val="DFAT Table 11"/>
    <w:basedOn w:val="TableNormal"/>
    <w:uiPriority w:val="99"/>
    <w:rsid w:val="00E4584F"/>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150134">
      <w:bodyDiv w:val="1"/>
      <w:marLeft w:val="0"/>
      <w:marRight w:val="0"/>
      <w:marTop w:val="0"/>
      <w:marBottom w:val="0"/>
      <w:divBdr>
        <w:top w:val="none" w:sz="0" w:space="0" w:color="auto"/>
        <w:left w:val="none" w:sz="0" w:space="0" w:color="auto"/>
        <w:bottom w:val="none" w:sz="0" w:space="0" w:color="auto"/>
        <w:right w:val="none" w:sz="0" w:space="0" w:color="auto"/>
      </w:divBdr>
    </w:div>
    <w:div w:id="172930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5635A-3493-41BA-B528-D9F506BC0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3345</Words>
  <Characters>19073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Samoa COVID -19 Development Response Plan</dc:title>
  <dc:subject/>
  <dc:creator/>
  <cp:keywords/>
  <cp:lastModifiedBy/>
  <cp:revision>1</cp:revision>
  <dcterms:created xsi:type="dcterms:W3CDTF">2020-11-01T22:44:00Z</dcterms:created>
  <dcterms:modified xsi:type="dcterms:W3CDTF">2020-11-03T04:51:00Z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6b2e10c1-c06e-4e54-864d-0b5379936d9e</vt:lpwstr>
  </property>
  <property fmtid="{D5CDD505-2E9C-101B-9397-08002B2CF9AE}" pid="3" name="SEC">
    <vt:lpwstr>OFFICIAL</vt:lpwstr>
  </property>
</Properties>
</file>