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476EE" w14:textId="5B46FA29" w:rsidR="009327EF" w:rsidRDefault="00D805DF" w:rsidP="00415ABE">
      <w:pPr>
        <w:pStyle w:val="Heading1"/>
      </w:pPr>
      <w:r>
        <w:rPr>
          <w:caps w:val="0"/>
        </w:rPr>
        <w:t xml:space="preserve">Pacific </w:t>
      </w:r>
      <w:r w:rsidRPr="00192A43">
        <w:rPr>
          <w:caps w:val="0"/>
        </w:rPr>
        <w:t>COVID-19 Response</w:t>
      </w:r>
      <w:r>
        <w:rPr>
          <w:caps w:val="0"/>
        </w:rPr>
        <w:t xml:space="preserve"> Package – Papua New Guinea</w:t>
      </w:r>
    </w:p>
    <w:p w14:paraId="7CCEFFA8" w14:textId="5C237016" w:rsidR="009327EF" w:rsidRPr="009327EF" w:rsidRDefault="009327EF" w:rsidP="00415ABE">
      <w:pPr>
        <w:sectPr w:rsidR="009327EF" w:rsidRPr="009327EF" w:rsidSect="00CF5843">
          <w:headerReference w:type="default" r:id="rId8"/>
          <w:footerReference w:type="default" r:id="rId9"/>
          <w:headerReference w:type="first" r:id="rId10"/>
          <w:footerReference w:type="first" r:id="rId11"/>
          <w:pgSz w:w="11906" w:h="16838" w:code="9"/>
          <w:pgMar w:top="1559" w:right="680" w:bottom="1418" w:left="680" w:header="227" w:footer="567" w:gutter="0"/>
          <w:cols w:space="397"/>
          <w:titlePg/>
          <w:docGrid w:linePitch="360"/>
        </w:sectPr>
      </w:pPr>
    </w:p>
    <w:p w14:paraId="65EFD4AB" w14:textId="03B89A51" w:rsidR="007219F2" w:rsidRDefault="007219F2" w:rsidP="00415ABE">
      <w:r w:rsidRPr="00293B6D">
        <w:t xml:space="preserve">As announced in the October 2020 budget, Australia </w:t>
      </w:r>
      <w:r w:rsidR="00E661C5">
        <w:t xml:space="preserve">is </w:t>
      </w:r>
      <w:r w:rsidRPr="00293B6D">
        <w:t>provid</w:t>
      </w:r>
      <w:r w:rsidR="00E661C5">
        <w:t>ing</w:t>
      </w:r>
      <w:r w:rsidRPr="00293B6D">
        <w:t xml:space="preserve"> new funding </w:t>
      </w:r>
      <w:r w:rsidRPr="00104534">
        <w:t>of</w:t>
      </w:r>
      <w:r w:rsidRPr="00937240">
        <w:rPr>
          <w:color w:val="0070C0"/>
        </w:rPr>
        <w:t xml:space="preserve"> </w:t>
      </w:r>
      <w:hyperlink r:id="rId12" w:anchor="pacific-covid19-response-package" w:history="1">
        <w:r w:rsidRPr="00104534">
          <w:rPr>
            <w:rStyle w:val="Hyperlink"/>
            <w:rFonts w:cstheme="minorBidi"/>
          </w:rPr>
          <w:t>$304.7 million for a COVID-19 Response Package</w:t>
        </w:r>
      </w:hyperlink>
      <w:r w:rsidRPr="00937240">
        <w:rPr>
          <w:color w:val="0070C0"/>
        </w:rPr>
        <w:t xml:space="preserve"> </w:t>
      </w:r>
      <w:r w:rsidRPr="00293B6D">
        <w:t>(the</w:t>
      </w:r>
      <w:r>
        <w:t xml:space="preserve"> P</w:t>
      </w:r>
      <w:r w:rsidRPr="00293B6D">
        <w:t xml:space="preserve">ackage) </w:t>
      </w:r>
      <w:r>
        <w:t xml:space="preserve">in the </w:t>
      </w:r>
      <w:r w:rsidRPr="00293B6D">
        <w:t>Pacific and Timor</w:t>
      </w:r>
      <w:r>
        <w:t>-</w:t>
      </w:r>
      <w:r w:rsidRPr="00293B6D">
        <w:t xml:space="preserve">Leste. </w:t>
      </w:r>
      <w:r w:rsidRPr="008D59E2">
        <w:t xml:space="preserve">The two-year package (FY2020-21 and 2021-22) </w:t>
      </w:r>
      <w:r w:rsidR="00E661C5">
        <w:t>is</w:t>
      </w:r>
      <w:r w:rsidRPr="008D59E2">
        <w:t xml:space="preserve"> a temporary and time-bound addition to </w:t>
      </w:r>
      <w:r>
        <w:t xml:space="preserve">Australia’s </w:t>
      </w:r>
      <w:r w:rsidRPr="008D59E2">
        <w:t xml:space="preserve">existing and ongoing $4 billion </w:t>
      </w:r>
      <w:r w:rsidR="00C4651B">
        <w:t>Official Development Assistance</w:t>
      </w:r>
      <w:r w:rsidRPr="008D59E2">
        <w:t xml:space="preserve"> budget.</w:t>
      </w:r>
    </w:p>
    <w:p w14:paraId="32E9AC47" w14:textId="7A4F9083" w:rsidR="007219F2" w:rsidRDefault="007219F2" w:rsidP="00415ABE">
      <w:r>
        <w:t xml:space="preserve">In addition to support provided to maintain Pacific aviation, the Package has two funding windows: </w:t>
      </w:r>
      <w:proofErr w:type="gramStart"/>
      <w:r>
        <w:t>a</w:t>
      </w:r>
      <w:proofErr w:type="gramEnd"/>
      <w:r>
        <w:t xml:space="preserve"> </w:t>
      </w:r>
      <w:r w:rsidRPr="008D59E2">
        <w:t>Vulnerability and Economic Recovery Window</w:t>
      </w:r>
      <w:r>
        <w:t xml:space="preserve">; and a Fiscal Crisis Window for countries facing severe fiscal impacts. The Australian Government </w:t>
      </w:r>
      <w:r w:rsidR="00E661C5">
        <w:t>is</w:t>
      </w:r>
      <w:r>
        <w:t xml:space="preserve"> provid</w:t>
      </w:r>
      <w:r w:rsidR="00E661C5">
        <w:t>ing</w:t>
      </w:r>
      <w:r>
        <w:t xml:space="preserve"> </w:t>
      </w:r>
      <w:r w:rsidR="00235CE9">
        <w:t xml:space="preserve">a total of </w:t>
      </w:r>
      <w:r w:rsidRPr="00FA54AC">
        <w:t>$</w:t>
      </w:r>
      <w:r w:rsidR="00D558BE">
        <w:t>102</w:t>
      </w:r>
      <w:r w:rsidR="00CC216F">
        <w:t xml:space="preserve"> </w:t>
      </w:r>
      <w:r>
        <w:t xml:space="preserve">million in funding to </w:t>
      </w:r>
      <w:r w:rsidR="00CC216F">
        <w:t>Papua New Guinea</w:t>
      </w:r>
      <w:r>
        <w:t xml:space="preserve"> </w:t>
      </w:r>
      <w:r w:rsidR="00415ABE">
        <w:t>(PNG)</w:t>
      </w:r>
      <w:r w:rsidR="00235CE9">
        <w:t>:</w:t>
      </w:r>
      <w:r w:rsidR="00415ABE">
        <w:t xml:space="preserve"> </w:t>
      </w:r>
      <w:r w:rsidR="00235CE9">
        <w:t xml:space="preserve">$15 million </w:t>
      </w:r>
      <w:r w:rsidR="00D85CC8">
        <w:t xml:space="preserve">from </w:t>
      </w:r>
      <w:r>
        <w:t xml:space="preserve">the </w:t>
      </w:r>
      <w:r w:rsidRPr="008D59E2">
        <w:t>Vulnerability and Economic Recovery Window</w:t>
      </w:r>
      <w:r w:rsidR="00FA54AC">
        <w:t xml:space="preserve"> and </w:t>
      </w:r>
      <w:r w:rsidR="00235CE9">
        <w:t xml:space="preserve">$87 million </w:t>
      </w:r>
      <w:r w:rsidR="00D85CC8">
        <w:t>from</w:t>
      </w:r>
      <w:r w:rsidR="00235CE9">
        <w:t xml:space="preserve"> </w:t>
      </w:r>
      <w:r w:rsidR="00FA54AC">
        <w:t xml:space="preserve">the </w:t>
      </w:r>
      <w:r w:rsidR="00235CE9">
        <w:t xml:space="preserve">Fiscal </w:t>
      </w:r>
      <w:r w:rsidR="00FA54AC">
        <w:t>Crisis Window (</w:t>
      </w:r>
      <w:r w:rsidR="00D558BE">
        <w:t>of which $5 million is from DFAT’s central COVID-19 Fund</w:t>
      </w:r>
      <w:r w:rsidR="00FA54AC">
        <w:t>).</w:t>
      </w:r>
    </w:p>
    <w:p w14:paraId="10514639" w14:textId="2AC7A875" w:rsidR="00653119" w:rsidRPr="00293B6D" w:rsidRDefault="000D5000" w:rsidP="00415ABE">
      <w:r>
        <w:t xml:space="preserve">This </w:t>
      </w:r>
      <w:r w:rsidR="002964E6">
        <w:t>a</w:t>
      </w:r>
      <w:r>
        <w:t xml:space="preserve">nnex outlines Australia’s implementation of the Package </w:t>
      </w:r>
      <w:r w:rsidR="002964E6">
        <w:t>in</w:t>
      </w:r>
      <w:r>
        <w:t xml:space="preserve"> </w:t>
      </w:r>
      <w:r w:rsidR="00415ABE">
        <w:t>PNG</w:t>
      </w:r>
      <w:r>
        <w:t xml:space="preserve">. It is an </w:t>
      </w:r>
      <w:r w:rsidR="091C5A01">
        <w:t>a</w:t>
      </w:r>
      <w:r>
        <w:t xml:space="preserve">nnex to the </w:t>
      </w:r>
      <w:hyperlink r:id="rId13" w:history="1">
        <w:r w:rsidR="00CC216F" w:rsidRPr="00104534">
          <w:rPr>
            <w:rStyle w:val="Hyperlink"/>
            <w:rFonts w:cstheme="minorBidi"/>
          </w:rPr>
          <w:t>Papua New Guinea</w:t>
        </w:r>
        <w:r w:rsidRPr="00104534">
          <w:rPr>
            <w:rStyle w:val="Hyperlink"/>
            <w:rFonts w:cstheme="minorBidi"/>
          </w:rPr>
          <w:t xml:space="preserve"> COVID-19 Development Response</w:t>
        </w:r>
        <w:r w:rsidR="00104534" w:rsidRPr="00104534">
          <w:rPr>
            <w:rStyle w:val="Hyperlink"/>
            <w:rFonts w:cstheme="minorBidi"/>
          </w:rPr>
          <w:t xml:space="preserve"> Plan</w:t>
        </w:r>
      </w:hyperlink>
      <w:r w:rsidRPr="55B0FF15">
        <w:rPr>
          <w:color w:val="0070C0"/>
        </w:rPr>
        <w:t xml:space="preserve"> </w:t>
      </w:r>
      <w:r>
        <w:t xml:space="preserve">that forms part of </w:t>
      </w:r>
      <w:r w:rsidR="007219F2">
        <w:t xml:space="preserve">Australia’s </w:t>
      </w:r>
      <w:hyperlink r:id="rId14" w:history="1">
        <w:r w:rsidRPr="00104534">
          <w:rPr>
            <w:rStyle w:val="Hyperlink"/>
            <w:rFonts w:cstheme="minorBidi"/>
          </w:rPr>
          <w:t>Partnerships for Recovery</w:t>
        </w:r>
      </w:hyperlink>
      <w:r w:rsidR="007219F2">
        <w:t xml:space="preserve"> development policy.</w:t>
      </w:r>
    </w:p>
    <w:p w14:paraId="18FFAB70" w14:textId="2BD101D1" w:rsidR="00293B6D" w:rsidRDefault="00B17E1C" w:rsidP="00D41FBC">
      <w:pPr>
        <w:pStyle w:val="Heading3"/>
      </w:pPr>
      <w:r w:rsidRPr="00293B6D">
        <w:t>ECONOMIC, FISCAL AND SOCIAL SITUATION</w:t>
      </w:r>
    </w:p>
    <w:p w14:paraId="1B6E8013" w14:textId="41D33B3C" w:rsidR="00FA54AC" w:rsidRPr="0067008C" w:rsidRDefault="5B0D1026" w:rsidP="718B3F8B">
      <w:pPr>
        <w:spacing w:before="0" w:after="120" w:line="240" w:lineRule="auto"/>
        <w:rPr>
          <w:rFonts w:ascii="Calibri Light" w:hAnsi="Calibri Light"/>
        </w:rPr>
      </w:pPr>
      <w:r w:rsidRPr="0067008C">
        <w:rPr>
          <w:rFonts w:ascii="Calibri Light" w:eastAsia="Calibri Light" w:hAnsi="Calibri Light" w:cs="Calibri Light"/>
        </w:rPr>
        <w:t>PNG faces difficult budgetary circumstances.</w:t>
      </w:r>
      <w:r w:rsidR="00FA54AC" w:rsidRPr="0067008C">
        <w:rPr>
          <w:rFonts w:ascii="Calibri Light" w:hAnsi="Calibri Light"/>
        </w:rPr>
        <w:t xml:space="preserve"> Against this backdrop,</w:t>
      </w:r>
      <w:r w:rsidR="00FA54AC" w:rsidRPr="0067008C">
        <w:rPr>
          <w:rFonts w:ascii="Calibri Light" w:hAnsi="Calibri Light"/>
          <w:b/>
          <w:bCs/>
        </w:rPr>
        <w:t xml:space="preserve"> </w:t>
      </w:r>
      <w:r w:rsidR="00FA54AC" w:rsidRPr="0067008C">
        <w:rPr>
          <w:rFonts w:ascii="Calibri Light" w:hAnsi="Calibri Light"/>
        </w:rPr>
        <w:t>it is</w:t>
      </w:r>
      <w:r w:rsidR="00FA54AC" w:rsidRPr="0067008C">
        <w:rPr>
          <w:rFonts w:ascii="Calibri Light" w:hAnsi="Calibri Light"/>
          <w:b/>
          <w:bCs/>
        </w:rPr>
        <w:t xml:space="preserve"> </w:t>
      </w:r>
      <w:r w:rsidR="00FA54AC" w:rsidRPr="0067008C">
        <w:rPr>
          <w:rFonts w:ascii="Calibri Light" w:hAnsi="Calibri Light"/>
        </w:rPr>
        <w:t>extremely challenging for PNG</w:t>
      </w:r>
      <w:r w:rsidR="00FA54AC" w:rsidRPr="0067008C">
        <w:rPr>
          <w:rFonts w:ascii="Calibri Light" w:hAnsi="Calibri Light"/>
          <w:b/>
          <w:bCs/>
        </w:rPr>
        <w:t xml:space="preserve"> </w:t>
      </w:r>
      <w:r w:rsidR="00FA54AC" w:rsidRPr="0067008C">
        <w:rPr>
          <w:rFonts w:ascii="Calibri Light" w:hAnsi="Calibri Light"/>
        </w:rPr>
        <w:t xml:space="preserve">to maintain an adequate response to the deepening COVID-19 shock and to effectively deliver essential services. </w:t>
      </w:r>
      <w:r w:rsidR="00B35D31" w:rsidRPr="0067008C">
        <w:rPr>
          <w:rFonts w:ascii="Calibri Light" w:hAnsi="Calibri Light"/>
        </w:rPr>
        <w:t>In September 2021, the Asian Development Bank halved its 2021 PNG GDP growth forecast from 2.5 per cent to 1.3 per cent.</w:t>
      </w:r>
    </w:p>
    <w:p w14:paraId="17C444A2" w14:textId="5D8BBD86" w:rsidR="00780CE8" w:rsidRPr="0067008C" w:rsidRDefault="00562BC2" w:rsidP="00415ABE">
      <w:pPr>
        <w:spacing w:before="0" w:after="120" w:line="240" w:lineRule="auto"/>
        <w:rPr>
          <w:rFonts w:ascii="Calibri Light" w:hAnsi="Calibri Light"/>
        </w:rPr>
      </w:pPr>
      <w:r w:rsidRPr="0067008C">
        <w:rPr>
          <w:rFonts w:ascii="Calibri Light" w:hAnsi="Calibri Light"/>
        </w:rPr>
        <w:t xml:space="preserve">COVID-19 has </w:t>
      </w:r>
      <w:r w:rsidR="005C79AC" w:rsidRPr="0067008C">
        <w:rPr>
          <w:rFonts w:ascii="Calibri Light" w:hAnsi="Calibri Light"/>
        </w:rPr>
        <w:t>led to</w:t>
      </w:r>
      <w:r w:rsidR="00374AEC" w:rsidRPr="0067008C">
        <w:rPr>
          <w:rFonts w:ascii="Calibri Light" w:hAnsi="Calibri Light"/>
        </w:rPr>
        <w:t xml:space="preserve"> a decline in </w:t>
      </w:r>
      <w:r w:rsidRPr="0067008C">
        <w:rPr>
          <w:rFonts w:ascii="Calibri Light" w:hAnsi="Calibri Light"/>
        </w:rPr>
        <w:t xml:space="preserve">revenue through falling commodity prices and domestic lockdown measures, compounding what was already a precarious situation before the pandemic. </w:t>
      </w:r>
      <w:r w:rsidR="00B35D31" w:rsidRPr="0067008C">
        <w:rPr>
          <w:rFonts w:ascii="Calibri Light" w:hAnsi="Calibri Light"/>
        </w:rPr>
        <w:t>In 2020, domestic revenue is estimated to have declined 14 per cent from pre-COVID levels. Rising prices of key commodity exports and an increase in donor grants including direct budget support from Australia is helping to</w:t>
      </w:r>
      <w:r w:rsidR="00780CE8" w:rsidRPr="0067008C">
        <w:rPr>
          <w:rFonts w:ascii="Calibri Light" w:hAnsi="Calibri Light"/>
        </w:rPr>
        <w:t xml:space="preserve"> partly</w:t>
      </w:r>
      <w:r w:rsidR="00B35D31" w:rsidRPr="0067008C">
        <w:rPr>
          <w:rFonts w:ascii="Calibri Light" w:hAnsi="Calibri Light"/>
        </w:rPr>
        <w:t xml:space="preserve"> </w:t>
      </w:r>
      <w:r w:rsidR="00780CE8" w:rsidRPr="0067008C">
        <w:rPr>
          <w:rFonts w:ascii="Calibri Light" w:hAnsi="Calibri Light"/>
        </w:rPr>
        <w:t>cushion the impact. However</w:t>
      </w:r>
      <w:r w:rsidR="00235CE9" w:rsidRPr="0067008C">
        <w:rPr>
          <w:rFonts w:ascii="Calibri Light" w:hAnsi="Calibri Light"/>
        </w:rPr>
        <w:t>,</w:t>
      </w:r>
      <w:r w:rsidR="00780CE8" w:rsidRPr="0067008C">
        <w:rPr>
          <w:rFonts w:ascii="Calibri Light" w:hAnsi="Calibri Light"/>
        </w:rPr>
        <w:t xml:space="preserve"> t</w:t>
      </w:r>
      <w:r w:rsidRPr="0067008C">
        <w:rPr>
          <w:rFonts w:ascii="Calibri Light" w:hAnsi="Calibri Light"/>
        </w:rPr>
        <w:t xml:space="preserve">he </w:t>
      </w:r>
      <w:r w:rsidR="00032291" w:rsidRPr="0067008C">
        <w:rPr>
          <w:rFonts w:ascii="Calibri Light" w:hAnsi="Calibri Light"/>
        </w:rPr>
        <w:t>Government of PNG</w:t>
      </w:r>
      <w:r w:rsidR="004B72E5" w:rsidRPr="0067008C">
        <w:rPr>
          <w:rFonts w:ascii="Calibri Light" w:hAnsi="Calibri Light"/>
        </w:rPr>
        <w:t xml:space="preserve"> has </w:t>
      </w:r>
      <w:r w:rsidRPr="0067008C">
        <w:rPr>
          <w:rFonts w:ascii="Calibri Light" w:hAnsi="Calibri Light"/>
        </w:rPr>
        <w:t xml:space="preserve">cut expenditure </w:t>
      </w:r>
      <w:r w:rsidR="004B72E5" w:rsidRPr="0067008C">
        <w:rPr>
          <w:rFonts w:ascii="Calibri Light" w:hAnsi="Calibri Light"/>
        </w:rPr>
        <w:t xml:space="preserve">and taken on more debt </w:t>
      </w:r>
      <w:r w:rsidRPr="0067008C">
        <w:rPr>
          <w:rFonts w:ascii="Calibri Light" w:hAnsi="Calibri Light"/>
        </w:rPr>
        <w:t xml:space="preserve">to manage the loss of revenue </w:t>
      </w:r>
      <w:r w:rsidR="004B72E5" w:rsidRPr="0067008C">
        <w:rPr>
          <w:rFonts w:ascii="Calibri Light" w:hAnsi="Calibri Light"/>
        </w:rPr>
        <w:t>–</w:t>
      </w:r>
      <w:r w:rsidRPr="0067008C">
        <w:rPr>
          <w:rFonts w:ascii="Calibri Light" w:hAnsi="Calibri Light"/>
        </w:rPr>
        <w:t xml:space="preserve"> debt</w:t>
      </w:r>
      <w:r w:rsidR="004B72E5" w:rsidRPr="0067008C">
        <w:rPr>
          <w:rFonts w:ascii="Calibri Light" w:hAnsi="Calibri Light"/>
        </w:rPr>
        <w:t xml:space="preserve"> increased</w:t>
      </w:r>
      <w:r w:rsidRPr="0067008C">
        <w:rPr>
          <w:rFonts w:ascii="Calibri Light" w:hAnsi="Calibri Light"/>
        </w:rPr>
        <w:t xml:space="preserve"> from 40 to 50 per cent </w:t>
      </w:r>
      <w:r w:rsidR="004B72E5" w:rsidRPr="0067008C">
        <w:rPr>
          <w:rFonts w:ascii="Calibri Light" w:hAnsi="Calibri Light"/>
        </w:rPr>
        <w:t xml:space="preserve">of GDP </w:t>
      </w:r>
      <w:r w:rsidRPr="0067008C">
        <w:rPr>
          <w:rFonts w:ascii="Calibri Light" w:hAnsi="Calibri Light"/>
        </w:rPr>
        <w:t xml:space="preserve">in 2020 </w:t>
      </w:r>
      <w:r w:rsidRPr="0067008C">
        <w:rPr>
          <w:rFonts w:ascii="Calibri Light" w:hAnsi="Calibri Light"/>
        </w:rPr>
        <w:t xml:space="preserve">and is projected to </w:t>
      </w:r>
      <w:r w:rsidR="004B72E5" w:rsidRPr="0067008C">
        <w:rPr>
          <w:rFonts w:ascii="Calibri Light" w:hAnsi="Calibri Light"/>
        </w:rPr>
        <w:t xml:space="preserve">increase further </w:t>
      </w:r>
      <w:r w:rsidRPr="0067008C">
        <w:rPr>
          <w:rFonts w:ascii="Calibri Light" w:hAnsi="Calibri Light"/>
        </w:rPr>
        <w:t xml:space="preserve">to 53.1 per cent in 2021. The 2021 budget deficit </w:t>
      </w:r>
      <w:r w:rsidR="004B72E5" w:rsidRPr="0067008C">
        <w:rPr>
          <w:rFonts w:ascii="Calibri Light" w:hAnsi="Calibri Light"/>
        </w:rPr>
        <w:t>is</w:t>
      </w:r>
      <w:r w:rsidRPr="0067008C">
        <w:rPr>
          <w:rFonts w:ascii="Calibri Light" w:hAnsi="Calibri Light"/>
        </w:rPr>
        <w:t xml:space="preserve"> 7.3 per cent of GDP.  </w:t>
      </w:r>
    </w:p>
    <w:p w14:paraId="55CD58A1" w14:textId="33D42985" w:rsidR="00562BC2" w:rsidRPr="0067008C" w:rsidRDefault="00562BC2" w:rsidP="00415ABE">
      <w:pPr>
        <w:spacing w:before="0" w:after="120" w:line="240" w:lineRule="auto"/>
        <w:rPr>
          <w:rFonts w:ascii="Calibri Light" w:hAnsi="Calibri Light"/>
        </w:rPr>
      </w:pPr>
      <w:r w:rsidRPr="0067008C">
        <w:rPr>
          <w:rFonts w:ascii="Calibri Light" w:hAnsi="Calibri Light"/>
        </w:rPr>
        <w:t xml:space="preserve">The COVID-19 pandemic has exacerbated the deterioration of social outcomes in PNG. A sharp rise in </w:t>
      </w:r>
      <w:r w:rsidR="2BDD5440" w:rsidRPr="0067008C">
        <w:rPr>
          <w:rFonts w:ascii="Calibri Light" w:hAnsi="Calibri Light"/>
        </w:rPr>
        <w:t xml:space="preserve">COVID-19 </w:t>
      </w:r>
      <w:r w:rsidRPr="0067008C">
        <w:rPr>
          <w:rFonts w:ascii="Calibri Light" w:hAnsi="Calibri Light"/>
        </w:rPr>
        <w:t>cases in the first quarter of 2021 placed health facilities under pressure. Outbreaks amongst health care workers resulted in the scaling down of some health services. With low levels of care in hospitals and a lack of beds, increased levels of morbidity and mortality are likely. In the education sector, local lockdowns in 2020 and 2021, in conjunction with cuts to the education budget,</w:t>
      </w:r>
      <w:r w:rsidR="00415ABE" w:rsidRPr="0067008C">
        <w:rPr>
          <w:rFonts w:ascii="Calibri Light" w:hAnsi="Calibri Light"/>
        </w:rPr>
        <w:t xml:space="preserve"> </w:t>
      </w:r>
      <w:r w:rsidRPr="0067008C">
        <w:rPr>
          <w:rFonts w:ascii="Calibri Light" w:hAnsi="Calibri Light"/>
        </w:rPr>
        <w:t>saw</w:t>
      </w:r>
      <w:r w:rsidR="00415ABE" w:rsidRPr="0067008C">
        <w:rPr>
          <w:rFonts w:ascii="Calibri Light" w:hAnsi="Calibri Light"/>
        </w:rPr>
        <w:t xml:space="preserve"> </w:t>
      </w:r>
      <w:r w:rsidRPr="0067008C">
        <w:rPr>
          <w:rFonts w:ascii="Calibri Light" w:hAnsi="Calibri Light"/>
        </w:rPr>
        <w:t xml:space="preserve">children from at least half of </w:t>
      </w:r>
      <w:r w:rsidR="00415ABE" w:rsidRPr="0067008C">
        <w:rPr>
          <w:rFonts w:ascii="Calibri Light" w:hAnsi="Calibri Light"/>
        </w:rPr>
        <w:t>PNG’s</w:t>
      </w:r>
      <w:r w:rsidRPr="0067008C">
        <w:rPr>
          <w:rFonts w:ascii="Calibri Light" w:hAnsi="Calibri Light"/>
        </w:rPr>
        <w:t xml:space="preserve"> households pulled out of school. Lockdown restrictions and border closures slowed economic activity and reduced household incomes, impacting food access and affordability. Without a formal social protection system, there is no readily available mechanism to reach poor households and informal workers affected by COVID-19.</w:t>
      </w:r>
    </w:p>
    <w:p w14:paraId="20D4B69E" w14:textId="4F7279BB" w:rsidR="00FA54AC" w:rsidRPr="0067008C" w:rsidRDefault="00562BC2" w:rsidP="00415ABE">
      <w:pPr>
        <w:spacing w:before="0" w:after="120" w:line="240" w:lineRule="auto"/>
        <w:rPr>
          <w:rFonts w:ascii="Calibri Light" w:hAnsi="Calibri Light"/>
        </w:rPr>
      </w:pPr>
      <w:r w:rsidRPr="0067008C">
        <w:rPr>
          <w:rFonts w:ascii="Calibri Light" w:hAnsi="Calibri Light"/>
        </w:rPr>
        <w:t xml:space="preserve">Women and girls </w:t>
      </w:r>
      <w:r w:rsidR="00587776" w:rsidRPr="0067008C">
        <w:rPr>
          <w:rFonts w:ascii="Calibri Light" w:hAnsi="Calibri Light"/>
        </w:rPr>
        <w:t xml:space="preserve">in </w:t>
      </w:r>
      <w:r w:rsidR="00415ABE" w:rsidRPr="0067008C">
        <w:rPr>
          <w:rFonts w:ascii="Calibri Light" w:hAnsi="Calibri Light"/>
        </w:rPr>
        <w:t>PNG</w:t>
      </w:r>
      <w:r w:rsidR="00587776" w:rsidRPr="0067008C">
        <w:rPr>
          <w:rFonts w:ascii="Calibri Light" w:hAnsi="Calibri Light"/>
        </w:rPr>
        <w:t xml:space="preserve"> are</w:t>
      </w:r>
      <w:r w:rsidRPr="0067008C">
        <w:rPr>
          <w:rFonts w:ascii="Calibri Light" w:hAnsi="Calibri Light"/>
        </w:rPr>
        <w:t xml:space="preserve"> disproportionately affected by COVID-19. Health outcomes for women are adversely affected through their work in the health sector along with disruptions to sexual and reproductive health services. </w:t>
      </w:r>
      <w:r w:rsidR="00587776" w:rsidRPr="0067008C">
        <w:rPr>
          <w:rFonts w:ascii="Calibri Light" w:hAnsi="Calibri Light"/>
        </w:rPr>
        <w:t>Women</w:t>
      </w:r>
      <w:r w:rsidRPr="0067008C">
        <w:rPr>
          <w:rFonts w:ascii="Calibri Light" w:hAnsi="Calibri Light"/>
        </w:rPr>
        <w:t xml:space="preserve"> make up </w:t>
      </w:r>
      <w:proofErr w:type="gramStart"/>
      <w:r w:rsidRPr="0067008C">
        <w:rPr>
          <w:rFonts w:ascii="Calibri Light" w:hAnsi="Calibri Light"/>
        </w:rPr>
        <w:t>the majority of</w:t>
      </w:r>
      <w:proofErr w:type="gramEnd"/>
      <w:r w:rsidRPr="0067008C">
        <w:rPr>
          <w:rFonts w:ascii="Calibri Light" w:hAnsi="Calibri Light"/>
        </w:rPr>
        <w:t xml:space="preserve"> informal workers and so have no labour protections</w:t>
      </w:r>
      <w:r w:rsidR="00415ABE" w:rsidRPr="0067008C">
        <w:rPr>
          <w:rFonts w:ascii="Calibri Light" w:hAnsi="Calibri Light"/>
        </w:rPr>
        <w:t xml:space="preserve">. </w:t>
      </w:r>
      <w:r w:rsidR="0074066C" w:rsidRPr="0067008C">
        <w:rPr>
          <w:rFonts w:ascii="Calibri Light" w:hAnsi="Calibri Light"/>
        </w:rPr>
        <w:t xml:space="preserve">Anecdotal reports point to increasing instances of family and sexual violence, gender-based violence and sorcery-accusation related violence </w:t>
      </w:r>
      <w:proofErr w:type="gramStart"/>
      <w:r w:rsidR="0074066C" w:rsidRPr="0067008C">
        <w:rPr>
          <w:rFonts w:ascii="Calibri Light" w:hAnsi="Calibri Light"/>
        </w:rPr>
        <w:t>as a result of</w:t>
      </w:r>
      <w:proofErr w:type="gramEnd"/>
      <w:r w:rsidR="0074066C" w:rsidRPr="0067008C">
        <w:rPr>
          <w:rFonts w:ascii="Calibri Light" w:hAnsi="Calibri Light"/>
        </w:rPr>
        <w:t xml:space="preserve"> COVID-19 and the associated restrictions. </w:t>
      </w:r>
      <w:r w:rsidRPr="0067008C">
        <w:rPr>
          <w:rFonts w:ascii="Calibri Light" w:hAnsi="Calibri Light"/>
        </w:rPr>
        <w:t>Lockdown measures have impeded women’s ability to access family and sexual violence services</w:t>
      </w:r>
      <w:r w:rsidR="0074066C" w:rsidRPr="0067008C">
        <w:rPr>
          <w:rFonts w:ascii="Calibri Light" w:hAnsi="Calibri Light"/>
        </w:rPr>
        <w:t>, but</w:t>
      </w:r>
      <w:r w:rsidR="005C79AC" w:rsidRPr="0067008C">
        <w:rPr>
          <w:rFonts w:ascii="Calibri Light" w:hAnsi="Calibri Light"/>
        </w:rPr>
        <w:t xml:space="preserve"> </w:t>
      </w:r>
      <w:r w:rsidR="0074066C" w:rsidRPr="0067008C">
        <w:rPr>
          <w:rFonts w:ascii="Calibri Light" w:hAnsi="Calibri Light"/>
        </w:rPr>
        <w:t>w</w:t>
      </w:r>
      <w:r w:rsidRPr="0067008C">
        <w:rPr>
          <w:rFonts w:ascii="Calibri Light" w:hAnsi="Calibri Light"/>
        </w:rPr>
        <w:t xml:space="preserve">hile fewer women were able to attend centres, the number of phone calls to </w:t>
      </w:r>
      <w:r w:rsidR="00587776" w:rsidRPr="0067008C">
        <w:rPr>
          <w:rFonts w:ascii="Calibri Light" w:hAnsi="Calibri Light"/>
        </w:rPr>
        <w:t>family and sexual violence</w:t>
      </w:r>
      <w:r w:rsidRPr="0067008C">
        <w:rPr>
          <w:rFonts w:ascii="Calibri Light" w:hAnsi="Calibri Light"/>
        </w:rPr>
        <w:t xml:space="preserve">-related hotlines </w:t>
      </w:r>
      <w:r w:rsidR="00587776" w:rsidRPr="0067008C">
        <w:rPr>
          <w:rFonts w:ascii="Calibri Light" w:hAnsi="Calibri Light"/>
        </w:rPr>
        <w:t>ha</w:t>
      </w:r>
      <w:r w:rsidR="00374AEC" w:rsidRPr="0067008C">
        <w:rPr>
          <w:rFonts w:ascii="Calibri Light" w:hAnsi="Calibri Light"/>
        </w:rPr>
        <w:t>s</w:t>
      </w:r>
      <w:r w:rsidR="00587776" w:rsidRPr="0067008C">
        <w:rPr>
          <w:rFonts w:ascii="Calibri Light" w:hAnsi="Calibri Light"/>
        </w:rPr>
        <w:t xml:space="preserve"> reportedly increased</w:t>
      </w:r>
      <w:r w:rsidRPr="0067008C">
        <w:rPr>
          <w:rFonts w:ascii="Calibri Light" w:hAnsi="Calibri Light"/>
        </w:rPr>
        <w:t xml:space="preserve">.  </w:t>
      </w:r>
    </w:p>
    <w:p w14:paraId="75B4C82F" w14:textId="2B96D32B" w:rsidR="00780CE8" w:rsidRPr="0067008C" w:rsidRDefault="00780CE8" w:rsidP="0067008C">
      <w:pPr>
        <w:spacing w:after="0" w:line="240" w:lineRule="auto"/>
        <w:textAlignment w:val="baseline"/>
        <w:rPr>
          <w:rFonts w:ascii="Calibri Light" w:hAnsi="Calibri Light"/>
        </w:rPr>
      </w:pPr>
      <w:r w:rsidRPr="0067008C">
        <w:rPr>
          <w:rFonts w:ascii="Calibri Light" w:hAnsi="Calibri Light"/>
        </w:rPr>
        <w:t>Against this backdrop, the Package is supporting the Go</w:t>
      </w:r>
      <w:r w:rsidR="00F02307" w:rsidRPr="0067008C">
        <w:rPr>
          <w:rFonts w:ascii="Calibri Light" w:hAnsi="Calibri Light"/>
        </w:rPr>
        <w:t xml:space="preserve">vernment of </w:t>
      </w:r>
      <w:r w:rsidRPr="0067008C">
        <w:rPr>
          <w:rFonts w:ascii="Calibri Light" w:hAnsi="Calibri Light"/>
        </w:rPr>
        <w:t xml:space="preserve">PNG to prioritise social expenditure. </w:t>
      </w:r>
      <w:r w:rsidR="00235CE9" w:rsidRPr="0067008C">
        <w:rPr>
          <w:rFonts w:ascii="Calibri Light" w:hAnsi="Calibri Light"/>
        </w:rPr>
        <w:t xml:space="preserve">Australia’s </w:t>
      </w:r>
      <w:r w:rsidR="00F02307" w:rsidRPr="0067008C">
        <w:rPr>
          <w:rFonts w:ascii="Calibri Light" w:hAnsi="Calibri Light"/>
        </w:rPr>
        <w:t>budget support has</w:t>
      </w:r>
      <w:r w:rsidR="00E661C5" w:rsidRPr="0067008C">
        <w:rPr>
          <w:rFonts w:ascii="Calibri Light" w:hAnsi="Calibri Light"/>
        </w:rPr>
        <w:t xml:space="preserve"> </w:t>
      </w:r>
      <w:r w:rsidRPr="0067008C">
        <w:rPr>
          <w:rFonts w:ascii="Calibri Light" w:eastAsia="Times New Roman" w:hAnsi="Calibri Light" w:cstheme="minorHAnsi"/>
          <w:lang w:eastAsia="en-AU"/>
        </w:rPr>
        <w:t xml:space="preserve">supported an increase in </w:t>
      </w:r>
      <w:r w:rsidR="00D85CC8" w:rsidRPr="0067008C">
        <w:rPr>
          <w:rFonts w:ascii="Calibri Light" w:eastAsia="Times New Roman" w:hAnsi="Calibri Light" w:cstheme="minorHAnsi"/>
          <w:lang w:eastAsia="en-AU"/>
        </w:rPr>
        <w:t xml:space="preserve">the </w:t>
      </w:r>
      <w:r w:rsidR="00E661C5" w:rsidRPr="0067008C">
        <w:rPr>
          <w:rFonts w:ascii="Calibri Light" w:eastAsia="Times New Roman" w:hAnsi="Calibri Light" w:cstheme="minorHAnsi"/>
          <w:lang w:eastAsia="en-AU"/>
        </w:rPr>
        <w:t>G</w:t>
      </w:r>
      <w:r w:rsidRPr="0067008C">
        <w:rPr>
          <w:rFonts w:ascii="Calibri Light" w:eastAsia="Times New Roman" w:hAnsi="Calibri Light" w:cstheme="minorHAnsi"/>
          <w:lang w:eastAsia="en-AU"/>
        </w:rPr>
        <w:t>overnment</w:t>
      </w:r>
      <w:r w:rsidR="00D85CC8" w:rsidRPr="0067008C">
        <w:rPr>
          <w:rFonts w:ascii="Calibri Light" w:eastAsia="Times New Roman" w:hAnsi="Calibri Light" w:cstheme="minorHAnsi"/>
          <w:lang w:eastAsia="en-AU"/>
        </w:rPr>
        <w:t xml:space="preserve"> of PNG’</w:t>
      </w:r>
      <w:r w:rsidRPr="0067008C">
        <w:rPr>
          <w:rFonts w:ascii="Calibri Light" w:eastAsia="Times New Roman" w:hAnsi="Calibri Light" w:cstheme="minorHAnsi"/>
          <w:lang w:eastAsia="en-AU"/>
        </w:rPr>
        <w:t xml:space="preserve">s budget allocations to education subsidies. The PNG 2021 </w:t>
      </w:r>
      <w:r w:rsidR="00032291" w:rsidRPr="0067008C">
        <w:rPr>
          <w:rFonts w:ascii="Calibri Light" w:eastAsia="Times New Roman" w:hAnsi="Calibri Light" w:cstheme="minorHAnsi"/>
          <w:lang w:eastAsia="en-AU"/>
        </w:rPr>
        <w:t>Mid-Year Economic and Fiscal Outlook</w:t>
      </w:r>
      <w:r w:rsidRPr="0067008C">
        <w:rPr>
          <w:rFonts w:ascii="Calibri Light" w:eastAsia="Times New Roman" w:hAnsi="Calibri Light" w:cstheme="minorHAnsi"/>
          <w:lang w:eastAsia="en-AU"/>
        </w:rPr>
        <w:t xml:space="preserve"> (released 30 September 2021) included </w:t>
      </w:r>
      <w:r w:rsidR="00D85CC8" w:rsidRPr="0067008C">
        <w:rPr>
          <w:rFonts w:ascii="Calibri Light" w:eastAsia="Times New Roman" w:hAnsi="Calibri Light" w:cstheme="minorHAnsi"/>
          <w:lang w:eastAsia="en-AU"/>
        </w:rPr>
        <w:t xml:space="preserve">an </w:t>
      </w:r>
      <w:r w:rsidRPr="0067008C">
        <w:rPr>
          <w:rFonts w:ascii="Calibri Light" w:eastAsia="Times New Roman" w:hAnsi="Calibri Light" w:cstheme="minorHAnsi"/>
          <w:lang w:eastAsia="en-AU"/>
        </w:rPr>
        <w:t>PGK216 million</w:t>
      </w:r>
      <w:r w:rsidR="00C44A2F" w:rsidRPr="0067008C">
        <w:rPr>
          <w:rFonts w:ascii="Calibri Light" w:eastAsia="Times New Roman" w:hAnsi="Calibri Light" w:cstheme="minorHAnsi"/>
          <w:lang w:eastAsia="en-AU"/>
        </w:rPr>
        <w:t xml:space="preserve"> (approximately AUD85 million, inclusive of Australia’s contributions)</w:t>
      </w:r>
      <w:r w:rsidRPr="0067008C">
        <w:rPr>
          <w:rFonts w:ascii="Calibri Light" w:eastAsia="Times New Roman" w:hAnsi="Calibri Light" w:cstheme="minorHAnsi"/>
          <w:lang w:eastAsia="en-AU"/>
        </w:rPr>
        <w:t xml:space="preserve"> additional allocation to the </w:t>
      </w:r>
      <w:r w:rsidR="00032291" w:rsidRPr="0067008C">
        <w:rPr>
          <w:rFonts w:ascii="Calibri Light" w:eastAsia="Times New Roman" w:hAnsi="Calibri Light" w:cstheme="minorHAnsi"/>
          <w:lang w:eastAsia="en-AU"/>
        </w:rPr>
        <w:t>Government Tuition Fee Subsidy (GTFS),</w:t>
      </w:r>
      <w:r w:rsidR="00235CE9" w:rsidRPr="0067008C">
        <w:rPr>
          <w:rFonts w:ascii="Calibri Light" w:eastAsia="Times New Roman" w:hAnsi="Calibri Light" w:cstheme="minorHAnsi"/>
          <w:lang w:eastAsia="en-AU"/>
        </w:rPr>
        <w:t xml:space="preserve"> </w:t>
      </w:r>
      <w:r w:rsidR="00235CE9" w:rsidRPr="0067008C">
        <w:rPr>
          <w:rFonts w:ascii="Calibri Light" w:eastAsia="Times New Roman" w:hAnsi="Calibri Light" w:cstheme="minorHAnsi"/>
          <w:lang w:eastAsia="en-AU"/>
        </w:rPr>
        <w:lastRenderedPageBreak/>
        <w:t>which was formalised</w:t>
      </w:r>
      <w:r w:rsidRPr="0067008C">
        <w:rPr>
          <w:rFonts w:ascii="Calibri Light" w:eastAsia="Times New Roman" w:hAnsi="Calibri Light" w:cstheme="minorHAnsi"/>
          <w:lang w:eastAsia="en-AU"/>
        </w:rPr>
        <w:t xml:space="preserve"> in the November 2021 Supplementary Budget</w:t>
      </w:r>
      <w:r w:rsidR="00235CE9" w:rsidRPr="0067008C">
        <w:rPr>
          <w:rFonts w:ascii="Calibri Light" w:eastAsia="Times New Roman" w:hAnsi="Calibri Light" w:cstheme="minorHAnsi"/>
          <w:lang w:eastAsia="en-AU"/>
        </w:rPr>
        <w:t>, increasing the GTFS allocation</w:t>
      </w:r>
      <w:r w:rsidRPr="0067008C">
        <w:rPr>
          <w:rFonts w:ascii="Calibri Light" w:eastAsia="Times New Roman" w:hAnsi="Calibri Light" w:cstheme="minorHAnsi"/>
          <w:lang w:eastAsia="en-AU"/>
        </w:rPr>
        <w:t xml:space="preserve"> </w:t>
      </w:r>
      <w:r w:rsidR="00235CE9" w:rsidRPr="0067008C">
        <w:rPr>
          <w:rFonts w:ascii="Calibri Light" w:eastAsia="Times New Roman" w:hAnsi="Calibri Light" w:cstheme="minorHAnsi"/>
          <w:lang w:eastAsia="en-AU"/>
        </w:rPr>
        <w:t>back to 2020 levels</w:t>
      </w:r>
      <w:r w:rsidRPr="0067008C">
        <w:rPr>
          <w:rFonts w:ascii="Calibri Light" w:eastAsia="Times New Roman" w:hAnsi="Calibri Light" w:cstheme="minorHAnsi"/>
          <w:lang w:eastAsia="en-AU"/>
        </w:rPr>
        <w:t xml:space="preserve">. </w:t>
      </w:r>
    </w:p>
    <w:p w14:paraId="0F722E7E" w14:textId="1A27005C" w:rsidR="00293B6D" w:rsidRDefault="00B17E1C" w:rsidP="00D41FBC">
      <w:pPr>
        <w:pStyle w:val="Heading3"/>
      </w:pPr>
      <w:r>
        <w:t>ACTIVITIES</w:t>
      </w:r>
    </w:p>
    <w:p w14:paraId="55926335" w14:textId="2730528C" w:rsidR="000C7AE3" w:rsidRDefault="000C7AE3" w:rsidP="00415ABE">
      <w:r>
        <w:t xml:space="preserve">Activities to be funded through the Package </w:t>
      </w:r>
      <w:r w:rsidR="00762169">
        <w:t>for PNG are:</w:t>
      </w:r>
    </w:p>
    <w:p w14:paraId="4AE612B0" w14:textId="002038CA" w:rsidR="00CC216F" w:rsidRDefault="002964E6" w:rsidP="2BE14F77">
      <w:pPr>
        <w:rPr>
          <w:b/>
          <w:bCs/>
        </w:rPr>
      </w:pPr>
      <w:r w:rsidRPr="2BE14F77">
        <w:rPr>
          <w:b/>
          <w:bCs/>
        </w:rPr>
        <w:t>V</w:t>
      </w:r>
      <w:r w:rsidR="00CC216F" w:rsidRPr="2BE14F77">
        <w:rPr>
          <w:b/>
          <w:bCs/>
        </w:rPr>
        <w:t>ulnerability and Economic Recovery Window</w:t>
      </w:r>
      <w:r w:rsidR="0050546D" w:rsidRPr="2BE14F77">
        <w:rPr>
          <w:b/>
          <w:bCs/>
        </w:rPr>
        <w:t xml:space="preserve">: </w:t>
      </w:r>
    </w:p>
    <w:p w14:paraId="4E28D5B8" w14:textId="440F6E3A" w:rsidR="002757CF" w:rsidRPr="0067008C" w:rsidRDefault="002757CF" w:rsidP="2BE14F77">
      <w:pPr>
        <w:pStyle w:val="ListParagraph"/>
        <w:numPr>
          <w:ilvl w:val="0"/>
          <w:numId w:val="20"/>
        </w:numPr>
        <w:spacing w:before="0" w:after="120" w:line="240" w:lineRule="auto"/>
        <w:rPr>
          <w:rFonts w:eastAsiaTheme="minorEastAsia"/>
        </w:rPr>
      </w:pPr>
      <w:r w:rsidRPr="0067008C">
        <w:t xml:space="preserve">$5 million for preparatory research, </w:t>
      </w:r>
      <w:proofErr w:type="gramStart"/>
      <w:r w:rsidRPr="0067008C">
        <w:t>analysis</w:t>
      </w:r>
      <w:proofErr w:type="gramEnd"/>
      <w:r w:rsidRPr="0067008C">
        <w:t xml:space="preserve"> and proof of concept for </w:t>
      </w:r>
      <w:r w:rsidR="00D85CC8" w:rsidRPr="0067008C">
        <w:t>the</w:t>
      </w:r>
      <w:r w:rsidRPr="0067008C">
        <w:t xml:space="preserve"> World Bank</w:t>
      </w:r>
      <w:r w:rsidR="00D85CC8" w:rsidRPr="0067008C">
        <w:t>’s</w:t>
      </w:r>
      <w:r w:rsidRPr="0067008C">
        <w:t xml:space="preserve"> Child Nutrition and Social Protection </w:t>
      </w:r>
      <w:r w:rsidR="00032291" w:rsidRPr="0067008C">
        <w:t>Project</w:t>
      </w:r>
      <w:r w:rsidRPr="0067008C">
        <w:t>.</w:t>
      </w:r>
      <w:r w:rsidRPr="0067008C">
        <w:rPr>
          <w:i/>
          <w:iCs/>
        </w:rPr>
        <w:t xml:space="preserve"> </w:t>
      </w:r>
      <w:r w:rsidR="76F62181" w:rsidRPr="0067008C">
        <w:rPr>
          <w:rFonts w:eastAsia="Calibri Light" w:cs="Calibri Light"/>
        </w:rPr>
        <w:t>An additional</w:t>
      </w:r>
      <w:r w:rsidR="76F62181" w:rsidRPr="0067008C">
        <w:rPr>
          <w:rFonts w:eastAsia="Calibri Light" w:cs="Calibri Light"/>
          <w:i/>
          <w:iCs/>
        </w:rPr>
        <w:t xml:space="preserve"> </w:t>
      </w:r>
      <w:r w:rsidR="76F62181" w:rsidRPr="0067008C">
        <w:rPr>
          <w:rFonts w:eastAsia="Calibri Light" w:cs="Calibri Light"/>
        </w:rPr>
        <w:t>$16</w:t>
      </w:r>
      <w:r w:rsidR="00E661C5" w:rsidRPr="0067008C">
        <w:rPr>
          <w:rFonts w:eastAsia="Calibri Light" w:cs="Calibri Light"/>
        </w:rPr>
        <w:t> </w:t>
      </w:r>
      <w:r w:rsidR="76F62181" w:rsidRPr="0067008C">
        <w:rPr>
          <w:rFonts w:eastAsia="Calibri Light" w:cs="Calibri Light"/>
        </w:rPr>
        <w:t>million from PNG bilateral aid program will expand the geographic coverage of the program and leverage a US</w:t>
      </w:r>
      <w:r w:rsidR="00032291" w:rsidRPr="0067008C">
        <w:rPr>
          <w:rFonts w:eastAsia="Calibri Light" w:cs="Calibri Light"/>
        </w:rPr>
        <w:t>$</w:t>
      </w:r>
      <w:r w:rsidR="00D85CC8" w:rsidRPr="0067008C">
        <w:rPr>
          <w:rFonts w:eastAsia="Calibri Light" w:cs="Calibri Light"/>
        </w:rPr>
        <w:t>5</w:t>
      </w:r>
      <w:r w:rsidR="76F62181" w:rsidRPr="0067008C">
        <w:rPr>
          <w:rFonts w:eastAsia="Calibri Light" w:cs="Calibri Light"/>
        </w:rPr>
        <w:t>0 million World Bank loan.</w:t>
      </w:r>
      <w:r w:rsidR="76F62181" w:rsidRPr="0067008C">
        <w:t xml:space="preserve"> </w:t>
      </w:r>
      <w:r w:rsidRPr="0067008C">
        <w:t xml:space="preserve">This </w:t>
      </w:r>
      <w:r w:rsidR="00F33839" w:rsidRPr="0067008C">
        <w:t>p</w:t>
      </w:r>
      <w:r w:rsidRPr="0067008C">
        <w:t xml:space="preserve">rogram aims to increase nutrition and purchasing power in selected provinces through </w:t>
      </w:r>
      <w:bookmarkStart w:id="1" w:name="_Hlk66442071"/>
      <w:r w:rsidRPr="0067008C">
        <w:t xml:space="preserve">multi-sectoral interventions at the individual, </w:t>
      </w:r>
      <w:proofErr w:type="gramStart"/>
      <w:r w:rsidRPr="0067008C">
        <w:t>household</w:t>
      </w:r>
      <w:proofErr w:type="gramEnd"/>
      <w:r w:rsidRPr="0067008C">
        <w:t xml:space="preserve"> and structural levels.</w:t>
      </w:r>
    </w:p>
    <w:bookmarkEnd w:id="1"/>
    <w:p w14:paraId="4A626FA8" w14:textId="5ACA6C59" w:rsidR="00302E27" w:rsidRPr="0067008C" w:rsidRDefault="002757CF" w:rsidP="00415ABE">
      <w:pPr>
        <w:pStyle w:val="ListParagraph"/>
        <w:numPr>
          <w:ilvl w:val="0"/>
          <w:numId w:val="20"/>
        </w:numPr>
      </w:pPr>
      <w:r w:rsidRPr="0067008C">
        <w:t>$6 million</w:t>
      </w:r>
      <w:r w:rsidR="00302E27" w:rsidRPr="0067008C">
        <w:t xml:space="preserve"> for the Markets, Economic </w:t>
      </w:r>
      <w:proofErr w:type="gramStart"/>
      <w:r w:rsidR="00302E27" w:rsidRPr="0067008C">
        <w:t>Recovery</w:t>
      </w:r>
      <w:proofErr w:type="gramEnd"/>
      <w:r w:rsidR="00302E27" w:rsidRPr="0067008C">
        <w:t xml:space="preserve"> and Inclusion (MERI) Program. This program </w:t>
      </w:r>
      <w:r w:rsidR="00F33839" w:rsidRPr="0067008C">
        <w:t>began in</w:t>
      </w:r>
      <w:r w:rsidR="00302E27" w:rsidRPr="0067008C">
        <w:t xml:space="preserve"> 2020 in partnership with the PNG Department for Community Development and Religion and UN Women.</w:t>
      </w:r>
      <w:bookmarkStart w:id="2" w:name="_Hlk66443290"/>
      <w:r w:rsidR="00302E27" w:rsidRPr="0067008C">
        <w:t xml:space="preserve"> The next phase will focus </w:t>
      </w:r>
      <w:proofErr w:type="gramStart"/>
      <w:r w:rsidR="00302E27" w:rsidRPr="0067008C">
        <w:t>on:</w:t>
      </w:r>
      <w:proofErr w:type="gramEnd"/>
      <w:r w:rsidR="00302E27" w:rsidRPr="0067008C">
        <w:t xml:space="preserve"> improving market governance and facilities; </w:t>
      </w:r>
      <w:bookmarkEnd w:id="2"/>
      <w:r w:rsidR="00302E27" w:rsidRPr="0067008C">
        <w:t xml:space="preserve">revision and implementation of the National Policy on the Informal Economy; </w:t>
      </w:r>
      <w:bookmarkStart w:id="3" w:name="_Hlk66442825"/>
      <w:r w:rsidR="00302E27" w:rsidRPr="0067008C">
        <w:t>and financial management and business skills training to market vendors and women entrepreneurs.</w:t>
      </w:r>
      <w:r w:rsidR="00031EC0" w:rsidRPr="0067008C">
        <w:t xml:space="preserve"> </w:t>
      </w:r>
      <w:r w:rsidR="00302E27" w:rsidRPr="0067008C">
        <w:t>It will work with microfinance providers to offer affordable loans to vendors to rebuild businesses or start new ventures</w:t>
      </w:r>
      <w:r w:rsidR="00F33839" w:rsidRPr="0067008C">
        <w:t xml:space="preserve">. </w:t>
      </w:r>
      <w:r w:rsidR="00302E27" w:rsidRPr="0067008C">
        <w:t>A framework for business incubator facilities will be developed and opportunities for SME incubation will be explored.</w:t>
      </w:r>
    </w:p>
    <w:p w14:paraId="6AE593B6" w14:textId="05BCB6EC" w:rsidR="00302E27" w:rsidRPr="0067008C" w:rsidRDefault="00C738D7" w:rsidP="00415ABE">
      <w:pPr>
        <w:pStyle w:val="ListParagraph"/>
        <w:numPr>
          <w:ilvl w:val="0"/>
          <w:numId w:val="20"/>
        </w:numPr>
      </w:pPr>
      <w:r w:rsidRPr="0067008C">
        <w:t>$</w:t>
      </w:r>
      <w:r w:rsidR="00302E27" w:rsidRPr="0067008C">
        <w:t xml:space="preserve">4 million for the </w:t>
      </w:r>
      <w:r w:rsidRPr="0067008C">
        <w:t>P</w:t>
      </w:r>
      <w:r w:rsidR="00302E27" w:rsidRPr="0067008C">
        <w:t xml:space="preserve">rotection of </w:t>
      </w:r>
      <w:r w:rsidRPr="0067008C">
        <w:t>C</w:t>
      </w:r>
      <w:r w:rsidR="00302E27" w:rsidRPr="0067008C">
        <w:t xml:space="preserve">ivilians and </w:t>
      </w:r>
      <w:r w:rsidRPr="0067008C">
        <w:t>R</w:t>
      </w:r>
      <w:r w:rsidR="00302E27" w:rsidRPr="0067008C">
        <w:t xml:space="preserve">espect for the </w:t>
      </w:r>
      <w:r w:rsidRPr="0067008C">
        <w:t>L</w:t>
      </w:r>
      <w:r w:rsidR="00302E27" w:rsidRPr="0067008C">
        <w:t xml:space="preserve">aw. This funding will </w:t>
      </w:r>
      <w:r w:rsidRPr="0067008C">
        <w:t>go to</w:t>
      </w:r>
      <w:r w:rsidR="00302E27" w:rsidRPr="0067008C">
        <w:t xml:space="preserve"> the I</w:t>
      </w:r>
      <w:r w:rsidR="00F33839" w:rsidRPr="0067008C">
        <w:t xml:space="preserve">nternational Committee of the </w:t>
      </w:r>
      <w:r w:rsidR="00302E27" w:rsidRPr="0067008C">
        <w:t>R</w:t>
      </w:r>
      <w:r w:rsidR="00F33839" w:rsidRPr="0067008C">
        <w:t xml:space="preserve">ed </w:t>
      </w:r>
      <w:r w:rsidR="00302E27" w:rsidRPr="0067008C">
        <w:t>C</w:t>
      </w:r>
      <w:r w:rsidR="00F33839" w:rsidRPr="0067008C">
        <w:t>ross (ICRC)</w:t>
      </w:r>
      <w:r w:rsidR="00302E27" w:rsidRPr="0067008C">
        <w:t xml:space="preserve"> Country Appeal and will enable t</w:t>
      </w:r>
      <w:r w:rsidR="00F33839" w:rsidRPr="0067008C">
        <w:t>he</w:t>
      </w:r>
      <w:r w:rsidR="00302E27" w:rsidRPr="0067008C">
        <w:t xml:space="preserve"> ICRC to continue to provide protection to the most vulnerable groups in PNG while also promot</w:t>
      </w:r>
      <w:r w:rsidRPr="0067008C">
        <w:t>ing</w:t>
      </w:r>
      <w:r w:rsidR="00302E27" w:rsidRPr="0067008C">
        <w:t xml:space="preserve"> COVID-19 response activities.</w:t>
      </w:r>
    </w:p>
    <w:bookmarkEnd w:id="3"/>
    <w:p w14:paraId="163782BE" w14:textId="6F2F3C1A" w:rsidR="002964E6" w:rsidRPr="00020BAD" w:rsidRDefault="00D7708E" w:rsidP="2BE14F77">
      <w:pPr>
        <w:rPr>
          <w:b/>
          <w:bCs/>
        </w:rPr>
      </w:pPr>
      <w:r w:rsidRPr="2BE14F77">
        <w:rPr>
          <w:b/>
          <w:bCs/>
        </w:rPr>
        <w:t>Fiscal Crisis Window</w:t>
      </w:r>
      <w:r w:rsidR="00304D64" w:rsidRPr="2BE14F77">
        <w:rPr>
          <w:b/>
          <w:bCs/>
        </w:rPr>
        <w:t xml:space="preserve">: </w:t>
      </w:r>
    </w:p>
    <w:p w14:paraId="6381BC11" w14:textId="47ADB7E5" w:rsidR="0050546D" w:rsidRPr="00031EC0" w:rsidRDefault="74B0D368" w:rsidP="2BE14F77">
      <w:pPr>
        <w:pStyle w:val="ListParagraph"/>
        <w:numPr>
          <w:ilvl w:val="0"/>
          <w:numId w:val="21"/>
        </w:numPr>
        <w:rPr>
          <w:rFonts w:eastAsiaTheme="minorEastAsia"/>
        </w:rPr>
      </w:pPr>
      <w:r>
        <w:t>$</w:t>
      </w:r>
      <w:r w:rsidR="00B35D31">
        <w:t>65</w:t>
      </w:r>
      <w:r>
        <w:t xml:space="preserve"> million towards the cost of the PNG </w:t>
      </w:r>
      <w:r w:rsidR="00032291">
        <w:t>GTFS</w:t>
      </w:r>
      <w:r>
        <w:t xml:space="preserve">, supporting the cost of government tuition for primary school children, benefiting around 1.1 million students. </w:t>
      </w:r>
      <w:r w:rsidR="00D64CFD">
        <w:t>This funding directly supports</w:t>
      </w:r>
      <w:r w:rsidR="00032291">
        <w:t xml:space="preserve"> the</w:t>
      </w:r>
      <w:r w:rsidR="00D64CFD">
        <w:t xml:space="preserve"> Go</w:t>
      </w:r>
      <w:r w:rsidR="00032291">
        <w:t xml:space="preserve">vernment of </w:t>
      </w:r>
      <w:r w:rsidR="00D64CFD">
        <w:t>PNG’s 2021 Budget</w:t>
      </w:r>
      <w:r w:rsidR="00235CE9">
        <w:t xml:space="preserve"> and</w:t>
      </w:r>
      <w:r w:rsidR="00D64CFD">
        <w:t xml:space="preserve"> Supplementary Budget and is assigned to relevant budget lines. </w:t>
      </w:r>
    </w:p>
    <w:p w14:paraId="1A803FBA" w14:textId="06AEFD8C" w:rsidR="0050546D" w:rsidRPr="00031EC0" w:rsidRDefault="0050546D" w:rsidP="00415ABE">
      <w:pPr>
        <w:pStyle w:val="ListParagraph"/>
        <w:numPr>
          <w:ilvl w:val="0"/>
          <w:numId w:val="21"/>
        </w:numPr>
      </w:pPr>
      <w:r>
        <w:t xml:space="preserve">$21.5 million for Church Health Services. Funds will be provided to assist faith-based organisations to provide accessible primary health care in 21 provinces. This will be provided in the form of </w:t>
      </w:r>
      <w:r>
        <w:t xml:space="preserve">sectoral budget support, earmarked to </w:t>
      </w:r>
      <w:r w:rsidR="00762169">
        <w:t>relevant</w:t>
      </w:r>
      <w:r>
        <w:t xml:space="preserve"> budget lines as set out the Go</w:t>
      </w:r>
      <w:r w:rsidR="00D85CC8">
        <w:t xml:space="preserve">vernment of </w:t>
      </w:r>
      <w:r>
        <w:t xml:space="preserve">PNG’s 2021 budget.  </w:t>
      </w:r>
    </w:p>
    <w:p w14:paraId="02B8987C" w14:textId="3CDFE56F" w:rsidR="00CC216F" w:rsidRPr="00415ABE" w:rsidRDefault="0050546D" w:rsidP="2BE14F77">
      <w:pPr>
        <w:pStyle w:val="ListParagraph"/>
        <w:numPr>
          <w:ilvl w:val="0"/>
          <w:numId w:val="21"/>
        </w:numPr>
        <w:rPr>
          <w:rFonts w:eastAsiaTheme="minorEastAsia"/>
        </w:rPr>
      </w:pPr>
      <w:r>
        <w:t xml:space="preserve">$500,000 </w:t>
      </w:r>
      <w:r w:rsidR="00762169">
        <w:t>for</w:t>
      </w:r>
      <w:r>
        <w:t xml:space="preserve"> risk management, </w:t>
      </w:r>
      <w:proofErr w:type="gramStart"/>
      <w:r>
        <w:t>audit</w:t>
      </w:r>
      <w:proofErr w:type="gramEnd"/>
      <w:r>
        <w:t xml:space="preserve"> and oversight. </w:t>
      </w:r>
    </w:p>
    <w:p w14:paraId="32DD28B7" w14:textId="0686F6D9" w:rsidR="000C7AE3" w:rsidRPr="00415ABE" w:rsidRDefault="000C7AE3" w:rsidP="00D41FBC">
      <w:pPr>
        <w:pStyle w:val="Heading3"/>
      </w:pPr>
      <w:r w:rsidRPr="00415ABE">
        <w:t>POLICY AND PROGRAM ALIGNMENT</w:t>
      </w:r>
    </w:p>
    <w:p w14:paraId="7D334E2C" w14:textId="17BA2F46" w:rsidR="0050546D" w:rsidRDefault="0050546D" w:rsidP="00415ABE">
      <w:pPr>
        <w:spacing w:before="0" w:after="120" w:line="240" w:lineRule="auto"/>
      </w:pPr>
      <w:r w:rsidRPr="006D2CBA">
        <w:t xml:space="preserve">The </w:t>
      </w:r>
      <w:r>
        <w:t xml:space="preserve">Package funding will contribute to the </w:t>
      </w:r>
      <w:r w:rsidRPr="00087FC9">
        <w:t>three pillars of the PNG COVID-19 Response Plan</w:t>
      </w:r>
      <w:r>
        <w:t>, as well as link directly to the Comprehensive Strategic and Economic Partnership between the Go</w:t>
      </w:r>
      <w:r w:rsidR="00032291">
        <w:t xml:space="preserve">vernment of </w:t>
      </w:r>
      <w:r>
        <w:t xml:space="preserve">PNG and Australia. </w:t>
      </w:r>
    </w:p>
    <w:p w14:paraId="64A2239A" w14:textId="1C2B13AB" w:rsidR="00031EC0" w:rsidRDefault="00031EC0" w:rsidP="00415ABE">
      <w:r w:rsidRPr="00031EC0">
        <w:t xml:space="preserve">Funding under the Package will also both support and be supported by the </w:t>
      </w:r>
      <w:r>
        <w:t>following Australian-funded programs:</w:t>
      </w:r>
    </w:p>
    <w:p w14:paraId="6A0A9D8A" w14:textId="51DCD9E0" w:rsidR="00031EC0" w:rsidRDefault="00031EC0" w:rsidP="00415ABE">
      <w:pPr>
        <w:pStyle w:val="ListParagraph"/>
        <w:numPr>
          <w:ilvl w:val="0"/>
          <w:numId w:val="23"/>
        </w:numPr>
      </w:pPr>
      <w:r>
        <w:t xml:space="preserve">The Economic Governance and Inclusive Growth Partnership will help mobilise auditing and monitoring services as required for the </w:t>
      </w:r>
      <w:r w:rsidR="00F33839">
        <w:t>F</w:t>
      </w:r>
      <w:r>
        <w:t xml:space="preserve">iscal </w:t>
      </w:r>
      <w:r w:rsidR="00F33839">
        <w:t>C</w:t>
      </w:r>
      <w:r>
        <w:t xml:space="preserve">risis </w:t>
      </w:r>
      <w:r w:rsidR="00F33839">
        <w:t>W</w:t>
      </w:r>
      <w:r>
        <w:t>indow</w:t>
      </w:r>
      <w:r w:rsidR="00F33839">
        <w:t>.</w:t>
      </w:r>
    </w:p>
    <w:p w14:paraId="3A8E8C23" w14:textId="1CC7AB01" w:rsidR="00CC216F" w:rsidRDefault="00031EC0" w:rsidP="00415ABE">
      <w:pPr>
        <w:pStyle w:val="ListParagraph"/>
        <w:numPr>
          <w:ilvl w:val="0"/>
          <w:numId w:val="23"/>
        </w:numPr>
      </w:pPr>
      <w:r>
        <w:t xml:space="preserve">Australia and </w:t>
      </w:r>
      <w:r w:rsidR="00F33839">
        <w:t xml:space="preserve">the </w:t>
      </w:r>
      <w:r>
        <w:t>Global Partnership for Education are fully funding the Go</w:t>
      </w:r>
      <w:r w:rsidR="00032291">
        <w:t xml:space="preserve">vernment of </w:t>
      </w:r>
      <w:r>
        <w:t xml:space="preserve">PNG’s education emergency plan which was rapidly developed at the outset of the pandemic to enable: </w:t>
      </w:r>
      <w:proofErr w:type="spellStart"/>
      <w:r>
        <w:t>i</w:t>
      </w:r>
      <w:proofErr w:type="spellEnd"/>
      <w:r>
        <w:t xml:space="preserve">) remote learning, ii) returning to school safely, iii) safe learning at school, and iv) resilience-building. The plan also includes support for: COVID-19 health messaging; materials for remote learning; and school-based </w:t>
      </w:r>
      <w:r w:rsidR="00E43676">
        <w:t xml:space="preserve">water, </w:t>
      </w:r>
      <w:proofErr w:type="gramStart"/>
      <w:r w:rsidR="00E43676">
        <w:t>sanitation</w:t>
      </w:r>
      <w:proofErr w:type="gramEnd"/>
      <w:r w:rsidR="00E43676">
        <w:t xml:space="preserve"> and hygiene.</w:t>
      </w:r>
    </w:p>
    <w:p w14:paraId="14D4AEDF" w14:textId="65B21D06" w:rsidR="00FA683E" w:rsidRDefault="00FA683E" w:rsidP="00664D21">
      <w:pPr>
        <w:pStyle w:val="ListParagraph"/>
        <w:numPr>
          <w:ilvl w:val="0"/>
          <w:numId w:val="23"/>
        </w:numPr>
      </w:pPr>
      <w:r>
        <w:t xml:space="preserve">The PNG Partnerships Fund </w:t>
      </w:r>
      <w:r w:rsidR="00664D21">
        <w:t xml:space="preserve">and Australia Awards have been </w:t>
      </w:r>
      <w:r>
        <w:t>lift</w:t>
      </w:r>
      <w:r w:rsidR="00664D21">
        <w:t>ing</w:t>
      </w:r>
      <w:r>
        <w:t xml:space="preserve"> </w:t>
      </w:r>
      <w:r w:rsidR="00664D21">
        <w:t xml:space="preserve">rates of </w:t>
      </w:r>
      <w:r>
        <w:t xml:space="preserve">early grade </w:t>
      </w:r>
      <w:r w:rsidR="00664D21">
        <w:t xml:space="preserve">literacy and numeracy and improving school attendance by training teachers, </w:t>
      </w:r>
      <w:proofErr w:type="gramStart"/>
      <w:r w:rsidR="00664D21">
        <w:t>developing</w:t>
      </w:r>
      <w:proofErr w:type="gramEnd"/>
      <w:r w:rsidR="00664D21">
        <w:t xml:space="preserve"> and delivering learning resources and improving school-based management. </w:t>
      </w:r>
    </w:p>
    <w:p w14:paraId="5135132D" w14:textId="70F68F8C" w:rsidR="00031EC0" w:rsidRDefault="00031EC0" w:rsidP="00415ABE">
      <w:pPr>
        <w:pStyle w:val="ListParagraph"/>
        <w:numPr>
          <w:ilvl w:val="0"/>
          <w:numId w:val="23"/>
        </w:numPr>
      </w:pPr>
      <w:r w:rsidRPr="00ED2518">
        <w:t>Package funding complements funds provided to Provincial Health Authorities for COVID-19 preparedness and response in 2020, and a further tranche of support to be provided by the bilateral program in 2021 (delivered through the Health Sector Improvement Program Trust Account).  </w:t>
      </w:r>
    </w:p>
    <w:p w14:paraId="102B5B45" w14:textId="1E5CB7FE" w:rsidR="00415ABE" w:rsidRDefault="00031EC0" w:rsidP="00415ABE">
      <w:pPr>
        <w:pStyle w:val="ListParagraph"/>
        <w:numPr>
          <w:ilvl w:val="0"/>
          <w:numId w:val="23"/>
        </w:numPr>
      </w:pPr>
      <w:r w:rsidRPr="00ED2518">
        <w:t xml:space="preserve">The Church Partnerships Program focuses on supporting collaboration between the seven main churches and enhancing national advocacy on community and thematic issues such as gender equality. The program </w:t>
      </w:r>
      <w:r w:rsidR="00E43676">
        <w:t>now incorporates</w:t>
      </w:r>
      <w:r w:rsidRPr="00ED2518">
        <w:t xml:space="preserve"> COVID-19 prevention efforts</w:t>
      </w:r>
      <w:r w:rsidR="00F33839">
        <w:t>.</w:t>
      </w:r>
    </w:p>
    <w:p w14:paraId="101C0067" w14:textId="4762288D" w:rsidR="00031EC0" w:rsidRDefault="00031EC0" w:rsidP="00415ABE">
      <w:pPr>
        <w:pStyle w:val="ListParagraph"/>
        <w:numPr>
          <w:ilvl w:val="0"/>
          <w:numId w:val="23"/>
        </w:numPr>
      </w:pPr>
      <w:r>
        <w:t xml:space="preserve">The Justice Services and Stability for Development (JSS4D) </w:t>
      </w:r>
      <w:r w:rsidR="00F33839">
        <w:t xml:space="preserve">program </w:t>
      </w:r>
      <w:r>
        <w:t>works in partnership with the Go</w:t>
      </w:r>
      <w:r w:rsidR="00032291">
        <w:t xml:space="preserve">vernment of </w:t>
      </w:r>
      <w:r>
        <w:t xml:space="preserve">PNG to support the delivery of effective and inclusive justice services across PNG. The Program has pivoted to support COVID-19 priorities including </w:t>
      </w:r>
      <w:r w:rsidR="00E43676">
        <w:t xml:space="preserve">responding to </w:t>
      </w:r>
      <w:r>
        <w:t>the increased rates of family and sexual violence and the vulnerability of</w:t>
      </w:r>
      <w:r w:rsidR="00E43676">
        <w:t xml:space="preserve"> </w:t>
      </w:r>
      <w:r w:rsidR="00E43676">
        <w:lastRenderedPageBreak/>
        <w:t>people in</w:t>
      </w:r>
      <w:r>
        <w:t xml:space="preserve"> correction</w:t>
      </w:r>
      <w:r w:rsidR="008F3CBE">
        <w:t>s</w:t>
      </w:r>
      <w:r w:rsidR="00E43676">
        <w:t xml:space="preserve"> facilities</w:t>
      </w:r>
      <w:r>
        <w:t xml:space="preserve">. </w:t>
      </w:r>
      <w:r w:rsidR="00415ABE">
        <w:t>C</w:t>
      </w:r>
      <w:r>
        <w:t xml:space="preserve">omplementarity </w:t>
      </w:r>
      <w:r w:rsidR="00415ABE">
        <w:t xml:space="preserve">will be ensured </w:t>
      </w:r>
      <w:r>
        <w:t xml:space="preserve">between the work undertaken by the ICRC and JSS4D, particularly in the Highlands and with Correctional Services and the </w:t>
      </w:r>
      <w:r w:rsidR="00415ABE" w:rsidRPr="00415ABE">
        <w:t>Royal Papua New Guinea Constabulary</w:t>
      </w:r>
      <w:r w:rsidR="00415ABE">
        <w:t>.</w:t>
      </w:r>
    </w:p>
    <w:p w14:paraId="3688DD35" w14:textId="0CC0170F" w:rsidR="000C7AE3" w:rsidRDefault="000C7AE3" w:rsidP="00D41FBC">
      <w:pPr>
        <w:pStyle w:val="Heading3"/>
      </w:pPr>
      <w:r>
        <w:t>GENDER EQUALITY AND WOMEN’S EMPOWERMENT</w:t>
      </w:r>
    </w:p>
    <w:p w14:paraId="22EA3F32" w14:textId="7E3DCF17" w:rsidR="00415ABE" w:rsidRPr="0067008C" w:rsidRDefault="008D313A" w:rsidP="00415ABE">
      <w:pPr>
        <w:spacing w:before="0" w:after="120" w:line="240" w:lineRule="auto"/>
      </w:pPr>
      <w:r w:rsidRPr="0067008C">
        <w:t>T</w:t>
      </w:r>
      <w:r w:rsidR="00415ABE" w:rsidRPr="0067008C">
        <w:t xml:space="preserve">he impacts of COVID-19 </w:t>
      </w:r>
      <w:r w:rsidRPr="0067008C">
        <w:t>on women in PNG have been significant</w:t>
      </w:r>
      <w:r w:rsidR="00415ABE" w:rsidRPr="0067008C">
        <w:t xml:space="preserve">. Their economic and health outcomes have been adversely affected and, for many women, domestic workloads have increased. Pre-pandemic, </w:t>
      </w:r>
      <w:r w:rsidR="00E43676" w:rsidRPr="0067008C">
        <w:t>PNG</w:t>
      </w:r>
      <w:r w:rsidR="00415ABE" w:rsidRPr="0067008C">
        <w:t xml:space="preserve"> had one of the highest rates of violence against women in the world and the pandemic has worsened the situation.</w:t>
      </w:r>
    </w:p>
    <w:p w14:paraId="4FD01F7A" w14:textId="059A22BC" w:rsidR="00415ABE" w:rsidRPr="0067008C" w:rsidRDefault="00415ABE" w:rsidP="222BB4A5">
      <w:pPr>
        <w:spacing w:before="0" w:after="120" w:line="240" w:lineRule="auto"/>
      </w:pPr>
      <w:r w:rsidRPr="0067008C">
        <w:t xml:space="preserve">The </w:t>
      </w:r>
      <w:r w:rsidR="000261DD" w:rsidRPr="0067008C">
        <w:t xml:space="preserve">initiatives funded under the </w:t>
      </w:r>
      <w:r w:rsidRPr="0067008C">
        <w:t>Package</w:t>
      </w:r>
      <w:r w:rsidR="000261DD" w:rsidRPr="0067008C">
        <w:t xml:space="preserve"> will</w:t>
      </w:r>
      <w:r w:rsidRPr="0067008C">
        <w:t xml:space="preserve"> support women, </w:t>
      </w:r>
      <w:proofErr w:type="gramStart"/>
      <w:r w:rsidRPr="0067008C">
        <w:t>girls</w:t>
      </w:r>
      <w:proofErr w:type="gramEnd"/>
      <w:r w:rsidRPr="0067008C">
        <w:t xml:space="preserve"> and vulnerable groups</w:t>
      </w:r>
      <w:r w:rsidR="000261DD" w:rsidRPr="0067008C">
        <w:t xml:space="preserve">. </w:t>
      </w:r>
      <w:r w:rsidRPr="0067008C">
        <w:t xml:space="preserve">The Child Nutrition and Social Protection Program will support </w:t>
      </w:r>
      <w:r w:rsidR="16B69C23" w:rsidRPr="0067008C">
        <w:t>women through pregnancy and in the first days of their chil</w:t>
      </w:r>
      <w:r w:rsidR="6191315C" w:rsidRPr="0067008C">
        <w:t>dren’s lives</w:t>
      </w:r>
      <w:r w:rsidR="5E55BA30" w:rsidRPr="0067008C">
        <w:t>.</w:t>
      </w:r>
    </w:p>
    <w:p w14:paraId="7E547052" w14:textId="6784E209" w:rsidR="00415ABE" w:rsidRPr="0067008C" w:rsidRDefault="00415ABE" w:rsidP="000261DD">
      <w:pPr>
        <w:suppressAutoHyphens w:val="0"/>
        <w:spacing w:before="0" w:after="120" w:line="240" w:lineRule="auto"/>
      </w:pPr>
      <w:r w:rsidRPr="0067008C">
        <w:t>The beneficiaries of the MERI program will be predominantly women. They will benefit through improved governance and facilities at markets along with financial literacy training</w:t>
      </w:r>
      <w:r w:rsidR="00F33839" w:rsidRPr="0067008C">
        <w:t>.</w:t>
      </w:r>
    </w:p>
    <w:p w14:paraId="7FC22F07" w14:textId="77777777" w:rsidR="000261DD" w:rsidRPr="0067008C" w:rsidRDefault="000261DD" w:rsidP="000261DD">
      <w:pPr>
        <w:suppressAutoHyphens w:val="0"/>
        <w:spacing w:before="0" w:after="120" w:line="240" w:lineRule="auto"/>
      </w:pPr>
      <w:r w:rsidRPr="0067008C">
        <w:t xml:space="preserve">Violence against women and girls is especially severe in the PNG Highlands where rates of sexual violence during tribal conflicts are increasing. The ICRC’s Protection of Civilians and Respect for the Law will support women and girl survivors of violence while seeking to reduce the prevalence of violence and hold perpetrators to account. </w:t>
      </w:r>
    </w:p>
    <w:p w14:paraId="6EDE7748" w14:textId="18F7C40C" w:rsidR="000261DD" w:rsidRPr="0067008C" w:rsidRDefault="4D8C09BD" w:rsidP="00CE7D8E">
      <w:pPr>
        <w:suppressAutoHyphens w:val="0"/>
        <w:spacing w:before="0" w:after="120" w:line="240" w:lineRule="auto"/>
      </w:pPr>
      <w:r w:rsidRPr="0067008C">
        <w:t xml:space="preserve">All three </w:t>
      </w:r>
      <w:r w:rsidR="11603E2E" w:rsidRPr="0067008C">
        <w:t xml:space="preserve">Vulnerability and Economic Recovery Window </w:t>
      </w:r>
      <w:r w:rsidRPr="0067008C">
        <w:t>activities will contribute towards achievement of Australia’s Gender Action Plan in PNG, including: contributing towards the target of more than 50 per</w:t>
      </w:r>
      <w:r w:rsidR="1C3734D4" w:rsidRPr="0067008C">
        <w:t xml:space="preserve"> </w:t>
      </w:r>
      <w:r w:rsidRPr="0067008C">
        <w:t xml:space="preserve">cent of programs having a </w:t>
      </w:r>
      <w:r w:rsidR="00104534">
        <w:t xml:space="preserve">principal </w:t>
      </w:r>
      <w:r w:rsidRPr="0067008C">
        <w:t>or significant spend on gender; and contributing to outcomes on increased economic opportunities for women, and strengthened national response to violence against women and children.</w:t>
      </w:r>
    </w:p>
    <w:p w14:paraId="63EDF189" w14:textId="77777777" w:rsidR="0067008C" w:rsidRDefault="0067008C" w:rsidP="20EC2CDE">
      <w:pPr>
        <w:suppressAutoHyphens w:val="0"/>
        <w:spacing w:before="0" w:after="120" w:line="240" w:lineRule="auto"/>
        <w:rPr>
          <w:rFonts w:eastAsiaTheme="minorEastAsia"/>
        </w:rPr>
      </w:pPr>
    </w:p>
    <w:p w14:paraId="5B0AA11A" w14:textId="77777777" w:rsidR="0067008C" w:rsidRDefault="0067008C" w:rsidP="20EC2CDE">
      <w:pPr>
        <w:suppressAutoHyphens w:val="0"/>
        <w:spacing w:before="0" w:after="120" w:line="240" w:lineRule="auto"/>
        <w:rPr>
          <w:rFonts w:eastAsiaTheme="minorEastAsia"/>
        </w:rPr>
      </w:pPr>
    </w:p>
    <w:p w14:paraId="5D8E5E99" w14:textId="3A57F2CE" w:rsidR="000261DD" w:rsidRPr="0067008C" w:rsidRDefault="412AF744" w:rsidP="20EC2CDE">
      <w:pPr>
        <w:suppressAutoHyphens w:val="0"/>
        <w:spacing w:before="0" w:after="120" w:line="240" w:lineRule="auto"/>
        <w:rPr>
          <w:rFonts w:eastAsiaTheme="minorEastAsia"/>
        </w:rPr>
      </w:pPr>
      <w:r w:rsidRPr="0067008C">
        <w:rPr>
          <w:rFonts w:eastAsiaTheme="minorEastAsia"/>
        </w:rPr>
        <w:t>The targeted budget support through the Fiscal Crisis Window will help to maintain church health services for women and contribute to keeping girls in school. Girls in PNG are affected more than boys by school closures and are less likely to return to school than boys after prolonged absence. Through support to the school fee tuition subsidy, funding will help ensure that girls continue their education. Women and girls will benefit from continuity of access to essential health services, and female health workers and their families will benefit from guaranteed salaries, at a time when livelihoods are at risk.</w:t>
      </w:r>
    </w:p>
    <w:p w14:paraId="339B6256" w14:textId="6A038B66" w:rsidR="00653119" w:rsidRPr="00653119" w:rsidRDefault="00653119" w:rsidP="00D41FBC">
      <w:pPr>
        <w:pStyle w:val="Heading3"/>
      </w:pPr>
      <w:r w:rsidRPr="00653119">
        <w:t>PERFORMANCE MANAGEMENT</w:t>
      </w:r>
    </w:p>
    <w:p w14:paraId="5809C9D5" w14:textId="3811F55A" w:rsidR="00703EAC" w:rsidRPr="0067008C" w:rsidRDefault="00703EAC" w:rsidP="2BE14F77">
      <w:pPr>
        <w:spacing w:after="120"/>
        <w:textAlignment w:val="baseline"/>
        <w:rPr>
          <w:rStyle w:val="normaltextrun"/>
          <w:rFonts w:cs="Segoe UI"/>
          <w:color w:val="495965"/>
          <w:lang w:val="en-AU" w:eastAsia="en-AU"/>
        </w:rPr>
      </w:pPr>
      <w:r w:rsidRPr="0067008C">
        <w:rPr>
          <w:lang w:eastAsia="en-AU"/>
        </w:rPr>
        <w:t>The progress of each investment under the Package will be tracked through country-specific monitoring and evaluation frameworks. Monitoring will be undertaken by DFAT with delivery partners and reported through DFAT’s regular reporting processes. </w:t>
      </w:r>
    </w:p>
    <w:p w14:paraId="704B90C5" w14:textId="58BF768C" w:rsidR="00703EAC" w:rsidRPr="0067008C" w:rsidRDefault="00703EAC" w:rsidP="2BE14F77">
      <w:pPr>
        <w:pStyle w:val="paragraph"/>
        <w:spacing w:before="120" w:beforeAutospacing="0" w:after="120" w:afterAutospacing="0"/>
        <w:textAlignment w:val="baseline"/>
        <w:rPr>
          <w:rStyle w:val="normaltextrun"/>
          <w:rFonts w:asciiTheme="minorHAnsi" w:hAnsiTheme="minorHAnsi"/>
          <w:color w:val="495965"/>
          <w:sz w:val="22"/>
          <w:szCs w:val="22"/>
          <w:lang w:val="en-GB"/>
        </w:rPr>
      </w:pPr>
      <w:r w:rsidRPr="0067008C">
        <w:rPr>
          <w:rStyle w:val="normaltextrun"/>
          <w:rFonts w:asciiTheme="minorHAnsi" w:hAnsiTheme="minorHAnsi"/>
          <w:color w:val="495965" w:themeColor="text2"/>
          <w:sz w:val="22"/>
          <w:szCs w:val="22"/>
          <w:lang w:val="en-GB"/>
        </w:rPr>
        <w:t>Results under the package will contribute to reporting against indicators including the following:</w:t>
      </w:r>
    </w:p>
    <w:p w14:paraId="1DFDD4B9" w14:textId="77777777" w:rsidR="00703EAC" w:rsidRPr="0067008C" w:rsidRDefault="00703EAC" w:rsidP="2BE14F77">
      <w:pPr>
        <w:pStyle w:val="paragraph"/>
        <w:spacing w:before="120" w:beforeAutospacing="0" w:after="120" w:afterAutospacing="0"/>
        <w:textAlignment w:val="baseline"/>
        <w:rPr>
          <w:rStyle w:val="normaltextrun"/>
          <w:rFonts w:asciiTheme="minorHAnsi" w:hAnsiTheme="minorHAnsi"/>
          <w:color w:val="495965"/>
          <w:sz w:val="22"/>
          <w:szCs w:val="22"/>
          <w:lang w:val="en-GB"/>
        </w:rPr>
      </w:pPr>
      <w:r w:rsidRPr="0067008C">
        <w:rPr>
          <w:rStyle w:val="normaltextrun"/>
          <w:rFonts w:asciiTheme="minorHAnsi" w:hAnsiTheme="minorHAnsi"/>
          <w:color w:val="495965" w:themeColor="text2"/>
          <w:sz w:val="22"/>
          <w:szCs w:val="22"/>
          <w:lang w:val="en-GB"/>
        </w:rPr>
        <w:t xml:space="preserve">From the Papua New Guinea COVID-19 Development Response Plan Performance Framework: </w:t>
      </w:r>
    </w:p>
    <w:p w14:paraId="2DD67A20" w14:textId="77777777" w:rsidR="00703EAC" w:rsidRPr="0067008C" w:rsidRDefault="00703EAC" w:rsidP="2BE14F77">
      <w:pPr>
        <w:pStyle w:val="ListParagraph"/>
        <w:numPr>
          <w:ilvl w:val="0"/>
          <w:numId w:val="29"/>
        </w:numPr>
        <w:spacing w:after="120"/>
        <w:rPr>
          <w:color w:val="44546A"/>
          <w:lang w:val="en-AU"/>
        </w:rPr>
      </w:pPr>
      <w:r w:rsidRPr="0067008C">
        <w:t>Number of women and girl survivors of violence receiving services such as counselling.</w:t>
      </w:r>
    </w:p>
    <w:p w14:paraId="689D577F" w14:textId="378D5E52" w:rsidR="00703EAC" w:rsidRPr="0067008C" w:rsidRDefault="00703EAC" w:rsidP="2BE14F77">
      <w:pPr>
        <w:pStyle w:val="ListParagraph"/>
        <w:numPr>
          <w:ilvl w:val="0"/>
          <w:numId w:val="29"/>
        </w:numPr>
        <w:suppressAutoHyphens w:val="0"/>
        <w:spacing w:after="120" w:line="240" w:lineRule="auto"/>
        <w:rPr>
          <w:rFonts w:eastAsia="Times New Roman"/>
          <w:color w:val="auto"/>
          <w:lang w:eastAsia="en-GB"/>
        </w:rPr>
      </w:pPr>
      <w:r w:rsidRPr="0067008C">
        <w:rPr>
          <w:rStyle w:val="normaltextrun"/>
        </w:rPr>
        <w:t>Australian budget support as a percentage of supplementary budget expenditure in response to COVID-19.</w:t>
      </w:r>
    </w:p>
    <w:p w14:paraId="7732A090" w14:textId="3C981ABD" w:rsidR="00703EAC" w:rsidRPr="0067008C" w:rsidRDefault="00703EAC" w:rsidP="1C21976F">
      <w:pPr>
        <w:pStyle w:val="paragraph"/>
        <w:spacing w:before="120" w:beforeAutospacing="0" w:after="120" w:afterAutospacing="0"/>
        <w:textAlignment w:val="baseline"/>
        <w:rPr>
          <w:rFonts w:asciiTheme="minorHAnsi" w:hAnsiTheme="minorHAnsi"/>
          <w:color w:val="495965" w:themeColor="text2"/>
          <w:sz w:val="22"/>
          <w:szCs w:val="22"/>
        </w:rPr>
      </w:pPr>
      <w:r w:rsidRPr="0067008C">
        <w:rPr>
          <w:rStyle w:val="normaltextrun"/>
          <w:rFonts w:asciiTheme="minorHAnsi" w:hAnsiTheme="minorHAnsi"/>
          <w:color w:val="495965" w:themeColor="text2"/>
          <w:sz w:val="22"/>
          <w:szCs w:val="22"/>
          <w:lang w:val="en-GB"/>
        </w:rPr>
        <w:t>From the Pacific COVID-19 Response Package</w:t>
      </w:r>
      <w:r w:rsidRPr="0067008C">
        <w:rPr>
          <w:rStyle w:val="normaltextrun"/>
          <w:rFonts w:asciiTheme="minorHAnsi" w:hAnsiTheme="minorHAnsi"/>
          <w:color w:val="495965" w:themeColor="text2"/>
          <w:sz w:val="22"/>
          <w:szCs w:val="22"/>
        </w:rPr>
        <w:t> Design Framework:</w:t>
      </w:r>
      <w:r w:rsidRPr="0067008C">
        <w:rPr>
          <w:rStyle w:val="eop"/>
          <w:rFonts w:asciiTheme="minorHAnsi" w:eastAsiaTheme="majorEastAsia" w:hAnsiTheme="minorHAnsi"/>
          <w:color w:val="495965" w:themeColor="text2"/>
          <w:sz w:val="22"/>
          <w:szCs w:val="22"/>
        </w:rPr>
        <w:t xml:space="preserve">  </w:t>
      </w:r>
    </w:p>
    <w:p w14:paraId="6C46B70F" w14:textId="77777777" w:rsidR="00703EAC" w:rsidRPr="0067008C" w:rsidRDefault="00703EAC" w:rsidP="2BE14F77">
      <w:pPr>
        <w:pStyle w:val="ListParagraph"/>
        <w:numPr>
          <w:ilvl w:val="0"/>
          <w:numId w:val="29"/>
        </w:numPr>
        <w:suppressAutoHyphens w:val="0"/>
        <w:spacing w:after="120" w:line="240" w:lineRule="auto"/>
        <w:rPr>
          <w:rFonts w:eastAsia="Times New Roman"/>
          <w:lang w:eastAsia="en-GB"/>
        </w:rPr>
      </w:pPr>
      <w:r w:rsidRPr="0067008C">
        <w:t>Number of entrepreneurs (M/F) provided with financial and/or business development support.</w:t>
      </w:r>
    </w:p>
    <w:p w14:paraId="6FE9B94D" w14:textId="36D350C4" w:rsidR="00703EAC" w:rsidRPr="0067008C" w:rsidRDefault="00703EAC" w:rsidP="2BE14F77">
      <w:pPr>
        <w:pStyle w:val="ListParagraph"/>
        <w:numPr>
          <w:ilvl w:val="0"/>
          <w:numId w:val="29"/>
        </w:numPr>
        <w:suppressAutoHyphens w:val="0"/>
        <w:spacing w:after="120" w:line="240" w:lineRule="auto"/>
        <w:rPr>
          <w:rStyle w:val="normaltextrun"/>
          <w:rFonts w:eastAsia="Calibri" w:cs="Times New Roman"/>
        </w:rPr>
      </w:pPr>
      <w:r w:rsidRPr="0067008C">
        <w:rPr>
          <w:rStyle w:val="normaltextrun"/>
        </w:rPr>
        <w:t>Numbers reached with new or improved social protection programs, including remote communities</w:t>
      </w:r>
      <w:r w:rsidRPr="2BE14F77">
        <w:rPr>
          <w:rStyle w:val="normaltextrun"/>
          <w:rFonts w:ascii="Calibri Light" w:hAnsi="Calibri Light"/>
        </w:rPr>
        <w:t>.</w:t>
      </w:r>
    </w:p>
    <w:p w14:paraId="3584F18B" w14:textId="77777777" w:rsidR="001355FF" w:rsidRDefault="001355FF" w:rsidP="00415ABE">
      <w:pPr>
        <w:spacing w:line="240" w:lineRule="auto"/>
      </w:pPr>
    </w:p>
    <w:p w14:paraId="711EDC69" w14:textId="77777777" w:rsidR="001355FF" w:rsidRDefault="001355FF" w:rsidP="00415ABE">
      <w:pPr>
        <w:spacing w:line="240" w:lineRule="auto"/>
      </w:pPr>
    </w:p>
    <w:p w14:paraId="74B4C01D" w14:textId="77777777" w:rsidR="001355FF" w:rsidRDefault="001355FF" w:rsidP="00415ABE">
      <w:pPr>
        <w:spacing w:line="240" w:lineRule="auto"/>
      </w:pPr>
    </w:p>
    <w:p w14:paraId="54429E3C" w14:textId="77777777" w:rsidR="001355FF" w:rsidRDefault="001355FF" w:rsidP="00415ABE">
      <w:pPr>
        <w:spacing w:line="240" w:lineRule="auto"/>
      </w:pPr>
    </w:p>
    <w:p w14:paraId="6B2E6E26" w14:textId="77777777" w:rsidR="001355FF" w:rsidRDefault="001355FF" w:rsidP="00415ABE">
      <w:pPr>
        <w:spacing w:line="240" w:lineRule="auto"/>
      </w:pPr>
    </w:p>
    <w:p w14:paraId="22A7F852" w14:textId="078A3C13" w:rsidR="001355FF" w:rsidRDefault="001355FF" w:rsidP="00415ABE">
      <w:pPr>
        <w:spacing w:line="240" w:lineRule="auto"/>
        <w:sectPr w:rsidR="001355FF" w:rsidSect="00293B6D">
          <w:type w:val="continuous"/>
          <w:pgSz w:w="11906" w:h="16838" w:code="9"/>
          <w:pgMar w:top="1559" w:right="680" w:bottom="1418" w:left="680" w:header="227" w:footer="567" w:gutter="0"/>
          <w:cols w:num="2" w:space="397"/>
          <w:titlePg/>
          <w:docGrid w:linePitch="360"/>
        </w:sectPr>
      </w:pPr>
    </w:p>
    <w:p w14:paraId="410B2534" w14:textId="3EE7AF7A" w:rsidR="00293B6D" w:rsidRPr="001B5798" w:rsidRDefault="00293B6D" w:rsidP="00415ABE">
      <w:pPr>
        <w:tabs>
          <w:tab w:val="left" w:pos="2260"/>
        </w:tabs>
        <w:sectPr w:rsidR="00293B6D" w:rsidRPr="001B5798" w:rsidSect="00293B6D">
          <w:type w:val="continuous"/>
          <w:pgSz w:w="11906" w:h="16838" w:code="9"/>
          <w:pgMar w:top="1559" w:right="680" w:bottom="1418" w:left="680" w:header="227" w:footer="567" w:gutter="0"/>
          <w:cols w:space="397"/>
          <w:titlePg/>
          <w:docGrid w:linePitch="360"/>
        </w:sectPr>
      </w:pPr>
    </w:p>
    <w:p w14:paraId="639F07A4" w14:textId="77777777" w:rsidR="00CF5843" w:rsidRPr="00CF5843" w:rsidRDefault="00CF5843" w:rsidP="00415ABE">
      <w:pPr>
        <w:spacing w:before="0" w:after="120" w:line="260" w:lineRule="exact"/>
      </w:pPr>
    </w:p>
    <w:sectPr w:rsidR="00CF5843" w:rsidRPr="00CF5843" w:rsidSect="00293B6D">
      <w:headerReference w:type="default" r:id="rId15"/>
      <w:headerReference w:type="first" r:id="rId16"/>
      <w:footerReference w:type="first" r:id="rId17"/>
      <w:type w:val="continuous"/>
      <w:pgSz w:w="11906" w:h="16838" w:code="9"/>
      <w:pgMar w:top="1559" w:right="680" w:bottom="1418" w:left="680" w:header="397" w:footer="624"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155AA" w14:textId="77777777" w:rsidR="00EB140C" w:rsidRDefault="00EB140C" w:rsidP="00D37B04">
      <w:r>
        <w:separator/>
      </w:r>
    </w:p>
  </w:endnote>
  <w:endnote w:type="continuationSeparator" w:id="0">
    <w:p w14:paraId="102673DF" w14:textId="77777777" w:rsidR="00EB140C" w:rsidRDefault="00EB140C" w:rsidP="00D3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5E7CE" w14:textId="2F66C268" w:rsidR="00FD36C8" w:rsidRPr="00C92805" w:rsidRDefault="00FD36C8">
    <w:pPr>
      <w:pStyle w:val="Footer"/>
      <w:rPr>
        <w:color w:val="495965" w:themeColor="text2"/>
      </w:rPr>
    </w:pPr>
    <w:r w:rsidRPr="00C92805">
      <w:rPr>
        <w:b/>
        <w:noProof/>
        <w:color w:val="495965" w:themeColor="text2"/>
        <w:lang w:val="en-AU" w:eastAsia="en-AU"/>
      </w:rPr>
      <w:drawing>
        <wp:anchor distT="0" distB="0" distL="114300" distR="114300" simplePos="0" relativeHeight="251666432" behindDoc="1" locked="0" layoutInCell="1" allowOverlap="1" wp14:anchorId="6F9D87FE" wp14:editId="09770D8B">
          <wp:simplePos x="0" y="0"/>
          <wp:positionH relativeFrom="page">
            <wp:posOffset>329565</wp:posOffset>
          </wp:positionH>
          <wp:positionV relativeFrom="page">
            <wp:posOffset>9852660</wp:posOffset>
          </wp:positionV>
          <wp:extent cx="6895033" cy="737812"/>
          <wp:effectExtent l="0" t="0" r="127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S-Aqua-Footer-PT.png"/>
                  <pic:cNvPicPr/>
                </pic:nvPicPr>
                <pic:blipFill>
                  <a:blip r:embed="rId1">
                    <a:extLst>
                      <a:ext uri="{28A0092B-C50C-407E-A947-70E740481C1C}">
                        <a14:useLocalDpi xmlns:a14="http://schemas.microsoft.com/office/drawing/2010/main" val="0"/>
                      </a:ext>
                    </a:extLst>
                  </a:blip>
                  <a:stretch>
                    <a:fillRect/>
                  </a:stretch>
                </pic:blipFill>
                <pic:spPr>
                  <a:xfrm>
                    <a:off x="0" y="0"/>
                    <a:ext cx="6895033" cy="737812"/>
                  </a:xfrm>
                  <a:prstGeom prst="rect">
                    <a:avLst/>
                  </a:prstGeom>
                </pic:spPr>
              </pic:pic>
            </a:graphicData>
          </a:graphic>
          <wp14:sizeRelH relativeFrom="margin">
            <wp14:pctWidth>0</wp14:pctWidth>
          </wp14:sizeRelH>
          <wp14:sizeRelV relativeFrom="margin">
            <wp14:pctHeight>0</wp14:pctHeight>
          </wp14:sizeRelV>
        </wp:anchor>
      </w:drawing>
    </w:r>
    <w:r w:rsidR="00032291">
      <w:rPr>
        <w:b/>
        <w:bCs/>
        <w:noProof/>
        <w:color w:val="495965" w:themeColor="text2"/>
        <w:lang w:val="en-AU" w:eastAsia="en-AU"/>
      </w:rPr>
      <w:t>December</w:t>
    </w:r>
    <w:r w:rsidR="556FD270">
      <w:rPr>
        <w:b/>
        <w:bCs/>
        <w:noProof/>
        <w:color w:val="495965" w:themeColor="text2"/>
        <w:lang w:val="en-AU" w:eastAsia="en-AU"/>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48B59" w14:textId="7014DD21" w:rsidR="00FD36C8" w:rsidRDefault="00FD36C8" w:rsidP="00C35791">
    <w:pPr>
      <w:pStyle w:val="Footer"/>
      <w:rPr>
        <w:b/>
        <w:bCs/>
        <w:noProof/>
        <w:color w:val="495965" w:themeColor="text2"/>
        <w:lang w:val="en-AU" w:eastAsia="en-AU"/>
      </w:rPr>
    </w:pPr>
    <w:r w:rsidRPr="00C92805">
      <w:rPr>
        <w:b/>
        <w:noProof/>
        <w:color w:val="495965" w:themeColor="text2"/>
        <w:lang w:val="en-AU" w:eastAsia="en-AU"/>
      </w:rPr>
      <w:drawing>
        <wp:anchor distT="0" distB="0" distL="114300" distR="114300" simplePos="0" relativeHeight="251664384" behindDoc="1" locked="0" layoutInCell="1" allowOverlap="1" wp14:anchorId="2C1117AB" wp14:editId="26C5C71A">
          <wp:simplePos x="0" y="0"/>
          <wp:positionH relativeFrom="page">
            <wp:align>center</wp:align>
          </wp:positionH>
          <wp:positionV relativeFrom="page">
            <wp:posOffset>9858401</wp:posOffset>
          </wp:positionV>
          <wp:extent cx="6934835" cy="742071"/>
          <wp:effectExtent l="0" t="0" r="0"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S-Aqua-Footer-PT.png"/>
                  <pic:cNvPicPr/>
                </pic:nvPicPr>
                <pic:blipFill>
                  <a:blip r:embed="rId1">
                    <a:extLst>
                      <a:ext uri="{28A0092B-C50C-407E-A947-70E740481C1C}">
                        <a14:useLocalDpi xmlns:a14="http://schemas.microsoft.com/office/drawing/2010/main" val="0"/>
                      </a:ext>
                    </a:extLst>
                  </a:blip>
                  <a:stretch>
                    <a:fillRect/>
                  </a:stretch>
                </pic:blipFill>
                <pic:spPr>
                  <a:xfrm>
                    <a:off x="0" y="0"/>
                    <a:ext cx="6934835" cy="742071"/>
                  </a:xfrm>
                  <a:prstGeom prst="rect">
                    <a:avLst/>
                  </a:prstGeom>
                </pic:spPr>
              </pic:pic>
            </a:graphicData>
          </a:graphic>
          <wp14:sizeRelH relativeFrom="margin">
            <wp14:pctWidth>0</wp14:pctWidth>
          </wp14:sizeRelH>
          <wp14:sizeRelV relativeFrom="margin">
            <wp14:pctHeight>0</wp14:pctHeight>
          </wp14:sizeRelV>
        </wp:anchor>
      </w:drawing>
    </w:r>
    <w:r w:rsidR="00865758">
      <w:rPr>
        <w:b/>
        <w:bCs/>
        <w:noProof/>
        <w:color w:val="495965" w:themeColor="text2"/>
        <w:lang w:val="en-AU" w:eastAsia="en-AU"/>
      </w:rPr>
      <w:t xml:space="preserve">Published: </w:t>
    </w:r>
    <w:r w:rsidR="556FD270" w:rsidRPr="55B0FF15">
      <w:rPr>
        <w:b/>
        <w:bCs/>
        <w:noProof/>
        <w:color w:val="495965" w:themeColor="text2"/>
        <w:lang w:val="en-AU" w:eastAsia="en-AU"/>
      </w:rPr>
      <w:t>Ma</w:t>
    </w:r>
    <w:r w:rsidR="556FD270">
      <w:rPr>
        <w:b/>
        <w:bCs/>
        <w:noProof/>
        <w:color w:val="495965" w:themeColor="text2"/>
        <w:lang w:val="en-AU" w:eastAsia="en-AU"/>
      </w:rPr>
      <w:t>y</w:t>
    </w:r>
    <w:r w:rsidR="556FD270" w:rsidRPr="55B0FF15">
      <w:rPr>
        <w:b/>
        <w:bCs/>
        <w:noProof/>
        <w:color w:val="495965" w:themeColor="text2"/>
        <w:lang w:val="en-AU" w:eastAsia="en-AU"/>
      </w:rPr>
      <w:t xml:space="preserve"> 2021</w:t>
    </w:r>
  </w:p>
  <w:p w14:paraId="6B742DB4" w14:textId="028BD72F" w:rsidR="00865758" w:rsidRPr="00C92805" w:rsidRDefault="00865758" w:rsidP="00C35791">
    <w:pPr>
      <w:pStyle w:val="Footer"/>
      <w:rPr>
        <w:b/>
        <w:color w:val="495965" w:themeColor="text2"/>
      </w:rPr>
    </w:pPr>
    <w:r>
      <w:rPr>
        <w:b/>
        <w:bCs/>
        <w:noProof/>
        <w:color w:val="495965" w:themeColor="text2"/>
        <w:lang w:val="en-AU" w:eastAsia="en-AU"/>
      </w:rPr>
      <w:t>Revised: December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00B9" w14:textId="22E603E4" w:rsidR="000842A1" w:rsidRPr="00C92805" w:rsidRDefault="000842A1" w:rsidP="00C35791">
    <w:pPr>
      <w:pStyle w:val="Footer"/>
      <w:rPr>
        <w:b/>
        <w:color w:val="495965"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CAB23" w14:textId="77777777" w:rsidR="00EB140C" w:rsidRPr="008C5A0E" w:rsidRDefault="00EB140C" w:rsidP="00D37B04">
      <w:pPr>
        <w:pStyle w:val="Footer"/>
      </w:pPr>
    </w:p>
  </w:footnote>
  <w:footnote w:type="continuationSeparator" w:id="0">
    <w:p w14:paraId="3A489D1C" w14:textId="77777777" w:rsidR="00EB140C" w:rsidRDefault="00EB140C" w:rsidP="00D3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EBCCE" w14:textId="11D67B8D" w:rsidR="00FD36C8" w:rsidRPr="00E055AB" w:rsidRDefault="00FD36C8" w:rsidP="2BE14F77">
    <w:pPr>
      <w:pStyle w:val="Header"/>
      <w:ind w:left="0"/>
      <w:rPr>
        <w:caps w:val="0"/>
      </w:rPr>
    </w:pPr>
    <w:r w:rsidRPr="00A12B40">
      <w:rPr>
        <w:i/>
        <w:noProof/>
        <w:lang w:val="en-AU" w:eastAsia="en-AU"/>
      </w:rPr>
      <w:drawing>
        <wp:anchor distT="0" distB="0" distL="114300" distR="114300" simplePos="0" relativeHeight="251668480" behindDoc="1" locked="0" layoutInCell="1" allowOverlap="1" wp14:anchorId="1D972456" wp14:editId="4A59BC67">
          <wp:simplePos x="0" y="0"/>
          <wp:positionH relativeFrom="page">
            <wp:posOffset>316040</wp:posOffset>
          </wp:positionH>
          <wp:positionV relativeFrom="page">
            <wp:posOffset>94615</wp:posOffset>
          </wp:positionV>
          <wp:extent cx="6922959" cy="73265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Aqua-Header-PT.png"/>
                  <pic:cNvPicPr/>
                </pic:nvPicPr>
                <pic:blipFill>
                  <a:blip r:embed="rId1">
                    <a:extLst>
                      <a:ext uri="{28A0092B-C50C-407E-A947-70E740481C1C}">
                        <a14:useLocalDpi xmlns:a14="http://schemas.microsoft.com/office/drawing/2010/main" val="0"/>
                      </a:ext>
                    </a:extLst>
                  </a:blip>
                  <a:stretch>
                    <a:fillRect/>
                  </a:stretch>
                </pic:blipFill>
                <pic:spPr>
                  <a:xfrm>
                    <a:off x="0" y="0"/>
                    <a:ext cx="6922959" cy="732655"/>
                  </a:xfrm>
                  <a:prstGeom prst="rect">
                    <a:avLst/>
                  </a:prstGeom>
                </pic:spPr>
              </pic:pic>
            </a:graphicData>
          </a:graphic>
          <wp14:sizeRelH relativeFrom="margin">
            <wp14:pctWidth>0</wp14:pctWidth>
          </wp14:sizeRelH>
          <wp14:sizeRelV relativeFrom="margin">
            <wp14:pctHeight>0</wp14:pctHeight>
          </wp14:sizeRelV>
        </wp:anchor>
      </w:drawing>
    </w:r>
    <w:r w:rsidR="556FD270" w:rsidRPr="718B3F8B">
      <w:rPr>
        <w:noProof/>
        <w:lang w:val="en-AU" w:eastAsia="en-AU"/>
      </w:rPr>
      <w:t xml:space="preserve"> PACFIC COVID-19 RESPONSE PACKAGE:</w:t>
    </w:r>
    <w:r w:rsidR="556FD270" w:rsidRPr="556FD270">
      <w:rPr>
        <w:caps w:val="0"/>
      </w:rPr>
      <w:t xml:space="preserve"> PAPUA NEW GUINEA ANNEX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6272E" w14:textId="143CDD69" w:rsidR="00FD36C8" w:rsidRDefault="556FD270" w:rsidP="000842A1">
    <w:pPr>
      <w:pStyle w:val="Header"/>
      <w:ind w:left="0"/>
    </w:pPr>
    <w:r w:rsidRPr="718B3F8B">
      <w:rPr>
        <w:noProof/>
        <w:lang w:val="en-AU" w:eastAsia="en-AU"/>
      </w:rPr>
      <w:t>PACIFIC</w:t>
    </w:r>
    <w:r w:rsidRPr="556FD270">
      <w:rPr>
        <w:i/>
        <w:iCs/>
        <w:noProof/>
        <w:lang w:val="en-AU" w:eastAsia="en-AU"/>
      </w:rPr>
      <w:t xml:space="preserve"> </w:t>
    </w:r>
    <w:r w:rsidR="00FD36C8" w:rsidRPr="00A12B40">
      <w:rPr>
        <w:i/>
        <w:noProof/>
        <w:lang w:val="en-AU" w:eastAsia="en-AU"/>
      </w:rPr>
      <w:drawing>
        <wp:anchor distT="0" distB="0" distL="114300" distR="114300" simplePos="0" relativeHeight="251670528" behindDoc="1" locked="0" layoutInCell="1" allowOverlap="1" wp14:anchorId="374F411F" wp14:editId="768221DE">
          <wp:simplePos x="0" y="0"/>
          <wp:positionH relativeFrom="margin">
            <wp:align>right</wp:align>
          </wp:positionH>
          <wp:positionV relativeFrom="page">
            <wp:posOffset>95250</wp:posOffset>
          </wp:positionV>
          <wp:extent cx="6922959" cy="73265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Aqua-Header-PT.png"/>
                  <pic:cNvPicPr/>
                </pic:nvPicPr>
                <pic:blipFill>
                  <a:blip r:embed="rId1">
                    <a:extLst>
                      <a:ext uri="{28A0092B-C50C-407E-A947-70E740481C1C}">
                        <a14:useLocalDpi xmlns:a14="http://schemas.microsoft.com/office/drawing/2010/main" val="0"/>
                      </a:ext>
                    </a:extLst>
                  </a:blip>
                  <a:stretch>
                    <a:fillRect/>
                  </a:stretch>
                </pic:blipFill>
                <pic:spPr>
                  <a:xfrm>
                    <a:off x="0" y="0"/>
                    <a:ext cx="6922959" cy="732655"/>
                  </a:xfrm>
                  <a:prstGeom prst="rect">
                    <a:avLst/>
                  </a:prstGeom>
                </pic:spPr>
              </pic:pic>
            </a:graphicData>
          </a:graphic>
          <wp14:sizeRelH relativeFrom="margin">
            <wp14:pctWidth>0</wp14:pctWidth>
          </wp14:sizeRelH>
          <wp14:sizeRelV relativeFrom="margin">
            <wp14:pctHeight>0</wp14:pctHeight>
          </wp14:sizeRelV>
        </wp:anchor>
      </w:drawing>
    </w:r>
    <w:bookmarkStart w:id="0" w:name="_Hlk66798988"/>
    <w:r w:rsidRPr="718B3F8B">
      <w:rPr>
        <w:noProof/>
        <w:lang w:val="en-AU" w:eastAsia="en-AU"/>
      </w:rPr>
      <w:t>COVID-19 RESPONSE PACKAGE:</w:t>
    </w:r>
    <w:r w:rsidRPr="556FD270">
      <w:rPr>
        <w:caps w:val="0"/>
      </w:rPr>
      <w:t xml:space="preserve"> </w:t>
    </w:r>
    <w:bookmarkEnd w:id="0"/>
    <w:r w:rsidRPr="718B3F8B">
      <w:rPr>
        <w:noProof/>
        <w:lang w:val="en-AU" w:eastAsia="en-AU"/>
      </w:rPr>
      <w:t>PAPUA NEW GUINEA ANNEX</w:t>
    </w:r>
    <w:r w:rsidR="00FD36C8" w:rsidRPr="00020BAD">
      <w:ptab w:relativeTo="margin" w:alignment="center" w:leader="none"/>
    </w:r>
  </w:p>
  <w:p w14:paraId="6FB9F2B0" w14:textId="77777777" w:rsidR="001B5798" w:rsidRDefault="001B5798" w:rsidP="000842A1">
    <w:pPr>
      <w:pStyle w:val="Header"/>
      <w:ind w:left="0"/>
    </w:pPr>
  </w:p>
  <w:p w14:paraId="4BA0481E" w14:textId="77777777" w:rsidR="001B5798" w:rsidRDefault="001B5798" w:rsidP="000842A1">
    <w:pPr>
      <w:pStyle w:val="Header"/>
      <w:ind w:left="0"/>
    </w:pPr>
  </w:p>
  <w:p w14:paraId="5EFB7C3D" w14:textId="77777777" w:rsidR="001B5798" w:rsidRDefault="556FD270" w:rsidP="000842A1">
    <w:pPr>
      <w:pStyle w:val="Header"/>
      <w:ind w:left="0"/>
    </w:pPr>
    <w:r>
      <w:rPr>
        <w:noProof/>
        <w:lang w:val="en-AU" w:eastAsia="en-AU"/>
      </w:rPr>
      <w:drawing>
        <wp:inline distT="0" distB="0" distL="0" distR="0" wp14:anchorId="795A3928" wp14:editId="6A6154E3">
          <wp:extent cx="3166920" cy="554400"/>
          <wp:effectExtent l="0" t="0" r="0" b="0"/>
          <wp:docPr id="5" name="Picture 5" descr="Department of Foreign Affairs and Trade" title="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3166920" cy="554400"/>
                  </a:xfrm>
                  <a:prstGeom prst="rect">
                    <a:avLst/>
                  </a:prstGeom>
                </pic:spPr>
              </pic:pic>
            </a:graphicData>
          </a:graphic>
        </wp:inline>
      </w:drawing>
    </w:r>
  </w:p>
  <w:p w14:paraId="70DA2C17" w14:textId="77777777" w:rsidR="00653119" w:rsidRDefault="00653119" w:rsidP="000842A1">
    <w:pPr>
      <w:pStyle w:val="Header"/>
      <w:ind w:left="0"/>
    </w:pPr>
  </w:p>
  <w:p w14:paraId="7CDA58D3" w14:textId="77777777" w:rsidR="00653119" w:rsidRDefault="00653119" w:rsidP="000842A1">
    <w:pPr>
      <w:pStyle w:val="Header"/>
      <w:ind w:left="0"/>
    </w:pPr>
  </w:p>
  <w:p w14:paraId="5F8E9B33" w14:textId="77777777" w:rsidR="00653119" w:rsidRDefault="00653119" w:rsidP="000842A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CB02B" w14:textId="77777777" w:rsidR="00FD36C8" w:rsidRPr="00E055AB" w:rsidRDefault="00FD36C8" w:rsidP="001C1F11">
    <w:pPr>
      <w:pStyle w:val="Header"/>
      <w:ind w:left="142"/>
      <w:rPr>
        <w:cap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E963" w14:textId="73F765AC" w:rsidR="00FD6387" w:rsidRPr="00943730" w:rsidRDefault="00FD6387" w:rsidP="000842A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5BAB"/>
    <w:multiLevelType w:val="hybridMultilevel"/>
    <w:tmpl w:val="83ACDFB6"/>
    <w:lvl w:ilvl="0" w:tplc="0C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2C58B1"/>
    <w:multiLevelType w:val="multilevel"/>
    <w:tmpl w:val="760C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4" w15:restartNumberingAfterBreak="0">
    <w:nsid w:val="1C325AEE"/>
    <w:multiLevelType w:val="hybridMultilevel"/>
    <w:tmpl w:val="706C5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934B7B"/>
    <w:multiLevelType w:val="multilevel"/>
    <w:tmpl w:val="4AB8EA9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354075"/>
    <w:multiLevelType w:val="hybridMultilevel"/>
    <w:tmpl w:val="15EA2F78"/>
    <w:lvl w:ilvl="0" w:tplc="4F70017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D0308CE"/>
    <w:multiLevelType w:val="hybridMultilevel"/>
    <w:tmpl w:val="12DCCE8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EE3646"/>
    <w:multiLevelType w:val="hybridMultilevel"/>
    <w:tmpl w:val="1414B410"/>
    <w:lvl w:ilvl="0" w:tplc="0C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F132CE"/>
    <w:multiLevelType w:val="multilevel"/>
    <w:tmpl w:val="3B7A10DE"/>
    <w:numStyleLink w:val="BulletsList"/>
  </w:abstractNum>
  <w:abstractNum w:abstractNumId="11" w15:restartNumberingAfterBreak="0">
    <w:nsid w:val="465273D6"/>
    <w:multiLevelType w:val="hybridMultilevel"/>
    <w:tmpl w:val="766A5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0F1FF9"/>
    <w:multiLevelType w:val="hybridMultilevel"/>
    <w:tmpl w:val="A52AB3F4"/>
    <w:lvl w:ilvl="0" w:tplc="4FD03980">
      <w:start w:val="1"/>
      <w:numFmt w:val="bullet"/>
      <w:lvlText w:val=""/>
      <w:lvlJc w:val="left"/>
      <w:pPr>
        <w:ind w:left="720" w:hanging="360"/>
      </w:pPr>
      <w:rPr>
        <w:rFonts w:ascii="Symbol" w:hAnsi="Symbol" w:hint="default"/>
      </w:rPr>
    </w:lvl>
    <w:lvl w:ilvl="1" w:tplc="44CEF4E4">
      <w:start w:val="1"/>
      <w:numFmt w:val="bullet"/>
      <w:lvlText w:val="o"/>
      <w:lvlJc w:val="left"/>
      <w:pPr>
        <w:ind w:left="1440" w:hanging="360"/>
      </w:pPr>
      <w:rPr>
        <w:rFonts w:ascii="Courier New" w:hAnsi="Courier New" w:hint="default"/>
      </w:rPr>
    </w:lvl>
    <w:lvl w:ilvl="2" w:tplc="779C3810">
      <w:start w:val="1"/>
      <w:numFmt w:val="bullet"/>
      <w:lvlText w:val=""/>
      <w:lvlJc w:val="left"/>
      <w:pPr>
        <w:ind w:left="2160" w:hanging="360"/>
      </w:pPr>
      <w:rPr>
        <w:rFonts w:ascii="Wingdings" w:hAnsi="Wingdings" w:hint="default"/>
      </w:rPr>
    </w:lvl>
    <w:lvl w:ilvl="3" w:tplc="3168ADD0">
      <w:start w:val="1"/>
      <w:numFmt w:val="bullet"/>
      <w:lvlText w:val=""/>
      <w:lvlJc w:val="left"/>
      <w:pPr>
        <w:ind w:left="2880" w:hanging="360"/>
      </w:pPr>
      <w:rPr>
        <w:rFonts w:ascii="Symbol" w:hAnsi="Symbol" w:hint="default"/>
      </w:rPr>
    </w:lvl>
    <w:lvl w:ilvl="4" w:tplc="8424F07C">
      <w:start w:val="1"/>
      <w:numFmt w:val="bullet"/>
      <w:lvlText w:val="o"/>
      <w:lvlJc w:val="left"/>
      <w:pPr>
        <w:ind w:left="3600" w:hanging="360"/>
      </w:pPr>
      <w:rPr>
        <w:rFonts w:ascii="Courier New" w:hAnsi="Courier New" w:hint="default"/>
      </w:rPr>
    </w:lvl>
    <w:lvl w:ilvl="5" w:tplc="5FDE5040">
      <w:start w:val="1"/>
      <w:numFmt w:val="bullet"/>
      <w:lvlText w:val=""/>
      <w:lvlJc w:val="left"/>
      <w:pPr>
        <w:ind w:left="4320" w:hanging="360"/>
      </w:pPr>
      <w:rPr>
        <w:rFonts w:ascii="Wingdings" w:hAnsi="Wingdings" w:hint="default"/>
      </w:rPr>
    </w:lvl>
    <w:lvl w:ilvl="6" w:tplc="1EA26D36">
      <w:start w:val="1"/>
      <w:numFmt w:val="bullet"/>
      <w:lvlText w:val=""/>
      <w:lvlJc w:val="left"/>
      <w:pPr>
        <w:ind w:left="5040" w:hanging="360"/>
      </w:pPr>
      <w:rPr>
        <w:rFonts w:ascii="Symbol" w:hAnsi="Symbol" w:hint="default"/>
      </w:rPr>
    </w:lvl>
    <w:lvl w:ilvl="7" w:tplc="3A5AFE4C">
      <w:start w:val="1"/>
      <w:numFmt w:val="bullet"/>
      <w:lvlText w:val="o"/>
      <w:lvlJc w:val="left"/>
      <w:pPr>
        <w:ind w:left="5760" w:hanging="360"/>
      </w:pPr>
      <w:rPr>
        <w:rFonts w:ascii="Courier New" w:hAnsi="Courier New" w:hint="default"/>
      </w:rPr>
    </w:lvl>
    <w:lvl w:ilvl="8" w:tplc="4C38775E">
      <w:start w:val="1"/>
      <w:numFmt w:val="bullet"/>
      <w:lvlText w:val=""/>
      <w:lvlJc w:val="left"/>
      <w:pPr>
        <w:ind w:left="6480" w:hanging="360"/>
      </w:pPr>
      <w:rPr>
        <w:rFonts w:ascii="Wingdings" w:hAnsi="Wingdings" w:hint="default"/>
      </w:rPr>
    </w:lvl>
  </w:abstractNum>
  <w:abstractNum w:abstractNumId="13" w15:restartNumberingAfterBreak="0">
    <w:nsid w:val="51352A7B"/>
    <w:multiLevelType w:val="hybridMultilevel"/>
    <w:tmpl w:val="F19EF908"/>
    <w:lvl w:ilvl="0" w:tplc="4F70017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E90B4D"/>
    <w:multiLevelType w:val="hybridMultilevel"/>
    <w:tmpl w:val="954CF9F8"/>
    <w:lvl w:ilvl="0" w:tplc="535EADF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AC23CB"/>
    <w:multiLevelType w:val="hybridMultilevel"/>
    <w:tmpl w:val="8FCABD6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5EA05F30"/>
    <w:multiLevelType w:val="hybridMultilevel"/>
    <w:tmpl w:val="F3A47D64"/>
    <w:lvl w:ilvl="0" w:tplc="0C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B9540A"/>
    <w:multiLevelType w:val="hybridMultilevel"/>
    <w:tmpl w:val="A43C35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93A1FD3"/>
    <w:multiLevelType w:val="hybridMultilevel"/>
    <w:tmpl w:val="28164870"/>
    <w:lvl w:ilvl="0" w:tplc="289C58D8">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3107305"/>
    <w:multiLevelType w:val="multilevel"/>
    <w:tmpl w:val="3B7A10DE"/>
    <w:styleLink w:val="BulletsList"/>
    <w:lvl w:ilvl="0">
      <w:start w:val="1"/>
      <w:numFmt w:val="bullet"/>
      <w:pStyle w:val="Bullet10"/>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7CD47C0"/>
    <w:multiLevelType w:val="multilevel"/>
    <w:tmpl w:val="CB02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7F9D791D"/>
    <w:multiLevelType w:val="multilevel"/>
    <w:tmpl w:val="4AB8EA9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21"/>
  </w:num>
  <w:num w:numId="3">
    <w:abstractNumId w:val="2"/>
  </w:num>
  <w:num w:numId="4">
    <w:abstractNumId w:val="7"/>
  </w:num>
  <w:num w:numId="5">
    <w:abstractNumId w:val="16"/>
  </w:num>
  <w:num w:numId="6">
    <w:abstractNumId w:val="17"/>
  </w:num>
  <w:num w:numId="7">
    <w:abstractNumId w:val="7"/>
  </w:num>
  <w:num w:numId="8">
    <w:abstractNumId w:val="2"/>
  </w:num>
  <w:num w:numId="9">
    <w:abstractNumId w:val="3"/>
  </w:num>
  <w:num w:numId="10">
    <w:abstractNumId w:val="23"/>
  </w:num>
  <w:num w:numId="11">
    <w:abstractNumId w:val="10"/>
  </w:num>
  <w:num w:numId="12">
    <w:abstractNumId w:val="24"/>
  </w:num>
  <w:num w:numId="13">
    <w:abstractNumId w:val="6"/>
  </w:num>
  <w:num w:numId="14">
    <w:abstractNumId w:val="20"/>
  </w:num>
  <w:num w:numId="15">
    <w:abstractNumId w:val="13"/>
  </w:num>
  <w:num w:numId="16">
    <w:abstractNumId w:val="5"/>
  </w:num>
  <w:num w:numId="17">
    <w:abstractNumId w:val="4"/>
  </w:num>
  <w:num w:numId="18">
    <w:abstractNumId w:val="11"/>
  </w:num>
  <w:num w:numId="19">
    <w:abstractNumId w:val="15"/>
  </w:num>
  <w:num w:numId="20">
    <w:abstractNumId w:val="0"/>
  </w:num>
  <w:num w:numId="21">
    <w:abstractNumId w:val="18"/>
  </w:num>
  <w:num w:numId="22">
    <w:abstractNumId w:val="19"/>
  </w:num>
  <w:num w:numId="23">
    <w:abstractNumId w:val="9"/>
  </w:num>
  <w:num w:numId="24">
    <w:abstractNumId w:val="14"/>
  </w:num>
  <w:num w:numId="25">
    <w:abstractNumId w:val="1"/>
  </w:num>
  <w:num w:numId="26">
    <w:abstractNumId w:val="22"/>
  </w:num>
  <w:num w:numId="27">
    <w:abstractNumId w:val="8"/>
  </w:num>
  <w:num w:numId="28">
    <w:abstractNumId w:val="8"/>
  </w:num>
  <w:num w:numId="2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58"/>
    <w:rsid w:val="00001DA8"/>
    <w:rsid w:val="000020C1"/>
    <w:rsid w:val="00005048"/>
    <w:rsid w:val="000061E8"/>
    <w:rsid w:val="00015AB7"/>
    <w:rsid w:val="0002080A"/>
    <w:rsid w:val="00020BAD"/>
    <w:rsid w:val="000261DD"/>
    <w:rsid w:val="0002782F"/>
    <w:rsid w:val="00027DE1"/>
    <w:rsid w:val="00031486"/>
    <w:rsid w:val="00031EC0"/>
    <w:rsid w:val="00032291"/>
    <w:rsid w:val="000348D9"/>
    <w:rsid w:val="00035BBF"/>
    <w:rsid w:val="000444F3"/>
    <w:rsid w:val="00050806"/>
    <w:rsid w:val="0005211C"/>
    <w:rsid w:val="000546D9"/>
    <w:rsid w:val="00054E4D"/>
    <w:rsid w:val="000563A3"/>
    <w:rsid w:val="00060073"/>
    <w:rsid w:val="000616C6"/>
    <w:rsid w:val="00073A07"/>
    <w:rsid w:val="000814D2"/>
    <w:rsid w:val="000842A1"/>
    <w:rsid w:val="000854FD"/>
    <w:rsid w:val="00085DAC"/>
    <w:rsid w:val="000A1DDA"/>
    <w:rsid w:val="000A2B82"/>
    <w:rsid w:val="000A407E"/>
    <w:rsid w:val="000B37F5"/>
    <w:rsid w:val="000B5DA7"/>
    <w:rsid w:val="000C027D"/>
    <w:rsid w:val="000C3A4C"/>
    <w:rsid w:val="000C7AE3"/>
    <w:rsid w:val="000D5000"/>
    <w:rsid w:val="000D66D6"/>
    <w:rsid w:val="000E0209"/>
    <w:rsid w:val="000E58BF"/>
    <w:rsid w:val="000E6C44"/>
    <w:rsid w:val="000F6DF8"/>
    <w:rsid w:val="00104534"/>
    <w:rsid w:val="00113288"/>
    <w:rsid w:val="001214BE"/>
    <w:rsid w:val="0012288C"/>
    <w:rsid w:val="0013101C"/>
    <w:rsid w:val="00132AAB"/>
    <w:rsid w:val="001355FF"/>
    <w:rsid w:val="0013699C"/>
    <w:rsid w:val="00142EA0"/>
    <w:rsid w:val="00143E56"/>
    <w:rsid w:val="001461D6"/>
    <w:rsid w:val="00146E07"/>
    <w:rsid w:val="001522DA"/>
    <w:rsid w:val="00152420"/>
    <w:rsid w:val="001541EA"/>
    <w:rsid w:val="0016420A"/>
    <w:rsid w:val="00166032"/>
    <w:rsid w:val="001775A3"/>
    <w:rsid w:val="0018405C"/>
    <w:rsid w:val="001841C8"/>
    <w:rsid w:val="001A51EE"/>
    <w:rsid w:val="001B098E"/>
    <w:rsid w:val="001B4047"/>
    <w:rsid w:val="001B5798"/>
    <w:rsid w:val="001C01C6"/>
    <w:rsid w:val="001C1F11"/>
    <w:rsid w:val="001D4E3A"/>
    <w:rsid w:val="001D663E"/>
    <w:rsid w:val="001E03BE"/>
    <w:rsid w:val="001E1DC0"/>
    <w:rsid w:val="001E563B"/>
    <w:rsid w:val="001E6D20"/>
    <w:rsid w:val="001F10DC"/>
    <w:rsid w:val="001F2784"/>
    <w:rsid w:val="00200486"/>
    <w:rsid w:val="00212D6C"/>
    <w:rsid w:val="002231BD"/>
    <w:rsid w:val="002310E0"/>
    <w:rsid w:val="00235CE9"/>
    <w:rsid w:val="00244229"/>
    <w:rsid w:val="00247365"/>
    <w:rsid w:val="002503B9"/>
    <w:rsid w:val="002565B7"/>
    <w:rsid w:val="00270158"/>
    <w:rsid w:val="002757CF"/>
    <w:rsid w:val="0028602A"/>
    <w:rsid w:val="00293B6D"/>
    <w:rsid w:val="002945C4"/>
    <w:rsid w:val="002964E6"/>
    <w:rsid w:val="00297258"/>
    <w:rsid w:val="002B3381"/>
    <w:rsid w:val="002B5E10"/>
    <w:rsid w:val="002C1765"/>
    <w:rsid w:val="002C6B25"/>
    <w:rsid w:val="002C793D"/>
    <w:rsid w:val="002D4108"/>
    <w:rsid w:val="002D430F"/>
    <w:rsid w:val="002D5B25"/>
    <w:rsid w:val="002E2AF4"/>
    <w:rsid w:val="002E38B2"/>
    <w:rsid w:val="002E3BEA"/>
    <w:rsid w:val="002F281D"/>
    <w:rsid w:val="002F4F2B"/>
    <w:rsid w:val="003002C0"/>
    <w:rsid w:val="00301144"/>
    <w:rsid w:val="00302E27"/>
    <w:rsid w:val="003031C6"/>
    <w:rsid w:val="00304984"/>
    <w:rsid w:val="00304D64"/>
    <w:rsid w:val="00312BF8"/>
    <w:rsid w:val="003148B7"/>
    <w:rsid w:val="003158C3"/>
    <w:rsid w:val="003274CD"/>
    <w:rsid w:val="00333501"/>
    <w:rsid w:val="00342D3F"/>
    <w:rsid w:val="003457C4"/>
    <w:rsid w:val="00347E07"/>
    <w:rsid w:val="0035119D"/>
    <w:rsid w:val="00372214"/>
    <w:rsid w:val="00374AEC"/>
    <w:rsid w:val="00376479"/>
    <w:rsid w:val="00382530"/>
    <w:rsid w:val="0038768C"/>
    <w:rsid w:val="0039215F"/>
    <w:rsid w:val="0039344A"/>
    <w:rsid w:val="003B4F12"/>
    <w:rsid w:val="003C45DE"/>
    <w:rsid w:val="003C6C4F"/>
    <w:rsid w:val="003C7D0E"/>
    <w:rsid w:val="003E644B"/>
    <w:rsid w:val="003E6E72"/>
    <w:rsid w:val="003E767A"/>
    <w:rsid w:val="003F2041"/>
    <w:rsid w:val="003F4769"/>
    <w:rsid w:val="00400D6B"/>
    <w:rsid w:val="00402ACC"/>
    <w:rsid w:val="00404602"/>
    <w:rsid w:val="004120EC"/>
    <w:rsid w:val="00412637"/>
    <w:rsid w:val="00415ABE"/>
    <w:rsid w:val="00416101"/>
    <w:rsid w:val="0042197E"/>
    <w:rsid w:val="00422129"/>
    <w:rsid w:val="00423F31"/>
    <w:rsid w:val="00431899"/>
    <w:rsid w:val="00434310"/>
    <w:rsid w:val="0044081B"/>
    <w:rsid w:val="00453B1A"/>
    <w:rsid w:val="00471F8D"/>
    <w:rsid w:val="004728DD"/>
    <w:rsid w:val="00473D07"/>
    <w:rsid w:val="00482AE8"/>
    <w:rsid w:val="00486539"/>
    <w:rsid w:val="00486804"/>
    <w:rsid w:val="004874E8"/>
    <w:rsid w:val="00487549"/>
    <w:rsid w:val="00494242"/>
    <w:rsid w:val="004969FB"/>
    <w:rsid w:val="004B3775"/>
    <w:rsid w:val="004B64F7"/>
    <w:rsid w:val="004B72E5"/>
    <w:rsid w:val="004C471F"/>
    <w:rsid w:val="004D0BA0"/>
    <w:rsid w:val="004E058F"/>
    <w:rsid w:val="004E3B87"/>
    <w:rsid w:val="004E549D"/>
    <w:rsid w:val="004E6A0F"/>
    <w:rsid w:val="0050546D"/>
    <w:rsid w:val="00510921"/>
    <w:rsid w:val="00510AD3"/>
    <w:rsid w:val="00513348"/>
    <w:rsid w:val="00513AD8"/>
    <w:rsid w:val="005204D2"/>
    <w:rsid w:val="00522396"/>
    <w:rsid w:val="0052757C"/>
    <w:rsid w:val="00533B5D"/>
    <w:rsid w:val="00534D96"/>
    <w:rsid w:val="00536BAB"/>
    <w:rsid w:val="005470CD"/>
    <w:rsid w:val="005500A1"/>
    <w:rsid w:val="00554803"/>
    <w:rsid w:val="00562BC2"/>
    <w:rsid w:val="00571BD8"/>
    <w:rsid w:val="00584158"/>
    <w:rsid w:val="00587776"/>
    <w:rsid w:val="005A0F70"/>
    <w:rsid w:val="005A20F6"/>
    <w:rsid w:val="005A2673"/>
    <w:rsid w:val="005B2B5F"/>
    <w:rsid w:val="005C0CD0"/>
    <w:rsid w:val="005C2973"/>
    <w:rsid w:val="005C355E"/>
    <w:rsid w:val="005C549C"/>
    <w:rsid w:val="005C79AC"/>
    <w:rsid w:val="005D3655"/>
    <w:rsid w:val="005E0058"/>
    <w:rsid w:val="005E4830"/>
    <w:rsid w:val="005E4EFA"/>
    <w:rsid w:val="005E5524"/>
    <w:rsid w:val="005F2F66"/>
    <w:rsid w:val="0062246A"/>
    <w:rsid w:val="00622B86"/>
    <w:rsid w:val="00623BA1"/>
    <w:rsid w:val="00625495"/>
    <w:rsid w:val="006279B8"/>
    <w:rsid w:val="00634462"/>
    <w:rsid w:val="006346BC"/>
    <w:rsid w:val="006348C0"/>
    <w:rsid w:val="006378FE"/>
    <w:rsid w:val="006431D2"/>
    <w:rsid w:val="00650F80"/>
    <w:rsid w:val="00653119"/>
    <w:rsid w:val="00656AC6"/>
    <w:rsid w:val="0065714A"/>
    <w:rsid w:val="00664D21"/>
    <w:rsid w:val="00664FBA"/>
    <w:rsid w:val="0066652A"/>
    <w:rsid w:val="0067008C"/>
    <w:rsid w:val="006719C3"/>
    <w:rsid w:val="006745FC"/>
    <w:rsid w:val="00680522"/>
    <w:rsid w:val="00682167"/>
    <w:rsid w:val="00684252"/>
    <w:rsid w:val="006854E6"/>
    <w:rsid w:val="00685527"/>
    <w:rsid w:val="006922F6"/>
    <w:rsid w:val="006946C3"/>
    <w:rsid w:val="006A2C0A"/>
    <w:rsid w:val="006A6F52"/>
    <w:rsid w:val="006B2A70"/>
    <w:rsid w:val="006B6F6D"/>
    <w:rsid w:val="006C0B06"/>
    <w:rsid w:val="006C3BBD"/>
    <w:rsid w:val="006C4099"/>
    <w:rsid w:val="006C42AF"/>
    <w:rsid w:val="006D5A56"/>
    <w:rsid w:val="006D6A66"/>
    <w:rsid w:val="006E4323"/>
    <w:rsid w:val="006E45DF"/>
    <w:rsid w:val="006E5348"/>
    <w:rsid w:val="006E7798"/>
    <w:rsid w:val="006F6BA7"/>
    <w:rsid w:val="0070365D"/>
    <w:rsid w:val="00703EAC"/>
    <w:rsid w:val="0070506F"/>
    <w:rsid w:val="00706700"/>
    <w:rsid w:val="007075DF"/>
    <w:rsid w:val="00711D8E"/>
    <w:rsid w:val="00712672"/>
    <w:rsid w:val="007219F2"/>
    <w:rsid w:val="00734E3F"/>
    <w:rsid w:val="00736985"/>
    <w:rsid w:val="0074066C"/>
    <w:rsid w:val="00745DF5"/>
    <w:rsid w:val="00751525"/>
    <w:rsid w:val="00755D6C"/>
    <w:rsid w:val="00760928"/>
    <w:rsid w:val="00761EA4"/>
    <w:rsid w:val="00762169"/>
    <w:rsid w:val="0076250F"/>
    <w:rsid w:val="00780C11"/>
    <w:rsid w:val="00780CE8"/>
    <w:rsid w:val="00780FA5"/>
    <w:rsid w:val="00783BDD"/>
    <w:rsid w:val="007A003C"/>
    <w:rsid w:val="007B4DCE"/>
    <w:rsid w:val="007B6200"/>
    <w:rsid w:val="007C52C1"/>
    <w:rsid w:val="007C735B"/>
    <w:rsid w:val="007E556D"/>
    <w:rsid w:val="007F3395"/>
    <w:rsid w:val="007F5C0B"/>
    <w:rsid w:val="007F646C"/>
    <w:rsid w:val="00801B9F"/>
    <w:rsid w:val="0080204D"/>
    <w:rsid w:val="00814E46"/>
    <w:rsid w:val="0082053C"/>
    <w:rsid w:val="008218DB"/>
    <w:rsid w:val="0084034A"/>
    <w:rsid w:val="0084191E"/>
    <w:rsid w:val="00847216"/>
    <w:rsid w:val="008475F0"/>
    <w:rsid w:val="00852C32"/>
    <w:rsid w:val="008553B5"/>
    <w:rsid w:val="008557A7"/>
    <w:rsid w:val="00857312"/>
    <w:rsid w:val="0086020C"/>
    <w:rsid w:val="00865758"/>
    <w:rsid w:val="00870928"/>
    <w:rsid w:val="0088131F"/>
    <w:rsid w:val="00886074"/>
    <w:rsid w:val="00887404"/>
    <w:rsid w:val="0089405C"/>
    <w:rsid w:val="00897FA2"/>
    <w:rsid w:val="008A045E"/>
    <w:rsid w:val="008A2AAE"/>
    <w:rsid w:val="008A5AFE"/>
    <w:rsid w:val="008A7B6F"/>
    <w:rsid w:val="008B110D"/>
    <w:rsid w:val="008B67AE"/>
    <w:rsid w:val="008C56D4"/>
    <w:rsid w:val="008C5A0E"/>
    <w:rsid w:val="008C708C"/>
    <w:rsid w:val="008D313A"/>
    <w:rsid w:val="008D371C"/>
    <w:rsid w:val="008E2B1D"/>
    <w:rsid w:val="008F2B4B"/>
    <w:rsid w:val="008F3CBE"/>
    <w:rsid w:val="008F6625"/>
    <w:rsid w:val="00900B4A"/>
    <w:rsid w:val="00902BC5"/>
    <w:rsid w:val="00925070"/>
    <w:rsid w:val="009327EF"/>
    <w:rsid w:val="00942E19"/>
    <w:rsid w:val="00942F84"/>
    <w:rsid w:val="00943730"/>
    <w:rsid w:val="00950D65"/>
    <w:rsid w:val="00954FA1"/>
    <w:rsid w:val="00962F55"/>
    <w:rsid w:val="00975CA5"/>
    <w:rsid w:val="009774B4"/>
    <w:rsid w:val="0098421E"/>
    <w:rsid w:val="0098438D"/>
    <w:rsid w:val="00986590"/>
    <w:rsid w:val="00992C76"/>
    <w:rsid w:val="009969D6"/>
    <w:rsid w:val="009A4F62"/>
    <w:rsid w:val="009B11E5"/>
    <w:rsid w:val="009B4D3B"/>
    <w:rsid w:val="009C73D3"/>
    <w:rsid w:val="009D0180"/>
    <w:rsid w:val="009D3438"/>
    <w:rsid w:val="009D7407"/>
    <w:rsid w:val="009E0866"/>
    <w:rsid w:val="009E1242"/>
    <w:rsid w:val="009E21E9"/>
    <w:rsid w:val="009E273C"/>
    <w:rsid w:val="009F063F"/>
    <w:rsid w:val="009F1350"/>
    <w:rsid w:val="009F2FC5"/>
    <w:rsid w:val="009F6423"/>
    <w:rsid w:val="00A11FEC"/>
    <w:rsid w:val="00A12B40"/>
    <w:rsid w:val="00A2278E"/>
    <w:rsid w:val="00A24A62"/>
    <w:rsid w:val="00A31C9F"/>
    <w:rsid w:val="00A4144F"/>
    <w:rsid w:val="00A414EF"/>
    <w:rsid w:val="00A528BD"/>
    <w:rsid w:val="00A61B4D"/>
    <w:rsid w:val="00A6470F"/>
    <w:rsid w:val="00A711F3"/>
    <w:rsid w:val="00A77AB9"/>
    <w:rsid w:val="00A80305"/>
    <w:rsid w:val="00A80F95"/>
    <w:rsid w:val="00A864DA"/>
    <w:rsid w:val="00A868CB"/>
    <w:rsid w:val="00A97244"/>
    <w:rsid w:val="00A97BF1"/>
    <w:rsid w:val="00AA298A"/>
    <w:rsid w:val="00AA530F"/>
    <w:rsid w:val="00AB465A"/>
    <w:rsid w:val="00AC164A"/>
    <w:rsid w:val="00AC3944"/>
    <w:rsid w:val="00AD7761"/>
    <w:rsid w:val="00AE2FAA"/>
    <w:rsid w:val="00AE448A"/>
    <w:rsid w:val="00AE74DA"/>
    <w:rsid w:val="00AF2050"/>
    <w:rsid w:val="00AF5E72"/>
    <w:rsid w:val="00AF630E"/>
    <w:rsid w:val="00B00BF4"/>
    <w:rsid w:val="00B02B2A"/>
    <w:rsid w:val="00B03CA8"/>
    <w:rsid w:val="00B04143"/>
    <w:rsid w:val="00B05B87"/>
    <w:rsid w:val="00B16EF6"/>
    <w:rsid w:val="00B17E1C"/>
    <w:rsid w:val="00B22F0E"/>
    <w:rsid w:val="00B249EC"/>
    <w:rsid w:val="00B266E9"/>
    <w:rsid w:val="00B31758"/>
    <w:rsid w:val="00B33C0A"/>
    <w:rsid w:val="00B352BC"/>
    <w:rsid w:val="00B35D31"/>
    <w:rsid w:val="00B369E5"/>
    <w:rsid w:val="00B401AF"/>
    <w:rsid w:val="00B41791"/>
    <w:rsid w:val="00B470EA"/>
    <w:rsid w:val="00B51C2F"/>
    <w:rsid w:val="00B524EA"/>
    <w:rsid w:val="00B54A8E"/>
    <w:rsid w:val="00B55E19"/>
    <w:rsid w:val="00B56E71"/>
    <w:rsid w:val="00B579A6"/>
    <w:rsid w:val="00B71AD8"/>
    <w:rsid w:val="00B84B3C"/>
    <w:rsid w:val="00B857E1"/>
    <w:rsid w:val="00B8599B"/>
    <w:rsid w:val="00B94758"/>
    <w:rsid w:val="00BA450D"/>
    <w:rsid w:val="00BA4B6D"/>
    <w:rsid w:val="00BA5D15"/>
    <w:rsid w:val="00BB26C5"/>
    <w:rsid w:val="00BC1FED"/>
    <w:rsid w:val="00BD0A2F"/>
    <w:rsid w:val="00BD21B4"/>
    <w:rsid w:val="00BD5ACC"/>
    <w:rsid w:val="00BE00B5"/>
    <w:rsid w:val="00BF0E75"/>
    <w:rsid w:val="00BF4DE6"/>
    <w:rsid w:val="00C023C0"/>
    <w:rsid w:val="00C06B13"/>
    <w:rsid w:val="00C07BF5"/>
    <w:rsid w:val="00C216BA"/>
    <w:rsid w:val="00C23209"/>
    <w:rsid w:val="00C27D25"/>
    <w:rsid w:val="00C35791"/>
    <w:rsid w:val="00C42541"/>
    <w:rsid w:val="00C42CDE"/>
    <w:rsid w:val="00C4307F"/>
    <w:rsid w:val="00C43A09"/>
    <w:rsid w:val="00C44A2F"/>
    <w:rsid w:val="00C4651B"/>
    <w:rsid w:val="00C5182A"/>
    <w:rsid w:val="00C52463"/>
    <w:rsid w:val="00C63EE9"/>
    <w:rsid w:val="00C711E9"/>
    <w:rsid w:val="00C738D7"/>
    <w:rsid w:val="00C73C1C"/>
    <w:rsid w:val="00C81767"/>
    <w:rsid w:val="00C87B9B"/>
    <w:rsid w:val="00C92805"/>
    <w:rsid w:val="00CA16F3"/>
    <w:rsid w:val="00CA37B1"/>
    <w:rsid w:val="00CB1488"/>
    <w:rsid w:val="00CB1959"/>
    <w:rsid w:val="00CC1690"/>
    <w:rsid w:val="00CC1C16"/>
    <w:rsid w:val="00CC1D45"/>
    <w:rsid w:val="00CC216F"/>
    <w:rsid w:val="00CC741B"/>
    <w:rsid w:val="00CC766F"/>
    <w:rsid w:val="00CD0E4B"/>
    <w:rsid w:val="00CD3F5D"/>
    <w:rsid w:val="00CE0518"/>
    <w:rsid w:val="00CE4C89"/>
    <w:rsid w:val="00CE7D8E"/>
    <w:rsid w:val="00CF07BA"/>
    <w:rsid w:val="00CF5843"/>
    <w:rsid w:val="00D0296C"/>
    <w:rsid w:val="00D17F89"/>
    <w:rsid w:val="00D257E3"/>
    <w:rsid w:val="00D2641E"/>
    <w:rsid w:val="00D32126"/>
    <w:rsid w:val="00D32D6F"/>
    <w:rsid w:val="00D37B04"/>
    <w:rsid w:val="00D41FBC"/>
    <w:rsid w:val="00D540C6"/>
    <w:rsid w:val="00D558BE"/>
    <w:rsid w:val="00D62DB2"/>
    <w:rsid w:val="00D64BD1"/>
    <w:rsid w:val="00D64CFD"/>
    <w:rsid w:val="00D72B7B"/>
    <w:rsid w:val="00D73A4D"/>
    <w:rsid w:val="00D7708E"/>
    <w:rsid w:val="00D805DF"/>
    <w:rsid w:val="00D85CC8"/>
    <w:rsid w:val="00D85F0B"/>
    <w:rsid w:val="00D92254"/>
    <w:rsid w:val="00DA1B52"/>
    <w:rsid w:val="00DA3CDD"/>
    <w:rsid w:val="00DE084C"/>
    <w:rsid w:val="00DE2398"/>
    <w:rsid w:val="00DF68CF"/>
    <w:rsid w:val="00E016A8"/>
    <w:rsid w:val="00E055AB"/>
    <w:rsid w:val="00E14F51"/>
    <w:rsid w:val="00E23490"/>
    <w:rsid w:val="00E2355A"/>
    <w:rsid w:val="00E357B7"/>
    <w:rsid w:val="00E411F2"/>
    <w:rsid w:val="00E41A3B"/>
    <w:rsid w:val="00E42E50"/>
    <w:rsid w:val="00E43676"/>
    <w:rsid w:val="00E44C17"/>
    <w:rsid w:val="00E4584F"/>
    <w:rsid w:val="00E52741"/>
    <w:rsid w:val="00E53800"/>
    <w:rsid w:val="00E6081F"/>
    <w:rsid w:val="00E62C2D"/>
    <w:rsid w:val="00E661C5"/>
    <w:rsid w:val="00E70C37"/>
    <w:rsid w:val="00E8296D"/>
    <w:rsid w:val="00E8457B"/>
    <w:rsid w:val="00E944AA"/>
    <w:rsid w:val="00EA04B2"/>
    <w:rsid w:val="00EA20F3"/>
    <w:rsid w:val="00EA36D9"/>
    <w:rsid w:val="00EA4217"/>
    <w:rsid w:val="00EB140C"/>
    <w:rsid w:val="00EC41B1"/>
    <w:rsid w:val="00EC6D38"/>
    <w:rsid w:val="00ED22B0"/>
    <w:rsid w:val="00ED2831"/>
    <w:rsid w:val="00ED3B2D"/>
    <w:rsid w:val="00ED43D1"/>
    <w:rsid w:val="00ED7EC4"/>
    <w:rsid w:val="00EE4EE1"/>
    <w:rsid w:val="00EE7273"/>
    <w:rsid w:val="00EF4574"/>
    <w:rsid w:val="00F012D1"/>
    <w:rsid w:val="00F01921"/>
    <w:rsid w:val="00F02307"/>
    <w:rsid w:val="00F11F63"/>
    <w:rsid w:val="00F14A46"/>
    <w:rsid w:val="00F25A93"/>
    <w:rsid w:val="00F2684E"/>
    <w:rsid w:val="00F27235"/>
    <w:rsid w:val="00F33839"/>
    <w:rsid w:val="00F45486"/>
    <w:rsid w:val="00F4769D"/>
    <w:rsid w:val="00F5404C"/>
    <w:rsid w:val="00F55791"/>
    <w:rsid w:val="00F67C6A"/>
    <w:rsid w:val="00F725A8"/>
    <w:rsid w:val="00F729EF"/>
    <w:rsid w:val="00F75D54"/>
    <w:rsid w:val="00F77CAE"/>
    <w:rsid w:val="00F82271"/>
    <w:rsid w:val="00F83428"/>
    <w:rsid w:val="00F85666"/>
    <w:rsid w:val="00F874F3"/>
    <w:rsid w:val="00F96BB9"/>
    <w:rsid w:val="00FA54AC"/>
    <w:rsid w:val="00FA5EFD"/>
    <w:rsid w:val="00FA683E"/>
    <w:rsid w:val="00FB4AA3"/>
    <w:rsid w:val="00FC4316"/>
    <w:rsid w:val="00FC6EDF"/>
    <w:rsid w:val="00FD1850"/>
    <w:rsid w:val="00FD36C8"/>
    <w:rsid w:val="00FD6387"/>
    <w:rsid w:val="00FD7DFE"/>
    <w:rsid w:val="00FE6D51"/>
    <w:rsid w:val="00FE6F2A"/>
    <w:rsid w:val="01C2E77D"/>
    <w:rsid w:val="030CF290"/>
    <w:rsid w:val="05F8439E"/>
    <w:rsid w:val="060CCF3F"/>
    <w:rsid w:val="08971C0E"/>
    <w:rsid w:val="091C5A01"/>
    <w:rsid w:val="0B705631"/>
    <w:rsid w:val="0B903B56"/>
    <w:rsid w:val="0C89CEB0"/>
    <w:rsid w:val="0D5B4815"/>
    <w:rsid w:val="0F0BA417"/>
    <w:rsid w:val="0F82F065"/>
    <w:rsid w:val="11603E2E"/>
    <w:rsid w:val="125CDD81"/>
    <w:rsid w:val="16B69C23"/>
    <w:rsid w:val="189AC249"/>
    <w:rsid w:val="194ABBDA"/>
    <w:rsid w:val="1AD8F03F"/>
    <w:rsid w:val="1C21976F"/>
    <w:rsid w:val="1C3734D4"/>
    <w:rsid w:val="20EC2CDE"/>
    <w:rsid w:val="21128374"/>
    <w:rsid w:val="222BB4A5"/>
    <w:rsid w:val="288266AC"/>
    <w:rsid w:val="2BDD5440"/>
    <w:rsid w:val="2BE14F77"/>
    <w:rsid w:val="2C6BFA33"/>
    <w:rsid w:val="2DF1F416"/>
    <w:rsid w:val="34926921"/>
    <w:rsid w:val="37E1BDAD"/>
    <w:rsid w:val="3B4CC91F"/>
    <w:rsid w:val="3D6E8B4F"/>
    <w:rsid w:val="3FB60086"/>
    <w:rsid w:val="412AF744"/>
    <w:rsid w:val="42F6BC56"/>
    <w:rsid w:val="4453BD53"/>
    <w:rsid w:val="460C25B0"/>
    <w:rsid w:val="46714826"/>
    <w:rsid w:val="4D70E48C"/>
    <w:rsid w:val="4D8C09BD"/>
    <w:rsid w:val="4E7D36FC"/>
    <w:rsid w:val="4F1CD2DF"/>
    <w:rsid w:val="508AF3A5"/>
    <w:rsid w:val="50EE3CF5"/>
    <w:rsid w:val="534F1D80"/>
    <w:rsid w:val="556FD270"/>
    <w:rsid w:val="55B0FF15"/>
    <w:rsid w:val="55D2C2B4"/>
    <w:rsid w:val="574E4FFB"/>
    <w:rsid w:val="5917DC35"/>
    <w:rsid w:val="5B0D1026"/>
    <w:rsid w:val="5E55BA30"/>
    <w:rsid w:val="5FEEB3F2"/>
    <w:rsid w:val="6191315C"/>
    <w:rsid w:val="6343AB20"/>
    <w:rsid w:val="66F693DA"/>
    <w:rsid w:val="67341DBD"/>
    <w:rsid w:val="6779A021"/>
    <w:rsid w:val="69E81D92"/>
    <w:rsid w:val="701AEBBD"/>
    <w:rsid w:val="718B3F8B"/>
    <w:rsid w:val="74B0D368"/>
    <w:rsid w:val="76F62181"/>
    <w:rsid w:val="7A96C64B"/>
    <w:rsid w:val="7C3363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B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E2FAA"/>
    <w:pPr>
      <w:suppressAutoHyphens/>
      <w:spacing w:before="120" w:after="60" w:line="260" w:lineRule="atLeast"/>
    </w:pPr>
    <w:rPr>
      <w:color w:val="495965" w:themeColor="text2"/>
      <w:lang w:val="en-GB"/>
    </w:rPr>
  </w:style>
  <w:style w:type="paragraph" w:styleId="Heading1">
    <w:name w:val="heading 1"/>
    <w:basedOn w:val="Normal"/>
    <w:next w:val="Normal"/>
    <w:link w:val="Heading1Char"/>
    <w:autoRedefine/>
    <w:uiPriority w:val="9"/>
    <w:qFormat/>
    <w:rsid w:val="009327EF"/>
    <w:pPr>
      <w:keepNext/>
      <w:keepLines/>
      <w:spacing w:before="0" w:after="240" w:line="380" w:lineRule="exact"/>
      <w:contextualSpacing/>
      <w:outlineLvl w:val="0"/>
    </w:pPr>
    <w:rPr>
      <w:rFonts w:asciiTheme="majorHAnsi" w:eastAsiaTheme="majorEastAsia" w:hAnsiTheme="majorHAnsi" w:cstheme="majorBidi"/>
      <w:b/>
      <w:bCs/>
      <w:caps/>
      <w:sz w:val="32"/>
      <w:szCs w:val="28"/>
    </w:rPr>
  </w:style>
  <w:style w:type="paragraph" w:styleId="Heading2">
    <w:name w:val="heading 2"/>
    <w:basedOn w:val="Heading1"/>
    <w:next w:val="Normal"/>
    <w:link w:val="Heading2Char"/>
    <w:autoRedefine/>
    <w:uiPriority w:val="9"/>
    <w:unhideWhenUsed/>
    <w:qFormat/>
    <w:rsid w:val="002310E0"/>
    <w:pPr>
      <w:spacing w:before="120" w:after="120"/>
      <w:outlineLvl w:val="1"/>
    </w:pPr>
    <w:rPr>
      <w:bCs w:val="0"/>
      <w:sz w:val="22"/>
      <w:szCs w:val="26"/>
    </w:rPr>
  </w:style>
  <w:style w:type="paragraph" w:styleId="Heading3">
    <w:name w:val="heading 3"/>
    <w:basedOn w:val="Heading2"/>
    <w:next w:val="Normal"/>
    <w:link w:val="Heading3Char"/>
    <w:autoRedefine/>
    <w:uiPriority w:val="9"/>
    <w:unhideWhenUsed/>
    <w:qFormat/>
    <w:rsid w:val="00D41FBC"/>
    <w:pPr>
      <w:spacing w:before="0" w:line="360" w:lineRule="atLeast"/>
      <w:contextualSpacing w:val="0"/>
      <w:outlineLvl w:val="2"/>
    </w:pPr>
    <w:rPr>
      <w:bCs/>
      <w:i/>
      <w:caps w:val="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B71AD8"/>
    <w:pPr>
      <w:spacing w:line="200" w:lineRule="atLeast"/>
      <w:outlineLvl w:val="4"/>
    </w:pPr>
    <w:rPr>
      <w:b w:val="0"/>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val="0"/>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7EF"/>
    <w:rPr>
      <w:rFonts w:asciiTheme="majorHAnsi" w:eastAsiaTheme="majorEastAsia" w:hAnsiTheme="majorHAnsi" w:cstheme="majorBidi"/>
      <w:b/>
      <w:bCs/>
      <w:caps/>
      <w:color w:val="495965" w:themeColor="text2"/>
      <w:sz w:val="32"/>
      <w:szCs w:val="28"/>
      <w:lang w:val="en-GB"/>
    </w:rPr>
  </w:style>
  <w:style w:type="character" w:customStyle="1" w:styleId="Heading2Char">
    <w:name w:val="Heading 2 Char"/>
    <w:basedOn w:val="DefaultParagraphFont"/>
    <w:link w:val="Heading2"/>
    <w:uiPriority w:val="9"/>
    <w:rsid w:val="002310E0"/>
    <w:rPr>
      <w:rFonts w:asciiTheme="majorHAnsi" w:eastAsiaTheme="majorEastAsia" w:hAnsiTheme="majorHAnsi" w:cstheme="majorBidi"/>
      <w:b/>
      <w:caps/>
      <w:color w:val="495965" w:themeColor="text2"/>
      <w:szCs w:val="26"/>
      <w:lang w:val="en-GB"/>
    </w:rPr>
  </w:style>
  <w:style w:type="character" w:customStyle="1" w:styleId="Heading3Char">
    <w:name w:val="Heading 3 Char"/>
    <w:basedOn w:val="DefaultParagraphFont"/>
    <w:link w:val="Heading3"/>
    <w:uiPriority w:val="9"/>
    <w:rsid w:val="00D41FBC"/>
    <w:rPr>
      <w:rFonts w:asciiTheme="majorHAnsi" w:eastAsiaTheme="majorEastAsia" w:hAnsiTheme="majorHAnsi" w:cstheme="majorBidi"/>
      <w:b/>
      <w:bCs/>
      <w:i/>
      <w:color w:val="495965" w:themeColor="text2"/>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0">
    <w:name w:val="Bullet 1"/>
    <w:basedOn w:val="Normal"/>
    <w:qFormat/>
    <w:rsid w:val="00B71AD8"/>
    <w:pPr>
      <w:numPr>
        <w:numId w:val="11"/>
      </w:numPr>
      <w:spacing w:before="0"/>
    </w:pPr>
  </w:style>
  <w:style w:type="paragraph" w:customStyle="1" w:styleId="Bullet2">
    <w:name w:val="Bullet 2"/>
    <w:basedOn w:val="Bullet10"/>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8"/>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7"/>
      </w:numPr>
    </w:pPr>
  </w:style>
  <w:style w:type="paragraph" w:customStyle="1" w:styleId="Heading2Numbered">
    <w:name w:val="Heading 2 Numbered"/>
    <w:basedOn w:val="Heading2"/>
    <w:next w:val="Normal"/>
    <w:qFormat/>
    <w:rsid w:val="00ED2831"/>
    <w:pPr>
      <w:numPr>
        <w:ilvl w:val="1"/>
        <w:numId w:val="7"/>
      </w:numPr>
      <w:spacing w:after="60"/>
    </w:pPr>
    <w:rPr>
      <w:bCs/>
    </w:rPr>
  </w:style>
  <w:style w:type="paragraph" w:customStyle="1" w:styleId="Heading3Numbered">
    <w:name w:val="Heading 3 Numbered"/>
    <w:basedOn w:val="Heading3"/>
    <w:next w:val="Normal"/>
    <w:qFormat/>
    <w:rsid w:val="00ED2831"/>
    <w:pPr>
      <w:numPr>
        <w:ilvl w:val="2"/>
        <w:numId w:val="7"/>
      </w:numPr>
      <w:spacing w:before="300" w:after="60"/>
    </w:pPr>
    <w:rPr>
      <w:szCs w:val="22"/>
    </w:rPr>
  </w:style>
  <w:style w:type="numbering" w:customStyle="1" w:styleId="BulletsList">
    <w:name w:val="Bullets List"/>
    <w:uiPriority w:val="99"/>
    <w:rsid w:val="00B71AD8"/>
    <w:pPr>
      <w:numPr>
        <w:numId w:val="2"/>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4"/>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E6F2A"/>
    <w:pPr>
      <w:tabs>
        <w:tab w:val="center" w:pos="4513"/>
        <w:tab w:val="right" w:pos="9026"/>
      </w:tabs>
      <w:spacing w:before="0" w:after="0"/>
      <w:ind w:left="227"/>
    </w:pPr>
    <w:rPr>
      <w:b/>
      <w:caps/>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5"/>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B71AD8"/>
    <w:pPr>
      <w:spacing w:before="400" w:after="400" w:line="280" w:lineRule="exact"/>
    </w:pPr>
    <w:rPr>
      <w:b/>
      <w:color w:val="ACD08C" w:themeColor="accent2"/>
      <w:sz w:val="28"/>
    </w:rPr>
  </w:style>
  <w:style w:type="table" w:styleId="TableGrid">
    <w:name w:val="Table Grid"/>
    <w:basedOn w:val="TableNormal"/>
    <w:uiPriority w:val="59"/>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E6F2A"/>
    <w:rPr>
      <w:b/>
      <w:caps/>
      <w:color w:val="495965" w:themeColor="text2"/>
      <w:sz w:val="20"/>
      <w:lang w:val="en-GB"/>
    </w:rPr>
  </w:style>
  <w:style w:type="numbering" w:customStyle="1" w:styleId="FigureTitles">
    <w:name w:val="Figure Titles"/>
    <w:uiPriority w:val="99"/>
    <w:rsid w:val="006346BC"/>
    <w:pPr>
      <w:numPr>
        <w:numId w:val="6"/>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B71AD8"/>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aliases w:val="single space,FOOTNOTES,fn,ALTS FOOTNOTE,ft,Geneva 9,Font: Geneva 9,Boston 10,f,Footnote Text 1,ADB,Footnote Text Char1,Footnote Text Char Char,Footnote Text Char2 Char,Footnote Text Char1 Char Char,Fußnote,Footnote Text Char Char Char Char"/>
    <w:basedOn w:val="Normal"/>
    <w:link w:val="FootnoteTextChar"/>
    <w:uiPriority w:val="99"/>
    <w:unhideWhenUsed/>
    <w:qFormat/>
    <w:rsid w:val="008C5A0E"/>
    <w:pPr>
      <w:spacing w:before="60" w:after="0" w:line="140" w:lineRule="atLeast"/>
      <w:ind w:left="170" w:hanging="170"/>
    </w:pPr>
    <w:rPr>
      <w:sz w:val="12"/>
      <w:szCs w:val="20"/>
    </w:rPr>
  </w:style>
  <w:style w:type="character" w:customStyle="1" w:styleId="FootnoteTextChar">
    <w:name w:val="Footnote Text Char"/>
    <w:aliases w:val="single space Char,FOOTNOTES Char,fn Char,ALTS FOOTNOTE Char,ft Char,Geneva 9 Char,Font: Geneva 9 Char,Boston 10 Char,f Char,Footnote Text 1 Char,ADB Char,Footnote Text Char1 Char,Footnote Text Char Char Char,Fußnote Char"/>
    <w:basedOn w:val="DefaultParagraphFont"/>
    <w:link w:val="FootnoteText"/>
    <w:uiPriority w:val="99"/>
    <w:rsid w:val="008C5A0E"/>
    <w:rPr>
      <w:color w:val="495965" w:themeColor="text2"/>
      <w:sz w:val="12"/>
      <w:szCs w:val="20"/>
    </w:rPr>
  </w:style>
  <w:style w:type="character" w:styleId="FootnoteReference">
    <w:name w:val="footnote reference"/>
    <w:aliases w:val="ftref,16 Point,Superscript 6 Point,Ref,de nota al pie,BVI fnr,Char Char Char Char Car Char,Footnote Reference Number,Footnote1,Fußnotenzeichen DISS,(NECG) Footnote Reference,fr,Normal + Font:9 Point,Superscript 3 Point Times,4_G"/>
    <w:basedOn w:val="DefaultParagraphFont"/>
    <w:link w:val="BVIfnrCarCar"/>
    <w:uiPriority w:val="99"/>
    <w:unhideWhenUsed/>
    <w:qFormat/>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244229"/>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0"/>
    <w:qFormat/>
    <w:rsid w:val="00ED2831"/>
    <w:pPr>
      <w:numPr>
        <w:numId w:val="0"/>
      </w:numPr>
      <w:spacing w:before="60" w:line="220" w:lineRule="atLeast"/>
      <w:ind w:left="284" w:hanging="284"/>
    </w:pPr>
    <w:rPr>
      <w:rFonts w:ascii="Calibri" w:hAnsi="Calibri"/>
      <w:sz w:val="18"/>
    </w:rPr>
  </w:style>
  <w:style w:type="paragraph" w:customStyle="1" w:styleId="TableBullet2">
    <w:name w:val="Table Bullet 2"/>
    <w:basedOn w:val="Bullet2"/>
    <w:qFormat/>
    <w:rsid w:val="00ED2831"/>
    <w:pPr>
      <w:numPr>
        <w:ilvl w:val="0"/>
        <w:numId w:val="0"/>
      </w:numPr>
      <w:spacing w:before="60" w:line="220" w:lineRule="atLeast"/>
      <w:ind w:left="568" w:hanging="284"/>
    </w:pPr>
    <w:rPr>
      <w:rFonts w:ascii="Calibri" w:hAnsi="Calibri"/>
      <w:sz w:val="18"/>
    </w:rPr>
  </w:style>
  <w:style w:type="paragraph" w:customStyle="1" w:styleId="TableBullet3">
    <w:name w:val="Table Bullet 3"/>
    <w:basedOn w:val="Bullet3"/>
    <w:qFormat/>
    <w:rsid w:val="00ED2831"/>
    <w:pPr>
      <w:numPr>
        <w:ilvl w:val="0"/>
        <w:numId w:val="0"/>
      </w:numPr>
      <w:spacing w:before="60" w:line="220" w:lineRule="atLeast"/>
      <w:ind w:left="852" w:hanging="284"/>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9"/>
      </w:numPr>
      <w:ind w:left="454" w:hanging="170"/>
    </w:pPr>
  </w:style>
  <w:style w:type="paragraph" w:customStyle="1" w:styleId="Box2Bullet">
    <w:name w:val="Box 2 Bullet"/>
    <w:basedOn w:val="Box2Text"/>
    <w:qFormat/>
    <w:rsid w:val="00C42541"/>
    <w:pPr>
      <w:numPr>
        <w:numId w:val="10"/>
      </w:numPr>
      <w:ind w:left="454" w:hanging="170"/>
    </w:pPr>
  </w:style>
  <w:style w:type="paragraph" w:styleId="BodyText">
    <w:name w:val="Body Text"/>
    <w:basedOn w:val="Normal"/>
    <w:link w:val="BodyTextChar"/>
    <w:uiPriority w:val="99"/>
    <w:unhideWhenUsed/>
    <w:qFormat/>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locked/>
    <w:rsid w:val="00A97244"/>
    <w:pPr>
      <w:ind w:left="720"/>
      <w:contextualSpacing/>
    </w:pPr>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link w:val="ListParagraph"/>
    <w:uiPriority w:val="34"/>
    <w:qFormat/>
    <w:locked/>
    <w:rsid w:val="00A97244"/>
    <w:rPr>
      <w:color w:val="495965" w:themeColor="text2"/>
      <w:lang w:val="en-GB"/>
    </w:rPr>
  </w:style>
  <w:style w:type="table" w:customStyle="1" w:styleId="DFATTable11">
    <w:name w:val="DFAT Table 11"/>
    <w:basedOn w:val="TableNormal"/>
    <w:uiPriority w:val="99"/>
    <w:rsid w:val="00E4584F"/>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styleId="EndnoteText">
    <w:name w:val="endnote text"/>
    <w:basedOn w:val="Normal"/>
    <w:link w:val="EndnoteTextChar"/>
    <w:uiPriority w:val="99"/>
    <w:semiHidden/>
    <w:unhideWhenUsed/>
    <w:rsid w:val="001C01C6"/>
    <w:pPr>
      <w:suppressAutoHyphens w:val="0"/>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C01C6"/>
    <w:rPr>
      <w:color w:val="495965" w:themeColor="text2"/>
      <w:sz w:val="20"/>
      <w:szCs w:val="20"/>
      <w:lang w:val="en-GB"/>
    </w:rPr>
  </w:style>
  <w:style w:type="character" w:styleId="EndnoteReference">
    <w:name w:val="endnote reference"/>
    <w:basedOn w:val="DefaultParagraphFont"/>
    <w:uiPriority w:val="99"/>
    <w:semiHidden/>
    <w:unhideWhenUsed/>
    <w:rsid w:val="001C01C6"/>
    <w:rPr>
      <w:vertAlign w:val="superscript"/>
    </w:rPr>
  </w:style>
  <w:style w:type="paragraph" w:customStyle="1" w:styleId="BVIfnrCarCar">
    <w:name w:val="BVI fnr Car Car"/>
    <w:aliases w:val="BVI fnr Car,BVI fnr Car Car Car Car,BVI fnr Car Car Char,BVI fnr Car Car Car Car Char,BVI fnr Car Car Car Car Char Char Char,BVI fnr Char Char"/>
    <w:basedOn w:val="Normal"/>
    <w:link w:val="FootnoteReference"/>
    <w:uiPriority w:val="99"/>
    <w:rsid w:val="00562BC2"/>
    <w:pPr>
      <w:suppressAutoHyphens w:val="0"/>
      <w:spacing w:before="0" w:after="160" w:line="240" w:lineRule="exact"/>
    </w:pPr>
    <w:rPr>
      <w:color w:val="auto"/>
      <w:vertAlign w:val="superscript"/>
      <w:lang w:val="en-AU"/>
    </w:rPr>
  </w:style>
  <w:style w:type="character" w:customStyle="1" w:styleId="normaltextrun">
    <w:name w:val="normaltextrun"/>
    <w:basedOn w:val="DefaultParagraphFont"/>
    <w:rsid w:val="0050546D"/>
  </w:style>
  <w:style w:type="paragraph" w:customStyle="1" w:styleId="paragraph">
    <w:name w:val="paragraph"/>
    <w:basedOn w:val="Normal"/>
    <w:rsid w:val="0050546D"/>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eop">
    <w:name w:val="eop"/>
    <w:basedOn w:val="DefaultParagraphFont"/>
    <w:rsid w:val="0050546D"/>
  </w:style>
  <w:style w:type="character" w:customStyle="1" w:styleId="apple-converted-space">
    <w:name w:val="apple-converted-space"/>
    <w:basedOn w:val="DefaultParagraphFont"/>
    <w:rsid w:val="00415ABE"/>
  </w:style>
  <w:style w:type="paragraph" w:customStyle="1" w:styleId="Bullet1">
    <w:name w:val="Bullet_1"/>
    <w:link w:val="Bullet1Char"/>
    <w:autoRedefine/>
    <w:qFormat/>
    <w:rsid w:val="00415ABE"/>
    <w:pPr>
      <w:numPr>
        <w:numId w:val="24"/>
      </w:numPr>
      <w:suppressAutoHyphens/>
      <w:spacing w:line="240" w:lineRule="auto"/>
      <w:jc w:val="both"/>
    </w:pPr>
    <w:rPr>
      <w:rFonts w:eastAsia="Times New Roman" w:cs="Arial"/>
      <w:color w:val="495965" w:themeColor="text2"/>
      <w:lang w:val="en-CA" w:eastAsia="fr-CH"/>
    </w:rPr>
  </w:style>
  <w:style w:type="character" w:customStyle="1" w:styleId="Bullet1Char">
    <w:name w:val="Bullet_1 Char"/>
    <w:link w:val="Bullet1"/>
    <w:qFormat/>
    <w:rsid w:val="00415ABE"/>
    <w:rPr>
      <w:rFonts w:eastAsia="Times New Roman" w:cs="Arial"/>
      <w:color w:val="495965" w:themeColor="text2"/>
      <w:lang w:val="en-CA" w:eastAsia="fr-CH"/>
    </w:rPr>
  </w:style>
  <w:style w:type="character" w:customStyle="1" w:styleId="findhit">
    <w:name w:val="findhit"/>
    <w:basedOn w:val="DefaultParagraphFont"/>
    <w:rsid w:val="00847216"/>
  </w:style>
  <w:style w:type="character" w:styleId="UnresolvedMention">
    <w:name w:val="Unresolved Mention"/>
    <w:basedOn w:val="DefaultParagraphFont"/>
    <w:uiPriority w:val="99"/>
    <w:semiHidden/>
    <w:unhideWhenUsed/>
    <w:rsid w:val="00104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18163">
      <w:bodyDiv w:val="1"/>
      <w:marLeft w:val="0"/>
      <w:marRight w:val="0"/>
      <w:marTop w:val="0"/>
      <w:marBottom w:val="0"/>
      <w:divBdr>
        <w:top w:val="none" w:sz="0" w:space="0" w:color="auto"/>
        <w:left w:val="none" w:sz="0" w:space="0" w:color="auto"/>
        <w:bottom w:val="none" w:sz="0" w:space="0" w:color="auto"/>
        <w:right w:val="none" w:sz="0" w:space="0" w:color="auto"/>
      </w:divBdr>
    </w:div>
    <w:div w:id="667371290">
      <w:bodyDiv w:val="1"/>
      <w:marLeft w:val="0"/>
      <w:marRight w:val="0"/>
      <w:marTop w:val="0"/>
      <w:marBottom w:val="0"/>
      <w:divBdr>
        <w:top w:val="none" w:sz="0" w:space="0" w:color="auto"/>
        <w:left w:val="none" w:sz="0" w:space="0" w:color="auto"/>
        <w:bottom w:val="none" w:sz="0" w:space="0" w:color="auto"/>
        <w:right w:val="none" w:sz="0" w:space="0" w:color="auto"/>
      </w:divBdr>
    </w:div>
    <w:div w:id="848324813">
      <w:bodyDiv w:val="1"/>
      <w:marLeft w:val="0"/>
      <w:marRight w:val="0"/>
      <w:marTop w:val="0"/>
      <w:marBottom w:val="0"/>
      <w:divBdr>
        <w:top w:val="none" w:sz="0" w:space="0" w:color="auto"/>
        <w:left w:val="none" w:sz="0" w:space="0" w:color="auto"/>
        <w:bottom w:val="none" w:sz="0" w:space="0" w:color="auto"/>
        <w:right w:val="none" w:sz="0" w:space="0" w:color="auto"/>
      </w:divBdr>
    </w:div>
    <w:div w:id="1107384586">
      <w:bodyDiv w:val="1"/>
      <w:marLeft w:val="0"/>
      <w:marRight w:val="0"/>
      <w:marTop w:val="0"/>
      <w:marBottom w:val="0"/>
      <w:divBdr>
        <w:top w:val="none" w:sz="0" w:space="0" w:color="auto"/>
        <w:left w:val="none" w:sz="0" w:space="0" w:color="auto"/>
        <w:bottom w:val="none" w:sz="0" w:space="0" w:color="auto"/>
        <w:right w:val="none" w:sz="0" w:space="0" w:color="auto"/>
      </w:divBdr>
    </w:div>
    <w:div w:id="1393969321">
      <w:bodyDiv w:val="1"/>
      <w:marLeft w:val="0"/>
      <w:marRight w:val="0"/>
      <w:marTop w:val="0"/>
      <w:marBottom w:val="0"/>
      <w:divBdr>
        <w:top w:val="none" w:sz="0" w:space="0" w:color="auto"/>
        <w:left w:val="none" w:sz="0" w:space="0" w:color="auto"/>
        <w:bottom w:val="none" w:sz="0" w:space="0" w:color="auto"/>
        <w:right w:val="none" w:sz="0" w:space="0" w:color="auto"/>
      </w:divBdr>
    </w:div>
    <w:div w:id="1607345266">
      <w:bodyDiv w:val="1"/>
      <w:marLeft w:val="0"/>
      <w:marRight w:val="0"/>
      <w:marTop w:val="0"/>
      <w:marBottom w:val="0"/>
      <w:divBdr>
        <w:top w:val="none" w:sz="0" w:space="0" w:color="auto"/>
        <w:left w:val="none" w:sz="0" w:space="0" w:color="auto"/>
        <w:bottom w:val="none" w:sz="0" w:space="0" w:color="auto"/>
        <w:right w:val="none" w:sz="0" w:space="0" w:color="auto"/>
      </w:divBdr>
    </w:div>
    <w:div w:id="18276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fat.gov.au/publications/development/papua-new-guinea-covid-19-development-response-pl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at.gov.au/geo/pacific/development-assistance/pacific-regional-covid-19-response-packag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fat.gov.au/publications/aid/partnerships-recovery-australias-covid-19-development-respon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C7A7-111A-433C-94E2-9106DC08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1779</Words>
  <Characters>10177</Characters>
  <Application>Microsoft Office Word</Application>
  <DocSecurity>0</DocSecurity>
  <Lines>260</Lines>
  <Paragraphs>45</Paragraphs>
  <ScaleCrop>false</ScaleCrop>
  <HeadingPairs>
    <vt:vector size="2" baseType="variant">
      <vt:variant>
        <vt:lpstr>Title</vt:lpstr>
      </vt:variant>
      <vt:variant>
        <vt:i4>1</vt:i4>
      </vt:variant>
    </vt:vector>
  </HeadingPairs>
  <TitlesOfParts>
    <vt:vector size="1" baseType="lpstr">
      <vt:lpstr>Pacific Covid-19 Response Package – Papua New Guinea</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COVID-19 Response Package – Papua New Guinea</dc:title>
  <dc:subject/>
  <dc:creator/>
  <cp:keywords/>
  <cp:lastModifiedBy/>
  <cp:revision>1</cp:revision>
  <dcterms:created xsi:type="dcterms:W3CDTF">2021-12-23T00:07:00Z</dcterms:created>
  <dcterms:modified xsi:type="dcterms:W3CDTF">2021-12-23T00:10:00Z</dcterms:modified>
  <cp:category/>
</cp:coreProperties>
</file>