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01F1F" w14:textId="12574E4D" w:rsidR="00FA5EFD" w:rsidRDefault="00954095" w:rsidP="00DF7B4A">
      <w:pPr>
        <w:pStyle w:val="Heading1"/>
        <w:rPr>
          <w:caps w:val="0"/>
          <w:sz w:val="36"/>
          <w:szCs w:val="36"/>
        </w:rPr>
      </w:pPr>
      <w:bookmarkStart w:id="0" w:name="_GoBack"/>
      <w:r w:rsidRPr="00DF7B4A">
        <w:rPr>
          <w:caps w:val="0"/>
          <w:sz w:val="36"/>
          <w:szCs w:val="36"/>
        </w:rPr>
        <w:t>PALESTINIAN TERRITORIES COVID-19 DEVELOPMENT RESPONSE PLAN</w:t>
      </w:r>
    </w:p>
    <w:bookmarkEnd w:id="0"/>
    <w:p w14:paraId="4DE9FB82" w14:textId="77777777" w:rsidR="00214FF8" w:rsidRDefault="00214FF8" w:rsidP="00214FF8">
      <w:pPr>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5C2EC9">
        <w:rPr>
          <w:color w:val="36424B" w:themeColor="text2" w:themeShade="BF"/>
        </w:rPr>
        <w:t>Australia is</w:t>
      </w:r>
      <w:r>
        <w:rPr>
          <w:color w:val="36424B" w:themeColor="text2" w:themeShade="BF"/>
        </w:rPr>
        <w:t xml:space="preserve"> partnering with multilateral organisations and NGOs to support economic, human development and humanitarian priorities for Palestinians in the Palestinian Territories and in Lebanon, Jordan and Syria.</w:t>
      </w:r>
    </w:p>
    <w:p w14:paraId="24629394" w14:textId="77777777" w:rsidR="00214FF8" w:rsidRDefault="00214FF8" w:rsidP="00214FF8">
      <w:pPr>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Pr>
          <w:color w:val="36424B" w:themeColor="text2" w:themeShade="BF"/>
        </w:rPr>
        <w:t xml:space="preserve">COVID-19 </w:t>
      </w:r>
      <w:r w:rsidRPr="00BC618B">
        <w:rPr>
          <w:color w:val="36424B" w:themeColor="text2" w:themeShade="BF"/>
        </w:rPr>
        <w:t>threatens to overwhelm health systems and exacerbate humanitarian needs</w:t>
      </w:r>
      <w:r>
        <w:rPr>
          <w:color w:val="36424B" w:themeColor="text2" w:themeShade="BF"/>
        </w:rPr>
        <w:t xml:space="preserve"> in the Palestinian Territories.</w:t>
      </w:r>
      <w:r w:rsidRPr="00BC618B">
        <w:rPr>
          <w:color w:val="36424B" w:themeColor="text2" w:themeShade="BF"/>
        </w:rPr>
        <w:t xml:space="preserve"> Economic decline will have long-term impacts on livelihoods, employment and food security.</w:t>
      </w:r>
    </w:p>
    <w:p w14:paraId="03C23EA5" w14:textId="2FF5F4C1" w:rsidR="00214FF8" w:rsidRPr="00214FF8" w:rsidRDefault="00214FF8" w:rsidP="00214FF8">
      <w:pPr>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BC618B">
        <w:rPr>
          <w:color w:val="36424B" w:themeColor="text2" w:themeShade="BF"/>
        </w:rPr>
        <w:t>Australian support focuses on improving core health and social protection services and fostering economic recovery</w:t>
      </w:r>
      <w:r>
        <w:rPr>
          <w:color w:val="36424B" w:themeColor="text2" w:themeShade="BF"/>
        </w:rPr>
        <w:t>.</w:t>
      </w:r>
    </w:p>
    <w:p w14:paraId="08DCD62D" w14:textId="5946CF5D" w:rsidR="00E453C0" w:rsidRPr="00E453C0" w:rsidRDefault="00E453C0" w:rsidP="00E453C0">
      <w:pPr>
        <w:sectPr w:rsidR="00E453C0" w:rsidRPr="00E453C0" w:rsidSect="00DF7B4A">
          <w:headerReference w:type="default" r:id="rId8"/>
          <w:footerReference w:type="default" r:id="rId9"/>
          <w:headerReference w:type="first" r:id="rId10"/>
          <w:footerReference w:type="first" r:id="rId11"/>
          <w:pgSz w:w="11906" w:h="16838" w:code="9"/>
          <w:pgMar w:top="2552" w:right="680" w:bottom="1418" w:left="680" w:header="397" w:footer="624" w:gutter="0"/>
          <w:cols w:space="397"/>
          <w:titlePg/>
          <w:docGrid w:linePitch="360"/>
        </w:sectPr>
      </w:pPr>
    </w:p>
    <w:p w14:paraId="1B112077" w14:textId="493D1650" w:rsidR="005C2EC9" w:rsidRDefault="00E00658" w:rsidP="00E453C0">
      <w:pPr>
        <w:widowControl w:val="0"/>
        <w:spacing w:before="60" w:after="120" w:line="260" w:lineRule="exact"/>
      </w:pPr>
      <w:r w:rsidRPr="00BC618B">
        <w:t xml:space="preserve">The COVID-19 pandemic is occurring in the context </w:t>
      </w:r>
      <w:r>
        <w:t>of</w:t>
      </w:r>
      <w:r w:rsidRPr="00BC618B">
        <w:t xml:space="preserve"> unresolved conflict between Israel and the Palestinians</w:t>
      </w:r>
      <w:r>
        <w:t xml:space="preserve"> and </w:t>
      </w:r>
      <w:r w:rsidRPr="00BC618B">
        <w:t>has exacerbated the humanitarian needs of Palestinians across the West Bank</w:t>
      </w:r>
      <w:r>
        <w:t xml:space="preserve"> and</w:t>
      </w:r>
      <w:r w:rsidRPr="00BC618B">
        <w:t xml:space="preserve"> G</w:t>
      </w:r>
      <w:r>
        <w:t>aza</w:t>
      </w:r>
      <w:r w:rsidRPr="00BC618B">
        <w:t>.</w:t>
      </w:r>
      <w:r>
        <w:t xml:space="preserve"> Australia will contribute </w:t>
      </w:r>
      <w:r w:rsidRPr="00BC618B">
        <w:t>to addressing the widespread economic and social impacts of the pandemic and lay foundations for long</w:t>
      </w:r>
      <w:r w:rsidRPr="00BC618B">
        <w:noBreakHyphen/>
      </w:r>
      <w:r>
        <w:t>term recovery, while continuing to support a two</w:t>
      </w:r>
      <w:r>
        <w:noBreakHyphen/>
        <w:t>state solution.</w:t>
      </w:r>
    </w:p>
    <w:p w14:paraId="7B173DD5" w14:textId="77777777" w:rsidR="00166032" w:rsidRPr="00F251AC" w:rsidRDefault="00166032" w:rsidP="00F251AC">
      <w:pPr>
        <w:pStyle w:val="Heading2"/>
      </w:pPr>
      <w:r w:rsidRPr="00F251AC">
        <w:t>COVID-19 Situation Analysis</w:t>
      </w:r>
      <w:r w:rsidRPr="00F251AC">
        <w:tab/>
      </w:r>
    </w:p>
    <w:p w14:paraId="45AC14F5" w14:textId="77777777" w:rsidR="00E00658" w:rsidRDefault="00E00658" w:rsidP="00E453C0">
      <w:pPr>
        <w:widowControl w:val="0"/>
        <w:spacing w:before="60" w:after="120"/>
      </w:pPr>
      <w:r>
        <w:t xml:space="preserve">In the West Bank, the </w:t>
      </w:r>
      <w:r w:rsidRPr="00893CE9">
        <w:t xml:space="preserve">Palestinian Authority </w:t>
      </w:r>
      <w:r w:rsidRPr="00D67D65">
        <w:t xml:space="preserve">declared a state of emergency on 5 March 2020, affecting its </w:t>
      </w:r>
      <w:r>
        <w:t>more than 3.2</w:t>
      </w:r>
      <w:r w:rsidRPr="00D67D65">
        <w:t xml:space="preserve"> million people. The P</w:t>
      </w:r>
      <w:r>
        <w:t xml:space="preserve">alestinian </w:t>
      </w:r>
      <w:r w:rsidRPr="00D67D65">
        <w:t>A</w:t>
      </w:r>
      <w:r>
        <w:t>uthority</w:t>
      </w:r>
      <w:r w:rsidRPr="00D67D65">
        <w:t xml:space="preserve"> also applied re</w:t>
      </w:r>
      <w:r>
        <w:t>strictions on foreign visitors and business hours, and attendance at</w:t>
      </w:r>
      <w:r w:rsidRPr="00D67D65">
        <w:t xml:space="preserve"> schools, universities and places of worship. The</w:t>
      </w:r>
      <w:r>
        <w:t>se</w:t>
      </w:r>
      <w:r w:rsidRPr="00D67D65">
        <w:t xml:space="preserve"> were lifted when </w:t>
      </w:r>
      <w:r>
        <w:t xml:space="preserve">the </w:t>
      </w:r>
      <w:r w:rsidRPr="00D67D65">
        <w:t xml:space="preserve">numbers </w:t>
      </w:r>
      <w:r>
        <w:t xml:space="preserve">of COVID infections </w:t>
      </w:r>
      <w:r w:rsidRPr="00D67D65">
        <w:t>stabilised but re</w:t>
      </w:r>
      <w:r>
        <w:t>-</w:t>
      </w:r>
      <w:r w:rsidRPr="00D67D65">
        <w:t xml:space="preserve">imposed in July with a significant upswing in cases in the </w:t>
      </w:r>
      <w:r>
        <w:t>P</w:t>
      </w:r>
      <w:r w:rsidRPr="00D67D65">
        <w:t>Ts</w:t>
      </w:r>
      <w:r>
        <w:t xml:space="preserve"> and </w:t>
      </w:r>
      <w:r w:rsidRPr="00102AFA">
        <w:t>Israel</w:t>
      </w:r>
      <w:r w:rsidRPr="00D67D65">
        <w:t>.</w:t>
      </w:r>
    </w:p>
    <w:p w14:paraId="75ACC927" w14:textId="77777777" w:rsidR="00E00658" w:rsidRDefault="00E00658" w:rsidP="00E453C0">
      <w:pPr>
        <w:widowControl w:val="0"/>
        <w:spacing w:before="60" w:after="120"/>
      </w:pPr>
      <w:r>
        <w:t xml:space="preserve">In Gaza, cases have increased significantly since mid-June. The de facto authority (Hamas) established its own COVID-19 response, which differs from the state of emergency imposed on the West Bank. It has effectively prevented entry for all except returning Gazans and implemented strict quarantine for those who do enter, given acute limitations of the health system. </w:t>
      </w:r>
    </w:p>
    <w:p w14:paraId="00ADC852" w14:textId="4D2A57B8" w:rsidR="00E00658" w:rsidRDefault="00E00658" w:rsidP="00E453C0">
      <w:pPr>
        <w:widowControl w:val="0"/>
        <w:spacing w:before="60" w:after="120"/>
      </w:pPr>
      <w:r w:rsidRPr="00FC4055">
        <w:t xml:space="preserve">As </w:t>
      </w:r>
      <w:r>
        <w:t xml:space="preserve">at 21 September </w:t>
      </w:r>
      <w:r w:rsidRPr="00FC4055">
        <w:t>2020, there were</w:t>
      </w:r>
      <w:r>
        <w:t xml:space="preserve"> 45,446 confirmed cases and 300 </w:t>
      </w:r>
      <w:r w:rsidRPr="00FC4055">
        <w:t>COVID-19</w:t>
      </w:r>
      <w:r>
        <w:t xml:space="preserve"> deaths</w:t>
      </w:r>
      <w:r w:rsidRPr="00FC4055">
        <w:t xml:space="preserve"> in the P</w:t>
      </w:r>
      <w:r>
        <w:t>alestinian Territories (P</w:t>
      </w:r>
      <w:r w:rsidRPr="00FC4055">
        <w:t>Ts</w:t>
      </w:r>
      <w:r>
        <w:t xml:space="preserve">). At its peak, </w:t>
      </w:r>
      <w:r w:rsidRPr="00FC4055">
        <w:t>(anticipated to be late-2020 to early-2021) the pandemic</w:t>
      </w:r>
      <w:r w:rsidRPr="00D67D65">
        <w:t xml:space="preserve"> threatens to overwhelm the health-care system.</w:t>
      </w:r>
      <w:r>
        <w:t xml:space="preserve"> The World Health Organiz</w:t>
      </w:r>
      <w:r w:rsidRPr="002550FF">
        <w:t>ation</w:t>
      </w:r>
      <w:r>
        <w:t xml:space="preserve"> has emphasised the fragility of the PTs’ health architecture. The</w:t>
      </w:r>
      <w:r w:rsidRPr="00D67D65">
        <w:t xml:space="preserve"> </w:t>
      </w:r>
      <w:r w:rsidRPr="001D4E0A">
        <w:t xml:space="preserve">Palestinian Authority </w:t>
      </w:r>
      <w:r w:rsidRPr="00D67D65">
        <w:t>Ministry of Health is the main provider of health services in the PTs</w:t>
      </w:r>
      <w:r>
        <w:t xml:space="preserve"> and receives significant </w:t>
      </w:r>
      <w:r w:rsidRPr="00FD6D87">
        <w:t xml:space="preserve">medical </w:t>
      </w:r>
      <w:r>
        <w:t xml:space="preserve">and logistic </w:t>
      </w:r>
      <w:r w:rsidRPr="00FD6D87">
        <w:t xml:space="preserve">support from </w:t>
      </w:r>
      <w:r>
        <w:t>the United Nations Relief and Works Agency (UNRWA)</w:t>
      </w:r>
      <w:r w:rsidR="003704C3">
        <w:t xml:space="preserve"> and</w:t>
      </w:r>
      <w:r w:rsidR="00E67999">
        <w:t xml:space="preserve"> the International Committee of the Red Cross (</w:t>
      </w:r>
      <w:r w:rsidR="003704C3">
        <w:t>ICRC</w:t>
      </w:r>
      <w:r w:rsidR="00E67999">
        <w:t>)</w:t>
      </w:r>
      <w:r w:rsidRPr="00FC4055">
        <w:t xml:space="preserve">. There are significant gaps in health system preparedness and the challenges are </w:t>
      </w:r>
      <w:r>
        <w:t xml:space="preserve">particularly significant </w:t>
      </w:r>
      <w:r w:rsidRPr="00FC4055">
        <w:t xml:space="preserve">in Gaza. </w:t>
      </w:r>
      <w:r w:rsidRPr="00FC4055">
        <w:t>UNRWA runs 141 primary health centres to cater for Palestinians across its</w:t>
      </w:r>
      <w:r w:rsidRPr="00D67D65">
        <w:t xml:space="preserve"> five fields of operations (Lebanon, Syria, Jordan, Gaza and the West Bank</w:t>
      </w:r>
      <w:r>
        <w:t>)</w:t>
      </w:r>
      <w:r w:rsidRPr="00D67D65">
        <w:t xml:space="preserve"> as well as one hospital</w:t>
      </w:r>
      <w:r>
        <w:t xml:space="preserve"> </w:t>
      </w:r>
      <w:r w:rsidRPr="00D67D65">
        <w:t>in the West Bank.</w:t>
      </w:r>
    </w:p>
    <w:p w14:paraId="25EA9BAD" w14:textId="77777777" w:rsidR="00E00658" w:rsidRDefault="00E00658" w:rsidP="00E453C0">
      <w:pPr>
        <w:widowControl w:val="0"/>
        <w:spacing w:before="60" w:after="120"/>
      </w:pPr>
      <w:r>
        <w:t>The economic impacts of COVID-19 will be severe. The</w:t>
      </w:r>
      <w:r w:rsidRPr="00D67D65">
        <w:t xml:space="preserve"> P</w:t>
      </w:r>
      <w:r>
        <w:t>alestinian Authority</w:t>
      </w:r>
      <w:r w:rsidRPr="00D67D65">
        <w:t xml:space="preserve"> estimates</w:t>
      </w:r>
      <w:r>
        <w:t xml:space="preserve"> that</w:t>
      </w:r>
      <w:r w:rsidRPr="00D67D65">
        <w:t xml:space="preserve"> GDP will decrease by 20 per</w:t>
      </w:r>
      <w:r>
        <w:t xml:space="preserve"> </w:t>
      </w:r>
      <w:r w:rsidRPr="00D67D65">
        <w:t>cent (USD3.2 billion) in 2020</w:t>
      </w:r>
      <w:r>
        <w:t>, while</w:t>
      </w:r>
      <w:r w:rsidRPr="00D67D65">
        <w:t xml:space="preserve"> the World Bank estimat</w:t>
      </w:r>
      <w:r>
        <w:t>ed</w:t>
      </w:r>
      <w:r w:rsidRPr="00D67D65">
        <w:t xml:space="preserve"> in June 2020 that 30 per</w:t>
      </w:r>
      <w:r>
        <w:t xml:space="preserve"> </w:t>
      </w:r>
      <w:r w:rsidRPr="00D67D65">
        <w:t xml:space="preserve">cent of </w:t>
      </w:r>
      <w:r>
        <w:t xml:space="preserve">West Bank </w:t>
      </w:r>
      <w:r w:rsidRPr="00D67D65">
        <w:t>households were under the poverty line, compared to 14 per</w:t>
      </w:r>
      <w:r>
        <w:t xml:space="preserve"> </w:t>
      </w:r>
      <w:r w:rsidRPr="00D67D65">
        <w:t xml:space="preserve">cent before COVID-19. </w:t>
      </w:r>
      <w:r w:rsidRPr="00893CE9">
        <w:t>In Gaza, the World Bank estimates as many as 64 per</w:t>
      </w:r>
      <w:r>
        <w:t xml:space="preserve"> </w:t>
      </w:r>
      <w:r w:rsidRPr="00893CE9">
        <w:t>cent of households now live below the poverty line.</w:t>
      </w:r>
    </w:p>
    <w:p w14:paraId="346303EE" w14:textId="77777777" w:rsidR="00E00658" w:rsidRDefault="00E00658" w:rsidP="00E453C0">
      <w:pPr>
        <w:widowControl w:val="0"/>
        <w:spacing w:before="60" w:after="120"/>
      </w:pPr>
      <w:r w:rsidRPr="00EC4228">
        <w:rPr>
          <w:lang w:val="en-AU"/>
        </w:rPr>
        <w:t xml:space="preserve">The </w:t>
      </w:r>
      <w:r>
        <w:t xml:space="preserve">Palestinian Authority </w:t>
      </w:r>
      <w:r w:rsidRPr="00EC4228">
        <w:rPr>
          <w:lang w:val="en-AU"/>
        </w:rPr>
        <w:t>Ministry of Finance is projecting a budget deficit of USD1.8 billion to USD2.4 billion for the 2020 fiscal year</w:t>
      </w:r>
      <w:r>
        <w:rPr>
          <w:lang w:val="en-AU"/>
        </w:rPr>
        <w:t xml:space="preserve">. </w:t>
      </w:r>
      <w:r>
        <w:t>A June 2020 report by the Office of the Quartet projects that the</w:t>
      </w:r>
      <w:r w:rsidRPr="00D67D65">
        <w:t xml:space="preserve"> economic slowdown </w:t>
      </w:r>
      <w:r>
        <w:t xml:space="preserve">will </w:t>
      </w:r>
      <w:r w:rsidRPr="00D67D65">
        <w:t xml:space="preserve">nearly double unemployment levels in the West Bank to 30 per cent, the highest </w:t>
      </w:r>
      <w:r>
        <w:t xml:space="preserve">it has been </w:t>
      </w:r>
      <w:r w:rsidRPr="00D67D65">
        <w:t xml:space="preserve">in 10 years. </w:t>
      </w:r>
      <w:r>
        <w:t>It is likely that t</w:t>
      </w:r>
      <w:r w:rsidRPr="00D67D65">
        <w:t xml:space="preserve">he </w:t>
      </w:r>
      <w:r>
        <w:t>Palestinian Authority will need to</w:t>
      </w:r>
      <w:r w:rsidRPr="00D67D65">
        <w:t xml:space="preserve"> </w:t>
      </w:r>
      <w:r>
        <w:t>severely cut expenditure on</w:t>
      </w:r>
      <w:r w:rsidRPr="00D67D65">
        <w:t xml:space="preserve"> </w:t>
      </w:r>
      <w:r>
        <w:t xml:space="preserve">service delivery </w:t>
      </w:r>
      <w:r w:rsidRPr="00D67D65">
        <w:t>such as education, with long-term ramifications for economic growth.</w:t>
      </w:r>
      <w:r w:rsidRPr="00893CE9">
        <w:t xml:space="preserve"> </w:t>
      </w:r>
    </w:p>
    <w:p w14:paraId="559A9CC3" w14:textId="7F1E563B" w:rsidR="00E00658" w:rsidRDefault="00E00658" w:rsidP="00E453C0">
      <w:pPr>
        <w:widowControl w:val="0"/>
        <w:spacing w:before="60" w:after="120"/>
      </w:pPr>
      <w:r w:rsidRPr="00A714C3">
        <w:t>The pandemic has</w:t>
      </w:r>
      <w:r>
        <w:t xml:space="preserve"> heightened levels of distress for</w:t>
      </w:r>
      <w:r w:rsidRPr="00A714C3">
        <w:t xml:space="preserve"> Palestinian families as the frail economy threatens livelihoods. The World Food Program</w:t>
      </w:r>
      <w:r w:rsidR="00EB22D4">
        <w:t>me</w:t>
      </w:r>
      <w:r w:rsidRPr="00A714C3">
        <w:t xml:space="preserve"> states that nearly a third of the population is food insecure (32.7 per cent). Women, women-headed households (11 per cent of all households) and children are the most affected by food insecurity. Around 7.4 per cent of children aged from six months to five years suffer from chronic malnutrition. UNRWA has reported an increase in violence against women and children during the COVID</w:t>
      </w:r>
      <w:r w:rsidR="00E453C0">
        <w:noBreakHyphen/>
      </w:r>
      <w:r w:rsidRPr="00A714C3">
        <w:t>19 lockdown. The crisis is</w:t>
      </w:r>
      <w:r>
        <w:t xml:space="preserve"> affecting</w:t>
      </w:r>
      <w:r w:rsidRPr="00A714C3">
        <w:t xml:space="preserve"> women’s livelihoods particularly </w:t>
      </w:r>
      <w:r>
        <w:t>badly</w:t>
      </w:r>
      <w:r w:rsidRPr="00A714C3">
        <w:t>, since most women work in the informal sector and small businesses. A survey conducted by Arab World for Research and Development shows 76 per cent of women had lost income due to the impacts of COVID-19, compared to 65 per cent of men.</w:t>
      </w:r>
    </w:p>
    <w:p w14:paraId="277CB820" w14:textId="77777777" w:rsidR="00166032" w:rsidRPr="00F251AC" w:rsidRDefault="00166032" w:rsidP="00F251AC">
      <w:pPr>
        <w:pStyle w:val="Heading2"/>
      </w:pPr>
      <w:r w:rsidRPr="00F251AC">
        <w:lastRenderedPageBreak/>
        <w:t xml:space="preserve">Australia’s Response </w:t>
      </w:r>
    </w:p>
    <w:p w14:paraId="76B06629" w14:textId="77777777" w:rsidR="00E00658" w:rsidRDefault="00E00658" w:rsidP="00E453C0">
      <w:pPr>
        <w:widowControl w:val="0"/>
        <w:spacing w:before="60" w:after="120"/>
        <w:rPr>
          <w:lang w:val="en-AU"/>
        </w:rPr>
      </w:pPr>
      <w:r>
        <w:rPr>
          <w:lang w:val="en-AU"/>
        </w:rPr>
        <w:t xml:space="preserve">Australia’s assistance </w:t>
      </w:r>
      <w:r w:rsidRPr="0098126B">
        <w:rPr>
          <w:lang w:val="en-AU"/>
        </w:rPr>
        <w:t xml:space="preserve">to the </w:t>
      </w:r>
      <w:r>
        <w:rPr>
          <w:lang w:val="en-AU"/>
        </w:rPr>
        <w:t xml:space="preserve">PTs </w:t>
      </w:r>
      <w:r w:rsidRPr="0098126B">
        <w:rPr>
          <w:lang w:val="en-AU"/>
        </w:rPr>
        <w:t>is</w:t>
      </w:r>
      <w:r>
        <w:rPr>
          <w:lang w:val="en-AU"/>
        </w:rPr>
        <w:t xml:space="preserve"> delivered in the context of Australia’s</w:t>
      </w:r>
      <w:r w:rsidRPr="0098126B">
        <w:rPr>
          <w:lang w:val="en-AU"/>
        </w:rPr>
        <w:t xml:space="preserve"> </w:t>
      </w:r>
      <w:r>
        <w:rPr>
          <w:lang w:val="en-AU"/>
        </w:rPr>
        <w:t>long-standing support for a two</w:t>
      </w:r>
      <w:r>
        <w:rPr>
          <w:lang w:val="en-AU"/>
        </w:rPr>
        <w:noBreakHyphen/>
      </w:r>
      <w:r w:rsidRPr="0098126B">
        <w:rPr>
          <w:lang w:val="en-AU"/>
        </w:rPr>
        <w:t>state solution, where Israel and a future Palestinian state co-exist in peace and security.</w:t>
      </w:r>
      <w:r w:rsidRPr="00B41DB0">
        <w:rPr>
          <w:lang w:val="en-AU"/>
        </w:rPr>
        <w:t xml:space="preserve"> </w:t>
      </w:r>
      <w:r>
        <w:rPr>
          <w:lang w:val="en-AU"/>
        </w:rPr>
        <w:t>G</w:t>
      </w:r>
      <w:proofErr w:type="spellStart"/>
      <w:r w:rsidRPr="00FD28CF">
        <w:t>ender</w:t>
      </w:r>
      <w:proofErr w:type="spellEnd"/>
      <w:r w:rsidRPr="00FD28CF">
        <w:t xml:space="preserve"> equality is </w:t>
      </w:r>
      <w:r>
        <w:t xml:space="preserve">a </w:t>
      </w:r>
      <w:r w:rsidRPr="00FD28CF">
        <w:t>cross</w:t>
      </w:r>
      <w:r>
        <w:noBreakHyphen/>
      </w:r>
      <w:r w:rsidRPr="00FD28CF">
        <w:t>cutting feature of this plan</w:t>
      </w:r>
      <w:r>
        <w:t xml:space="preserve">. </w:t>
      </w:r>
      <w:r w:rsidRPr="00FD28CF">
        <w:t>Australia will continue to monitor the implementation of gender- and d</w:t>
      </w:r>
      <w:r>
        <w:t>isability</w:t>
      </w:r>
      <w:r>
        <w:noBreakHyphen/>
        <w:t xml:space="preserve">inclusive </w:t>
      </w:r>
      <w:proofErr w:type="gramStart"/>
      <w:r>
        <w:t>activities,</w:t>
      </w:r>
      <w:r w:rsidRPr="00FD28CF">
        <w:t xml:space="preserve"> and</w:t>
      </w:r>
      <w:proofErr w:type="gramEnd"/>
      <w:r w:rsidRPr="00FD28CF">
        <w:t xml:space="preserve"> consider supporting direct activities in these areas.</w:t>
      </w:r>
    </w:p>
    <w:p w14:paraId="684C181F" w14:textId="77777777" w:rsidR="00166032" w:rsidRPr="00F251AC" w:rsidRDefault="00166032" w:rsidP="00F251AC">
      <w:pPr>
        <w:pStyle w:val="Heading3"/>
      </w:pPr>
      <w:r w:rsidRPr="00F251AC">
        <w:t>Health Security</w:t>
      </w:r>
    </w:p>
    <w:p w14:paraId="4A464663" w14:textId="6995D349" w:rsidR="00E00658" w:rsidRDefault="00E00658" w:rsidP="00E453C0">
      <w:pPr>
        <w:pStyle w:val="BodyText"/>
        <w:widowControl w:val="0"/>
        <w:spacing w:before="60" w:after="120"/>
        <w:rPr>
          <w:lang w:val="en-AU"/>
        </w:rPr>
      </w:pPr>
      <w:r w:rsidRPr="007763CA">
        <w:rPr>
          <w:lang w:val="en-AU"/>
        </w:rPr>
        <w:t xml:space="preserve">We are </w:t>
      </w:r>
      <w:r w:rsidR="002E79D1" w:rsidRPr="007763CA">
        <w:rPr>
          <w:lang w:val="en-AU"/>
        </w:rPr>
        <w:t xml:space="preserve">providing funding to </w:t>
      </w:r>
      <w:r w:rsidRPr="007763CA">
        <w:rPr>
          <w:lang w:val="en-AU"/>
        </w:rPr>
        <w:t>UNRWA and the ICRC</w:t>
      </w:r>
      <w:r w:rsidR="002E79D1" w:rsidRPr="007763CA">
        <w:rPr>
          <w:lang w:val="en-AU"/>
        </w:rPr>
        <w:t>. These partners are key</w:t>
      </w:r>
      <w:r w:rsidRPr="007763CA">
        <w:rPr>
          <w:lang w:val="en-AU"/>
        </w:rPr>
        <w:t xml:space="preserve"> to deliver</w:t>
      </w:r>
      <w:r w:rsidR="002E79D1" w:rsidRPr="007763CA">
        <w:rPr>
          <w:lang w:val="en-AU"/>
        </w:rPr>
        <w:t>ing</w:t>
      </w:r>
      <w:r w:rsidRPr="007763CA">
        <w:rPr>
          <w:lang w:val="en-AU"/>
        </w:rPr>
        <w:t xml:space="preserve"> adequate health services to vulnerable </w:t>
      </w:r>
      <w:proofErr w:type="gramStart"/>
      <w:r w:rsidRPr="007763CA">
        <w:rPr>
          <w:lang w:val="en-AU"/>
        </w:rPr>
        <w:t>Palestinians</w:t>
      </w:r>
      <w:r w:rsidR="002E79D1" w:rsidRPr="007763CA">
        <w:rPr>
          <w:lang w:val="en-AU"/>
        </w:rPr>
        <w:t>, and</w:t>
      </w:r>
      <w:proofErr w:type="gramEnd"/>
      <w:r w:rsidR="002E79D1" w:rsidRPr="007763CA">
        <w:rPr>
          <w:lang w:val="en-AU"/>
        </w:rPr>
        <w:t xml:space="preserve"> are </w:t>
      </w:r>
      <w:r w:rsidRPr="007763CA">
        <w:rPr>
          <w:lang w:val="en-AU"/>
        </w:rPr>
        <w:t>frontline responders to the immediate impacts of COVID</w:t>
      </w:r>
      <w:r w:rsidRPr="007763CA">
        <w:rPr>
          <w:lang w:val="en-AU"/>
        </w:rPr>
        <w:noBreakHyphen/>
        <w:t xml:space="preserve">19 in the </w:t>
      </w:r>
      <w:proofErr w:type="spellStart"/>
      <w:r w:rsidRPr="007763CA">
        <w:rPr>
          <w:lang w:val="en-AU"/>
        </w:rPr>
        <w:t>PTs.</w:t>
      </w:r>
      <w:proofErr w:type="spellEnd"/>
      <w:r w:rsidRPr="0098126B">
        <w:rPr>
          <w:lang w:val="en-AU"/>
        </w:rPr>
        <w:t xml:space="preserve"> </w:t>
      </w:r>
      <w:r>
        <w:rPr>
          <w:lang w:val="en-AU"/>
        </w:rPr>
        <w:t xml:space="preserve">Australian support to these partners has been flexible, enabling them </w:t>
      </w:r>
      <w:r w:rsidRPr="0098126B">
        <w:rPr>
          <w:lang w:val="en-AU"/>
        </w:rPr>
        <w:t xml:space="preserve">to respond to </w:t>
      </w:r>
      <w:r>
        <w:rPr>
          <w:lang w:val="en-AU"/>
        </w:rPr>
        <w:t>the emerging needs and priorities created by the pandemic.</w:t>
      </w:r>
      <w:r w:rsidRPr="0098126B">
        <w:rPr>
          <w:lang w:val="en-AU"/>
        </w:rPr>
        <w:t xml:space="preserve"> Australia’s multi-year Partner</w:t>
      </w:r>
      <w:r>
        <w:rPr>
          <w:lang w:val="en-AU"/>
        </w:rPr>
        <w:t>ship Framework with UNRWA (2016</w:t>
      </w:r>
      <w:r>
        <w:rPr>
          <w:lang w:val="en-AU"/>
        </w:rPr>
        <w:noBreakHyphen/>
      </w:r>
      <w:r w:rsidRPr="0098126B">
        <w:rPr>
          <w:lang w:val="en-AU"/>
        </w:rPr>
        <w:t xml:space="preserve">2020) </w:t>
      </w:r>
      <w:r>
        <w:rPr>
          <w:lang w:val="en-AU"/>
        </w:rPr>
        <w:t xml:space="preserve">provides </w:t>
      </w:r>
      <w:r w:rsidRPr="0098126B">
        <w:rPr>
          <w:lang w:val="en-AU"/>
        </w:rPr>
        <w:t xml:space="preserve">funding and planning certainty for </w:t>
      </w:r>
      <w:r>
        <w:rPr>
          <w:lang w:val="en-AU"/>
        </w:rPr>
        <w:t>UNRWA at this crucial time</w:t>
      </w:r>
      <w:r w:rsidRPr="0098126B">
        <w:rPr>
          <w:lang w:val="en-AU"/>
        </w:rPr>
        <w:t xml:space="preserve">. With its frontline staff of doctors, nurses, teachers and sanitation workers, UNRWA </w:t>
      </w:r>
      <w:r>
        <w:rPr>
          <w:lang w:val="en-AU"/>
        </w:rPr>
        <w:t xml:space="preserve">has been </w:t>
      </w:r>
      <w:r w:rsidRPr="0098126B">
        <w:rPr>
          <w:lang w:val="en-AU"/>
        </w:rPr>
        <w:t>vital to limiting the spread of the virus in the PTs and across the region. For example,</w:t>
      </w:r>
      <w:r>
        <w:rPr>
          <w:lang w:val="en-AU"/>
        </w:rPr>
        <w:t xml:space="preserve"> it</w:t>
      </w:r>
      <w:r w:rsidRPr="0098126B">
        <w:rPr>
          <w:lang w:val="en-AU"/>
        </w:rPr>
        <w:t xml:space="preserve"> shifted to telemedicine and remote education</w:t>
      </w:r>
      <w:r>
        <w:rPr>
          <w:lang w:val="en-AU"/>
        </w:rPr>
        <w:t xml:space="preserve"> quickly, contributing</w:t>
      </w:r>
      <w:r w:rsidRPr="0098126B">
        <w:rPr>
          <w:lang w:val="en-AU"/>
        </w:rPr>
        <w:t xml:space="preserve"> to </w:t>
      </w:r>
      <w:r>
        <w:rPr>
          <w:lang w:val="en-AU"/>
        </w:rPr>
        <w:t xml:space="preserve">early </w:t>
      </w:r>
      <w:r w:rsidRPr="0098126B">
        <w:rPr>
          <w:lang w:val="en-AU"/>
        </w:rPr>
        <w:t>containment of the virus in crowded refugee camps.</w:t>
      </w:r>
    </w:p>
    <w:p w14:paraId="050717BD" w14:textId="3ECD43A3" w:rsidR="00E00658" w:rsidRDefault="002E79D1" w:rsidP="00E453C0">
      <w:pPr>
        <w:widowControl w:val="0"/>
        <w:spacing w:before="60" w:after="120"/>
        <w:rPr>
          <w:lang w:val="en-AU"/>
        </w:rPr>
      </w:pPr>
      <w:r>
        <w:rPr>
          <w:lang w:val="en-AU"/>
        </w:rPr>
        <w:t xml:space="preserve">The </w:t>
      </w:r>
      <w:r w:rsidR="00E00658">
        <w:rPr>
          <w:lang w:val="en-AU"/>
        </w:rPr>
        <w:t>ICRC</w:t>
      </w:r>
      <w:r>
        <w:rPr>
          <w:lang w:val="en-AU"/>
        </w:rPr>
        <w:t>’s</w:t>
      </w:r>
      <w:r w:rsidR="00E00658">
        <w:rPr>
          <w:lang w:val="en-AU"/>
        </w:rPr>
        <w:t xml:space="preserve"> response to COVID-19 includ</w:t>
      </w:r>
      <w:r>
        <w:rPr>
          <w:lang w:val="en-AU"/>
        </w:rPr>
        <w:t>es</w:t>
      </w:r>
      <w:r w:rsidR="00E00658">
        <w:rPr>
          <w:lang w:val="en-AU"/>
        </w:rPr>
        <w:t xml:space="preserve"> </w:t>
      </w:r>
      <w:r w:rsidR="00E00658" w:rsidRPr="0098126B">
        <w:rPr>
          <w:lang w:val="en-AU"/>
        </w:rPr>
        <w:t>provi</w:t>
      </w:r>
      <w:r w:rsidR="00E00658">
        <w:rPr>
          <w:lang w:val="en-AU"/>
        </w:rPr>
        <w:t>ding PPE equipment and supplies for quarantine centres</w:t>
      </w:r>
      <w:r w:rsidR="00E00658" w:rsidRPr="0098126B">
        <w:rPr>
          <w:lang w:val="en-AU"/>
        </w:rPr>
        <w:t xml:space="preserve"> and hospital intensive care units. </w:t>
      </w:r>
      <w:r w:rsidR="00E00658">
        <w:rPr>
          <w:lang w:val="en-AU"/>
        </w:rPr>
        <w:t xml:space="preserve">With Australian support, the </w:t>
      </w:r>
      <w:r w:rsidR="00E00658" w:rsidRPr="00622734">
        <w:t>UN Office for Project Services</w:t>
      </w:r>
      <w:r w:rsidR="00E00658">
        <w:t>’</w:t>
      </w:r>
      <w:r w:rsidR="00E00658" w:rsidRPr="00622734">
        <w:t xml:space="preserve"> (UNOPS)</w:t>
      </w:r>
      <w:r w:rsidR="00E00658">
        <w:t xml:space="preserve"> Project Management Unit</w:t>
      </w:r>
      <w:r w:rsidR="00E00658" w:rsidRPr="00622734">
        <w:t xml:space="preserve"> and Access C</w:t>
      </w:r>
      <w:r w:rsidR="00E00658">
        <w:t xml:space="preserve">oordination Unit </w:t>
      </w:r>
      <w:r w:rsidR="00E00658">
        <w:rPr>
          <w:lang w:val="en-AU"/>
        </w:rPr>
        <w:t>provide crucial logistics expertise to ensure efficient entry of goods (</w:t>
      </w:r>
      <w:r w:rsidR="00E00658" w:rsidRPr="00090C62">
        <w:rPr>
          <w:lang w:val="en-AU"/>
        </w:rPr>
        <w:t>including COVID-19 medical supplies</w:t>
      </w:r>
      <w:r w:rsidR="00E00658">
        <w:rPr>
          <w:lang w:val="en-AU"/>
        </w:rPr>
        <w:t>) and critical international personnel into Gaza. The</w:t>
      </w:r>
      <w:r w:rsidR="00E00658" w:rsidRPr="00A52096">
        <w:rPr>
          <w:lang w:val="en-AU"/>
        </w:rPr>
        <w:t xml:space="preserve"> Australian Government, through DFAT and the </w:t>
      </w:r>
      <w:r w:rsidR="00E00658" w:rsidRPr="00A52096">
        <w:t xml:space="preserve">Department of Health, </w:t>
      </w:r>
      <w:r w:rsidR="00E00658">
        <w:rPr>
          <w:lang w:val="en-AU"/>
        </w:rPr>
        <w:t xml:space="preserve">supported </w:t>
      </w:r>
      <w:r w:rsidR="00E00658" w:rsidRPr="00A52096">
        <w:rPr>
          <w:lang w:val="en-AU"/>
        </w:rPr>
        <w:t xml:space="preserve">Australian NGO Project </w:t>
      </w:r>
      <w:proofErr w:type="spellStart"/>
      <w:r w:rsidR="00E00658" w:rsidRPr="00A52096">
        <w:rPr>
          <w:lang w:val="en-AU"/>
        </w:rPr>
        <w:t>Rozana</w:t>
      </w:r>
      <w:proofErr w:type="spellEnd"/>
      <w:r w:rsidR="00E00658" w:rsidRPr="00A52096">
        <w:rPr>
          <w:lang w:val="en-AU"/>
        </w:rPr>
        <w:t xml:space="preserve"> </w:t>
      </w:r>
      <w:r w:rsidR="00E00658">
        <w:rPr>
          <w:lang w:val="en-AU"/>
        </w:rPr>
        <w:t xml:space="preserve">to dispatch </w:t>
      </w:r>
      <w:r w:rsidR="00E00658" w:rsidRPr="00A52096">
        <w:rPr>
          <w:lang w:val="en-AU"/>
        </w:rPr>
        <w:t xml:space="preserve">20 ventilators to the </w:t>
      </w:r>
      <w:proofErr w:type="spellStart"/>
      <w:r w:rsidR="00E00658" w:rsidRPr="00A52096">
        <w:rPr>
          <w:lang w:val="en-AU"/>
        </w:rPr>
        <w:t>PTs.</w:t>
      </w:r>
      <w:proofErr w:type="spellEnd"/>
    </w:p>
    <w:p w14:paraId="7C2663FB" w14:textId="77777777" w:rsidR="00E00658" w:rsidRDefault="00E00658" w:rsidP="00F251AC">
      <w:pPr>
        <w:pStyle w:val="Heading3"/>
        <w:rPr>
          <w:lang w:val="en-AU"/>
        </w:rPr>
      </w:pPr>
      <w:r>
        <w:rPr>
          <w:lang w:val="en-AU"/>
        </w:rPr>
        <w:t>Stability</w:t>
      </w:r>
    </w:p>
    <w:p w14:paraId="67D68878" w14:textId="02AF8721" w:rsidR="00E00658" w:rsidRPr="008B6662" w:rsidRDefault="00E00658" w:rsidP="00E453C0">
      <w:pPr>
        <w:widowControl w:val="0"/>
        <w:spacing w:before="60" w:after="120"/>
        <w:rPr>
          <w:b/>
          <w:i/>
          <w:lang w:val="en-AU"/>
        </w:rPr>
      </w:pPr>
      <w:r w:rsidRPr="00257126">
        <w:rPr>
          <w:lang w:val="en-AU"/>
        </w:rPr>
        <w:t xml:space="preserve">Australia is working with </w:t>
      </w:r>
      <w:r>
        <w:rPr>
          <w:lang w:val="en-AU"/>
        </w:rPr>
        <w:t xml:space="preserve">a range of </w:t>
      </w:r>
      <w:r w:rsidRPr="00257126">
        <w:rPr>
          <w:lang w:val="en-AU"/>
        </w:rPr>
        <w:t>partners to ensure food security</w:t>
      </w:r>
      <w:r>
        <w:rPr>
          <w:lang w:val="en-AU"/>
        </w:rPr>
        <w:t xml:space="preserve">, </w:t>
      </w:r>
      <w:r w:rsidRPr="00257126">
        <w:rPr>
          <w:lang w:val="en-AU"/>
        </w:rPr>
        <w:t>social protection</w:t>
      </w:r>
      <w:r>
        <w:rPr>
          <w:lang w:val="en-AU"/>
        </w:rPr>
        <w:t xml:space="preserve"> mechanisms for refugees, appropriate referral systems for survivors of domestic violence during the pandemic, </w:t>
      </w:r>
      <w:r w:rsidRPr="00257126">
        <w:rPr>
          <w:lang w:val="en-AU"/>
        </w:rPr>
        <w:t xml:space="preserve">and </w:t>
      </w:r>
      <w:r>
        <w:rPr>
          <w:lang w:val="en-AU"/>
        </w:rPr>
        <w:t xml:space="preserve">access to </w:t>
      </w:r>
      <w:r w:rsidRPr="00257126">
        <w:rPr>
          <w:lang w:val="en-AU"/>
        </w:rPr>
        <w:t xml:space="preserve">clean water and sanitation </w:t>
      </w:r>
      <w:r>
        <w:rPr>
          <w:lang w:val="en-AU"/>
        </w:rPr>
        <w:t>to at-risk populations in Gaza.</w:t>
      </w:r>
      <w:r w:rsidRPr="00232BF2">
        <w:t xml:space="preserve"> </w:t>
      </w:r>
    </w:p>
    <w:p w14:paraId="2C3E6033" w14:textId="77777777" w:rsidR="00166032" w:rsidRPr="00F251AC" w:rsidRDefault="00166032" w:rsidP="00F251AC">
      <w:pPr>
        <w:pStyle w:val="Heading3"/>
      </w:pPr>
      <w:r w:rsidRPr="00F251AC">
        <w:t>Economic Recovery</w:t>
      </w:r>
    </w:p>
    <w:p w14:paraId="6FFD60FC" w14:textId="77777777" w:rsidR="00E00658" w:rsidRDefault="00E00658" w:rsidP="00E453C0">
      <w:pPr>
        <w:widowControl w:val="0"/>
        <w:spacing w:before="60" w:after="120"/>
        <w:rPr>
          <w:lang w:val="en-AU"/>
        </w:rPr>
      </w:pPr>
      <w:r>
        <w:rPr>
          <w:lang w:val="en-AU"/>
        </w:rPr>
        <w:t xml:space="preserve">While there is limited business engagement between Australia and the PTs, Australia is an important source of </w:t>
      </w:r>
      <w:r>
        <w:rPr>
          <w:lang w:val="en-AU"/>
        </w:rPr>
        <w:t xml:space="preserve">imported food (such as rice and frozen meat). These imported goods contribute to food security, particularly in the West Bank. </w:t>
      </w:r>
    </w:p>
    <w:p w14:paraId="667EA94B" w14:textId="77777777" w:rsidR="00E00658" w:rsidRDefault="00E00658" w:rsidP="00E453C0">
      <w:pPr>
        <w:widowControl w:val="0"/>
        <w:spacing w:before="60" w:after="120"/>
      </w:pPr>
      <w:r>
        <w:rPr>
          <w:lang w:val="en-AU"/>
        </w:rPr>
        <w:t>Australia’s support through the</w:t>
      </w:r>
      <w:r w:rsidRPr="0098126B">
        <w:rPr>
          <w:lang w:val="en-AU"/>
        </w:rPr>
        <w:t xml:space="preserve"> </w:t>
      </w:r>
      <w:r>
        <w:rPr>
          <w:lang w:val="en-AU"/>
        </w:rPr>
        <w:t>Australia Middle East NGO Cooperation Agreement Phase 3 (</w:t>
      </w:r>
      <w:r w:rsidRPr="0098126B">
        <w:rPr>
          <w:lang w:val="en-AU"/>
        </w:rPr>
        <w:t>AMENCA 3</w:t>
      </w:r>
      <w:r>
        <w:rPr>
          <w:lang w:val="en-AU"/>
        </w:rPr>
        <w:t>)</w:t>
      </w:r>
      <w:r w:rsidRPr="0098126B">
        <w:rPr>
          <w:lang w:val="en-AU"/>
        </w:rPr>
        <w:t xml:space="preserve"> market systems development program</w:t>
      </w:r>
      <w:r>
        <w:rPr>
          <w:lang w:val="en-AU"/>
        </w:rPr>
        <w:t xml:space="preserve"> is assisting </w:t>
      </w:r>
      <w:r w:rsidRPr="0098126B">
        <w:rPr>
          <w:lang w:val="en-AU"/>
        </w:rPr>
        <w:t>Palestinian farmers to ensure food securit</w:t>
      </w:r>
      <w:r>
        <w:rPr>
          <w:lang w:val="en-AU"/>
        </w:rPr>
        <w:t>y in the wake of lockdown and</w:t>
      </w:r>
      <w:r w:rsidRPr="0098126B">
        <w:rPr>
          <w:lang w:val="en-AU"/>
        </w:rPr>
        <w:t xml:space="preserve"> combat the</w:t>
      </w:r>
      <w:r>
        <w:rPr>
          <w:lang w:val="en-AU"/>
        </w:rPr>
        <w:t xml:space="preserve"> pandemic’s</w:t>
      </w:r>
      <w:r w:rsidRPr="0098126B">
        <w:rPr>
          <w:lang w:val="en-AU"/>
        </w:rPr>
        <w:t xml:space="preserve"> econo</w:t>
      </w:r>
      <w:r>
        <w:rPr>
          <w:lang w:val="en-AU"/>
        </w:rPr>
        <w:t>mic fallout. The program is pivoting approximately</w:t>
      </w:r>
      <w:r w:rsidRPr="00023524">
        <w:rPr>
          <w:lang w:val="en-AU"/>
        </w:rPr>
        <w:t xml:space="preserve"> 27 per cent of its resources to addressing COVID-19 this calendar year</w:t>
      </w:r>
      <w:r>
        <w:rPr>
          <w:lang w:val="en-AU"/>
        </w:rPr>
        <w:t>.</w:t>
      </w:r>
      <w:r w:rsidRPr="00023524" w:rsidDel="00EF23A1">
        <w:t xml:space="preserve"> </w:t>
      </w:r>
    </w:p>
    <w:p w14:paraId="243184EE" w14:textId="77777777" w:rsidR="00E00658" w:rsidRPr="00F114B0" w:rsidRDefault="00E00658" w:rsidP="00E453C0">
      <w:pPr>
        <w:widowControl w:val="0"/>
        <w:spacing w:before="60" w:after="120"/>
      </w:pPr>
      <w:r>
        <w:t xml:space="preserve">The Australia Awards program will contribute </w:t>
      </w:r>
      <w:r w:rsidRPr="00F114B0">
        <w:t xml:space="preserve">to the education of future leaders in </w:t>
      </w:r>
      <w:r>
        <w:t>areas of economic recovery and long</w:t>
      </w:r>
      <w:r>
        <w:noBreakHyphen/>
      </w:r>
      <w:r w:rsidRPr="00F114B0">
        <w:t>term resilience (</w:t>
      </w:r>
      <w:r>
        <w:t xml:space="preserve">including the </w:t>
      </w:r>
      <w:r w:rsidRPr="00F114B0">
        <w:rPr>
          <w:lang w:val="en-AU"/>
        </w:rPr>
        <w:t>agriculture, public policy and water</w:t>
      </w:r>
      <w:r w:rsidRPr="00F114B0">
        <w:t xml:space="preserve"> sectors). </w:t>
      </w:r>
      <w:r>
        <w:t xml:space="preserve">We continue to support </w:t>
      </w:r>
      <w:proofErr w:type="gramStart"/>
      <w:r>
        <w:t xml:space="preserve">a </w:t>
      </w:r>
      <w:r w:rsidRPr="00F114B0">
        <w:t>number of</w:t>
      </w:r>
      <w:proofErr w:type="gramEnd"/>
      <w:r w:rsidRPr="00F114B0">
        <w:t xml:space="preserve"> scholars </w:t>
      </w:r>
      <w:r>
        <w:t xml:space="preserve">who </w:t>
      </w:r>
      <w:r w:rsidRPr="00F114B0">
        <w:t>remain in Austr</w:t>
      </w:r>
      <w:r>
        <w:t>alia completing their studies.</w:t>
      </w:r>
    </w:p>
    <w:p w14:paraId="1AC55A68" w14:textId="77777777" w:rsidR="001C1268" w:rsidRPr="00F251AC" w:rsidRDefault="001C1268" w:rsidP="00F251AC">
      <w:pPr>
        <w:pStyle w:val="Heading2"/>
      </w:pPr>
      <w:r w:rsidRPr="00F251AC">
        <w:t>HOW WE WILL WORK</w:t>
      </w:r>
    </w:p>
    <w:p w14:paraId="202A073F" w14:textId="77777777" w:rsidR="001C1268" w:rsidRPr="00BD6A34" w:rsidRDefault="001C1268" w:rsidP="00E453C0">
      <w:pPr>
        <w:widowControl w:val="0"/>
        <w:spacing w:before="60" w:after="120" w:line="260" w:lineRule="exact"/>
        <w:rPr>
          <w:lang w:val="en-AU"/>
        </w:rPr>
      </w:pPr>
      <w:r w:rsidRPr="00BD6A34">
        <w:t xml:space="preserve">While links between the Australian and Palestinian communities are not large, they are well established: there is a </w:t>
      </w:r>
      <w:r w:rsidRPr="00BD6A34">
        <w:rPr>
          <w:lang w:val="en-AU"/>
        </w:rPr>
        <w:t>history of long</w:t>
      </w:r>
      <w:r w:rsidRPr="00BD6A34">
        <w:rPr>
          <w:lang w:val="en-AU"/>
        </w:rPr>
        <w:noBreakHyphen/>
        <w:t xml:space="preserve">term engagement between Australian and Palestinian NGOs and education institutions </w:t>
      </w:r>
      <w:r w:rsidRPr="00BD6A34">
        <w:t>– sponsored</w:t>
      </w:r>
      <w:r w:rsidRPr="00BD6A34">
        <w:rPr>
          <w:lang w:val="en-AU"/>
        </w:rPr>
        <w:t xml:space="preserve"> Palestinian students have been studying at Australian universities for over a decade. </w:t>
      </w:r>
    </w:p>
    <w:p w14:paraId="0764CFF6" w14:textId="77777777" w:rsidR="001C1268" w:rsidRDefault="001C1268" w:rsidP="00E453C0">
      <w:pPr>
        <w:widowControl w:val="0"/>
        <w:spacing w:before="60" w:after="120" w:line="260" w:lineRule="exact"/>
        <w:rPr>
          <w:lang w:val="en-AU"/>
        </w:rPr>
      </w:pPr>
      <w:r w:rsidRPr="00BD6A34">
        <w:t>While much Australian support is delivered through multilateral organisations, Australian and Palestinian NGOs remain important development and humanitarian partners. Through the Australian NGO Cooperation Program (ANCP), we will support health security (including eye health) and stability.</w:t>
      </w:r>
      <w:r w:rsidRPr="00BD6A34">
        <w:rPr>
          <w:lang w:val="en-AU"/>
        </w:rPr>
        <w:t xml:space="preserve"> The Australian government-funded NGOs working in the PTs include CARE, Oxfam, APHEDA, the Fred Hollows Foundation, Anglican Overseas Aid, ActionAid and Act for Peace. </w:t>
      </w:r>
      <w:r w:rsidRPr="00BD6A34">
        <w:t xml:space="preserve">Their </w:t>
      </w:r>
      <w:r w:rsidRPr="00BD6A34">
        <w:rPr>
          <w:lang w:val="en-AU"/>
        </w:rPr>
        <w:t>inclusive practices ensure response activities address the needs of women, children and people with disability.</w:t>
      </w:r>
    </w:p>
    <w:p w14:paraId="418ABC33" w14:textId="113AB46B" w:rsidR="001C1268" w:rsidRDefault="001C1268" w:rsidP="00C74E2F">
      <w:pPr>
        <w:widowControl w:val="0"/>
        <w:spacing w:before="60" w:line="260" w:lineRule="exact"/>
      </w:pPr>
      <w:r w:rsidRPr="00BD6A34">
        <w:rPr>
          <w:lang w:val="en-AU"/>
        </w:rPr>
        <w:t xml:space="preserve">We will continue to participate in the biannual meetings of the Ad Hoc Liaison Committee (AHLC), the Ministerial/Senior Official level mechanism coordinating development assistance to the PTs and promoting dialogue between donors, the Palestinian Authority and the Government of Israel. This meeting - involving Israel and the Palestinians - provides an ongoing forum for Australia to advocate for and promote stability and economic growth, particularly during COVID-19. </w:t>
      </w:r>
      <w:r w:rsidRPr="00BD6A34">
        <w:t>As we program future funding, we will assess other agencies as potential partners in the ongoing joint effort to respond to the impact of the COVID-19 pandemic.</w:t>
      </w:r>
    </w:p>
    <w:p w14:paraId="1B112FA3" w14:textId="1F411A2A" w:rsidR="00E453C0" w:rsidRDefault="001C1268" w:rsidP="00C74E2F">
      <w:pPr>
        <w:widowControl w:val="0"/>
        <w:spacing w:before="40" w:after="120" w:line="270" w:lineRule="exact"/>
        <w:sectPr w:rsidR="00E453C0" w:rsidSect="00B7685A">
          <w:headerReference w:type="first" r:id="rId12"/>
          <w:type w:val="continuous"/>
          <w:pgSz w:w="11906" w:h="16838" w:code="9"/>
          <w:pgMar w:top="1559" w:right="680" w:bottom="1418" w:left="680" w:header="425" w:footer="567" w:gutter="0"/>
          <w:cols w:num="2" w:space="397"/>
          <w:titlePg/>
          <w:docGrid w:linePitch="360"/>
        </w:sectPr>
      </w:pPr>
      <w:r w:rsidRPr="00BD6A34">
        <w:rPr>
          <w:lang w:val="en-AU"/>
        </w:rPr>
        <w:t xml:space="preserve">The PTs is a complex operating environment, with a commensurate high-risk profile. DFAT will continue to </w:t>
      </w:r>
      <w:r w:rsidRPr="00BD6A34">
        <w:rPr>
          <w:lang w:val="en-AU"/>
        </w:rPr>
        <w:lastRenderedPageBreak/>
        <w:t>prioritise maintaining appropriate oversight of all activities. This includes regularly monitoring</w:t>
      </w:r>
      <w:r w:rsidR="00002802">
        <w:rPr>
          <w:lang w:val="en-AU"/>
        </w:rPr>
        <w:t xml:space="preserve"> </w:t>
      </w:r>
      <w:r w:rsidRPr="00BD6A34">
        <w:rPr>
          <w:lang w:val="en-AU"/>
        </w:rPr>
        <w:t xml:space="preserve">and evaluating DFAT’s own systems and processes to assure that risk is effectively </w:t>
      </w:r>
      <w:proofErr w:type="gramStart"/>
      <w:r w:rsidRPr="00BD6A34">
        <w:rPr>
          <w:lang w:val="en-AU"/>
        </w:rPr>
        <w:t>managed, and</w:t>
      </w:r>
      <w:proofErr w:type="gramEnd"/>
      <w:r w:rsidRPr="00BD6A34">
        <w:rPr>
          <w:lang w:val="en-AU"/>
        </w:rPr>
        <w:t xml:space="preserve"> building strong accountability measures into the systems and process of implementing partners. </w:t>
      </w:r>
      <w:r w:rsidRPr="00BD6A34">
        <w:t>DFAT works to ensure that none of its resources are used, directly or indirectly, to support individuals or organisations associated with terrorism. Our implementing partners are required to ensure</w:t>
      </w:r>
      <w:r w:rsidR="00B7685A">
        <w:t xml:space="preserve"> </w:t>
      </w:r>
      <w:r w:rsidRPr="00BD6A34">
        <w:t xml:space="preserve">resources are not </w:t>
      </w:r>
      <w:r w:rsidR="00845ECD">
        <w:t>diverted</w:t>
      </w:r>
      <w:r w:rsidR="00845ECD" w:rsidRPr="00BD6A34">
        <w:t xml:space="preserve"> </w:t>
      </w:r>
      <w:r w:rsidRPr="00BD6A34">
        <w:t>to support terrorism</w:t>
      </w:r>
      <w:r w:rsidR="00B7685A">
        <w:t>.</w:t>
      </w:r>
    </w:p>
    <w:p w14:paraId="4183DA24" w14:textId="14E04514" w:rsidR="001C1268" w:rsidRDefault="00214FF8" w:rsidP="00214FF8">
      <w:pPr>
        <w:pStyle w:val="Heading2"/>
      </w:pPr>
      <w:r w:rsidRPr="002945C4">
        <w:lastRenderedPageBreak/>
        <w:t>Table 1: COVID-19 Response Plan Performance Framework</w:t>
      </w:r>
    </w:p>
    <w:tbl>
      <w:tblPr>
        <w:tblStyle w:val="TableGrid"/>
        <w:tblW w:w="10773" w:type="dxa"/>
        <w:tblInd w:w="-572" w:type="dxa"/>
        <w:tblLook w:val="04A0" w:firstRow="1" w:lastRow="0" w:firstColumn="1" w:lastColumn="0" w:noHBand="0" w:noVBand="1"/>
      </w:tblPr>
      <w:tblGrid>
        <w:gridCol w:w="1843"/>
        <w:gridCol w:w="2835"/>
        <w:gridCol w:w="3328"/>
        <w:gridCol w:w="2767"/>
      </w:tblGrid>
      <w:tr w:rsidR="00214FF8" w14:paraId="06DA445A" w14:textId="77777777" w:rsidTr="00214FF8">
        <w:trPr>
          <w:tblHeader/>
        </w:trPr>
        <w:tc>
          <w:tcPr>
            <w:tcW w:w="1843" w:type="dxa"/>
            <w:shd w:val="clear" w:color="auto" w:fill="65C5B4" w:themeFill="accent1"/>
            <w:vAlign w:val="center"/>
          </w:tcPr>
          <w:p w14:paraId="4CFFA856" w14:textId="06208DA4" w:rsidR="00214FF8" w:rsidRDefault="00214FF8" w:rsidP="00214FF8">
            <w:pPr>
              <w:spacing w:after="120"/>
              <w:jc w:val="center"/>
            </w:pPr>
            <w:r w:rsidRPr="00F251AC">
              <w:rPr>
                <w:b/>
                <w:color w:val="000000" w:themeColor="text1"/>
                <w:sz w:val="20"/>
                <w:szCs w:val="20"/>
              </w:rPr>
              <w:t>Response Plan</w:t>
            </w:r>
          </w:p>
        </w:tc>
        <w:tc>
          <w:tcPr>
            <w:tcW w:w="2835" w:type="dxa"/>
            <w:shd w:val="clear" w:color="auto" w:fill="65C5B4" w:themeFill="accent1"/>
            <w:vAlign w:val="center"/>
          </w:tcPr>
          <w:p w14:paraId="06E9D39F" w14:textId="29E67C75" w:rsidR="00214FF8" w:rsidRDefault="00214FF8" w:rsidP="00214FF8">
            <w:pPr>
              <w:spacing w:after="120"/>
              <w:jc w:val="center"/>
            </w:pPr>
            <w:r w:rsidRPr="00F251AC">
              <w:rPr>
                <w:b/>
                <w:color w:val="000000" w:themeColor="text1"/>
                <w:sz w:val="20"/>
                <w:szCs w:val="20"/>
              </w:rPr>
              <w:t>Health Security</w:t>
            </w:r>
          </w:p>
        </w:tc>
        <w:tc>
          <w:tcPr>
            <w:tcW w:w="3328" w:type="dxa"/>
            <w:shd w:val="clear" w:color="auto" w:fill="65C5B4" w:themeFill="accent1"/>
            <w:vAlign w:val="center"/>
          </w:tcPr>
          <w:p w14:paraId="53682F36" w14:textId="0A4170F8" w:rsidR="00214FF8" w:rsidRDefault="00214FF8" w:rsidP="00214FF8">
            <w:pPr>
              <w:spacing w:after="120"/>
              <w:jc w:val="center"/>
            </w:pPr>
            <w:r w:rsidRPr="00F251AC">
              <w:rPr>
                <w:b/>
                <w:color w:val="000000" w:themeColor="text1"/>
                <w:sz w:val="20"/>
                <w:szCs w:val="20"/>
              </w:rPr>
              <w:t>Stability</w:t>
            </w:r>
          </w:p>
        </w:tc>
        <w:tc>
          <w:tcPr>
            <w:tcW w:w="2767" w:type="dxa"/>
            <w:shd w:val="clear" w:color="auto" w:fill="65C5B4" w:themeFill="accent1"/>
            <w:vAlign w:val="center"/>
          </w:tcPr>
          <w:p w14:paraId="5EE80A26" w14:textId="0B97931E" w:rsidR="00214FF8" w:rsidRDefault="00214FF8" w:rsidP="00214FF8">
            <w:pPr>
              <w:spacing w:after="120"/>
              <w:jc w:val="center"/>
            </w:pPr>
            <w:r w:rsidRPr="00F251AC">
              <w:rPr>
                <w:b/>
                <w:color w:val="000000" w:themeColor="text1"/>
                <w:sz w:val="20"/>
                <w:szCs w:val="20"/>
              </w:rPr>
              <w:t>Economic Recovery</w:t>
            </w:r>
          </w:p>
        </w:tc>
      </w:tr>
      <w:tr w:rsidR="00214FF8" w14:paraId="0B0C936A" w14:textId="77777777" w:rsidTr="00214FF8">
        <w:trPr>
          <w:tblHeader/>
        </w:trPr>
        <w:tc>
          <w:tcPr>
            <w:tcW w:w="1843" w:type="dxa"/>
            <w:shd w:val="clear" w:color="auto" w:fill="F2F2F2" w:themeFill="background1" w:themeFillShade="F2"/>
          </w:tcPr>
          <w:p w14:paraId="7E7CDD6D" w14:textId="09F04565" w:rsidR="00214FF8" w:rsidRDefault="00214FF8" w:rsidP="00214FF8">
            <w:pPr>
              <w:spacing w:before="60" w:line="240" w:lineRule="auto"/>
            </w:pPr>
            <w:r w:rsidRPr="00E00658">
              <w:rPr>
                <w:b/>
                <w:sz w:val="20"/>
                <w:szCs w:val="20"/>
              </w:rPr>
              <w:t>Expected Outcomes</w:t>
            </w:r>
          </w:p>
        </w:tc>
        <w:tc>
          <w:tcPr>
            <w:tcW w:w="2835" w:type="dxa"/>
          </w:tcPr>
          <w:p w14:paraId="2DA01A6B" w14:textId="77777777" w:rsidR="00214FF8" w:rsidRPr="00322EF5" w:rsidRDefault="00214FF8" w:rsidP="00214FF8">
            <w:pPr>
              <w:pStyle w:val="ListParagraph"/>
              <w:numPr>
                <w:ilvl w:val="0"/>
                <w:numId w:val="36"/>
              </w:numPr>
              <w:spacing w:before="60" w:line="240" w:lineRule="auto"/>
              <w:rPr>
                <w:sz w:val="15"/>
                <w:szCs w:val="15"/>
              </w:rPr>
            </w:pPr>
            <w:r w:rsidRPr="00322EF5">
              <w:rPr>
                <w:sz w:val="15"/>
                <w:szCs w:val="15"/>
              </w:rPr>
              <w:t>Palestinian</w:t>
            </w:r>
            <w:r>
              <w:rPr>
                <w:sz w:val="15"/>
                <w:szCs w:val="15"/>
              </w:rPr>
              <w:t xml:space="preserve"> refugees</w:t>
            </w:r>
            <w:r w:rsidRPr="00322EF5">
              <w:rPr>
                <w:sz w:val="15"/>
                <w:szCs w:val="15"/>
              </w:rPr>
              <w:t xml:space="preserve"> </w:t>
            </w:r>
            <w:r>
              <w:rPr>
                <w:sz w:val="15"/>
                <w:szCs w:val="15"/>
              </w:rPr>
              <w:t xml:space="preserve">(women, men and children) </w:t>
            </w:r>
            <w:proofErr w:type="gramStart"/>
            <w:r>
              <w:rPr>
                <w:sz w:val="15"/>
                <w:szCs w:val="15"/>
              </w:rPr>
              <w:t>ac</w:t>
            </w:r>
            <w:r w:rsidRPr="00322EF5">
              <w:rPr>
                <w:sz w:val="15"/>
                <w:szCs w:val="15"/>
              </w:rPr>
              <w:t>cess  health</w:t>
            </w:r>
            <w:proofErr w:type="gramEnd"/>
            <w:r>
              <w:rPr>
                <w:sz w:val="15"/>
                <w:szCs w:val="15"/>
              </w:rPr>
              <w:t xml:space="preserve"> services, including social protection services </w:t>
            </w:r>
            <w:r w:rsidRPr="00322EF5">
              <w:rPr>
                <w:sz w:val="15"/>
                <w:szCs w:val="15"/>
              </w:rPr>
              <w:t>during the COVID-19 pandemic</w:t>
            </w:r>
            <w:r>
              <w:rPr>
                <w:sz w:val="15"/>
                <w:szCs w:val="15"/>
              </w:rPr>
              <w:t xml:space="preserve">, </w:t>
            </w:r>
            <w:r w:rsidRPr="00322EF5">
              <w:rPr>
                <w:sz w:val="15"/>
                <w:szCs w:val="15"/>
              </w:rPr>
              <w:t>(SDG3)</w:t>
            </w:r>
          </w:p>
          <w:p w14:paraId="72223E74" w14:textId="77777777" w:rsidR="00214FF8" w:rsidRPr="00322EF5" w:rsidRDefault="00214FF8" w:rsidP="00214FF8">
            <w:pPr>
              <w:pStyle w:val="ListParagraph"/>
              <w:numPr>
                <w:ilvl w:val="0"/>
                <w:numId w:val="36"/>
              </w:numPr>
              <w:spacing w:before="60" w:line="240" w:lineRule="auto"/>
              <w:rPr>
                <w:sz w:val="15"/>
                <w:szCs w:val="15"/>
              </w:rPr>
            </w:pPr>
            <w:r w:rsidRPr="00322EF5">
              <w:rPr>
                <w:sz w:val="15"/>
                <w:szCs w:val="15"/>
              </w:rPr>
              <w:t>Strengthen UNRWA’s preparedness</w:t>
            </w:r>
            <w:r>
              <w:rPr>
                <w:sz w:val="15"/>
                <w:szCs w:val="15"/>
              </w:rPr>
              <w:t xml:space="preserve"> and response </w:t>
            </w:r>
            <w:proofErr w:type="gramStart"/>
            <w:r>
              <w:rPr>
                <w:sz w:val="15"/>
                <w:szCs w:val="15"/>
              </w:rPr>
              <w:t xml:space="preserve">capacity </w:t>
            </w:r>
            <w:r w:rsidRPr="00322EF5">
              <w:rPr>
                <w:sz w:val="15"/>
                <w:szCs w:val="15"/>
              </w:rPr>
              <w:t xml:space="preserve"> to</w:t>
            </w:r>
            <w:proofErr w:type="gramEnd"/>
            <w:r>
              <w:rPr>
                <w:sz w:val="15"/>
                <w:szCs w:val="15"/>
              </w:rPr>
              <w:t xml:space="preserve"> COVID-19</w:t>
            </w:r>
            <w:r w:rsidRPr="00322EF5">
              <w:rPr>
                <w:sz w:val="15"/>
                <w:szCs w:val="15"/>
              </w:rPr>
              <w:t xml:space="preserve">  (SDG3)</w:t>
            </w:r>
          </w:p>
          <w:p w14:paraId="1747894C" w14:textId="26C2E233" w:rsidR="00214FF8" w:rsidRDefault="00214FF8" w:rsidP="00214FF8">
            <w:pPr>
              <w:spacing w:after="120"/>
            </w:pPr>
            <w:r>
              <w:rPr>
                <w:sz w:val="15"/>
                <w:szCs w:val="15"/>
              </w:rPr>
              <w:t xml:space="preserve">Palestinians in Gaza access water and sanitation </w:t>
            </w:r>
            <w:r w:rsidRPr="00322EF5">
              <w:rPr>
                <w:sz w:val="15"/>
                <w:szCs w:val="15"/>
              </w:rPr>
              <w:t>(SDG6)</w:t>
            </w:r>
          </w:p>
        </w:tc>
        <w:tc>
          <w:tcPr>
            <w:tcW w:w="3328" w:type="dxa"/>
            <w:shd w:val="clear" w:color="auto" w:fill="F2F2F2" w:themeFill="background1" w:themeFillShade="F2"/>
          </w:tcPr>
          <w:p w14:paraId="1D6C9453"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 xml:space="preserve">Palestinian children receive education in emergency during the pandemic (SDG 4) </w:t>
            </w:r>
          </w:p>
          <w:p w14:paraId="6982E6CD"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Vulnerable Palestinians receive social protection during pandemic (SDG1 and SDG2)</w:t>
            </w:r>
          </w:p>
          <w:p w14:paraId="5DDD3E95" w14:textId="77777777" w:rsidR="00214FF8" w:rsidRPr="0095163A" w:rsidRDefault="00214FF8" w:rsidP="00214FF8">
            <w:pPr>
              <w:numPr>
                <w:ilvl w:val="0"/>
                <w:numId w:val="36"/>
              </w:numPr>
              <w:spacing w:before="60" w:line="240" w:lineRule="auto"/>
              <w:contextualSpacing/>
              <w:rPr>
                <w:sz w:val="15"/>
                <w:szCs w:val="15"/>
              </w:rPr>
            </w:pPr>
            <w:r>
              <w:rPr>
                <w:bCs/>
                <w:sz w:val="15"/>
                <w:szCs w:val="15"/>
              </w:rPr>
              <w:t>S</w:t>
            </w:r>
            <w:r w:rsidRPr="00BA04FF">
              <w:rPr>
                <w:bCs/>
                <w:sz w:val="15"/>
                <w:szCs w:val="15"/>
              </w:rPr>
              <w:t>urvivors of domestic violence access vital referral services during the pandemic (SDG5, SDG16)</w:t>
            </w:r>
          </w:p>
          <w:p w14:paraId="2E6AF543" w14:textId="0BB6BA7D" w:rsidR="00214FF8" w:rsidRDefault="00214FF8" w:rsidP="00214FF8">
            <w:pPr>
              <w:spacing w:after="120"/>
            </w:pPr>
            <w:r>
              <w:rPr>
                <w:bCs/>
                <w:sz w:val="15"/>
                <w:szCs w:val="15"/>
              </w:rPr>
              <w:t>Emerging Palestinian leaders trained with Australia Awards Scholarships</w:t>
            </w:r>
          </w:p>
        </w:tc>
        <w:tc>
          <w:tcPr>
            <w:tcW w:w="2767" w:type="dxa"/>
          </w:tcPr>
          <w:p w14:paraId="7C1D1783" w14:textId="77777777" w:rsidR="00214FF8" w:rsidRPr="00CF0AF5" w:rsidRDefault="00214FF8" w:rsidP="00214FF8">
            <w:pPr>
              <w:pStyle w:val="ListParagraph"/>
              <w:numPr>
                <w:ilvl w:val="0"/>
                <w:numId w:val="36"/>
              </w:numPr>
              <w:spacing w:before="60" w:line="240" w:lineRule="auto"/>
              <w:rPr>
                <w:sz w:val="15"/>
                <w:szCs w:val="15"/>
              </w:rPr>
            </w:pPr>
            <w:r w:rsidRPr="00CF0AF5">
              <w:rPr>
                <w:sz w:val="15"/>
                <w:szCs w:val="15"/>
              </w:rPr>
              <w:t xml:space="preserve">Palestinian farmers </w:t>
            </w:r>
            <w:r>
              <w:rPr>
                <w:sz w:val="15"/>
                <w:szCs w:val="15"/>
              </w:rPr>
              <w:t xml:space="preserve">maintain access and connections to </w:t>
            </w:r>
            <w:r w:rsidRPr="00CF0AF5">
              <w:rPr>
                <w:sz w:val="15"/>
                <w:szCs w:val="15"/>
              </w:rPr>
              <w:t>markets during the pandemic</w:t>
            </w:r>
            <w:r>
              <w:rPr>
                <w:sz w:val="15"/>
                <w:szCs w:val="15"/>
              </w:rPr>
              <w:t xml:space="preserve"> and recovery (</w:t>
            </w:r>
            <w:r w:rsidRPr="005E656A">
              <w:rPr>
                <w:sz w:val="15"/>
                <w:szCs w:val="15"/>
                <w:lang w:val="en-AU"/>
              </w:rPr>
              <w:t>SDG</w:t>
            </w:r>
            <w:r w:rsidRPr="005E656A">
              <w:rPr>
                <w:sz w:val="15"/>
                <w:szCs w:val="15"/>
              </w:rPr>
              <w:t xml:space="preserve"> 2</w:t>
            </w:r>
            <w:r>
              <w:rPr>
                <w:sz w:val="15"/>
                <w:szCs w:val="15"/>
              </w:rPr>
              <w:t>)</w:t>
            </w:r>
          </w:p>
          <w:p w14:paraId="584FDE36" w14:textId="031BEF16" w:rsidR="00214FF8" w:rsidRDefault="00214FF8" w:rsidP="00214FF8">
            <w:pPr>
              <w:spacing w:after="120"/>
            </w:pPr>
            <w:r w:rsidRPr="00CF0AF5">
              <w:rPr>
                <w:sz w:val="15"/>
                <w:szCs w:val="15"/>
              </w:rPr>
              <w:t>Private sector agribusinesses connect farming communities to markets and increased economic p</w:t>
            </w:r>
            <w:r>
              <w:rPr>
                <w:sz w:val="15"/>
                <w:szCs w:val="15"/>
              </w:rPr>
              <w:t>roductivity and participation. (</w:t>
            </w:r>
            <w:r w:rsidRPr="005E656A">
              <w:rPr>
                <w:sz w:val="15"/>
                <w:szCs w:val="15"/>
                <w:lang w:val="en-AU"/>
              </w:rPr>
              <w:t>SDG</w:t>
            </w:r>
            <w:proofErr w:type="gramStart"/>
            <w:r w:rsidRPr="005E656A">
              <w:rPr>
                <w:sz w:val="15"/>
                <w:szCs w:val="15"/>
                <w:lang w:val="en-AU"/>
              </w:rPr>
              <w:t>8</w:t>
            </w:r>
            <w:r>
              <w:rPr>
                <w:sz w:val="15"/>
                <w:szCs w:val="15"/>
                <w:lang w:val="en-AU"/>
              </w:rPr>
              <w:t>,SDG</w:t>
            </w:r>
            <w:proofErr w:type="gramEnd"/>
            <w:r>
              <w:rPr>
                <w:sz w:val="15"/>
                <w:szCs w:val="15"/>
                <w:lang w:val="en-AU"/>
              </w:rPr>
              <w:t>2)</w:t>
            </w:r>
          </w:p>
        </w:tc>
      </w:tr>
      <w:tr w:rsidR="00214FF8" w14:paraId="26786545" w14:textId="77777777" w:rsidTr="00214FF8">
        <w:trPr>
          <w:tblHeader/>
        </w:trPr>
        <w:tc>
          <w:tcPr>
            <w:tcW w:w="1843" w:type="dxa"/>
            <w:shd w:val="clear" w:color="auto" w:fill="F2F2F2" w:themeFill="background1" w:themeFillShade="F2"/>
          </w:tcPr>
          <w:p w14:paraId="7C7FFC28" w14:textId="61AFC115" w:rsidR="00214FF8" w:rsidRDefault="00214FF8" w:rsidP="00214FF8">
            <w:pPr>
              <w:spacing w:after="120"/>
            </w:pPr>
            <w:r w:rsidRPr="00E00658">
              <w:rPr>
                <w:b/>
                <w:sz w:val="20"/>
                <w:szCs w:val="20"/>
              </w:rPr>
              <w:t>Key Results</w:t>
            </w:r>
          </w:p>
        </w:tc>
        <w:tc>
          <w:tcPr>
            <w:tcW w:w="2835" w:type="dxa"/>
          </w:tcPr>
          <w:p w14:paraId="2E8F3546"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Eligible Palestinians are treated at UNRWA medical centres.</w:t>
            </w:r>
          </w:p>
          <w:p w14:paraId="46FB8576"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 xml:space="preserve">Provision of school-based mental health and psychosocial support to distressed refugees. </w:t>
            </w:r>
          </w:p>
          <w:p w14:paraId="3A3BE133"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Provision of technical support and training to medical staff (including PPE and other medical material).</w:t>
            </w:r>
          </w:p>
          <w:p w14:paraId="263B397F"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Palestinians are provided water and sanitation during the pandemic.</w:t>
            </w:r>
          </w:p>
          <w:p w14:paraId="54F982A4" w14:textId="49197A0E" w:rsidR="00214FF8" w:rsidRDefault="00214FF8" w:rsidP="00214FF8">
            <w:pPr>
              <w:spacing w:after="120"/>
            </w:pPr>
            <w:r w:rsidRPr="00BA04FF">
              <w:rPr>
                <w:bCs/>
                <w:sz w:val="15"/>
                <w:szCs w:val="15"/>
              </w:rPr>
              <w:t>Movement of goods and people to support adequate supply of equipment and medications and to support economic recovery.</w:t>
            </w:r>
          </w:p>
        </w:tc>
        <w:tc>
          <w:tcPr>
            <w:tcW w:w="3328" w:type="dxa"/>
            <w:shd w:val="clear" w:color="auto" w:fill="F2F2F2" w:themeFill="background1" w:themeFillShade="F2"/>
          </w:tcPr>
          <w:p w14:paraId="716C3869"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Palestinian refugee children have safe access to educational and protection services.</w:t>
            </w:r>
          </w:p>
          <w:p w14:paraId="5FBCFF5E"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Teachers are provided with increased professional development opportunities to enhance remote education.</w:t>
            </w:r>
          </w:p>
          <w:p w14:paraId="709D904A"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Lower student dropout rates due to better student engagement and improved teaching practices</w:t>
            </w:r>
            <w:r>
              <w:rPr>
                <w:bCs/>
                <w:sz w:val="15"/>
                <w:szCs w:val="15"/>
              </w:rPr>
              <w:t>.</w:t>
            </w:r>
          </w:p>
          <w:p w14:paraId="67B54A3C"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 xml:space="preserve">Palestinian </w:t>
            </w:r>
            <w:proofErr w:type="gramStart"/>
            <w:r w:rsidRPr="00BA04FF">
              <w:rPr>
                <w:bCs/>
                <w:sz w:val="15"/>
                <w:szCs w:val="15"/>
              </w:rPr>
              <w:t>refugees</w:t>
            </w:r>
            <w:proofErr w:type="gramEnd"/>
            <w:r w:rsidRPr="00BA04FF">
              <w:rPr>
                <w:bCs/>
                <w:sz w:val="15"/>
                <w:szCs w:val="15"/>
              </w:rPr>
              <w:t xml:space="preserve"> victims of violence are referred to protection service providers</w:t>
            </w:r>
          </w:p>
          <w:p w14:paraId="30EDDA9B" w14:textId="77777777" w:rsidR="00214FF8" w:rsidRDefault="00214FF8" w:rsidP="00214FF8">
            <w:pPr>
              <w:numPr>
                <w:ilvl w:val="0"/>
                <w:numId w:val="36"/>
              </w:numPr>
              <w:spacing w:before="60" w:line="240" w:lineRule="auto"/>
              <w:contextualSpacing/>
              <w:rPr>
                <w:bCs/>
                <w:sz w:val="15"/>
                <w:szCs w:val="15"/>
              </w:rPr>
            </w:pPr>
            <w:r w:rsidRPr="00BA04FF">
              <w:rPr>
                <w:bCs/>
                <w:sz w:val="15"/>
                <w:szCs w:val="15"/>
              </w:rPr>
              <w:t>Vulnerable women, men, girls and boys provided with emergency assistance in conflict and crisis situations.</w:t>
            </w:r>
          </w:p>
          <w:p w14:paraId="0315AE04" w14:textId="77777777" w:rsidR="00214FF8" w:rsidRDefault="00214FF8" w:rsidP="00214FF8">
            <w:pPr>
              <w:spacing w:after="120"/>
            </w:pPr>
          </w:p>
        </w:tc>
        <w:tc>
          <w:tcPr>
            <w:tcW w:w="2767" w:type="dxa"/>
          </w:tcPr>
          <w:p w14:paraId="2FE83AFC"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Farmers report sustained or increased income during the pandemic.</w:t>
            </w:r>
          </w:p>
          <w:p w14:paraId="7B2BA4BE"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Examples of improved livelihoods for women and men working in agriculture during the pandemic.</w:t>
            </w:r>
          </w:p>
          <w:p w14:paraId="545C0D00" w14:textId="77777777" w:rsidR="00214FF8" w:rsidRPr="00BA04FF" w:rsidRDefault="00214FF8" w:rsidP="00214FF8">
            <w:pPr>
              <w:numPr>
                <w:ilvl w:val="0"/>
                <w:numId w:val="36"/>
              </w:numPr>
              <w:spacing w:before="60" w:line="240" w:lineRule="auto"/>
              <w:contextualSpacing/>
              <w:rPr>
                <w:bCs/>
                <w:sz w:val="15"/>
                <w:szCs w:val="15"/>
              </w:rPr>
            </w:pPr>
            <w:r w:rsidRPr="00BA04FF">
              <w:rPr>
                <w:bCs/>
                <w:sz w:val="15"/>
                <w:szCs w:val="15"/>
              </w:rPr>
              <w:t>Farmers maintaining connection to partners in agribusiness and cooperatives, during the outbreak and through the recovery period</w:t>
            </w:r>
          </w:p>
          <w:p w14:paraId="71C17A29" w14:textId="77777777" w:rsidR="00214FF8" w:rsidRDefault="00214FF8" w:rsidP="00214FF8">
            <w:pPr>
              <w:spacing w:after="120"/>
            </w:pPr>
          </w:p>
        </w:tc>
      </w:tr>
      <w:tr w:rsidR="00214FF8" w14:paraId="3EB3797B" w14:textId="77777777" w:rsidTr="00214FF8">
        <w:trPr>
          <w:tblHeader/>
        </w:trPr>
        <w:tc>
          <w:tcPr>
            <w:tcW w:w="1843" w:type="dxa"/>
            <w:shd w:val="clear" w:color="auto" w:fill="F2F2F2" w:themeFill="background1" w:themeFillShade="F2"/>
          </w:tcPr>
          <w:p w14:paraId="73D1C189" w14:textId="61A2E478" w:rsidR="00214FF8" w:rsidRDefault="00214FF8" w:rsidP="00214FF8">
            <w:pPr>
              <w:spacing w:before="60" w:line="240" w:lineRule="auto"/>
            </w:pPr>
            <w:r w:rsidRPr="00E00658">
              <w:rPr>
                <w:b/>
                <w:sz w:val="20"/>
                <w:szCs w:val="20"/>
              </w:rPr>
              <w:t xml:space="preserve">Supporting Investments </w:t>
            </w:r>
          </w:p>
        </w:tc>
        <w:tc>
          <w:tcPr>
            <w:tcW w:w="2835" w:type="dxa"/>
          </w:tcPr>
          <w:p w14:paraId="3D5183BE" w14:textId="77777777" w:rsidR="00214FF8" w:rsidRDefault="00214FF8" w:rsidP="00214FF8">
            <w:pPr>
              <w:numPr>
                <w:ilvl w:val="0"/>
                <w:numId w:val="36"/>
              </w:numPr>
              <w:spacing w:before="60" w:line="240" w:lineRule="auto"/>
              <w:contextualSpacing/>
              <w:rPr>
                <w:sz w:val="15"/>
                <w:szCs w:val="15"/>
              </w:rPr>
            </w:pPr>
            <w:r w:rsidRPr="00C63F84">
              <w:rPr>
                <w:sz w:val="15"/>
                <w:szCs w:val="15"/>
              </w:rPr>
              <w:t>UNRWA</w:t>
            </w:r>
            <w:r>
              <w:rPr>
                <w:sz w:val="15"/>
                <w:szCs w:val="15"/>
              </w:rPr>
              <w:t xml:space="preserve"> </w:t>
            </w:r>
          </w:p>
          <w:p w14:paraId="7B37DD1F" w14:textId="77777777" w:rsidR="00214FF8" w:rsidRPr="00C63F84" w:rsidRDefault="00214FF8" w:rsidP="00214FF8">
            <w:pPr>
              <w:numPr>
                <w:ilvl w:val="0"/>
                <w:numId w:val="36"/>
              </w:numPr>
              <w:spacing w:before="60" w:line="240" w:lineRule="auto"/>
              <w:contextualSpacing/>
              <w:rPr>
                <w:sz w:val="15"/>
                <w:szCs w:val="15"/>
              </w:rPr>
            </w:pPr>
            <w:r>
              <w:rPr>
                <w:sz w:val="15"/>
                <w:szCs w:val="15"/>
              </w:rPr>
              <w:t xml:space="preserve">ICRC </w:t>
            </w:r>
          </w:p>
          <w:p w14:paraId="292AEAF2" w14:textId="77777777" w:rsidR="00214FF8" w:rsidRDefault="00214FF8" w:rsidP="00214FF8">
            <w:pPr>
              <w:numPr>
                <w:ilvl w:val="0"/>
                <w:numId w:val="36"/>
              </w:numPr>
              <w:spacing w:before="60" w:line="240" w:lineRule="auto"/>
              <w:contextualSpacing/>
              <w:rPr>
                <w:sz w:val="15"/>
                <w:szCs w:val="15"/>
              </w:rPr>
            </w:pPr>
            <w:r w:rsidRPr="00C63F84">
              <w:rPr>
                <w:sz w:val="15"/>
                <w:szCs w:val="15"/>
              </w:rPr>
              <w:t>UNOPS</w:t>
            </w:r>
          </w:p>
          <w:p w14:paraId="50FA8AD2" w14:textId="6E8402FA" w:rsidR="00214FF8" w:rsidRDefault="00214FF8" w:rsidP="00214FF8">
            <w:pPr>
              <w:spacing w:after="120"/>
            </w:pPr>
            <w:r>
              <w:rPr>
                <w:sz w:val="15"/>
                <w:szCs w:val="15"/>
              </w:rPr>
              <w:t xml:space="preserve">ANCP </w:t>
            </w:r>
          </w:p>
        </w:tc>
        <w:tc>
          <w:tcPr>
            <w:tcW w:w="3328" w:type="dxa"/>
            <w:shd w:val="clear" w:color="auto" w:fill="F2F2F2" w:themeFill="background1" w:themeFillShade="F2"/>
          </w:tcPr>
          <w:p w14:paraId="59733272" w14:textId="77777777" w:rsidR="00214FF8" w:rsidRDefault="00214FF8" w:rsidP="00214FF8">
            <w:pPr>
              <w:numPr>
                <w:ilvl w:val="0"/>
                <w:numId w:val="36"/>
              </w:numPr>
              <w:spacing w:before="60" w:line="240" w:lineRule="auto"/>
              <w:contextualSpacing/>
              <w:rPr>
                <w:sz w:val="15"/>
                <w:szCs w:val="15"/>
              </w:rPr>
            </w:pPr>
            <w:r>
              <w:rPr>
                <w:sz w:val="15"/>
                <w:szCs w:val="15"/>
              </w:rPr>
              <w:t>UNRWA</w:t>
            </w:r>
          </w:p>
          <w:p w14:paraId="3363228C" w14:textId="77777777" w:rsidR="00214FF8" w:rsidRDefault="00214FF8" w:rsidP="00214FF8">
            <w:pPr>
              <w:numPr>
                <w:ilvl w:val="0"/>
                <w:numId w:val="36"/>
              </w:numPr>
              <w:spacing w:before="60" w:line="240" w:lineRule="auto"/>
              <w:contextualSpacing/>
              <w:rPr>
                <w:sz w:val="15"/>
                <w:szCs w:val="15"/>
              </w:rPr>
            </w:pPr>
            <w:r>
              <w:rPr>
                <w:sz w:val="15"/>
                <w:szCs w:val="15"/>
              </w:rPr>
              <w:t>ICRC</w:t>
            </w:r>
          </w:p>
          <w:p w14:paraId="7D31143F" w14:textId="77777777" w:rsidR="00214FF8" w:rsidRDefault="00214FF8" w:rsidP="00214FF8">
            <w:pPr>
              <w:numPr>
                <w:ilvl w:val="0"/>
                <w:numId w:val="36"/>
              </w:numPr>
              <w:spacing w:before="60" w:line="240" w:lineRule="auto"/>
              <w:contextualSpacing/>
              <w:rPr>
                <w:sz w:val="15"/>
                <w:szCs w:val="15"/>
              </w:rPr>
            </w:pPr>
            <w:r>
              <w:rPr>
                <w:sz w:val="15"/>
                <w:szCs w:val="15"/>
              </w:rPr>
              <w:t>Australia Awards</w:t>
            </w:r>
          </w:p>
          <w:p w14:paraId="36AC836A" w14:textId="5EE2A85A" w:rsidR="00214FF8" w:rsidRDefault="00214FF8" w:rsidP="00214FF8">
            <w:pPr>
              <w:spacing w:after="120"/>
            </w:pPr>
            <w:r>
              <w:rPr>
                <w:sz w:val="15"/>
                <w:szCs w:val="15"/>
              </w:rPr>
              <w:t>ANCP</w:t>
            </w:r>
          </w:p>
        </w:tc>
        <w:tc>
          <w:tcPr>
            <w:tcW w:w="2767" w:type="dxa"/>
          </w:tcPr>
          <w:p w14:paraId="133A4D48" w14:textId="5F8F7758" w:rsidR="00214FF8" w:rsidRDefault="00214FF8" w:rsidP="00214FF8">
            <w:pPr>
              <w:spacing w:after="120"/>
            </w:pPr>
            <w:r w:rsidRPr="00C63F84">
              <w:rPr>
                <w:sz w:val="15"/>
                <w:szCs w:val="15"/>
              </w:rPr>
              <w:t xml:space="preserve">Private Sector Engagement </w:t>
            </w:r>
            <w:r>
              <w:rPr>
                <w:sz w:val="15"/>
                <w:szCs w:val="15"/>
              </w:rPr>
              <w:t xml:space="preserve">through </w:t>
            </w:r>
            <w:r w:rsidRPr="00C63F84">
              <w:rPr>
                <w:sz w:val="15"/>
                <w:szCs w:val="15"/>
              </w:rPr>
              <w:t>AMENCA 3</w:t>
            </w:r>
          </w:p>
        </w:tc>
      </w:tr>
    </w:tbl>
    <w:p w14:paraId="767D4369" w14:textId="77777777" w:rsidR="008F6625" w:rsidRDefault="008F6625" w:rsidP="007D2A31">
      <w:pPr>
        <w:spacing w:after="120"/>
      </w:pPr>
    </w:p>
    <w:sectPr w:rsidR="008F6625" w:rsidSect="003839A6">
      <w:headerReference w:type="default" r:id="rId13"/>
      <w:pgSz w:w="11906" w:h="16838" w:code="9"/>
      <w:pgMar w:top="1701" w:right="849"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1F3A8" w14:textId="77777777" w:rsidR="005E0058" w:rsidRDefault="005E0058" w:rsidP="00D37B04">
      <w:r>
        <w:separator/>
      </w:r>
    </w:p>
  </w:endnote>
  <w:endnote w:type="continuationSeparator" w:id="0">
    <w:p w14:paraId="769A8796" w14:textId="77777777" w:rsidR="005E0058" w:rsidRDefault="005E005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210A" w14:textId="6EF04EB5"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548D9B48" wp14:editId="74A20895">
          <wp:simplePos x="0" y="0"/>
          <wp:positionH relativeFrom="page">
            <wp:posOffset>329565</wp:posOffset>
          </wp:positionH>
          <wp:positionV relativeFrom="page">
            <wp:posOffset>9843325</wp:posOffset>
          </wp:positionV>
          <wp:extent cx="6895033" cy="737812"/>
          <wp:effectExtent l="0" t="0" r="1270" b="5715"/>
          <wp:wrapNone/>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7763CA">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E00658">
      <w:rPr>
        <w:b/>
        <w:noProof/>
        <w:color w:val="495965" w:themeColor="text2"/>
        <w:lang w:val="en-AU" w:eastAsia="en-AU"/>
      </w:rPr>
      <w:tab/>
    </w:r>
    <w:r w:rsidR="00E00658" w:rsidRPr="00E00658">
      <w:rPr>
        <w:b/>
        <w:noProof/>
        <w:color w:val="495965" w:themeColor="text2"/>
        <w:lang w:val="en-AU" w:eastAsia="en-AU"/>
      </w:rPr>
      <w:fldChar w:fldCharType="begin"/>
    </w:r>
    <w:r w:rsidR="00E00658" w:rsidRPr="00E00658">
      <w:rPr>
        <w:b/>
        <w:noProof/>
        <w:color w:val="495965" w:themeColor="text2"/>
        <w:lang w:val="en-AU" w:eastAsia="en-AU"/>
      </w:rPr>
      <w:instrText xml:space="preserve"> PAGE   \* MERGEFORMAT </w:instrText>
    </w:r>
    <w:r w:rsidR="00E00658" w:rsidRPr="00E00658">
      <w:rPr>
        <w:b/>
        <w:noProof/>
        <w:color w:val="495965" w:themeColor="text2"/>
        <w:lang w:val="en-AU" w:eastAsia="en-AU"/>
      </w:rPr>
      <w:fldChar w:fldCharType="separate"/>
    </w:r>
    <w:r w:rsidR="00FA6755">
      <w:rPr>
        <w:b/>
        <w:noProof/>
        <w:color w:val="495965" w:themeColor="text2"/>
        <w:lang w:val="en-AU" w:eastAsia="en-AU"/>
      </w:rPr>
      <w:t>3</w:t>
    </w:r>
    <w:r w:rsidR="00E00658" w:rsidRPr="00E00658">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3291" w14:textId="4331C8BD" w:rsidR="00C35791" w:rsidRPr="00854F69" w:rsidRDefault="00FA5EFD" w:rsidP="00B7685A">
    <w:pPr>
      <w:pStyle w:val="Footer"/>
      <w:ind w:right="340"/>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236E8F67" wp14:editId="0DE0186A">
          <wp:simplePos x="0" y="0"/>
          <wp:positionH relativeFrom="margin">
            <wp:posOffset>-123190</wp:posOffset>
          </wp:positionH>
          <wp:positionV relativeFrom="page">
            <wp:posOffset>9843770</wp:posOffset>
          </wp:positionV>
          <wp:extent cx="6934835" cy="742071"/>
          <wp:effectExtent l="0" t="0" r="0" b="1270"/>
          <wp:wrapNone/>
          <wp:docPr id="213" name="Picture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7763CA">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D526D8">
      <w:rPr>
        <w:b/>
        <w:noProof/>
        <w:color w:val="495965" w:themeColor="text2"/>
        <w:lang w:val="en-AU" w:eastAsia="en-AU"/>
      </w:rPr>
      <w:tab/>
    </w:r>
    <w:r w:rsidR="00D526D8" w:rsidRPr="00D526D8">
      <w:rPr>
        <w:b/>
        <w:noProof/>
        <w:color w:val="495965" w:themeColor="text2"/>
        <w:lang w:val="en-AU" w:eastAsia="en-AU"/>
      </w:rPr>
      <w:fldChar w:fldCharType="begin"/>
    </w:r>
    <w:r w:rsidR="00D526D8" w:rsidRPr="00D526D8">
      <w:rPr>
        <w:b/>
        <w:noProof/>
        <w:color w:val="495965" w:themeColor="text2"/>
        <w:lang w:val="en-AU" w:eastAsia="en-AU"/>
      </w:rPr>
      <w:instrText xml:space="preserve"> PAGE   \* MERGEFORMAT </w:instrText>
    </w:r>
    <w:r w:rsidR="00D526D8" w:rsidRPr="00D526D8">
      <w:rPr>
        <w:b/>
        <w:noProof/>
        <w:color w:val="495965" w:themeColor="text2"/>
        <w:lang w:val="en-AU" w:eastAsia="en-AU"/>
      </w:rPr>
      <w:fldChar w:fldCharType="separate"/>
    </w:r>
    <w:r w:rsidR="00FA6755">
      <w:rPr>
        <w:b/>
        <w:noProof/>
        <w:color w:val="495965" w:themeColor="text2"/>
        <w:lang w:val="en-AU" w:eastAsia="en-AU"/>
      </w:rPr>
      <w:t>4</w:t>
    </w:r>
    <w:r w:rsidR="00D526D8" w:rsidRPr="00D526D8">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80E94" w14:textId="77777777" w:rsidR="005E0058" w:rsidRPr="008C5A0E" w:rsidRDefault="005E0058" w:rsidP="00D37B04">
      <w:pPr>
        <w:pStyle w:val="Footer"/>
      </w:pPr>
    </w:p>
  </w:footnote>
  <w:footnote w:type="continuationSeparator" w:id="0">
    <w:p w14:paraId="4DBFD676" w14:textId="77777777" w:rsidR="005E0058" w:rsidRDefault="005E005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1F35" w14:textId="77777777" w:rsidR="002D5B25" w:rsidRPr="00E055AB" w:rsidRDefault="00FA5EFD"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0A8878DD" wp14:editId="691563C9">
          <wp:simplePos x="0" y="0"/>
          <wp:positionH relativeFrom="page">
            <wp:posOffset>316040</wp:posOffset>
          </wp:positionH>
          <wp:positionV relativeFrom="page">
            <wp:posOffset>94615</wp:posOffset>
          </wp:positionV>
          <wp:extent cx="6922959" cy="732655"/>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B10F" w14:textId="5D3A8CFE" w:rsidR="00D37B04" w:rsidRDefault="001E03BE" w:rsidP="00BF0F92">
    <w:pPr>
      <w:pStyle w:val="Header"/>
      <w:spacing w:after="240"/>
      <w:ind w:left="0"/>
    </w:pPr>
    <w:r w:rsidRPr="00A12B40">
      <w:rPr>
        <w:i/>
        <w:noProof/>
        <w:lang w:val="en-AU" w:eastAsia="en-AU"/>
      </w:rPr>
      <w:drawing>
        <wp:anchor distT="0" distB="0" distL="114300" distR="114300" simplePos="0" relativeHeight="251670528" behindDoc="1" locked="0" layoutInCell="1" allowOverlap="1" wp14:anchorId="46D64A0C" wp14:editId="2D098C76">
          <wp:simplePos x="0" y="0"/>
          <wp:positionH relativeFrom="page">
            <wp:posOffset>305526</wp:posOffset>
          </wp:positionH>
          <wp:positionV relativeFrom="page">
            <wp:posOffset>95250</wp:posOffset>
          </wp:positionV>
          <wp:extent cx="6922959" cy="732655"/>
          <wp:effectExtent l="0" t="0" r="0" b="0"/>
          <wp:wrapNone/>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p w14:paraId="68C80840" w14:textId="6C974D15" w:rsidR="00BF0F92" w:rsidRPr="00943730" w:rsidRDefault="00BF0F92" w:rsidP="00B7685A">
    <w:pPr>
      <w:pStyle w:val="Header"/>
      <w:ind w:left="0"/>
    </w:pPr>
    <w:r>
      <w:rPr>
        <w:i/>
        <w:caps w:val="0"/>
        <w:noProof/>
        <w:lang w:val="en-AU" w:eastAsia="en-AU"/>
      </w:rPr>
      <w:drawing>
        <wp:inline distT="0" distB="0" distL="0" distR="0" wp14:anchorId="0375153F" wp14:editId="5ECC952E">
          <wp:extent cx="1490980" cy="779780"/>
          <wp:effectExtent l="0" t="0" r="0" b="1270"/>
          <wp:docPr id="211" name="Picture 21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ooney2\AppData\Local\Microsoft\Windows\INetCache\Content.Word\australian-government-stacked-black_168791ec-96ad-3bcc-817b-27e71beb45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980" cy="779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ACF6" w14:textId="77777777" w:rsidR="002D430F" w:rsidRPr="00943730" w:rsidRDefault="002D430F" w:rsidP="002E2AF4">
    <w:pPr>
      <w:pStyle w:val="Header"/>
      <w:ind w:left="-284"/>
    </w:pPr>
    <w:r w:rsidRPr="00A12B40">
      <w:rPr>
        <w:i/>
        <w:noProof/>
        <w:lang w:val="en-AU" w:eastAsia="en-AU"/>
      </w:rPr>
      <w:drawing>
        <wp:anchor distT="0" distB="0" distL="114300" distR="114300" simplePos="0" relativeHeight="251675648" behindDoc="1" locked="0" layoutInCell="1" allowOverlap="1" wp14:anchorId="456A11A1" wp14:editId="073031EC">
          <wp:simplePos x="0" y="0"/>
          <wp:positionH relativeFrom="page">
            <wp:posOffset>305526</wp:posOffset>
          </wp:positionH>
          <wp:positionV relativeFrom="page">
            <wp:posOffset>95250</wp:posOffset>
          </wp:positionV>
          <wp:extent cx="6922959" cy="73265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w:t>
    </w:r>
    <w:r w:rsidR="003406AF">
      <w:rPr>
        <w:caps w:val="0"/>
      </w:rPr>
      <w:t xml:space="preserve"> Plans 2020-21 and 2021-22</w:t>
    </w:r>
    <w:r w:rsidRPr="0089195C">
      <w:rPr>
        <w:i/>
        <w:noProof/>
        <w:lang w:val="en-AU" w:eastAsia="en-AU"/>
      </w:rPr>
      <w:t xml:space="preserve"> </w:t>
    </w: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833B" w14:textId="77777777" w:rsidR="003839A6" w:rsidRPr="00E055AB" w:rsidRDefault="003839A6" w:rsidP="003839A6">
    <w:pPr>
      <w:pStyle w:val="Header"/>
      <w:ind w:left="142"/>
      <w:rPr>
        <w:caps w:val="0"/>
      </w:rPr>
    </w:pPr>
    <w:r w:rsidRPr="00A12B40">
      <w:rPr>
        <w:i/>
        <w:noProof/>
        <w:lang w:val="en-AU" w:eastAsia="en-AU"/>
      </w:rPr>
      <w:drawing>
        <wp:anchor distT="0" distB="0" distL="114300" distR="114300" simplePos="0" relativeHeight="251677696" behindDoc="1" locked="0" layoutInCell="1" allowOverlap="1" wp14:anchorId="107E4BB9" wp14:editId="4CCE7F96">
          <wp:simplePos x="0" y="0"/>
          <wp:positionH relativeFrom="page">
            <wp:posOffset>316040</wp:posOffset>
          </wp:positionH>
          <wp:positionV relativeFrom="page">
            <wp:posOffset>94615</wp:posOffset>
          </wp:positionV>
          <wp:extent cx="6922959" cy="7326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p>
  <w:p w14:paraId="00AC650D" w14:textId="77777777" w:rsidR="001E563B" w:rsidRPr="00E055AB" w:rsidRDefault="001E563B" w:rsidP="001C1F11">
    <w:pPr>
      <w:pStyle w:val="Header"/>
      <w:ind w:left="142"/>
      <w:rPr>
        <w: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8857ED5"/>
    <w:multiLevelType w:val="hybridMultilevel"/>
    <w:tmpl w:val="219A6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8F132CE"/>
    <w:multiLevelType w:val="multilevel"/>
    <w:tmpl w:val="3B7A10DE"/>
    <w:numStyleLink w:val="BulletsList"/>
  </w:abstractNum>
  <w:abstractNum w:abstractNumId="18"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3B7A10DE"/>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6"/>
  </w:num>
  <w:num w:numId="23">
    <w:abstractNumId w:val="16"/>
  </w:num>
  <w:num w:numId="24">
    <w:abstractNumId w:val="21"/>
  </w:num>
  <w:num w:numId="25">
    <w:abstractNumId w:val="21"/>
  </w:num>
  <w:num w:numId="26">
    <w:abstractNumId w:val="21"/>
  </w:num>
  <w:num w:numId="27">
    <w:abstractNumId w:val="20"/>
  </w:num>
  <w:num w:numId="28">
    <w:abstractNumId w:val="13"/>
  </w:num>
  <w:num w:numId="29">
    <w:abstractNumId w:val="13"/>
  </w:num>
  <w:num w:numId="30">
    <w:abstractNumId w:val="13"/>
  </w:num>
  <w:num w:numId="31">
    <w:abstractNumId w:val="15"/>
  </w:num>
  <w:num w:numId="32">
    <w:abstractNumId w:val="26"/>
  </w:num>
  <w:num w:numId="33">
    <w:abstractNumId w:val="17"/>
  </w:num>
  <w:num w:numId="34">
    <w:abstractNumId w:val="10"/>
  </w:num>
  <w:num w:numId="35">
    <w:abstractNumId w:val="11"/>
  </w:num>
  <w:num w:numId="36">
    <w:abstractNumId w:val="19"/>
  </w:num>
  <w:num w:numId="37">
    <w:abstractNumId w:val="24"/>
  </w:num>
  <w:num w:numId="38">
    <w:abstractNumId w:val="18"/>
  </w:num>
  <w:num w:numId="39">
    <w:abstractNumId w:val="2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2802"/>
    <w:rsid w:val="00015AB7"/>
    <w:rsid w:val="0002080A"/>
    <w:rsid w:val="0002782F"/>
    <w:rsid w:val="00031486"/>
    <w:rsid w:val="00035BBF"/>
    <w:rsid w:val="000444F3"/>
    <w:rsid w:val="00045E75"/>
    <w:rsid w:val="00050806"/>
    <w:rsid w:val="000546D9"/>
    <w:rsid w:val="00054E4D"/>
    <w:rsid w:val="00055880"/>
    <w:rsid w:val="00060073"/>
    <w:rsid w:val="000616C6"/>
    <w:rsid w:val="000854FD"/>
    <w:rsid w:val="0009403A"/>
    <w:rsid w:val="000A407E"/>
    <w:rsid w:val="000B37F5"/>
    <w:rsid w:val="000B5DA7"/>
    <w:rsid w:val="000C3A4C"/>
    <w:rsid w:val="000D66D6"/>
    <w:rsid w:val="000E3234"/>
    <w:rsid w:val="000E58BF"/>
    <w:rsid w:val="000E6C44"/>
    <w:rsid w:val="001012E3"/>
    <w:rsid w:val="00113288"/>
    <w:rsid w:val="001214BE"/>
    <w:rsid w:val="001227F1"/>
    <w:rsid w:val="0013101C"/>
    <w:rsid w:val="001461D6"/>
    <w:rsid w:val="00146E07"/>
    <w:rsid w:val="00151785"/>
    <w:rsid w:val="001541EA"/>
    <w:rsid w:val="00166032"/>
    <w:rsid w:val="001662F8"/>
    <w:rsid w:val="001841C8"/>
    <w:rsid w:val="001A51EE"/>
    <w:rsid w:val="001C1268"/>
    <w:rsid w:val="001C1F11"/>
    <w:rsid w:val="001D3C98"/>
    <w:rsid w:val="001D663E"/>
    <w:rsid w:val="001E03BE"/>
    <w:rsid w:val="001E1DC0"/>
    <w:rsid w:val="001E563B"/>
    <w:rsid w:val="001E6D20"/>
    <w:rsid w:val="00214FF8"/>
    <w:rsid w:val="002231BD"/>
    <w:rsid w:val="00244229"/>
    <w:rsid w:val="00247365"/>
    <w:rsid w:val="002568DC"/>
    <w:rsid w:val="0028602A"/>
    <w:rsid w:val="002945C4"/>
    <w:rsid w:val="00297258"/>
    <w:rsid w:val="002B3381"/>
    <w:rsid w:val="002B5E10"/>
    <w:rsid w:val="002C793D"/>
    <w:rsid w:val="002D4108"/>
    <w:rsid w:val="002D430F"/>
    <w:rsid w:val="002D5B25"/>
    <w:rsid w:val="002E2AF4"/>
    <w:rsid w:val="002E38B2"/>
    <w:rsid w:val="002E79D1"/>
    <w:rsid w:val="002F4F2B"/>
    <w:rsid w:val="003002C0"/>
    <w:rsid w:val="00301144"/>
    <w:rsid w:val="003031C6"/>
    <w:rsid w:val="00304984"/>
    <w:rsid w:val="00311946"/>
    <w:rsid w:val="00312BF8"/>
    <w:rsid w:val="003148B7"/>
    <w:rsid w:val="003158C3"/>
    <w:rsid w:val="003274CD"/>
    <w:rsid w:val="00333501"/>
    <w:rsid w:val="003406AF"/>
    <w:rsid w:val="003457C4"/>
    <w:rsid w:val="0035119D"/>
    <w:rsid w:val="003704C3"/>
    <w:rsid w:val="00377A7B"/>
    <w:rsid w:val="003839A6"/>
    <w:rsid w:val="0039215F"/>
    <w:rsid w:val="0039344A"/>
    <w:rsid w:val="003B4F12"/>
    <w:rsid w:val="003C6C4F"/>
    <w:rsid w:val="003C7D0E"/>
    <w:rsid w:val="003E757E"/>
    <w:rsid w:val="003F2041"/>
    <w:rsid w:val="004007ED"/>
    <w:rsid w:val="00401DBA"/>
    <w:rsid w:val="00402ACC"/>
    <w:rsid w:val="00404602"/>
    <w:rsid w:val="0040679E"/>
    <w:rsid w:val="004120EC"/>
    <w:rsid w:val="00423F31"/>
    <w:rsid w:val="00426340"/>
    <w:rsid w:val="00431899"/>
    <w:rsid w:val="00441672"/>
    <w:rsid w:val="00450381"/>
    <w:rsid w:val="00453B1A"/>
    <w:rsid w:val="004728DD"/>
    <w:rsid w:val="00473F2D"/>
    <w:rsid w:val="00473F39"/>
    <w:rsid w:val="00475782"/>
    <w:rsid w:val="00482AE8"/>
    <w:rsid w:val="00486804"/>
    <w:rsid w:val="00487549"/>
    <w:rsid w:val="00494242"/>
    <w:rsid w:val="004B3775"/>
    <w:rsid w:val="004B7335"/>
    <w:rsid w:val="004D0BA0"/>
    <w:rsid w:val="004E058F"/>
    <w:rsid w:val="004E3B87"/>
    <w:rsid w:val="004E549D"/>
    <w:rsid w:val="004E7769"/>
    <w:rsid w:val="004F6E14"/>
    <w:rsid w:val="00502041"/>
    <w:rsid w:val="00510921"/>
    <w:rsid w:val="00510AD3"/>
    <w:rsid w:val="00513348"/>
    <w:rsid w:val="00513AD8"/>
    <w:rsid w:val="005204D2"/>
    <w:rsid w:val="00522396"/>
    <w:rsid w:val="00533B5D"/>
    <w:rsid w:val="00534D96"/>
    <w:rsid w:val="00536BAB"/>
    <w:rsid w:val="00541847"/>
    <w:rsid w:val="005654C0"/>
    <w:rsid w:val="00584C41"/>
    <w:rsid w:val="005A20F6"/>
    <w:rsid w:val="005C2EC9"/>
    <w:rsid w:val="005D3655"/>
    <w:rsid w:val="005E0058"/>
    <w:rsid w:val="005E4830"/>
    <w:rsid w:val="005E5524"/>
    <w:rsid w:val="005E73CC"/>
    <w:rsid w:val="005F2F66"/>
    <w:rsid w:val="00603321"/>
    <w:rsid w:val="00622B86"/>
    <w:rsid w:val="00623BA1"/>
    <w:rsid w:val="006346BC"/>
    <w:rsid w:val="006378FE"/>
    <w:rsid w:val="0065649B"/>
    <w:rsid w:val="0066652A"/>
    <w:rsid w:val="006719C3"/>
    <w:rsid w:val="006745FC"/>
    <w:rsid w:val="00680115"/>
    <w:rsid w:val="00680522"/>
    <w:rsid w:val="00682167"/>
    <w:rsid w:val="006A6F52"/>
    <w:rsid w:val="006B6F6D"/>
    <w:rsid w:val="006C0B06"/>
    <w:rsid w:val="006C3BBD"/>
    <w:rsid w:val="006C42AF"/>
    <w:rsid w:val="006C66FA"/>
    <w:rsid w:val="006D5A56"/>
    <w:rsid w:val="006E4323"/>
    <w:rsid w:val="006F6BA7"/>
    <w:rsid w:val="007075DF"/>
    <w:rsid w:val="00711D8E"/>
    <w:rsid w:val="00712672"/>
    <w:rsid w:val="0072227F"/>
    <w:rsid w:val="00734E3F"/>
    <w:rsid w:val="00736985"/>
    <w:rsid w:val="00740889"/>
    <w:rsid w:val="00745DF5"/>
    <w:rsid w:val="0076250F"/>
    <w:rsid w:val="00771B08"/>
    <w:rsid w:val="007733DC"/>
    <w:rsid w:val="007763CA"/>
    <w:rsid w:val="00780FA5"/>
    <w:rsid w:val="00793E6D"/>
    <w:rsid w:val="007B6200"/>
    <w:rsid w:val="007C735B"/>
    <w:rsid w:val="007D2A31"/>
    <w:rsid w:val="007E556D"/>
    <w:rsid w:val="007F3395"/>
    <w:rsid w:val="007F5C0B"/>
    <w:rsid w:val="007F646C"/>
    <w:rsid w:val="00801B9F"/>
    <w:rsid w:val="0080204D"/>
    <w:rsid w:val="0082053C"/>
    <w:rsid w:val="0084191E"/>
    <w:rsid w:val="00843B76"/>
    <w:rsid w:val="00845ECD"/>
    <w:rsid w:val="008475F0"/>
    <w:rsid w:val="008515AF"/>
    <w:rsid w:val="00852C32"/>
    <w:rsid w:val="00854F69"/>
    <w:rsid w:val="008557A7"/>
    <w:rsid w:val="00857312"/>
    <w:rsid w:val="00870928"/>
    <w:rsid w:val="00887404"/>
    <w:rsid w:val="0089405C"/>
    <w:rsid w:val="00897FA2"/>
    <w:rsid w:val="008A5AFE"/>
    <w:rsid w:val="008A7B6F"/>
    <w:rsid w:val="008C5A0E"/>
    <w:rsid w:val="008C708C"/>
    <w:rsid w:val="008E4B49"/>
    <w:rsid w:val="008F6625"/>
    <w:rsid w:val="00943730"/>
    <w:rsid w:val="00950D65"/>
    <w:rsid w:val="00954095"/>
    <w:rsid w:val="00975CA5"/>
    <w:rsid w:val="009774B4"/>
    <w:rsid w:val="00986590"/>
    <w:rsid w:val="00992C76"/>
    <w:rsid w:val="00993DA2"/>
    <w:rsid w:val="009969D6"/>
    <w:rsid w:val="009A112B"/>
    <w:rsid w:val="009B4D3B"/>
    <w:rsid w:val="009D3438"/>
    <w:rsid w:val="009D7407"/>
    <w:rsid w:val="009E0866"/>
    <w:rsid w:val="009E273C"/>
    <w:rsid w:val="009F1350"/>
    <w:rsid w:val="009F6423"/>
    <w:rsid w:val="00A12B40"/>
    <w:rsid w:val="00A24A62"/>
    <w:rsid w:val="00A31C9F"/>
    <w:rsid w:val="00A4144F"/>
    <w:rsid w:val="00A61B4D"/>
    <w:rsid w:val="00A676C2"/>
    <w:rsid w:val="00A74B6B"/>
    <w:rsid w:val="00A80305"/>
    <w:rsid w:val="00A80F95"/>
    <w:rsid w:val="00A868CB"/>
    <w:rsid w:val="00A97244"/>
    <w:rsid w:val="00A97BF1"/>
    <w:rsid w:val="00AA2952"/>
    <w:rsid w:val="00AA298A"/>
    <w:rsid w:val="00AC107C"/>
    <w:rsid w:val="00AC164A"/>
    <w:rsid w:val="00AC3944"/>
    <w:rsid w:val="00AE448A"/>
    <w:rsid w:val="00AE74DA"/>
    <w:rsid w:val="00AF2050"/>
    <w:rsid w:val="00B00BF4"/>
    <w:rsid w:val="00B02B2A"/>
    <w:rsid w:val="00B03CA8"/>
    <w:rsid w:val="00B05B87"/>
    <w:rsid w:val="00B16EF6"/>
    <w:rsid w:val="00B22F0E"/>
    <w:rsid w:val="00B249EC"/>
    <w:rsid w:val="00B33C0A"/>
    <w:rsid w:val="00B34763"/>
    <w:rsid w:val="00B401AF"/>
    <w:rsid w:val="00B51C2F"/>
    <w:rsid w:val="00B55E19"/>
    <w:rsid w:val="00B56E71"/>
    <w:rsid w:val="00B579A6"/>
    <w:rsid w:val="00B71AD8"/>
    <w:rsid w:val="00B7685A"/>
    <w:rsid w:val="00B84B3C"/>
    <w:rsid w:val="00B857E1"/>
    <w:rsid w:val="00B8599B"/>
    <w:rsid w:val="00B94758"/>
    <w:rsid w:val="00BA4B6D"/>
    <w:rsid w:val="00BB26C5"/>
    <w:rsid w:val="00BC1FED"/>
    <w:rsid w:val="00BF0F92"/>
    <w:rsid w:val="00BF4DE6"/>
    <w:rsid w:val="00C06B13"/>
    <w:rsid w:val="00C27D25"/>
    <w:rsid w:val="00C35791"/>
    <w:rsid w:val="00C42541"/>
    <w:rsid w:val="00C42CDE"/>
    <w:rsid w:val="00C5182A"/>
    <w:rsid w:val="00C52463"/>
    <w:rsid w:val="00C52B3D"/>
    <w:rsid w:val="00C55983"/>
    <w:rsid w:val="00C63EE9"/>
    <w:rsid w:val="00C74E2F"/>
    <w:rsid w:val="00C86429"/>
    <w:rsid w:val="00C87B9B"/>
    <w:rsid w:val="00C92805"/>
    <w:rsid w:val="00CA16F3"/>
    <w:rsid w:val="00CA37B1"/>
    <w:rsid w:val="00CB1488"/>
    <w:rsid w:val="00CB1959"/>
    <w:rsid w:val="00CC1D45"/>
    <w:rsid w:val="00CC741B"/>
    <w:rsid w:val="00CD0E4B"/>
    <w:rsid w:val="00CD3F5D"/>
    <w:rsid w:val="00CE4C89"/>
    <w:rsid w:val="00CF07BA"/>
    <w:rsid w:val="00D0296C"/>
    <w:rsid w:val="00D20BC7"/>
    <w:rsid w:val="00D2641E"/>
    <w:rsid w:val="00D32D6F"/>
    <w:rsid w:val="00D37B04"/>
    <w:rsid w:val="00D45555"/>
    <w:rsid w:val="00D526D8"/>
    <w:rsid w:val="00D540C6"/>
    <w:rsid w:val="00D64BD1"/>
    <w:rsid w:val="00D85F0B"/>
    <w:rsid w:val="00D92254"/>
    <w:rsid w:val="00DA1B52"/>
    <w:rsid w:val="00DA3124"/>
    <w:rsid w:val="00DC0996"/>
    <w:rsid w:val="00DC6D78"/>
    <w:rsid w:val="00DE084C"/>
    <w:rsid w:val="00DF68CF"/>
    <w:rsid w:val="00DF7B4A"/>
    <w:rsid w:val="00E00658"/>
    <w:rsid w:val="00E055AB"/>
    <w:rsid w:val="00E14F51"/>
    <w:rsid w:val="00E357B7"/>
    <w:rsid w:val="00E42990"/>
    <w:rsid w:val="00E42E50"/>
    <w:rsid w:val="00E453C0"/>
    <w:rsid w:val="00E4584F"/>
    <w:rsid w:val="00E53800"/>
    <w:rsid w:val="00E54FF4"/>
    <w:rsid w:val="00E6081F"/>
    <w:rsid w:val="00E614AA"/>
    <w:rsid w:val="00E624EC"/>
    <w:rsid w:val="00E6655C"/>
    <w:rsid w:val="00E67999"/>
    <w:rsid w:val="00E70C37"/>
    <w:rsid w:val="00E74173"/>
    <w:rsid w:val="00E8296D"/>
    <w:rsid w:val="00E8457B"/>
    <w:rsid w:val="00E944AA"/>
    <w:rsid w:val="00EA0181"/>
    <w:rsid w:val="00EA04B2"/>
    <w:rsid w:val="00EA20F3"/>
    <w:rsid w:val="00EA36D9"/>
    <w:rsid w:val="00EB22D4"/>
    <w:rsid w:val="00EC6D38"/>
    <w:rsid w:val="00ED2831"/>
    <w:rsid w:val="00ED3B2D"/>
    <w:rsid w:val="00ED43D1"/>
    <w:rsid w:val="00ED6054"/>
    <w:rsid w:val="00EE4EE1"/>
    <w:rsid w:val="00EF4574"/>
    <w:rsid w:val="00F01921"/>
    <w:rsid w:val="00F13373"/>
    <w:rsid w:val="00F251AC"/>
    <w:rsid w:val="00F258BF"/>
    <w:rsid w:val="00F25A93"/>
    <w:rsid w:val="00F2684E"/>
    <w:rsid w:val="00F27235"/>
    <w:rsid w:val="00F45486"/>
    <w:rsid w:val="00F47FD0"/>
    <w:rsid w:val="00F5404C"/>
    <w:rsid w:val="00F55791"/>
    <w:rsid w:val="00F610EE"/>
    <w:rsid w:val="00F67C6A"/>
    <w:rsid w:val="00F729EF"/>
    <w:rsid w:val="00F77CAE"/>
    <w:rsid w:val="00F82271"/>
    <w:rsid w:val="00F83428"/>
    <w:rsid w:val="00F90B17"/>
    <w:rsid w:val="00F96BB9"/>
    <w:rsid w:val="00FA5EFD"/>
    <w:rsid w:val="00FA6755"/>
    <w:rsid w:val="00FD1850"/>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6DC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F251AC"/>
    <w:pPr>
      <w:spacing w:after="120"/>
      <w:outlineLvl w:val="1"/>
    </w:pPr>
    <w:rPr>
      <w:bCs w:val="0"/>
      <w:sz w:val="22"/>
      <w:szCs w:val="26"/>
    </w:rPr>
  </w:style>
  <w:style w:type="paragraph" w:styleId="Heading3">
    <w:name w:val="heading 3"/>
    <w:basedOn w:val="Heading2"/>
    <w:next w:val="Normal"/>
    <w:link w:val="Heading3Char"/>
    <w:autoRedefine/>
    <w:uiPriority w:val="9"/>
    <w:unhideWhenUsed/>
    <w:qFormat/>
    <w:rsid w:val="00F251AC"/>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F251AC"/>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F251AC"/>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59149">
      <w:bodyDiv w:val="1"/>
      <w:marLeft w:val="0"/>
      <w:marRight w:val="0"/>
      <w:marTop w:val="0"/>
      <w:marBottom w:val="0"/>
      <w:divBdr>
        <w:top w:val="none" w:sz="0" w:space="0" w:color="auto"/>
        <w:left w:val="none" w:sz="0" w:space="0" w:color="auto"/>
        <w:bottom w:val="none" w:sz="0" w:space="0" w:color="auto"/>
        <w:right w:val="none" w:sz="0" w:space="0" w:color="auto"/>
      </w:divBdr>
    </w:div>
    <w:div w:id="981888445">
      <w:bodyDiv w:val="1"/>
      <w:marLeft w:val="0"/>
      <w:marRight w:val="0"/>
      <w:marTop w:val="0"/>
      <w:marBottom w:val="0"/>
      <w:divBdr>
        <w:top w:val="none" w:sz="0" w:space="0" w:color="auto"/>
        <w:left w:val="none" w:sz="0" w:space="0" w:color="auto"/>
        <w:bottom w:val="none" w:sz="0" w:space="0" w:color="auto"/>
        <w:right w:val="none" w:sz="0" w:space="0" w:color="auto"/>
      </w:divBdr>
    </w:div>
    <w:div w:id="151395617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935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8CF5-4FF8-433D-9BC9-01FC5195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1772</Words>
  <Characters>10247</Characters>
  <Application>Microsoft Office Word</Application>
  <DocSecurity>0</DocSecurity>
  <Lines>310</Lines>
  <Paragraphs>100</Paragraphs>
  <ScaleCrop>false</ScaleCrop>
  <HeadingPairs>
    <vt:vector size="2" baseType="variant">
      <vt:variant>
        <vt:lpstr>Title</vt:lpstr>
      </vt:variant>
      <vt:variant>
        <vt:i4>1</vt:i4>
      </vt:variant>
    </vt:vector>
  </HeadingPairs>
  <TitlesOfParts>
    <vt:vector size="1" baseType="lpstr">
      <vt:lpstr>Palestinian Territories COVID-19 Development Response Plan</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Territories COVID-19 Development Response Plan</dc:title>
  <dc:subject/>
  <dc:creator/>
  <cp:keywords/>
  <cp:lastModifiedBy/>
  <cp:revision>1</cp:revision>
  <dcterms:created xsi:type="dcterms:W3CDTF">2020-11-09T03:07:00Z</dcterms:created>
  <dcterms:modified xsi:type="dcterms:W3CDTF">2020-11-09T05:02:00Z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9a195827-1d60-4036-9d24-98f3f5be5fad</vt:lpwstr>
  </property>
  <property fmtid="{D5CDD505-2E9C-101B-9397-08002B2CF9AE}" pid="3" name="SEC">
    <vt:lpwstr>OFFICIAL</vt:lpwstr>
  </property>
</Properties>
</file>