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1A15E" w14:textId="77777777" w:rsidR="00B97256" w:rsidRDefault="00B97256" w:rsidP="00FF2BFD">
      <w:pPr>
        <w:spacing w:line="280" w:lineRule="atLeast"/>
      </w:pPr>
      <w:bookmarkStart w:id="0" w:name="_GoBack"/>
      <w:bookmarkEnd w:id="0"/>
    </w:p>
    <w:p w14:paraId="7D38639E" w14:textId="77777777" w:rsidR="00B97256" w:rsidRDefault="00B97256" w:rsidP="00FF2BFD">
      <w:pPr>
        <w:spacing w:line="280" w:lineRule="atLeast"/>
        <w:rPr>
          <w:b/>
          <w:sz w:val="28"/>
          <w:szCs w:val="28"/>
        </w:rPr>
      </w:pPr>
      <w:r>
        <w:rPr>
          <w:b/>
          <w:noProof/>
          <w:lang w:val="en-AU" w:eastAsia="en-AU"/>
        </w:rPr>
        <w:drawing>
          <wp:inline distT="0" distB="0" distL="0" distR="0" wp14:anchorId="6F2C535C" wp14:editId="3A8E1928">
            <wp:extent cx="2648859" cy="463550"/>
            <wp:effectExtent l="0" t="0" r="0" b="0"/>
            <wp:docPr id="2" name="Picture 2" descr="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Foreign Affairs and Trade logo"/>
                    <pic:cNvPicPr/>
                  </pic:nvPicPr>
                  <pic:blipFill>
                    <a:blip r:embed="rId8">
                      <a:extLst>
                        <a:ext uri="{28A0092B-C50C-407E-A947-70E740481C1C}">
                          <a14:useLocalDpi xmlns:a14="http://schemas.microsoft.com/office/drawing/2010/main" val="0"/>
                        </a:ext>
                      </a:extLst>
                    </a:blip>
                    <a:stretch>
                      <a:fillRect/>
                    </a:stretch>
                  </pic:blipFill>
                  <pic:spPr>
                    <a:xfrm>
                      <a:off x="0" y="0"/>
                      <a:ext cx="2680961" cy="469168"/>
                    </a:xfrm>
                    <a:prstGeom prst="rect">
                      <a:avLst/>
                    </a:prstGeom>
                  </pic:spPr>
                </pic:pic>
              </a:graphicData>
            </a:graphic>
          </wp:inline>
        </w:drawing>
      </w:r>
      <w:r>
        <w:rPr>
          <w:b/>
          <w:noProof/>
          <w:lang w:eastAsia="en-AU"/>
        </w:rPr>
        <w:t xml:space="preserve">          </w:t>
      </w:r>
      <w:r>
        <w:rPr>
          <w:b/>
          <w:noProof/>
          <w:lang w:val="en-AU" w:eastAsia="en-AU"/>
        </w:rPr>
        <w:drawing>
          <wp:inline distT="0" distB="0" distL="0" distR="0" wp14:anchorId="59C20A39" wp14:editId="06FD69AD">
            <wp:extent cx="1123950" cy="509525"/>
            <wp:effectExtent l="0" t="0" r="0" b="5080"/>
            <wp:docPr id="1" name="Picture 1" descr="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Aid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3133" cy="518221"/>
                    </a:xfrm>
                    <a:prstGeom prst="rect">
                      <a:avLst/>
                    </a:prstGeom>
                  </pic:spPr>
                </pic:pic>
              </a:graphicData>
            </a:graphic>
          </wp:inline>
        </w:drawing>
      </w:r>
    </w:p>
    <w:p w14:paraId="244574A1" w14:textId="77777777" w:rsidR="00FF2BFD" w:rsidRDefault="003C6FC2" w:rsidP="00567F56">
      <w:pPr>
        <w:pStyle w:val="Heading1"/>
        <w:spacing w:before="1800" w:after="120" w:line="600" w:lineRule="exact"/>
        <w:rPr>
          <w:sz w:val="56"/>
          <w:szCs w:val="56"/>
        </w:rPr>
      </w:pPr>
      <w:bookmarkStart w:id="1" w:name="_Toc49669694"/>
      <w:bookmarkStart w:id="2" w:name="_Toc49669769"/>
      <w:bookmarkStart w:id="3" w:name="_Toc49669951"/>
      <w:r w:rsidRPr="00FF2BFD">
        <w:rPr>
          <w:sz w:val="56"/>
          <w:szCs w:val="56"/>
        </w:rPr>
        <w:t>COVID-19 GENDER AND SOCIAL PROTECTION GUIDANCE NOTE:</w:t>
      </w:r>
    </w:p>
    <w:p w14:paraId="5BE6B873" w14:textId="145F3A1F" w:rsidR="003C6FC2" w:rsidRPr="00FF2BFD" w:rsidRDefault="003C6FC2" w:rsidP="00FF2BFD">
      <w:pPr>
        <w:pStyle w:val="Heading1"/>
        <w:spacing w:before="0" w:after="480" w:line="520" w:lineRule="exact"/>
        <w:rPr>
          <w:sz w:val="56"/>
          <w:szCs w:val="56"/>
        </w:rPr>
      </w:pPr>
      <w:r w:rsidRPr="00FF2BFD">
        <w:rPr>
          <w:szCs w:val="48"/>
        </w:rPr>
        <w:t xml:space="preserve">Violence Against Women and </w:t>
      </w:r>
      <w:r w:rsidR="00FF2BFD" w:rsidRPr="00FF2BFD">
        <w:rPr>
          <w:szCs w:val="48"/>
        </w:rPr>
        <w:br/>
      </w:r>
      <w:r w:rsidRPr="00FF2BFD">
        <w:rPr>
          <w:szCs w:val="48"/>
        </w:rPr>
        <w:t xml:space="preserve">Girls- and Gender-sensitive </w:t>
      </w:r>
      <w:r w:rsidR="00FF2BFD">
        <w:rPr>
          <w:szCs w:val="48"/>
        </w:rPr>
        <w:br/>
      </w:r>
      <w:r w:rsidRPr="00FF2BFD">
        <w:rPr>
          <w:szCs w:val="48"/>
        </w:rPr>
        <w:t>Social Protection programming</w:t>
      </w:r>
      <w:bookmarkEnd w:id="1"/>
      <w:bookmarkEnd w:id="2"/>
      <w:bookmarkEnd w:id="3"/>
    </w:p>
    <w:p w14:paraId="01E2D7DF" w14:textId="77777777" w:rsidR="00A9785C" w:rsidRDefault="00A9785C">
      <w:pPr>
        <w:spacing w:after="0" w:line="240" w:lineRule="auto"/>
        <w:rPr>
          <w:rFonts w:eastAsiaTheme="majorEastAsia" w:cstheme="majorBidi"/>
          <w:b/>
          <w:color w:val="000000" w:themeColor="text1"/>
          <w:sz w:val="28"/>
          <w:szCs w:val="26"/>
        </w:rPr>
      </w:pPr>
      <w:r>
        <w:br w:type="page"/>
      </w:r>
    </w:p>
    <w:p w14:paraId="2DF55AAE" w14:textId="1E524F5E" w:rsidR="00287C13" w:rsidRDefault="00287C13" w:rsidP="00A9785C">
      <w:pPr>
        <w:pStyle w:val="Heading1"/>
      </w:pPr>
      <w:bookmarkStart w:id="4" w:name="_Toc49669695"/>
      <w:bookmarkStart w:id="5" w:name="_Toc49669770"/>
      <w:bookmarkStart w:id="6" w:name="_Toc49669952"/>
      <w:r>
        <w:lastRenderedPageBreak/>
        <w:t>Contents</w:t>
      </w:r>
      <w:bookmarkEnd w:id="4"/>
      <w:bookmarkEnd w:id="5"/>
      <w:bookmarkEnd w:id="6"/>
    </w:p>
    <w:p w14:paraId="51208DAF" w14:textId="24AF63F2" w:rsidR="00FF2BFD" w:rsidRDefault="007A3839" w:rsidP="00FF2BFD">
      <w:pPr>
        <w:pStyle w:val="TOC1"/>
        <w:rPr>
          <w:rFonts w:eastAsiaTheme="minorEastAsia" w:cstheme="minorBidi"/>
          <w:b w:val="0"/>
          <w:bCs w:val="0"/>
          <w:sz w:val="24"/>
          <w:lang w:val="en-AU" w:eastAsia="en-GB"/>
        </w:rPr>
      </w:pPr>
      <w:r>
        <w:rPr>
          <w:lang w:val="en-AU" w:eastAsia="en-AU"/>
        </w:rPr>
        <w:fldChar w:fldCharType="begin"/>
      </w:r>
      <w:r>
        <w:rPr>
          <w:lang w:val="en-AU" w:eastAsia="en-AU"/>
        </w:rPr>
        <w:instrText xml:space="preserve"> TOC \o "1-2" \h \z \u </w:instrText>
      </w:r>
      <w:r>
        <w:rPr>
          <w:lang w:val="en-AU" w:eastAsia="en-AU"/>
        </w:rPr>
        <w:fldChar w:fldCharType="separate"/>
      </w:r>
    </w:p>
    <w:p w14:paraId="68E8642A" w14:textId="10C7E1E9" w:rsidR="00FF2BFD" w:rsidRDefault="00652DDB">
      <w:pPr>
        <w:pStyle w:val="TOC1"/>
        <w:rPr>
          <w:rFonts w:eastAsiaTheme="minorEastAsia" w:cstheme="minorBidi"/>
          <w:b w:val="0"/>
          <w:bCs w:val="0"/>
          <w:sz w:val="24"/>
          <w:lang w:val="en-AU" w:eastAsia="en-GB"/>
        </w:rPr>
      </w:pPr>
      <w:hyperlink w:anchor="_Toc49669953" w:history="1">
        <w:r w:rsidR="00FF2BFD" w:rsidRPr="00ED3B54">
          <w:rPr>
            <w:rStyle w:val="Hyperlink"/>
          </w:rPr>
          <w:t>Introduction</w:t>
        </w:r>
        <w:r w:rsidR="00FF2BFD">
          <w:rPr>
            <w:webHidden/>
          </w:rPr>
          <w:tab/>
        </w:r>
        <w:r w:rsidR="00FF2BFD">
          <w:rPr>
            <w:webHidden/>
          </w:rPr>
          <w:fldChar w:fldCharType="begin"/>
        </w:r>
        <w:r w:rsidR="00FF2BFD">
          <w:rPr>
            <w:webHidden/>
          </w:rPr>
          <w:instrText xml:space="preserve"> PAGEREF _Toc49669953 \h </w:instrText>
        </w:r>
        <w:r w:rsidR="00FF2BFD">
          <w:rPr>
            <w:webHidden/>
          </w:rPr>
        </w:r>
        <w:r w:rsidR="00FF2BFD">
          <w:rPr>
            <w:webHidden/>
          </w:rPr>
          <w:fldChar w:fldCharType="separate"/>
        </w:r>
        <w:r w:rsidR="00FF2BFD">
          <w:rPr>
            <w:webHidden/>
          </w:rPr>
          <w:t>3</w:t>
        </w:r>
        <w:r w:rsidR="00FF2BFD">
          <w:rPr>
            <w:webHidden/>
          </w:rPr>
          <w:fldChar w:fldCharType="end"/>
        </w:r>
      </w:hyperlink>
    </w:p>
    <w:p w14:paraId="3657872F" w14:textId="695C7249" w:rsidR="00FF2BFD" w:rsidRDefault="00652DDB">
      <w:pPr>
        <w:pStyle w:val="TOC2"/>
        <w:tabs>
          <w:tab w:val="right" w:leader="dot" w:pos="9010"/>
        </w:tabs>
        <w:rPr>
          <w:rFonts w:eastAsiaTheme="minorEastAsia" w:cstheme="minorBidi"/>
          <w:noProof/>
          <w:sz w:val="24"/>
          <w:lang w:val="en-AU" w:eastAsia="en-GB"/>
        </w:rPr>
      </w:pPr>
      <w:hyperlink w:anchor="_Toc49669954" w:history="1">
        <w:r w:rsidR="00FF2BFD" w:rsidRPr="00ED3B54">
          <w:rPr>
            <w:rStyle w:val="Hyperlink"/>
            <w:noProof/>
          </w:rPr>
          <w:t>Who is this guidance for?</w:t>
        </w:r>
        <w:r w:rsidR="00FF2BFD">
          <w:rPr>
            <w:noProof/>
            <w:webHidden/>
          </w:rPr>
          <w:tab/>
        </w:r>
        <w:r w:rsidR="00FF2BFD">
          <w:rPr>
            <w:noProof/>
            <w:webHidden/>
          </w:rPr>
          <w:fldChar w:fldCharType="begin"/>
        </w:r>
        <w:r w:rsidR="00FF2BFD">
          <w:rPr>
            <w:noProof/>
            <w:webHidden/>
          </w:rPr>
          <w:instrText xml:space="preserve"> PAGEREF _Toc49669954 \h </w:instrText>
        </w:r>
        <w:r w:rsidR="00FF2BFD">
          <w:rPr>
            <w:noProof/>
            <w:webHidden/>
          </w:rPr>
        </w:r>
        <w:r w:rsidR="00FF2BFD">
          <w:rPr>
            <w:noProof/>
            <w:webHidden/>
          </w:rPr>
          <w:fldChar w:fldCharType="separate"/>
        </w:r>
        <w:r w:rsidR="00FF2BFD">
          <w:rPr>
            <w:noProof/>
            <w:webHidden/>
          </w:rPr>
          <w:t>3</w:t>
        </w:r>
        <w:r w:rsidR="00FF2BFD">
          <w:rPr>
            <w:noProof/>
            <w:webHidden/>
          </w:rPr>
          <w:fldChar w:fldCharType="end"/>
        </w:r>
      </w:hyperlink>
    </w:p>
    <w:p w14:paraId="56E9ED71" w14:textId="38FA70C4" w:rsidR="00FF2BFD" w:rsidRDefault="00652DDB">
      <w:pPr>
        <w:pStyle w:val="TOC2"/>
        <w:tabs>
          <w:tab w:val="right" w:leader="dot" w:pos="9010"/>
        </w:tabs>
        <w:rPr>
          <w:rFonts w:eastAsiaTheme="minorEastAsia" w:cstheme="minorBidi"/>
          <w:noProof/>
          <w:sz w:val="24"/>
          <w:lang w:val="en-AU" w:eastAsia="en-GB"/>
        </w:rPr>
      </w:pPr>
      <w:hyperlink w:anchor="_Toc49669955" w:history="1">
        <w:r w:rsidR="00FF2BFD" w:rsidRPr="00ED3B54">
          <w:rPr>
            <w:rStyle w:val="Hyperlink"/>
            <w:noProof/>
          </w:rPr>
          <w:t>Social Protection and COVID-19</w:t>
        </w:r>
        <w:r w:rsidR="00FF2BFD">
          <w:rPr>
            <w:noProof/>
            <w:webHidden/>
          </w:rPr>
          <w:tab/>
        </w:r>
        <w:r w:rsidR="00FF2BFD">
          <w:rPr>
            <w:noProof/>
            <w:webHidden/>
          </w:rPr>
          <w:fldChar w:fldCharType="begin"/>
        </w:r>
        <w:r w:rsidR="00FF2BFD">
          <w:rPr>
            <w:noProof/>
            <w:webHidden/>
          </w:rPr>
          <w:instrText xml:space="preserve"> PAGEREF _Toc49669955 \h </w:instrText>
        </w:r>
        <w:r w:rsidR="00FF2BFD">
          <w:rPr>
            <w:noProof/>
            <w:webHidden/>
          </w:rPr>
        </w:r>
        <w:r w:rsidR="00FF2BFD">
          <w:rPr>
            <w:noProof/>
            <w:webHidden/>
          </w:rPr>
          <w:fldChar w:fldCharType="separate"/>
        </w:r>
        <w:r w:rsidR="00FF2BFD">
          <w:rPr>
            <w:noProof/>
            <w:webHidden/>
          </w:rPr>
          <w:t>3</w:t>
        </w:r>
        <w:r w:rsidR="00FF2BFD">
          <w:rPr>
            <w:noProof/>
            <w:webHidden/>
          </w:rPr>
          <w:fldChar w:fldCharType="end"/>
        </w:r>
      </w:hyperlink>
    </w:p>
    <w:p w14:paraId="6746D9F2" w14:textId="2B965A72" w:rsidR="00FF2BFD" w:rsidRDefault="00652DDB">
      <w:pPr>
        <w:pStyle w:val="TOC2"/>
        <w:tabs>
          <w:tab w:val="right" w:leader="dot" w:pos="9010"/>
        </w:tabs>
        <w:rPr>
          <w:rFonts w:eastAsiaTheme="minorEastAsia" w:cstheme="minorBidi"/>
          <w:noProof/>
          <w:sz w:val="24"/>
          <w:lang w:val="en-AU" w:eastAsia="en-GB"/>
        </w:rPr>
      </w:pPr>
      <w:hyperlink w:anchor="_Toc49669956" w:history="1">
        <w:r w:rsidR="00FF2BFD" w:rsidRPr="00ED3B54">
          <w:rPr>
            <w:rStyle w:val="Hyperlink"/>
            <w:noProof/>
          </w:rPr>
          <w:t>How to use this guidance:</w:t>
        </w:r>
        <w:r w:rsidR="00FF2BFD">
          <w:rPr>
            <w:noProof/>
            <w:webHidden/>
          </w:rPr>
          <w:tab/>
        </w:r>
        <w:r w:rsidR="00FF2BFD">
          <w:rPr>
            <w:noProof/>
            <w:webHidden/>
          </w:rPr>
          <w:fldChar w:fldCharType="begin"/>
        </w:r>
        <w:r w:rsidR="00FF2BFD">
          <w:rPr>
            <w:noProof/>
            <w:webHidden/>
          </w:rPr>
          <w:instrText xml:space="preserve"> PAGEREF _Toc49669956 \h </w:instrText>
        </w:r>
        <w:r w:rsidR="00FF2BFD">
          <w:rPr>
            <w:noProof/>
            <w:webHidden/>
          </w:rPr>
        </w:r>
        <w:r w:rsidR="00FF2BFD">
          <w:rPr>
            <w:noProof/>
            <w:webHidden/>
          </w:rPr>
          <w:fldChar w:fldCharType="separate"/>
        </w:r>
        <w:r w:rsidR="00FF2BFD">
          <w:rPr>
            <w:noProof/>
            <w:webHidden/>
          </w:rPr>
          <w:t>4</w:t>
        </w:r>
        <w:r w:rsidR="00FF2BFD">
          <w:rPr>
            <w:noProof/>
            <w:webHidden/>
          </w:rPr>
          <w:fldChar w:fldCharType="end"/>
        </w:r>
      </w:hyperlink>
    </w:p>
    <w:p w14:paraId="24240736" w14:textId="632F8CF0" w:rsidR="00FF2BFD" w:rsidRDefault="00652DDB">
      <w:pPr>
        <w:pStyle w:val="TOC2"/>
        <w:tabs>
          <w:tab w:val="right" w:leader="dot" w:pos="9010"/>
        </w:tabs>
        <w:rPr>
          <w:rFonts w:eastAsiaTheme="minorEastAsia" w:cstheme="minorBidi"/>
          <w:noProof/>
          <w:sz w:val="24"/>
          <w:lang w:val="en-AU" w:eastAsia="en-GB"/>
        </w:rPr>
      </w:pPr>
      <w:hyperlink w:anchor="_Toc49669957" w:history="1">
        <w:r w:rsidR="00FF2BFD" w:rsidRPr="00ED3B54">
          <w:rPr>
            <w:rStyle w:val="Hyperlink"/>
            <w:noProof/>
          </w:rPr>
          <w:t>Key terms used in this guidance</w:t>
        </w:r>
        <w:r w:rsidR="00FF2BFD">
          <w:rPr>
            <w:noProof/>
            <w:webHidden/>
          </w:rPr>
          <w:tab/>
        </w:r>
        <w:r w:rsidR="00FF2BFD">
          <w:rPr>
            <w:noProof/>
            <w:webHidden/>
          </w:rPr>
          <w:fldChar w:fldCharType="begin"/>
        </w:r>
        <w:r w:rsidR="00FF2BFD">
          <w:rPr>
            <w:noProof/>
            <w:webHidden/>
          </w:rPr>
          <w:instrText xml:space="preserve"> PAGEREF _Toc49669957 \h </w:instrText>
        </w:r>
        <w:r w:rsidR="00FF2BFD">
          <w:rPr>
            <w:noProof/>
            <w:webHidden/>
          </w:rPr>
        </w:r>
        <w:r w:rsidR="00FF2BFD">
          <w:rPr>
            <w:noProof/>
            <w:webHidden/>
          </w:rPr>
          <w:fldChar w:fldCharType="separate"/>
        </w:r>
        <w:r w:rsidR="00FF2BFD">
          <w:rPr>
            <w:noProof/>
            <w:webHidden/>
          </w:rPr>
          <w:t>5</w:t>
        </w:r>
        <w:r w:rsidR="00FF2BFD">
          <w:rPr>
            <w:noProof/>
            <w:webHidden/>
          </w:rPr>
          <w:fldChar w:fldCharType="end"/>
        </w:r>
      </w:hyperlink>
    </w:p>
    <w:p w14:paraId="1535647B" w14:textId="5935A833" w:rsidR="00FF2BFD" w:rsidRDefault="00652DDB">
      <w:pPr>
        <w:pStyle w:val="TOC2"/>
        <w:tabs>
          <w:tab w:val="right" w:leader="dot" w:pos="9010"/>
        </w:tabs>
        <w:rPr>
          <w:rFonts w:eastAsiaTheme="minorEastAsia" w:cstheme="minorBidi"/>
          <w:noProof/>
          <w:sz w:val="24"/>
          <w:lang w:val="en-AU" w:eastAsia="en-GB"/>
        </w:rPr>
      </w:pPr>
      <w:hyperlink w:anchor="_Toc49669958" w:history="1">
        <w:r w:rsidR="00FF2BFD" w:rsidRPr="00ED3B54">
          <w:rPr>
            <w:rStyle w:val="Hyperlink"/>
            <w:noProof/>
          </w:rPr>
          <w:t>What will you be able to do by the end of reading this guidance?</w:t>
        </w:r>
        <w:r w:rsidR="00FF2BFD">
          <w:rPr>
            <w:noProof/>
            <w:webHidden/>
          </w:rPr>
          <w:tab/>
        </w:r>
        <w:r w:rsidR="00FF2BFD">
          <w:rPr>
            <w:noProof/>
            <w:webHidden/>
          </w:rPr>
          <w:fldChar w:fldCharType="begin"/>
        </w:r>
        <w:r w:rsidR="00FF2BFD">
          <w:rPr>
            <w:noProof/>
            <w:webHidden/>
          </w:rPr>
          <w:instrText xml:space="preserve"> PAGEREF _Toc49669958 \h </w:instrText>
        </w:r>
        <w:r w:rsidR="00FF2BFD">
          <w:rPr>
            <w:noProof/>
            <w:webHidden/>
          </w:rPr>
        </w:r>
        <w:r w:rsidR="00FF2BFD">
          <w:rPr>
            <w:noProof/>
            <w:webHidden/>
          </w:rPr>
          <w:fldChar w:fldCharType="separate"/>
        </w:r>
        <w:r w:rsidR="00FF2BFD">
          <w:rPr>
            <w:noProof/>
            <w:webHidden/>
          </w:rPr>
          <w:t>5</w:t>
        </w:r>
        <w:r w:rsidR="00FF2BFD">
          <w:rPr>
            <w:noProof/>
            <w:webHidden/>
          </w:rPr>
          <w:fldChar w:fldCharType="end"/>
        </w:r>
      </w:hyperlink>
    </w:p>
    <w:p w14:paraId="3C5C8F90" w14:textId="67F93ECB" w:rsidR="00FF2BFD" w:rsidRDefault="00652DDB">
      <w:pPr>
        <w:pStyle w:val="TOC1"/>
        <w:rPr>
          <w:rFonts w:eastAsiaTheme="minorEastAsia" w:cstheme="minorBidi"/>
          <w:b w:val="0"/>
          <w:bCs w:val="0"/>
          <w:sz w:val="24"/>
          <w:lang w:val="en-AU" w:eastAsia="en-GB"/>
        </w:rPr>
      </w:pPr>
      <w:hyperlink w:anchor="_Toc49669959" w:history="1">
        <w:r w:rsidR="00FF2BFD" w:rsidRPr="00ED3B54">
          <w:rPr>
            <w:rStyle w:val="Hyperlink"/>
          </w:rPr>
          <w:t>PART 1: What are the differential impacts of covid-19 on women and girls?</w:t>
        </w:r>
        <w:r w:rsidR="00FF2BFD">
          <w:rPr>
            <w:webHidden/>
          </w:rPr>
          <w:tab/>
        </w:r>
        <w:r w:rsidR="00FF2BFD">
          <w:rPr>
            <w:webHidden/>
          </w:rPr>
          <w:fldChar w:fldCharType="begin"/>
        </w:r>
        <w:r w:rsidR="00FF2BFD">
          <w:rPr>
            <w:webHidden/>
          </w:rPr>
          <w:instrText xml:space="preserve"> PAGEREF _Toc49669959 \h </w:instrText>
        </w:r>
        <w:r w:rsidR="00FF2BFD">
          <w:rPr>
            <w:webHidden/>
          </w:rPr>
        </w:r>
        <w:r w:rsidR="00FF2BFD">
          <w:rPr>
            <w:webHidden/>
          </w:rPr>
          <w:fldChar w:fldCharType="separate"/>
        </w:r>
        <w:r w:rsidR="00FF2BFD">
          <w:rPr>
            <w:webHidden/>
          </w:rPr>
          <w:t>6</w:t>
        </w:r>
        <w:r w:rsidR="00FF2BFD">
          <w:rPr>
            <w:webHidden/>
          </w:rPr>
          <w:fldChar w:fldCharType="end"/>
        </w:r>
      </w:hyperlink>
    </w:p>
    <w:p w14:paraId="45FC48BA" w14:textId="4CD46143" w:rsidR="00FF2BFD" w:rsidRDefault="00652DDB">
      <w:pPr>
        <w:pStyle w:val="TOC2"/>
        <w:tabs>
          <w:tab w:val="right" w:leader="dot" w:pos="9010"/>
        </w:tabs>
        <w:rPr>
          <w:rFonts w:eastAsiaTheme="minorEastAsia" w:cstheme="minorBidi"/>
          <w:noProof/>
          <w:sz w:val="24"/>
          <w:lang w:val="en-AU" w:eastAsia="en-GB"/>
        </w:rPr>
      </w:pPr>
      <w:hyperlink w:anchor="_Toc49669960" w:history="1">
        <w:r w:rsidR="00FF2BFD" w:rsidRPr="00ED3B54">
          <w:rPr>
            <w:rStyle w:val="Hyperlink"/>
            <w:noProof/>
          </w:rPr>
          <w:t>Key impacts of COVID-19 on women and girls</w:t>
        </w:r>
        <w:r w:rsidR="00FF2BFD">
          <w:rPr>
            <w:noProof/>
            <w:webHidden/>
          </w:rPr>
          <w:tab/>
        </w:r>
        <w:r w:rsidR="00FF2BFD">
          <w:rPr>
            <w:noProof/>
            <w:webHidden/>
          </w:rPr>
          <w:fldChar w:fldCharType="begin"/>
        </w:r>
        <w:r w:rsidR="00FF2BFD">
          <w:rPr>
            <w:noProof/>
            <w:webHidden/>
          </w:rPr>
          <w:instrText xml:space="preserve"> PAGEREF _Toc49669960 \h </w:instrText>
        </w:r>
        <w:r w:rsidR="00FF2BFD">
          <w:rPr>
            <w:noProof/>
            <w:webHidden/>
          </w:rPr>
        </w:r>
        <w:r w:rsidR="00FF2BFD">
          <w:rPr>
            <w:noProof/>
            <w:webHidden/>
          </w:rPr>
          <w:fldChar w:fldCharType="separate"/>
        </w:r>
        <w:r w:rsidR="00FF2BFD">
          <w:rPr>
            <w:noProof/>
            <w:webHidden/>
          </w:rPr>
          <w:t>6</w:t>
        </w:r>
        <w:r w:rsidR="00FF2BFD">
          <w:rPr>
            <w:noProof/>
            <w:webHidden/>
          </w:rPr>
          <w:fldChar w:fldCharType="end"/>
        </w:r>
      </w:hyperlink>
    </w:p>
    <w:p w14:paraId="7A7ED0FF" w14:textId="1C739635" w:rsidR="00FF2BFD" w:rsidRDefault="00652DDB">
      <w:pPr>
        <w:pStyle w:val="TOC2"/>
        <w:tabs>
          <w:tab w:val="right" w:leader="dot" w:pos="9010"/>
        </w:tabs>
        <w:rPr>
          <w:rFonts w:eastAsiaTheme="minorEastAsia" w:cstheme="minorBidi"/>
          <w:noProof/>
          <w:sz w:val="24"/>
          <w:lang w:val="en-AU" w:eastAsia="en-GB"/>
        </w:rPr>
      </w:pPr>
      <w:hyperlink w:anchor="_Toc49669961" w:history="1">
        <w:r w:rsidR="00FF2BFD" w:rsidRPr="00ED3B54">
          <w:rPr>
            <w:rStyle w:val="Hyperlink"/>
            <w:noProof/>
          </w:rPr>
          <w:t>Social protection and gender equality: definition of key terms</w:t>
        </w:r>
        <w:r w:rsidR="00FF2BFD">
          <w:rPr>
            <w:noProof/>
            <w:webHidden/>
          </w:rPr>
          <w:tab/>
        </w:r>
        <w:r w:rsidR="00FF2BFD">
          <w:rPr>
            <w:noProof/>
            <w:webHidden/>
          </w:rPr>
          <w:fldChar w:fldCharType="begin"/>
        </w:r>
        <w:r w:rsidR="00FF2BFD">
          <w:rPr>
            <w:noProof/>
            <w:webHidden/>
          </w:rPr>
          <w:instrText xml:space="preserve"> PAGEREF _Toc49669961 \h </w:instrText>
        </w:r>
        <w:r w:rsidR="00FF2BFD">
          <w:rPr>
            <w:noProof/>
            <w:webHidden/>
          </w:rPr>
        </w:r>
        <w:r w:rsidR="00FF2BFD">
          <w:rPr>
            <w:noProof/>
            <w:webHidden/>
          </w:rPr>
          <w:fldChar w:fldCharType="separate"/>
        </w:r>
        <w:r w:rsidR="00FF2BFD">
          <w:rPr>
            <w:noProof/>
            <w:webHidden/>
          </w:rPr>
          <w:t>7</w:t>
        </w:r>
        <w:r w:rsidR="00FF2BFD">
          <w:rPr>
            <w:noProof/>
            <w:webHidden/>
          </w:rPr>
          <w:fldChar w:fldCharType="end"/>
        </w:r>
      </w:hyperlink>
    </w:p>
    <w:p w14:paraId="6E24C723" w14:textId="32E0ADC8" w:rsidR="00FF2BFD" w:rsidRDefault="00652DDB">
      <w:pPr>
        <w:pStyle w:val="TOC1"/>
        <w:rPr>
          <w:rFonts w:eastAsiaTheme="minorEastAsia" w:cstheme="minorBidi"/>
          <w:b w:val="0"/>
          <w:bCs w:val="0"/>
          <w:sz w:val="24"/>
          <w:lang w:val="en-AU" w:eastAsia="en-GB"/>
        </w:rPr>
      </w:pPr>
      <w:hyperlink w:anchor="_Toc49669962" w:history="1">
        <w:r w:rsidR="00FF2BFD" w:rsidRPr="00ED3B54">
          <w:rPr>
            <w:rStyle w:val="Hyperlink"/>
          </w:rPr>
          <w:t>PART 2: GESI considerations and social protection response options</w:t>
        </w:r>
        <w:r w:rsidR="00FF2BFD">
          <w:rPr>
            <w:webHidden/>
          </w:rPr>
          <w:tab/>
        </w:r>
        <w:r w:rsidR="00FF2BFD">
          <w:rPr>
            <w:webHidden/>
          </w:rPr>
          <w:fldChar w:fldCharType="begin"/>
        </w:r>
        <w:r w:rsidR="00FF2BFD">
          <w:rPr>
            <w:webHidden/>
          </w:rPr>
          <w:instrText xml:space="preserve"> PAGEREF _Toc49669962 \h </w:instrText>
        </w:r>
        <w:r w:rsidR="00FF2BFD">
          <w:rPr>
            <w:webHidden/>
          </w:rPr>
        </w:r>
        <w:r w:rsidR="00FF2BFD">
          <w:rPr>
            <w:webHidden/>
          </w:rPr>
          <w:fldChar w:fldCharType="separate"/>
        </w:r>
        <w:r w:rsidR="00FF2BFD">
          <w:rPr>
            <w:webHidden/>
          </w:rPr>
          <w:t>9</w:t>
        </w:r>
        <w:r w:rsidR="00FF2BFD">
          <w:rPr>
            <w:webHidden/>
          </w:rPr>
          <w:fldChar w:fldCharType="end"/>
        </w:r>
      </w:hyperlink>
    </w:p>
    <w:p w14:paraId="13F87757" w14:textId="0AFC6ABC" w:rsidR="00FF2BFD" w:rsidRDefault="00652DDB">
      <w:pPr>
        <w:pStyle w:val="TOC2"/>
        <w:tabs>
          <w:tab w:val="right" w:leader="dot" w:pos="9010"/>
        </w:tabs>
        <w:rPr>
          <w:rFonts w:eastAsiaTheme="minorEastAsia" w:cstheme="minorBidi"/>
          <w:noProof/>
          <w:sz w:val="24"/>
          <w:lang w:val="en-AU" w:eastAsia="en-GB"/>
        </w:rPr>
      </w:pPr>
      <w:hyperlink w:anchor="_Toc49669963" w:history="1">
        <w:r w:rsidR="00FF2BFD" w:rsidRPr="00ED3B54">
          <w:rPr>
            <w:rStyle w:val="Hyperlink"/>
            <w:noProof/>
          </w:rPr>
          <w:t>2.1 Pre-design and situation assessment</w:t>
        </w:r>
        <w:r w:rsidR="00FF2BFD">
          <w:rPr>
            <w:noProof/>
            <w:webHidden/>
          </w:rPr>
          <w:tab/>
        </w:r>
        <w:r w:rsidR="00FF2BFD">
          <w:rPr>
            <w:noProof/>
            <w:webHidden/>
          </w:rPr>
          <w:fldChar w:fldCharType="begin"/>
        </w:r>
        <w:r w:rsidR="00FF2BFD">
          <w:rPr>
            <w:noProof/>
            <w:webHidden/>
          </w:rPr>
          <w:instrText xml:space="preserve"> PAGEREF _Toc49669963 \h </w:instrText>
        </w:r>
        <w:r w:rsidR="00FF2BFD">
          <w:rPr>
            <w:noProof/>
            <w:webHidden/>
          </w:rPr>
        </w:r>
        <w:r w:rsidR="00FF2BFD">
          <w:rPr>
            <w:noProof/>
            <w:webHidden/>
          </w:rPr>
          <w:fldChar w:fldCharType="separate"/>
        </w:r>
        <w:r w:rsidR="00FF2BFD">
          <w:rPr>
            <w:noProof/>
            <w:webHidden/>
          </w:rPr>
          <w:t>9</w:t>
        </w:r>
        <w:r w:rsidR="00FF2BFD">
          <w:rPr>
            <w:noProof/>
            <w:webHidden/>
          </w:rPr>
          <w:fldChar w:fldCharType="end"/>
        </w:r>
      </w:hyperlink>
    </w:p>
    <w:p w14:paraId="3E06EE31" w14:textId="6196CB97" w:rsidR="00FF2BFD" w:rsidRDefault="00652DDB">
      <w:pPr>
        <w:pStyle w:val="TOC2"/>
        <w:tabs>
          <w:tab w:val="right" w:leader="dot" w:pos="9010"/>
        </w:tabs>
        <w:rPr>
          <w:rFonts w:eastAsiaTheme="minorEastAsia" w:cstheme="minorBidi"/>
          <w:noProof/>
          <w:sz w:val="24"/>
          <w:lang w:val="en-AU" w:eastAsia="en-GB"/>
        </w:rPr>
      </w:pPr>
      <w:hyperlink w:anchor="_Toc49669964" w:history="1">
        <w:r w:rsidR="00FF2BFD" w:rsidRPr="00ED3B54">
          <w:rPr>
            <w:rStyle w:val="Hyperlink"/>
            <w:noProof/>
          </w:rPr>
          <w:t>2.2 Program design</w:t>
        </w:r>
        <w:r w:rsidR="00FF2BFD">
          <w:rPr>
            <w:noProof/>
            <w:webHidden/>
          </w:rPr>
          <w:tab/>
        </w:r>
        <w:r w:rsidR="00FF2BFD">
          <w:rPr>
            <w:noProof/>
            <w:webHidden/>
          </w:rPr>
          <w:fldChar w:fldCharType="begin"/>
        </w:r>
        <w:r w:rsidR="00FF2BFD">
          <w:rPr>
            <w:noProof/>
            <w:webHidden/>
          </w:rPr>
          <w:instrText xml:space="preserve"> PAGEREF _Toc49669964 \h </w:instrText>
        </w:r>
        <w:r w:rsidR="00FF2BFD">
          <w:rPr>
            <w:noProof/>
            <w:webHidden/>
          </w:rPr>
        </w:r>
        <w:r w:rsidR="00FF2BFD">
          <w:rPr>
            <w:noProof/>
            <w:webHidden/>
          </w:rPr>
          <w:fldChar w:fldCharType="separate"/>
        </w:r>
        <w:r w:rsidR="00FF2BFD">
          <w:rPr>
            <w:noProof/>
            <w:webHidden/>
          </w:rPr>
          <w:t>10</w:t>
        </w:r>
        <w:r w:rsidR="00FF2BFD">
          <w:rPr>
            <w:noProof/>
            <w:webHidden/>
          </w:rPr>
          <w:fldChar w:fldCharType="end"/>
        </w:r>
      </w:hyperlink>
    </w:p>
    <w:p w14:paraId="2AECA060" w14:textId="1B2FF475" w:rsidR="00FF2BFD" w:rsidRDefault="00652DDB">
      <w:pPr>
        <w:pStyle w:val="TOC2"/>
        <w:tabs>
          <w:tab w:val="right" w:leader="dot" w:pos="9010"/>
        </w:tabs>
        <w:rPr>
          <w:rFonts w:eastAsiaTheme="minorEastAsia" w:cstheme="minorBidi"/>
          <w:noProof/>
          <w:sz w:val="24"/>
          <w:lang w:val="en-AU" w:eastAsia="en-GB"/>
        </w:rPr>
      </w:pPr>
      <w:hyperlink w:anchor="_Toc49669965" w:history="1">
        <w:r w:rsidR="00FF2BFD" w:rsidRPr="00ED3B54">
          <w:rPr>
            <w:rStyle w:val="Hyperlink"/>
            <w:noProof/>
          </w:rPr>
          <w:t>2.3 Delivery systems</w:t>
        </w:r>
        <w:r w:rsidR="00FF2BFD">
          <w:rPr>
            <w:noProof/>
            <w:webHidden/>
          </w:rPr>
          <w:tab/>
        </w:r>
        <w:r w:rsidR="00FF2BFD">
          <w:rPr>
            <w:noProof/>
            <w:webHidden/>
          </w:rPr>
          <w:fldChar w:fldCharType="begin"/>
        </w:r>
        <w:r w:rsidR="00FF2BFD">
          <w:rPr>
            <w:noProof/>
            <w:webHidden/>
          </w:rPr>
          <w:instrText xml:space="preserve"> PAGEREF _Toc49669965 \h </w:instrText>
        </w:r>
        <w:r w:rsidR="00FF2BFD">
          <w:rPr>
            <w:noProof/>
            <w:webHidden/>
          </w:rPr>
        </w:r>
        <w:r w:rsidR="00FF2BFD">
          <w:rPr>
            <w:noProof/>
            <w:webHidden/>
          </w:rPr>
          <w:fldChar w:fldCharType="separate"/>
        </w:r>
        <w:r w:rsidR="00FF2BFD">
          <w:rPr>
            <w:noProof/>
            <w:webHidden/>
          </w:rPr>
          <w:t>13</w:t>
        </w:r>
        <w:r w:rsidR="00FF2BFD">
          <w:rPr>
            <w:noProof/>
            <w:webHidden/>
          </w:rPr>
          <w:fldChar w:fldCharType="end"/>
        </w:r>
      </w:hyperlink>
    </w:p>
    <w:p w14:paraId="52D13CCB" w14:textId="1CCD3153" w:rsidR="00FF2BFD" w:rsidRDefault="00652DDB">
      <w:pPr>
        <w:pStyle w:val="TOC2"/>
        <w:tabs>
          <w:tab w:val="right" w:leader="dot" w:pos="9010"/>
        </w:tabs>
        <w:rPr>
          <w:rFonts w:eastAsiaTheme="minorEastAsia" w:cstheme="minorBidi"/>
          <w:noProof/>
          <w:sz w:val="24"/>
          <w:lang w:val="en-AU" w:eastAsia="en-GB"/>
        </w:rPr>
      </w:pPr>
      <w:hyperlink w:anchor="_Toc49669966" w:history="1">
        <w:r w:rsidR="00FF2BFD" w:rsidRPr="00ED3B54">
          <w:rPr>
            <w:rStyle w:val="Hyperlink"/>
            <w:noProof/>
          </w:rPr>
          <w:t>2.4 Monitoring, evaluation and learning (MEL)</w:t>
        </w:r>
        <w:r w:rsidR="00FF2BFD">
          <w:rPr>
            <w:noProof/>
            <w:webHidden/>
          </w:rPr>
          <w:tab/>
        </w:r>
        <w:r w:rsidR="00FF2BFD">
          <w:rPr>
            <w:noProof/>
            <w:webHidden/>
          </w:rPr>
          <w:fldChar w:fldCharType="begin"/>
        </w:r>
        <w:r w:rsidR="00FF2BFD">
          <w:rPr>
            <w:noProof/>
            <w:webHidden/>
          </w:rPr>
          <w:instrText xml:space="preserve"> PAGEREF _Toc49669966 \h </w:instrText>
        </w:r>
        <w:r w:rsidR="00FF2BFD">
          <w:rPr>
            <w:noProof/>
            <w:webHidden/>
          </w:rPr>
        </w:r>
        <w:r w:rsidR="00FF2BFD">
          <w:rPr>
            <w:noProof/>
            <w:webHidden/>
          </w:rPr>
          <w:fldChar w:fldCharType="separate"/>
        </w:r>
        <w:r w:rsidR="00FF2BFD">
          <w:rPr>
            <w:noProof/>
            <w:webHidden/>
          </w:rPr>
          <w:t>17</w:t>
        </w:r>
        <w:r w:rsidR="00FF2BFD">
          <w:rPr>
            <w:noProof/>
            <w:webHidden/>
          </w:rPr>
          <w:fldChar w:fldCharType="end"/>
        </w:r>
      </w:hyperlink>
    </w:p>
    <w:p w14:paraId="4016213F" w14:textId="50D19DD3" w:rsidR="00FF2BFD" w:rsidRDefault="00652DDB">
      <w:pPr>
        <w:pStyle w:val="TOC1"/>
        <w:rPr>
          <w:rFonts w:eastAsiaTheme="minorEastAsia" w:cstheme="minorBidi"/>
          <w:b w:val="0"/>
          <w:bCs w:val="0"/>
          <w:sz w:val="24"/>
          <w:lang w:val="en-AU" w:eastAsia="en-GB"/>
        </w:rPr>
      </w:pPr>
      <w:hyperlink w:anchor="_Toc49669967" w:history="1">
        <w:r w:rsidR="00FF2BFD" w:rsidRPr="00ED3B54">
          <w:rPr>
            <w:rStyle w:val="Hyperlink"/>
          </w:rPr>
          <w:t>PART 3: GESI and VAWG considerations and program response options at a glance</w:t>
        </w:r>
        <w:r w:rsidR="00FF2BFD">
          <w:rPr>
            <w:webHidden/>
          </w:rPr>
          <w:tab/>
        </w:r>
        <w:r w:rsidR="00FF2BFD">
          <w:rPr>
            <w:webHidden/>
          </w:rPr>
          <w:fldChar w:fldCharType="begin"/>
        </w:r>
        <w:r w:rsidR="00FF2BFD">
          <w:rPr>
            <w:webHidden/>
          </w:rPr>
          <w:instrText xml:space="preserve"> PAGEREF _Toc49669967 \h </w:instrText>
        </w:r>
        <w:r w:rsidR="00FF2BFD">
          <w:rPr>
            <w:webHidden/>
          </w:rPr>
        </w:r>
        <w:r w:rsidR="00FF2BFD">
          <w:rPr>
            <w:webHidden/>
          </w:rPr>
          <w:fldChar w:fldCharType="separate"/>
        </w:r>
        <w:r w:rsidR="00FF2BFD">
          <w:rPr>
            <w:webHidden/>
          </w:rPr>
          <w:t>19</w:t>
        </w:r>
        <w:r w:rsidR="00FF2BFD">
          <w:rPr>
            <w:webHidden/>
          </w:rPr>
          <w:fldChar w:fldCharType="end"/>
        </w:r>
      </w:hyperlink>
    </w:p>
    <w:p w14:paraId="2C063E23" w14:textId="489E3FB8" w:rsidR="00FF2BFD" w:rsidRDefault="00652DDB">
      <w:pPr>
        <w:pStyle w:val="TOC1"/>
        <w:rPr>
          <w:rFonts w:eastAsiaTheme="minorEastAsia" w:cstheme="minorBidi"/>
          <w:b w:val="0"/>
          <w:bCs w:val="0"/>
          <w:sz w:val="24"/>
          <w:lang w:val="en-AU" w:eastAsia="en-GB"/>
        </w:rPr>
      </w:pPr>
      <w:hyperlink w:anchor="_Toc49669968" w:history="1">
        <w:r w:rsidR="00FF2BFD" w:rsidRPr="00ED3B54">
          <w:rPr>
            <w:rStyle w:val="Hyperlink"/>
          </w:rPr>
          <w:t>References</w:t>
        </w:r>
        <w:r w:rsidR="00FF2BFD">
          <w:rPr>
            <w:webHidden/>
          </w:rPr>
          <w:tab/>
        </w:r>
        <w:r w:rsidR="00FF2BFD">
          <w:rPr>
            <w:webHidden/>
          </w:rPr>
          <w:fldChar w:fldCharType="begin"/>
        </w:r>
        <w:r w:rsidR="00FF2BFD">
          <w:rPr>
            <w:webHidden/>
          </w:rPr>
          <w:instrText xml:space="preserve"> PAGEREF _Toc49669968 \h </w:instrText>
        </w:r>
        <w:r w:rsidR="00FF2BFD">
          <w:rPr>
            <w:webHidden/>
          </w:rPr>
        </w:r>
        <w:r w:rsidR="00FF2BFD">
          <w:rPr>
            <w:webHidden/>
          </w:rPr>
          <w:fldChar w:fldCharType="separate"/>
        </w:r>
        <w:r w:rsidR="00FF2BFD">
          <w:rPr>
            <w:webHidden/>
          </w:rPr>
          <w:t>26</w:t>
        </w:r>
        <w:r w:rsidR="00FF2BFD">
          <w:rPr>
            <w:webHidden/>
          </w:rPr>
          <w:fldChar w:fldCharType="end"/>
        </w:r>
      </w:hyperlink>
    </w:p>
    <w:p w14:paraId="068A8CCD" w14:textId="0990601E" w:rsidR="00FF2BFD" w:rsidRDefault="00652DDB">
      <w:pPr>
        <w:pStyle w:val="TOC1"/>
        <w:rPr>
          <w:rFonts w:eastAsiaTheme="minorEastAsia" w:cstheme="minorBidi"/>
          <w:b w:val="0"/>
          <w:bCs w:val="0"/>
          <w:sz w:val="24"/>
          <w:lang w:val="en-AU" w:eastAsia="en-GB"/>
        </w:rPr>
      </w:pPr>
      <w:hyperlink w:anchor="_Toc49669969" w:history="1">
        <w:r w:rsidR="00FF2BFD" w:rsidRPr="00ED3B54">
          <w:rPr>
            <w:rStyle w:val="Hyperlink"/>
          </w:rPr>
          <w:t>Annex 1:  Gender analysis</w:t>
        </w:r>
        <w:r w:rsidR="00FF2BFD">
          <w:rPr>
            <w:webHidden/>
          </w:rPr>
          <w:tab/>
        </w:r>
        <w:r w:rsidR="00FF2BFD">
          <w:rPr>
            <w:webHidden/>
          </w:rPr>
          <w:fldChar w:fldCharType="begin"/>
        </w:r>
        <w:r w:rsidR="00FF2BFD">
          <w:rPr>
            <w:webHidden/>
          </w:rPr>
          <w:instrText xml:space="preserve"> PAGEREF _Toc49669969 \h </w:instrText>
        </w:r>
        <w:r w:rsidR="00FF2BFD">
          <w:rPr>
            <w:webHidden/>
          </w:rPr>
        </w:r>
        <w:r w:rsidR="00FF2BFD">
          <w:rPr>
            <w:webHidden/>
          </w:rPr>
          <w:fldChar w:fldCharType="separate"/>
        </w:r>
        <w:r w:rsidR="00FF2BFD">
          <w:rPr>
            <w:webHidden/>
          </w:rPr>
          <w:t>27</w:t>
        </w:r>
        <w:r w:rsidR="00FF2BFD">
          <w:rPr>
            <w:webHidden/>
          </w:rPr>
          <w:fldChar w:fldCharType="end"/>
        </w:r>
      </w:hyperlink>
    </w:p>
    <w:p w14:paraId="56BB8E4E" w14:textId="779A04B7" w:rsidR="007A3839" w:rsidRPr="00FF2BFD" w:rsidRDefault="00652DDB" w:rsidP="00FF2BFD">
      <w:pPr>
        <w:pStyle w:val="TOC1"/>
        <w:rPr>
          <w:rFonts w:eastAsiaTheme="minorEastAsia" w:cstheme="minorBidi"/>
          <w:b w:val="0"/>
          <w:bCs w:val="0"/>
          <w:sz w:val="24"/>
          <w:lang w:val="en-AU" w:eastAsia="en-GB"/>
        </w:rPr>
      </w:pPr>
      <w:hyperlink w:anchor="_Toc49669970" w:history="1">
        <w:r w:rsidR="00FF2BFD" w:rsidRPr="00ED3B54">
          <w:rPr>
            <w:rStyle w:val="Hyperlink"/>
          </w:rPr>
          <w:t>Further resources on data and analysis, including impacts of COVID-19</w:t>
        </w:r>
        <w:r w:rsidR="00FF2BFD">
          <w:rPr>
            <w:webHidden/>
          </w:rPr>
          <w:tab/>
        </w:r>
        <w:r w:rsidR="00FF2BFD">
          <w:rPr>
            <w:webHidden/>
          </w:rPr>
          <w:fldChar w:fldCharType="begin"/>
        </w:r>
        <w:r w:rsidR="00FF2BFD">
          <w:rPr>
            <w:webHidden/>
          </w:rPr>
          <w:instrText xml:space="preserve"> PAGEREF _Toc49669970 \h </w:instrText>
        </w:r>
        <w:r w:rsidR="00FF2BFD">
          <w:rPr>
            <w:webHidden/>
          </w:rPr>
        </w:r>
        <w:r w:rsidR="00FF2BFD">
          <w:rPr>
            <w:webHidden/>
          </w:rPr>
          <w:fldChar w:fldCharType="separate"/>
        </w:r>
        <w:r w:rsidR="00FF2BFD">
          <w:rPr>
            <w:webHidden/>
          </w:rPr>
          <w:t>29</w:t>
        </w:r>
        <w:r w:rsidR="00FF2BFD">
          <w:rPr>
            <w:webHidden/>
          </w:rPr>
          <w:fldChar w:fldCharType="end"/>
        </w:r>
      </w:hyperlink>
      <w:r w:rsidR="007A3839">
        <w:rPr>
          <w:lang w:val="en-AU" w:eastAsia="en-AU"/>
        </w:rPr>
        <w:fldChar w:fldCharType="end"/>
      </w:r>
    </w:p>
    <w:p w14:paraId="1C712A2D" w14:textId="77777777" w:rsidR="00287C13" w:rsidRDefault="00287C13">
      <w:pPr>
        <w:spacing w:after="0" w:line="240" w:lineRule="auto"/>
        <w:rPr>
          <w:rFonts w:ascii="Calibri" w:eastAsia="Bahnschrift" w:hAnsi="Calibri" w:cs="Bahnschrift"/>
          <w:b/>
          <w:color w:val="000000" w:themeColor="text1"/>
          <w:sz w:val="48"/>
          <w:szCs w:val="22"/>
          <w:lang w:val="en-AU" w:eastAsia="en-AU"/>
        </w:rPr>
      </w:pPr>
      <w:r>
        <w:br w:type="page"/>
      </w:r>
    </w:p>
    <w:p w14:paraId="0639CA56" w14:textId="38A49191" w:rsidR="00A9785C" w:rsidRDefault="00A9785C" w:rsidP="00A9785C">
      <w:pPr>
        <w:pStyle w:val="Heading1"/>
      </w:pPr>
      <w:bookmarkStart w:id="7" w:name="_Toc49669953"/>
      <w:r w:rsidRPr="00A9785C">
        <w:lastRenderedPageBreak/>
        <w:t>Introduction</w:t>
      </w:r>
      <w:bookmarkEnd w:id="7"/>
    </w:p>
    <w:p w14:paraId="233CB605" w14:textId="192A48DB" w:rsidR="00C147C1" w:rsidRPr="007B2ED8" w:rsidRDefault="002D315C" w:rsidP="007B2ED8">
      <w:pPr>
        <w:pStyle w:val="Heading2"/>
      </w:pPr>
      <w:bookmarkStart w:id="8" w:name="_Toc49669954"/>
      <w:r w:rsidRPr="003C6FC2">
        <w:t>Who is this guidance for?</w:t>
      </w:r>
      <w:bookmarkEnd w:id="8"/>
      <w:r w:rsidRPr="003C6FC2">
        <w:t xml:space="preserve"> </w:t>
      </w:r>
    </w:p>
    <w:p w14:paraId="58D539BB" w14:textId="4EDD5183" w:rsidR="00F41818" w:rsidRPr="00BF3489" w:rsidRDefault="00C147C1" w:rsidP="00843965">
      <w:r w:rsidRPr="00BF3489">
        <w:rPr>
          <w:bCs/>
          <w:lang w:val="en-AU"/>
        </w:rPr>
        <w:t xml:space="preserve">This </w:t>
      </w:r>
      <w:r w:rsidR="007F2685" w:rsidRPr="00BF3489">
        <w:rPr>
          <w:bCs/>
          <w:lang w:val="en-AU"/>
        </w:rPr>
        <w:t>guidance note</w:t>
      </w:r>
      <w:r w:rsidR="004C4375" w:rsidRPr="00BF3489">
        <w:rPr>
          <w:bCs/>
          <w:lang w:val="en-AU"/>
        </w:rPr>
        <w:t xml:space="preserve"> is</w:t>
      </w:r>
      <w:r w:rsidR="007F2685" w:rsidRPr="00BF3489">
        <w:rPr>
          <w:bCs/>
          <w:lang w:val="en-AU"/>
        </w:rPr>
        <w:t xml:space="preserve"> </w:t>
      </w:r>
      <w:r w:rsidRPr="00BF3489">
        <w:rPr>
          <w:bCs/>
          <w:lang w:val="en-AU"/>
        </w:rPr>
        <w:t xml:space="preserve">intended for DFAT staff working on social protection in the context of COVID-19. </w:t>
      </w:r>
      <w:r w:rsidR="007F2685" w:rsidRPr="00BF3489">
        <w:t>It</w:t>
      </w:r>
      <w:r w:rsidR="00C51957" w:rsidRPr="00BF3489">
        <w:t xml:space="preserve"> aims to </w:t>
      </w:r>
      <w:r w:rsidR="00536ED6" w:rsidRPr="00BF3489">
        <w:t xml:space="preserve">support </w:t>
      </w:r>
      <w:r w:rsidR="00D50C64" w:rsidRPr="00BF3489">
        <w:t xml:space="preserve">staff </w:t>
      </w:r>
      <w:r w:rsidR="00C51957" w:rsidRPr="00BF3489">
        <w:t xml:space="preserve">to make informed policy choices which </w:t>
      </w:r>
      <w:r w:rsidR="00714FEC" w:rsidRPr="00BF3489">
        <w:t>adhere to DFAT’s strateg</w:t>
      </w:r>
      <w:r w:rsidR="00A61BD0" w:rsidRPr="00BF3489">
        <w:t>ies</w:t>
      </w:r>
      <w:r w:rsidR="00714FEC" w:rsidRPr="00BF3489">
        <w:t xml:space="preserve"> on </w:t>
      </w:r>
      <w:hyperlink r:id="rId10" w:history="1">
        <w:r w:rsidR="00714FEC" w:rsidRPr="00BF3489">
          <w:rPr>
            <w:rStyle w:val="Hyperlink"/>
            <w:rFonts w:ascii="Arial" w:hAnsi="Arial" w:cs="Arial"/>
            <w:szCs w:val="22"/>
          </w:rPr>
          <w:t>social protection</w:t>
        </w:r>
      </w:hyperlink>
      <w:r w:rsidR="00714FEC" w:rsidRPr="00BF3489">
        <w:t xml:space="preserve"> </w:t>
      </w:r>
      <w:r w:rsidR="00AD7635" w:rsidRPr="00BF3489">
        <w:t>and</w:t>
      </w:r>
      <w:r w:rsidR="00714FEC" w:rsidRPr="00BF3489">
        <w:t xml:space="preserve"> </w:t>
      </w:r>
      <w:hyperlink r:id="rId11" w:history="1">
        <w:r w:rsidR="00BD687C" w:rsidRPr="00BF3489">
          <w:rPr>
            <w:rStyle w:val="Hyperlink"/>
            <w:rFonts w:ascii="Arial" w:hAnsi="Arial" w:cs="Arial"/>
            <w:szCs w:val="22"/>
          </w:rPr>
          <w:t>integrat</w:t>
        </w:r>
        <w:r w:rsidR="00AD7635" w:rsidRPr="00BF3489">
          <w:rPr>
            <w:rStyle w:val="Hyperlink"/>
            <w:rFonts w:ascii="Arial" w:hAnsi="Arial" w:cs="Arial"/>
            <w:szCs w:val="22"/>
          </w:rPr>
          <w:t>ing</w:t>
        </w:r>
        <w:r w:rsidR="00BD687C" w:rsidRPr="00BF3489">
          <w:rPr>
            <w:rStyle w:val="Hyperlink"/>
            <w:rFonts w:ascii="Arial" w:hAnsi="Arial" w:cs="Arial"/>
            <w:szCs w:val="22"/>
          </w:rPr>
          <w:t xml:space="preserve"> gender equality</w:t>
        </w:r>
      </w:hyperlink>
      <w:r w:rsidR="00C51957" w:rsidRPr="00BF3489">
        <w:t xml:space="preserve">. It </w:t>
      </w:r>
      <w:r w:rsidR="00DA67F3" w:rsidRPr="00BF3489">
        <w:t>provid</w:t>
      </w:r>
      <w:r w:rsidR="00C51957" w:rsidRPr="00BF3489">
        <w:t xml:space="preserve">es </w:t>
      </w:r>
      <w:r w:rsidR="00F41818" w:rsidRPr="00BF3489">
        <w:t>a snapshot of issues that should be considered</w:t>
      </w:r>
      <w:r w:rsidR="00DA67F3" w:rsidRPr="00BF3489">
        <w:t xml:space="preserve"> </w:t>
      </w:r>
      <w:r w:rsidR="00F41818" w:rsidRPr="00BF3489">
        <w:t xml:space="preserve">across the program cycle of designing, implementing, monitoring and evaluating a social protection COVID-19 response program. </w:t>
      </w:r>
    </w:p>
    <w:p w14:paraId="3F2898BC" w14:textId="0F523C1D" w:rsidR="00C51957" w:rsidRPr="00BF3489" w:rsidRDefault="004C4375" w:rsidP="00843965">
      <w:r w:rsidRPr="00BF3489">
        <w:t xml:space="preserve">This is a living document and open to discussion and input – we are all learning through this process of response and recovery </w:t>
      </w:r>
      <w:r w:rsidR="00B26F03" w:rsidRPr="00BF3489">
        <w:t xml:space="preserve">in the context </w:t>
      </w:r>
      <w:r w:rsidRPr="00BF3489">
        <w:t>of COVID- 19</w:t>
      </w:r>
      <w:r w:rsidR="00713F30" w:rsidRPr="00BF3489">
        <w:t xml:space="preserve">. The </w:t>
      </w:r>
      <w:r w:rsidRPr="00BF3489">
        <w:t xml:space="preserve">document will be updated regularly to reflect </w:t>
      </w:r>
      <w:r w:rsidR="00B26F03" w:rsidRPr="00BF3489">
        <w:t>feedback</w:t>
      </w:r>
      <w:r w:rsidR="00713F30" w:rsidRPr="00BF3489">
        <w:t>,</w:t>
      </w:r>
      <w:r w:rsidR="00B26F03" w:rsidRPr="00BF3489">
        <w:t xml:space="preserve"> </w:t>
      </w:r>
      <w:r w:rsidRPr="00BF3489">
        <w:t>new thinking and evidence</w:t>
      </w:r>
      <w:r w:rsidR="00F41818" w:rsidRPr="00BF3489">
        <w:t xml:space="preserve">, including case studies from </w:t>
      </w:r>
      <w:r w:rsidR="00127765">
        <w:t>the Indo-Pacific</w:t>
      </w:r>
      <w:r w:rsidR="00F41818" w:rsidRPr="00BF3489">
        <w:t xml:space="preserve"> region</w:t>
      </w:r>
      <w:r w:rsidRPr="00BF3489">
        <w:t>.</w:t>
      </w:r>
    </w:p>
    <w:p w14:paraId="0733D38C" w14:textId="52889CCE" w:rsidR="00932627" w:rsidRPr="00BF3489" w:rsidRDefault="005A2519" w:rsidP="00BF3489">
      <w:pPr>
        <w:pStyle w:val="Heading2"/>
        <w:rPr>
          <w:rFonts w:ascii="Arial" w:hAnsi="Arial"/>
        </w:rPr>
      </w:pPr>
      <w:bookmarkStart w:id="9" w:name="_Toc49669955"/>
      <w:r w:rsidRPr="00797C62">
        <w:t>Social Protection and COVID-19</w:t>
      </w:r>
      <w:bookmarkEnd w:id="9"/>
    </w:p>
    <w:p w14:paraId="4B79AEBF" w14:textId="5DF47828" w:rsidR="00F41818" w:rsidRDefault="00932627" w:rsidP="00BF3489">
      <w:pPr>
        <w:rPr>
          <w:color w:val="000000"/>
        </w:rPr>
      </w:pPr>
      <w:r w:rsidRPr="00797C62">
        <w:rPr>
          <w:lang w:val="en-AU" w:eastAsia="en-GB" w:bidi="th-TH"/>
        </w:rPr>
        <w:t xml:space="preserve">The COVID−19 pandemic has demonstrated the critical importance of robust social protection (social security) systems in the face of crisis. </w:t>
      </w:r>
      <w:r w:rsidR="00132DC8" w:rsidRPr="00797C62">
        <w:rPr>
          <w:color w:val="000000"/>
        </w:rPr>
        <w:t xml:space="preserve">Social protection systems help individuals and societies manage risk and volatility and protect them from poverty and destitution. </w:t>
      </w:r>
    </w:p>
    <w:p w14:paraId="08E2EF5A" w14:textId="69E019DE" w:rsidR="001C1EE3" w:rsidRPr="00BF3489" w:rsidRDefault="00F41818" w:rsidP="00132DC8">
      <w:pPr>
        <w:rPr>
          <w:rFonts w:ascii="Arial" w:eastAsiaTheme="majorEastAsia" w:hAnsi="Arial" w:cs="Calibri"/>
          <w:bCs/>
          <w:lang w:val="en-AU"/>
        </w:rPr>
      </w:pPr>
      <w:r>
        <w:rPr>
          <w:color w:val="000000"/>
        </w:rPr>
        <w:t xml:space="preserve">To date, </w:t>
      </w:r>
      <w:r w:rsidR="00B854FA" w:rsidRPr="00797C62">
        <w:rPr>
          <w:lang w:val="en-AU" w:eastAsia="en-GB" w:bidi="th-TH"/>
        </w:rPr>
        <w:t xml:space="preserve">200 </w:t>
      </w:r>
      <w:r w:rsidR="00932627" w:rsidRPr="00797C62">
        <w:rPr>
          <w:lang w:val="en-AU" w:eastAsia="en-GB" w:bidi="th-TH"/>
        </w:rPr>
        <w:t>governments, including Australia, have rapidly established and expanded social protection instruments to protect families, businesses and the economy from the impacts of the pandemic.</w:t>
      </w:r>
      <w:r w:rsidR="00932627" w:rsidRPr="00797C62">
        <w:rPr>
          <w:color w:val="000000"/>
        </w:rPr>
        <w:t xml:space="preserve"> </w:t>
      </w:r>
      <w:r w:rsidR="00932627" w:rsidRPr="00797C62">
        <w:rPr>
          <w:rFonts w:eastAsiaTheme="majorEastAsia" w:cs="Calibri"/>
          <w:bCs/>
          <w:lang w:val="en-AU"/>
        </w:rPr>
        <w:t>Globally, cash transfers and food distribution are the most common social protection measures implemented by governments in response to COVID 19</w:t>
      </w:r>
      <w:r w:rsidR="00132DC8" w:rsidRPr="00797C62">
        <w:rPr>
          <w:rFonts w:eastAsiaTheme="majorEastAsia" w:cs="Calibri"/>
          <w:bCs/>
          <w:lang w:val="en-AU"/>
        </w:rPr>
        <w:t>.</w:t>
      </w:r>
      <w:r w:rsidR="001C1EE3" w:rsidRPr="00797C62">
        <w:rPr>
          <w:rFonts w:eastAsiaTheme="majorEastAsia" w:cs="Calibri"/>
          <w:bCs/>
          <w:lang w:val="en-AU"/>
        </w:rPr>
        <w:t xml:space="preserve"> </w:t>
      </w:r>
      <w:r w:rsidR="00B854FA" w:rsidRPr="00797C62">
        <w:rPr>
          <w:rFonts w:eastAsiaTheme="majorEastAsia" w:cs="Calibri"/>
          <w:bCs/>
          <w:lang w:val="en-AU"/>
        </w:rPr>
        <w:t xml:space="preserve">As we move into the recovery phase, cash for work programs are likely to become </w:t>
      </w:r>
      <w:r w:rsidR="00B26F03" w:rsidRPr="00797C62">
        <w:rPr>
          <w:rFonts w:eastAsiaTheme="majorEastAsia" w:cs="Calibri"/>
          <w:bCs/>
          <w:lang w:val="en-AU"/>
        </w:rPr>
        <w:t xml:space="preserve">a </w:t>
      </w:r>
      <w:r w:rsidR="00B854FA" w:rsidRPr="00797C62">
        <w:rPr>
          <w:rFonts w:eastAsiaTheme="majorEastAsia" w:cs="Calibri"/>
          <w:bCs/>
          <w:lang w:val="en-AU"/>
        </w:rPr>
        <w:t xml:space="preserve">common </w:t>
      </w:r>
      <w:r w:rsidR="00B26F03" w:rsidRPr="00797C62">
        <w:rPr>
          <w:rFonts w:eastAsiaTheme="majorEastAsia" w:cs="Calibri"/>
          <w:bCs/>
          <w:lang w:val="en-AU"/>
        </w:rPr>
        <w:t xml:space="preserve">safety net </w:t>
      </w:r>
      <w:r w:rsidR="00B854FA" w:rsidRPr="00797C62">
        <w:rPr>
          <w:rFonts w:eastAsiaTheme="majorEastAsia" w:cs="Calibri"/>
          <w:bCs/>
          <w:lang w:val="en-AU"/>
        </w:rPr>
        <w:t>to provide temporary wages</w:t>
      </w:r>
      <w:r w:rsidR="004C4375" w:rsidRPr="00797C62">
        <w:rPr>
          <w:rFonts w:eastAsiaTheme="majorEastAsia" w:cs="Calibri"/>
          <w:bCs/>
          <w:lang w:val="en-AU"/>
        </w:rPr>
        <w:t xml:space="preserve"> for work</w:t>
      </w:r>
      <w:r w:rsidR="00B854FA" w:rsidRPr="00797C62">
        <w:rPr>
          <w:rFonts w:eastAsiaTheme="majorEastAsia" w:cs="Calibri"/>
          <w:bCs/>
          <w:lang w:val="en-AU"/>
        </w:rPr>
        <w:t xml:space="preserve">, normally on labour intensive infrastructure projects. </w:t>
      </w:r>
    </w:p>
    <w:p w14:paraId="05050D11" w14:textId="77777777" w:rsidR="00132DC8" w:rsidRPr="00797C62" w:rsidRDefault="001C1EE3" w:rsidP="00BF3489">
      <w:pPr>
        <w:rPr>
          <w:rFonts w:eastAsiaTheme="majorEastAsia" w:cs="Calibri"/>
          <w:bCs/>
          <w:lang w:val="en-AU"/>
        </w:rPr>
      </w:pPr>
      <w:r w:rsidRPr="00797C62">
        <w:rPr>
          <w:rFonts w:ascii="Calibri" w:hAnsi="Calibri" w:cs="Calibri"/>
          <w:lang w:val="en-AU"/>
        </w:rPr>
        <w:t>The</w:t>
      </w:r>
      <w:r w:rsidRPr="00797C62">
        <w:rPr>
          <w:lang w:val="en-AU"/>
        </w:rPr>
        <w:t xml:space="preserve"> Australian Government’s </w:t>
      </w:r>
      <w:hyperlink r:id="rId12" w:history="1">
        <w:r w:rsidRPr="00797C62">
          <w:rPr>
            <w:rStyle w:val="Hyperlink"/>
            <w:rFonts w:cstheme="minorHAnsi"/>
            <w:szCs w:val="22"/>
            <w:lang w:val="en-AU"/>
          </w:rPr>
          <w:t>Partnerships for Recovery: Australia’s COVID-19 Development Response</w:t>
        </w:r>
      </w:hyperlink>
      <w:r w:rsidRPr="00797C62">
        <w:rPr>
          <w:iCs/>
          <w:lang w:val="en-AU"/>
        </w:rPr>
        <w:t xml:space="preserve"> identifies social protection as a key area for support to help our neighbours weather the crisis, return to prosperity and enhance resilience over the long term</w:t>
      </w:r>
      <w:r w:rsidR="000112FA" w:rsidRPr="00797C62">
        <w:rPr>
          <w:iCs/>
          <w:lang w:val="en-AU"/>
        </w:rPr>
        <w:t xml:space="preserve">. It </w:t>
      </w:r>
      <w:r w:rsidRPr="00797C62">
        <w:rPr>
          <w:iCs/>
          <w:lang w:val="en-AU"/>
        </w:rPr>
        <w:t xml:space="preserve">sets out </w:t>
      </w:r>
      <w:r w:rsidRPr="00797C62">
        <w:rPr>
          <w:rFonts w:ascii="Calibri" w:hAnsi="Calibri" w:cs="Calibri"/>
          <w:iCs/>
          <w:lang w:val="en-AU"/>
        </w:rPr>
        <w:t>objectives</w:t>
      </w:r>
      <w:r w:rsidRPr="00797C62">
        <w:rPr>
          <w:rFonts w:ascii="Calibri" w:hAnsi="Calibri" w:cs="Calibri"/>
          <w:lang w:val="en-AU"/>
        </w:rPr>
        <w:t xml:space="preserve"> to improve gender equ</w:t>
      </w:r>
      <w:r w:rsidR="00DC75B7" w:rsidRPr="00797C62">
        <w:rPr>
          <w:rFonts w:ascii="Calibri" w:hAnsi="Calibri" w:cs="Calibri"/>
          <w:lang w:val="en-AU"/>
        </w:rPr>
        <w:t>ality and reduc</w:t>
      </w:r>
      <w:r w:rsidR="000112FA" w:rsidRPr="00797C62">
        <w:rPr>
          <w:rFonts w:ascii="Calibri" w:hAnsi="Calibri" w:cs="Calibri"/>
          <w:lang w:val="en-AU"/>
        </w:rPr>
        <w:t>e</w:t>
      </w:r>
      <w:r w:rsidR="00DC75B7" w:rsidRPr="00797C62">
        <w:rPr>
          <w:rFonts w:ascii="Calibri" w:hAnsi="Calibri" w:cs="Calibri"/>
          <w:lang w:val="en-AU"/>
        </w:rPr>
        <w:t xml:space="preserve"> violence against women and girls (VAWG) </w:t>
      </w:r>
      <w:r w:rsidRPr="00797C62">
        <w:rPr>
          <w:rFonts w:ascii="Calibri" w:hAnsi="Calibri" w:cs="Calibri"/>
          <w:lang w:val="en-AU"/>
        </w:rPr>
        <w:t xml:space="preserve">in all aspects of our support.  </w:t>
      </w:r>
    </w:p>
    <w:p w14:paraId="103E1FFE" w14:textId="77777777" w:rsidR="007B3596" w:rsidRDefault="007B3596">
      <w:pPr>
        <w:rPr>
          <w:b/>
          <w:color w:val="ED7D31" w:themeColor="accent2"/>
          <w:szCs w:val="22"/>
        </w:rPr>
      </w:pPr>
      <w:r>
        <w:rPr>
          <w:b/>
          <w:color w:val="ED7D31" w:themeColor="accent2"/>
          <w:szCs w:val="22"/>
        </w:rPr>
        <w:br w:type="page"/>
      </w:r>
    </w:p>
    <w:p w14:paraId="4421A654" w14:textId="554D37D5" w:rsidR="00C147C1" w:rsidRPr="00BF3489" w:rsidRDefault="00C147C1" w:rsidP="00BF3489">
      <w:pPr>
        <w:pStyle w:val="Heading2"/>
        <w:rPr>
          <w:rFonts w:ascii="Arial" w:hAnsi="Arial"/>
        </w:rPr>
      </w:pPr>
      <w:bookmarkStart w:id="10" w:name="_Toc49669956"/>
      <w:r w:rsidRPr="00797C62">
        <w:lastRenderedPageBreak/>
        <w:t>How to use this guidance:</w:t>
      </w:r>
      <w:bookmarkEnd w:id="10"/>
    </w:p>
    <w:p w14:paraId="68732BEE" w14:textId="0E63CC96" w:rsidR="00C147C1" w:rsidRPr="00BF3489" w:rsidRDefault="00C147C1" w:rsidP="00DA67F3">
      <w:pPr>
        <w:rPr>
          <w:rFonts w:ascii="Arial" w:hAnsi="Arial"/>
          <w:b/>
          <w:bCs/>
        </w:rPr>
      </w:pPr>
      <w:r w:rsidRPr="00BF3489">
        <w:rPr>
          <w:b/>
          <w:bCs/>
        </w:rPr>
        <w:t xml:space="preserve">Short on time? For a quick overview of key issues and actions </w:t>
      </w:r>
      <w:r w:rsidR="005A2519" w:rsidRPr="00BF3489">
        <w:rPr>
          <w:b/>
          <w:bCs/>
        </w:rPr>
        <w:t xml:space="preserve">to ensure </w:t>
      </w:r>
      <w:r w:rsidR="00D952ED" w:rsidRPr="00BF3489">
        <w:rPr>
          <w:b/>
          <w:bCs/>
        </w:rPr>
        <w:t xml:space="preserve">COVID-19 safeguards and </w:t>
      </w:r>
      <w:r w:rsidR="005A2519" w:rsidRPr="00BF3489">
        <w:rPr>
          <w:b/>
          <w:bCs/>
        </w:rPr>
        <w:t>gender is integrated into your work on social protection,</w:t>
      </w:r>
      <w:r w:rsidRPr="00BF3489">
        <w:rPr>
          <w:b/>
          <w:bCs/>
        </w:rPr>
        <w:t xml:space="preserve"> skip straight to the summary matrix in Part 3.</w:t>
      </w:r>
    </w:p>
    <w:p w14:paraId="25692DDE" w14:textId="77777777" w:rsidR="00A61BD0" w:rsidRPr="00797C62" w:rsidRDefault="005332FE" w:rsidP="00BF3489">
      <w:r w:rsidRPr="00797C62">
        <w:t xml:space="preserve">This guidance is divided into three parts: </w:t>
      </w:r>
    </w:p>
    <w:p w14:paraId="4F116069" w14:textId="6FAA552D" w:rsidR="00A61BD0" w:rsidRPr="00797C62" w:rsidRDefault="005332FE" w:rsidP="00170B4E">
      <w:pPr>
        <w:pStyle w:val="ListNumber"/>
        <w:ind w:left="357" w:hanging="357"/>
      </w:pPr>
      <w:r w:rsidRPr="00797C62">
        <w:rPr>
          <w:b/>
        </w:rPr>
        <w:t>Part 1</w:t>
      </w:r>
      <w:r w:rsidRPr="00797C62">
        <w:t xml:space="preserve"> provides a brief overview of the effects of the crisis on women and girls</w:t>
      </w:r>
      <w:r w:rsidR="00BA0B3D">
        <w:t>, along with an overview of definitions and key terms for social protection and gender equality</w:t>
      </w:r>
      <w:r w:rsidR="000112FA" w:rsidRPr="00797C62">
        <w:t>.</w:t>
      </w:r>
    </w:p>
    <w:p w14:paraId="68AC6FEA" w14:textId="77777777" w:rsidR="00F82B4C" w:rsidRPr="00797C62" w:rsidRDefault="005332FE" w:rsidP="00170B4E">
      <w:pPr>
        <w:pStyle w:val="ListNumber"/>
        <w:ind w:left="357" w:hanging="357"/>
      </w:pPr>
      <w:r w:rsidRPr="00797C62">
        <w:rPr>
          <w:b/>
        </w:rPr>
        <w:t>Part 2</w:t>
      </w:r>
      <w:r w:rsidRPr="00797C62">
        <w:t xml:space="preserve"> </w:t>
      </w:r>
      <w:r w:rsidR="001E0F97" w:rsidRPr="00797C62">
        <w:t xml:space="preserve">provides </w:t>
      </w:r>
      <w:r w:rsidR="000112FA" w:rsidRPr="00797C62">
        <w:t xml:space="preserve">practical </w:t>
      </w:r>
      <w:r w:rsidR="001E0F97" w:rsidRPr="00797C62">
        <w:t>recommendations</w:t>
      </w:r>
      <w:r w:rsidR="000112FA" w:rsidRPr="00797C62">
        <w:t xml:space="preserve"> for achieving, at minimum, social protection that is </w:t>
      </w:r>
      <w:r w:rsidR="000112FA" w:rsidRPr="00797C62">
        <w:rPr>
          <w:iCs/>
        </w:rPr>
        <w:t>gender-sensitive</w:t>
      </w:r>
      <w:r w:rsidR="000112FA" w:rsidRPr="00797C62">
        <w:t xml:space="preserve"> and follows do-no-harm principles. Where possible, social protection programs can foster </w:t>
      </w:r>
      <w:r w:rsidR="002F173A" w:rsidRPr="00797C62">
        <w:t xml:space="preserve">more ambitious </w:t>
      </w:r>
      <w:r w:rsidR="002F173A" w:rsidRPr="00797C62">
        <w:rPr>
          <w:iCs/>
        </w:rPr>
        <w:t>gender transformational</w:t>
      </w:r>
      <w:r w:rsidR="002F173A" w:rsidRPr="00797C62">
        <w:t xml:space="preserve"> approaches and outcomes</w:t>
      </w:r>
      <w:r w:rsidR="000112FA" w:rsidRPr="00797C62">
        <w:t xml:space="preserve">. </w:t>
      </w:r>
      <w:r w:rsidRPr="00797C62">
        <w:t>VAWG risks</w:t>
      </w:r>
      <w:r w:rsidR="000112FA" w:rsidRPr="00797C62">
        <w:t xml:space="preserve"> must also be mitigated.</w:t>
      </w:r>
      <w:r w:rsidR="00B66F4C" w:rsidRPr="00797C62">
        <w:t xml:space="preserve"> </w:t>
      </w:r>
    </w:p>
    <w:p w14:paraId="3A4E40B2" w14:textId="77777777" w:rsidR="00A61BD0" w:rsidRPr="00BA731F" w:rsidRDefault="005332FE" w:rsidP="00170B4E">
      <w:pPr>
        <w:pStyle w:val="ListNumber"/>
        <w:ind w:left="357" w:hanging="357"/>
      </w:pPr>
      <w:r w:rsidRPr="00797C62">
        <w:rPr>
          <w:b/>
        </w:rPr>
        <w:t>Part 3</w:t>
      </w:r>
      <w:r w:rsidRPr="00797C62">
        <w:t xml:space="preserve"> </w:t>
      </w:r>
      <w:r w:rsidR="006A588A" w:rsidRPr="00797C62">
        <w:t xml:space="preserve">presents a matrix </w:t>
      </w:r>
      <w:r w:rsidR="003A5B85" w:rsidRPr="00797C62">
        <w:t xml:space="preserve">for </w:t>
      </w:r>
      <w:r w:rsidR="00D50C64" w:rsidRPr="00797C62">
        <w:t xml:space="preserve">users </w:t>
      </w:r>
      <w:r w:rsidR="003A5B85" w:rsidRPr="00797C62">
        <w:t>with limited time</w:t>
      </w:r>
      <w:r w:rsidR="006A588A" w:rsidRPr="00797C62">
        <w:t xml:space="preserve">, </w:t>
      </w:r>
      <w:r w:rsidR="003A5B85" w:rsidRPr="00797C62">
        <w:t>provid</w:t>
      </w:r>
      <w:r w:rsidR="006A588A" w:rsidRPr="00797C62">
        <w:t xml:space="preserve">ing </w:t>
      </w:r>
      <w:r w:rsidR="003A5B85" w:rsidRPr="00797C62">
        <w:t>key messages and sense-</w:t>
      </w:r>
      <w:r w:rsidR="003A5B85" w:rsidRPr="00BA731F">
        <w:t>checking question</w:t>
      </w:r>
      <w:r w:rsidR="001E0F97" w:rsidRPr="00BA731F">
        <w:t>s covered in Part 2</w:t>
      </w:r>
      <w:r w:rsidR="000112FA" w:rsidRPr="00BA731F">
        <w:t>.</w:t>
      </w:r>
    </w:p>
    <w:p w14:paraId="2147091A" w14:textId="4C96EE1D" w:rsidR="008E51BD" w:rsidRPr="00BF3489" w:rsidRDefault="00DC75B7" w:rsidP="00170B4E">
      <w:pPr>
        <w:pStyle w:val="ListNumber"/>
      </w:pPr>
      <w:r w:rsidRPr="00BA731F">
        <w:rPr>
          <w:b/>
        </w:rPr>
        <w:t>Annex</w:t>
      </w:r>
      <w:r w:rsidR="000112FA" w:rsidRPr="00BA731F">
        <w:rPr>
          <w:b/>
        </w:rPr>
        <w:t xml:space="preserve"> 1</w:t>
      </w:r>
      <w:r w:rsidR="00A879FA" w:rsidRPr="00BA731F">
        <w:rPr>
          <w:b/>
        </w:rPr>
        <w:t xml:space="preserve"> </w:t>
      </w:r>
      <w:r w:rsidR="00A879FA" w:rsidRPr="00BA731F">
        <w:t>provides further resources on gender analysis in social protection</w:t>
      </w:r>
      <w:r w:rsidR="00942C50" w:rsidRPr="00BA731F">
        <w:t xml:space="preserve"> </w:t>
      </w:r>
      <w:r w:rsidR="00A879FA" w:rsidRPr="00BA731F">
        <w:t xml:space="preserve">and links to relevant literature. </w:t>
      </w:r>
    </w:p>
    <w:p w14:paraId="309713E2" w14:textId="25AC40AE" w:rsidR="005A2519" w:rsidRPr="00797C62" w:rsidRDefault="005A2519" w:rsidP="00BF3489">
      <w:pPr>
        <w:rPr>
          <w:rFonts w:cstheme="minorHAnsi"/>
        </w:rPr>
      </w:pPr>
      <w:r w:rsidRPr="00797C62">
        <w:rPr>
          <w:rFonts w:cstheme="minorHAnsi"/>
        </w:rPr>
        <w:t xml:space="preserve">This </w:t>
      </w:r>
      <w:r w:rsidR="007F2685" w:rsidRPr="00797C62">
        <w:rPr>
          <w:rFonts w:cstheme="minorHAnsi"/>
        </w:rPr>
        <w:t xml:space="preserve">guidance </w:t>
      </w:r>
      <w:r w:rsidR="004B1EB4" w:rsidRPr="00797C62">
        <w:rPr>
          <w:rFonts w:cstheme="minorHAnsi"/>
        </w:rPr>
        <w:t xml:space="preserve">seeks to </w:t>
      </w:r>
      <w:r w:rsidR="00D50C64" w:rsidRPr="00797C62">
        <w:rPr>
          <w:rFonts w:cstheme="minorHAnsi"/>
        </w:rPr>
        <w:t>facilitate</w:t>
      </w:r>
      <w:r w:rsidR="004B1EB4" w:rsidRPr="00797C62">
        <w:rPr>
          <w:rFonts w:cstheme="minorHAnsi"/>
        </w:rPr>
        <w:t xml:space="preserve"> DFAT programs to broaden and deepen the impacts of social protection on gender equality where feasible. </w:t>
      </w:r>
      <w:r w:rsidRPr="00797C62">
        <w:rPr>
          <w:rFonts w:cstheme="minorHAnsi"/>
        </w:rPr>
        <w:t>However, it also recognises officers are engaging with partner social protection systems at different stages and levels of maturity.</w:t>
      </w:r>
      <w:r w:rsidR="00132DC8" w:rsidRPr="00797C62">
        <w:rPr>
          <w:rFonts w:cstheme="minorHAnsi"/>
        </w:rPr>
        <w:t xml:space="preserve"> Some suggested interventions will be more appropriate than o</w:t>
      </w:r>
      <w:r w:rsidR="004B1EB4" w:rsidRPr="00797C62">
        <w:rPr>
          <w:rFonts w:cstheme="minorHAnsi"/>
        </w:rPr>
        <w:t>thers, depending on context</w:t>
      </w:r>
      <w:r w:rsidR="00D952ED">
        <w:rPr>
          <w:rFonts w:cstheme="minorHAnsi"/>
        </w:rPr>
        <w:t xml:space="preserve"> and the effects of the pandemic on these contexts</w:t>
      </w:r>
      <w:r w:rsidR="004B1EB4" w:rsidRPr="00797C62">
        <w:rPr>
          <w:rFonts w:cstheme="minorHAnsi"/>
        </w:rPr>
        <w:t xml:space="preserve">. </w:t>
      </w:r>
    </w:p>
    <w:p w14:paraId="2EE28158" w14:textId="77777777" w:rsidR="00B26F03" w:rsidRPr="00797C62" w:rsidRDefault="007F2685" w:rsidP="00BF3489">
      <w:pPr>
        <w:rPr>
          <w:rFonts w:cstheme="minorHAnsi"/>
        </w:rPr>
      </w:pPr>
      <w:r w:rsidRPr="00797C62">
        <w:rPr>
          <w:rFonts w:cstheme="minorHAnsi"/>
        </w:rPr>
        <w:t xml:space="preserve">The focus of the guidance note is </w:t>
      </w:r>
      <w:r w:rsidR="0052444B" w:rsidRPr="00797C62">
        <w:rPr>
          <w:rFonts w:cstheme="minorHAnsi"/>
        </w:rPr>
        <w:t xml:space="preserve">specifically on considerations relating to women and girls. We acknowledge </w:t>
      </w:r>
      <w:r w:rsidR="00D50C64" w:rsidRPr="00797C62">
        <w:rPr>
          <w:rFonts w:cstheme="minorHAnsi"/>
        </w:rPr>
        <w:t>that there are</w:t>
      </w:r>
      <w:r w:rsidR="0052444B" w:rsidRPr="00797C62">
        <w:rPr>
          <w:rFonts w:cstheme="minorHAnsi"/>
        </w:rPr>
        <w:t xml:space="preserve"> </w:t>
      </w:r>
      <w:r w:rsidR="00D50C64" w:rsidRPr="00797C62">
        <w:rPr>
          <w:rFonts w:cstheme="minorHAnsi"/>
        </w:rPr>
        <w:t>broader issues of</w:t>
      </w:r>
      <w:r w:rsidR="0052444B" w:rsidRPr="00797C62">
        <w:rPr>
          <w:rFonts w:cstheme="minorHAnsi"/>
        </w:rPr>
        <w:t xml:space="preserve"> intersectionality – including disability </w:t>
      </w:r>
      <w:r w:rsidR="00D50C64" w:rsidRPr="00797C62">
        <w:rPr>
          <w:rFonts w:cstheme="minorHAnsi"/>
        </w:rPr>
        <w:t xml:space="preserve">inclusion </w:t>
      </w:r>
      <w:r w:rsidR="0052444B" w:rsidRPr="00797C62">
        <w:rPr>
          <w:rFonts w:cstheme="minorHAnsi"/>
        </w:rPr>
        <w:t xml:space="preserve">and social vulnerabilities based on ethnicity, race, religion etc. To address this, we point to relevant further resources and guidance on intersectional risks across the </w:t>
      </w:r>
      <w:r w:rsidRPr="00797C62">
        <w:rPr>
          <w:rFonts w:cstheme="minorHAnsi"/>
        </w:rPr>
        <w:t>guidance note</w:t>
      </w:r>
      <w:r w:rsidR="0052444B" w:rsidRPr="00797C62">
        <w:rPr>
          <w:rFonts w:cstheme="minorHAnsi"/>
        </w:rPr>
        <w:t xml:space="preserve">. </w:t>
      </w:r>
    </w:p>
    <w:p w14:paraId="4288E84E" w14:textId="77777777" w:rsidR="00181044" w:rsidRPr="00797C62" w:rsidRDefault="00181044" w:rsidP="00BF3489">
      <w:pPr>
        <w:rPr>
          <w:rFonts w:cstheme="minorHAnsi"/>
        </w:rPr>
      </w:pPr>
      <w:r w:rsidRPr="00797C62">
        <w:rPr>
          <w:rFonts w:cstheme="minorHAnsi"/>
        </w:rPr>
        <w:t>Useful DFAT guidance to read this document alongside are:</w:t>
      </w:r>
    </w:p>
    <w:p w14:paraId="1944E24A" w14:textId="77777777" w:rsidR="00181044" w:rsidRPr="00797C62" w:rsidRDefault="00652DDB" w:rsidP="00BF3489">
      <w:pPr>
        <w:pStyle w:val="ListBullet"/>
        <w:rPr>
          <w:rFonts w:cstheme="minorHAnsi"/>
          <w:szCs w:val="22"/>
        </w:rPr>
      </w:pPr>
      <w:hyperlink r:id="rId13" w:history="1">
        <w:r w:rsidR="00B44411" w:rsidRPr="00797C62">
          <w:rPr>
            <w:rStyle w:val="Hyperlink"/>
            <w:rFonts w:cstheme="minorHAnsi"/>
            <w:szCs w:val="22"/>
          </w:rPr>
          <w:t>DFAT Guidance on Man</w:t>
        </w:r>
        <w:r w:rsidR="00FB004B" w:rsidRPr="00797C62">
          <w:rPr>
            <w:rStyle w:val="Hyperlink"/>
            <w:rFonts w:cstheme="minorHAnsi"/>
            <w:szCs w:val="22"/>
          </w:rPr>
          <w:t xml:space="preserve">aging Safeguarding Risks </w:t>
        </w:r>
      </w:hyperlink>
      <w:r w:rsidR="00181044" w:rsidRPr="00797C62">
        <w:rPr>
          <w:rFonts w:cstheme="minorHAnsi"/>
          <w:szCs w:val="22"/>
        </w:rPr>
        <w:t xml:space="preserve"> </w:t>
      </w:r>
    </w:p>
    <w:p w14:paraId="02A9DE38" w14:textId="77777777" w:rsidR="00181044" w:rsidRPr="00797C62" w:rsidRDefault="00652DDB" w:rsidP="00BF3489">
      <w:pPr>
        <w:pStyle w:val="ListBullet"/>
        <w:rPr>
          <w:rFonts w:cstheme="minorHAnsi"/>
          <w:szCs w:val="22"/>
        </w:rPr>
      </w:pPr>
      <w:hyperlink r:id="rId14" w:history="1">
        <w:r w:rsidR="00181044" w:rsidRPr="00797C62">
          <w:rPr>
            <w:rStyle w:val="Hyperlink"/>
            <w:rFonts w:cstheme="minorHAnsi"/>
            <w:szCs w:val="22"/>
          </w:rPr>
          <w:t>DFAT Guidance to Gender Responsive and Inclusive COVID Responses</w:t>
        </w:r>
      </w:hyperlink>
    </w:p>
    <w:p w14:paraId="53E57A7E" w14:textId="71EA278C" w:rsidR="00BF3489" w:rsidRPr="00843965" w:rsidRDefault="00652DDB" w:rsidP="00BF3489">
      <w:pPr>
        <w:pStyle w:val="ListBullet"/>
        <w:rPr>
          <w:rFonts w:cstheme="minorHAnsi"/>
          <w:szCs w:val="22"/>
        </w:rPr>
      </w:pPr>
      <w:hyperlink r:id="rId15" w:history="1">
        <w:r w:rsidR="00181044" w:rsidRPr="00797C62">
          <w:rPr>
            <w:rStyle w:val="Hyperlink"/>
            <w:rFonts w:cstheme="minorHAnsi"/>
            <w:szCs w:val="22"/>
          </w:rPr>
          <w:t>DFAT Guide to Gender Responsive, Disability and Socially Inclusive COVID-19 Planning and Response</w:t>
        </w:r>
      </w:hyperlink>
      <w:r w:rsidR="00181044" w:rsidRPr="00797C62">
        <w:rPr>
          <w:rFonts w:cstheme="minorHAnsi"/>
          <w:szCs w:val="22"/>
        </w:rPr>
        <w:t xml:space="preserve"> </w:t>
      </w:r>
    </w:p>
    <w:p w14:paraId="398EE9E1" w14:textId="77777777" w:rsidR="00170B4E" w:rsidRDefault="00170B4E">
      <w:pPr>
        <w:spacing w:after="0" w:line="240" w:lineRule="auto"/>
        <w:rPr>
          <w:rFonts w:ascii="Calibri" w:eastAsiaTheme="majorEastAsia" w:hAnsi="Calibri" w:cstheme="majorBidi"/>
          <w:b/>
          <w:color w:val="000000" w:themeColor="text1"/>
          <w:sz w:val="28"/>
          <w:szCs w:val="26"/>
        </w:rPr>
      </w:pPr>
      <w:r>
        <w:br w:type="page"/>
      </w:r>
    </w:p>
    <w:p w14:paraId="38EE0D3D" w14:textId="6BDDDDB2" w:rsidR="00BF3489" w:rsidRPr="00797C62" w:rsidRDefault="00BF3489" w:rsidP="00BF3489">
      <w:pPr>
        <w:pStyle w:val="Heading2"/>
      </w:pPr>
      <w:bookmarkStart w:id="11" w:name="_Toc49669957"/>
      <w:r w:rsidRPr="00797C62">
        <w:lastRenderedPageBreak/>
        <w:t>Key terms used in this guidance</w:t>
      </w:r>
      <w:bookmarkEnd w:id="11"/>
      <w:r w:rsidRPr="00797C62">
        <w:t xml:space="preserve">  </w:t>
      </w:r>
    </w:p>
    <w:p w14:paraId="3572C87E" w14:textId="77777777" w:rsidR="00A55397" w:rsidRPr="00A55397" w:rsidRDefault="00BF3489" w:rsidP="00843965">
      <w:r w:rsidRPr="006464CC">
        <w:rPr>
          <w:b/>
        </w:rPr>
        <w:t xml:space="preserve">Mitigating </w:t>
      </w:r>
      <w:r>
        <w:rPr>
          <w:b/>
        </w:rPr>
        <w:t>Violence against Women and Girls (</w:t>
      </w:r>
      <w:r w:rsidRPr="006464CC">
        <w:rPr>
          <w:b/>
        </w:rPr>
        <w:t>VAWG</w:t>
      </w:r>
      <w:r>
        <w:rPr>
          <w:b/>
        </w:rPr>
        <w:t>)</w:t>
      </w:r>
      <w:r w:rsidRPr="006464CC">
        <w:rPr>
          <w:b/>
        </w:rPr>
        <w:t>:</w:t>
      </w:r>
      <w:r w:rsidRPr="006464CC">
        <w:t xml:space="preserve"> Approaches to mitigating and responding to safeguarding risks of VAWG. </w:t>
      </w:r>
      <w:r w:rsidR="00A55397" w:rsidRPr="00A55397">
        <w:t>These are not comprehensive but outline a minimum standard approach to VAWG - at a minimum ensuring an intervention does not cause additional harm.</w:t>
      </w:r>
    </w:p>
    <w:p w14:paraId="1F7EB8A6" w14:textId="36538260" w:rsidR="00BF3489" w:rsidRPr="006464CC" w:rsidRDefault="00BF3489" w:rsidP="00843965">
      <w:r w:rsidRPr="006464CC">
        <w:t>This guidance does not cover the full remit of safety and prevention of sexual exploitation, harassment and abuse mitigation measures.</w:t>
      </w:r>
      <w:r>
        <w:rPr>
          <w:rStyle w:val="FootnoteReference"/>
          <w:szCs w:val="22"/>
        </w:rPr>
        <w:footnoteReference w:id="1"/>
      </w:r>
    </w:p>
    <w:p w14:paraId="5B7E89D3" w14:textId="77777777" w:rsidR="00BF3489" w:rsidRPr="006464CC" w:rsidRDefault="00BF3489" w:rsidP="00843965">
      <w:r w:rsidRPr="006464CC">
        <w:rPr>
          <w:b/>
        </w:rPr>
        <w:t xml:space="preserve">Gender Sensitive: </w:t>
      </w:r>
      <w:r w:rsidRPr="006464CC">
        <w:t>Gender equality issues are addressed and specific solutions to address the needs and concerns of women and girls are identified in the design, activities and outcomes. The response is more likely to focus on women’s and girls’ practical needs</w:t>
      </w:r>
      <w:r w:rsidRPr="00797C62">
        <w:rPr>
          <w:rStyle w:val="FootnoteReference"/>
          <w:szCs w:val="22"/>
        </w:rPr>
        <w:footnoteReference w:id="2"/>
      </w:r>
      <w:r w:rsidRPr="006464CC">
        <w:t xml:space="preserve">. </w:t>
      </w:r>
    </w:p>
    <w:p w14:paraId="006DA338" w14:textId="2599218C" w:rsidR="00725284" w:rsidRPr="00BF3489" w:rsidRDefault="00BF3489" w:rsidP="00843965">
      <w:pPr>
        <w:rPr>
          <w:rFonts w:ascii="Arial" w:hAnsi="Arial"/>
        </w:rPr>
      </w:pPr>
      <w:r w:rsidRPr="006464CC">
        <w:rPr>
          <w:b/>
        </w:rPr>
        <w:t xml:space="preserve">Gender Transformative: </w:t>
      </w:r>
      <w:r w:rsidRPr="006464CC">
        <w:t xml:space="preserve">Unequal gender roles and stereotypes are challenged and social protection explicitly seeks to transform unequal power relations between men and women through changes in roles and status, and redistribution of resources. This approach challenges the root causes of inequalities. </w:t>
      </w:r>
    </w:p>
    <w:p w14:paraId="0A0BF763" w14:textId="77777777" w:rsidR="005332FE" w:rsidRPr="00797C62" w:rsidRDefault="00B055E8" w:rsidP="00BF3489">
      <w:pPr>
        <w:pStyle w:val="Heading2"/>
      </w:pPr>
      <w:bookmarkStart w:id="12" w:name="_Toc49669958"/>
      <w:r w:rsidRPr="00797C62">
        <w:t xml:space="preserve">What will you be able to do by the end of </w:t>
      </w:r>
      <w:r w:rsidR="00BE146E" w:rsidRPr="00797C62">
        <w:t xml:space="preserve">reading </w:t>
      </w:r>
      <w:r w:rsidR="005332FE" w:rsidRPr="00797C62">
        <w:t>th</w:t>
      </w:r>
      <w:r w:rsidR="003A5B85" w:rsidRPr="00797C62">
        <w:t xml:space="preserve">is </w:t>
      </w:r>
      <w:r w:rsidR="005332FE" w:rsidRPr="00797C62">
        <w:t>guidance</w:t>
      </w:r>
      <w:r w:rsidRPr="00797C62">
        <w:t>?</w:t>
      </w:r>
      <w:bookmarkEnd w:id="12"/>
      <w:r w:rsidRPr="00797C62">
        <w:t xml:space="preserve"> </w:t>
      </w:r>
    </w:p>
    <w:p w14:paraId="081E57A0" w14:textId="77777777" w:rsidR="00DA67F3" w:rsidRPr="00843965" w:rsidRDefault="00E12471" w:rsidP="00BF3489">
      <w:pPr>
        <w:pStyle w:val="ListBullet"/>
        <w:rPr>
          <w:rFonts w:ascii="Calibri" w:hAnsi="Calibri" w:cs="Arial"/>
        </w:rPr>
      </w:pPr>
      <w:r w:rsidRPr="00843965">
        <w:rPr>
          <w:rFonts w:ascii="Calibri" w:hAnsi="Calibri" w:cs="Arial"/>
        </w:rPr>
        <w:t>Understand</w:t>
      </w:r>
      <w:r w:rsidR="005332FE" w:rsidRPr="00843965">
        <w:rPr>
          <w:rFonts w:ascii="Calibri" w:hAnsi="Calibri" w:cs="Arial"/>
        </w:rPr>
        <w:t xml:space="preserve"> </w:t>
      </w:r>
      <w:r w:rsidR="00B26F03" w:rsidRPr="00843965">
        <w:rPr>
          <w:rFonts w:ascii="Calibri" w:hAnsi="Calibri" w:cs="Arial"/>
        </w:rPr>
        <w:t xml:space="preserve">some of </w:t>
      </w:r>
      <w:r w:rsidR="005332FE" w:rsidRPr="00843965">
        <w:rPr>
          <w:rFonts w:ascii="Calibri" w:hAnsi="Calibri" w:cs="Arial"/>
        </w:rPr>
        <w:t>the differential</w:t>
      </w:r>
      <w:r w:rsidR="006B3F69" w:rsidRPr="00843965">
        <w:rPr>
          <w:rFonts w:ascii="Calibri" w:hAnsi="Calibri" w:cs="Arial"/>
        </w:rPr>
        <w:t xml:space="preserve"> </w:t>
      </w:r>
      <w:r w:rsidR="00536ED6" w:rsidRPr="00843965">
        <w:rPr>
          <w:rFonts w:ascii="Calibri" w:hAnsi="Calibri" w:cs="Arial"/>
        </w:rPr>
        <w:t>effects of the crisis</w:t>
      </w:r>
      <w:r w:rsidR="000033D4" w:rsidRPr="00843965">
        <w:rPr>
          <w:rFonts w:ascii="Calibri" w:hAnsi="Calibri" w:cs="Arial"/>
        </w:rPr>
        <w:t xml:space="preserve"> </w:t>
      </w:r>
      <w:r w:rsidR="005332FE" w:rsidRPr="00843965">
        <w:rPr>
          <w:rFonts w:ascii="Calibri" w:hAnsi="Calibri" w:cs="Arial"/>
        </w:rPr>
        <w:t>on women and girls and why this is important for tailoring social protection responses</w:t>
      </w:r>
      <w:r w:rsidR="00CC5479" w:rsidRPr="00843965">
        <w:rPr>
          <w:rFonts w:ascii="Calibri" w:hAnsi="Calibri" w:cs="Arial"/>
        </w:rPr>
        <w:t>;</w:t>
      </w:r>
    </w:p>
    <w:p w14:paraId="0F14539E" w14:textId="77777777" w:rsidR="00DA67F3" w:rsidRPr="00843965" w:rsidRDefault="00804FF5" w:rsidP="00BF3489">
      <w:pPr>
        <w:pStyle w:val="ListBullet"/>
        <w:rPr>
          <w:rFonts w:ascii="Calibri" w:hAnsi="Calibri" w:cs="Arial"/>
        </w:rPr>
      </w:pPr>
      <w:r w:rsidRPr="00843965">
        <w:rPr>
          <w:rFonts w:ascii="Calibri" w:hAnsi="Calibri" w:cs="Arial"/>
        </w:rPr>
        <w:t>Have at hand</w:t>
      </w:r>
      <w:r w:rsidR="005332FE" w:rsidRPr="00843965">
        <w:rPr>
          <w:rFonts w:ascii="Calibri" w:hAnsi="Calibri" w:cs="Arial"/>
        </w:rPr>
        <w:t xml:space="preserve"> </w:t>
      </w:r>
      <w:r w:rsidR="002F596D" w:rsidRPr="00843965">
        <w:rPr>
          <w:rFonts w:ascii="Calibri" w:hAnsi="Calibri" w:cs="Arial"/>
        </w:rPr>
        <w:t>program</w:t>
      </w:r>
      <w:r w:rsidR="000112FA" w:rsidRPr="00843965">
        <w:rPr>
          <w:rFonts w:ascii="Calibri" w:hAnsi="Calibri" w:cs="Arial"/>
        </w:rPr>
        <w:t>m</w:t>
      </w:r>
      <w:r w:rsidR="002F596D" w:rsidRPr="00843965">
        <w:rPr>
          <w:rFonts w:ascii="Calibri" w:hAnsi="Calibri" w:cs="Arial"/>
        </w:rPr>
        <w:t>ing</w:t>
      </w:r>
      <w:r w:rsidRPr="00843965">
        <w:rPr>
          <w:rFonts w:ascii="Calibri" w:hAnsi="Calibri" w:cs="Arial"/>
        </w:rPr>
        <w:t xml:space="preserve"> options </w:t>
      </w:r>
      <w:r w:rsidR="005332FE" w:rsidRPr="00843965">
        <w:rPr>
          <w:rFonts w:ascii="Calibri" w:hAnsi="Calibri" w:cs="Arial"/>
        </w:rPr>
        <w:t xml:space="preserve">to effectively integrate </w:t>
      </w:r>
      <w:r w:rsidR="00D952ED" w:rsidRPr="00843965">
        <w:rPr>
          <w:rFonts w:ascii="Calibri" w:hAnsi="Calibri" w:cs="Arial"/>
        </w:rPr>
        <w:t xml:space="preserve">COVID safe and </w:t>
      </w:r>
      <w:r w:rsidR="000033D4" w:rsidRPr="00843965">
        <w:rPr>
          <w:rFonts w:ascii="Calibri" w:hAnsi="Calibri" w:cs="Arial"/>
        </w:rPr>
        <w:t>gender</w:t>
      </w:r>
      <w:r w:rsidR="005B4E28" w:rsidRPr="00843965">
        <w:rPr>
          <w:rFonts w:ascii="Calibri" w:hAnsi="Calibri" w:cs="Arial"/>
        </w:rPr>
        <w:t>-sensitive</w:t>
      </w:r>
      <w:r w:rsidR="000033D4" w:rsidRPr="00843965">
        <w:rPr>
          <w:rFonts w:ascii="Calibri" w:hAnsi="Calibri" w:cs="Arial"/>
        </w:rPr>
        <w:t xml:space="preserve"> features</w:t>
      </w:r>
      <w:r w:rsidR="00536ED6" w:rsidRPr="00843965">
        <w:rPr>
          <w:rFonts w:ascii="Calibri" w:hAnsi="Calibri" w:cs="Arial"/>
        </w:rPr>
        <w:t xml:space="preserve"> in</w:t>
      </w:r>
      <w:r w:rsidR="002F596D" w:rsidRPr="00843965">
        <w:rPr>
          <w:rFonts w:ascii="Calibri" w:hAnsi="Calibri" w:cs="Arial"/>
        </w:rPr>
        <w:t>to social protection program</w:t>
      </w:r>
      <w:r w:rsidR="000112FA" w:rsidRPr="00843965">
        <w:rPr>
          <w:rFonts w:ascii="Calibri" w:hAnsi="Calibri" w:cs="Arial"/>
        </w:rPr>
        <w:t>m</w:t>
      </w:r>
      <w:r w:rsidR="002F596D" w:rsidRPr="00843965">
        <w:rPr>
          <w:rFonts w:ascii="Calibri" w:hAnsi="Calibri" w:cs="Arial"/>
        </w:rPr>
        <w:t>ing</w:t>
      </w:r>
      <w:r w:rsidR="006B3F69" w:rsidRPr="00843965">
        <w:rPr>
          <w:rFonts w:ascii="Calibri" w:hAnsi="Calibri" w:cs="Arial"/>
        </w:rPr>
        <w:t xml:space="preserve"> </w:t>
      </w:r>
      <w:r w:rsidR="005B4E28" w:rsidRPr="00843965">
        <w:rPr>
          <w:rFonts w:ascii="Calibri" w:hAnsi="Calibri" w:cs="Arial"/>
        </w:rPr>
        <w:t>and</w:t>
      </w:r>
      <w:r w:rsidR="00621EA3" w:rsidRPr="00843965">
        <w:rPr>
          <w:rFonts w:ascii="Calibri" w:hAnsi="Calibri" w:cs="Arial"/>
        </w:rPr>
        <w:t xml:space="preserve"> </w:t>
      </w:r>
      <w:r w:rsidR="007768CE" w:rsidRPr="00843965">
        <w:rPr>
          <w:rFonts w:ascii="Calibri" w:hAnsi="Calibri" w:cs="Arial"/>
        </w:rPr>
        <w:t>support</w:t>
      </w:r>
      <w:r w:rsidR="00621EA3" w:rsidRPr="00843965">
        <w:rPr>
          <w:rFonts w:ascii="Calibri" w:hAnsi="Calibri" w:cs="Arial"/>
        </w:rPr>
        <w:t xml:space="preserve"> transformative </w:t>
      </w:r>
      <w:r w:rsidR="005815CD" w:rsidRPr="00843965">
        <w:rPr>
          <w:rFonts w:ascii="Calibri" w:hAnsi="Calibri" w:cs="Arial"/>
        </w:rPr>
        <w:t xml:space="preserve">development </w:t>
      </w:r>
      <w:r w:rsidR="00621EA3" w:rsidRPr="00843965">
        <w:rPr>
          <w:rFonts w:ascii="Calibri" w:hAnsi="Calibri" w:cs="Arial"/>
        </w:rPr>
        <w:t>outcomes</w:t>
      </w:r>
      <w:r w:rsidR="009B3571" w:rsidRPr="00843965">
        <w:rPr>
          <w:rFonts w:ascii="Calibri" w:hAnsi="Calibri" w:cs="Arial"/>
        </w:rPr>
        <w:t>;</w:t>
      </w:r>
    </w:p>
    <w:p w14:paraId="19D89A9C" w14:textId="77777777" w:rsidR="00DA67F3" w:rsidRPr="00843965" w:rsidRDefault="007768CE" w:rsidP="00BF3489">
      <w:pPr>
        <w:pStyle w:val="ListBullet"/>
        <w:rPr>
          <w:rFonts w:ascii="Calibri" w:hAnsi="Calibri" w:cs="Arial"/>
        </w:rPr>
      </w:pPr>
      <w:r w:rsidRPr="00843965">
        <w:rPr>
          <w:rFonts w:ascii="Calibri" w:hAnsi="Calibri" w:cs="Arial"/>
        </w:rPr>
        <w:t>Understand the</w:t>
      </w:r>
      <w:r w:rsidR="00DA67F3" w:rsidRPr="00843965">
        <w:rPr>
          <w:rFonts w:ascii="Calibri" w:hAnsi="Calibri" w:cs="Arial"/>
        </w:rPr>
        <w:t xml:space="preserve"> </w:t>
      </w:r>
      <w:r w:rsidR="000033D4" w:rsidRPr="00843965">
        <w:rPr>
          <w:rFonts w:ascii="Calibri" w:hAnsi="Calibri" w:cs="Arial"/>
        </w:rPr>
        <w:t xml:space="preserve">risks </w:t>
      </w:r>
      <w:r w:rsidR="0075704F" w:rsidRPr="00843965">
        <w:rPr>
          <w:rFonts w:ascii="Calibri" w:hAnsi="Calibri" w:cs="Arial"/>
        </w:rPr>
        <w:t xml:space="preserve">of </w:t>
      </w:r>
      <w:r w:rsidR="000033D4" w:rsidRPr="00843965">
        <w:rPr>
          <w:rFonts w:ascii="Calibri" w:hAnsi="Calibri" w:cs="Arial"/>
        </w:rPr>
        <w:t>VAWG</w:t>
      </w:r>
      <w:r w:rsidR="00452B3F" w:rsidRPr="00843965">
        <w:rPr>
          <w:rFonts w:ascii="Calibri" w:hAnsi="Calibri" w:cs="Arial"/>
        </w:rPr>
        <w:t xml:space="preserve"> </w:t>
      </w:r>
      <w:r w:rsidR="00170DC2" w:rsidRPr="00843965">
        <w:rPr>
          <w:rFonts w:ascii="Calibri" w:hAnsi="Calibri" w:cs="Arial"/>
        </w:rPr>
        <w:t>at each stage of the program</w:t>
      </w:r>
      <w:r w:rsidR="00DA67F3" w:rsidRPr="00843965">
        <w:rPr>
          <w:rFonts w:ascii="Calibri" w:hAnsi="Calibri" w:cs="Arial"/>
        </w:rPr>
        <w:t xml:space="preserve"> cycle </w:t>
      </w:r>
      <w:r w:rsidR="000033D4" w:rsidRPr="00843965">
        <w:rPr>
          <w:rFonts w:ascii="Calibri" w:hAnsi="Calibri" w:cs="Arial"/>
        </w:rPr>
        <w:t xml:space="preserve">and </w:t>
      </w:r>
      <w:r w:rsidR="004A53EB" w:rsidRPr="00843965">
        <w:rPr>
          <w:rFonts w:ascii="Calibri" w:hAnsi="Calibri" w:cs="Arial"/>
        </w:rPr>
        <w:t>know the</w:t>
      </w:r>
      <w:r w:rsidR="00DA67F3" w:rsidRPr="00843965">
        <w:rPr>
          <w:rFonts w:ascii="Calibri" w:hAnsi="Calibri" w:cs="Arial"/>
        </w:rPr>
        <w:t xml:space="preserve"> </w:t>
      </w:r>
      <w:r w:rsidR="0075704F" w:rsidRPr="00843965">
        <w:rPr>
          <w:rFonts w:ascii="Calibri" w:hAnsi="Calibri" w:cs="Arial"/>
        </w:rPr>
        <w:t xml:space="preserve">essential safeguarding features </w:t>
      </w:r>
      <w:r w:rsidR="00BE146E" w:rsidRPr="00843965">
        <w:rPr>
          <w:rFonts w:ascii="Calibri" w:hAnsi="Calibri" w:cs="Arial"/>
        </w:rPr>
        <w:t xml:space="preserve">required </w:t>
      </w:r>
      <w:r w:rsidR="0075704F" w:rsidRPr="00843965">
        <w:rPr>
          <w:rFonts w:ascii="Calibri" w:hAnsi="Calibri" w:cs="Arial"/>
        </w:rPr>
        <w:t xml:space="preserve">to mitigate </w:t>
      </w:r>
      <w:r w:rsidR="00CC5479" w:rsidRPr="00843965">
        <w:rPr>
          <w:rFonts w:ascii="Calibri" w:hAnsi="Calibri" w:cs="Arial"/>
        </w:rPr>
        <w:t xml:space="preserve">VAWG </w:t>
      </w:r>
      <w:r w:rsidR="003A5B85" w:rsidRPr="00843965">
        <w:rPr>
          <w:rFonts w:ascii="Calibri" w:hAnsi="Calibri" w:cs="Arial"/>
        </w:rPr>
        <w:t>and protection risks</w:t>
      </w:r>
      <w:r w:rsidR="00CC5479" w:rsidRPr="00843965">
        <w:rPr>
          <w:rFonts w:ascii="Calibri" w:hAnsi="Calibri" w:cs="Arial"/>
        </w:rPr>
        <w:t>. This should be read in conjunction wi</w:t>
      </w:r>
      <w:r w:rsidR="00170DC2" w:rsidRPr="00843965">
        <w:rPr>
          <w:rFonts w:ascii="Calibri" w:hAnsi="Calibri" w:cs="Arial"/>
        </w:rPr>
        <w:t>th</w:t>
      </w:r>
      <w:r w:rsidR="00752185" w:rsidRPr="00843965">
        <w:rPr>
          <w:rFonts w:ascii="Calibri" w:hAnsi="Calibri" w:cs="Arial"/>
        </w:rPr>
        <w:t xml:space="preserve"> the </w:t>
      </w:r>
      <w:hyperlink r:id="rId16" w:history="1">
        <w:r w:rsidR="00752185" w:rsidRPr="00843965">
          <w:rPr>
            <w:rStyle w:val="Hyperlink"/>
            <w:rFonts w:ascii="Calibri" w:hAnsi="Calibri" w:cs="Arial"/>
            <w:szCs w:val="22"/>
          </w:rPr>
          <w:t>DFAT Guidance on Managing Safeguarding Risks</w:t>
        </w:r>
      </w:hyperlink>
      <w:r w:rsidR="00170DC2" w:rsidRPr="00843965">
        <w:rPr>
          <w:rFonts w:ascii="Calibri" w:hAnsi="Calibri" w:cs="Arial"/>
        </w:rPr>
        <w:t xml:space="preserve">; </w:t>
      </w:r>
      <w:r w:rsidR="00FB004B" w:rsidRPr="00843965">
        <w:rPr>
          <w:rFonts w:ascii="Calibri" w:hAnsi="Calibri" w:cs="Arial"/>
        </w:rPr>
        <w:t xml:space="preserve">and </w:t>
      </w:r>
    </w:p>
    <w:p w14:paraId="25B00DB8" w14:textId="77777777" w:rsidR="00B604BA" w:rsidRPr="00843965" w:rsidRDefault="00CC5479" w:rsidP="00BF3489">
      <w:pPr>
        <w:pStyle w:val="ListBullet"/>
        <w:rPr>
          <w:rFonts w:ascii="Calibri" w:hAnsi="Calibri" w:cs="Arial"/>
        </w:rPr>
      </w:pPr>
      <w:r w:rsidRPr="00843965">
        <w:rPr>
          <w:rFonts w:ascii="Calibri" w:hAnsi="Calibri" w:cs="Arial"/>
        </w:rPr>
        <w:t>A</w:t>
      </w:r>
      <w:r w:rsidR="004A53EB" w:rsidRPr="00843965">
        <w:rPr>
          <w:rFonts w:ascii="Calibri" w:hAnsi="Calibri" w:cs="Arial"/>
        </w:rPr>
        <w:t xml:space="preserve">ccess </w:t>
      </w:r>
      <w:r w:rsidR="00536ED6" w:rsidRPr="00843965">
        <w:rPr>
          <w:rFonts w:ascii="Calibri" w:hAnsi="Calibri" w:cs="Arial"/>
        </w:rPr>
        <w:t>relevant resources</w:t>
      </w:r>
      <w:r w:rsidR="006B3F69" w:rsidRPr="00843965">
        <w:rPr>
          <w:rFonts w:ascii="Calibri" w:hAnsi="Calibri" w:cs="Arial"/>
        </w:rPr>
        <w:t xml:space="preserve"> if you require further </w:t>
      </w:r>
      <w:r w:rsidR="00BE146E" w:rsidRPr="00843965">
        <w:rPr>
          <w:rFonts w:ascii="Calibri" w:hAnsi="Calibri" w:cs="Arial"/>
        </w:rPr>
        <w:t>information</w:t>
      </w:r>
      <w:r w:rsidR="006B3F69" w:rsidRPr="00843965">
        <w:rPr>
          <w:rFonts w:ascii="Calibri" w:hAnsi="Calibri" w:cs="Arial"/>
        </w:rPr>
        <w:t xml:space="preserve"> and country examples</w:t>
      </w:r>
      <w:r w:rsidR="00F7643A" w:rsidRPr="00843965">
        <w:rPr>
          <w:rFonts w:ascii="Calibri" w:hAnsi="Calibri" w:cs="Arial"/>
        </w:rPr>
        <w:t xml:space="preserve">. </w:t>
      </w:r>
    </w:p>
    <w:p w14:paraId="6E0B046A" w14:textId="77777777" w:rsidR="00DA67F3" w:rsidRPr="00797C62" w:rsidRDefault="00DA67F3" w:rsidP="002D315C">
      <w:pPr>
        <w:rPr>
          <w:szCs w:val="22"/>
        </w:rPr>
      </w:pPr>
    </w:p>
    <w:p w14:paraId="6DA84ACD" w14:textId="77777777" w:rsidR="002B7B13" w:rsidRDefault="002B7B13">
      <w:pPr>
        <w:rPr>
          <w:b/>
          <w:color w:val="ED7D31" w:themeColor="accent2"/>
        </w:rPr>
      </w:pPr>
      <w:r>
        <w:rPr>
          <w:b/>
          <w:color w:val="ED7D31" w:themeColor="accent2"/>
        </w:rPr>
        <w:br w:type="page"/>
      </w:r>
    </w:p>
    <w:p w14:paraId="37B535AB" w14:textId="3554FF9C" w:rsidR="008D79ED" w:rsidRPr="00797C62" w:rsidRDefault="00287C13" w:rsidP="00A9785C">
      <w:pPr>
        <w:pStyle w:val="Heading1"/>
      </w:pPr>
      <w:bookmarkStart w:id="13" w:name="_Toc49669959"/>
      <w:r>
        <w:lastRenderedPageBreak/>
        <w:t>PART 1</w:t>
      </w:r>
      <w:r w:rsidR="00991DEE" w:rsidRPr="00797C62">
        <w:t xml:space="preserve">: </w:t>
      </w:r>
      <w:r w:rsidR="0061249D">
        <w:t>W</w:t>
      </w:r>
      <w:r w:rsidR="0061249D" w:rsidRPr="00797C62">
        <w:t>hat are the differential impacts of covid-19 on women and girls?</w:t>
      </w:r>
      <w:bookmarkEnd w:id="13"/>
      <w:r w:rsidR="0061249D" w:rsidRPr="00797C62">
        <w:t xml:space="preserve"> </w:t>
      </w:r>
    </w:p>
    <w:p w14:paraId="3DD8AEF9" w14:textId="77777777" w:rsidR="008D79ED" w:rsidRPr="00797C62" w:rsidRDefault="00652DDB" w:rsidP="00A9785C">
      <w:hyperlink r:id="rId17" w:history="1">
        <w:r w:rsidR="004E59A8" w:rsidRPr="00797C62">
          <w:rPr>
            <w:rStyle w:val="Hyperlink"/>
            <w:szCs w:val="22"/>
          </w:rPr>
          <w:t>Emerging evidence</w:t>
        </w:r>
      </w:hyperlink>
      <w:r w:rsidR="004E59A8" w:rsidRPr="00797C62">
        <w:t xml:space="preserve"> on the impact of COVID-19 show</w:t>
      </w:r>
      <w:r w:rsidR="00FD66A8" w:rsidRPr="00797C62">
        <w:t xml:space="preserve">s </w:t>
      </w:r>
      <w:r w:rsidR="004E59A8" w:rsidRPr="00797C62">
        <w:t xml:space="preserve">that </w:t>
      </w:r>
      <w:r w:rsidR="00FD66A8" w:rsidRPr="00797C62">
        <w:t>the pandemic is</w:t>
      </w:r>
      <w:r w:rsidR="00EA1C08" w:rsidRPr="00797C62">
        <w:t xml:space="preserve"> affecting men and women differently. Biological differences as well as </w:t>
      </w:r>
      <w:r w:rsidR="00B26F03" w:rsidRPr="00797C62">
        <w:t>socially ascribed</w:t>
      </w:r>
      <w:r w:rsidR="00EA1C08" w:rsidRPr="00797C62">
        <w:t xml:space="preserve"> roles</w:t>
      </w:r>
      <w:r w:rsidR="00FD66A8" w:rsidRPr="00797C62">
        <w:t xml:space="preserve"> and</w:t>
      </w:r>
      <w:r w:rsidR="00EA1C08" w:rsidRPr="00797C62">
        <w:t xml:space="preserve"> responsibilities </w:t>
      </w:r>
      <w:r w:rsidR="00FD66A8" w:rsidRPr="00797C62">
        <w:t xml:space="preserve">all influence the direct and indirect impacts of the </w:t>
      </w:r>
      <w:r w:rsidR="00674817" w:rsidRPr="00797C62">
        <w:t>pandemic on women and girls</w:t>
      </w:r>
      <w:r w:rsidR="00FD66A8" w:rsidRPr="00797C62">
        <w:t>.</w:t>
      </w:r>
      <w:r w:rsidR="00F50F43" w:rsidRPr="00797C62">
        <w:t xml:space="preserve"> </w:t>
      </w:r>
      <w:r w:rsidR="00674817" w:rsidRPr="00797C62">
        <w:t xml:space="preserve"> </w:t>
      </w:r>
      <w:r w:rsidR="00F50F43" w:rsidRPr="00797C62">
        <w:t>I</w:t>
      </w:r>
      <w:r w:rsidR="00C433A9" w:rsidRPr="00797C62">
        <w:t xml:space="preserve">ntersecting risks and inequalities – such as ethnicity, disability, age and location – </w:t>
      </w:r>
      <w:r w:rsidR="00674817" w:rsidRPr="00797C62">
        <w:t>all</w:t>
      </w:r>
      <w:r w:rsidR="00C433A9" w:rsidRPr="00797C62">
        <w:t xml:space="preserve"> influence the impacts of COVID. </w:t>
      </w:r>
      <w:r w:rsidR="00FD66A8" w:rsidRPr="00797C62">
        <w:t>As the pandemic unfolds</w:t>
      </w:r>
      <w:r w:rsidR="00575DC5" w:rsidRPr="00797C62">
        <w:t>,</w:t>
      </w:r>
      <w:r w:rsidR="00FD66A8" w:rsidRPr="00797C62">
        <w:t xml:space="preserve"> more</w:t>
      </w:r>
      <w:r w:rsidR="00B26F03" w:rsidRPr="00797C62">
        <w:t xml:space="preserve"> evidence and</w:t>
      </w:r>
      <w:r w:rsidR="00FD66A8" w:rsidRPr="00797C62">
        <w:t xml:space="preserve"> data on the impacts of the pandemic </w:t>
      </w:r>
      <w:r w:rsidR="00674817" w:rsidRPr="00797C62">
        <w:t xml:space="preserve">are </w:t>
      </w:r>
      <w:r w:rsidR="00FD66A8" w:rsidRPr="00797C62">
        <w:t xml:space="preserve">being captured and made available. </w:t>
      </w:r>
    </w:p>
    <w:p w14:paraId="4B86DE76" w14:textId="77777777" w:rsidR="00A9785C" w:rsidRPr="00797C62" w:rsidRDefault="00A9785C" w:rsidP="00A9785C">
      <w:pPr>
        <w:pStyle w:val="Heading2"/>
      </w:pPr>
      <w:bookmarkStart w:id="14" w:name="_Toc49669960"/>
      <w:r w:rsidRPr="00797C62">
        <w:t>Key impacts of COVID-19 on women and girls</w:t>
      </w:r>
      <w:bookmarkEnd w:id="14"/>
      <w:r w:rsidRPr="00797C62">
        <w:t xml:space="preserve"> </w:t>
      </w:r>
    </w:p>
    <w:p w14:paraId="10111FE0" w14:textId="29A99A10" w:rsidR="00A9785C" w:rsidRPr="00797C62" w:rsidRDefault="00A9785C" w:rsidP="00843965">
      <w:pPr>
        <w:pStyle w:val="ListBullet"/>
        <w:rPr>
          <w:szCs w:val="22"/>
        </w:rPr>
      </w:pPr>
      <w:r w:rsidRPr="00797C62">
        <w:rPr>
          <w:b/>
          <w:szCs w:val="22"/>
        </w:rPr>
        <w:t xml:space="preserve">High health risks: </w:t>
      </w:r>
      <w:hyperlink r:id="rId18" w:history="1">
        <w:r w:rsidRPr="00797C62">
          <w:rPr>
            <w:rStyle w:val="Hyperlink"/>
            <w:szCs w:val="22"/>
          </w:rPr>
          <w:t>elderly women</w:t>
        </w:r>
      </w:hyperlink>
      <w:r w:rsidRPr="00797C62">
        <w:rPr>
          <w:szCs w:val="22"/>
        </w:rPr>
        <w:t xml:space="preserve"> and men are at a higher health risk from direct COVID-19 infection. Men, and </w:t>
      </w:r>
      <w:hyperlink r:id="rId19" w:history="1">
        <w:r w:rsidRPr="00797C62">
          <w:rPr>
            <w:rStyle w:val="Hyperlink"/>
            <w:szCs w:val="22"/>
          </w:rPr>
          <w:t>racial and ethnic minorities</w:t>
        </w:r>
      </w:hyperlink>
      <w:r w:rsidRPr="00797C62">
        <w:rPr>
          <w:szCs w:val="22"/>
        </w:rPr>
        <w:t xml:space="preserve"> account for a disproportionate share of COVID-19 mortality, and </w:t>
      </w:r>
      <w:hyperlink r:id="rId20" w:history="1">
        <w:r w:rsidRPr="00797C62">
          <w:rPr>
            <w:rStyle w:val="Hyperlink"/>
            <w:szCs w:val="22"/>
          </w:rPr>
          <w:t>people with disabilities</w:t>
        </w:r>
      </w:hyperlink>
      <w:r w:rsidRPr="00797C62">
        <w:rPr>
          <w:szCs w:val="22"/>
        </w:rPr>
        <w:t xml:space="preserve"> may be at greater risk of developing serious illness or dying from COVID-19. </w:t>
      </w:r>
      <w:r w:rsidR="00A55397" w:rsidRPr="00A55397">
        <w:rPr>
          <w:szCs w:val="22"/>
        </w:rPr>
        <w:t>The gendered nature of work however, means that women are more likely to be exposed to and contract the virus, given they are disproportionately represented in the health care workforce, and in other service jobs that have high levels of interaction with others.</w:t>
      </w:r>
      <w:r w:rsidR="00A55397">
        <w:rPr>
          <w:szCs w:val="22"/>
        </w:rPr>
        <w:t xml:space="preserve"> </w:t>
      </w:r>
      <w:r w:rsidRPr="00797C62">
        <w:rPr>
          <w:szCs w:val="22"/>
        </w:rPr>
        <w:t xml:space="preserve">The crisis may </w:t>
      </w:r>
      <w:r w:rsidR="00A55397">
        <w:rPr>
          <w:szCs w:val="22"/>
        </w:rPr>
        <w:t xml:space="preserve">also </w:t>
      </w:r>
      <w:r w:rsidRPr="00797C62">
        <w:rPr>
          <w:szCs w:val="22"/>
        </w:rPr>
        <w:t xml:space="preserve">divert funding away from and disrupt service provision for </w:t>
      </w:r>
      <w:hyperlink r:id="rId21" w:history="1">
        <w:r w:rsidRPr="00797C62">
          <w:rPr>
            <w:rStyle w:val="Hyperlink"/>
            <w:szCs w:val="22"/>
          </w:rPr>
          <w:t>maternity</w:t>
        </w:r>
      </w:hyperlink>
      <w:r w:rsidRPr="00797C62">
        <w:rPr>
          <w:szCs w:val="22"/>
        </w:rPr>
        <w:t xml:space="preserve"> and </w:t>
      </w:r>
      <w:hyperlink r:id="rId22" w:history="1">
        <w:r w:rsidRPr="00797C62">
          <w:rPr>
            <w:rStyle w:val="Hyperlink"/>
            <w:szCs w:val="22"/>
          </w:rPr>
          <w:t>sexual and reproductive health needs</w:t>
        </w:r>
      </w:hyperlink>
      <w:r w:rsidR="00A55397" w:rsidRPr="00A55397">
        <w:t xml:space="preserve">, </w:t>
      </w:r>
      <w:r w:rsidR="00A55397" w:rsidRPr="00A55397">
        <w:rPr>
          <w:szCs w:val="22"/>
        </w:rPr>
        <w:t>such as access to contraceptives.</w:t>
      </w:r>
      <w:r w:rsidRPr="00A55397">
        <w:rPr>
          <w:szCs w:val="22"/>
        </w:rPr>
        <w:t>.</w:t>
      </w:r>
    </w:p>
    <w:p w14:paraId="7C008107" w14:textId="77777777" w:rsidR="00A9785C" w:rsidRPr="00797C62" w:rsidRDefault="00A9785C" w:rsidP="00843965">
      <w:pPr>
        <w:pStyle w:val="ListBullet"/>
        <w:rPr>
          <w:b/>
          <w:szCs w:val="22"/>
        </w:rPr>
      </w:pPr>
      <w:r w:rsidRPr="00797C62">
        <w:rPr>
          <w:b/>
          <w:szCs w:val="22"/>
        </w:rPr>
        <w:t xml:space="preserve">Deepening poverty and food insecurity: </w:t>
      </w:r>
      <w:r w:rsidRPr="00797C62">
        <w:rPr>
          <w:szCs w:val="22"/>
        </w:rPr>
        <w:t xml:space="preserve">the crisis is exacerbating poverty and inequality. More </w:t>
      </w:r>
      <w:hyperlink r:id="rId23" w:history="1">
        <w:r w:rsidRPr="00797C62">
          <w:rPr>
            <w:rStyle w:val="Hyperlink"/>
            <w:szCs w:val="22"/>
          </w:rPr>
          <w:t>women live in poverty</w:t>
        </w:r>
      </w:hyperlink>
      <w:r w:rsidRPr="00797C62">
        <w:rPr>
          <w:szCs w:val="22"/>
        </w:rPr>
        <w:t xml:space="preserve"> than men and the poverty gap between women and men with </w:t>
      </w:r>
      <w:hyperlink r:id="rId24" w:history="1">
        <w:r w:rsidRPr="00797C62">
          <w:rPr>
            <w:rStyle w:val="Hyperlink"/>
            <w:szCs w:val="22"/>
          </w:rPr>
          <w:t>disabilities</w:t>
        </w:r>
      </w:hyperlink>
      <w:r w:rsidRPr="00797C62">
        <w:rPr>
          <w:szCs w:val="22"/>
        </w:rPr>
        <w:t xml:space="preserve"> is substantial. These groups are facing significant economic, health and social impacts in the short and long-term. Pregnant and lactating women and children are facing heightened risks of food insecurity and malnutrition. Women and children</w:t>
      </w:r>
      <w:hyperlink r:id="rId25" w:history="1">
        <w:r w:rsidRPr="00797C62">
          <w:rPr>
            <w:rStyle w:val="Hyperlink"/>
            <w:szCs w:val="22"/>
          </w:rPr>
          <w:t>, including those with disabilities</w:t>
        </w:r>
      </w:hyperlink>
      <w:r w:rsidRPr="00797C62">
        <w:rPr>
          <w:szCs w:val="22"/>
        </w:rPr>
        <w:t>, may reduce food consumption due to intra-household inequalities and coping strategies.</w:t>
      </w:r>
    </w:p>
    <w:p w14:paraId="3A62F3A3" w14:textId="2BBD11C8" w:rsidR="00A9785C" w:rsidRPr="00797C62" w:rsidRDefault="00A9785C" w:rsidP="00843965">
      <w:pPr>
        <w:pStyle w:val="ListBullet"/>
        <w:rPr>
          <w:b/>
          <w:szCs w:val="22"/>
        </w:rPr>
      </w:pPr>
      <w:r w:rsidRPr="00797C62">
        <w:rPr>
          <w:b/>
          <w:szCs w:val="22"/>
        </w:rPr>
        <w:t xml:space="preserve">Loss of jobs and livelihoods: </w:t>
      </w:r>
      <w:r w:rsidRPr="00797C62">
        <w:rPr>
          <w:szCs w:val="22"/>
        </w:rPr>
        <w:t xml:space="preserve">Informal workers will be hit hard, and </w:t>
      </w:r>
      <w:hyperlink r:id="rId26" w:history="1">
        <w:r w:rsidRPr="00797C62">
          <w:rPr>
            <w:rStyle w:val="Hyperlink"/>
            <w:szCs w:val="22"/>
          </w:rPr>
          <w:t>women informal workers</w:t>
        </w:r>
      </w:hyperlink>
      <w:r w:rsidRPr="00797C62">
        <w:rPr>
          <w:szCs w:val="22"/>
        </w:rPr>
        <w:t xml:space="preserve"> and people with disabilities are especially vulnerable, as they are overrepresented in low-paid work, more likely to work part-time, earn less, work in non-standard employment and have less access to social security</w:t>
      </w:r>
      <w:r w:rsidR="00A55397">
        <w:rPr>
          <w:szCs w:val="22"/>
        </w:rPr>
        <w:t xml:space="preserve"> and savings</w:t>
      </w:r>
      <w:r w:rsidRPr="00797C62">
        <w:rPr>
          <w:szCs w:val="22"/>
        </w:rPr>
        <w:t xml:space="preserve">. While female headed households may not be poorer, </w:t>
      </w:r>
      <w:hyperlink r:id="rId27" w:history="1">
        <w:r w:rsidRPr="00797C62">
          <w:rPr>
            <w:rStyle w:val="Hyperlink"/>
            <w:szCs w:val="22"/>
          </w:rPr>
          <w:t>they face challenges due to marital status, economies of scale, higher time poverty and reduced access to services</w:t>
        </w:r>
      </w:hyperlink>
      <w:r w:rsidRPr="00797C62">
        <w:rPr>
          <w:szCs w:val="22"/>
        </w:rPr>
        <w:t xml:space="preserve"> which can put them at a disadvantage during COVID-19. </w:t>
      </w:r>
    </w:p>
    <w:p w14:paraId="01298511" w14:textId="77777777" w:rsidR="00A9785C" w:rsidRPr="00797C62" w:rsidRDefault="00A9785C" w:rsidP="00843965">
      <w:pPr>
        <w:pStyle w:val="ListBullet"/>
        <w:rPr>
          <w:b/>
          <w:szCs w:val="22"/>
        </w:rPr>
      </w:pPr>
      <w:r w:rsidRPr="00797C62">
        <w:rPr>
          <w:b/>
          <w:szCs w:val="22"/>
        </w:rPr>
        <w:t xml:space="preserve">Increases in unpaid and care responsibilities: </w:t>
      </w:r>
      <w:r w:rsidRPr="00797C62">
        <w:rPr>
          <w:szCs w:val="22"/>
        </w:rPr>
        <w:t xml:space="preserve">The pandemic is likely to increase women’s time on </w:t>
      </w:r>
      <w:hyperlink r:id="rId28" w:history="1">
        <w:r w:rsidRPr="00797C62">
          <w:rPr>
            <w:rStyle w:val="Hyperlink"/>
            <w:szCs w:val="22"/>
          </w:rPr>
          <w:t>unpaid and care activities</w:t>
        </w:r>
      </w:hyperlink>
      <w:r w:rsidRPr="00797C62">
        <w:rPr>
          <w:szCs w:val="22"/>
        </w:rPr>
        <w:t xml:space="preserve"> due to school closures, family members falling ill, and </w:t>
      </w:r>
      <w:hyperlink r:id="rId29" w:history="1">
        <w:r w:rsidRPr="00797C62">
          <w:rPr>
            <w:rStyle w:val="Hyperlink"/>
            <w:szCs w:val="22"/>
          </w:rPr>
          <w:t xml:space="preserve">increased time spent on household tasks such as cooking and cleaning </w:t>
        </w:r>
        <w:r w:rsidRPr="00797C62">
          <w:rPr>
            <w:rStyle w:val="Hyperlink"/>
            <w:rFonts w:cstheme="minorHAnsi"/>
            <w:szCs w:val="22"/>
          </w:rPr>
          <w:t>while</w:t>
        </w:r>
        <w:r w:rsidRPr="00797C62">
          <w:rPr>
            <w:rStyle w:val="Hyperlink"/>
            <w:szCs w:val="22"/>
          </w:rPr>
          <w:t xml:space="preserve"> familie</w:t>
        </w:r>
        <w:r w:rsidRPr="00797C62">
          <w:rPr>
            <w:rStyle w:val="Hyperlink"/>
            <w:rFonts w:cstheme="minorHAnsi"/>
            <w:szCs w:val="22"/>
          </w:rPr>
          <w:t>s stay</w:t>
        </w:r>
        <w:r w:rsidRPr="00797C62">
          <w:rPr>
            <w:rStyle w:val="Hyperlink"/>
            <w:szCs w:val="22"/>
          </w:rPr>
          <w:t xml:space="preserve"> at home during quarantine</w:t>
        </w:r>
      </w:hyperlink>
      <w:r w:rsidRPr="00797C62">
        <w:rPr>
          <w:szCs w:val="22"/>
        </w:rPr>
        <w:t>. These are also likely to exacerbated for women looking after the elderly, sick and children with disabilities.</w:t>
      </w:r>
    </w:p>
    <w:p w14:paraId="30E29047" w14:textId="77777777" w:rsidR="00A9785C" w:rsidRPr="00797C62" w:rsidRDefault="00A9785C" w:rsidP="00843965">
      <w:pPr>
        <w:pStyle w:val="ListBullet"/>
        <w:rPr>
          <w:b/>
          <w:szCs w:val="22"/>
        </w:rPr>
      </w:pPr>
      <w:r w:rsidRPr="00797C62">
        <w:rPr>
          <w:b/>
          <w:szCs w:val="22"/>
        </w:rPr>
        <w:t xml:space="preserve">Risks of increased violence, abuse and exploitation: </w:t>
      </w:r>
      <w:r w:rsidRPr="00797C62">
        <w:rPr>
          <w:szCs w:val="22"/>
        </w:rPr>
        <w:t xml:space="preserve">increases in the frequency and severity of </w:t>
      </w:r>
      <w:hyperlink r:id="rId30" w:history="1">
        <w:r w:rsidRPr="00797C62">
          <w:rPr>
            <w:rStyle w:val="Hyperlink"/>
            <w:szCs w:val="22"/>
          </w:rPr>
          <w:t>violence against women and children</w:t>
        </w:r>
      </w:hyperlink>
      <w:r w:rsidRPr="00797C62">
        <w:rPr>
          <w:szCs w:val="22"/>
        </w:rPr>
        <w:t xml:space="preserve"> is becoming well documented as households endure weeks of quarantine and isolation, and women are </w:t>
      </w:r>
      <w:hyperlink r:id="rId31" w:history="1">
        <w:r w:rsidRPr="00797C62">
          <w:rPr>
            <w:rStyle w:val="Hyperlink"/>
            <w:szCs w:val="22"/>
          </w:rPr>
          <w:t>unable or unwilling to access support services.</w:t>
        </w:r>
      </w:hyperlink>
      <w:r w:rsidRPr="00797C62">
        <w:rPr>
          <w:szCs w:val="22"/>
        </w:rPr>
        <w:t xml:space="preserve"> </w:t>
      </w:r>
      <w:hyperlink r:id="rId32" w:history="1">
        <w:r w:rsidRPr="00797C62">
          <w:rPr>
            <w:rStyle w:val="Hyperlink"/>
            <w:szCs w:val="22"/>
          </w:rPr>
          <w:t>Refugees, undocumented migrants and asylum seekers</w:t>
        </w:r>
      </w:hyperlink>
      <w:r w:rsidRPr="00797C62">
        <w:rPr>
          <w:szCs w:val="22"/>
        </w:rPr>
        <w:t xml:space="preserve"> may also face violence and protection risks, and people with disability may face increased stigma, discrimination and abuse.</w:t>
      </w:r>
    </w:p>
    <w:p w14:paraId="1404EE08" w14:textId="77777777" w:rsidR="00842517" w:rsidRPr="00842517" w:rsidRDefault="00A9785C" w:rsidP="00BF6D18">
      <w:pPr>
        <w:pStyle w:val="ListBullet"/>
        <w:rPr>
          <w:b/>
          <w:color w:val="ED7D31" w:themeColor="accent2"/>
          <w:szCs w:val="22"/>
        </w:rPr>
      </w:pPr>
      <w:r w:rsidRPr="00842517">
        <w:rPr>
          <w:szCs w:val="22"/>
        </w:rPr>
        <w:lastRenderedPageBreak/>
        <w:t xml:space="preserve">Economic decline also increases the </w:t>
      </w:r>
      <w:r w:rsidRPr="00842517">
        <w:rPr>
          <w:b/>
          <w:szCs w:val="22"/>
        </w:rPr>
        <w:t>risks of negative coping strategies</w:t>
      </w:r>
      <w:r w:rsidRPr="00842517">
        <w:rPr>
          <w:szCs w:val="22"/>
        </w:rPr>
        <w:t xml:space="preserve">, </w:t>
      </w:r>
      <w:hyperlink r:id="rId33" w:history="1">
        <w:r w:rsidRPr="00842517">
          <w:rPr>
            <w:rStyle w:val="Hyperlink"/>
            <w:szCs w:val="22"/>
          </w:rPr>
          <w:t>such as early marriage, school drop-outs and pregnancy amongst adolescent girls</w:t>
        </w:r>
      </w:hyperlink>
      <w:r w:rsidRPr="00842517">
        <w:rPr>
          <w:szCs w:val="22"/>
        </w:rPr>
        <w:t xml:space="preserve">. The </w:t>
      </w:r>
      <w:hyperlink r:id="rId34" w:history="1">
        <w:r w:rsidRPr="00842517">
          <w:rPr>
            <w:rStyle w:val="Hyperlink"/>
            <w:szCs w:val="22"/>
          </w:rPr>
          <w:t>impacts of school closures</w:t>
        </w:r>
      </w:hyperlink>
      <w:r w:rsidRPr="00842517">
        <w:rPr>
          <w:szCs w:val="22"/>
        </w:rPr>
        <w:t xml:space="preserve"> may leave children at risk of malnutrition, child labour, </w:t>
      </w:r>
      <w:hyperlink r:id="rId35" w:history="1">
        <w:r w:rsidRPr="00842517">
          <w:rPr>
            <w:rStyle w:val="Hyperlink"/>
            <w:szCs w:val="22"/>
          </w:rPr>
          <w:t>sexual exploitation</w:t>
        </w:r>
      </w:hyperlink>
      <w:r w:rsidRPr="00842517">
        <w:rPr>
          <w:szCs w:val="22"/>
        </w:rPr>
        <w:t xml:space="preserve">, and the </w:t>
      </w:r>
      <w:hyperlink r:id="rId36" w:history="1">
        <w:r w:rsidRPr="00842517">
          <w:rPr>
            <w:rStyle w:val="Hyperlink"/>
            <w:szCs w:val="22"/>
          </w:rPr>
          <w:t>high risk of not returning to school, especially for girls</w:t>
        </w:r>
      </w:hyperlink>
      <w:r w:rsidRPr="00842517">
        <w:rPr>
          <w:szCs w:val="22"/>
        </w:rPr>
        <w:t xml:space="preserve">. </w:t>
      </w:r>
    </w:p>
    <w:p w14:paraId="36A45AD3" w14:textId="36C4487F" w:rsidR="006E5BF4" w:rsidRPr="006464CC" w:rsidRDefault="006E5BF4" w:rsidP="00A9785C">
      <w:pPr>
        <w:pStyle w:val="Heading2"/>
      </w:pPr>
      <w:bookmarkStart w:id="15" w:name="_Toc49669961"/>
      <w:r w:rsidRPr="006464CC">
        <w:t>Social protection</w:t>
      </w:r>
      <w:r>
        <w:t xml:space="preserve"> and gender equality</w:t>
      </w:r>
      <w:r w:rsidRPr="006464CC">
        <w:t>: definition of key terms</w:t>
      </w:r>
      <w:bookmarkEnd w:id="15"/>
    </w:p>
    <w:p w14:paraId="1436F4B0" w14:textId="462245C5" w:rsidR="006E5BF4" w:rsidRDefault="006E5BF4" w:rsidP="00A9785C">
      <w:r w:rsidRPr="00FB4D98">
        <w:t>Social protection refers to programs that</w:t>
      </w:r>
      <w:r>
        <w:t xml:space="preserve"> </w:t>
      </w:r>
      <w:r w:rsidRPr="006464CC">
        <w:t>address risk, vulnerability, inequality and poverty through a system of transfers to people in cash or in kind. The transfers can be funded by contributions from recipients (social insurance) or by government (social assistance)</w:t>
      </w:r>
      <w:r w:rsidRPr="006E5BF4">
        <w:t xml:space="preserve">. </w:t>
      </w:r>
      <w:r w:rsidRPr="00FB4D98">
        <w:t xml:space="preserve">The Australian Government primarily supports work on social assistance, focusing on the poor and vulnerable, through transfers such as financial grants, food transfers, cash-for-work, and school-feeding (see definitions below). </w:t>
      </w:r>
    </w:p>
    <w:p w14:paraId="1B55B338" w14:textId="570ECB90" w:rsidR="006E5BF4" w:rsidRDefault="006E5BF4" w:rsidP="00A9785C">
      <w:r w:rsidRPr="00FB4D98">
        <w:t>Social protection has three core functions: 1) protection of the poor from the worst impacts of poverty, 2) prevention against income shocks and drops in well-being, 3) promotion of opportunities and livelihoods (</w:t>
      </w:r>
      <w:hyperlink r:id="rId37" w:history="1">
        <w:r w:rsidRPr="00FB4D98">
          <w:rPr>
            <w:rStyle w:val="Hyperlink"/>
            <w:rFonts w:cstheme="minorHAnsi"/>
            <w:szCs w:val="22"/>
          </w:rPr>
          <w:t>DFAT, 2015: 2</w:t>
        </w:r>
      </w:hyperlink>
      <w:r w:rsidRPr="00FB4D98">
        <w:t>).</w:t>
      </w:r>
    </w:p>
    <w:p w14:paraId="77DEB214" w14:textId="77777777" w:rsidR="006E5BF4" w:rsidRPr="006464CC" w:rsidRDefault="006E5BF4" w:rsidP="006E5BF4">
      <w:pPr>
        <w:spacing w:before="100" w:beforeAutospacing="1" w:after="100" w:afterAutospacing="1"/>
        <w:contextualSpacing/>
        <w:rPr>
          <w:rFonts w:cstheme="minorHAnsi"/>
          <w:szCs w:val="22"/>
        </w:rPr>
      </w:pPr>
    </w:p>
    <w:tbl>
      <w:tblPr>
        <w:tblStyle w:val="TableGrid"/>
        <w:tblW w:w="5000" w:type="pct"/>
        <w:jc w:val="center"/>
        <w:tblCellMar>
          <w:top w:w="57" w:type="dxa"/>
          <w:bottom w:w="57" w:type="dxa"/>
        </w:tblCellMar>
        <w:tblLook w:val="04A0" w:firstRow="1" w:lastRow="0" w:firstColumn="1" w:lastColumn="0" w:noHBand="0" w:noVBand="1"/>
      </w:tblPr>
      <w:tblGrid>
        <w:gridCol w:w="2103"/>
        <w:gridCol w:w="6907"/>
      </w:tblGrid>
      <w:tr w:rsidR="006E5BF4" w:rsidRPr="00F40125" w14:paraId="262BA569" w14:textId="77777777" w:rsidTr="009B69E6">
        <w:trPr>
          <w:trHeight w:val="229"/>
          <w:tblHeader/>
          <w:jc w:val="center"/>
        </w:trPr>
        <w:tc>
          <w:tcPr>
            <w:tcW w:w="5000" w:type="pct"/>
            <w:gridSpan w:val="2"/>
            <w:shd w:val="clear" w:color="auto" w:fill="D9D9D9" w:themeFill="background1" w:themeFillShade="D9"/>
            <w:tcMar>
              <w:top w:w="113" w:type="dxa"/>
              <w:bottom w:w="113" w:type="dxa"/>
            </w:tcMar>
          </w:tcPr>
          <w:p w14:paraId="3562B0F6" w14:textId="03CBFCA8" w:rsidR="006E5BF4" w:rsidRPr="00F40125" w:rsidRDefault="006E5BF4" w:rsidP="009B69E6">
            <w:pPr>
              <w:spacing w:after="0" w:line="280" w:lineRule="atLeast"/>
              <w:rPr>
                <w:rFonts w:cstheme="minorHAnsi"/>
                <w:b/>
                <w:bCs/>
                <w:szCs w:val="22"/>
              </w:rPr>
            </w:pPr>
            <w:r w:rsidRPr="00F40125">
              <w:rPr>
                <w:rFonts w:cstheme="minorHAnsi"/>
                <w:b/>
                <w:bCs/>
                <w:szCs w:val="22"/>
              </w:rPr>
              <w:t xml:space="preserve">Social protection </w:t>
            </w:r>
          </w:p>
        </w:tc>
      </w:tr>
      <w:tr w:rsidR="0061249D" w:rsidRPr="00F40125" w14:paraId="2815BB07" w14:textId="77777777" w:rsidTr="009B69E6">
        <w:trPr>
          <w:jc w:val="center"/>
        </w:trPr>
        <w:tc>
          <w:tcPr>
            <w:tcW w:w="1167" w:type="pct"/>
            <w:shd w:val="clear" w:color="auto" w:fill="auto"/>
            <w:tcMar>
              <w:top w:w="113" w:type="dxa"/>
              <w:bottom w:w="113" w:type="dxa"/>
            </w:tcMar>
          </w:tcPr>
          <w:p w14:paraId="756E83A8" w14:textId="77777777" w:rsidR="0061249D" w:rsidRPr="00F40125" w:rsidRDefault="0061249D" w:rsidP="009B69E6">
            <w:pPr>
              <w:spacing w:after="0" w:line="280" w:lineRule="atLeast"/>
              <w:rPr>
                <w:rFonts w:cstheme="minorHAnsi"/>
                <w:szCs w:val="22"/>
              </w:rPr>
            </w:pPr>
          </w:p>
        </w:tc>
        <w:tc>
          <w:tcPr>
            <w:tcW w:w="3833" w:type="pct"/>
            <w:shd w:val="clear" w:color="auto" w:fill="auto"/>
            <w:tcMar>
              <w:top w:w="113" w:type="dxa"/>
              <w:bottom w:w="113" w:type="dxa"/>
            </w:tcMar>
          </w:tcPr>
          <w:p w14:paraId="2BBDB6AC" w14:textId="45B38291" w:rsidR="0061249D" w:rsidRPr="00F40125" w:rsidRDefault="0061249D" w:rsidP="009B69E6">
            <w:pPr>
              <w:spacing w:after="0" w:line="280" w:lineRule="atLeast"/>
              <w:jc w:val="center"/>
              <w:rPr>
                <w:rFonts w:cstheme="minorHAnsi"/>
                <w:szCs w:val="22"/>
              </w:rPr>
            </w:pPr>
            <w:r w:rsidRPr="00F40125">
              <w:rPr>
                <w:rFonts w:cstheme="minorHAnsi"/>
                <w:b/>
                <w:bCs/>
                <w:szCs w:val="22"/>
              </w:rPr>
              <w:t>Type of Social Protection Programs</w:t>
            </w:r>
          </w:p>
        </w:tc>
      </w:tr>
      <w:tr w:rsidR="0061249D" w:rsidRPr="00F40125" w14:paraId="57524AE3" w14:textId="77777777" w:rsidTr="009B69E6">
        <w:trPr>
          <w:jc w:val="center"/>
        </w:trPr>
        <w:tc>
          <w:tcPr>
            <w:tcW w:w="1167" w:type="pct"/>
            <w:shd w:val="clear" w:color="auto" w:fill="auto"/>
            <w:tcMar>
              <w:top w:w="113" w:type="dxa"/>
              <w:bottom w:w="113" w:type="dxa"/>
            </w:tcMar>
          </w:tcPr>
          <w:p w14:paraId="601B22CE" w14:textId="77777777" w:rsidR="0061249D" w:rsidRPr="00F40125" w:rsidRDefault="0061249D" w:rsidP="009B69E6">
            <w:pPr>
              <w:spacing w:after="0" w:line="280" w:lineRule="atLeast"/>
              <w:rPr>
                <w:rFonts w:cstheme="minorHAnsi"/>
                <w:b/>
                <w:bCs/>
                <w:szCs w:val="22"/>
              </w:rPr>
            </w:pPr>
            <w:r w:rsidRPr="00F40125">
              <w:rPr>
                <w:rFonts w:cstheme="minorHAnsi"/>
                <w:b/>
                <w:bCs/>
                <w:szCs w:val="22"/>
              </w:rPr>
              <w:t>Conditional cash transfers</w:t>
            </w:r>
          </w:p>
        </w:tc>
        <w:tc>
          <w:tcPr>
            <w:tcW w:w="3833" w:type="pct"/>
            <w:shd w:val="clear" w:color="auto" w:fill="auto"/>
            <w:tcMar>
              <w:top w:w="113" w:type="dxa"/>
              <w:bottom w:w="113" w:type="dxa"/>
            </w:tcMar>
          </w:tcPr>
          <w:p w14:paraId="0C13312D" w14:textId="77777777" w:rsidR="0061249D" w:rsidRPr="00F40125" w:rsidRDefault="0061249D" w:rsidP="009B69E6">
            <w:pPr>
              <w:spacing w:after="0" w:line="280" w:lineRule="atLeast"/>
              <w:rPr>
                <w:rFonts w:cstheme="minorHAnsi"/>
                <w:szCs w:val="22"/>
              </w:rPr>
            </w:pPr>
            <w:r w:rsidRPr="00F40125">
              <w:rPr>
                <w:rFonts w:cstheme="minorHAnsi"/>
                <w:szCs w:val="22"/>
              </w:rPr>
              <w:t xml:space="preserve">Cash </w:t>
            </w:r>
            <w:r w:rsidRPr="009B69E6">
              <w:t>distributed to individuals or households on condition that they undertake specified activities</w:t>
            </w:r>
            <w:r w:rsidRPr="00F40125">
              <w:rPr>
                <w:rFonts w:cstheme="minorHAnsi"/>
                <w:szCs w:val="22"/>
              </w:rPr>
              <w:t>.</w:t>
            </w:r>
          </w:p>
        </w:tc>
      </w:tr>
      <w:tr w:rsidR="0061249D" w:rsidRPr="00F40125" w14:paraId="0AC4BE5F" w14:textId="77777777" w:rsidTr="009B69E6">
        <w:trPr>
          <w:jc w:val="center"/>
        </w:trPr>
        <w:tc>
          <w:tcPr>
            <w:tcW w:w="1167" w:type="pct"/>
            <w:shd w:val="clear" w:color="auto" w:fill="auto"/>
            <w:tcMar>
              <w:top w:w="113" w:type="dxa"/>
              <w:bottom w:w="113" w:type="dxa"/>
            </w:tcMar>
          </w:tcPr>
          <w:p w14:paraId="0B0FC182" w14:textId="77777777" w:rsidR="0061249D" w:rsidRPr="00F40125" w:rsidRDefault="0061249D" w:rsidP="009B69E6">
            <w:pPr>
              <w:spacing w:after="0" w:line="280" w:lineRule="atLeast"/>
              <w:rPr>
                <w:rFonts w:cstheme="minorHAnsi"/>
                <w:b/>
                <w:bCs/>
                <w:szCs w:val="22"/>
              </w:rPr>
            </w:pPr>
            <w:r w:rsidRPr="00F40125">
              <w:rPr>
                <w:rFonts w:cstheme="minorHAnsi"/>
                <w:b/>
                <w:bCs/>
                <w:szCs w:val="22"/>
              </w:rPr>
              <w:t>Unconditional cash transfers</w:t>
            </w:r>
          </w:p>
        </w:tc>
        <w:tc>
          <w:tcPr>
            <w:tcW w:w="3833" w:type="pct"/>
            <w:shd w:val="clear" w:color="auto" w:fill="auto"/>
            <w:tcMar>
              <w:top w:w="113" w:type="dxa"/>
              <w:bottom w:w="113" w:type="dxa"/>
            </w:tcMar>
          </w:tcPr>
          <w:p w14:paraId="767F3FF0" w14:textId="77777777" w:rsidR="0061249D" w:rsidRPr="00F40125" w:rsidRDefault="0061249D" w:rsidP="009B69E6">
            <w:pPr>
              <w:spacing w:after="0" w:line="280" w:lineRule="atLeast"/>
              <w:rPr>
                <w:rFonts w:cstheme="minorHAnsi"/>
                <w:szCs w:val="22"/>
              </w:rPr>
            </w:pPr>
            <w:r w:rsidRPr="00F40125">
              <w:rPr>
                <w:rFonts w:cstheme="minorHAnsi"/>
                <w:szCs w:val="22"/>
              </w:rPr>
              <w:t>Cash transfers paid to beneficiaries without the beneficiary having to do anything specific to receive the benefit.</w:t>
            </w:r>
          </w:p>
        </w:tc>
      </w:tr>
      <w:tr w:rsidR="0061249D" w:rsidRPr="00F40125" w14:paraId="23D8DD9D" w14:textId="77777777" w:rsidTr="009B69E6">
        <w:trPr>
          <w:jc w:val="center"/>
        </w:trPr>
        <w:tc>
          <w:tcPr>
            <w:tcW w:w="1167" w:type="pct"/>
            <w:shd w:val="clear" w:color="auto" w:fill="auto"/>
            <w:tcMar>
              <w:top w:w="113" w:type="dxa"/>
              <w:bottom w:w="113" w:type="dxa"/>
            </w:tcMar>
          </w:tcPr>
          <w:p w14:paraId="38C7F072" w14:textId="77777777" w:rsidR="0061249D" w:rsidRPr="00F40125" w:rsidRDefault="0061249D" w:rsidP="009B69E6">
            <w:pPr>
              <w:spacing w:after="0" w:line="280" w:lineRule="atLeast"/>
              <w:rPr>
                <w:rFonts w:cstheme="minorHAnsi"/>
                <w:b/>
                <w:bCs/>
                <w:szCs w:val="22"/>
              </w:rPr>
            </w:pPr>
            <w:r w:rsidRPr="00F40125">
              <w:rPr>
                <w:rFonts w:cstheme="minorHAnsi"/>
                <w:b/>
                <w:bCs/>
                <w:szCs w:val="22"/>
              </w:rPr>
              <w:t>Cash plus</w:t>
            </w:r>
          </w:p>
        </w:tc>
        <w:tc>
          <w:tcPr>
            <w:tcW w:w="3833" w:type="pct"/>
            <w:shd w:val="clear" w:color="auto" w:fill="auto"/>
            <w:tcMar>
              <w:top w:w="113" w:type="dxa"/>
              <w:bottom w:w="113" w:type="dxa"/>
            </w:tcMar>
          </w:tcPr>
          <w:p w14:paraId="69600626" w14:textId="3252B5A3" w:rsidR="0061249D" w:rsidRPr="00F40125" w:rsidRDefault="0061249D" w:rsidP="009B69E6">
            <w:pPr>
              <w:spacing w:after="0" w:line="280" w:lineRule="atLeast"/>
              <w:rPr>
                <w:rFonts w:cstheme="minorHAnsi"/>
                <w:szCs w:val="22"/>
              </w:rPr>
            </w:pPr>
            <w:r w:rsidRPr="00F40125">
              <w:rPr>
                <w:rFonts w:cstheme="minorHAnsi"/>
                <w:szCs w:val="22"/>
              </w:rPr>
              <w:t xml:space="preserve">Cash Plus refers to complementary </w:t>
            </w:r>
            <w:r w:rsidR="004D33EC">
              <w:rPr>
                <w:rFonts w:cstheme="minorHAnsi"/>
                <w:szCs w:val="22"/>
              </w:rPr>
              <w:t>programming</w:t>
            </w:r>
            <w:r w:rsidRPr="00F40125">
              <w:rPr>
                <w:rFonts w:cstheme="minorHAnsi"/>
                <w:szCs w:val="22"/>
              </w:rPr>
              <w:t xml:space="preserve"> where cash transfers are combined with other modalities or activities. They may be implemented by the same agency providing cash transfers, or by other agencies working in collaboration.</w:t>
            </w:r>
          </w:p>
        </w:tc>
      </w:tr>
      <w:tr w:rsidR="0061249D" w:rsidRPr="00F40125" w14:paraId="48872527" w14:textId="77777777" w:rsidTr="009B69E6">
        <w:trPr>
          <w:jc w:val="center"/>
        </w:trPr>
        <w:tc>
          <w:tcPr>
            <w:tcW w:w="1167" w:type="pct"/>
            <w:shd w:val="clear" w:color="auto" w:fill="auto"/>
            <w:tcMar>
              <w:top w:w="113" w:type="dxa"/>
              <w:bottom w:w="113" w:type="dxa"/>
            </w:tcMar>
          </w:tcPr>
          <w:p w14:paraId="51BA8289" w14:textId="77777777" w:rsidR="0061249D" w:rsidRPr="00F40125" w:rsidRDefault="0061249D" w:rsidP="009B69E6">
            <w:pPr>
              <w:spacing w:after="0" w:line="280" w:lineRule="atLeast"/>
              <w:rPr>
                <w:rFonts w:cstheme="minorHAnsi"/>
                <w:b/>
                <w:bCs/>
                <w:szCs w:val="22"/>
              </w:rPr>
            </w:pPr>
            <w:r w:rsidRPr="00F40125">
              <w:rPr>
                <w:rFonts w:cstheme="minorHAnsi"/>
                <w:b/>
                <w:bCs/>
                <w:szCs w:val="22"/>
              </w:rPr>
              <w:t>In-kind transfers</w:t>
            </w:r>
          </w:p>
        </w:tc>
        <w:tc>
          <w:tcPr>
            <w:tcW w:w="3833" w:type="pct"/>
            <w:shd w:val="clear" w:color="auto" w:fill="auto"/>
            <w:tcMar>
              <w:top w:w="113" w:type="dxa"/>
              <w:bottom w:w="113" w:type="dxa"/>
            </w:tcMar>
          </w:tcPr>
          <w:p w14:paraId="7B2EABF1" w14:textId="434D526D" w:rsidR="0061249D" w:rsidRPr="00F40125" w:rsidRDefault="0061249D" w:rsidP="009B69E6">
            <w:pPr>
              <w:spacing w:after="0" w:line="280" w:lineRule="atLeast"/>
              <w:rPr>
                <w:rFonts w:cstheme="minorHAnsi"/>
                <w:szCs w:val="22"/>
              </w:rPr>
            </w:pPr>
            <w:r w:rsidRPr="00F40125">
              <w:rPr>
                <w:rFonts w:cstheme="minorHAnsi"/>
                <w:szCs w:val="22"/>
              </w:rPr>
              <w:t>Distribution of food, vouchers, or other in-kind transfers without any form of conditionality or co-responsibility.</w:t>
            </w:r>
          </w:p>
        </w:tc>
      </w:tr>
      <w:tr w:rsidR="0061249D" w:rsidRPr="00F40125" w14:paraId="79254395" w14:textId="77777777" w:rsidTr="009B69E6">
        <w:trPr>
          <w:jc w:val="center"/>
        </w:trPr>
        <w:tc>
          <w:tcPr>
            <w:tcW w:w="1167" w:type="pct"/>
            <w:shd w:val="clear" w:color="auto" w:fill="auto"/>
            <w:tcMar>
              <w:top w:w="113" w:type="dxa"/>
              <w:bottom w:w="113" w:type="dxa"/>
            </w:tcMar>
          </w:tcPr>
          <w:p w14:paraId="7475C4B2" w14:textId="3B9B0B7F" w:rsidR="0061249D" w:rsidRPr="00F40125" w:rsidRDefault="0061249D" w:rsidP="009B69E6">
            <w:pPr>
              <w:spacing w:after="0" w:line="280" w:lineRule="atLeast"/>
              <w:rPr>
                <w:rFonts w:cstheme="minorHAnsi"/>
                <w:b/>
                <w:bCs/>
                <w:szCs w:val="22"/>
              </w:rPr>
            </w:pPr>
            <w:r w:rsidRPr="00F40125">
              <w:rPr>
                <w:rFonts w:cstheme="minorHAnsi"/>
                <w:b/>
                <w:bCs/>
                <w:szCs w:val="22"/>
              </w:rPr>
              <w:t>Public works (cash for work, food for work)</w:t>
            </w:r>
          </w:p>
        </w:tc>
        <w:tc>
          <w:tcPr>
            <w:tcW w:w="3833" w:type="pct"/>
            <w:shd w:val="clear" w:color="auto" w:fill="auto"/>
            <w:tcMar>
              <w:top w:w="113" w:type="dxa"/>
              <w:bottom w:w="113" w:type="dxa"/>
            </w:tcMar>
          </w:tcPr>
          <w:p w14:paraId="6507D939" w14:textId="4614DE6E" w:rsidR="0061249D" w:rsidRPr="00F40125" w:rsidRDefault="0061249D" w:rsidP="009B69E6">
            <w:pPr>
              <w:spacing w:after="0" w:line="280" w:lineRule="atLeast"/>
              <w:rPr>
                <w:rFonts w:cstheme="minorHAnsi"/>
                <w:szCs w:val="22"/>
              </w:rPr>
            </w:pPr>
            <w:r w:rsidRPr="00F40125">
              <w:rPr>
                <w:rFonts w:cstheme="minorHAnsi"/>
                <w:szCs w:val="22"/>
              </w:rPr>
              <w:t>Public works programs generally defined as public labour‐intensive infrastructure development initiatives which provide cash or food‐based payments in exchange for work.</w:t>
            </w:r>
          </w:p>
        </w:tc>
      </w:tr>
      <w:tr w:rsidR="0061249D" w:rsidRPr="00F40125" w14:paraId="0DB44E67" w14:textId="77777777" w:rsidTr="009B69E6">
        <w:trPr>
          <w:jc w:val="center"/>
        </w:trPr>
        <w:tc>
          <w:tcPr>
            <w:tcW w:w="1167" w:type="pct"/>
            <w:shd w:val="clear" w:color="auto" w:fill="auto"/>
            <w:tcMar>
              <w:top w:w="113" w:type="dxa"/>
              <w:bottom w:w="113" w:type="dxa"/>
            </w:tcMar>
          </w:tcPr>
          <w:p w14:paraId="39EFCDBD" w14:textId="77777777" w:rsidR="0061249D" w:rsidRPr="00F40125" w:rsidRDefault="0061249D" w:rsidP="009B69E6">
            <w:pPr>
              <w:spacing w:after="0" w:line="280" w:lineRule="atLeast"/>
              <w:rPr>
                <w:rFonts w:cstheme="minorHAnsi"/>
                <w:szCs w:val="22"/>
              </w:rPr>
            </w:pPr>
          </w:p>
        </w:tc>
        <w:tc>
          <w:tcPr>
            <w:tcW w:w="3833" w:type="pct"/>
            <w:shd w:val="clear" w:color="auto" w:fill="auto"/>
            <w:tcMar>
              <w:top w:w="113" w:type="dxa"/>
              <w:bottom w:w="113" w:type="dxa"/>
            </w:tcMar>
          </w:tcPr>
          <w:p w14:paraId="3FB49491" w14:textId="19621027" w:rsidR="0061249D" w:rsidRPr="00F40125" w:rsidRDefault="0061249D" w:rsidP="009B69E6">
            <w:pPr>
              <w:spacing w:after="0" w:line="280" w:lineRule="atLeast"/>
              <w:jc w:val="center"/>
              <w:rPr>
                <w:rFonts w:cstheme="minorHAnsi"/>
                <w:b/>
                <w:bCs/>
                <w:szCs w:val="22"/>
              </w:rPr>
            </w:pPr>
            <w:r w:rsidRPr="00F40125">
              <w:rPr>
                <w:rFonts w:cstheme="minorHAnsi"/>
                <w:b/>
                <w:bCs/>
                <w:szCs w:val="22"/>
              </w:rPr>
              <w:t xml:space="preserve">Social Protection </w:t>
            </w:r>
            <w:r w:rsidR="004D33EC">
              <w:rPr>
                <w:rFonts w:cstheme="minorHAnsi"/>
                <w:b/>
                <w:bCs/>
                <w:szCs w:val="22"/>
              </w:rPr>
              <w:t>Programming</w:t>
            </w:r>
            <w:r w:rsidRPr="00F40125">
              <w:rPr>
                <w:rFonts w:cstheme="minorHAnsi"/>
                <w:b/>
                <w:bCs/>
                <w:szCs w:val="22"/>
              </w:rPr>
              <w:t xml:space="preserve"> and Systems Definitions</w:t>
            </w:r>
          </w:p>
        </w:tc>
      </w:tr>
      <w:tr w:rsidR="0061249D" w:rsidRPr="00F40125" w14:paraId="09869C28" w14:textId="77777777" w:rsidTr="009B69E6">
        <w:trPr>
          <w:jc w:val="center"/>
        </w:trPr>
        <w:tc>
          <w:tcPr>
            <w:tcW w:w="1167" w:type="pct"/>
            <w:shd w:val="clear" w:color="auto" w:fill="auto"/>
            <w:tcMar>
              <w:top w:w="113" w:type="dxa"/>
              <w:bottom w:w="113" w:type="dxa"/>
            </w:tcMar>
          </w:tcPr>
          <w:p w14:paraId="7874837F" w14:textId="77777777" w:rsidR="0061249D" w:rsidRPr="00B16A25" w:rsidRDefault="0061249D" w:rsidP="009B69E6">
            <w:pPr>
              <w:spacing w:after="0" w:line="280" w:lineRule="atLeast"/>
              <w:rPr>
                <w:rFonts w:cstheme="minorHAnsi"/>
                <w:b/>
                <w:bCs/>
                <w:szCs w:val="22"/>
              </w:rPr>
            </w:pPr>
            <w:r w:rsidRPr="00B16A25">
              <w:rPr>
                <w:rFonts w:cstheme="minorHAnsi"/>
                <w:b/>
                <w:bCs/>
                <w:szCs w:val="22"/>
              </w:rPr>
              <w:t>Targeting</w:t>
            </w:r>
          </w:p>
        </w:tc>
        <w:tc>
          <w:tcPr>
            <w:tcW w:w="3833" w:type="pct"/>
            <w:shd w:val="clear" w:color="auto" w:fill="auto"/>
            <w:tcMar>
              <w:top w:w="113" w:type="dxa"/>
              <w:bottom w:w="113" w:type="dxa"/>
            </w:tcMar>
          </w:tcPr>
          <w:p w14:paraId="28E58E08" w14:textId="1636EA3B" w:rsidR="0061249D" w:rsidRPr="00F40125" w:rsidRDefault="0061249D" w:rsidP="009B69E6">
            <w:pPr>
              <w:spacing w:after="0" w:line="280" w:lineRule="atLeast"/>
              <w:rPr>
                <w:rFonts w:cstheme="minorHAnsi"/>
                <w:szCs w:val="22"/>
              </w:rPr>
            </w:pPr>
            <w:r w:rsidRPr="00F40125">
              <w:rPr>
                <w:rFonts w:cstheme="minorHAnsi"/>
                <w:szCs w:val="22"/>
              </w:rPr>
              <w:t>The criteria to select beneficiaries for a program</w:t>
            </w:r>
            <w:r w:rsidR="00A55397">
              <w:rPr>
                <w:rFonts w:cstheme="minorHAnsi"/>
                <w:szCs w:val="22"/>
              </w:rPr>
              <w:t>.</w:t>
            </w:r>
          </w:p>
        </w:tc>
      </w:tr>
      <w:tr w:rsidR="0061249D" w:rsidRPr="00F40125" w14:paraId="2A250F7D" w14:textId="77777777" w:rsidTr="009B69E6">
        <w:trPr>
          <w:jc w:val="center"/>
        </w:trPr>
        <w:tc>
          <w:tcPr>
            <w:tcW w:w="1167" w:type="pct"/>
            <w:shd w:val="clear" w:color="auto" w:fill="auto"/>
            <w:tcMar>
              <w:top w:w="113" w:type="dxa"/>
              <w:bottom w:w="113" w:type="dxa"/>
            </w:tcMar>
          </w:tcPr>
          <w:p w14:paraId="0C215671" w14:textId="77777777" w:rsidR="0061249D" w:rsidRPr="00B16A25" w:rsidRDefault="0061249D" w:rsidP="009B69E6">
            <w:pPr>
              <w:spacing w:after="0" w:line="280" w:lineRule="atLeast"/>
              <w:rPr>
                <w:rFonts w:cstheme="minorHAnsi"/>
                <w:b/>
                <w:bCs/>
                <w:szCs w:val="22"/>
              </w:rPr>
            </w:pPr>
            <w:r w:rsidRPr="00B16A25">
              <w:rPr>
                <w:rFonts w:cstheme="minorHAnsi"/>
                <w:b/>
                <w:bCs/>
                <w:szCs w:val="22"/>
              </w:rPr>
              <w:t>Coverage</w:t>
            </w:r>
          </w:p>
        </w:tc>
        <w:tc>
          <w:tcPr>
            <w:tcW w:w="3833" w:type="pct"/>
            <w:shd w:val="clear" w:color="auto" w:fill="auto"/>
            <w:tcMar>
              <w:top w:w="113" w:type="dxa"/>
              <w:bottom w:w="113" w:type="dxa"/>
            </w:tcMar>
          </w:tcPr>
          <w:p w14:paraId="75FDF175" w14:textId="4BE8D521" w:rsidR="0061249D" w:rsidRPr="00F40125" w:rsidRDefault="0061249D" w:rsidP="009B69E6">
            <w:pPr>
              <w:spacing w:after="0" w:line="280" w:lineRule="atLeast"/>
              <w:rPr>
                <w:rFonts w:cstheme="minorHAnsi"/>
                <w:szCs w:val="22"/>
              </w:rPr>
            </w:pPr>
            <w:r w:rsidRPr="00F40125">
              <w:rPr>
                <w:rFonts w:cstheme="minorHAnsi"/>
                <w:szCs w:val="22"/>
              </w:rPr>
              <w:t>The population reached by a program</w:t>
            </w:r>
            <w:r w:rsidR="00A55397">
              <w:rPr>
                <w:rFonts w:cstheme="minorHAnsi"/>
                <w:szCs w:val="22"/>
              </w:rPr>
              <w:t>.</w:t>
            </w:r>
          </w:p>
        </w:tc>
      </w:tr>
      <w:tr w:rsidR="0061249D" w:rsidRPr="00F40125" w14:paraId="704D0F74" w14:textId="77777777" w:rsidTr="009B69E6">
        <w:trPr>
          <w:jc w:val="center"/>
        </w:trPr>
        <w:tc>
          <w:tcPr>
            <w:tcW w:w="1167" w:type="pct"/>
            <w:shd w:val="clear" w:color="auto" w:fill="auto"/>
            <w:tcMar>
              <w:top w:w="113" w:type="dxa"/>
              <w:bottom w:w="113" w:type="dxa"/>
            </w:tcMar>
          </w:tcPr>
          <w:p w14:paraId="6ACFFD28" w14:textId="77777777" w:rsidR="0061249D" w:rsidRPr="00B16A25" w:rsidRDefault="0061249D" w:rsidP="009B69E6">
            <w:pPr>
              <w:spacing w:after="0" w:line="280" w:lineRule="atLeast"/>
              <w:rPr>
                <w:rFonts w:cstheme="minorHAnsi"/>
                <w:b/>
                <w:bCs/>
                <w:szCs w:val="22"/>
              </w:rPr>
            </w:pPr>
            <w:r w:rsidRPr="00B16A25">
              <w:rPr>
                <w:rFonts w:cstheme="minorHAnsi"/>
                <w:b/>
                <w:bCs/>
                <w:szCs w:val="22"/>
              </w:rPr>
              <w:t>Grievance redress mechanisms (GRM)</w:t>
            </w:r>
          </w:p>
        </w:tc>
        <w:tc>
          <w:tcPr>
            <w:tcW w:w="3833" w:type="pct"/>
            <w:shd w:val="clear" w:color="auto" w:fill="auto"/>
            <w:tcMar>
              <w:top w:w="113" w:type="dxa"/>
              <w:bottom w:w="113" w:type="dxa"/>
            </w:tcMar>
          </w:tcPr>
          <w:p w14:paraId="482FE410" w14:textId="53FD159E" w:rsidR="0061249D" w:rsidRPr="00F40125" w:rsidRDefault="0061249D" w:rsidP="009B69E6">
            <w:pPr>
              <w:spacing w:after="0" w:line="280" w:lineRule="atLeast"/>
              <w:rPr>
                <w:rFonts w:cstheme="minorHAnsi"/>
                <w:szCs w:val="22"/>
              </w:rPr>
            </w:pPr>
            <w:r w:rsidRPr="00F40125">
              <w:rPr>
                <w:rFonts w:cstheme="minorHAnsi"/>
                <w:szCs w:val="22"/>
              </w:rPr>
              <w:t>Also known as ‘feedback and complaints mechanisms’. Formal institutions and channels that capture beneficiary complaints or grievances related to the program.</w:t>
            </w:r>
          </w:p>
        </w:tc>
      </w:tr>
      <w:tr w:rsidR="0061249D" w:rsidRPr="00F40125" w14:paraId="46C0A87A" w14:textId="77777777" w:rsidTr="009B69E6">
        <w:trPr>
          <w:jc w:val="center"/>
        </w:trPr>
        <w:tc>
          <w:tcPr>
            <w:tcW w:w="1167" w:type="pct"/>
            <w:shd w:val="clear" w:color="auto" w:fill="auto"/>
            <w:tcMar>
              <w:top w:w="113" w:type="dxa"/>
              <w:bottom w:w="113" w:type="dxa"/>
            </w:tcMar>
          </w:tcPr>
          <w:p w14:paraId="7CDA03D1" w14:textId="77777777" w:rsidR="0061249D" w:rsidRPr="00F40125" w:rsidRDefault="0061249D" w:rsidP="009B69E6">
            <w:pPr>
              <w:spacing w:after="0" w:line="280" w:lineRule="atLeast"/>
              <w:rPr>
                <w:rFonts w:cstheme="minorHAnsi"/>
                <w:szCs w:val="22"/>
              </w:rPr>
            </w:pPr>
          </w:p>
        </w:tc>
        <w:tc>
          <w:tcPr>
            <w:tcW w:w="3833" w:type="pct"/>
            <w:shd w:val="clear" w:color="auto" w:fill="auto"/>
            <w:tcMar>
              <w:top w:w="113" w:type="dxa"/>
              <w:bottom w:w="113" w:type="dxa"/>
            </w:tcMar>
          </w:tcPr>
          <w:p w14:paraId="52D16947" w14:textId="63AFA67A" w:rsidR="0061249D" w:rsidRPr="00F40125" w:rsidRDefault="0061249D" w:rsidP="009B69E6">
            <w:pPr>
              <w:spacing w:after="0" w:line="280" w:lineRule="atLeast"/>
              <w:jc w:val="center"/>
              <w:rPr>
                <w:rFonts w:cstheme="minorHAnsi"/>
                <w:b/>
                <w:bCs/>
                <w:szCs w:val="22"/>
              </w:rPr>
            </w:pPr>
            <w:r w:rsidRPr="00F40125">
              <w:rPr>
                <w:rFonts w:cstheme="minorHAnsi"/>
                <w:b/>
                <w:bCs/>
                <w:szCs w:val="22"/>
              </w:rPr>
              <w:t>Gender Equality</w:t>
            </w:r>
          </w:p>
        </w:tc>
      </w:tr>
      <w:tr w:rsidR="0061249D" w:rsidRPr="00F40125" w14:paraId="61E1C841" w14:textId="77777777" w:rsidTr="009B69E6">
        <w:trPr>
          <w:jc w:val="center"/>
        </w:trPr>
        <w:tc>
          <w:tcPr>
            <w:tcW w:w="1167" w:type="pct"/>
            <w:shd w:val="clear" w:color="auto" w:fill="auto"/>
            <w:tcMar>
              <w:top w:w="113" w:type="dxa"/>
              <w:bottom w:w="113" w:type="dxa"/>
            </w:tcMar>
          </w:tcPr>
          <w:p w14:paraId="0D024A40" w14:textId="77777777" w:rsidR="0061249D" w:rsidRPr="00B16A25" w:rsidRDefault="0061249D" w:rsidP="009B69E6">
            <w:pPr>
              <w:spacing w:after="0" w:line="280" w:lineRule="atLeast"/>
              <w:rPr>
                <w:rFonts w:cstheme="minorHAnsi"/>
                <w:b/>
                <w:bCs/>
                <w:szCs w:val="22"/>
              </w:rPr>
            </w:pPr>
            <w:r w:rsidRPr="00B16A25">
              <w:rPr>
                <w:rFonts w:cstheme="minorHAnsi"/>
                <w:b/>
                <w:bCs/>
                <w:szCs w:val="22"/>
              </w:rPr>
              <w:t>Gender</w:t>
            </w:r>
          </w:p>
        </w:tc>
        <w:tc>
          <w:tcPr>
            <w:tcW w:w="3833" w:type="pct"/>
            <w:shd w:val="clear" w:color="auto" w:fill="auto"/>
            <w:tcMar>
              <w:top w:w="113" w:type="dxa"/>
              <w:bottom w:w="113" w:type="dxa"/>
            </w:tcMar>
          </w:tcPr>
          <w:p w14:paraId="2BE74228" w14:textId="39275A72" w:rsidR="0061249D" w:rsidRPr="00F40125" w:rsidRDefault="0061249D" w:rsidP="009B69E6">
            <w:pPr>
              <w:spacing w:after="0" w:line="280" w:lineRule="atLeast"/>
              <w:rPr>
                <w:rFonts w:cstheme="minorHAnsi"/>
                <w:szCs w:val="22"/>
              </w:rPr>
            </w:pPr>
            <w:r w:rsidRPr="00F40125">
              <w:rPr>
                <w:rFonts w:cstheme="minorHAnsi"/>
                <w:szCs w:val="22"/>
              </w:rPr>
              <w:t>Gender refers to the roles, behavio</w:t>
            </w:r>
            <w:r w:rsidR="009B69E6">
              <w:rPr>
                <w:rFonts w:cstheme="minorHAnsi"/>
                <w:szCs w:val="22"/>
              </w:rPr>
              <w:t>u</w:t>
            </w:r>
            <w:r w:rsidRPr="00F40125">
              <w:rPr>
                <w:rFonts w:cstheme="minorHAnsi"/>
                <w:szCs w:val="22"/>
              </w:rPr>
              <w:t>rs, activities, and attributes that a given society at a given time considers appropriate for men and women.</w:t>
            </w:r>
          </w:p>
        </w:tc>
      </w:tr>
      <w:tr w:rsidR="0061249D" w:rsidRPr="00F40125" w14:paraId="46FF4415" w14:textId="77777777" w:rsidTr="009B69E6">
        <w:trPr>
          <w:jc w:val="center"/>
        </w:trPr>
        <w:tc>
          <w:tcPr>
            <w:tcW w:w="1167" w:type="pct"/>
            <w:shd w:val="clear" w:color="auto" w:fill="auto"/>
            <w:tcMar>
              <w:top w:w="113" w:type="dxa"/>
              <w:bottom w:w="113" w:type="dxa"/>
            </w:tcMar>
          </w:tcPr>
          <w:p w14:paraId="2DCC49A5" w14:textId="77777777" w:rsidR="0061249D" w:rsidRPr="00B16A25" w:rsidRDefault="0061249D" w:rsidP="009B69E6">
            <w:pPr>
              <w:spacing w:after="0" w:line="280" w:lineRule="atLeast"/>
              <w:rPr>
                <w:rFonts w:cstheme="minorHAnsi"/>
                <w:b/>
                <w:bCs/>
                <w:szCs w:val="22"/>
              </w:rPr>
            </w:pPr>
            <w:r w:rsidRPr="00B16A25">
              <w:rPr>
                <w:rFonts w:cstheme="minorHAnsi"/>
                <w:b/>
                <w:bCs/>
                <w:szCs w:val="22"/>
              </w:rPr>
              <w:t xml:space="preserve">Social inclusion / exclusion </w:t>
            </w:r>
          </w:p>
        </w:tc>
        <w:tc>
          <w:tcPr>
            <w:tcW w:w="3833" w:type="pct"/>
            <w:shd w:val="clear" w:color="auto" w:fill="auto"/>
            <w:tcMar>
              <w:top w:w="113" w:type="dxa"/>
              <w:bottom w:w="113" w:type="dxa"/>
            </w:tcMar>
          </w:tcPr>
          <w:p w14:paraId="1132053A" w14:textId="77777777" w:rsidR="0061249D" w:rsidRPr="00F40125" w:rsidRDefault="0061249D" w:rsidP="009B69E6">
            <w:pPr>
              <w:spacing w:after="0" w:line="280" w:lineRule="atLeast"/>
              <w:rPr>
                <w:rFonts w:cstheme="minorHAnsi"/>
                <w:szCs w:val="22"/>
              </w:rPr>
            </w:pPr>
            <w:r w:rsidRPr="00F40125">
              <w:rPr>
                <w:rFonts w:cstheme="minorHAnsi"/>
                <w:szCs w:val="22"/>
              </w:rPr>
              <w:t xml:space="preserve">A multi-dimensional concept, involving economic, social, political, cultural, and special aspects of disadvantage and deprivation. </w:t>
            </w:r>
          </w:p>
        </w:tc>
      </w:tr>
      <w:tr w:rsidR="0061249D" w:rsidRPr="00F40125" w14:paraId="4D376EAC" w14:textId="77777777" w:rsidTr="009B69E6">
        <w:trPr>
          <w:jc w:val="center"/>
        </w:trPr>
        <w:tc>
          <w:tcPr>
            <w:tcW w:w="1167" w:type="pct"/>
            <w:shd w:val="clear" w:color="auto" w:fill="auto"/>
            <w:tcMar>
              <w:top w:w="113" w:type="dxa"/>
              <w:bottom w:w="113" w:type="dxa"/>
            </w:tcMar>
          </w:tcPr>
          <w:p w14:paraId="49E3B471" w14:textId="77777777" w:rsidR="0061249D" w:rsidRPr="00B16A25" w:rsidRDefault="0061249D" w:rsidP="009B69E6">
            <w:pPr>
              <w:spacing w:after="0" w:line="280" w:lineRule="atLeast"/>
              <w:rPr>
                <w:rFonts w:cstheme="minorHAnsi"/>
                <w:b/>
                <w:bCs/>
                <w:szCs w:val="22"/>
              </w:rPr>
            </w:pPr>
            <w:r w:rsidRPr="00B16A25">
              <w:rPr>
                <w:rFonts w:cstheme="minorHAnsi"/>
                <w:b/>
                <w:bCs/>
                <w:szCs w:val="22"/>
              </w:rPr>
              <w:t>Intersectionality</w:t>
            </w:r>
          </w:p>
        </w:tc>
        <w:tc>
          <w:tcPr>
            <w:tcW w:w="3833" w:type="pct"/>
            <w:shd w:val="clear" w:color="auto" w:fill="auto"/>
            <w:tcMar>
              <w:top w:w="113" w:type="dxa"/>
              <w:bottom w:w="113" w:type="dxa"/>
            </w:tcMar>
          </w:tcPr>
          <w:p w14:paraId="3F8E3296" w14:textId="77777777" w:rsidR="0061249D" w:rsidRPr="00F40125" w:rsidRDefault="0061249D" w:rsidP="009B69E6">
            <w:pPr>
              <w:spacing w:after="0" w:line="280" w:lineRule="atLeast"/>
              <w:rPr>
                <w:rFonts w:cstheme="minorHAnsi"/>
                <w:szCs w:val="22"/>
              </w:rPr>
            </w:pPr>
            <w:r w:rsidRPr="00F40125">
              <w:rPr>
                <w:rFonts w:cstheme="minorHAnsi"/>
                <w:szCs w:val="22"/>
              </w:rPr>
              <w:t>The ways in which sex and gender intersect with other characteristics/identities, and how these intersections contribute to unique experiences of discrimination and exclusion.</w:t>
            </w:r>
          </w:p>
        </w:tc>
      </w:tr>
      <w:tr w:rsidR="0061249D" w:rsidRPr="00F40125" w14:paraId="0246D0FA" w14:textId="77777777" w:rsidTr="009B69E6">
        <w:trPr>
          <w:jc w:val="center"/>
        </w:trPr>
        <w:tc>
          <w:tcPr>
            <w:tcW w:w="1167" w:type="pct"/>
            <w:shd w:val="clear" w:color="auto" w:fill="auto"/>
            <w:tcMar>
              <w:top w:w="113" w:type="dxa"/>
              <w:bottom w:w="113" w:type="dxa"/>
            </w:tcMar>
          </w:tcPr>
          <w:p w14:paraId="629D8F94" w14:textId="06A54066" w:rsidR="0061249D" w:rsidRPr="00B16A25" w:rsidRDefault="0061249D" w:rsidP="009B69E6">
            <w:pPr>
              <w:spacing w:after="0" w:line="280" w:lineRule="atLeast"/>
              <w:rPr>
                <w:rFonts w:cstheme="minorHAnsi"/>
                <w:b/>
                <w:bCs/>
                <w:szCs w:val="22"/>
              </w:rPr>
            </w:pPr>
            <w:r w:rsidRPr="00B16A25">
              <w:rPr>
                <w:rFonts w:cstheme="minorHAnsi"/>
                <w:b/>
                <w:bCs/>
                <w:szCs w:val="22"/>
              </w:rPr>
              <w:t xml:space="preserve">Unpaid labour and care burden </w:t>
            </w:r>
            <w:r w:rsidR="00A55397" w:rsidRPr="00B16A25">
              <w:rPr>
                <w:rFonts w:cstheme="minorHAnsi"/>
                <w:b/>
                <w:bCs/>
                <w:szCs w:val="22"/>
              </w:rPr>
              <w:t>(the care economy)</w:t>
            </w:r>
          </w:p>
          <w:p w14:paraId="519A0B76" w14:textId="77777777" w:rsidR="0061249D" w:rsidRPr="00B16A25" w:rsidRDefault="0061249D" w:rsidP="009B69E6">
            <w:pPr>
              <w:spacing w:after="0" w:line="280" w:lineRule="atLeast"/>
              <w:rPr>
                <w:rFonts w:cstheme="minorHAnsi"/>
                <w:b/>
                <w:bCs/>
                <w:szCs w:val="22"/>
              </w:rPr>
            </w:pPr>
          </w:p>
        </w:tc>
        <w:tc>
          <w:tcPr>
            <w:tcW w:w="3833" w:type="pct"/>
            <w:shd w:val="clear" w:color="auto" w:fill="auto"/>
            <w:tcMar>
              <w:top w:w="113" w:type="dxa"/>
              <w:bottom w:w="113" w:type="dxa"/>
            </w:tcMar>
          </w:tcPr>
          <w:p w14:paraId="1DB6A0E2" w14:textId="77777777" w:rsidR="0061249D" w:rsidRPr="00F40125" w:rsidRDefault="0061249D" w:rsidP="009B69E6">
            <w:pPr>
              <w:spacing w:after="0" w:line="280" w:lineRule="atLeast"/>
              <w:rPr>
                <w:rFonts w:cstheme="minorHAnsi"/>
                <w:szCs w:val="22"/>
              </w:rPr>
            </w:pPr>
            <w:r w:rsidRPr="00F40125">
              <w:rPr>
                <w:rFonts w:cstheme="minorHAnsi"/>
                <w:szCs w:val="22"/>
              </w:rPr>
              <w:t>The term unpaid care work encompasses all the daily activities that sustain our lives and health, such as house work (food preparation, cleaning, laundry) and personal care (especially of children, the elderly, people who are sick or have a disability). These activities are most commonly performed by women in the household for free.</w:t>
            </w:r>
          </w:p>
        </w:tc>
      </w:tr>
      <w:tr w:rsidR="0061249D" w:rsidRPr="00F40125" w14:paraId="4F2DAF87" w14:textId="77777777" w:rsidTr="009B69E6">
        <w:trPr>
          <w:jc w:val="center"/>
        </w:trPr>
        <w:tc>
          <w:tcPr>
            <w:tcW w:w="1167" w:type="pct"/>
            <w:shd w:val="clear" w:color="auto" w:fill="auto"/>
            <w:tcMar>
              <w:top w:w="113" w:type="dxa"/>
              <w:bottom w:w="113" w:type="dxa"/>
            </w:tcMar>
          </w:tcPr>
          <w:p w14:paraId="71CBB63F" w14:textId="77777777" w:rsidR="0061249D" w:rsidRPr="00B16A25" w:rsidRDefault="0061249D" w:rsidP="009B69E6">
            <w:pPr>
              <w:spacing w:after="0" w:line="280" w:lineRule="atLeast"/>
              <w:rPr>
                <w:rFonts w:cstheme="minorHAnsi"/>
                <w:b/>
                <w:bCs/>
                <w:szCs w:val="22"/>
              </w:rPr>
            </w:pPr>
            <w:r w:rsidRPr="00B16A25">
              <w:rPr>
                <w:rFonts w:cstheme="minorHAnsi"/>
                <w:b/>
                <w:bCs/>
                <w:szCs w:val="22"/>
              </w:rPr>
              <w:t>Violence Against Women and Girls</w:t>
            </w:r>
          </w:p>
        </w:tc>
        <w:tc>
          <w:tcPr>
            <w:tcW w:w="3833" w:type="pct"/>
            <w:shd w:val="clear" w:color="auto" w:fill="auto"/>
            <w:tcMar>
              <w:top w:w="113" w:type="dxa"/>
              <w:bottom w:w="113" w:type="dxa"/>
            </w:tcMar>
          </w:tcPr>
          <w:p w14:paraId="2F1B8E45" w14:textId="77777777" w:rsidR="0061249D" w:rsidRPr="00F40125" w:rsidRDefault="0061249D" w:rsidP="009B69E6">
            <w:pPr>
              <w:spacing w:after="0" w:line="280" w:lineRule="atLeast"/>
              <w:rPr>
                <w:rFonts w:cstheme="minorHAnsi"/>
                <w:szCs w:val="22"/>
              </w:rPr>
            </w:pPr>
            <w:r w:rsidRPr="00F40125">
              <w:rPr>
                <w:rFonts w:cstheme="minorHAnsi"/>
                <w:szCs w:val="22"/>
              </w:rPr>
              <w:t>Any act of gender-based violence that results in, or is likely to result in, physical, sexual or psychological harm or suffering to women or girls.</w:t>
            </w:r>
          </w:p>
        </w:tc>
      </w:tr>
      <w:tr w:rsidR="0061249D" w:rsidRPr="00F40125" w14:paraId="25DDEF0E" w14:textId="77777777" w:rsidTr="009B69E6">
        <w:trPr>
          <w:jc w:val="center"/>
        </w:trPr>
        <w:tc>
          <w:tcPr>
            <w:tcW w:w="1167" w:type="pct"/>
            <w:shd w:val="clear" w:color="auto" w:fill="auto"/>
            <w:tcMar>
              <w:top w:w="113" w:type="dxa"/>
              <w:bottom w:w="113" w:type="dxa"/>
            </w:tcMar>
          </w:tcPr>
          <w:p w14:paraId="26B3AC4E" w14:textId="040F725E" w:rsidR="0061249D" w:rsidRPr="00B16A25" w:rsidRDefault="0061249D" w:rsidP="009B69E6">
            <w:pPr>
              <w:spacing w:after="0" w:line="280" w:lineRule="atLeast"/>
              <w:rPr>
                <w:rFonts w:cstheme="minorHAnsi"/>
                <w:b/>
                <w:bCs/>
                <w:szCs w:val="22"/>
              </w:rPr>
            </w:pPr>
            <w:r w:rsidRPr="00B16A25">
              <w:rPr>
                <w:rFonts w:cstheme="minorHAnsi"/>
                <w:b/>
                <w:bCs/>
                <w:szCs w:val="22"/>
              </w:rPr>
              <w:t>Programmatic safeguards</w:t>
            </w:r>
          </w:p>
          <w:p w14:paraId="55E5F324" w14:textId="77777777" w:rsidR="0061249D" w:rsidRPr="00B16A25" w:rsidRDefault="0061249D" w:rsidP="009B69E6">
            <w:pPr>
              <w:spacing w:after="0" w:line="280" w:lineRule="atLeast"/>
              <w:rPr>
                <w:rFonts w:cstheme="minorHAnsi"/>
                <w:b/>
                <w:bCs/>
                <w:szCs w:val="22"/>
              </w:rPr>
            </w:pPr>
          </w:p>
        </w:tc>
        <w:tc>
          <w:tcPr>
            <w:tcW w:w="3833" w:type="pct"/>
            <w:shd w:val="clear" w:color="auto" w:fill="auto"/>
            <w:tcMar>
              <w:top w:w="113" w:type="dxa"/>
              <w:bottom w:w="113" w:type="dxa"/>
            </w:tcMar>
          </w:tcPr>
          <w:p w14:paraId="71AD9EDE" w14:textId="77777777" w:rsidR="0061249D" w:rsidRPr="00F40125" w:rsidRDefault="0061249D" w:rsidP="009B69E6">
            <w:pPr>
              <w:spacing w:after="0" w:line="280" w:lineRule="atLeast"/>
              <w:rPr>
                <w:rFonts w:cstheme="minorHAnsi"/>
                <w:szCs w:val="22"/>
              </w:rPr>
            </w:pPr>
            <w:r w:rsidRPr="00F40125">
              <w:rPr>
                <w:rFonts w:cstheme="minorHAnsi"/>
                <w:szCs w:val="22"/>
              </w:rPr>
              <w:t>Institutional safeguarding: is a process to prevent harm being perpetrated by individuals employed or contracted by an organisation. This can include both protection of beneficiaries and staff (DFID, 2018: 1)</w:t>
            </w:r>
          </w:p>
          <w:p w14:paraId="2CB48EFB" w14:textId="77777777" w:rsidR="0061249D" w:rsidRPr="00F40125" w:rsidRDefault="0061249D" w:rsidP="009B69E6">
            <w:pPr>
              <w:spacing w:after="0" w:line="280" w:lineRule="atLeast"/>
              <w:rPr>
                <w:rFonts w:cstheme="minorHAnsi"/>
                <w:szCs w:val="22"/>
              </w:rPr>
            </w:pPr>
            <w:r w:rsidRPr="00F40125">
              <w:rPr>
                <w:rFonts w:cstheme="minorHAnsi"/>
                <w:szCs w:val="22"/>
              </w:rPr>
              <w:t>Programmatic safeguards is a process aimed at avoiding, minimising and mitigating the environmental and social consequences of development, including protecting the rights of those who are likely to be affected or marginalised by the development process (DFID, 2018: 1).</w:t>
            </w:r>
          </w:p>
        </w:tc>
      </w:tr>
      <w:tr w:rsidR="0061249D" w:rsidRPr="00F40125" w14:paraId="6A64DB9C" w14:textId="77777777" w:rsidTr="009B69E6">
        <w:trPr>
          <w:jc w:val="center"/>
        </w:trPr>
        <w:tc>
          <w:tcPr>
            <w:tcW w:w="1167" w:type="pct"/>
            <w:shd w:val="clear" w:color="auto" w:fill="auto"/>
            <w:tcMar>
              <w:top w:w="113" w:type="dxa"/>
              <w:bottom w:w="113" w:type="dxa"/>
            </w:tcMar>
          </w:tcPr>
          <w:p w14:paraId="4E28A495" w14:textId="77777777" w:rsidR="0061249D" w:rsidRPr="00B16A25" w:rsidRDefault="0061249D" w:rsidP="009B69E6">
            <w:pPr>
              <w:spacing w:after="0" w:line="280" w:lineRule="atLeast"/>
              <w:rPr>
                <w:rFonts w:cstheme="minorHAnsi"/>
                <w:b/>
                <w:bCs/>
                <w:szCs w:val="22"/>
              </w:rPr>
            </w:pPr>
            <w:r w:rsidRPr="00B16A25">
              <w:rPr>
                <w:rFonts w:cstheme="minorHAnsi"/>
                <w:b/>
                <w:bCs/>
                <w:szCs w:val="22"/>
              </w:rPr>
              <w:t>Do No Harm</w:t>
            </w:r>
          </w:p>
        </w:tc>
        <w:tc>
          <w:tcPr>
            <w:tcW w:w="3833" w:type="pct"/>
            <w:shd w:val="clear" w:color="auto" w:fill="auto"/>
            <w:tcMar>
              <w:top w:w="113" w:type="dxa"/>
              <w:bottom w:w="113" w:type="dxa"/>
            </w:tcMar>
          </w:tcPr>
          <w:p w14:paraId="083EC053" w14:textId="60725A69" w:rsidR="0061249D" w:rsidRPr="00F40125" w:rsidRDefault="0061249D" w:rsidP="009B69E6">
            <w:pPr>
              <w:spacing w:after="0" w:line="280" w:lineRule="atLeast"/>
              <w:rPr>
                <w:rFonts w:cstheme="minorHAnsi"/>
                <w:szCs w:val="22"/>
              </w:rPr>
            </w:pPr>
            <w:r w:rsidRPr="00F40125">
              <w:rPr>
                <w:rFonts w:cstheme="minorHAnsi"/>
                <w:szCs w:val="22"/>
              </w:rPr>
              <w:t xml:space="preserve">Avoid exposing people to additional risks through an intervention or process. </w:t>
            </w:r>
            <w:r w:rsidR="00A55397" w:rsidRPr="00A55397">
              <w:rPr>
                <w:rFonts w:cstheme="minorHAnsi"/>
                <w:szCs w:val="22"/>
              </w:rPr>
              <w:t>At a minimum, it means not making beneficiaries worse off. It requires careful design and planning, based on analysis and attention to potential negative unintended consequences.</w:t>
            </w:r>
          </w:p>
        </w:tc>
      </w:tr>
    </w:tbl>
    <w:p w14:paraId="10DCFFDC" w14:textId="77777777" w:rsidR="006E5BF4" w:rsidRPr="006464CC" w:rsidRDefault="006E5BF4">
      <w:pPr>
        <w:rPr>
          <w:rFonts w:cstheme="minorHAnsi"/>
          <w:b/>
          <w:color w:val="ED7D31" w:themeColor="accent2"/>
          <w:szCs w:val="22"/>
        </w:rPr>
      </w:pPr>
    </w:p>
    <w:p w14:paraId="3FD64164" w14:textId="4DDC20A4" w:rsidR="006E5BF4" w:rsidRDefault="006E5BF4">
      <w:pPr>
        <w:rPr>
          <w:b/>
          <w:color w:val="ED7D31" w:themeColor="accent2"/>
        </w:rPr>
      </w:pPr>
      <w:r>
        <w:rPr>
          <w:b/>
          <w:color w:val="ED7D31" w:themeColor="accent2"/>
        </w:rPr>
        <w:br w:type="page"/>
      </w:r>
    </w:p>
    <w:p w14:paraId="6DA4A84B" w14:textId="4231D899" w:rsidR="00DD35DC" w:rsidRPr="00797C62" w:rsidRDefault="0061249D" w:rsidP="0061249D">
      <w:pPr>
        <w:pStyle w:val="Heading1"/>
      </w:pPr>
      <w:bookmarkStart w:id="16" w:name="_Toc49669962"/>
      <w:r>
        <w:lastRenderedPageBreak/>
        <w:t>P</w:t>
      </w:r>
      <w:r w:rsidR="00287C13">
        <w:t>ART</w:t>
      </w:r>
      <w:r w:rsidRPr="00797C62">
        <w:t xml:space="preserve"> 2: </w:t>
      </w:r>
      <w:r>
        <w:t>GESI</w:t>
      </w:r>
      <w:r w:rsidRPr="00797C62">
        <w:t xml:space="preserve"> considerations and social protection response options</w:t>
      </w:r>
      <w:bookmarkEnd w:id="16"/>
      <w:r w:rsidRPr="00797C62">
        <w:t xml:space="preserve"> </w:t>
      </w:r>
    </w:p>
    <w:p w14:paraId="46C5650F" w14:textId="14662ACD" w:rsidR="00B233D2" w:rsidRPr="0061249D" w:rsidRDefault="00E872C5" w:rsidP="0061249D">
      <w:pPr>
        <w:pStyle w:val="Heading2"/>
        <w:rPr>
          <w:rFonts w:ascii="Arial" w:hAnsi="Arial"/>
        </w:rPr>
      </w:pPr>
      <w:bookmarkStart w:id="17" w:name="_Toc49669963"/>
      <w:r w:rsidRPr="00797C62">
        <w:t xml:space="preserve">2.1 </w:t>
      </w:r>
      <w:r w:rsidR="00FC3543" w:rsidRPr="00797C62">
        <w:t xml:space="preserve">Pre-design </w:t>
      </w:r>
      <w:r w:rsidR="000B4CC4" w:rsidRPr="00797C62">
        <w:t xml:space="preserve">and </w:t>
      </w:r>
      <w:r w:rsidR="00FC3543" w:rsidRPr="00797C62">
        <w:t>situation assessment</w:t>
      </w:r>
      <w:bookmarkEnd w:id="17"/>
    </w:p>
    <w:p w14:paraId="1DC2BF0D" w14:textId="40C4D023" w:rsidR="00B233D2" w:rsidRDefault="00B233D2" w:rsidP="00F40125">
      <w:pPr>
        <w:spacing w:after="360"/>
      </w:pPr>
      <w:r w:rsidRPr="00797C62">
        <w:t xml:space="preserve">Men and women face different risks to, and impacts of, COVID-19 due to underlying vulnerabilities, inequalities and discrimination (see Part 1). Crises can exacerbate existing inequalities and discrimination, but they can also open new opportunities for positive change. Before designing any social protection strategy or program, it is critical first to have a solid understanding of the key vulnerabilities – both economic and social – for women </w:t>
      </w:r>
      <w:r w:rsidR="00D952ED">
        <w:t xml:space="preserve">and girls </w:t>
      </w:r>
      <w:r w:rsidRPr="00797C62">
        <w:t xml:space="preserve">due to COVID-19. </w:t>
      </w:r>
    </w:p>
    <w:tbl>
      <w:tblPr>
        <w:tblStyle w:val="TableGrid"/>
        <w:tblW w:w="0" w:type="auto"/>
        <w:tblCellMar>
          <w:top w:w="57" w:type="dxa"/>
          <w:left w:w="113" w:type="dxa"/>
          <w:bottom w:w="57" w:type="dxa"/>
          <w:right w:w="113" w:type="dxa"/>
        </w:tblCellMar>
        <w:tblLook w:val="04A0" w:firstRow="1" w:lastRow="0" w:firstColumn="1" w:lastColumn="0" w:noHBand="0" w:noVBand="1"/>
      </w:tblPr>
      <w:tblGrid>
        <w:gridCol w:w="8642"/>
      </w:tblGrid>
      <w:tr w:rsidR="00F40125" w14:paraId="739D96D0" w14:textId="77777777" w:rsidTr="009B69E6">
        <w:trPr>
          <w:tblHeader/>
        </w:trPr>
        <w:tc>
          <w:tcPr>
            <w:tcW w:w="8642" w:type="dxa"/>
            <w:shd w:val="clear" w:color="auto" w:fill="D9D9D9" w:themeFill="background1" w:themeFillShade="D9"/>
            <w:noWrap/>
            <w:tcMar>
              <w:top w:w="113" w:type="dxa"/>
              <w:bottom w:w="113" w:type="dxa"/>
            </w:tcMar>
          </w:tcPr>
          <w:p w14:paraId="4E8C336C" w14:textId="66406FA7" w:rsidR="00F40125" w:rsidRPr="00F40125" w:rsidRDefault="00F40125" w:rsidP="009B69E6">
            <w:pPr>
              <w:spacing w:after="0"/>
              <w:rPr>
                <w:b/>
                <w:bCs/>
              </w:rPr>
            </w:pPr>
            <w:r w:rsidRPr="00F40125">
              <w:rPr>
                <w:b/>
                <w:bCs/>
              </w:rPr>
              <w:t>Pre-Design and situation assessment—Key considerations</w:t>
            </w:r>
          </w:p>
        </w:tc>
      </w:tr>
      <w:tr w:rsidR="00F40125" w14:paraId="11D6ECF4" w14:textId="77777777" w:rsidTr="009B69E6">
        <w:trPr>
          <w:trHeight w:val="8681"/>
        </w:trPr>
        <w:tc>
          <w:tcPr>
            <w:tcW w:w="8642" w:type="dxa"/>
            <w:noWrap/>
            <w:tcMar>
              <w:top w:w="113" w:type="dxa"/>
              <w:bottom w:w="113" w:type="dxa"/>
            </w:tcMar>
          </w:tcPr>
          <w:p w14:paraId="643D951E" w14:textId="77777777" w:rsidR="00F40125" w:rsidRPr="00797C62" w:rsidRDefault="00F40125" w:rsidP="009B69E6">
            <w:pPr>
              <w:rPr>
                <w:b/>
                <w:szCs w:val="22"/>
              </w:rPr>
            </w:pPr>
            <w:r w:rsidRPr="00797C62">
              <w:rPr>
                <w:b/>
                <w:szCs w:val="22"/>
              </w:rPr>
              <w:t>Gender sensitive and gender transformative</w:t>
            </w:r>
          </w:p>
          <w:p w14:paraId="298E81C2" w14:textId="77777777" w:rsidR="00F40125" w:rsidRPr="00797C62" w:rsidRDefault="00F40125" w:rsidP="00843965">
            <w:pPr>
              <w:pStyle w:val="ListBullet"/>
              <w:rPr>
                <w:b/>
                <w:szCs w:val="22"/>
              </w:rPr>
            </w:pPr>
            <w:r w:rsidRPr="00797C62">
              <w:rPr>
                <w:b/>
                <w:szCs w:val="22"/>
              </w:rPr>
              <w:t xml:space="preserve">Conduct a </w:t>
            </w:r>
            <w:hyperlink r:id="rId38" w:history="1">
              <w:r w:rsidRPr="00797C62">
                <w:rPr>
                  <w:rStyle w:val="Hyperlink"/>
                  <w:b/>
                  <w:color w:val="auto"/>
                  <w:szCs w:val="22"/>
                  <w:u w:val="none"/>
                </w:rPr>
                <w:t>GESI analysis</w:t>
              </w:r>
            </w:hyperlink>
            <w:r w:rsidRPr="006464CC">
              <w:rPr>
                <w:rStyle w:val="Hyperlink"/>
                <w:b/>
                <w:color w:val="auto"/>
                <w:szCs w:val="22"/>
                <w:u w:val="none"/>
              </w:rPr>
              <w:t xml:space="preserve"> </w:t>
            </w:r>
            <w:r w:rsidRPr="00797C62">
              <w:rPr>
                <w:b/>
                <w:szCs w:val="22"/>
              </w:rPr>
              <w:t>to understand</w:t>
            </w:r>
            <w:r>
              <w:rPr>
                <w:b/>
                <w:szCs w:val="22"/>
              </w:rPr>
              <w:t>:</w:t>
            </w:r>
            <w:r w:rsidRPr="00797C62">
              <w:rPr>
                <w:b/>
                <w:szCs w:val="22"/>
              </w:rPr>
              <w:t xml:space="preserve"> </w:t>
            </w:r>
            <w:r w:rsidRPr="006464CC">
              <w:rPr>
                <w:szCs w:val="22"/>
              </w:rPr>
              <w:t>(</w:t>
            </w:r>
            <w:r w:rsidRPr="00797C62">
              <w:rPr>
                <w:bCs/>
                <w:iCs/>
                <w:szCs w:val="22"/>
              </w:rPr>
              <w:t>i)</w:t>
            </w:r>
            <w:r w:rsidRPr="00797C62">
              <w:rPr>
                <w:iCs/>
                <w:szCs w:val="22"/>
              </w:rPr>
              <w:t xml:space="preserve"> the existing patterns of poverty and vulnerability of women and girls across the lifecycle and other intersecting risks (such as disability, ethnicity, location, religion)</w:t>
            </w:r>
            <w:r>
              <w:rPr>
                <w:iCs/>
                <w:szCs w:val="22"/>
              </w:rPr>
              <w:t>; (ii) h</w:t>
            </w:r>
            <w:r w:rsidRPr="00797C62">
              <w:rPr>
                <w:iCs/>
                <w:szCs w:val="22"/>
              </w:rPr>
              <w:t>ow the crisis</w:t>
            </w:r>
            <w:r>
              <w:rPr>
                <w:iCs/>
                <w:szCs w:val="22"/>
              </w:rPr>
              <w:t xml:space="preserve"> is</w:t>
            </w:r>
            <w:r w:rsidRPr="00797C62">
              <w:rPr>
                <w:iCs/>
                <w:szCs w:val="22"/>
              </w:rPr>
              <w:t xml:space="preserve"> further exacerbating, creating and shaping risks and vulnerabilities. </w:t>
            </w:r>
            <w:r>
              <w:rPr>
                <w:iCs/>
                <w:szCs w:val="22"/>
              </w:rPr>
              <w:t>This is v</w:t>
            </w:r>
            <w:r w:rsidRPr="00797C62">
              <w:rPr>
                <w:iCs/>
                <w:szCs w:val="22"/>
              </w:rPr>
              <w:t>ital information for scaling up, targeting and adapting social protection programs.</w:t>
            </w:r>
            <w:r>
              <w:rPr>
                <w:iCs/>
                <w:szCs w:val="22"/>
              </w:rPr>
              <w:t xml:space="preserve"> </w:t>
            </w:r>
          </w:p>
          <w:p w14:paraId="5B14AB7E" w14:textId="2C3F1216" w:rsidR="00F40125" w:rsidRPr="00797C62" w:rsidRDefault="00F40125" w:rsidP="00F40125">
            <w:pPr>
              <w:pStyle w:val="ListBullet"/>
              <w:rPr>
                <w:szCs w:val="22"/>
              </w:rPr>
            </w:pPr>
            <w:r>
              <w:rPr>
                <w:b/>
                <w:szCs w:val="22"/>
              </w:rPr>
              <w:t>Carefully consider how</w:t>
            </w:r>
            <w:r w:rsidRPr="00797C62">
              <w:rPr>
                <w:b/>
                <w:szCs w:val="22"/>
              </w:rPr>
              <w:t xml:space="preserve"> programs can be designed to meet women and girls’ immediate needs</w:t>
            </w:r>
            <w:r>
              <w:rPr>
                <w:b/>
                <w:szCs w:val="22"/>
              </w:rPr>
              <w:t xml:space="preserve"> </w:t>
            </w:r>
            <w:r w:rsidRPr="00797C62">
              <w:rPr>
                <w:szCs w:val="22"/>
              </w:rPr>
              <w:t xml:space="preserve">and </w:t>
            </w:r>
            <w:r w:rsidRPr="00797C62">
              <w:rPr>
                <w:b/>
                <w:bCs/>
                <w:iCs/>
                <w:szCs w:val="22"/>
              </w:rPr>
              <w:t>plan for the long term as to how programs can strategically promote equality and empowerment</w:t>
            </w:r>
            <w:r w:rsidRPr="00797C62">
              <w:rPr>
                <w:szCs w:val="22"/>
              </w:rPr>
              <w:t xml:space="preserve"> to meet transformational objectives</w:t>
            </w:r>
            <w:r>
              <w:rPr>
                <w:szCs w:val="22"/>
              </w:rPr>
              <w:t xml:space="preserve">. </w:t>
            </w:r>
            <w:r w:rsidRPr="00797C62">
              <w:rPr>
                <w:szCs w:val="22"/>
              </w:rPr>
              <w:t xml:space="preserve">Examples of </w:t>
            </w:r>
            <w:r w:rsidRPr="00087294">
              <w:rPr>
                <w:b/>
                <w:szCs w:val="22"/>
              </w:rPr>
              <w:t xml:space="preserve">key areas of analysis are provided in </w:t>
            </w:r>
            <w:r w:rsidRPr="00797C62">
              <w:rPr>
                <w:b/>
                <w:szCs w:val="22"/>
              </w:rPr>
              <w:t>Annex 1</w:t>
            </w:r>
            <w:r w:rsidRPr="00797C62">
              <w:rPr>
                <w:szCs w:val="22"/>
              </w:rPr>
              <w:t>.</w:t>
            </w:r>
            <w:r>
              <w:rPr>
                <w:szCs w:val="22"/>
              </w:rPr>
              <w:t xml:space="preserve"> For example, pre-design and design situation analysis can be used to</w:t>
            </w:r>
            <w:r w:rsidRPr="00E511EA">
              <w:rPr>
                <w:szCs w:val="22"/>
              </w:rPr>
              <w:t xml:space="preserve"> </w:t>
            </w:r>
            <w:r>
              <w:rPr>
                <w:szCs w:val="22"/>
              </w:rPr>
              <w:t xml:space="preserve">identify and understand: the poverty, food and nutrition security needs of the most at risk groups; information on women’s </w:t>
            </w:r>
            <w:r w:rsidRPr="00E511EA">
              <w:rPr>
                <w:szCs w:val="22"/>
              </w:rPr>
              <w:t xml:space="preserve">access to </w:t>
            </w:r>
            <w:r>
              <w:rPr>
                <w:szCs w:val="22"/>
              </w:rPr>
              <w:t>bank accounts/mobile phones, payments systems; labour market opportunities and barriers; how care needs can be met; opportunities to promote more equitable division of labour and caring responsibilities in the household; socio-cultural preferences, women’s voice and agency over income and decision-making; levels of financial literacy; and gender-based violence and community</w:t>
            </w:r>
            <w:r w:rsidR="00A55397">
              <w:rPr>
                <w:szCs w:val="22"/>
              </w:rPr>
              <w:t>/household</w:t>
            </w:r>
            <w:r>
              <w:rPr>
                <w:szCs w:val="22"/>
              </w:rPr>
              <w:t xml:space="preserve"> dynamics; and how cash transfer support may complement other programs</w:t>
            </w:r>
            <w:r w:rsidRPr="00797C62">
              <w:rPr>
                <w:szCs w:val="22"/>
              </w:rPr>
              <w:t>.</w:t>
            </w:r>
            <w:r>
              <w:rPr>
                <w:szCs w:val="22"/>
              </w:rPr>
              <w:t xml:space="preserve"> </w:t>
            </w:r>
          </w:p>
          <w:p w14:paraId="4303ED92" w14:textId="31178B50" w:rsidR="00F40125" w:rsidRPr="00797C62" w:rsidRDefault="00F40125" w:rsidP="00F40125">
            <w:pPr>
              <w:pStyle w:val="ListBullet"/>
              <w:rPr>
                <w:b/>
                <w:szCs w:val="22"/>
              </w:rPr>
            </w:pPr>
            <w:r w:rsidRPr="00797C62">
              <w:rPr>
                <w:b/>
                <w:szCs w:val="22"/>
              </w:rPr>
              <w:t xml:space="preserve">Use existing GESI poverty and vulnerability analyses </w:t>
            </w:r>
            <w:r w:rsidRPr="00797C62">
              <w:rPr>
                <w:bCs/>
                <w:iCs/>
                <w:szCs w:val="22"/>
              </w:rPr>
              <w:t>from other sectors in DFAT, country</w:t>
            </w:r>
            <w:r w:rsidRPr="00797C62">
              <w:rPr>
                <w:szCs w:val="22"/>
              </w:rPr>
              <w:t xml:space="preserve"> GESI analyses such as </w:t>
            </w:r>
            <w:r w:rsidR="00127765">
              <w:rPr>
                <w:szCs w:val="22"/>
              </w:rPr>
              <w:t>Multiple Indicator Cluster Survey (</w:t>
            </w:r>
            <w:hyperlink r:id="rId39" w:history="1">
              <w:r w:rsidRPr="00797C62">
                <w:rPr>
                  <w:rStyle w:val="Hyperlink"/>
                  <w:color w:val="auto"/>
                  <w:szCs w:val="22"/>
                </w:rPr>
                <w:t>MICS</w:t>
              </w:r>
            </w:hyperlink>
            <w:r w:rsidR="00127765">
              <w:rPr>
                <w:rStyle w:val="Hyperlink"/>
                <w:color w:val="auto"/>
                <w:szCs w:val="22"/>
              </w:rPr>
              <w:t>)</w:t>
            </w:r>
            <w:r w:rsidRPr="00797C62">
              <w:rPr>
                <w:szCs w:val="22"/>
              </w:rPr>
              <w:t xml:space="preserve">, or </w:t>
            </w:r>
            <w:r w:rsidR="00127765">
              <w:rPr>
                <w:szCs w:val="22"/>
              </w:rPr>
              <w:t>Demographic Health Surveys (DHS)</w:t>
            </w:r>
            <w:r w:rsidRPr="00797C62">
              <w:rPr>
                <w:szCs w:val="22"/>
              </w:rPr>
              <w:t xml:space="preserve"> or </w:t>
            </w:r>
            <w:r w:rsidR="00127765">
              <w:rPr>
                <w:szCs w:val="22"/>
              </w:rPr>
              <w:t>UN Women Data Hub,</w:t>
            </w:r>
            <w:r w:rsidRPr="00797C62">
              <w:rPr>
                <w:szCs w:val="22"/>
              </w:rPr>
              <w:t xml:space="preserve"> contact local organisations representing marginalised communities</w:t>
            </w:r>
            <w:r w:rsidR="00A55397">
              <w:rPr>
                <w:szCs w:val="22"/>
              </w:rPr>
              <w:t xml:space="preserve"> (for example, women’s organisations)</w:t>
            </w:r>
            <w:r w:rsidRPr="00797C62">
              <w:rPr>
                <w:szCs w:val="22"/>
              </w:rPr>
              <w:t>, and use up-to-date COVID tracking resources to identify immediate impacts and to track changes in the medium-term</w:t>
            </w:r>
            <w:r w:rsidR="00A55397">
              <w:rPr>
                <w:szCs w:val="22"/>
              </w:rPr>
              <w:t>, including monitoring for unintended consequences</w:t>
            </w:r>
            <w:r>
              <w:rPr>
                <w:szCs w:val="22"/>
              </w:rPr>
              <w:t xml:space="preserve">. </w:t>
            </w:r>
          </w:p>
          <w:p w14:paraId="7FAFAEEE" w14:textId="2BD02EC4" w:rsidR="00F40125" w:rsidRPr="00BD7D44" w:rsidRDefault="00F40125" w:rsidP="00BD7D44">
            <w:pPr>
              <w:pStyle w:val="ListBullet"/>
              <w:rPr>
                <w:b/>
                <w:szCs w:val="22"/>
              </w:rPr>
            </w:pPr>
            <w:r w:rsidRPr="00797C62">
              <w:rPr>
                <w:b/>
                <w:szCs w:val="22"/>
              </w:rPr>
              <w:t>Involve beneficiary women in planning and prioritising appropriate responses</w:t>
            </w:r>
            <w:r w:rsidRPr="00797C62">
              <w:rPr>
                <w:szCs w:val="22"/>
              </w:rPr>
              <w:t xml:space="preserve">, including </w:t>
            </w:r>
            <w:r>
              <w:rPr>
                <w:szCs w:val="22"/>
              </w:rPr>
              <w:t xml:space="preserve">advising on the </w:t>
            </w:r>
            <w:r w:rsidRPr="00797C62">
              <w:rPr>
                <w:szCs w:val="22"/>
              </w:rPr>
              <w:t>types of work to be carried out in public works/cash-for-work programs</w:t>
            </w:r>
            <w:r>
              <w:rPr>
                <w:szCs w:val="22"/>
              </w:rPr>
              <w:t xml:space="preserve"> and how barriers to their participation can be addressed.</w:t>
            </w:r>
            <w:r w:rsidRPr="00797C62">
              <w:rPr>
                <w:szCs w:val="22"/>
              </w:rPr>
              <w:t xml:space="preserve"> </w:t>
            </w:r>
          </w:p>
        </w:tc>
      </w:tr>
      <w:tr w:rsidR="00BD7D44" w14:paraId="69F211C6" w14:textId="77777777" w:rsidTr="009B69E6">
        <w:trPr>
          <w:trHeight w:val="659"/>
        </w:trPr>
        <w:tc>
          <w:tcPr>
            <w:tcW w:w="8642" w:type="dxa"/>
            <w:noWrap/>
            <w:tcMar>
              <w:top w:w="113" w:type="dxa"/>
              <w:bottom w:w="113" w:type="dxa"/>
            </w:tcMar>
          </w:tcPr>
          <w:p w14:paraId="6C9ED75D" w14:textId="3836A48C" w:rsidR="00BD7D44" w:rsidRPr="00F40125" w:rsidRDefault="00BD7D44" w:rsidP="009B69E6">
            <w:pPr>
              <w:rPr>
                <w:b/>
                <w:bCs/>
              </w:rPr>
            </w:pPr>
            <w:r w:rsidRPr="00F40125">
              <w:rPr>
                <w:b/>
                <w:bCs/>
              </w:rPr>
              <w:lastRenderedPageBreak/>
              <w:t>Mitigating Violence Against Women and Girls</w:t>
            </w:r>
          </w:p>
          <w:p w14:paraId="24B8F389" w14:textId="77777777" w:rsidR="00BD7D44" w:rsidRPr="00797C62" w:rsidRDefault="00BD7D44" w:rsidP="00BD7D44">
            <w:pPr>
              <w:pStyle w:val="ListBullet"/>
              <w:rPr>
                <w:b/>
              </w:rPr>
            </w:pPr>
            <w:r w:rsidRPr="00797C62">
              <w:rPr>
                <w:b/>
              </w:rPr>
              <w:t xml:space="preserve">Comply with VAWG safeguarding requirements by collecting and analysing data on </w:t>
            </w:r>
            <w:hyperlink r:id="rId40" w:history="1">
              <w:r w:rsidRPr="00797C62">
                <w:rPr>
                  <w:rStyle w:val="Hyperlink"/>
                  <w:b/>
                  <w:color w:val="auto"/>
                  <w:szCs w:val="22"/>
                  <w:u w:val="none"/>
                </w:rPr>
                <w:t>VAWG and protection risks</w:t>
              </w:r>
            </w:hyperlink>
            <w:r w:rsidRPr="00797C62">
              <w:rPr>
                <w:b/>
              </w:rPr>
              <w:t>.</w:t>
            </w:r>
            <w:r w:rsidRPr="00797C62">
              <w:t xml:space="preserve"> Where possible, draw on participatory data and consult with local women’s and disabled people’s civil society organisations to inform social protection responses.</w:t>
            </w:r>
          </w:p>
          <w:p w14:paraId="6663A635" w14:textId="77777777" w:rsidR="00BD7D44" w:rsidRPr="00797C62" w:rsidRDefault="00BD7D44" w:rsidP="00BD7D44">
            <w:pPr>
              <w:pStyle w:val="ListBullet"/>
            </w:pPr>
            <w:r w:rsidRPr="00797C62">
              <w:rPr>
                <w:b/>
                <w:bCs/>
              </w:rPr>
              <w:t>Ensure institutional policies and codes of conduct are in place</w:t>
            </w:r>
            <w:r w:rsidRPr="00797C62">
              <w:t xml:space="preserve"> for all staff.</w:t>
            </w:r>
          </w:p>
          <w:p w14:paraId="2FF1CA7E" w14:textId="17EC3E7C" w:rsidR="00BD7D44" w:rsidRPr="00797C62" w:rsidRDefault="00BD7D44" w:rsidP="00610EDC">
            <w:pPr>
              <w:pStyle w:val="ListBullet"/>
              <w:rPr>
                <w:b/>
                <w:szCs w:val="22"/>
              </w:rPr>
            </w:pPr>
            <w:r w:rsidRPr="00797C62">
              <w:rPr>
                <w:rFonts w:eastAsiaTheme="minorHAnsi"/>
                <w:b/>
                <w:lang w:val="en-US"/>
              </w:rPr>
              <w:t>Develop a safety or safeguarding strategy</w:t>
            </w:r>
            <w:r w:rsidRPr="00797C62">
              <w:rPr>
                <w:rFonts w:eastAsiaTheme="minorHAnsi"/>
                <w:lang w:val="en-US"/>
              </w:rPr>
              <w:t>, establishing clear protocols for the protection of women and children, and for referrals to appropriate service providers.</w:t>
            </w:r>
          </w:p>
        </w:tc>
      </w:tr>
    </w:tbl>
    <w:p w14:paraId="452AF646" w14:textId="77777777" w:rsidR="00230E89" w:rsidRPr="00797C62" w:rsidRDefault="00230E89" w:rsidP="00F40125">
      <w:pPr>
        <w:pStyle w:val="Heading2"/>
      </w:pPr>
      <w:bookmarkStart w:id="18" w:name="_Toc49669964"/>
      <w:r w:rsidRPr="00797C62">
        <w:t xml:space="preserve">2.2 </w:t>
      </w:r>
      <w:r w:rsidR="00212888" w:rsidRPr="00797C62">
        <w:t>Program</w:t>
      </w:r>
      <w:r w:rsidRPr="00797C62">
        <w:t xml:space="preserve"> design</w:t>
      </w:r>
      <w:bookmarkEnd w:id="18"/>
      <w:r w:rsidRPr="00797C62">
        <w:t xml:space="preserve"> </w:t>
      </w:r>
    </w:p>
    <w:p w14:paraId="1C36BFC3" w14:textId="30CF66F5" w:rsidR="00756C13" w:rsidRDefault="007503DB" w:rsidP="00D648E1">
      <w:pPr>
        <w:spacing w:after="360"/>
        <w:rPr>
          <w:color w:val="000000" w:themeColor="text1"/>
          <w:szCs w:val="22"/>
        </w:rPr>
      </w:pPr>
      <w:r w:rsidRPr="00797C62">
        <w:rPr>
          <w:color w:val="000000" w:themeColor="text1"/>
          <w:szCs w:val="22"/>
        </w:rPr>
        <w:t>Marginalised and vulnerable w</w:t>
      </w:r>
      <w:r w:rsidR="00713AE8" w:rsidRPr="00797C62">
        <w:rPr>
          <w:color w:val="000000" w:themeColor="text1"/>
          <w:szCs w:val="22"/>
        </w:rPr>
        <w:t xml:space="preserve">omen and girls </w:t>
      </w:r>
      <w:r w:rsidRPr="00797C62">
        <w:rPr>
          <w:color w:val="000000" w:themeColor="text1"/>
          <w:szCs w:val="22"/>
        </w:rPr>
        <w:t>are likely to be severely</w:t>
      </w:r>
      <w:r w:rsidR="00713AE8" w:rsidRPr="00797C62">
        <w:rPr>
          <w:color w:val="000000" w:themeColor="text1"/>
          <w:szCs w:val="22"/>
        </w:rPr>
        <w:t xml:space="preserve"> impacted by COVID</w:t>
      </w:r>
      <w:r w:rsidR="001A72C6" w:rsidRPr="00797C62">
        <w:rPr>
          <w:color w:val="000000" w:themeColor="text1"/>
          <w:szCs w:val="22"/>
        </w:rPr>
        <w:t>-19</w:t>
      </w:r>
      <w:r w:rsidR="00CF2A59" w:rsidRPr="00797C62">
        <w:rPr>
          <w:color w:val="000000" w:themeColor="text1"/>
          <w:szCs w:val="22"/>
        </w:rPr>
        <w:t xml:space="preserve"> and may not be covered </w:t>
      </w:r>
      <w:r w:rsidR="000112FA" w:rsidRPr="00797C62">
        <w:rPr>
          <w:color w:val="000000" w:themeColor="text1"/>
          <w:szCs w:val="22"/>
        </w:rPr>
        <w:t xml:space="preserve">by pre-existing </w:t>
      </w:r>
      <w:r w:rsidR="00CF2A59" w:rsidRPr="00797C62">
        <w:rPr>
          <w:color w:val="000000" w:themeColor="text1"/>
          <w:szCs w:val="22"/>
        </w:rPr>
        <w:t>social protection schemes.</w:t>
      </w:r>
      <w:r w:rsidR="003C35CA" w:rsidRPr="00797C62">
        <w:rPr>
          <w:color w:val="000000" w:themeColor="text1"/>
          <w:szCs w:val="22"/>
        </w:rPr>
        <w:t xml:space="preserve"> Globally, governments have created new programs to reach groups that </w:t>
      </w:r>
      <w:r w:rsidR="009E663D" w:rsidRPr="00797C62">
        <w:rPr>
          <w:color w:val="000000" w:themeColor="text1"/>
          <w:szCs w:val="22"/>
        </w:rPr>
        <w:t>might otherwise have missed out, expanded coverage of existing programs so that they reach more people, increased benefit sizes (‘top-ups’</w:t>
      </w:r>
      <w:r w:rsidR="000112FA" w:rsidRPr="00797C62">
        <w:rPr>
          <w:color w:val="000000" w:themeColor="text1"/>
          <w:szCs w:val="22"/>
        </w:rPr>
        <w:t>)</w:t>
      </w:r>
      <w:r w:rsidR="009E663D" w:rsidRPr="00797C62">
        <w:rPr>
          <w:color w:val="000000" w:themeColor="text1"/>
          <w:szCs w:val="22"/>
        </w:rPr>
        <w:t xml:space="preserve"> for existing recipients, and adapted targeting and administrative criteria. </w:t>
      </w:r>
    </w:p>
    <w:tbl>
      <w:tblPr>
        <w:tblStyle w:val="TableGrid"/>
        <w:tblW w:w="9209" w:type="dxa"/>
        <w:tblLayout w:type="fixed"/>
        <w:tblCellMar>
          <w:top w:w="57" w:type="dxa"/>
          <w:left w:w="113" w:type="dxa"/>
          <w:bottom w:w="57" w:type="dxa"/>
          <w:right w:w="113" w:type="dxa"/>
        </w:tblCellMar>
        <w:tblLook w:val="04A0" w:firstRow="1" w:lastRow="0" w:firstColumn="1" w:lastColumn="0" w:noHBand="0" w:noVBand="1"/>
      </w:tblPr>
      <w:tblGrid>
        <w:gridCol w:w="9209"/>
      </w:tblGrid>
      <w:tr w:rsidR="006236C4" w:rsidRPr="00F40125" w14:paraId="0B8ED3D5" w14:textId="77777777" w:rsidTr="009B69E6">
        <w:trPr>
          <w:tblHeader/>
        </w:trPr>
        <w:tc>
          <w:tcPr>
            <w:tcW w:w="9209" w:type="dxa"/>
            <w:shd w:val="clear" w:color="auto" w:fill="D9D9D9" w:themeFill="background1" w:themeFillShade="D9"/>
            <w:tcMar>
              <w:top w:w="113" w:type="dxa"/>
              <w:bottom w:w="113" w:type="dxa"/>
            </w:tcMar>
          </w:tcPr>
          <w:p w14:paraId="5EA8C4B2" w14:textId="7956F6AB" w:rsidR="006236C4" w:rsidRPr="00F40125" w:rsidRDefault="006236C4" w:rsidP="009B69E6">
            <w:pPr>
              <w:spacing w:after="0"/>
              <w:rPr>
                <w:b/>
                <w:bCs/>
              </w:rPr>
            </w:pPr>
            <w:r>
              <w:rPr>
                <w:b/>
                <w:bCs/>
              </w:rPr>
              <w:t>Program Design—Key considerations</w:t>
            </w:r>
          </w:p>
        </w:tc>
      </w:tr>
      <w:tr w:rsidR="00B16A25" w:rsidRPr="00F40125" w14:paraId="0422AAE9" w14:textId="77777777" w:rsidTr="009B69E6">
        <w:tc>
          <w:tcPr>
            <w:tcW w:w="9209" w:type="dxa"/>
            <w:tcMar>
              <w:top w:w="113" w:type="dxa"/>
              <w:bottom w:w="113" w:type="dxa"/>
            </w:tcMar>
          </w:tcPr>
          <w:p w14:paraId="10B829A7" w14:textId="4529E704" w:rsidR="00B16A25" w:rsidRPr="00B16A25" w:rsidRDefault="00B16A25" w:rsidP="009B69E6">
            <w:pPr>
              <w:spacing w:after="0"/>
              <w:rPr>
                <w:b/>
                <w:szCs w:val="22"/>
              </w:rPr>
            </w:pPr>
            <w:r>
              <w:rPr>
                <w:b/>
                <w:szCs w:val="22"/>
              </w:rPr>
              <w:t>Targeting</w:t>
            </w:r>
            <w:r>
              <w:rPr>
                <w:szCs w:val="22"/>
              </w:rPr>
              <w:tab/>
            </w:r>
          </w:p>
        </w:tc>
      </w:tr>
      <w:tr w:rsidR="006236C4" w:rsidRPr="00F40125" w14:paraId="143A8CDA" w14:textId="77777777" w:rsidTr="009B69E6">
        <w:trPr>
          <w:trHeight w:val="2693"/>
        </w:trPr>
        <w:tc>
          <w:tcPr>
            <w:tcW w:w="9209" w:type="dxa"/>
            <w:tcMar>
              <w:top w:w="113" w:type="dxa"/>
              <w:bottom w:w="113" w:type="dxa"/>
            </w:tcMar>
          </w:tcPr>
          <w:p w14:paraId="01614CD4" w14:textId="022B70C4" w:rsidR="006236C4" w:rsidRPr="00797C62" w:rsidRDefault="00B16A25" w:rsidP="009B69E6">
            <w:pPr>
              <w:rPr>
                <w:b/>
                <w:szCs w:val="22"/>
              </w:rPr>
            </w:pPr>
            <w:r>
              <w:rPr>
                <w:b/>
                <w:szCs w:val="22"/>
              </w:rPr>
              <w:t>Gender sensitive and gender transformative</w:t>
            </w:r>
          </w:p>
          <w:p w14:paraId="2BDDC272" w14:textId="77777777" w:rsidR="006236C4" w:rsidRPr="00797C62" w:rsidRDefault="006236C4" w:rsidP="006236C4">
            <w:pPr>
              <w:pStyle w:val="ListBullet"/>
            </w:pPr>
            <w:r w:rsidRPr="00797C62">
              <w:t xml:space="preserve">Existing social protection programs may use complex targeting criteria to determine eligibility. </w:t>
            </w:r>
            <w:r>
              <w:rPr>
                <w:b/>
              </w:rPr>
              <w:t>Look for opportunities to s</w:t>
            </w:r>
            <w:r w:rsidRPr="00797C62">
              <w:rPr>
                <w:b/>
              </w:rPr>
              <w:t>implify targeting criteria and use more universal approaches to reduce exclusion</w:t>
            </w:r>
            <w:r w:rsidRPr="00797C62">
              <w:t>.</w:t>
            </w:r>
            <w:r>
              <w:t xml:space="preserve">  Use existing data beyond the social protection sector, such as other government databases.</w:t>
            </w:r>
          </w:p>
          <w:p w14:paraId="75796B20" w14:textId="77777777" w:rsidR="006236C4" w:rsidRDefault="006236C4" w:rsidP="006236C4">
            <w:pPr>
              <w:pStyle w:val="ListBullet"/>
            </w:pPr>
            <w:r w:rsidRPr="00797C62">
              <w:rPr>
                <w:b/>
              </w:rPr>
              <w:t>Assess the appropriateness of naming women as recipients of social protection programs.</w:t>
            </w:r>
            <w:r w:rsidRPr="00797C62">
              <w:t xml:space="preserve"> Many social protection programs name women as recipients of benefits for families and households. </w:t>
            </w:r>
            <w:r w:rsidRPr="00797C62">
              <w:rPr>
                <w:iCs/>
              </w:rPr>
              <w:t>Targeting women with resources in this way can support equality and empowerment objectives</w:t>
            </w:r>
            <w:r w:rsidRPr="00797C62">
              <w:rPr>
                <w:b/>
              </w:rPr>
              <w:t>.</w:t>
            </w:r>
            <w:r w:rsidRPr="00797C62">
              <w:t xml:space="preserve"> However, in some contexts, where men have more control over household income for example, there are risks of exacerbating household violence and tensions that need to be considered. </w:t>
            </w:r>
          </w:p>
          <w:p w14:paraId="4E0F910D" w14:textId="064D6BEF" w:rsidR="006236C4" w:rsidRPr="00BA731F" w:rsidRDefault="006236C4" w:rsidP="00663572">
            <w:pPr>
              <w:pStyle w:val="ListBullet"/>
              <w:spacing w:line="280" w:lineRule="atLeast"/>
            </w:pPr>
            <w:r w:rsidRPr="00BA731F">
              <w:t xml:space="preserve">Where possible </w:t>
            </w:r>
            <w:r w:rsidRPr="00BA731F">
              <w:rPr>
                <w:b/>
              </w:rPr>
              <w:t>reduce the need for in person gatherings</w:t>
            </w:r>
            <w:r w:rsidRPr="00BA731F">
              <w:t xml:space="preserve"> – establish and staff additional registration offices that are safe and accessible, consider doorstep services or local </w:t>
            </w:r>
            <w:r w:rsidR="00663572">
              <w:br/>
            </w:r>
            <w:r w:rsidRPr="00BA731F">
              <w:t>community-based registration options, ensure social distancing and hygiene stations are in place.</w:t>
            </w:r>
          </w:p>
          <w:p w14:paraId="2090E1B4" w14:textId="715B8C4D" w:rsidR="00663572" w:rsidRPr="00663572" w:rsidRDefault="006236C4" w:rsidP="00663572">
            <w:pPr>
              <w:pStyle w:val="ListBullet"/>
              <w:spacing w:line="280" w:lineRule="atLeast"/>
              <w:rPr>
                <w:b/>
              </w:rPr>
            </w:pPr>
            <w:r w:rsidRPr="00797C62">
              <w:rPr>
                <w:rFonts w:eastAsiaTheme="minorHAnsi"/>
                <w:b/>
                <w:lang w:val="en-US"/>
              </w:rPr>
              <w:t xml:space="preserve">Ensure accessible grievance and redress processes </w:t>
            </w:r>
            <w:r w:rsidRPr="00797C62">
              <w:rPr>
                <w:rFonts w:eastAsiaTheme="minorHAnsi"/>
                <w:lang w:val="en-US"/>
              </w:rPr>
              <w:t>to ensure complaints are heard and will be actioned.</w:t>
            </w:r>
            <w:r w:rsidRPr="00797C62">
              <w:t xml:space="preserve"> </w:t>
            </w:r>
          </w:p>
          <w:p w14:paraId="778ADFD7" w14:textId="77777777" w:rsidR="00663572" w:rsidRDefault="00663572" w:rsidP="00663572">
            <w:pPr>
              <w:pageBreakBefore/>
              <w:spacing w:before="240" w:line="280" w:lineRule="atLeast"/>
              <w:rPr>
                <w:b/>
                <w:szCs w:val="22"/>
              </w:rPr>
            </w:pPr>
          </w:p>
          <w:p w14:paraId="27B126BA" w14:textId="51CE6F26" w:rsidR="006236C4" w:rsidRPr="00797C62" w:rsidRDefault="006236C4" w:rsidP="00663572">
            <w:pPr>
              <w:pageBreakBefore/>
              <w:spacing w:before="240" w:line="280" w:lineRule="atLeast"/>
              <w:rPr>
                <w:b/>
                <w:szCs w:val="22"/>
              </w:rPr>
            </w:pPr>
            <w:r w:rsidRPr="00797C62">
              <w:rPr>
                <w:b/>
                <w:szCs w:val="22"/>
              </w:rPr>
              <w:lastRenderedPageBreak/>
              <w:t>Mitigating Violence Against Women and Girls</w:t>
            </w:r>
          </w:p>
          <w:p w14:paraId="3657E32F" w14:textId="77777777" w:rsidR="006236C4" w:rsidRPr="00797C62" w:rsidRDefault="006236C4" w:rsidP="00663572">
            <w:pPr>
              <w:pStyle w:val="ListBullet"/>
              <w:spacing w:line="280" w:lineRule="atLeast"/>
            </w:pPr>
            <w:r w:rsidRPr="00797C62">
              <w:t>Risk mitigation strategies when</w:t>
            </w:r>
            <w:r w:rsidRPr="00797C62">
              <w:rPr>
                <w:b/>
              </w:rPr>
              <w:t xml:space="preserve"> </w:t>
            </w:r>
            <w:r w:rsidRPr="00797C62">
              <w:t xml:space="preserve">targeting women or naming women as recipients include: </w:t>
            </w:r>
          </w:p>
          <w:p w14:paraId="64B34DFA" w14:textId="77777777" w:rsidR="006236C4" w:rsidRPr="00797C62" w:rsidRDefault="006236C4" w:rsidP="00663572">
            <w:pPr>
              <w:pStyle w:val="ListBullet2"/>
              <w:spacing w:line="280" w:lineRule="atLeast"/>
            </w:pPr>
            <w:r w:rsidRPr="00797C62">
              <w:rPr>
                <w:b/>
              </w:rPr>
              <w:t>Assess existing prevalence data on GBV</w:t>
            </w:r>
            <w:r w:rsidRPr="00797C62">
              <w:t xml:space="preserve"> and previous effectiveness of targeting/naming women as recipients;</w:t>
            </w:r>
          </w:p>
          <w:p w14:paraId="4DC349BC" w14:textId="77777777" w:rsidR="006236C4" w:rsidRPr="00797C62" w:rsidRDefault="006236C4" w:rsidP="00993C4A">
            <w:pPr>
              <w:pStyle w:val="ListBullet2"/>
              <w:spacing w:line="280" w:lineRule="atLeast"/>
            </w:pPr>
            <w:r w:rsidRPr="00797C62">
              <w:rPr>
                <w:rStyle w:val="normaltextrun"/>
              </w:rPr>
              <w:t xml:space="preserve">Authorise multiple people in </w:t>
            </w:r>
            <w:r w:rsidRPr="00854009">
              <w:t>a household to receive transfers or ask households to nominate the named recipient;</w:t>
            </w:r>
          </w:p>
          <w:p w14:paraId="57F089F0" w14:textId="77777777" w:rsidR="006236C4" w:rsidRPr="00797C62" w:rsidRDefault="006236C4" w:rsidP="00854009">
            <w:pPr>
              <w:pStyle w:val="ListBullet2"/>
            </w:pPr>
            <w:r w:rsidRPr="00797C62">
              <w:rPr>
                <w:rStyle w:val="normaltextrun"/>
              </w:rPr>
              <w:t>Target multiple beneficiaries (e.g. co-wives) in contexts of diversity;</w:t>
            </w:r>
          </w:p>
          <w:p w14:paraId="41E89175" w14:textId="77777777" w:rsidR="006236C4" w:rsidRPr="00797C62" w:rsidRDefault="006236C4" w:rsidP="00854009">
            <w:pPr>
              <w:pStyle w:val="ListBullet2"/>
              <w:rPr>
                <w:rStyle w:val="eop"/>
              </w:rPr>
            </w:pPr>
            <w:r w:rsidRPr="00797C62">
              <w:t xml:space="preserve">Clearly communicate targeting rationale and criteria; and </w:t>
            </w:r>
          </w:p>
          <w:p w14:paraId="2EB5EC64" w14:textId="482A4B30" w:rsidR="006236C4" w:rsidRPr="006236C4" w:rsidRDefault="006236C4" w:rsidP="009906F8">
            <w:pPr>
              <w:pStyle w:val="ListBullet2"/>
            </w:pPr>
            <w:r w:rsidRPr="00797C62">
              <w:rPr>
                <w:rStyle w:val="normaltextrun"/>
                <w:b/>
              </w:rPr>
              <w:t>Work with women’s rights organisations and service providers to provide messaging on equitable gender relations and family well-being</w:t>
            </w:r>
            <w:r w:rsidRPr="00797C62">
              <w:rPr>
                <w:rStyle w:val="normaltextrun"/>
              </w:rPr>
              <w:t>.</w:t>
            </w:r>
          </w:p>
        </w:tc>
      </w:tr>
      <w:tr w:rsidR="006236C4" w:rsidRPr="00F40125" w14:paraId="15619A70" w14:textId="77777777" w:rsidTr="009B69E6">
        <w:tc>
          <w:tcPr>
            <w:tcW w:w="9209" w:type="dxa"/>
            <w:shd w:val="clear" w:color="auto" w:fill="auto"/>
            <w:tcMar>
              <w:top w:w="113" w:type="dxa"/>
              <w:bottom w:w="113" w:type="dxa"/>
            </w:tcMar>
          </w:tcPr>
          <w:p w14:paraId="0006867A" w14:textId="29934ED8" w:rsidR="006236C4" w:rsidRPr="006236C4" w:rsidRDefault="006236C4" w:rsidP="00993C4A">
            <w:pPr>
              <w:spacing w:after="0"/>
              <w:rPr>
                <w:b/>
                <w:bCs/>
              </w:rPr>
            </w:pPr>
            <w:r w:rsidRPr="006236C4">
              <w:rPr>
                <w:b/>
                <w:bCs/>
                <w:szCs w:val="22"/>
              </w:rPr>
              <w:lastRenderedPageBreak/>
              <w:t>T</w:t>
            </w:r>
            <w:r w:rsidRPr="006236C4">
              <w:rPr>
                <w:b/>
                <w:bCs/>
              </w:rPr>
              <w:t>ype , adequacy and duration</w:t>
            </w:r>
          </w:p>
        </w:tc>
      </w:tr>
      <w:tr w:rsidR="006236C4" w:rsidRPr="00F40125" w14:paraId="6ED0936D" w14:textId="77777777" w:rsidTr="009B69E6">
        <w:tc>
          <w:tcPr>
            <w:tcW w:w="9209" w:type="dxa"/>
            <w:tcMar>
              <w:top w:w="113" w:type="dxa"/>
              <w:bottom w:w="113" w:type="dxa"/>
            </w:tcMar>
          </w:tcPr>
          <w:p w14:paraId="79BEE199" w14:textId="77777777" w:rsidR="006236C4" w:rsidRPr="006236C4" w:rsidRDefault="006236C4" w:rsidP="00842517">
            <w:pPr>
              <w:spacing w:before="120"/>
              <w:rPr>
                <w:b/>
                <w:bCs/>
              </w:rPr>
            </w:pPr>
            <w:r w:rsidRPr="00797C62">
              <w:rPr>
                <w:b/>
                <w:szCs w:val="22"/>
              </w:rPr>
              <w:t xml:space="preserve">Gender </w:t>
            </w:r>
            <w:r w:rsidRPr="00BA731F">
              <w:rPr>
                <w:b/>
                <w:szCs w:val="22"/>
              </w:rPr>
              <w:t>sensitive and gender transformative</w:t>
            </w:r>
          </w:p>
          <w:p w14:paraId="2AE19C53" w14:textId="77777777" w:rsidR="006236C4" w:rsidRPr="00BA731F" w:rsidRDefault="006236C4" w:rsidP="00854009">
            <w:pPr>
              <w:pStyle w:val="ListBullet"/>
            </w:pPr>
            <w:r w:rsidRPr="00BA731F">
              <w:t xml:space="preserve">Existing social protection programs may require beneficiaries to meet conditions in order to continue to receive payments (for example, attendance at health clinics or school). Women/mothers typically bear the burden of meeting these conditions. </w:t>
            </w:r>
            <w:r w:rsidRPr="00BA731F">
              <w:rPr>
                <w:b/>
              </w:rPr>
              <w:t xml:space="preserve">Where possible remove or relax conditionalities from cash transfers or the work requirement from public works programs </w:t>
            </w:r>
            <w:r w:rsidRPr="00BA731F">
              <w:t>to reduce social contact, alleviate time pressures on women and reduce demands on staff to monitor compliance.</w:t>
            </w:r>
          </w:p>
          <w:p w14:paraId="2C36EBCD" w14:textId="77777777" w:rsidR="006236C4" w:rsidRPr="00BA731F" w:rsidRDefault="006236C4" w:rsidP="00854009">
            <w:pPr>
              <w:pStyle w:val="ListBullet"/>
            </w:pPr>
            <w:r w:rsidRPr="00BA731F">
              <w:rPr>
                <w:b/>
                <w:bCs/>
                <w:iCs/>
              </w:rPr>
              <w:t>Increased size and duration of benefits</w:t>
            </w:r>
            <w:r w:rsidRPr="00BA731F">
              <w:rPr>
                <w:bCs/>
                <w:iCs/>
              </w:rPr>
              <w:t xml:space="preserve"> during the COVID-19 period</w:t>
            </w:r>
            <w:r w:rsidRPr="00BA731F">
              <w:t xml:space="preserve"> may have important benefits for households, and for women’s empowerment.</w:t>
            </w:r>
          </w:p>
          <w:p w14:paraId="5200F488" w14:textId="77777777" w:rsidR="006236C4" w:rsidRPr="00854009" w:rsidRDefault="006236C4" w:rsidP="00854009">
            <w:pPr>
              <w:pStyle w:val="ListBullet"/>
              <w:rPr>
                <w:b/>
                <w:bCs/>
              </w:rPr>
            </w:pPr>
            <w:r w:rsidRPr="00854009">
              <w:rPr>
                <w:b/>
                <w:bCs/>
              </w:rPr>
              <w:t xml:space="preserve">Additional gender and diversity considerations in the calculation of transfers could include: </w:t>
            </w:r>
          </w:p>
          <w:p w14:paraId="09B1F62D" w14:textId="77777777" w:rsidR="006236C4" w:rsidRPr="00797C62" w:rsidRDefault="006236C4" w:rsidP="00854009">
            <w:pPr>
              <w:pStyle w:val="ListBullet2"/>
            </w:pPr>
            <w:r w:rsidRPr="00797C62">
              <w:t>Top-ups to support care work carried out by women (e.g. caring for sick members, people with disability, children). Consider labelling these transfers to ensure care work is visible and valued;</w:t>
            </w:r>
          </w:p>
          <w:p w14:paraId="0B3DDDFD" w14:textId="77777777" w:rsidR="006236C4" w:rsidRPr="00797C62" w:rsidRDefault="006236C4" w:rsidP="00854009">
            <w:pPr>
              <w:pStyle w:val="ListBullet2"/>
            </w:pPr>
            <w:r w:rsidRPr="00797C62">
              <w:t>Support for additional costs due to disability or underlying health issues (such as HIV/AIDS and the cost of assistive devices – such as reading glasses or mobility devices for example); and</w:t>
            </w:r>
            <w:r>
              <w:t xml:space="preserve"> </w:t>
            </w:r>
          </w:p>
          <w:p w14:paraId="5F79EAE1" w14:textId="77777777" w:rsidR="006236C4" w:rsidRPr="00797C62" w:rsidRDefault="006236C4" w:rsidP="00854009">
            <w:pPr>
              <w:pStyle w:val="ListBullet2"/>
            </w:pPr>
            <w:r w:rsidRPr="00797C62">
              <w:t>Household headship, size and composition (e.g. the needs of larger households, households with children, female-headed households who are likely to face additional disadvantages).</w:t>
            </w:r>
          </w:p>
          <w:p w14:paraId="6334ADE0" w14:textId="77777777" w:rsidR="006236C4" w:rsidRPr="00BA731F" w:rsidRDefault="006236C4" w:rsidP="00854009">
            <w:pPr>
              <w:pStyle w:val="ListBullet"/>
              <w:rPr>
                <w:b/>
              </w:rPr>
            </w:pPr>
            <w:r w:rsidRPr="00BA731F">
              <w:rPr>
                <w:b/>
              </w:rPr>
              <w:t xml:space="preserve">Consider the feasibility of electronic and manual cash and/or voucher options. </w:t>
            </w:r>
            <w:r w:rsidRPr="00BA731F">
              <w:t>Take into consideration the characteristics of the community and population; ensure solutions are appropriate for beneficiaries, take into account COVID-19 risks and the local market context. Manual payments may still be appropriate for example in some contexts. Vouchers may be preferred but can also restrict beneficiary spending choices. Consider risks associated with the collection of cash or vouchers, such as women’s time burden, health and security risks.</w:t>
            </w:r>
          </w:p>
          <w:p w14:paraId="76FF590B" w14:textId="77777777" w:rsidR="006236C4" w:rsidRPr="00BA731F" w:rsidRDefault="006236C4" w:rsidP="00854009">
            <w:pPr>
              <w:pStyle w:val="ListBullet"/>
            </w:pPr>
            <w:r w:rsidRPr="00BA731F">
              <w:t xml:space="preserve">With the increasing use of electronic payments and mobile money, </w:t>
            </w:r>
            <w:r w:rsidRPr="00BA731F">
              <w:rPr>
                <w:b/>
              </w:rPr>
              <w:t xml:space="preserve">consider complementary financial skills training and support </w:t>
            </w:r>
            <w:r w:rsidRPr="00BA731F">
              <w:t xml:space="preserve">(including remote financial training/support options). </w:t>
            </w:r>
          </w:p>
          <w:p w14:paraId="3D07DFB3" w14:textId="77777777" w:rsidR="006236C4" w:rsidRPr="00797C62" w:rsidRDefault="006236C4" w:rsidP="00854009">
            <w:pPr>
              <w:pStyle w:val="ListBullet"/>
            </w:pPr>
            <w:r w:rsidRPr="00797C62">
              <w:lastRenderedPageBreak/>
              <w:t xml:space="preserve">Public works programs are likely to be adapted in the short-term and in recovery stages to provide guaranteed work, wages and stimulate local economies. Key gender considerations include: </w:t>
            </w:r>
          </w:p>
          <w:p w14:paraId="721DB4A9" w14:textId="77777777" w:rsidR="006236C4" w:rsidRDefault="006236C4" w:rsidP="00854009">
            <w:pPr>
              <w:pStyle w:val="ListBullet2"/>
            </w:pPr>
            <w:r w:rsidRPr="00854009">
              <w:rPr>
                <w:b/>
                <w:bCs/>
              </w:rPr>
              <w:t>Ensure all work activities can pivot to support COVID-19 social distancing requirements</w:t>
            </w:r>
            <w:r>
              <w:t xml:space="preserve"> and that masks and PPE are available if required.</w:t>
            </w:r>
          </w:p>
          <w:p w14:paraId="78A8A10A" w14:textId="77777777" w:rsidR="006236C4" w:rsidRPr="006565F3" w:rsidRDefault="006236C4" w:rsidP="00854009">
            <w:pPr>
              <w:pStyle w:val="ListBullet2"/>
            </w:pPr>
            <w:r>
              <w:t>Establish sanitation stations and consider work options to support the health response – such as setting up and staffing COVID testing stations etc.</w:t>
            </w:r>
          </w:p>
          <w:p w14:paraId="78370154" w14:textId="77777777" w:rsidR="006236C4" w:rsidRPr="00797C62" w:rsidRDefault="006236C4" w:rsidP="00854009">
            <w:pPr>
              <w:pStyle w:val="ListBullet2"/>
            </w:pPr>
            <w:r w:rsidRPr="00854009">
              <w:rPr>
                <w:b/>
                <w:bCs/>
              </w:rPr>
              <w:t>Allow for increased flexibility in work hours for women with increased care responsibilities and consider childcare arrangements</w:t>
            </w:r>
            <w:r w:rsidRPr="00797C62">
              <w:t xml:space="preserve">; offer differentiated tasks; remove work requirements but continue payments for those with greater health risks (e.g. elderly, pregnant women, people with disability or underlying health conditions); </w:t>
            </w:r>
            <w:r>
              <w:t>consider</w:t>
            </w:r>
            <w:r w:rsidRPr="00797C62">
              <w:t xml:space="preserve"> death in service payment</w:t>
            </w:r>
            <w:r>
              <w:t>s</w:t>
            </w:r>
            <w:r w:rsidRPr="00797C62">
              <w:t xml:space="preserve"> to support bereaved worker’s families; provide equal wages;</w:t>
            </w:r>
          </w:p>
          <w:p w14:paraId="713AE7BA" w14:textId="5FFFC605" w:rsidR="006236C4" w:rsidRDefault="006236C4" w:rsidP="00854009">
            <w:pPr>
              <w:pStyle w:val="ListBullet2"/>
            </w:pPr>
            <w:r w:rsidRPr="00797C62">
              <w:rPr>
                <w:b/>
                <w:bCs/>
                <w:iCs/>
              </w:rPr>
              <w:t xml:space="preserve">Consider the types of public works activities which address women’s immediate and longer-term needs </w:t>
            </w:r>
            <w:r w:rsidRPr="00797C62">
              <w:t>for response and recovery, such as work which improves primary healthcare, access to WASH, reduces women’s time doing household chores, and supports women’s and girls’ economic recovery and resilience through income generation, skills development and climate-smart activities.</w:t>
            </w:r>
          </w:p>
          <w:p w14:paraId="202CE735" w14:textId="77777777" w:rsidR="006236C4" w:rsidRDefault="00854009" w:rsidP="006236C4">
            <w:pPr>
              <w:pStyle w:val="ListBullet2"/>
            </w:pPr>
            <w:r>
              <w:t>Consider the provision of childcare services.</w:t>
            </w:r>
          </w:p>
          <w:p w14:paraId="75AEA5AE" w14:textId="77777777" w:rsidR="009906F8" w:rsidRPr="006464CC" w:rsidRDefault="009906F8" w:rsidP="009906F8">
            <w:pPr>
              <w:pStyle w:val="ListBullet"/>
            </w:pPr>
            <w:r w:rsidRPr="006464CC">
              <w:t xml:space="preserve">Assess what other types of social protection may support women and girls’ immediate needs as well as support empowerment and transformational objectives. For example: </w:t>
            </w:r>
          </w:p>
          <w:p w14:paraId="481704B6" w14:textId="77777777" w:rsidR="009906F8" w:rsidRPr="00797C62" w:rsidRDefault="009906F8" w:rsidP="009906F8">
            <w:pPr>
              <w:pStyle w:val="ListBullet2"/>
            </w:pPr>
            <w:r w:rsidRPr="00797C62">
              <w:t xml:space="preserve">Health fee waivers or automatic enrolments in health insurance schemes; school fee waivers or cash for </w:t>
            </w:r>
            <w:r w:rsidRPr="00BA731F">
              <w:t xml:space="preserve">education </w:t>
            </w:r>
            <w:r>
              <w:t>costs</w:t>
            </w:r>
            <w:r w:rsidRPr="00797C62">
              <w:t xml:space="preserve"> when schools re-open;</w:t>
            </w:r>
          </w:p>
          <w:p w14:paraId="361CA7BD" w14:textId="77777777" w:rsidR="009906F8" w:rsidRPr="00BA731F" w:rsidRDefault="009906F8" w:rsidP="009906F8">
            <w:pPr>
              <w:pStyle w:val="ListBullet2"/>
            </w:pPr>
            <w:r w:rsidRPr="00797C62">
              <w:t>In-kind transfers, such as food</w:t>
            </w:r>
            <w:r>
              <w:t xml:space="preserve"> or food vouchers</w:t>
            </w:r>
            <w:r w:rsidRPr="00797C62">
              <w:t>, hygiene supplies or menstrual products, distribution of radios to support distance learning, protective equipment for informal workers considered essential workers (e.g. food vendors, many of whom are women</w:t>
            </w:r>
            <w:r w:rsidRPr="00BA731F">
              <w:t>); and</w:t>
            </w:r>
          </w:p>
          <w:p w14:paraId="16AFBC1E" w14:textId="045BCD8A" w:rsidR="009906F8" w:rsidRPr="00854009" w:rsidRDefault="009906F8" w:rsidP="009906F8">
            <w:pPr>
              <w:pStyle w:val="ListBullet2"/>
            </w:pPr>
            <w:r w:rsidRPr="00BA731F">
              <w:t>Productive assets to support women farmers and urban informal workers, including digital extension services.</w:t>
            </w:r>
          </w:p>
        </w:tc>
      </w:tr>
      <w:tr w:rsidR="00854009" w:rsidRPr="00F40125" w14:paraId="414025C8" w14:textId="77777777" w:rsidTr="009B69E6">
        <w:tc>
          <w:tcPr>
            <w:tcW w:w="9209" w:type="dxa"/>
            <w:tcMar>
              <w:top w:w="113" w:type="dxa"/>
              <w:bottom w:w="113" w:type="dxa"/>
            </w:tcMar>
          </w:tcPr>
          <w:p w14:paraId="55ABF76E" w14:textId="27C74B78" w:rsidR="00854009" w:rsidRPr="00797C62" w:rsidRDefault="00854009" w:rsidP="006236C4">
            <w:pPr>
              <w:spacing w:before="100" w:beforeAutospacing="1" w:after="100" w:afterAutospacing="1"/>
              <w:rPr>
                <w:b/>
                <w:szCs w:val="22"/>
              </w:rPr>
            </w:pPr>
            <w:r>
              <w:rPr>
                <w:b/>
                <w:szCs w:val="22"/>
              </w:rPr>
              <w:lastRenderedPageBreak/>
              <w:t>Comprehensiveness</w:t>
            </w:r>
          </w:p>
        </w:tc>
      </w:tr>
      <w:tr w:rsidR="00854009" w:rsidRPr="00F40125" w14:paraId="28A1A507" w14:textId="77777777" w:rsidTr="009B69E6">
        <w:tc>
          <w:tcPr>
            <w:tcW w:w="9209" w:type="dxa"/>
            <w:tcMar>
              <w:top w:w="113" w:type="dxa"/>
              <w:bottom w:w="113" w:type="dxa"/>
            </w:tcMar>
          </w:tcPr>
          <w:p w14:paraId="7BCD5D1C" w14:textId="77777777" w:rsidR="00854009" w:rsidRPr="00797C62" w:rsidRDefault="00854009" w:rsidP="00854009">
            <w:pPr>
              <w:rPr>
                <w:b/>
                <w:szCs w:val="22"/>
              </w:rPr>
            </w:pPr>
            <w:r w:rsidRPr="00797C62">
              <w:rPr>
                <w:b/>
                <w:szCs w:val="22"/>
              </w:rPr>
              <w:t>Gender sensitive and gender transformative</w:t>
            </w:r>
          </w:p>
          <w:p w14:paraId="107A05DE" w14:textId="77777777" w:rsidR="00854009" w:rsidRPr="00797C62" w:rsidRDefault="00854009" w:rsidP="00854009">
            <w:pPr>
              <w:pStyle w:val="ListBullet"/>
            </w:pPr>
            <w:r w:rsidRPr="00797C62">
              <w:t xml:space="preserve">Even when interventions are short-term immediate responses, use them to </w:t>
            </w:r>
            <w:r w:rsidRPr="00854009">
              <w:rPr>
                <w:b/>
                <w:bCs/>
              </w:rPr>
              <w:t>contribute to longer-term objectives and empowerment through the use of messaging and complementary programs</w:t>
            </w:r>
            <w:r w:rsidRPr="00797C62">
              <w:t>. For example:</w:t>
            </w:r>
          </w:p>
          <w:p w14:paraId="343FD184" w14:textId="77777777" w:rsidR="00854009" w:rsidRPr="00797C62" w:rsidRDefault="00854009" w:rsidP="00854009">
            <w:pPr>
              <w:pStyle w:val="ListBullet2"/>
            </w:pPr>
            <w:r w:rsidRPr="00797C62">
              <w:rPr>
                <w:b/>
                <w:bCs/>
              </w:rPr>
              <w:t>Provide links and referrals to maternal health</w:t>
            </w:r>
            <w:r w:rsidRPr="00797C62">
              <w:t xml:space="preserve">, </w:t>
            </w:r>
            <w:r w:rsidRPr="00797C62">
              <w:rPr>
                <w:b/>
                <w:bCs/>
              </w:rPr>
              <w:t>sexual and reproductive health</w:t>
            </w:r>
            <w:r w:rsidRPr="00797C62">
              <w:rPr>
                <w:bCs/>
              </w:rPr>
              <w:t xml:space="preserve"> information and services</w:t>
            </w:r>
            <w:r w:rsidRPr="00797C62">
              <w:t>, to support knowledge and access to vital health services and family planning. Remove financial barriers to paying for remote or online services;</w:t>
            </w:r>
          </w:p>
          <w:p w14:paraId="0F5593D1" w14:textId="77777777" w:rsidR="00854009" w:rsidRPr="00797C62" w:rsidRDefault="00854009" w:rsidP="00854009">
            <w:pPr>
              <w:pStyle w:val="ListBullet2"/>
              <w:rPr>
                <w:b/>
                <w:bCs/>
              </w:rPr>
            </w:pPr>
            <w:r w:rsidRPr="00797C62">
              <w:t xml:space="preserve">While schools are closed, </w:t>
            </w:r>
            <w:r w:rsidRPr="00797C62">
              <w:rPr>
                <w:b/>
                <w:bCs/>
              </w:rPr>
              <w:t>parents may need extra support for home education, and messaging can emphasise the importance of girls’ education; </w:t>
            </w:r>
          </w:p>
          <w:p w14:paraId="61146AC0" w14:textId="77777777" w:rsidR="00854009" w:rsidRPr="00797C62" w:rsidRDefault="00854009" w:rsidP="00854009">
            <w:pPr>
              <w:pStyle w:val="ListBullet2"/>
            </w:pPr>
            <w:r w:rsidRPr="00797C62">
              <w:rPr>
                <w:b/>
                <w:bCs/>
              </w:rPr>
              <w:t>Provide referrals to mental health</w:t>
            </w:r>
            <w:r>
              <w:rPr>
                <w:b/>
                <w:bCs/>
              </w:rPr>
              <w:t xml:space="preserve"> </w:t>
            </w:r>
            <w:r w:rsidRPr="00797C62">
              <w:rPr>
                <w:b/>
                <w:bCs/>
              </w:rPr>
              <w:t>and psychosocial</w:t>
            </w:r>
            <w:r>
              <w:rPr>
                <w:b/>
                <w:bCs/>
              </w:rPr>
              <w:t xml:space="preserve"> </w:t>
            </w:r>
            <w:r w:rsidRPr="00797C62">
              <w:t>support where available,</w:t>
            </w:r>
            <w:r>
              <w:t xml:space="preserve"> </w:t>
            </w:r>
            <w:r w:rsidRPr="00797C62">
              <w:t>given the effects of isolation or loss of employment/income from COVID-19;</w:t>
            </w:r>
          </w:p>
          <w:p w14:paraId="67503FEF" w14:textId="77777777" w:rsidR="00854009" w:rsidRPr="00797C62" w:rsidRDefault="00854009" w:rsidP="00854009">
            <w:pPr>
              <w:pStyle w:val="ListBullet2"/>
            </w:pPr>
            <w:r w:rsidRPr="00797C62">
              <w:rPr>
                <w:b/>
                <w:bCs/>
              </w:rPr>
              <w:lastRenderedPageBreak/>
              <w:t>Promote equitable</w:t>
            </w:r>
            <w:r>
              <w:rPr>
                <w:b/>
                <w:bCs/>
              </w:rPr>
              <w:t xml:space="preserve"> </w:t>
            </w:r>
            <w:r w:rsidRPr="00797C62">
              <w:rPr>
                <w:b/>
                <w:bCs/>
              </w:rPr>
              <w:t>social relations through</w:t>
            </w:r>
            <w:r>
              <w:rPr>
                <w:b/>
              </w:rPr>
              <w:t xml:space="preserve"> </w:t>
            </w:r>
            <w:r w:rsidRPr="00797C62">
              <w:rPr>
                <w:b/>
              </w:rPr>
              <w:t>messaging about sharing childcare and domestic responsibilities,</w:t>
            </w:r>
            <w:r w:rsidRPr="00797C62">
              <w:t xml:space="preserve"> engaging men/fathers in childrearing and domestic chores and not overburdening girls with care responsibilities; and</w:t>
            </w:r>
          </w:p>
          <w:p w14:paraId="1499ED27" w14:textId="428E31BE" w:rsidR="00854009" w:rsidRPr="00854009" w:rsidRDefault="00854009" w:rsidP="00854009">
            <w:pPr>
              <w:pStyle w:val="ListBullet2"/>
            </w:pPr>
            <w:r w:rsidRPr="00797C62">
              <w:rPr>
                <w:b/>
                <w:bCs/>
              </w:rPr>
              <w:t xml:space="preserve">Provide economic and financial skills training, </w:t>
            </w:r>
            <w:r w:rsidRPr="00797C62">
              <w:rPr>
                <w:bCs/>
              </w:rPr>
              <w:t>and access to financial or extension services.</w:t>
            </w:r>
          </w:p>
          <w:p w14:paraId="702BBDAB" w14:textId="77777777" w:rsidR="00854009" w:rsidRPr="00797C62" w:rsidRDefault="00854009" w:rsidP="00854009">
            <w:pPr>
              <w:rPr>
                <w:b/>
                <w:szCs w:val="22"/>
              </w:rPr>
            </w:pPr>
            <w:r w:rsidRPr="00797C62">
              <w:rPr>
                <w:b/>
                <w:szCs w:val="22"/>
              </w:rPr>
              <w:t>Mitigating Violence Against Women and Girls</w:t>
            </w:r>
          </w:p>
          <w:p w14:paraId="68C8F35C" w14:textId="77777777" w:rsidR="00854009" w:rsidRDefault="00854009" w:rsidP="00854009">
            <w:pPr>
              <w:pStyle w:val="ListParagraph"/>
              <w:numPr>
                <w:ilvl w:val="0"/>
                <w:numId w:val="4"/>
              </w:numPr>
              <w:textAlignment w:val="baseline"/>
              <w:rPr>
                <w:szCs w:val="22"/>
              </w:rPr>
            </w:pPr>
            <w:r w:rsidRPr="00797C62">
              <w:rPr>
                <w:b/>
                <w:bCs/>
                <w:szCs w:val="22"/>
              </w:rPr>
              <w:t xml:space="preserve">Given heightened GBV and protection risks in the context of COVID-19, ensure programs provide information or refer beneficiaries to </w:t>
            </w:r>
            <w:r w:rsidRPr="00797C62">
              <w:rPr>
                <w:b/>
                <w:szCs w:val="22"/>
              </w:rPr>
              <w:t>helplines, credible and specialist local GBV services</w:t>
            </w:r>
            <w:r>
              <w:rPr>
                <w:b/>
                <w:szCs w:val="22"/>
              </w:rPr>
              <w:t xml:space="preserve"> </w:t>
            </w:r>
            <w:r w:rsidRPr="00BA731F">
              <w:rPr>
                <w:b/>
                <w:szCs w:val="22"/>
              </w:rPr>
              <w:t>wherever possible</w:t>
            </w:r>
            <w:r w:rsidRPr="00A55397">
              <w:rPr>
                <w:szCs w:val="22"/>
              </w:rPr>
              <w:t>, and in ways that does not increase GBV risks to women.</w:t>
            </w:r>
            <w:r w:rsidRPr="00797C62">
              <w:rPr>
                <w:b/>
                <w:szCs w:val="22"/>
              </w:rPr>
              <w:t xml:space="preserve">  </w:t>
            </w:r>
            <w:r w:rsidRPr="00797C62">
              <w:rPr>
                <w:szCs w:val="22"/>
              </w:rPr>
              <w:t>Provide information on</w:t>
            </w:r>
            <w:r w:rsidRPr="00797C62">
              <w:rPr>
                <w:b/>
                <w:szCs w:val="22"/>
              </w:rPr>
              <w:t xml:space="preserve"> </w:t>
            </w:r>
            <w:r w:rsidRPr="00797C62">
              <w:rPr>
                <w:szCs w:val="22"/>
              </w:rPr>
              <w:t>other</w:t>
            </w:r>
            <w:r>
              <w:rPr>
                <w:szCs w:val="22"/>
              </w:rPr>
              <w:t xml:space="preserve"> </w:t>
            </w:r>
            <w:r w:rsidRPr="00797C62">
              <w:rPr>
                <w:bCs/>
                <w:szCs w:val="22"/>
              </w:rPr>
              <w:t>violence-related and child protection services where available</w:t>
            </w:r>
            <w:r w:rsidRPr="00797C62">
              <w:rPr>
                <w:szCs w:val="22"/>
              </w:rPr>
              <w:t>, as well as messaging on conflict resolution, preventing the risk of sexual abuse and child marriage.</w:t>
            </w:r>
          </w:p>
          <w:p w14:paraId="3872D6A7" w14:textId="1B5A0D9D" w:rsidR="00854009" w:rsidRPr="00854009" w:rsidRDefault="00854009" w:rsidP="00854009">
            <w:pPr>
              <w:pStyle w:val="ListParagraph"/>
              <w:numPr>
                <w:ilvl w:val="0"/>
                <w:numId w:val="4"/>
              </w:numPr>
              <w:textAlignment w:val="baseline"/>
              <w:rPr>
                <w:szCs w:val="22"/>
              </w:rPr>
            </w:pPr>
            <w:r w:rsidRPr="00854009">
              <w:rPr>
                <w:b/>
                <w:bCs/>
                <w:iCs/>
                <w:szCs w:val="22"/>
              </w:rPr>
              <w:t>Support existing frontline organisations/networks</w:t>
            </w:r>
            <w:r w:rsidRPr="00854009">
              <w:rPr>
                <w:szCs w:val="22"/>
              </w:rPr>
              <w:t xml:space="preserve"> to help deliver these messages and services.</w:t>
            </w:r>
          </w:p>
        </w:tc>
      </w:tr>
    </w:tbl>
    <w:p w14:paraId="1FAD83DF" w14:textId="195A0E49" w:rsidR="006236C4" w:rsidRPr="00797C62" w:rsidRDefault="00854009" w:rsidP="009906F8">
      <w:pPr>
        <w:spacing w:before="120"/>
        <w:rPr>
          <w:color w:val="000000" w:themeColor="text1"/>
          <w:szCs w:val="22"/>
        </w:rPr>
      </w:pPr>
      <w:r>
        <w:lastRenderedPageBreak/>
        <w:t xml:space="preserve">Further resources on program design are provided at </w:t>
      </w:r>
      <w:r>
        <w:rPr>
          <w:b/>
          <w:bCs/>
        </w:rPr>
        <w:t>Annex 1</w:t>
      </w:r>
      <w:r>
        <w:t>.</w:t>
      </w:r>
    </w:p>
    <w:p w14:paraId="4DE87AD2" w14:textId="77777777" w:rsidR="00854009" w:rsidRDefault="00854009" w:rsidP="00940848">
      <w:pPr>
        <w:rPr>
          <w:color w:val="000000" w:themeColor="text1"/>
          <w:szCs w:val="22"/>
        </w:rPr>
      </w:pPr>
    </w:p>
    <w:p w14:paraId="1777C8E5" w14:textId="38BD36B4" w:rsidR="0087027C" w:rsidRPr="00797C62" w:rsidRDefault="00691401" w:rsidP="00D06981">
      <w:pPr>
        <w:pStyle w:val="Heading2"/>
        <w:spacing w:before="120"/>
      </w:pPr>
      <w:bookmarkStart w:id="19" w:name="_Toc49669965"/>
      <w:r w:rsidRPr="00797C62">
        <w:t>2.3 Delivery systems</w:t>
      </w:r>
      <w:bookmarkEnd w:id="19"/>
      <w:r w:rsidRPr="00797C62">
        <w:t xml:space="preserve"> </w:t>
      </w:r>
    </w:p>
    <w:p w14:paraId="418AE3E1" w14:textId="2DD1BCCB" w:rsidR="00854009" w:rsidRPr="009906F8" w:rsidRDefault="00084428" w:rsidP="009906F8">
      <w:pPr>
        <w:spacing w:after="240"/>
        <w:rPr>
          <w:rFonts w:eastAsiaTheme="minorHAnsi"/>
          <w:szCs w:val="22"/>
          <w:lang w:val="en-US"/>
        </w:rPr>
      </w:pPr>
      <w:r w:rsidRPr="00797C62">
        <w:rPr>
          <w:color w:val="000000" w:themeColor="text1"/>
          <w:szCs w:val="22"/>
        </w:rPr>
        <w:t>Women and people with disability face multiple barriers to accessing and enrolling in social protection</w:t>
      </w:r>
      <w:r w:rsidR="000112FA" w:rsidRPr="00797C62">
        <w:rPr>
          <w:color w:val="000000" w:themeColor="text1"/>
          <w:szCs w:val="22"/>
        </w:rPr>
        <w:t xml:space="preserve">, which </w:t>
      </w:r>
      <w:r w:rsidRPr="00797C62">
        <w:rPr>
          <w:color w:val="000000" w:themeColor="text1"/>
          <w:szCs w:val="22"/>
        </w:rPr>
        <w:t xml:space="preserve">need to be </w:t>
      </w:r>
      <w:r w:rsidR="00D34C4D" w:rsidRPr="00797C62">
        <w:rPr>
          <w:color w:val="000000" w:themeColor="text1"/>
          <w:szCs w:val="22"/>
        </w:rPr>
        <w:t xml:space="preserve">addressed </w:t>
      </w:r>
      <w:r w:rsidRPr="00797C62">
        <w:rPr>
          <w:color w:val="000000" w:themeColor="text1"/>
          <w:szCs w:val="22"/>
        </w:rPr>
        <w:t xml:space="preserve">to enable the </w:t>
      </w:r>
      <w:r w:rsidR="00C65AD4" w:rsidRPr="00797C62">
        <w:rPr>
          <w:color w:val="000000" w:themeColor="text1"/>
          <w:szCs w:val="22"/>
        </w:rPr>
        <w:t xml:space="preserve">rapid expansion </w:t>
      </w:r>
      <w:r w:rsidRPr="00797C62">
        <w:rPr>
          <w:color w:val="000000" w:themeColor="text1"/>
          <w:szCs w:val="22"/>
        </w:rPr>
        <w:t xml:space="preserve">of social protection in </w:t>
      </w:r>
      <w:r w:rsidR="00C65AD4" w:rsidRPr="00797C62">
        <w:rPr>
          <w:color w:val="000000" w:themeColor="text1"/>
          <w:szCs w:val="22"/>
        </w:rPr>
        <w:t>COVID</w:t>
      </w:r>
      <w:r w:rsidR="000112FA" w:rsidRPr="00797C62">
        <w:rPr>
          <w:color w:val="000000" w:themeColor="text1"/>
          <w:szCs w:val="22"/>
        </w:rPr>
        <w:t>-19</w:t>
      </w:r>
      <w:r w:rsidR="00C65AD4" w:rsidRPr="00797C62">
        <w:rPr>
          <w:color w:val="000000" w:themeColor="text1"/>
          <w:szCs w:val="22"/>
        </w:rPr>
        <w:t xml:space="preserve"> response. </w:t>
      </w:r>
      <w:r w:rsidR="00F87C6F" w:rsidRPr="00797C62">
        <w:rPr>
          <w:szCs w:val="22"/>
        </w:rPr>
        <w:t xml:space="preserve">New technology-based delivery mechanisms </w:t>
      </w:r>
      <w:r w:rsidRPr="00797C62">
        <w:rPr>
          <w:szCs w:val="22"/>
        </w:rPr>
        <w:t xml:space="preserve">are </w:t>
      </w:r>
      <w:r w:rsidR="008F3464" w:rsidRPr="00797C62">
        <w:rPr>
          <w:szCs w:val="22"/>
        </w:rPr>
        <w:t>advocated</w:t>
      </w:r>
      <w:r w:rsidRPr="00797C62">
        <w:rPr>
          <w:szCs w:val="22"/>
        </w:rPr>
        <w:t xml:space="preserve"> but </w:t>
      </w:r>
      <w:r w:rsidR="00F87C6F" w:rsidRPr="00797C62">
        <w:rPr>
          <w:szCs w:val="22"/>
        </w:rPr>
        <w:t xml:space="preserve">may risk excluding </w:t>
      </w:r>
      <w:r w:rsidRPr="00797C62">
        <w:rPr>
          <w:szCs w:val="22"/>
        </w:rPr>
        <w:t>women who have</w:t>
      </w:r>
      <w:r w:rsidR="00B45A53" w:rsidRPr="00797C62">
        <w:rPr>
          <w:szCs w:val="22"/>
        </w:rPr>
        <w:t xml:space="preserve"> </w:t>
      </w:r>
      <w:r w:rsidR="00D34C4D" w:rsidRPr="00797C62">
        <w:rPr>
          <w:szCs w:val="22"/>
        </w:rPr>
        <w:t xml:space="preserve">communication difficulties, </w:t>
      </w:r>
      <w:r w:rsidR="00B45A53" w:rsidRPr="00797C62">
        <w:rPr>
          <w:szCs w:val="22"/>
        </w:rPr>
        <w:t>low literacy levels and</w:t>
      </w:r>
      <w:r w:rsidRPr="00797C62">
        <w:rPr>
          <w:szCs w:val="22"/>
        </w:rPr>
        <w:t xml:space="preserve"> </w:t>
      </w:r>
      <w:r w:rsidR="00B45A53" w:rsidRPr="00797C62">
        <w:rPr>
          <w:szCs w:val="22"/>
        </w:rPr>
        <w:t xml:space="preserve">lack </w:t>
      </w:r>
      <w:r w:rsidR="00F87C6F" w:rsidRPr="00797C62">
        <w:rPr>
          <w:szCs w:val="22"/>
        </w:rPr>
        <w:t>access to e-banking or mobile phones.</w:t>
      </w:r>
      <w:r w:rsidR="0018714F" w:rsidRPr="00797C62">
        <w:rPr>
          <w:rFonts w:eastAsiaTheme="minorHAnsi"/>
          <w:szCs w:val="22"/>
          <w:lang w:val="en-US"/>
        </w:rPr>
        <w:t xml:space="preserve"> </w:t>
      </w:r>
      <w:r w:rsidR="00FF0920" w:rsidRPr="00797C62">
        <w:rPr>
          <w:rFonts w:eastAsiaTheme="minorHAnsi"/>
          <w:szCs w:val="22"/>
          <w:lang w:val="en-US"/>
        </w:rPr>
        <w:t xml:space="preserve">Because </w:t>
      </w:r>
      <w:r w:rsidR="00122D06" w:rsidRPr="00797C62">
        <w:rPr>
          <w:rFonts w:eastAsiaTheme="minorHAnsi"/>
          <w:szCs w:val="22"/>
          <w:lang w:val="en-US"/>
        </w:rPr>
        <w:t>systems for registering and enrolling beneficiaries, channeling payments, and handling grievance and redress</w:t>
      </w:r>
      <w:r w:rsidR="00510112" w:rsidRPr="00797C62">
        <w:rPr>
          <w:rFonts w:eastAsiaTheme="minorHAnsi"/>
          <w:szCs w:val="22"/>
          <w:lang w:val="en-US"/>
        </w:rPr>
        <w:t xml:space="preserve"> are likely to be under increased strain </w:t>
      </w:r>
      <w:r w:rsidR="000112FA" w:rsidRPr="00797C62">
        <w:rPr>
          <w:rFonts w:eastAsiaTheme="minorHAnsi"/>
          <w:szCs w:val="22"/>
          <w:lang w:val="en-US"/>
        </w:rPr>
        <w:t>due to</w:t>
      </w:r>
      <w:r w:rsidR="00510112" w:rsidRPr="00797C62">
        <w:rPr>
          <w:rFonts w:eastAsiaTheme="minorHAnsi"/>
          <w:szCs w:val="22"/>
          <w:lang w:val="en-US"/>
        </w:rPr>
        <w:t xml:space="preserve"> COVID</w:t>
      </w:r>
      <w:r w:rsidR="000112FA" w:rsidRPr="00797C62">
        <w:rPr>
          <w:rFonts w:eastAsiaTheme="minorHAnsi"/>
          <w:szCs w:val="22"/>
          <w:lang w:val="en-US"/>
        </w:rPr>
        <w:t>-19</w:t>
      </w:r>
      <w:r w:rsidR="00510112" w:rsidRPr="00797C62">
        <w:rPr>
          <w:rFonts w:eastAsiaTheme="minorHAnsi"/>
          <w:szCs w:val="22"/>
          <w:lang w:val="en-US"/>
        </w:rPr>
        <w:t xml:space="preserve">, there is a risk of losing sight of gender-sensitive and gender-transformative delivery modalities. </w:t>
      </w:r>
    </w:p>
    <w:tbl>
      <w:tblPr>
        <w:tblStyle w:val="TableGrid"/>
        <w:tblW w:w="9209" w:type="dxa"/>
        <w:tblCellMar>
          <w:top w:w="57" w:type="dxa"/>
          <w:bottom w:w="57" w:type="dxa"/>
        </w:tblCellMar>
        <w:tblLook w:val="06A0" w:firstRow="1" w:lastRow="0" w:firstColumn="1" w:lastColumn="0" w:noHBand="1" w:noVBand="1"/>
      </w:tblPr>
      <w:tblGrid>
        <w:gridCol w:w="9209"/>
      </w:tblGrid>
      <w:tr w:rsidR="009906F8" w:rsidRPr="00F40125" w14:paraId="4AFE1014" w14:textId="77777777" w:rsidTr="00663572">
        <w:trPr>
          <w:trHeight w:val="339"/>
          <w:tblHeader/>
        </w:trPr>
        <w:tc>
          <w:tcPr>
            <w:tcW w:w="9209" w:type="dxa"/>
            <w:shd w:val="clear" w:color="auto" w:fill="D9D9D9" w:themeFill="background1" w:themeFillShade="D9"/>
            <w:noWrap/>
            <w:tcMar>
              <w:top w:w="113" w:type="dxa"/>
              <w:bottom w:w="113" w:type="dxa"/>
            </w:tcMar>
          </w:tcPr>
          <w:p w14:paraId="14599035" w14:textId="0FBBAC68" w:rsidR="009906F8" w:rsidRPr="00854009" w:rsidRDefault="009906F8" w:rsidP="00663572">
            <w:pPr>
              <w:spacing w:after="0"/>
              <w:rPr>
                <w:b/>
                <w:bCs/>
              </w:rPr>
            </w:pPr>
            <w:r w:rsidRPr="00854009">
              <w:rPr>
                <w:b/>
                <w:bCs/>
              </w:rPr>
              <w:t>Delivery Systems—Key considerations</w:t>
            </w:r>
          </w:p>
        </w:tc>
      </w:tr>
      <w:tr w:rsidR="00854009" w:rsidRPr="00F40125" w14:paraId="14D67351" w14:textId="77777777" w:rsidTr="00663572">
        <w:trPr>
          <w:trHeight w:val="339"/>
        </w:trPr>
        <w:tc>
          <w:tcPr>
            <w:tcW w:w="9209" w:type="dxa"/>
            <w:noWrap/>
            <w:tcMar>
              <w:top w:w="113" w:type="dxa"/>
              <w:bottom w:w="113" w:type="dxa"/>
            </w:tcMar>
          </w:tcPr>
          <w:p w14:paraId="2FE5901D" w14:textId="4C459BB8" w:rsidR="00854009" w:rsidRPr="00854009" w:rsidRDefault="00854009" w:rsidP="00D06981">
            <w:pPr>
              <w:spacing w:after="0" w:line="280" w:lineRule="atLeast"/>
              <w:rPr>
                <w:b/>
                <w:bCs/>
              </w:rPr>
            </w:pPr>
            <w:r w:rsidRPr="00854009">
              <w:rPr>
                <w:b/>
                <w:bCs/>
              </w:rPr>
              <w:t>Enrolment and Registration</w:t>
            </w:r>
          </w:p>
        </w:tc>
      </w:tr>
      <w:tr w:rsidR="00854009" w:rsidRPr="00F40125" w14:paraId="1D09F8F3" w14:textId="77777777" w:rsidTr="00663572">
        <w:trPr>
          <w:trHeight w:val="3748"/>
        </w:trPr>
        <w:tc>
          <w:tcPr>
            <w:tcW w:w="9209" w:type="dxa"/>
            <w:noWrap/>
            <w:tcMar>
              <w:top w:w="113" w:type="dxa"/>
              <w:bottom w:w="113" w:type="dxa"/>
            </w:tcMar>
          </w:tcPr>
          <w:p w14:paraId="7874C1C2" w14:textId="77777777" w:rsidR="00854009" w:rsidRPr="00797C62" w:rsidRDefault="00854009" w:rsidP="00854009">
            <w:pPr>
              <w:rPr>
                <w:b/>
                <w:szCs w:val="22"/>
              </w:rPr>
            </w:pPr>
            <w:r w:rsidRPr="00797C62">
              <w:rPr>
                <w:b/>
                <w:szCs w:val="22"/>
              </w:rPr>
              <w:t>Gender sensitive and gender transformative</w:t>
            </w:r>
          </w:p>
          <w:p w14:paraId="323A3839" w14:textId="77777777" w:rsidR="00854009" w:rsidRDefault="00854009" w:rsidP="00854009">
            <w:pPr>
              <w:pStyle w:val="ListBullet"/>
            </w:pPr>
            <w:r w:rsidRPr="00797C62">
              <w:t xml:space="preserve">Where possible, </w:t>
            </w:r>
            <w:r w:rsidRPr="00797C62">
              <w:rPr>
                <w:b/>
                <w:bCs/>
                <w:iCs/>
              </w:rPr>
              <w:t>simplify enrolment and registration procedures</w:t>
            </w:r>
            <w:r w:rsidRPr="00797C62">
              <w:t xml:space="preserve"> by resolving or removing physical barriers (for example barriers to mobility, or accessing transport to get to collection points) and communication and administrative barriers (including lack of identification and other documentation).</w:t>
            </w:r>
          </w:p>
          <w:p w14:paraId="7E8BA936" w14:textId="77777777" w:rsidR="00854009" w:rsidRPr="00BA731F" w:rsidRDefault="00854009" w:rsidP="00854009">
            <w:pPr>
              <w:pStyle w:val="ListBullet"/>
            </w:pPr>
            <w:r w:rsidRPr="00BA731F">
              <w:t>Consider beneficiary needs and constraints, and where possible seek beneficiary input on which delivery system and type or transfer works best for them.</w:t>
            </w:r>
          </w:p>
          <w:p w14:paraId="4EE779E6" w14:textId="77777777" w:rsidR="00854009" w:rsidRPr="00797C62" w:rsidRDefault="00854009" w:rsidP="00854009">
            <w:pPr>
              <w:pStyle w:val="ListBullet"/>
              <w:rPr>
                <w:b/>
              </w:rPr>
            </w:pPr>
            <w:r w:rsidRPr="00797C62">
              <w:rPr>
                <w:b/>
                <w:bCs/>
                <w:iCs/>
              </w:rPr>
              <w:t>Provide relevant program information in local languages, using communication channels known to reach women, people with disability and marginalised communities</w:t>
            </w:r>
            <w:r w:rsidRPr="00797C62">
              <w:t xml:space="preserve">. For example, local media, television, radio, text messaging, voice messages, community postings where possible, utilising local leaders and groups such as women’s collectives and member-based </w:t>
            </w:r>
            <w:r w:rsidRPr="00797C62">
              <w:lastRenderedPageBreak/>
              <w:t xml:space="preserve">organisations. </w:t>
            </w:r>
            <w:r w:rsidRPr="00797C62">
              <w:rPr>
                <w:b/>
              </w:rPr>
              <w:t>Consider the best time of day for women to receive messages, given women’s time constraints.</w:t>
            </w:r>
          </w:p>
          <w:p w14:paraId="213C3B02" w14:textId="77777777" w:rsidR="00854009" w:rsidRPr="00797C62" w:rsidRDefault="00854009" w:rsidP="00854009">
            <w:pPr>
              <w:pStyle w:val="ListBullet"/>
            </w:pPr>
            <w:r w:rsidRPr="00797C62">
              <w:rPr>
                <w:b/>
                <w:bCs/>
                <w:iCs/>
              </w:rPr>
              <w:t>Consider gender quotas</w:t>
            </w:r>
            <w:r w:rsidRPr="00797C62">
              <w:t xml:space="preserve"> to promote women’s participation in public works, if appropriate in a given context.</w:t>
            </w:r>
          </w:p>
          <w:p w14:paraId="1EB07606" w14:textId="77777777" w:rsidR="00854009" w:rsidRPr="00797C62" w:rsidRDefault="00854009" w:rsidP="00854009">
            <w:pPr>
              <w:pStyle w:val="ListBullet"/>
            </w:pPr>
            <w:r w:rsidRPr="00797C62">
              <w:rPr>
                <w:b/>
                <w:bCs/>
                <w:iCs/>
              </w:rPr>
              <w:t>Promote automatic enrolment and exemptions</w:t>
            </w:r>
            <w:r w:rsidRPr="00797C62">
              <w:t xml:space="preserve"> for health and other insurance schemes;  </w:t>
            </w:r>
          </w:p>
          <w:p w14:paraId="72AC83CB" w14:textId="77777777" w:rsidR="00854009" w:rsidRPr="00797C62" w:rsidRDefault="00854009" w:rsidP="00854009">
            <w:pPr>
              <w:pStyle w:val="ListBullet"/>
            </w:pPr>
            <w:r w:rsidRPr="00797C62">
              <w:rPr>
                <w:b/>
              </w:rPr>
              <w:t>Coordinate and work with existing local women’s rights and disabled people’s civil society organisations</w:t>
            </w:r>
            <w:r w:rsidRPr="00797C62">
              <w:t xml:space="preserve"> to identify and extend coverage to harder-to-reach groups.</w:t>
            </w:r>
          </w:p>
          <w:p w14:paraId="5F48E4C0" w14:textId="77777777" w:rsidR="00854009" w:rsidRPr="00797C62" w:rsidRDefault="00854009" w:rsidP="00854009">
            <w:pPr>
              <w:pStyle w:val="ListBullet"/>
            </w:pPr>
            <w:r w:rsidRPr="00797C62">
              <w:rPr>
                <w:b/>
                <w:bCs/>
                <w:iCs/>
              </w:rPr>
              <w:t xml:space="preserve">Coordinate with other </w:t>
            </w:r>
            <w:r w:rsidRPr="00797C62">
              <w:rPr>
                <w:rFonts w:eastAsiaTheme="minorHAnsi"/>
                <w:b/>
                <w:bCs/>
                <w:iCs/>
                <w:lang w:val="en-US"/>
              </w:rPr>
              <w:t>actors</w:t>
            </w:r>
            <w:r w:rsidRPr="00797C62">
              <w:rPr>
                <w:rFonts w:eastAsiaTheme="minorHAnsi"/>
                <w:lang w:val="en-US"/>
              </w:rPr>
              <w:t xml:space="preserve"> and sectors to map out gender-responsive activities that will raise awareness about the diversity of needs </w:t>
            </w:r>
            <w:r>
              <w:rPr>
                <w:rFonts w:eastAsiaTheme="minorHAnsi"/>
                <w:lang w:val="en-US"/>
              </w:rPr>
              <w:t>and</w:t>
            </w:r>
            <w:r w:rsidRPr="00797C62">
              <w:rPr>
                <w:rFonts w:eastAsiaTheme="minorHAnsi"/>
                <w:lang w:val="en-US"/>
              </w:rPr>
              <w:t xml:space="preserve"> help inform and leverage interventions in other sectors.</w:t>
            </w:r>
          </w:p>
          <w:p w14:paraId="0A7C8A12" w14:textId="77777777" w:rsidR="00854009" w:rsidRDefault="00854009" w:rsidP="00854009">
            <w:pPr>
              <w:pStyle w:val="ListBullet"/>
            </w:pPr>
            <w:r w:rsidRPr="00797C62">
              <w:rPr>
                <w:b/>
              </w:rPr>
              <w:t>Consider how temporary beneficiaries can be transitioned into national social protection programs in the longer-term</w:t>
            </w:r>
            <w:r w:rsidRPr="00797C62">
              <w:t xml:space="preserve">. </w:t>
            </w:r>
          </w:p>
          <w:p w14:paraId="5E0EE0A1" w14:textId="271E9EAF" w:rsidR="00854009" w:rsidRPr="00854009" w:rsidRDefault="00854009" w:rsidP="00854009">
            <w:pPr>
              <w:pStyle w:val="ListBullet"/>
            </w:pPr>
            <w:r>
              <w:rPr>
                <w:b/>
              </w:rPr>
              <w:t xml:space="preserve">Adopt COVID safe strategies including social distancing at registration points, avoiding the need for crowds. </w:t>
            </w:r>
            <w:r w:rsidRPr="006565F3">
              <w:t>Ensure adequate sanitary protocols such as hand sanitiser and hand washing points. Provide masks/PPE if available.</w:t>
            </w:r>
          </w:p>
          <w:p w14:paraId="7BCC7260" w14:textId="77777777" w:rsidR="00854009" w:rsidRPr="00797C62" w:rsidRDefault="00854009" w:rsidP="00854009">
            <w:pPr>
              <w:rPr>
                <w:szCs w:val="22"/>
              </w:rPr>
            </w:pPr>
            <w:r w:rsidRPr="00797C62">
              <w:rPr>
                <w:b/>
                <w:szCs w:val="22"/>
              </w:rPr>
              <w:t>Mitigating Violence Against Women and Girls</w:t>
            </w:r>
          </w:p>
          <w:p w14:paraId="6D4CD0AC" w14:textId="77777777" w:rsidR="00854009" w:rsidRPr="00797C62" w:rsidRDefault="00854009" w:rsidP="00854009">
            <w:pPr>
              <w:pStyle w:val="ListBullet"/>
            </w:pPr>
            <w:r w:rsidRPr="00854009">
              <w:rPr>
                <w:b/>
                <w:bCs/>
              </w:rPr>
              <w:t>Provide clear information on targeting, criteria and entitlements</w:t>
            </w:r>
            <w:r w:rsidRPr="00797C62">
              <w:t xml:space="preserve"> to reduce risk of GBV.</w:t>
            </w:r>
          </w:p>
          <w:p w14:paraId="3D666A54" w14:textId="5402486D" w:rsidR="009906F8" w:rsidRPr="00854009" w:rsidRDefault="00854009" w:rsidP="009906F8">
            <w:pPr>
              <w:pStyle w:val="ListBullet"/>
            </w:pPr>
            <w:r w:rsidRPr="00854009">
              <w:rPr>
                <w:b/>
                <w:bCs/>
              </w:rPr>
              <w:t>Triangulate sources of data to reduce exclusion errors of the most vulnerable</w:t>
            </w:r>
            <w:r w:rsidRPr="00797C62">
              <w:t>, through safe community forums/listening sessions through mobile phones, grievance mechanisms and other data collection activities.</w:t>
            </w:r>
          </w:p>
        </w:tc>
      </w:tr>
      <w:tr w:rsidR="00854009" w:rsidRPr="00F40125" w14:paraId="1E2AFF22" w14:textId="77777777" w:rsidTr="00663572">
        <w:trPr>
          <w:trHeight w:val="226"/>
        </w:trPr>
        <w:tc>
          <w:tcPr>
            <w:tcW w:w="9209" w:type="dxa"/>
            <w:noWrap/>
            <w:tcMar>
              <w:top w:w="113" w:type="dxa"/>
              <w:bottom w:w="113" w:type="dxa"/>
            </w:tcMar>
          </w:tcPr>
          <w:p w14:paraId="74167F9F" w14:textId="3964153B" w:rsidR="00854009" w:rsidRPr="00797C62" w:rsidRDefault="00854009" w:rsidP="00663572">
            <w:pPr>
              <w:spacing w:after="0"/>
              <w:rPr>
                <w:b/>
                <w:szCs w:val="22"/>
              </w:rPr>
            </w:pPr>
            <w:r>
              <w:rPr>
                <w:b/>
                <w:szCs w:val="22"/>
              </w:rPr>
              <w:lastRenderedPageBreak/>
              <w:t>Payments</w:t>
            </w:r>
          </w:p>
        </w:tc>
      </w:tr>
      <w:tr w:rsidR="00854009" w:rsidRPr="00F40125" w14:paraId="07082CAE" w14:textId="77777777" w:rsidTr="00663572">
        <w:tc>
          <w:tcPr>
            <w:tcW w:w="9209" w:type="dxa"/>
            <w:noWrap/>
            <w:tcMar>
              <w:top w:w="113" w:type="dxa"/>
              <w:bottom w:w="113" w:type="dxa"/>
            </w:tcMar>
          </w:tcPr>
          <w:p w14:paraId="7C19E002" w14:textId="77777777" w:rsidR="00854009" w:rsidRPr="00797C62" w:rsidRDefault="00854009" w:rsidP="00854009">
            <w:pPr>
              <w:rPr>
                <w:b/>
                <w:szCs w:val="22"/>
              </w:rPr>
            </w:pPr>
            <w:r w:rsidRPr="00797C62">
              <w:rPr>
                <w:b/>
                <w:szCs w:val="22"/>
              </w:rPr>
              <w:t>Gender sensitive and gender transformative</w:t>
            </w:r>
          </w:p>
          <w:p w14:paraId="07B399C0" w14:textId="77777777" w:rsidR="00854009" w:rsidRPr="006565F3" w:rsidRDefault="00854009" w:rsidP="00854009">
            <w:pPr>
              <w:pStyle w:val="ListBullet"/>
            </w:pPr>
            <w:r w:rsidRPr="00797C62">
              <w:t xml:space="preserve">Payment of benefits via electronic payment systems has increasingly taken the place of manual cash distribution to support social distancing during COVID-19. </w:t>
            </w:r>
            <w:r w:rsidRPr="00BA731F">
              <w:t>However, manual cash may still be the most appropriate option in some contexts.</w:t>
            </w:r>
            <w:r w:rsidRPr="00797C62">
              <w:t xml:space="preserve"> Women and people with disabilities tend to have less access to and ownership of mobile phones and bank accounts and may be less familiar these technologies. </w:t>
            </w:r>
            <w:r w:rsidRPr="00797C62">
              <w:rPr>
                <w:b/>
                <w:bCs/>
                <w:iCs/>
              </w:rPr>
              <w:t>Where possible provide</w:t>
            </w:r>
            <w:r>
              <w:rPr>
                <w:b/>
                <w:bCs/>
                <w:iCs/>
              </w:rPr>
              <w:t xml:space="preserve"> access to appropriate technology and s</w:t>
            </w:r>
            <w:r w:rsidRPr="00797C62">
              <w:rPr>
                <w:b/>
                <w:bCs/>
                <w:iCs/>
              </w:rPr>
              <w:t xml:space="preserve">et up bank accounts, for those without access to these, </w:t>
            </w:r>
            <w:r>
              <w:rPr>
                <w:b/>
                <w:bCs/>
                <w:iCs/>
              </w:rPr>
              <w:t xml:space="preserve">and </w:t>
            </w:r>
            <w:r w:rsidRPr="00797C62">
              <w:rPr>
                <w:b/>
                <w:bCs/>
                <w:iCs/>
              </w:rPr>
              <w:t>provide remote financial skills training to beneficiary households</w:t>
            </w:r>
            <w:r w:rsidRPr="00797C62">
              <w:t>.</w:t>
            </w:r>
          </w:p>
          <w:p w14:paraId="101E1952" w14:textId="77777777" w:rsidR="00854009" w:rsidRPr="003D2FDD" w:rsidRDefault="00854009" w:rsidP="00854009">
            <w:pPr>
              <w:pStyle w:val="ListBullet"/>
              <w:rPr>
                <w:szCs w:val="22"/>
              </w:rPr>
            </w:pPr>
            <w:r w:rsidRPr="006565F3">
              <w:rPr>
                <w:b/>
                <w:szCs w:val="22"/>
              </w:rPr>
              <w:t>Adopt COVID safe strategies including social distancing at payment/voucher pickup points,</w:t>
            </w:r>
            <w:r>
              <w:rPr>
                <w:szCs w:val="22"/>
              </w:rPr>
              <w:t xml:space="preserve"> avoid</w:t>
            </w:r>
            <w:r w:rsidRPr="003D2FDD">
              <w:rPr>
                <w:szCs w:val="22"/>
              </w:rPr>
              <w:t xml:space="preserve"> the need for crowds </w:t>
            </w:r>
            <w:r>
              <w:rPr>
                <w:szCs w:val="22"/>
              </w:rPr>
              <w:t xml:space="preserve">to gather </w:t>
            </w:r>
            <w:r w:rsidRPr="003D2FDD">
              <w:rPr>
                <w:szCs w:val="22"/>
              </w:rPr>
              <w:t>(i.e. stagger pick up times for benefits and vouchers</w:t>
            </w:r>
            <w:r>
              <w:rPr>
                <w:szCs w:val="22"/>
              </w:rPr>
              <w:t>, or increase number of pick up points</w:t>
            </w:r>
            <w:r w:rsidRPr="003D2FDD">
              <w:rPr>
                <w:szCs w:val="22"/>
              </w:rPr>
              <w:t>). Ensure adequate sanitary protocols such as hand sanitiser and hand washing points. Provide masks/PPE if available.</w:t>
            </w:r>
          </w:p>
          <w:p w14:paraId="6DBE0599" w14:textId="77777777" w:rsidR="00854009" w:rsidRPr="00797C62" w:rsidRDefault="00854009" w:rsidP="00854009">
            <w:pPr>
              <w:pStyle w:val="ListBullet"/>
              <w:rPr>
                <w:szCs w:val="22"/>
              </w:rPr>
            </w:pPr>
            <w:r w:rsidRPr="006565F3">
              <w:rPr>
                <w:b/>
                <w:szCs w:val="22"/>
              </w:rPr>
              <w:t>Ensure adequate sanitary protocols and social distancing measures are in place</w:t>
            </w:r>
            <w:r>
              <w:rPr>
                <w:szCs w:val="22"/>
              </w:rPr>
              <w:t>.</w:t>
            </w:r>
          </w:p>
          <w:p w14:paraId="2DE9C23C" w14:textId="77777777" w:rsidR="00854009" w:rsidRPr="006565F3" w:rsidRDefault="00854009" w:rsidP="00854009">
            <w:pPr>
              <w:pStyle w:val="ListBullet"/>
              <w:rPr>
                <w:szCs w:val="22"/>
              </w:rPr>
            </w:pPr>
            <w:r w:rsidRPr="00797C62">
              <w:rPr>
                <w:b/>
                <w:szCs w:val="22"/>
              </w:rPr>
              <w:t>Invest in local women’s organisations if appropriate and other networks to augment delivery capacity,</w:t>
            </w:r>
            <w:r w:rsidRPr="00797C62">
              <w:rPr>
                <w:szCs w:val="22"/>
              </w:rPr>
              <w:t xml:space="preserve"> especially for people in high-risk categories such as persons with a disability the elderly </w:t>
            </w:r>
            <w:r w:rsidRPr="00797C62">
              <w:rPr>
                <w:szCs w:val="22"/>
              </w:rPr>
              <w:lastRenderedPageBreak/>
              <w:t xml:space="preserve">and sick, who may be unable to go to delivery points or receive transfers electronically – this will support </w:t>
            </w:r>
            <w:r w:rsidRPr="00797C62">
              <w:rPr>
                <w:bCs/>
                <w:iCs/>
                <w:szCs w:val="22"/>
              </w:rPr>
              <w:t>gender transformative objectives.</w:t>
            </w:r>
            <w:r w:rsidRPr="00797C62">
              <w:rPr>
                <w:b/>
                <w:szCs w:val="22"/>
              </w:rPr>
              <w:t xml:space="preserve"> </w:t>
            </w:r>
          </w:p>
          <w:p w14:paraId="09D6A489" w14:textId="3DA9F868" w:rsidR="00854009" w:rsidRPr="00854009" w:rsidRDefault="00854009" w:rsidP="00854009">
            <w:pPr>
              <w:pStyle w:val="ListBullet"/>
              <w:rPr>
                <w:szCs w:val="22"/>
              </w:rPr>
            </w:pPr>
            <w:r w:rsidRPr="006565F3">
              <w:rPr>
                <w:b/>
                <w:szCs w:val="22"/>
              </w:rPr>
              <w:t>Consider providing appropriate health and safety messages to accompany payments</w:t>
            </w:r>
            <w:r w:rsidRPr="00DA1399">
              <w:rPr>
                <w:szCs w:val="22"/>
              </w:rPr>
              <w:t xml:space="preserve"> (for example messages reinforcing need for handwashing and social distancing measures</w:t>
            </w:r>
            <w:r>
              <w:rPr>
                <w:szCs w:val="22"/>
              </w:rPr>
              <w:t>).</w:t>
            </w:r>
          </w:p>
          <w:p w14:paraId="0A72D0BF" w14:textId="77777777" w:rsidR="00854009" w:rsidRPr="00797C62" w:rsidRDefault="00854009" w:rsidP="00854009">
            <w:pPr>
              <w:rPr>
                <w:b/>
                <w:szCs w:val="22"/>
              </w:rPr>
            </w:pPr>
            <w:r w:rsidRPr="00797C62">
              <w:rPr>
                <w:b/>
                <w:szCs w:val="22"/>
              </w:rPr>
              <w:t>Mitigating Violence Against Women and Girls</w:t>
            </w:r>
          </w:p>
          <w:p w14:paraId="4728E5E4" w14:textId="141FC4B2" w:rsidR="00854009" w:rsidRPr="00854009" w:rsidRDefault="00854009" w:rsidP="00854009">
            <w:pPr>
              <w:pStyle w:val="ListBullet"/>
            </w:pPr>
            <w:r w:rsidRPr="00854009">
              <w:rPr>
                <w:b/>
                <w:bCs/>
              </w:rPr>
              <w:t>Support national governments and implementing organisations to communicate information and expectations about delivery, entitlements, behaviour and protection risks</w:t>
            </w:r>
            <w:r w:rsidRPr="00797C62">
              <w:t>, to ensure common understanding of what constitutes abuse or ethical violation of rights.</w:t>
            </w:r>
          </w:p>
        </w:tc>
      </w:tr>
      <w:tr w:rsidR="00481846" w:rsidRPr="00F40125" w14:paraId="44F2ED1E" w14:textId="77777777" w:rsidTr="00663572">
        <w:tc>
          <w:tcPr>
            <w:tcW w:w="9209" w:type="dxa"/>
            <w:noWrap/>
            <w:tcMar>
              <w:top w:w="113" w:type="dxa"/>
              <w:bottom w:w="113" w:type="dxa"/>
            </w:tcMar>
          </w:tcPr>
          <w:p w14:paraId="748F9FD0" w14:textId="365DB378" w:rsidR="00481846" w:rsidRPr="00797C62" w:rsidRDefault="00481846" w:rsidP="00663572">
            <w:pPr>
              <w:spacing w:after="0"/>
              <w:rPr>
                <w:b/>
                <w:szCs w:val="22"/>
              </w:rPr>
            </w:pPr>
            <w:r>
              <w:rPr>
                <w:b/>
                <w:szCs w:val="22"/>
              </w:rPr>
              <w:lastRenderedPageBreak/>
              <w:t>Capacity and skills</w:t>
            </w:r>
          </w:p>
        </w:tc>
      </w:tr>
      <w:tr w:rsidR="00481846" w:rsidRPr="00F40125" w14:paraId="1AB88ADC" w14:textId="77777777" w:rsidTr="00663572">
        <w:tc>
          <w:tcPr>
            <w:tcW w:w="9209" w:type="dxa"/>
            <w:noWrap/>
            <w:tcMar>
              <w:top w:w="113" w:type="dxa"/>
              <w:bottom w:w="113" w:type="dxa"/>
            </w:tcMar>
          </w:tcPr>
          <w:p w14:paraId="394BBEC7" w14:textId="77777777" w:rsidR="00481846" w:rsidRPr="00797C62" w:rsidRDefault="00481846" w:rsidP="00481846">
            <w:pPr>
              <w:rPr>
                <w:b/>
                <w:szCs w:val="22"/>
              </w:rPr>
            </w:pPr>
            <w:r w:rsidRPr="00797C62">
              <w:rPr>
                <w:b/>
                <w:szCs w:val="22"/>
              </w:rPr>
              <w:t>Gender sensitive and gender transformative</w:t>
            </w:r>
          </w:p>
          <w:p w14:paraId="29E2B9DA" w14:textId="77777777" w:rsidR="00481846" w:rsidRPr="00797C62" w:rsidRDefault="00481846" w:rsidP="00481846">
            <w:pPr>
              <w:pStyle w:val="ListBullet"/>
              <w:rPr>
                <w:rFonts w:eastAsiaTheme="minorHAnsi"/>
                <w:lang w:val="en-US"/>
              </w:rPr>
            </w:pPr>
            <w:r w:rsidRPr="00797C62">
              <w:rPr>
                <w:rFonts w:eastAsiaTheme="minorHAnsi"/>
                <w:b/>
                <w:lang w:val="en-US"/>
              </w:rPr>
              <w:t>Ensure that staff have the capacity, skills and resources</w:t>
            </w:r>
            <w:r w:rsidRPr="00797C62">
              <w:rPr>
                <w:rFonts w:eastAsiaTheme="minorHAnsi"/>
                <w:lang w:val="en-US"/>
              </w:rPr>
              <w:t xml:space="preserve"> to deliver </w:t>
            </w:r>
            <w:r>
              <w:rPr>
                <w:rFonts w:eastAsiaTheme="minorHAnsi"/>
                <w:lang w:val="en-US"/>
              </w:rPr>
              <w:t xml:space="preserve">COVID safe and </w:t>
            </w:r>
            <w:r w:rsidRPr="00797C62">
              <w:rPr>
                <w:rFonts w:eastAsiaTheme="minorHAnsi"/>
                <w:lang w:val="en-US"/>
              </w:rPr>
              <w:t>gender-sensitive and transformative social protection:</w:t>
            </w:r>
          </w:p>
          <w:p w14:paraId="7A00A6B3" w14:textId="77777777" w:rsidR="00481846" w:rsidRPr="00797C62" w:rsidRDefault="00481846" w:rsidP="00481846">
            <w:pPr>
              <w:pStyle w:val="ListBullet2"/>
              <w:rPr>
                <w:rFonts w:eastAsiaTheme="minorHAnsi"/>
                <w:lang w:val="en-US"/>
              </w:rPr>
            </w:pPr>
            <w:r w:rsidRPr="00797C62">
              <w:rPr>
                <w:rFonts w:eastAsiaTheme="minorHAnsi"/>
                <w:b/>
                <w:bCs/>
                <w:iCs/>
                <w:lang w:val="en-US"/>
              </w:rPr>
              <w:t>Involve gender advisors and where possible, GBV risk specialists throughout the program cycle</w:t>
            </w:r>
            <w:r w:rsidRPr="00797C62">
              <w:rPr>
                <w:rFonts w:eastAsiaTheme="minorHAnsi"/>
                <w:lang w:val="en-US"/>
              </w:rPr>
              <w:t xml:space="preserve">, </w:t>
            </w:r>
            <w:r w:rsidRPr="00797C62">
              <w:rPr>
                <w:rFonts w:eastAsiaTheme="minorHAnsi"/>
                <w:b/>
                <w:bCs/>
                <w:lang w:val="en-US"/>
              </w:rPr>
              <w:t>identify a gender focal point or gender coordinator</w:t>
            </w:r>
            <w:r w:rsidRPr="00797C62">
              <w:rPr>
                <w:rFonts w:eastAsiaTheme="minorHAnsi"/>
                <w:lang w:val="en-US"/>
              </w:rPr>
              <w:t>. Provide access to gender resources and mainstreaming tools;</w:t>
            </w:r>
          </w:p>
          <w:p w14:paraId="06081E50" w14:textId="77777777" w:rsidR="00481846" w:rsidRPr="00797C62" w:rsidRDefault="00481846" w:rsidP="00481846">
            <w:pPr>
              <w:pStyle w:val="ListBullet2"/>
              <w:rPr>
                <w:rFonts w:eastAsiaTheme="minorHAnsi"/>
                <w:lang w:val="en-US"/>
              </w:rPr>
            </w:pPr>
            <w:r w:rsidRPr="00797C62">
              <w:rPr>
                <w:rFonts w:eastAsiaTheme="minorHAnsi"/>
                <w:b/>
                <w:bCs/>
                <w:iCs/>
                <w:lang w:val="en-US"/>
              </w:rPr>
              <w:t>Develop a network and learning platform between actors</w:t>
            </w:r>
            <w:r w:rsidRPr="00797C62">
              <w:rPr>
                <w:rFonts w:eastAsiaTheme="minorHAnsi"/>
                <w:lang w:val="en-US"/>
              </w:rPr>
              <w:t xml:space="preserve"> working on gender, social protection, humanitarian response and protection issues to share knowledge and data on gender and inclusion; and</w:t>
            </w:r>
          </w:p>
          <w:p w14:paraId="007F8B27" w14:textId="77777777" w:rsidR="00481846" w:rsidRDefault="00481846" w:rsidP="00481846">
            <w:pPr>
              <w:pStyle w:val="ListBullet2"/>
              <w:rPr>
                <w:rFonts w:eastAsiaTheme="minorHAnsi"/>
                <w:lang w:val="en-US"/>
              </w:rPr>
            </w:pPr>
            <w:r w:rsidRPr="00797C62">
              <w:rPr>
                <w:rFonts w:eastAsiaTheme="minorHAnsi"/>
                <w:b/>
                <w:bCs/>
                <w:iCs/>
                <w:lang w:val="en-US"/>
              </w:rPr>
              <w:t>Identify training needs</w:t>
            </w:r>
            <w:r w:rsidRPr="00797C62">
              <w:rPr>
                <w:rFonts w:eastAsiaTheme="minorHAnsi"/>
                <w:lang w:val="en-US"/>
              </w:rPr>
              <w:t xml:space="preserve"> for program staff on </w:t>
            </w:r>
            <w:r>
              <w:rPr>
                <w:rFonts w:eastAsiaTheme="minorHAnsi"/>
                <w:lang w:val="en-US"/>
              </w:rPr>
              <w:t xml:space="preserve">sanitation and social distancing requirements. </w:t>
            </w:r>
            <w:r w:rsidRPr="00DA1399">
              <w:rPr>
                <w:rFonts w:eastAsiaTheme="minorHAnsi"/>
                <w:lang w:val="en-US"/>
              </w:rPr>
              <w:t>Provide training for staff and partners if required</w:t>
            </w:r>
          </w:p>
          <w:p w14:paraId="380A1177" w14:textId="77777777" w:rsidR="00481846" w:rsidRPr="00797C62" w:rsidRDefault="00481846" w:rsidP="00481846">
            <w:pPr>
              <w:pStyle w:val="ListBullet2"/>
              <w:rPr>
                <w:rFonts w:eastAsiaTheme="minorHAnsi"/>
                <w:lang w:val="en-US"/>
              </w:rPr>
            </w:pPr>
            <w:r>
              <w:rPr>
                <w:rFonts w:eastAsiaTheme="minorHAnsi"/>
                <w:lang w:val="en-US"/>
              </w:rPr>
              <w:t xml:space="preserve"> Identify </w:t>
            </w:r>
            <w:r w:rsidRPr="00797C62">
              <w:rPr>
                <w:rFonts w:eastAsiaTheme="minorHAnsi"/>
                <w:lang w:val="en-US"/>
              </w:rPr>
              <w:t>gender and diversity</w:t>
            </w:r>
            <w:r>
              <w:rPr>
                <w:rFonts w:eastAsiaTheme="minorHAnsi"/>
                <w:lang w:val="en-US"/>
              </w:rPr>
              <w:t xml:space="preserve"> training needs</w:t>
            </w:r>
            <w:r w:rsidRPr="00797C62">
              <w:rPr>
                <w:rFonts w:eastAsiaTheme="minorHAnsi"/>
                <w:lang w:val="en-US"/>
              </w:rPr>
              <w:t>.</w:t>
            </w:r>
          </w:p>
          <w:p w14:paraId="1CB568F1" w14:textId="65450E9A" w:rsidR="00481846" w:rsidRPr="00481846" w:rsidRDefault="00481846" w:rsidP="00481846">
            <w:pPr>
              <w:pStyle w:val="ListBullet"/>
              <w:rPr>
                <w:rFonts w:eastAsiaTheme="minorHAnsi"/>
                <w:lang w:val="en-US"/>
              </w:rPr>
            </w:pPr>
            <w:r w:rsidRPr="00481846">
              <w:rPr>
                <w:rFonts w:eastAsiaTheme="minorHAnsi"/>
                <w:b/>
                <w:bCs/>
                <w:lang w:val="en-US"/>
              </w:rPr>
              <w:t>Provide opportunities for beneficiary women (including young women) to be involved in program governance</w:t>
            </w:r>
            <w:r w:rsidRPr="00797C62">
              <w:rPr>
                <w:rFonts w:eastAsiaTheme="minorHAnsi"/>
                <w:lang w:val="en-US"/>
              </w:rPr>
              <w:t>, to join supervisor schemes (e.g. in public works programs) and program leadership positions.</w:t>
            </w:r>
          </w:p>
          <w:p w14:paraId="7687A78F" w14:textId="77777777" w:rsidR="00481846" w:rsidRPr="00797C62" w:rsidRDefault="00481846" w:rsidP="00481846">
            <w:pPr>
              <w:rPr>
                <w:b/>
                <w:szCs w:val="22"/>
              </w:rPr>
            </w:pPr>
            <w:r w:rsidRPr="00797C62">
              <w:rPr>
                <w:b/>
                <w:szCs w:val="22"/>
              </w:rPr>
              <w:t>Mitigating Violence Against Women and Girls</w:t>
            </w:r>
          </w:p>
          <w:p w14:paraId="4D341A20" w14:textId="77777777" w:rsidR="00481846" w:rsidRPr="00481846" w:rsidRDefault="00481846" w:rsidP="00481846">
            <w:pPr>
              <w:pStyle w:val="ListBullet"/>
              <w:rPr>
                <w:rFonts w:eastAsiaTheme="minorHAnsi"/>
              </w:rPr>
            </w:pPr>
            <w:r w:rsidRPr="00797C62">
              <w:rPr>
                <w:rFonts w:eastAsiaTheme="minorHAnsi"/>
                <w:b/>
                <w:bCs/>
                <w:lang w:val="en-US"/>
              </w:rPr>
              <w:t xml:space="preserve">Ensure that staff </w:t>
            </w:r>
            <w:r w:rsidRPr="00481846">
              <w:rPr>
                <w:rFonts w:eastAsiaTheme="minorHAnsi"/>
              </w:rPr>
              <w:t>have the capacity, skills and resources to mitigate GBV and protection risks, and have been adequately trained and vetted on GBV protection risks; and</w:t>
            </w:r>
          </w:p>
          <w:p w14:paraId="510A7F0A" w14:textId="4582451F" w:rsidR="00481846" w:rsidRPr="00481846" w:rsidRDefault="00481846" w:rsidP="00481846">
            <w:pPr>
              <w:pStyle w:val="ListBullet"/>
              <w:rPr>
                <w:rFonts w:eastAsiaTheme="minorHAnsi"/>
                <w:lang w:val="en-US"/>
              </w:rPr>
            </w:pPr>
            <w:r w:rsidRPr="00481846">
              <w:t>Ensure program staff and partners know where to find specialist expert advice and this is pre-identified and</w:t>
            </w:r>
            <w:r w:rsidRPr="00797C62">
              <w:t xml:space="preserve"> budgeted for.</w:t>
            </w:r>
          </w:p>
        </w:tc>
      </w:tr>
      <w:tr w:rsidR="000F5B39" w:rsidRPr="00F40125" w14:paraId="6C7899E2" w14:textId="77777777" w:rsidTr="00663572">
        <w:tc>
          <w:tcPr>
            <w:tcW w:w="9209" w:type="dxa"/>
            <w:noWrap/>
            <w:tcMar>
              <w:top w:w="113" w:type="dxa"/>
              <w:bottom w:w="113" w:type="dxa"/>
            </w:tcMar>
          </w:tcPr>
          <w:p w14:paraId="07C6B0C8" w14:textId="52EB4416" w:rsidR="000F5B39" w:rsidRPr="00797C62" w:rsidRDefault="000F5B39" w:rsidP="00663572">
            <w:pPr>
              <w:spacing w:after="0"/>
              <w:rPr>
                <w:b/>
                <w:szCs w:val="22"/>
              </w:rPr>
            </w:pPr>
            <w:r>
              <w:rPr>
                <w:b/>
                <w:szCs w:val="22"/>
              </w:rPr>
              <w:t>Grievance and Redress Mechanisms (GRM)</w:t>
            </w:r>
          </w:p>
        </w:tc>
      </w:tr>
      <w:tr w:rsidR="000F5B39" w:rsidRPr="00F40125" w14:paraId="1397722F" w14:textId="77777777" w:rsidTr="00663572">
        <w:tc>
          <w:tcPr>
            <w:tcW w:w="9209" w:type="dxa"/>
            <w:noWrap/>
            <w:tcMar>
              <w:top w:w="113" w:type="dxa"/>
              <w:bottom w:w="113" w:type="dxa"/>
            </w:tcMar>
          </w:tcPr>
          <w:p w14:paraId="225AF0C4" w14:textId="77777777" w:rsidR="000F5B39" w:rsidRPr="00797C62" w:rsidRDefault="000F5B39" w:rsidP="000F5B39">
            <w:pPr>
              <w:rPr>
                <w:b/>
                <w:szCs w:val="22"/>
              </w:rPr>
            </w:pPr>
            <w:r w:rsidRPr="00797C62">
              <w:rPr>
                <w:b/>
                <w:szCs w:val="22"/>
              </w:rPr>
              <w:t>Gender sensitive and gender transformative</w:t>
            </w:r>
          </w:p>
          <w:p w14:paraId="15D351D1" w14:textId="77777777" w:rsidR="000F5B39" w:rsidRPr="00797C62" w:rsidRDefault="000F5B39" w:rsidP="000F5B39">
            <w:pPr>
              <w:pStyle w:val="ListBullet"/>
            </w:pPr>
            <w:r w:rsidRPr="000F5B39">
              <w:rPr>
                <w:b/>
                <w:bCs/>
              </w:rPr>
              <w:t>Grievance and redress mechanisms provide avenues for people to seek redress if they feel they have missed out, or if aspects of the program have not been carried out correctly</w:t>
            </w:r>
            <w:r>
              <w:t xml:space="preserve"> or COVID health and safety protocols were lacking. </w:t>
            </w:r>
            <w:r w:rsidRPr="00797C62">
              <w:t>Ensure all community members and beneficiaries, especially the most marginalised, are aware of GRM and how to use them.</w:t>
            </w:r>
          </w:p>
          <w:p w14:paraId="66F684C2" w14:textId="77777777" w:rsidR="000F5B39" w:rsidRPr="00797C62" w:rsidRDefault="000F5B39" w:rsidP="000F5B39">
            <w:pPr>
              <w:pStyle w:val="ListBullet"/>
              <w:rPr>
                <w:b/>
              </w:rPr>
            </w:pPr>
            <w:r w:rsidRPr="00797C62">
              <w:lastRenderedPageBreak/>
              <w:t xml:space="preserve">GRM should provide accessible, easy and anonymous reporting of complaints. In the context of COVID-19, there may be more reliance on GRM through phone calls and text messages. </w:t>
            </w:r>
            <w:r w:rsidRPr="00797C62">
              <w:rPr>
                <w:b/>
              </w:rPr>
              <w:t>There should also be other ways to access GRM if mobile phone usage is low. This needs to be appropriately communicated (see above for communication methods)</w:t>
            </w:r>
            <w:r w:rsidRPr="00797C62">
              <w:t xml:space="preserve">. </w:t>
            </w:r>
          </w:p>
          <w:p w14:paraId="0706C1F6" w14:textId="5EED7770" w:rsidR="000F5B39" w:rsidRPr="000F5B39" w:rsidRDefault="000F5B39" w:rsidP="000F5B39">
            <w:pPr>
              <w:pStyle w:val="ListBullet"/>
              <w:rPr>
                <w:b/>
              </w:rPr>
            </w:pPr>
            <w:r w:rsidRPr="00797C62">
              <w:t xml:space="preserve">GRM should provide feedback to individuals on how their complaint is being processed and how it was dealt with.  </w:t>
            </w:r>
          </w:p>
          <w:p w14:paraId="294BB14B" w14:textId="77777777" w:rsidR="000F5B39" w:rsidRPr="00797C62" w:rsidRDefault="000F5B39" w:rsidP="000F5B39">
            <w:pPr>
              <w:rPr>
                <w:b/>
                <w:szCs w:val="22"/>
              </w:rPr>
            </w:pPr>
            <w:r w:rsidRPr="00797C62">
              <w:rPr>
                <w:b/>
                <w:szCs w:val="22"/>
              </w:rPr>
              <w:t>Mitigating Violence Against Women and Girls</w:t>
            </w:r>
          </w:p>
          <w:p w14:paraId="57DD4331" w14:textId="77777777" w:rsidR="000F5B39" w:rsidRPr="00797C62" w:rsidRDefault="000F5B39" w:rsidP="000F5B39">
            <w:pPr>
              <w:pStyle w:val="ListBullet"/>
              <w:rPr>
                <w:b/>
              </w:rPr>
            </w:pPr>
            <w:r w:rsidRPr="00797C62">
              <w:t xml:space="preserve">Beneficiary and community members need to be able to raise issues of abuse, neglect, exploitation and violence. </w:t>
            </w:r>
            <w:r w:rsidRPr="00797C62">
              <w:rPr>
                <w:bCs/>
              </w:rPr>
              <w:t>To enable this,</w:t>
            </w:r>
            <w:r w:rsidRPr="00797C62">
              <w:rPr>
                <w:b/>
              </w:rPr>
              <w:t xml:space="preserve"> </w:t>
            </w:r>
            <w:r w:rsidRPr="00797C62">
              <w:rPr>
                <w:b/>
                <w:bCs/>
              </w:rPr>
              <w:t>GRM should include:</w:t>
            </w:r>
          </w:p>
          <w:p w14:paraId="5E678A70" w14:textId="77777777" w:rsidR="000F5B39" w:rsidRPr="000F5B39" w:rsidRDefault="000F5B39" w:rsidP="000F5B39">
            <w:pPr>
              <w:pStyle w:val="ListBullet2"/>
              <w:rPr>
                <w:b/>
                <w:bCs/>
              </w:rPr>
            </w:pPr>
            <w:r w:rsidRPr="000F5B39">
              <w:rPr>
                <w:b/>
                <w:bCs/>
              </w:rPr>
              <w:t>Awareness about what constitutes abuse, neglect, exploitation and violence;</w:t>
            </w:r>
          </w:p>
          <w:p w14:paraId="4536CA25" w14:textId="77777777" w:rsidR="000F5B39" w:rsidRPr="000F5B39" w:rsidRDefault="000F5B39" w:rsidP="000F5B39">
            <w:pPr>
              <w:pStyle w:val="ListBullet2"/>
            </w:pPr>
            <w:r w:rsidRPr="00797C62">
              <w:rPr>
                <w:b/>
                <w:bCs/>
              </w:rPr>
              <w:t>A ‘referral pathway’</w:t>
            </w:r>
            <w:r w:rsidRPr="00797C62">
              <w:t xml:space="preserve"> that is </w:t>
            </w:r>
            <w:r w:rsidRPr="000F5B39">
              <w:t>regularly updated and explains who to contact and the required response. Ensure that referral agencies are women and child-friendly; and</w:t>
            </w:r>
          </w:p>
          <w:p w14:paraId="46E9D4D9" w14:textId="48EE62EF" w:rsidR="000F5B39" w:rsidRPr="000F5B39" w:rsidRDefault="000F5B39" w:rsidP="00481846">
            <w:pPr>
              <w:pStyle w:val="ListBullet2"/>
            </w:pPr>
            <w:r w:rsidRPr="000F5B39">
              <w:rPr>
                <w:b/>
                <w:bCs/>
              </w:rPr>
              <w:t>Anonymous recording systems to keep account of complaints, investigation protocols and contingency budgets</w:t>
            </w:r>
            <w:r w:rsidRPr="00797C62">
              <w:t xml:space="preserve"> for following up any protection cases that are identified during programming.</w:t>
            </w:r>
          </w:p>
        </w:tc>
      </w:tr>
      <w:tr w:rsidR="000F5B39" w:rsidRPr="00F40125" w14:paraId="54852379" w14:textId="77777777" w:rsidTr="00663572">
        <w:tc>
          <w:tcPr>
            <w:tcW w:w="9209" w:type="dxa"/>
            <w:noWrap/>
            <w:tcMar>
              <w:top w:w="113" w:type="dxa"/>
              <w:bottom w:w="113" w:type="dxa"/>
            </w:tcMar>
          </w:tcPr>
          <w:p w14:paraId="12AEB845" w14:textId="77777777" w:rsidR="000F5B39" w:rsidRPr="006464CC" w:rsidRDefault="000F5B39" w:rsidP="000F5B39">
            <w:pPr>
              <w:spacing w:before="100" w:beforeAutospacing="1" w:after="100" w:afterAutospacing="1"/>
              <w:contextualSpacing/>
              <w:rPr>
                <w:rFonts w:cstheme="minorHAnsi"/>
                <w:szCs w:val="22"/>
              </w:rPr>
            </w:pPr>
            <w:r>
              <w:rPr>
                <w:rFonts w:cstheme="minorHAnsi"/>
                <w:szCs w:val="22"/>
              </w:rPr>
              <w:lastRenderedPageBreak/>
              <w:t xml:space="preserve">Suggested </w:t>
            </w:r>
            <w:r w:rsidRPr="006464CC">
              <w:rPr>
                <w:rFonts w:cstheme="minorHAnsi"/>
                <w:b/>
                <w:szCs w:val="22"/>
              </w:rPr>
              <w:t>resources and guidance on gender and social protection delivery systems</w:t>
            </w:r>
            <w:r w:rsidRPr="006464CC">
              <w:rPr>
                <w:rFonts w:cstheme="minorHAnsi"/>
                <w:szCs w:val="22"/>
              </w:rPr>
              <w:t xml:space="preserve"> and implementation:</w:t>
            </w:r>
          </w:p>
          <w:p w14:paraId="53DFE457" w14:textId="77777777" w:rsidR="000F5B39" w:rsidRPr="00BA731F" w:rsidRDefault="000F5B39" w:rsidP="000F5B39">
            <w:pPr>
              <w:pStyle w:val="ListParagraph"/>
              <w:numPr>
                <w:ilvl w:val="0"/>
                <w:numId w:val="28"/>
              </w:numPr>
              <w:spacing w:before="100" w:beforeAutospacing="1" w:after="100" w:afterAutospacing="1"/>
              <w:rPr>
                <w:rFonts w:cstheme="minorHAnsi"/>
                <w:szCs w:val="22"/>
              </w:rPr>
            </w:pPr>
            <w:r w:rsidRPr="00BA731F">
              <w:rPr>
                <w:rFonts w:cstheme="minorHAnsi"/>
                <w:szCs w:val="22"/>
              </w:rPr>
              <w:t xml:space="preserve">COVID-19 specific: </w:t>
            </w:r>
            <w:hyperlink r:id="rId41" w:history="1">
              <w:r w:rsidRPr="00BA731F">
                <w:rPr>
                  <w:rStyle w:val="Hyperlink"/>
                  <w:rFonts w:cstheme="minorHAnsi"/>
                  <w:szCs w:val="22"/>
                </w:rPr>
                <w:t>SPACE guidance 2020</w:t>
              </w:r>
            </w:hyperlink>
          </w:p>
          <w:p w14:paraId="4F47BD10" w14:textId="77777777" w:rsidR="000F5B39" w:rsidRPr="00BA731F" w:rsidRDefault="000F5B39" w:rsidP="000F5B39">
            <w:pPr>
              <w:pStyle w:val="ListParagraph"/>
              <w:numPr>
                <w:ilvl w:val="0"/>
                <w:numId w:val="28"/>
              </w:numPr>
              <w:spacing w:before="100" w:beforeAutospacing="1" w:after="100" w:afterAutospacing="1"/>
              <w:rPr>
                <w:rFonts w:cstheme="minorHAnsi"/>
                <w:szCs w:val="22"/>
              </w:rPr>
            </w:pPr>
            <w:r w:rsidRPr="00BA731F">
              <w:rPr>
                <w:rFonts w:cstheme="minorHAnsi"/>
                <w:szCs w:val="22"/>
              </w:rPr>
              <w:t xml:space="preserve">GSMA </w:t>
            </w:r>
            <w:hyperlink r:id="rId42" w:history="1">
              <w:r w:rsidRPr="00BA731F">
                <w:rPr>
                  <w:rStyle w:val="Hyperlink"/>
                  <w:rFonts w:cstheme="minorHAnsi"/>
                  <w:szCs w:val="22"/>
                </w:rPr>
                <w:t>The Mobile Gender Gap Report 2019</w:t>
              </w:r>
            </w:hyperlink>
          </w:p>
          <w:p w14:paraId="0E2CF864" w14:textId="77777777" w:rsidR="000F5B39" w:rsidRPr="008C5502" w:rsidRDefault="000F5B39" w:rsidP="000F5B39">
            <w:pPr>
              <w:pStyle w:val="ListParagraph"/>
              <w:numPr>
                <w:ilvl w:val="0"/>
                <w:numId w:val="28"/>
              </w:numPr>
              <w:spacing w:before="100" w:beforeAutospacing="1" w:after="100" w:afterAutospacing="1"/>
              <w:rPr>
                <w:rFonts w:cstheme="minorHAnsi"/>
                <w:szCs w:val="22"/>
              </w:rPr>
            </w:pPr>
            <w:r w:rsidRPr="008C5502">
              <w:rPr>
                <w:rFonts w:cstheme="minorHAnsi"/>
                <w:szCs w:val="22"/>
              </w:rPr>
              <w:t xml:space="preserve">HelpAge International </w:t>
            </w:r>
            <w:hyperlink r:id="rId43" w:history="1">
              <w:r w:rsidRPr="005D6142">
                <w:rPr>
                  <w:rStyle w:val="Hyperlink"/>
                  <w:rFonts w:cstheme="minorHAnsi"/>
                  <w:szCs w:val="22"/>
                </w:rPr>
                <w:t>Safely collecting pensions</w:t>
              </w:r>
            </w:hyperlink>
            <w:r w:rsidRPr="008C5502">
              <w:rPr>
                <w:rFonts w:cstheme="minorHAnsi"/>
                <w:szCs w:val="22"/>
              </w:rPr>
              <w:t xml:space="preserve"> </w:t>
            </w:r>
          </w:p>
          <w:p w14:paraId="6E41C52E" w14:textId="77777777" w:rsidR="000F5B39" w:rsidRDefault="000F5B39" w:rsidP="000F5B39">
            <w:pPr>
              <w:pStyle w:val="ListParagraph"/>
              <w:numPr>
                <w:ilvl w:val="0"/>
                <w:numId w:val="28"/>
              </w:numPr>
              <w:spacing w:before="100" w:beforeAutospacing="1" w:after="100" w:afterAutospacing="1"/>
              <w:rPr>
                <w:rFonts w:cstheme="minorHAnsi"/>
                <w:szCs w:val="22"/>
              </w:rPr>
            </w:pPr>
            <w:r>
              <w:rPr>
                <w:rFonts w:cstheme="minorHAnsi"/>
                <w:szCs w:val="22"/>
              </w:rPr>
              <w:t xml:space="preserve">Interagency Social Protection Tools: </w:t>
            </w:r>
            <w:hyperlink r:id="rId44" w:history="1">
              <w:r w:rsidRPr="00BA731F">
                <w:rPr>
                  <w:rStyle w:val="Hyperlink"/>
                  <w:rFonts w:cstheme="minorHAnsi"/>
                  <w:szCs w:val="22"/>
                </w:rPr>
                <w:t>Practical tools: Improving Social Protection for all</w:t>
              </w:r>
            </w:hyperlink>
          </w:p>
          <w:p w14:paraId="6C366008" w14:textId="77777777" w:rsidR="000F5B39" w:rsidRPr="008C5502" w:rsidRDefault="000F5B39" w:rsidP="000F5B39">
            <w:pPr>
              <w:pStyle w:val="ListParagraph"/>
              <w:numPr>
                <w:ilvl w:val="0"/>
                <w:numId w:val="28"/>
              </w:numPr>
              <w:spacing w:before="100" w:beforeAutospacing="1" w:after="100" w:afterAutospacing="1"/>
              <w:rPr>
                <w:rFonts w:cstheme="minorHAnsi"/>
                <w:szCs w:val="22"/>
              </w:rPr>
            </w:pPr>
            <w:r w:rsidRPr="003723F0">
              <w:rPr>
                <w:rFonts w:cstheme="minorHAnsi"/>
                <w:szCs w:val="22"/>
              </w:rPr>
              <w:t xml:space="preserve">FAO (2018) </w:t>
            </w:r>
            <w:hyperlink r:id="rId45" w:history="1">
              <w:r w:rsidRPr="005D6142">
                <w:rPr>
                  <w:rStyle w:val="Hyperlink"/>
                  <w:rFonts w:cstheme="minorHAnsi"/>
                  <w:szCs w:val="22"/>
                </w:rPr>
                <w:t>Integrating gender into implementation and monitoring and evaluation of cash transfer and public works programmes</w:t>
              </w:r>
            </w:hyperlink>
          </w:p>
          <w:p w14:paraId="14E29BF1" w14:textId="2405AC7D" w:rsidR="000F5B39" w:rsidRPr="000F5B39" w:rsidRDefault="000F5B39" w:rsidP="000F5B39">
            <w:pPr>
              <w:pStyle w:val="ListParagraph"/>
              <w:numPr>
                <w:ilvl w:val="0"/>
                <w:numId w:val="28"/>
              </w:numPr>
              <w:spacing w:before="100" w:beforeAutospacing="1" w:after="100" w:afterAutospacing="1"/>
              <w:rPr>
                <w:rFonts w:cstheme="minorHAnsi"/>
                <w:szCs w:val="22"/>
              </w:rPr>
            </w:pPr>
            <w:r w:rsidRPr="008C5502">
              <w:rPr>
                <w:rFonts w:cstheme="minorHAnsi"/>
                <w:szCs w:val="22"/>
              </w:rPr>
              <w:t xml:space="preserve">Development Pathways - </w:t>
            </w:r>
            <w:hyperlink r:id="rId46" w:history="1">
              <w:r w:rsidRPr="005D6142">
                <w:rPr>
                  <w:rStyle w:val="Hyperlink"/>
                  <w:rFonts w:cstheme="minorHAnsi"/>
                  <w:szCs w:val="22"/>
                </w:rPr>
                <w:t>Social Accountability in the Delivery of Social Protection</w:t>
              </w:r>
            </w:hyperlink>
          </w:p>
        </w:tc>
      </w:tr>
    </w:tbl>
    <w:p w14:paraId="29582C60" w14:textId="22FD2F78" w:rsidR="00F84B09" w:rsidRDefault="00F84B09" w:rsidP="00C32F3F">
      <w:pPr>
        <w:rPr>
          <w:b/>
          <w:color w:val="000000" w:themeColor="text1"/>
          <w:szCs w:val="22"/>
        </w:rPr>
      </w:pPr>
    </w:p>
    <w:p w14:paraId="6612D446" w14:textId="77777777" w:rsidR="00F84B09" w:rsidRDefault="00F84B09">
      <w:pPr>
        <w:spacing w:after="0" w:line="240" w:lineRule="auto"/>
        <w:rPr>
          <w:b/>
          <w:color w:val="000000" w:themeColor="text1"/>
          <w:szCs w:val="22"/>
        </w:rPr>
      </w:pPr>
      <w:r>
        <w:rPr>
          <w:b/>
          <w:color w:val="000000" w:themeColor="text1"/>
          <w:szCs w:val="22"/>
        </w:rPr>
        <w:br w:type="page"/>
      </w:r>
    </w:p>
    <w:p w14:paraId="36AB35CB" w14:textId="52FDCF4F" w:rsidR="004315B1" w:rsidRPr="00797C62" w:rsidRDefault="004315B1" w:rsidP="00D06981">
      <w:pPr>
        <w:pStyle w:val="Heading2"/>
      </w:pPr>
      <w:bookmarkStart w:id="20" w:name="_Toc49669966"/>
      <w:r w:rsidRPr="00797C62">
        <w:lastRenderedPageBreak/>
        <w:t>2.4 Monitoring</w:t>
      </w:r>
      <w:r w:rsidR="00A55397">
        <w:t>,</w:t>
      </w:r>
      <w:r w:rsidRPr="00797C62">
        <w:t xml:space="preserve"> evaluation</w:t>
      </w:r>
      <w:r w:rsidR="00B45A53" w:rsidRPr="00797C62">
        <w:t xml:space="preserve"> </w:t>
      </w:r>
      <w:r w:rsidR="00A55397">
        <w:t xml:space="preserve">and learning </w:t>
      </w:r>
      <w:r w:rsidR="00B45A53" w:rsidRPr="00797C62">
        <w:t>(M</w:t>
      </w:r>
      <w:r w:rsidR="00A55397">
        <w:t>EL</w:t>
      </w:r>
      <w:r w:rsidR="00B45A53" w:rsidRPr="00797C62">
        <w:t>)</w:t>
      </w:r>
      <w:bookmarkEnd w:id="20"/>
    </w:p>
    <w:p w14:paraId="613B7B32" w14:textId="59C2F99F" w:rsidR="002C5281" w:rsidRPr="00797C62" w:rsidRDefault="006D263B" w:rsidP="00354CE0">
      <w:pPr>
        <w:autoSpaceDE w:val="0"/>
        <w:autoSpaceDN w:val="0"/>
        <w:adjustRightInd w:val="0"/>
        <w:spacing w:after="240"/>
        <w:rPr>
          <w:b/>
          <w:color w:val="000000" w:themeColor="text1"/>
          <w:szCs w:val="22"/>
        </w:rPr>
      </w:pPr>
      <w:r w:rsidRPr="00797C62">
        <w:rPr>
          <w:rFonts w:eastAsiaTheme="minorHAnsi"/>
          <w:szCs w:val="22"/>
          <w:lang w:val="en-US"/>
        </w:rPr>
        <w:t>M</w:t>
      </w:r>
      <w:r w:rsidR="00A55397">
        <w:rPr>
          <w:rFonts w:eastAsiaTheme="minorHAnsi"/>
          <w:szCs w:val="22"/>
          <w:lang w:val="en-US"/>
        </w:rPr>
        <w:t>EL</w:t>
      </w:r>
      <w:r w:rsidRPr="00797C62">
        <w:rPr>
          <w:rFonts w:eastAsiaTheme="minorHAnsi"/>
          <w:szCs w:val="22"/>
          <w:lang w:val="en-US"/>
        </w:rPr>
        <w:t xml:space="preserve"> indicators </w:t>
      </w:r>
      <w:r w:rsidR="00D67A1B" w:rsidRPr="00797C62">
        <w:rPr>
          <w:rFonts w:eastAsiaTheme="minorHAnsi"/>
          <w:szCs w:val="22"/>
          <w:lang w:val="en-US"/>
        </w:rPr>
        <w:t>need to capture</w:t>
      </w:r>
      <w:r w:rsidRPr="00797C62">
        <w:rPr>
          <w:rFonts w:eastAsiaTheme="minorHAnsi"/>
          <w:szCs w:val="22"/>
          <w:lang w:val="en-US"/>
        </w:rPr>
        <w:t xml:space="preserve"> differences in women and men’s experiences</w:t>
      </w:r>
      <w:r w:rsidR="007B2242" w:rsidRPr="00797C62">
        <w:rPr>
          <w:rFonts w:eastAsiaTheme="minorHAnsi"/>
          <w:szCs w:val="22"/>
          <w:lang w:val="en-US"/>
        </w:rPr>
        <w:t xml:space="preserve"> of social protection as well as </w:t>
      </w:r>
      <w:r w:rsidRPr="00797C62">
        <w:rPr>
          <w:rFonts w:eastAsiaTheme="minorHAnsi"/>
          <w:szCs w:val="22"/>
          <w:lang w:val="en-US"/>
        </w:rPr>
        <w:t>allow</w:t>
      </w:r>
      <w:r w:rsidR="007B2242" w:rsidRPr="00797C62">
        <w:rPr>
          <w:rFonts w:eastAsiaTheme="minorHAnsi"/>
          <w:szCs w:val="22"/>
          <w:lang w:val="en-US"/>
        </w:rPr>
        <w:t>ing</w:t>
      </w:r>
      <w:r w:rsidRPr="00797C62">
        <w:rPr>
          <w:rFonts w:eastAsiaTheme="minorHAnsi"/>
          <w:szCs w:val="22"/>
          <w:lang w:val="en-US"/>
        </w:rPr>
        <w:t xml:space="preserve"> for an analysis of changes in gender relations and empowerment</w:t>
      </w:r>
      <w:r w:rsidR="007B2242" w:rsidRPr="00797C62">
        <w:rPr>
          <w:rFonts w:eastAsiaTheme="minorHAnsi"/>
          <w:szCs w:val="22"/>
          <w:lang w:val="en-US"/>
        </w:rPr>
        <w:t xml:space="preserve">. </w:t>
      </w:r>
      <w:r w:rsidR="00763129" w:rsidRPr="00797C62">
        <w:rPr>
          <w:rFonts w:eastAsiaTheme="minorHAnsi"/>
          <w:szCs w:val="22"/>
          <w:lang w:val="en-US"/>
        </w:rPr>
        <w:t>M</w:t>
      </w:r>
      <w:r w:rsidR="00A55397">
        <w:rPr>
          <w:rFonts w:eastAsiaTheme="minorHAnsi"/>
          <w:szCs w:val="22"/>
          <w:lang w:val="en-US"/>
        </w:rPr>
        <w:t>EL</w:t>
      </w:r>
      <w:r w:rsidR="007B2242" w:rsidRPr="00797C62">
        <w:rPr>
          <w:rFonts w:eastAsiaTheme="minorHAnsi"/>
          <w:szCs w:val="22"/>
          <w:lang w:val="en-US"/>
        </w:rPr>
        <w:t xml:space="preserve"> should capture unintended program effects. </w:t>
      </w:r>
      <w:r w:rsidR="002D2FED" w:rsidRPr="00797C62">
        <w:rPr>
          <w:color w:val="000000" w:themeColor="text1"/>
          <w:szCs w:val="22"/>
        </w:rPr>
        <w:t>Further resources on M</w:t>
      </w:r>
      <w:r w:rsidR="00A55397">
        <w:rPr>
          <w:color w:val="000000" w:themeColor="text1"/>
          <w:szCs w:val="22"/>
        </w:rPr>
        <w:t>EL</w:t>
      </w:r>
      <w:r w:rsidR="002D2FED" w:rsidRPr="00797C62">
        <w:rPr>
          <w:color w:val="000000" w:themeColor="text1"/>
          <w:szCs w:val="22"/>
        </w:rPr>
        <w:t xml:space="preserve"> are provided </w:t>
      </w:r>
      <w:r w:rsidR="00127765">
        <w:rPr>
          <w:color w:val="000000" w:themeColor="text1"/>
          <w:szCs w:val="22"/>
        </w:rPr>
        <w:t>below</w:t>
      </w:r>
      <w:r w:rsidR="002D2FED" w:rsidRPr="00797C62">
        <w:rPr>
          <w:color w:val="000000" w:themeColor="text1"/>
          <w:szCs w:val="22"/>
        </w:rPr>
        <w:t>.</w:t>
      </w:r>
    </w:p>
    <w:tbl>
      <w:tblPr>
        <w:tblStyle w:val="TableGrid"/>
        <w:tblW w:w="0" w:type="auto"/>
        <w:tblCellMar>
          <w:top w:w="57" w:type="dxa"/>
          <w:bottom w:w="57" w:type="dxa"/>
        </w:tblCellMar>
        <w:tblLook w:val="04A0" w:firstRow="1" w:lastRow="0" w:firstColumn="1" w:lastColumn="0" w:noHBand="0" w:noVBand="1"/>
      </w:tblPr>
      <w:tblGrid>
        <w:gridCol w:w="9010"/>
      </w:tblGrid>
      <w:tr w:rsidR="00A03455" w14:paraId="5231A296" w14:textId="77777777" w:rsidTr="00663572">
        <w:trPr>
          <w:tblHeader/>
        </w:trPr>
        <w:tc>
          <w:tcPr>
            <w:tcW w:w="9010" w:type="dxa"/>
            <w:shd w:val="clear" w:color="auto" w:fill="D9D9D9" w:themeFill="background1" w:themeFillShade="D9"/>
            <w:tcMar>
              <w:top w:w="113" w:type="dxa"/>
              <w:bottom w:w="113" w:type="dxa"/>
            </w:tcMar>
          </w:tcPr>
          <w:p w14:paraId="45470FB0" w14:textId="00A723AA" w:rsidR="00A03455" w:rsidRPr="00A03455" w:rsidRDefault="00A03455" w:rsidP="00663572">
            <w:pPr>
              <w:spacing w:after="0"/>
              <w:rPr>
                <w:b/>
                <w:bCs/>
              </w:rPr>
            </w:pPr>
            <w:r w:rsidRPr="00A03455">
              <w:rPr>
                <w:b/>
                <w:bCs/>
              </w:rPr>
              <w:t>Monitoring and evaluation—Key considerations</w:t>
            </w:r>
          </w:p>
        </w:tc>
      </w:tr>
      <w:tr w:rsidR="00A03455" w14:paraId="4174DEFD" w14:textId="77777777" w:rsidTr="00663572">
        <w:tc>
          <w:tcPr>
            <w:tcW w:w="9010" w:type="dxa"/>
            <w:tcMar>
              <w:top w:w="113" w:type="dxa"/>
              <w:bottom w:w="113" w:type="dxa"/>
            </w:tcMar>
          </w:tcPr>
          <w:p w14:paraId="0F239335" w14:textId="77777777" w:rsidR="00A03455" w:rsidRPr="00797C62" w:rsidRDefault="00A03455" w:rsidP="00663572">
            <w:pPr>
              <w:rPr>
                <w:b/>
                <w:szCs w:val="22"/>
              </w:rPr>
            </w:pPr>
            <w:r w:rsidRPr="00797C62">
              <w:rPr>
                <w:b/>
                <w:szCs w:val="22"/>
              </w:rPr>
              <w:t>Gender sensitive and gender transformative</w:t>
            </w:r>
          </w:p>
          <w:p w14:paraId="62D3012A" w14:textId="77777777" w:rsidR="00A03455" w:rsidRPr="00797C62" w:rsidRDefault="00A03455" w:rsidP="00A03455">
            <w:pPr>
              <w:pStyle w:val="ListBullet"/>
              <w:rPr>
                <w:rFonts w:eastAsiaTheme="minorHAnsi"/>
                <w:lang w:val="en-US"/>
              </w:rPr>
            </w:pPr>
            <w:r w:rsidRPr="00797C62">
              <w:rPr>
                <w:rFonts w:eastAsiaTheme="minorHAnsi"/>
                <w:b/>
                <w:lang w:val="en-US"/>
              </w:rPr>
              <w:t>M</w:t>
            </w:r>
            <w:r>
              <w:rPr>
                <w:rFonts w:eastAsiaTheme="minorHAnsi"/>
                <w:b/>
                <w:lang w:val="en-US"/>
              </w:rPr>
              <w:t>EL</w:t>
            </w:r>
            <w:r w:rsidRPr="00797C62">
              <w:rPr>
                <w:rFonts w:eastAsiaTheme="minorHAnsi"/>
                <w:b/>
                <w:lang w:val="en-US"/>
              </w:rPr>
              <w:t xml:space="preserve"> indicators should be appropriately designed to capture differences in women and men’s experience and outcomes. </w:t>
            </w:r>
            <w:r w:rsidRPr="00797C62">
              <w:rPr>
                <w:rFonts w:eastAsiaTheme="minorHAnsi"/>
                <w:lang w:val="en-US"/>
              </w:rPr>
              <w:t xml:space="preserve">Measure gender outcomes irrespective of whether gender equality is an explicit objective or not. </w:t>
            </w:r>
            <w:r w:rsidRPr="00797C62">
              <w:rPr>
                <w:rFonts w:eastAsiaTheme="minorHAnsi" w:cstheme="minorHAnsi"/>
                <w:lang w:val="en-US"/>
              </w:rPr>
              <w:t>At a minimum, all data should be disaggregated by sex, age and disability.</w:t>
            </w:r>
          </w:p>
          <w:p w14:paraId="53E088D7" w14:textId="77777777" w:rsidR="00A03455" w:rsidRPr="00797C62" w:rsidRDefault="00A03455" w:rsidP="00A03455">
            <w:pPr>
              <w:pStyle w:val="ListBullet"/>
              <w:rPr>
                <w:rFonts w:eastAsiaTheme="minorHAnsi"/>
                <w:lang w:val="en-US"/>
              </w:rPr>
            </w:pPr>
            <w:r w:rsidRPr="00797C62">
              <w:rPr>
                <w:rFonts w:eastAsiaTheme="minorHAnsi"/>
                <w:lang w:val="en-US"/>
              </w:rPr>
              <w:t xml:space="preserve">Measuring an increase in the number of women participants is not the same as demonstrating gender equality impact. </w:t>
            </w:r>
            <w:r w:rsidRPr="00797C62">
              <w:rPr>
                <w:rFonts w:eastAsiaTheme="minorHAnsi"/>
                <w:b/>
                <w:lang w:val="en-US"/>
              </w:rPr>
              <w:t xml:space="preserve">Use a combination of quantitative and qualitative measures and data to show not just ‘if’ a social protection policy or intervention is working </w:t>
            </w:r>
            <w:r w:rsidRPr="00797C62">
              <w:rPr>
                <w:rFonts w:eastAsiaTheme="minorHAnsi"/>
                <w:bCs/>
                <w:lang w:val="en-US"/>
              </w:rPr>
              <w:t xml:space="preserve">(the outcome), </w:t>
            </w:r>
            <w:r w:rsidRPr="00797C62">
              <w:rPr>
                <w:rFonts w:eastAsiaTheme="minorHAnsi"/>
                <w:b/>
                <w:lang w:val="en-US"/>
              </w:rPr>
              <w:t>but ‘how well’</w:t>
            </w:r>
            <w:r w:rsidRPr="00797C62">
              <w:rPr>
                <w:rFonts w:eastAsiaTheme="minorHAnsi"/>
                <w:lang w:val="en-US"/>
              </w:rPr>
              <w:t xml:space="preserve"> (the process of reaching that outcome).</w:t>
            </w:r>
          </w:p>
          <w:p w14:paraId="67EE7F1D" w14:textId="77777777" w:rsidR="00A03455" w:rsidRPr="00797C62" w:rsidRDefault="00A03455" w:rsidP="00A03455">
            <w:pPr>
              <w:pStyle w:val="ListBullet"/>
              <w:rPr>
                <w:rFonts w:eastAsiaTheme="minorHAnsi"/>
                <w:lang w:val="en-US"/>
              </w:rPr>
            </w:pPr>
            <w:r w:rsidRPr="00797C62">
              <w:rPr>
                <w:rFonts w:eastAsiaTheme="minorHAnsi" w:cstheme="minorHAnsi"/>
                <w:b/>
                <w:bCs/>
                <w:lang w:val="en-US"/>
              </w:rPr>
              <w:t>Where possible indicators should capture individual-level, not only household level, information.</w:t>
            </w:r>
            <w:r w:rsidRPr="00797C62">
              <w:rPr>
                <w:rFonts w:eastAsiaTheme="minorHAnsi" w:cstheme="minorHAnsi"/>
                <w:lang w:val="en-US"/>
              </w:rPr>
              <w:t xml:space="preserve"> Example indicators include:</w:t>
            </w:r>
          </w:p>
          <w:p w14:paraId="438F61AA" w14:textId="77777777" w:rsidR="00A03455" w:rsidRPr="00797C62" w:rsidRDefault="00A03455" w:rsidP="00A03455">
            <w:pPr>
              <w:pStyle w:val="ListBullet2"/>
              <w:rPr>
                <w:rFonts w:eastAsiaTheme="minorHAnsi"/>
                <w:lang w:val="en-US"/>
              </w:rPr>
            </w:pPr>
            <w:r w:rsidRPr="00797C62">
              <w:t>Time spent on program-related activities (conditionalities, collections);</w:t>
            </w:r>
          </w:p>
          <w:p w14:paraId="6EA28056" w14:textId="77777777" w:rsidR="00A03455" w:rsidRPr="00797C62" w:rsidRDefault="00A03455" w:rsidP="00A03455">
            <w:pPr>
              <w:pStyle w:val="ListBullet2"/>
              <w:rPr>
                <w:rFonts w:eastAsiaTheme="minorHAnsi"/>
                <w:lang w:val="en-US"/>
              </w:rPr>
            </w:pPr>
            <w:r w:rsidRPr="00797C62">
              <w:rPr>
                <w:rFonts w:eastAsiaTheme="minorHAnsi"/>
                <w:lang w:val="en-US"/>
              </w:rPr>
              <w:t>Reported exposure to messaging among target audience; and</w:t>
            </w:r>
          </w:p>
          <w:p w14:paraId="6B224B51" w14:textId="77777777" w:rsidR="00A03455" w:rsidRPr="00797C62" w:rsidRDefault="00A03455" w:rsidP="00A03455">
            <w:pPr>
              <w:pStyle w:val="ListBullet2"/>
              <w:rPr>
                <w:rFonts w:eastAsiaTheme="minorHAnsi"/>
                <w:lang w:val="en-US"/>
              </w:rPr>
            </w:pPr>
            <w:r w:rsidRPr="00797C62">
              <w:rPr>
                <w:rFonts w:eastAsiaTheme="minorHAnsi"/>
                <w:lang w:val="en-US"/>
              </w:rPr>
              <w:t>Reported take-up of complementary interventions/services.</w:t>
            </w:r>
          </w:p>
          <w:p w14:paraId="1DB047CE" w14:textId="77777777" w:rsidR="00A03455" w:rsidRPr="00797C62" w:rsidRDefault="00A03455" w:rsidP="00A03455">
            <w:pPr>
              <w:pStyle w:val="ListBullet"/>
              <w:rPr>
                <w:rFonts w:eastAsiaTheme="minorHAnsi"/>
                <w:lang w:val="en-US"/>
              </w:rPr>
            </w:pPr>
            <w:r w:rsidRPr="00797C62">
              <w:rPr>
                <w:bCs/>
                <w:iCs/>
              </w:rPr>
              <w:t>To capture transformative outcomes,</w:t>
            </w:r>
            <w:r w:rsidRPr="00797C62">
              <w:rPr>
                <w:b/>
              </w:rPr>
              <w:t xml:space="preserve"> </w:t>
            </w:r>
            <w:r w:rsidRPr="00797C62">
              <w:rPr>
                <w:rFonts w:eastAsiaTheme="minorHAnsi"/>
                <w:b/>
                <w:lang w:val="en-US"/>
              </w:rPr>
              <w:t>indicators need to monitor changes in relations between men and women, and girls and boys, and intersectional risks.</w:t>
            </w:r>
            <w:r w:rsidRPr="00797C62">
              <w:rPr>
                <w:rFonts w:eastAsiaTheme="minorHAnsi"/>
                <w:lang w:val="en-US"/>
              </w:rPr>
              <w:t xml:space="preserve"> Where possible, make use of existing longitudinal research. Example indicators include:</w:t>
            </w:r>
          </w:p>
          <w:p w14:paraId="0EBF7A89" w14:textId="77777777" w:rsidR="00A03455" w:rsidRPr="00797C62" w:rsidRDefault="00A03455" w:rsidP="00A03455">
            <w:pPr>
              <w:pStyle w:val="ListBullet2"/>
              <w:rPr>
                <w:rFonts w:eastAsiaTheme="minorHAnsi" w:cstheme="minorHAnsi"/>
                <w:lang w:val="en-US"/>
              </w:rPr>
            </w:pPr>
            <w:r w:rsidRPr="00797C62">
              <w:rPr>
                <w:rFonts w:eastAsiaTheme="minorHAnsi"/>
                <w:lang w:val="en-US"/>
              </w:rPr>
              <w:t>Control over social protection benefit;</w:t>
            </w:r>
          </w:p>
          <w:p w14:paraId="62CCA54C" w14:textId="77777777" w:rsidR="00A03455" w:rsidRPr="00797C62" w:rsidRDefault="00A03455" w:rsidP="00A03455">
            <w:pPr>
              <w:pStyle w:val="ListBullet2"/>
              <w:rPr>
                <w:rFonts w:eastAsiaTheme="minorHAnsi"/>
                <w:lang w:val="en-US"/>
              </w:rPr>
            </w:pPr>
            <w:r w:rsidRPr="00797C62">
              <w:rPr>
                <w:rFonts w:eastAsiaTheme="minorHAnsi"/>
                <w:lang w:val="en-US"/>
              </w:rPr>
              <w:t>Changes in women’s decision-making since the beginning of the program; and</w:t>
            </w:r>
          </w:p>
          <w:p w14:paraId="5FEE320B" w14:textId="77777777" w:rsidR="00A03455" w:rsidRPr="00797C62" w:rsidRDefault="00A03455" w:rsidP="00A03455">
            <w:pPr>
              <w:pStyle w:val="ListBullet2"/>
              <w:rPr>
                <w:rFonts w:eastAsiaTheme="minorHAnsi"/>
                <w:lang w:val="en-US"/>
              </w:rPr>
            </w:pPr>
            <w:r w:rsidRPr="00797C62">
              <w:rPr>
                <w:rFonts w:eastAsiaTheme="minorHAnsi"/>
                <w:lang w:val="en-US"/>
              </w:rPr>
              <w:t>Changes in attitudes towards women (gender division of labor, respect for women’s roles and responsibilities) since beginning of the program.</w:t>
            </w:r>
          </w:p>
          <w:p w14:paraId="5002BD3E" w14:textId="77777777" w:rsidR="00A03455" w:rsidRDefault="00A03455" w:rsidP="00A03455">
            <w:pPr>
              <w:pStyle w:val="ListBullet"/>
              <w:rPr>
                <w:rFonts w:eastAsiaTheme="minorHAnsi"/>
                <w:lang w:val="en-US"/>
              </w:rPr>
            </w:pPr>
            <w:r w:rsidRPr="00797C62">
              <w:rPr>
                <w:rFonts w:eastAsiaTheme="minorHAnsi"/>
                <w:b/>
                <w:lang w:val="en-US"/>
              </w:rPr>
              <w:t>Data collection must adhere to ethical standards, and COVID-19 related regulations on distance and contact</w:t>
            </w:r>
            <w:r w:rsidRPr="00797C62">
              <w:rPr>
                <w:rFonts w:eastAsiaTheme="minorHAnsi"/>
                <w:lang w:val="en-US"/>
              </w:rPr>
              <w:t>. The safety of researchers</w:t>
            </w:r>
            <w:r>
              <w:rPr>
                <w:rFonts w:eastAsiaTheme="minorHAnsi"/>
                <w:lang w:val="en-US"/>
              </w:rPr>
              <w:t xml:space="preserve">, </w:t>
            </w:r>
            <w:r w:rsidRPr="00797C62">
              <w:rPr>
                <w:rFonts w:eastAsiaTheme="minorHAnsi"/>
                <w:lang w:val="en-US"/>
              </w:rPr>
              <w:t xml:space="preserve">program beneficiaries and research respondents is paramount in line with Do No Harm principles. </w:t>
            </w:r>
          </w:p>
          <w:p w14:paraId="5C90616F" w14:textId="77777777" w:rsidR="00A03455" w:rsidRDefault="00A03455" w:rsidP="00A03455">
            <w:pPr>
              <w:pStyle w:val="ListBullet"/>
              <w:rPr>
                <w:rFonts w:eastAsiaTheme="minorHAnsi"/>
                <w:lang w:val="en-US"/>
              </w:rPr>
            </w:pPr>
            <w:r w:rsidRPr="00A55397">
              <w:rPr>
                <w:rFonts w:eastAsiaTheme="minorHAnsi"/>
                <w:lang w:val="en-US"/>
              </w:rPr>
              <w:t xml:space="preserve">Recognise that this is a new and emerging area which is ripe for research and learning, so </w:t>
            </w:r>
            <w:r w:rsidRPr="00A55397">
              <w:rPr>
                <w:rFonts w:eastAsiaTheme="minorHAnsi"/>
                <w:b/>
                <w:lang w:val="en-US"/>
              </w:rPr>
              <w:t>capture learnings and share with the social protection community</w:t>
            </w:r>
            <w:r w:rsidRPr="00A55397">
              <w:rPr>
                <w:rFonts w:eastAsiaTheme="minorHAnsi"/>
                <w:lang w:val="en-US"/>
              </w:rPr>
              <w:t>.'</w:t>
            </w:r>
          </w:p>
          <w:p w14:paraId="29F6C348" w14:textId="77777777" w:rsidR="00A03455" w:rsidRPr="00797C62" w:rsidRDefault="00A03455" w:rsidP="00A03455">
            <w:pPr>
              <w:rPr>
                <w:rFonts w:eastAsiaTheme="minorHAnsi"/>
                <w:szCs w:val="22"/>
                <w:lang w:val="en-US"/>
              </w:rPr>
            </w:pPr>
            <w:r w:rsidRPr="00797C62">
              <w:rPr>
                <w:b/>
                <w:szCs w:val="22"/>
              </w:rPr>
              <w:t>Mitigating Violence Against Women and Girls</w:t>
            </w:r>
          </w:p>
          <w:p w14:paraId="7AAE6078" w14:textId="77777777" w:rsidR="00A03455" w:rsidRPr="00797C62" w:rsidRDefault="00A03455" w:rsidP="00A03455">
            <w:pPr>
              <w:pStyle w:val="ListBullet"/>
            </w:pPr>
            <w:r w:rsidRPr="00A03455">
              <w:rPr>
                <w:b/>
                <w:bCs/>
              </w:rPr>
              <w:t>Programs must capture, monitor and address any GBV or protection issues that arise in the program.</w:t>
            </w:r>
            <w:r w:rsidRPr="00797C62">
              <w:t xml:space="preserve"> Example indicators include: </w:t>
            </w:r>
          </w:p>
          <w:p w14:paraId="0EB7C818" w14:textId="77777777" w:rsidR="00A03455" w:rsidRPr="00797C62" w:rsidRDefault="00A03455" w:rsidP="00A03455">
            <w:pPr>
              <w:pStyle w:val="ListBullet2"/>
            </w:pPr>
            <w:r w:rsidRPr="00797C62">
              <w:t>Reported unintended consequences around coercive and disempowering design and implementation practices;</w:t>
            </w:r>
          </w:p>
          <w:p w14:paraId="3B83F4CB" w14:textId="77777777" w:rsidR="00A03455" w:rsidRPr="00797C62" w:rsidRDefault="00A03455" w:rsidP="00A03455">
            <w:pPr>
              <w:pStyle w:val="ListBullet2"/>
            </w:pPr>
            <w:r w:rsidRPr="00797C62">
              <w:t>Reported cases of GBV or violence/abuse against children; and</w:t>
            </w:r>
          </w:p>
          <w:p w14:paraId="5052F2CD" w14:textId="77777777" w:rsidR="00A03455" w:rsidRPr="00797C62" w:rsidRDefault="00A03455" w:rsidP="00A03455">
            <w:pPr>
              <w:pStyle w:val="ListBullet2"/>
            </w:pPr>
            <w:r w:rsidRPr="00797C62">
              <w:t xml:space="preserve">Rates of early marriage, rates of adolescent pregnancy. </w:t>
            </w:r>
          </w:p>
          <w:p w14:paraId="19398142" w14:textId="77777777" w:rsidR="00A03455" w:rsidRDefault="00A03455" w:rsidP="00A03455">
            <w:pPr>
              <w:pStyle w:val="ListBullet"/>
            </w:pPr>
            <w:r w:rsidRPr="00797C62">
              <w:lastRenderedPageBreak/>
              <w:t>Institutional accountability mechanisms should be established and spot-checks carried out.</w:t>
            </w:r>
          </w:p>
          <w:p w14:paraId="5537318D" w14:textId="4E209233" w:rsidR="00A03455" w:rsidRPr="00A03455" w:rsidRDefault="00A03455" w:rsidP="00A03455">
            <w:pPr>
              <w:pStyle w:val="ListBullet"/>
              <w:rPr>
                <w:rFonts w:eastAsiaTheme="minorHAnsi"/>
                <w:lang w:val="en-US"/>
              </w:rPr>
            </w:pPr>
            <w:r w:rsidRPr="00A03455">
              <w:rPr>
                <w:b/>
                <w:bCs/>
              </w:rPr>
              <w:t>Actively monitor for unintended consequences</w:t>
            </w:r>
            <w:r w:rsidRPr="00BE4CD0">
              <w:t xml:space="preserve"> in line with a Do No Harm approach.'</w:t>
            </w:r>
          </w:p>
        </w:tc>
      </w:tr>
      <w:tr w:rsidR="00A03455" w14:paraId="565403FA" w14:textId="77777777" w:rsidTr="00663572">
        <w:tc>
          <w:tcPr>
            <w:tcW w:w="9010" w:type="dxa"/>
            <w:tcMar>
              <w:top w:w="113" w:type="dxa"/>
              <w:bottom w:w="113" w:type="dxa"/>
            </w:tcMar>
          </w:tcPr>
          <w:p w14:paraId="6F1F9AF2" w14:textId="61D96CB2" w:rsidR="00A03455" w:rsidRPr="002E131B" w:rsidRDefault="00A03455" w:rsidP="00354CE0">
            <w:pPr>
              <w:spacing w:before="120" w:after="100" w:afterAutospacing="1"/>
              <w:contextualSpacing/>
              <w:rPr>
                <w:rFonts w:cstheme="minorHAnsi"/>
                <w:b/>
              </w:rPr>
            </w:pPr>
            <w:r>
              <w:rPr>
                <w:rFonts w:cstheme="minorHAnsi"/>
                <w:szCs w:val="22"/>
              </w:rPr>
              <w:lastRenderedPageBreak/>
              <w:t xml:space="preserve">Suggested </w:t>
            </w:r>
            <w:r w:rsidRPr="00F40114">
              <w:rPr>
                <w:rFonts w:cstheme="minorHAnsi"/>
                <w:b/>
                <w:szCs w:val="22"/>
              </w:rPr>
              <w:t xml:space="preserve">resources and guidance on gender and social protection </w:t>
            </w:r>
            <w:r>
              <w:rPr>
                <w:rFonts w:cstheme="minorHAnsi"/>
                <w:b/>
                <w:szCs w:val="22"/>
              </w:rPr>
              <w:t>monitoring and evaluation</w:t>
            </w:r>
            <w:r w:rsidRPr="002E131B">
              <w:rPr>
                <w:rFonts w:cstheme="minorHAnsi"/>
                <w:b/>
              </w:rPr>
              <w:t xml:space="preserve"> </w:t>
            </w:r>
          </w:p>
          <w:p w14:paraId="2A88288E" w14:textId="77777777" w:rsidR="00A03455" w:rsidRPr="003B27B8" w:rsidRDefault="00A03455" w:rsidP="00354CE0">
            <w:pPr>
              <w:pStyle w:val="ListParagraph"/>
              <w:numPr>
                <w:ilvl w:val="0"/>
                <w:numId w:val="29"/>
              </w:numPr>
              <w:spacing w:before="100" w:beforeAutospacing="1"/>
              <w:ind w:left="714" w:hanging="357"/>
              <w:rPr>
                <w:rFonts w:cstheme="minorHAnsi"/>
                <w:szCs w:val="22"/>
              </w:rPr>
            </w:pPr>
            <w:r w:rsidRPr="003B27B8">
              <w:rPr>
                <w:rFonts w:cstheme="minorHAnsi"/>
                <w:szCs w:val="22"/>
              </w:rPr>
              <w:t xml:space="preserve">COVID-19 specific: </w:t>
            </w:r>
            <w:hyperlink r:id="rId47" w:history="1">
              <w:r w:rsidRPr="003B27B8">
                <w:rPr>
                  <w:rStyle w:val="Hyperlink"/>
                  <w:rFonts w:cstheme="minorHAnsi"/>
                  <w:szCs w:val="22"/>
                </w:rPr>
                <w:t>SPACE guidance</w:t>
              </w:r>
              <w:r w:rsidRPr="00BA731F">
                <w:rPr>
                  <w:rStyle w:val="Hyperlink"/>
                  <w:rFonts w:cstheme="minorHAnsi"/>
                  <w:szCs w:val="22"/>
                </w:rPr>
                <w:t xml:space="preserve"> 2020</w:t>
              </w:r>
            </w:hyperlink>
          </w:p>
          <w:p w14:paraId="4488A621" w14:textId="77777777" w:rsidR="00A03455" w:rsidRPr="002E131B" w:rsidRDefault="00A03455" w:rsidP="00354CE0">
            <w:pPr>
              <w:pStyle w:val="ListParagraph"/>
              <w:numPr>
                <w:ilvl w:val="0"/>
                <w:numId w:val="29"/>
              </w:numPr>
              <w:spacing w:before="100" w:beforeAutospacing="1"/>
              <w:ind w:left="714" w:hanging="357"/>
              <w:rPr>
                <w:rFonts w:cstheme="minorHAnsi"/>
                <w:szCs w:val="22"/>
              </w:rPr>
            </w:pPr>
            <w:r w:rsidRPr="002E131B">
              <w:rPr>
                <w:rFonts w:cstheme="minorHAnsi"/>
                <w:szCs w:val="22"/>
              </w:rPr>
              <w:t xml:space="preserve">GAGE: </w:t>
            </w:r>
            <w:hyperlink r:id="rId48" w:history="1">
              <w:r w:rsidRPr="002E131B">
                <w:rPr>
                  <w:rStyle w:val="Hyperlink"/>
                  <w:rFonts w:cstheme="minorHAnsi"/>
                  <w:szCs w:val="22"/>
                </w:rPr>
                <w:t>Doing Long-Distance Research With Vulnerable Adolescents Under COVID-19 Lockdown</w:t>
              </w:r>
            </w:hyperlink>
            <w:r w:rsidRPr="002E131B">
              <w:rPr>
                <w:rFonts w:cstheme="minorHAnsi"/>
                <w:szCs w:val="22"/>
              </w:rPr>
              <w:t xml:space="preserve"> </w:t>
            </w:r>
          </w:p>
          <w:p w14:paraId="495A11F6" w14:textId="77777777" w:rsidR="00A03455" w:rsidRPr="002E131B" w:rsidRDefault="00A03455" w:rsidP="00354CE0">
            <w:pPr>
              <w:pStyle w:val="ListParagraph"/>
              <w:numPr>
                <w:ilvl w:val="0"/>
                <w:numId w:val="29"/>
              </w:numPr>
              <w:spacing w:before="100" w:beforeAutospacing="1"/>
              <w:ind w:left="714" w:hanging="357"/>
              <w:rPr>
                <w:rFonts w:cstheme="minorHAnsi"/>
                <w:szCs w:val="22"/>
              </w:rPr>
            </w:pPr>
            <w:r w:rsidRPr="002E131B">
              <w:rPr>
                <w:rFonts w:cstheme="minorHAnsi"/>
                <w:szCs w:val="22"/>
              </w:rPr>
              <w:t xml:space="preserve">UNICEF Evidence for Action: </w:t>
            </w:r>
            <w:hyperlink r:id="rId49" w:history="1">
              <w:r w:rsidRPr="002E131B">
                <w:rPr>
                  <w:rStyle w:val="Hyperlink"/>
                  <w:rFonts w:cstheme="minorHAnsi"/>
                  <w:szCs w:val="22"/>
                </w:rPr>
                <w:t>Ethical collection of data from children during the COVID-19 pandemic</w:t>
              </w:r>
            </w:hyperlink>
            <w:r w:rsidRPr="002E131B">
              <w:rPr>
                <w:rFonts w:cstheme="minorHAnsi"/>
                <w:szCs w:val="22"/>
              </w:rPr>
              <w:t xml:space="preserve">  </w:t>
            </w:r>
          </w:p>
          <w:p w14:paraId="1F6FD945" w14:textId="77777777" w:rsidR="00A03455" w:rsidRPr="002E131B" w:rsidRDefault="00A03455" w:rsidP="00354CE0">
            <w:pPr>
              <w:pStyle w:val="ListParagraph"/>
              <w:numPr>
                <w:ilvl w:val="0"/>
                <w:numId w:val="29"/>
              </w:numPr>
              <w:spacing w:before="100" w:beforeAutospacing="1"/>
              <w:ind w:left="714" w:hanging="357"/>
              <w:rPr>
                <w:rFonts w:cstheme="minorHAnsi"/>
                <w:szCs w:val="22"/>
              </w:rPr>
            </w:pPr>
            <w:r w:rsidRPr="002E131B">
              <w:rPr>
                <w:rFonts w:cstheme="minorHAnsi"/>
                <w:szCs w:val="22"/>
              </w:rPr>
              <w:t xml:space="preserve">LSE:  </w:t>
            </w:r>
            <w:hyperlink r:id="rId50" w:history="1">
              <w:r w:rsidRPr="002E131B">
                <w:rPr>
                  <w:rStyle w:val="Hyperlink"/>
                  <w:rFonts w:cstheme="minorHAnsi"/>
                  <w:szCs w:val="22"/>
                </w:rPr>
                <w:t>Carrying out qualitative research under lockdown – Practical and ethical considerations</w:t>
              </w:r>
            </w:hyperlink>
          </w:p>
          <w:p w14:paraId="3B9B77E9" w14:textId="3E19A1FB" w:rsidR="00A03455" w:rsidRPr="00A03455" w:rsidRDefault="00A03455" w:rsidP="00A03455">
            <w:pPr>
              <w:pStyle w:val="ListParagraph"/>
              <w:numPr>
                <w:ilvl w:val="0"/>
                <w:numId w:val="29"/>
              </w:numPr>
              <w:spacing w:before="100" w:beforeAutospacing="1" w:after="100" w:afterAutospacing="1"/>
              <w:rPr>
                <w:rFonts w:cstheme="minorHAnsi"/>
                <w:szCs w:val="22"/>
              </w:rPr>
            </w:pPr>
            <w:r w:rsidRPr="002E131B">
              <w:rPr>
                <w:rFonts w:cstheme="minorHAnsi"/>
                <w:szCs w:val="22"/>
              </w:rPr>
              <w:t>DFID (2020): VAWG Helpdesk Safeguarding</w:t>
            </w:r>
          </w:p>
        </w:tc>
      </w:tr>
    </w:tbl>
    <w:p w14:paraId="365594E6" w14:textId="77777777" w:rsidR="00FB5426" w:rsidRPr="00797C62" w:rsidRDefault="00FB5426" w:rsidP="00570CFE">
      <w:pPr>
        <w:pStyle w:val="ListParagraph"/>
        <w:ind w:left="0"/>
        <w:rPr>
          <w:rFonts w:cstheme="minorHAnsi"/>
          <w:szCs w:val="22"/>
        </w:rPr>
      </w:pPr>
    </w:p>
    <w:p w14:paraId="0C3DFAB9" w14:textId="77777777" w:rsidR="00FB5426" w:rsidRPr="00797C62" w:rsidRDefault="00FB5426" w:rsidP="00570CFE">
      <w:pPr>
        <w:pStyle w:val="ListParagraph"/>
        <w:ind w:left="0"/>
        <w:rPr>
          <w:rFonts w:cstheme="minorHAnsi"/>
          <w:szCs w:val="22"/>
        </w:rPr>
        <w:sectPr w:rsidR="00FB5426" w:rsidRPr="00797C62" w:rsidSect="001A3461">
          <w:headerReference w:type="even" r:id="rId51"/>
          <w:headerReference w:type="default" r:id="rId52"/>
          <w:footerReference w:type="even" r:id="rId53"/>
          <w:footerReference w:type="default" r:id="rId54"/>
          <w:headerReference w:type="first" r:id="rId55"/>
          <w:footerReference w:type="first" r:id="rId56"/>
          <w:pgSz w:w="11900" w:h="16840"/>
          <w:pgMar w:top="1440" w:right="1440" w:bottom="1522" w:left="1440" w:header="709" w:footer="567" w:gutter="0"/>
          <w:cols w:space="708"/>
          <w:titlePg/>
          <w:docGrid w:linePitch="360"/>
        </w:sectPr>
      </w:pPr>
    </w:p>
    <w:p w14:paraId="40C84367" w14:textId="7B06DEA7" w:rsidR="00C93D69" w:rsidRPr="00797C62" w:rsidRDefault="00091F76" w:rsidP="00663572">
      <w:pPr>
        <w:pStyle w:val="Heading1"/>
        <w:spacing w:after="480"/>
      </w:pPr>
      <w:bookmarkStart w:id="21" w:name="_Toc49669967"/>
      <w:r w:rsidRPr="00797C62">
        <w:lastRenderedPageBreak/>
        <w:t xml:space="preserve">PART 3: </w:t>
      </w:r>
      <w:r w:rsidR="00ED6715" w:rsidRPr="00797C62">
        <w:t xml:space="preserve">GESI and VAWG </w:t>
      </w:r>
      <w:r w:rsidR="00A03455" w:rsidRPr="00797C62">
        <w:t>considerations and program response options at a glance</w:t>
      </w:r>
      <w:bookmarkEnd w:id="21"/>
      <w:r w:rsidR="00A03455" w:rsidRPr="00797C62">
        <w:t xml:space="preserve"> </w:t>
      </w:r>
    </w:p>
    <w:p w14:paraId="5C3A0663" w14:textId="77777777" w:rsidR="008E52FC" w:rsidRPr="00797C62" w:rsidRDefault="00B9382F" w:rsidP="00F93F8E">
      <w:pPr>
        <w:shd w:val="clear" w:color="auto" w:fill="FFFFFF" w:themeFill="background1"/>
        <w:rPr>
          <w:bCs/>
          <w:szCs w:val="22"/>
        </w:rPr>
      </w:pPr>
      <w:r w:rsidRPr="00797C62">
        <w:rPr>
          <w:szCs w:val="22"/>
        </w:rPr>
        <w:t xml:space="preserve">Refer to </w:t>
      </w:r>
      <w:r w:rsidRPr="00797C62">
        <w:rPr>
          <w:b/>
          <w:szCs w:val="22"/>
        </w:rPr>
        <w:t>Annex 1</w:t>
      </w:r>
      <w:r w:rsidRPr="00797C62">
        <w:rPr>
          <w:szCs w:val="22"/>
        </w:rPr>
        <w:t xml:space="preserve"> for further resources.</w:t>
      </w:r>
      <w:r w:rsidR="00274556" w:rsidRPr="00797C62">
        <w:rPr>
          <w:szCs w:val="22"/>
        </w:rPr>
        <w:t xml:space="preserve"> </w:t>
      </w:r>
      <w:r w:rsidRPr="00797C62">
        <w:rPr>
          <w:szCs w:val="22"/>
        </w:rPr>
        <w:t xml:space="preserve">Colour schema: </w:t>
      </w:r>
      <w:r w:rsidRPr="00797C62">
        <w:rPr>
          <w:bCs/>
          <w:szCs w:val="22"/>
        </w:rPr>
        <w:t xml:space="preserve">1) Gender sensitive and gender transformative approaches and </w:t>
      </w:r>
    </w:p>
    <w:p w14:paraId="4BFCE4D1" w14:textId="1FF44314" w:rsidR="00B9382F" w:rsidRDefault="00B9382F" w:rsidP="00354CE0">
      <w:pPr>
        <w:shd w:val="clear" w:color="auto" w:fill="FFFFFF" w:themeFill="background1"/>
        <w:spacing w:after="240"/>
        <w:rPr>
          <w:bCs/>
          <w:color w:val="4472C4" w:themeColor="accent1"/>
          <w:szCs w:val="22"/>
        </w:rPr>
      </w:pPr>
      <w:r w:rsidRPr="00797C62">
        <w:rPr>
          <w:bCs/>
          <w:color w:val="4472C4" w:themeColor="accent1"/>
          <w:szCs w:val="22"/>
        </w:rPr>
        <w:t xml:space="preserve">2) Minimum approaches to VAWG safeguarding. </w:t>
      </w:r>
    </w:p>
    <w:tbl>
      <w:tblPr>
        <w:tblStyle w:val="TableGrid"/>
        <w:tblW w:w="14029" w:type="dxa"/>
        <w:tblCellMar>
          <w:top w:w="57" w:type="dxa"/>
          <w:bottom w:w="57" w:type="dxa"/>
        </w:tblCellMar>
        <w:tblLook w:val="04A0" w:firstRow="1" w:lastRow="0" w:firstColumn="1" w:lastColumn="0" w:noHBand="0" w:noVBand="1"/>
      </w:tblPr>
      <w:tblGrid>
        <w:gridCol w:w="3681"/>
        <w:gridCol w:w="7087"/>
        <w:gridCol w:w="3261"/>
      </w:tblGrid>
      <w:tr w:rsidR="00500DC9" w14:paraId="14E67A9C" w14:textId="77777777" w:rsidTr="00663572">
        <w:trPr>
          <w:tblHeader/>
        </w:trPr>
        <w:tc>
          <w:tcPr>
            <w:tcW w:w="3681" w:type="dxa"/>
            <w:shd w:val="clear" w:color="auto" w:fill="D9D9D9" w:themeFill="background1" w:themeFillShade="D9"/>
            <w:tcMar>
              <w:top w:w="113" w:type="dxa"/>
              <w:bottom w:w="113" w:type="dxa"/>
            </w:tcMar>
          </w:tcPr>
          <w:p w14:paraId="2D408737" w14:textId="5CCF58C9" w:rsidR="00500DC9" w:rsidRDefault="00500DC9" w:rsidP="00663572">
            <w:pPr>
              <w:spacing w:after="0" w:line="280" w:lineRule="atLeast"/>
              <w:rPr>
                <w:bCs/>
                <w:szCs w:val="22"/>
              </w:rPr>
            </w:pPr>
            <w:r w:rsidRPr="00865668">
              <w:rPr>
                <w:rFonts w:cstheme="minorHAnsi"/>
                <w:b/>
                <w:bCs/>
                <w:szCs w:val="22"/>
              </w:rPr>
              <w:t>Key gender and VAWG considerations</w:t>
            </w:r>
          </w:p>
        </w:tc>
        <w:tc>
          <w:tcPr>
            <w:tcW w:w="7087" w:type="dxa"/>
            <w:shd w:val="clear" w:color="auto" w:fill="D9D9D9" w:themeFill="background1" w:themeFillShade="D9"/>
            <w:tcMar>
              <w:top w:w="113" w:type="dxa"/>
              <w:bottom w:w="113" w:type="dxa"/>
            </w:tcMar>
          </w:tcPr>
          <w:p w14:paraId="1F901329" w14:textId="198DFF06" w:rsidR="00500DC9" w:rsidRDefault="00500DC9" w:rsidP="00663572">
            <w:pPr>
              <w:spacing w:after="0" w:line="280" w:lineRule="atLeast"/>
              <w:rPr>
                <w:bCs/>
                <w:szCs w:val="22"/>
              </w:rPr>
            </w:pPr>
            <w:r w:rsidRPr="00865668">
              <w:rPr>
                <w:rFonts w:cstheme="minorHAnsi"/>
                <w:b/>
                <w:bCs/>
                <w:szCs w:val="22"/>
              </w:rPr>
              <w:t xml:space="preserve">Key actionable recommendations </w:t>
            </w:r>
          </w:p>
        </w:tc>
        <w:tc>
          <w:tcPr>
            <w:tcW w:w="3261" w:type="dxa"/>
            <w:shd w:val="clear" w:color="auto" w:fill="D9D9D9" w:themeFill="background1" w:themeFillShade="D9"/>
            <w:tcMar>
              <w:top w:w="113" w:type="dxa"/>
              <w:bottom w:w="113" w:type="dxa"/>
            </w:tcMar>
          </w:tcPr>
          <w:p w14:paraId="753BDEFD" w14:textId="777D4126" w:rsidR="00500DC9" w:rsidRDefault="00500DC9" w:rsidP="00663572">
            <w:pPr>
              <w:spacing w:after="0" w:line="280" w:lineRule="atLeast"/>
              <w:rPr>
                <w:bCs/>
                <w:szCs w:val="22"/>
              </w:rPr>
            </w:pPr>
            <w:r w:rsidRPr="00865668">
              <w:rPr>
                <w:rFonts w:cstheme="minorHAnsi"/>
                <w:b/>
                <w:bCs/>
                <w:szCs w:val="22"/>
              </w:rPr>
              <w:t>Key questions for sense-checking</w:t>
            </w:r>
          </w:p>
        </w:tc>
      </w:tr>
      <w:tr w:rsidR="00500DC9" w14:paraId="505A2E8C" w14:textId="77777777" w:rsidTr="00663572">
        <w:tc>
          <w:tcPr>
            <w:tcW w:w="14029" w:type="dxa"/>
            <w:gridSpan w:val="3"/>
            <w:tcMar>
              <w:top w:w="113" w:type="dxa"/>
              <w:bottom w:w="113" w:type="dxa"/>
            </w:tcMar>
          </w:tcPr>
          <w:p w14:paraId="509DC9F9" w14:textId="66400639" w:rsidR="00500DC9" w:rsidRDefault="00500DC9" w:rsidP="00663572">
            <w:pPr>
              <w:spacing w:after="0" w:line="280" w:lineRule="atLeast"/>
              <w:jc w:val="center"/>
              <w:rPr>
                <w:bCs/>
                <w:szCs w:val="22"/>
              </w:rPr>
            </w:pPr>
            <w:r w:rsidRPr="00865668">
              <w:rPr>
                <w:rFonts w:cstheme="minorHAnsi"/>
                <w:b/>
                <w:bCs/>
                <w:szCs w:val="22"/>
              </w:rPr>
              <w:t>Pre-design situation assessment</w:t>
            </w:r>
          </w:p>
        </w:tc>
      </w:tr>
      <w:tr w:rsidR="00500DC9" w14:paraId="70341634" w14:textId="77777777" w:rsidTr="00663572">
        <w:tc>
          <w:tcPr>
            <w:tcW w:w="3681" w:type="dxa"/>
            <w:tcMar>
              <w:top w:w="113" w:type="dxa"/>
              <w:bottom w:w="113" w:type="dxa"/>
            </w:tcMar>
          </w:tcPr>
          <w:p w14:paraId="339AD9AF" w14:textId="77777777" w:rsidR="00500DC9" w:rsidRPr="00797C62" w:rsidRDefault="00500DC9" w:rsidP="00500DC9">
            <w:pPr>
              <w:pStyle w:val="ListBullet"/>
              <w:rPr>
                <w:b/>
                <w:bCs/>
              </w:rPr>
            </w:pPr>
            <w:r w:rsidRPr="00797C62">
              <w:t>Women and girls face differential and exacerbated risks and vulnerabilities in the context of COVID-19.</w:t>
            </w:r>
          </w:p>
          <w:p w14:paraId="569DDA07" w14:textId="77777777" w:rsidR="00500DC9" w:rsidRPr="00797C62" w:rsidRDefault="00500DC9" w:rsidP="00500DC9">
            <w:pPr>
              <w:pStyle w:val="ListBullet"/>
              <w:rPr>
                <w:b/>
                <w:bCs/>
              </w:rPr>
            </w:pPr>
            <w:r w:rsidRPr="00797C62">
              <w:t>Understanding how COVID-19 affects women and girls is necessary to ensure social protection adequately responds to women and girls’ needs.</w:t>
            </w:r>
          </w:p>
          <w:p w14:paraId="2EB88993" w14:textId="00C21504" w:rsidR="00500DC9" w:rsidRDefault="00500DC9" w:rsidP="00500DC9">
            <w:pPr>
              <w:spacing w:after="240"/>
              <w:rPr>
                <w:bCs/>
                <w:szCs w:val="22"/>
              </w:rPr>
            </w:pPr>
            <w:r w:rsidRPr="00797C62">
              <w:rPr>
                <w:rFonts w:cstheme="minorHAnsi"/>
                <w:color w:val="4472C4" w:themeColor="accent1"/>
              </w:rPr>
              <w:t xml:space="preserve">Women and girls face heightened risks of GBV and protection risks that need to inform programming. </w:t>
            </w:r>
          </w:p>
        </w:tc>
        <w:tc>
          <w:tcPr>
            <w:tcW w:w="7087" w:type="dxa"/>
            <w:tcMar>
              <w:top w:w="113" w:type="dxa"/>
              <w:bottom w:w="113" w:type="dxa"/>
            </w:tcMar>
          </w:tcPr>
          <w:p w14:paraId="30ACDF18" w14:textId="16C98FB5" w:rsidR="00500DC9" w:rsidRPr="00797C62" w:rsidRDefault="00500DC9" w:rsidP="00500DC9">
            <w:pPr>
              <w:pStyle w:val="ListBullet"/>
            </w:pPr>
            <w:r w:rsidRPr="00797C62">
              <w:rPr>
                <w:rFonts w:cstheme="minorHAnsi"/>
              </w:rPr>
              <w:t xml:space="preserve">Conduct a GESI analysis on </w:t>
            </w:r>
            <w:r w:rsidRPr="00797C62">
              <w:t xml:space="preserve">i) existing patterns of poverty and vulnerability of women and girls across lifecycle and other </w:t>
            </w:r>
            <w:r w:rsidR="00946F6D">
              <w:br/>
            </w:r>
            <w:r w:rsidRPr="00797C62">
              <w:t>intersecting risks, and ii) how the crisis shapes and creates risks and vulnerabilities.</w:t>
            </w:r>
          </w:p>
          <w:p w14:paraId="72F76EBD" w14:textId="77777777" w:rsidR="00500DC9" w:rsidRPr="00797C62" w:rsidRDefault="00500DC9" w:rsidP="00500DC9">
            <w:pPr>
              <w:pStyle w:val="ListBullet"/>
            </w:pPr>
            <w:r w:rsidRPr="00797C62">
              <w:rPr>
                <w:rFonts w:cstheme="minorHAnsi"/>
              </w:rPr>
              <w:t xml:space="preserve">Identify </w:t>
            </w:r>
            <w:r w:rsidRPr="00797C62">
              <w:t>what information is needed to meet women and girls’ immediate needs,</w:t>
            </w:r>
            <w:r>
              <w:t xml:space="preserve"> during the COVID crisis</w:t>
            </w:r>
            <w:r w:rsidRPr="00797C62">
              <w:t xml:space="preserve"> and plan for the long term on how to promote equality and empowerment to meet transformational objectives. </w:t>
            </w:r>
          </w:p>
          <w:p w14:paraId="196037E5" w14:textId="77777777" w:rsidR="00500DC9" w:rsidRPr="00797C62" w:rsidRDefault="00500DC9" w:rsidP="00500DC9">
            <w:pPr>
              <w:pStyle w:val="ListBullet"/>
            </w:pPr>
            <w:r w:rsidRPr="00797C62">
              <w:t>Include women in planning and prioritising appropriate public works activities</w:t>
            </w:r>
          </w:p>
          <w:p w14:paraId="1B4D055D" w14:textId="77777777" w:rsidR="00500DC9" w:rsidRPr="00797C62" w:rsidRDefault="00500DC9" w:rsidP="00500DC9">
            <w:pPr>
              <w:pStyle w:val="ListBullet"/>
            </w:pPr>
            <w:r w:rsidRPr="00797C62">
              <w:t xml:space="preserve">Use existing GESI poverty and vulnerability analyses – see Annex 1. </w:t>
            </w:r>
          </w:p>
          <w:p w14:paraId="74D38AF6" w14:textId="77777777" w:rsidR="00500DC9" w:rsidRPr="00797C62" w:rsidRDefault="00500DC9" w:rsidP="005D6102">
            <w:pPr>
              <w:pStyle w:val="Listbulletblue"/>
            </w:pPr>
            <w:r w:rsidRPr="00797C62">
              <w:t>Comply with VAWG safeguarding requirements by collecting and analysing data on gender-based violence and protection risks.</w:t>
            </w:r>
          </w:p>
          <w:p w14:paraId="7882A8A3" w14:textId="7286F8D3" w:rsidR="00500DC9" w:rsidRDefault="00500DC9" w:rsidP="005D6102">
            <w:pPr>
              <w:pStyle w:val="Listbulletblue"/>
              <w:rPr>
                <w:bCs/>
                <w:szCs w:val="22"/>
              </w:rPr>
            </w:pPr>
            <w:r w:rsidRPr="005D6102">
              <w:t xml:space="preserve">Ensure institutional policies, codes of conduct and </w:t>
            </w:r>
            <w:r w:rsidRPr="005D6102">
              <w:rPr>
                <w:rFonts w:eastAsiaTheme="minorHAnsi"/>
                <w:lang w:val="en-US"/>
              </w:rPr>
              <w:t xml:space="preserve">safety or safeguarding strategy are in place. </w:t>
            </w:r>
          </w:p>
        </w:tc>
        <w:tc>
          <w:tcPr>
            <w:tcW w:w="3261" w:type="dxa"/>
            <w:tcMar>
              <w:top w:w="113" w:type="dxa"/>
              <w:bottom w:w="113" w:type="dxa"/>
            </w:tcMar>
          </w:tcPr>
          <w:p w14:paraId="3F04A16D" w14:textId="772445A9" w:rsidR="00500DC9" w:rsidRPr="00865668" w:rsidRDefault="00500DC9" w:rsidP="00500DC9">
            <w:pPr>
              <w:rPr>
                <w:rFonts w:cstheme="minorHAnsi"/>
                <w:szCs w:val="22"/>
              </w:rPr>
            </w:pPr>
            <w:r w:rsidRPr="00865668">
              <w:rPr>
                <w:rFonts w:cstheme="minorHAnsi"/>
                <w:szCs w:val="22"/>
              </w:rPr>
              <w:t xml:space="preserve">Has a GESI analysis to inform social protection </w:t>
            </w:r>
            <w:r w:rsidR="004D33EC">
              <w:rPr>
                <w:rFonts w:cstheme="minorHAnsi"/>
                <w:szCs w:val="22"/>
              </w:rPr>
              <w:t>programming</w:t>
            </w:r>
            <w:r w:rsidRPr="00865668">
              <w:rPr>
                <w:rFonts w:cstheme="minorHAnsi"/>
                <w:szCs w:val="22"/>
              </w:rPr>
              <w:t xml:space="preserve"> been undertaken?</w:t>
            </w:r>
          </w:p>
          <w:p w14:paraId="2FB1A64B" w14:textId="77777777" w:rsidR="00500DC9" w:rsidRPr="00865668" w:rsidRDefault="00500DC9" w:rsidP="00500DC9">
            <w:pPr>
              <w:rPr>
                <w:rFonts w:cstheme="minorHAnsi"/>
                <w:szCs w:val="22"/>
              </w:rPr>
            </w:pPr>
            <w:r w:rsidRPr="00865668">
              <w:rPr>
                <w:rFonts w:cstheme="minorHAnsi"/>
                <w:szCs w:val="22"/>
              </w:rPr>
              <w:t>Have consultations with local women’s rights disabled people’s organisations and other civil society organisations been undertaken?</w:t>
            </w:r>
          </w:p>
          <w:p w14:paraId="478C660F" w14:textId="4D4560F7" w:rsidR="00500DC9" w:rsidRDefault="00500DC9" w:rsidP="00500DC9">
            <w:pPr>
              <w:spacing w:after="240"/>
              <w:rPr>
                <w:bCs/>
                <w:szCs w:val="22"/>
              </w:rPr>
            </w:pPr>
            <w:r w:rsidRPr="00865668">
              <w:rPr>
                <w:rFonts w:cstheme="minorHAnsi"/>
                <w:szCs w:val="22"/>
              </w:rPr>
              <w:t>Has a GBV and protection risks assessment to inform SP programming been completed?</w:t>
            </w:r>
          </w:p>
        </w:tc>
      </w:tr>
      <w:tr w:rsidR="00500DC9" w14:paraId="2A442BEA" w14:textId="77777777" w:rsidTr="00663572">
        <w:tc>
          <w:tcPr>
            <w:tcW w:w="14029" w:type="dxa"/>
            <w:gridSpan w:val="3"/>
            <w:tcMar>
              <w:top w:w="113" w:type="dxa"/>
              <w:bottom w:w="113" w:type="dxa"/>
            </w:tcMar>
          </w:tcPr>
          <w:p w14:paraId="2FF0218F" w14:textId="525B8278" w:rsidR="00500DC9" w:rsidRPr="00663572" w:rsidRDefault="00500DC9" w:rsidP="00946F6D">
            <w:pPr>
              <w:spacing w:after="0"/>
              <w:jc w:val="center"/>
              <w:rPr>
                <w:bCs/>
                <w:szCs w:val="22"/>
              </w:rPr>
            </w:pPr>
            <w:r w:rsidRPr="00663572">
              <w:rPr>
                <w:rFonts w:cstheme="minorHAnsi"/>
                <w:b/>
                <w:bCs/>
                <w:color w:val="000000" w:themeColor="text1"/>
                <w:szCs w:val="22"/>
              </w:rPr>
              <w:lastRenderedPageBreak/>
              <w:t>Program design</w:t>
            </w:r>
          </w:p>
        </w:tc>
      </w:tr>
      <w:tr w:rsidR="00500DC9" w14:paraId="6F666F1A" w14:textId="77777777" w:rsidTr="00663572">
        <w:tc>
          <w:tcPr>
            <w:tcW w:w="3681" w:type="dxa"/>
            <w:tcMar>
              <w:top w:w="113" w:type="dxa"/>
              <w:bottom w:w="113" w:type="dxa"/>
            </w:tcMar>
          </w:tcPr>
          <w:p w14:paraId="19D932E8" w14:textId="77777777" w:rsidR="00500DC9" w:rsidRPr="00797C62" w:rsidRDefault="00500DC9" w:rsidP="00500DC9">
            <w:pPr>
              <w:pStyle w:val="ListBullet"/>
              <w:rPr>
                <w:b/>
                <w:bCs/>
              </w:rPr>
            </w:pPr>
            <w:r w:rsidRPr="00797C62">
              <w:t xml:space="preserve">Marginalised and vulnerable women and girls face multiple risks and needs, they are likely to be severely and negatively impacted by COVID-19. </w:t>
            </w:r>
          </w:p>
          <w:p w14:paraId="3C82B277" w14:textId="77777777" w:rsidR="00500DC9" w:rsidRPr="00797C62" w:rsidRDefault="00500DC9" w:rsidP="00500DC9">
            <w:pPr>
              <w:pStyle w:val="ListBullet"/>
              <w:rPr>
                <w:b/>
                <w:bCs/>
              </w:rPr>
            </w:pPr>
            <w:r w:rsidRPr="00797C62">
              <w:t>New social protection programs may be established, or existing programs revised and scaled up. Gender needs to be considered in these program adaptations.</w:t>
            </w:r>
          </w:p>
          <w:p w14:paraId="145575FE" w14:textId="7D05644E" w:rsidR="00500DC9" w:rsidRDefault="00500DC9" w:rsidP="00500DC9">
            <w:pPr>
              <w:spacing w:after="240"/>
              <w:rPr>
                <w:bCs/>
                <w:szCs w:val="22"/>
              </w:rPr>
            </w:pPr>
            <w:r w:rsidRPr="00797C62">
              <w:t>Even immediate short-term responses can contribute to long-term empowerment and transformation.</w:t>
            </w:r>
          </w:p>
        </w:tc>
        <w:tc>
          <w:tcPr>
            <w:tcW w:w="7087" w:type="dxa"/>
            <w:tcMar>
              <w:top w:w="113" w:type="dxa"/>
              <w:bottom w:w="113" w:type="dxa"/>
            </w:tcMar>
          </w:tcPr>
          <w:p w14:paraId="52E605D0" w14:textId="77777777" w:rsidR="00500DC9" w:rsidRPr="00DB5401" w:rsidRDefault="00500DC9" w:rsidP="00500DC9">
            <w:pPr>
              <w:rPr>
                <w:rFonts w:cstheme="minorHAnsi"/>
                <w:b/>
                <w:bCs/>
                <w:szCs w:val="22"/>
              </w:rPr>
            </w:pPr>
            <w:r w:rsidRPr="00DB5401">
              <w:rPr>
                <w:rFonts w:cstheme="minorHAnsi"/>
                <w:b/>
                <w:bCs/>
                <w:szCs w:val="22"/>
              </w:rPr>
              <w:t>Targeting</w:t>
            </w:r>
          </w:p>
          <w:p w14:paraId="5D79D19B" w14:textId="77777777" w:rsidR="00500DC9" w:rsidRPr="00797C62" w:rsidRDefault="00500DC9" w:rsidP="00500DC9">
            <w:pPr>
              <w:pStyle w:val="ListBullet"/>
            </w:pPr>
            <w:r w:rsidRPr="00797C62">
              <w:t>Prioritise targeting SP to groups who are most vulnerable and impacted by COVID-19.</w:t>
            </w:r>
          </w:p>
          <w:p w14:paraId="256B075E" w14:textId="77777777" w:rsidR="00500DC9" w:rsidRPr="00797C62" w:rsidRDefault="00500DC9" w:rsidP="00500DC9">
            <w:pPr>
              <w:pStyle w:val="ListBullet"/>
            </w:pPr>
            <w:r w:rsidRPr="00797C62">
              <w:t>Simplify targeting criteria, using more universal approaches where possible.</w:t>
            </w:r>
          </w:p>
          <w:p w14:paraId="160675BF" w14:textId="77777777" w:rsidR="00500DC9" w:rsidRPr="006565F3" w:rsidRDefault="00500DC9" w:rsidP="00500DC9">
            <w:pPr>
              <w:pStyle w:val="ListBullet"/>
            </w:pPr>
            <w:r w:rsidRPr="00797C62">
              <w:t>Assess the appropriateness of targeting women or identifying women as the named recipients of the transfer within the household.</w:t>
            </w:r>
          </w:p>
          <w:p w14:paraId="10DFD6A3" w14:textId="77777777" w:rsidR="00500DC9" w:rsidRPr="00797C62" w:rsidRDefault="00500DC9" w:rsidP="00500DC9">
            <w:pPr>
              <w:pStyle w:val="ListBullet"/>
            </w:pPr>
            <w:r>
              <w:t>Reduce need for in person gatherings – otherwise ensure appropriate social distancing and sanitation protocols are in place.</w:t>
            </w:r>
          </w:p>
          <w:p w14:paraId="7639F22B" w14:textId="77777777" w:rsidR="00500DC9" w:rsidRPr="00AD5ACD" w:rsidRDefault="00500DC9" w:rsidP="005D6102">
            <w:pPr>
              <w:pStyle w:val="Listbulletblue"/>
            </w:pPr>
            <w:r w:rsidRPr="00797C62">
              <w:t xml:space="preserve">Mitigate the risk of GBV when targeting women or naming women as recipients through assessment, multiple or nominated authorisations, clear communication strategies and working with local women’s rights organisations. </w:t>
            </w:r>
          </w:p>
          <w:p w14:paraId="280C5C5A" w14:textId="77777777" w:rsidR="00500DC9" w:rsidRPr="00DB5401" w:rsidRDefault="00500DC9" w:rsidP="00500DC9">
            <w:pPr>
              <w:rPr>
                <w:b/>
                <w:bCs/>
              </w:rPr>
            </w:pPr>
            <w:r w:rsidRPr="00DB5401">
              <w:rPr>
                <w:b/>
                <w:bCs/>
              </w:rPr>
              <w:t xml:space="preserve">Type, adequacy and duration of social protection </w:t>
            </w:r>
          </w:p>
          <w:p w14:paraId="7D3F9E91" w14:textId="77777777" w:rsidR="00500DC9" w:rsidRDefault="00500DC9" w:rsidP="00500DC9">
            <w:pPr>
              <w:pStyle w:val="ListBullet"/>
            </w:pPr>
            <w:r w:rsidRPr="00797C62">
              <w:t>Remove or relax conditionalities.</w:t>
            </w:r>
          </w:p>
          <w:p w14:paraId="0CB31185" w14:textId="77777777" w:rsidR="00500DC9" w:rsidRPr="00797C62" w:rsidRDefault="00500DC9" w:rsidP="00500DC9">
            <w:pPr>
              <w:pStyle w:val="ListBullet"/>
            </w:pPr>
            <w:r w:rsidRPr="00BA731F">
              <w:t>Consider beneficiary needs and constraints, and where possible seek beneficiary input on preferred</w:t>
            </w:r>
            <w:r w:rsidRPr="006464CC">
              <w:t xml:space="preserve"> </w:t>
            </w:r>
            <w:r>
              <w:t>benefit type, who will receive it, and how they will use it.</w:t>
            </w:r>
          </w:p>
          <w:p w14:paraId="4CB3E412" w14:textId="77777777" w:rsidR="00500DC9" w:rsidRPr="00797C62" w:rsidRDefault="00500DC9" w:rsidP="00500DC9">
            <w:pPr>
              <w:pStyle w:val="ListBullet"/>
            </w:pPr>
            <w:r w:rsidRPr="00797C62">
              <w:t xml:space="preserve">Larger transfers given for longer durations may have important benefits, including for women’s empowerment. </w:t>
            </w:r>
          </w:p>
          <w:p w14:paraId="2C416EB1" w14:textId="77777777" w:rsidR="00500DC9" w:rsidRPr="00797C62" w:rsidRDefault="00500DC9" w:rsidP="00500DC9">
            <w:pPr>
              <w:pStyle w:val="ListBullet"/>
            </w:pPr>
            <w:r w:rsidRPr="00797C62">
              <w:lastRenderedPageBreak/>
              <w:t>Consider additional needs when calculating transfer values, including supporting care work, support for disability related costs or health needs, household headship, size and composition.</w:t>
            </w:r>
          </w:p>
          <w:p w14:paraId="65404235" w14:textId="77777777" w:rsidR="00500DC9" w:rsidRPr="00797C62" w:rsidRDefault="00500DC9" w:rsidP="00500DC9">
            <w:pPr>
              <w:pStyle w:val="ListBullet"/>
            </w:pPr>
            <w:r w:rsidRPr="00797C62">
              <w:t>Assess what different types of social protection support may be appropriate to meet women and girls’ practical needs and support empowerment and transformational objectives, such as health and school fee waivers, in-kind transfers, productive inputs.</w:t>
            </w:r>
          </w:p>
          <w:p w14:paraId="6D38D726" w14:textId="77777777" w:rsidR="00500DC9" w:rsidRPr="00AD5ACD" w:rsidRDefault="00500DC9" w:rsidP="00500DC9">
            <w:pPr>
              <w:pStyle w:val="ListBullet"/>
            </w:pPr>
            <w:r w:rsidRPr="00797C62">
              <w:t xml:space="preserve">Adapt public works programs to respond </w:t>
            </w:r>
            <w:r>
              <w:t xml:space="preserve">appropriately to address COVID concerns around social distancing, hygiene etc. and also </w:t>
            </w:r>
            <w:r w:rsidRPr="00797C62">
              <w:t>to women’s immediate needs support</w:t>
            </w:r>
            <w:r>
              <w:t>ing</w:t>
            </w:r>
            <w:r w:rsidRPr="00797C62">
              <w:t xml:space="preserve"> longer-term recovery objectives including through providing skills and training activities.</w:t>
            </w:r>
          </w:p>
          <w:p w14:paraId="38A2BC39" w14:textId="77777777" w:rsidR="00500DC9" w:rsidRPr="00DB5401" w:rsidRDefault="00500DC9" w:rsidP="00500DC9">
            <w:pPr>
              <w:rPr>
                <w:rFonts w:cstheme="minorHAnsi"/>
                <w:b/>
                <w:bCs/>
                <w:szCs w:val="22"/>
              </w:rPr>
            </w:pPr>
            <w:r w:rsidRPr="00DB5401">
              <w:rPr>
                <w:rFonts w:cstheme="minorHAnsi"/>
                <w:b/>
                <w:bCs/>
                <w:szCs w:val="22"/>
              </w:rPr>
              <w:t xml:space="preserve">Comprehensiveness  </w:t>
            </w:r>
          </w:p>
          <w:p w14:paraId="561BB471" w14:textId="77777777" w:rsidR="00500DC9" w:rsidRPr="00797C62" w:rsidRDefault="00500DC9" w:rsidP="00500DC9">
            <w:pPr>
              <w:pStyle w:val="ListBullet"/>
              <w:rPr>
                <w:rFonts w:cstheme="minorHAnsi"/>
              </w:rPr>
            </w:pPr>
            <w:r w:rsidRPr="00797C62">
              <w:t>To support more transformative outcomes, provide program linkages and put beneficiary referrals in place to meet the many practical and immediate needs of women and girls. Types of programs may include: WASH; maternal health, sexual and reproductive health services; parenting and learning support; mental health and psychosocial support; promotion of equitable social relations, and economic and financial skills.</w:t>
            </w:r>
          </w:p>
          <w:p w14:paraId="7FE635CD" w14:textId="77777777" w:rsidR="00500DC9" w:rsidRPr="00797C62" w:rsidRDefault="00500DC9" w:rsidP="005D6102">
            <w:pPr>
              <w:pStyle w:val="Listbulletblue"/>
              <w:rPr>
                <w:rFonts w:cstheme="minorHAnsi"/>
              </w:rPr>
            </w:pPr>
            <w:r w:rsidRPr="00797C62">
              <w:t>Provide support or linkages to GBV and protection resources and services.</w:t>
            </w:r>
          </w:p>
          <w:p w14:paraId="2D9C5DC7" w14:textId="3DAB091C" w:rsidR="00500DC9" w:rsidRDefault="00500DC9" w:rsidP="005D6102">
            <w:pPr>
              <w:pStyle w:val="Listbulletblue"/>
              <w:rPr>
                <w:bCs/>
                <w:szCs w:val="22"/>
              </w:rPr>
            </w:pPr>
            <w:r w:rsidRPr="00797C62">
              <w:t xml:space="preserve">Support existing frontline organisations/networks to deliver additional services. </w:t>
            </w:r>
          </w:p>
        </w:tc>
        <w:tc>
          <w:tcPr>
            <w:tcW w:w="3261" w:type="dxa"/>
            <w:tcMar>
              <w:top w:w="113" w:type="dxa"/>
              <w:bottom w:w="113" w:type="dxa"/>
            </w:tcMar>
          </w:tcPr>
          <w:p w14:paraId="658958F4" w14:textId="77777777" w:rsidR="00500DC9" w:rsidRPr="00797C62" w:rsidRDefault="00500DC9" w:rsidP="00500DC9">
            <w:r w:rsidRPr="00797C62">
              <w:lastRenderedPageBreak/>
              <w:t>Have you prioritised targeting the most vulnerable and simplified targeting procedures to avoid exclusion?</w:t>
            </w:r>
          </w:p>
          <w:p w14:paraId="6126640D" w14:textId="77777777" w:rsidR="00500DC9" w:rsidRPr="006565F3" w:rsidRDefault="00500DC9" w:rsidP="00500DC9">
            <w:r w:rsidRPr="00797C62">
              <w:t xml:space="preserve">Have you considered and assessed </w:t>
            </w:r>
            <w:r>
              <w:t xml:space="preserve">the risks of </w:t>
            </w:r>
            <w:r w:rsidRPr="00797C62">
              <w:t>targeting women in the household and/or naming women as recipients?</w:t>
            </w:r>
          </w:p>
          <w:p w14:paraId="18D937A4" w14:textId="77777777" w:rsidR="00500DC9" w:rsidRPr="00797C62" w:rsidRDefault="00500DC9" w:rsidP="00500DC9">
            <w:r>
              <w:t>Have COVID-19 protocols been established?</w:t>
            </w:r>
          </w:p>
          <w:p w14:paraId="60385E26" w14:textId="77777777" w:rsidR="00500DC9" w:rsidRPr="00797C62" w:rsidRDefault="00500DC9" w:rsidP="00500DC9">
            <w:r w:rsidRPr="00797C62">
              <w:t>Are there context specific mitigation strategies in place to avoid exacerbating or creating GBV?</w:t>
            </w:r>
          </w:p>
          <w:p w14:paraId="6D80D442" w14:textId="77777777" w:rsidR="00500DC9" w:rsidRPr="00797C62" w:rsidRDefault="00500DC9" w:rsidP="00500DC9">
            <w:r w:rsidRPr="00797C62">
              <w:t>Have you considered the additional needs of women and girls in calculating the benefit amount and selecting the most appropriate social protection instrument?</w:t>
            </w:r>
          </w:p>
          <w:p w14:paraId="025BDCDE" w14:textId="77777777" w:rsidR="00500DC9" w:rsidRPr="00797C62" w:rsidRDefault="00500DC9" w:rsidP="00500DC9">
            <w:r w:rsidRPr="00797C62">
              <w:t xml:space="preserve">What additional information, services or support do women and girls need? Have linkages been established and referrals to </w:t>
            </w:r>
            <w:r w:rsidRPr="00797C62">
              <w:lastRenderedPageBreak/>
              <w:t xml:space="preserve">VAWG programs been established? </w:t>
            </w:r>
          </w:p>
          <w:p w14:paraId="62C6603A" w14:textId="1934F1EA" w:rsidR="00500DC9" w:rsidRDefault="00500DC9" w:rsidP="00500DC9">
            <w:pPr>
              <w:spacing w:after="240"/>
              <w:rPr>
                <w:bCs/>
                <w:szCs w:val="22"/>
              </w:rPr>
            </w:pPr>
            <w:r w:rsidRPr="00797C62">
              <w:t xml:space="preserve">Are there mechanisms to provide women and girls with information on, or access to, relevant GBV services? </w:t>
            </w:r>
          </w:p>
        </w:tc>
      </w:tr>
      <w:tr w:rsidR="00500DC9" w14:paraId="77F41A71" w14:textId="77777777" w:rsidTr="00663572">
        <w:tc>
          <w:tcPr>
            <w:tcW w:w="14029" w:type="dxa"/>
            <w:gridSpan w:val="3"/>
            <w:tcMar>
              <w:top w:w="113" w:type="dxa"/>
              <w:bottom w:w="113" w:type="dxa"/>
            </w:tcMar>
          </w:tcPr>
          <w:p w14:paraId="2A32BFC8" w14:textId="2622C475" w:rsidR="00500DC9" w:rsidRDefault="00500DC9" w:rsidP="00574DC3">
            <w:pPr>
              <w:pageBreakBefore/>
              <w:spacing w:after="0" w:line="240" w:lineRule="atLeast"/>
              <w:jc w:val="center"/>
              <w:rPr>
                <w:bCs/>
                <w:szCs w:val="22"/>
              </w:rPr>
            </w:pPr>
            <w:r w:rsidRPr="00DB5401">
              <w:rPr>
                <w:b/>
                <w:bCs/>
              </w:rPr>
              <w:lastRenderedPageBreak/>
              <w:t>Delivery Systems</w:t>
            </w:r>
          </w:p>
        </w:tc>
      </w:tr>
      <w:tr w:rsidR="00500DC9" w14:paraId="3D10CA11" w14:textId="77777777" w:rsidTr="00663572">
        <w:tc>
          <w:tcPr>
            <w:tcW w:w="3681" w:type="dxa"/>
            <w:tcMar>
              <w:top w:w="113" w:type="dxa"/>
              <w:bottom w:w="113" w:type="dxa"/>
            </w:tcMar>
          </w:tcPr>
          <w:p w14:paraId="1FD7C012" w14:textId="77777777" w:rsidR="00500DC9" w:rsidRPr="00797C62" w:rsidRDefault="00500DC9" w:rsidP="00500DC9">
            <w:pPr>
              <w:pStyle w:val="ListBullet"/>
            </w:pPr>
            <w:r w:rsidRPr="00797C62">
              <w:t>Women face specific barriers to accessing social protection schemes, even if they are eligible.</w:t>
            </w:r>
          </w:p>
          <w:p w14:paraId="32F048C8" w14:textId="77777777" w:rsidR="00500DC9" w:rsidRPr="00797C62" w:rsidRDefault="00500DC9" w:rsidP="00500DC9">
            <w:pPr>
              <w:pStyle w:val="ListBullet"/>
            </w:pPr>
            <w:r w:rsidRPr="00797C62">
              <w:t>New technology-based delivery mechanisms may risk excluding women who have less access to e-banking or mobile phones.</w:t>
            </w:r>
          </w:p>
          <w:p w14:paraId="4724FD1E" w14:textId="77777777" w:rsidR="00500DC9" w:rsidRPr="00797C62" w:rsidRDefault="00500DC9" w:rsidP="00500DC9">
            <w:pPr>
              <w:pStyle w:val="ListBullet"/>
            </w:pPr>
            <w:r w:rsidRPr="00797C62">
              <w:rPr>
                <w:rFonts w:eastAsiaTheme="minorHAnsi"/>
                <w:lang w:val="en-US"/>
              </w:rPr>
              <w:t>As delivery systems are under increased strain from COVID-19, there is a risk of losing sight of gender-sensitive and gender-transformative delivery modalities</w:t>
            </w:r>
          </w:p>
          <w:p w14:paraId="6AA7697E" w14:textId="77777777" w:rsidR="00500DC9" w:rsidRDefault="00500DC9" w:rsidP="00500DC9">
            <w:pPr>
              <w:spacing w:after="240"/>
              <w:rPr>
                <w:bCs/>
                <w:szCs w:val="22"/>
              </w:rPr>
            </w:pPr>
          </w:p>
        </w:tc>
        <w:tc>
          <w:tcPr>
            <w:tcW w:w="7087" w:type="dxa"/>
            <w:tcMar>
              <w:top w:w="113" w:type="dxa"/>
              <w:bottom w:w="113" w:type="dxa"/>
            </w:tcMar>
          </w:tcPr>
          <w:p w14:paraId="75AB5B5E" w14:textId="77777777" w:rsidR="00500DC9" w:rsidRPr="00DB5401" w:rsidRDefault="00500DC9" w:rsidP="00500DC9">
            <w:pPr>
              <w:rPr>
                <w:b/>
                <w:bCs/>
              </w:rPr>
            </w:pPr>
            <w:r w:rsidRPr="00DB5401">
              <w:rPr>
                <w:b/>
                <w:bCs/>
              </w:rPr>
              <w:t>Enrolment and Registration</w:t>
            </w:r>
          </w:p>
          <w:p w14:paraId="49DD2640" w14:textId="77777777" w:rsidR="00500DC9" w:rsidRDefault="00500DC9" w:rsidP="00500DC9">
            <w:pPr>
              <w:pStyle w:val="ListBullet"/>
            </w:pPr>
            <w:r w:rsidRPr="00797C62">
              <w:t xml:space="preserve">Simplify enrolment and registration procedures by resolving or removing communication, physical, administrative, registration and enrolment barriers to social protection. </w:t>
            </w:r>
          </w:p>
          <w:p w14:paraId="44113DE4" w14:textId="77777777" w:rsidR="00500DC9" w:rsidRDefault="00500DC9" w:rsidP="00500DC9">
            <w:pPr>
              <w:pStyle w:val="ListBullet"/>
            </w:pPr>
            <w:r>
              <w:t>Reduce the need for in person services – ensure adequate sanitation and social distancing protocols are in place.</w:t>
            </w:r>
          </w:p>
          <w:p w14:paraId="64802918" w14:textId="77777777" w:rsidR="00500DC9" w:rsidRDefault="00500DC9" w:rsidP="00500DC9">
            <w:pPr>
              <w:pStyle w:val="ListBullet"/>
            </w:pPr>
            <w:r>
              <w:t>Stagger benefit pickup times or increase pick up points to avoid crowds gathering.</w:t>
            </w:r>
          </w:p>
          <w:p w14:paraId="23B572AF" w14:textId="77777777" w:rsidR="00500DC9" w:rsidRPr="00797C62" w:rsidRDefault="00500DC9" w:rsidP="00500DC9">
            <w:pPr>
              <w:pStyle w:val="ListBullet"/>
            </w:pPr>
            <w:r>
              <w:t>Consider options for vulnerable populations such as community level pickup points, proxy pick up or household level servicing if available.</w:t>
            </w:r>
          </w:p>
          <w:p w14:paraId="02FD6BCF" w14:textId="77777777" w:rsidR="00500DC9" w:rsidRPr="00797C62" w:rsidRDefault="00500DC9" w:rsidP="00500DC9">
            <w:pPr>
              <w:pStyle w:val="ListBullet"/>
            </w:pPr>
            <w:r w:rsidRPr="00797C62">
              <w:t xml:space="preserve">Consider automatic enrolment into other relevant schemes. </w:t>
            </w:r>
          </w:p>
          <w:p w14:paraId="4F1D9B92" w14:textId="77777777" w:rsidR="00500DC9" w:rsidRPr="00797C62" w:rsidRDefault="00500DC9" w:rsidP="00500DC9">
            <w:pPr>
              <w:pStyle w:val="ListBullet"/>
              <w:rPr>
                <w:rFonts w:cstheme="minorHAnsi"/>
              </w:rPr>
            </w:pPr>
            <w:r w:rsidRPr="00797C62">
              <w:t>Provide relevant program information in local languages, using communication channels known to reach women and utilising local leaders, disabled peoples representative organisations and women’s groups to disseminate information.</w:t>
            </w:r>
          </w:p>
          <w:p w14:paraId="3DE612CC" w14:textId="77777777" w:rsidR="00500DC9" w:rsidRPr="00797C62" w:rsidRDefault="00500DC9" w:rsidP="00500DC9">
            <w:pPr>
              <w:pStyle w:val="ListBullet"/>
            </w:pPr>
            <w:r w:rsidRPr="00797C62">
              <w:t>Coordinate and work with existing local organisations to identify and extend coverage to hard-to-reach groups.</w:t>
            </w:r>
          </w:p>
          <w:p w14:paraId="3E6BF606" w14:textId="77777777" w:rsidR="00500DC9" w:rsidRPr="00797C62" w:rsidRDefault="00500DC9" w:rsidP="00500DC9">
            <w:pPr>
              <w:pStyle w:val="ListBullet"/>
            </w:pPr>
            <w:r w:rsidRPr="00797C62">
              <w:rPr>
                <w:color w:val="000000" w:themeColor="text1"/>
              </w:rPr>
              <w:t xml:space="preserve">Coordinate with other </w:t>
            </w:r>
            <w:r w:rsidRPr="00797C62">
              <w:rPr>
                <w:rFonts w:eastAsiaTheme="minorHAnsi"/>
                <w:lang w:val="en-US"/>
              </w:rPr>
              <w:t>actors to inform and shape transformative interventions across other sectors.</w:t>
            </w:r>
          </w:p>
          <w:p w14:paraId="4ECA1CD2" w14:textId="77777777" w:rsidR="00500DC9" w:rsidRPr="00797C62" w:rsidRDefault="00500DC9" w:rsidP="00500DC9">
            <w:pPr>
              <w:pStyle w:val="ListBullet"/>
              <w:rPr>
                <w:color w:val="4472C4" w:themeColor="accent1"/>
              </w:rPr>
            </w:pPr>
            <w:r w:rsidRPr="00797C62">
              <w:rPr>
                <w:color w:val="4472C4" w:themeColor="accent1"/>
              </w:rPr>
              <w:lastRenderedPageBreak/>
              <w:t>Reduce risks of GBV and protection by consulting widely with beneficiaries on appropriate and context specific delivery modalities.  Provide clear information on targeting, criteria and entitlements.</w:t>
            </w:r>
          </w:p>
          <w:p w14:paraId="0504318E" w14:textId="6BC866CF" w:rsidR="00500DC9" w:rsidRPr="00946F6D" w:rsidRDefault="00500DC9" w:rsidP="005D6102">
            <w:pPr>
              <w:pStyle w:val="Listbulletblue"/>
            </w:pPr>
            <w:r w:rsidRPr="00797C62">
              <w:t xml:space="preserve">Triangulate sources of data to reduce exclusion errors of the most vulnerable.  </w:t>
            </w:r>
          </w:p>
          <w:p w14:paraId="0CEDB675" w14:textId="77777777" w:rsidR="00500DC9" w:rsidRPr="00865668" w:rsidRDefault="00500DC9" w:rsidP="00500DC9">
            <w:pPr>
              <w:rPr>
                <w:b/>
                <w:bCs/>
              </w:rPr>
            </w:pPr>
            <w:r w:rsidRPr="00865668">
              <w:rPr>
                <w:b/>
                <w:bCs/>
              </w:rPr>
              <w:t>Payments</w:t>
            </w:r>
          </w:p>
          <w:p w14:paraId="167D5DE1" w14:textId="77777777" w:rsidR="00500DC9" w:rsidRDefault="00500DC9" w:rsidP="00500DC9">
            <w:pPr>
              <w:pStyle w:val="ListBullet"/>
            </w:pPr>
            <w:r w:rsidRPr="006565F3">
              <w:t xml:space="preserve">Where possible provide mobile phones or set up bank accounts, for those without access to these, provide remote financial skills training to beneficiary households. </w:t>
            </w:r>
          </w:p>
          <w:p w14:paraId="62873D21" w14:textId="77777777" w:rsidR="00500DC9" w:rsidRDefault="00500DC9" w:rsidP="00500DC9">
            <w:pPr>
              <w:pStyle w:val="ListBullet"/>
            </w:pPr>
            <w:r w:rsidRPr="006565F3">
              <w:t>Adopt COVID safe strategies including social distancing at payment/voucher pickup points, avoid the need for crowds (i.e. stagger pick up times for benefits and vouchers</w:t>
            </w:r>
            <w:r>
              <w:t>, increase number of pickup points</w:t>
            </w:r>
            <w:r w:rsidRPr="006565F3">
              <w:t>).</w:t>
            </w:r>
          </w:p>
          <w:p w14:paraId="79410442" w14:textId="77777777" w:rsidR="00500DC9" w:rsidRPr="006565F3" w:rsidRDefault="00500DC9" w:rsidP="00500DC9">
            <w:pPr>
              <w:pStyle w:val="ListBullet"/>
            </w:pPr>
            <w:r w:rsidRPr="006565F3">
              <w:t>Ensure adequate sanitary protocols such as hand sanitiser and hand washing points. Provide masks/PPE if available.</w:t>
            </w:r>
          </w:p>
          <w:p w14:paraId="4E4D600C" w14:textId="77777777" w:rsidR="00500DC9" w:rsidRPr="00797C62" w:rsidRDefault="00500DC9" w:rsidP="00500DC9">
            <w:pPr>
              <w:pStyle w:val="ListBullet"/>
            </w:pPr>
            <w:r w:rsidRPr="00797C62">
              <w:t>Invest in women’s organisations and networks to augment delivery capacity.</w:t>
            </w:r>
          </w:p>
          <w:p w14:paraId="096A80CF" w14:textId="77777777" w:rsidR="00500DC9" w:rsidRPr="00865668" w:rsidRDefault="00500DC9" w:rsidP="005D6102">
            <w:pPr>
              <w:pStyle w:val="Listbulletblue"/>
            </w:pPr>
            <w:r w:rsidRPr="00797C62">
              <w:t>Mitigate against GBV and protection risks by communicating information about delivery, entitlements and protection risks.</w:t>
            </w:r>
          </w:p>
          <w:p w14:paraId="55DC2D82" w14:textId="021D0013" w:rsidR="00500DC9" w:rsidRPr="00865668" w:rsidRDefault="00500DC9" w:rsidP="00500DC9">
            <w:pPr>
              <w:rPr>
                <w:b/>
                <w:bCs/>
              </w:rPr>
            </w:pPr>
            <w:r w:rsidRPr="00865668">
              <w:rPr>
                <w:b/>
                <w:bCs/>
              </w:rPr>
              <w:t xml:space="preserve">Capacity and skills </w:t>
            </w:r>
          </w:p>
          <w:p w14:paraId="7ACAC9C9" w14:textId="77777777" w:rsidR="00500DC9" w:rsidRPr="00797C62" w:rsidRDefault="00500DC9" w:rsidP="00500DC9">
            <w:pPr>
              <w:pStyle w:val="ListBullet"/>
              <w:rPr>
                <w:rFonts w:eastAsiaTheme="minorHAnsi"/>
                <w:lang w:val="en-US"/>
              </w:rPr>
            </w:pPr>
            <w:r w:rsidRPr="00797C62">
              <w:rPr>
                <w:rFonts w:eastAsiaTheme="minorHAnsi"/>
                <w:lang w:val="en-US"/>
              </w:rPr>
              <w:t>Involve gender advisors and GBV risk specialist input throughout the program cycle.</w:t>
            </w:r>
          </w:p>
          <w:p w14:paraId="50AC23FF" w14:textId="77777777" w:rsidR="00500DC9" w:rsidRPr="00797C62" w:rsidRDefault="00500DC9" w:rsidP="00500DC9">
            <w:pPr>
              <w:pStyle w:val="ListBullet"/>
              <w:rPr>
                <w:rFonts w:eastAsiaTheme="minorHAnsi"/>
                <w:lang w:val="en-US"/>
              </w:rPr>
            </w:pPr>
            <w:r w:rsidRPr="00797C62">
              <w:rPr>
                <w:rFonts w:eastAsiaTheme="minorHAnsi"/>
                <w:lang w:val="en-US"/>
              </w:rPr>
              <w:lastRenderedPageBreak/>
              <w:t xml:space="preserve">Develop a network and information sharing/learning platform between actors working on gender, social protection, humanitarian response and protection. </w:t>
            </w:r>
          </w:p>
          <w:p w14:paraId="76EDD0C4" w14:textId="77777777" w:rsidR="00500DC9" w:rsidRPr="00797C62" w:rsidRDefault="00500DC9" w:rsidP="00500DC9">
            <w:pPr>
              <w:pStyle w:val="ListBullet"/>
              <w:rPr>
                <w:rFonts w:eastAsiaTheme="minorHAnsi"/>
                <w:lang w:val="en-US"/>
              </w:rPr>
            </w:pPr>
            <w:r w:rsidRPr="00797C62">
              <w:rPr>
                <w:rFonts w:eastAsiaTheme="minorHAnsi"/>
                <w:lang w:val="en-US"/>
              </w:rPr>
              <w:t>Identify training needs for program staff on gender, disability and social inclusion and the impacts of COVID-19 on these groups, provide training where needed.</w:t>
            </w:r>
          </w:p>
          <w:p w14:paraId="1C6ED4F5" w14:textId="77777777" w:rsidR="00500DC9" w:rsidRPr="00797C62" w:rsidRDefault="00500DC9" w:rsidP="00500DC9">
            <w:pPr>
              <w:pStyle w:val="ListBullet"/>
              <w:rPr>
                <w:rFonts w:eastAsiaTheme="minorHAnsi"/>
                <w:lang w:val="en-US"/>
              </w:rPr>
            </w:pPr>
            <w:r w:rsidRPr="00797C62">
              <w:rPr>
                <w:rFonts w:eastAsiaTheme="minorHAnsi"/>
                <w:lang w:val="en-US"/>
              </w:rPr>
              <w:t>Provide opportunities for beneficiary women (be inclusive of all women) to participate in program governance, supervisor schemes.</w:t>
            </w:r>
          </w:p>
          <w:p w14:paraId="62EC8841" w14:textId="77777777" w:rsidR="00500DC9" w:rsidRPr="00797C62" w:rsidRDefault="00500DC9" w:rsidP="00500DC9">
            <w:pPr>
              <w:pStyle w:val="ListBullet"/>
              <w:rPr>
                <w:rFonts w:eastAsiaTheme="minorHAnsi"/>
                <w:color w:val="4472C4" w:themeColor="accent1"/>
                <w:lang w:val="en-US"/>
              </w:rPr>
            </w:pPr>
            <w:r w:rsidRPr="00797C62">
              <w:rPr>
                <w:rFonts w:eastAsiaTheme="minorHAnsi"/>
                <w:color w:val="4472C4" w:themeColor="accent1"/>
                <w:lang w:val="en-US"/>
              </w:rPr>
              <w:t xml:space="preserve">Ensure that staff have the capacity, skills and resources to mitigate GBV and protection risks, and have been adequately trained an vetted on GBV. </w:t>
            </w:r>
          </w:p>
          <w:p w14:paraId="273409DF" w14:textId="77777777" w:rsidR="00500DC9" w:rsidRPr="00865668" w:rsidRDefault="00500DC9" w:rsidP="00500DC9">
            <w:pPr>
              <w:pStyle w:val="ListBullet"/>
              <w:rPr>
                <w:rFonts w:eastAsiaTheme="minorHAnsi"/>
                <w:lang w:val="en-US"/>
              </w:rPr>
            </w:pPr>
            <w:r w:rsidRPr="00797C62">
              <w:t>Ensure program staff and partners know where to find specialist expert advice (in-house or externally), and that this is pre-identified and budgeted for.</w:t>
            </w:r>
          </w:p>
          <w:p w14:paraId="126B64D7" w14:textId="77777777" w:rsidR="00500DC9" w:rsidRPr="00865668" w:rsidRDefault="00500DC9" w:rsidP="00500DC9">
            <w:pPr>
              <w:rPr>
                <w:rFonts w:eastAsiaTheme="minorHAnsi"/>
                <w:b/>
                <w:bCs/>
                <w:lang w:val="en-US"/>
              </w:rPr>
            </w:pPr>
            <w:r w:rsidRPr="00865668">
              <w:rPr>
                <w:rFonts w:eastAsiaTheme="minorHAnsi"/>
                <w:b/>
                <w:bCs/>
                <w:lang w:val="en-US"/>
              </w:rPr>
              <w:t xml:space="preserve">Grievance and redress mechanisms </w:t>
            </w:r>
          </w:p>
          <w:p w14:paraId="3D0841C1" w14:textId="77777777" w:rsidR="00500DC9" w:rsidRPr="00797C62" w:rsidRDefault="00500DC9" w:rsidP="00500DC9">
            <w:pPr>
              <w:pStyle w:val="ListBullet"/>
            </w:pPr>
            <w:r w:rsidRPr="00797C62">
              <w:t xml:space="preserve">Ensure GRM provide easy, anonymous reporting of complaints. </w:t>
            </w:r>
          </w:p>
          <w:p w14:paraId="00CF650E" w14:textId="77777777" w:rsidR="00500DC9" w:rsidRPr="00797C62" w:rsidRDefault="00500DC9" w:rsidP="00500DC9">
            <w:pPr>
              <w:pStyle w:val="ListBullet"/>
            </w:pPr>
            <w:r w:rsidRPr="00797C62">
              <w:t>Ensure alternative access to GRM if mobile phone usage is low, particularly amongst women and people with disability.</w:t>
            </w:r>
          </w:p>
          <w:p w14:paraId="2F6478B1" w14:textId="77777777" w:rsidR="00500DC9" w:rsidRPr="00797C62" w:rsidRDefault="00500DC9" w:rsidP="00500DC9">
            <w:pPr>
              <w:pStyle w:val="ListBullet"/>
            </w:pPr>
            <w:r w:rsidRPr="00797C62">
              <w:t>GRM should provide feedback to individuals on how their complaint is being processed and how it was dealt with.</w:t>
            </w:r>
          </w:p>
          <w:p w14:paraId="3386FE23" w14:textId="3C76F764" w:rsidR="00500DC9" w:rsidRDefault="00500DC9" w:rsidP="00663572">
            <w:pPr>
              <w:pStyle w:val="Listbulletblue"/>
              <w:spacing w:after="0"/>
              <w:ind w:left="357" w:hanging="357"/>
              <w:rPr>
                <w:bCs/>
                <w:szCs w:val="22"/>
              </w:rPr>
            </w:pPr>
            <w:r w:rsidRPr="00797C62">
              <w:t>To mitigate GBV and protection risks, ensure processes are in place for beneficiary and community members can raise complaints or provide feedback on any abuse, neglect, exploitation and violence that they may experience.</w:t>
            </w:r>
          </w:p>
        </w:tc>
        <w:tc>
          <w:tcPr>
            <w:tcW w:w="3261" w:type="dxa"/>
            <w:tcMar>
              <w:top w:w="113" w:type="dxa"/>
              <w:bottom w:w="113" w:type="dxa"/>
            </w:tcMar>
          </w:tcPr>
          <w:p w14:paraId="3AFD9B8C" w14:textId="77777777" w:rsidR="00500DC9" w:rsidRDefault="00500DC9" w:rsidP="00500DC9">
            <w:r w:rsidRPr="00797C62">
              <w:lastRenderedPageBreak/>
              <w:t xml:space="preserve">What are the key barriers to accessing social protection amongst women, and have steps been taken to reduce or remove these? </w:t>
            </w:r>
          </w:p>
          <w:p w14:paraId="2E450E58" w14:textId="77777777" w:rsidR="00500DC9" w:rsidRPr="00797C62" w:rsidRDefault="00500DC9" w:rsidP="00500DC9">
            <w:r>
              <w:t>Have COVID-19 protocols been established?</w:t>
            </w:r>
          </w:p>
          <w:p w14:paraId="2A44208F" w14:textId="77777777" w:rsidR="00500DC9" w:rsidRPr="00797C62" w:rsidRDefault="00500DC9" w:rsidP="00500DC9">
            <w:r w:rsidRPr="00797C62">
              <w:t>Is there the option to work with local organisations to extend coverage to hard-to-reach groups, or to augment delivery capacity?</w:t>
            </w:r>
          </w:p>
          <w:p w14:paraId="12A1D895" w14:textId="77777777" w:rsidR="00500DC9" w:rsidRPr="00354CE0" w:rsidRDefault="00500DC9" w:rsidP="00500DC9">
            <w:r w:rsidRPr="00797C62">
              <w:t xml:space="preserve">Do women have access to the chosen delivery mechanism? If not, offer alternative transfer modalities. </w:t>
            </w:r>
          </w:p>
          <w:p w14:paraId="65FE7C4E" w14:textId="77777777" w:rsidR="00500DC9" w:rsidRPr="00354CE0" w:rsidRDefault="00500DC9" w:rsidP="00500DC9">
            <w:r w:rsidRPr="00797C62">
              <w:t>Is there adequate knowledge, skills and resources amongst program and partner staff to support a gender-sensitive and transformative approach?</w:t>
            </w:r>
          </w:p>
          <w:p w14:paraId="6EF3B4AB" w14:textId="77777777" w:rsidR="00500DC9" w:rsidRPr="00354CE0" w:rsidRDefault="00500DC9" w:rsidP="00500DC9">
            <w:r w:rsidRPr="00797C62">
              <w:t xml:space="preserve">Is there a robust and accessible GRM in place? What strategies </w:t>
            </w:r>
            <w:r w:rsidRPr="00797C62">
              <w:lastRenderedPageBreak/>
              <w:t>can ensure that women and marginalised groups access it?</w:t>
            </w:r>
          </w:p>
          <w:p w14:paraId="1666F963" w14:textId="77777777" w:rsidR="00500DC9" w:rsidRPr="00797C62" w:rsidRDefault="00500DC9" w:rsidP="00500DC9">
            <w:r w:rsidRPr="00797C62">
              <w:t>Have steps been taken to reduce GBV and protection risks:</w:t>
            </w:r>
          </w:p>
          <w:p w14:paraId="077A08C9" w14:textId="77777777" w:rsidR="00500DC9" w:rsidRPr="00CA52AA" w:rsidRDefault="00500DC9" w:rsidP="00CA52AA">
            <w:pPr>
              <w:pStyle w:val="ListParagraph"/>
              <w:numPr>
                <w:ilvl w:val="2"/>
                <w:numId w:val="8"/>
              </w:numPr>
              <w:ind w:left="458" w:hanging="284"/>
              <w:rPr>
                <w:rFonts w:cstheme="minorHAnsi"/>
                <w:szCs w:val="22"/>
              </w:rPr>
            </w:pPr>
            <w:r w:rsidRPr="00797C62">
              <w:rPr>
                <w:rFonts w:cstheme="minorHAnsi"/>
                <w:sz w:val="20"/>
                <w:szCs w:val="20"/>
              </w:rPr>
              <w:t xml:space="preserve">Clear </w:t>
            </w:r>
            <w:r w:rsidRPr="00CA52AA">
              <w:rPr>
                <w:rFonts w:cstheme="minorHAnsi"/>
                <w:szCs w:val="22"/>
              </w:rPr>
              <w:t>communication on program activities, entitlements and protection risks</w:t>
            </w:r>
          </w:p>
          <w:p w14:paraId="0CA69A76" w14:textId="77777777" w:rsidR="00CA52AA" w:rsidRDefault="00500DC9" w:rsidP="00CA52AA">
            <w:pPr>
              <w:pStyle w:val="ListParagraph"/>
              <w:numPr>
                <w:ilvl w:val="2"/>
                <w:numId w:val="8"/>
              </w:numPr>
              <w:ind w:left="458" w:hanging="284"/>
              <w:rPr>
                <w:rFonts w:cstheme="minorHAnsi"/>
                <w:sz w:val="20"/>
                <w:szCs w:val="20"/>
              </w:rPr>
            </w:pPr>
            <w:r w:rsidRPr="00CA52AA">
              <w:rPr>
                <w:rFonts w:cstheme="minorHAnsi"/>
                <w:szCs w:val="22"/>
              </w:rPr>
              <w:t>Adequate staff capacity, skills and resources</w:t>
            </w:r>
            <w:r w:rsidRPr="00797C62">
              <w:rPr>
                <w:rFonts w:cstheme="minorHAnsi"/>
                <w:sz w:val="20"/>
                <w:szCs w:val="20"/>
              </w:rPr>
              <w:t xml:space="preserve"> on GBV and protection</w:t>
            </w:r>
          </w:p>
          <w:p w14:paraId="5CD045C0" w14:textId="5EFC35BE" w:rsidR="00500DC9" w:rsidRPr="00CA52AA" w:rsidRDefault="00500DC9" w:rsidP="00CA52AA">
            <w:pPr>
              <w:pStyle w:val="ListParagraph"/>
              <w:numPr>
                <w:ilvl w:val="2"/>
                <w:numId w:val="8"/>
              </w:numPr>
              <w:ind w:left="458" w:hanging="284"/>
              <w:rPr>
                <w:rFonts w:cstheme="minorHAnsi"/>
                <w:sz w:val="20"/>
                <w:szCs w:val="20"/>
              </w:rPr>
            </w:pPr>
            <w:r w:rsidRPr="00CA52AA">
              <w:rPr>
                <w:rFonts w:cstheme="minorHAnsi"/>
                <w:szCs w:val="22"/>
              </w:rPr>
              <w:t xml:space="preserve">Robust and accessible GRM in place </w:t>
            </w:r>
          </w:p>
        </w:tc>
      </w:tr>
      <w:tr w:rsidR="00500DC9" w14:paraId="6130E898" w14:textId="77777777" w:rsidTr="00663572">
        <w:tc>
          <w:tcPr>
            <w:tcW w:w="14029" w:type="dxa"/>
            <w:gridSpan w:val="3"/>
            <w:tcMar>
              <w:top w:w="113" w:type="dxa"/>
              <w:bottom w:w="113" w:type="dxa"/>
            </w:tcMar>
          </w:tcPr>
          <w:p w14:paraId="30EF237B" w14:textId="6E9EA597" w:rsidR="00500DC9" w:rsidRDefault="00500DC9" w:rsidP="00574DC3">
            <w:pPr>
              <w:pageBreakBefore/>
              <w:spacing w:after="0"/>
              <w:jc w:val="center"/>
              <w:rPr>
                <w:bCs/>
                <w:szCs w:val="22"/>
              </w:rPr>
            </w:pPr>
            <w:r w:rsidRPr="00865668">
              <w:rPr>
                <w:b/>
                <w:bCs/>
              </w:rPr>
              <w:lastRenderedPageBreak/>
              <w:t>Monitoring and Evaluation</w:t>
            </w:r>
          </w:p>
        </w:tc>
      </w:tr>
      <w:tr w:rsidR="00500DC9" w14:paraId="605934D1" w14:textId="77777777" w:rsidTr="00663572">
        <w:tc>
          <w:tcPr>
            <w:tcW w:w="3681" w:type="dxa"/>
            <w:tcMar>
              <w:top w:w="113" w:type="dxa"/>
              <w:bottom w:w="113" w:type="dxa"/>
            </w:tcMar>
          </w:tcPr>
          <w:p w14:paraId="01FDE691" w14:textId="77777777" w:rsidR="00500DC9" w:rsidRPr="00865668" w:rsidRDefault="00500DC9" w:rsidP="00500DC9">
            <w:pPr>
              <w:pStyle w:val="ListBullet"/>
            </w:pPr>
            <w:r w:rsidRPr="00797C62">
              <w:rPr>
                <w:rFonts w:eastAsiaTheme="minorHAnsi"/>
                <w:lang w:val="en-US"/>
              </w:rPr>
              <w:t>M</w:t>
            </w:r>
            <w:r>
              <w:rPr>
                <w:rFonts w:eastAsiaTheme="minorHAnsi"/>
                <w:lang w:val="en-US"/>
              </w:rPr>
              <w:t>EL</w:t>
            </w:r>
            <w:r w:rsidRPr="00797C62">
              <w:rPr>
                <w:rFonts w:eastAsiaTheme="minorHAnsi"/>
                <w:lang w:val="en-US"/>
              </w:rPr>
              <w:t xml:space="preserve"> </w:t>
            </w:r>
            <w:r w:rsidRPr="00865668">
              <w:rPr>
                <w:rFonts w:eastAsiaTheme="minorHAnsi"/>
              </w:rPr>
              <w:t>indicators need to capture differences in women and men’s experiences of social protection.</w:t>
            </w:r>
          </w:p>
          <w:p w14:paraId="0482FAE2" w14:textId="77777777" w:rsidR="00500DC9" w:rsidRPr="00865668" w:rsidRDefault="00500DC9" w:rsidP="00500DC9">
            <w:pPr>
              <w:pStyle w:val="ListBullet"/>
            </w:pPr>
            <w:r w:rsidRPr="00865668">
              <w:rPr>
                <w:rFonts w:eastAsiaTheme="minorHAnsi"/>
              </w:rPr>
              <w:t>MEL indicators also need to analyse changes in gender relations and empowerment over the longer term.</w:t>
            </w:r>
          </w:p>
          <w:p w14:paraId="07A26630" w14:textId="2FDF580B" w:rsidR="00500DC9" w:rsidRDefault="00500DC9" w:rsidP="00946F6D">
            <w:pPr>
              <w:pStyle w:val="ListBullet"/>
              <w:rPr>
                <w:bCs/>
                <w:szCs w:val="22"/>
              </w:rPr>
            </w:pPr>
            <w:r w:rsidRPr="00865668">
              <w:rPr>
                <w:rFonts w:eastAsiaTheme="minorHAnsi"/>
              </w:rPr>
              <w:t>Monitor for unintended consequences.</w:t>
            </w:r>
          </w:p>
        </w:tc>
        <w:tc>
          <w:tcPr>
            <w:tcW w:w="7087" w:type="dxa"/>
            <w:tcMar>
              <w:top w:w="113" w:type="dxa"/>
              <w:bottom w:w="113" w:type="dxa"/>
            </w:tcMar>
          </w:tcPr>
          <w:p w14:paraId="68670929" w14:textId="77777777" w:rsidR="00500DC9" w:rsidRPr="00797C62" w:rsidRDefault="00500DC9" w:rsidP="00500DC9">
            <w:pPr>
              <w:pStyle w:val="ListBullet"/>
              <w:rPr>
                <w:rFonts w:eastAsiaTheme="minorHAnsi"/>
                <w:lang w:val="en-US"/>
              </w:rPr>
            </w:pPr>
            <w:r w:rsidRPr="00797C62">
              <w:rPr>
                <w:rFonts w:eastAsiaTheme="minorHAnsi"/>
                <w:lang w:val="en-US"/>
              </w:rPr>
              <w:t xml:space="preserve">Measure gender outcomes irrespective of whether gender equality is an explicit objective or not. </w:t>
            </w:r>
            <w:r w:rsidRPr="00797C62">
              <w:rPr>
                <w:rFonts w:eastAsiaTheme="minorHAnsi" w:cstheme="minorHAnsi"/>
                <w:lang w:val="en-US"/>
              </w:rPr>
              <w:t xml:space="preserve">At a minimum, collect all data disaggregated by sex, age, </w:t>
            </w:r>
            <w:hyperlink r:id="rId57" w:history="1">
              <w:r w:rsidRPr="00797C62">
                <w:rPr>
                  <w:rStyle w:val="Hyperlink"/>
                  <w:rFonts w:eastAsiaTheme="minorHAnsi" w:cstheme="minorHAnsi"/>
                  <w:sz w:val="20"/>
                  <w:szCs w:val="20"/>
                  <w:lang w:val="en-US"/>
                </w:rPr>
                <w:t>disability</w:t>
              </w:r>
            </w:hyperlink>
            <w:r w:rsidRPr="00797C62">
              <w:rPr>
                <w:rFonts w:eastAsiaTheme="minorHAnsi" w:cstheme="minorHAnsi"/>
                <w:lang w:val="en-US"/>
              </w:rPr>
              <w:t>, ethnicity, and capture individual-level, not only household level, information.</w:t>
            </w:r>
          </w:p>
          <w:p w14:paraId="53D74AD1" w14:textId="77777777" w:rsidR="00500DC9" w:rsidRPr="00797C62" w:rsidRDefault="00500DC9" w:rsidP="00500DC9">
            <w:pPr>
              <w:pStyle w:val="ListBullet"/>
              <w:rPr>
                <w:rFonts w:eastAsiaTheme="minorHAnsi"/>
                <w:lang w:val="en-US"/>
              </w:rPr>
            </w:pPr>
            <w:r w:rsidRPr="00797C62">
              <w:rPr>
                <w:rFonts w:eastAsiaTheme="minorHAnsi"/>
                <w:lang w:val="en-US"/>
              </w:rPr>
              <w:t>Use a combination of quantitative and qualitative measures.</w:t>
            </w:r>
          </w:p>
          <w:p w14:paraId="055E0FB8" w14:textId="77777777" w:rsidR="00500DC9" w:rsidRPr="00797C62" w:rsidRDefault="00500DC9" w:rsidP="00500DC9">
            <w:pPr>
              <w:pStyle w:val="ListBullet"/>
              <w:rPr>
                <w:rFonts w:eastAsiaTheme="minorHAnsi"/>
                <w:lang w:val="en-US"/>
              </w:rPr>
            </w:pPr>
            <w:r w:rsidRPr="00797C62">
              <w:t xml:space="preserve">To capture transformative outcomes, </w:t>
            </w:r>
            <w:r w:rsidRPr="00797C62">
              <w:rPr>
                <w:rFonts w:eastAsiaTheme="minorHAnsi"/>
                <w:lang w:val="en-US"/>
              </w:rPr>
              <w:t>indicators need to monitor changes in relations between men and women, and girls and boys, and intersectional risks. Where possible, make use of existing longitudinal research.</w:t>
            </w:r>
          </w:p>
          <w:p w14:paraId="048DA684" w14:textId="77777777" w:rsidR="00500DC9" w:rsidRPr="00797C62" w:rsidRDefault="00500DC9" w:rsidP="00500DC9">
            <w:pPr>
              <w:pStyle w:val="ListBullet"/>
              <w:rPr>
                <w:rFonts w:eastAsiaTheme="minorHAnsi"/>
                <w:lang w:val="en-US"/>
              </w:rPr>
            </w:pPr>
            <w:r w:rsidRPr="00797C62">
              <w:rPr>
                <w:rFonts w:eastAsiaTheme="minorHAnsi"/>
                <w:lang w:val="en-US"/>
              </w:rPr>
              <w:t>Data collection must adhere to ethical standards, and COVID-related regulations on distance and contact.</w:t>
            </w:r>
          </w:p>
          <w:p w14:paraId="7C36F2C3" w14:textId="4939D0EC" w:rsidR="00500DC9" w:rsidRDefault="00500DC9" w:rsidP="005D6102">
            <w:pPr>
              <w:pStyle w:val="Listbulletblue"/>
              <w:rPr>
                <w:bCs/>
                <w:szCs w:val="22"/>
              </w:rPr>
            </w:pPr>
            <w:r w:rsidRPr="00797C62">
              <w:t>Programs must capture, monitor and address any GBV or protection issues that arise in the program.</w:t>
            </w:r>
          </w:p>
        </w:tc>
        <w:tc>
          <w:tcPr>
            <w:tcW w:w="3261" w:type="dxa"/>
            <w:tcMar>
              <w:top w:w="113" w:type="dxa"/>
              <w:bottom w:w="113" w:type="dxa"/>
            </w:tcMar>
          </w:tcPr>
          <w:p w14:paraId="4A10C5B3" w14:textId="77777777" w:rsidR="00500DC9" w:rsidRPr="00797C62" w:rsidRDefault="00500DC9" w:rsidP="00500DC9">
            <w:r w:rsidRPr="00797C62">
              <w:t xml:space="preserve">Are indicators disaggregated </w:t>
            </w:r>
            <w:r w:rsidRPr="00797C62">
              <w:rPr>
                <w:rFonts w:eastAsiaTheme="minorHAnsi"/>
                <w:lang w:val="en-US"/>
              </w:rPr>
              <w:t>by sex, age, disability, ethnicity?</w:t>
            </w:r>
          </w:p>
          <w:p w14:paraId="007D4750" w14:textId="77777777" w:rsidR="00500DC9" w:rsidRPr="00797C62" w:rsidRDefault="00500DC9" w:rsidP="00500DC9">
            <w:r w:rsidRPr="00797C62">
              <w:t>Are quantitative and qualitative measures used?</w:t>
            </w:r>
          </w:p>
          <w:p w14:paraId="61256F06" w14:textId="77777777" w:rsidR="00500DC9" w:rsidRPr="00797C62" w:rsidRDefault="00500DC9" w:rsidP="00500DC9">
            <w:r w:rsidRPr="00797C62">
              <w:t>Do indicators monitor changes in relations, and intersectional risks?</w:t>
            </w:r>
          </w:p>
          <w:p w14:paraId="74212466" w14:textId="77777777" w:rsidR="00500DC9" w:rsidRPr="00797C62" w:rsidRDefault="00500DC9" w:rsidP="00500DC9">
            <w:r w:rsidRPr="00797C62">
              <w:t>Does your M</w:t>
            </w:r>
            <w:r>
              <w:t>EL</w:t>
            </w:r>
            <w:r w:rsidRPr="00797C62">
              <w:t xml:space="preserve"> strategy adhere to ethical standards and changes in data collection because of COVID-19?</w:t>
            </w:r>
          </w:p>
          <w:p w14:paraId="630C0CF0" w14:textId="367E65F3" w:rsidR="00500DC9" w:rsidRDefault="00500DC9" w:rsidP="00500DC9">
            <w:pPr>
              <w:spacing w:after="240"/>
              <w:rPr>
                <w:bCs/>
                <w:szCs w:val="22"/>
              </w:rPr>
            </w:pPr>
            <w:r w:rsidRPr="00797C62">
              <w:t>Does the program M</w:t>
            </w:r>
            <w:r>
              <w:t>EL</w:t>
            </w:r>
            <w:r w:rsidRPr="00797C62">
              <w:t xml:space="preserve"> strategy monitor GBV and protection issues?</w:t>
            </w:r>
          </w:p>
        </w:tc>
      </w:tr>
    </w:tbl>
    <w:p w14:paraId="544A832E" w14:textId="20FAB425" w:rsidR="009D0122" w:rsidRPr="00797C62" w:rsidRDefault="00B854FA" w:rsidP="00500DC9">
      <w:pPr>
        <w:spacing w:before="240" w:after="16"/>
        <w:rPr>
          <w:b/>
          <w:szCs w:val="22"/>
        </w:rPr>
      </w:pPr>
      <w:r w:rsidRPr="00797C62">
        <w:rPr>
          <w:b/>
          <w:szCs w:val="22"/>
        </w:rPr>
        <w:t xml:space="preserve">Authors: </w:t>
      </w:r>
      <w:r w:rsidRPr="00797C62">
        <w:rPr>
          <w:szCs w:val="22"/>
        </w:rPr>
        <w:t>Dr Rebecca Holmes (Overseas Development Institute) and Tess Connolly (Gender Equality Adviser, DFAT)</w:t>
      </w:r>
      <w:r w:rsidR="00856293">
        <w:rPr>
          <w:szCs w:val="22"/>
        </w:rPr>
        <w:t xml:space="preserve"> with input from DFAT’s Gender Equality Branch and Social Protection Section</w:t>
      </w:r>
      <w:r w:rsidRPr="00797C62">
        <w:rPr>
          <w:szCs w:val="22"/>
        </w:rPr>
        <w:t>.</w:t>
      </w:r>
    </w:p>
    <w:p w14:paraId="49976BCE" w14:textId="77777777" w:rsidR="00B854FA" w:rsidRPr="00797C62" w:rsidRDefault="00B854FA" w:rsidP="00C93D69">
      <w:pPr>
        <w:rPr>
          <w:b/>
          <w:szCs w:val="22"/>
        </w:rPr>
        <w:sectPr w:rsidR="00B854FA" w:rsidRPr="00797C62" w:rsidSect="00843965">
          <w:pgSz w:w="16840" w:h="11900" w:orient="landscape"/>
          <w:pgMar w:top="1440" w:right="1440" w:bottom="1440" w:left="1440" w:header="708" w:footer="708" w:gutter="0"/>
          <w:cols w:space="708"/>
          <w:docGrid w:linePitch="360"/>
        </w:sectPr>
      </w:pPr>
      <w:r w:rsidRPr="00797C62">
        <w:rPr>
          <w:b/>
          <w:szCs w:val="22"/>
        </w:rPr>
        <w:t xml:space="preserve">Contact: </w:t>
      </w:r>
      <w:r w:rsidRPr="00797C62">
        <w:rPr>
          <w:szCs w:val="22"/>
        </w:rPr>
        <w:t>povertyandsocialtransfers@dfat.gov.au</w:t>
      </w:r>
    </w:p>
    <w:p w14:paraId="510F8D7C" w14:textId="10BBCD1C" w:rsidR="008048ED" w:rsidRPr="00797C62" w:rsidRDefault="008048ED" w:rsidP="003E00C0">
      <w:pPr>
        <w:pStyle w:val="Heading1"/>
      </w:pPr>
      <w:bookmarkStart w:id="22" w:name="_Toc49669968"/>
      <w:r w:rsidRPr="00797C62">
        <w:lastRenderedPageBreak/>
        <w:t>References</w:t>
      </w:r>
      <w:bookmarkEnd w:id="22"/>
    </w:p>
    <w:p w14:paraId="0BDF355F" w14:textId="5D838AF4" w:rsidR="009A39D7" w:rsidRPr="003E00C0" w:rsidRDefault="009A39D7" w:rsidP="003E00C0">
      <w:pPr>
        <w:pStyle w:val="ListNumber"/>
        <w:numPr>
          <w:ilvl w:val="0"/>
          <w:numId w:val="43"/>
        </w:numPr>
      </w:pPr>
      <w:r w:rsidRPr="003E00C0">
        <w:t xml:space="preserve">DFID/GIZ (2020) Social Protection Approaches to COVID-19: Expert advice helpline: Guidance and checklists.  Accessed </w:t>
      </w:r>
      <w:hyperlink r:id="rId58" w:history="1">
        <w:r w:rsidRPr="003E00C0">
          <w:rPr>
            <w:rStyle w:val="Hyperlink"/>
            <w:szCs w:val="22"/>
          </w:rPr>
          <w:t>here</w:t>
        </w:r>
      </w:hyperlink>
      <w:r w:rsidRPr="003E00C0">
        <w:t xml:space="preserve">. </w:t>
      </w:r>
    </w:p>
    <w:p w14:paraId="73B81B93" w14:textId="5D838AF4" w:rsidR="008048ED" w:rsidRPr="003E00C0" w:rsidRDefault="008048ED" w:rsidP="003E00C0">
      <w:pPr>
        <w:pStyle w:val="ListNumber"/>
      </w:pPr>
      <w:r w:rsidRPr="003E00C0">
        <w:t xml:space="preserve">DFID (2018) VAWG Helpdesk Safeguarding – Checklist for Cash Transfer Programmes. </w:t>
      </w:r>
    </w:p>
    <w:p w14:paraId="12C353C1" w14:textId="77777777" w:rsidR="005D1AC8" w:rsidRPr="003E00C0" w:rsidRDefault="005D1AC8" w:rsidP="003E00C0">
      <w:pPr>
        <w:pStyle w:val="ListNumber"/>
      </w:pPr>
      <w:r w:rsidRPr="003E00C0">
        <w:t xml:space="preserve">Hidrobo, M., </w:t>
      </w:r>
      <w:r w:rsidR="000348FF" w:rsidRPr="003E00C0">
        <w:t xml:space="preserve">Kumar, N., Palermo, T., Peterman, S. and Roy, S. (2020) Gender-sensitive social protection: A critical component of the COVID-19 response in low- and middle-income countries IFPRI. Accessed </w:t>
      </w:r>
      <w:hyperlink r:id="rId59" w:history="1">
        <w:r w:rsidR="000348FF" w:rsidRPr="003E00C0">
          <w:rPr>
            <w:rStyle w:val="Hyperlink"/>
            <w:szCs w:val="22"/>
          </w:rPr>
          <w:t>here.</w:t>
        </w:r>
      </w:hyperlink>
    </w:p>
    <w:p w14:paraId="6A70E0F6" w14:textId="77777777" w:rsidR="008048ED" w:rsidRPr="003E00C0" w:rsidRDefault="008048ED" w:rsidP="003E00C0">
      <w:pPr>
        <w:pStyle w:val="ListNumber"/>
      </w:pPr>
      <w:r w:rsidRPr="003E00C0">
        <w:t xml:space="preserve">Holmes, R. (2019) Promoting gender equality and women’s empowerment in shock-sensitive social protection. ODI Working Paper 549 </w:t>
      </w:r>
    </w:p>
    <w:p w14:paraId="0581535A" w14:textId="6A5C6AD6" w:rsidR="009A39D7" w:rsidRPr="003E00C0" w:rsidRDefault="009A39D7" w:rsidP="003E00C0">
      <w:pPr>
        <w:pStyle w:val="ListNumber"/>
      </w:pPr>
      <w:r w:rsidRPr="003E00C0">
        <w:t xml:space="preserve">Interagency Social Protection Assessments: Core Diagnostic Instrument (CODI). Accessed </w:t>
      </w:r>
      <w:hyperlink r:id="rId60" w:history="1">
        <w:r w:rsidRPr="003E00C0">
          <w:rPr>
            <w:rStyle w:val="Hyperlink"/>
          </w:rPr>
          <w:t>here</w:t>
        </w:r>
      </w:hyperlink>
      <w:r w:rsidRPr="003E00C0">
        <w:t xml:space="preserve">. </w:t>
      </w:r>
    </w:p>
    <w:p w14:paraId="07733302" w14:textId="3F5A47CD" w:rsidR="008048ED" w:rsidRPr="003E00C0" w:rsidRDefault="008048ED" w:rsidP="003E00C0">
      <w:pPr>
        <w:pStyle w:val="ListNumber"/>
      </w:pPr>
      <w:r w:rsidRPr="003E00C0">
        <w:t xml:space="preserve">Jolly, M., Lee, H. Lepani, K., Naupa, A. and Rooney, M. (2015) Falling through the net? Gender and Social Protection in the Pacific. Discussion Paper No. 6, for Progress of the World’s Women 2015-16. </w:t>
      </w:r>
    </w:p>
    <w:p w14:paraId="69788DF2" w14:textId="77777777" w:rsidR="00F54637" w:rsidRPr="003E00C0" w:rsidRDefault="00EB0EB9" w:rsidP="003E00C0">
      <w:pPr>
        <w:pStyle w:val="ListNumber"/>
      </w:pPr>
      <w:r w:rsidRPr="003E00C0">
        <w:t xml:space="preserve">UNICEF (2020) Gender-Responsive Social Protection during COVID19: Technical note. Accessed </w:t>
      </w:r>
      <w:hyperlink r:id="rId61" w:history="1">
        <w:r w:rsidRPr="003E00C0">
          <w:rPr>
            <w:rStyle w:val="Hyperlink"/>
            <w:szCs w:val="22"/>
          </w:rPr>
          <w:t>here</w:t>
        </w:r>
      </w:hyperlink>
      <w:r w:rsidRPr="003E00C0">
        <w:t xml:space="preserve">. </w:t>
      </w:r>
    </w:p>
    <w:p w14:paraId="50EA5BEC" w14:textId="77777777" w:rsidR="00597779" w:rsidRPr="003E00C0" w:rsidRDefault="00597779" w:rsidP="003E00C0">
      <w:pPr>
        <w:pStyle w:val="ListNumber"/>
      </w:pPr>
      <w:r w:rsidRPr="003E00C0">
        <w:rPr>
          <w:rFonts w:cstheme="minorHAnsi"/>
        </w:rPr>
        <w:t>UNICEF Office of Research – Innocenti (2020 forthcoming) ‘A mapping and gender analysis of social protection programmes in low- and middle-income countries’. Innocenti Research Report TBC.</w:t>
      </w:r>
    </w:p>
    <w:p w14:paraId="49D552DD" w14:textId="77777777" w:rsidR="00725284" w:rsidRPr="003E00C0" w:rsidRDefault="00725284" w:rsidP="003E00C0">
      <w:pPr>
        <w:pStyle w:val="ListNumber"/>
      </w:pPr>
      <w:r w:rsidRPr="003E00C0">
        <w:rPr>
          <w:rFonts w:cstheme="minorHAnsi"/>
        </w:rPr>
        <w:t>International Rescue Committee (2019), Safer Cash Toolkit: Collecting and using data to make cash programs safer, August 2019. Accessed</w:t>
      </w:r>
      <w:r w:rsidRPr="003E00C0">
        <w:rPr>
          <w:sz w:val="20"/>
          <w:szCs w:val="20"/>
        </w:rPr>
        <w:t xml:space="preserve"> </w:t>
      </w:r>
      <w:hyperlink r:id="rId62" w:history="1">
        <w:r w:rsidRPr="003E00C0">
          <w:rPr>
            <w:rStyle w:val="Hyperlink"/>
            <w:color w:val="auto"/>
            <w:szCs w:val="22"/>
          </w:rPr>
          <w:t>here</w:t>
        </w:r>
      </w:hyperlink>
      <w:r w:rsidRPr="003E00C0">
        <w:t>.</w:t>
      </w:r>
    </w:p>
    <w:p w14:paraId="17D8B1DE" w14:textId="3C04328A" w:rsidR="00942C50" w:rsidRPr="003E00C0" w:rsidDel="009A39D7" w:rsidRDefault="008048ED" w:rsidP="003E00C0">
      <w:pPr>
        <w:pStyle w:val="ListNumber"/>
        <w:rPr>
          <w:rStyle w:val="Hyperlink"/>
          <w:szCs w:val="22"/>
        </w:rPr>
      </w:pPr>
      <w:r w:rsidRPr="003E00C0" w:rsidDel="009A39D7">
        <w:t xml:space="preserve">World Bank (2020) </w:t>
      </w:r>
      <w:r w:rsidR="007A3A7D" w:rsidRPr="003E00C0" w:rsidDel="009A39D7">
        <w:t>Gender dimensions of the COVID-19 pandemic. Policy Note</w:t>
      </w:r>
      <w:r w:rsidRPr="003E00C0" w:rsidDel="009A39D7">
        <w:t>.</w:t>
      </w:r>
      <w:r w:rsidR="007A3A7D" w:rsidRPr="003E00C0" w:rsidDel="009A39D7">
        <w:t xml:space="preserve"> Accessed </w:t>
      </w:r>
      <w:hyperlink r:id="rId63" w:history="1">
        <w:r w:rsidR="007A3A7D" w:rsidRPr="003E00C0" w:rsidDel="009A39D7">
          <w:rPr>
            <w:rStyle w:val="Hyperlink"/>
            <w:szCs w:val="22"/>
          </w:rPr>
          <w:t>here</w:t>
        </w:r>
      </w:hyperlink>
    </w:p>
    <w:p w14:paraId="4470C273" w14:textId="77777777" w:rsidR="00942C50" w:rsidRDefault="00942C50">
      <w:pPr>
        <w:rPr>
          <w:rStyle w:val="Hyperlink"/>
          <w:szCs w:val="22"/>
        </w:rPr>
      </w:pPr>
      <w:r>
        <w:rPr>
          <w:rStyle w:val="Hyperlink"/>
          <w:szCs w:val="22"/>
        </w:rPr>
        <w:br w:type="page"/>
      </w:r>
    </w:p>
    <w:p w14:paraId="7F5B0A77" w14:textId="2D7B72E4" w:rsidR="008C5502" w:rsidRPr="00F40114" w:rsidRDefault="007A3839" w:rsidP="00287C13">
      <w:pPr>
        <w:pStyle w:val="Heading1"/>
      </w:pPr>
      <w:bookmarkStart w:id="23" w:name="_Toc49669969"/>
      <w:r>
        <w:lastRenderedPageBreak/>
        <w:t>Annex 1</w:t>
      </w:r>
      <w:r w:rsidR="00942C50" w:rsidRPr="006464CC">
        <w:t>:</w:t>
      </w:r>
      <w:r w:rsidR="008C5502">
        <w:t xml:space="preserve">  </w:t>
      </w:r>
      <w:r w:rsidR="00127765">
        <w:t>Gender analysis</w:t>
      </w:r>
      <w:bookmarkEnd w:id="23"/>
    </w:p>
    <w:p w14:paraId="5BCFBC25" w14:textId="79CFAEA2" w:rsidR="00942C50" w:rsidRPr="00942C50" w:rsidRDefault="00942C50" w:rsidP="006464CC">
      <w:pPr>
        <w:spacing w:before="100" w:beforeAutospacing="1" w:after="100" w:afterAutospacing="1"/>
        <w:rPr>
          <w:rFonts w:cstheme="minorHAnsi"/>
          <w:b/>
          <w:szCs w:val="22"/>
        </w:rPr>
      </w:pPr>
    </w:p>
    <w:p w14:paraId="1DD1CB70" w14:textId="736BAEBE" w:rsidR="00942C50" w:rsidRPr="006464CC" w:rsidRDefault="00127765" w:rsidP="006464CC">
      <w:pPr>
        <w:spacing w:before="100" w:beforeAutospacing="1" w:after="100" w:afterAutospacing="1"/>
        <w:rPr>
          <w:rFonts w:cstheme="minorHAnsi"/>
          <w:b/>
          <w:szCs w:val="22"/>
        </w:rPr>
      </w:pPr>
      <w:r>
        <w:rPr>
          <w:rFonts w:cstheme="minorHAnsi"/>
          <w:b/>
          <w:szCs w:val="22"/>
        </w:rPr>
        <w:t xml:space="preserve">Gender data and analysis for Social Protection </w:t>
      </w:r>
      <w:r w:rsidR="004D33EC">
        <w:rPr>
          <w:rFonts w:cstheme="minorHAnsi"/>
          <w:b/>
          <w:szCs w:val="22"/>
        </w:rPr>
        <w:t>Programming</w:t>
      </w:r>
    </w:p>
    <w:tbl>
      <w:tblPr>
        <w:tblStyle w:val="TableGrid"/>
        <w:tblW w:w="5000" w:type="pct"/>
        <w:tblLook w:val="04A0" w:firstRow="1" w:lastRow="0" w:firstColumn="1" w:lastColumn="0" w:noHBand="0" w:noVBand="1"/>
      </w:tblPr>
      <w:tblGrid>
        <w:gridCol w:w="3568"/>
        <w:gridCol w:w="5442"/>
      </w:tblGrid>
      <w:tr w:rsidR="00942C50" w:rsidRPr="00942C50" w14:paraId="2874C9CF" w14:textId="77777777" w:rsidTr="00B7625C">
        <w:trPr>
          <w:tblHeader/>
        </w:trPr>
        <w:tc>
          <w:tcPr>
            <w:tcW w:w="1980" w:type="pct"/>
            <w:shd w:val="clear" w:color="auto" w:fill="D9D9D9" w:themeFill="background1" w:themeFillShade="D9"/>
          </w:tcPr>
          <w:p w14:paraId="147642BC" w14:textId="77777777" w:rsidR="00942C50" w:rsidRPr="00B7625C" w:rsidRDefault="00942C50" w:rsidP="00434A51">
            <w:pPr>
              <w:rPr>
                <w:rFonts w:cstheme="minorHAnsi"/>
                <w:b/>
                <w:bCs/>
                <w:szCs w:val="22"/>
              </w:rPr>
            </w:pPr>
            <w:r w:rsidRPr="00B7625C">
              <w:rPr>
                <w:rFonts w:cstheme="minorHAnsi"/>
                <w:b/>
                <w:bCs/>
                <w:szCs w:val="22"/>
              </w:rPr>
              <w:t>Areas of data analysis (across age, disability, ethnicity, location etc.)</w:t>
            </w:r>
          </w:p>
        </w:tc>
        <w:tc>
          <w:tcPr>
            <w:tcW w:w="3020" w:type="pct"/>
            <w:shd w:val="clear" w:color="auto" w:fill="D9D9D9" w:themeFill="background1" w:themeFillShade="D9"/>
          </w:tcPr>
          <w:p w14:paraId="17EADEDF" w14:textId="11CAB9A5" w:rsidR="00942C50" w:rsidRPr="00B7625C" w:rsidRDefault="00942C50" w:rsidP="00434A51">
            <w:pPr>
              <w:rPr>
                <w:rFonts w:cstheme="minorHAnsi"/>
                <w:b/>
                <w:bCs/>
                <w:szCs w:val="22"/>
              </w:rPr>
            </w:pPr>
            <w:r w:rsidRPr="00B7625C">
              <w:rPr>
                <w:rFonts w:cstheme="minorHAnsi"/>
                <w:b/>
                <w:bCs/>
                <w:szCs w:val="22"/>
              </w:rPr>
              <w:t xml:space="preserve">Why is this important for social protection </w:t>
            </w:r>
            <w:r w:rsidR="004D33EC">
              <w:rPr>
                <w:rFonts w:cstheme="minorHAnsi"/>
                <w:b/>
                <w:bCs/>
                <w:szCs w:val="22"/>
              </w:rPr>
              <w:t>programming</w:t>
            </w:r>
            <w:r w:rsidRPr="00B7625C">
              <w:rPr>
                <w:rFonts w:cstheme="minorHAnsi"/>
                <w:b/>
                <w:bCs/>
                <w:szCs w:val="22"/>
              </w:rPr>
              <w:t xml:space="preserve">? </w:t>
            </w:r>
          </w:p>
        </w:tc>
      </w:tr>
      <w:tr w:rsidR="00942C50" w:rsidRPr="00942C50" w14:paraId="1327F871" w14:textId="77777777" w:rsidTr="00B7625C">
        <w:tc>
          <w:tcPr>
            <w:tcW w:w="1980" w:type="pct"/>
          </w:tcPr>
          <w:p w14:paraId="236ED7E7" w14:textId="77777777" w:rsidR="00942C50" w:rsidRPr="00B7625C" w:rsidRDefault="00942C50" w:rsidP="00B7625C">
            <w:pPr>
              <w:rPr>
                <w:b/>
                <w:bCs/>
              </w:rPr>
            </w:pPr>
            <w:r w:rsidRPr="00B7625C">
              <w:rPr>
                <w:b/>
                <w:bCs/>
              </w:rPr>
              <w:t>Rates and levels of multidimensional poverty for women, children and youth, people with disability, single-headed households (e.g. income, food and nutrition, literacy, access to services, education, sexual and reproductive health etc)</w:t>
            </w:r>
          </w:p>
        </w:tc>
        <w:tc>
          <w:tcPr>
            <w:tcW w:w="3020" w:type="pct"/>
          </w:tcPr>
          <w:p w14:paraId="6E5D7A41" w14:textId="77777777" w:rsidR="00942C50" w:rsidRPr="006464CC" w:rsidRDefault="00942C50" w:rsidP="00B7625C">
            <w:r w:rsidRPr="006464CC">
              <w:t>Ensure appropriate targeting, identifying most vulnerable and at risk groups (e.g. in relation to poverty, food and nutrition security); identify what other types of appropriate social protection response may be required (e.g. food security, education or health fee waivers); identify additional support needed – e.g. through cash plus, additional / complementary programs.</w:t>
            </w:r>
          </w:p>
        </w:tc>
      </w:tr>
      <w:tr w:rsidR="00942C50" w:rsidRPr="00942C50" w14:paraId="40D87D76" w14:textId="77777777" w:rsidTr="00B7625C">
        <w:tc>
          <w:tcPr>
            <w:tcW w:w="1980" w:type="pct"/>
          </w:tcPr>
          <w:p w14:paraId="7F72BF05" w14:textId="77777777" w:rsidR="00942C50" w:rsidRPr="00B7625C" w:rsidRDefault="00942C50" w:rsidP="00434A51">
            <w:pPr>
              <w:rPr>
                <w:rFonts w:cstheme="minorHAnsi"/>
                <w:b/>
                <w:bCs/>
                <w:szCs w:val="22"/>
              </w:rPr>
            </w:pPr>
            <w:r w:rsidRPr="00B7625C">
              <w:rPr>
                <w:rFonts w:cstheme="minorHAnsi"/>
                <w:b/>
                <w:bCs/>
                <w:szCs w:val="22"/>
              </w:rPr>
              <w:t>Identification of most vulnerable groups (women, orphans, street children, adolescents, people living with HIV/AIDS, people with disability etc)</w:t>
            </w:r>
          </w:p>
        </w:tc>
        <w:tc>
          <w:tcPr>
            <w:tcW w:w="3020" w:type="pct"/>
          </w:tcPr>
          <w:p w14:paraId="701716F4" w14:textId="77777777" w:rsidR="00942C50" w:rsidRPr="006464CC" w:rsidRDefault="00942C50" w:rsidP="00434A51">
            <w:pPr>
              <w:rPr>
                <w:rFonts w:cstheme="minorHAnsi"/>
                <w:szCs w:val="22"/>
              </w:rPr>
            </w:pPr>
            <w:r w:rsidRPr="006464CC">
              <w:rPr>
                <w:rFonts w:cstheme="minorHAnsi"/>
                <w:szCs w:val="22"/>
              </w:rPr>
              <w:t>Ensure appropriate targeting and coverage; identify and understand the needs of the most vulnerable groups; take these needs into consideration when designing household level social protection support.</w:t>
            </w:r>
          </w:p>
        </w:tc>
      </w:tr>
      <w:tr w:rsidR="00942C50" w:rsidRPr="00942C50" w14:paraId="3B22F7B6" w14:textId="77777777" w:rsidTr="00B7625C">
        <w:tc>
          <w:tcPr>
            <w:tcW w:w="1980" w:type="pct"/>
          </w:tcPr>
          <w:p w14:paraId="4C51E438" w14:textId="77777777" w:rsidR="00942C50" w:rsidRPr="00B7625C" w:rsidRDefault="00942C50" w:rsidP="00434A51">
            <w:pPr>
              <w:rPr>
                <w:rFonts w:cstheme="minorHAnsi"/>
                <w:b/>
                <w:bCs/>
                <w:szCs w:val="22"/>
              </w:rPr>
            </w:pPr>
            <w:r w:rsidRPr="00B7625C">
              <w:rPr>
                <w:rFonts w:cstheme="minorHAnsi"/>
                <w:b/>
                <w:bCs/>
                <w:szCs w:val="22"/>
              </w:rPr>
              <w:t xml:space="preserve">Work and livelihoods </w:t>
            </w:r>
          </w:p>
          <w:p w14:paraId="7CAD15B3" w14:textId="77777777" w:rsidR="00942C50" w:rsidRPr="00B7625C" w:rsidRDefault="00942C50" w:rsidP="00434A51">
            <w:pPr>
              <w:rPr>
                <w:rFonts w:cstheme="minorHAnsi"/>
                <w:b/>
                <w:bCs/>
                <w:szCs w:val="22"/>
              </w:rPr>
            </w:pPr>
          </w:p>
        </w:tc>
        <w:tc>
          <w:tcPr>
            <w:tcW w:w="3020" w:type="pct"/>
          </w:tcPr>
          <w:p w14:paraId="172680AC" w14:textId="77777777" w:rsidR="00942C50" w:rsidRPr="006464CC" w:rsidRDefault="00942C50" w:rsidP="00434A51">
            <w:pPr>
              <w:rPr>
                <w:rFonts w:cstheme="minorHAnsi"/>
                <w:szCs w:val="22"/>
              </w:rPr>
            </w:pPr>
            <w:r w:rsidRPr="006464CC">
              <w:rPr>
                <w:rFonts w:cstheme="minorHAnsi"/>
                <w:szCs w:val="22"/>
              </w:rPr>
              <w:t xml:space="preserve">Identify vulnerable workers for targeting; identify mechanisms to support livelihoods, skills and job opportunities through social protection (such as cash for work programs) especially in recovery stages. </w:t>
            </w:r>
          </w:p>
        </w:tc>
      </w:tr>
      <w:tr w:rsidR="00942C50" w:rsidRPr="00942C50" w14:paraId="7BF4E752" w14:textId="77777777" w:rsidTr="00B7625C">
        <w:trPr>
          <w:trHeight w:val="846"/>
        </w:trPr>
        <w:tc>
          <w:tcPr>
            <w:tcW w:w="1980" w:type="pct"/>
          </w:tcPr>
          <w:p w14:paraId="4785E7EB" w14:textId="77777777" w:rsidR="00942C50" w:rsidRPr="00B7625C" w:rsidRDefault="00942C50" w:rsidP="00434A51">
            <w:pPr>
              <w:rPr>
                <w:rFonts w:cstheme="minorHAnsi"/>
                <w:b/>
                <w:bCs/>
                <w:szCs w:val="22"/>
              </w:rPr>
            </w:pPr>
            <w:r w:rsidRPr="00B7625C">
              <w:rPr>
                <w:rFonts w:cstheme="minorHAnsi"/>
                <w:b/>
                <w:bCs/>
                <w:szCs w:val="22"/>
              </w:rPr>
              <w:t>The care economy: time use of women and girls (gender division of labour in the household, caring responsibilities etc.); childcare arrangements in place (formal and informal)</w:t>
            </w:r>
          </w:p>
        </w:tc>
        <w:tc>
          <w:tcPr>
            <w:tcW w:w="3020" w:type="pct"/>
          </w:tcPr>
          <w:p w14:paraId="771F044D" w14:textId="77777777" w:rsidR="00942C50" w:rsidRPr="006464CC" w:rsidRDefault="00942C50" w:rsidP="00434A51">
            <w:pPr>
              <w:rPr>
                <w:rFonts w:cstheme="minorHAnsi"/>
                <w:szCs w:val="22"/>
              </w:rPr>
            </w:pPr>
            <w:r w:rsidRPr="006464CC">
              <w:rPr>
                <w:rFonts w:cstheme="minorHAnsi"/>
                <w:szCs w:val="22"/>
              </w:rPr>
              <w:t>Ensure programs do not exacerbate women’s time poverty (e.g. receiving payments, in meeting conditionalities); identify how care needs can be addressed; identify opportunities to promote more equitable division of labour and caring responsibilities within the household.</w:t>
            </w:r>
          </w:p>
        </w:tc>
      </w:tr>
      <w:tr w:rsidR="00942C50" w:rsidRPr="00942C50" w14:paraId="3244805D" w14:textId="77777777" w:rsidTr="00B7625C">
        <w:tc>
          <w:tcPr>
            <w:tcW w:w="1980" w:type="pct"/>
          </w:tcPr>
          <w:p w14:paraId="7D5B1D9C" w14:textId="77777777" w:rsidR="00942C50" w:rsidRPr="00B7625C" w:rsidRDefault="00942C50" w:rsidP="00434A51">
            <w:pPr>
              <w:rPr>
                <w:rFonts w:cstheme="minorHAnsi"/>
                <w:b/>
                <w:bCs/>
                <w:szCs w:val="22"/>
              </w:rPr>
            </w:pPr>
            <w:r w:rsidRPr="00B7625C">
              <w:rPr>
                <w:rFonts w:cstheme="minorHAnsi"/>
                <w:b/>
                <w:bCs/>
                <w:szCs w:val="22"/>
              </w:rPr>
              <w:t>Socio-cultural practices and norms (attitudes to women and girls, mobility, status, child marriage, FGM, adolescent pregnancy rates,  stigma associated with disability )</w:t>
            </w:r>
          </w:p>
        </w:tc>
        <w:tc>
          <w:tcPr>
            <w:tcW w:w="3020" w:type="pct"/>
          </w:tcPr>
          <w:p w14:paraId="2B8BEE5F" w14:textId="61A011E4" w:rsidR="00942C50" w:rsidRPr="006464CC" w:rsidRDefault="00942C50" w:rsidP="00127765">
            <w:pPr>
              <w:rPr>
                <w:rFonts w:cstheme="minorHAnsi"/>
                <w:szCs w:val="22"/>
              </w:rPr>
            </w:pPr>
            <w:r w:rsidRPr="006464CC">
              <w:rPr>
                <w:rFonts w:cstheme="minorHAnsi"/>
                <w:szCs w:val="22"/>
              </w:rPr>
              <w:t xml:space="preserve">Ensure risks are not exacerbated in program design, and that norms or stigma do not prevent access to programs for women, people with disability or those living with HIV/AIDS; identify opportunities for promoting empowerment and transformation objectives by tackling discriminatory norms, practices and behaviours; tailor the communication of information and delivery modalities appropriately. </w:t>
            </w:r>
          </w:p>
        </w:tc>
      </w:tr>
      <w:tr w:rsidR="00942C50" w:rsidRPr="00942C50" w14:paraId="35A628EB" w14:textId="77777777" w:rsidTr="00B7625C">
        <w:tc>
          <w:tcPr>
            <w:tcW w:w="1980" w:type="pct"/>
          </w:tcPr>
          <w:p w14:paraId="08FD3F10" w14:textId="77777777" w:rsidR="00942C50" w:rsidRPr="00B7625C" w:rsidRDefault="00942C50" w:rsidP="00434A51">
            <w:pPr>
              <w:rPr>
                <w:rFonts w:cstheme="minorHAnsi"/>
                <w:b/>
                <w:bCs/>
                <w:szCs w:val="22"/>
              </w:rPr>
            </w:pPr>
            <w:r w:rsidRPr="00B7625C">
              <w:rPr>
                <w:rFonts w:cstheme="minorHAnsi"/>
                <w:b/>
                <w:bCs/>
                <w:szCs w:val="22"/>
              </w:rPr>
              <w:t xml:space="preserve">Socio-cultural preferences, languages spoken, prevalence of informal safety nets etc. </w:t>
            </w:r>
          </w:p>
        </w:tc>
        <w:tc>
          <w:tcPr>
            <w:tcW w:w="3020" w:type="pct"/>
          </w:tcPr>
          <w:p w14:paraId="76690307" w14:textId="77777777" w:rsidR="00942C50" w:rsidRPr="006464CC" w:rsidRDefault="00942C50" w:rsidP="00434A51">
            <w:pPr>
              <w:rPr>
                <w:rFonts w:cstheme="minorHAnsi"/>
                <w:szCs w:val="22"/>
              </w:rPr>
            </w:pPr>
            <w:r w:rsidRPr="006464CC">
              <w:rPr>
                <w:rFonts w:cstheme="minorHAnsi"/>
                <w:szCs w:val="22"/>
              </w:rPr>
              <w:t>Ensure socio-cultural norms are respected, informal safety nets are not undermined; information is communicated appropriately across languages and methods.</w:t>
            </w:r>
          </w:p>
        </w:tc>
      </w:tr>
      <w:tr w:rsidR="00942C50" w:rsidRPr="00942C50" w14:paraId="4E136317" w14:textId="77777777" w:rsidTr="00B7625C">
        <w:tc>
          <w:tcPr>
            <w:tcW w:w="1980" w:type="pct"/>
          </w:tcPr>
          <w:p w14:paraId="427C7F23" w14:textId="77777777" w:rsidR="00942C50" w:rsidRPr="00B7625C" w:rsidRDefault="00942C50" w:rsidP="00287C13">
            <w:pPr>
              <w:pageBreakBefore/>
              <w:rPr>
                <w:rFonts w:cstheme="minorHAnsi"/>
                <w:b/>
                <w:bCs/>
                <w:szCs w:val="22"/>
              </w:rPr>
            </w:pPr>
            <w:r w:rsidRPr="00B7625C">
              <w:rPr>
                <w:rFonts w:cstheme="minorHAnsi"/>
                <w:b/>
                <w:bCs/>
                <w:szCs w:val="22"/>
              </w:rPr>
              <w:lastRenderedPageBreak/>
              <w:t>Women’s voice and agency at household and community level, including control over income and decision-making</w:t>
            </w:r>
          </w:p>
          <w:p w14:paraId="3D262B4C" w14:textId="77777777" w:rsidR="00942C50" w:rsidRPr="00B7625C" w:rsidRDefault="00942C50" w:rsidP="00434A51">
            <w:pPr>
              <w:rPr>
                <w:rFonts w:cstheme="minorHAnsi"/>
                <w:b/>
                <w:bCs/>
                <w:szCs w:val="22"/>
              </w:rPr>
            </w:pPr>
          </w:p>
        </w:tc>
        <w:tc>
          <w:tcPr>
            <w:tcW w:w="3020" w:type="pct"/>
          </w:tcPr>
          <w:p w14:paraId="7C57C451" w14:textId="77777777" w:rsidR="00942C50" w:rsidRPr="006464CC" w:rsidRDefault="00942C50" w:rsidP="00434A51">
            <w:pPr>
              <w:rPr>
                <w:rFonts w:cstheme="minorHAnsi"/>
                <w:szCs w:val="22"/>
              </w:rPr>
            </w:pPr>
            <w:r w:rsidRPr="006464CC">
              <w:rPr>
                <w:rFonts w:cstheme="minorHAnsi"/>
                <w:szCs w:val="22"/>
              </w:rPr>
              <w:t>Important for designing targeting criteria and identifying who in the household will receive transfers; identify what additional measures may need to be in place to support equitable intra-household decision-making and resource allocation (e.g. use of coping strategies such as reducing food intake); identify opportunities to promote women’s empowerment and control over resources; ensure women feel confident in raising complaints and feedback through GRM.</w:t>
            </w:r>
          </w:p>
        </w:tc>
      </w:tr>
      <w:tr w:rsidR="00942C50" w:rsidRPr="00942C50" w14:paraId="3752A8C5" w14:textId="77777777" w:rsidTr="00B7625C">
        <w:tc>
          <w:tcPr>
            <w:tcW w:w="1980" w:type="pct"/>
          </w:tcPr>
          <w:p w14:paraId="58CD595F" w14:textId="77777777" w:rsidR="00942C50" w:rsidRPr="00B7625C" w:rsidRDefault="00942C50" w:rsidP="00434A51">
            <w:pPr>
              <w:rPr>
                <w:rFonts w:cstheme="minorHAnsi"/>
                <w:b/>
                <w:bCs/>
                <w:szCs w:val="22"/>
              </w:rPr>
            </w:pPr>
            <w:r w:rsidRPr="00B7625C">
              <w:rPr>
                <w:rFonts w:cstheme="minorHAnsi"/>
                <w:b/>
                <w:bCs/>
                <w:szCs w:val="22"/>
              </w:rPr>
              <w:t>Access to and ownership of bank accounts, mobile phones, internet</w:t>
            </w:r>
          </w:p>
        </w:tc>
        <w:tc>
          <w:tcPr>
            <w:tcW w:w="3020" w:type="pct"/>
          </w:tcPr>
          <w:p w14:paraId="58EA808E" w14:textId="77777777" w:rsidR="00942C50" w:rsidRPr="006464CC" w:rsidRDefault="00942C50" w:rsidP="00434A51">
            <w:pPr>
              <w:rPr>
                <w:rFonts w:cstheme="minorHAnsi"/>
                <w:szCs w:val="22"/>
              </w:rPr>
            </w:pPr>
            <w:r w:rsidRPr="006464CC">
              <w:rPr>
                <w:rFonts w:cstheme="minorHAnsi"/>
                <w:szCs w:val="22"/>
              </w:rPr>
              <w:t xml:space="preserve">Ensure that delivery modalities are equally accessible to women, people with disability who are less likely to have access to newer technology. </w:t>
            </w:r>
          </w:p>
        </w:tc>
      </w:tr>
      <w:tr w:rsidR="00942C50" w:rsidRPr="00942C50" w14:paraId="2F7245B8" w14:textId="77777777" w:rsidTr="00B7625C">
        <w:tc>
          <w:tcPr>
            <w:tcW w:w="1980" w:type="pct"/>
          </w:tcPr>
          <w:p w14:paraId="79215798" w14:textId="77777777" w:rsidR="00942C50" w:rsidRPr="00B7625C" w:rsidRDefault="00942C50" w:rsidP="00434A51">
            <w:pPr>
              <w:rPr>
                <w:rFonts w:cstheme="minorHAnsi"/>
                <w:b/>
                <w:bCs/>
                <w:szCs w:val="22"/>
              </w:rPr>
            </w:pPr>
            <w:r w:rsidRPr="00B7625C">
              <w:rPr>
                <w:rFonts w:cstheme="minorHAnsi"/>
                <w:b/>
                <w:bCs/>
                <w:szCs w:val="22"/>
              </w:rPr>
              <w:t xml:space="preserve">Levels of financial literacy </w:t>
            </w:r>
          </w:p>
          <w:p w14:paraId="0F2A4DBF" w14:textId="77777777" w:rsidR="00942C50" w:rsidRPr="00B7625C" w:rsidRDefault="00942C50" w:rsidP="00434A51">
            <w:pPr>
              <w:rPr>
                <w:rFonts w:cstheme="minorHAnsi"/>
                <w:b/>
                <w:bCs/>
                <w:szCs w:val="22"/>
              </w:rPr>
            </w:pPr>
          </w:p>
        </w:tc>
        <w:tc>
          <w:tcPr>
            <w:tcW w:w="3020" w:type="pct"/>
          </w:tcPr>
          <w:p w14:paraId="64F53EAC" w14:textId="77777777" w:rsidR="00942C50" w:rsidRPr="006464CC" w:rsidRDefault="00942C50" w:rsidP="00434A51">
            <w:pPr>
              <w:rPr>
                <w:rFonts w:cstheme="minorHAnsi"/>
                <w:szCs w:val="22"/>
              </w:rPr>
            </w:pPr>
            <w:r w:rsidRPr="006464CC">
              <w:rPr>
                <w:rFonts w:cstheme="minorHAnsi"/>
                <w:szCs w:val="22"/>
              </w:rPr>
              <w:t xml:space="preserve">Identify what additional skills are needed to support delivery modality choices, and promote empowerment / transformation objectives by supporting skills training.  </w:t>
            </w:r>
          </w:p>
        </w:tc>
      </w:tr>
      <w:tr w:rsidR="00942C50" w:rsidRPr="00942C50" w14:paraId="51A9182E" w14:textId="77777777" w:rsidTr="00B7625C">
        <w:tc>
          <w:tcPr>
            <w:tcW w:w="1980" w:type="pct"/>
          </w:tcPr>
          <w:p w14:paraId="4DE979A3" w14:textId="77777777" w:rsidR="00942C50" w:rsidRPr="00B7625C" w:rsidRDefault="00942C50" w:rsidP="00434A51">
            <w:pPr>
              <w:rPr>
                <w:rFonts w:cstheme="minorHAnsi"/>
                <w:b/>
                <w:bCs/>
                <w:color w:val="000000" w:themeColor="text1"/>
                <w:szCs w:val="22"/>
              </w:rPr>
            </w:pPr>
            <w:r w:rsidRPr="00B7625C">
              <w:rPr>
                <w:rFonts w:cstheme="minorHAnsi"/>
                <w:b/>
                <w:bCs/>
                <w:color w:val="000000" w:themeColor="text1"/>
                <w:szCs w:val="22"/>
              </w:rPr>
              <w:t>Gender-based violence and community dynamics</w:t>
            </w:r>
          </w:p>
        </w:tc>
        <w:tc>
          <w:tcPr>
            <w:tcW w:w="3020" w:type="pct"/>
          </w:tcPr>
          <w:p w14:paraId="10EC3B3C" w14:textId="77777777" w:rsidR="00942C50" w:rsidRPr="006464CC" w:rsidRDefault="00942C50" w:rsidP="00434A51">
            <w:pPr>
              <w:rPr>
                <w:rFonts w:cstheme="minorHAnsi"/>
                <w:color w:val="000000" w:themeColor="text1"/>
                <w:szCs w:val="22"/>
              </w:rPr>
            </w:pPr>
            <w:r w:rsidRPr="006464CC">
              <w:rPr>
                <w:rFonts w:cstheme="minorHAnsi"/>
                <w:color w:val="000000" w:themeColor="text1"/>
                <w:szCs w:val="22"/>
              </w:rPr>
              <w:t xml:space="preserve">Identify VAWG risks (e.g. from prevalence data). Ensure programs meet protection needs and do not exacerbate or create risks of violence in the household or community. </w:t>
            </w:r>
          </w:p>
        </w:tc>
      </w:tr>
    </w:tbl>
    <w:p w14:paraId="3574A85C" w14:textId="77777777" w:rsidR="00942C50" w:rsidRPr="006464CC" w:rsidRDefault="00942C50" w:rsidP="00942C50">
      <w:pPr>
        <w:spacing w:before="100" w:beforeAutospacing="1" w:after="100" w:afterAutospacing="1"/>
        <w:contextualSpacing/>
        <w:rPr>
          <w:rFonts w:cstheme="minorHAnsi"/>
          <w:b/>
        </w:rPr>
      </w:pPr>
    </w:p>
    <w:p w14:paraId="1DF59B48" w14:textId="77777777" w:rsidR="00354CE0" w:rsidRDefault="00354CE0">
      <w:pPr>
        <w:spacing w:after="0" w:line="240" w:lineRule="auto"/>
        <w:rPr>
          <w:rFonts w:cstheme="minorHAnsi"/>
          <w:b/>
        </w:rPr>
      </w:pPr>
      <w:r>
        <w:rPr>
          <w:rFonts w:cstheme="minorHAnsi"/>
          <w:b/>
        </w:rPr>
        <w:br w:type="page"/>
      </w:r>
    </w:p>
    <w:p w14:paraId="6D547477" w14:textId="48DEACF7" w:rsidR="00942C50" w:rsidRPr="006464CC" w:rsidRDefault="00942C50" w:rsidP="00354CE0">
      <w:pPr>
        <w:pStyle w:val="Heading1"/>
      </w:pPr>
      <w:bookmarkStart w:id="24" w:name="_Toc49669970"/>
      <w:r w:rsidRPr="006464CC">
        <w:lastRenderedPageBreak/>
        <w:t>Further resources on data and analysis, including impacts of COVID-19</w:t>
      </w:r>
      <w:bookmarkEnd w:id="24"/>
    </w:p>
    <w:p w14:paraId="5C04F875" w14:textId="77777777" w:rsidR="00942C50" w:rsidRPr="006464CC" w:rsidRDefault="00942C50" w:rsidP="00942C50">
      <w:pPr>
        <w:spacing w:before="100" w:beforeAutospacing="1" w:after="100" w:afterAutospacing="1"/>
        <w:contextualSpacing/>
        <w:rPr>
          <w:rFonts w:cstheme="minorHAnsi"/>
          <w:b/>
        </w:rPr>
      </w:pPr>
    </w:p>
    <w:p w14:paraId="45BC8AD4" w14:textId="34F3D672" w:rsidR="00942C50" w:rsidRPr="006464CC" w:rsidRDefault="00942C50" w:rsidP="00354CE0">
      <w:pPr>
        <w:pStyle w:val="Heading2"/>
      </w:pPr>
      <w:bookmarkStart w:id="25" w:name="_Toc49669787"/>
      <w:bookmarkStart w:id="26" w:name="_Toc49669971"/>
      <w:r w:rsidRPr="006464CC">
        <w:t>Gender Equality</w:t>
      </w:r>
      <w:bookmarkEnd w:id="25"/>
      <w:bookmarkEnd w:id="26"/>
    </w:p>
    <w:p w14:paraId="12061BD2" w14:textId="77777777" w:rsidR="00942C50" w:rsidRDefault="00942C50" w:rsidP="006464CC">
      <w:pPr>
        <w:spacing w:before="100" w:beforeAutospacing="1" w:after="100" w:afterAutospacing="1"/>
        <w:rPr>
          <w:rStyle w:val="normaltextrun"/>
          <w:rFonts w:cstheme="minorHAnsi"/>
          <w:szCs w:val="22"/>
          <w:shd w:val="clear" w:color="auto" w:fill="FFFFFF"/>
        </w:rPr>
      </w:pPr>
      <w:r w:rsidRPr="00942C50">
        <w:rPr>
          <w:rStyle w:val="normaltextrun"/>
          <w:rFonts w:cstheme="minorHAnsi"/>
          <w:szCs w:val="22"/>
          <w:shd w:val="clear" w:color="auto" w:fill="FFFFFF"/>
        </w:rPr>
        <w:t>UN Women (2020) </w:t>
      </w:r>
      <w:hyperlink r:id="rId64" w:tgtFrame="_blank" w:history="1">
        <w:r w:rsidRPr="00942C50">
          <w:rPr>
            <w:rStyle w:val="normaltextrun"/>
            <w:rFonts w:cstheme="minorHAnsi"/>
            <w:szCs w:val="22"/>
            <w:u w:val="single"/>
            <w:shd w:val="clear" w:color="auto" w:fill="FFFFFF"/>
          </w:rPr>
          <w:t>COVID-19: Emerging gender data and why it matters</w:t>
        </w:r>
      </w:hyperlink>
      <w:r w:rsidRPr="00942C50">
        <w:rPr>
          <w:rStyle w:val="normaltextrun"/>
          <w:rFonts w:cstheme="minorHAnsi"/>
          <w:szCs w:val="22"/>
          <w:shd w:val="clear" w:color="auto" w:fill="FFFFFF"/>
        </w:rPr>
        <w:t> </w:t>
      </w:r>
    </w:p>
    <w:p w14:paraId="57B7B34D" w14:textId="77777777" w:rsidR="00942C50" w:rsidRDefault="00942C50" w:rsidP="006464CC">
      <w:pPr>
        <w:spacing w:before="100" w:beforeAutospacing="1" w:after="100" w:afterAutospacing="1"/>
        <w:rPr>
          <w:rStyle w:val="normaltextrun"/>
          <w:rFonts w:cstheme="minorHAnsi"/>
          <w:szCs w:val="22"/>
          <w:shd w:val="clear" w:color="auto" w:fill="FFFFFF"/>
        </w:rPr>
      </w:pPr>
      <w:r w:rsidRPr="00942C50">
        <w:rPr>
          <w:rStyle w:val="normaltextrun"/>
          <w:rFonts w:cstheme="minorHAnsi"/>
          <w:szCs w:val="22"/>
          <w:shd w:val="clear" w:color="auto" w:fill="FFFFFF"/>
        </w:rPr>
        <w:t xml:space="preserve">UN Women (2020) </w:t>
      </w:r>
      <w:hyperlink r:id="rId65" w:history="1">
        <w:r w:rsidRPr="00942C50">
          <w:rPr>
            <w:rStyle w:val="Hyperlink"/>
            <w:rFonts w:cstheme="minorHAnsi"/>
            <w:szCs w:val="22"/>
            <w:shd w:val="clear" w:color="auto" w:fill="FFFFFF"/>
          </w:rPr>
          <w:t>The First 100 Days of the COVID-19 Outbreak in Asia and the Pacific: A Gender Lens</w:t>
        </w:r>
      </w:hyperlink>
    </w:p>
    <w:p w14:paraId="3E8D4C01" w14:textId="1FC4B099" w:rsidR="00942C50" w:rsidRPr="00942C50" w:rsidRDefault="00942C50" w:rsidP="006464CC">
      <w:pPr>
        <w:spacing w:before="100" w:beforeAutospacing="1" w:after="100" w:afterAutospacing="1"/>
        <w:rPr>
          <w:rStyle w:val="eop"/>
          <w:rFonts w:cstheme="minorHAnsi"/>
          <w:szCs w:val="22"/>
          <w:shd w:val="clear" w:color="auto" w:fill="FFFFFF"/>
        </w:rPr>
      </w:pPr>
      <w:r w:rsidRPr="00942C50">
        <w:rPr>
          <w:rStyle w:val="normaltextrun"/>
          <w:rFonts w:cstheme="minorHAnsi"/>
          <w:szCs w:val="22"/>
          <w:shd w:val="clear" w:color="auto" w:fill="FFFFFF"/>
        </w:rPr>
        <w:t>Gender and COVID-19 Working Group (2020) </w:t>
      </w:r>
      <w:hyperlink r:id="rId66" w:tgtFrame="_blank" w:history="1">
        <w:r w:rsidRPr="00942C50">
          <w:rPr>
            <w:rStyle w:val="normaltextrun"/>
            <w:rFonts w:cstheme="minorHAnsi"/>
            <w:szCs w:val="22"/>
            <w:u w:val="single"/>
            <w:shd w:val="clear" w:color="auto" w:fill="FFFFFF"/>
          </w:rPr>
          <w:t>List of Resources</w:t>
        </w:r>
      </w:hyperlink>
      <w:r w:rsidRPr="00942C50">
        <w:rPr>
          <w:rStyle w:val="normaltextrun"/>
          <w:rFonts w:cstheme="minorHAnsi"/>
          <w:szCs w:val="22"/>
          <w:shd w:val="clear" w:color="auto" w:fill="FFFFFF"/>
        </w:rPr>
        <w:t> (living document)</w:t>
      </w:r>
      <w:r w:rsidRPr="00942C50">
        <w:rPr>
          <w:rStyle w:val="eop"/>
          <w:rFonts w:cstheme="minorHAnsi"/>
          <w:szCs w:val="22"/>
          <w:shd w:val="clear" w:color="auto" w:fill="FFFFFF"/>
        </w:rPr>
        <w:t> </w:t>
      </w:r>
    </w:p>
    <w:p w14:paraId="4DA98D98" w14:textId="77777777" w:rsidR="00942C50" w:rsidRPr="00942C50" w:rsidRDefault="00942C50" w:rsidP="006464CC">
      <w:pPr>
        <w:spacing w:before="100" w:beforeAutospacing="1" w:after="100" w:afterAutospacing="1"/>
        <w:rPr>
          <w:rStyle w:val="eop"/>
          <w:rFonts w:cstheme="minorHAnsi"/>
          <w:szCs w:val="22"/>
          <w:shd w:val="clear" w:color="auto" w:fill="FFFFFF"/>
        </w:rPr>
      </w:pPr>
      <w:r w:rsidRPr="00942C50">
        <w:rPr>
          <w:rStyle w:val="normaltextrun"/>
          <w:rFonts w:cstheme="minorHAnsi"/>
          <w:szCs w:val="22"/>
          <w:shd w:val="clear" w:color="auto" w:fill="FFFFFF"/>
        </w:rPr>
        <w:t>Gender and Development Network (GADN) </w:t>
      </w:r>
      <w:hyperlink r:id="rId67" w:tgtFrame="_blank" w:history="1">
        <w:r w:rsidRPr="00942C50">
          <w:rPr>
            <w:rStyle w:val="normaltextrun"/>
            <w:rFonts w:cstheme="minorHAnsi"/>
            <w:szCs w:val="22"/>
            <w:u w:val="single"/>
            <w:shd w:val="clear" w:color="auto" w:fill="FFFFFF"/>
          </w:rPr>
          <w:t>List of resources: Feminist Responses to COVID-19.</w:t>
        </w:r>
      </w:hyperlink>
      <w:r w:rsidRPr="00942C50">
        <w:rPr>
          <w:rStyle w:val="eop"/>
          <w:rFonts w:cstheme="minorHAnsi"/>
          <w:szCs w:val="22"/>
          <w:shd w:val="clear" w:color="auto" w:fill="FFFFFF"/>
        </w:rPr>
        <w:t> </w:t>
      </w:r>
    </w:p>
    <w:p w14:paraId="7CA9CD3E" w14:textId="77777777" w:rsidR="00942C50" w:rsidRPr="006464CC" w:rsidRDefault="00942C50" w:rsidP="006464CC">
      <w:pPr>
        <w:spacing w:before="100" w:beforeAutospacing="1" w:after="100" w:afterAutospacing="1"/>
        <w:rPr>
          <w:rFonts w:cstheme="minorHAnsi"/>
          <w:szCs w:val="22"/>
        </w:rPr>
      </w:pPr>
      <w:r w:rsidRPr="00942C50">
        <w:rPr>
          <w:rStyle w:val="normaltextrun"/>
          <w:rFonts w:cstheme="minorHAnsi"/>
          <w:szCs w:val="22"/>
          <w:shd w:val="clear" w:color="auto" w:fill="FFFFFF"/>
        </w:rPr>
        <w:t>World Bank (2020) </w:t>
      </w:r>
      <w:hyperlink r:id="rId68" w:tgtFrame="_blank" w:history="1">
        <w:r w:rsidRPr="00942C50">
          <w:rPr>
            <w:rStyle w:val="normaltextrun"/>
            <w:rFonts w:cstheme="minorHAnsi"/>
            <w:szCs w:val="22"/>
            <w:u w:val="single"/>
            <w:shd w:val="clear" w:color="auto" w:fill="FFFFFF"/>
          </w:rPr>
          <w:t>Gender dimensions of the COVID-19 pandemic</w:t>
        </w:r>
      </w:hyperlink>
      <w:r w:rsidRPr="00942C50">
        <w:rPr>
          <w:rStyle w:val="normaltextrun"/>
          <w:rFonts w:cstheme="minorHAnsi"/>
          <w:szCs w:val="22"/>
          <w:shd w:val="clear" w:color="auto" w:fill="FFFFFF"/>
        </w:rPr>
        <w:t> (policy note)</w:t>
      </w:r>
      <w:r w:rsidRPr="00942C50">
        <w:rPr>
          <w:rStyle w:val="eop"/>
          <w:rFonts w:cstheme="minorHAnsi"/>
          <w:szCs w:val="22"/>
          <w:shd w:val="clear" w:color="auto" w:fill="FFFFFF"/>
        </w:rPr>
        <w:t> </w:t>
      </w:r>
    </w:p>
    <w:p w14:paraId="1933B93D" w14:textId="77777777" w:rsidR="00942C50" w:rsidRPr="00942C50" w:rsidRDefault="00942C50" w:rsidP="006464CC">
      <w:pPr>
        <w:spacing w:before="100" w:beforeAutospacing="1" w:after="100" w:afterAutospacing="1"/>
        <w:rPr>
          <w:rStyle w:val="eop"/>
          <w:rFonts w:cstheme="minorHAnsi"/>
          <w:szCs w:val="22"/>
          <w:shd w:val="clear" w:color="auto" w:fill="FFFFFF"/>
        </w:rPr>
      </w:pPr>
      <w:r w:rsidRPr="00942C50">
        <w:rPr>
          <w:rStyle w:val="normaltextrun"/>
          <w:rFonts w:cstheme="minorHAnsi"/>
          <w:szCs w:val="22"/>
          <w:shd w:val="clear" w:color="auto" w:fill="FFFFFF"/>
        </w:rPr>
        <w:t>UNFPA (2020) </w:t>
      </w:r>
      <w:hyperlink r:id="rId69" w:tgtFrame="_blank" w:history="1">
        <w:r w:rsidRPr="00942C50">
          <w:rPr>
            <w:rStyle w:val="normaltextrun"/>
            <w:rFonts w:cstheme="minorHAnsi"/>
            <w:szCs w:val="22"/>
            <w:u w:val="single"/>
            <w:shd w:val="clear" w:color="auto" w:fill="FFFFFF"/>
          </w:rPr>
          <w:t>COVID-19: A Gender Lens</w:t>
        </w:r>
      </w:hyperlink>
      <w:r w:rsidRPr="00942C50">
        <w:rPr>
          <w:rStyle w:val="eop"/>
          <w:rFonts w:cstheme="minorHAnsi"/>
          <w:szCs w:val="22"/>
          <w:shd w:val="clear" w:color="auto" w:fill="FFFFFF"/>
        </w:rPr>
        <w:t> </w:t>
      </w:r>
    </w:p>
    <w:p w14:paraId="70561A6C" w14:textId="77777777" w:rsidR="00942C50" w:rsidRPr="00942C50" w:rsidRDefault="00942C50" w:rsidP="006464CC">
      <w:pPr>
        <w:spacing w:before="100" w:beforeAutospacing="1" w:after="100" w:afterAutospacing="1"/>
        <w:rPr>
          <w:rStyle w:val="eop"/>
          <w:rFonts w:cstheme="minorHAnsi"/>
          <w:szCs w:val="22"/>
          <w:shd w:val="clear" w:color="auto" w:fill="FFFFFF"/>
        </w:rPr>
      </w:pPr>
      <w:r w:rsidRPr="006464CC">
        <w:rPr>
          <w:rFonts w:cstheme="minorHAnsi"/>
          <w:szCs w:val="22"/>
          <w:lang w:val="en-US"/>
        </w:rPr>
        <w:t xml:space="preserve">WIEGO </w:t>
      </w:r>
      <w:hyperlink r:id="rId70" w:history="1">
        <w:r w:rsidRPr="00942C50">
          <w:rPr>
            <w:rStyle w:val="Hyperlink"/>
            <w:rFonts w:cstheme="minorHAnsi"/>
            <w:szCs w:val="22"/>
            <w:lang w:val="en-US"/>
          </w:rPr>
          <w:t>Impact of public health measures on informal workers livelihoods and health</w:t>
        </w:r>
      </w:hyperlink>
    </w:p>
    <w:p w14:paraId="32408318" w14:textId="77777777" w:rsidR="00942C50" w:rsidRPr="00942C50" w:rsidRDefault="00942C50" w:rsidP="006464CC">
      <w:pPr>
        <w:spacing w:before="100" w:beforeAutospacing="1" w:after="100" w:afterAutospacing="1"/>
        <w:rPr>
          <w:rStyle w:val="Hyperlink"/>
          <w:rFonts w:cstheme="minorHAnsi"/>
          <w:szCs w:val="22"/>
        </w:rPr>
      </w:pPr>
      <w:r w:rsidRPr="006464CC">
        <w:rPr>
          <w:rFonts w:cstheme="minorHAnsi"/>
          <w:szCs w:val="22"/>
          <w:lang w:val="en-US"/>
        </w:rPr>
        <w:t xml:space="preserve">IASC </w:t>
      </w:r>
      <w:hyperlink r:id="rId71" w:history="1">
        <w:r w:rsidRPr="00942C50">
          <w:rPr>
            <w:rStyle w:val="Hyperlink"/>
            <w:rFonts w:cstheme="minorHAnsi"/>
            <w:szCs w:val="22"/>
            <w:lang w:val="en-US"/>
          </w:rPr>
          <w:t>Gender Handbook for Humanitarian Action</w:t>
        </w:r>
      </w:hyperlink>
    </w:p>
    <w:p w14:paraId="6FF1EBE2" w14:textId="77777777" w:rsidR="00942C50" w:rsidRPr="006464CC" w:rsidRDefault="00942C50" w:rsidP="006464CC">
      <w:pPr>
        <w:spacing w:before="100" w:beforeAutospacing="1" w:after="100" w:afterAutospacing="1"/>
        <w:rPr>
          <w:rFonts w:cstheme="minorHAnsi"/>
          <w:szCs w:val="22"/>
        </w:rPr>
      </w:pPr>
      <w:r w:rsidRPr="006464CC">
        <w:rPr>
          <w:rFonts w:cstheme="minorHAnsi"/>
          <w:szCs w:val="22"/>
        </w:rPr>
        <w:t xml:space="preserve">UN Women’s </w:t>
      </w:r>
      <w:hyperlink r:id="rId72" w:history="1">
        <w:r w:rsidRPr="00942C50">
          <w:rPr>
            <w:rStyle w:val="Hyperlink"/>
            <w:rFonts w:cstheme="minorHAnsi"/>
            <w:szCs w:val="22"/>
          </w:rPr>
          <w:t>Global Database on Violence Against Women</w:t>
        </w:r>
      </w:hyperlink>
      <w:r w:rsidRPr="006464CC">
        <w:rPr>
          <w:rFonts w:cstheme="minorHAnsi"/>
          <w:szCs w:val="22"/>
        </w:rPr>
        <w:t xml:space="preserve"> (includes prevalence data and policy responses)</w:t>
      </w:r>
    </w:p>
    <w:p w14:paraId="2EF337D6" w14:textId="37FEAF3A" w:rsidR="00942C50" w:rsidRPr="006464CC" w:rsidRDefault="00942C50" w:rsidP="00354CE0">
      <w:pPr>
        <w:pStyle w:val="Heading2"/>
      </w:pPr>
      <w:bookmarkStart w:id="27" w:name="_Toc49669788"/>
      <w:bookmarkStart w:id="28" w:name="_Toc49669972"/>
      <w:r w:rsidRPr="006464CC">
        <w:t>Disability</w:t>
      </w:r>
      <w:bookmarkEnd w:id="27"/>
      <w:bookmarkEnd w:id="28"/>
    </w:p>
    <w:p w14:paraId="43B1D499" w14:textId="77777777" w:rsidR="00942C50" w:rsidRPr="006464CC" w:rsidRDefault="00942C50" w:rsidP="006464CC">
      <w:pPr>
        <w:spacing w:before="100" w:beforeAutospacing="1" w:after="100" w:afterAutospacing="1"/>
        <w:rPr>
          <w:rFonts w:cstheme="minorHAnsi"/>
          <w:szCs w:val="22"/>
        </w:rPr>
      </w:pPr>
      <w:r w:rsidRPr="00942C50">
        <w:rPr>
          <w:rStyle w:val="normaltextrun"/>
          <w:rFonts w:cstheme="minorHAnsi"/>
          <w:szCs w:val="22"/>
          <w:shd w:val="clear" w:color="auto" w:fill="FFFFFF"/>
        </w:rPr>
        <w:t>International Labour Organization (2020) </w:t>
      </w:r>
      <w:hyperlink r:id="rId73" w:tgtFrame="_blank" w:history="1">
        <w:r w:rsidRPr="00942C50">
          <w:rPr>
            <w:rStyle w:val="normaltextrun"/>
            <w:rFonts w:cstheme="minorHAnsi"/>
            <w:szCs w:val="22"/>
            <w:u w:val="single"/>
            <w:shd w:val="clear" w:color="auto" w:fill="FFFFFF"/>
          </w:rPr>
          <w:t>Disability Inclusive Social Protection Response to the COVID-19 Crisis</w:t>
        </w:r>
      </w:hyperlink>
      <w:r w:rsidRPr="00942C50">
        <w:rPr>
          <w:rStyle w:val="eop"/>
          <w:rFonts w:cstheme="minorHAnsi"/>
          <w:szCs w:val="22"/>
          <w:shd w:val="clear" w:color="auto" w:fill="FFFFFF"/>
        </w:rPr>
        <w:t> </w:t>
      </w:r>
    </w:p>
    <w:p w14:paraId="1835D2D7" w14:textId="77777777" w:rsidR="00942C50" w:rsidRPr="006464CC" w:rsidRDefault="00942C50" w:rsidP="006464CC">
      <w:pPr>
        <w:spacing w:before="100" w:beforeAutospacing="1" w:after="100" w:afterAutospacing="1"/>
        <w:rPr>
          <w:rFonts w:cstheme="minorHAnsi"/>
          <w:szCs w:val="22"/>
        </w:rPr>
      </w:pPr>
      <w:r w:rsidRPr="00942C50">
        <w:rPr>
          <w:rStyle w:val="normaltextrun"/>
          <w:rFonts w:cstheme="minorHAnsi"/>
          <w:szCs w:val="22"/>
          <w:shd w:val="clear" w:color="auto" w:fill="FFFFFF"/>
        </w:rPr>
        <w:t>WHO (2020) </w:t>
      </w:r>
      <w:hyperlink r:id="rId74" w:tgtFrame="_blank" w:history="1">
        <w:r w:rsidRPr="00942C50">
          <w:rPr>
            <w:rStyle w:val="normaltextrun"/>
            <w:rFonts w:cstheme="minorHAnsi"/>
            <w:szCs w:val="22"/>
            <w:u w:val="single"/>
            <w:shd w:val="clear" w:color="auto" w:fill="FFFFFF"/>
          </w:rPr>
          <w:t>Disability considerations during the COVID-19 outbreak</w:t>
        </w:r>
      </w:hyperlink>
      <w:r w:rsidRPr="00942C50">
        <w:rPr>
          <w:rStyle w:val="eop"/>
          <w:rFonts w:cstheme="minorHAnsi"/>
          <w:szCs w:val="22"/>
          <w:shd w:val="clear" w:color="auto" w:fill="FFFFFF"/>
        </w:rPr>
        <w:t> </w:t>
      </w:r>
    </w:p>
    <w:p w14:paraId="63E6531A" w14:textId="77777777" w:rsidR="00942C50" w:rsidRPr="00942C50" w:rsidRDefault="00942C50" w:rsidP="006464CC">
      <w:pPr>
        <w:spacing w:before="100" w:beforeAutospacing="1" w:after="100" w:afterAutospacing="1"/>
        <w:rPr>
          <w:rStyle w:val="eop"/>
          <w:rFonts w:cstheme="minorHAnsi"/>
          <w:b/>
          <w:i/>
          <w:szCs w:val="22"/>
        </w:rPr>
      </w:pPr>
      <w:r w:rsidRPr="00942C50">
        <w:rPr>
          <w:rStyle w:val="normaltextrun"/>
          <w:rFonts w:cstheme="minorHAnsi"/>
          <w:szCs w:val="22"/>
          <w:shd w:val="clear" w:color="auto" w:fill="FFFFFF"/>
        </w:rPr>
        <w:t>The Lancet (2020) </w:t>
      </w:r>
      <w:hyperlink r:id="rId75" w:tgtFrame="_blank" w:history="1">
        <w:r w:rsidRPr="00942C50">
          <w:rPr>
            <w:rStyle w:val="normaltextrun"/>
            <w:rFonts w:cstheme="minorHAnsi"/>
            <w:szCs w:val="22"/>
            <w:u w:val="single"/>
            <w:shd w:val="clear" w:color="auto" w:fill="FFFFFF"/>
          </w:rPr>
          <w:t>The COVID-19 response must be disability inclusive</w:t>
        </w:r>
      </w:hyperlink>
      <w:r w:rsidRPr="00942C50">
        <w:rPr>
          <w:rStyle w:val="eop"/>
          <w:rFonts w:cstheme="minorHAnsi"/>
          <w:szCs w:val="22"/>
          <w:shd w:val="clear" w:color="auto" w:fill="FFFFFF"/>
        </w:rPr>
        <w:t> </w:t>
      </w:r>
    </w:p>
    <w:p w14:paraId="160EF3D9" w14:textId="40952687" w:rsidR="00942C50" w:rsidRPr="006464CC" w:rsidRDefault="00942C50" w:rsidP="00354CE0">
      <w:pPr>
        <w:pStyle w:val="Heading2"/>
      </w:pPr>
      <w:bookmarkStart w:id="29" w:name="_Toc49669789"/>
      <w:bookmarkStart w:id="30" w:name="_Toc49669973"/>
      <w:r w:rsidRPr="006464CC">
        <w:t>Intersectionality/cross-cutting</w:t>
      </w:r>
      <w:bookmarkEnd w:id="29"/>
      <w:bookmarkEnd w:id="30"/>
    </w:p>
    <w:p w14:paraId="56AD98C8" w14:textId="77777777" w:rsidR="00942C50" w:rsidRPr="006464CC" w:rsidRDefault="00942C50" w:rsidP="006464CC">
      <w:pPr>
        <w:spacing w:before="100" w:beforeAutospacing="1" w:after="100" w:afterAutospacing="1"/>
        <w:rPr>
          <w:rFonts w:cstheme="minorHAnsi"/>
          <w:szCs w:val="22"/>
        </w:rPr>
      </w:pPr>
      <w:r w:rsidRPr="00942C50">
        <w:rPr>
          <w:rStyle w:val="normaltextrun"/>
          <w:rFonts w:cstheme="minorHAnsi"/>
          <w:szCs w:val="22"/>
          <w:shd w:val="clear" w:color="auto" w:fill="FFFFFF"/>
        </w:rPr>
        <w:t>INCLUDE (2020) </w:t>
      </w:r>
      <w:hyperlink r:id="rId76" w:tgtFrame="_blank" w:history="1">
        <w:r w:rsidRPr="00942C50">
          <w:rPr>
            <w:rStyle w:val="normaltextrun"/>
            <w:rFonts w:cstheme="minorHAnsi"/>
            <w:szCs w:val="22"/>
            <w:u w:val="single"/>
            <w:shd w:val="clear" w:color="auto" w:fill="FFFFFF"/>
          </w:rPr>
          <w:t>How COVID-19 affects inequality in Africa</w:t>
        </w:r>
      </w:hyperlink>
      <w:r w:rsidRPr="00942C50">
        <w:rPr>
          <w:rStyle w:val="eop"/>
          <w:rFonts w:cstheme="minorHAnsi"/>
          <w:szCs w:val="22"/>
          <w:shd w:val="clear" w:color="auto" w:fill="FFFFFF"/>
        </w:rPr>
        <w:t> </w:t>
      </w:r>
    </w:p>
    <w:p w14:paraId="5CCB1F66" w14:textId="77777777" w:rsidR="00942C50" w:rsidRPr="00942C50" w:rsidRDefault="00942C50" w:rsidP="006464CC">
      <w:pPr>
        <w:spacing w:before="100" w:beforeAutospacing="1" w:after="100" w:afterAutospacing="1"/>
        <w:rPr>
          <w:rStyle w:val="eop"/>
          <w:rFonts w:cstheme="minorHAnsi"/>
          <w:szCs w:val="22"/>
          <w:shd w:val="clear" w:color="auto" w:fill="FFFFFF"/>
        </w:rPr>
      </w:pPr>
      <w:r w:rsidRPr="00942C50">
        <w:rPr>
          <w:rStyle w:val="normaltextrun"/>
          <w:rFonts w:cstheme="minorHAnsi"/>
          <w:szCs w:val="22"/>
          <w:shd w:val="clear" w:color="auto" w:fill="FFFFFF"/>
        </w:rPr>
        <w:t>SDDirect (2020) </w:t>
      </w:r>
      <w:hyperlink r:id="rId77" w:tgtFrame="_blank" w:history="1">
        <w:r w:rsidRPr="00942C50">
          <w:rPr>
            <w:rStyle w:val="normaltextrun"/>
            <w:rFonts w:cstheme="minorHAnsi"/>
            <w:szCs w:val="22"/>
            <w:u w:val="single"/>
            <w:shd w:val="clear" w:color="auto" w:fill="FFFFFF"/>
          </w:rPr>
          <w:t>COVID-19 Blog Series</w:t>
        </w:r>
      </w:hyperlink>
      <w:r w:rsidRPr="00942C50">
        <w:rPr>
          <w:rStyle w:val="normaltextrun"/>
          <w:rFonts w:cstheme="minorHAnsi"/>
          <w:szCs w:val="22"/>
          <w:shd w:val="clear" w:color="auto" w:fill="FFFFFF"/>
        </w:rPr>
        <w:t> (covering issues of gender, disability and LGBTIQ) </w:t>
      </w:r>
      <w:r w:rsidRPr="00942C50">
        <w:rPr>
          <w:rStyle w:val="eop"/>
          <w:rFonts w:cstheme="minorHAnsi"/>
          <w:szCs w:val="22"/>
          <w:shd w:val="clear" w:color="auto" w:fill="FFFFFF"/>
        </w:rPr>
        <w:t> </w:t>
      </w:r>
    </w:p>
    <w:p w14:paraId="778077B9" w14:textId="77777777" w:rsidR="00942C50" w:rsidRPr="006464CC" w:rsidRDefault="00942C50" w:rsidP="006464CC">
      <w:pPr>
        <w:spacing w:before="100" w:beforeAutospacing="1" w:after="100" w:afterAutospacing="1"/>
        <w:rPr>
          <w:rFonts w:cstheme="minorHAnsi"/>
          <w:b/>
          <w:i/>
          <w:szCs w:val="22"/>
        </w:rPr>
      </w:pPr>
      <w:r w:rsidRPr="00942C50">
        <w:rPr>
          <w:rStyle w:val="normaltextrun"/>
          <w:rFonts w:cstheme="minorHAnsi"/>
          <w:szCs w:val="22"/>
        </w:rPr>
        <w:t xml:space="preserve">Socialprotection.org </w:t>
      </w:r>
      <w:hyperlink r:id="rId78" w:history="1">
        <w:r w:rsidRPr="00942C50">
          <w:rPr>
            <w:rStyle w:val="Hyperlink"/>
            <w:rFonts w:cstheme="minorHAnsi"/>
            <w:szCs w:val="22"/>
          </w:rPr>
          <w:t>Social protection response to COVID-18 initiative</w:t>
        </w:r>
      </w:hyperlink>
    </w:p>
    <w:p w14:paraId="167DF516" w14:textId="1051B5D0" w:rsidR="00942C50" w:rsidRPr="006464CC" w:rsidRDefault="00942C50" w:rsidP="00354CE0">
      <w:pPr>
        <w:pStyle w:val="Heading2"/>
      </w:pPr>
      <w:bookmarkStart w:id="31" w:name="_Toc49669790"/>
      <w:bookmarkStart w:id="32" w:name="_Toc49669974"/>
      <w:r>
        <w:lastRenderedPageBreak/>
        <w:t xml:space="preserve">Gender and Social Protection </w:t>
      </w:r>
      <w:r w:rsidRPr="006464CC">
        <w:t>Program Design</w:t>
      </w:r>
      <w:bookmarkEnd w:id="31"/>
      <w:bookmarkEnd w:id="32"/>
      <w:r w:rsidRPr="006464CC">
        <w:t xml:space="preserve"> </w:t>
      </w:r>
    </w:p>
    <w:p w14:paraId="793010A6" w14:textId="2EA8E923" w:rsidR="00942C50" w:rsidRPr="00354CE0" w:rsidRDefault="00942C50" w:rsidP="00354CE0">
      <w:pPr>
        <w:pStyle w:val="Heading3"/>
      </w:pPr>
      <w:r w:rsidRPr="00354CE0">
        <w:t>Technical notes on gender and social protection program design and implementation in the context of COVID.</w:t>
      </w:r>
    </w:p>
    <w:p w14:paraId="43FBB155" w14:textId="4303ED9D" w:rsidR="00942C50" w:rsidRPr="006464CC" w:rsidRDefault="00942C50" w:rsidP="006464CC">
      <w:pPr>
        <w:spacing w:before="100" w:beforeAutospacing="1" w:after="100" w:afterAutospacing="1"/>
        <w:rPr>
          <w:rFonts w:cstheme="minorHAnsi"/>
          <w:szCs w:val="22"/>
        </w:rPr>
      </w:pPr>
      <w:r w:rsidRPr="006464CC">
        <w:rPr>
          <w:rFonts w:cstheme="minorHAnsi"/>
          <w:szCs w:val="22"/>
        </w:rPr>
        <w:t xml:space="preserve">IFPRI (2020) </w:t>
      </w:r>
      <w:hyperlink r:id="rId79" w:history="1">
        <w:r w:rsidRPr="00942C50">
          <w:rPr>
            <w:rStyle w:val="Hyperlink"/>
            <w:rFonts w:cstheme="minorHAnsi"/>
            <w:szCs w:val="22"/>
          </w:rPr>
          <w:t>Gender-sensitive social protection: A critical component of the COVID-19 response in low- and middle-income countries</w:t>
        </w:r>
      </w:hyperlink>
      <w:r w:rsidRPr="006464CC">
        <w:rPr>
          <w:rFonts w:cstheme="minorHAnsi"/>
          <w:szCs w:val="22"/>
        </w:rPr>
        <w:t xml:space="preserve"> IFPRI</w:t>
      </w:r>
    </w:p>
    <w:p w14:paraId="29CEDBA1" w14:textId="77777777" w:rsidR="00942C50" w:rsidRPr="006464CC" w:rsidRDefault="00942C50" w:rsidP="006464CC">
      <w:pPr>
        <w:spacing w:before="100" w:beforeAutospacing="1" w:after="100" w:afterAutospacing="1"/>
        <w:rPr>
          <w:rFonts w:cstheme="minorHAnsi"/>
          <w:szCs w:val="22"/>
        </w:rPr>
      </w:pPr>
      <w:r w:rsidRPr="006464CC">
        <w:rPr>
          <w:rFonts w:cstheme="minorHAnsi"/>
          <w:szCs w:val="22"/>
        </w:rPr>
        <w:t xml:space="preserve">UNICEF (2020) </w:t>
      </w:r>
      <w:hyperlink r:id="rId80" w:history="1">
        <w:r w:rsidRPr="00942C50">
          <w:rPr>
            <w:rStyle w:val="Hyperlink"/>
            <w:rFonts w:cstheme="minorHAnsi"/>
            <w:szCs w:val="22"/>
          </w:rPr>
          <w:t>Gender-Responsive Social Protection during COVID19: Technical note</w:t>
        </w:r>
      </w:hyperlink>
      <w:r w:rsidRPr="006464CC">
        <w:rPr>
          <w:rFonts w:cstheme="minorHAnsi"/>
          <w:szCs w:val="22"/>
        </w:rPr>
        <w:t xml:space="preserve">. </w:t>
      </w:r>
    </w:p>
    <w:p w14:paraId="7FCC697B" w14:textId="77777777" w:rsidR="00942C50" w:rsidRPr="006464CC" w:rsidRDefault="00942C50" w:rsidP="006464CC">
      <w:pPr>
        <w:spacing w:before="100" w:beforeAutospacing="1" w:after="100" w:afterAutospacing="1"/>
        <w:rPr>
          <w:rFonts w:cstheme="minorHAnsi"/>
          <w:szCs w:val="22"/>
        </w:rPr>
      </w:pPr>
      <w:r w:rsidRPr="006464CC">
        <w:rPr>
          <w:rFonts w:cstheme="minorHAnsi"/>
          <w:szCs w:val="22"/>
        </w:rPr>
        <w:t xml:space="preserve">World Bank (2020) </w:t>
      </w:r>
      <w:hyperlink r:id="rId81" w:history="1">
        <w:r w:rsidRPr="00942C50">
          <w:rPr>
            <w:rStyle w:val="Hyperlink"/>
            <w:rFonts w:cstheme="minorHAnsi"/>
            <w:szCs w:val="22"/>
          </w:rPr>
          <w:t>Gender dimensions of the COVID-19 pandemic. Policy Note</w:t>
        </w:r>
      </w:hyperlink>
      <w:r w:rsidRPr="006464CC">
        <w:rPr>
          <w:rFonts w:cstheme="minorHAnsi"/>
          <w:szCs w:val="22"/>
        </w:rPr>
        <w:t xml:space="preserve">. </w:t>
      </w:r>
    </w:p>
    <w:p w14:paraId="5FF78426" w14:textId="77777777" w:rsidR="00942C50" w:rsidRPr="006464CC" w:rsidRDefault="00942C50" w:rsidP="006464CC">
      <w:pPr>
        <w:spacing w:before="100" w:beforeAutospacing="1" w:after="100" w:afterAutospacing="1"/>
        <w:rPr>
          <w:rFonts w:cstheme="minorHAnsi"/>
          <w:szCs w:val="22"/>
          <w:u w:val="single"/>
        </w:rPr>
      </w:pPr>
      <w:r w:rsidRPr="006464CC">
        <w:rPr>
          <w:rFonts w:cstheme="minorHAnsi"/>
          <w:szCs w:val="22"/>
        </w:rPr>
        <w:t xml:space="preserve">GBV Guidelines </w:t>
      </w:r>
      <w:hyperlink r:id="rId82" w:history="1">
        <w:r w:rsidRPr="00942C50">
          <w:rPr>
            <w:rStyle w:val="Hyperlink"/>
            <w:rFonts w:cstheme="minorHAnsi"/>
            <w:szCs w:val="22"/>
          </w:rPr>
          <w:t>COVID-19: Resources to address gender-based violence risks</w:t>
        </w:r>
      </w:hyperlink>
    </w:p>
    <w:p w14:paraId="3595985F" w14:textId="77777777" w:rsidR="00942C50" w:rsidRPr="006464CC" w:rsidRDefault="00942C50" w:rsidP="00354CE0">
      <w:pPr>
        <w:pStyle w:val="Heading3"/>
        <w:spacing w:before="240"/>
      </w:pPr>
      <w:r w:rsidRPr="006464CC">
        <w:t>Resources and guidance on gender and disability in social protection design and implementation (not COVID specific)</w:t>
      </w:r>
    </w:p>
    <w:p w14:paraId="470343F0" w14:textId="77777777" w:rsidR="00942C50" w:rsidRPr="006464CC" w:rsidRDefault="00942C50" w:rsidP="006464CC">
      <w:pPr>
        <w:spacing w:before="100" w:beforeAutospacing="1" w:after="100" w:afterAutospacing="1"/>
        <w:rPr>
          <w:rFonts w:cstheme="minorHAnsi"/>
          <w:szCs w:val="22"/>
        </w:rPr>
      </w:pPr>
      <w:r w:rsidRPr="006464CC">
        <w:rPr>
          <w:rFonts w:cstheme="minorHAnsi"/>
          <w:szCs w:val="22"/>
        </w:rPr>
        <w:t xml:space="preserve">FAO (2018) </w:t>
      </w:r>
      <w:hyperlink r:id="rId83" w:history="1">
        <w:r w:rsidRPr="00942C50">
          <w:rPr>
            <w:rStyle w:val="Hyperlink"/>
            <w:rFonts w:cstheme="minorHAnsi"/>
            <w:szCs w:val="22"/>
          </w:rPr>
          <w:t xml:space="preserve">Integrating gender into the design of cash transfer and public works programmes </w:t>
        </w:r>
      </w:hyperlink>
      <w:r w:rsidRPr="006464CC">
        <w:rPr>
          <w:rFonts w:cstheme="minorHAnsi"/>
          <w:szCs w:val="22"/>
        </w:rPr>
        <w:t xml:space="preserve"> </w:t>
      </w:r>
    </w:p>
    <w:p w14:paraId="63521657" w14:textId="77777777" w:rsidR="00942C50" w:rsidRPr="006464CC" w:rsidRDefault="00942C50" w:rsidP="006464CC">
      <w:pPr>
        <w:spacing w:before="100" w:beforeAutospacing="1" w:after="100" w:afterAutospacing="1"/>
        <w:rPr>
          <w:rFonts w:cstheme="minorHAnsi"/>
          <w:szCs w:val="22"/>
        </w:rPr>
      </w:pPr>
      <w:r w:rsidRPr="006464CC">
        <w:rPr>
          <w:rFonts w:cstheme="minorHAnsi"/>
          <w:szCs w:val="22"/>
        </w:rPr>
        <w:t xml:space="preserve">ODI (2010) </w:t>
      </w:r>
      <w:hyperlink r:id="rId84" w:history="1">
        <w:r w:rsidRPr="00942C50">
          <w:rPr>
            <w:rStyle w:val="Hyperlink"/>
            <w:rFonts w:cstheme="minorHAnsi"/>
            <w:szCs w:val="22"/>
          </w:rPr>
          <w:t>How to design and implement gender-sensitive social protection programmes</w:t>
        </w:r>
      </w:hyperlink>
      <w:r w:rsidRPr="006464CC">
        <w:rPr>
          <w:rFonts w:cstheme="minorHAnsi"/>
          <w:szCs w:val="22"/>
        </w:rPr>
        <w:t xml:space="preserve">. </w:t>
      </w:r>
    </w:p>
    <w:p w14:paraId="5F3004BC" w14:textId="77777777" w:rsidR="00942C50" w:rsidRPr="006464CC" w:rsidRDefault="00942C50" w:rsidP="006464CC">
      <w:pPr>
        <w:spacing w:before="100" w:beforeAutospacing="1" w:after="100" w:afterAutospacing="1"/>
        <w:rPr>
          <w:rFonts w:cstheme="minorHAnsi"/>
          <w:szCs w:val="22"/>
        </w:rPr>
      </w:pPr>
      <w:r w:rsidRPr="006464CC">
        <w:rPr>
          <w:rFonts w:cstheme="minorHAnsi"/>
          <w:szCs w:val="22"/>
        </w:rPr>
        <w:t xml:space="preserve">ILO (2015) </w:t>
      </w:r>
      <w:hyperlink r:id="rId85" w:history="1">
        <w:r w:rsidRPr="00942C50">
          <w:rPr>
            <w:rStyle w:val="Hyperlink"/>
            <w:rFonts w:cstheme="minorHAnsi"/>
            <w:szCs w:val="22"/>
          </w:rPr>
          <w:t>Illustrated Guidelines for Gender-responsive employment intensive investment programmes</w:t>
        </w:r>
      </w:hyperlink>
      <w:r w:rsidRPr="006464CC">
        <w:rPr>
          <w:rFonts w:cstheme="minorHAnsi"/>
          <w:szCs w:val="22"/>
        </w:rPr>
        <w:t xml:space="preserve"> </w:t>
      </w:r>
    </w:p>
    <w:p w14:paraId="5032872C" w14:textId="77777777" w:rsidR="00942C50" w:rsidRPr="006464CC" w:rsidRDefault="00942C50" w:rsidP="006464CC">
      <w:pPr>
        <w:spacing w:before="100" w:beforeAutospacing="1" w:after="100" w:afterAutospacing="1"/>
        <w:rPr>
          <w:rFonts w:cstheme="minorHAnsi"/>
          <w:szCs w:val="22"/>
        </w:rPr>
      </w:pPr>
      <w:r w:rsidRPr="006464CC">
        <w:rPr>
          <w:rFonts w:cstheme="minorHAnsi"/>
          <w:szCs w:val="22"/>
        </w:rPr>
        <w:t xml:space="preserve">CBM (2017) </w:t>
      </w:r>
      <w:hyperlink r:id="rId86" w:history="1">
        <w:r w:rsidRPr="00942C50">
          <w:rPr>
            <w:rStyle w:val="Hyperlink"/>
            <w:rFonts w:cstheme="minorHAnsi"/>
            <w:szCs w:val="22"/>
          </w:rPr>
          <w:t>Disability Inclusive Development Toolkit</w:t>
        </w:r>
      </w:hyperlink>
      <w:r w:rsidRPr="006464CC">
        <w:rPr>
          <w:rFonts w:cstheme="minorHAnsi"/>
          <w:szCs w:val="22"/>
        </w:rPr>
        <w:t xml:space="preserve"> </w:t>
      </w:r>
    </w:p>
    <w:p w14:paraId="3D788BE2" w14:textId="17C8722B" w:rsidR="00942C50" w:rsidRDefault="00942C50" w:rsidP="006464CC">
      <w:pPr>
        <w:spacing w:before="100" w:beforeAutospacing="1" w:after="100" w:afterAutospacing="1"/>
        <w:rPr>
          <w:rStyle w:val="Hyperlink"/>
          <w:rFonts w:cstheme="minorHAnsi"/>
          <w:color w:val="000000" w:themeColor="text1"/>
          <w:szCs w:val="22"/>
        </w:rPr>
      </w:pPr>
      <w:r w:rsidRPr="004D33EC">
        <w:rPr>
          <w:rFonts w:cstheme="minorHAnsi"/>
          <w:color w:val="000000" w:themeColor="text1"/>
          <w:szCs w:val="22"/>
        </w:rPr>
        <w:t xml:space="preserve">Cash transfers and gender-based violence: </w:t>
      </w:r>
      <w:hyperlink r:id="rId87" w:history="1">
        <w:r w:rsidRPr="004D33EC">
          <w:rPr>
            <w:rStyle w:val="Hyperlink"/>
            <w:rFonts w:cstheme="minorHAnsi"/>
            <w:color w:val="000000" w:themeColor="text1"/>
            <w:szCs w:val="22"/>
          </w:rPr>
          <w:t>Buller et al., 2018</w:t>
        </w:r>
      </w:hyperlink>
      <w:r w:rsidRPr="004D33EC">
        <w:rPr>
          <w:rFonts w:cstheme="minorHAnsi"/>
          <w:color w:val="000000" w:themeColor="text1"/>
          <w:szCs w:val="22"/>
        </w:rPr>
        <w:t xml:space="preserve">; </w:t>
      </w:r>
      <w:hyperlink r:id="rId88" w:history="1">
        <w:r w:rsidRPr="004D33EC">
          <w:rPr>
            <w:rStyle w:val="Hyperlink"/>
            <w:rFonts w:cstheme="minorHAnsi"/>
            <w:color w:val="000000" w:themeColor="text1"/>
            <w:szCs w:val="22"/>
          </w:rPr>
          <w:t>Bastagli et al.  2016</w:t>
        </w:r>
      </w:hyperlink>
    </w:p>
    <w:p w14:paraId="19C3E027" w14:textId="0CDF1AB7" w:rsidR="004D33EC" w:rsidRPr="004D33EC" w:rsidRDefault="004D33EC" w:rsidP="006464CC">
      <w:pPr>
        <w:spacing w:before="100" w:beforeAutospacing="1" w:after="100" w:afterAutospacing="1"/>
        <w:rPr>
          <w:rFonts w:cstheme="minorHAnsi"/>
          <w:color w:val="000000" w:themeColor="text1"/>
          <w:szCs w:val="22"/>
        </w:rPr>
      </w:pPr>
      <w:r w:rsidRPr="004D33EC">
        <w:rPr>
          <w:rStyle w:val="Hyperlink"/>
          <w:rFonts w:cstheme="minorHAnsi"/>
          <w:color w:val="000000" w:themeColor="text1"/>
          <w:szCs w:val="22"/>
          <w:u w:val="none"/>
        </w:rPr>
        <w:t xml:space="preserve">TPC (2019) </w:t>
      </w:r>
      <w:hyperlink r:id="rId89" w:history="1">
        <w:r w:rsidRPr="004D33EC">
          <w:rPr>
            <w:rStyle w:val="Hyperlink"/>
          </w:rPr>
          <w:t>Evidence Brief: Cash transfers and intimate partner violence,</w:t>
        </w:r>
      </w:hyperlink>
      <w:r w:rsidRPr="004D33EC">
        <w:rPr>
          <w:rStyle w:val="Hyperlink"/>
          <w:rFonts w:cstheme="minorHAnsi"/>
          <w:color w:val="000000" w:themeColor="text1"/>
          <w:szCs w:val="22"/>
          <w:u w:val="none"/>
        </w:rPr>
        <w:t xml:space="preserve"> TPC</w:t>
      </w:r>
    </w:p>
    <w:p w14:paraId="59FC64D7" w14:textId="6D01A09F" w:rsidR="00763129" w:rsidRPr="006464CC" w:rsidRDefault="00763129" w:rsidP="006464CC">
      <w:pPr>
        <w:spacing w:before="100" w:beforeAutospacing="1" w:after="100" w:afterAutospacing="1"/>
        <w:rPr>
          <w:rFonts w:cstheme="minorHAnsi"/>
          <w:szCs w:val="22"/>
        </w:rPr>
      </w:pPr>
    </w:p>
    <w:sectPr w:rsidR="00763129" w:rsidRPr="006464CC" w:rsidSect="0084396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FDC61" w14:textId="77777777" w:rsidR="00427284" w:rsidRDefault="00427284" w:rsidP="003268A5">
      <w:r>
        <w:separator/>
      </w:r>
    </w:p>
    <w:p w14:paraId="0FA66FF9" w14:textId="77777777" w:rsidR="00427284" w:rsidRDefault="00427284"/>
  </w:endnote>
  <w:endnote w:type="continuationSeparator" w:id="0">
    <w:p w14:paraId="6675FD93" w14:textId="77777777" w:rsidR="00427284" w:rsidRDefault="00427284" w:rsidP="003268A5">
      <w:r>
        <w:continuationSeparator/>
      </w:r>
    </w:p>
    <w:p w14:paraId="578DF001" w14:textId="77777777" w:rsidR="00427284" w:rsidRDefault="00427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Bahnschrift">
    <w:altName w:val="Calibri"/>
    <w:panose1 w:val="020B0502040204020203"/>
    <w:charset w:val="00"/>
    <w:family w:val="swiss"/>
    <w:pitch w:val="variable"/>
    <w:sig w:usb0="A00002C7" w:usb1="00000002"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sis-SemiBold">
    <w:altName w:val="Arial"/>
    <w:panose1 w:val="00000000000000000000"/>
    <w:charset w:val="4D"/>
    <w:family w:val="auto"/>
    <w:notTrueType/>
    <w:pitch w:val="variable"/>
    <w:sig w:usb0="A00000BF" w:usb1="5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56782924"/>
      <w:docPartObj>
        <w:docPartGallery w:val="Page Numbers (Bottom of Page)"/>
        <w:docPartUnique/>
      </w:docPartObj>
    </w:sdtPr>
    <w:sdtEndPr>
      <w:rPr>
        <w:rStyle w:val="PageNumber"/>
      </w:rPr>
    </w:sdtEndPr>
    <w:sdtContent>
      <w:p w14:paraId="03C54512" w14:textId="77777777" w:rsidR="00BF6D18" w:rsidRDefault="00BF6D18" w:rsidP="001A34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F77B36" w14:textId="77777777" w:rsidR="00BF6D18" w:rsidRDefault="00BF6D18" w:rsidP="001A34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17050063"/>
      <w:docPartObj>
        <w:docPartGallery w:val="Page Numbers (Bottom of Page)"/>
        <w:docPartUnique/>
      </w:docPartObj>
    </w:sdtPr>
    <w:sdtEndPr>
      <w:rPr>
        <w:rStyle w:val="PageNumber"/>
        <w:sz w:val="18"/>
        <w:szCs w:val="18"/>
      </w:rPr>
    </w:sdtEndPr>
    <w:sdtContent>
      <w:p w14:paraId="0338FB26" w14:textId="0D4F4E50" w:rsidR="001A3461" w:rsidRPr="001A3461" w:rsidRDefault="001A3461" w:rsidP="009371EF">
        <w:pPr>
          <w:pStyle w:val="Footer"/>
          <w:framePr w:wrap="none" w:vAnchor="text" w:hAnchor="margin" w:xAlign="right" w:y="1"/>
          <w:rPr>
            <w:rStyle w:val="PageNumber"/>
            <w:sz w:val="18"/>
            <w:szCs w:val="18"/>
          </w:rPr>
        </w:pPr>
        <w:r w:rsidRPr="001A3461">
          <w:rPr>
            <w:rStyle w:val="PageNumber"/>
            <w:sz w:val="18"/>
            <w:szCs w:val="18"/>
          </w:rPr>
          <w:fldChar w:fldCharType="begin"/>
        </w:r>
        <w:r w:rsidRPr="001A3461">
          <w:rPr>
            <w:rStyle w:val="PageNumber"/>
            <w:sz w:val="18"/>
            <w:szCs w:val="18"/>
          </w:rPr>
          <w:instrText xml:space="preserve"> PAGE </w:instrText>
        </w:r>
        <w:r w:rsidRPr="001A3461">
          <w:rPr>
            <w:rStyle w:val="PageNumber"/>
            <w:sz w:val="18"/>
            <w:szCs w:val="18"/>
          </w:rPr>
          <w:fldChar w:fldCharType="separate"/>
        </w:r>
        <w:r w:rsidR="00652DDB">
          <w:rPr>
            <w:rStyle w:val="PageNumber"/>
            <w:noProof/>
            <w:sz w:val="18"/>
            <w:szCs w:val="18"/>
          </w:rPr>
          <w:t>3</w:t>
        </w:r>
        <w:r w:rsidRPr="001A3461">
          <w:rPr>
            <w:rStyle w:val="PageNumber"/>
            <w:sz w:val="18"/>
            <w:szCs w:val="18"/>
          </w:rPr>
          <w:fldChar w:fldCharType="end"/>
        </w:r>
      </w:p>
    </w:sdtContent>
  </w:sdt>
  <w:p w14:paraId="75FB3A08" w14:textId="27B88F74" w:rsidR="00BF6D18" w:rsidRPr="001A3461" w:rsidRDefault="001A3461" w:rsidP="001A3461">
    <w:pPr>
      <w:pStyle w:val="Footer"/>
      <w:ind w:right="360"/>
      <w:rPr>
        <w:sz w:val="18"/>
        <w:szCs w:val="18"/>
      </w:rPr>
    </w:pPr>
    <w:r w:rsidRPr="001A3461">
      <w:rPr>
        <w:sz w:val="18"/>
        <w:szCs w:val="18"/>
      </w:rPr>
      <w:t>COVID-19 Gender and Social Protection Guidance Note</w:t>
    </w:r>
    <w:r w:rsidRPr="001A3461">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D7B13" w14:textId="77777777" w:rsidR="00652DDB" w:rsidRDefault="00652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F731E" w14:textId="77777777" w:rsidR="00427284" w:rsidRDefault="00427284" w:rsidP="003268A5">
      <w:r>
        <w:separator/>
      </w:r>
    </w:p>
    <w:p w14:paraId="50203CA9" w14:textId="77777777" w:rsidR="00427284" w:rsidRDefault="00427284"/>
  </w:footnote>
  <w:footnote w:type="continuationSeparator" w:id="0">
    <w:p w14:paraId="1BAD8AF0" w14:textId="77777777" w:rsidR="00427284" w:rsidRDefault="00427284" w:rsidP="003268A5">
      <w:r>
        <w:continuationSeparator/>
      </w:r>
    </w:p>
    <w:p w14:paraId="6BB7DA73" w14:textId="77777777" w:rsidR="00427284" w:rsidRDefault="00427284"/>
  </w:footnote>
  <w:footnote w:id="1">
    <w:p w14:paraId="102DB310" w14:textId="788D483A" w:rsidR="00BF6D18" w:rsidRPr="00B16A25" w:rsidRDefault="00BF6D18" w:rsidP="00B16A25">
      <w:pPr>
        <w:pStyle w:val="FootnoteText"/>
        <w:rPr>
          <w:rStyle w:val="FootnoteReference"/>
          <w:vertAlign w:val="baseline"/>
        </w:rPr>
      </w:pPr>
      <w:r w:rsidRPr="00B16A25">
        <w:rPr>
          <w:rStyle w:val="FootnoteReference"/>
          <w:vertAlign w:val="baseline"/>
        </w:rPr>
        <w:footnoteRef/>
      </w:r>
      <w:r w:rsidRPr="00B16A25">
        <w:rPr>
          <w:rStyle w:val="FootnoteReference"/>
          <w:vertAlign w:val="baseline"/>
        </w:rPr>
        <w:t xml:space="preserve"> </w:t>
      </w:r>
      <w:r w:rsidRPr="00B16A25">
        <w:rPr>
          <w:rStyle w:val="FootnoteReference"/>
          <w:vertAlign w:val="baseline"/>
        </w:rPr>
        <w:tab/>
        <w:t xml:space="preserve">Fuller guidance can be found in the references and resources at the end of this document. </w:t>
      </w:r>
    </w:p>
  </w:footnote>
  <w:footnote w:id="2">
    <w:p w14:paraId="443B37D1" w14:textId="0D9A6134" w:rsidR="00BF6D18" w:rsidRPr="00A9785C" w:rsidRDefault="00BF6D18" w:rsidP="00A9785C">
      <w:pPr>
        <w:pStyle w:val="FootnoteText"/>
      </w:pPr>
      <w:r w:rsidRPr="00A9785C">
        <w:rPr>
          <w:rStyle w:val="FootnoteReference"/>
          <w:vertAlign w:val="baseline"/>
        </w:rPr>
        <w:footnoteRef/>
      </w:r>
      <w:r w:rsidRPr="00A9785C">
        <w:t xml:space="preserve"> </w:t>
      </w:r>
      <w:r w:rsidRPr="00A9785C">
        <w:tab/>
      </w:r>
      <w:r w:rsidRPr="00B16A25">
        <w:t>Gender-sensitive and gender-transformative cited in UN-INSTRAW (now part of UN Women), Glossary of Gender-related Terms and Concepts (in UNICEF Innocenti, forthcoming).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86439" w14:textId="77777777" w:rsidR="00652DDB" w:rsidRDefault="00652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BD39E" w14:textId="239ED8EA" w:rsidR="00BF6D18" w:rsidRDefault="00BF6D18">
    <w:pPr>
      <w:pStyle w:val="Header"/>
    </w:pPr>
  </w:p>
  <w:p w14:paraId="3389302A" w14:textId="77777777" w:rsidR="00BF6D18" w:rsidRDefault="00BF6D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908F1" w14:textId="77777777" w:rsidR="00652DDB" w:rsidRDefault="00652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C214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E240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126E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0A05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7C9E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E4BAD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A43F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CA6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12FC6C"/>
    <w:lvl w:ilvl="0">
      <w:start w:val="1"/>
      <w:numFmt w:val="decimal"/>
      <w:pStyle w:val="ListNumber"/>
      <w:lvlText w:val="%1."/>
      <w:lvlJc w:val="left"/>
      <w:pPr>
        <w:ind w:left="360" w:hanging="360"/>
      </w:pPr>
    </w:lvl>
  </w:abstractNum>
  <w:abstractNum w:abstractNumId="9" w15:restartNumberingAfterBreak="0">
    <w:nsid w:val="FFFFFF89"/>
    <w:multiLevelType w:val="singleLevel"/>
    <w:tmpl w:val="2B969D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3238B"/>
    <w:multiLevelType w:val="hybridMultilevel"/>
    <w:tmpl w:val="46048D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911EBC58">
      <w:start w:val="5"/>
      <w:numFmt w:val="bullet"/>
      <w:lvlText w:val="-"/>
      <w:lvlJc w:val="left"/>
      <w:pPr>
        <w:ind w:left="3960" w:hanging="360"/>
      </w:pPr>
      <w:rPr>
        <w:rFonts w:ascii="Calibri" w:eastAsia="Times New Roman" w:hAnsi="Calibri" w:cstheme="minorHAnsi" w:hint="default"/>
        <w:b/>
        <w:i w:val="0"/>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0741390"/>
    <w:multiLevelType w:val="hybridMultilevel"/>
    <w:tmpl w:val="4244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74CAB"/>
    <w:multiLevelType w:val="hybridMultilevel"/>
    <w:tmpl w:val="E3DAD7D2"/>
    <w:lvl w:ilvl="0" w:tplc="769229E8">
      <w:start w:val="3"/>
      <w:numFmt w:val="bullet"/>
      <w:lvlText w:val="-"/>
      <w:lvlJc w:val="left"/>
      <w:pPr>
        <w:ind w:left="720" w:hanging="360"/>
      </w:pPr>
      <w:rPr>
        <w:rFonts w:ascii="Calibri" w:eastAsiaTheme="minorHAns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8178C5"/>
    <w:multiLevelType w:val="hybridMultilevel"/>
    <w:tmpl w:val="BF28D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4" w15:restartNumberingAfterBreak="0">
    <w:nsid w:val="0C6F42F7"/>
    <w:multiLevelType w:val="hybridMultilevel"/>
    <w:tmpl w:val="1F9855BA"/>
    <w:lvl w:ilvl="0" w:tplc="410499AE">
      <w:start w:val="1"/>
      <w:numFmt w:val="decimal"/>
      <w:lvlText w:val="%1."/>
      <w:lvlJc w:val="left"/>
      <w:pPr>
        <w:ind w:left="786" w:hanging="360"/>
      </w:pPr>
      <w:rPr>
        <w:b w:val="0"/>
        <w:bCs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15:restartNumberingAfterBreak="0">
    <w:nsid w:val="184E0FB0"/>
    <w:multiLevelType w:val="hybridMultilevel"/>
    <w:tmpl w:val="2D2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85" w:hanging="360"/>
      </w:pPr>
      <w:rPr>
        <w:rFonts w:ascii="Courier New" w:hAnsi="Courier New" w:cs="Courier New" w:hint="default"/>
      </w:rPr>
    </w:lvl>
    <w:lvl w:ilvl="2" w:tplc="04090005">
      <w:start w:val="1"/>
      <w:numFmt w:val="bullet"/>
      <w:lvlText w:val=""/>
      <w:lvlJc w:val="left"/>
      <w:pPr>
        <w:ind w:left="1305" w:hanging="360"/>
      </w:pPr>
      <w:rPr>
        <w:rFonts w:ascii="Wingdings" w:hAnsi="Wingdings" w:hint="default"/>
      </w:rPr>
    </w:lvl>
    <w:lvl w:ilvl="3" w:tplc="04090001">
      <w:start w:val="1"/>
      <w:numFmt w:val="bullet"/>
      <w:lvlText w:val=""/>
      <w:lvlJc w:val="left"/>
      <w:pPr>
        <w:ind w:left="2025" w:hanging="360"/>
      </w:pPr>
      <w:rPr>
        <w:rFonts w:ascii="Symbol" w:hAnsi="Symbol" w:hint="default"/>
      </w:rPr>
    </w:lvl>
    <w:lvl w:ilvl="4" w:tplc="04090003" w:tentative="1">
      <w:start w:val="1"/>
      <w:numFmt w:val="bullet"/>
      <w:lvlText w:val="o"/>
      <w:lvlJc w:val="left"/>
      <w:pPr>
        <w:ind w:left="2745" w:hanging="360"/>
      </w:pPr>
      <w:rPr>
        <w:rFonts w:ascii="Courier New" w:hAnsi="Courier New" w:cs="Courier New" w:hint="default"/>
      </w:rPr>
    </w:lvl>
    <w:lvl w:ilvl="5" w:tplc="04090005" w:tentative="1">
      <w:start w:val="1"/>
      <w:numFmt w:val="bullet"/>
      <w:lvlText w:val=""/>
      <w:lvlJc w:val="left"/>
      <w:pPr>
        <w:ind w:left="3465" w:hanging="360"/>
      </w:pPr>
      <w:rPr>
        <w:rFonts w:ascii="Wingdings" w:hAnsi="Wingdings" w:hint="default"/>
      </w:rPr>
    </w:lvl>
    <w:lvl w:ilvl="6" w:tplc="04090001" w:tentative="1">
      <w:start w:val="1"/>
      <w:numFmt w:val="bullet"/>
      <w:lvlText w:val=""/>
      <w:lvlJc w:val="left"/>
      <w:pPr>
        <w:ind w:left="4185" w:hanging="360"/>
      </w:pPr>
      <w:rPr>
        <w:rFonts w:ascii="Symbol" w:hAnsi="Symbol" w:hint="default"/>
      </w:rPr>
    </w:lvl>
    <w:lvl w:ilvl="7" w:tplc="04090003" w:tentative="1">
      <w:start w:val="1"/>
      <w:numFmt w:val="bullet"/>
      <w:lvlText w:val="o"/>
      <w:lvlJc w:val="left"/>
      <w:pPr>
        <w:ind w:left="4905" w:hanging="360"/>
      </w:pPr>
      <w:rPr>
        <w:rFonts w:ascii="Courier New" w:hAnsi="Courier New" w:cs="Courier New" w:hint="default"/>
      </w:rPr>
    </w:lvl>
    <w:lvl w:ilvl="8" w:tplc="04090005" w:tentative="1">
      <w:start w:val="1"/>
      <w:numFmt w:val="bullet"/>
      <w:lvlText w:val=""/>
      <w:lvlJc w:val="left"/>
      <w:pPr>
        <w:ind w:left="5625" w:hanging="360"/>
      </w:pPr>
      <w:rPr>
        <w:rFonts w:ascii="Wingdings" w:hAnsi="Wingdings" w:hint="default"/>
      </w:rPr>
    </w:lvl>
  </w:abstractNum>
  <w:abstractNum w:abstractNumId="16" w15:restartNumberingAfterBreak="0">
    <w:nsid w:val="185D6C45"/>
    <w:multiLevelType w:val="hybridMultilevel"/>
    <w:tmpl w:val="C0A04DFC"/>
    <w:lvl w:ilvl="0" w:tplc="769229E8">
      <w:start w:val="3"/>
      <w:numFmt w:val="bullet"/>
      <w:lvlText w:val="-"/>
      <w:lvlJc w:val="left"/>
      <w:pPr>
        <w:ind w:left="360" w:hanging="360"/>
      </w:pPr>
      <w:rPr>
        <w:rFonts w:ascii="Calibri" w:eastAsiaTheme="minorHAnsi" w:hAnsi="Calibri" w:cs="Calibri"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8871A41"/>
    <w:multiLevelType w:val="hybridMultilevel"/>
    <w:tmpl w:val="BA1AE80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31057E5"/>
    <w:multiLevelType w:val="hybridMultilevel"/>
    <w:tmpl w:val="8B1C2C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561DD3"/>
    <w:multiLevelType w:val="hybridMultilevel"/>
    <w:tmpl w:val="C368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85" w:hanging="360"/>
      </w:pPr>
      <w:rPr>
        <w:rFonts w:ascii="Courier New" w:hAnsi="Courier New" w:cs="Courier New" w:hint="default"/>
      </w:rPr>
    </w:lvl>
    <w:lvl w:ilvl="2" w:tplc="0C090003">
      <w:start w:val="1"/>
      <w:numFmt w:val="bullet"/>
      <w:lvlText w:val="o"/>
      <w:lvlJc w:val="left"/>
      <w:pPr>
        <w:ind w:left="1305" w:hanging="360"/>
      </w:pPr>
      <w:rPr>
        <w:rFonts w:ascii="Courier New" w:hAnsi="Courier New" w:cs="Courier New" w:hint="default"/>
      </w:rPr>
    </w:lvl>
    <w:lvl w:ilvl="3" w:tplc="04090001">
      <w:start w:val="1"/>
      <w:numFmt w:val="bullet"/>
      <w:lvlText w:val=""/>
      <w:lvlJc w:val="left"/>
      <w:pPr>
        <w:ind w:left="2025" w:hanging="360"/>
      </w:pPr>
      <w:rPr>
        <w:rFonts w:ascii="Symbol" w:hAnsi="Symbol" w:hint="default"/>
      </w:rPr>
    </w:lvl>
    <w:lvl w:ilvl="4" w:tplc="04090003" w:tentative="1">
      <w:start w:val="1"/>
      <w:numFmt w:val="bullet"/>
      <w:lvlText w:val="o"/>
      <w:lvlJc w:val="left"/>
      <w:pPr>
        <w:ind w:left="2745" w:hanging="360"/>
      </w:pPr>
      <w:rPr>
        <w:rFonts w:ascii="Courier New" w:hAnsi="Courier New" w:cs="Courier New" w:hint="default"/>
      </w:rPr>
    </w:lvl>
    <w:lvl w:ilvl="5" w:tplc="04090005" w:tentative="1">
      <w:start w:val="1"/>
      <w:numFmt w:val="bullet"/>
      <w:lvlText w:val=""/>
      <w:lvlJc w:val="left"/>
      <w:pPr>
        <w:ind w:left="3465" w:hanging="360"/>
      </w:pPr>
      <w:rPr>
        <w:rFonts w:ascii="Wingdings" w:hAnsi="Wingdings" w:hint="default"/>
      </w:rPr>
    </w:lvl>
    <w:lvl w:ilvl="6" w:tplc="04090001" w:tentative="1">
      <w:start w:val="1"/>
      <w:numFmt w:val="bullet"/>
      <w:lvlText w:val=""/>
      <w:lvlJc w:val="left"/>
      <w:pPr>
        <w:ind w:left="4185" w:hanging="360"/>
      </w:pPr>
      <w:rPr>
        <w:rFonts w:ascii="Symbol" w:hAnsi="Symbol" w:hint="default"/>
      </w:rPr>
    </w:lvl>
    <w:lvl w:ilvl="7" w:tplc="04090003" w:tentative="1">
      <w:start w:val="1"/>
      <w:numFmt w:val="bullet"/>
      <w:lvlText w:val="o"/>
      <w:lvlJc w:val="left"/>
      <w:pPr>
        <w:ind w:left="4905" w:hanging="360"/>
      </w:pPr>
      <w:rPr>
        <w:rFonts w:ascii="Courier New" w:hAnsi="Courier New" w:cs="Courier New" w:hint="default"/>
      </w:rPr>
    </w:lvl>
    <w:lvl w:ilvl="8" w:tplc="04090005" w:tentative="1">
      <w:start w:val="1"/>
      <w:numFmt w:val="bullet"/>
      <w:lvlText w:val=""/>
      <w:lvlJc w:val="left"/>
      <w:pPr>
        <w:ind w:left="5625" w:hanging="360"/>
      </w:pPr>
      <w:rPr>
        <w:rFonts w:ascii="Wingdings" w:hAnsi="Wingdings" w:hint="default"/>
      </w:rPr>
    </w:lvl>
  </w:abstractNum>
  <w:abstractNum w:abstractNumId="20" w15:restartNumberingAfterBreak="0">
    <w:nsid w:val="252C40DD"/>
    <w:multiLevelType w:val="hybridMultilevel"/>
    <w:tmpl w:val="3DAC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8C2F15"/>
    <w:multiLevelType w:val="hybridMultilevel"/>
    <w:tmpl w:val="D37E2724"/>
    <w:lvl w:ilvl="0" w:tplc="08090003">
      <w:start w:val="1"/>
      <w:numFmt w:val="bullet"/>
      <w:lvlText w:val="o"/>
      <w:lvlJc w:val="left"/>
      <w:pPr>
        <w:ind w:left="643" w:hanging="360"/>
      </w:pPr>
      <w:rPr>
        <w:rFonts w:ascii="Courier New" w:hAnsi="Courier New" w:cs="Courier New"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2" w15:restartNumberingAfterBreak="0">
    <w:nsid w:val="28BD1B10"/>
    <w:multiLevelType w:val="hybridMultilevel"/>
    <w:tmpl w:val="EE12D256"/>
    <w:lvl w:ilvl="0" w:tplc="0C090003">
      <w:start w:val="1"/>
      <w:numFmt w:val="bullet"/>
      <w:lvlText w:val="o"/>
      <w:lvlJc w:val="left"/>
      <w:pPr>
        <w:ind w:left="1485" w:hanging="360"/>
      </w:pPr>
      <w:rPr>
        <w:rFonts w:ascii="Courier New" w:hAnsi="Courier New" w:cs="Courier New"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23" w15:restartNumberingAfterBreak="0">
    <w:nsid w:val="2F5932FD"/>
    <w:multiLevelType w:val="hybridMultilevel"/>
    <w:tmpl w:val="BDFCE3FC"/>
    <w:lvl w:ilvl="0" w:tplc="911EBC58">
      <w:start w:val="5"/>
      <w:numFmt w:val="bullet"/>
      <w:lvlText w:val="-"/>
      <w:lvlJc w:val="left"/>
      <w:pPr>
        <w:ind w:left="360" w:hanging="360"/>
      </w:pPr>
      <w:rPr>
        <w:rFonts w:ascii="Calibri" w:eastAsia="Times New Roman" w:hAnsi="Calibri" w:cstheme="minorHAnsi" w:hint="default"/>
        <w:b/>
        <w:i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ABF7ADB"/>
    <w:multiLevelType w:val="hybridMultilevel"/>
    <w:tmpl w:val="0200F992"/>
    <w:lvl w:ilvl="0" w:tplc="769229E8">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945" w:hanging="360"/>
      </w:pPr>
      <w:rPr>
        <w:rFonts w:ascii="Courier New" w:hAnsi="Courier New" w:cs="Courier New" w:hint="default"/>
      </w:rPr>
    </w:lvl>
    <w:lvl w:ilvl="2" w:tplc="04090005">
      <w:start w:val="1"/>
      <w:numFmt w:val="bullet"/>
      <w:lvlText w:val=""/>
      <w:lvlJc w:val="left"/>
      <w:pPr>
        <w:ind w:left="1665" w:hanging="360"/>
      </w:pPr>
      <w:rPr>
        <w:rFonts w:ascii="Wingdings" w:hAnsi="Wingdings" w:hint="default"/>
      </w:rPr>
    </w:lvl>
    <w:lvl w:ilvl="3" w:tplc="0409000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5" w15:restartNumberingAfterBreak="0">
    <w:nsid w:val="3B740AEE"/>
    <w:multiLevelType w:val="hybridMultilevel"/>
    <w:tmpl w:val="098807D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4C09D6"/>
    <w:multiLevelType w:val="hybridMultilevel"/>
    <w:tmpl w:val="175EE764"/>
    <w:lvl w:ilvl="0" w:tplc="769229E8">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945" w:hanging="360"/>
      </w:pPr>
      <w:rPr>
        <w:rFonts w:ascii="Courier New" w:hAnsi="Courier New" w:cs="Courier New" w:hint="default"/>
      </w:rPr>
    </w:lvl>
    <w:lvl w:ilvl="2" w:tplc="04090005">
      <w:start w:val="1"/>
      <w:numFmt w:val="bullet"/>
      <w:lvlText w:val=""/>
      <w:lvlJc w:val="left"/>
      <w:pPr>
        <w:ind w:left="1665" w:hanging="360"/>
      </w:pPr>
      <w:rPr>
        <w:rFonts w:ascii="Wingdings" w:hAnsi="Wingdings" w:hint="default"/>
      </w:rPr>
    </w:lvl>
    <w:lvl w:ilvl="3" w:tplc="0409000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7" w15:restartNumberingAfterBreak="0">
    <w:nsid w:val="407341E9"/>
    <w:multiLevelType w:val="hybridMultilevel"/>
    <w:tmpl w:val="71347776"/>
    <w:lvl w:ilvl="0" w:tplc="769229E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769229E8">
      <w:start w:val="3"/>
      <w:numFmt w:val="bullet"/>
      <w:lvlText w:val="-"/>
      <w:lvlJc w:val="left"/>
      <w:pPr>
        <w:ind w:left="3600" w:hanging="360"/>
      </w:pPr>
      <w:rPr>
        <w:rFonts w:ascii="Calibri" w:eastAsiaTheme="minorHAnsi" w:hAnsi="Calibri"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74180E"/>
    <w:multiLevelType w:val="hybridMultilevel"/>
    <w:tmpl w:val="1FF8D5C6"/>
    <w:lvl w:ilvl="0" w:tplc="C854CDAE">
      <w:start w:val="1"/>
      <w:numFmt w:val="bullet"/>
      <w:pStyle w:val="ListBullet2"/>
      <w:lvlText w:val="-"/>
      <w:lvlJc w:val="left"/>
      <w:pPr>
        <w:ind w:left="745" w:hanging="360"/>
      </w:pPr>
      <w:rPr>
        <w:rFonts w:ascii="Courier New" w:hAnsi="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9" w15:restartNumberingAfterBreak="0">
    <w:nsid w:val="50F622D9"/>
    <w:multiLevelType w:val="hybridMultilevel"/>
    <w:tmpl w:val="35E4C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4B3B7B"/>
    <w:multiLevelType w:val="hybridMultilevel"/>
    <w:tmpl w:val="51FCC2B0"/>
    <w:lvl w:ilvl="0" w:tplc="769229E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769229E8">
      <w:start w:val="3"/>
      <w:numFmt w:val="bullet"/>
      <w:lvlText w:val="-"/>
      <w:lvlJc w:val="left"/>
      <w:pPr>
        <w:ind w:left="3600" w:hanging="360"/>
      </w:pPr>
      <w:rPr>
        <w:rFonts w:ascii="Calibri" w:eastAsiaTheme="minorHAnsi" w:hAnsi="Calibri"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DC4ACF"/>
    <w:multiLevelType w:val="hybridMultilevel"/>
    <w:tmpl w:val="EDFC5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02673B"/>
    <w:multiLevelType w:val="hybridMultilevel"/>
    <w:tmpl w:val="F8B24552"/>
    <w:lvl w:ilvl="0" w:tplc="911EBC58">
      <w:start w:val="5"/>
      <w:numFmt w:val="bullet"/>
      <w:lvlText w:val="-"/>
      <w:lvlJc w:val="left"/>
      <w:pPr>
        <w:ind w:left="360" w:hanging="360"/>
      </w:pPr>
      <w:rPr>
        <w:rFonts w:ascii="Calibri" w:eastAsia="Times New Roman" w:hAnsi="Calibri" w:cstheme="minorHAnsi" w:hint="default"/>
        <w:b/>
        <w:i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C80523"/>
    <w:multiLevelType w:val="hybridMultilevel"/>
    <w:tmpl w:val="E2A8D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AD1F17"/>
    <w:multiLevelType w:val="hybridMultilevel"/>
    <w:tmpl w:val="F19C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A43D9"/>
    <w:multiLevelType w:val="hybridMultilevel"/>
    <w:tmpl w:val="B1D257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987C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B03D06"/>
    <w:multiLevelType w:val="hybridMultilevel"/>
    <w:tmpl w:val="BD3C4A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66804"/>
    <w:multiLevelType w:val="hybridMultilevel"/>
    <w:tmpl w:val="499C4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85" w:hanging="360"/>
      </w:pPr>
      <w:rPr>
        <w:rFonts w:ascii="Courier New" w:hAnsi="Courier New" w:cs="Courier New" w:hint="default"/>
      </w:rPr>
    </w:lvl>
    <w:lvl w:ilvl="2" w:tplc="0C090003">
      <w:start w:val="1"/>
      <w:numFmt w:val="bullet"/>
      <w:lvlText w:val="o"/>
      <w:lvlJc w:val="left"/>
      <w:pPr>
        <w:ind w:left="1305" w:hanging="360"/>
      </w:pPr>
      <w:rPr>
        <w:rFonts w:ascii="Courier New" w:hAnsi="Courier New" w:cs="Courier New" w:hint="default"/>
      </w:rPr>
    </w:lvl>
    <w:lvl w:ilvl="3" w:tplc="04090001">
      <w:start w:val="1"/>
      <w:numFmt w:val="bullet"/>
      <w:lvlText w:val=""/>
      <w:lvlJc w:val="left"/>
      <w:pPr>
        <w:ind w:left="2025" w:hanging="360"/>
      </w:pPr>
      <w:rPr>
        <w:rFonts w:ascii="Symbol" w:hAnsi="Symbol" w:hint="default"/>
      </w:rPr>
    </w:lvl>
    <w:lvl w:ilvl="4" w:tplc="04090003" w:tentative="1">
      <w:start w:val="1"/>
      <w:numFmt w:val="bullet"/>
      <w:lvlText w:val="o"/>
      <w:lvlJc w:val="left"/>
      <w:pPr>
        <w:ind w:left="2745" w:hanging="360"/>
      </w:pPr>
      <w:rPr>
        <w:rFonts w:ascii="Courier New" w:hAnsi="Courier New" w:cs="Courier New" w:hint="default"/>
      </w:rPr>
    </w:lvl>
    <w:lvl w:ilvl="5" w:tplc="04090005" w:tentative="1">
      <w:start w:val="1"/>
      <w:numFmt w:val="bullet"/>
      <w:lvlText w:val=""/>
      <w:lvlJc w:val="left"/>
      <w:pPr>
        <w:ind w:left="3465" w:hanging="360"/>
      </w:pPr>
      <w:rPr>
        <w:rFonts w:ascii="Wingdings" w:hAnsi="Wingdings" w:hint="default"/>
      </w:rPr>
    </w:lvl>
    <w:lvl w:ilvl="6" w:tplc="04090001" w:tentative="1">
      <w:start w:val="1"/>
      <w:numFmt w:val="bullet"/>
      <w:lvlText w:val=""/>
      <w:lvlJc w:val="left"/>
      <w:pPr>
        <w:ind w:left="4185" w:hanging="360"/>
      </w:pPr>
      <w:rPr>
        <w:rFonts w:ascii="Symbol" w:hAnsi="Symbol" w:hint="default"/>
      </w:rPr>
    </w:lvl>
    <w:lvl w:ilvl="7" w:tplc="04090003" w:tentative="1">
      <w:start w:val="1"/>
      <w:numFmt w:val="bullet"/>
      <w:lvlText w:val="o"/>
      <w:lvlJc w:val="left"/>
      <w:pPr>
        <w:ind w:left="4905" w:hanging="360"/>
      </w:pPr>
      <w:rPr>
        <w:rFonts w:ascii="Courier New" w:hAnsi="Courier New" w:cs="Courier New" w:hint="default"/>
      </w:rPr>
    </w:lvl>
    <w:lvl w:ilvl="8" w:tplc="04090005" w:tentative="1">
      <w:start w:val="1"/>
      <w:numFmt w:val="bullet"/>
      <w:lvlText w:val=""/>
      <w:lvlJc w:val="left"/>
      <w:pPr>
        <w:ind w:left="5625" w:hanging="360"/>
      </w:pPr>
      <w:rPr>
        <w:rFonts w:ascii="Wingdings" w:hAnsi="Wingdings" w:hint="default"/>
      </w:rPr>
    </w:lvl>
  </w:abstractNum>
  <w:abstractNum w:abstractNumId="39" w15:restartNumberingAfterBreak="0">
    <w:nsid w:val="73E1432B"/>
    <w:multiLevelType w:val="hybridMultilevel"/>
    <w:tmpl w:val="135C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7B5681"/>
    <w:multiLevelType w:val="hybridMultilevel"/>
    <w:tmpl w:val="6858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F3529D"/>
    <w:multiLevelType w:val="hybridMultilevel"/>
    <w:tmpl w:val="3C807A02"/>
    <w:lvl w:ilvl="0" w:tplc="769229E8">
      <w:start w:val="3"/>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911EBC58">
      <w:start w:val="5"/>
      <w:numFmt w:val="bullet"/>
      <w:lvlText w:val="-"/>
      <w:lvlJc w:val="left"/>
      <w:pPr>
        <w:ind w:left="3960" w:hanging="360"/>
      </w:pPr>
      <w:rPr>
        <w:rFonts w:ascii="Calibri" w:eastAsia="Times New Roman" w:hAnsi="Calibri" w:cstheme="minorHAnsi" w:hint="default"/>
        <w:b/>
        <w:i w:val="0"/>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29"/>
  </w:num>
  <w:num w:numId="3">
    <w:abstractNumId w:val="20"/>
  </w:num>
  <w:num w:numId="4">
    <w:abstractNumId w:val="39"/>
  </w:num>
  <w:num w:numId="5">
    <w:abstractNumId w:val="15"/>
  </w:num>
  <w:num w:numId="6">
    <w:abstractNumId w:val="11"/>
  </w:num>
  <w:num w:numId="7">
    <w:abstractNumId w:val="40"/>
  </w:num>
  <w:num w:numId="8">
    <w:abstractNumId w:val="16"/>
  </w:num>
  <w:num w:numId="9">
    <w:abstractNumId w:val="30"/>
  </w:num>
  <w:num w:numId="10">
    <w:abstractNumId w:val="27"/>
  </w:num>
  <w:num w:numId="11">
    <w:abstractNumId w:val="26"/>
  </w:num>
  <w:num w:numId="12">
    <w:abstractNumId w:val="24"/>
  </w:num>
  <w:num w:numId="13">
    <w:abstractNumId w:val="41"/>
  </w:num>
  <w:num w:numId="14">
    <w:abstractNumId w:val="12"/>
  </w:num>
  <w:num w:numId="15">
    <w:abstractNumId w:val="33"/>
  </w:num>
  <w:num w:numId="16">
    <w:abstractNumId w:val="35"/>
  </w:num>
  <w:num w:numId="17">
    <w:abstractNumId w:val="31"/>
  </w:num>
  <w:num w:numId="18">
    <w:abstractNumId w:val="14"/>
  </w:num>
  <w:num w:numId="19">
    <w:abstractNumId w:val="25"/>
  </w:num>
  <w:num w:numId="20">
    <w:abstractNumId w:val="18"/>
  </w:num>
  <w:num w:numId="21">
    <w:abstractNumId w:val="38"/>
  </w:num>
  <w:num w:numId="22">
    <w:abstractNumId w:val="19"/>
  </w:num>
  <w:num w:numId="23">
    <w:abstractNumId w:val="22"/>
  </w:num>
  <w:num w:numId="24">
    <w:abstractNumId w:val="17"/>
  </w:num>
  <w:num w:numId="25">
    <w:abstractNumId w:val="37"/>
  </w:num>
  <w:num w:numId="26">
    <w:abstractNumId w:val="32"/>
  </w:num>
  <w:num w:numId="27">
    <w:abstractNumId w:val="23"/>
  </w:num>
  <w:num w:numId="28">
    <w:abstractNumId w:val="13"/>
  </w:num>
  <w:num w:numId="29">
    <w:abstractNumId w:val="34"/>
  </w:num>
  <w:num w:numId="30">
    <w:abstractNumId w:val="8"/>
  </w:num>
  <w:num w:numId="31">
    <w:abstractNumId w:val="9"/>
  </w:num>
  <w:num w:numId="32">
    <w:abstractNumId w:val="0"/>
  </w:num>
  <w:num w:numId="33">
    <w:abstractNumId w:val="1"/>
  </w:num>
  <w:num w:numId="34">
    <w:abstractNumId w:val="2"/>
  </w:num>
  <w:num w:numId="35">
    <w:abstractNumId w:val="3"/>
  </w:num>
  <w:num w:numId="36">
    <w:abstractNumId w:val="4"/>
  </w:num>
  <w:num w:numId="37">
    <w:abstractNumId w:val="5"/>
  </w:num>
  <w:num w:numId="38">
    <w:abstractNumId w:val="6"/>
  </w:num>
  <w:num w:numId="39">
    <w:abstractNumId w:val="7"/>
  </w:num>
  <w:num w:numId="40">
    <w:abstractNumId w:val="21"/>
  </w:num>
  <w:num w:numId="41">
    <w:abstractNumId w:val="28"/>
  </w:num>
  <w:num w:numId="42">
    <w:abstractNumId w:val="36"/>
  </w:num>
  <w:num w:numId="43">
    <w:abstractNumId w:val="8"/>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1E"/>
    <w:rsid w:val="000009F3"/>
    <w:rsid w:val="00000C8F"/>
    <w:rsid w:val="000033D4"/>
    <w:rsid w:val="000051AF"/>
    <w:rsid w:val="00005581"/>
    <w:rsid w:val="00010272"/>
    <w:rsid w:val="00010C2D"/>
    <w:rsid w:val="000112FA"/>
    <w:rsid w:val="000116FD"/>
    <w:rsid w:val="00013C19"/>
    <w:rsid w:val="000147EF"/>
    <w:rsid w:val="00014FDA"/>
    <w:rsid w:val="00015237"/>
    <w:rsid w:val="000166E8"/>
    <w:rsid w:val="00016F6F"/>
    <w:rsid w:val="0002002D"/>
    <w:rsid w:val="00020F2E"/>
    <w:rsid w:val="0002149A"/>
    <w:rsid w:val="00021A53"/>
    <w:rsid w:val="00022033"/>
    <w:rsid w:val="000226CD"/>
    <w:rsid w:val="000229CD"/>
    <w:rsid w:val="000249AC"/>
    <w:rsid w:val="0002530C"/>
    <w:rsid w:val="00025447"/>
    <w:rsid w:val="00025667"/>
    <w:rsid w:val="0002698D"/>
    <w:rsid w:val="00027964"/>
    <w:rsid w:val="000308D3"/>
    <w:rsid w:val="00034335"/>
    <w:rsid w:val="000348FF"/>
    <w:rsid w:val="00037346"/>
    <w:rsid w:val="00043DBF"/>
    <w:rsid w:val="000448F4"/>
    <w:rsid w:val="0004503F"/>
    <w:rsid w:val="00052311"/>
    <w:rsid w:val="000529FD"/>
    <w:rsid w:val="00053385"/>
    <w:rsid w:val="00053C2D"/>
    <w:rsid w:val="00053E8F"/>
    <w:rsid w:val="00054FC3"/>
    <w:rsid w:val="000608F2"/>
    <w:rsid w:val="00061515"/>
    <w:rsid w:val="00065641"/>
    <w:rsid w:val="000659E7"/>
    <w:rsid w:val="0006623B"/>
    <w:rsid w:val="00071FDC"/>
    <w:rsid w:val="00072BD5"/>
    <w:rsid w:val="00073717"/>
    <w:rsid w:val="0008040F"/>
    <w:rsid w:val="00080DC8"/>
    <w:rsid w:val="00084428"/>
    <w:rsid w:val="00084571"/>
    <w:rsid w:val="00086C76"/>
    <w:rsid w:val="00087347"/>
    <w:rsid w:val="0008766A"/>
    <w:rsid w:val="00087825"/>
    <w:rsid w:val="00090577"/>
    <w:rsid w:val="00090FAA"/>
    <w:rsid w:val="00091F76"/>
    <w:rsid w:val="00093FF0"/>
    <w:rsid w:val="00094A9C"/>
    <w:rsid w:val="00094E5E"/>
    <w:rsid w:val="000A5A56"/>
    <w:rsid w:val="000A6C71"/>
    <w:rsid w:val="000A7BC6"/>
    <w:rsid w:val="000A7BCF"/>
    <w:rsid w:val="000B0214"/>
    <w:rsid w:val="000B08D9"/>
    <w:rsid w:val="000B0FBB"/>
    <w:rsid w:val="000B4CC4"/>
    <w:rsid w:val="000B56AD"/>
    <w:rsid w:val="000B67F3"/>
    <w:rsid w:val="000B6C82"/>
    <w:rsid w:val="000B7037"/>
    <w:rsid w:val="000B75D8"/>
    <w:rsid w:val="000B7AEC"/>
    <w:rsid w:val="000B7FEC"/>
    <w:rsid w:val="000C5ED9"/>
    <w:rsid w:val="000C75DC"/>
    <w:rsid w:val="000C7AA6"/>
    <w:rsid w:val="000C7D9B"/>
    <w:rsid w:val="000D01AB"/>
    <w:rsid w:val="000D39A1"/>
    <w:rsid w:val="000D57F1"/>
    <w:rsid w:val="000E131B"/>
    <w:rsid w:val="000E359D"/>
    <w:rsid w:val="000E479A"/>
    <w:rsid w:val="000E6CB4"/>
    <w:rsid w:val="000F2E54"/>
    <w:rsid w:val="000F5B39"/>
    <w:rsid w:val="000F7143"/>
    <w:rsid w:val="00103F93"/>
    <w:rsid w:val="00104215"/>
    <w:rsid w:val="001054EA"/>
    <w:rsid w:val="00106E91"/>
    <w:rsid w:val="001100EA"/>
    <w:rsid w:val="00112336"/>
    <w:rsid w:val="00112C9D"/>
    <w:rsid w:val="00116A26"/>
    <w:rsid w:val="00121519"/>
    <w:rsid w:val="00122D06"/>
    <w:rsid w:val="00123601"/>
    <w:rsid w:val="00126417"/>
    <w:rsid w:val="00127765"/>
    <w:rsid w:val="00131B19"/>
    <w:rsid w:val="0013247A"/>
    <w:rsid w:val="00132DC8"/>
    <w:rsid w:val="0013572D"/>
    <w:rsid w:val="0013597A"/>
    <w:rsid w:val="001409C0"/>
    <w:rsid w:val="00140B95"/>
    <w:rsid w:val="00141809"/>
    <w:rsid w:val="0014199D"/>
    <w:rsid w:val="001425B8"/>
    <w:rsid w:val="00143899"/>
    <w:rsid w:val="001520BA"/>
    <w:rsid w:val="00152AFC"/>
    <w:rsid w:val="00153A4E"/>
    <w:rsid w:val="00154DBB"/>
    <w:rsid w:val="001556D0"/>
    <w:rsid w:val="001563C9"/>
    <w:rsid w:val="00156A6F"/>
    <w:rsid w:val="00156FCE"/>
    <w:rsid w:val="00163AEB"/>
    <w:rsid w:val="001643F5"/>
    <w:rsid w:val="001651A3"/>
    <w:rsid w:val="00167AC8"/>
    <w:rsid w:val="00170B4E"/>
    <w:rsid w:val="00170DC2"/>
    <w:rsid w:val="001758BC"/>
    <w:rsid w:val="00176F21"/>
    <w:rsid w:val="00177C5C"/>
    <w:rsid w:val="001800BA"/>
    <w:rsid w:val="001804C9"/>
    <w:rsid w:val="00181044"/>
    <w:rsid w:val="00181C31"/>
    <w:rsid w:val="00182225"/>
    <w:rsid w:val="00183858"/>
    <w:rsid w:val="00184602"/>
    <w:rsid w:val="001852AA"/>
    <w:rsid w:val="0018714F"/>
    <w:rsid w:val="00187D6A"/>
    <w:rsid w:val="001912C8"/>
    <w:rsid w:val="001918E5"/>
    <w:rsid w:val="001A0E50"/>
    <w:rsid w:val="001A323C"/>
    <w:rsid w:val="001A3461"/>
    <w:rsid w:val="001A5278"/>
    <w:rsid w:val="001A72C6"/>
    <w:rsid w:val="001A7DB0"/>
    <w:rsid w:val="001B0365"/>
    <w:rsid w:val="001B4465"/>
    <w:rsid w:val="001B60AD"/>
    <w:rsid w:val="001B6DA6"/>
    <w:rsid w:val="001C1EE3"/>
    <w:rsid w:val="001C2221"/>
    <w:rsid w:val="001C3822"/>
    <w:rsid w:val="001C394F"/>
    <w:rsid w:val="001C57FE"/>
    <w:rsid w:val="001D4581"/>
    <w:rsid w:val="001D4639"/>
    <w:rsid w:val="001D5930"/>
    <w:rsid w:val="001D6BCB"/>
    <w:rsid w:val="001D6C9F"/>
    <w:rsid w:val="001E0DE6"/>
    <w:rsid w:val="001E0F97"/>
    <w:rsid w:val="001E2588"/>
    <w:rsid w:val="001E4DB3"/>
    <w:rsid w:val="001E51F3"/>
    <w:rsid w:val="001E7BE6"/>
    <w:rsid w:val="001F14C7"/>
    <w:rsid w:val="001F6C26"/>
    <w:rsid w:val="001F6E9A"/>
    <w:rsid w:val="001F6F4E"/>
    <w:rsid w:val="002003C4"/>
    <w:rsid w:val="00201444"/>
    <w:rsid w:val="002032CA"/>
    <w:rsid w:val="00203B99"/>
    <w:rsid w:val="00207BBA"/>
    <w:rsid w:val="00210368"/>
    <w:rsid w:val="002103F0"/>
    <w:rsid w:val="00212678"/>
    <w:rsid w:val="00212888"/>
    <w:rsid w:val="002151A7"/>
    <w:rsid w:val="00215E17"/>
    <w:rsid w:val="002172F0"/>
    <w:rsid w:val="00220082"/>
    <w:rsid w:val="0022176E"/>
    <w:rsid w:val="00222284"/>
    <w:rsid w:val="002239DE"/>
    <w:rsid w:val="00223C22"/>
    <w:rsid w:val="00224B08"/>
    <w:rsid w:val="0022783A"/>
    <w:rsid w:val="00230E89"/>
    <w:rsid w:val="00230EEC"/>
    <w:rsid w:val="0023185E"/>
    <w:rsid w:val="00233FAA"/>
    <w:rsid w:val="002340F8"/>
    <w:rsid w:val="00234241"/>
    <w:rsid w:val="0023614A"/>
    <w:rsid w:val="00236D12"/>
    <w:rsid w:val="00240CFE"/>
    <w:rsid w:val="00243E3E"/>
    <w:rsid w:val="0024441E"/>
    <w:rsid w:val="00244722"/>
    <w:rsid w:val="00244F5B"/>
    <w:rsid w:val="00245625"/>
    <w:rsid w:val="00245940"/>
    <w:rsid w:val="00250ECB"/>
    <w:rsid w:val="0025202F"/>
    <w:rsid w:val="00254840"/>
    <w:rsid w:val="00260489"/>
    <w:rsid w:val="00261464"/>
    <w:rsid w:val="00261AEB"/>
    <w:rsid w:val="0026499A"/>
    <w:rsid w:val="00272E24"/>
    <w:rsid w:val="0027302D"/>
    <w:rsid w:val="002744B7"/>
    <w:rsid w:val="00274556"/>
    <w:rsid w:val="00277DB1"/>
    <w:rsid w:val="0028171E"/>
    <w:rsid w:val="00281B17"/>
    <w:rsid w:val="002824C0"/>
    <w:rsid w:val="00283587"/>
    <w:rsid w:val="00283970"/>
    <w:rsid w:val="00284C55"/>
    <w:rsid w:val="00287C13"/>
    <w:rsid w:val="002933D8"/>
    <w:rsid w:val="00295531"/>
    <w:rsid w:val="00295534"/>
    <w:rsid w:val="00297692"/>
    <w:rsid w:val="002978EA"/>
    <w:rsid w:val="002A1EEE"/>
    <w:rsid w:val="002A24B9"/>
    <w:rsid w:val="002A415D"/>
    <w:rsid w:val="002A4724"/>
    <w:rsid w:val="002A4CC5"/>
    <w:rsid w:val="002A5AFF"/>
    <w:rsid w:val="002A705F"/>
    <w:rsid w:val="002B0A82"/>
    <w:rsid w:val="002B54D6"/>
    <w:rsid w:val="002B69EE"/>
    <w:rsid w:val="002B7B13"/>
    <w:rsid w:val="002C13BC"/>
    <w:rsid w:val="002C19A3"/>
    <w:rsid w:val="002C2284"/>
    <w:rsid w:val="002C2588"/>
    <w:rsid w:val="002C25EF"/>
    <w:rsid w:val="002C335D"/>
    <w:rsid w:val="002C469B"/>
    <w:rsid w:val="002C4800"/>
    <w:rsid w:val="002C5281"/>
    <w:rsid w:val="002C6C96"/>
    <w:rsid w:val="002C6FE3"/>
    <w:rsid w:val="002D08A4"/>
    <w:rsid w:val="002D0D7F"/>
    <w:rsid w:val="002D1027"/>
    <w:rsid w:val="002D1C44"/>
    <w:rsid w:val="002D2743"/>
    <w:rsid w:val="002D2FED"/>
    <w:rsid w:val="002D315C"/>
    <w:rsid w:val="002D3584"/>
    <w:rsid w:val="002D55CC"/>
    <w:rsid w:val="002D563C"/>
    <w:rsid w:val="002D6359"/>
    <w:rsid w:val="002D691B"/>
    <w:rsid w:val="002D6ACA"/>
    <w:rsid w:val="002E28D0"/>
    <w:rsid w:val="002E4C1A"/>
    <w:rsid w:val="002E4F38"/>
    <w:rsid w:val="002E6E0B"/>
    <w:rsid w:val="002E7D3F"/>
    <w:rsid w:val="002E7F7B"/>
    <w:rsid w:val="002F15B9"/>
    <w:rsid w:val="002F173A"/>
    <w:rsid w:val="002F2C3E"/>
    <w:rsid w:val="002F5884"/>
    <w:rsid w:val="002F596D"/>
    <w:rsid w:val="002F5B53"/>
    <w:rsid w:val="002F7A13"/>
    <w:rsid w:val="0030127C"/>
    <w:rsid w:val="00302D3A"/>
    <w:rsid w:val="003036DF"/>
    <w:rsid w:val="003053BC"/>
    <w:rsid w:val="0030700E"/>
    <w:rsid w:val="00307705"/>
    <w:rsid w:val="00313072"/>
    <w:rsid w:val="00320696"/>
    <w:rsid w:val="00320EE1"/>
    <w:rsid w:val="00325CB8"/>
    <w:rsid w:val="003268A5"/>
    <w:rsid w:val="00331622"/>
    <w:rsid w:val="003329E1"/>
    <w:rsid w:val="00332D33"/>
    <w:rsid w:val="00334551"/>
    <w:rsid w:val="00334CCD"/>
    <w:rsid w:val="003376FA"/>
    <w:rsid w:val="00337779"/>
    <w:rsid w:val="00343A01"/>
    <w:rsid w:val="00346676"/>
    <w:rsid w:val="0034670B"/>
    <w:rsid w:val="003469CF"/>
    <w:rsid w:val="00351F06"/>
    <w:rsid w:val="00354CE0"/>
    <w:rsid w:val="00355045"/>
    <w:rsid w:val="00357234"/>
    <w:rsid w:val="003576F8"/>
    <w:rsid w:val="00363028"/>
    <w:rsid w:val="003639AA"/>
    <w:rsid w:val="0036700E"/>
    <w:rsid w:val="00367700"/>
    <w:rsid w:val="00370D94"/>
    <w:rsid w:val="00371B36"/>
    <w:rsid w:val="003723F0"/>
    <w:rsid w:val="00374D9C"/>
    <w:rsid w:val="00380890"/>
    <w:rsid w:val="00380A27"/>
    <w:rsid w:val="00381264"/>
    <w:rsid w:val="00382977"/>
    <w:rsid w:val="003832FB"/>
    <w:rsid w:val="0038527B"/>
    <w:rsid w:val="00391A98"/>
    <w:rsid w:val="003936A9"/>
    <w:rsid w:val="0039563B"/>
    <w:rsid w:val="00395DAE"/>
    <w:rsid w:val="00396079"/>
    <w:rsid w:val="003960D0"/>
    <w:rsid w:val="003A3C39"/>
    <w:rsid w:val="003A5B85"/>
    <w:rsid w:val="003A61DC"/>
    <w:rsid w:val="003B0FE1"/>
    <w:rsid w:val="003B29EE"/>
    <w:rsid w:val="003B5DED"/>
    <w:rsid w:val="003C0F3B"/>
    <w:rsid w:val="003C11CE"/>
    <w:rsid w:val="003C35CA"/>
    <w:rsid w:val="003C382C"/>
    <w:rsid w:val="003C42E3"/>
    <w:rsid w:val="003C488F"/>
    <w:rsid w:val="003C5ACF"/>
    <w:rsid w:val="003C6FC2"/>
    <w:rsid w:val="003C7709"/>
    <w:rsid w:val="003D276C"/>
    <w:rsid w:val="003D2FDD"/>
    <w:rsid w:val="003D6CCC"/>
    <w:rsid w:val="003D7E7E"/>
    <w:rsid w:val="003E00C0"/>
    <w:rsid w:val="003E183D"/>
    <w:rsid w:val="003E2146"/>
    <w:rsid w:val="003E2A27"/>
    <w:rsid w:val="003E3528"/>
    <w:rsid w:val="003E3E73"/>
    <w:rsid w:val="003E6FD2"/>
    <w:rsid w:val="003E724D"/>
    <w:rsid w:val="003F5F09"/>
    <w:rsid w:val="003F6D77"/>
    <w:rsid w:val="00400D2B"/>
    <w:rsid w:val="00400EE6"/>
    <w:rsid w:val="004010AD"/>
    <w:rsid w:val="00410933"/>
    <w:rsid w:val="00412E05"/>
    <w:rsid w:val="004143C6"/>
    <w:rsid w:val="0041763F"/>
    <w:rsid w:val="00417B53"/>
    <w:rsid w:val="00421569"/>
    <w:rsid w:val="00423187"/>
    <w:rsid w:val="004237FD"/>
    <w:rsid w:val="00423FD3"/>
    <w:rsid w:val="00424591"/>
    <w:rsid w:val="00425AFB"/>
    <w:rsid w:val="00427284"/>
    <w:rsid w:val="00427528"/>
    <w:rsid w:val="004315B1"/>
    <w:rsid w:val="004320B6"/>
    <w:rsid w:val="004321D4"/>
    <w:rsid w:val="00434A51"/>
    <w:rsid w:val="00435D36"/>
    <w:rsid w:val="004372BD"/>
    <w:rsid w:val="0044109D"/>
    <w:rsid w:val="00441B72"/>
    <w:rsid w:val="00441FFF"/>
    <w:rsid w:val="004445BF"/>
    <w:rsid w:val="00445780"/>
    <w:rsid w:val="00446442"/>
    <w:rsid w:val="00446C8D"/>
    <w:rsid w:val="00447ECF"/>
    <w:rsid w:val="00451B41"/>
    <w:rsid w:val="00451F94"/>
    <w:rsid w:val="00452B3F"/>
    <w:rsid w:val="00453B75"/>
    <w:rsid w:val="00455859"/>
    <w:rsid w:val="004566A3"/>
    <w:rsid w:val="004569A7"/>
    <w:rsid w:val="00460114"/>
    <w:rsid w:val="00460227"/>
    <w:rsid w:val="004604F6"/>
    <w:rsid w:val="004614A3"/>
    <w:rsid w:val="00462EF7"/>
    <w:rsid w:val="0046383B"/>
    <w:rsid w:val="00463CF6"/>
    <w:rsid w:val="00465F30"/>
    <w:rsid w:val="00466295"/>
    <w:rsid w:val="00470849"/>
    <w:rsid w:val="00471FD6"/>
    <w:rsid w:val="00472FB0"/>
    <w:rsid w:val="00475FF5"/>
    <w:rsid w:val="00476323"/>
    <w:rsid w:val="00476C14"/>
    <w:rsid w:val="004776C6"/>
    <w:rsid w:val="00477B3C"/>
    <w:rsid w:val="004809BC"/>
    <w:rsid w:val="00481846"/>
    <w:rsid w:val="00483D1F"/>
    <w:rsid w:val="004844D4"/>
    <w:rsid w:val="0049161C"/>
    <w:rsid w:val="00491A9F"/>
    <w:rsid w:val="00493D11"/>
    <w:rsid w:val="00494250"/>
    <w:rsid w:val="00494791"/>
    <w:rsid w:val="0049550E"/>
    <w:rsid w:val="00495C8D"/>
    <w:rsid w:val="00496E53"/>
    <w:rsid w:val="004A1063"/>
    <w:rsid w:val="004A2D6D"/>
    <w:rsid w:val="004A3D8C"/>
    <w:rsid w:val="004A53EB"/>
    <w:rsid w:val="004A6076"/>
    <w:rsid w:val="004A7711"/>
    <w:rsid w:val="004B0A1C"/>
    <w:rsid w:val="004B0D2A"/>
    <w:rsid w:val="004B1EB4"/>
    <w:rsid w:val="004B3F60"/>
    <w:rsid w:val="004B6AEB"/>
    <w:rsid w:val="004B7166"/>
    <w:rsid w:val="004C1837"/>
    <w:rsid w:val="004C2572"/>
    <w:rsid w:val="004C4375"/>
    <w:rsid w:val="004C5D47"/>
    <w:rsid w:val="004D1090"/>
    <w:rsid w:val="004D1EBF"/>
    <w:rsid w:val="004D2DA5"/>
    <w:rsid w:val="004D33EC"/>
    <w:rsid w:val="004D3D92"/>
    <w:rsid w:val="004E29F9"/>
    <w:rsid w:val="004E35EF"/>
    <w:rsid w:val="004E437D"/>
    <w:rsid w:val="004E4DAE"/>
    <w:rsid w:val="004E5241"/>
    <w:rsid w:val="004E5683"/>
    <w:rsid w:val="004E59A8"/>
    <w:rsid w:val="004E6A37"/>
    <w:rsid w:val="004F0B95"/>
    <w:rsid w:val="004F1A83"/>
    <w:rsid w:val="004F2F4E"/>
    <w:rsid w:val="004F3BD2"/>
    <w:rsid w:val="004F539B"/>
    <w:rsid w:val="004F5722"/>
    <w:rsid w:val="004F57D9"/>
    <w:rsid w:val="004F6C5C"/>
    <w:rsid w:val="004F7ADE"/>
    <w:rsid w:val="00500DC9"/>
    <w:rsid w:val="005013E6"/>
    <w:rsid w:val="00503FE2"/>
    <w:rsid w:val="005061ED"/>
    <w:rsid w:val="00510112"/>
    <w:rsid w:val="005105ED"/>
    <w:rsid w:val="0051092C"/>
    <w:rsid w:val="0051310D"/>
    <w:rsid w:val="00516A1C"/>
    <w:rsid w:val="00516DE1"/>
    <w:rsid w:val="005174D7"/>
    <w:rsid w:val="005206DE"/>
    <w:rsid w:val="0052444B"/>
    <w:rsid w:val="00524D1D"/>
    <w:rsid w:val="00525748"/>
    <w:rsid w:val="00527232"/>
    <w:rsid w:val="0053040B"/>
    <w:rsid w:val="005328DC"/>
    <w:rsid w:val="005332FE"/>
    <w:rsid w:val="00533B64"/>
    <w:rsid w:val="005356B2"/>
    <w:rsid w:val="00536037"/>
    <w:rsid w:val="00536881"/>
    <w:rsid w:val="00536ED6"/>
    <w:rsid w:val="005449E7"/>
    <w:rsid w:val="005454FB"/>
    <w:rsid w:val="00546558"/>
    <w:rsid w:val="005471CB"/>
    <w:rsid w:val="0055328E"/>
    <w:rsid w:val="00554D53"/>
    <w:rsid w:val="005579C8"/>
    <w:rsid w:val="0056001B"/>
    <w:rsid w:val="005625E1"/>
    <w:rsid w:val="00563F89"/>
    <w:rsid w:val="00564435"/>
    <w:rsid w:val="005645E0"/>
    <w:rsid w:val="00564DB6"/>
    <w:rsid w:val="00565BA2"/>
    <w:rsid w:val="00567980"/>
    <w:rsid w:val="00567EE9"/>
    <w:rsid w:val="00567F56"/>
    <w:rsid w:val="00570CFE"/>
    <w:rsid w:val="00571D5A"/>
    <w:rsid w:val="0057207F"/>
    <w:rsid w:val="0057216B"/>
    <w:rsid w:val="00572F78"/>
    <w:rsid w:val="00573AB3"/>
    <w:rsid w:val="00574DC3"/>
    <w:rsid w:val="00575DC5"/>
    <w:rsid w:val="005770A8"/>
    <w:rsid w:val="00580843"/>
    <w:rsid w:val="005815CD"/>
    <w:rsid w:val="00581F30"/>
    <w:rsid w:val="00582039"/>
    <w:rsid w:val="005852D0"/>
    <w:rsid w:val="00586519"/>
    <w:rsid w:val="00594B24"/>
    <w:rsid w:val="005972FE"/>
    <w:rsid w:val="00597779"/>
    <w:rsid w:val="005A12CE"/>
    <w:rsid w:val="005A20F4"/>
    <w:rsid w:val="005A21A0"/>
    <w:rsid w:val="005A2519"/>
    <w:rsid w:val="005A25A4"/>
    <w:rsid w:val="005A5921"/>
    <w:rsid w:val="005A656C"/>
    <w:rsid w:val="005A68E7"/>
    <w:rsid w:val="005B1163"/>
    <w:rsid w:val="005B2367"/>
    <w:rsid w:val="005B2A23"/>
    <w:rsid w:val="005B4C8F"/>
    <w:rsid w:val="005B4E28"/>
    <w:rsid w:val="005B51D0"/>
    <w:rsid w:val="005B659F"/>
    <w:rsid w:val="005B65D1"/>
    <w:rsid w:val="005B7705"/>
    <w:rsid w:val="005C10E1"/>
    <w:rsid w:val="005C1A06"/>
    <w:rsid w:val="005C32F1"/>
    <w:rsid w:val="005C4168"/>
    <w:rsid w:val="005C419E"/>
    <w:rsid w:val="005C45BD"/>
    <w:rsid w:val="005D0069"/>
    <w:rsid w:val="005D1AC8"/>
    <w:rsid w:val="005D4568"/>
    <w:rsid w:val="005D50BA"/>
    <w:rsid w:val="005D6102"/>
    <w:rsid w:val="005D6142"/>
    <w:rsid w:val="005D6FA9"/>
    <w:rsid w:val="005E0959"/>
    <w:rsid w:val="005E2989"/>
    <w:rsid w:val="005E6134"/>
    <w:rsid w:val="005E622B"/>
    <w:rsid w:val="005E66A0"/>
    <w:rsid w:val="005F797D"/>
    <w:rsid w:val="005F7B3F"/>
    <w:rsid w:val="006014F6"/>
    <w:rsid w:val="006032D7"/>
    <w:rsid w:val="00605568"/>
    <w:rsid w:val="00610EDC"/>
    <w:rsid w:val="00611142"/>
    <w:rsid w:val="0061249D"/>
    <w:rsid w:val="00612F86"/>
    <w:rsid w:val="00613BD5"/>
    <w:rsid w:val="006140C3"/>
    <w:rsid w:val="00614638"/>
    <w:rsid w:val="00614C08"/>
    <w:rsid w:val="00615C03"/>
    <w:rsid w:val="00616BF8"/>
    <w:rsid w:val="00617B7A"/>
    <w:rsid w:val="0062049D"/>
    <w:rsid w:val="00620F70"/>
    <w:rsid w:val="0062171D"/>
    <w:rsid w:val="00621EA3"/>
    <w:rsid w:val="0062345B"/>
    <w:rsid w:val="006236C4"/>
    <w:rsid w:val="0062401F"/>
    <w:rsid w:val="00624915"/>
    <w:rsid w:val="0062541E"/>
    <w:rsid w:val="00625FC3"/>
    <w:rsid w:val="006271AB"/>
    <w:rsid w:val="0062720C"/>
    <w:rsid w:val="00627D6C"/>
    <w:rsid w:val="0063124B"/>
    <w:rsid w:val="0063140F"/>
    <w:rsid w:val="00631441"/>
    <w:rsid w:val="00634DC4"/>
    <w:rsid w:val="00635FC7"/>
    <w:rsid w:val="0063681E"/>
    <w:rsid w:val="006368D8"/>
    <w:rsid w:val="00637329"/>
    <w:rsid w:val="00637526"/>
    <w:rsid w:val="006409F8"/>
    <w:rsid w:val="00640D9F"/>
    <w:rsid w:val="00640F7E"/>
    <w:rsid w:val="006430AF"/>
    <w:rsid w:val="006437A5"/>
    <w:rsid w:val="00645E94"/>
    <w:rsid w:val="0064632C"/>
    <w:rsid w:val="006464CC"/>
    <w:rsid w:val="006466B0"/>
    <w:rsid w:val="006477B7"/>
    <w:rsid w:val="00650ACF"/>
    <w:rsid w:val="00651FE8"/>
    <w:rsid w:val="00652DDB"/>
    <w:rsid w:val="006543F0"/>
    <w:rsid w:val="00654C7F"/>
    <w:rsid w:val="006565F3"/>
    <w:rsid w:val="00656894"/>
    <w:rsid w:val="00656EAD"/>
    <w:rsid w:val="006601BA"/>
    <w:rsid w:val="0066254C"/>
    <w:rsid w:val="00663572"/>
    <w:rsid w:val="00663C65"/>
    <w:rsid w:val="00664E2A"/>
    <w:rsid w:val="00666837"/>
    <w:rsid w:val="00667F04"/>
    <w:rsid w:val="00674817"/>
    <w:rsid w:val="00677065"/>
    <w:rsid w:val="00683B86"/>
    <w:rsid w:val="006844CD"/>
    <w:rsid w:val="00685477"/>
    <w:rsid w:val="00687315"/>
    <w:rsid w:val="00687555"/>
    <w:rsid w:val="00691401"/>
    <w:rsid w:val="0069148B"/>
    <w:rsid w:val="00693D73"/>
    <w:rsid w:val="00694D94"/>
    <w:rsid w:val="00695304"/>
    <w:rsid w:val="0069620E"/>
    <w:rsid w:val="006A2CE8"/>
    <w:rsid w:val="006A448F"/>
    <w:rsid w:val="006A5388"/>
    <w:rsid w:val="006A588A"/>
    <w:rsid w:val="006A6C0F"/>
    <w:rsid w:val="006B27A1"/>
    <w:rsid w:val="006B3F69"/>
    <w:rsid w:val="006B5585"/>
    <w:rsid w:val="006B6BC2"/>
    <w:rsid w:val="006B6D28"/>
    <w:rsid w:val="006C11D5"/>
    <w:rsid w:val="006C23C4"/>
    <w:rsid w:val="006C2670"/>
    <w:rsid w:val="006C2B33"/>
    <w:rsid w:val="006C513B"/>
    <w:rsid w:val="006C7B28"/>
    <w:rsid w:val="006C7F97"/>
    <w:rsid w:val="006D01C8"/>
    <w:rsid w:val="006D0524"/>
    <w:rsid w:val="006D1CA9"/>
    <w:rsid w:val="006D263B"/>
    <w:rsid w:val="006D7599"/>
    <w:rsid w:val="006D7C4F"/>
    <w:rsid w:val="006E00B3"/>
    <w:rsid w:val="006E0F4B"/>
    <w:rsid w:val="006E1411"/>
    <w:rsid w:val="006E3204"/>
    <w:rsid w:val="006E34C4"/>
    <w:rsid w:val="006E4FB8"/>
    <w:rsid w:val="006E576D"/>
    <w:rsid w:val="006E5BF4"/>
    <w:rsid w:val="006F5556"/>
    <w:rsid w:val="006F69F8"/>
    <w:rsid w:val="007006E7"/>
    <w:rsid w:val="00703612"/>
    <w:rsid w:val="007050BA"/>
    <w:rsid w:val="007051E9"/>
    <w:rsid w:val="00706118"/>
    <w:rsid w:val="00706CCB"/>
    <w:rsid w:val="00713043"/>
    <w:rsid w:val="00713AE8"/>
    <w:rsid w:val="00713F30"/>
    <w:rsid w:val="00714D10"/>
    <w:rsid w:val="00714FEC"/>
    <w:rsid w:val="00716EF9"/>
    <w:rsid w:val="00720113"/>
    <w:rsid w:val="00721146"/>
    <w:rsid w:val="00722416"/>
    <w:rsid w:val="00722799"/>
    <w:rsid w:val="00723277"/>
    <w:rsid w:val="00725284"/>
    <w:rsid w:val="00725B8F"/>
    <w:rsid w:val="00725F4F"/>
    <w:rsid w:val="00726F01"/>
    <w:rsid w:val="007277B8"/>
    <w:rsid w:val="00727DD1"/>
    <w:rsid w:val="00733034"/>
    <w:rsid w:val="0073755D"/>
    <w:rsid w:val="00741818"/>
    <w:rsid w:val="00741A3A"/>
    <w:rsid w:val="00741BEB"/>
    <w:rsid w:val="00741EF8"/>
    <w:rsid w:val="00741F76"/>
    <w:rsid w:val="00743824"/>
    <w:rsid w:val="00747A11"/>
    <w:rsid w:val="00747B3A"/>
    <w:rsid w:val="007501B7"/>
    <w:rsid w:val="007503DB"/>
    <w:rsid w:val="00751DD9"/>
    <w:rsid w:val="00752185"/>
    <w:rsid w:val="00755F38"/>
    <w:rsid w:val="00756C13"/>
    <w:rsid w:val="0075704F"/>
    <w:rsid w:val="00757A0F"/>
    <w:rsid w:val="0076264B"/>
    <w:rsid w:val="00763129"/>
    <w:rsid w:val="0076558D"/>
    <w:rsid w:val="00766900"/>
    <w:rsid w:val="00767659"/>
    <w:rsid w:val="0076766E"/>
    <w:rsid w:val="00767848"/>
    <w:rsid w:val="0077101C"/>
    <w:rsid w:val="00771C4A"/>
    <w:rsid w:val="00774F13"/>
    <w:rsid w:val="007768CE"/>
    <w:rsid w:val="00786D1B"/>
    <w:rsid w:val="00787CC2"/>
    <w:rsid w:val="007924A0"/>
    <w:rsid w:val="0079665B"/>
    <w:rsid w:val="00796687"/>
    <w:rsid w:val="00797C62"/>
    <w:rsid w:val="00797D21"/>
    <w:rsid w:val="007A1197"/>
    <w:rsid w:val="007A3839"/>
    <w:rsid w:val="007A3A7D"/>
    <w:rsid w:val="007A6362"/>
    <w:rsid w:val="007B0588"/>
    <w:rsid w:val="007B2242"/>
    <w:rsid w:val="007B260C"/>
    <w:rsid w:val="007B2ED8"/>
    <w:rsid w:val="007B3596"/>
    <w:rsid w:val="007B4053"/>
    <w:rsid w:val="007C060C"/>
    <w:rsid w:val="007C06A4"/>
    <w:rsid w:val="007C2D63"/>
    <w:rsid w:val="007C4827"/>
    <w:rsid w:val="007C71B1"/>
    <w:rsid w:val="007D0CD9"/>
    <w:rsid w:val="007D2824"/>
    <w:rsid w:val="007D32F0"/>
    <w:rsid w:val="007D4566"/>
    <w:rsid w:val="007D48DB"/>
    <w:rsid w:val="007D4A30"/>
    <w:rsid w:val="007D67D4"/>
    <w:rsid w:val="007D7A50"/>
    <w:rsid w:val="007E2C75"/>
    <w:rsid w:val="007E6DEA"/>
    <w:rsid w:val="007F0100"/>
    <w:rsid w:val="007F019E"/>
    <w:rsid w:val="007F2685"/>
    <w:rsid w:val="007F2DF6"/>
    <w:rsid w:val="007F44DE"/>
    <w:rsid w:val="008008E2"/>
    <w:rsid w:val="008026AC"/>
    <w:rsid w:val="008029BA"/>
    <w:rsid w:val="00803686"/>
    <w:rsid w:val="008048ED"/>
    <w:rsid w:val="00804FF5"/>
    <w:rsid w:val="00805867"/>
    <w:rsid w:val="0080691B"/>
    <w:rsid w:val="00807506"/>
    <w:rsid w:val="00807972"/>
    <w:rsid w:val="00811936"/>
    <w:rsid w:val="00812FFB"/>
    <w:rsid w:val="00813061"/>
    <w:rsid w:val="008134BA"/>
    <w:rsid w:val="00814CD0"/>
    <w:rsid w:val="00817066"/>
    <w:rsid w:val="0081754D"/>
    <w:rsid w:val="00820952"/>
    <w:rsid w:val="00824A85"/>
    <w:rsid w:val="00826724"/>
    <w:rsid w:val="00826B29"/>
    <w:rsid w:val="00830F9F"/>
    <w:rsid w:val="008318BC"/>
    <w:rsid w:val="008325F1"/>
    <w:rsid w:val="00832D30"/>
    <w:rsid w:val="008346ED"/>
    <w:rsid w:val="00837208"/>
    <w:rsid w:val="00837B62"/>
    <w:rsid w:val="008412D8"/>
    <w:rsid w:val="00841379"/>
    <w:rsid w:val="00841915"/>
    <w:rsid w:val="00842517"/>
    <w:rsid w:val="00843965"/>
    <w:rsid w:val="0084435A"/>
    <w:rsid w:val="00845E81"/>
    <w:rsid w:val="00847C18"/>
    <w:rsid w:val="008527E8"/>
    <w:rsid w:val="00854009"/>
    <w:rsid w:val="00856293"/>
    <w:rsid w:val="00857D3A"/>
    <w:rsid w:val="00860FB4"/>
    <w:rsid w:val="00862813"/>
    <w:rsid w:val="00863050"/>
    <w:rsid w:val="00863554"/>
    <w:rsid w:val="008645C5"/>
    <w:rsid w:val="00865668"/>
    <w:rsid w:val="0087027C"/>
    <w:rsid w:val="00871438"/>
    <w:rsid w:val="00874775"/>
    <w:rsid w:val="008823BA"/>
    <w:rsid w:val="00883E4D"/>
    <w:rsid w:val="008859B9"/>
    <w:rsid w:val="00887B34"/>
    <w:rsid w:val="00890A12"/>
    <w:rsid w:val="00890EC5"/>
    <w:rsid w:val="00891585"/>
    <w:rsid w:val="008948B7"/>
    <w:rsid w:val="008949DA"/>
    <w:rsid w:val="008959C4"/>
    <w:rsid w:val="00895EA7"/>
    <w:rsid w:val="008A1489"/>
    <w:rsid w:val="008A2C55"/>
    <w:rsid w:val="008A3270"/>
    <w:rsid w:val="008A3EFD"/>
    <w:rsid w:val="008A7501"/>
    <w:rsid w:val="008B06CD"/>
    <w:rsid w:val="008B0B0D"/>
    <w:rsid w:val="008B1D24"/>
    <w:rsid w:val="008B3227"/>
    <w:rsid w:val="008B4150"/>
    <w:rsid w:val="008C0444"/>
    <w:rsid w:val="008C0747"/>
    <w:rsid w:val="008C211F"/>
    <w:rsid w:val="008C3AAD"/>
    <w:rsid w:val="008C5502"/>
    <w:rsid w:val="008D3748"/>
    <w:rsid w:val="008D4811"/>
    <w:rsid w:val="008D7893"/>
    <w:rsid w:val="008D79ED"/>
    <w:rsid w:val="008E0D6B"/>
    <w:rsid w:val="008E133D"/>
    <w:rsid w:val="008E3B76"/>
    <w:rsid w:val="008E3E44"/>
    <w:rsid w:val="008E51BD"/>
    <w:rsid w:val="008E52FC"/>
    <w:rsid w:val="008E609F"/>
    <w:rsid w:val="008E7236"/>
    <w:rsid w:val="008F1DBB"/>
    <w:rsid w:val="008F3464"/>
    <w:rsid w:val="008F5493"/>
    <w:rsid w:val="008F6D4B"/>
    <w:rsid w:val="008F79B9"/>
    <w:rsid w:val="00900EDE"/>
    <w:rsid w:val="009039AD"/>
    <w:rsid w:val="00904DD3"/>
    <w:rsid w:val="00904F65"/>
    <w:rsid w:val="0090622F"/>
    <w:rsid w:val="009067C4"/>
    <w:rsid w:val="00911A18"/>
    <w:rsid w:val="0091277A"/>
    <w:rsid w:val="0091446A"/>
    <w:rsid w:val="00914DD6"/>
    <w:rsid w:val="00915217"/>
    <w:rsid w:val="00916C54"/>
    <w:rsid w:val="00922221"/>
    <w:rsid w:val="00923305"/>
    <w:rsid w:val="0092522A"/>
    <w:rsid w:val="00927E1B"/>
    <w:rsid w:val="00932627"/>
    <w:rsid w:val="009333E5"/>
    <w:rsid w:val="00933637"/>
    <w:rsid w:val="009349CC"/>
    <w:rsid w:val="0093595E"/>
    <w:rsid w:val="009366AC"/>
    <w:rsid w:val="00937AD1"/>
    <w:rsid w:val="00940848"/>
    <w:rsid w:val="00940AC5"/>
    <w:rsid w:val="00941545"/>
    <w:rsid w:val="00941A9C"/>
    <w:rsid w:val="009424EA"/>
    <w:rsid w:val="00942C50"/>
    <w:rsid w:val="009454CF"/>
    <w:rsid w:val="00945802"/>
    <w:rsid w:val="00945E81"/>
    <w:rsid w:val="00946A30"/>
    <w:rsid w:val="00946F6D"/>
    <w:rsid w:val="00947A61"/>
    <w:rsid w:val="00950847"/>
    <w:rsid w:val="009550D5"/>
    <w:rsid w:val="00955ADE"/>
    <w:rsid w:val="009575F7"/>
    <w:rsid w:val="009610D3"/>
    <w:rsid w:val="00961358"/>
    <w:rsid w:val="00962E13"/>
    <w:rsid w:val="00967078"/>
    <w:rsid w:val="00967E2F"/>
    <w:rsid w:val="00971BFD"/>
    <w:rsid w:val="00973D9B"/>
    <w:rsid w:val="0097519A"/>
    <w:rsid w:val="009762F9"/>
    <w:rsid w:val="00976D3A"/>
    <w:rsid w:val="00977079"/>
    <w:rsid w:val="00981EF9"/>
    <w:rsid w:val="00982410"/>
    <w:rsid w:val="00982BE7"/>
    <w:rsid w:val="009849E9"/>
    <w:rsid w:val="009851D0"/>
    <w:rsid w:val="00986C31"/>
    <w:rsid w:val="00986FCB"/>
    <w:rsid w:val="00987619"/>
    <w:rsid w:val="0098781D"/>
    <w:rsid w:val="009905B0"/>
    <w:rsid w:val="00990602"/>
    <w:rsid w:val="009906F8"/>
    <w:rsid w:val="0099172C"/>
    <w:rsid w:val="00991DEE"/>
    <w:rsid w:val="00992289"/>
    <w:rsid w:val="0099308D"/>
    <w:rsid w:val="0099347B"/>
    <w:rsid w:val="00993C4A"/>
    <w:rsid w:val="00993CB1"/>
    <w:rsid w:val="009942EC"/>
    <w:rsid w:val="00994801"/>
    <w:rsid w:val="009A39D7"/>
    <w:rsid w:val="009A43C6"/>
    <w:rsid w:val="009A5CF5"/>
    <w:rsid w:val="009A79BD"/>
    <w:rsid w:val="009B0F31"/>
    <w:rsid w:val="009B0F34"/>
    <w:rsid w:val="009B2F6F"/>
    <w:rsid w:val="009B3571"/>
    <w:rsid w:val="009B4302"/>
    <w:rsid w:val="009B543E"/>
    <w:rsid w:val="009B69E6"/>
    <w:rsid w:val="009B7239"/>
    <w:rsid w:val="009C2105"/>
    <w:rsid w:val="009C5707"/>
    <w:rsid w:val="009C6CED"/>
    <w:rsid w:val="009C7130"/>
    <w:rsid w:val="009C7E1B"/>
    <w:rsid w:val="009D0122"/>
    <w:rsid w:val="009D181E"/>
    <w:rsid w:val="009D4A7C"/>
    <w:rsid w:val="009E0055"/>
    <w:rsid w:val="009E1245"/>
    <w:rsid w:val="009E1E56"/>
    <w:rsid w:val="009E5187"/>
    <w:rsid w:val="009E56A0"/>
    <w:rsid w:val="009E5CE6"/>
    <w:rsid w:val="009E663D"/>
    <w:rsid w:val="009E6F98"/>
    <w:rsid w:val="009F00ED"/>
    <w:rsid w:val="009F0E19"/>
    <w:rsid w:val="009F1509"/>
    <w:rsid w:val="009F58C9"/>
    <w:rsid w:val="009F77BF"/>
    <w:rsid w:val="00A00AE8"/>
    <w:rsid w:val="00A00E3F"/>
    <w:rsid w:val="00A013EC"/>
    <w:rsid w:val="00A02217"/>
    <w:rsid w:val="00A02B09"/>
    <w:rsid w:val="00A03455"/>
    <w:rsid w:val="00A0367A"/>
    <w:rsid w:val="00A04D17"/>
    <w:rsid w:val="00A05CFC"/>
    <w:rsid w:val="00A06025"/>
    <w:rsid w:val="00A070AF"/>
    <w:rsid w:val="00A103D5"/>
    <w:rsid w:val="00A116E1"/>
    <w:rsid w:val="00A1221D"/>
    <w:rsid w:val="00A12390"/>
    <w:rsid w:val="00A13C00"/>
    <w:rsid w:val="00A13F3A"/>
    <w:rsid w:val="00A14041"/>
    <w:rsid w:val="00A16FFC"/>
    <w:rsid w:val="00A17D94"/>
    <w:rsid w:val="00A205F7"/>
    <w:rsid w:val="00A210E8"/>
    <w:rsid w:val="00A25B57"/>
    <w:rsid w:val="00A26471"/>
    <w:rsid w:val="00A307FC"/>
    <w:rsid w:val="00A32794"/>
    <w:rsid w:val="00A32F07"/>
    <w:rsid w:val="00A347A6"/>
    <w:rsid w:val="00A35695"/>
    <w:rsid w:val="00A35F3F"/>
    <w:rsid w:val="00A409EB"/>
    <w:rsid w:val="00A40F63"/>
    <w:rsid w:val="00A411DD"/>
    <w:rsid w:val="00A41E05"/>
    <w:rsid w:val="00A43699"/>
    <w:rsid w:val="00A43BE9"/>
    <w:rsid w:val="00A4487C"/>
    <w:rsid w:val="00A51E78"/>
    <w:rsid w:val="00A52088"/>
    <w:rsid w:val="00A521A7"/>
    <w:rsid w:val="00A53093"/>
    <w:rsid w:val="00A55397"/>
    <w:rsid w:val="00A55C17"/>
    <w:rsid w:val="00A61BD0"/>
    <w:rsid w:val="00A67CB7"/>
    <w:rsid w:val="00A7021A"/>
    <w:rsid w:val="00A704E7"/>
    <w:rsid w:val="00A71CE8"/>
    <w:rsid w:val="00A75B05"/>
    <w:rsid w:val="00A81CB8"/>
    <w:rsid w:val="00A83E6C"/>
    <w:rsid w:val="00A84918"/>
    <w:rsid w:val="00A84ABE"/>
    <w:rsid w:val="00A85504"/>
    <w:rsid w:val="00A86A2B"/>
    <w:rsid w:val="00A879FA"/>
    <w:rsid w:val="00A93866"/>
    <w:rsid w:val="00A9386F"/>
    <w:rsid w:val="00A95817"/>
    <w:rsid w:val="00A9637E"/>
    <w:rsid w:val="00A9785C"/>
    <w:rsid w:val="00A97EE4"/>
    <w:rsid w:val="00AA0656"/>
    <w:rsid w:val="00AA0B60"/>
    <w:rsid w:val="00AA0E09"/>
    <w:rsid w:val="00AA0F25"/>
    <w:rsid w:val="00AA3716"/>
    <w:rsid w:val="00AA5F4F"/>
    <w:rsid w:val="00AA6B78"/>
    <w:rsid w:val="00AB10C0"/>
    <w:rsid w:val="00AB1DA6"/>
    <w:rsid w:val="00AB4445"/>
    <w:rsid w:val="00AB51F3"/>
    <w:rsid w:val="00AB55BF"/>
    <w:rsid w:val="00AB6BC9"/>
    <w:rsid w:val="00AC14A1"/>
    <w:rsid w:val="00AC15F8"/>
    <w:rsid w:val="00AC2B77"/>
    <w:rsid w:val="00AC2EB0"/>
    <w:rsid w:val="00AC39DC"/>
    <w:rsid w:val="00AC5EF1"/>
    <w:rsid w:val="00AC6B52"/>
    <w:rsid w:val="00AD125B"/>
    <w:rsid w:val="00AD2FE3"/>
    <w:rsid w:val="00AD353E"/>
    <w:rsid w:val="00AD4F48"/>
    <w:rsid w:val="00AD5ACD"/>
    <w:rsid w:val="00AD641C"/>
    <w:rsid w:val="00AD647C"/>
    <w:rsid w:val="00AD66CC"/>
    <w:rsid w:val="00AD7293"/>
    <w:rsid w:val="00AD748F"/>
    <w:rsid w:val="00AD7635"/>
    <w:rsid w:val="00AE0D96"/>
    <w:rsid w:val="00AE17F7"/>
    <w:rsid w:val="00AE634C"/>
    <w:rsid w:val="00AE6A83"/>
    <w:rsid w:val="00AE7898"/>
    <w:rsid w:val="00AF2C9C"/>
    <w:rsid w:val="00AF6E3C"/>
    <w:rsid w:val="00AF74BE"/>
    <w:rsid w:val="00B013CF"/>
    <w:rsid w:val="00B02E51"/>
    <w:rsid w:val="00B02F24"/>
    <w:rsid w:val="00B055E8"/>
    <w:rsid w:val="00B06397"/>
    <w:rsid w:val="00B06D49"/>
    <w:rsid w:val="00B07639"/>
    <w:rsid w:val="00B103E8"/>
    <w:rsid w:val="00B10B6A"/>
    <w:rsid w:val="00B115DA"/>
    <w:rsid w:val="00B12E04"/>
    <w:rsid w:val="00B14AE7"/>
    <w:rsid w:val="00B1658D"/>
    <w:rsid w:val="00B16A25"/>
    <w:rsid w:val="00B203D6"/>
    <w:rsid w:val="00B224A9"/>
    <w:rsid w:val="00B233D2"/>
    <w:rsid w:val="00B23996"/>
    <w:rsid w:val="00B24352"/>
    <w:rsid w:val="00B247B7"/>
    <w:rsid w:val="00B24961"/>
    <w:rsid w:val="00B26F03"/>
    <w:rsid w:val="00B27C73"/>
    <w:rsid w:val="00B33217"/>
    <w:rsid w:val="00B360B8"/>
    <w:rsid w:val="00B36B55"/>
    <w:rsid w:val="00B37030"/>
    <w:rsid w:val="00B37F2C"/>
    <w:rsid w:val="00B40C5E"/>
    <w:rsid w:val="00B412F8"/>
    <w:rsid w:val="00B41686"/>
    <w:rsid w:val="00B434A5"/>
    <w:rsid w:val="00B43B89"/>
    <w:rsid w:val="00B44411"/>
    <w:rsid w:val="00B45A53"/>
    <w:rsid w:val="00B46B2D"/>
    <w:rsid w:val="00B5311C"/>
    <w:rsid w:val="00B53BAC"/>
    <w:rsid w:val="00B53E48"/>
    <w:rsid w:val="00B54DD4"/>
    <w:rsid w:val="00B56406"/>
    <w:rsid w:val="00B56CF5"/>
    <w:rsid w:val="00B604BA"/>
    <w:rsid w:val="00B60EC3"/>
    <w:rsid w:val="00B620DB"/>
    <w:rsid w:val="00B63B2E"/>
    <w:rsid w:val="00B642BF"/>
    <w:rsid w:val="00B654BD"/>
    <w:rsid w:val="00B66319"/>
    <w:rsid w:val="00B6658B"/>
    <w:rsid w:val="00B66F4C"/>
    <w:rsid w:val="00B71CEB"/>
    <w:rsid w:val="00B74197"/>
    <w:rsid w:val="00B74F07"/>
    <w:rsid w:val="00B75E2E"/>
    <w:rsid w:val="00B7625C"/>
    <w:rsid w:val="00B766FF"/>
    <w:rsid w:val="00B77945"/>
    <w:rsid w:val="00B8053A"/>
    <w:rsid w:val="00B80DED"/>
    <w:rsid w:val="00B815D3"/>
    <w:rsid w:val="00B81FA9"/>
    <w:rsid w:val="00B827B8"/>
    <w:rsid w:val="00B850B8"/>
    <w:rsid w:val="00B854FA"/>
    <w:rsid w:val="00B864E7"/>
    <w:rsid w:val="00B867E0"/>
    <w:rsid w:val="00B910F4"/>
    <w:rsid w:val="00B9382F"/>
    <w:rsid w:val="00B938A0"/>
    <w:rsid w:val="00B97256"/>
    <w:rsid w:val="00BA0B3D"/>
    <w:rsid w:val="00BA2F60"/>
    <w:rsid w:val="00BA4A39"/>
    <w:rsid w:val="00BA52D7"/>
    <w:rsid w:val="00BA5B96"/>
    <w:rsid w:val="00BA6F8C"/>
    <w:rsid w:val="00BA731F"/>
    <w:rsid w:val="00BB0534"/>
    <w:rsid w:val="00BB2E09"/>
    <w:rsid w:val="00BC2F03"/>
    <w:rsid w:val="00BC3499"/>
    <w:rsid w:val="00BC3C5B"/>
    <w:rsid w:val="00BC6FEE"/>
    <w:rsid w:val="00BD0CB4"/>
    <w:rsid w:val="00BD2D5C"/>
    <w:rsid w:val="00BD5F91"/>
    <w:rsid w:val="00BD67D7"/>
    <w:rsid w:val="00BD687C"/>
    <w:rsid w:val="00BD7D44"/>
    <w:rsid w:val="00BE146E"/>
    <w:rsid w:val="00BE1E2D"/>
    <w:rsid w:val="00BE2312"/>
    <w:rsid w:val="00BE4CD0"/>
    <w:rsid w:val="00BE7755"/>
    <w:rsid w:val="00BE7BE1"/>
    <w:rsid w:val="00BF0486"/>
    <w:rsid w:val="00BF0F31"/>
    <w:rsid w:val="00BF1C3D"/>
    <w:rsid w:val="00BF20A4"/>
    <w:rsid w:val="00BF3489"/>
    <w:rsid w:val="00BF4900"/>
    <w:rsid w:val="00BF6463"/>
    <w:rsid w:val="00BF6D18"/>
    <w:rsid w:val="00BF7840"/>
    <w:rsid w:val="00C01D58"/>
    <w:rsid w:val="00C02EE8"/>
    <w:rsid w:val="00C0626C"/>
    <w:rsid w:val="00C07190"/>
    <w:rsid w:val="00C13039"/>
    <w:rsid w:val="00C147C1"/>
    <w:rsid w:val="00C16E7B"/>
    <w:rsid w:val="00C20822"/>
    <w:rsid w:val="00C20C53"/>
    <w:rsid w:val="00C21D09"/>
    <w:rsid w:val="00C22EB3"/>
    <w:rsid w:val="00C2305B"/>
    <w:rsid w:val="00C30774"/>
    <w:rsid w:val="00C31CA9"/>
    <w:rsid w:val="00C32F3F"/>
    <w:rsid w:val="00C35056"/>
    <w:rsid w:val="00C35A6F"/>
    <w:rsid w:val="00C37305"/>
    <w:rsid w:val="00C37AE4"/>
    <w:rsid w:val="00C37B5D"/>
    <w:rsid w:val="00C403E8"/>
    <w:rsid w:val="00C429D5"/>
    <w:rsid w:val="00C433A9"/>
    <w:rsid w:val="00C44098"/>
    <w:rsid w:val="00C44678"/>
    <w:rsid w:val="00C447F2"/>
    <w:rsid w:val="00C46E15"/>
    <w:rsid w:val="00C500C2"/>
    <w:rsid w:val="00C5081D"/>
    <w:rsid w:val="00C51051"/>
    <w:rsid w:val="00C51957"/>
    <w:rsid w:val="00C52D65"/>
    <w:rsid w:val="00C5314C"/>
    <w:rsid w:val="00C531A9"/>
    <w:rsid w:val="00C538ED"/>
    <w:rsid w:val="00C53A9F"/>
    <w:rsid w:val="00C56C51"/>
    <w:rsid w:val="00C571C5"/>
    <w:rsid w:val="00C57327"/>
    <w:rsid w:val="00C57856"/>
    <w:rsid w:val="00C61B0A"/>
    <w:rsid w:val="00C61D11"/>
    <w:rsid w:val="00C61E89"/>
    <w:rsid w:val="00C62723"/>
    <w:rsid w:val="00C6340A"/>
    <w:rsid w:val="00C6501A"/>
    <w:rsid w:val="00C65AD4"/>
    <w:rsid w:val="00C673E2"/>
    <w:rsid w:val="00C7030E"/>
    <w:rsid w:val="00C726A6"/>
    <w:rsid w:val="00C726E3"/>
    <w:rsid w:val="00C73625"/>
    <w:rsid w:val="00C73A61"/>
    <w:rsid w:val="00C73D04"/>
    <w:rsid w:val="00C7414A"/>
    <w:rsid w:val="00C77810"/>
    <w:rsid w:val="00C83126"/>
    <w:rsid w:val="00C87A58"/>
    <w:rsid w:val="00C913E1"/>
    <w:rsid w:val="00C92720"/>
    <w:rsid w:val="00C928F6"/>
    <w:rsid w:val="00C93D69"/>
    <w:rsid w:val="00C958C1"/>
    <w:rsid w:val="00C95FB2"/>
    <w:rsid w:val="00C96D38"/>
    <w:rsid w:val="00CA28DC"/>
    <w:rsid w:val="00CA52AA"/>
    <w:rsid w:val="00CB0270"/>
    <w:rsid w:val="00CB0A3B"/>
    <w:rsid w:val="00CB2B47"/>
    <w:rsid w:val="00CB4855"/>
    <w:rsid w:val="00CB5A1D"/>
    <w:rsid w:val="00CC0BA8"/>
    <w:rsid w:val="00CC1724"/>
    <w:rsid w:val="00CC237C"/>
    <w:rsid w:val="00CC2542"/>
    <w:rsid w:val="00CC3006"/>
    <w:rsid w:val="00CC3B6E"/>
    <w:rsid w:val="00CC5479"/>
    <w:rsid w:val="00CC732E"/>
    <w:rsid w:val="00CD4019"/>
    <w:rsid w:val="00CD6CC1"/>
    <w:rsid w:val="00CD7A5D"/>
    <w:rsid w:val="00CE13BA"/>
    <w:rsid w:val="00CE1B69"/>
    <w:rsid w:val="00CE3CAA"/>
    <w:rsid w:val="00CE4783"/>
    <w:rsid w:val="00CE4EAD"/>
    <w:rsid w:val="00CE5266"/>
    <w:rsid w:val="00CE6649"/>
    <w:rsid w:val="00CE672E"/>
    <w:rsid w:val="00CE6B3E"/>
    <w:rsid w:val="00CF0B0B"/>
    <w:rsid w:val="00CF15FA"/>
    <w:rsid w:val="00CF2A59"/>
    <w:rsid w:val="00CF516E"/>
    <w:rsid w:val="00CF7E24"/>
    <w:rsid w:val="00D01241"/>
    <w:rsid w:val="00D06981"/>
    <w:rsid w:val="00D06B2C"/>
    <w:rsid w:val="00D102B3"/>
    <w:rsid w:val="00D1361C"/>
    <w:rsid w:val="00D14106"/>
    <w:rsid w:val="00D16E70"/>
    <w:rsid w:val="00D17C15"/>
    <w:rsid w:val="00D21F49"/>
    <w:rsid w:val="00D2262F"/>
    <w:rsid w:val="00D22C1A"/>
    <w:rsid w:val="00D23786"/>
    <w:rsid w:val="00D23F71"/>
    <w:rsid w:val="00D246AA"/>
    <w:rsid w:val="00D2586A"/>
    <w:rsid w:val="00D26BC4"/>
    <w:rsid w:val="00D270C8"/>
    <w:rsid w:val="00D3015F"/>
    <w:rsid w:val="00D33EB8"/>
    <w:rsid w:val="00D34C4D"/>
    <w:rsid w:val="00D36567"/>
    <w:rsid w:val="00D454B7"/>
    <w:rsid w:val="00D50276"/>
    <w:rsid w:val="00D50C64"/>
    <w:rsid w:val="00D5163C"/>
    <w:rsid w:val="00D52330"/>
    <w:rsid w:val="00D53646"/>
    <w:rsid w:val="00D54144"/>
    <w:rsid w:val="00D56422"/>
    <w:rsid w:val="00D60A54"/>
    <w:rsid w:val="00D60A56"/>
    <w:rsid w:val="00D6114B"/>
    <w:rsid w:val="00D61C3C"/>
    <w:rsid w:val="00D61C5C"/>
    <w:rsid w:val="00D648E1"/>
    <w:rsid w:val="00D67A1B"/>
    <w:rsid w:val="00D703C2"/>
    <w:rsid w:val="00D71244"/>
    <w:rsid w:val="00D72B5E"/>
    <w:rsid w:val="00D77C69"/>
    <w:rsid w:val="00D808AB"/>
    <w:rsid w:val="00D812F6"/>
    <w:rsid w:val="00D824DF"/>
    <w:rsid w:val="00D841C1"/>
    <w:rsid w:val="00D850E4"/>
    <w:rsid w:val="00D908D6"/>
    <w:rsid w:val="00D935AB"/>
    <w:rsid w:val="00D94FB8"/>
    <w:rsid w:val="00D952ED"/>
    <w:rsid w:val="00D95F3A"/>
    <w:rsid w:val="00DA0212"/>
    <w:rsid w:val="00DA1399"/>
    <w:rsid w:val="00DA2D88"/>
    <w:rsid w:val="00DA44FB"/>
    <w:rsid w:val="00DA50D0"/>
    <w:rsid w:val="00DA52D1"/>
    <w:rsid w:val="00DA67F3"/>
    <w:rsid w:val="00DA7152"/>
    <w:rsid w:val="00DA75F5"/>
    <w:rsid w:val="00DA7CD9"/>
    <w:rsid w:val="00DB222E"/>
    <w:rsid w:val="00DB2B5B"/>
    <w:rsid w:val="00DB2F88"/>
    <w:rsid w:val="00DB52CF"/>
    <w:rsid w:val="00DB5401"/>
    <w:rsid w:val="00DB7017"/>
    <w:rsid w:val="00DB7E8D"/>
    <w:rsid w:val="00DC086F"/>
    <w:rsid w:val="00DC0EDA"/>
    <w:rsid w:val="00DC1851"/>
    <w:rsid w:val="00DC2AE4"/>
    <w:rsid w:val="00DC2B40"/>
    <w:rsid w:val="00DC3546"/>
    <w:rsid w:val="00DC3A87"/>
    <w:rsid w:val="00DC3CC4"/>
    <w:rsid w:val="00DC5A77"/>
    <w:rsid w:val="00DC6B7B"/>
    <w:rsid w:val="00DC75B7"/>
    <w:rsid w:val="00DD206D"/>
    <w:rsid w:val="00DD35DC"/>
    <w:rsid w:val="00DE0AF1"/>
    <w:rsid w:val="00DE23D1"/>
    <w:rsid w:val="00DE23FD"/>
    <w:rsid w:val="00DE288D"/>
    <w:rsid w:val="00DE2F5B"/>
    <w:rsid w:val="00DE3964"/>
    <w:rsid w:val="00DE5FE4"/>
    <w:rsid w:val="00DE600E"/>
    <w:rsid w:val="00DE674E"/>
    <w:rsid w:val="00DF0B53"/>
    <w:rsid w:val="00DF29B4"/>
    <w:rsid w:val="00DF29C4"/>
    <w:rsid w:val="00DF4B8F"/>
    <w:rsid w:val="00DF60A9"/>
    <w:rsid w:val="00E01215"/>
    <w:rsid w:val="00E0565F"/>
    <w:rsid w:val="00E06589"/>
    <w:rsid w:val="00E06C6B"/>
    <w:rsid w:val="00E07507"/>
    <w:rsid w:val="00E07840"/>
    <w:rsid w:val="00E11915"/>
    <w:rsid w:val="00E12471"/>
    <w:rsid w:val="00E141AC"/>
    <w:rsid w:val="00E208A2"/>
    <w:rsid w:val="00E213EC"/>
    <w:rsid w:val="00E24C93"/>
    <w:rsid w:val="00E25B0A"/>
    <w:rsid w:val="00E25C49"/>
    <w:rsid w:val="00E26A8E"/>
    <w:rsid w:val="00E2705C"/>
    <w:rsid w:val="00E2748D"/>
    <w:rsid w:val="00E27867"/>
    <w:rsid w:val="00E27CE0"/>
    <w:rsid w:val="00E31423"/>
    <w:rsid w:val="00E32537"/>
    <w:rsid w:val="00E32574"/>
    <w:rsid w:val="00E32EEA"/>
    <w:rsid w:val="00E35CEE"/>
    <w:rsid w:val="00E36160"/>
    <w:rsid w:val="00E40D57"/>
    <w:rsid w:val="00E41C31"/>
    <w:rsid w:val="00E43244"/>
    <w:rsid w:val="00E4397D"/>
    <w:rsid w:val="00E50C87"/>
    <w:rsid w:val="00E525CB"/>
    <w:rsid w:val="00E530A8"/>
    <w:rsid w:val="00E53D8C"/>
    <w:rsid w:val="00E544B0"/>
    <w:rsid w:val="00E552BA"/>
    <w:rsid w:val="00E553B1"/>
    <w:rsid w:val="00E6213C"/>
    <w:rsid w:val="00E62163"/>
    <w:rsid w:val="00E63CC8"/>
    <w:rsid w:val="00E64578"/>
    <w:rsid w:val="00E65293"/>
    <w:rsid w:val="00E654BE"/>
    <w:rsid w:val="00E655B1"/>
    <w:rsid w:val="00E66B20"/>
    <w:rsid w:val="00E72300"/>
    <w:rsid w:val="00E72325"/>
    <w:rsid w:val="00E72DD6"/>
    <w:rsid w:val="00E740E3"/>
    <w:rsid w:val="00E80382"/>
    <w:rsid w:val="00E82EE5"/>
    <w:rsid w:val="00E8344E"/>
    <w:rsid w:val="00E836B0"/>
    <w:rsid w:val="00E83770"/>
    <w:rsid w:val="00E844C4"/>
    <w:rsid w:val="00E85712"/>
    <w:rsid w:val="00E86E61"/>
    <w:rsid w:val="00E872C5"/>
    <w:rsid w:val="00E91562"/>
    <w:rsid w:val="00E92B73"/>
    <w:rsid w:val="00E93B8F"/>
    <w:rsid w:val="00E93C2E"/>
    <w:rsid w:val="00E93FA8"/>
    <w:rsid w:val="00E94607"/>
    <w:rsid w:val="00E962FD"/>
    <w:rsid w:val="00E966DC"/>
    <w:rsid w:val="00EA01A3"/>
    <w:rsid w:val="00EA1C08"/>
    <w:rsid w:val="00EA2C21"/>
    <w:rsid w:val="00EA3CE1"/>
    <w:rsid w:val="00EA3EC3"/>
    <w:rsid w:val="00EB0EB9"/>
    <w:rsid w:val="00EB2F95"/>
    <w:rsid w:val="00EB3F5B"/>
    <w:rsid w:val="00EB4162"/>
    <w:rsid w:val="00EB5248"/>
    <w:rsid w:val="00EB7210"/>
    <w:rsid w:val="00EB751C"/>
    <w:rsid w:val="00EC03BD"/>
    <w:rsid w:val="00EC0F9B"/>
    <w:rsid w:val="00EC313D"/>
    <w:rsid w:val="00EC6340"/>
    <w:rsid w:val="00ED035E"/>
    <w:rsid w:val="00ED374C"/>
    <w:rsid w:val="00ED5851"/>
    <w:rsid w:val="00ED6715"/>
    <w:rsid w:val="00ED673E"/>
    <w:rsid w:val="00EE17DF"/>
    <w:rsid w:val="00EE24E6"/>
    <w:rsid w:val="00EE4CB2"/>
    <w:rsid w:val="00EE5737"/>
    <w:rsid w:val="00EE77C3"/>
    <w:rsid w:val="00EF0013"/>
    <w:rsid w:val="00EF002D"/>
    <w:rsid w:val="00EF14AC"/>
    <w:rsid w:val="00EF524B"/>
    <w:rsid w:val="00F00076"/>
    <w:rsid w:val="00F0262E"/>
    <w:rsid w:val="00F035D6"/>
    <w:rsid w:val="00F07D1E"/>
    <w:rsid w:val="00F07E78"/>
    <w:rsid w:val="00F1299C"/>
    <w:rsid w:val="00F13CF5"/>
    <w:rsid w:val="00F1766B"/>
    <w:rsid w:val="00F17CF1"/>
    <w:rsid w:val="00F209C1"/>
    <w:rsid w:val="00F211D8"/>
    <w:rsid w:val="00F2516A"/>
    <w:rsid w:val="00F27449"/>
    <w:rsid w:val="00F30D05"/>
    <w:rsid w:val="00F319B1"/>
    <w:rsid w:val="00F31EB2"/>
    <w:rsid w:val="00F341EF"/>
    <w:rsid w:val="00F3507D"/>
    <w:rsid w:val="00F35366"/>
    <w:rsid w:val="00F359EE"/>
    <w:rsid w:val="00F35BAA"/>
    <w:rsid w:val="00F3624B"/>
    <w:rsid w:val="00F36541"/>
    <w:rsid w:val="00F377ED"/>
    <w:rsid w:val="00F40125"/>
    <w:rsid w:val="00F417CC"/>
    <w:rsid w:val="00F41818"/>
    <w:rsid w:val="00F43B3F"/>
    <w:rsid w:val="00F44C9E"/>
    <w:rsid w:val="00F46A40"/>
    <w:rsid w:val="00F46F85"/>
    <w:rsid w:val="00F47994"/>
    <w:rsid w:val="00F50501"/>
    <w:rsid w:val="00F50F43"/>
    <w:rsid w:val="00F51D84"/>
    <w:rsid w:val="00F52E88"/>
    <w:rsid w:val="00F54637"/>
    <w:rsid w:val="00F55AB3"/>
    <w:rsid w:val="00F6007E"/>
    <w:rsid w:val="00F60A52"/>
    <w:rsid w:val="00F61EB6"/>
    <w:rsid w:val="00F622E9"/>
    <w:rsid w:val="00F6496A"/>
    <w:rsid w:val="00F65011"/>
    <w:rsid w:val="00F65403"/>
    <w:rsid w:val="00F709A0"/>
    <w:rsid w:val="00F72899"/>
    <w:rsid w:val="00F74CAD"/>
    <w:rsid w:val="00F7643A"/>
    <w:rsid w:val="00F76A03"/>
    <w:rsid w:val="00F801F9"/>
    <w:rsid w:val="00F80818"/>
    <w:rsid w:val="00F80E45"/>
    <w:rsid w:val="00F82B4C"/>
    <w:rsid w:val="00F83400"/>
    <w:rsid w:val="00F84B09"/>
    <w:rsid w:val="00F87C6F"/>
    <w:rsid w:val="00F91995"/>
    <w:rsid w:val="00F92C97"/>
    <w:rsid w:val="00F93F8E"/>
    <w:rsid w:val="00F943BB"/>
    <w:rsid w:val="00FA000B"/>
    <w:rsid w:val="00FA0951"/>
    <w:rsid w:val="00FA2F5B"/>
    <w:rsid w:val="00FA341F"/>
    <w:rsid w:val="00FA6988"/>
    <w:rsid w:val="00FB004B"/>
    <w:rsid w:val="00FB0767"/>
    <w:rsid w:val="00FB084E"/>
    <w:rsid w:val="00FB2664"/>
    <w:rsid w:val="00FB2D8F"/>
    <w:rsid w:val="00FB358B"/>
    <w:rsid w:val="00FB434C"/>
    <w:rsid w:val="00FB4B3F"/>
    <w:rsid w:val="00FB5426"/>
    <w:rsid w:val="00FB69CB"/>
    <w:rsid w:val="00FB6E26"/>
    <w:rsid w:val="00FC3543"/>
    <w:rsid w:val="00FC3A66"/>
    <w:rsid w:val="00FC3ED2"/>
    <w:rsid w:val="00FC4E89"/>
    <w:rsid w:val="00FC5061"/>
    <w:rsid w:val="00FC5906"/>
    <w:rsid w:val="00FC7B41"/>
    <w:rsid w:val="00FD2C34"/>
    <w:rsid w:val="00FD3546"/>
    <w:rsid w:val="00FD41F2"/>
    <w:rsid w:val="00FD66A8"/>
    <w:rsid w:val="00FE1C38"/>
    <w:rsid w:val="00FE5F20"/>
    <w:rsid w:val="00FE7F8B"/>
    <w:rsid w:val="00FF005D"/>
    <w:rsid w:val="00FF077B"/>
    <w:rsid w:val="00FF0920"/>
    <w:rsid w:val="00FF1EF8"/>
    <w:rsid w:val="00FF2BFD"/>
    <w:rsid w:val="00FF5DE4"/>
    <w:rsid w:val="00FF753C"/>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F4D6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125"/>
    <w:pPr>
      <w:spacing w:after="120" w:line="280" w:lineRule="exact"/>
    </w:pPr>
    <w:rPr>
      <w:rFonts w:eastAsia="Times New Roman" w:cs="Times New Roman"/>
      <w:sz w:val="22"/>
    </w:rPr>
  </w:style>
  <w:style w:type="paragraph" w:styleId="Heading1">
    <w:name w:val="heading 1"/>
    <w:next w:val="Normal"/>
    <w:link w:val="Heading1Char"/>
    <w:uiPriority w:val="9"/>
    <w:unhideWhenUsed/>
    <w:qFormat/>
    <w:rsid w:val="00610EDC"/>
    <w:pPr>
      <w:keepNext/>
      <w:keepLines/>
      <w:spacing w:before="240" w:after="600" w:line="480" w:lineRule="exact"/>
      <w:outlineLvl w:val="0"/>
    </w:pPr>
    <w:rPr>
      <w:rFonts w:ascii="Calibri" w:eastAsia="Bahnschrift" w:hAnsi="Calibri" w:cs="Bahnschrift"/>
      <w:b/>
      <w:color w:val="000000" w:themeColor="text1"/>
      <w:sz w:val="48"/>
      <w:szCs w:val="22"/>
      <w:lang w:val="en-AU" w:eastAsia="en-AU"/>
    </w:rPr>
  </w:style>
  <w:style w:type="paragraph" w:styleId="Heading2">
    <w:name w:val="heading 2"/>
    <w:basedOn w:val="Normal"/>
    <w:next w:val="Normal"/>
    <w:link w:val="Heading2Char"/>
    <w:uiPriority w:val="9"/>
    <w:unhideWhenUsed/>
    <w:qFormat/>
    <w:rsid w:val="00842517"/>
    <w:pPr>
      <w:keepNext/>
      <w:keepLines/>
      <w:spacing w:before="480" w:after="240" w:line="320" w:lineRule="exact"/>
      <w:outlineLvl w:val="1"/>
    </w:pPr>
    <w:rPr>
      <w:rFonts w:ascii="Calibri" w:eastAsiaTheme="majorEastAsia" w:hAnsi="Calibri" w:cstheme="majorBidi"/>
      <w:b/>
      <w:color w:val="000000" w:themeColor="text1"/>
      <w:sz w:val="28"/>
      <w:szCs w:val="26"/>
    </w:rPr>
  </w:style>
  <w:style w:type="paragraph" w:styleId="Heading3">
    <w:name w:val="heading 3"/>
    <w:basedOn w:val="Normal"/>
    <w:next w:val="Normal"/>
    <w:link w:val="Heading3Char"/>
    <w:uiPriority w:val="9"/>
    <w:unhideWhenUsed/>
    <w:qFormat/>
    <w:rsid w:val="00354CE0"/>
    <w:pPr>
      <w:keepNext/>
      <w:keepLines/>
      <w:spacing w:before="40" w:after="0"/>
      <w:outlineLvl w:val="2"/>
    </w:pPr>
    <w:rPr>
      <w:rFonts w:eastAsiaTheme="majorEastAsia" w:cstheme="majorBidi"/>
      <w:b/>
      <w:color w:val="000000" w:themeColor="text1"/>
      <w:sz w:val="24"/>
    </w:rPr>
  </w:style>
  <w:style w:type="paragraph" w:styleId="Heading4">
    <w:name w:val="heading 4"/>
    <w:basedOn w:val="Normal"/>
    <w:next w:val="Normal"/>
    <w:link w:val="Heading4Char"/>
    <w:uiPriority w:val="9"/>
    <w:unhideWhenUsed/>
    <w:qFormat/>
    <w:rsid w:val="00354C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Dot pt,F5 List Paragraph,List Paragraph1,No Spacing1,List Paragraph Char Char Char,Indicator Text,Colorful List - Accent 11,Numbered Para 1,Bullet 1,Bullet Points,MAIN CONTENT,Párrafo de lista,List Paragraph2,Normal numbered,L,列出段"/>
    <w:basedOn w:val="Normal"/>
    <w:link w:val="ListParagraphChar"/>
    <w:uiPriority w:val="34"/>
    <w:qFormat/>
    <w:rsid w:val="0028171E"/>
    <w:pPr>
      <w:ind w:left="720"/>
      <w:contextualSpacing/>
    </w:pPr>
  </w:style>
  <w:style w:type="character" w:styleId="CommentReference">
    <w:name w:val="annotation reference"/>
    <w:basedOn w:val="DefaultParagraphFont"/>
    <w:uiPriority w:val="99"/>
    <w:semiHidden/>
    <w:unhideWhenUsed/>
    <w:rsid w:val="00DD35DC"/>
    <w:rPr>
      <w:sz w:val="16"/>
      <w:szCs w:val="16"/>
    </w:rPr>
  </w:style>
  <w:style w:type="paragraph" w:styleId="CommentText">
    <w:name w:val="annotation text"/>
    <w:basedOn w:val="Normal"/>
    <w:link w:val="CommentTextChar"/>
    <w:uiPriority w:val="99"/>
    <w:unhideWhenUsed/>
    <w:rsid w:val="00DD35DC"/>
    <w:rPr>
      <w:sz w:val="20"/>
      <w:szCs w:val="20"/>
    </w:rPr>
  </w:style>
  <w:style w:type="character" w:customStyle="1" w:styleId="CommentTextChar">
    <w:name w:val="Comment Text Char"/>
    <w:basedOn w:val="DefaultParagraphFont"/>
    <w:link w:val="CommentText"/>
    <w:uiPriority w:val="99"/>
    <w:rsid w:val="00DD35DC"/>
    <w:rPr>
      <w:sz w:val="20"/>
      <w:szCs w:val="20"/>
    </w:rPr>
  </w:style>
  <w:style w:type="paragraph" w:styleId="CommentSubject">
    <w:name w:val="annotation subject"/>
    <w:basedOn w:val="CommentText"/>
    <w:next w:val="CommentText"/>
    <w:link w:val="CommentSubjectChar"/>
    <w:uiPriority w:val="99"/>
    <w:semiHidden/>
    <w:unhideWhenUsed/>
    <w:rsid w:val="00DD35DC"/>
    <w:rPr>
      <w:b/>
      <w:bCs/>
    </w:rPr>
  </w:style>
  <w:style w:type="character" w:customStyle="1" w:styleId="CommentSubjectChar">
    <w:name w:val="Comment Subject Char"/>
    <w:basedOn w:val="CommentTextChar"/>
    <w:link w:val="CommentSubject"/>
    <w:uiPriority w:val="99"/>
    <w:semiHidden/>
    <w:rsid w:val="00DD35DC"/>
    <w:rPr>
      <w:b/>
      <w:bCs/>
      <w:sz w:val="20"/>
      <w:szCs w:val="20"/>
    </w:rPr>
  </w:style>
  <w:style w:type="paragraph" w:styleId="BalloonText">
    <w:name w:val="Balloon Text"/>
    <w:basedOn w:val="Normal"/>
    <w:link w:val="BalloonTextChar"/>
    <w:uiPriority w:val="99"/>
    <w:semiHidden/>
    <w:unhideWhenUsed/>
    <w:rsid w:val="00DD35DC"/>
    <w:rPr>
      <w:sz w:val="18"/>
      <w:szCs w:val="18"/>
    </w:rPr>
  </w:style>
  <w:style w:type="character" w:customStyle="1" w:styleId="BalloonTextChar">
    <w:name w:val="Balloon Text Char"/>
    <w:basedOn w:val="DefaultParagraphFont"/>
    <w:link w:val="BalloonText"/>
    <w:uiPriority w:val="99"/>
    <w:semiHidden/>
    <w:rsid w:val="00DD35DC"/>
    <w:rPr>
      <w:rFonts w:ascii="Times New Roman" w:hAnsi="Times New Roman" w:cs="Times New Roman"/>
      <w:sz w:val="18"/>
      <w:szCs w:val="18"/>
    </w:rPr>
  </w:style>
  <w:style w:type="character" w:styleId="Hyperlink">
    <w:name w:val="Hyperlink"/>
    <w:basedOn w:val="DefaultParagraphFont"/>
    <w:uiPriority w:val="99"/>
    <w:unhideWhenUsed/>
    <w:rsid w:val="00A81CB8"/>
    <w:rPr>
      <w:color w:val="0563C1" w:themeColor="hyperlink"/>
      <w:u w:val="single"/>
    </w:rPr>
  </w:style>
  <w:style w:type="character" w:customStyle="1" w:styleId="UnresolvedMention1">
    <w:name w:val="Unresolved Mention1"/>
    <w:basedOn w:val="DefaultParagraphFont"/>
    <w:uiPriority w:val="99"/>
    <w:semiHidden/>
    <w:unhideWhenUsed/>
    <w:rsid w:val="00A81CB8"/>
    <w:rPr>
      <w:color w:val="605E5C"/>
      <w:shd w:val="clear" w:color="auto" w:fill="E1DFDD"/>
    </w:rPr>
  </w:style>
  <w:style w:type="table" w:styleId="TableGrid">
    <w:name w:val="Table Grid"/>
    <w:basedOn w:val="TableNormal"/>
    <w:uiPriority w:val="39"/>
    <w:rsid w:val="00A81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315C"/>
    <w:rPr>
      <w:color w:val="954F72" w:themeColor="followedHyperlink"/>
      <w:u w:val="single"/>
    </w:rPr>
  </w:style>
  <w:style w:type="character" w:customStyle="1" w:styleId="normaltextrun">
    <w:name w:val="normaltextrun"/>
    <w:basedOn w:val="DefaultParagraphFont"/>
    <w:rsid w:val="009A43C6"/>
  </w:style>
  <w:style w:type="character" w:customStyle="1" w:styleId="eop">
    <w:name w:val="eop"/>
    <w:basedOn w:val="DefaultParagraphFont"/>
    <w:rsid w:val="009A43C6"/>
  </w:style>
  <w:style w:type="character" w:customStyle="1" w:styleId="UnresolvedMention2">
    <w:name w:val="Unresolved Mention2"/>
    <w:basedOn w:val="DefaultParagraphFont"/>
    <w:uiPriority w:val="99"/>
    <w:semiHidden/>
    <w:unhideWhenUsed/>
    <w:rsid w:val="00AC2B77"/>
    <w:rPr>
      <w:color w:val="605E5C"/>
      <w:shd w:val="clear" w:color="auto" w:fill="E1DFDD"/>
    </w:rPr>
  </w:style>
  <w:style w:type="paragraph" w:customStyle="1" w:styleId="paragraph">
    <w:name w:val="paragraph"/>
    <w:basedOn w:val="Normal"/>
    <w:rsid w:val="00027964"/>
    <w:pPr>
      <w:spacing w:before="100" w:beforeAutospacing="1" w:after="100" w:afterAutospacing="1"/>
    </w:pPr>
  </w:style>
  <w:style w:type="paragraph" w:styleId="FootnoteText">
    <w:name w:val="footnote text"/>
    <w:basedOn w:val="Normal"/>
    <w:link w:val="FootnoteTextChar"/>
    <w:uiPriority w:val="99"/>
    <w:unhideWhenUsed/>
    <w:rsid w:val="00A9785C"/>
    <w:pPr>
      <w:ind w:left="284" w:hanging="426"/>
    </w:pPr>
    <w:rPr>
      <w:sz w:val="20"/>
      <w:szCs w:val="20"/>
    </w:rPr>
  </w:style>
  <w:style w:type="character" w:customStyle="1" w:styleId="FootnoteTextChar">
    <w:name w:val="Footnote Text Char"/>
    <w:basedOn w:val="DefaultParagraphFont"/>
    <w:link w:val="FootnoteText"/>
    <w:uiPriority w:val="99"/>
    <w:rsid w:val="00A9785C"/>
    <w:rPr>
      <w:rFonts w:ascii="Arial" w:eastAsia="Times New Roman" w:hAnsi="Arial" w:cs="Times New Roman"/>
      <w:sz w:val="20"/>
      <w:szCs w:val="20"/>
    </w:rPr>
  </w:style>
  <w:style w:type="character" w:styleId="FootnoteReference">
    <w:name w:val="footnote reference"/>
    <w:basedOn w:val="DefaultParagraphFont"/>
    <w:uiPriority w:val="99"/>
    <w:unhideWhenUsed/>
    <w:rsid w:val="003268A5"/>
    <w:rPr>
      <w:vertAlign w:val="superscript"/>
    </w:rPr>
  </w:style>
  <w:style w:type="character" w:customStyle="1" w:styleId="ListParagraphChar">
    <w:name w:val="List Paragraph Char"/>
    <w:aliases w:val="Bullets Char,Dot pt Char,F5 List Paragraph Char,List Paragraph1 Char,No Spacing1 Char,List Paragraph Char Char Char Char,Indicator Text Char,Colorful List - Accent 11 Char,Numbered Para 1 Char,Bullet 1 Char,Bullet Points Char,L Char"/>
    <w:link w:val="ListParagraph"/>
    <w:uiPriority w:val="34"/>
    <w:qFormat/>
    <w:rsid w:val="00B27C73"/>
    <w:rPr>
      <w:rFonts w:ascii="Times New Roman" w:eastAsia="Times New Roman" w:hAnsi="Times New Roman" w:cs="Times New Roman"/>
    </w:rPr>
  </w:style>
  <w:style w:type="character" w:customStyle="1" w:styleId="UnresolvedMention3">
    <w:name w:val="Unresolved Mention3"/>
    <w:basedOn w:val="DefaultParagraphFont"/>
    <w:uiPriority w:val="99"/>
    <w:semiHidden/>
    <w:unhideWhenUsed/>
    <w:rsid w:val="000C7D9B"/>
    <w:rPr>
      <w:color w:val="605E5C"/>
      <w:shd w:val="clear" w:color="auto" w:fill="E1DFDD"/>
    </w:rPr>
  </w:style>
  <w:style w:type="paragraph" w:customStyle="1" w:styleId="Default">
    <w:name w:val="Default"/>
    <w:rsid w:val="00016F6F"/>
    <w:pPr>
      <w:autoSpaceDE w:val="0"/>
      <w:autoSpaceDN w:val="0"/>
      <w:adjustRightInd w:val="0"/>
    </w:pPr>
    <w:rPr>
      <w:rFonts w:ascii="Calibri" w:hAnsi="Calibri" w:cs="Calibri"/>
      <w:color w:val="000000"/>
      <w:lang w:val="en-US"/>
    </w:rPr>
  </w:style>
  <w:style w:type="paragraph" w:styleId="Footer">
    <w:name w:val="footer"/>
    <w:basedOn w:val="Normal"/>
    <w:link w:val="FooterChar"/>
    <w:uiPriority w:val="99"/>
    <w:unhideWhenUsed/>
    <w:rsid w:val="00940AC5"/>
    <w:pPr>
      <w:tabs>
        <w:tab w:val="center" w:pos="4680"/>
        <w:tab w:val="right" w:pos="9360"/>
      </w:tabs>
    </w:pPr>
  </w:style>
  <w:style w:type="character" w:customStyle="1" w:styleId="FooterChar">
    <w:name w:val="Footer Char"/>
    <w:basedOn w:val="DefaultParagraphFont"/>
    <w:link w:val="Footer"/>
    <w:uiPriority w:val="99"/>
    <w:rsid w:val="00940AC5"/>
    <w:rPr>
      <w:rFonts w:ascii="Times New Roman" w:eastAsia="Times New Roman" w:hAnsi="Times New Roman" w:cs="Times New Roman"/>
    </w:rPr>
  </w:style>
  <w:style w:type="character" w:styleId="PageNumber">
    <w:name w:val="page number"/>
    <w:basedOn w:val="DefaultParagraphFont"/>
    <w:uiPriority w:val="99"/>
    <w:semiHidden/>
    <w:unhideWhenUsed/>
    <w:rsid w:val="00940AC5"/>
  </w:style>
  <w:style w:type="paragraph" w:styleId="Header">
    <w:name w:val="header"/>
    <w:basedOn w:val="Normal"/>
    <w:link w:val="HeaderChar"/>
    <w:uiPriority w:val="99"/>
    <w:unhideWhenUsed/>
    <w:rsid w:val="00940AC5"/>
    <w:pPr>
      <w:tabs>
        <w:tab w:val="center" w:pos="4680"/>
        <w:tab w:val="right" w:pos="9360"/>
      </w:tabs>
    </w:pPr>
  </w:style>
  <w:style w:type="character" w:customStyle="1" w:styleId="HeaderChar">
    <w:name w:val="Header Char"/>
    <w:basedOn w:val="DefaultParagraphFont"/>
    <w:link w:val="Header"/>
    <w:uiPriority w:val="99"/>
    <w:rsid w:val="00940AC5"/>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3C488F"/>
    <w:rPr>
      <w:sz w:val="20"/>
      <w:szCs w:val="20"/>
    </w:rPr>
  </w:style>
  <w:style w:type="character" w:customStyle="1" w:styleId="EndnoteTextChar">
    <w:name w:val="Endnote Text Char"/>
    <w:basedOn w:val="DefaultParagraphFont"/>
    <w:link w:val="EndnoteText"/>
    <w:uiPriority w:val="99"/>
    <w:semiHidden/>
    <w:rsid w:val="003C488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C488F"/>
    <w:rPr>
      <w:vertAlign w:val="superscript"/>
    </w:rPr>
  </w:style>
  <w:style w:type="table" w:styleId="GridTable1Light-Accent2">
    <w:name w:val="Grid Table 1 Light Accent 2"/>
    <w:basedOn w:val="TableNormal"/>
    <w:uiPriority w:val="46"/>
    <w:rsid w:val="00516DE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516DE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3">
    <w:name w:val="Grid Table 5 Dark Accent 3"/>
    <w:basedOn w:val="TableNormal"/>
    <w:uiPriority w:val="50"/>
    <w:rsid w:val="00C208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Table3-Accent2">
    <w:name w:val="List Table 3 Accent 2"/>
    <w:basedOn w:val="TableNormal"/>
    <w:uiPriority w:val="48"/>
    <w:rsid w:val="00C20822"/>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TableGrid0">
    <w:name w:val="TableGrid"/>
    <w:rsid w:val="003D276C"/>
    <w:rPr>
      <w:rFonts w:eastAsiaTheme="minorEastAsia"/>
      <w:sz w:val="22"/>
      <w:szCs w:val="22"/>
      <w:lang w:val="en-AU" w:eastAsia="en-AU"/>
    </w:rPr>
    <w:tblPr>
      <w:tblCellMar>
        <w:top w:w="0" w:type="dxa"/>
        <w:left w:w="0" w:type="dxa"/>
        <w:bottom w:w="0" w:type="dxa"/>
        <w:right w:w="0" w:type="dxa"/>
      </w:tblCellMar>
    </w:tblPr>
  </w:style>
  <w:style w:type="paragraph" w:styleId="Revision">
    <w:name w:val="Revision"/>
    <w:hidden/>
    <w:uiPriority w:val="99"/>
    <w:semiHidden/>
    <w:rsid w:val="00887B34"/>
    <w:rPr>
      <w:rFonts w:ascii="Times New Roman" w:eastAsia="Times New Roman" w:hAnsi="Times New Roman" w:cs="Times New Roman"/>
    </w:rPr>
  </w:style>
  <w:style w:type="character" w:customStyle="1" w:styleId="UnresolvedMention4">
    <w:name w:val="Unresolved Mention4"/>
    <w:basedOn w:val="DefaultParagraphFont"/>
    <w:uiPriority w:val="99"/>
    <w:semiHidden/>
    <w:unhideWhenUsed/>
    <w:rsid w:val="00184602"/>
    <w:rPr>
      <w:color w:val="605E5C"/>
      <w:shd w:val="clear" w:color="auto" w:fill="E1DFDD"/>
    </w:rPr>
  </w:style>
  <w:style w:type="character" w:customStyle="1" w:styleId="Heading1Char">
    <w:name w:val="Heading 1 Char"/>
    <w:basedOn w:val="DefaultParagraphFont"/>
    <w:link w:val="Heading1"/>
    <w:uiPriority w:val="9"/>
    <w:rsid w:val="00610EDC"/>
    <w:rPr>
      <w:rFonts w:ascii="Calibri" w:eastAsia="Bahnschrift" w:hAnsi="Calibri" w:cs="Bahnschrift"/>
      <w:b/>
      <w:color w:val="000000" w:themeColor="text1"/>
      <w:sz w:val="48"/>
      <w:szCs w:val="22"/>
      <w:lang w:val="en-AU" w:eastAsia="en-AU"/>
    </w:rPr>
  </w:style>
  <w:style w:type="paragraph" w:styleId="Title">
    <w:name w:val="Title"/>
    <w:basedOn w:val="Normal"/>
    <w:link w:val="TitleChar"/>
    <w:uiPriority w:val="10"/>
    <w:qFormat/>
    <w:rsid w:val="003C6FC2"/>
    <w:pPr>
      <w:widowControl w:val="0"/>
      <w:autoSpaceDE w:val="0"/>
      <w:autoSpaceDN w:val="0"/>
      <w:spacing w:before="1"/>
      <w:ind w:left="117" w:right="304"/>
    </w:pPr>
    <w:rPr>
      <w:rFonts w:ascii="Dosis-SemiBold" w:eastAsia="Dosis-SemiBold" w:hAnsi="Dosis-SemiBold" w:cs="Dosis-SemiBold"/>
      <w:b/>
      <w:bCs/>
      <w:sz w:val="52"/>
      <w:szCs w:val="52"/>
      <w:lang w:val="en-US"/>
    </w:rPr>
  </w:style>
  <w:style w:type="character" w:customStyle="1" w:styleId="TitleChar">
    <w:name w:val="Title Char"/>
    <w:basedOn w:val="DefaultParagraphFont"/>
    <w:link w:val="Title"/>
    <w:uiPriority w:val="10"/>
    <w:rsid w:val="003C6FC2"/>
    <w:rPr>
      <w:rFonts w:ascii="Dosis-SemiBold" w:eastAsia="Dosis-SemiBold" w:hAnsi="Dosis-SemiBold" w:cs="Dosis-SemiBold"/>
      <w:b/>
      <w:bCs/>
      <w:sz w:val="52"/>
      <w:szCs w:val="52"/>
      <w:lang w:val="en-US"/>
    </w:rPr>
  </w:style>
  <w:style w:type="character" w:customStyle="1" w:styleId="Heading2Char">
    <w:name w:val="Heading 2 Char"/>
    <w:basedOn w:val="DefaultParagraphFont"/>
    <w:link w:val="Heading2"/>
    <w:uiPriority w:val="9"/>
    <w:rsid w:val="00842517"/>
    <w:rPr>
      <w:rFonts w:ascii="Calibri" w:eastAsiaTheme="majorEastAsia" w:hAnsi="Calibri" w:cstheme="majorBidi"/>
      <w:b/>
      <w:color w:val="000000" w:themeColor="text1"/>
      <w:sz w:val="28"/>
      <w:szCs w:val="26"/>
    </w:rPr>
  </w:style>
  <w:style w:type="paragraph" w:styleId="BodyText">
    <w:name w:val="Body Text"/>
    <w:basedOn w:val="Normal"/>
    <w:link w:val="BodyTextChar"/>
    <w:uiPriority w:val="99"/>
    <w:unhideWhenUsed/>
    <w:rsid w:val="007B2ED8"/>
  </w:style>
  <w:style w:type="character" w:customStyle="1" w:styleId="BodyTextChar">
    <w:name w:val="Body Text Char"/>
    <w:basedOn w:val="DefaultParagraphFont"/>
    <w:link w:val="BodyText"/>
    <w:uiPriority w:val="99"/>
    <w:rsid w:val="007B2ED8"/>
    <w:rPr>
      <w:rFonts w:ascii="Arial" w:eastAsia="Times New Roman" w:hAnsi="Arial" w:cs="Times New Roman"/>
    </w:rPr>
  </w:style>
  <w:style w:type="paragraph" w:styleId="ListNumber">
    <w:name w:val="List Number"/>
    <w:basedOn w:val="Normal"/>
    <w:uiPriority w:val="99"/>
    <w:unhideWhenUsed/>
    <w:rsid w:val="003E00C0"/>
    <w:pPr>
      <w:numPr>
        <w:numId w:val="30"/>
      </w:numPr>
    </w:pPr>
  </w:style>
  <w:style w:type="paragraph" w:styleId="ListBullet">
    <w:name w:val="List Bullet"/>
    <w:basedOn w:val="Normal"/>
    <w:uiPriority w:val="99"/>
    <w:unhideWhenUsed/>
    <w:rsid w:val="00843965"/>
    <w:pPr>
      <w:numPr>
        <w:numId w:val="31"/>
      </w:numPr>
      <w:spacing w:after="160"/>
    </w:pPr>
  </w:style>
  <w:style w:type="paragraph" w:styleId="ListBullet2">
    <w:name w:val="List Bullet 2"/>
    <w:basedOn w:val="Normal"/>
    <w:uiPriority w:val="99"/>
    <w:unhideWhenUsed/>
    <w:rsid w:val="00842517"/>
    <w:pPr>
      <w:numPr>
        <w:numId w:val="41"/>
      </w:numPr>
      <w:spacing w:after="60"/>
      <w:ind w:left="743" w:hanging="357"/>
    </w:pPr>
    <w:rPr>
      <w:szCs w:val="22"/>
    </w:rPr>
  </w:style>
  <w:style w:type="paragraph" w:styleId="ListBullet3">
    <w:name w:val="List Bullet 3"/>
    <w:basedOn w:val="Normal"/>
    <w:uiPriority w:val="99"/>
    <w:unhideWhenUsed/>
    <w:rsid w:val="006236C4"/>
    <w:pPr>
      <w:numPr>
        <w:numId w:val="38"/>
      </w:numPr>
      <w:contextualSpacing/>
    </w:pPr>
  </w:style>
  <w:style w:type="paragraph" w:styleId="ListBullet4">
    <w:name w:val="List Bullet 4"/>
    <w:basedOn w:val="Normal"/>
    <w:uiPriority w:val="99"/>
    <w:unhideWhenUsed/>
    <w:rsid w:val="006236C4"/>
    <w:pPr>
      <w:numPr>
        <w:numId w:val="37"/>
      </w:numPr>
      <w:contextualSpacing/>
    </w:pPr>
  </w:style>
  <w:style w:type="table" w:styleId="TableGridLight">
    <w:name w:val="Grid Table Light"/>
    <w:basedOn w:val="TableNormal"/>
    <w:uiPriority w:val="40"/>
    <w:rsid w:val="00AD5A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D5A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354CE0"/>
    <w:rPr>
      <w:rFonts w:asciiTheme="majorHAnsi" w:eastAsiaTheme="majorEastAsia" w:hAnsiTheme="majorHAnsi" w:cstheme="majorBidi"/>
      <w:i/>
      <w:iCs/>
      <w:color w:val="2F5496" w:themeColor="accent1" w:themeShade="BF"/>
      <w:sz w:val="22"/>
    </w:rPr>
  </w:style>
  <w:style w:type="character" w:customStyle="1" w:styleId="Heading3Char">
    <w:name w:val="Heading 3 Char"/>
    <w:basedOn w:val="DefaultParagraphFont"/>
    <w:link w:val="Heading3"/>
    <w:uiPriority w:val="9"/>
    <w:rsid w:val="00354CE0"/>
    <w:rPr>
      <w:rFonts w:eastAsiaTheme="majorEastAsia" w:cstheme="majorBidi"/>
      <w:b/>
      <w:color w:val="000000" w:themeColor="text1"/>
    </w:rPr>
  </w:style>
  <w:style w:type="paragraph" w:customStyle="1" w:styleId="Listbulletblue">
    <w:name w:val="List bullet: blue"/>
    <w:basedOn w:val="ListBullet"/>
    <w:qFormat/>
    <w:rsid w:val="005D6102"/>
    <w:rPr>
      <w:color w:val="4472C4" w:themeColor="accent1"/>
    </w:rPr>
  </w:style>
  <w:style w:type="paragraph" w:styleId="TOC1">
    <w:name w:val="toc 1"/>
    <w:basedOn w:val="Normal"/>
    <w:next w:val="Normal"/>
    <w:autoRedefine/>
    <w:uiPriority w:val="39"/>
    <w:unhideWhenUsed/>
    <w:rsid w:val="007A3839"/>
    <w:pPr>
      <w:tabs>
        <w:tab w:val="right" w:leader="dot" w:pos="9010"/>
      </w:tabs>
      <w:spacing w:after="100"/>
    </w:pPr>
    <w:rPr>
      <w:b/>
      <w:bCs/>
      <w:noProof/>
    </w:rPr>
  </w:style>
  <w:style w:type="paragraph" w:styleId="TOC2">
    <w:name w:val="toc 2"/>
    <w:basedOn w:val="Normal"/>
    <w:next w:val="Normal"/>
    <w:autoRedefine/>
    <w:uiPriority w:val="39"/>
    <w:unhideWhenUsed/>
    <w:rsid w:val="007A3839"/>
    <w:pPr>
      <w:spacing w:after="100"/>
      <w:ind w:left="220"/>
    </w:pPr>
  </w:style>
  <w:style w:type="character" w:customStyle="1" w:styleId="apple-converted-space">
    <w:name w:val="apple-converted-space"/>
    <w:basedOn w:val="DefaultParagraphFont"/>
    <w:rsid w:val="004D33EC"/>
  </w:style>
  <w:style w:type="character" w:customStyle="1" w:styleId="UnresolvedMention">
    <w:name w:val="Unresolved Mention"/>
    <w:basedOn w:val="DefaultParagraphFont"/>
    <w:uiPriority w:val="99"/>
    <w:semiHidden/>
    <w:unhideWhenUsed/>
    <w:rsid w:val="004D3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7642">
      <w:bodyDiv w:val="1"/>
      <w:marLeft w:val="0"/>
      <w:marRight w:val="0"/>
      <w:marTop w:val="0"/>
      <w:marBottom w:val="0"/>
      <w:divBdr>
        <w:top w:val="none" w:sz="0" w:space="0" w:color="auto"/>
        <w:left w:val="none" w:sz="0" w:space="0" w:color="auto"/>
        <w:bottom w:val="none" w:sz="0" w:space="0" w:color="auto"/>
        <w:right w:val="none" w:sz="0" w:space="0" w:color="auto"/>
      </w:divBdr>
    </w:div>
    <w:div w:id="329796394">
      <w:bodyDiv w:val="1"/>
      <w:marLeft w:val="0"/>
      <w:marRight w:val="0"/>
      <w:marTop w:val="0"/>
      <w:marBottom w:val="0"/>
      <w:divBdr>
        <w:top w:val="none" w:sz="0" w:space="0" w:color="auto"/>
        <w:left w:val="none" w:sz="0" w:space="0" w:color="auto"/>
        <w:bottom w:val="none" w:sz="0" w:space="0" w:color="auto"/>
        <w:right w:val="none" w:sz="0" w:space="0" w:color="auto"/>
      </w:divBdr>
    </w:div>
    <w:div w:id="356932449">
      <w:bodyDiv w:val="1"/>
      <w:marLeft w:val="0"/>
      <w:marRight w:val="0"/>
      <w:marTop w:val="0"/>
      <w:marBottom w:val="0"/>
      <w:divBdr>
        <w:top w:val="none" w:sz="0" w:space="0" w:color="auto"/>
        <w:left w:val="none" w:sz="0" w:space="0" w:color="auto"/>
        <w:bottom w:val="none" w:sz="0" w:space="0" w:color="auto"/>
        <w:right w:val="none" w:sz="0" w:space="0" w:color="auto"/>
      </w:divBdr>
    </w:div>
    <w:div w:id="519706895">
      <w:bodyDiv w:val="1"/>
      <w:marLeft w:val="0"/>
      <w:marRight w:val="0"/>
      <w:marTop w:val="0"/>
      <w:marBottom w:val="0"/>
      <w:divBdr>
        <w:top w:val="none" w:sz="0" w:space="0" w:color="auto"/>
        <w:left w:val="none" w:sz="0" w:space="0" w:color="auto"/>
        <w:bottom w:val="none" w:sz="0" w:space="0" w:color="auto"/>
        <w:right w:val="none" w:sz="0" w:space="0" w:color="auto"/>
      </w:divBdr>
    </w:div>
    <w:div w:id="598101616">
      <w:bodyDiv w:val="1"/>
      <w:marLeft w:val="0"/>
      <w:marRight w:val="0"/>
      <w:marTop w:val="0"/>
      <w:marBottom w:val="0"/>
      <w:divBdr>
        <w:top w:val="none" w:sz="0" w:space="0" w:color="auto"/>
        <w:left w:val="none" w:sz="0" w:space="0" w:color="auto"/>
        <w:bottom w:val="none" w:sz="0" w:space="0" w:color="auto"/>
        <w:right w:val="none" w:sz="0" w:space="0" w:color="auto"/>
      </w:divBdr>
    </w:div>
    <w:div w:id="642780938">
      <w:bodyDiv w:val="1"/>
      <w:marLeft w:val="0"/>
      <w:marRight w:val="0"/>
      <w:marTop w:val="0"/>
      <w:marBottom w:val="0"/>
      <w:divBdr>
        <w:top w:val="none" w:sz="0" w:space="0" w:color="auto"/>
        <w:left w:val="none" w:sz="0" w:space="0" w:color="auto"/>
        <w:bottom w:val="none" w:sz="0" w:space="0" w:color="auto"/>
        <w:right w:val="none" w:sz="0" w:space="0" w:color="auto"/>
      </w:divBdr>
    </w:div>
    <w:div w:id="690765582">
      <w:bodyDiv w:val="1"/>
      <w:marLeft w:val="0"/>
      <w:marRight w:val="0"/>
      <w:marTop w:val="0"/>
      <w:marBottom w:val="0"/>
      <w:divBdr>
        <w:top w:val="none" w:sz="0" w:space="0" w:color="auto"/>
        <w:left w:val="none" w:sz="0" w:space="0" w:color="auto"/>
        <w:bottom w:val="none" w:sz="0" w:space="0" w:color="auto"/>
        <w:right w:val="none" w:sz="0" w:space="0" w:color="auto"/>
      </w:divBdr>
    </w:div>
    <w:div w:id="832794840">
      <w:bodyDiv w:val="1"/>
      <w:marLeft w:val="0"/>
      <w:marRight w:val="0"/>
      <w:marTop w:val="0"/>
      <w:marBottom w:val="0"/>
      <w:divBdr>
        <w:top w:val="none" w:sz="0" w:space="0" w:color="auto"/>
        <w:left w:val="none" w:sz="0" w:space="0" w:color="auto"/>
        <w:bottom w:val="none" w:sz="0" w:space="0" w:color="auto"/>
        <w:right w:val="none" w:sz="0" w:space="0" w:color="auto"/>
      </w:divBdr>
    </w:div>
    <w:div w:id="866722013">
      <w:bodyDiv w:val="1"/>
      <w:marLeft w:val="0"/>
      <w:marRight w:val="0"/>
      <w:marTop w:val="0"/>
      <w:marBottom w:val="0"/>
      <w:divBdr>
        <w:top w:val="none" w:sz="0" w:space="0" w:color="auto"/>
        <w:left w:val="none" w:sz="0" w:space="0" w:color="auto"/>
        <w:bottom w:val="none" w:sz="0" w:space="0" w:color="auto"/>
        <w:right w:val="none" w:sz="0" w:space="0" w:color="auto"/>
      </w:divBdr>
    </w:div>
    <w:div w:id="929192361">
      <w:bodyDiv w:val="1"/>
      <w:marLeft w:val="0"/>
      <w:marRight w:val="0"/>
      <w:marTop w:val="0"/>
      <w:marBottom w:val="0"/>
      <w:divBdr>
        <w:top w:val="none" w:sz="0" w:space="0" w:color="auto"/>
        <w:left w:val="none" w:sz="0" w:space="0" w:color="auto"/>
        <w:bottom w:val="none" w:sz="0" w:space="0" w:color="auto"/>
        <w:right w:val="none" w:sz="0" w:space="0" w:color="auto"/>
      </w:divBdr>
    </w:div>
    <w:div w:id="977763381">
      <w:bodyDiv w:val="1"/>
      <w:marLeft w:val="0"/>
      <w:marRight w:val="0"/>
      <w:marTop w:val="0"/>
      <w:marBottom w:val="0"/>
      <w:divBdr>
        <w:top w:val="none" w:sz="0" w:space="0" w:color="auto"/>
        <w:left w:val="none" w:sz="0" w:space="0" w:color="auto"/>
        <w:bottom w:val="none" w:sz="0" w:space="0" w:color="auto"/>
        <w:right w:val="none" w:sz="0" w:space="0" w:color="auto"/>
      </w:divBdr>
    </w:div>
    <w:div w:id="1102142934">
      <w:bodyDiv w:val="1"/>
      <w:marLeft w:val="0"/>
      <w:marRight w:val="0"/>
      <w:marTop w:val="0"/>
      <w:marBottom w:val="0"/>
      <w:divBdr>
        <w:top w:val="none" w:sz="0" w:space="0" w:color="auto"/>
        <w:left w:val="none" w:sz="0" w:space="0" w:color="auto"/>
        <w:bottom w:val="none" w:sz="0" w:space="0" w:color="auto"/>
        <w:right w:val="none" w:sz="0" w:space="0" w:color="auto"/>
      </w:divBdr>
    </w:div>
    <w:div w:id="1282345504">
      <w:bodyDiv w:val="1"/>
      <w:marLeft w:val="0"/>
      <w:marRight w:val="0"/>
      <w:marTop w:val="0"/>
      <w:marBottom w:val="0"/>
      <w:divBdr>
        <w:top w:val="none" w:sz="0" w:space="0" w:color="auto"/>
        <w:left w:val="none" w:sz="0" w:space="0" w:color="auto"/>
        <w:bottom w:val="none" w:sz="0" w:space="0" w:color="auto"/>
        <w:right w:val="none" w:sz="0" w:space="0" w:color="auto"/>
      </w:divBdr>
    </w:div>
    <w:div w:id="1501577588">
      <w:bodyDiv w:val="1"/>
      <w:marLeft w:val="0"/>
      <w:marRight w:val="0"/>
      <w:marTop w:val="0"/>
      <w:marBottom w:val="0"/>
      <w:divBdr>
        <w:top w:val="none" w:sz="0" w:space="0" w:color="auto"/>
        <w:left w:val="none" w:sz="0" w:space="0" w:color="auto"/>
        <w:bottom w:val="none" w:sz="0" w:space="0" w:color="auto"/>
        <w:right w:val="none" w:sz="0" w:space="0" w:color="auto"/>
      </w:divBdr>
    </w:div>
    <w:div w:id="1609578400">
      <w:bodyDiv w:val="1"/>
      <w:marLeft w:val="0"/>
      <w:marRight w:val="0"/>
      <w:marTop w:val="0"/>
      <w:marBottom w:val="0"/>
      <w:divBdr>
        <w:top w:val="none" w:sz="0" w:space="0" w:color="auto"/>
        <w:left w:val="none" w:sz="0" w:space="0" w:color="auto"/>
        <w:bottom w:val="none" w:sz="0" w:space="0" w:color="auto"/>
        <w:right w:val="none" w:sz="0" w:space="0" w:color="auto"/>
      </w:divBdr>
    </w:div>
    <w:div w:id="1671253151">
      <w:bodyDiv w:val="1"/>
      <w:marLeft w:val="0"/>
      <w:marRight w:val="0"/>
      <w:marTop w:val="0"/>
      <w:marBottom w:val="0"/>
      <w:divBdr>
        <w:top w:val="none" w:sz="0" w:space="0" w:color="auto"/>
        <w:left w:val="none" w:sz="0" w:space="0" w:color="auto"/>
        <w:bottom w:val="none" w:sz="0" w:space="0" w:color="auto"/>
        <w:right w:val="none" w:sz="0" w:space="0" w:color="auto"/>
      </w:divBdr>
    </w:div>
    <w:div w:id="1831749521">
      <w:bodyDiv w:val="1"/>
      <w:marLeft w:val="0"/>
      <w:marRight w:val="0"/>
      <w:marTop w:val="0"/>
      <w:marBottom w:val="0"/>
      <w:divBdr>
        <w:top w:val="none" w:sz="0" w:space="0" w:color="auto"/>
        <w:left w:val="none" w:sz="0" w:space="0" w:color="auto"/>
        <w:bottom w:val="none" w:sz="0" w:space="0" w:color="auto"/>
        <w:right w:val="none" w:sz="0" w:space="0" w:color="auto"/>
      </w:divBdr>
    </w:div>
    <w:div w:id="2025090563">
      <w:bodyDiv w:val="1"/>
      <w:marLeft w:val="0"/>
      <w:marRight w:val="0"/>
      <w:marTop w:val="0"/>
      <w:marBottom w:val="0"/>
      <w:divBdr>
        <w:top w:val="none" w:sz="0" w:space="0" w:color="auto"/>
        <w:left w:val="none" w:sz="0" w:space="0" w:color="auto"/>
        <w:bottom w:val="none" w:sz="0" w:space="0" w:color="auto"/>
        <w:right w:val="none" w:sz="0" w:space="0" w:color="auto"/>
      </w:divBdr>
    </w:div>
    <w:div w:id="2092848540">
      <w:bodyDiv w:val="1"/>
      <w:marLeft w:val="0"/>
      <w:marRight w:val="0"/>
      <w:marTop w:val="0"/>
      <w:marBottom w:val="0"/>
      <w:divBdr>
        <w:top w:val="none" w:sz="0" w:space="0" w:color="auto"/>
        <w:left w:val="none" w:sz="0" w:space="0" w:color="auto"/>
        <w:bottom w:val="none" w:sz="0" w:space="0" w:color="auto"/>
        <w:right w:val="none" w:sz="0" w:space="0" w:color="auto"/>
      </w:divBdr>
    </w:div>
    <w:div w:id="212942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TITAN.SATIN.LO\CHCH\Desktop\tconnoll\Desktop\SP\GESI%20Checklist\Final%20versions\&#8226;%09http:\dfatintranet.titan.satin.lo\managing-aid\covid\Pages\risks-safeguarding.aspx" TargetMode="External"/><Relationship Id="rId18" Type="http://schemas.openxmlformats.org/officeDocument/2006/relationships/hyperlink" Target="https://data.unwomen.org/resources/covid-19-emerging-gender-data-and-why-it-matters" TargetMode="External"/><Relationship Id="rId26" Type="http://schemas.openxmlformats.org/officeDocument/2006/relationships/hyperlink" Target="https://www.wiego.org/sites/default/files/resources/file/Impact_on_livelihoods_COVID-19_final_EN.pdf" TargetMode="External"/><Relationship Id="rId39" Type="http://schemas.openxmlformats.org/officeDocument/2006/relationships/hyperlink" Target="http://mics.unicef.org/" TargetMode="External"/><Relationship Id="rId21" Type="http://schemas.openxmlformats.org/officeDocument/2006/relationships/hyperlink" Target="file:///C:/Users/rebeccaholmes/Dropbox/Work%20Backup/2020%20SPACE%20covid-19%20response/Framing%20documents/o%09https:/www.theatlantic.com/international/archive/2020/03/feminism-womens-rights-coronavirus-covid19/608302" TargetMode="External"/><Relationship Id="rId34" Type="http://schemas.openxmlformats.org/officeDocument/2006/relationships/hyperlink" Target="https://en.unesco.org/news/covid-19-school-closures-around-world-will-hit-girls-hardest" TargetMode="External"/><Relationship Id="rId42" Type="http://schemas.openxmlformats.org/officeDocument/2006/relationships/hyperlink" Target="file:///C:\Users\tconnoll\AppData\Local\Microsoft\Windows\INetCache\Content.Outlook\9CPQ4L3V\-%09https:\www.gsma.com\mobilefordevelopment\wp-content\uploads\2019\02\GSMA-The-Mobile-Gender-Gap-Report-2019.pdf" TargetMode="External"/><Relationship Id="rId47" Type="http://schemas.openxmlformats.org/officeDocument/2006/relationships/hyperlink" Target="https://socialprotection.org/node/33315/publications?page=1" TargetMode="External"/><Relationship Id="rId50" Type="http://schemas.openxmlformats.org/officeDocument/2006/relationships/hyperlink" Target="https://blogs.lse.ac.uk/impactofsocialsciences/2020/04/20/carrying-out-qualitative-research-under-lockdown-practical-and-ethical-considerations/" TargetMode="External"/><Relationship Id="rId55" Type="http://schemas.openxmlformats.org/officeDocument/2006/relationships/header" Target="header3.xml"/><Relationship Id="rId63" Type="http://schemas.openxmlformats.org/officeDocument/2006/relationships/hyperlink" Target="http://documents.worldbank.org/curated/en/618731587147227244/pdf/Gender-Dimensions-of-the-COVID-19-Pandemic.pdf" TargetMode="External"/><Relationship Id="rId68" Type="http://schemas.openxmlformats.org/officeDocument/2006/relationships/hyperlink" Target="https://openknowledge.worldbank.org/bitstream/handle/10986/33622/Gender-Dimensions-of-the-COVID-19-Pandemic.pdf?sequence=1&amp;isAllowed=y" TargetMode="External"/><Relationship Id="rId76" Type="http://schemas.openxmlformats.org/officeDocument/2006/relationships/hyperlink" Target="https://includeplatform.net/news/how-covid-19-affects-inequality-in-africa/?utm_source=Newsletter+INCLUDE%3A+Knowledge+Platform+on+Inclusive+Development+Policies&amp;utm_campaign=d63c353620-EMAIL_CAMPAIGN_2020_04_01_07_42&amp;utm_medium=email&amp;utm_term=0_fe2205aa6a-d63c353620-276753753" TargetMode="External"/><Relationship Id="rId84" Type="http://schemas.openxmlformats.org/officeDocument/2006/relationships/hyperlink" Target="http://www.odi.org/sites/odi.org.uk/%20files/odi-assets/publications-opinion-files/6262.pdf" TargetMode="External"/><Relationship Id="rId89" Type="http://schemas.openxmlformats.org/officeDocument/2006/relationships/hyperlink" Target="https://socialprotection.org/discover/publications/cash-transfers-and-intimate-partner-violence" TargetMode="External"/><Relationship Id="rId7" Type="http://schemas.openxmlformats.org/officeDocument/2006/relationships/endnotes" Target="endnotes.xml"/><Relationship Id="rId71" Type="http://schemas.openxmlformats.org/officeDocument/2006/relationships/hyperlink" Target="https://interagencystandingcommittee.org/iasc-reference-group-gender-and-humanitarian-action/iasc-gender-handbook-humanitarian-action-2017" TargetMode="External"/><Relationship Id="rId2" Type="http://schemas.openxmlformats.org/officeDocument/2006/relationships/numbering" Target="numbering.xml"/><Relationship Id="rId16" Type="http://schemas.openxmlformats.org/officeDocument/2006/relationships/hyperlink" Target="file:///\\TITAN.SATIN.LO\CHCH\Desktop\tconnoll\Desktop\SP\GESI%20Checklist\Final%20versions\&#8226;%09http:\dfatintranet.titan.satin.lo\managing-aid\covid\Pages\risks-safeguarding.aspx" TargetMode="External"/><Relationship Id="rId29" Type="http://schemas.openxmlformats.org/officeDocument/2006/relationships/hyperlink" Target="https://blogs.unicef.org/evidence-for-action/caring-in-the-time-of-covid-19-gender-unpaid-care-work-and-social-protection/" TargetMode="External"/><Relationship Id="rId11" Type="http://schemas.openxmlformats.org/officeDocument/2006/relationships/hyperlink" Target="https://www.dfat.gov.au/about-us/publications/Pages/gender-equality-and-womens-empowerment-strategy" TargetMode="External"/><Relationship Id="rId24" Type="http://schemas.openxmlformats.org/officeDocument/2006/relationships/hyperlink" Target="http://www.sddirect.org.uk/media/1910/covid-19-and-disability-impact-blog.pdf" TargetMode="External"/><Relationship Id="rId32" Type="http://schemas.openxmlformats.org/officeDocument/2006/relationships/hyperlink" Target="https://www.developmentpathways.co.uk/blog/covid-19s-total-burden-of-disease-extends-beyond-those-who-get-sick-and-this-has-potentially-deadly-consequences-for-women-and-girls/" TargetMode="External"/><Relationship Id="rId37" Type="http://schemas.openxmlformats.org/officeDocument/2006/relationships/hyperlink" Target="https://www.dfat.gov.au/sites/default/files/strategy-for-australias-investments-in-social-protection.pdf" TargetMode="External"/><Relationship Id="rId40" Type="http://schemas.openxmlformats.org/officeDocument/2006/relationships/hyperlink" Target="https://evaw-global-database.unwomen.org/en" TargetMode="External"/><Relationship Id="rId45" Type="http://schemas.openxmlformats.org/officeDocument/2006/relationships/hyperlink" Target="http://www.fao.org/3/CA2035EN/ca2035en.pdf" TargetMode="External"/><Relationship Id="rId53" Type="http://schemas.openxmlformats.org/officeDocument/2006/relationships/footer" Target="footer1.xml"/><Relationship Id="rId58" Type="http://schemas.openxmlformats.org/officeDocument/2006/relationships/hyperlink" Target="https://socialprotection.org/node/33315/publications?page=1" TargetMode="External"/><Relationship Id="rId66" Type="http://schemas.openxmlformats.org/officeDocument/2006/relationships/hyperlink" Target="https://docs.google.com/document/d/1_QfLS6Z90w_1rPM-jdeKC_lQXTcwA8Z4kF8Z5CerZrk/edit" TargetMode="External"/><Relationship Id="rId74" Type="http://schemas.openxmlformats.org/officeDocument/2006/relationships/hyperlink" Target="https://www.who.int/who-documents-detail/disability-considerations-during-the-covid-19-outbreak" TargetMode="External"/><Relationship Id="rId79" Type="http://schemas.openxmlformats.org/officeDocument/2006/relationships/hyperlink" Target="http://ebrary.ifpri.org/cdm/ref/collection/p15738coll2/id/133701" TargetMode="External"/><Relationship Id="rId87" Type="http://schemas.openxmlformats.org/officeDocument/2006/relationships/hyperlink" Target="https://www.unicef-irc.org/publications/938-a-mixed-method-review-of-cash-transfers-and-intimate-partner-violence-in-low-and.html" TargetMode="External"/><Relationship Id="rId5" Type="http://schemas.openxmlformats.org/officeDocument/2006/relationships/webSettings" Target="webSettings.xml"/><Relationship Id="rId61" Type="http://schemas.openxmlformats.org/officeDocument/2006/relationships/hyperlink" Target="https://www.unicef.org/media/68631/file/Gender-responsive-social-protection-during-covid-19-ENG.pdf" TargetMode="External"/><Relationship Id="rId82" Type="http://schemas.openxmlformats.org/officeDocument/2006/relationships/hyperlink" Target="https://gbvguidelines.org/cctopic/covid-19/" TargetMode="External"/><Relationship Id="rId90" Type="http://schemas.openxmlformats.org/officeDocument/2006/relationships/fontTable" Target="fontTable.xml"/><Relationship Id="rId19" Type="http://schemas.openxmlformats.org/officeDocument/2006/relationships/hyperlink" Target="https://www.brookings.edu/blog/the-avenue/2020/04/16/mapping-racial-inequity-amid-the-spread-of-covid-19/" TargetMode="External"/><Relationship Id="rId14" Type="http://schemas.openxmlformats.org/officeDocument/2006/relationships/hyperlink" Target="http://collaboration.titan.satin.lo/kmu/gender/Pages/default.aspx" TargetMode="External"/><Relationship Id="rId22" Type="http://schemas.openxmlformats.org/officeDocument/2006/relationships/hyperlink" Target="http://www.equalityinstitute.org/blog/2020/4/9/on-being-pregnant-during-a-pandemic" TargetMode="External"/><Relationship Id="rId27" Type="http://schemas.openxmlformats.org/officeDocument/2006/relationships/hyperlink" Target="https://www.cgdev.org/publication/headship-and-poverty-africa" TargetMode="External"/><Relationship Id="rId30" Type="http://schemas.openxmlformats.org/officeDocument/2006/relationships/hyperlink" Target="https://www.cgdev.org/publication/pandemics-and-violence-against-women-and-children" TargetMode="External"/><Relationship Id="rId35" Type="http://schemas.openxmlformats.org/officeDocument/2006/relationships/hyperlink" Target="https://www.unfpa.org/resources/impact-covid-19-pandemic-family-planning-and-ending-gender-based-violence-female-genital" TargetMode="External"/><Relationship Id="rId43" Type="http://schemas.openxmlformats.org/officeDocument/2006/relationships/hyperlink" Target="https://www.helpage.org/what-we-do/covid-19-pensions/" TargetMode="External"/><Relationship Id="rId48" Type="http://schemas.openxmlformats.org/officeDocument/2006/relationships/hyperlink" Target="https://www.gage.odi.org/multimedia/doing-long-distance-research-with-vulnerable-adolescents-under-covid-19-lockdown/" TargetMode="External"/><Relationship Id="rId56" Type="http://schemas.openxmlformats.org/officeDocument/2006/relationships/footer" Target="footer3.xml"/><Relationship Id="rId64" Type="http://schemas.openxmlformats.org/officeDocument/2006/relationships/hyperlink" Target="https://data.unwomen.org/resources/covid-19-emerging-gender-data-and-why-it-matters" TargetMode="External"/><Relationship Id="rId69" Type="http://schemas.openxmlformats.org/officeDocument/2006/relationships/hyperlink" Target="https://www.unfpa.org/sites/default/files/resource-pdf/COVID-19_A_Gender_Lens_Guidance_Note.pdf" TargetMode="External"/><Relationship Id="rId77" Type="http://schemas.openxmlformats.org/officeDocument/2006/relationships/hyperlink" Target="http://www.sddirect.org.uk/our-work/covid-19-blog-series/" TargetMode="External"/><Relationship Id="rId8" Type="http://schemas.openxmlformats.org/officeDocument/2006/relationships/image" Target="media/image1.png"/><Relationship Id="rId51" Type="http://schemas.openxmlformats.org/officeDocument/2006/relationships/header" Target="header1.xml"/><Relationship Id="rId72" Type="http://schemas.openxmlformats.org/officeDocument/2006/relationships/hyperlink" Target="https://evaw-global-database.unwomen.org/en" TargetMode="External"/><Relationship Id="rId80" Type="http://schemas.openxmlformats.org/officeDocument/2006/relationships/hyperlink" Target="https://www.unicef.org/media/68631/file/Gender-responsive-social-protection-during-covid-19-ENG.pdf" TargetMode="External"/><Relationship Id="rId85" Type="http://schemas.openxmlformats.org/officeDocument/2006/relationships/hyperlink" Target="https://www.ilo.org/wcmsp5/groups/public/---ed_emp/---emp_policy/---invest/documents/publication/wcms_459976.pdf" TargetMode="External"/><Relationship Id="rId3" Type="http://schemas.openxmlformats.org/officeDocument/2006/relationships/styles" Target="styles.xml"/><Relationship Id="rId12" Type="http://schemas.openxmlformats.org/officeDocument/2006/relationships/hyperlink" Target="https://www.dfat.gov.au/publications/aid/partnerships-recovery-australias-covid-19-development-response" TargetMode="External"/><Relationship Id="rId17" Type="http://schemas.openxmlformats.org/officeDocument/2006/relationships/hyperlink" Target="https://www.thelancet.com/journals/lancet/article/PIIS0140-6736(20)30526-2/fulltext" TargetMode="External"/><Relationship Id="rId25" Type="http://schemas.openxmlformats.org/officeDocument/2006/relationships/hyperlink" Target="http://www.sddirect.org.uk/media/1909/disability-inclusion-helpdesk-query-35-covid-19-rapid-evidence-review.pdf" TargetMode="External"/><Relationship Id="rId33" Type="http://schemas.openxmlformats.org/officeDocument/2006/relationships/hyperlink" Target="http://www.endchildhoodpoverty.org/news-and-updates-1/2020/3/26/coronavirus-is-a-devastating-blow-to-children-in-poverty" TargetMode="External"/><Relationship Id="rId38" Type="http://schemas.openxmlformats.org/officeDocument/2006/relationships/hyperlink" Target="https://interagencystandingcommittee.org/system/files/2018-iasc_gender_handbook_for_humanitarian_action_eng_0.pdf" TargetMode="External"/><Relationship Id="rId46" Type="http://schemas.openxmlformats.org/officeDocument/2006/relationships/hyperlink" Target="https://www.developmentpathways.co.uk/wp-content/uploads/2018/05/DFID-Social-Accountability-in-the-Delivery-of-Social-Protection-Technical-Guidance-Note.pdf" TargetMode="External"/><Relationship Id="rId59" Type="http://schemas.openxmlformats.org/officeDocument/2006/relationships/hyperlink" Target="http://ebrary.ifpri.org/cdm/ref/collection/p15738coll2/id/133701" TargetMode="External"/><Relationship Id="rId67" Type="http://schemas.openxmlformats.org/officeDocument/2006/relationships/hyperlink" Target="https://gadnetwork.org/gadn-resources/feminist-responses-to-covid-19" TargetMode="External"/><Relationship Id="rId20" Type="http://schemas.openxmlformats.org/officeDocument/2006/relationships/hyperlink" Target="http://www.sddirect.org.uk/media/1910/covid-19-and-disability-impact-blog.pdf" TargetMode="External"/><Relationship Id="rId41" Type="http://schemas.openxmlformats.org/officeDocument/2006/relationships/hyperlink" Target="https://socialprotection.org/node/33315/publications?page=1" TargetMode="External"/><Relationship Id="rId54" Type="http://schemas.openxmlformats.org/officeDocument/2006/relationships/footer" Target="footer2.xml"/><Relationship Id="rId62" Type="http://schemas.openxmlformats.org/officeDocument/2006/relationships/hyperlink" Target="https://reliefweb.int/sites/reliefweb.int/files/resources/1568162295.Safer%20Cash%20Toolkit.pdf" TargetMode="External"/><Relationship Id="rId70" Type="http://schemas.openxmlformats.org/officeDocument/2006/relationships/hyperlink" Target="https://www.wiego.org/sites/default/files/resources/file/Impact_on_livelihoods_COVID-19_final_EN.pdf" TargetMode="External"/><Relationship Id="rId75" Type="http://schemas.openxmlformats.org/officeDocument/2006/relationships/hyperlink" Target="https://www.thelancet.com/journals/lanpub/article/PIIS2468-2667(20)30076-1/fulltext" TargetMode="External"/><Relationship Id="rId83" Type="http://schemas.openxmlformats.org/officeDocument/2006/relationships/hyperlink" Target="http://www.fao.org/3/CA2038EN/ca2038en.pdf" TargetMode="External"/><Relationship Id="rId88" Type="http://schemas.openxmlformats.org/officeDocument/2006/relationships/hyperlink" Target="https://www.odi.org/publications/10505-cash-transfers-what-does-evidence-say-rigorous-review-impacts-and-role-design-and-implementation"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ollaboration.titan.satin.lo/kmu/gender/Pages/default.aspx" TargetMode="External"/><Relationship Id="rId23" Type="http://schemas.openxmlformats.org/officeDocument/2006/relationships/hyperlink" Target="https://data.unwomen.org/resources/covid-19-emerging-gender-data-and-why-it-matters" TargetMode="External"/><Relationship Id="rId28" Type="http://schemas.openxmlformats.org/officeDocument/2006/relationships/hyperlink" Target="https://www.subrei.gob.cl/wp-content/uploads/2020/04/Women-at-the-core-of-the-fight-against-COVID-19-crisis.pdf" TargetMode="External"/><Relationship Id="rId36" Type="http://schemas.openxmlformats.org/officeDocument/2006/relationships/hyperlink" Target="http://collaboration.titan.satin.lo/kmu/educollab/Pages/COVID-19-Resources.aspx" TargetMode="External"/><Relationship Id="rId49" Type="http://schemas.openxmlformats.org/officeDocument/2006/relationships/hyperlink" Target="https://blogs.unicef.org/evidence-for-action/ethical-collection-of-data-from-children-during-the-covid-19-pandemic/" TargetMode="External"/><Relationship Id="rId57" Type="http://schemas.openxmlformats.org/officeDocument/2006/relationships/hyperlink" Target="http://www.washingtongroup-disability.com/washington-group-blog/sdgs/" TargetMode="External"/><Relationship Id="rId10" Type="http://schemas.openxmlformats.org/officeDocument/2006/relationships/hyperlink" Target="https://www.dfat.gov.au/about-us/publications/Pages/strategy-for-australias-aid-investments-in-social-protection" TargetMode="External"/><Relationship Id="rId31" Type="http://schemas.openxmlformats.org/officeDocument/2006/relationships/hyperlink" Target="https://blogs.unicef.org/evidence-for-action/five-ways-governments-are-responding-to-violence-against-women-and-children-during-covid-19/" TargetMode="External"/><Relationship Id="rId44" Type="http://schemas.openxmlformats.org/officeDocument/2006/relationships/hyperlink" Target="https://ispatools.org/" TargetMode="External"/><Relationship Id="rId52" Type="http://schemas.openxmlformats.org/officeDocument/2006/relationships/header" Target="header2.xml"/><Relationship Id="rId60" Type="http://schemas.openxmlformats.org/officeDocument/2006/relationships/hyperlink" Target="https://ispatools.org/core-diagnostic-instrument/" TargetMode="External"/><Relationship Id="rId65" Type="http://schemas.openxmlformats.org/officeDocument/2006/relationships/hyperlink" Target="https://asiapacific.unwomen.org/en/digital-library/publications/2020/04/the-first-100-days-of-the-covid-19-outbreak-in-asia-and-the-pacific" TargetMode="External"/><Relationship Id="rId73" Type="http://schemas.openxmlformats.org/officeDocument/2006/relationships/hyperlink" Target="https://www.social-protection.org/gimi/gess/ShowRessource.action;jsessionid=dd5vZXh8uPFDr9jr9AF0cWyLyVe__X3Q98ZUnjnkP0mkMYrSRmJT!-1463413688?id=56029" TargetMode="External"/><Relationship Id="rId78" Type="http://schemas.openxmlformats.org/officeDocument/2006/relationships/hyperlink" Target="https://socialprotection.org/social-protection-responses-covid-19-task-force/1-how-can-i-support-covid-19" TargetMode="External"/><Relationship Id="rId81" Type="http://schemas.openxmlformats.org/officeDocument/2006/relationships/hyperlink" Target="http://documents.worldbank.org/curated/en/618731587147227244/pdf/Gender-Dimensions-of-the-COVID-19-Pandemic.pdf" TargetMode="External"/><Relationship Id="rId86" Type="http://schemas.openxmlformats.org/officeDocument/2006/relationships/hyperlink" Target="https://www.cbm.org/fileadmin/user_upload/Publications/CBM-DID-TOOLKIT-accessible.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91754-3A80-466A-AC27-089553FB2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9907</Words>
  <Characters>56475</Characters>
  <Application>Microsoft Office Word</Application>
  <DocSecurity>0</DocSecurity>
  <Lines>470</Lines>
  <Paragraphs>132</Paragraphs>
  <ScaleCrop>false</ScaleCrop>
  <Company/>
  <LinksUpToDate>false</LinksUpToDate>
  <CharactersWithSpaces>66250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Gender and Social Protection guidance note: Violence against women and girls- and gender-sensitive social protection programming</dc:title>
  <dc:subject/>
  <dc:creator/>
  <cp:keywords/>
  <dc:description/>
  <cp:lastModifiedBy/>
  <cp:revision>1</cp:revision>
  <dcterms:created xsi:type="dcterms:W3CDTF">2020-09-11T05:51:00Z</dcterms:created>
  <dcterms:modified xsi:type="dcterms:W3CDTF">2020-09-11T05:51:00Z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7d93d626-8c9d-48ac-ad3d-759b8a0b9ab6</vt:lpwstr>
  </property>
  <property fmtid="{D5CDD505-2E9C-101B-9397-08002B2CF9AE}" pid="3" name="SEC">
    <vt:lpwstr>OFFICIAL</vt:lpwstr>
  </property>
</Properties>
</file>