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5A46" w14:textId="77777777" w:rsidR="00C47BE6" w:rsidRDefault="00C47BE6" w:rsidP="00C47BE6">
      <w:pPr>
        <w:pStyle w:val="TitleCover"/>
        <w:ind w:firstLine="0"/>
        <w:rPr>
          <w:noProof/>
        </w:rPr>
      </w:pPr>
      <w:bookmarkStart w:id="0" w:name="_Hlk207962920"/>
    </w:p>
    <w:p w14:paraId="40DCFB8F" w14:textId="77777777" w:rsidR="00C47BE6" w:rsidRPr="00C47BE6" w:rsidRDefault="00C47BE6" w:rsidP="00C47BE6">
      <w:pPr>
        <w:pStyle w:val="TitleCover"/>
        <w:tabs>
          <w:tab w:val="left" w:pos="2730"/>
        </w:tabs>
        <w:ind w:firstLine="0"/>
        <w:rPr>
          <w:rFonts w:ascii="Calibri" w:hAnsi="Calibri" w:cs="Calibri"/>
        </w:rPr>
      </w:pPr>
      <w:r>
        <w:tab/>
      </w:r>
      <w:r>
        <w:br/>
      </w:r>
      <w:bookmarkStart w:id="1" w:name="_Toc195544660"/>
      <w:bookmarkStart w:id="2" w:name="_Toc195546040"/>
      <w:bookmarkStart w:id="3" w:name="_Toc196318407"/>
      <w:r w:rsidRPr="00C47BE6">
        <w:rPr>
          <w:rFonts w:ascii="Calibri" w:hAnsi="Calibri" w:cs="Calibri"/>
        </w:rPr>
        <w:t>DFAT COUNTRY INFORMATION REPORT</w:t>
      </w:r>
      <w:r w:rsidRPr="00C47BE6">
        <w:rPr>
          <w:rFonts w:ascii="Calibri" w:hAnsi="Calibri" w:cs="Calibri"/>
        </w:rPr>
        <w:br/>
      </w:r>
      <w:bookmarkEnd w:id="1"/>
      <w:bookmarkEnd w:id="2"/>
      <w:bookmarkEnd w:id="3"/>
      <w:r w:rsidRPr="00C47BE6">
        <w:rPr>
          <w:rFonts w:ascii="Calibri" w:hAnsi="Calibri" w:cs="Calibri"/>
        </w:rPr>
        <w:t>EGYPT</w:t>
      </w:r>
    </w:p>
    <w:p w14:paraId="78AB6567" w14:textId="760FE616" w:rsidR="00C47BE6" w:rsidRPr="00C47BE6" w:rsidRDefault="00133347" w:rsidP="00C47BE6">
      <w:pPr>
        <w:pStyle w:val="Subtitlecover"/>
        <w:ind w:firstLine="0"/>
        <w:rPr>
          <w:rFonts w:ascii="Calibri" w:hAnsi="Calibri" w:cs="Calibri"/>
        </w:rPr>
      </w:pPr>
      <w:bookmarkStart w:id="4" w:name="_Toc195544661"/>
      <w:bookmarkStart w:id="5" w:name="_Toc195546041"/>
      <w:bookmarkStart w:id="6" w:name="_Toc196318408"/>
      <w:r>
        <w:rPr>
          <w:rFonts w:ascii="Calibri" w:hAnsi="Calibri" w:cs="Calibri"/>
        </w:rPr>
        <w:t>1</w:t>
      </w:r>
      <w:r w:rsidR="00C47BE6" w:rsidRPr="00C47BE6">
        <w:rPr>
          <w:rFonts w:ascii="Calibri" w:hAnsi="Calibri" w:cs="Calibri"/>
        </w:rPr>
        <w:t xml:space="preserve"> </w:t>
      </w:r>
      <w:bookmarkEnd w:id="4"/>
      <w:bookmarkEnd w:id="5"/>
      <w:bookmarkEnd w:id="6"/>
      <w:r>
        <w:rPr>
          <w:rFonts w:ascii="Calibri" w:hAnsi="Calibri" w:cs="Calibri"/>
        </w:rPr>
        <w:t>December</w:t>
      </w:r>
      <w:r w:rsidR="00C47BE6" w:rsidRPr="00C47BE6">
        <w:rPr>
          <w:rFonts w:ascii="Calibri" w:hAnsi="Calibri" w:cs="Calibri"/>
        </w:rPr>
        <w:t xml:space="preserve"> 2025 </w:t>
      </w:r>
    </w:p>
    <w:p w14:paraId="625E130E" w14:textId="77777777" w:rsidR="00C47BE6" w:rsidRDefault="00C47BE6" w:rsidP="00C47BE6">
      <w:pPr>
        <w:spacing w:after="0"/>
      </w:pPr>
    </w:p>
    <w:p w14:paraId="4E0DFCFE" w14:textId="77777777" w:rsidR="00C47BE6" w:rsidRPr="000E0BFF" w:rsidRDefault="00C47BE6" w:rsidP="00C47BE6">
      <w:pPr>
        <w:spacing w:after="0"/>
      </w:pPr>
      <w:r>
        <w:br w:type="page"/>
      </w:r>
    </w:p>
    <w:bookmarkStart w:id="7" w:name="_Toc195544662" w:displacedByCustomXml="next"/>
    <w:bookmarkStart w:id="8" w:name="_Toc195546042" w:displacedByCustomXml="next"/>
    <w:bookmarkStart w:id="9" w:name="_Toc196318409" w:displacedByCustomXml="next"/>
    <w:sdt>
      <w:sdtPr>
        <w:rPr>
          <w:rFonts w:ascii="Calibri" w:eastAsia="Calibri" w:hAnsi="Calibri" w:cs="Times New Roman"/>
          <w:b w:val="0"/>
          <w:bCs w:val="0"/>
          <w:caps w:val="0"/>
          <w:noProof/>
          <w:color w:val="auto"/>
          <w:sz w:val="22"/>
          <w:szCs w:val="22"/>
        </w:rPr>
        <w:id w:val="-480076968"/>
        <w:docPartObj>
          <w:docPartGallery w:val="Table of Contents"/>
          <w:docPartUnique/>
        </w:docPartObj>
      </w:sdtPr>
      <w:sdtEndPr>
        <w:rPr>
          <w:rFonts w:cstheme="minorHAnsi"/>
        </w:rPr>
      </w:sdtEndPr>
      <w:sdtContent>
        <w:p w14:paraId="09AF6E40" w14:textId="77777777" w:rsidR="00C47BE6" w:rsidRDefault="00C47BE6" w:rsidP="00C47BE6">
          <w:pPr>
            <w:pStyle w:val="TOCHeading"/>
            <w:ind w:firstLine="0"/>
            <w:rPr>
              <w:noProof/>
            </w:rPr>
          </w:pPr>
          <w:r w:rsidRPr="00C47BE6">
            <w:rPr>
              <w:rFonts w:ascii="Calibri" w:hAnsi="Calibri" w:cs="Calibri"/>
              <w:color w:val="auto"/>
              <w:sz w:val="40"/>
              <w:szCs w:val="40"/>
            </w:rPr>
            <w:t>CONTENTS</w:t>
          </w:r>
          <w:bookmarkEnd w:id="9"/>
          <w:bookmarkEnd w:id="8"/>
          <w:bookmarkEnd w:id="7"/>
          <w:r>
            <w:rPr>
              <w:rFonts w:asciiTheme="majorHAnsi" w:hAnsiTheme="majorHAnsi" w:cstheme="majorHAnsi"/>
              <w:b w:val="0"/>
              <w:bCs w:val="0"/>
              <w:color w:val="auto"/>
            </w:rPr>
            <w:fldChar w:fldCharType="begin"/>
          </w:r>
          <w:r>
            <w:rPr>
              <w:rFonts w:asciiTheme="majorHAnsi" w:hAnsiTheme="majorHAnsi" w:cstheme="majorHAnsi"/>
              <w:b w:val="0"/>
              <w:bCs w:val="0"/>
              <w:color w:val="auto"/>
            </w:rPr>
            <w:instrText xml:space="preserve"> TOC \h \z \t "Heading 1,1,Heading 2,2,H1 - Heading 1,1,H2 - Heading 2,2,Heading 1 Numbered,1" </w:instrText>
          </w:r>
          <w:r>
            <w:rPr>
              <w:rFonts w:asciiTheme="majorHAnsi" w:hAnsiTheme="majorHAnsi" w:cstheme="majorHAnsi"/>
              <w:b w:val="0"/>
              <w:bCs w:val="0"/>
              <w:color w:val="auto"/>
            </w:rPr>
            <w:fldChar w:fldCharType="separate"/>
          </w:r>
        </w:p>
        <w:p w14:paraId="2A2535CA" w14:textId="33F11A11" w:rsidR="00C47BE6" w:rsidRDefault="00C47BE6" w:rsidP="00C47BE6">
          <w:pPr>
            <w:pStyle w:val="TOC1"/>
            <w:tabs>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66" w:history="1">
            <w:r w:rsidRPr="00A86009">
              <w:rPr>
                <w:rStyle w:val="Hyperlink"/>
                <w:rFonts w:cstheme="minorHAnsi"/>
                <w:noProof/>
              </w:rPr>
              <w:t>ACRONYMS</w:t>
            </w:r>
            <w:r>
              <w:rPr>
                <w:noProof/>
                <w:webHidden/>
              </w:rPr>
              <w:tab/>
            </w:r>
            <w:r>
              <w:rPr>
                <w:noProof/>
                <w:webHidden/>
              </w:rPr>
              <w:fldChar w:fldCharType="begin"/>
            </w:r>
            <w:r>
              <w:rPr>
                <w:noProof/>
                <w:webHidden/>
              </w:rPr>
              <w:instrText xml:space="preserve"> PAGEREF _Toc196387066 \h </w:instrText>
            </w:r>
            <w:r>
              <w:rPr>
                <w:noProof/>
                <w:webHidden/>
              </w:rPr>
            </w:r>
            <w:r>
              <w:rPr>
                <w:noProof/>
                <w:webHidden/>
              </w:rPr>
              <w:fldChar w:fldCharType="separate"/>
            </w:r>
            <w:r w:rsidR="003303F7">
              <w:rPr>
                <w:noProof/>
                <w:webHidden/>
              </w:rPr>
              <w:t>2</w:t>
            </w:r>
            <w:r>
              <w:rPr>
                <w:noProof/>
                <w:webHidden/>
              </w:rPr>
              <w:fldChar w:fldCharType="end"/>
            </w:r>
          </w:hyperlink>
        </w:p>
        <w:p w14:paraId="708D441F" w14:textId="4083887F" w:rsidR="00C47BE6" w:rsidRDefault="00C47BE6" w:rsidP="00C47BE6">
          <w:pPr>
            <w:pStyle w:val="TOC1"/>
            <w:tabs>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67" w:history="1">
            <w:r w:rsidRPr="00A86009">
              <w:rPr>
                <w:rStyle w:val="Hyperlink"/>
                <w:rFonts w:cstheme="minorHAnsi"/>
                <w:noProof/>
              </w:rPr>
              <w:t>GLOSSARY</w:t>
            </w:r>
            <w:r>
              <w:rPr>
                <w:noProof/>
                <w:webHidden/>
              </w:rPr>
              <w:tab/>
            </w:r>
            <w:r>
              <w:rPr>
                <w:noProof/>
                <w:webHidden/>
              </w:rPr>
              <w:fldChar w:fldCharType="begin"/>
            </w:r>
            <w:r>
              <w:rPr>
                <w:noProof/>
                <w:webHidden/>
              </w:rPr>
              <w:instrText xml:space="preserve"> PAGEREF _Toc196387067 \h </w:instrText>
            </w:r>
            <w:r>
              <w:rPr>
                <w:noProof/>
                <w:webHidden/>
              </w:rPr>
            </w:r>
            <w:r>
              <w:rPr>
                <w:noProof/>
                <w:webHidden/>
              </w:rPr>
              <w:fldChar w:fldCharType="separate"/>
            </w:r>
            <w:r w:rsidR="003303F7">
              <w:rPr>
                <w:noProof/>
                <w:webHidden/>
              </w:rPr>
              <w:t>3</w:t>
            </w:r>
            <w:r>
              <w:rPr>
                <w:noProof/>
                <w:webHidden/>
              </w:rPr>
              <w:fldChar w:fldCharType="end"/>
            </w:r>
          </w:hyperlink>
        </w:p>
        <w:p w14:paraId="767B4CE0" w14:textId="6C4AE872" w:rsidR="00C47BE6" w:rsidRDefault="00C47BE6" w:rsidP="00C47BE6">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68" w:history="1">
            <w:r w:rsidRPr="00A86009">
              <w:rPr>
                <w:rStyle w:val="Hyperlink"/>
                <w:rFonts w:cstheme="minorHAnsi"/>
                <w:noProof/>
              </w:rPr>
              <w:t>1.</w:t>
            </w:r>
            <w:r>
              <w:rPr>
                <w:rFonts w:asciiTheme="minorHAnsi" w:eastAsiaTheme="minorEastAsia" w:hAnsiTheme="minorHAnsi" w:cstheme="minorBidi"/>
                <w:noProof/>
                <w:kern w:val="2"/>
                <w:sz w:val="24"/>
                <w:szCs w:val="24"/>
                <w:lang w:eastAsia="en-AU"/>
                <w14:ligatures w14:val="standardContextual"/>
              </w:rPr>
              <w:t xml:space="preserve">  </w:t>
            </w:r>
            <w:r w:rsidRPr="00DD6120">
              <w:rPr>
                <w:rStyle w:val="Hyperlink"/>
                <w:rFonts w:cstheme="minorHAnsi"/>
                <w:b/>
                <w:bCs/>
                <w:noProof/>
              </w:rPr>
              <w:t>PURPOSE</w:t>
            </w:r>
            <w:r w:rsidRPr="00A86009">
              <w:rPr>
                <w:rStyle w:val="Hyperlink"/>
                <w:rFonts w:cstheme="minorHAnsi"/>
                <w:noProof/>
              </w:rPr>
              <w:t xml:space="preserve"> </w:t>
            </w:r>
            <w:r w:rsidRPr="00DD6120">
              <w:rPr>
                <w:rStyle w:val="Hyperlink"/>
                <w:rFonts w:cstheme="minorHAnsi"/>
                <w:b/>
                <w:bCs/>
                <w:noProof/>
              </w:rPr>
              <w:t>AND</w:t>
            </w:r>
            <w:r w:rsidRPr="00A86009">
              <w:rPr>
                <w:rStyle w:val="Hyperlink"/>
                <w:rFonts w:cstheme="minorHAnsi"/>
                <w:noProof/>
              </w:rPr>
              <w:t xml:space="preserve"> </w:t>
            </w:r>
            <w:r w:rsidRPr="00DD6120">
              <w:rPr>
                <w:rStyle w:val="Hyperlink"/>
                <w:rFonts w:cstheme="minorHAnsi"/>
                <w:b/>
                <w:bCs/>
                <w:noProof/>
              </w:rPr>
              <w:t>SCOPE</w:t>
            </w:r>
            <w:r>
              <w:rPr>
                <w:noProof/>
                <w:webHidden/>
              </w:rPr>
              <w:tab/>
            </w:r>
            <w:r>
              <w:rPr>
                <w:noProof/>
                <w:webHidden/>
              </w:rPr>
              <w:fldChar w:fldCharType="begin"/>
            </w:r>
            <w:r>
              <w:rPr>
                <w:noProof/>
                <w:webHidden/>
              </w:rPr>
              <w:instrText xml:space="preserve"> PAGEREF _Toc196387068 \h </w:instrText>
            </w:r>
            <w:r>
              <w:rPr>
                <w:noProof/>
                <w:webHidden/>
              </w:rPr>
            </w:r>
            <w:r>
              <w:rPr>
                <w:noProof/>
                <w:webHidden/>
              </w:rPr>
              <w:fldChar w:fldCharType="separate"/>
            </w:r>
            <w:r w:rsidR="003303F7">
              <w:rPr>
                <w:noProof/>
                <w:webHidden/>
              </w:rPr>
              <w:t>4</w:t>
            </w:r>
            <w:r>
              <w:rPr>
                <w:noProof/>
                <w:webHidden/>
              </w:rPr>
              <w:fldChar w:fldCharType="end"/>
            </w:r>
          </w:hyperlink>
        </w:p>
        <w:p w14:paraId="734111B4" w14:textId="57203564" w:rsidR="00C47BE6" w:rsidRDefault="00C47BE6" w:rsidP="00C47BE6">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69" w:history="1">
            <w:r w:rsidRPr="00A86009">
              <w:rPr>
                <w:rStyle w:val="Hyperlink"/>
                <w:rFonts w:cstheme="minorHAnsi"/>
                <w:noProof/>
              </w:rPr>
              <w:t>2.</w:t>
            </w:r>
            <w:r>
              <w:rPr>
                <w:rFonts w:asciiTheme="minorHAnsi" w:eastAsiaTheme="minorEastAsia" w:hAnsiTheme="minorHAnsi" w:cstheme="minorBidi"/>
                <w:noProof/>
                <w:kern w:val="2"/>
                <w:sz w:val="24"/>
                <w:szCs w:val="24"/>
                <w:lang w:eastAsia="en-AU"/>
                <w14:ligatures w14:val="standardContextual"/>
              </w:rPr>
              <w:t xml:space="preserve">  </w:t>
            </w:r>
            <w:r w:rsidRPr="00DD6120">
              <w:rPr>
                <w:rStyle w:val="Hyperlink"/>
                <w:rFonts w:cstheme="minorHAnsi"/>
                <w:b/>
                <w:bCs/>
                <w:noProof/>
              </w:rPr>
              <w:t>BACKGROUND</w:t>
            </w:r>
            <w:r w:rsidRPr="00A86009">
              <w:rPr>
                <w:rStyle w:val="Hyperlink"/>
                <w:rFonts w:cstheme="minorHAnsi"/>
                <w:noProof/>
              </w:rPr>
              <w:t xml:space="preserve"> </w:t>
            </w:r>
            <w:r w:rsidRPr="00DD6120">
              <w:rPr>
                <w:rStyle w:val="Hyperlink"/>
                <w:rFonts w:cstheme="minorHAnsi"/>
                <w:b/>
                <w:bCs/>
                <w:noProof/>
              </w:rPr>
              <w:t>INFORMATION</w:t>
            </w:r>
            <w:r>
              <w:rPr>
                <w:noProof/>
                <w:webHidden/>
              </w:rPr>
              <w:tab/>
            </w:r>
            <w:r>
              <w:rPr>
                <w:noProof/>
                <w:webHidden/>
              </w:rPr>
              <w:fldChar w:fldCharType="begin"/>
            </w:r>
            <w:r>
              <w:rPr>
                <w:noProof/>
                <w:webHidden/>
              </w:rPr>
              <w:instrText xml:space="preserve"> PAGEREF _Toc196387069 \h </w:instrText>
            </w:r>
            <w:r>
              <w:rPr>
                <w:noProof/>
                <w:webHidden/>
              </w:rPr>
            </w:r>
            <w:r>
              <w:rPr>
                <w:noProof/>
                <w:webHidden/>
              </w:rPr>
              <w:fldChar w:fldCharType="separate"/>
            </w:r>
            <w:r w:rsidR="003303F7">
              <w:rPr>
                <w:noProof/>
                <w:webHidden/>
              </w:rPr>
              <w:t>5</w:t>
            </w:r>
            <w:r>
              <w:rPr>
                <w:noProof/>
                <w:webHidden/>
              </w:rPr>
              <w:fldChar w:fldCharType="end"/>
            </w:r>
          </w:hyperlink>
        </w:p>
        <w:p w14:paraId="225108A0" w14:textId="50AC3ACD"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0" w:history="1">
            <w:r w:rsidRPr="00DD6120">
              <w:rPr>
                <w:rStyle w:val="Hyperlink"/>
                <w:caps/>
                <w:lang w:val="en-GB"/>
              </w:rPr>
              <w:t>COUNTRY</w:t>
            </w:r>
            <w:r w:rsidRPr="00A86009">
              <w:rPr>
                <w:rStyle w:val="Hyperlink"/>
                <w:b/>
                <w:bCs/>
                <w:caps/>
                <w:lang w:val="en-GB"/>
              </w:rPr>
              <w:t xml:space="preserve"> </w:t>
            </w:r>
            <w:r w:rsidRPr="00DD6120">
              <w:rPr>
                <w:rStyle w:val="Hyperlink"/>
                <w:caps/>
                <w:lang w:val="en-GB"/>
              </w:rPr>
              <w:t>OVERVIEW</w:t>
            </w:r>
            <w:r>
              <w:rPr>
                <w:webHidden/>
              </w:rPr>
              <w:tab/>
            </w:r>
            <w:r>
              <w:rPr>
                <w:webHidden/>
              </w:rPr>
              <w:fldChar w:fldCharType="begin"/>
            </w:r>
            <w:r>
              <w:rPr>
                <w:webHidden/>
              </w:rPr>
              <w:instrText xml:space="preserve"> PAGEREF _Toc196387070 \h </w:instrText>
            </w:r>
            <w:r>
              <w:rPr>
                <w:webHidden/>
              </w:rPr>
            </w:r>
            <w:r>
              <w:rPr>
                <w:webHidden/>
              </w:rPr>
              <w:fldChar w:fldCharType="separate"/>
            </w:r>
            <w:r w:rsidR="003303F7">
              <w:rPr>
                <w:webHidden/>
              </w:rPr>
              <w:t>5</w:t>
            </w:r>
            <w:r>
              <w:rPr>
                <w:webHidden/>
              </w:rPr>
              <w:fldChar w:fldCharType="end"/>
            </w:r>
          </w:hyperlink>
        </w:p>
        <w:p w14:paraId="19C49AB3" w14:textId="3625BCEA"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1" w:history="1">
            <w:r w:rsidRPr="00DD6120">
              <w:rPr>
                <w:rStyle w:val="Hyperlink"/>
              </w:rPr>
              <w:t>DEMOGRAPHY</w:t>
            </w:r>
            <w:r>
              <w:rPr>
                <w:webHidden/>
              </w:rPr>
              <w:tab/>
            </w:r>
            <w:r>
              <w:rPr>
                <w:webHidden/>
              </w:rPr>
              <w:fldChar w:fldCharType="begin"/>
            </w:r>
            <w:r>
              <w:rPr>
                <w:webHidden/>
              </w:rPr>
              <w:instrText xml:space="preserve"> PAGEREF _Toc196387071 \h </w:instrText>
            </w:r>
            <w:r>
              <w:rPr>
                <w:webHidden/>
              </w:rPr>
            </w:r>
            <w:r>
              <w:rPr>
                <w:webHidden/>
              </w:rPr>
              <w:fldChar w:fldCharType="separate"/>
            </w:r>
            <w:r w:rsidR="003303F7">
              <w:rPr>
                <w:webHidden/>
              </w:rPr>
              <w:t>5</w:t>
            </w:r>
            <w:r>
              <w:rPr>
                <w:webHidden/>
              </w:rPr>
              <w:fldChar w:fldCharType="end"/>
            </w:r>
          </w:hyperlink>
        </w:p>
        <w:p w14:paraId="266F7DD3" w14:textId="3CA3EA29"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2" w:history="1">
            <w:r w:rsidRPr="00DD6120">
              <w:rPr>
                <w:rStyle w:val="Hyperlink"/>
              </w:rPr>
              <w:t>ECONOMIC</w:t>
            </w:r>
            <w:r w:rsidRPr="00A86009">
              <w:rPr>
                <w:rStyle w:val="Hyperlink"/>
                <w:b/>
                <w:bCs/>
              </w:rPr>
              <w:t xml:space="preserve"> </w:t>
            </w:r>
            <w:r w:rsidRPr="00DD6120">
              <w:rPr>
                <w:rStyle w:val="Hyperlink"/>
              </w:rPr>
              <w:t>OVERVIEW</w:t>
            </w:r>
            <w:r>
              <w:rPr>
                <w:webHidden/>
              </w:rPr>
              <w:tab/>
            </w:r>
            <w:r>
              <w:rPr>
                <w:webHidden/>
              </w:rPr>
              <w:fldChar w:fldCharType="begin"/>
            </w:r>
            <w:r>
              <w:rPr>
                <w:webHidden/>
              </w:rPr>
              <w:instrText xml:space="preserve"> PAGEREF _Toc196387072 \h </w:instrText>
            </w:r>
            <w:r>
              <w:rPr>
                <w:webHidden/>
              </w:rPr>
            </w:r>
            <w:r>
              <w:rPr>
                <w:webHidden/>
              </w:rPr>
              <w:fldChar w:fldCharType="separate"/>
            </w:r>
            <w:r w:rsidR="003303F7">
              <w:rPr>
                <w:webHidden/>
              </w:rPr>
              <w:t>5</w:t>
            </w:r>
            <w:r>
              <w:rPr>
                <w:webHidden/>
              </w:rPr>
              <w:fldChar w:fldCharType="end"/>
            </w:r>
          </w:hyperlink>
        </w:p>
        <w:p w14:paraId="1E3AD55B" w14:textId="75BCE60F"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3" w:history="1">
            <w:r w:rsidRPr="00DD6120">
              <w:rPr>
                <w:rStyle w:val="Hyperlink"/>
              </w:rPr>
              <w:t>POLITICAL</w:t>
            </w:r>
            <w:r w:rsidRPr="00A86009">
              <w:rPr>
                <w:rStyle w:val="Hyperlink"/>
                <w:b/>
                <w:bCs/>
              </w:rPr>
              <w:t xml:space="preserve"> </w:t>
            </w:r>
            <w:r w:rsidRPr="00DD6120">
              <w:rPr>
                <w:rStyle w:val="Hyperlink"/>
              </w:rPr>
              <w:t>SYSTEM</w:t>
            </w:r>
            <w:r>
              <w:rPr>
                <w:webHidden/>
              </w:rPr>
              <w:tab/>
            </w:r>
            <w:r>
              <w:rPr>
                <w:webHidden/>
              </w:rPr>
              <w:fldChar w:fldCharType="begin"/>
            </w:r>
            <w:r>
              <w:rPr>
                <w:webHidden/>
              </w:rPr>
              <w:instrText xml:space="preserve"> PAGEREF _Toc196387073 \h </w:instrText>
            </w:r>
            <w:r>
              <w:rPr>
                <w:webHidden/>
              </w:rPr>
            </w:r>
            <w:r>
              <w:rPr>
                <w:webHidden/>
              </w:rPr>
              <w:fldChar w:fldCharType="separate"/>
            </w:r>
            <w:r w:rsidR="003303F7">
              <w:rPr>
                <w:webHidden/>
              </w:rPr>
              <w:t>9</w:t>
            </w:r>
            <w:r>
              <w:rPr>
                <w:webHidden/>
              </w:rPr>
              <w:fldChar w:fldCharType="end"/>
            </w:r>
          </w:hyperlink>
        </w:p>
        <w:p w14:paraId="5217C565" w14:textId="3012007E"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4" w:history="1">
            <w:r w:rsidRPr="00DD6120">
              <w:rPr>
                <w:rStyle w:val="Hyperlink"/>
              </w:rPr>
              <w:t>HUMAN</w:t>
            </w:r>
            <w:r w:rsidRPr="00A86009">
              <w:rPr>
                <w:rStyle w:val="Hyperlink"/>
                <w:b/>
                <w:bCs/>
              </w:rPr>
              <w:t xml:space="preserve"> </w:t>
            </w:r>
            <w:r w:rsidRPr="00DD6120">
              <w:rPr>
                <w:rStyle w:val="Hyperlink"/>
              </w:rPr>
              <w:t>RIGHTS</w:t>
            </w:r>
            <w:r w:rsidRPr="00A86009">
              <w:rPr>
                <w:rStyle w:val="Hyperlink"/>
                <w:b/>
                <w:bCs/>
              </w:rPr>
              <w:t xml:space="preserve"> </w:t>
            </w:r>
            <w:r w:rsidRPr="00DD6120">
              <w:rPr>
                <w:rStyle w:val="Hyperlink"/>
              </w:rPr>
              <w:t>FRAMEWORK</w:t>
            </w:r>
            <w:r>
              <w:rPr>
                <w:webHidden/>
              </w:rPr>
              <w:tab/>
            </w:r>
            <w:r>
              <w:rPr>
                <w:webHidden/>
              </w:rPr>
              <w:fldChar w:fldCharType="begin"/>
            </w:r>
            <w:r>
              <w:rPr>
                <w:webHidden/>
              </w:rPr>
              <w:instrText xml:space="preserve"> PAGEREF _Toc196387074 \h </w:instrText>
            </w:r>
            <w:r>
              <w:rPr>
                <w:webHidden/>
              </w:rPr>
            </w:r>
            <w:r>
              <w:rPr>
                <w:webHidden/>
              </w:rPr>
              <w:fldChar w:fldCharType="separate"/>
            </w:r>
            <w:r w:rsidR="003303F7">
              <w:rPr>
                <w:webHidden/>
              </w:rPr>
              <w:t>11</w:t>
            </w:r>
            <w:r>
              <w:rPr>
                <w:webHidden/>
              </w:rPr>
              <w:fldChar w:fldCharType="end"/>
            </w:r>
          </w:hyperlink>
        </w:p>
        <w:p w14:paraId="74FC9C83" w14:textId="2F61F7D1"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5" w:history="1">
            <w:r w:rsidRPr="00DD6120">
              <w:rPr>
                <w:rStyle w:val="Hyperlink"/>
              </w:rPr>
              <w:t>SECURITY</w:t>
            </w:r>
            <w:r w:rsidRPr="00A86009">
              <w:rPr>
                <w:rStyle w:val="Hyperlink"/>
                <w:b/>
                <w:bCs/>
              </w:rPr>
              <w:t xml:space="preserve"> </w:t>
            </w:r>
            <w:r w:rsidRPr="00DD6120">
              <w:rPr>
                <w:rStyle w:val="Hyperlink"/>
              </w:rPr>
              <w:t>SITUATION</w:t>
            </w:r>
            <w:r>
              <w:rPr>
                <w:webHidden/>
              </w:rPr>
              <w:tab/>
            </w:r>
            <w:r>
              <w:rPr>
                <w:webHidden/>
              </w:rPr>
              <w:fldChar w:fldCharType="begin"/>
            </w:r>
            <w:r>
              <w:rPr>
                <w:webHidden/>
              </w:rPr>
              <w:instrText xml:space="preserve"> PAGEREF _Toc196387075 \h </w:instrText>
            </w:r>
            <w:r>
              <w:rPr>
                <w:webHidden/>
              </w:rPr>
            </w:r>
            <w:r>
              <w:rPr>
                <w:webHidden/>
              </w:rPr>
              <w:fldChar w:fldCharType="separate"/>
            </w:r>
            <w:r w:rsidR="003303F7">
              <w:rPr>
                <w:webHidden/>
              </w:rPr>
              <w:t>11</w:t>
            </w:r>
            <w:r>
              <w:rPr>
                <w:webHidden/>
              </w:rPr>
              <w:fldChar w:fldCharType="end"/>
            </w:r>
          </w:hyperlink>
        </w:p>
        <w:p w14:paraId="1A0D5237" w14:textId="5893023C" w:rsidR="00C47BE6" w:rsidRDefault="00C47BE6" w:rsidP="00C47BE6">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76" w:history="1">
            <w:r w:rsidRPr="00A86009">
              <w:rPr>
                <w:rStyle w:val="Hyperlink"/>
                <w:rFonts w:cstheme="minorHAnsi"/>
                <w:noProof/>
              </w:rPr>
              <w:t>3.</w:t>
            </w:r>
            <w:r>
              <w:rPr>
                <w:rFonts w:asciiTheme="minorHAnsi" w:eastAsiaTheme="minorEastAsia" w:hAnsiTheme="minorHAnsi" w:cstheme="minorBidi"/>
                <w:noProof/>
                <w:kern w:val="2"/>
                <w:sz w:val="24"/>
                <w:szCs w:val="24"/>
                <w:lang w:eastAsia="en-AU"/>
                <w14:ligatures w14:val="standardContextual"/>
              </w:rPr>
              <w:t xml:space="preserve">  </w:t>
            </w:r>
            <w:r w:rsidRPr="00224AD0">
              <w:rPr>
                <w:rStyle w:val="Hyperlink"/>
                <w:rFonts w:cstheme="minorHAnsi"/>
                <w:b/>
                <w:bCs/>
                <w:noProof/>
              </w:rPr>
              <w:t>REFUGEE</w:t>
            </w:r>
            <w:r w:rsidRPr="00A86009">
              <w:rPr>
                <w:rStyle w:val="Hyperlink"/>
                <w:rFonts w:cstheme="minorHAnsi"/>
                <w:noProof/>
              </w:rPr>
              <w:t xml:space="preserve"> </w:t>
            </w:r>
            <w:r w:rsidRPr="00224AD0">
              <w:rPr>
                <w:rStyle w:val="Hyperlink"/>
                <w:rFonts w:cstheme="minorHAnsi"/>
                <w:b/>
                <w:bCs/>
                <w:noProof/>
              </w:rPr>
              <w:t>CONVENTION</w:t>
            </w:r>
            <w:r w:rsidRPr="00A86009">
              <w:rPr>
                <w:rStyle w:val="Hyperlink"/>
                <w:rFonts w:cstheme="minorHAnsi"/>
                <w:noProof/>
              </w:rPr>
              <w:t xml:space="preserve"> </w:t>
            </w:r>
            <w:r w:rsidRPr="00224AD0">
              <w:rPr>
                <w:rStyle w:val="Hyperlink"/>
                <w:rFonts w:cstheme="minorHAnsi"/>
                <w:b/>
                <w:bCs/>
                <w:noProof/>
              </w:rPr>
              <w:t>CLAIMS</w:t>
            </w:r>
            <w:r>
              <w:rPr>
                <w:noProof/>
                <w:webHidden/>
              </w:rPr>
              <w:tab/>
            </w:r>
            <w:r>
              <w:rPr>
                <w:noProof/>
                <w:webHidden/>
              </w:rPr>
              <w:fldChar w:fldCharType="begin"/>
            </w:r>
            <w:r>
              <w:rPr>
                <w:noProof/>
                <w:webHidden/>
              </w:rPr>
              <w:instrText xml:space="preserve"> PAGEREF _Toc196387076 \h </w:instrText>
            </w:r>
            <w:r>
              <w:rPr>
                <w:noProof/>
                <w:webHidden/>
              </w:rPr>
            </w:r>
            <w:r>
              <w:rPr>
                <w:noProof/>
                <w:webHidden/>
              </w:rPr>
              <w:fldChar w:fldCharType="separate"/>
            </w:r>
            <w:r w:rsidR="003303F7">
              <w:rPr>
                <w:noProof/>
                <w:webHidden/>
              </w:rPr>
              <w:t>13</w:t>
            </w:r>
            <w:r>
              <w:rPr>
                <w:noProof/>
                <w:webHidden/>
              </w:rPr>
              <w:fldChar w:fldCharType="end"/>
            </w:r>
          </w:hyperlink>
        </w:p>
        <w:p w14:paraId="0C17CEF1" w14:textId="4662B828"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7" w:history="1">
            <w:r w:rsidRPr="00DD6120">
              <w:rPr>
                <w:rStyle w:val="Hyperlink"/>
              </w:rPr>
              <w:t>RACE/NATIONALITY</w:t>
            </w:r>
            <w:r>
              <w:rPr>
                <w:webHidden/>
              </w:rPr>
              <w:tab/>
            </w:r>
            <w:r>
              <w:rPr>
                <w:webHidden/>
              </w:rPr>
              <w:fldChar w:fldCharType="begin"/>
            </w:r>
            <w:r>
              <w:rPr>
                <w:webHidden/>
              </w:rPr>
              <w:instrText xml:space="preserve"> PAGEREF _Toc196387077 \h </w:instrText>
            </w:r>
            <w:r>
              <w:rPr>
                <w:webHidden/>
              </w:rPr>
            </w:r>
            <w:r>
              <w:rPr>
                <w:webHidden/>
              </w:rPr>
              <w:fldChar w:fldCharType="separate"/>
            </w:r>
            <w:r w:rsidR="003303F7">
              <w:rPr>
                <w:webHidden/>
              </w:rPr>
              <w:t>13</w:t>
            </w:r>
            <w:r>
              <w:rPr>
                <w:webHidden/>
              </w:rPr>
              <w:fldChar w:fldCharType="end"/>
            </w:r>
          </w:hyperlink>
        </w:p>
        <w:p w14:paraId="086AA78E" w14:textId="2A7ABCE4"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8" w:history="1">
            <w:r w:rsidRPr="00DD6120">
              <w:rPr>
                <w:rStyle w:val="Hyperlink"/>
              </w:rPr>
              <w:t>RELIGION</w:t>
            </w:r>
            <w:r>
              <w:rPr>
                <w:webHidden/>
              </w:rPr>
              <w:tab/>
            </w:r>
            <w:r>
              <w:rPr>
                <w:webHidden/>
              </w:rPr>
              <w:fldChar w:fldCharType="begin"/>
            </w:r>
            <w:r>
              <w:rPr>
                <w:webHidden/>
              </w:rPr>
              <w:instrText xml:space="preserve"> PAGEREF _Toc196387078 \h </w:instrText>
            </w:r>
            <w:r>
              <w:rPr>
                <w:webHidden/>
              </w:rPr>
            </w:r>
            <w:r>
              <w:rPr>
                <w:webHidden/>
              </w:rPr>
              <w:fldChar w:fldCharType="separate"/>
            </w:r>
            <w:r w:rsidR="003303F7">
              <w:rPr>
                <w:webHidden/>
              </w:rPr>
              <w:t>16</w:t>
            </w:r>
            <w:r>
              <w:rPr>
                <w:webHidden/>
              </w:rPr>
              <w:fldChar w:fldCharType="end"/>
            </w:r>
          </w:hyperlink>
        </w:p>
        <w:p w14:paraId="7EAAA84E" w14:textId="307E077C"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79" w:history="1">
            <w:r w:rsidRPr="00DD6120">
              <w:rPr>
                <w:rStyle w:val="Hyperlink"/>
              </w:rPr>
              <w:t>POLITICAL</w:t>
            </w:r>
            <w:r w:rsidRPr="00A86009">
              <w:rPr>
                <w:rStyle w:val="Hyperlink"/>
                <w:b/>
                <w:bCs/>
              </w:rPr>
              <w:t xml:space="preserve"> </w:t>
            </w:r>
            <w:r w:rsidRPr="00DD6120">
              <w:rPr>
                <w:rStyle w:val="Hyperlink"/>
              </w:rPr>
              <w:t>OPINION</w:t>
            </w:r>
            <w:r w:rsidRPr="00A86009">
              <w:rPr>
                <w:rStyle w:val="Hyperlink"/>
                <w:b/>
                <w:bCs/>
              </w:rPr>
              <w:t xml:space="preserve"> </w:t>
            </w:r>
            <w:r w:rsidRPr="00DD6120">
              <w:rPr>
                <w:rStyle w:val="Hyperlink"/>
              </w:rPr>
              <w:t>(ACTUAL</w:t>
            </w:r>
            <w:r w:rsidRPr="00A86009">
              <w:rPr>
                <w:rStyle w:val="Hyperlink"/>
                <w:b/>
                <w:bCs/>
              </w:rPr>
              <w:t xml:space="preserve"> </w:t>
            </w:r>
            <w:r w:rsidRPr="00DD6120">
              <w:rPr>
                <w:rStyle w:val="Hyperlink"/>
              </w:rPr>
              <w:t>OR</w:t>
            </w:r>
            <w:r w:rsidRPr="00A86009">
              <w:rPr>
                <w:rStyle w:val="Hyperlink"/>
                <w:b/>
                <w:bCs/>
              </w:rPr>
              <w:t xml:space="preserve"> </w:t>
            </w:r>
            <w:r w:rsidRPr="00DD6120">
              <w:rPr>
                <w:rStyle w:val="Hyperlink"/>
              </w:rPr>
              <w:t>IMPUTED)</w:t>
            </w:r>
            <w:r>
              <w:rPr>
                <w:webHidden/>
              </w:rPr>
              <w:tab/>
            </w:r>
            <w:r>
              <w:rPr>
                <w:webHidden/>
              </w:rPr>
              <w:fldChar w:fldCharType="begin"/>
            </w:r>
            <w:r>
              <w:rPr>
                <w:webHidden/>
              </w:rPr>
              <w:instrText xml:space="preserve"> PAGEREF _Toc196387079 \h </w:instrText>
            </w:r>
            <w:r>
              <w:rPr>
                <w:webHidden/>
              </w:rPr>
            </w:r>
            <w:r>
              <w:rPr>
                <w:webHidden/>
              </w:rPr>
              <w:fldChar w:fldCharType="separate"/>
            </w:r>
            <w:r w:rsidR="003303F7">
              <w:rPr>
                <w:webHidden/>
              </w:rPr>
              <w:t>22</w:t>
            </w:r>
            <w:r>
              <w:rPr>
                <w:webHidden/>
              </w:rPr>
              <w:fldChar w:fldCharType="end"/>
            </w:r>
          </w:hyperlink>
        </w:p>
        <w:p w14:paraId="7407C19A" w14:textId="75689E04"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0" w:history="1">
            <w:r w:rsidRPr="00DD6120">
              <w:rPr>
                <w:rStyle w:val="Hyperlink"/>
              </w:rPr>
              <w:t>GROUPS</w:t>
            </w:r>
            <w:r w:rsidRPr="00A86009">
              <w:rPr>
                <w:rStyle w:val="Hyperlink"/>
                <w:b/>
                <w:bCs/>
              </w:rPr>
              <w:t xml:space="preserve"> </w:t>
            </w:r>
            <w:r w:rsidRPr="00DD6120">
              <w:rPr>
                <w:rStyle w:val="Hyperlink"/>
              </w:rPr>
              <w:t>OF</w:t>
            </w:r>
            <w:r w:rsidRPr="00A86009">
              <w:rPr>
                <w:rStyle w:val="Hyperlink"/>
                <w:b/>
                <w:bCs/>
              </w:rPr>
              <w:t xml:space="preserve"> </w:t>
            </w:r>
            <w:r w:rsidRPr="00DD6120">
              <w:rPr>
                <w:rStyle w:val="Hyperlink"/>
              </w:rPr>
              <w:t>INTEREST</w:t>
            </w:r>
            <w:r>
              <w:rPr>
                <w:webHidden/>
              </w:rPr>
              <w:tab/>
            </w:r>
            <w:r>
              <w:rPr>
                <w:webHidden/>
              </w:rPr>
              <w:fldChar w:fldCharType="begin"/>
            </w:r>
            <w:r>
              <w:rPr>
                <w:webHidden/>
              </w:rPr>
              <w:instrText xml:space="preserve"> PAGEREF _Toc196387080 \h </w:instrText>
            </w:r>
            <w:r>
              <w:rPr>
                <w:webHidden/>
              </w:rPr>
            </w:r>
            <w:r>
              <w:rPr>
                <w:webHidden/>
              </w:rPr>
              <w:fldChar w:fldCharType="separate"/>
            </w:r>
            <w:r w:rsidR="003303F7">
              <w:rPr>
                <w:webHidden/>
              </w:rPr>
              <w:t>28</w:t>
            </w:r>
            <w:r>
              <w:rPr>
                <w:webHidden/>
              </w:rPr>
              <w:fldChar w:fldCharType="end"/>
            </w:r>
          </w:hyperlink>
        </w:p>
        <w:p w14:paraId="689B2827" w14:textId="3FB3B781" w:rsidR="00C47BE6" w:rsidRDefault="00C47BE6" w:rsidP="00C47BE6">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81" w:history="1">
            <w:r w:rsidRPr="00A86009">
              <w:rPr>
                <w:rStyle w:val="Hyperlink"/>
                <w:rFonts w:cstheme="minorHAnsi"/>
                <w:noProof/>
              </w:rPr>
              <w:t>4.</w:t>
            </w:r>
            <w:r>
              <w:rPr>
                <w:rFonts w:asciiTheme="minorHAnsi" w:eastAsiaTheme="minorEastAsia" w:hAnsiTheme="minorHAnsi" w:cstheme="minorBidi"/>
                <w:noProof/>
                <w:kern w:val="2"/>
                <w:sz w:val="24"/>
                <w:szCs w:val="24"/>
                <w:lang w:eastAsia="en-AU"/>
                <w14:ligatures w14:val="standardContextual"/>
              </w:rPr>
              <w:t xml:space="preserve">  </w:t>
            </w:r>
            <w:r w:rsidRPr="0080343E">
              <w:rPr>
                <w:rStyle w:val="Hyperlink"/>
                <w:rFonts w:cstheme="minorHAnsi"/>
                <w:b/>
                <w:bCs/>
                <w:noProof/>
              </w:rPr>
              <w:t>COMPLEMENTARY</w:t>
            </w:r>
            <w:r w:rsidRPr="00A86009">
              <w:rPr>
                <w:rStyle w:val="Hyperlink"/>
                <w:rFonts w:cstheme="minorHAnsi"/>
                <w:noProof/>
              </w:rPr>
              <w:t xml:space="preserve"> </w:t>
            </w:r>
            <w:r w:rsidRPr="0080343E">
              <w:rPr>
                <w:rStyle w:val="Hyperlink"/>
                <w:rFonts w:cstheme="minorHAnsi"/>
                <w:b/>
                <w:bCs/>
                <w:noProof/>
              </w:rPr>
              <w:t>PROTECTION</w:t>
            </w:r>
            <w:r w:rsidRPr="00A86009">
              <w:rPr>
                <w:rStyle w:val="Hyperlink"/>
                <w:rFonts w:cstheme="minorHAnsi"/>
                <w:noProof/>
              </w:rPr>
              <w:t xml:space="preserve"> </w:t>
            </w:r>
            <w:r w:rsidRPr="0080343E">
              <w:rPr>
                <w:rStyle w:val="Hyperlink"/>
                <w:rFonts w:cstheme="minorHAnsi"/>
                <w:b/>
                <w:bCs/>
                <w:noProof/>
              </w:rPr>
              <w:t>CLAIMS</w:t>
            </w:r>
            <w:r>
              <w:rPr>
                <w:noProof/>
                <w:webHidden/>
              </w:rPr>
              <w:tab/>
            </w:r>
            <w:r>
              <w:rPr>
                <w:noProof/>
                <w:webHidden/>
              </w:rPr>
              <w:fldChar w:fldCharType="begin"/>
            </w:r>
            <w:r>
              <w:rPr>
                <w:noProof/>
                <w:webHidden/>
              </w:rPr>
              <w:instrText xml:space="preserve"> PAGEREF _Toc196387081 \h </w:instrText>
            </w:r>
            <w:r>
              <w:rPr>
                <w:noProof/>
                <w:webHidden/>
              </w:rPr>
            </w:r>
            <w:r>
              <w:rPr>
                <w:noProof/>
                <w:webHidden/>
              </w:rPr>
              <w:fldChar w:fldCharType="separate"/>
            </w:r>
            <w:r w:rsidR="003303F7">
              <w:rPr>
                <w:noProof/>
                <w:webHidden/>
              </w:rPr>
              <w:t>32</w:t>
            </w:r>
            <w:r>
              <w:rPr>
                <w:noProof/>
                <w:webHidden/>
              </w:rPr>
              <w:fldChar w:fldCharType="end"/>
            </w:r>
          </w:hyperlink>
        </w:p>
        <w:p w14:paraId="23606013" w14:textId="792141B4"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2" w:history="1">
            <w:r w:rsidRPr="0080343E">
              <w:rPr>
                <w:rStyle w:val="Hyperlink"/>
              </w:rPr>
              <w:t>ARBITRARY</w:t>
            </w:r>
            <w:r w:rsidRPr="00A86009">
              <w:rPr>
                <w:rStyle w:val="Hyperlink"/>
                <w:b/>
                <w:bCs/>
              </w:rPr>
              <w:t xml:space="preserve"> </w:t>
            </w:r>
            <w:r w:rsidRPr="0080343E">
              <w:rPr>
                <w:rStyle w:val="Hyperlink"/>
              </w:rPr>
              <w:t>DEPRIVATION</w:t>
            </w:r>
            <w:r w:rsidRPr="00A86009">
              <w:rPr>
                <w:rStyle w:val="Hyperlink"/>
                <w:b/>
                <w:bCs/>
              </w:rPr>
              <w:t xml:space="preserve"> </w:t>
            </w:r>
            <w:r w:rsidRPr="0080343E">
              <w:rPr>
                <w:rStyle w:val="Hyperlink"/>
              </w:rPr>
              <w:t>OF</w:t>
            </w:r>
            <w:r w:rsidRPr="00A86009">
              <w:rPr>
                <w:rStyle w:val="Hyperlink"/>
                <w:b/>
                <w:bCs/>
              </w:rPr>
              <w:t xml:space="preserve"> </w:t>
            </w:r>
            <w:r w:rsidRPr="0080343E">
              <w:rPr>
                <w:rStyle w:val="Hyperlink"/>
              </w:rPr>
              <w:t>LIFE</w:t>
            </w:r>
            <w:r>
              <w:rPr>
                <w:webHidden/>
              </w:rPr>
              <w:tab/>
            </w:r>
            <w:r>
              <w:rPr>
                <w:webHidden/>
              </w:rPr>
              <w:fldChar w:fldCharType="begin"/>
            </w:r>
            <w:r>
              <w:rPr>
                <w:webHidden/>
              </w:rPr>
              <w:instrText xml:space="preserve"> PAGEREF _Toc196387082 \h </w:instrText>
            </w:r>
            <w:r>
              <w:rPr>
                <w:webHidden/>
              </w:rPr>
            </w:r>
            <w:r>
              <w:rPr>
                <w:webHidden/>
              </w:rPr>
              <w:fldChar w:fldCharType="separate"/>
            </w:r>
            <w:r w:rsidR="003303F7">
              <w:rPr>
                <w:webHidden/>
              </w:rPr>
              <w:t>32</w:t>
            </w:r>
            <w:r>
              <w:rPr>
                <w:webHidden/>
              </w:rPr>
              <w:fldChar w:fldCharType="end"/>
            </w:r>
          </w:hyperlink>
        </w:p>
        <w:p w14:paraId="43526EB3" w14:textId="0F19D292"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3" w:history="1">
            <w:r w:rsidRPr="0080343E">
              <w:rPr>
                <w:rStyle w:val="Hyperlink"/>
              </w:rPr>
              <w:t>DEATH</w:t>
            </w:r>
            <w:r w:rsidRPr="00A86009">
              <w:rPr>
                <w:rStyle w:val="Hyperlink"/>
                <w:b/>
                <w:bCs/>
              </w:rPr>
              <w:t xml:space="preserve"> </w:t>
            </w:r>
            <w:r w:rsidRPr="000F1C4F">
              <w:rPr>
                <w:rStyle w:val="Hyperlink"/>
              </w:rPr>
              <w:t>PENALTY</w:t>
            </w:r>
            <w:r>
              <w:rPr>
                <w:webHidden/>
              </w:rPr>
              <w:tab/>
            </w:r>
            <w:r>
              <w:rPr>
                <w:webHidden/>
              </w:rPr>
              <w:fldChar w:fldCharType="begin"/>
            </w:r>
            <w:r>
              <w:rPr>
                <w:webHidden/>
              </w:rPr>
              <w:instrText xml:space="preserve"> PAGEREF _Toc196387083 \h </w:instrText>
            </w:r>
            <w:r>
              <w:rPr>
                <w:webHidden/>
              </w:rPr>
            </w:r>
            <w:r>
              <w:rPr>
                <w:webHidden/>
              </w:rPr>
              <w:fldChar w:fldCharType="separate"/>
            </w:r>
            <w:r w:rsidR="003303F7">
              <w:rPr>
                <w:webHidden/>
              </w:rPr>
              <w:t>32</w:t>
            </w:r>
            <w:r>
              <w:rPr>
                <w:webHidden/>
              </w:rPr>
              <w:fldChar w:fldCharType="end"/>
            </w:r>
          </w:hyperlink>
        </w:p>
        <w:p w14:paraId="4C6DB2E7" w14:textId="34F1FD5B"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4" w:history="1">
            <w:r w:rsidRPr="000F1C4F">
              <w:rPr>
                <w:rStyle w:val="Hyperlink"/>
              </w:rPr>
              <w:t>CRUEL,</w:t>
            </w:r>
            <w:r w:rsidRPr="00A86009">
              <w:rPr>
                <w:rStyle w:val="Hyperlink"/>
                <w:b/>
                <w:bCs/>
              </w:rPr>
              <w:t xml:space="preserve"> </w:t>
            </w:r>
            <w:r w:rsidRPr="000F1C4F">
              <w:rPr>
                <w:rStyle w:val="Hyperlink"/>
              </w:rPr>
              <w:t>INHUMAN</w:t>
            </w:r>
            <w:r w:rsidRPr="00A86009">
              <w:rPr>
                <w:rStyle w:val="Hyperlink"/>
                <w:b/>
                <w:bCs/>
              </w:rPr>
              <w:t xml:space="preserve"> </w:t>
            </w:r>
            <w:r w:rsidRPr="000F1C4F">
              <w:rPr>
                <w:rStyle w:val="Hyperlink"/>
              </w:rPr>
              <w:t>OR</w:t>
            </w:r>
            <w:r w:rsidRPr="00A86009">
              <w:rPr>
                <w:rStyle w:val="Hyperlink"/>
                <w:b/>
                <w:bCs/>
              </w:rPr>
              <w:t xml:space="preserve"> </w:t>
            </w:r>
            <w:r w:rsidRPr="000F1C4F">
              <w:rPr>
                <w:rStyle w:val="Hyperlink"/>
              </w:rPr>
              <w:t>DEGRADING</w:t>
            </w:r>
            <w:r w:rsidRPr="00A86009">
              <w:rPr>
                <w:rStyle w:val="Hyperlink"/>
                <w:b/>
                <w:bCs/>
              </w:rPr>
              <w:t xml:space="preserve"> </w:t>
            </w:r>
            <w:r w:rsidRPr="000F1C4F">
              <w:rPr>
                <w:rStyle w:val="Hyperlink"/>
              </w:rPr>
              <w:t>TREATMENT</w:t>
            </w:r>
            <w:r w:rsidRPr="00A86009">
              <w:rPr>
                <w:rStyle w:val="Hyperlink"/>
                <w:b/>
                <w:bCs/>
              </w:rPr>
              <w:t xml:space="preserve"> </w:t>
            </w:r>
            <w:r w:rsidRPr="000F1C4F">
              <w:rPr>
                <w:rStyle w:val="Hyperlink"/>
              </w:rPr>
              <w:t>OR</w:t>
            </w:r>
            <w:r w:rsidRPr="00A86009">
              <w:rPr>
                <w:rStyle w:val="Hyperlink"/>
                <w:b/>
                <w:bCs/>
              </w:rPr>
              <w:t xml:space="preserve"> </w:t>
            </w:r>
            <w:r w:rsidRPr="000F1C4F">
              <w:rPr>
                <w:rStyle w:val="Hyperlink"/>
              </w:rPr>
              <w:t>PUNISHMENT</w:t>
            </w:r>
            <w:r>
              <w:rPr>
                <w:webHidden/>
              </w:rPr>
              <w:tab/>
            </w:r>
            <w:r>
              <w:rPr>
                <w:webHidden/>
              </w:rPr>
              <w:fldChar w:fldCharType="begin"/>
            </w:r>
            <w:r>
              <w:rPr>
                <w:webHidden/>
              </w:rPr>
              <w:instrText xml:space="preserve"> PAGEREF _Toc196387084 \h </w:instrText>
            </w:r>
            <w:r>
              <w:rPr>
                <w:webHidden/>
              </w:rPr>
            </w:r>
            <w:r>
              <w:rPr>
                <w:webHidden/>
              </w:rPr>
              <w:fldChar w:fldCharType="separate"/>
            </w:r>
            <w:r w:rsidR="003303F7">
              <w:rPr>
                <w:webHidden/>
              </w:rPr>
              <w:t>33</w:t>
            </w:r>
            <w:r>
              <w:rPr>
                <w:webHidden/>
              </w:rPr>
              <w:fldChar w:fldCharType="end"/>
            </w:r>
          </w:hyperlink>
        </w:p>
        <w:p w14:paraId="277514A5" w14:textId="5C4199C8" w:rsidR="00C47BE6" w:rsidRDefault="00C47BE6" w:rsidP="00C47BE6">
          <w:pPr>
            <w:pStyle w:val="TOC1"/>
            <w:tabs>
              <w:tab w:val="left" w:pos="1200"/>
              <w:tab w:val="right" w:leader="dot" w:pos="10194"/>
            </w:tabs>
            <w:ind w:firstLine="0"/>
            <w:rPr>
              <w:rFonts w:asciiTheme="minorHAnsi" w:eastAsiaTheme="minorEastAsia" w:hAnsiTheme="minorHAnsi" w:cstheme="minorBidi"/>
              <w:noProof/>
              <w:kern w:val="2"/>
              <w:sz w:val="24"/>
              <w:szCs w:val="24"/>
              <w:lang w:eastAsia="en-AU"/>
              <w14:ligatures w14:val="standardContextual"/>
            </w:rPr>
          </w:pPr>
          <w:hyperlink w:anchor="_Toc196387085" w:history="1">
            <w:r w:rsidRPr="00A86009">
              <w:rPr>
                <w:rStyle w:val="Hyperlink"/>
                <w:rFonts w:cstheme="minorHAnsi"/>
                <w:noProof/>
              </w:rPr>
              <w:t>5.</w:t>
            </w:r>
            <w:r>
              <w:rPr>
                <w:rFonts w:asciiTheme="minorHAnsi" w:eastAsiaTheme="minorEastAsia" w:hAnsiTheme="minorHAnsi" w:cstheme="minorBidi"/>
                <w:noProof/>
                <w:kern w:val="2"/>
                <w:sz w:val="24"/>
                <w:szCs w:val="24"/>
                <w:lang w:eastAsia="en-AU"/>
                <w14:ligatures w14:val="standardContextual"/>
              </w:rPr>
              <w:t xml:space="preserve">  </w:t>
            </w:r>
            <w:r w:rsidRPr="000F1C4F">
              <w:rPr>
                <w:rStyle w:val="Hyperlink"/>
                <w:rFonts w:cstheme="minorHAnsi"/>
                <w:b/>
                <w:bCs/>
                <w:noProof/>
              </w:rPr>
              <w:t>OTHER</w:t>
            </w:r>
            <w:r w:rsidRPr="00A86009">
              <w:rPr>
                <w:rStyle w:val="Hyperlink"/>
                <w:rFonts w:cstheme="minorHAnsi"/>
                <w:noProof/>
              </w:rPr>
              <w:t xml:space="preserve"> </w:t>
            </w:r>
            <w:r w:rsidRPr="000F1C4F">
              <w:rPr>
                <w:rStyle w:val="Hyperlink"/>
                <w:rFonts w:cstheme="minorHAnsi"/>
                <w:b/>
                <w:bCs/>
                <w:noProof/>
              </w:rPr>
              <w:t>CONSIDERATIONS</w:t>
            </w:r>
            <w:r>
              <w:rPr>
                <w:noProof/>
                <w:webHidden/>
              </w:rPr>
              <w:tab/>
            </w:r>
            <w:r>
              <w:rPr>
                <w:noProof/>
                <w:webHidden/>
              </w:rPr>
              <w:fldChar w:fldCharType="begin"/>
            </w:r>
            <w:r>
              <w:rPr>
                <w:noProof/>
                <w:webHidden/>
              </w:rPr>
              <w:instrText xml:space="preserve"> PAGEREF _Toc196387085 \h </w:instrText>
            </w:r>
            <w:r>
              <w:rPr>
                <w:noProof/>
                <w:webHidden/>
              </w:rPr>
            </w:r>
            <w:r>
              <w:rPr>
                <w:noProof/>
                <w:webHidden/>
              </w:rPr>
              <w:fldChar w:fldCharType="separate"/>
            </w:r>
            <w:r w:rsidR="003303F7">
              <w:rPr>
                <w:noProof/>
                <w:webHidden/>
              </w:rPr>
              <w:t>35</w:t>
            </w:r>
            <w:r>
              <w:rPr>
                <w:noProof/>
                <w:webHidden/>
              </w:rPr>
              <w:fldChar w:fldCharType="end"/>
            </w:r>
          </w:hyperlink>
        </w:p>
        <w:p w14:paraId="51A5D7C8" w14:textId="5A75779E"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6" w:history="1">
            <w:r w:rsidRPr="000F1C4F">
              <w:rPr>
                <w:rStyle w:val="Hyperlink"/>
              </w:rPr>
              <w:t>STATE</w:t>
            </w:r>
            <w:r w:rsidRPr="00A86009">
              <w:rPr>
                <w:rStyle w:val="Hyperlink"/>
                <w:b/>
                <w:bCs/>
              </w:rPr>
              <w:t xml:space="preserve"> </w:t>
            </w:r>
            <w:r w:rsidRPr="000F1C4F">
              <w:rPr>
                <w:rStyle w:val="Hyperlink"/>
              </w:rPr>
              <w:t>PROTECTION</w:t>
            </w:r>
            <w:r>
              <w:rPr>
                <w:webHidden/>
              </w:rPr>
              <w:tab/>
            </w:r>
            <w:r>
              <w:rPr>
                <w:webHidden/>
              </w:rPr>
              <w:fldChar w:fldCharType="begin"/>
            </w:r>
            <w:r>
              <w:rPr>
                <w:webHidden/>
              </w:rPr>
              <w:instrText xml:space="preserve"> PAGEREF _Toc196387086 \h </w:instrText>
            </w:r>
            <w:r>
              <w:rPr>
                <w:webHidden/>
              </w:rPr>
            </w:r>
            <w:r>
              <w:rPr>
                <w:webHidden/>
              </w:rPr>
              <w:fldChar w:fldCharType="separate"/>
            </w:r>
            <w:r w:rsidR="003303F7">
              <w:rPr>
                <w:webHidden/>
              </w:rPr>
              <w:t>35</w:t>
            </w:r>
            <w:r>
              <w:rPr>
                <w:webHidden/>
              </w:rPr>
              <w:fldChar w:fldCharType="end"/>
            </w:r>
          </w:hyperlink>
        </w:p>
        <w:p w14:paraId="6253E554" w14:textId="6BA86DC3"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7" w:history="1">
            <w:r w:rsidRPr="000F1C4F">
              <w:rPr>
                <w:rStyle w:val="Hyperlink"/>
              </w:rPr>
              <w:t>INTERNAL</w:t>
            </w:r>
            <w:r w:rsidRPr="00A86009">
              <w:rPr>
                <w:rStyle w:val="Hyperlink"/>
                <w:b/>
                <w:bCs/>
              </w:rPr>
              <w:t xml:space="preserve"> </w:t>
            </w:r>
            <w:r w:rsidRPr="000F1C4F">
              <w:rPr>
                <w:rStyle w:val="Hyperlink"/>
              </w:rPr>
              <w:t>RELOCATION</w:t>
            </w:r>
            <w:r>
              <w:rPr>
                <w:webHidden/>
              </w:rPr>
              <w:tab/>
            </w:r>
            <w:r>
              <w:rPr>
                <w:webHidden/>
              </w:rPr>
              <w:fldChar w:fldCharType="begin"/>
            </w:r>
            <w:r>
              <w:rPr>
                <w:webHidden/>
              </w:rPr>
              <w:instrText xml:space="preserve"> PAGEREF _Toc196387087 \h </w:instrText>
            </w:r>
            <w:r>
              <w:rPr>
                <w:webHidden/>
              </w:rPr>
            </w:r>
            <w:r>
              <w:rPr>
                <w:webHidden/>
              </w:rPr>
              <w:fldChar w:fldCharType="separate"/>
            </w:r>
            <w:r w:rsidR="003303F7">
              <w:rPr>
                <w:webHidden/>
              </w:rPr>
              <w:t>38</w:t>
            </w:r>
            <w:r>
              <w:rPr>
                <w:webHidden/>
              </w:rPr>
              <w:fldChar w:fldCharType="end"/>
            </w:r>
          </w:hyperlink>
        </w:p>
        <w:p w14:paraId="4791A0E8" w14:textId="6C5EB21C" w:rsidR="00C47BE6"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8" w:history="1">
            <w:r w:rsidRPr="000F1C4F">
              <w:rPr>
                <w:rStyle w:val="Hyperlink"/>
              </w:rPr>
              <w:t>TREATMENT</w:t>
            </w:r>
            <w:r w:rsidRPr="00A86009">
              <w:rPr>
                <w:rStyle w:val="Hyperlink"/>
                <w:b/>
                <w:bCs/>
              </w:rPr>
              <w:t xml:space="preserve"> </w:t>
            </w:r>
            <w:r w:rsidRPr="000F1C4F">
              <w:rPr>
                <w:rStyle w:val="Hyperlink"/>
              </w:rPr>
              <w:t>OF</w:t>
            </w:r>
            <w:r w:rsidRPr="00A86009">
              <w:rPr>
                <w:rStyle w:val="Hyperlink"/>
                <w:b/>
                <w:bCs/>
              </w:rPr>
              <w:t xml:space="preserve"> </w:t>
            </w:r>
            <w:r w:rsidRPr="000F1C4F">
              <w:rPr>
                <w:rStyle w:val="Hyperlink"/>
              </w:rPr>
              <w:t>RETURNEES</w:t>
            </w:r>
            <w:r>
              <w:rPr>
                <w:webHidden/>
              </w:rPr>
              <w:tab/>
            </w:r>
            <w:r>
              <w:rPr>
                <w:webHidden/>
              </w:rPr>
              <w:fldChar w:fldCharType="begin"/>
            </w:r>
            <w:r>
              <w:rPr>
                <w:webHidden/>
              </w:rPr>
              <w:instrText xml:space="preserve"> PAGEREF _Toc196387088 \h </w:instrText>
            </w:r>
            <w:r>
              <w:rPr>
                <w:webHidden/>
              </w:rPr>
            </w:r>
            <w:r>
              <w:rPr>
                <w:webHidden/>
              </w:rPr>
              <w:fldChar w:fldCharType="separate"/>
            </w:r>
            <w:r w:rsidR="003303F7">
              <w:rPr>
                <w:webHidden/>
              </w:rPr>
              <w:t>38</w:t>
            </w:r>
            <w:r>
              <w:rPr>
                <w:webHidden/>
              </w:rPr>
              <w:fldChar w:fldCharType="end"/>
            </w:r>
          </w:hyperlink>
        </w:p>
        <w:p w14:paraId="38D6B282" w14:textId="47C72BDF" w:rsidR="00C47BE6" w:rsidRPr="002C6944" w:rsidRDefault="00C47BE6" w:rsidP="00C47BE6">
          <w:pPr>
            <w:pStyle w:val="TOC2"/>
            <w:rPr>
              <w:rFonts w:asciiTheme="minorHAnsi" w:eastAsiaTheme="minorEastAsia" w:hAnsiTheme="minorHAnsi" w:cstheme="minorBidi"/>
              <w:kern w:val="2"/>
              <w:sz w:val="24"/>
              <w:szCs w:val="24"/>
              <w:lang w:eastAsia="en-AU"/>
              <w14:ligatures w14:val="standardContextual"/>
            </w:rPr>
          </w:pPr>
          <w:hyperlink w:anchor="_Toc196387089" w:history="1">
            <w:r w:rsidRPr="000F1C4F">
              <w:rPr>
                <w:rStyle w:val="Hyperlink"/>
              </w:rPr>
              <w:t>DOCUMENTATION</w:t>
            </w:r>
            <w:r>
              <w:rPr>
                <w:webHidden/>
              </w:rPr>
              <w:tab/>
            </w:r>
            <w:r>
              <w:rPr>
                <w:webHidden/>
              </w:rPr>
              <w:fldChar w:fldCharType="begin"/>
            </w:r>
            <w:r>
              <w:rPr>
                <w:webHidden/>
              </w:rPr>
              <w:instrText xml:space="preserve"> PAGEREF _Toc196387089 \h </w:instrText>
            </w:r>
            <w:r>
              <w:rPr>
                <w:webHidden/>
              </w:rPr>
            </w:r>
            <w:r>
              <w:rPr>
                <w:webHidden/>
              </w:rPr>
              <w:fldChar w:fldCharType="separate"/>
            </w:r>
            <w:r w:rsidR="003303F7">
              <w:rPr>
                <w:webHidden/>
              </w:rPr>
              <w:t>39</w:t>
            </w:r>
            <w:r>
              <w:rPr>
                <w:webHidden/>
              </w:rPr>
              <w:fldChar w:fldCharType="end"/>
            </w:r>
          </w:hyperlink>
          <w:r>
            <w:rPr>
              <w:rFonts w:asciiTheme="majorHAnsi" w:hAnsiTheme="majorHAnsi" w:cstheme="majorHAnsi"/>
              <w:b/>
              <w:bCs/>
            </w:rPr>
            <w:fldChar w:fldCharType="end"/>
          </w:r>
        </w:p>
      </w:sdtContent>
    </w:sdt>
    <w:p w14:paraId="1F8AF0FB" w14:textId="77777777" w:rsidR="00C47BE6" w:rsidRPr="00721625" w:rsidRDefault="00C47BE6" w:rsidP="00C47BE6">
      <w:pPr>
        <w:pStyle w:val="BodyCopy"/>
        <w:rPr>
          <w:color w:val="auto"/>
        </w:rPr>
      </w:pPr>
    </w:p>
    <w:p w14:paraId="304B992A" w14:textId="77777777" w:rsidR="00C47BE6" w:rsidRPr="00721625" w:rsidRDefault="00C47BE6" w:rsidP="00C47BE6">
      <w:pPr>
        <w:spacing w:after="0"/>
        <w:ind w:firstLine="0"/>
        <w:rPr>
          <w:rFonts w:ascii="Calibri Light" w:hAnsi="Calibri Light" w:cs="Calibri Light"/>
          <w:szCs w:val="21"/>
        </w:rPr>
      </w:pPr>
      <w:r w:rsidRPr="00721625">
        <w:br w:type="page"/>
      </w:r>
    </w:p>
    <w:p w14:paraId="5F3F9AC6" w14:textId="77777777" w:rsidR="00C47BE6" w:rsidRPr="00C47BE6" w:rsidRDefault="00C47BE6" w:rsidP="00C47BE6">
      <w:pPr>
        <w:pStyle w:val="H1-Heading1"/>
        <w:spacing w:after="240"/>
        <w:ind w:firstLine="0"/>
        <w:jc w:val="left"/>
        <w:rPr>
          <w:rStyle w:val="Strong"/>
          <w:rFonts w:ascii="Calibri" w:hAnsi="Calibri" w:cs="Calibri"/>
          <w:b/>
          <w:bCs/>
          <w:color w:val="auto"/>
        </w:rPr>
      </w:pPr>
      <w:bookmarkStart w:id="10" w:name="_Toc196387066"/>
      <w:r w:rsidRPr="00C47BE6">
        <w:rPr>
          <w:rFonts w:ascii="Calibri" w:hAnsi="Calibri" w:cs="Calibri"/>
          <w:color w:val="auto"/>
        </w:rPr>
        <w:lastRenderedPageBreak/>
        <w:t>ACRONYMS</w:t>
      </w:r>
      <w:bookmarkEnd w:id="10"/>
    </w:p>
    <w:p w14:paraId="262198D0"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AUD</w:t>
      </w:r>
      <w:r w:rsidRPr="00C47BE6">
        <w:rPr>
          <w:rFonts w:ascii="Calibri Light" w:hAnsi="Calibri Light" w:cs="Calibri Light"/>
        </w:rPr>
        <w:tab/>
      </w:r>
      <w:r w:rsidRPr="00C47BE6">
        <w:rPr>
          <w:rFonts w:ascii="Calibri Light" w:hAnsi="Calibri Light" w:cs="Calibri Light"/>
        </w:rPr>
        <w:tab/>
        <w:t>Australian Dollar</w:t>
      </w:r>
    </w:p>
    <w:p w14:paraId="71F03934"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CCRO</w:t>
      </w:r>
      <w:r w:rsidRPr="00C47BE6">
        <w:rPr>
          <w:rFonts w:ascii="Calibri Light" w:hAnsi="Calibri Light" w:cs="Calibri Light"/>
        </w:rPr>
        <w:tab/>
      </w:r>
      <w:r w:rsidRPr="00C47BE6">
        <w:rPr>
          <w:rFonts w:ascii="Calibri Light" w:hAnsi="Calibri Light" w:cs="Calibri Light"/>
        </w:rPr>
        <w:tab/>
        <w:t>Central Civil Registration Office</w:t>
      </w:r>
    </w:p>
    <w:p w14:paraId="27CF7155"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CSF</w:t>
      </w:r>
      <w:r w:rsidRPr="00C47BE6">
        <w:rPr>
          <w:rFonts w:ascii="Calibri Light" w:hAnsi="Calibri Light" w:cs="Calibri Light"/>
        </w:rPr>
        <w:tab/>
      </w:r>
      <w:r w:rsidRPr="00C47BE6">
        <w:rPr>
          <w:rFonts w:ascii="Calibri Light" w:hAnsi="Calibri Light" w:cs="Calibri Light"/>
        </w:rPr>
        <w:tab/>
        <w:t>Central Security Forces</w:t>
      </w:r>
    </w:p>
    <w:p w14:paraId="5C3BA404"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CSO</w:t>
      </w:r>
      <w:r w:rsidRPr="00C47BE6">
        <w:rPr>
          <w:rFonts w:ascii="Calibri Light" w:hAnsi="Calibri Light" w:cs="Calibri Light"/>
        </w:rPr>
        <w:tab/>
      </w:r>
      <w:r w:rsidRPr="00C47BE6">
        <w:rPr>
          <w:rFonts w:ascii="Calibri Light" w:hAnsi="Calibri Light" w:cs="Calibri Light"/>
        </w:rPr>
        <w:tab/>
        <w:t>Civil Society Organisation</w:t>
      </w:r>
    </w:p>
    <w:p w14:paraId="77101AFF"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EGP</w:t>
      </w:r>
      <w:r w:rsidRPr="00C47BE6">
        <w:rPr>
          <w:rFonts w:ascii="Calibri Light" w:hAnsi="Calibri Light" w:cs="Calibri Light"/>
        </w:rPr>
        <w:tab/>
      </w:r>
      <w:r w:rsidRPr="00C47BE6">
        <w:rPr>
          <w:rFonts w:ascii="Calibri Light" w:hAnsi="Calibri Light" w:cs="Calibri Light"/>
        </w:rPr>
        <w:tab/>
        <w:t>Egyptian Pound (currency)</w:t>
      </w:r>
    </w:p>
    <w:p w14:paraId="3FE897E8"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ENP</w:t>
      </w:r>
      <w:r w:rsidRPr="00C47BE6">
        <w:rPr>
          <w:rFonts w:ascii="Calibri Light" w:hAnsi="Calibri Light" w:cs="Calibri Light"/>
        </w:rPr>
        <w:tab/>
      </w:r>
      <w:r w:rsidRPr="00C47BE6">
        <w:rPr>
          <w:rFonts w:ascii="Calibri Light" w:hAnsi="Calibri Light" w:cs="Calibri Light"/>
        </w:rPr>
        <w:tab/>
        <w:t>Egyptian National Police</w:t>
      </w:r>
    </w:p>
    <w:p w14:paraId="59186F14"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ERC</w:t>
      </w:r>
      <w:r w:rsidRPr="00C47BE6">
        <w:rPr>
          <w:rFonts w:ascii="Calibri Light" w:hAnsi="Calibri Light" w:cs="Calibri Light"/>
        </w:rPr>
        <w:tab/>
      </w:r>
      <w:r w:rsidRPr="00C47BE6">
        <w:rPr>
          <w:rFonts w:ascii="Calibri Light" w:hAnsi="Calibri Light" w:cs="Calibri Light"/>
        </w:rPr>
        <w:tab/>
        <w:t xml:space="preserve">Egyptian Red Crescent </w:t>
      </w:r>
    </w:p>
    <w:p w14:paraId="196A3D44"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FGM/C</w:t>
      </w:r>
      <w:r w:rsidRPr="00C47BE6">
        <w:rPr>
          <w:rFonts w:ascii="Calibri Light" w:hAnsi="Calibri Light" w:cs="Calibri Light"/>
        </w:rPr>
        <w:tab/>
      </w:r>
      <w:r w:rsidRPr="00C47BE6">
        <w:rPr>
          <w:rFonts w:ascii="Calibri Light" w:hAnsi="Calibri Light" w:cs="Calibri Light"/>
        </w:rPr>
        <w:tab/>
        <w:t>Female Genital Mutilation/Cutting</w:t>
      </w:r>
    </w:p>
    <w:p w14:paraId="1BBD1BDE"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 xml:space="preserve">GSMHAT </w:t>
      </w:r>
      <w:r w:rsidRPr="00C47BE6">
        <w:rPr>
          <w:rFonts w:ascii="Calibri Light" w:hAnsi="Calibri Light" w:cs="Calibri Light"/>
        </w:rPr>
        <w:tab/>
      </w:r>
      <w:r w:rsidRPr="00C47BE6">
        <w:rPr>
          <w:rFonts w:ascii="Calibri Light" w:hAnsi="Calibri Light" w:cs="Calibri Light"/>
        </w:rPr>
        <w:tab/>
        <w:t>General Secretariat of Mental Health</w:t>
      </w:r>
    </w:p>
    <w:p w14:paraId="40E2D609"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IOM</w:t>
      </w:r>
      <w:r w:rsidRPr="00C47BE6">
        <w:rPr>
          <w:rFonts w:ascii="Calibri Light" w:hAnsi="Calibri Light" w:cs="Calibri Light"/>
        </w:rPr>
        <w:tab/>
      </w:r>
      <w:r w:rsidRPr="00C47BE6">
        <w:rPr>
          <w:rFonts w:ascii="Calibri Light" w:hAnsi="Calibri Light" w:cs="Calibri Light"/>
        </w:rPr>
        <w:tab/>
        <w:t>International Organization for Migration</w:t>
      </w:r>
    </w:p>
    <w:p w14:paraId="5939EE8F"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IMF</w:t>
      </w:r>
      <w:r w:rsidRPr="00C47BE6">
        <w:rPr>
          <w:rFonts w:ascii="Calibri Light" w:hAnsi="Calibri Light" w:cs="Calibri Light"/>
        </w:rPr>
        <w:tab/>
      </w:r>
      <w:r w:rsidRPr="00C47BE6">
        <w:rPr>
          <w:rFonts w:ascii="Calibri Light" w:hAnsi="Calibri Light" w:cs="Calibri Light"/>
        </w:rPr>
        <w:tab/>
        <w:t>International Monetary Fund</w:t>
      </w:r>
    </w:p>
    <w:p w14:paraId="1E81D53E"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INGO</w:t>
      </w:r>
      <w:r w:rsidRPr="00C47BE6">
        <w:rPr>
          <w:rFonts w:ascii="Calibri Light" w:hAnsi="Calibri Light" w:cs="Calibri Light"/>
        </w:rPr>
        <w:tab/>
      </w:r>
      <w:r w:rsidRPr="00C47BE6">
        <w:rPr>
          <w:rFonts w:ascii="Calibri Light" w:hAnsi="Calibri Light" w:cs="Calibri Light"/>
        </w:rPr>
        <w:tab/>
        <w:t>International Non-Government Organisation</w:t>
      </w:r>
    </w:p>
    <w:p w14:paraId="75DE7793"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 xml:space="preserve">LGBTQIA+ </w:t>
      </w:r>
      <w:r w:rsidRPr="00C47BE6">
        <w:rPr>
          <w:rFonts w:ascii="Calibri Light" w:hAnsi="Calibri Light" w:cs="Calibri Light"/>
        </w:rPr>
        <w:tab/>
      </w:r>
      <w:r w:rsidRPr="00C47BE6">
        <w:rPr>
          <w:rFonts w:ascii="Calibri Light" w:hAnsi="Calibri Light" w:cs="Calibri Light"/>
        </w:rPr>
        <w:tab/>
        <w:t>Lesbian, Gay, Bisexual, Transgender, Queer, Intersex or Asexual</w:t>
      </w:r>
    </w:p>
    <w:p w14:paraId="729E2A40"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NCHR</w:t>
      </w:r>
      <w:r w:rsidRPr="00C47BE6">
        <w:rPr>
          <w:rFonts w:ascii="Calibri Light" w:hAnsi="Calibri Light" w:cs="Calibri Light"/>
        </w:rPr>
        <w:tab/>
      </w:r>
      <w:r w:rsidRPr="00C47BE6">
        <w:rPr>
          <w:rFonts w:ascii="Calibri Light" w:hAnsi="Calibri Light" w:cs="Calibri Light"/>
        </w:rPr>
        <w:tab/>
        <w:t>National Council for Human Rights</w:t>
      </w:r>
    </w:p>
    <w:p w14:paraId="38C7D029"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NGO</w:t>
      </w:r>
      <w:r w:rsidRPr="00C47BE6">
        <w:rPr>
          <w:rFonts w:ascii="Calibri Light" w:hAnsi="Calibri Light" w:cs="Calibri Light"/>
        </w:rPr>
        <w:tab/>
      </w:r>
      <w:r w:rsidRPr="00C47BE6">
        <w:rPr>
          <w:rFonts w:ascii="Calibri Light" w:hAnsi="Calibri Light" w:cs="Calibri Light"/>
        </w:rPr>
        <w:tab/>
        <w:t>Non-Government Organisation</w:t>
      </w:r>
    </w:p>
    <w:p w14:paraId="648998EC"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NSA</w:t>
      </w:r>
      <w:r w:rsidRPr="00C47BE6">
        <w:rPr>
          <w:rFonts w:ascii="Calibri Light" w:hAnsi="Calibri Light" w:cs="Calibri Light"/>
        </w:rPr>
        <w:tab/>
      </w:r>
      <w:r w:rsidRPr="00C47BE6">
        <w:rPr>
          <w:rFonts w:ascii="Calibri Light" w:hAnsi="Calibri Light" w:cs="Calibri Light"/>
        </w:rPr>
        <w:tab/>
        <w:t>National Security Agency</w:t>
      </w:r>
    </w:p>
    <w:p w14:paraId="0DBC8262"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 xml:space="preserve">SSCHR </w:t>
      </w:r>
      <w:r w:rsidRPr="00C47BE6">
        <w:rPr>
          <w:rFonts w:ascii="Calibri Light" w:hAnsi="Calibri Light" w:cs="Calibri Light"/>
        </w:rPr>
        <w:tab/>
      </w:r>
      <w:r w:rsidRPr="00C47BE6">
        <w:rPr>
          <w:rFonts w:ascii="Calibri Light" w:hAnsi="Calibri Light" w:cs="Calibri Light"/>
        </w:rPr>
        <w:tab/>
        <w:t>Supreme Standing Committee for Human Rights</w:t>
      </w:r>
    </w:p>
    <w:p w14:paraId="13E2AB9E"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SSEC</w:t>
      </w:r>
      <w:r w:rsidRPr="00C47BE6">
        <w:rPr>
          <w:rFonts w:ascii="Calibri Light" w:hAnsi="Calibri Light" w:cs="Calibri Light"/>
        </w:rPr>
        <w:tab/>
      </w:r>
      <w:r w:rsidRPr="00C47BE6">
        <w:rPr>
          <w:rFonts w:ascii="Calibri Light" w:hAnsi="Calibri Light" w:cs="Calibri Light"/>
        </w:rPr>
        <w:tab/>
        <w:t>State Security Emergency Courts</w:t>
      </w:r>
    </w:p>
    <w:p w14:paraId="79DE80D8"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UNICEF</w:t>
      </w:r>
      <w:r w:rsidRPr="00C47BE6">
        <w:rPr>
          <w:rFonts w:ascii="Calibri Light" w:hAnsi="Calibri Light" w:cs="Calibri Light"/>
        </w:rPr>
        <w:tab/>
      </w:r>
      <w:r w:rsidRPr="00C47BE6">
        <w:rPr>
          <w:rFonts w:ascii="Calibri Light" w:hAnsi="Calibri Light" w:cs="Calibri Light"/>
        </w:rPr>
        <w:tab/>
        <w:t>United Nations International Children’s Emergency Fund</w:t>
      </w:r>
    </w:p>
    <w:p w14:paraId="6801E45D" w14:textId="77777777" w:rsidR="00C47BE6" w:rsidRPr="00C47BE6" w:rsidRDefault="00C47BE6" w:rsidP="00C47BE6">
      <w:pPr>
        <w:tabs>
          <w:tab w:val="left" w:pos="1701"/>
        </w:tabs>
        <w:ind w:firstLine="0"/>
        <w:rPr>
          <w:rFonts w:ascii="Calibri Light" w:hAnsi="Calibri Light" w:cs="Calibri Light"/>
        </w:rPr>
      </w:pPr>
      <w:r w:rsidRPr="00C47BE6">
        <w:rPr>
          <w:rFonts w:ascii="Calibri Light" w:hAnsi="Calibri Light" w:cs="Calibri Light"/>
        </w:rPr>
        <w:t>UN OHCHR</w:t>
      </w:r>
      <w:r w:rsidRPr="00C47BE6">
        <w:rPr>
          <w:rFonts w:ascii="Calibri Light" w:hAnsi="Calibri Light" w:cs="Calibri Light"/>
        </w:rPr>
        <w:tab/>
      </w:r>
      <w:r w:rsidRPr="00C47BE6">
        <w:rPr>
          <w:rFonts w:ascii="Calibri Light" w:hAnsi="Calibri Light" w:cs="Calibri Light"/>
        </w:rPr>
        <w:tab/>
        <w:t xml:space="preserve">United Nations Office of the High Commissioner on Human Rights </w:t>
      </w:r>
    </w:p>
    <w:p w14:paraId="2BA2B467" w14:textId="77777777" w:rsidR="00C47BE6" w:rsidRPr="00C47BE6" w:rsidRDefault="00C47BE6" w:rsidP="00C47BE6">
      <w:pPr>
        <w:pStyle w:val="BodyCopy"/>
        <w:ind w:firstLine="0"/>
        <w:rPr>
          <w:color w:val="auto"/>
        </w:rPr>
      </w:pPr>
      <w:r w:rsidRPr="00C47BE6">
        <w:t>UPR</w:t>
      </w:r>
      <w:r w:rsidRPr="00C47BE6">
        <w:tab/>
      </w:r>
      <w:r w:rsidRPr="00C47BE6">
        <w:tab/>
      </w:r>
      <w:r w:rsidRPr="00C47BE6">
        <w:tab/>
      </w:r>
      <w:r w:rsidRPr="00C47BE6">
        <w:rPr>
          <w:color w:val="auto"/>
        </w:rPr>
        <w:t>Universal Periodic Review</w:t>
      </w:r>
    </w:p>
    <w:p w14:paraId="1BEFAD7C" w14:textId="77777777" w:rsidR="00C47BE6" w:rsidRPr="00C47BE6" w:rsidRDefault="00C47BE6" w:rsidP="00C47BE6">
      <w:pPr>
        <w:pStyle w:val="BodyCopy"/>
        <w:ind w:firstLine="0"/>
        <w:rPr>
          <w:color w:val="auto"/>
        </w:rPr>
      </w:pPr>
      <w:r w:rsidRPr="00C47BE6">
        <w:t>WHO</w:t>
      </w:r>
      <w:r w:rsidRPr="00C47BE6">
        <w:tab/>
      </w:r>
      <w:r w:rsidRPr="00C47BE6">
        <w:tab/>
      </w:r>
      <w:r w:rsidRPr="00C47BE6">
        <w:tab/>
        <w:t>World Health Organization</w:t>
      </w:r>
    </w:p>
    <w:p w14:paraId="54DF2E42" w14:textId="77777777" w:rsidR="00C47BE6" w:rsidRPr="00721625" w:rsidRDefault="00C47BE6" w:rsidP="00C47BE6">
      <w:pPr>
        <w:spacing w:after="0"/>
        <w:rPr>
          <w:rFonts w:ascii="Calibri Light" w:hAnsi="Calibri Light" w:cs="Calibri Light"/>
        </w:rPr>
      </w:pPr>
      <w:r w:rsidRPr="00721625">
        <w:br w:type="page"/>
      </w:r>
    </w:p>
    <w:p w14:paraId="10FE8D5F" w14:textId="77777777" w:rsidR="00C47BE6" w:rsidRPr="00C47BE6" w:rsidRDefault="00C47BE6" w:rsidP="00C47BE6">
      <w:pPr>
        <w:pStyle w:val="H1-Heading1"/>
        <w:spacing w:after="240"/>
        <w:ind w:firstLine="0"/>
        <w:jc w:val="left"/>
        <w:rPr>
          <w:rStyle w:val="Strong"/>
          <w:rFonts w:ascii="Calibri" w:hAnsi="Calibri" w:cs="Calibri"/>
          <w:b/>
          <w:bCs/>
          <w:color w:val="auto"/>
        </w:rPr>
      </w:pPr>
      <w:bookmarkStart w:id="11" w:name="_Toc196387067"/>
      <w:r w:rsidRPr="00C47BE6">
        <w:rPr>
          <w:rFonts w:ascii="Calibri" w:hAnsi="Calibri" w:cs="Calibri"/>
          <w:color w:val="auto"/>
        </w:rPr>
        <w:lastRenderedPageBreak/>
        <w:t>GLOSSARY</w:t>
      </w:r>
      <w:bookmarkEnd w:id="11"/>
    </w:p>
    <w:p w14:paraId="10821E80" w14:textId="77777777" w:rsidR="00C47BE6" w:rsidRPr="00C47BE6" w:rsidRDefault="00C47BE6" w:rsidP="00C47BE6">
      <w:pPr>
        <w:ind w:left="1701" w:hanging="1701"/>
        <w:rPr>
          <w:rFonts w:ascii="Calibri Light" w:hAnsi="Calibri Light" w:cs="Calibri Light"/>
        </w:rPr>
      </w:pPr>
      <w:r w:rsidRPr="00C47BE6">
        <w:rPr>
          <w:rFonts w:ascii="Calibri Light" w:hAnsi="Calibri Light" w:cs="Calibri Light"/>
          <w:i/>
        </w:rPr>
        <w:t>Baksheesh</w:t>
      </w:r>
      <w:r w:rsidRPr="00C47BE6">
        <w:rPr>
          <w:rFonts w:ascii="Calibri Light" w:hAnsi="Calibri Light" w:cs="Calibri Light"/>
        </w:rPr>
        <w:tab/>
      </w:r>
      <w:r w:rsidRPr="00C47BE6">
        <w:rPr>
          <w:rFonts w:ascii="Calibri Light" w:hAnsi="Calibri Light" w:cs="Calibri Light"/>
        </w:rPr>
        <w:tab/>
        <w:t xml:space="preserve">Gratuity payment expected in return for the provision of services </w:t>
      </w:r>
    </w:p>
    <w:p w14:paraId="6AD8D5AF" w14:textId="77777777" w:rsidR="00C47BE6" w:rsidRPr="00C47BE6" w:rsidRDefault="00C47BE6" w:rsidP="00C47BE6">
      <w:pPr>
        <w:ind w:left="1701" w:hanging="1701"/>
        <w:rPr>
          <w:rFonts w:ascii="Calibri Light" w:hAnsi="Calibri Light" w:cs="Calibri Light"/>
        </w:rPr>
      </w:pPr>
      <w:r w:rsidRPr="00C47BE6">
        <w:rPr>
          <w:rFonts w:ascii="Calibri Light" w:hAnsi="Calibri Light" w:cs="Calibri Light"/>
          <w:i/>
        </w:rPr>
        <w:t>Sharia</w:t>
      </w:r>
      <w:r w:rsidRPr="00C47BE6">
        <w:rPr>
          <w:rFonts w:ascii="Calibri Light" w:hAnsi="Calibri Light" w:cs="Calibri Light"/>
          <w:i/>
        </w:rPr>
        <w:tab/>
      </w:r>
      <w:r w:rsidRPr="00C47BE6">
        <w:rPr>
          <w:rFonts w:ascii="Calibri Light" w:hAnsi="Calibri Light" w:cs="Calibri Light"/>
          <w:i/>
        </w:rPr>
        <w:tab/>
      </w:r>
      <w:r w:rsidRPr="00C47BE6">
        <w:rPr>
          <w:rFonts w:ascii="Calibri Light" w:hAnsi="Calibri Light" w:cs="Calibri Light"/>
        </w:rPr>
        <w:t>Islamic law</w:t>
      </w:r>
    </w:p>
    <w:p w14:paraId="1B8A9BD4" w14:textId="77777777" w:rsidR="00C47BE6" w:rsidRPr="00C47BE6" w:rsidRDefault="00C47BE6" w:rsidP="00C47BE6">
      <w:pPr>
        <w:ind w:left="2160" w:hanging="2160"/>
        <w:rPr>
          <w:rFonts w:ascii="Calibri Light" w:hAnsi="Calibri Light" w:cs="Calibri Light"/>
        </w:rPr>
      </w:pPr>
      <w:r w:rsidRPr="00C47BE6">
        <w:rPr>
          <w:rFonts w:ascii="Calibri Light" w:hAnsi="Calibri Light" w:cs="Calibri Light"/>
          <w:i/>
        </w:rPr>
        <w:t>Shura</w:t>
      </w:r>
      <w:r w:rsidRPr="00C47BE6">
        <w:rPr>
          <w:rFonts w:ascii="Calibri Light" w:hAnsi="Calibri Light" w:cs="Calibri Light"/>
          <w:i/>
        </w:rPr>
        <w:tab/>
      </w:r>
      <w:r w:rsidRPr="00C47BE6">
        <w:rPr>
          <w:rFonts w:ascii="Calibri Light" w:hAnsi="Calibri Light" w:cs="Calibri Light"/>
        </w:rPr>
        <w:t>Principle of Islamic governance in which leaders consult with a council or the community before making an important decision</w:t>
      </w:r>
    </w:p>
    <w:p w14:paraId="2F88D43B" w14:textId="77777777" w:rsidR="00C47BE6" w:rsidRPr="00C47BE6" w:rsidRDefault="00C47BE6" w:rsidP="00C47BE6">
      <w:pPr>
        <w:ind w:left="2160" w:hanging="2160"/>
        <w:rPr>
          <w:rFonts w:ascii="Calibri Light" w:hAnsi="Calibri Light" w:cs="Calibri Light"/>
          <w:b/>
          <w:sz w:val="28"/>
          <w:szCs w:val="28"/>
        </w:rPr>
      </w:pPr>
      <w:r w:rsidRPr="00C47BE6">
        <w:rPr>
          <w:rFonts w:ascii="Calibri Light" w:hAnsi="Calibri Light" w:cs="Calibri Light"/>
          <w:i/>
          <w:iCs/>
        </w:rPr>
        <w:t>Wasta</w:t>
      </w:r>
      <w:r w:rsidRPr="00C47BE6">
        <w:rPr>
          <w:rFonts w:ascii="Calibri Light" w:hAnsi="Calibri Light" w:cs="Calibri Light"/>
          <w:i/>
          <w:iCs/>
        </w:rPr>
        <w:tab/>
      </w:r>
      <w:r w:rsidRPr="00C47BE6">
        <w:rPr>
          <w:rFonts w:ascii="Calibri Light" w:hAnsi="Calibri Light" w:cs="Calibri Light"/>
        </w:rPr>
        <w:t>Personal connections and favouritism</w:t>
      </w:r>
    </w:p>
    <w:p w14:paraId="2F42A876" w14:textId="77777777" w:rsidR="00C47BE6" w:rsidRPr="009655F1" w:rsidRDefault="00C47BE6" w:rsidP="00C47BE6">
      <w:pPr>
        <w:pStyle w:val="BodyCopy"/>
        <w:rPr>
          <w:color w:val="auto"/>
        </w:rPr>
      </w:pPr>
    </w:p>
    <w:p w14:paraId="2B458638" w14:textId="77777777" w:rsidR="00C47BE6" w:rsidRPr="00C47BE6" w:rsidRDefault="00C47BE6" w:rsidP="00C47BE6">
      <w:pPr>
        <w:ind w:firstLine="0"/>
        <w:jc w:val="left"/>
        <w:rPr>
          <w:rFonts w:cs="Calibri"/>
          <w:b/>
          <w:sz w:val="28"/>
          <w:szCs w:val="28"/>
        </w:rPr>
      </w:pPr>
      <w:r w:rsidRPr="00C47BE6">
        <w:rPr>
          <w:rFonts w:cs="Calibri"/>
          <w:b/>
          <w:sz w:val="28"/>
          <w:szCs w:val="28"/>
        </w:rPr>
        <w:t>Terms used in this report</w:t>
      </w:r>
    </w:p>
    <w:p w14:paraId="253AD389" w14:textId="77777777" w:rsidR="00C47BE6" w:rsidRPr="00C47BE6" w:rsidRDefault="00C47BE6" w:rsidP="00C47BE6">
      <w:pPr>
        <w:ind w:firstLine="0"/>
        <w:rPr>
          <w:rFonts w:ascii="Calibri Light" w:hAnsi="Calibri Light" w:cs="Calibri Light"/>
          <w:bCs/>
        </w:rPr>
      </w:pPr>
      <w:r w:rsidRPr="00C47BE6">
        <w:rPr>
          <w:rFonts w:ascii="Calibri Light" w:hAnsi="Calibri Light" w:cs="Calibri Light"/>
          <w:bCs/>
        </w:rPr>
        <w:t xml:space="preserve">Almost certain </w:t>
      </w:r>
      <w:r w:rsidRPr="00C47BE6">
        <w:rPr>
          <w:rFonts w:ascii="Calibri Light" w:hAnsi="Calibri Light" w:cs="Calibri Light"/>
          <w:bCs/>
        </w:rPr>
        <w:tab/>
      </w:r>
      <w:r w:rsidRPr="00C47BE6">
        <w:rPr>
          <w:rFonts w:ascii="Calibri Light" w:hAnsi="Calibri Light" w:cs="Calibri Light"/>
          <w:bCs/>
        </w:rPr>
        <w:tab/>
        <w:t>This treatment is expected to occur in nearly all circumstances.</w:t>
      </w:r>
    </w:p>
    <w:p w14:paraId="5CD1E34B" w14:textId="77777777" w:rsidR="00C47BE6" w:rsidRPr="00C47BE6" w:rsidRDefault="00C47BE6" w:rsidP="00C47BE6">
      <w:pPr>
        <w:ind w:firstLine="0"/>
        <w:rPr>
          <w:rFonts w:ascii="Calibri Light" w:hAnsi="Calibri Light" w:cs="Calibri Light"/>
          <w:bCs/>
        </w:rPr>
      </w:pPr>
      <w:r w:rsidRPr="00C47BE6">
        <w:rPr>
          <w:rFonts w:ascii="Calibri Light" w:hAnsi="Calibri Light" w:cs="Calibri Light"/>
          <w:bCs/>
        </w:rPr>
        <w:t xml:space="preserve">Likely </w:t>
      </w:r>
      <w:r w:rsidRPr="00C47BE6">
        <w:rPr>
          <w:rFonts w:ascii="Calibri Light" w:hAnsi="Calibri Light" w:cs="Calibri Light"/>
          <w:bCs/>
        </w:rPr>
        <w:tab/>
      </w:r>
      <w:r w:rsidRPr="00C47BE6">
        <w:rPr>
          <w:rFonts w:ascii="Calibri Light" w:hAnsi="Calibri Light" w:cs="Calibri Light"/>
          <w:bCs/>
        </w:rPr>
        <w:tab/>
      </w:r>
      <w:r w:rsidRPr="00C47BE6">
        <w:rPr>
          <w:rFonts w:ascii="Calibri Light" w:hAnsi="Calibri Light" w:cs="Calibri Light"/>
          <w:bCs/>
        </w:rPr>
        <w:tab/>
        <w:t>This treatment is expected to occur in most circumstances.</w:t>
      </w:r>
    </w:p>
    <w:p w14:paraId="7B099ABF" w14:textId="77777777" w:rsidR="00C47BE6" w:rsidRPr="00C47BE6" w:rsidRDefault="00C47BE6" w:rsidP="00C47BE6">
      <w:pPr>
        <w:ind w:firstLine="0"/>
        <w:rPr>
          <w:rFonts w:ascii="Calibri Light" w:hAnsi="Calibri Light" w:cs="Calibri Light"/>
          <w:bCs/>
        </w:rPr>
      </w:pPr>
      <w:r w:rsidRPr="00C47BE6">
        <w:rPr>
          <w:rFonts w:ascii="Calibri Light" w:hAnsi="Calibri Light" w:cs="Calibri Light"/>
          <w:bCs/>
        </w:rPr>
        <w:t xml:space="preserve">Possibly </w:t>
      </w:r>
      <w:r w:rsidRPr="00C47BE6">
        <w:rPr>
          <w:rFonts w:ascii="Calibri Light" w:hAnsi="Calibri Light" w:cs="Calibri Light"/>
          <w:bCs/>
        </w:rPr>
        <w:tab/>
      </w:r>
      <w:r w:rsidRPr="00C47BE6">
        <w:rPr>
          <w:rFonts w:ascii="Calibri Light" w:hAnsi="Calibri Light" w:cs="Calibri Light"/>
          <w:bCs/>
        </w:rPr>
        <w:tab/>
        <w:t>This treatment may occur in some circumstances.</w:t>
      </w:r>
    </w:p>
    <w:p w14:paraId="3A827DCF" w14:textId="77777777" w:rsidR="00C47BE6" w:rsidRPr="00C47BE6" w:rsidRDefault="00C47BE6" w:rsidP="00C47BE6">
      <w:pPr>
        <w:ind w:firstLine="0"/>
        <w:rPr>
          <w:rFonts w:ascii="Calibri Light" w:hAnsi="Calibri Light" w:cs="Calibri Light"/>
          <w:bCs/>
        </w:rPr>
      </w:pPr>
      <w:r w:rsidRPr="00C47BE6">
        <w:rPr>
          <w:rFonts w:ascii="Calibri Light" w:hAnsi="Calibri Light" w:cs="Calibri Light"/>
          <w:bCs/>
        </w:rPr>
        <w:t xml:space="preserve">Unlikely </w:t>
      </w:r>
      <w:r w:rsidRPr="00C47BE6">
        <w:rPr>
          <w:rFonts w:ascii="Calibri Light" w:hAnsi="Calibri Light" w:cs="Calibri Light"/>
          <w:bCs/>
        </w:rPr>
        <w:tab/>
      </w:r>
      <w:r w:rsidRPr="00C47BE6">
        <w:rPr>
          <w:rFonts w:ascii="Calibri Light" w:hAnsi="Calibri Light" w:cs="Calibri Light"/>
          <w:bCs/>
        </w:rPr>
        <w:tab/>
        <w:t>This treatment is not expected to occur in most circumstances.</w:t>
      </w:r>
    </w:p>
    <w:p w14:paraId="3B2141BF" w14:textId="77777777" w:rsidR="00C47BE6" w:rsidRPr="00C47BE6" w:rsidRDefault="00C47BE6" w:rsidP="00C47BE6">
      <w:pPr>
        <w:ind w:firstLine="0"/>
        <w:rPr>
          <w:rFonts w:ascii="Calibri Light" w:hAnsi="Calibri Light" w:cs="Calibri Light"/>
        </w:rPr>
      </w:pPr>
      <w:r w:rsidRPr="00C47BE6">
        <w:rPr>
          <w:rFonts w:ascii="Calibri Light" w:hAnsi="Calibri Light" w:cs="Calibri Light"/>
          <w:bCs/>
        </w:rPr>
        <w:t xml:space="preserve">Rare </w:t>
      </w:r>
      <w:r w:rsidRPr="00C47BE6">
        <w:rPr>
          <w:rFonts w:ascii="Calibri Light" w:hAnsi="Calibri Light" w:cs="Calibri Light"/>
          <w:bCs/>
        </w:rPr>
        <w:tab/>
      </w:r>
      <w:r w:rsidRPr="00C47BE6">
        <w:rPr>
          <w:rFonts w:ascii="Calibri Light" w:hAnsi="Calibri Light" w:cs="Calibri Light"/>
          <w:bCs/>
        </w:rPr>
        <w:tab/>
      </w:r>
      <w:r w:rsidRPr="00C47BE6">
        <w:rPr>
          <w:rFonts w:ascii="Calibri Light" w:hAnsi="Calibri Light" w:cs="Calibri Light"/>
          <w:bCs/>
        </w:rPr>
        <w:tab/>
        <w:t>This treatment is only expected to occur in exceptional circumstances.</w:t>
      </w:r>
    </w:p>
    <w:p w14:paraId="05E4042C" w14:textId="77777777" w:rsidR="00C47BE6" w:rsidRPr="00C47BE6" w:rsidRDefault="00C47BE6" w:rsidP="00C47BE6">
      <w:pPr>
        <w:rPr>
          <w:rFonts w:ascii="Calibri Light" w:hAnsi="Calibri Light" w:cs="Calibri Light"/>
        </w:rPr>
      </w:pPr>
    </w:p>
    <w:p w14:paraId="1780BFEA" w14:textId="77777777" w:rsidR="00C47BE6" w:rsidRPr="00C47BE6" w:rsidRDefault="00C47BE6" w:rsidP="00C47BE6">
      <w:pPr>
        <w:ind w:firstLine="0"/>
        <w:rPr>
          <w:rFonts w:ascii="Calibri Light" w:hAnsi="Calibri Light" w:cs="Calibri Light"/>
          <w:bCs/>
        </w:rPr>
      </w:pPr>
      <w:r w:rsidRPr="00C47BE6">
        <w:rPr>
          <w:rFonts w:ascii="Calibri Light" w:hAnsi="Calibri Light" w:cs="Calibri Light"/>
          <w:bCs/>
        </w:rPr>
        <w:t>Official discrimination</w:t>
      </w:r>
    </w:p>
    <w:p w14:paraId="414F22C3" w14:textId="77777777" w:rsidR="00C47BE6" w:rsidRPr="00C47BE6" w:rsidRDefault="00C47BE6" w:rsidP="00C47BE6">
      <w:pPr>
        <w:pStyle w:val="ListParagraph"/>
        <w:numPr>
          <w:ilvl w:val="0"/>
          <w:numId w:val="3"/>
        </w:numPr>
        <w:tabs>
          <w:tab w:val="left" w:pos="2268"/>
        </w:tabs>
        <w:suppressAutoHyphens/>
        <w:spacing w:after="60" w:line="260" w:lineRule="atLeast"/>
        <w:rPr>
          <w:rFonts w:ascii="Calibri Light" w:hAnsi="Calibri Light" w:cs="Calibri Light"/>
        </w:rPr>
      </w:pPr>
      <w:r w:rsidRPr="00C47BE6">
        <w:rPr>
          <w:rFonts w:ascii="Calibri Light" w:hAnsi="Calibri Light" w:cs="Calibri Light"/>
        </w:rPr>
        <w:t>legal or regulatory measures applying to a particular group that impede access to state protection or services that are available to other sections of the population (examples might include but are not limited to difficulties in obtaining personal registrations or identity papers, difficulties in having papers recognised, arbitrary arrest and detention)</w:t>
      </w:r>
    </w:p>
    <w:p w14:paraId="13F579DF" w14:textId="77777777" w:rsidR="00C47BE6" w:rsidRPr="00C47BE6" w:rsidRDefault="00C47BE6" w:rsidP="00C47BE6">
      <w:pPr>
        <w:pStyle w:val="ListParagraph"/>
        <w:numPr>
          <w:ilvl w:val="0"/>
          <w:numId w:val="3"/>
        </w:numPr>
        <w:tabs>
          <w:tab w:val="left" w:pos="2268"/>
        </w:tabs>
        <w:suppressAutoHyphens/>
        <w:spacing w:after="60" w:line="260" w:lineRule="atLeast"/>
        <w:rPr>
          <w:rFonts w:ascii="Calibri Light" w:hAnsi="Calibri Light" w:cs="Calibri Light"/>
        </w:rPr>
      </w:pPr>
      <w:r w:rsidRPr="00C47BE6">
        <w:rPr>
          <w:rFonts w:ascii="Calibri Light" w:hAnsi="Calibri Light" w:cs="Calibri Light"/>
        </w:rPr>
        <w:t>behaviour by state employees towards a particular group that impedes access to state protection or services otherwise available, including by failure to implement legislative or administrative measures</w:t>
      </w:r>
    </w:p>
    <w:p w14:paraId="4B510A1F" w14:textId="77777777" w:rsidR="00C47BE6" w:rsidRPr="00C47BE6" w:rsidRDefault="00C47BE6" w:rsidP="00C47BE6">
      <w:pPr>
        <w:ind w:firstLine="0"/>
        <w:rPr>
          <w:rFonts w:ascii="Calibri Light" w:hAnsi="Calibri Light" w:cs="Calibri Light"/>
          <w:bCs/>
        </w:rPr>
      </w:pPr>
      <w:r w:rsidRPr="00C47BE6">
        <w:rPr>
          <w:rFonts w:ascii="Calibri Light" w:hAnsi="Calibri Light" w:cs="Calibri Light"/>
          <w:bCs/>
        </w:rPr>
        <w:t xml:space="preserve">Societal discrimination </w:t>
      </w:r>
    </w:p>
    <w:p w14:paraId="7EFE243F" w14:textId="731F3C93" w:rsidR="00C47BE6" w:rsidRPr="00C47BE6" w:rsidRDefault="00C47BE6" w:rsidP="00C47BE6">
      <w:pPr>
        <w:pStyle w:val="ListParagraph"/>
        <w:numPr>
          <w:ilvl w:val="0"/>
          <w:numId w:val="4"/>
        </w:numPr>
        <w:tabs>
          <w:tab w:val="left" w:pos="2268"/>
        </w:tabs>
        <w:suppressAutoHyphens/>
        <w:spacing w:after="60" w:line="260" w:lineRule="atLeast"/>
        <w:rPr>
          <w:rFonts w:ascii="Calibri Light" w:hAnsi="Calibri Light" w:cs="Calibri Light"/>
        </w:rPr>
      </w:pPr>
      <w:r w:rsidRPr="00C47BE6">
        <w:rPr>
          <w:rFonts w:ascii="Calibri Light" w:hAnsi="Calibri Light" w:cs="Calibri Light"/>
        </w:rPr>
        <w:t xml:space="preserve">behaviour by members of society (including family members, employers or service providers) that impedes access by a particular group to goods or services normally available to other sections of society (examples could include but are not limited to refusal to </w:t>
      </w:r>
      <w:r w:rsidR="00FD5F3E">
        <w:rPr>
          <w:rFonts w:ascii="Calibri Light" w:hAnsi="Calibri Light" w:cs="Calibri Light"/>
        </w:rPr>
        <w:t xml:space="preserve">let </w:t>
      </w:r>
      <w:r w:rsidRPr="00C47BE6">
        <w:rPr>
          <w:rFonts w:ascii="Calibri Light" w:hAnsi="Calibri Light" w:cs="Calibri Light"/>
        </w:rPr>
        <w:t>property, refusal to sell goods or services, or employment discrimination)</w:t>
      </w:r>
    </w:p>
    <w:p w14:paraId="76C16EAF" w14:textId="77777777" w:rsidR="00C47BE6" w:rsidRPr="00C47BE6" w:rsidRDefault="00C47BE6" w:rsidP="00C47BE6">
      <w:pPr>
        <w:pStyle w:val="ListParagraph"/>
        <w:numPr>
          <w:ilvl w:val="0"/>
          <w:numId w:val="4"/>
        </w:numPr>
        <w:tabs>
          <w:tab w:val="left" w:pos="2268"/>
        </w:tabs>
        <w:suppressAutoHyphens/>
        <w:spacing w:after="60" w:line="260" w:lineRule="atLeast"/>
        <w:rPr>
          <w:rFonts w:ascii="Calibri Light" w:hAnsi="Calibri Light" w:cs="Calibri Light"/>
        </w:rPr>
      </w:pPr>
      <w:r w:rsidRPr="00C47BE6">
        <w:rPr>
          <w:rFonts w:ascii="Calibri Light" w:hAnsi="Calibri Light" w:cs="Calibri Light"/>
        </w:rPr>
        <w:t>ostracism or exclusion by members of society (including family, acquaintances, employers, colleagues or service providers).</w:t>
      </w:r>
    </w:p>
    <w:p w14:paraId="75C01BB1" w14:textId="77777777" w:rsidR="00C47BE6" w:rsidRPr="00721625" w:rsidRDefault="00C47BE6" w:rsidP="00C47BE6">
      <w:pPr>
        <w:rPr>
          <w:rFonts w:asciiTheme="majorHAnsi" w:hAnsiTheme="majorHAnsi" w:cstheme="majorHAnsi"/>
          <w:bCs/>
        </w:rPr>
      </w:pPr>
    </w:p>
    <w:p w14:paraId="65F359B2" w14:textId="77777777" w:rsidR="00C47BE6" w:rsidRPr="00721625" w:rsidRDefault="00C47BE6" w:rsidP="00C47BE6">
      <w:pPr>
        <w:pStyle w:val="BodyCopy"/>
        <w:jc w:val="left"/>
        <w:rPr>
          <w:i/>
          <w:iCs/>
          <w:color w:val="auto"/>
        </w:rPr>
      </w:pPr>
    </w:p>
    <w:p w14:paraId="43C5005E" w14:textId="77777777" w:rsidR="00C47BE6" w:rsidRPr="00721625" w:rsidRDefault="00C47BE6" w:rsidP="00C47BE6">
      <w:pPr>
        <w:pStyle w:val="BodyCopy"/>
        <w:rPr>
          <w:color w:val="auto"/>
          <w:szCs w:val="22"/>
        </w:rPr>
      </w:pPr>
    </w:p>
    <w:p w14:paraId="77ABF5E7" w14:textId="77777777" w:rsidR="00C47BE6" w:rsidRPr="00721625" w:rsidRDefault="00C47BE6" w:rsidP="00C47BE6">
      <w:pPr>
        <w:spacing w:after="0"/>
        <w:rPr>
          <w:rFonts w:asciiTheme="minorHAnsi" w:eastAsiaTheme="majorEastAsia" w:hAnsiTheme="minorHAnsi" w:cstheme="minorHAnsi"/>
          <w:b/>
          <w:bCs/>
          <w:caps/>
          <w:sz w:val="32"/>
          <w:szCs w:val="32"/>
        </w:rPr>
      </w:pPr>
      <w:r w:rsidRPr="00721625">
        <w:br w:type="page"/>
      </w:r>
    </w:p>
    <w:p w14:paraId="1B05A45E" w14:textId="77777777" w:rsidR="00C47BE6" w:rsidRPr="00C47BE6" w:rsidRDefault="00C47BE6" w:rsidP="00C47BE6">
      <w:pPr>
        <w:pStyle w:val="Heading1Numbered"/>
        <w:spacing w:after="0"/>
        <w:jc w:val="left"/>
        <w:rPr>
          <w:rFonts w:ascii="Calibri" w:hAnsi="Calibri" w:cs="Calibri"/>
          <w:color w:val="auto"/>
          <w:sz w:val="40"/>
          <w:szCs w:val="40"/>
        </w:rPr>
      </w:pPr>
      <w:bookmarkStart w:id="12" w:name="_Toc196387068"/>
      <w:r w:rsidRPr="00C47BE6">
        <w:rPr>
          <w:rFonts w:ascii="Calibri" w:hAnsi="Calibri" w:cs="Calibri"/>
          <w:color w:val="auto"/>
          <w:sz w:val="40"/>
          <w:szCs w:val="40"/>
        </w:rPr>
        <w:lastRenderedPageBreak/>
        <w:t>PURPOSE AND SCOPE</w:t>
      </w:r>
      <w:bookmarkEnd w:id="12"/>
    </w:p>
    <w:p w14:paraId="427F70F5" w14:textId="77777777" w:rsidR="00C47BE6" w:rsidRPr="00C47BE6" w:rsidRDefault="00C47BE6" w:rsidP="00C47BE6">
      <w:pPr>
        <w:pStyle w:val="ListParagraph1"/>
      </w:pPr>
      <w:r w:rsidRPr="00C47BE6">
        <w:t>This report was prepared for protection status decision makers by the Department of Foreign Affairs and Trade (DFAT). It provides a factual overview distinct from Australian Government policy and does not contain policy guidance for decision makers.</w:t>
      </w:r>
    </w:p>
    <w:p w14:paraId="2E1D336F" w14:textId="77777777" w:rsidR="00C47BE6" w:rsidRPr="00C47BE6" w:rsidRDefault="00C47BE6" w:rsidP="00C47BE6">
      <w:pPr>
        <w:pStyle w:val="ListParagraph1"/>
      </w:pPr>
      <w:r w:rsidRPr="00C47BE6">
        <w:t xml:space="preserve">According to Ministerial Direction 84 of 24 June 2019, issued under the </w:t>
      </w:r>
      <w:r w:rsidRPr="00C47BE6">
        <w:rPr>
          <w:i/>
        </w:rPr>
        <w:t>Migration Act 1958</w:t>
      </w:r>
      <w:r w:rsidRPr="00C47BE6">
        <w:t>:</w:t>
      </w:r>
    </w:p>
    <w:p w14:paraId="314AE74B" w14:textId="77777777" w:rsidR="00C47BE6" w:rsidRPr="00C47BE6" w:rsidRDefault="00C47BE6" w:rsidP="00C47BE6">
      <w:pPr>
        <w:ind w:left="720" w:firstLine="0"/>
        <w:rPr>
          <w:rFonts w:ascii="Calibri Light" w:hAnsi="Calibri Light" w:cs="Calibri Light"/>
        </w:rPr>
      </w:pPr>
      <w:r w:rsidRPr="00C47BE6">
        <w:rPr>
          <w:rFonts w:ascii="Calibri Light" w:hAnsi="Calibri Light" w:cs="Calibri Light"/>
        </w:rPr>
        <w:t xml:space="preserve">Where the Department of Foreign Affairs and Trade has prepared [a] country information assessment expressly for protection status determination processes, and that assessment is available to the decision maker, the decision maker must </w:t>
      </w:r>
      <w:proofErr w:type="gramStart"/>
      <w:r w:rsidRPr="00C47BE6">
        <w:rPr>
          <w:rFonts w:ascii="Calibri Light" w:hAnsi="Calibri Light" w:cs="Calibri Light"/>
        </w:rPr>
        <w:t>take into account</w:t>
      </w:r>
      <w:proofErr w:type="gramEnd"/>
      <w:r w:rsidRPr="00C47BE6">
        <w:rPr>
          <w:rFonts w:ascii="Calibri Light" w:hAnsi="Calibri Light" w:cs="Calibri Light"/>
        </w:rPr>
        <w:t xml:space="preserve"> that assessment, where relevant, in making their decision. The decision maker is not precluded from considering other relevant information about the country.</w:t>
      </w:r>
    </w:p>
    <w:p w14:paraId="2197E40B" w14:textId="77777777" w:rsidR="00C47BE6" w:rsidRPr="00C47BE6" w:rsidRDefault="00C47BE6" w:rsidP="00C47BE6">
      <w:pPr>
        <w:pStyle w:val="ListParagraph1"/>
      </w:pPr>
      <w:r w:rsidRPr="00C47BE6">
        <w:t xml:space="preserve">The report was prepared </w:t>
      </w:r>
      <w:proofErr w:type="gramStart"/>
      <w:r w:rsidRPr="00C47BE6">
        <w:t>with regard to</w:t>
      </w:r>
      <w:proofErr w:type="gramEnd"/>
      <w:r w:rsidRPr="00C47BE6">
        <w:t xml:space="preserve"> the current protection visa caseload without reference to individual applications. It provides DFAT’s best assessment at the time of writing. </w:t>
      </w:r>
    </w:p>
    <w:p w14:paraId="5B142B86" w14:textId="77777777" w:rsidR="00C47BE6" w:rsidRPr="00C47BE6" w:rsidRDefault="00C47BE6" w:rsidP="00C47BE6">
      <w:pPr>
        <w:pStyle w:val="ListParagraph1"/>
      </w:pPr>
      <w:r w:rsidRPr="00C47BE6">
        <w:t xml:space="preserve">The report draws on in-country knowledge and discussions. It </w:t>
      </w:r>
      <w:proofErr w:type="gramStart"/>
      <w:r w:rsidRPr="00C47BE6">
        <w:t>takes into account</w:t>
      </w:r>
      <w:proofErr w:type="gramEnd"/>
      <w:r w:rsidRPr="00C47BE6">
        <w:t xml:space="preserve"> reporting from a range of credible sources </w:t>
      </w:r>
      <w:proofErr w:type="gramStart"/>
      <w:r w:rsidRPr="00C47BE6">
        <w:t>including:</w:t>
      </w:r>
      <w:proofErr w:type="gramEnd"/>
      <w:r w:rsidRPr="00C47BE6">
        <w:t xml:space="preserve"> other governments, United Nations agencies, human rights and civil society organisations, local and international media and academia. Source details may be omitted to protect sources.</w:t>
      </w:r>
    </w:p>
    <w:p w14:paraId="2FD68FFE" w14:textId="77777777" w:rsidR="00C47BE6" w:rsidRPr="00C47BE6" w:rsidRDefault="00C47BE6" w:rsidP="00C47BE6">
      <w:pPr>
        <w:pStyle w:val="ListParagraph1"/>
      </w:pPr>
      <w:r w:rsidRPr="00C47BE6">
        <w:t>This Country Information Report replaces the previous DFAT report on Egypt published on 17 June 2019.</w:t>
      </w:r>
    </w:p>
    <w:p w14:paraId="555ED4B8" w14:textId="77777777" w:rsidR="00C47BE6" w:rsidRPr="00721625" w:rsidRDefault="00C47BE6" w:rsidP="00C47BE6">
      <w:pPr>
        <w:rPr>
          <w:lang w:val="en-GB"/>
        </w:rPr>
      </w:pPr>
    </w:p>
    <w:p w14:paraId="321381B1" w14:textId="77777777" w:rsidR="00C47BE6" w:rsidRPr="00721625" w:rsidRDefault="00C47BE6" w:rsidP="00C47BE6">
      <w:pPr>
        <w:spacing w:after="0"/>
        <w:rPr>
          <w:lang w:val="en-GB"/>
        </w:rPr>
      </w:pPr>
      <w:r w:rsidRPr="00721625">
        <w:rPr>
          <w:lang w:val="en-GB"/>
        </w:rPr>
        <w:br w:type="page"/>
      </w:r>
    </w:p>
    <w:p w14:paraId="31633DE4" w14:textId="77777777" w:rsidR="00C47BE6" w:rsidRPr="00C47BE6" w:rsidRDefault="00C47BE6" w:rsidP="00C47BE6">
      <w:pPr>
        <w:pStyle w:val="Heading1Numbered"/>
        <w:spacing w:before="240" w:after="0"/>
        <w:jc w:val="left"/>
        <w:rPr>
          <w:rFonts w:ascii="Calibri" w:hAnsi="Calibri" w:cs="Calibri"/>
          <w:color w:val="auto"/>
          <w:sz w:val="40"/>
          <w:szCs w:val="40"/>
        </w:rPr>
      </w:pPr>
      <w:bookmarkStart w:id="13" w:name="_Toc196387069"/>
      <w:r w:rsidRPr="00C47BE6">
        <w:rPr>
          <w:rFonts w:ascii="Calibri" w:hAnsi="Calibri" w:cs="Calibri"/>
          <w:color w:val="auto"/>
          <w:sz w:val="40"/>
          <w:szCs w:val="40"/>
        </w:rPr>
        <w:lastRenderedPageBreak/>
        <w:t>BACKGROUND INFORMATION</w:t>
      </w:r>
      <w:bookmarkEnd w:id="13"/>
    </w:p>
    <w:p w14:paraId="474A1E75" w14:textId="77777777" w:rsidR="00C47BE6" w:rsidRPr="00C47BE6" w:rsidRDefault="00C47BE6" w:rsidP="00C47BE6">
      <w:pPr>
        <w:pStyle w:val="Heading2"/>
        <w:ind w:firstLine="0"/>
        <w:jc w:val="left"/>
        <w:rPr>
          <w:rFonts w:ascii="Calibri" w:hAnsi="Calibri" w:cs="Calibri"/>
          <w:b/>
          <w:bCs/>
          <w:color w:val="auto"/>
          <w:sz w:val="36"/>
          <w:szCs w:val="36"/>
        </w:rPr>
      </w:pPr>
      <w:bookmarkStart w:id="14" w:name="_Toc196387070"/>
      <w:r w:rsidRPr="00C47BE6">
        <w:rPr>
          <w:rFonts w:ascii="Calibri" w:hAnsi="Calibri" w:cs="Calibri"/>
          <w:b/>
          <w:bCs/>
          <w:caps/>
          <w:color w:val="auto"/>
          <w:sz w:val="36"/>
          <w:szCs w:val="36"/>
          <w:lang w:val="en-GB"/>
        </w:rPr>
        <w:t>COUNTRY OVERVIEW</w:t>
      </w:r>
      <w:bookmarkEnd w:id="14"/>
    </w:p>
    <w:p w14:paraId="017F450D" w14:textId="77777777" w:rsidR="00C47BE6" w:rsidRDefault="00C47BE6" w:rsidP="00C47BE6">
      <w:pPr>
        <w:pStyle w:val="ListParagraph1"/>
      </w:pPr>
      <w:r>
        <w:t>Egypt became a republic following a military coup in 1952. The country</w:t>
      </w:r>
      <w:r w:rsidRPr="00F65217">
        <w:t xml:space="preserve"> underwent significant political, economic and social change</w:t>
      </w:r>
      <w:r>
        <w:t>s</w:t>
      </w:r>
      <w:r w:rsidRPr="00F65217">
        <w:t xml:space="preserve"> </w:t>
      </w:r>
      <w:r>
        <w:t xml:space="preserve">between 1954 and 1970 under the rule of President </w:t>
      </w:r>
      <w:r w:rsidRPr="00A72909">
        <w:t xml:space="preserve">Gamal </w:t>
      </w:r>
      <w:r>
        <w:t xml:space="preserve">Abdel </w:t>
      </w:r>
      <w:r w:rsidRPr="00A72909">
        <w:t>Nasser.</w:t>
      </w:r>
      <w:r>
        <w:t xml:space="preserve"> His successor, President </w:t>
      </w:r>
      <w:r w:rsidRPr="006E72F5">
        <w:t xml:space="preserve">Anwar Sadat, was assassinated in 1981 by an Islamist </w:t>
      </w:r>
      <w:r>
        <w:t xml:space="preserve">militant </w:t>
      </w:r>
      <w:r w:rsidRPr="003D24A5">
        <w:t xml:space="preserve">opposed </w:t>
      </w:r>
      <w:r>
        <w:t xml:space="preserve">to </w:t>
      </w:r>
      <w:r w:rsidRPr="003D24A5">
        <w:t>peace initiative</w:t>
      </w:r>
      <w:r>
        <w:t>s</w:t>
      </w:r>
      <w:r w:rsidRPr="003D24A5">
        <w:t xml:space="preserve"> with Israel</w:t>
      </w:r>
      <w:r w:rsidRPr="006E72F5">
        <w:t>.</w:t>
      </w:r>
      <w:r>
        <w:t xml:space="preserve"> President </w:t>
      </w:r>
      <w:r w:rsidRPr="006E72F5">
        <w:t>Hosni</w:t>
      </w:r>
      <w:r>
        <w:t> </w:t>
      </w:r>
      <w:r w:rsidRPr="006E72F5">
        <w:t>Mubarak</w:t>
      </w:r>
      <w:r>
        <w:t>’s almost thirty-year rule ended in 2011 during the</w:t>
      </w:r>
      <w:r w:rsidRPr="006E72F5">
        <w:t xml:space="preserve"> </w:t>
      </w:r>
      <w:r>
        <w:t xml:space="preserve">‘25 January Revolution’, when large protests spread across Egypt against </w:t>
      </w:r>
      <w:r w:rsidRPr="006E72F5">
        <w:t xml:space="preserve">growing economic hardships, heavy-handed security practices, lack of political representation and endemic corruption within </w:t>
      </w:r>
      <w:r>
        <w:t xml:space="preserve">the </w:t>
      </w:r>
      <w:r w:rsidRPr="006E72F5">
        <w:t xml:space="preserve">ruling elite. </w:t>
      </w:r>
    </w:p>
    <w:p w14:paraId="0A88AF56" w14:textId="77777777" w:rsidR="00C47BE6" w:rsidRDefault="00C47BE6" w:rsidP="00C47BE6">
      <w:pPr>
        <w:pStyle w:val="ListParagraph1"/>
      </w:pPr>
      <w:r>
        <w:t>E</w:t>
      </w:r>
      <w:r w:rsidRPr="005835D3">
        <w:t>gypt's first freely-elected president</w:t>
      </w:r>
      <w:r>
        <w:t xml:space="preserve">, </w:t>
      </w:r>
      <w:r w:rsidRPr="004428CE">
        <w:t>Mohammed Morsi</w:t>
      </w:r>
      <w:r>
        <w:t>, assumed power on 30 June 2012. Morsi represented the</w:t>
      </w:r>
      <w:r w:rsidRPr="006E72F5">
        <w:t xml:space="preserve"> Freedom and Justice Party, the political wing of the formerly outlawed </w:t>
      </w:r>
      <w:hyperlink w:anchor="_Muslim_Brotherhood" w:history="1">
        <w:r w:rsidRPr="00DC4999">
          <w:rPr>
            <w:rStyle w:val="Hyperlink"/>
          </w:rPr>
          <w:t>Muslim Brotherhood</w:t>
        </w:r>
      </w:hyperlink>
      <w:r w:rsidRPr="006E72F5">
        <w:t xml:space="preserve"> (‘the</w:t>
      </w:r>
      <w:r>
        <w:t> </w:t>
      </w:r>
      <w:r w:rsidRPr="006E72F5">
        <w:t>Brotherhood’).</w:t>
      </w:r>
      <w:r>
        <w:t xml:space="preserve"> </w:t>
      </w:r>
      <w:r w:rsidRPr="006E72F5">
        <w:t>As President, Morsi drew criticism for his perceived inability to improve Egypt’s economic situation</w:t>
      </w:r>
      <w:r>
        <w:t xml:space="preserve"> and</w:t>
      </w:r>
      <w:r w:rsidRPr="006E72F5">
        <w:t xml:space="preserve"> his authoritarian tendencies</w:t>
      </w:r>
      <w:r>
        <w:t>. Following</w:t>
      </w:r>
      <w:r w:rsidRPr="006E72F5">
        <w:t xml:space="preserve"> nationwide anti-government protests</w:t>
      </w:r>
      <w:r>
        <w:t>,</w:t>
      </w:r>
      <w:r w:rsidRPr="006E72F5">
        <w:t xml:space="preserve"> </w:t>
      </w:r>
      <w:r>
        <w:t>Egypt’s</w:t>
      </w:r>
      <w:r w:rsidRPr="006E72F5">
        <w:t xml:space="preserve"> military removed Morsi </w:t>
      </w:r>
      <w:r>
        <w:t xml:space="preserve">during the ‘June 2013 Revolution’ and installed an </w:t>
      </w:r>
      <w:r w:rsidRPr="0000710F">
        <w:t>interim military regime</w:t>
      </w:r>
      <w:r>
        <w:t>.</w:t>
      </w:r>
      <w:r w:rsidRPr="006E72F5">
        <w:t xml:space="preserve"> </w:t>
      </w:r>
    </w:p>
    <w:p w14:paraId="38BB1EC8" w14:textId="77777777" w:rsidR="00C47BE6" w:rsidRPr="0085721E" w:rsidRDefault="00C47BE6" w:rsidP="00C47BE6">
      <w:pPr>
        <w:pStyle w:val="ListParagraph1"/>
      </w:pPr>
      <w:r>
        <w:t>Egypt adopted</w:t>
      </w:r>
      <w:r w:rsidRPr="006E72F5">
        <w:t xml:space="preserve"> a new Constitution</w:t>
      </w:r>
      <w:r>
        <w:t xml:space="preserve"> </w:t>
      </w:r>
      <w:r w:rsidRPr="006E72F5">
        <w:t>in February 2014</w:t>
      </w:r>
      <w:r>
        <w:t xml:space="preserve">. The </w:t>
      </w:r>
      <w:r w:rsidRPr="006E72F5">
        <w:t xml:space="preserve">former head of the </w:t>
      </w:r>
      <w:hyperlink w:anchor="_Military" w:history="1">
        <w:r w:rsidRPr="00DC4999">
          <w:rPr>
            <w:rStyle w:val="Hyperlink"/>
          </w:rPr>
          <w:t>Egyptian Armed Forces</w:t>
        </w:r>
      </w:hyperlink>
      <w:r>
        <w:t xml:space="preserve">, </w:t>
      </w:r>
      <w:r w:rsidRPr="006E72F5">
        <w:t xml:space="preserve">Abdel Fattah </w:t>
      </w:r>
      <w:r>
        <w:t>E</w:t>
      </w:r>
      <w:r w:rsidRPr="006E72F5">
        <w:t>l-Sisi,</w:t>
      </w:r>
      <w:r>
        <w:t xml:space="preserve"> was elected president in</w:t>
      </w:r>
      <w:r w:rsidRPr="006E72F5">
        <w:t xml:space="preserve"> May 2014. </w:t>
      </w:r>
      <w:r>
        <w:t>P</w:t>
      </w:r>
      <w:r w:rsidRPr="006E72F5">
        <w:t xml:space="preserve">arliamentary elections were </w:t>
      </w:r>
      <w:r>
        <w:t>held in late 2015 and</w:t>
      </w:r>
      <w:r w:rsidRPr="006E72F5">
        <w:t xml:space="preserve"> </w:t>
      </w:r>
      <w:r>
        <w:t>President El</w:t>
      </w:r>
      <w:r>
        <w:noBreakHyphen/>
      </w:r>
      <w:r w:rsidRPr="006E72F5">
        <w:t>Sisi transfe</w:t>
      </w:r>
      <w:r>
        <w:t>rred legislative powers to the p</w:t>
      </w:r>
      <w:r w:rsidRPr="006E72F5">
        <w:t>arliament in February 2016</w:t>
      </w:r>
      <w:r>
        <w:t xml:space="preserve">. El-Sisi was re-elected president in 2018 and 2023. </w:t>
      </w:r>
      <w:r w:rsidRPr="0000710F">
        <w:t>Egypt</w:t>
      </w:r>
      <w:r>
        <w:t xml:space="preserve">’s </w:t>
      </w:r>
      <w:r w:rsidRPr="0000710F">
        <w:rPr>
          <w:i/>
          <w:iCs/>
        </w:rPr>
        <w:t>Emergency Law (No. 162) 1958</w:t>
      </w:r>
      <w:r>
        <w:t xml:space="preserve"> was lifted </w:t>
      </w:r>
      <w:r w:rsidRPr="0000710F">
        <w:t>on 25 October 2021</w:t>
      </w:r>
      <w:r>
        <w:t xml:space="preserve">, having been in place almost consistently since </w:t>
      </w:r>
      <w:r w:rsidRPr="0000710F">
        <w:t>1981</w:t>
      </w:r>
      <w:r>
        <w:t xml:space="preserve">. </w:t>
      </w:r>
    </w:p>
    <w:p w14:paraId="7D98A7E5" w14:textId="77777777" w:rsidR="00C47BE6" w:rsidRPr="00C47BE6" w:rsidRDefault="00C47BE6" w:rsidP="00C47BE6">
      <w:pPr>
        <w:pStyle w:val="Heading2"/>
        <w:ind w:firstLine="0"/>
        <w:jc w:val="left"/>
        <w:rPr>
          <w:rFonts w:ascii="Calibri" w:hAnsi="Calibri" w:cs="Calibri"/>
          <w:b/>
          <w:bCs/>
          <w:color w:val="auto"/>
          <w:sz w:val="36"/>
          <w:szCs w:val="36"/>
        </w:rPr>
      </w:pPr>
      <w:bookmarkStart w:id="15" w:name="_Toc196387071"/>
      <w:r w:rsidRPr="00C47BE6">
        <w:rPr>
          <w:rFonts w:ascii="Calibri" w:hAnsi="Calibri" w:cs="Calibri"/>
          <w:b/>
          <w:bCs/>
          <w:color w:val="auto"/>
          <w:sz w:val="36"/>
          <w:szCs w:val="36"/>
        </w:rPr>
        <w:t>DEMOGRAPHY</w:t>
      </w:r>
      <w:bookmarkEnd w:id="15"/>
    </w:p>
    <w:p w14:paraId="646DFE6A" w14:textId="77777777" w:rsidR="00C47BE6" w:rsidRPr="0028785A" w:rsidRDefault="00C47BE6" w:rsidP="00C47BE6">
      <w:pPr>
        <w:pStyle w:val="ListParagraph1"/>
      </w:pPr>
      <w:r>
        <w:t xml:space="preserve">Egypt’s population is estimated at </w:t>
      </w:r>
      <w:r w:rsidRPr="003D24A5">
        <w:t>107,680,000</w:t>
      </w:r>
      <w:r>
        <w:t xml:space="preserve"> according to the </w:t>
      </w:r>
      <w:r w:rsidRPr="003D24A5">
        <w:t xml:space="preserve">Central Agency for Public Mobilization </w:t>
      </w:r>
      <w:r>
        <w:t>a</w:t>
      </w:r>
      <w:r w:rsidRPr="003D24A5">
        <w:t>nd Statistics</w:t>
      </w:r>
      <w:r>
        <w:t xml:space="preserve">. Around 95 per cent of Egyptians live in the fertile zone along the Nile Valley that comprises 5 per cent of the country’s area. About half of the population lives in urban areas, particularly the capital, </w:t>
      </w:r>
      <w:r w:rsidRPr="00253691">
        <w:t xml:space="preserve">Cairo (estimated population </w:t>
      </w:r>
      <w:r>
        <w:t>22.2</w:t>
      </w:r>
      <w:r w:rsidRPr="00253691">
        <w:t xml:space="preserve"> million) and </w:t>
      </w:r>
      <w:r w:rsidRPr="0091001A">
        <w:t xml:space="preserve">Alexandria (estimated population 5.6 million). Almost all Egyptians (99.7 per cent) </w:t>
      </w:r>
      <w:r>
        <w:t xml:space="preserve">identify as </w:t>
      </w:r>
      <w:r w:rsidRPr="0091001A">
        <w:t xml:space="preserve">ethnically Arab, although smaller populations of Beja, </w:t>
      </w:r>
      <w:hyperlink w:anchor="_Nubians" w:history="1">
        <w:r w:rsidRPr="0091001A">
          <w:rPr>
            <w:rStyle w:val="Hyperlink"/>
          </w:rPr>
          <w:t>Nubians</w:t>
        </w:r>
      </w:hyperlink>
      <w:r w:rsidRPr="0091001A">
        <w:t xml:space="preserve">, Dom and </w:t>
      </w:r>
      <w:proofErr w:type="spellStart"/>
      <w:r w:rsidRPr="0091001A">
        <w:t>Siwis</w:t>
      </w:r>
      <w:proofErr w:type="spellEnd"/>
      <w:r w:rsidRPr="0091001A">
        <w:t xml:space="preserve"> (Amazigh or Berbers) exist. The national language is Arabic. For</w:t>
      </w:r>
      <w:r>
        <w:t xml:space="preserve"> religious demography, see </w:t>
      </w:r>
      <w:hyperlink w:anchor="_Religious_Group" w:history="1">
        <w:r w:rsidRPr="005B47A0">
          <w:rPr>
            <w:rStyle w:val="Hyperlink"/>
            <w:rFonts w:cstheme="minorBidi"/>
          </w:rPr>
          <w:t>Religion</w:t>
        </w:r>
      </w:hyperlink>
      <w:r>
        <w:t xml:space="preserve">. </w:t>
      </w:r>
    </w:p>
    <w:p w14:paraId="6AC61D05" w14:textId="77777777" w:rsidR="00C47BE6" w:rsidRPr="00C47BE6" w:rsidRDefault="00C47BE6" w:rsidP="00C47BE6">
      <w:pPr>
        <w:pStyle w:val="Heading2"/>
        <w:ind w:firstLine="0"/>
        <w:jc w:val="left"/>
        <w:rPr>
          <w:rFonts w:ascii="Calibri" w:hAnsi="Calibri" w:cs="Calibri"/>
          <w:b/>
          <w:bCs/>
          <w:color w:val="auto"/>
          <w:sz w:val="36"/>
          <w:szCs w:val="36"/>
        </w:rPr>
      </w:pPr>
      <w:bookmarkStart w:id="16" w:name="_ECONOMIC_OVERVIEW"/>
      <w:bookmarkStart w:id="17" w:name="_Toc196387072"/>
      <w:bookmarkEnd w:id="16"/>
      <w:r w:rsidRPr="00C47BE6">
        <w:rPr>
          <w:rFonts w:ascii="Calibri" w:hAnsi="Calibri" w:cs="Calibri"/>
          <w:b/>
          <w:bCs/>
          <w:color w:val="auto"/>
          <w:sz w:val="36"/>
          <w:szCs w:val="36"/>
        </w:rPr>
        <w:t>ECONOMIC OVERVIEW</w:t>
      </w:r>
      <w:bookmarkEnd w:id="17"/>
    </w:p>
    <w:p w14:paraId="4D5433F7" w14:textId="77777777" w:rsidR="00C47BE6" w:rsidRPr="00993D3B" w:rsidRDefault="00C47BE6" w:rsidP="00C47BE6">
      <w:pPr>
        <w:pStyle w:val="ListParagraph1"/>
      </w:pPr>
      <w:r w:rsidRPr="00D57598">
        <w:t>Egypt</w:t>
      </w:r>
      <w:r>
        <w:t xml:space="preserve"> is the second-largest economy in Africa and has </w:t>
      </w:r>
      <w:r w:rsidRPr="00747CA3">
        <w:t>relatively large</w:t>
      </w:r>
      <w:r w:rsidRPr="00D57598">
        <w:t xml:space="preserve"> agricultur</w:t>
      </w:r>
      <w:r>
        <w:t>al</w:t>
      </w:r>
      <w:r w:rsidRPr="00D57598">
        <w:t>, manufacturing and services sectors.</w:t>
      </w:r>
      <w:r>
        <w:t xml:space="preserve"> According to the World Bank, Egypt is a lower </w:t>
      </w:r>
      <w:proofErr w:type="gramStart"/>
      <w:r>
        <w:t>middle income</w:t>
      </w:r>
      <w:proofErr w:type="gramEnd"/>
      <w:r>
        <w:t xml:space="preserve"> country that earns</w:t>
      </w:r>
      <w:r w:rsidRPr="00747CA3">
        <w:t xml:space="preserve"> substantial revenue from the Suez Canal</w:t>
      </w:r>
      <w:r>
        <w:t>, sale of hydrocarbons, tourism and</w:t>
      </w:r>
      <w:r w:rsidRPr="00747CA3">
        <w:t xml:space="preserve"> remittances from overseas workers.</w:t>
      </w:r>
      <w:r>
        <w:t xml:space="preserve"> </w:t>
      </w:r>
      <w:r w:rsidRPr="005450C6">
        <w:t>Gross Domestic Product</w:t>
      </w:r>
      <w:r w:rsidRPr="00D57598">
        <w:t xml:space="preserve"> </w:t>
      </w:r>
      <w:r>
        <w:t xml:space="preserve">(GDP) </w:t>
      </w:r>
      <w:r w:rsidRPr="00D57598">
        <w:t xml:space="preserve">growth </w:t>
      </w:r>
      <w:r>
        <w:t>was</w:t>
      </w:r>
      <w:r w:rsidRPr="00D57598">
        <w:t xml:space="preserve"> </w:t>
      </w:r>
      <w:r>
        <w:t>4</w:t>
      </w:r>
      <w:r w:rsidRPr="00D57598">
        <w:t>.8</w:t>
      </w:r>
      <w:r>
        <w:t> </w:t>
      </w:r>
      <w:r w:rsidRPr="00D57598">
        <w:t>per</w:t>
      </w:r>
      <w:r>
        <w:t> </w:t>
      </w:r>
      <w:r w:rsidRPr="00D57598">
        <w:t>cent in 202</w:t>
      </w:r>
      <w:r>
        <w:t>5</w:t>
      </w:r>
      <w:r w:rsidRPr="00D57598">
        <w:t xml:space="preserve"> </w:t>
      </w:r>
      <w:r w:rsidRPr="00993D3B">
        <w:t xml:space="preserve">and GDP per capita was approximately EGP157,835 (AUD4,935). Economists forecast GDP </w:t>
      </w:r>
      <w:r>
        <w:t>growth of</w:t>
      </w:r>
      <w:r w:rsidRPr="00993D3B">
        <w:t xml:space="preserve"> 4.6</w:t>
      </w:r>
      <w:r>
        <w:t> </w:t>
      </w:r>
      <w:r w:rsidRPr="00993D3B">
        <w:t>per</w:t>
      </w:r>
      <w:r>
        <w:t> </w:t>
      </w:r>
      <w:r w:rsidRPr="00993D3B">
        <w:t xml:space="preserve">cent in 2026, despite continuing high rates of inflation and tight credit conditions. </w:t>
      </w:r>
    </w:p>
    <w:p w14:paraId="325A5AFB" w14:textId="77777777" w:rsidR="00C47BE6" w:rsidRDefault="00C47BE6" w:rsidP="00C47BE6">
      <w:pPr>
        <w:pStyle w:val="ListParagraph1"/>
      </w:pPr>
      <w:r w:rsidRPr="00993D3B">
        <w:t xml:space="preserve">In March 2025, the International Monetary Fund </w:t>
      </w:r>
      <w:r>
        <w:t xml:space="preserve">(IMF) </w:t>
      </w:r>
      <w:r w:rsidRPr="00993D3B">
        <w:t xml:space="preserve">approved disbursement of AUD1.87 billion to Egypt following completion of the fourth review of the country's AUD12.4 billion economic reform program. </w:t>
      </w:r>
      <w:r>
        <w:t xml:space="preserve">The </w:t>
      </w:r>
      <w:r w:rsidRPr="00993D3B">
        <w:t>IMF Mission Chief for Egypt said the country had made substantial progress toward macroeconomic stability since 2024.</w:t>
      </w:r>
      <w:r>
        <w:t xml:space="preserve"> </w:t>
      </w:r>
      <w:r w:rsidRPr="00E417C8">
        <w:t xml:space="preserve">The IMF's July 2025 </w:t>
      </w:r>
      <w:r w:rsidRPr="00CB5834">
        <w:rPr>
          <w:i/>
          <w:iCs/>
        </w:rPr>
        <w:t>Egypt Country Report</w:t>
      </w:r>
      <w:r w:rsidRPr="00E417C8">
        <w:t xml:space="preserve"> stated the Egyptian authorities had preserved macroeconomic stability amid a difficult regional environment but progress on the structural reform agenda was 'mixed'.</w:t>
      </w:r>
    </w:p>
    <w:p w14:paraId="4F611744" w14:textId="77777777" w:rsidR="00C47BE6" w:rsidRDefault="00C47BE6" w:rsidP="00C47BE6">
      <w:pPr>
        <w:pStyle w:val="ListParagraph1"/>
      </w:pPr>
      <w:hyperlink w:anchor="_Military" w:history="1">
        <w:r w:rsidRPr="008F127B">
          <w:rPr>
            <w:rStyle w:val="Hyperlink"/>
          </w:rPr>
          <w:t>Military</w:t>
        </w:r>
      </w:hyperlink>
      <w:r w:rsidRPr="00993D3B">
        <w:t>-owned companies, often run by retired generals, have long played a</w:t>
      </w:r>
      <w:r>
        <w:t>n oversized</w:t>
      </w:r>
      <w:r w:rsidRPr="00993D3B">
        <w:t xml:space="preserve"> role in Egypt’s economy. The military has significantly broadened its economic profile under the administration</w:t>
      </w:r>
      <w:r>
        <w:t xml:space="preserve"> of President El</w:t>
      </w:r>
      <w:r>
        <w:noBreakHyphen/>
        <w:t>Sisi</w:t>
      </w:r>
      <w:r w:rsidRPr="00993D3B">
        <w:t xml:space="preserve">, supervising massive infrastructure projects, running food distribution networks and investing heavily in real estate and factory projects. In 2019, the military began </w:t>
      </w:r>
      <w:r>
        <w:t xml:space="preserve">to </w:t>
      </w:r>
      <w:r w:rsidRPr="00993D3B">
        <w:t>routinely partner with</w:t>
      </w:r>
      <w:r w:rsidRPr="00E9420D">
        <w:t xml:space="preserve"> Egypt’s la</w:t>
      </w:r>
      <w:r>
        <w:t>r</w:t>
      </w:r>
      <w:r w:rsidRPr="00E9420D">
        <w:t xml:space="preserve">gest private businesses </w:t>
      </w:r>
      <w:r>
        <w:t>and</w:t>
      </w:r>
      <w:r w:rsidRPr="00E9420D">
        <w:t xml:space="preserve"> diversif</w:t>
      </w:r>
      <w:r>
        <w:t>ied</w:t>
      </w:r>
      <w:r w:rsidRPr="00E9420D">
        <w:t xml:space="preserve"> into new economic sectors and activities. </w:t>
      </w:r>
      <w:r>
        <w:t>At the time of writing, m</w:t>
      </w:r>
      <w:r w:rsidRPr="00E9420D">
        <w:t>ilitary</w:t>
      </w:r>
      <w:r>
        <w:t>-owned companies</w:t>
      </w:r>
      <w:r w:rsidRPr="00E9420D">
        <w:t xml:space="preserve"> </w:t>
      </w:r>
      <w:r>
        <w:t>were leading</w:t>
      </w:r>
      <w:r w:rsidRPr="00E9420D">
        <w:t xml:space="preserve"> the implementation of </w:t>
      </w:r>
      <w:r>
        <w:t>President El-</w:t>
      </w:r>
      <w:r w:rsidRPr="00E9420D">
        <w:t>Sisi’s state-led investment strategy and</w:t>
      </w:r>
      <w:r>
        <w:t xml:space="preserve"> were heavily </w:t>
      </w:r>
      <w:r w:rsidRPr="00E9420D">
        <w:t xml:space="preserve">integrated into </w:t>
      </w:r>
      <w:r>
        <w:t xml:space="preserve">the </w:t>
      </w:r>
      <w:r w:rsidRPr="00E9420D">
        <w:t xml:space="preserve">strategic management of the </w:t>
      </w:r>
      <w:r w:rsidRPr="00872BB4">
        <w:t xml:space="preserve">economy. </w:t>
      </w:r>
    </w:p>
    <w:p w14:paraId="5AC65B80" w14:textId="4E7ECB6F" w:rsidR="00C47BE6" w:rsidRPr="00993D3B" w:rsidRDefault="00C47BE6" w:rsidP="00C47BE6">
      <w:pPr>
        <w:pStyle w:val="ListParagraph1"/>
      </w:pPr>
      <w:r w:rsidRPr="009131EB">
        <w:lastRenderedPageBreak/>
        <w:t>Egypt</w:t>
      </w:r>
      <w:r>
        <w:t xml:space="preserve"> implemented a </w:t>
      </w:r>
      <w:r w:rsidRPr="009131EB">
        <w:t xml:space="preserve">state ownership policy </w:t>
      </w:r>
      <w:r>
        <w:t xml:space="preserve">in 2022 to </w:t>
      </w:r>
      <w:r w:rsidRPr="009131EB">
        <w:t>increase private sector participation by having the government withdraw from certain sectors and reduce its stake in others, while continuing to invest in areas deemed strategic</w:t>
      </w:r>
      <w:r>
        <w:t xml:space="preserve">. </w:t>
      </w:r>
      <w:r w:rsidRPr="009131EB">
        <w:t>In</w:t>
      </w:r>
      <w:r>
        <w:t xml:space="preserve"> response to </w:t>
      </w:r>
      <w:r w:rsidR="00FD5F3E">
        <w:t xml:space="preserve">the </w:t>
      </w:r>
      <w:r w:rsidRPr="00993D3B">
        <w:t>IMF</w:t>
      </w:r>
      <w:r>
        <w:t xml:space="preserve">’s </w:t>
      </w:r>
      <w:r w:rsidRPr="00993D3B">
        <w:t>recommendations to reduce state involvement in the economy</w:t>
      </w:r>
      <w:r>
        <w:t>, t</w:t>
      </w:r>
      <w:r w:rsidRPr="00872BB4">
        <w:t xml:space="preserve">he </w:t>
      </w:r>
      <w:r>
        <w:t>g</w:t>
      </w:r>
      <w:r w:rsidRPr="00872BB4">
        <w:t xml:space="preserve">overnment announced plans </w:t>
      </w:r>
      <w:r>
        <w:t xml:space="preserve">in 2025 </w:t>
      </w:r>
      <w:r w:rsidRPr="00872BB4">
        <w:t>to</w:t>
      </w:r>
      <w:r>
        <w:t xml:space="preserve"> list</w:t>
      </w:r>
      <w:r w:rsidRPr="00872BB4">
        <w:t xml:space="preserve"> four companies affiliated with the militar</w:t>
      </w:r>
      <w:r w:rsidRPr="00993D3B">
        <w:t>y on the stock market. In</w:t>
      </w:r>
      <w:r>
        <w:noBreakHyphen/>
      </w:r>
      <w:r w:rsidRPr="00993D3B">
        <w:t>country sources s</w:t>
      </w:r>
      <w:r>
        <w:t>aid</w:t>
      </w:r>
      <w:r w:rsidRPr="00993D3B">
        <w:t xml:space="preserve"> the military</w:t>
      </w:r>
      <w:r>
        <w:t xml:space="preserve"> had substantial </w:t>
      </w:r>
      <w:r w:rsidRPr="00993D3B">
        <w:t xml:space="preserve">businesses </w:t>
      </w:r>
      <w:r>
        <w:t>interests, accounting for close to</w:t>
      </w:r>
      <w:r w:rsidRPr="00993D3B">
        <w:t xml:space="preserve"> </w:t>
      </w:r>
      <w:r>
        <w:t>40 </w:t>
      </w:r>
      <w:r w:rsidRPr="00993D3B">
        <w:t>per</w:t>
      </w:r>
      <w:r>
        <w:t> </w:t>
      </w:r>
      <w:r w:rsidRPr="00993D3B">
        <w:t xml:space="preserve">cent of the </w:t>
      </w:r>
      <w:r>
        <w:t xml:space="preserve">overall </w:t>
      </w:r>
      <w:r w:rsidRPr="00993D3B">
        <w:t>economy.</w:t>
      </w:r>
      <w:r>
        <w:t xml:space="preserve"> The</w:t>
      </w:r>
      <w:r w:rsidRPr="00E417C8">
        <w:t xml:space="preserve"> military’s reach in the economy is much larger</w:t>
      </w:r>
      <w:r>
        <w:t xml:space="preserve"> when including the </w:t>
      </w:r>
      <w:r w:rsidRPr="00E417C8">
        <w:t xml:space="preserve">companies </w:t>
      </w:r>
      <w:r>
        <w:t xml:space="preserve">it influences or </w:t>
      </w:r>
      <w:r w:rsidRPr="00E417C8">
        <w:t>unofficially run</w:t>
      </w:r>
      <w:r>
        <w:t>s</w:t>
      </w:r>
      <w:r w:rsidRPr="00E417C8">
        <w:t>.</w:t>
      </w:r>
    </w:p>
    <w:p w14:paraId="06B12880" w14:textId="77777777" w:rsidR="00C47BE6" w:rsidRDefault="00C47BE6" w:rsidP="00C47BE6">
      <w:pPr>
        <w:pStyle w:val="ListParagraph1"/>
      </w:pPr>
      <w:r>
        <w:t xml:space="preserve">Cost of living pressures for many Egyptians have worsened </w:t>
      </w:r>
      <w:r w:rsidRPr="005C61DA">
        <w:t>since 2021</w:t>
      </w:r>
      <w:r>
        <w:t xml:space="preserve"> according to in-country sources. This is primarily the result of the devaluation of the </w:t>
      </w:r>
      <w:r w:rsidRPr="00AB4C7B">
        <w:t>E</w:t>
      </w:r>
      <w:r>
        <w:t xml:space="preserve">gyptian pound (40 per cent during </w:t>
      </w:r>
      <w:r w:rsidRPr="00AB4C7B">
        <w:t>January 2023</w:t>
      </w:r>
      <w:r>
        <w:t xml:space="preserve">), high rate of inflation (11.7 per cent in October 2025), </w:t>
      </w:r>
      <w:r w:rsidRPr="00AB4C7B">
        <w:t xml:space="preserve">and </w:t>
      </w:r>
      <w:r>
        <w:t>reduction in government s</w:t>
      </w:r>
      <w:r w:rsidRPr="00AB4C7B">
        <w:t>ubsidies</w:t>
      </w:r>
      <w:r>
        <w:t xml:space="preserve"> on </w:t>
      </w:r>
      <w:r w:rsidRPr="00AB4C7B">
        <w:t xml:space="preserve">bread and </w:t>
      </w:r>
      <w:r>
        <w:t xml:space="preserve">other </w:t>
      </w:r>
      <w:r w:rsidRPr="00AB4C7B">
        <w:t>food items</w:t>
      </w:r>
      <w:r>
        <w:t>. The Egyptian Government stopped publishing detailed poverty statistics in 2020 but in</w:t>
      </w:r>
      <w:r>
        <w:noBreakHyphen/>
        <w:t>country sources estimated 40 per cent of Egyptians were living under the poverty line in 2025.</w:t>
      </w:r>
      <w:r w:rsidRPr="00AF7C18">
        <w:rPr>
          <w:rStyle w:val="FootnoteReference"/>
        </w:rPr>
        <w:t xml:space="preserve"> </w:t>
      </w:r>
      <w:r>
        <w:t xml:space="preserve">Some households had reduced their protein intake and swapped buying vegetables for cheaper, less healthy foods. As the </w:t>
      </w:r>
      <w:r w:rsidRPr="00E1798B">
        <w:t>price of bread, eggs</w:t>
      </w:r>
      <w:r>
        <w:t xml:space="preserve"> and</w:t>
      </w:r>
      <w:r w:rsidRPr="00E1798B">
        <w:t xml:space="preserve"> milk</w:t>
      </w:r>
      <w:r>
        <w:t xml:space="preserve"> increased faster than inflation, food insecurity had become an issue for some poorer families. </w:t>
      </w:r>
    </w:p>
    <w:p w14:paraId="556B78A9" w14:textId="77777777" w:rsidR="00C47BE6" w:rsidRPr="00F75344" w:rsidRDefault="00C47BE6" w:rsidP="00C47BE6">
      <w:pPr>
        <w:pStyle w:val="ListParagraph1"/>
      </w:pPr>
      <w:r>
        <w:t xml:space="preserve">In-country sources said despite many households reducing spending due to cost of living pressures, the average Egyptian was still able to access government services including </w:t>
      </w:r>
      <w:hyperlink w:anchor="_Health" w:history="1">
        <w:r w:rsidRPr="00331C8D">
          <w:rPr>
            <w:rStyle w:val="Hyperlink"/>
          </w:rPr>
          <w:t>healthcare</w:t>
        </w:r>
      </w:hyperlink>
      <w:r>
        <w:t xml:space="preserve"> and </w:t>
      </w:r>
      <w:hyperlink w:anchor="_Education" w:history="1">
        <w:r w:rsidRPr="00331C8D">
          <w:rPr>
            <w:rStyle w:val="Hyperlink"/>
          </w:rPr>
          <w:t>education</w:t>
        </w:r>
      </w:hyperlink>
      <w:r>
        <w:t xml:space="preserve"> and afford food, water, </w:t>
      </w:r>
      <w:hyperlink w:anchor="_Health" w:history="1">
        <w:r w:rsidRPr="008F127B">
          <w:rPr>
            <w:rStyle w:val="Hyperlink"/>
          </w:rPr>
          <w:t>medication</w:t>
        </w:r>
      </w:hyperlink>
      <w:r>
        <w:t xml:space="preserve">, electricity and fuel. </w:t>
      </w:r>
      <w:r w:rsidRPr="00104F26">
        <w:t xml:space="preserve">DFAT assesses </w:t>
      </w:r>
      <w:r>
        <w:t xml:space="preserve">cost of living pressures </w:t>
      </w:r>
      <w:r w:rsidRPr="00104F26">
        <w:t xml:space="preserve">are a major push factor for both legal and illegal migration from across </w:t>
      </w:r>
      <w:r>
        <w:t>Egypt</w:t>
      </w:r>
      <w:r w:rsidRPr="00104F26">
        <w:t xml:space="preserve"> (see also </w:t>
      </w:r>
      <w:hyperlink w:anchor="_Employment" w:history="1">
        <w:r w:rsidRPr="00104F26">
          <w:rPr>
            <w:rStyle w:val="Hyperlink"/>
          </w:rPr>
          <w:t>Employment</w:t>
        </w:r>
      </w:hyperlink>
      <w:r w:rsidRPr="00104F26">
        <w:t>).</w:t>
      </w:r>
    </w:p>
    <w:p w14:paraId="1700D426" w14:textId="77777777" w:rsidR="00C47BE6" w:rsidRPr="00C47BE6" w:rsidRDefault="00C47BE6" w:rsidP="00C47BE6">
      <w:pPr>
        <w:pStyle w:val="Heading3"/>
        <w:ind w:firstLine="0"/>
        <w:jc w:val="left"/>
        <w:rPr>
          <w:rFonts w:cs="Calibri"/>
          <w:b/>
          <w:bCs/>
          <w:color w:val="auto"/>
        </w:rPr>
      </w:pPr>
      <w:bookmarkStart w:id="18" w:name="_Employment"/>
      <w:bookmarkStart w:id="19" w:name="_Toc196318417"/>
      <w:bookmarkEnd w:id="18"/>
      <w:r w:rsidRPr="00C47BE6">
        <w:rPr>
          <w:rFonts w:cs="Calibri"/>
          <w:b/>
          <w:bCs/>
          <w:color w:val="auto"/>
        </w:rPr>
        <w:t>Employment</w:t>
      </w:r>
      <w:bookmarkEnd w:id="19"/>
    </w:p>
    <w:p w14:paraId="15D766BC" w14:textId="77777777" w:rsidR="00C47BE6" w:rsidRDefault="00C47BE6" w:rsidP="00C47BE6">
      <w:pPr>
        <w:pStyle w:val="ListParagraph1"/>
      </w:pPr>
      <w:r>
        <w:t>A</w:t>
      </w:r>
      <w:r w:rsidRPr="00D565CC">
        <w:t>ccording to the World Bank</w:t>
      </w:r>
      <w:r>
        <w:t>, in 2024</w:t>
      </w:r>
      <w:r w:rsidRPr="00D565CC">
        <w:t xml:space="preserve"> Egypt's unemployment rate was 7.2 per cent </w:t>
      </w:r>
      <w:r>
        <w:t>and the youth unemployment rate (for those aged 15 to 24 years) 18.7 per cent.</w:t>
      </w:r>
      <w:r w:rsidRPr="00747CA3">
        <w:t xml:space="preserve"> </w:t>
      </w:r>
      <w:r>
        <w:t>The overall</w:t>
      </w:r>
      <w:r w:rsidRPr="00260B59">
        <w:t xml:space="preserve"> unemployment rate dropped to 6.3</w:t>
      </w:r>
      <w:r>
        <w:t> </w:t>
      </w:r>
      <w:r w:rsidRPr="00260B59">
        <w:t>per cent in the first quarter of 2025, the lowest rate since records began in 1993.</w:t>
      </w:r>
      <w:r>
        <w:t xml:space="preserve"> Egypt’s large</w:t>
      </w:r>
      <w:r w:rsidRPr="00747CA3">
        <w:t xml:space="preserve"> informal sector </w:t>
      </w:r>
      <w:r>
        <w:t xml:space="preserve">and significant under-employment mean the </w:t>
      </w:r>
      <w:r w:rsidRPr="00747CA3">
        <w:t xml:space="preserve">actual </w:t>
      </w:r>
      <w:r>
        <w:t xml:space="preserve">unemployment </w:t>
      </w:r>
      <w:r w:rsidRPr="00747CA3">
        <w:t xml:space="preserve">rate </w:t>
      </w:r>
      <w:r>
        <w:t>is</w:t>
      </w:r>
      <w:r w:rsidRPr="00747CA3">
        <w:t xml:space="preserve"> likely higher</w:t>
      </w:r>
      <w:r>
        <w:t>.</w:t>
      </w:r>
    </w:p>
    <w:p w14:paraId="038D053B" w14:textId="3E1C9FF2" w:rsidR="00C47BE6" w:rsidRDefault="00C47BE6" w:rsidP="00C47BE6">
      <w:pPr>
        <w:pStyle w:val="ListParagraph1"/>
      </w:pPr>
      <w:r w:rsidRPr="004C08F1">
        <w:t xml:space="preserve">The </w:t>
      </w:r>
      <w:r w:rsidRPr="00F207FD">
        <w:rPr>
          <w:i/>
          <w:iCs/>
        </w:rPr>
        <w:t xml:space="preserve">Labour Law </w:t>
      </w:r>
      <w:r>
        <w:rPr>
          <w:i/>
          <w:iCs/>
        </w:rPr>
        <w:t>(</w:t>
      </w:r>
      <w:r w:rsidRPr="00F207FD">
        <w:rPr>
          <w:i/>
          <w:iCs/>
        </w:rPr>
        <w:t>No. 14</w:t>
      </w:r>
      <w:r>
        <w:rPr>
          <w:i/>
          <w:iCs/>
        </w:rPr>
        <w:t>)</w:t>
      </w:r>
      <w:r w:rsidRPr="00F207FD">
        <w:rPr>
          <w:i/>
          <w:iCs/>
        </w:rPr>
        <w:t xml:space="preserve"> 2025</w:t>
      </w:r>
      <w:r>
        <w:t xml:space="preserve">, </w:t>
      </w:r>
      <w:r w:rsidRPr="00F207FD">
        <w:t xml:space="preserve">effective from 1 September 2025, </w:t>
      </w:r>
      <w:r>
        <w:t xml:space="preserve">aims to </w:t>
      </w:r>
      <w:r w:rsidRPr="00F207FD">
        <w:t>combat arbitrary dismissal and align national labour standards with international conventions.</w:t>
      </w:r>
      <w:r>
        <w:t xml:space="preserve"> The</w:t>
      </w:r>
      <w:r w:rsidRPr="00F207FD">
        <w:t xml:space="preserve"> new law introduces protections against unjust terminations, strengthens job security, promotes gender equality</w:t>
      </w:r>
      <w:r>
        <w:t xml:space="preserve"> and </w:t>
      </w:r>
      <w:r w:rsidRPr="00F207FD">
        <w:t>inclusion of persons with disabilities.</w:t>
      </w:r>
      <w:r>
        <w:t xml:space="preserve"> The law mandates </w:t>
      </w:r>
      <w:r w:rsidRPr="00F207FD">
        <w:t>three months of paid maternity leave</w:t>
      </w:r>
      <w:r>
        <w:t>,</w:t>
      </w:r>
      <w:r w:rsidRPr="00F207FD">
        <w:t xml:space="preserve"> two years of unpaid childcare leave</w:t>
      </w:r>
      <w:r>
        <w:t xml:space="preserve"> and severance</w:t>
      </w:r>
      <w:r w:rsidRPr="00F207FD">
        <w:t xml:space="preserve"> pay</w:t>
      </w:r>
      <w:r>
        <w:t xml:space="preserve">ment of </w:t>
      </w:r>
      <w:r w:rsidRPr="00F207FD">
        <w:t>two months’ salary for every year of service.</w:t>
      </w:r>
      <w:r>
        <w:t xml:space="preserve"> Civil Society Organisations (CSOs) have historically documented instances of employers failing to pay wages regularly and on time, especially in manufacturing industries and for those in informal employment.</w:t>
      </w:r>
    </w:p>
    <w:p w14:paraId="540E4E1F" w14:textId="77777777" w:rsidR="00C47BE6" w:rsidRDefault="00C47BE6" w:rsidP="00C47BE6">
      <w:pPr>
        <w:pStyle w:val="ListParagraph1"/>
      </w:pPr>
      <w:r>
        <w:t xml:space="preserve">To </w:t>
      </w:r>
      <w:r w:rsidRPr="009E630B">
        <w:t xml:space="preserve">mitigate </w:t>
      </w:r>
      <w:r>
        <w:t>the ongoing high rate of inflation,</w:t>
      </w:r>
      <w:r w:rsidRPr="00104F26">
        <w:t xml:space="preserve"> </w:t>
      </w:r>
      <w:r>
        <w:t>President El-</w:t>
      </w:r>
      <w:r w:rsidRPr="00104F26">
        <w:t>Sisi</w:t>
      </w:r>
      <w:r>
        <w:t xml:space="preserve"> </w:t>
      </w:r>
      <w:r w:rsidRPr="00104F26">
        <w:t>declared</w:t>
      </w:r>
      <w:r>
        <w:t xml:space="preserve"> </w:t>
      </w:r>
      <w:r w:rsidRPr="00104F26">
        <w:t>a rise in the minimum wage</w:t>
      </w:r>
      <w:r>
        <w:t xml:space="preserve"> </w:t>
      </w:r>
      <w:r w:rsidRPr="00104F26">
        <w:t xml:space="preserve">from </w:t>
      </w:r>
      <w:r>
        <w:t>EGP</w:t>
      </w:r>
      <w:r w:rsidRPr="00104F26">
        <w:t>1,200</w:t>
      </w:r>
      <w:r>
        <w:t xml:space="preserve"> (AUD38)</w:t>
      </w:r>
      <w:r w:rsidRPr="00104F26">
        <w:t xml:space="preserve"> to </w:t>
      </w:r>
      <w:r>
        <w:t xml:space="preserve">EGP </w:t>
      </w:r>
      <w:r w:rsidRPr="00104F26">
        <w:t>6,000</w:t>
      </w:r>
      <w:r>
        <w:t xml:space="preserve"> (AUD187) in 2024</w:t>
      </w:r>
      <w:r w:rsidRPr="00104F26">
        <w:t>.</w:t>
      </w:r>
      <w:r>
        <w:t xml:space="preserve"> T</w:t>
      </w:r>
      <w:r w:rsidRPr="00104F26">
        <w:t>he Ministry of Manpower</w:t>
      </w:r>
      <w:r>
        <w:t xml:space="preserve"> also</w:t>
      </w:r>
      <w:r w:rsidRPr="00104F26">
        <w:t xml:space="preserve"> announced</w:t>
      </w:r>
      <w:r>
        <w:t xml:space="preserve"> </w:t>
      </w:r>
      <w:r w:rsidRPr="00104F26">
        <w:t xml:space="preserve">an increase in the minimum </w:t>
      </w:r>
      <w:r>
        <w:t xml:space="preserve">monthly </w:t>
      </w:r>
      <w:r w:rsidRPr="00104F26">
        <w:t>wage</w:t>
      </w:r>
      <w:r>
        <w:t xml:space="preserve"> </w:t>
      </w:r>
      <w:r w:rsidRPr="00104F26">
        <w:t xml:space="preserve">for private sector workers to </w:t>
      </w:r>
      <w:r>
        <w:t>EGP</w:t>
      </w:r>
      <w:r w:rsidRPr="00104F26">
        <w:t>6,000</w:t>
      </w:r>
      <w:r>
        <w:t xml:space="preserve"> (AUD187)</w:t>
      </w:r>
      <w:r w:rsidRPr="00104F26">
        <w:t xml:space="preserve">, up from </w:t>
      </w:r>
      <w:r>
        <w:t>EGP</w:t>
      </w:r>
      <w:r w:rsidRPr="00104F26">
        <w:t xml:space="preserve">3,500 </w:t>
      </w:r>
      <w:r>
        <w:t xml:space="preserve">(AUD109). Local media reported </w:t>
      </w:r>
      <w:r w:rsidRPr="001F4F43">
        <w:rPr>
          <w:lang w:val="en-AU"/>
        </w:rPr>
        <w:t xml:space="preserve">employers </w:t>
      </w:r>
      <w:r>
        <w:rPr>
          <w:lang w:val="en-AU"/>
        </w:rPr>
        <w:t xml:space="preserve">sometimes </w:t>
      </w:r>
      <w:r w:rsidRPr="001F4F43">
        <w:rPr>
          <w:lang w:val="en-AU"/>
        </w:rPr>
        <w:t>fail</w:t>
      </w:r>
      <w:r>
        <w:rPr>
          <w:lang w:val="en-AU"/>
        </w:rPr>
        <w:t>ed</w:t>
      </w:r>
      <w:r w:rsidRPr="001F4F43">
        <w:rPr>
          <w:lang w:val="en-AU"/>
        </w:rPr>
        <w:t xml:space="preserve"> to pay the minimum wage and labour organising </w:t>
      </w:r>
      <w:r>
        <w:rPr>
          <w:lang w:val="en-AU"/>
        </w:rPr>
        <w:t>wa</w:t>
      </w:r>
      <w:r w:rsidRPr="001F4F43">
        <w:rPr>
          <w:lang w:val="en-AU"/>
        </w:rPr>
        <w:t>s heavily restricted</w:t>
      </w:r>
      <w:r>
        <w:rPr>
          <w:lang w:val="en-AU"/>
        </w:rPr>
        <w:t>.</w:t>
      </w:r>
    </w:p>
    <w:p w14:paraId="43D7E31D" w14:textId="77777777" w:rsidR="00C47BE6" w:rsidRPr="0008495C" w:rsidRDefault="00C47BE6" w:rsidP="00C47BE6">
      <w:pPr>
        <w:pStyle w:val="ListParagraph1"/>
      </w:pPr>
      <w:r w:rsidRPr="00747CA3">
        <w:t xml:space="preserve">DFAT assesses </w:t>
      </w:r>
      <w:r>
        <w:t xml:space="preserve">low rates of pay and weak economic opportunities often </w:t>
      </w:r>
      <w:r w:rsidRPr="00747CA3">
        <w:t xml:space="preserve">act as </w:t>
      </w:r>
      <w:r>
        <w:t>a push factor</w:t>
      </w:r>
      <w:r w:rsidRPr="00747CA3">
        <w:t xml:space="preserve"> for emigration </w:t>
      </w:r>
      <w:r w:rsidRPr="0008495C">
        <w:t>from Egypt, particularly for young Egyptians.</w:t>
      </w:r>
    </w:p>
    <w:p w14:paraId="4C309FEF" w14:textId="77777777" w:rsidR="00C47BE6" w:rsidRPr="00C47BE6" w:rsidRDefault="00C47BE6" w:rsidP="00C47BE6">
      <w:pPr>
        <w:pStyle w:val="Heading3"/>
        <w:ind w:firstLine="0"/>
        <w:jc w:val="left"/>
        <w:rPr>
          <w:rFonts w:cs="Calibri"/>
          <w:b/>
          <w:bCs/>
          <w:color w:val="auto"/>
        </w:rPr>
      </w:pPr>
      <w:bookmarkStart w:id="20" w:name="_Welfare"/>
      <w:bookmarkStart w:id="21" w:name="_Toc196318418"/>
      <w:bookmarkEnd w:id="20"/>
      <w:r w:rsidRPr="00C47BE6">
        <w:rPr>
          <w:rFonts w:cs="Calibri"/>
          <w:b/>
          <w:bCs/>
          <w:color w:val="auto"/>
        </w:rPr>
        <w:t>Welfare</w:t>
      </w:r>
      <w:bookmarkEnd w:id="21"/>
    </w:p>
    <w:p w14:paraId="007469D9" w14:textId="77777777" w:rsidR="00C47BE6" w:rsidRDefault="00C47BE6" w:rsidP="00C47BE6">
      <w:pPr>
        <w:pStyle w:val="ListParagraph1"/>
      </w:pPr>
      <w:r w:rsidRPr="0008495C">
        <w:t xml:space="preserve">Article </w:t>
      </w:r>
      <w:r>
        <w:t>79</w:t>
      </w:r>
      <w:r w:rsidRPr="0008495C">
        <w:t xml:space="preserve"> of the 2014 Constitution </w:t>
      </w:r>
      <w:r>
        <w:t xml:space="preserve">states Egyptians </w:t>
      </w:r>
      <w:r w:rsidRPr="005B2E12">
        <w:t>ha</w:t>
      </w:r>
      <w:r>
        <w:t>ve</w:t>
      </w:r>
      <w:r w:rsidRPr="005B2E12">
        <w:t xml:space="preserve"> the right to healthy and sufficient food and clean water</w:t>
      </w:r>
      <w:r>
        <w:t>, with the s</w:t>
      </w:r>
      <w:r w:rsidRPr="005B2E12">
        <w:t xml:space="preserve">tate </w:t>
      </w:r>
      <w:r>
        <w:t xml:space="preserve">to </w:t>
      </w:r>
      <w:r w:rsidRPr="005B2E12">
        <w:t>ensur</w:t>
      </w:r>
      <w:r>
        <w:t>e</w:t>
      </w:r>
      <w:r w:rsidRPr="005B2E12">
        <w:t xml:space="preserve"> food resources </w:t>
      </w:r>
      <w:r>
        <w:t>f</w:t>
      </w:r>
      <w:r w:rsidRPr="005B2E12">
        <w:t>o</w:t>
      </w:r>
      <w:r>
        <w:t>r</w:t>
      </w:r>
      <w:r w:rsidRPr="005B2E12">
        <w:t xml:space="preserve"> all citizens.</w:t>
      </w:r>
      <w:r w:rsidRPr="0008495C">
        <w:t xml:space="preserve"> </w:t>
      </w:r>
      <w:r>
        <w:t>Article 83 of the Constitution g</w:t>
      </w:r>
      <w:r w:rsidRPr="005B2E12">
        <w:t>uarantee</w:t>
      </w:r>
      <w:r>
        <w:t>s</w:t>
      </w:r>
      <w:r w:rsidRPr="005B2E12">
        <w:t xml:space="preserve"> the health, economic, social, cultural and entertainment rights of elderly people </w:t>
      </w:r>
      <w:r>
        <w:t xml:space="preserve">and stipulates an entitlement to adequate state </w:t>
      </w:r>
      <w:r w:rsidRPr="005B2E12">
        <w:t>pensions.</w:t>
      </w:r>
      <w:r>
        <w:t xml:space="preserve"> The Egyptian Government’s 2025-26 budget</w:t>
      </w:r>
      <w:r w:rsidRPr="00B42230">
        <w:t xml:space="preserve"> allocated </w:t>
      </w:r>
      <w:r>
        <w:t>EGP</w:t>
      </w:r>
      <w:r w:rsidRPr="00B42230">
        <w:t>732.6 billion</w:t>
      </w:r>
      <w:r>
        <w:t xml:space="preserve"> (AUD22.8 billion)</w:t>
      </w:r>
      <w:r w:rsidRPr="00B42230">
        <w:t xml:space="preserve"> </w:t>
      </w:r>
      <w:r>
        <w:t>towards</w:t>
      </w:r>
      <w:r w:rsidRPr="00B42230">
        <w:t xml:space="preserve"> </w:t>
      </w:r>
      <w:r>
        <w:t>‘</w:t>
      </w:r>
      <w:r w:rsidRPr="00B42230">
        <w:t>subsidies, grants and social benefits</w:t>
      </w:r>
      <w:r>
        <w:t>’</w:t>
      </w:r>
      <w:r w:rsidRPr="00B42230">
        <w:t>, a 15.2 per</w:t>
      </w:r>
      <w:r>
        <w:t xml:space="preserve"> </w:t>
      </w:r>
      <w:r w:rsidRPr="00B42230">
        <w:t>cent increase over the previous year. This include</w:t>
      </w:r>
      <w:r>
        <w:t>d</w:t>
      </w:r>
      <w:r w:rsidRPr="00B42230">
        <w:t xml:space="preserve"> </w:t>
      </w:r>
      <w:r>
        <w:t>EGP</w:t>
      </w:r>
      <w:r w:rsidRPr="00B42230">
        <w:t xml:space="preserve">160 billion </w:t>
      </w:r>
      <w:r>
        <w:t xml:space="preserve">(AUD5 billion) </w:t>
      </w:r>
      <w:r w:rsidRPr="00B42230">
        <w:t xml:space="preserve">to support food subsidy programs </w:t>
      </w:r>
      <w:r>
        <w:t>and EGP54 billion (AUD1.7 billion) for the</w:t>
      </w:r>
      <w:r w:rsidRPr="00B42230">
        <w:t xml:space="preserve"> </w:t>
      </w:r>
      <w:r w:rsidRPr="001618A5">
        <w:rPr>
          <w:i/>
          <w:iCs/>
        </w:rPr>
        <w:t>Takaful</w:t>
      </w:r>
      <w:r w:rsidRPr="00B42230">
        <w:t xml:space="preserve"> </w:t>
      </w:r>
      <w:r>
        <w:t>(‘</w:t>
      </w:r>
      <w:r w:rsidRPr="008C31E3">
        <w:t>Solidarity</w:t>
      </w:r>
      <w:r>
        <w:t>’)</w:t>
      </w:r>
      <w:r w:rsidRPr="00B42230">
        <w:t xml:space="preserve"> and </w:t>
      </w:r>
      <w:r w:rsidRPr="001618A5">
        <w:rPr>
          <w:i/>
          <w:iCs/>
        </w:rPr>
        <w:t>Karama</w:t>
      </w:r>
      <w:r>
        <w:t xml:space="preserve"> (‘Dignity’)</w:t>
      </w:r>
      <w:r w:rsidRPr="00B42230">
        <w:t xml:space="preserve"> </w:t>
      </w:r>
      <w:r>
        <w:t>initiatives (see below)</w:t>
      </w:r>
      <w:r w:rsidRPr="00B42230">
        <w:t>.</w:t>
      </w:r>
    </w:p>
    <w:p w14:paraId="0D0D4B07" w14:textId="77777777" w:rsidR="00C47BE6" w:rsidRDefault="00C47BE6" w:rsidP="00C47BE6">
      <w:pPr>
        <w:pStyle w:val="ListParagraph1"/>
      </w:pPr>
      <w:r>
        <w:t>Around</w:t>
      </w:r>
      <w:r w:rsidRPr="00104257">
        <w:t xml:space="preserve"> 70 million Egyptians are eligible </w:t>
      </w:r>
      <w:r>
        <w:t>for</w:t>
      </w:r>
      <w:r w:rsidRPr="00104257">
        <w:t xml:space="preserve"> </w:t>
      </w:r>
      <w:r>
        <w:t>government s</w:t>
      </w:r>
      <w:r w:rsidRPr="00104257">
        <w:t>ubsidi</w:t>
      </w:r>
      <w:r>
        <w:t>s</w:t>
      </w:r>
      <w:r w:rsidRPr="00104257">
        <w:t>e</w:t>
      </w:r>
      <w:r>
        <w:t>d</w:t>
      </w:r>
      <w:r w:rsidRPr="00104257">
        <w:t xml:space="preserve"> </w:t>
      </w:r>
      <w:r>
        <w:t xml:space="preserve">essential commodities (bread, sugar and cooking oil) designed to alleviate financial burdens on the vulnerable. </w:t>
      </w:r>
      <w:r w:rsidRPr="00104257">
        <w:t xml:space="preserve">In </w:t>
      </w:r>
      <w:r>
        <w:t>2024</w:t>
      </w:r>
      <w:r w:rsidRPr="00104257">
        <w:t xml:space="preserve">, the </w:t>
      </w:r>
      <w:r>
        <w:t>Egyptian G</w:t>
      </w:r>
      <w:r w:rsidRPr="00104257">
        <w:t xml:space="preserve">overnment </w:t>
      </w:r>
      <w:r>
        <w:t xml:space="preserve">sought to </w:t>
      </w:r>
      <w:r w:rsidRPr="00104257">
        <w:t xml:space="preserve">limit subsidised </w:t>
      </w:r>
      <w:r>
        <w:t xml:space="preserve">foods </w:t>
      </w:r>
      <w:r w:rsidRPr="00104257">
        <w:t xml:space="preserve">to those </w:t>
      </w:r>
      <w:r>
        <w:t xml:space="preserve">who were </w:t>
      </w:r>
      <w:r w:rsidRPr="00104257">
        <w:t>eligible</w:t>
      </w:r>
      <w:r>
        <w:t xml:space="preserve"> i</w:t>
      </w:r>
      <w:r w:rsidRPr="00104257">
        <w:t xml:space="preserve">n return for the IMF extending Egypt's loan program, </w:t>
      </w:r>
      <w:r>
        <w:t xml:space="preserve">under which </w:t>
      </w:r>
      <w:r w:rsidRPr="00104257">
        <w:lastRenderedPageBreak/>
        <w:t>Egypt committed to gradually abolish subsidies on basic commodities.</w:t>
      </w:r>
      <w:r>
        <w:t xml:space="preserve"> In</w:t>
      </w:r>
      <w:r>
        <w:noBreakHyphen/>
        <w:t>country sources confirmed the government had begun reducing subsidies on food items in favour of direct cash transfers to the most vulnerable.</w:t>
      </w:r>
    </w:p>
    <w:p w14:paraId="520410ED" w14:textId="77777777" w:rsidR="00C47BE6" w:rsidRDefault="00C47BE6" w:rsidP="00C47BE6">
      <w:pPr>
        <w:pStyle w:val="ListParagraph1"/>
      </w:pPr>
      <w:r>
        <w:t xml:space="preserve">The Egyptian Government's </w:t>
      </w:r>
      <w:r w:rsidRPr="001618A5">
        <w:rPr>
          <w:i/>
          <w:iCs/>
        </w:rPr>
        <w:t>Takaful</w:t>
      </w:r>
      <w:r>
        <w:t xml:space="preserve"> and </w:t>
      </w:r>
      <w:r w:rsidRPr="001618A5">
        <w:rPr>
          <w:i/>
          <w:iCs/>
        </w:rPr>
        <w:t>Karama</w:t>
      </w:r>
      <w:r>
        <w:t xml:space="preserve"> initiatives provide direct cash transfers. </w:t>
      </w:r>
      <w:r w:rsidRPr="001618A5">
        <w:rPr>
          <w:i/>
          <w:iCs/>
        </w:rPr>
        <w:t>Takaful</w:t>
      </w:r>
      <w:r>
        <w:t xml:space="preserve"> provides </w:t>
      </w:r>
      <w:r w:rsidRPr="00B42230">
        <w:t>cash transfer</w:t>
      </w:r>
      <w:r>
        <w:t>s</w:t>
      </w:r>
      <w:r w:rsidRPr="00B42230">
        <w:t xml:space="preserve"> to low-income families with children conditional upon school attendance and regular health check</w:t>
      </w:r>
      <w:r>
        <w:noBreakHyphen/>
      </w:r>
      <w:r w:rsidRPr="00B42230">
        <w:t xml:space="preserve">ups. </w:t>
      </w:r>
      <w:r w:rsidRPr="001618A5">
        <w:rPr>
          <w:i/>
          <w:iCs/>
        </w:rPr>
        <w:t>Karama</w:t>
      </w:r>
      <w:r>
        <w:t xml:space="preserve"> </w:t>
      </w:r>
      <w:r w:rsidRPr="00B42230">
        <w:t>is an unconditional cash transfer to low-income orphans, older people and people with disabilities</w:t>
      </w:r>
      <w:r>
        <w:t>. These safety nets aim to provide short-term relief and economic stability during times of hardship. The number of beneficiaries of direct cash support programs increased from 1.79 million families in 2014-15 to 5.2 million families in 2023-24 (a 200 per cent increase). In</w:t>
      </w:r>
      <w:r>
        <w:noBreakHyphen/>
        <w:t>country sources said most direct cash transfer programs were for a maximum of EGP600 (AUD19) a month per individual</w:t>
      </w:r>
      <w:r w:rsidRPr="00F91F7E">
        <w:t xml:space="preserve"> </w:t>
      </w:r>
      <w:r>
        <w:t xml:space="preserve">(well below minimum wage) and entailed </w:t>
      </w:r>
      <w:r w:rsidRPr="0070008F">
        <w:t>significant paperwork</w:t>
      </w:r>
      <w:r>
        <w:t>.</w:t>
      </w:r>
    </w:p>
    <w:p w14:paraId="010A4116" w14:textId="77777777" w:rsidR="00C47BE6" w:rsidRPr="00F06DD7" w:rsidRDefault="00C47BE6" w:rsidP="00C47BE6">
      <w:pPr>
        <w:pStyle w:val="Heading3"/>
        <w:ind w:firstLine="0"/>
        <w:jc w:val="left"/>
        <w:rPr>
          <w:rFonts w:cs="Calibri"/>
          <w:b/>
          <w:bCs/>
          <w:color w:val="auto"/>
        </w:rPr>
      </w:pPr>
      <w:bookmarkStart w:id="22" w:name="_Health"/>
      <w:bookmarkStart w:id="23" w:name="_Toc196318419"/>
      <w:bookmarkEnd w:id="22"/>
      <w:r w:rsidRPr="00F06DD7">
        <w:rPr>
          <w:rFonts w:cs="Calibri"/>
          <w:b/>
          <w:bCs/>
          <w:color w:val="auto"/>
        </w:rPr>
        <w:t>Health</w:t>
      </w:r>
      <w:bookmarkEnd w:id="23"/>
    </w:p>
    <w:p w14:paraId="016F90DC" w14:textId="77777777" w:rsidR="00C47BE6" w:rsidRDefault="00C47BE6" w:rsidP="00C47BE6">
      <w:pPr>
        <w:pStyle w:val="ListParagraph1"/>
      </w:pPr>
      <w:r>
        <w:t>Average life expectancy in Egypt was 72 years in 2023 according to the World Bank (most recent data available) and was slightly higher in urban areas. Mortality rates are highest for non</w:t>
      </w:r>
      <w:r>
        <w:noBreakHyphen/>
        <w:t xml:space="preserve">communicable diseases such as heart disease, stroke, </w:t>
      </w:r>
      <w:r w:rsidRPr="001618A5">
        <w:t>cirrhosis of the liver, kidney disease</w:t>
      </w:r>
      <w:r>
        <w:t xml:space="preserve"> and diabetes according to the World Health Organization (WHO).</w:t>
      </w:r>
    </w:p>
    <w:p w14:paraId="3014ED50" w14:textId="77777777" w:rsidR="00C47BE6" w:rsidRDefault="00C47BE6" w:rsidP="00C47BE6">
      <w:pPr>
        <w:pStyle w:val="ListParagraph1"/>
      </w:pPr>
      <w:r>
        <w:t>A</w:t>
      </w:r>
      <w:r w:rsidRPr="0008495C">
        <w:t>rticle 18 of the Constitution states every citizen is entitled to comprehensive health care. It commits the</w:t>
      </w:r>
      <w:r>
        <w:t xml:space="preserve"> Egyptian</w:t>
      </w:r>
      <w:r w:rsidRPr="0008495C">
        <w:t xml:space="preserve"> </w:t>
      </w:r>
      <w:r>
        <w:t>Government</w:t>
      </w:r>
      <w:r w:rsidRPr="0008495C">
        <w:t xml:space="preserve"> to establishing a comprehensive health care system, </w:t>
      </w:r>
      <w:r w:rsidRPr="005450C6">
        <w:t xml:space="preserve">maintaining public health facilities and allocating no less than 3 per cent of GDP to health care. </w:t>
      </w:r>
      <w:r>
        <w:t>The government</w:t>
      </w:r>
      <w:r w:rsidRPr="005450C6">
        <w:t xml:space="preserve"> spent 4.7 per cent of GDP on health expenditure in 2022 according to World Bank data (most recent available)</w:t>
      </w:r>
      <w:r>
        <w:t>.</w:t>
      </w:r>
      <w:r w:rsidRPr="005450C6">
        <w:t xml:space="preserve"> </w:t>
      </w:r>
      <w:r>
        <w:t>I</w:t>
      </w:r>
      <w:r w:rsidRPr="005450C6">
        <w:t xml:space="preserve">n-country sources </w:t>
      </w:r>
      <w:r>
        <w:t xml:space="preserve">said </w:t>
      </w:r>
      <w:r w:rsidRPr="005450C6">
        <w:t xml:space="preserve">spending </w:t>
      </w:r>
      <w:r>
        <w:t xml:space="preserve">had </w:t>
      </w:r>
      <w:r w:rsidRPr="005450C6">
        <w:t>dropped below constitutional</w:t>
      </w:r>
      <w:r>
        <w:t>ly-imposed</w:t>
      </w:r>
      <w:r w:rsidRPr="005450C6">
        <w:t xml:space="preserve"> limits</w:t>
      </w:r>
      <w:r>
        <w:t xml:space="preserve"> by 2024 due to population growth</w:t>
      </w:r>
      <w:r w:rsidRPr="005450C6">
        <w:t>.</w:t>
      </w:r>
      <w:r>
        <w:t xml:space="preserve"> The 2025-26 budget</w:t>
      </w:r>
      <w:r w:rsidRPr="00B42230">
        <w:t xml:space="preserve"> allocated </w:t>
      </w:r>
      <w:r>
        <w:t xml:space="preserve">EGP496 billion (AUD15.5 billion) towards </w:t>
      </w:r>
      <w:r w:rsidRPr="005450C6">
        <w:t>health</w:t>
      </w:r>
      <w:r>
        <w:t>, an increase of</w:t>
      </w:r>
      <w:r w:rsidRPr="005450C6">
        <w:t xml:space="preserve"> 24.9 per</w:t>
      </w:r>
      <w:r>
        <w:t xml:space="preserve"> </w:t>
      </w:r>
      <w:r w:rsidRPr="005450C6">
        <w:t xml:space="preserve">cent </w:t>
      </w:r>
      <w:r>
        <w:t>from 2024-25</w:t>
      </w:r>
      <w:r w:rsidRPr="005450C6">
        <w:t>.</w:t>
      </w:r>
    </w:p>
    <w:p w14:paraId="2DE0ED8A" w14:textId="77777777" w:rsidR="00C47BE6" w:rsidRDefault="00C47BE6" w:rsidP="00C47BE6">
      <w:pPr>
        <w:pStyle w:val="ListParagraph1"/>
      </w:pPr>
      <w:r w:rsidRPr="009B3FC4">
        <w:rPr>
          <w:lang w:val="en-AU"/>
        </w:rPr>
        <w:t xml:space="preserve">Responsibility for health </w:t>
      </w:r>
      <w:r>
        <w:rPr>
          <w:lang w:val="en-AU"/>
        </w:rPr>
        <w:t xml:space="preserve">care </w:t>
      </w:r>
      <w:r w:rsidRPr="009B3FC4">
        <w:rPr>
          <w:lang w:val="en-AU"/>
        </w:rPr>
        <w:t>is divided between the</w:t>
      </w:r>
      <w:r w:rsidRPr="00370C9F">
        <w:t xml:space="preserve"> Ministry of Health</w:t>
      </w:r>
      <w:r>
        <w:t>,</w:t>
      </w:r>
      <w:r w:rsidRPr="00370C9F">
        <w:t xml:space="preserve"> </w:t>
      </w:r>
      <w:r>
        <w:t xml:space="preserve">which </w:t>
      </w:r>
      <w:r w:rsidRPr="00370C9F">
        <w:t>funds primary care clinics</w:t>
      </w:r>
      <w:r>
        <w:t>,</w:t>
      </w:r>
      <w:r w:rsidRPr="00370C9F">
        <w:t xml:space="preserve"> and the Ministry of Higher Educat</w:t>
      </w:r>
      <w:r>
        <w:t>ion, which funds university hospitals. Health services are also provided by various</w:t>
      </w:r>
      <w:r w:rsidRPr="00370C9F">
        <w:t xml:space="preserve"> </w:t>
      </w:r>
      <w:r>
        <w:t xml:space="preserve">other </w:t>
      </w:r>
      <w:r w:rsidRPr="00370C9F">
        <w:t>ministries, including defence, transport, aviation, electricity and interior</w:t>
      </w:r>
      <w:r>
        <w:t>.</w:t>
      </w:r>
      <w:r w:rsidRPr="00370C9F">
        <w:t xml:space="preserve"> </w:t>
      </w:r>
      <w:r>
        <w:t xml:space="preserve">The </w:t>
      </w:r>
      <w:r w:rsidRPr="00B00383">
        <w:rPr>
          <w:i/>
          <w:iCs/>
        </w:rPr>
        <w:t>Public Utilities’ Obligation to Establish, Manage, Operate, and Develop Health Facilities Act</w:t>
      </w:r>
      <w:r w:rsidRPr="004A5F3C">
        <w:t xml:space="preserve"> </w:t>
      </w:r>
      <w:r>
        <w:t>(</w:t>
      </w:r>
      <w:r>
        <w:rPr>
          <w:i/>
          <w:iCs/>
        </w:rPr>
        <w:t xml:space="preserve">No. </w:t>
      </w:r>
      <w:r w:rsidRPr="00B00383">
        <w:rPr>
          <w:i/>
          <w:iCs/>
        </w:rPr>
        <w:t>87)</w:t>
      </w:r>
      <w:r w:rsidRPr="004A5F3C">
        <w:t xml:space="preserve"> </w:t>
      </w:r>
      <w:r>
        <w:t>ratified on</w:t>
      </w:r>
      <w:r w:rsidRPr="004A5F3C">
        <w:t xml:space="preserve"> 23</w:t>
      </w:r>
      <w:r>
        <w:t> </w:t>
      </w:r>
      <w:r w:rsidRPr="004A5F3C">
        <w:t>June</w:t>
      </w:r>
      <w:r>
        <w:t> 2024</w:t>
      </w:r>
      <w:r w:rsidRPr="004A5F3C">
        <w:t>, allow</w:t>
      </w:r>
      <w:r>
        <w:t>s</w:t>
      </w:r>
      <w:r w:rsidRPr="004A5F3C">
        <w:t xml:space="preserve"> the private sector to operate and manage public health facilities on a for-profit basis.</w:t>
      </w:r>
      <w:r>
        <w:t xml:space="preserve"> At the time of writing, </w:t>
      </w:r>
      <w:r w:rsidRPr="00B00383">
        <w:rPr>
          <w:i/>
          <w:iCs/>
        </w:rPr>
        <w:t xml:space="preserve">Law </w:t>
      </w:r>
      <w:r>
        <w:rPr>
          <w:i/>
          <w:iCs/>
        </w:rPr>
        <w:t xml:space="preserve">No. </w:t>
      </w:r>
      <w:r w:rsidRPr="00B00383">
        <w:rPr>
          <w:i/>
          <w:iCs/>
        </w:rPr>
        <w:t>87</w:t>
      </w:r>
      <w:r>
        <w:t xml:space="preserve"> was yet to be implemented</w:t>
      </w:r>
      <w:r w:rsidRPr="004A5F3C">
        <w:t>.</w:t>
      </w:r>
    </w:p>
    <w:p w14:paraId="29059FAA" w14:textId="77777777" w:rsidR="00C47BE6" w:rsidRDefault="00C47BE6" w:rsidP="00C47BE6">
      <w:pPr>
        <w:pStyle w:val="ListParagraph1"/>
      </w:pPr>
      <w:r>
        <w:t xml:space="preserve">In 2022, </w:t>
      </w:r>
      <w:r w:rsidRPr="009B3FC4">
        <w:t>Egypt ha</w:t>
      </w:r>
      <w:r>
        <w:t>d</w:t>
      </w:r>
      <w:r w:rsidRPr="009B3FC4">
        <w:t xml:space="preserve"> approximately 1,810 hospitals</w:t>
      </w:r>
      <w:r>
        <w:t xml:space="preserve"> and </w:t>
      </w:r>
      <w:r w:rsidRPr="00D36C4E">
        <w:t>5,426 healthcare facilities</w:t>
      </w:r>
      <w:r>
        <w:t xml:space="preserve">.  Egypt had </w:t>
      </w:r>
      <w:r w:rsidRPr="00DC62D0">
        <w:t>1.3 hospital beds per 1,000 people according to World Bank data, on par with Jordan</w:t>
      </w:r>
      <w:r>
        <w:t xml:space="preserve"> and the </w:t>
      </w:r>
      <w:r w:rsidRPr="00DC62D0">
        <w:t>United Arab Emirates.</w:t>
      </w:r>
      <w:r>
        <w:t xml:space="preserve"> The number of practising doctors in Egypt was 97,400 in 2022, meaning there were 8.6 doctors per 10,000 people. The </w:t>
      </w:r>
      <w:r w:rsidRPr="0065004E">
        <w:t xml:space="preserve">Ministry </w:t>
      </w:r>
      <w:r>
        <w:t xml:space="preserve">of Health announced in November 2024 it was </w:t>
      </w:r>
      <w:r w:rsidRPr="0065004E">
        <w:t>upgrad</w:t>
      </w:r>
      <w:r>
        <w:t>ing</w:t>
      </w:r>
      <w:r w:rsidRPr="0065004E">
        <w:t xml:space="preserve"> hospitals in 11 governorates</w:t>
      </w:r>
      <w:r>
        <w:t xml:space="preserve"> to expand the number of new hospital beds by</w:t>
      </w:r>
      <w:r w:rsidRPr="0065004E">
        <w:t xml:space="preserve"> 2,648</w:t>
      </w:r>
      <w:r>
        <w:t xml:space="preserve"> and would construct</w:t>
      </w:r>
      <w:r w:rsidRPr="0065004E">
        <w:t xml:space="preserve"> 10 new hospitals by 2027</w:t>
      </w:r>
      <w:r>
        <w:t>.</w:t>
      </w:r>
    </w:p>
    <w:p w14:paraId="57CAF464" w14:textId="77777777" w:rsidR="00C47BE6" w:rsidRDefault="00C47BE6" w:rsidP="00C47BE6">
      <w:pPr>
        <w:pStyle w:val="ListParagraph1"/>
      </w:pPr>
      <w:r w:rsidRPr="00B00383">
        <w:t>The public health system is</w:t>
      </w:r>
      <w:r>
        <w:t xml:space="preserve"> heavily subsidised. Out of pocket costs are relatively low unless specialist treatment for a chronic condition is</w:t>
      </w:r>
      <w:r w:rsidRPr="00893BDC">
        <w:t xml:space="preserve"> </w:t>
      </w:r>
      <w:r>
        <w:t>required. S</w:t>
      </w:r>
      <w:r w:rsidRPr="00946ABC">
        <w:t>pecific groups</w:t>
      </w:r>
      <w:r>
        <w:t>,</w:t>
      </w:r>
      <w:r w:rsidRPr="00946ABC">
        <w:t xml:space="preserve"> includ</w:t>
      </w:r>
      <w:r>
        <w:t>ing</w:t>
      </w:r>
      <w:r w:rsidRPr="00946ABC">
        <w:t xml:space="preserve"> </w:t>
      </w:r>
      <w:r>
        <w:t xml:space="preserve">people with disabilities and </w:t>
      </w:r>
      <w:r w:rsidRPr="00946ABC">
        <w:t>those entitled to social assistance</w:t>
      </w:r>
      <w:r>
        <w:t>, are eligible for fully subsidised medical care. Many m</w:t>
      </w:r>
      <w:r w:rsidRPr="00B00383">
        <w:t xml:space="preserve">edicines </w:t>
      </w:r>
      <w:r>
        <w:t xml:space="preserve">are heavily subsidised through </w:t>
      </w:r>
      <w:r w:rsidRPr="00B1138D">
        <w:t>a combination of government</w:t>
      </w:r>
      <w:r>
        <w:t xml:space="preserve"> </w:t>
      </w:r>
      <w:r w:rsidRPr="00B1138D">
        <w:t>funding, subsidi</w:t>
      </w:r>
      <w:r>
        <w:t>s</w:t>
      </w:r>
      <w:r w:rsidRPr="00B1138D">
        <w:t>ed loans to pharmaceutical companies</w:t>
      </w:r>
      <w:r>
        <w:t xml:space="preserve"> and insurance programs</w:t>
      </w:r>
      <w:r w:rsidRPr="007665FF">
        <w:t xml:space="preserve">. </w:t>
      </w:r>
      <w:r>
        <w:t xml:space="preserve">In-country sources said while the quality of public hospitals was poor, services and medicines were generally accessible and affordable for all Egyptians, including </w:t>
      </w:r>
      <w:hyperlink w:anchor="_RACE/NATIONALITY" w:history="1">
        <w:r w:rsidRPr="00574237">
          <w:rPr>
            <w:rStyle w:val="Hyperlink"/>
          </w:rPr>
          <w:t>ethnic</w:t>
        </w:r>
      </w:hyperlink>
      <w:r>
        <w:t xml:space="preserve"> and </w:t>
      </w:r>
      <w:hyperlink w:anchor="_Conflict_between_Turkish" w:history="1">
        <w:r w:rsidRPr="00574237">
          <w:rPr>
            <w:rStyle w:val="Hyperlink"/>
          </w:rPr>
          <w:t>religious</w:t>
        </w:r>
      </w:hyperlink>
      <w:r>
        <w:t xml:space="preserve"> minorities. T</w:t>
      </w:r>
      <w:r w:rsidRPr="001618A5">
        <w:t>he number of doctors, pharmacies and health care centr</w:t>
      </w:r>
      <w:r>
        <w:t>e</w:t>
      </w:r>
      <w:r w:rsidRPr="001618A5">
        <w:t>s is</w:t>
      </w:r>
      <w:r>
        <w:t xml:space="preserve"> generally higher in</w:t>
      </w:r>
      <w:r w:rsidRPr="001618A5">
        <w:t xml:space="preserve"> urban areas.</w:t>
      </w:r>
    </w:p>
    <w:p w14:paraId="200E884B" w14:textId="77777777" w:rsidR="00C47BE6" w:rsidRDefault="00C47BE6" w:rsidP="00C47BE6">
      <w:pPr>
        <w:pStyle w:val="ListParagraph1"/>
      </w:pPr>
      <w:r>
        <w:t xml:space="preserve">More than </w:t>
      </w:r>
      <w:r w:rsidRPr="00F71B4C">
        <w:t>66</w:t>
      </w:r>
      <w:r>
        <w:t xml:space="preserve"> per cent of Egyptians were covered by</w:t>
      </w:r>
      <w:r w:rsidRPr="00F71B4C">
        <w:t xml:space="preserve"> public health insurance </w:t>
      </w:r>
      <w:r>
        <w:t>programs</w:t>
      </w:r>
      <w:r w:rsidRPr="00F71B4C">
        <w:t xml:space="preserve"> </w:t>
      </w:r>
      <w:r>
        <w:t xml:space="preserve">in 2023 </w:t>
      </w:r>
      <w:r w:rsidRPr="00F71B4C">
        <w:t>according to the Ministry of Health and Population</w:t>
      </w:r>
      <w:r>
        <w:t xml:space="preserve">. Those covered included most </w:t>
      </w:r>
      <w:r w:rsidRPr="00F71B4C">
        <w:t xml:space="preserve">school students, public and private sector workers, widows and pensioners. There </w:t>
      </w:r>
      <w:r>
        <w:t>are</w:t>
      </w:r>
      <w:r w:rsidRPr="00F71B4C">
        <w:t xml:space="preserve"> no official figures on </w:t>
      </w:r>
      <w:r>
        <w:t>Egyptians</w:t>
      </w:r>
      <w:r w:rsidRPr="00F71B4C">
        <w:t xml:space="preserve"> who </w:t>
      </w:r>
      <w:r>
        <w:t>hold</w:t>
      </w:r>
      <w:r w:rsidRPr="00F71B4C">
        <w:t xml:space="preserve"> private health insurance</w:t>
      </w:r>
      <w:r>
        <w:t>. At the time of writing the Egyptian</w:t>
      </w:r>
      <w:r w:rsidRPr="007D78D5">
        <w:t xml:space="preserve"> </w:t>
      </w:r>
      <w:r>
        <w:t>G</w:t>
      </w:r>
      <w:r w:rsidRPr="007D78D5">
        <w:t xml:space="preserve">overnment </w:t>
      </w:r>
      <w:r>
        <w:t>was rolling out</w:t>
      </w:r>
      <w:r w:rsidRPr="007D78D5">
        <w:t xml:space="preserve"> a universal health insurance scheme </w:t>
      </w:r>
      <w:r>
        <w:t xml:space="preserve">to expand </w:t>
      </w:r>
      <w:r w:rsidRPr="007D78D5">
        <w:t xml:space="preserve">basic healthcare coverage. Fees are based on income, with the </w:t>
      </w:r>
      <w:r>
        <w:t>government</w:t>
      </w:r>
      <w:r w:rsidRPr="007D78D5">
        <w:t xml:space="preserve"> covering </w:t>
      </w:r>
      <w:r>
        <w:t>costs for</w:t>
      </w:r>
      <w:r w:rsidRPr="007D78D5">
        <w:t xml:space="preserve"> the poorest.</w:t>
      </w:r>
      <w:r>
        <w:t xml:space="preserve"> </w:t>
      </w:r>
    </w:p>
    <w:p w14:paraId="688F6CE0" w14:textId="77777777" w:rsidR="00C47BE6" w:rsidRDefault="00C47BE6" w:rsidP="00C47BE6">
      <w:pPr>
        <w:pStyle w:val="ListParagraph1"/>
      </w:pPr>
      <w:r w:rsidRPr="00724C16">
        <w:t xml:space="preserve">The </w:t>
      </w:r>
      <w:r w:rsidRPr="00724C16">
        <w:rPr>
          <w:i/>
          <w:iCs/>
        </w:rPr>
        <w:t>Hayah Karima</w:t>
      </w:r>
      <w:r w:rsidRPr="00724C16">
        <w:t xml:space="preserve"> (</w:t>
      </w:r>
      <w:r>
        <w:t>‘</w:t>
      </w:r>
      <w:r w:rsidRPr="00724C16">
        <w:t>Decent Life</w:t>
      </w:r>
      <w:r>
        <w:t>’</w:t>
      </w:r>
      <w:r w:rsidRPr="00724C16">
        <w:t xml:space="preserve">) sustainable rural communities initiative </w:t>
      </w:r>
      <w:r>
        <w:t>commenced</w:t>
      </w:r>
      <w:r w:rsidRPr="00724C16">
        <w:t xml:space="preserve"> in 2019 and </w:t>
      </w:r>
      <w:r>
        <w:t xml:space="preserve">was </w:t>
      </w:r>
      <w:r w:rsidRPr="00724C16">
        <w:t xml:space="preserve">expanded </w:t>
      </w:r>
      <w:r>
        <w:t>to</w:t>
      </w:r>
      <w:r w:rsidRPr="00724C16">
        <w:t xml:space="preserve"> mitigat</w:t>
      </w:r>
      <w:r>
        <w:t>e</w:t>
      </w:r>
      <w:r w:rsidRPr="00724C16">
        <w:t xml:space="preserve"> the negative impacts of COVID-19.</w:t>
      </w:r>
      <w:r>
        <w:t xml:space="preserve"> Under the initiative an additional</w:t>
      </w:r>
      <w:r w:rsidRPr="00D36C4E">
        <w:t xml:space="preserve"> EGP31</w:t>
      </w:r>
      <w:r>
        <w:t> </w:t>
      </w:r>
      <w:r w:rsidRPr="00D36C4E">
        <w:t xml:space="preserve">million </w:t>
      </w:r>
      <w:r>
        <w:t xml:space="preserve">(AUD958,000) was spent on </w:t>
      </w:r>
      <w:r w:rsidRPr="00D36C4E">
        <w:t>health services</w:t>
      </w:r>
      <w:r>
        <w:t xml:space="preserve"> in </w:t>
      </w:r>
      <w:r w:rsidRPr="008E4D52">
        <w:t>villages with the highest poverty rates</w:t>
      </w:r>
      <w:r>
        <w:t xml:space="preserve">. In-country sources said the </w:t>
      </w:r>
      <w:r w:rsidRPr="008E4D52">
        <w:t>initiative had</w:t>
      </w:r>
      <w:r>
        <w:t xml:space="preserve"> </w:t>
      </w:r>
      <w:r w:rsidRPr="00FE3800">
        <w:t>improve</w:t>
      </w:r>
      <w:r>
        <w:t>d</w:t>
      </w:r>
      <w:r w:rsidRPr="00FE3800">
        <w:t xml:space="preserve"> health and education infrastructure in rural areas.</w:t>
      </w:r>
    </w:p>
    <w:p w14:paraId="6150C017" w14:textId="77777777" w:rsidR="00C47BE6" w:rsidRDefault="00C47BE6" w:rsidP="00C47BE6">
      <w:pPr>
        <w:pStyle w:val="ListParagraph1"/>
      </w:pPr>
      <w:r w:rsidRPr="006C57F9">
        <w:lastRenderedPageBreak/>
        <w:t xml:space="preserve">The private sector supplements </w:t>
      </w:r>
      <w:r>
        <w:t>Egypt’s</w:t>
      </w:r>
      <w:r w:rsidRPr="006C57F9">
        <w:t xml:space="preserve"> public health facilities</w:t>
      </w:r>
      <w:r>
        <w:t xml:space="preserve">. </w:t>
      </w:r>
      <w:r w:rsidRPr="006C57F9">
        <w:t>Private hospitals</w:t>
      </w:r>
      <w:r>
        <w:t xml:space="preserve"> and clinics </w:t>
      </w:r>
      <w:r w:rsidRPr="006C57F9">
        <w:t xml:space="preserve">in large cities </w:t>
      </w:r>
      <w:r>
        <w:t>such as</w:t>
      </w:r>
      <w:r w:rsidRPr="006C57F9">
        <w:t xml:space="preserve"> Cairo, Alexandria and Sharm El Sheikh offer </w:t>
      </w:r>
      <w:r>
        <w:t xml:space="preserve">much </w:t>
      </w:r>
      <w:r w:rsidRPr="006C57F9">
        <w:t>high</w:t>
      </w:r>
      <w:r>
        <w:t>er</w:t>
      </w:r>
      <w:r w:rsidRPr="006C57F9">
        <w:t xml:space="preserve"> standard</w:t>
      </w:r>
      <w:r>
        <w:t>s</w:t>
      </w:r>
      <w:r w:rsidRPr="006C57F9">
        <w:t xml:space="preserve"> of health care</w:t>
      </w:r>
      <w:r>
        <w:t>. These facilities sometimes employ internationally-trained doctors and specialists</w:t>
      </w:r>
      <w:r w:rsidRPr="007665FF">
        <w:t>.</w:t>
      </w:r>
      <w:r>
        <w:t xml:space="preserve"> </w:t>
      </w:r>
    </w:p>
    <w:p w14:paraId="71E60FB7" w14:textId="77777777" w:rsidR="00C47BE6" w:rsidRPr="008E4D52" w:rsidRDefault="00C47BE6" w:rsidP="00C47BE6">
      <w:pPr>
        <w:pStyle w:val="ListParagraph1"/>
      </w:pPr>
      <w:r>
        <w:t>Aged care services for older Egyptians exist, both in terms of home-based care and residential care. The spectrum ranges from lower-priced moderate quality services run by CSOs to more expensive high-quality care options in privately-run facilities. In-country sources said most families looked after older relatives themselves and some found the need to place relatives into residential care a source of shame.</w:t>
      </w:r>
    </w:p>
    <w:p w14:paraId="21F5C5C2" w14:textId="77777777" w:rsidR="00C47BE6" w:rsidRPr="00D020A7" w:rsidRDefault="00C47BE6" w:rsidP="00C47BE6">
      <w:pPr>
        <w:pStyle w:val="ListParagraph1"/>
      </w:pPr>
      <w:r w:rsidRPr="00816E43">
        <w:t xml:space="preserve">DFAT assesses </w:t>
      </w:r>
      <w:r>
        <w:t>Egyptians</w:t>
      </w:r>
      <w:r w:rsidRPr="00816E43">
        <w:t xml:space="preserve"> can access healthcare services without discrimination</w:t>
      </w:r>
      <w:r>
        <w:t xml:space="preserve"> and generally with minimal </w:t>
      </w:r>
      <w:r w:rsidRPr="00D020A7">
        <w:t>out-of-pocket costs</w:t>
      </w:r>
      <w:r>
        <w:t xml:space="preserve"> </w:t>
      </w:r>
      <w:r w:rsidRPr="00D020A7">
        <w:t>but quality and availability of services varies widely.</w:t>
      </w:r>
    </w:p>
    <w:p w14:paraId="6CB07B11" w14:textId="77777777" w:rsidR="00C47BE6" w:rsidRPr="00C47BE6" w:rsidRDefault="00C47BE6" w:rsidP="00C47BE6">
      <w:pPr>
        <w:pStyle w:val="Heading4"/>
        <w:ind w:firstLine="0"/>
        <w:jc w:val="left"/>
        <w:rPr>
          <w:rFonts w:cs="Calibri"/>
          <w:b/>
          <w:bCs/>
          <w:i w:val="0"/>
          <w:iCs w:val="0"/>
          <w:color w:val="auto"/>
          <w:sz w:val="24"/>
          <w:szCs w:val="24"/>
        </w:rPr>
      </w:pPr>
      <w:r w:rsidRPr="00C47BE6">
        <w:rPr>
          <w:rFonts w:cs="Calibri"/>
          <w:b/>
          <w:bCs/>
          <w:i w:val="0"/>
          <w:iCs w:val="0"/>
          <w:color w:val="auto"/>
          <w:sz w:val="24"/>
          <w:szCs w:val="24"/>
        </w:rPr>
        <w:t>Mental Health</w:t>
      </w:r>
    </w:p>
    <w:p w14:paraId="496E21FA" w14:textId="77777777" w:rsidR="00C47BE6" w:rsidRDefault="00C47BE6" w:rsidP="00C47BE6">
      <w:pPr>
        <w:pStyle w:val="ListParagraph1"/>
      </w:pPr>
      <w:r>
        <w:t>T</w:t>
      </w:r>
      <w:r w:rsidRPr="000A180E">
        <w:t xml:space="preserve">he </w:t>
      </w:r>
      <w:r w:rsidRPr="000A180E">
        <w:rPr>
          <w:i/>
          <w:iCs/>
        </w:rPr>
        <w:t>Mental Health Act 2009</w:t>
      </w:r>
      <w:r w:rsidRPr="000A180E">
        <w:t xml:space="preserve"> </w:t>
      </w:r>
      <w:r>
        <w:t xml:space="preserve">establishes a framework for </w:t>
      </w:r>
      <w:r w:rsidRPr="000A180E">
        <w:t>safeguard</w:t>
      </w:r>
      <w:r>
        <w:t>ing</w:t>
      </w:r>
      <w:r w:rsidRPr="000A180E">
        <w:t xml:space="preserve"> the human rights of patients in psychiatric facilities</w:t>
      </w:r>
      <w:r>
        <w:t xml:space="preserve"> and those engaging with </w:t>
      </w:r>
      <w:r w:rsidRPr="000A180E">
        <w:t>mental health services</w:t>
      </w:r>
      <w:r>
        <w:t xml:space="preserve">. </w:t>
      </w:r>
      <w:r w:rsidRPr="000A180E">
        <w:t>Th</w:t>
      </w:r>
      <w:r>
        <w:t xml:space="preserve">e Act </w:t>
      </w:r>
      <w:r w:rsidRPr="000A180E">
        <w:t>aim</w:t>
      </w:r>
      <w:r>
        <w:t>s</w:t>
      </w:r>
      <w:r w:rsidRPr="000A180E">
        <w:t xml:space="preserve"> to</w:t>
      </w:r>
      <w:r>
        <w:t xml:space="preserve"> protect patient rights</w:t>
      </w:r>
      <w:r w:rsidRPr="000A180E">
        <w:t>, combat stigma</w:t>
      </w:r>
      <w:r>
        <w:t xml:space="preserve"> and</w:t>
      </w:r>
      <w:r w:rsidRPr="000A180E">
        <w:t xml:space="preserve"> raise public awareness of </w:t>
      </w:r>
      <w:r>
        <w:t>issues related to mental health. The Ministry of Health oversees hospitals and centres offering mental health services. Twenty-one p</w:t>
      </w:r>
      <w:r w:rsidRPr="00446420">
        <w:t>ublic psychiatric hospitals</w:t>
      </w:r>
      <w:r>
        <w:t xml:space="preserve"> operate countrywide offering inpatient and outpatient facilities, including </w:t>
      </w:r>
      <w:r w:rsidRPr="00446420">
        <w:t xml:space="preserve">two general hospitals </w:t>
      </w:r>
      <w:r>
        <w:t>with</w:t>
      </w:r>
      <w:r w:rsidRPr="00446420">
        <w:t xml:space="preserve"> mental health wards</w:t>
      </w:r>
      <w:r>
        <w:t xml:space="preserve">. </w:t>
      </w:r>
      <w:r w:rsidRPr="00446420">
        <w:t>Egypt has</w:t>
      </w:r>
      <w:r>
        <w:t xml:space="preserve"> </w:t>
      </w:r>
      <w:r w:rsidRPr="002D2281">
        <w:t>less than one psychiatrist</w:t>
      </w:r>
      <w:r>
        <w:t>,</w:t>
      </w:r>
      <w:r w:rsidRPr="002D2281">
        <w:t xml:space="preserve"> </w:t>
      </w:r>
      <w:r>
        <w:t xml:space="preserve">one </w:t>
      </w:r>
      <w:r w:rsidRPr="002D2281">
        <w:t>psychologist</w:t>
      </w:r>
      <w:r>
        <w:t xml:space="preserve"> and 4 mental health nurses</w:t>
      </w:r>
      <w:r w:rsidRPr="002D2281">
        <w:t xml:space="preserve"> per 100,000 population according to </w:t>
      </w:r>
      <w:r>
        <w:t xml:space="preserve">the </w:t>
      </w:r>
      <w:r w:rsidRPr="002D2281">
        <w:t>WHO.</w:t>
      </w:r>
      <w:r>
        <w:t xml:space="preserve"> </w:t>
      </w:r>
    </w:p>
    <w:p w14:paraId="211A55C1" w14:textId="77777777" w:rsidR="00C47BE6" w:rsidRDefault="00C47BE6" w:rsidP="00C47BE6">
      <w:pPr>
        <w:pStyle w:val="ListParagraph1"/>
      </w:pPr>
      <w:r>
        <w:t>While m</w:t>
      </w:r>
      <w:r w:rsidRPr="002C173D">
        <w:t xml:space="preserve">ental health services are </w:t>
      </w:r>
      <w:r>
        <w:t xml:space="preserve">generally </w:t>
      </w:r>
      <w:r w:rsidRPr="002C173D">
        <w:t xml:space="preserve">covered under </w:t>
      </w:r>
      <w:r>
        <w:t xml:space="preserve">public health insurance programs, services are </w:t>
      </w:r>
      <w:r w:rsidRPr="002C173D">
        <w:t>limited</w:t>
      </w:r>
      <w:r>
        <w:t xml:space="preserve"> and facilities often overcrowded. </w:t>
      </w:r>
      <w:r w:rsidRPr="007D78D5">
        <w:t xml:space="preserve">Most </w:t>
      </w:r>
      <w:r>
        <w:t xml:space="preserve">public </w:t>
      </w:r>
      <w:r w:rsidRPr="007D78D5">
        <w:t>mental health resources are allocated to a small number of centralised psychiatric hospitals</w:t>
      </w:r>
      <w:r>
        <w:t xml:space="preserve"> in larger cities. The </w:t>
      </w:r>
      <w:r w:rsidRPr="007D78D5">
        <w:t xml:space="preserve">number of beds available for psychiatric patients requiring acute inpatient care is </w:t>
      </w:r>
      <w:r>
        <w:t xml:space="preserve">often </w:t>
      </w:r>
      <w:r w:rsidRPr="007D78D5">
        <w:t>insufficient to meet demand.</w:t>
      </w:r>
      <w:r>
        <w:t xml:space="preserve"> However, according to m</w:t>
      </w:r>
      <w:r w:rsidRPr="002C173D">
        <w:t>edical professionals in Egypt</w:t>
      </w:r>
      <w:r>
        <w:t>,</w:t>
      </w:r>
      <w:r w:rsidRPr="002C173D">
        <w:t xml:space="preserve"> </w:t>
      </w:r>
      <w:r>
        <w:t xml:space="preserve">significant progress had been made in </w:t>
      </w:r>
      <w:r w:rsidRPr="002C173D">
        <w:t>integrating mental health promotion, prevention and treatment into primary care.</w:t>
      </w:r>
      <w:r>
        <w:t xml:space="preserve"> </w:t>
      </w:r>
    </w:p>
    <w:p w14:paraId="0A58901A" w14:textId="77777777" w:rsidR="00C47BE6" w:rsidRDefault="00C47BE6" w:rsidP="00C47BE6">
      <w:pPr>
        <w:pStyle w:val="ListParagraph1"/>
      </w:pPr>
      <w:r w:rsidRPr="003C7620">
        <w:t xml:space="preserve">In-country sources </w:t>
      </w:r>
      <w:r>
        <w:t>said</w:t>
      </w:r>
      <w:r w:rsidRPr="003C7620">
        <w:t xml:space="preserve"> private therapy services </w:t>
      </w:r>
      <w:r>
        <w:t xml:space="preserve">were available but were expensive, with professionals </w:t>
      </w:r>
      <w:r w:rsidRPr="003C7620">
        <w:t>charg</w:t>
      </w:r>
      <w:r>
        <w:t>ing</w:t>
      </w:r>
      <w:r w:rsidRPr="003C7620">
        <w:t xml:space="preserve"> between EGP1</w:t>
      </w:r>
      <w:r>
        <w:t>,</w:t>
      </w:r>
      <w:r w:rsidRPr="003C7620">
        <w:t xml:space="preserve">000 </w:t>
      </w:r>
      <w:r>
        <w:t xml:space="preserve">(AUD31) </w:t>
      </w:r>
      <w:r w:rsidRPr="003C7620">
        <w:t xml:space="preserve">to EGP10,000 </w:t>
      </w:r>
      <w:r>
        <w:t xml:space="preserve">(AUD310) </w:t>
      </w:r>
      <w:r w:rsidRPr="003C7620">
        <w:t>a session.</w:t>
      </w:r>
      <w:r>
        <w:t xml:space="preserve"> Private </w:t>
      </w:r>
      <w:r w:rsidRPr="009B0747">
        <w:t xml:space="preserve">therapists </w:t>
      </w:r>
      <w:r>
        <w:t>are in high demand and fees must often be paid out of pocket.</w:t>
      </w:r>
    </w:p>
    <w:p w14:paraId="029CF7C3" w14:textId="77777777" w:rsidR="00C47BE6" w:rsidRDefault="00C47BE6" w:rsidP="00C47BE6">
      <w:pPr>
        <w:pStyle w:val="ListParagraph1"/>
      </w:pPr>
      <w:r>
        <w:t xml:space="preserve">A 2023 </w:t>
      </w:r>
      <w:r w:rsidRPr="00E5026F">
        <w:t>Economist study</w:t>
      </w:r>
      <w:r>
        <w:t xml:space="preserve"> found the </w:t>
      </w:r>
      <w:r w:rsidRPr="00446420">
        <w:t xml:space="preserve">prevalence of </w:t>
      </w:r>
      <w:r>
        <w:t xml:space="preserve">those living with </w:t>
      </w:r>
      <w:r w:rsidRPr="00446420">
        <w:t xml:space="preserve">mental health conditions in Egypt </w:t>
      </w:r>
      <w:r>
        <w:t xml:space="preserve">was </w:t>
      </w:r>
      <w:r w:rsidRPr="00446420">
        <w:t>1</w:t>
      </w:r>
      <w:r>
        <w:t>4.6 </w:t>
      </w:r>
      <w:r w:rsidRPr="00446420">
        <w:t>per cent</w:t>
      </w:r>
      <w:r>
        <w:t>, slightly lower than the global average.</w:t>
      </w:r>
      <w:r w:rsidRPr="00446420">
        <w:t xml:space="preserve"> </w:t>
      </w:r>
      <w:r w:rsidRPr="007D78D5">
        <w:t xml:space="preserve">Rural governorates reported higher rates of mental health </w:t>
      </w:r>
      <w:r>
        <w:t>conditions</w:t>
      </w:r>
      <w:r w:rsidRPr="007D78D5">
        <w:t xml:space="preserve"> than their urban counterparts. </w:t>
      </w:r>
      <w:r w:rsidRPr="00E40A44">
        <w:t xml:space="preserve">In </w:t>
      </w:r>
      <w:r>
        <w:t>Egypt</w:t>
      </w:r>
      <w:r w:rsidRPr="00E40A44">
        <w:t xml:space="preserve">, </w:t>
      </w:r>
      <w:r>
        <w:t xml:space="preserve">some people </w:t>
      </w:r>
      <w:r w:rsidRPr="00E40A44">
        <w:t xml:space="preserve">avoid seeking professional help </w:t>
      </w:r>
      <w:r>
        <w:t xml:space="preserve">for mental health issues </w:t>
      </w:r>
      <w:r w:rsidRPr="00E40A44">
        <w:t xml:space="preserve">due to </w:t>
      </w:r>
      <w:r>
        <w:t xml:space="preserve">stigma of being </w:t>
      </w:r>
      <w:r w:rsidRPr="00E40A44">
        <w:t xml:space="preserve">perceived </w:t>
      </w:r>
      <w:r>
        <w:t>as ‘</w:t>
      </w:r>
      <w:r w:rsidRPr="00E40A44">
        <w:t>weak</w:t>
      </w:r>
      <w:r>
        <w:t xml:space="preserve">’ and </w:t>
      </w:r>
      <w:r w:rsidRPr="00E40A44">
        <w:t>a lack of awareness about available services</w:t>
      </w:r>
      <w:r>
        <w:t>. Historically, discussing m</w:t>
      </w:r>
      <w:r w:rsidRPr="00E40A44">
        <w:t xml:space="preserve">ental </w:t>
      </w:r>
      <w:r>
        <w:t>health could be</w:t>
      </w:r>
      <w:r w:rsidRPr="00E40A44">
        <w:t xml:space="preserve"> perceived as a sign of weakness in faith, prompting individuals to seek solace through spiritual practices like prayer and Qur’an readings</w:t>
      </w:r>
      <w:r>
        <w:t xml:space="preserve"> instead of accessing mental health services</w:t>
      </w:r>
      <w:r w:rsidRPr="00E40A44">
        <w:t>.</w:t>
      </w:r>
    </w:p>
    <w:p w14:paraId="5AD99DCC" w14:textId="77777777" w:rsidR="00C47BE6" w:rsidRDefault="00C47BE6" w:rsidP="00C47BE6">
      <w:pPr>
        <w:pStyle w:val="ListParagraph1"/>
      </w:pPr>
      <w:r w:rsidRPr="0065004E">
        <w:t xml:space="preserve">The General Secretariat of Mental Health (GSMHAT) has led several campaigns </w:t>
      </w:r>
      <w:r>
        <w:t>since 2014</w:t>
      </w:r>
      <w:r w:rsidRPr="0065004E">
        <w:t xml:space="preserve"> to raise awareness </w:t>
      </w:r>
      <w:r>
        <w:t>surrounding</w:t>
      </w:r>
      <w:r w:rsidRPr="0065004E">
        <w:t xml:space="preserve"> mental health and tackle misconceptions. These campaigns </w:t>
      </w:r>
      <w:r>
        <w:t>have targeted schools</w:t>
      </w:r>
      <w:r w:rsidRPr="0065004E">
        <w:t xml:space="preserve">, workplaces, </w:t>
      </w:r>
      <w:r>
        <w:t>mosques, churches</w:t>
      </w:r>
      <w:r w:rsidRPr="0065004E">
        <w:t xml:space="preserve"> and community </w:t>
      </w:r>
      <w:r>
        <w:t xml:space="preserve">organisations </w:t>
      </w:r>
      <w:r w:rsidRPr="0065004E">
        <w:t>with the goal of altering basic societal understanding.</w:t>
      </w:r>
      <w:r>
        <w:t xml:space="preserve"> In-country sources said strong social media campaigns since 2020 had significantly lessened the stigma of discussing issues related to m</w:t>
      </w:r>
      <w:r w:rsidRPr="009B0747">
        <w:t>ental health</w:t>
      </w:r>
      <w:r>
        <w:t>.</w:t>
      </w:r>
    </w:p>
    <w:p w14:paraId="69879086" w14:textId="77777777" w:rsidR="00C47BE6" w:rsidRPr="009655F1" w:rsidRDefault="00C47BE6" w:rsidP="00C47BE6">
      <w:pPr>
        <w:pStyle w:val="ListParagraph1"/>
      </w:pPr>
      <w:r w:rsidRPr="00D020A7">
        <w:t xml:space="preserve">DFAT assesses </w:t>
      </w:r>
      <w:r>
        <w:t>Egyptians</w:t>
      </w:r>
      <w:r w:rsidRPr="00D020A7">
        <w:t xml:space="preserve"> can access public mental health care services without discrimination but quality and availability varies widely and can be inadequate. The poor and most vulnerable</w:t>
      </w:r>
      <w:r>
        <w:t xml:space="preserve">, </w:t>
      </w:r>
      <w:r w:rsidRPr="00D020A7">
        <w:t xml:space="preserve">those </w:t>
      </w:r>
      <w:r>
        <w:t xml:space="preserve">least </w:t>
      </w:r>
      <w:r w:rsidRPr="00D020A7">
        <w:t>able to afford private mental health care services</w:t>
      </w:r>
      <w:r>
        <w:t>,</w:t>
      </w:r>
      <w:r w:rsidRPr="00D020A7">
        <w:t xml:space="preserve"> often reside in areas where public mental health care services are </w:t>
      </w:r>
      <w:r>
        <w:t>less</w:t>
      </w:r>
      <w:r w:rsidRPr="00D020A7">
        <w:t xml:space="preserve"> available</w:t>
      </w:r>
      <w:r>
        <w:t>.</w:t>
      </w:r>
    </w:p>
    <w:p w14:paraId="10C0475D" w14:textId="77777777" w:rsidR="00C47BE6" w:rsidRPr="00C47BE6" w:rsidRDefault="00C47BE6" w:rsidP="00C47BE6">
      <w:pPr>
        <w:pStyle w:val="Heading4"/>
        <w:ind w:firstLine="0"/>
        <w:jc w:val="left"/>
        <w:rPr>
          <w:rFonts w:cs="Calibri"/>
          <w:b/>
          <w:bCs/>
          <w:i w:val="0"/>
          <w:iCs w:val="0"/>
          <w:color w:val="auto"/>
          <w:sz w:val="24"/>
          <w:szCs w:val="24"/>
        </w:rPr>
      </w:pPr>
      <w:bookmarkStart w:id="24" w:name="_People_with_Disability"/>
      <w:bookmarkStart w:id="25" w:name="_Hlk207965310"/>
      <w:bookmarkEnd w:id="24"/>
      <w:r w:rsidRPr="00C47BE6">
        <w:rPr>
          <w:rFonts w:cs="Calibri"/>
          <w:b/>
          <w:bCs/>
          <w:i w:val="0"/>
          <w:iCs w:val="0"/>
          <w:color w:val="auto"/>
          <w:sz w:val="24"/>
          <w:szCs w:val="24"/>
        </w:rPr>
        <w:t>People with Disability</w:t>
      </w:r>
    </w:p>
    <w:p w14:paraId="3B7E76BA" w14:textId="77777777" w:rsidR="00C47BE6" w:rsidRDefault="00C47BE6" w:rsidP="00C47BE6">
      <w:pPr>
        <w:pStyle w:val="ListParagraph1"/>
      </w:pPr>
      <w:r>
        <w:t>Egypt</w:t>
      </w:r>
      <w:r w:rsidRPr="000327AA">
        <w:t xml:space="preserve"> is home to </w:t>
      </w:r>
      <w:r>
        <w:t>12</w:t>
      </w:r>
      <w:r w:rsidRPr="000327AA">
        <w:t xml:space="preserve"> million people with disabilities</w:t>
      </w:r>
      <w:r>
        <w:t xml:space="preserve">, representing </w:t>
      </w:r>
      <w:r w:rsidRPr="000327AA">
        <w:t>approximately</w:t>
      </w:r>
      <w:r>
        <w:t xml:space="preserve"> 9</w:t>
      </w:r>
      <w:r w:rsidRPr="000327AA">
        <w:t xml:space="preserve"> per cent of the total population according to </w:t>
      </w:r>
      <w:r>
        <w:t>UNDP estimates</w:t>
      </w:r>
      <w:r w:rsidRPr="000327AA">
        <w:t xml:space="preserve">. </w:t>
      </w:r>
      <w:r>
        <w:t>Egypt</w:t>
      </w:r>
      <w:r w:rsidRPr="000327AA">
        <w:t xml:space="preserve"> ratified the UN Convention on the Rights of People with Disabilities in 2008.</w:t>
      </w:r>
      <w:r>
        <w:t xml:space="preserve"> Egypt</w:t>
      </w:r>
      <w:r w:rsidRPr="000327AA">
        <w:t xml:space="preserve">’s disability determination system </w:t>
      </w:r>
      <w:r>
        <w:t xml:space="preserve">broadly </w:t>
      </w:r>
      <w:r w:rsidRPr="000327AA">
        <w:t>align</w:t>
      </w:r>
      <w:r>
        <w:t>s</w:t>
      </w:r>
      <w:r w:rsidRPr="000327AA">
        <w:t xml:space="preserve"> with the Convention on the Rights of Persons with Disabilities’ social model definition of disability </w:t>
      </w:r>
      <w:r>
        <w:t>and</w:t>
      </w:r>
      <w:r w:rsidRPr="000327AA">
        <w:t xml:space="preserve"> the WHO classification system.</w:t>
      </w:r>
    </w:p>
    <w:p w14:paraId="7D9DA365" w14:textId="77777777" w:rsidR="00C47BE6" w:rsidRPr="008079AF" w:rsidRDefault="00C47BE6" w:rsidP="00C47BE6">
      <w:pPr>
        <w:pStyle w:val="ListParagraph1"/>
      </w:pPr>
      <w:r>
        <w:t>A</w:t>
      </w:r>
      <w:r w:rsidRPr="00D720F8">
        <w:t xml:space="preserve">rticle 81 </w:t>
      </w:r>
      <w:r>
        <w:t xml:space="preserve">of the Constitution guarantees </w:t>
      </w:r>
      <w:r w:rsidRPr="00D720F8">
        <w:t>the health, economic, social, cultural, entertainment, sporting and educational rights of pe</w:t>
      </w:r>
      <w:r>
        <w:t xml:space="preserve">ople </w:t>
      </w:r>
      <w:r w:rsidRPr="00D720F8">
        <w:t>with disabilities</w:t>
      </w:r>
      <w:r>
        <w:t>. It also commits the government to</w:t>
      </w:r>
      <w:r w:rsidRPr="00D720F8">
        <w:t xml:space="preserve"> provid</w:t>
      </w:r>
      <w:r>
        <w:t>e</w:t>
      </w:r>
      <w:r w:rsidRPr="00D720F8">
        <w:t xml:space="preserve"> </w:t>
      </w:r>
      <w:r>
        <w:t xml:space="preserve">people with disabilities </w:t>
      </w:r>
      <w:r w:rsidRPr="00D720F8">
        <w:t xml:space="preserve">job opportunities (including through quotas) and </w:t>
      </w:r>
      <w:r>
        <w:t xml:space="preserve">ensure </w:t>
      </w:r>
      <w:r w:rsidRPr="00D720F8">
        <w:t xml:space="preserve">public facilities </w:t>
      </w:r>
      <w:r>
        <w:t>are accessible</w:t>
      </w:r>
      <w:r w:rsidRPr="00D720F8">
        <w:t xml:space="preserve">. </w:t>
      </w:r>
      <w:r>
        <w:t>Additional</w:t>
      </w:r>
      <w:r w:rsidRPr="00D720F8">
        <w:t xml:space="preserve"> constitutional articles</w:t>
      </w:r>
      <w:r>
        <w:t xml:space="preserve"> and the </w:t>
      </w:r>
      <w:r w:rsidRPr="00B62B76">
        <w:t xml:space="preserve">2021-26 </w:t>
      </w:r>
      <w:r w:rsidRPr="00B62B76">
        <w:rPr>
          <w:i/>
          <w:iCs/>
        </w:rPr>
        <w:t>National Human Rights Strategy</w:t>
      </w:r>
      <w:r w:rsidRPr="00B62B76">
        <w:t xml:space="preserve"> </w:t>
      </w:r>
      <w:r w:rsidRPr="00D720F8">
        <w:t>address the rights of pe</w:t>
      </w:r>
      <w:r>
        <w:t xml:space="preserve">ople </w:t>
      </w:r>
      <w:r w:rsidRPr="00D720F8">
        <w:t xml:space="preserve">with disabilities. </w:t>
      </w:r>
    </w:p>
    <w:p w14:paraId="23925420" w14:textId="77777777" w:rsidR="00C47BE6" w:rsidRDefault="00C47BE6" w:rsidP="00C47BE6">
      <w:pPr>
        <w:pStyle w:val="ListParagraph1"/>
      </w:pPr>
      <w:r>
        <w:lastRenderedPageBreak/>
        <w:t>T</w:t>
      </w:r>
      <w:r w:rsidRPr="00D720F8">
        <w:t xml:space="preserve">he </w:t>
      </w:r>
      <w:r w:rsidRPr="001A4BBC">
        <w:rPr>
          <w:i/>
        </w:rPr>
        <w:t>Law on the Rights of Persons with Disabilities (</w:t>
      </w:r>
      <w:r>
        <w:rPr>
          <w:i/>
        </w:rPr>
        <w:t xml:space="preserve">No. </w:t>
      </w:r>
      <w:r w:rsidRPr="001A4BBC">
        <w:rPr>
          <w:i/>
        </w:rPr>
        <w:t>10) 2018</w:t>
      </w:r>
      <w:r>
        <w:t xml:space="preserve"> </w:t>
      </w:r>
      <w:r w:rsidRPr="00D720F8">
        <w:t xml:space="preserve">provides a wide range of legal rights and protections, including rights to non-discrimination in </w:t>
      </w:r>
      <w:hyperlink w:anchor="_Employment" w:history="1">
        <w:r w:rsidRPr="00B23371">
          <w:rPr>
            <w:rStyle w:val="Hyperlink"/>
          </w:rPr>
          <w:t>employment</w:t>
        </w:r>
      </w:hyperlink>
      <w:r w:rsidRPr="00D720F8">
        <w:t xml:space="preserve">, </w:t>
      </w:r>
      <w:hyperlink w:anchor="_Health" w:history="1">
        <w:r w:rsidRPr="00B23371">
          <w:rPr>
            <w:rStyle w:val="Hyperlink"/>
          </w:rPr>
          <w:t>health</w:t>
        </w:r>
      </w:hyperlink>
      <w:r w:rsidRPr="00D720F8">
        <w:t xml:space="preserve">, </w:t>
      </w:r>
      <w:hyperlink w:anchor="_POLITICAL_SYSTEM" w:history="1">
        <w:r w:rsidRPr="00B23371">
          <w:rPr>
            <w:rStyle w:val="Hyperlink"/>
          </w:rPr>
          <w:t>political activity</w:t>
        </w:r>
      </w:hyperlink>
      <w:r w:rsidRPr="00D720F8">
        <w:t>, rehabilitation and training</w:t>
      </w:r>
      <w:r>
        <w:t xml:space="preserve">. </w:t>
      </w:r>
      <w:r w:rsidRPr="001A4BBC">
        <w:rPr>
          <w:i/>
          <w:iCs/>
        </w:rPr>
        <w:t xml:space="preserve">Law </w:t>
      </w:r>
      <w:r>
        <w:rPr>
          <w:i/>
          <w:iCs/>
        </w:rPr>
        <w:t xml:space="preserve">No. </w:t>
      </w:r>
      <w:r w:rsidRPr="001A4BBC">
        <w:rPr>
          <w:i/>
          <w:iCs/>
        </w:rPr>
        <w:t>10</w:t>
      </w:r>
      <w:r w:rsidRPr="00D720F8">
        <w:t xml:space="preserve"> </w:t>
      </w:r>
      <w:r>
        <w:t>includes</w:t>
      </w:r>
      <w:r w:rsidRPr="00D720F8">
        <w:t xml:space="preserve"> provisions for the rights of pe</w:t>
      </w:r>
      <w:r>
        <w:t xml:space="preserve">ople </w:t>
      </w:r>
      <w:r w:rsidRPr="00D720F8">
        <w:t xml:space="preserve">with disabilities in education at all levels. It prohibits educational institutions rejecting applications from students on grounds of disability, punishing violations with fines </w:t>
      </w:r>
      <w:r>
        <w:t>of</w:t>
      </w:r>
      <w:r w:rsidRPr="00D720F8">
        <w:t xml:space="preserve"> up to EGP2,000 (AUD</w:t>
      </w:r>
      <w:r>
        <w:t>62</w:t>
      </w:r>
      <w:r w:rsidRPr="00D720F8">
        <w:t>).</w:t>
      </w:r>
      <w:r>
        <w:t xml:space="preserve"> As a result of </w:t>
      </w:r>
      <w:r w:rsidRPr="00E5026F">
        <w:rPr>
          <w:i/>
          <w:iCs/>
        </w:rPr>
        <w:t>Law No. 10</w:t>
      </w:r>
      <w:r>
        <w:t xml:space="preserve">, </w:t>
      </w:r>
      <w:r w:rsidRPr="00713A58">
        <w:t xml:space="preserve">the Egyptian </w:t>
      </w:r>
      <w:r>
        <w:t>G</w:t>
      </w:r>
      <w:r w:rsidRPr="00713A58">
        <w:t>overnment establish</w:t>
      </w:r>
      <w:r>
        <w:t>ed</w:t>
      </w:r>
      <w:r w:rsidRPr="00713A58">
        <w:t xml:space="preserve"> the National Council for Persons with Disabilities and the Differently Abled Fund to empower </w:t>
      </w:r>
      <w:r>
        <w:t xml:space="preserve">people with disabilities </w:t>
      </w:r>
      <w:r w:rsidRPr="00713A58">
        <w:t>and ensure their rights are upheld.</w:t>
      </w:r>
      <w:r>
        <w:t xml:space="preserve"> </w:t>
      </w:r>
      <w:r w:rsidRPr="00150B46">
        <w:t xml:space="preserve">The Ministry of Social Solidarity also launched smart cards to facilitate access to services for </w:t>
      </w:r>
      <w:r>
        <w:t>people with disabilities</w:t>
      </w:r>
      <w:r w:rsidRPr="00150B46">
        <w:t xml:space="preserve">, enabling discounts </w:t>
      </w:r>
      <w:r>
        <w:t>for</w:t>
      </w:r>
      <w:r w:rsidRPr="00150B46">
        <w:t xml:space="preserve"> transport and </w:t>
      </w:r>
      <w:r>
        <w:t xml:space="preserve">on </w:t>
      </w:r>
      <w:r w:rsidRPr="00150B46">
        <w:t>other governmental transactions.</w:t>
      </w:r>
    </w:p>
    <w:p w14:paraId="3FB221F9" w14:textId="77777777" w:rsidR="00C47BE6" w:rsidRDefault="00C47BE6" w:rsidP="00C47BE6">
      <w:pPr>
        <w:pStyle w:val="ListParagraph1"/>
      </w:pPr>
      <w:r>
        <w:t>D</w:t>
      </w:r>
      <w:r w:rsidRPr="00A808C9">
        <w:t xml:space="preserve">iscrimination </w:t>
      </w:r>
      <w:r>
        <w:t xml:space="preserve">in employing </w:t>
      </w:r>
      <w:r w:rsidRPr="00A808C9">
        <w:t>people with disabilities</w:t>
      </w:r>
      <w:r>
        <w:t xml:space="preserve"> in Egypt </w:t>
      </w:r>
      <w:r w:rsidRPr="00A808C9">
        <w:t>limit</w:t>
      </w:r>
      <w:r>
        <w:t>s</w:t>
      </w:r>
      <w:r w:rsidRPr="00A808C9">
        <w:t xml:space="preserve"> </w:t>
      </w:r>
      <w:r>
        <w:t xml:space="preserve">their </w:t>
      </w:r>
      <w:r w:rsidRPr="00A808C9">
        <w:t>opportunities and access to resources</w:t>
      </w:r>
      <w:r>
        <w:t>.</w:t>
      </w:r>
      <w:r w:rsidRPr="00B23371">
        <w:t xml:space="preserve"> Prejudices</w:t>
      </w:r>
      <w:r>
        <w:t>, including the</w:t>
      </w:r>
      <w:r w:rsidRPr="00B23371">
        <w:t xml:space="preserve"> belief disabilities are </w:t>
      </w:r>
      <w:r>
        <w:t xml:space="preserve">divine </w:t>
      </w:r>
      <w:r w:rsidRPr="00B23371">
        <w:t xml:space="preserve">punishments or </w:t>
      </w:r>
      <w:r>
        <w:t xml:space="preserve">caused by </w:t>
      </w:r>
      <w:r w:rsidRPr="00B23371">
        <w:t>malevolent spirits</w:t>
      </w:r>
      <w:r>
        <w:t>, also persist</w:t>
      </w:r>
      <w:r w:rsidRPr="00B23371">
        <w:t>.</w:t>
      </w:r>
      <w:r>
        <w:t xml:space="preserve"> Another</w:t>
      </w:r>
      <w:r w:rsidRPr="00A808C9">
        <w:t xml:space="preserve"> major challenge </w:t>
      </w:r>
      <w:r>
        <w:t xml:space="preserve">for people with disabilities </w:t>
      </w:r>
      <w:r w:rsidRPr="00A808C9">
        <w:t>is the lack of accessibility to public spaces and buildings, limiting their ability to access essential services and participate in public life</w:t>
      </w:r>
      <w:r>
        <w:t xml:space="preserve">. </w:t>
      </w:r>
      <w:r w:rsidRPr="00A808C9">
        <w:t>Many schools and universities do not have the resources</w:t>
      </w:r>
      <w:r>
        <w:t xml:space="preserve"> </w:t>
      </w:r>
      <w:r w:rsidRPr="00A808C9">
        <w:t>to support students with disabilities</w:t>
      </w:r>
      <w:r>
        <w:t>. M</w:t>
      </w:r>
      <w:r w:rsidRPr="00A808C9">
        <w:t>any employers are unwilling to hire people with disabilities.</w:t>
      </w:r>
      <w:r>
        <w:t xml:space="preserve"> </w:t>
      </w:r>
      <w:r w:rsidRPr="00A808C9">
        <w:t xml:space="preserve">The 2018 </w:t>
      </w:r>
      <w:r w:rsidRPr="00A808C9">
        <w:rPr>
          <w:i/>
          <w:iCs/>
        </w:rPr>
        <w:t>Egyptian Labor Market Panel Survey</w:t>
      </w:r>
      <w:r w:rsidRPr="00A808C9">
        <w:t xml:space="preserve"> reported among the poorest 20 per</w:t>
      </w:r>
      <w:r>
        <w:t xml:space="preserve"> </w:t>
      </w:r>
      <w:r w:rsidRPr="00A808C9">
        <w:t>cent of the population, 18.1 per</w:t>
      </w:r>
      <w:r>
        <w:t xml:space="preserve"> </w:t>
      </w:r>
      <w:r w:rsidRPr="00A808C9">
        <w:t>cent live</w:t>
      </w:r>
      <w:r>
        <w:t>d</w:t>
      </w:r>
      <w:r w:rsidRPr="00A808C9">
        <w:t xml:space="preserve"> with disabilities</w:t>
      </w:r>
      <w:r>
        <w:t>.</w:t>
      </w:r>
    </w:p>
    <w:p w14:paraId="2FCE18D6" w14:textId="77777777" w:rsidR="00C47BE6" w:rsidRPr="00060F00" w:rsidRDefault="00C47BE6" w:rsidP="00C47BE6">
      <w:pPr>
        <w:pStyle w:val="Heading3"/>
        <w:ind w:firstLine="0"/>
        <w:jc w:val="left"/>
        <w:rPr>
          <w:rFonts w:cs="Calibri"/>
          <w:b/>
          <w:bCs/>
          <w:color w:val="auto"/>
        </w:rPr>
      </w:pPr>
      <w:bookmarkStart w:id="26" w:name="_Education"/>
      <w:bookmarkStart w:id="27" w:name="_Toc196318420"/>
      <w:bookmarkEnd w:id="25"/>
      <w:bookmarkEnd w:id="26"/>
      <w:r w:rsidRPr="00F63948">
        <w:rPr>
          <w:rFonts w:cs="Calibri"/>
          <w:b/>
          <w:bCs/>
          <w:color w:val="auto"/>
        </w:rPr>
        <w:t>Education</w:t>
      </w:r>
      <w:bookmarkEnd w:id="27"/>
    </w:p>
    <w:p w14:paraId="109B993F" w14:textId="77777777" w:rsidR="00C47BE6" w:rsidRDefault="00C47BE6" w:rsidP="00C47BE6">
      <w:pPr>
        <w:pStyle w:val="ListParagraph1"/>
      </w:pPr>
      <w:r w:rsidRPr="002C00E8">
        <w:t xml:space="preserve">Article 19 of the Constitution guarantees the right to education which </w:t>
      </w:r>
      <w:r>
        <w:t xml:space="preserve">is </w:t>
      </w:r>
      <w:r w:rsidRPr="002C00E8">
        <w:t>free within government schools</w:t>
      </w:r>
      <w:r>
        <w:t xml:space="preserve">. Enrolment </w:t>
      </w:r>
      <w:r w:rsidRPr="002C00E8">
        <w:t xml:space="preserve">is compulsory until the end of secondary </w:t>
      </w:r>
      <w:r>
        <w:t>school</w:t>
      </w:r>
      <w:r w:rsidRPr="002C00E8">
        <w:t xml:space="preserve"> (or its equivalent). Article 19 also commits the </w:t>
      </w:r>
      <w:r>
        <w:t>government</w:t>
      </w:r>
      <w:r w:rsidRPr="002C00E8">
        <w:t xml:space="preserve"> </w:t>
      </w:r>
      <w:r>
        <w:t xml:space="preserve">to </w:t>
      </w:r>
      <w:r w:rsidRPr="005450C6">
        <w:t>allocat</w:t>
      </w:r>
      <w:r>
        <w:t>e</w:t>
      </w:r>
      <w:r w:rsidRPr="005450C6">
        <w:t xml:space="preserve"> no less than </w:t>
      </w:r>
      <w:r>
        <w:t>4</w:t>
      </w:r>
      <w:r w:rsidRPr="005450C6">
        <w:t xml:space="preserve"> per cent of GDP</w:t>
      </w:r>
      <w:r w:rsidRPr="002C00E8">
        <w:t xml:space="preserve"> to education. </w:t>
      </w:r>
      <w:r w:rsidRPr="00D31965">
        <w:t xml:space="preserve">Human Rights Watch </w:t>
      </w:r>
      <w:r>
        <w:t>reported</w:t>
      </w:r>
      <w:r w:rsidRPr="00D31965">
        <w:t xml:space="preserve"> education spending declined from 2.3 per</w:t>
      </w:r>
      <w:r>
        <w:t xml:space="preserve"> </w:t>
      </w:r>
      <w:r w:rsidRPr="00D31965">
        <w:t>cent of GDP in 2020 to 1.7 per</w:t>
      </w:r>
      <w:r>
        <w:t xml:space="preserve"> </w:t>
      </w:r>
      <w:r w:rsidRPr="00D31965">
        <w:t>cent of GDP in the 2024</w:t>
      </w:r>
      <w:r>
        <w:t>-</w:t>
      </w:r>
      <w:r w:rsidRPr="00D31965">
        <w:t>25 budget.</w:t>
      </w:r>
    </w:p>
    <w:p w14:paraId="3C52AEA6" w14:textId="77777777" w:rsidR="00C47BE6" w:rsidRDefault="00C47BE6" w:rsidP="00C47BE6">
      <w:pPr>
        <w:pStyle w:val="ListParagraph1"/>
      </w:pPr>
      <w:r w:rsidRPr="00713A58">
        <w:t>There are more than 25 million students across the Egyptian education system</w:t>
      </w:r>
      <w:r>
        <w:t xml:space="preserve">, which is </w:t>
      </w:r>
      <w:r w:rsidRPr="00B01DF4">
        <w:t xml:space="preserve">divided into primary, middle, secondary and vocational/tertiary education. Children start kindergarten at age four, move to primary school at age six and start high school when they are 15 years old. </w:t>
      </w:r>
      <w:r>
        <w:t xml:space="preserve">High schools provide </w:t>
      </w:r>
      <w:r w:rsidRPr="00B01DF4">
        <w:t>choice between academic, vocational and technical streams.</w:t>
      </w:r>
      <w:r>
        <w:t xml:space="preserve"> </w:t>
      </w:r>
      <w:r w:rsidRPr="002C00E8">
        <w:t xml:space="preserve">Access to basic education, including for girls, has improved in recent years. </w:t>
      </w:r>
      <w:r w:rsidRPr="00C02FD9">
        <w:t>The primary school enrolment rate for girls was 91 per cent in 2023 according to World Bank data.</w:t>
      </w:r>
    </w:p>
    <w:p w14:paraId="4B02E8F3" w14:textId="77777777" w:rsidR="00C47BE6" w:rsidRDefault="00C47BE6" w:rsidP="00C47BE6">
      <w:pPr>
        <w:pStyle w:val="ListParagraph1"/>
      </w:pPr>
      <w:r>
        <w:t>T</w:t>
      </w:r>
      <w:r w:rsidRPr="001D56E1">
        <w:t>he quality of public education in Egypt is poor</w:t>
      </w:r>
      <w:r>
        <w:t xml:space="preserve"> and </w:t>
      </w:r>
      <w:r w:rsidRPr="00C97D17">
        <w:t>overcrowd</w:t>
      </w:r>
      <w:r>
        <w:t>ing is common</w:t>
      </w:r>
      <w:r w:rsidRPr="00C97D17">
        <w:t xml:space="preserve">. </w:t>
      </w:r>
      <w:r>
        <w:t>T</w:t>
      </w:r>
      <w:r w:rsidRPr="00C97D17">
        <w:t>he Education and Technical Education Ministry said in 2024</w:t>
      </w:r>
      <w:r>
        <w:t xml:space="preserve"> p</w:t>
      </w:r>
      <w:r w:rsidRPr="00C97D17">
        <w:t>ublic school classroom sizes range</w:t>
      </w:r>
      <w:r>
        <w:t>d</w:t>
      </w:r>
      <w:r w:rsidRPr="00C97D17">
        <w:t xml:space="preserve"> on average from 43 to 55 students</w:t>
      </w:r>
      <w:r>
        <w:t xml:space="preserve">. </w:t>
      </w:r>
      <w:r w:rsidRPr="00C97D17">
        <w:t>The ministry intend</w:t>
      </w:r>
      <w:r>
        <w:t>ed</w:t>
      </w:r>
      <w:r w:rsidRPr="00C97D17">
        <w:t xml:space="preserve"> to cap classroom size at 50 students in 90 percent of schools in 2024</w:t>
      </w:r>
      <w:r>
        <w:t>-</w:t>
      </w:r>
      <w:r w:rsidRPr="00C97D17">
        <w:t>25 by moving some students to different schools and providing evening school shifts.</w:t>
      </w:r>
      <w:r>
        <w:t xml:space="preserve"> In</w:t>
      </w:r>
      <w:r>
        <w:noBreakHyphen/>
        <w:t xml:space="preserve">country sources said class sizes sometimes exceeded 60 students in 2025. </w:t>
      </w:r>
      <w:r w:rsidRPr="00C97D17">
        <w:t xml:space="preserve">There </w:t>
      </w:r>
      <w:r>
        <w:t>was also a shortage of approximately</w:t>
      </w:r>
      <w:r w:rsidRPr="00C97D17">
        <w:t xml:space="preserve"> 469,000 </w:t>
      </w:r>
      <w:r>
        <w:t xml:space="preserve">teachers </w:t>
      </w:r>
      <w:r w:rsidRPr="00C97D17">
        <w:t>in 2024</w:t>
      </w:r>
      <w:r>
        <w:t>, according to the ministry</w:t>
      </w:r>
      <w:r w:rsidRPr="00C97D17">
        <w:t>.</w:t>
      </w:r>
    </w:p>
    <w:p w14:paraId="49AF9987" w14:textId="77777777" w:rsidR="00C47BE6" w:rsidRDefault="00C47BE6" w:rsidP="00C47BE6">
      <w:pPr>
        <w:pStyle w:val="ListParagraph1"/>
      </w:pPr>
      <w:r>
        <w:t xml:space="preserve">The private sector </w:t>
      </w:r>
      <w:r w:rsidRPr="00C02FD9">
        <w:t>tend</w:t>
      </w:r>
      <w:r>
        <w:t>s</w:t>
      </w:r>
      <w:r w:rsidRPr="00C02FD9">
        <w:t xml:space="preserve"> to have better facilities</w:t>
      </w:r>
      <w:r>
        <w:t xml:space="preserve">, </w:t>
      </w:r>
      <w:r w:rsidRPr="00C02FD9">
        <w:t>better trained teachers</w:t>
      </w:r>
      <w:r>
        <w:t xml:space="preserve"> and an overall higher q</w:t>
      </w:r>
      <w:r w:rsidRPr="001D56E1">
        <w:t>uality</w:t>
      </w:r>
      <w:r>
        <w:t xml:space="preserve"> of education</w:t>
      </w:r>
      <w:r w:rsidRPr="001D56E1">
        <w:t xml:space="preserve">. </w:t>
      </w:r>
      <w:r>
        <w:t>Most</w:t>
      </w:r>
      <w:r w:rsidRPr="00C02FD9">
        <w:t xml:space="preserve"> private schools follow the national curriculum. </w:t>
      </w:r>
      <w:r>
        <w:t xml:space="preserve">Some </w:t>
      </w:r>
      <w:r w:rsidRPr="00C02FD9">
        <w:t xml:space="preserve">private schools </w:t>
      </w:r>
      <w:r>
        <w:t>are</w:t>
      </w:r>
      <w:r w:rsidRPr="00C02FD9">
        <w:t xml:space="preserve"> based on a religion, such as Catholicism, or a particular educational philosophy, such as Montessori. International schools </w:t>
      </w:r>
      <w:r>
        <w:t>also exist</w:t>
      </w:r>
      <w:r w:rsidRPr="00C02FD9">
        <w:t>.</w:t>
      </w:r>
    </w:p>
    <w:p w14:paraId="70A1B56B" w14:textId="77777777" w:rsidR="00C47BE6" w:rsidRPr="00722560" w:rsidRDefault="00C47BE6" w:rsidP="00C47BE6">
      <w:pPr>
        <w:pStyle w:val="ListParagraph1"/>
      </w:pPr>
      <w:r w:rsidRPr="004341ED">
        <w:t xml:space="preserve">DFAT assesses Egyptians can access education without discrimination on </w:t>
      </w:r>
      <w:hyperlink w:anchor="_RACE/NATIONALITY" w:history="1">
        <w:r w:rsidRPr="006D3B8F">
          <w:rPr>
            <w:rStyle w:val="Hyperlink"/>
          </w:rPr>
          <w:t>ethnic</w:t>
        </w:r>
      </w:hyperlink>
      <w:r w:rsidRPr="004341ED">
        <w:t xml:space="preserve"> or </w:t>
      </w:r>
      <w:hyperlink w:anchor="_Conflict_between_Turkish" w:history="1">
        <w:r w:rsidRPr="006D3B8F">
          <w:rPr>
            <w:rStyle w:val="Hyperlink"/>
          </w:rPr>
          <w:t>religious</w:t>
        </w:r>
      </w:hyperlink>
      <w:r w:rsidRPr="004341ED">
        <w:t xml:space="preserve"> grounds</w:t>
      </w:r>
      <w:r>
        <w:t>.</w:t>
      </w:r>
    </w:p>
    <w:p w14:paraId="06B9C0DC" w14:textId="77777777" w:rsidR="00C47BE6" w:rsidRPr="00C47BE6" w:rsidRDefault="00C47BE6" w:rsidP="00C47BE6">
      <w:pPr>
        <w:pStyle w:val="Heading2"/>
        <w:ind w:firstLine="0"/>
        <w:jc w:val="left"/>
        <w:rPr>
          <w:rFonts w:ascii="Calibri" w:hAnsi="Calibri" w:cs="Calibri"/>
          <w:b/>
          <w:bCs/>
          <w:color w:val="auto"/>
          <w:sz w:val="36"/>
          <w:szCs w:val="36"/>
        </w:rPr>
      </w:pPr>
      <w:bookmarkStart w:id="28" w:name="_POLITICAL_SYSTEM_1"/>
      <w:bookmarkStart w:id="29" w:name="_POLITICAL_SYSTEM"/>
      <w:bookmarkStart w:id="30" w:name="_Toc196387073"/>
      <w:bookmarkEnd w:id="28"/>
      <w:bookmarkEnd w:id="29"/>
      <w:r w:rsidRPr="00C47BE6">
        <w:rPr>
          <w:rFonts w:ascii="Calibri" w:hAnsi="Calibri" w:cs="Calibri"/>
          <w:b/>
          <w:bCs/>
          <w:color w:val="auto"/>
          <w:sz w:val="36"/>
          <w:szCs w:val="36"/>
        </w:rPr>
        <w:t>POLITICAL SYSTEM</w:t>
      </w:r>
      <w:bookmarkEnd w:id="30"/>
    </w:p>
    <w:p w14:paraId="1F287C7C" w14:textId="77777777" w:rsidR="00C47BE6" w:rsidRDefault="00C47BE6" w:rsidP="00C47BE6">
      <w:pPr>
        <w:pStyle w:val="ListParagraph1"/>
      </w:pPr>
      <w:r w:rsidRPr="003B045D">
        <w:t xml:space="preserve">Egypt is a presidential republic. The </w:t>
      </w:r>
      <w:r>
        <w:t>p</w:t>
      </w:r>
      <w:r w:rsidRPr="003B045D">
        <w:t>resident is Head of State and leads the executive branch of government.</w:t>
      </w:r>
      <w:r>
        <w:t xml:space="preserve"> </w:t>
      </w:r>
      <w:r w:rsidRPr="003B045D">
        <w:t xml:space="preserve">The Constitution gives considerable power to the </w:t>
      </w:r>
      <w:r>
        <w:t>p</w:t>
      </w:r>
      <w:r w:rsidRPr="003B045D">
        <w:t>resident</w:t>
      </w:r>
      <w:r>
        <w:t>, including the authority to</w:t>
      </w:r>
      <w:r w:rsidRPr="003B045D">
        <w:t xml:space="preserve"> appoint the </w:t>
      </w:r>
      <w:r>
        <w:t>p</w:t>
      </w:r>
      <w:r w:rsidRPr="003B045D">
        <w:t xml:space="preserve">rime </w:t>
      </w:r>
      <w:r>
        <w:t>m</w:t>
      </w:r>
      <w:r w:rsidRPr="003B045D">
        <w:t xml:space="preserve">inister and other </w:t>
      </w:r>
      <w:r>
        <w:t>m</w:t>
      </w:r>
      <w:r w:rsidRPr="003B045D">
        <w:t>inisters, civil and military personnel and diplomatic representatives</w:t>
      </w:r>
      <w:r>
        <w:t>. The president is the</w:t>
      </w:r>
      <w:r w:rsidRPr="003B045D">
        <w:t xml:space="preserve"> Supreme Commander of the Armed Forces (see </w:t>
      </w:r>
      <w:hyperlink w:anchor="_Military" w:history="1">
        <w:r w:rsidRPr="003B045D">
          <w:rPr>
            <w:rStyle w:val="Hyperlink"/>
            <w:rFonts w:cstheme="minorBidi"/>
            <w:lang w:val="en-AU"/>
          </w:rPr>
          <w:t>Military</w:t>
        </w:r>
      </w:hyperlink>
      <w:r w:rsidRPr="003B045D">
        <w:t xml:space="preserve">). The </w:t>
      </w:r>
      <w:r>
        <w:t>p</w:t>
      </w:r>
      <w:r w:rsidRPr="003B045D">
        <w:t>resident has the power to declare a state of emergency, issue a pardon or mitigate a sentence, issue a decree with the force of law</w:t>
      </w:r>
      <w:r>
        <w:t xml:space="preserve"> (if </w:t>
      </w:r>
      <w:r w:rsidRPr="003B045D">
        <w:t xml:space="preserve">Parliament </w:t>
      </w:r>
      <w:r>
        <w:t xml:space="preserve">is </w:t>
      </w:r>
      <w:r w:rsidRPr="003B045D">
        <w:t>not in session</w:t>
      </w:r>
      <w:r>
        <w:t>)</w:t>
      </w:r>
      <w:r w:rsidRPr="003B045D">
        <w:t xml:space="preserve"> and call a referendum. </w:t>
      </w:r>
      <w:r>
        <w:t>The Constitution was amended in 2019 to</w:t>
      </w:r>
      <w:r w:rsidRPr="00372C37">
        <w:t xml:space="preserve"> extend presidential term</w:t>
      </w:r>
      <w:r>
        <w:t>s</w:t>
      </w:r>
      <w:r w:rsidRPr="00372C37">
        <w:t xml:space="preserve"> </w:t>
      </w:r>
      <w:r>
        <w:t xml:space="preserve">from four to </w:t>
      </w:r>
      <w:r w:rsidRPr="00372C37">
        <w:t>six years</w:t>
      </w:r>
      <w:r>
        <w:t>. This amendment also</w:t>
      </w:r>
      <w:r w:rsidRPr="00372C37">
        <w:t xml:space="preserve"> allow</w:t>
      </w:r>
      <w:r>
        <w:t>ed</w:t>
      </w:r>
      <w:r w:rsidRPr="00372C37">
        <w:t xml:space="preserve"> </w:t>
      </w:r>
      <w:r>
        <w:t>President El-</w:t>
      </w:r>
      <w:r w:rsidRPr="00372C37">
        <w:t xml:space="preserve">Sisi to stand for a third </w:t>
      </w:r>
      <w:r>
        <w:t xml:space="preserve">term to which he was re-elected in December 2023. </w:t>
      </w:r>
      <w:r w:rsidRPr="00443DCC">
        <w:t xml:space="preserve">According to Freedom House, </w:t>
      </w:r>
      <w:r>
        <w:t>President El-</w:t>
      </w:r>
      <w:r w:rsidRPr="00443DCC">
        <w:t xml:space="preserve">Sisi's victory came after </w:t>
      </w:r>
      <w:r>
        <w:t>‘</w:t>
      </w:r>
      <w:r w:rsidRPr="00443DCC">
        <w:t>a campaign marked by the arrest of opponents, intimidation and stringent eligibility requirements for candidates, which collectively obstructed any meaningful competition</w:t>
      </w:r>
      <w:r>
        <w:t xml:space="preserve">’ (see also </w:t>
      </w:r>
      <w:hyperlink w:anchor="_POLITICAL_OPINION_(ACTUAL" w:history="1">
        <w:r w:rsidRPr="005E24A8">
          <w:rPr>
            <w:rStyle w:val="Hyperlink"/>
          </w:rPr>
          <w:t>Political opinion</w:t>
        </w:r>
      </w:hyperlink>
      <w:r>
        <w:t xml:space="preserve">). </w:t>
      </w:r>
      <w:r w:rsidRPr="00293E39">
        <w:t>The next presidential election is due in 2029</w:t>
      </w:r>
      <w:r>
        <w:t>.</w:t>
      </w:r>
    </w:p>
    <w:p w14:paraId="6F3C5C3D" w14:textId="77777777" w:rsidR="00C47BE6" w:rsidRDefault="00C47BE6" w:rsidP="00C47BE6">
      <w:pPr>
        <w:pStyle w:val="ListParagraph1"/>
      </w:pPr>
      <w:r>
        <w:lastRenderedPageBreak/>
        <w:t>A</w:t>
      </w:r>
      <w:r w:rsidRPr="0027028A">
        <w:t xml:space="preserve">mendments </w:t>
      </w:r>
      <w:r>
        <w:t>to the C</w:t>
      </w:r>
      <w:r w:rsidRPr="0027028A">
        <w:t xml:space="preserve">onstitution </w:t>
      </w:r>
      <w:r>
        <w:t xml:space="preserve">in 2019 </w:t>
      </w:r>
      <w:r w:rsidRPr="0027028A">
        <w:t>re</w:t>
      </w:r>
      <w:r>
        <w:t>-</w:t>
      </w:r>
      <w:r w:rsidRPr="0027028A">
        <w:t xml:space="preserve">established a bicameral </w:t>
      </w:r>
      <w:r>
        <w:t>p</w:t>
      </w:r>
      <w:r w:rsidRPr="0027028A">
        <w:t>arliament in which members serve five-year terms. The upper house, the Senate, is made up of 300 seats</w:t>
      </w:r>
      <w:r>
        <w:t>. T</w:t>
      </w:r>
      <w:r w:rsidRPr="0027028A">
        <w:t xml:space="preserve">wo-thirds </w:t>
      </w:r>
      <w:r>
        <w:t>of</w:t>
      </w:r>
      <w:r w:rsidRPr="0027028A">
        <w:t xml:space="preserve"> members are elected and one</w:t>
      </w:r>
      <w:r>
        <w:noBreakHyphen/>
      </w:r>
      <w:r w:rsidRPr="0027028A">
        <w:t xml:space="preserve">third appointed by the president. </w:t>
      </w:r>
      <w:r w:rsidRPr="00E74760">
        <w:t xml:space="preserve">State-aligned political parties won </w:t>
      </w:r>
      <w:proofErr w:type="gramStart"/>
      <w:r w:rsidRPr="00E74760">
        <w:t>the majority of</w:t>
      </w:r>
      <w:proofErr w:type="gramEnd"/>
      <w:r w:rsidRPr="00E74760">
        <w:t xml:space="preserve"> seats in Senate elections held </w:t>
      </w:r>
      <w:r>
        <w:t>in</w:t>
      </w:r>
      <w:r w:rsidRPr="00E74760">
        <w:t xml:space="preserve"> August 2025. </w:t>
      </w:r>
      <w:r>
        <w:t>I</w:t>
      </w:r>
      <w:r w:rsidRPr="00E74760">
        <w:t>ndependent media report</w:t>
      </w:r>
      <w:r>
        <w:t>ed</w:t>
      </w:r>
      <w:r w:rsidRPr="00E74760">
        <w:t xml:space="preserve"> low turnout and cash vouchers of EGP200-300 (AUD6-10) distributed by the government-aligned </w:t>
      </w:r>
      <w:proofErr w:type="spellStart"/>
      <w:r w:rsidRPr="00E74760">
        <w:t>Mostaqbal</w:t>
      </w:r>
      <w:proofErr w:type="spellEnd"/>
      <w:r w:rsidRPr="00E74760">
        <w:t xml:space="preserve"> Watan</w:t>
      </w:r>
      <w:r>
        <w:t xml:space="preserve"> Party</w:t>
      </w:r>
      <w:r w:rsidRPr="00E74760">
        <w:t xml:space="preserve"> </w:t>
      </w:r>
      <w:proofErr w:type="gramStart"/>
      <w:r>
        <w:t xml:space="preserve">in order </w:t>
      </w:r>
      <w:r w:rsidRPr="00E74760">
        <w:t>to</w:t>
      </w:r>
      <w:proofErr w:type="gramEnd"/>
      <w:r w:rsidRPr="00E74760">
        <w:t xml:space="preserve"> </w:t>
      </w:r>
      <w:r>
        <w:t>increase</w:t>
      </w:r>
      <w:r w:rsidRPr="00E74760">
        <w:t xml:space="preserve"> </w:t>
      </w:r>
      <w:r>
        <w:t xml:space="preserve">voter </w:t>
      </w:r>
      <w:r w:rsidRPr="00E74760">
        <w:t>turnout.</w:t>
      </w:r>
      <w:r>
        <w:t xml:space="preserve"> </w:t>
      </w:r>
      <w:r w:rsidRPr="00293E39">
        <w:t xml:space="preserve">The next </w:t>
      </w:r>
      <w:r>
        <w:t xml:space="preserve">Senate </w:t>
      </w:r>
      <w:r w:rsidRPr="00293E39">
        <w:t>election</w:t>
      </w:r>
      <w:r>
        <w:t>s</w:t>
      </w:r>
      <w:r w:rsidRPr="00293E39">
        <w:t xml:space="preserve"> </w:t>
      </w:r>
      <w:r>
        <w:t>are</w:t>
      </w:r>
      <w:r w:rsidRPr="00293E39">
        <w:t xml:space="preserve"> due in </w:t>
      </w:r>
      <w:r>
        <w:t>2030.</w:t>
      </w:r>
    </w:p>
    <w:p w14:paraId="79AB7D07" w14:textId="77777777" w:rsidR="00C47BE6" w:rsidRDefault="00C47BE6" w:rsidP="00C47BE6">
      <w:pPr>
        <w:pStyle w:val="ListParagraph1"/>
      </w:pPr>
      <w:r w:rsidRPr="0027028A">
        <w:t>The House of Representatives is made up of 568 members, half elected through closed party lists and half to individual seats. The president has the right to appoint 28 additional members to the House.</w:t>
      </w:r>
      <w:r>
        <w:t xml:space="preserve"> </w:t>
      </w:r>
      <w:r w:rsidRPr="00302A83">
        <w:t xml:space="preserve">The current </w:t>
      </w:r>
      <w:r>
        <w:t>House of Representatives</w:t>
      </w:r>
      <w:r w:rsidRPr="00302A83">
        <w:t xml:space="preserve"> was elected in late </w:t>
      </w:r>
      <w:r>
        <w:t xml:space="preserve">2020. </w:t>
      </w:r>
      <w:r w:rsidRPr="00443DCC">
        <w:t>Freedom Hous</w:t>
      </w:r>
      <w:r>
        <w:t>e reported those</w:t>
      </w:r>
      <w:r w:rsidRPr="00443DCC">
        <w:t xml:space="preserve"> elections were </w:t>
      </w:r>
      <w:r>
        <w:t>‘</w:t>
      </w:r>
      <w:r w:rsidRPr="00443DCC">
        <w:t>marred by the widespread detention and intimidation of individuals who critici</w:t>
      </w:r>
      <w:r>
        <w:t>s</w:t>
      </w:r>
      <w:r w:rsidRPr="00443DCC">
        <w:t>ed the process</w:t>
      </w:r>
      <w:r>
        <w:t>,</w:t>
      </w:r>
      <w:r w:rsidRPr="00443DCC">
        <w:t xml:space="preserve"> low turnout</w:t>
      </w:r>
      <w:r>
        <w:t>,</w:t>
      </w:r>
      <w:r w:rsidRPr="00443DCC">
        <w:t xml:space="preserve"> claims of fraud</w:t>
      </w:r>
      <w:r>
        <w:t>,</w:t>
      </w:r>
      <w:r w:rsidRPr="00443DCC">
        <w:t xml:space="preserve"> vote buying and severe interference by security apparatuses</w:t>
      </w:r>
      <w:r>
        <w:t>’</w:t>
      </w:r>
      <w:r w:rsidRPr="00443DCC">
        <w:t>.</w:t>
      </w:r>
      <w:r>
        <w:t xml:space="preserve"> </w:t>
      </w:r>
      <w:hyperlink w:anchor="_Women" w:history="1">
        <w:r w:rsidRPr="005E24A8">
          <w:rPr>
            <w:rStyle w:val="Hyperlink"/>
          </w:rPr>
          <w:t>Women</w:t>
        </w:r>
      </w:hyperlink>
      <w:r w:rsidRPr="003A3B16">
        <w:t xml:space="preserve"> </w:t>
      </w:r>
      <w:r>
        <w:t xml:space="preserve">make up </w:t>
      </w:r>
      <w:r w:rsidRPr="003A3B16">
        <w:t>28</w:t>
      </w:r>
      <w:r>
        <w:t xml:space="preserve"> per cent of t</w:t>
      </w:r>
      <w:r w:rsidRPr="0027028A">
        <w:t xml:space="preserve">he </w:t>
      </w:r>
      <w:r>
        <w:t xml:space="preserve">members of the </w:t>
      </w:r>
      <w:r w:rsidRPr="0027028A">
        <w:t>House of Representatives</w:t>
      </w:r>
      <w:r>
        <w:t xml:space="preserve">. </w:t>
      </w:r>
      <w:r w:rsidRPr="00293E39">
        <w:t xml:space="preserve">The next </w:t>
      </w:r>
      <w:r>
        <w:t xml:space="preserve">House of Representatives </w:t>
      </w:r>
      <w:r w:rsidRPr="00293E39">
        <w:t>election</w:t>
      </w:r>
      <w:r>
        <w:t>s</w:t>
      </w:r>
      <w:r w:rsidRPr="00293E39">
        <w:t xml:space="preserve"> </w:t>
      </w:r>
      <w:r>
        <w:t>are</w:t>
      </w:r>
      <w:r w:rsidRPr="00293E39">
        <w:t xml:space="preserve"> due in </w:t>
      </w:r>
      <w:r>
        <w:t xml:space="preserve">November </w:t>
      </w:r>
      <w:r w:rsidRPr="00293E39">
        <w:t>202</w:t>
      </w:r>
      <w:r>
        <w:t xml:space="preserve">5. </w:t>
      </w:r>
    </w:p>
    <w:p w14:paraId="42E872E6" w14:textId="77777777" w:rsidR="00C47BE6" w:rsidRDefault="00C47BE6" w:rsidP="00C47BE6">
      <w:pPr>
        <w:pStyle w:val="ListParagraph1"/>
      </w:pPr>
      <w:r w:rsidRPr="00302A83">
        <w:t xml:space="preserve">Egypt is divided into 27 governorates, each </w:t>
      </w:r>
      <w:r w:rsidRPr="00EE1CD2">
        <w:t>further</w:t>
      </w:r>
      <w:r w:rsidRPr="00302A83">
        <w:t xml:space="preserve"> subdivided into regions. Each governorate has a capital city and a governor appointed by the </w:t>
      </w:r>
      <w:r>
        <w:t>p</w:t>
      </w:r>
      <w:r w:rsidRPr="00302A83">
        <w:t>resident.</w:t>
      </w:r>
      <w:r>
        <w:t xml:space="preserve"> Administratively, there are </w:t>
      </w:r>
      <w:r w:rsidRPr="00D86921">
        <w:t xml:space="preserve">186 centres/municipalities, 225 cities, 85 districts and 4,737 villages. </w:t>
      </w:r>
      <w:r>
        <w:t>Most of those</w:t>
      </w:r>
      <w:r w:rsidRPr="00D86921">
        <w:t xml:space="preserve"> holding posts in local governments are drawn from the </w:t>
      </w:r>
      <w:hyperlink w:anchor="_Military" w:history="1">
        <w:r w:rsidRPr="00341AC3">
          <w:rPr>
            <w:rStyle w:val="Hyperlink"/>
          </w:rPr>
          <w:t>military</w:t>
        </w:r>
      </w:hyperlink>
      <w:r w:rsidRPr="00D86921">
        <w:t xml:space="preserve">, </w:t>
      </w:r>
      <w:hyperlink w:anchor="_Police" w:history="1">
        <w:r w:rsidRPr="00341AC3">
          <w:rPr>
            <w:rStyle w:val="Hyperlink"/>
          </w:rPr>
          <w:t>police</w:t>
        </w:r>
      </w:hyperlink>
      <w:r w:rsidRPr="00D86921">
        <w:t xml:space="preserve"> or security agencies</w:t>
      </w:r>
      <w:r>
        <w:t xml:space="preserve">. </w:t>
      </w:r>
      <w:r w:rsidRPr="00302A83">
        <w:t xml:space="preserve">The </w:t>
      </w:r>
      <w:r w:rsidRPr="00341AC3">
        <w:t>police</w:t>
      </w:r>
      <w:r w:rsidRPr="00302A83">
        <w:t xml:space="preserve"> and other aspects of state protection are administered centrally.</w:t>
      </w:r>
    </w:p>
    <w:p w14:paraId="6A8CB70C" w14:textId="77777777" w:rsidR="00C47BE6" w:rsidRPr="00AE6E1A" w:rsidRDefault="00C47BE6" w:rsidP="00C47BE6">
      <w:pPr>
        <w:pStyle w:val="Heading3"/>
        <w:ind w:firstLine="0"/>
        <w:jc w:val="left"/>
        <w:rPr>
          <w:rFonts w:cs="Calibri"/>
          <w:b/>
          <w:bCs/>
          <w:color w:val="auto"/>
        </w:rPr>
      </w:pPr>
      <w:bookmarkStart w:id="31" w:name="_Corruption"/>
      <w:bookmarkStart w:id="32" w:name="_Toc196318422"/>
      <w:bookmarkEnd w:id="31"/>
      <w:r w:rsidRPr="00AE6E1A">
        <w:rPr>
          <w:rFonts w:cs="Calibri"/>
          <w:b/>
          <w:bCs/>
          <w:color w:val="auto"/>
        </w:rPr>
        <w:t>Corruption</w:t>
      </w:r>
      <w:bookmarkEnd w:id="32"/>
    </w:p>
    <w:p w14:paraId="33572ADE" w14:textId="77777777" w:rsidR="00C47BE6" w:rsidRDefault="00C47BE6" w:rsidP="00C47BE6">
      <w:pPr>
        <w:pStyle w:val="ListParagraph1"/>
      </w:pPr>
      <w:r w:rsidRPr="008D1AF1">
        <w:t>Egypt is a State Party to the UN Convention Against Corruption</w:t>
      </w:r>
      <w:r>
        <w:t xml:space="preserve"> and Article 218 of the C</w:t>
      </w:r>
      <w:r w:rsidRPr="008D1AF1">
        <w:t xml:space="preserve">onstitution commits the state to fight corruption. The </w:t>
      </w:r>
      <w:r w:rsidRPr="003136BC">
        <w:rPr>
          <w:i/>
          <w:iCs/>
        </w:rPr>
        <w:t>Penal Code (No. 58) 1937</w:t>
      </w:r>
      <w:r>
        <w:t xml:space="preserve"> </w:t>
      </w:r>
      <w:r w:rsidRPr="008D1AF1">
        <w:t>criminalises active and passive bribery, attempted corruption, providing gifts with the intention to influence, abuse of office and the use of public resources for private gain. Several government agencies work to combat corruption, including the Central Agency for Auditing and Accounting, the Administrative Control Authority, the Ministry of Justice, the Ministry of Interior, the Public Prosecution Office, and the Egyptian Money Laundering and Terr</w:t>
      </w:r>
      <w:r>
        <w:t xml:space="preserve">orist Financing Combating Unit. </w:t>
      </w:r>
    </w:p>
    <w:p w14:paraId="32144284" w14:textId="77777777" w:rsidR="00C47BE6" w:rsidRDefault="00C47BE6" w:rsidP="00C47BE6">
      <w:pPr>
        <w:pStyle w:val="ListParagraph1"/>
      </w:pPr>
      <w:r>
        <w:t xml:space="preserve">President El-Sisi has made the fight against corruption a priority. </w:t>
      </w:r>
      <w:r w:rsidRPr="00FF6743">
        <w:t xml:space="preserve">The US Department of State's 2023 </w:t>
      </w:r>
      <w:r w:rsidRPr="00FF6743">
        <w:rPr>
          <w:i/>
          <w:iCs/>
        </w:rPr>
        <w:t>Egypt Country Report on Human Rights Practices</w:t>
      </w:r>
      <w:r w:rsidRPr="00FF6743">
        <w:t xml:space="preserve"> state</w:t>
      </w:r>
      <w:r>
        <w:t>d</w:t>
      </w:r>
      <w:r w:rsidRPr="00FF6743">
        <w:t xml:space="preserve"> courts convicted several high</w:t>
      </w:r>
      <w:r>
        <w:noBreakHyphen/>
      </w:r>
      <w:r w:rsidRPr="00FF6743">
        <w:t xml:space="preserve">level officials, civil servants and former judges </w:t>
      </w:r>
      <w:r>
        <w:t>in 2023</w:t>
      </w:r>
      <w:r w:rsidRPr="00FF6743">
        <w:t xml:space="preserve"> for misuse of public office, bribery and other related charges. These included retired Major General Mohamed Youssef, former </w:t>
      </w:r>
      <w:r>
        <w:t>C</w:t>
      </w:r>
      <w:r w:rsidRPr="00FF6743">
        <w:t xml:space="preserve">hairman of the </w:t>
      </w:r>
      <w:r>
        <w:t>B</w:t>
      </w:r>
      <w:r w:rsidRPr="00FF6743">
        <w:t xml:space="preserve">oard of the Maritime and Land Transport Holding Company, and Medhat Amin, </w:t>
      </w:r>
      <w:r>
        <w:t>M</w:t>
      </w:r>
      <w:r w:rsidRPr="00FF6743">
        <w:t xml:space="preserve">anaging </w:t>
      </w:r>
      <w:r>
        <w:t>D</w:t>
      </w:r>
      <w:r w:rsidRPr="00FF6743">
        <w:t xml:space="preserve">irector of the Egyptian Gulf Investment Group, for misuse of public office and conspiracy to commit fraud with public funds. Prosecutors also indicted Gamal Ibrahim al-Labban, former </w:t>
      </w:r>
      <w:r>
        <w:t>D</w:t>
      </w:r>
      <w:r w:rsidRPr="00FF6743">
        <w:t>irector of the General Administration of Supplies at the State Council, and five businessmen in the criminal court</w:t>
      </w:r>
      <w:r>
        <w:t xml:space="preserve"> in 2023</w:t>
      </w:r>
      <w:r w:rsidRPr="00FF6743">
        <w:t xml:space="preserve"> on charges of defrauding the government for goods and services never delivered.</w:t>
      </w:r>
    </w:p>
    <w:p w14:paraId="4E48A0D0" w14:textId="77777777" w:rsidR="00C47BE6" w:rsidRDefault="00C47BE6" w:rsidP="00C47BE6">
      <w:pPr>
        <w:pStyle w:val="ListParagraph1"/>
      </w:pPr>
      <w:r>
        <w:t>Despite a strong official framework and some high-level convictions, c</w:t>
      </w:r>
      <w:r w:rsidRPr="008D1AF1">
        <w:t xml:space="preserve">orruption </w:t>
      </w:r>
      <w:r>
        <w:t>occurs</w:t>
      </w:r>
      <w:r w:rsidRPr="008D1AF1">
        <w:t xml:space="preserve"> throughout Egypt</w:t>
      </w:r>
      <w:r>
        <w:t>.</w:t>
      </w:r>
      <w:r w:rsidRPr="0031272B">
        <w:t xml:space="preserve"> Transparency International ranked </w:t>
      </w:r>
      <w:r>
        <w:t>Egypt</w:t>
      </w:r>
      <w:r w:rsidRPr="0031272B">
        <w:t xml:space="preserve"> 13</w:t>
      </w:r>
      <w:r>
        <w:t>0</w:t>
      </w:r>
      <w:r w:rsidRPr="0031272B">
        <w:t xml:space="preserve"> out of 180 countries in its </w:t>
      </w:r>
      <w:r>
        <w:t xml:space="preserve">2024 </w:t>
      </w:r>
      <w:r w:rsidRPr="00B3380A">
        <w:rPr>
          <w:i/>
          <w:iCs/>
        </w:rPr>
        <w:t>Corruption Perceptions Index</w:t>
      </w:r>
      <w:r w:rsidRPr="0031272B">
        <w:t xml:space="preserve">, detailing public perception </w:t>
      </w:r>
      <w:r>
        <w:t>the government</w:t>
      </w:r>
      <w:r w:rsidRPr="0031272B">
        <w:t xml:space="preserve"> shroud</w:t>
      </w:r>
      <w:r>
        <w:t>ed</w:t>
      </w:r>
      <w:r w:rsidRPr="0031272B">
        <w:t xml:space="preserve"> </w:t>
      </w:r>
      <w:r>
        <w:t>‘</w:t>
      </w:r>
      <w:r w:rsidRPr="0031272B">
        <w:t>corrupt practices in secrecy, opening opportunities for corruption across public life, from access to basic goods and services, to lack of transparency in procurement</w:t>
      </w:r>
      <w:r>
        <w:t>’. Egypt</w:t>
      </w:r>
      <w:r w:rsidRPr="0031272B">
        <w:t xml:space="preserve"> was ranked 1</w:t>
      </w:r>
      <w:r>
        <w:t>35</w:t>
      </w:r>
      <w:r w:rsidRPr="0031272B">
        <w:t xml:space="preserve"> out of 142 countries in the World Justice Project’s 2024 </w:t>
      </w:r>
      <w:r w:rsidRPr="00B3380A">
        <w:rPr>
          <w:i/>
          <w:iCs/>
        </w:rPr>
        <w:t>Rule of Law Index</w:t>
      </w:r>
      <w:r w:rsidRPr="0031272B">
        <w:t xml:space="preserve">, with data showing </w:t>
      </w:r>
      <w:proofErr w:type="gramStart"/>
      <w:r w:rsidRPr="0031272B">
        <w:t>the majority of</w:t>
      </w:r>
      <w:proofErr w:type="gramEnd"/>
      <w:r w:rsidRPr="0031272B">
        <w:t xml:space="preserve"> </w:t>
      </w:r>
      <w:r>
        <w:t>Egyptians</w:t>
      </w:r>
      <w:r w:rsidRPr="0031272B">
        <w:t xml:space="preserve"> </w:t>
      </w:r>
      <w:r>
        <w:t>were</w:t>
      </w:r>
      <w:r w:rsidRPr="0031272B">
        <w:t xml:space="preserve"> concern</w:t>
      </w:r>
      <w:r>
        <w:t>ed</w:t>
      </w:r>
      <w:r w:rsidRPr="0031272B">
        <w:t xml:space="preserve"> officials in the executive and legislative branch</w:t>
      </w:r>
      <w:r>
        <w:t>es</w:t>
      </w:r>
      <w:r w:rsidRPr="0031272B">
        <w:t xml:space="preserve"> use</w:t>
      </w:r>
      <w:r>
        <w:t>d</w:t>
      </w:r>
      <w:r w:rsidRPr="0031272B">
        <w:t xml:space="preserve"> public office for private gain.</w:t>
      </w:r>
      <w:r>
        <w:t xml:space="preserve"> </w:t>
      </w:r>
      <w:r w:rsidRPr="00FF6743">
        <w:t xml:space="preserve">The US Department of State's 2024 </w:t>
      </w:r>
      <w:r w:rsidRPr="00FF6743">
        <w:rPr>
          <w:i/>
          <w:iCs/>
        </w:rPr>
        <w:t>Investment Climate Statement for Egypt</w:t>
      </w:r>
      <w:r w:rsidRPr="00FF6743">
        <w:t xml:space="preserve"> </w:t>
      </w:r>
      <w:r>
        <w:t xml:space="preserve">states </w:t>
      </w:r>
      <w:r w:rsidRPr="00FF6743">
        <w:t>corruption in the public sector i</w:t>
      </w:r>
      <w:r>
        <w:t>s common in</w:t>
      </w:r>
      <w:r w:rsidRPr="00FF6743">
        <w:t xml:space="preserve"> the form of requests for bribes</w:t>
      </w:r>
      <w:r>
        <w:t xml:space="preserve"> and</w:t>
      </w:r>
      <w:r w:rsidRPr="00FF6743">
        <w:t xml:space="preserve"> embezzlement</w:t>
      </w:r>
      <w:r>
        <w:t>.</w:t>
      </w:r>
      <w:r w:rsidRPr="0031272B">
        <w:t xml:space="preserve"> </w:t>
      </w:r>
    </w:p>
    <w:p w14:paraId="534E23C1" w14:textId="77777777" w:rsidR="00C47BE6" w:rsidRDefault="00C47BE6" w:rsidP="00C47BE6">
      <w:pPr>
        <w:pStyle w:val="ListParagraph1"/>
      </w:pPr>
      <w:r>
        <w:t>A</w:t>
      </w:r>
      <w:r w:rsidRPr="00D86921">
        <w:t xml:space="preserve">nti-corruption entities in Egypt </w:t>
      </w:r>
      <w:r>
        <w:t>have been</w:t>
      </w:r>
      <w:r w:rsidRPr="00D86921">
        <w:t xml:space="preserve"> criticised for lacking independence from the government and </w:t>
      </w:r>
      <w:hyperlink w:anchor="_Military" w:history="1">
        <w:r w:rsidRPr="00EE6B30">
          <w:rPr>
            <w:rStyle w:val="Hyperlink"/>
          </w:rPr>
          <w:t>military</w:t>
        </w:r>
      </w:hyperlink>
      <w:r>
        <w:t>. According to Freedom House, o</w:t>
      </w:r>
      <w:r w:rsidRPr="009A1D18">
        <w:t xml:space="preserve">fficial mechanisms for investigating and punishing corrupt activity </w:t>
      </w:r>
      <w:r>
        <w:t>are</w:t>
      </w:r>
      <w:r w:rsidRPr="009A1D18">
        <w:t xml:space="preserve"> weak and ineffective.</w:t>
      </w:r>
      <w:r>
        <w:t xml:space="preserve"> T</w:t>
      </w:r>
      <w:r w:rsidRPr="00387458">
        <w:t>he Anti-Corruption Resource Centre and Transparency International</w:t>
      </w:r>
      <w:r>
        <w:t xml:space="preserve"> report</w:t>
      </w:r>
      <w:r w:rsidRPr="00387458">
        <w:t xml:space="preserve"> the absence of an independent judiciary and robust anti-corruption agencies consistently undermines efforts to curb corruption in Egypt. High-profile corruption cases rarely result in substantial penalties, creating a perception of impunity.</w:t>
      </w:r>
      <w:r>
        <w:t xml:space="preserve"> </w:t>
      </w:r>
    </w:p>
    <w:p w14:paraId="77BE74EF" w14:textId="77777777" w:rsidR="00C47BE6" w:rsidRDefault="00C47BE6" w:rsidP="00C47BE6">
      <w:pPr>
        <w:pStyle w:val="ListParagraph1"/>
      </w:pPr>
      <w:r w:rsidRPr="00483B91">
        <w:t xml:space="preserve">There </w:t>
      </w:r>
      <w:r>
        <w:t xml:space="preserve">is </w:t>
      </w:r>
      <w:r w:rsidRPr="00483B91">
        <w:t xml:space="preserve">no </w:t>
      </w:r>
      <w:r>
        <w:t xml:space="preserve">domestic </w:t>
      </w:r>
      <w:r w:rsidRPr="00483B91">
        <w:t>l</w:t>
      </w:r>
      <w:r>
        <w:t xml:space="preserve">egal </w:t>
      </w:r>
      <w:r w:rsidRPr="00483B91">
        <w:t>protection f</w:t>
      </w:r>
      <w:r>
        <w:t>or</w:t>
      </w:r>
      <w:r w:rsidRPr="00483B91">
        <w:t xml:space="preserve"> whistleblowers. </w:t>
      </w:r>
      <w:r>
        <w:t>However, financial incentives for w</w:t>
      </w:r>
      <w:r w:rsidRPr="00483B91">
        <w:t xml:space="preserve">histleblowing were established through </w:t>
      </w:r>
      <w:r w:rsidRPr="00483B91">
        <w:rPr>
          <w:i/>
          <w:iCs/>
        </w:rPr>
        <w:t>Law No. 30 2023</w:t>
      </w:r>
      <w:r>
        <w:t xml:space="preserve"> to</w:t>
      </w:r>
      <w:r w:rsidRPr="00483B91">
        <w:t xml:space="preserve"> combat tax evasion. </w:t>
      </w:r>
      <w:r>
        <w:t xml:space="preserve">Under the law, a </w:t>
      </w:r>
      <w:r w:rsidRPr="00483B91">
        <w:t>portion of late payment or additional tax, not exceeding 10</w:t>
      </w:r>
      <w:r>
        <w:t xml:space="preserve"> per cent</w:t>
      </w:r>
      <w:r w:rsidRPr="00483B91">
        <w:t xml:space="preserve">, </w:t>
      </w:r>
      <w:r>
        <w:t>can be</w:t>
      </w:r>
      <w:r w:rsidRPr="00483B91">
        <w:t xml:space="preserve"> distributed among informants involved in detecting or reporting tax evasion, excluding authority employees.</w:t>
      </w:r>
    </w:p>
    <w:p w14:paraId="6098DC26" w14:textId="77777777" w:rsidR="00C47BE6" w:rsidRDefault="00C47BE6" w:rsidP="00C47BE6">
      <w:pPr>
        <w:pStyle w:val="ListParagraph1"/>
      </w:pPr>
      <w:r w:rsidRPr="008D1AF1">
        <w:lastRenderedPageBreak/>
        <w:t xml:space="preserve">The payment of </w:t>
      </w:r>
      <w:r w:rsidRPr="0031595E">
        <w:rPr>
          <w:i/>
        </w:rPr>
        <w:t>baksheesh</w:t>
      </w:r>
      <w:r w:rsidRPr="008D1AF1">
        <w:t xml:space="preserve">, or tips, </w:t>
      </w:r>
      <w:proofErr w:type="gramStart"/>
      <w:r w:rsidRPr="008D1AF1">
        <w:t>in order to</w:t>
      </w:r>
      <w:proofErr w:type="gramEnd"/>
      <w:r w:rsidRPr="008D1AF1">
        <w:t xml:space="preserve"> receive basic services is </w:t>
      </w:r>
      <w:r>
        <w:t>often</w:t>
      </w:r>
      <w:r w:rsidRPr="005B7601">
        <w:t xml:space="preserve"> </w:t>
      </w:r>
      <w:r>
        <w:t>requested</w:t>
      </w:r>
      <w:r w:rsidRPr="005B7601">
        <w:t xml:space="preserve"> </w:t>
      </w:r>
      <w:r>
        <w:t>and may sometimes result in</w:t>
      </w:r>
      <w:r w:rsidRPr="005B7601">
        <w:t xml:space="preserve"> preferential treatment or t</w:t>
      </w:r>
      <w:r>
        <w:t>he</w:t>
      </w:r>
      <w:r w:rsidRPr="005B7601">
        <w:t xml:space="preserve"> grant</w:t>
      </w:r>
      <w:r>
        <w:t>ing</w:t>
      </w:r>
      <w:r w:rsidRPr="005B7601">
        <w:t xml:space="preserve"> </w:t>
      </w:r>
      <w:r>
        <w:t xml:space="preserve">of </w:t>
      </w:r>
      <w:r w:rsidRPr="005B7601">
        <w:t>favours</w:t>
      </w:r>
      <w:r>
        <w:t xml:space="preserve">. </w:t>
      </w:r>
      <w:r w:rsidRPr="00C22B16">
        <w:t xml:space="preserve">In-country sources </w:t>
      </w:r>
      <w:r>
        <w:t>said</w:t>
      </w:r>
      <w:r w:rsidRPr="00C22B16">
        <w:t xml:space="preserve"> </w:t>
      </w:r>
      <w:r>
        <w:t>requests for</w:t>
      </w:r>
      <w:r w:rsidRPr="00C22B16">
        <w:t xml:space="preserve"> </w:t>
      </w:r>
      <w:r w:rsidRPr="00C22B16">
        <w:rPr>
          <w:i/>
          <w:iCs/>
        </w:rPr>
        <w:t>baksheesh</w:t>
      </w:r>
      <w:r w:rsidRPr="00C22B16">
        <w:t xml:space="preserve"> </w:t>
      </w:r>
      <w:r>
        <w:t>in return for everyday government services were becoming rarer as senior public servants clamped down on the practice</w:t>
      </w:r>
      <w:r w:rsidRPr="00C22B16">
        <w:t>.</w:t>
      </w:r>
      <w:r>
        <w:t xml:space="preserve"> Corruption and </w:t>
      </w:r>
      <w:r w:rsidRPr="00387458">
        <w:t xml:space="preserve">trading in influence </w:t>
      </w:r>
      <w:r>
        <w:t>in Egypt is</w:t>
      </w:r>
      <w:r w:rsidRPr="00387458">
        <w:t xml:space="preserve"> also facilitated </w:t>
      </w:r>
      <w:proofErr w:type="gramStart"/>
      <w:r w:rsidRPr="00387458">
        <w:t>through the use of</w:t>
      </w:r>
      <w:proofErr w:type="gramEnd"/>
      <w:r w:rsidRPr="00387458">
        <w:t xml:space="preserve"> </w:t>
      </w:r>
      <w:r w:rsidRPr="00D5140D">
        <w:rPr>
          <w:i/>
          <w:iCs/>
        </w:rPr>
        <w:t>wasta</w:t>
      </w:r>
      <w:r w:rsidRPr="00387458">
        <w:t xml:space="preserve">, a form of personal connection and favouritism. Using or invoking </w:t>
      </w:r>
      <w:r w:rsidRPr="00D5140D">
        <w:rPr>
          <w:i/>
          <w:iCs/>
        </w:rPr>
        <w:t>wasta</w:t>
      </w:r>
      <w:r w:rsidRPr="00387458">
        <w:t xml:space="preserve"> means asking someone to intervene or mediate to obtain some kind of advantage from a third party</w:t>
      </w:r>
      <w:r>
        <w:t xml:space="preserve">. </w:t>
      </w:r>
    </w:p>
    <w:p w14:paraId="63428A39" w14:textId="77777777" w:rsidR="00C47BE6" w:rsidRDefault="00C47BE6" w:rsidP="00C47BE6">
      <w:pPr>
        <w:pStyle w:val="ListParagraph1"/>
      </w:pPr>
      <w:r w:rsidRPr="00387458">
        <w:t>According to the Anti-Corruption Resource Centre and Transparency International</w:t>
      </w:r>
      <w:r>
        <w:t>,</w:t>
      </w:r>
      <w:r w:rsidRPr="009A1D18">
        <w:t xml:space="preserve"> </w:t>
      </w:r>
      <w:r>
        <w:t>military-owned businesses have thrived due to close links to the government, which has exempted them from paying value-added tax and allowed them the legal right to use military-designated land as equity in commercial joint ventures, conscript labour, government subsidies, favourable foreign exchange rates and the ability to win contracts on a non</w:t>
      </w:r>
      <w:r>
        <w:noBreakHyphen/>
        <w:t xml:space="preserve">competitive basis. Most of the formal </w:t>
      </w:r>
      <w:hyperlink w:anchor="_Military" w:history="1">
        <w:r w:rsidRPr="007B4A5E">
          <w:rPr>
            <w:rStyle w:val="Hyperlink"/>
          </w:rPr>
          <w:t>military</w:t>
        </w:r>
      </w:hyperlink>
      <w:r>
        <w:t xml:space="preserve"> economic sector falls outside the remit of Egypt’s audit and anti</w:t>
      </w:r>
      <w:r>
        <w:noBreakHyphen/>
        <w:t>corruption agencies.</w:t>
      </w:r>
    </w:p>
    <w:p w14:paraId="0ABDA68B" w14:textId="77777777" w:rsidR="00C47BE6" w:rsidRPr="00C47BE6" w:rsidRDefault="00C47BE6" w:rsidP="00C47BE6">
      <w:pPr>
        <w:pStyle w:val="Heading2"/>
        <w:ind w:firstLine="0"/>
        <w:jc w:val="left"/>
        <w:rPr>
          <w:rFonts w:ascii="Calibri" w:hAnsi="Calibri" w:cs="Calibri"/>
          <w:b/>
          <w:bCs/>
          <w:color w:val="auto"/>
          <w:sz w:val="36"/>
          <w:szCs w:val="36"/>
        </w:rPr>
      </w:pPr>
      <w:bookmarkStart w:id="33" w:name="_HUMAN_RIGHTS_FRAMEWORK"/>
      <w:bookmarkStart w:id="34" w:name="_Toc196387074"/>
      <w:bookmarkEnd w:id="33"/>
      <w:r w:rsidRPr="00C47BE6">
        <w:rPr>
          <w:rFonts w:ascii="Calibri" w:hAnsi="Calibri" w:cs="Calibri"/>
          <w:b/>
          <w:bCs/>
          <w:color w:val="auto"/>
          <w:sz w:val="36"/>
          <w:szCs w:val="36"/>
        </w:rPr>
        <w:t>HUMAN RIGHTS FRAMEWORK</w:t>
      </w:r>
      <w:bookmarkEnd w:id="34"/>
    </w:p>
    <w:p w14:paraId="28AAE350" w14:textId="77777777" w:rsidR="00C47BE6" w:rsidRDefault="00C47BE6" w:rsidP="00C47BE6">
      <w:pPr>
        <w:pStyle w:val="ListParagraph1"/>
      </w:pPr>
      <w:bookmarkStart w:id="35" w:name="_SECURITY_SITUATION"/>
      <w:bookmarkStart w:id="36" w:name="_Toc196387075"/>
      <w:bookmarkEnd w:id="35"/>
      <w:r w:rsidRPr="004E2244">
        <w:t>E</w:t>
      </w:r>
      <w:r>
        <w:t>gypt’s</w:t>
      </w:r>
      <w:r w:rsidRPr="0095064C">
        <w:t xml:space="preserve"> Constitution </w:t>
      </w:r>
      <w:r>
        <w:t xml:space="preserve">states it </w:t>
      </w:r>
      <w:r w:rsidRPr="0066404E">
        <w:t xml:space="preserve">is consistent with the Universal Declaration of Human Rights </w:t>
      </w:r>
      <w:r>
        <w:t>and</w:t>
      </w:r>
      <w:r w:rsidRPr="0066404E">
        <w:t xml:space="preserve"> holds all </w:t>
      </w:r>
      <w:r>
        <w:t>Egyptians</w:t>
      </w:r>
      <w:r w:rsidRPr="0066404E">
        <w:t xml:space="preserve"> equal in rights and duties without discrimination of any kind.</w:t>
      </w:r>
      <w:r>
        <w:t xml:space="preserve"> It </w:t>
      </w:r>
      <w:r w:rsidRPr="0095064C">
        <w:t xml:space="preserve">guarantees several </w:t>
      </w:r>
      <w:r>
        <w:t>‘</w:t>
      </w:r>
      <w:r w:rsidRPr="0066404E">
        <w:t>public rights</w:t>
      </w:r>
      <w:r>
        <w:t>,</w:t>
      </w:r>
      <w:r w:rsidRPr="0066404E">
        <w:t xml:space="preserve"> freedoms and duties</w:t>
      </w:r>
      <w:r>
        <w:t xml:space="preserve">’ </w:t>
      </w:r>
      <w:r w:rsidRPr="0095064C">
        <w:t xml:space="preserve">under </w:t>
      </w:r>
      <w:r w:rsidRPr="0066404E">
        <w:t xml:space="preserve">articles 52 to 93, including human dignity, equality before the </w:t>
      </w:r>
      <w:hyperlink w:anchor="_Legal_system" w:history="1">
        <w:r w:rsidRPr="00602CF6">
          <w:rPr>
            <w:rStyle w:val="Hyperlink"/>
          </w:rPr>
          <w:t>law</w:t>
        </w:r>
      </w:hyperlink>
      <w:r w:rsidRPr="0066404E">
        <w:t xml:space="preserve">, </w:t>
      </w:r>
      <w:hyperlink w:anchor="_INTERNAL_RELOCATION" w:history="1">
        <w:r w:rsidRPr="00602CF6">
          <w:rPr>
            <w:rStyle w:val="Hyperlink"/>
          </w:rPr>
          <w:t>freedom of movement</w:t>
        </w:r>
      </w:hyperlink>
      <w:r w:rsidRPr="0066404E">
        <w:t xml:space="preserve">, </w:t>
      </w:r>
      <w:hyperlink w:anchor="_Conflict_between_Turkish" w:history="1">
        <w:r w:rsidRPr="00602CF6">
          <w:rPr>
            <w:rStyle w:val="Hyperlink"/>
          </w:rPr>
          <w:t>freedom of belief</w:t>
        </w:r>
      </w:hyperlink>
      <w:r w:rsidRPr="0066404E">
        <w:t xml:space="preserve">, </w:t>
      </w:r>
      <w:hyperlink w:anchor="_Criminal_defamation_and" w:history="1">
        <w:r w:rsidRPr="00602CF6">
          <w:rPr>
            <w:rStyle w:val="Hyperlink"/>
          </w:rPr>
          <w:t>freedom of the press</w:t>
        </w:r>
      </w:hyperlink>
      <w:r>
        <w:t xml:space="preserve"> and the</w:t>
      </w:r>
      <w:r w:rsidRPr="0066404E">
        <w:t xml:space="preserve"> </w:t>
      </w:r>
      <w:hyperlink w:anchor="_Civil_Society" w:history="1">
        <w:r w:rsidRPr="00602CF6">
          <w:rPr>
            <w:rStyle w:val="Hyperlink"/>
          </w:rPr>
          <w:t>right to organise</w:t>
        </w:r>
      </w:hyperlink>
      <w:r w:rsidRPr="0095064C">
        <w:t>.</w:t>
      </w:r>
      <w:r>
        <w:t xml:space="preserve"> In-country sources said</w:t>
      </w:r>
      <w:r w:rsidRPr="002036AB">
        <w:t xml:space="preserve"> there is a gap between protections specified in the </w:t>
      </w:r>
      <w:r>
        <w:t>C</w:t>
      </w:r>
      <w:r w:rsidRPr="002036AB">
        <w:t>onstitution and how the</w:t>
      </w:r>
      <w:r>
        <w:t>y are applied</w:t>
      </w:r>
      <w:r w:rsidRPr="002036AB">
        <w:t xml:space="preserve">.   </w:t>
      </w:r>
    </w:p>
    <w:p w14:paraId="3EDF2C1C" w14:textId="77777777" w:rsidR="00C47BE6" w:rsidRDefault="00C47BE6" w:rsidP="00C47BE6">
      <w:pPr>
        <w:pStyle w:val="ListParagraph1"/>
      </w:pPr>
      <w:r>
        <w:t>E</w:t>
      </w:r>
      <w:r w:rsidRPr="004E2244">
        <w:t xml:space="preserve">gypt is a state party to the International Covenant on Civil and Political Rights (ICCPR), the International Covenant on Economic, Social and Cultural Rights (CESCR), the International Convention on the Elimination of All Forms of Racial Discrimination (CERD), the Convention on the Elimination of Discrimination Against Women (CEDAW), the Convention on the Rights of Persons with Disabilities (CRPD), the Convention on the Rights of the Child (CRC) and its Optional Protocols on the involvement of children in armed conflict (CRC-OP-AC) and on the sale of children, child prostitution and child pornography (CRC-OP-SC), and the Convention Against Torture and Other Cruel, Inhuman or Degrading Treatment or Punishment (CAT), although not its Optional Protocol. Egypt has acceded to the 1951 Refugee </w:t>
      </w:r>
      <w:r w:rsidRPr="00EE1CD2">
        <w:t>Convention</w:t>
      </w:r>
      <w:r w:rsidRPr="004E2244">
        <w:t xml:space="preserve"> and </w:t>
      </w:r>
      <w:r>
        <w:t>its</w:t>
      </w:r>
      <w:r w:rsidRPr="004E2244">
        <w:t xml:space="preserve"> 1967 Protocol. Article 93 of the Constitution commits the state to the agreements, covenants and international conventions it has ratified.</w:t>
      </w:r>
    </w:p>
    <w:p w14:paraId="12AC02EB" w14:textId="77777777" w:rsidR="00C47BE6" w:rsidRDefault="00C47BE6" w:rsidP="00C47BE6">
      <w:pPr>
        <w:pStyle w:val="ListParagraph1"/>
      </w:pPr>
      <w:r>
        <w:t xml:space="preserve">Egypt’s </w:t>
      </w:r>
      <w:r w:rsidRPr="00C05EE7">
        <w:rPr>
          <w:i/>
          <w:iCs/>
        </w:rPr>
        <w:t>National Human Rights Strategy 2021-26</w:t>
      </w:r>
      <w:r w:rsidRPr="000A4043">
        <w:t xml:space="preserve"> </w:t>
      </w:r>
      <w:r>
        <w:t xml:space="preserve">aims to </w:t>
      </w:r>
      <w:r w:rsidRPr="000A4043">
        <w:t>enhanc</w:t>
      </w:r>
      <w:r>
        <w:t>e</w:t>
      </w:r>
      <w:r w:rsidRPr="000A4043">
        <w:t xml:space="preserve"> respect for and protection of all civil, political, economic, social and cultural rights.</w:t>
      </w:r>
      <w:r>
        <w:t xml:space="preserve"> </w:t>
      </w:r>
      <w:r w:rsidRPr="000A4043">
        <w:t xml:space="preserve">In-country sources </w:t>
      </w:r>
      <w:r>
        <w:t xml:space="preserve">said although </w:t>
      </w:r>
      <w:r w:rsidRPr="000A4043">
        <w:t>the strategy</w:t>
      </w:r>
      <w:r>
        <w:t xml:space="preserve"> was</w:t>
      </w:r>
      <w:r w:rsidRPr="000A4043">
        <w:t xml:space="preserve"> well intentioned</w:t>
      </w:r>
      <w:r>
        <w:t>,</w:t>
      </w:r>
      <w:r w:rsidRPr="000A4043">
        <w:t xml:space="preserve"> </w:t>
      </w:r>
      <w:r>
        <w:t xml:space="preserve">it lacked verifiable </w:t>
      </w:r>
      <w:r w:rsidRPr="000A4043">
        <w:t>me</w:t>
      </w:r>
      <w:r>
        <w:t>chanisms</w:t>
      </w:r>
      <w:r w:rsidRPr="000A4043">
        <w:t xml:space="preserve"> </w:t>
      </w:r>
      <w:r>
        <w:t>to address human rights concerns</w:t>
      </w:r>
      <w:r w:rsidRPr="000A4043">
        <w:t>.</w:t>
      </w:r>
      <w:r>
        <w:t xml:space="preserve"> Some </w:t>
      </w:r>
      <w:r w:rsidRPr="000E11CD">
        <w:t>CSOs report</w:t>
      </w:r>
      <w:r>
        <w:t>ed</w:t>
      </w:r>
      <w:r w:rsidRPr="000E11CD">
        <w:t xml:space="preserve"> the strategy represent</w:t>
      </w:r>
      <w:r>
        <w:t>ed</w:t>
      </w:r>
      <w:r w:rsidRPr="000E11CD">
        <w:t xml:space="preserve"> </w:t>
      </w:r>
      <w:r>
        <w:t>‘</w:t>
      </w:r>
      <w:r w:rsidRPr="000E11CD">
        <w:t xml:space="preserve">an attempt by the Egyptian </w:t>
      </w:r>
      <w:r>
        <w:t>G</w:t>
      </w:r>
      <w:r w:rsidRPr="000E11CD">
        <w:t>overnment to whitewash its public image following an upsurge in international criticism of its abysmal human rights record</w:t>
      </w:r>
      <w:r>
        <w:t>’.</w:t>
      </w:r>
      <w:r w:rsidRPr="000E11CD">
        <w:t xml:space="preserve"> </w:t>
      </w:r>
      <w:r>
        <w:t xml:space="preserve">Amnesty International said the strategy </w:t>
      </w:r>
      <w:r w:rsidRPr="00C915C4">
        <w:t>present</w:t>
      </w:r>
      <w:r>
        <w:t>ed</w:t>
      </w:r>
      <w:r w:rsidRPr="00C915C4">
        <w:t xml:space="preserve"> </w:t>
      </w:r>
      <w:r>
        <w:t>‘</w:t>
      </w:r>
      <w:r w:rsidRPr="00C915C4">
        <w:t>a deeply misleading and at times outright false picture of the human rights situation in Egypt</w:t>
      </w:r>
      <w:r>
        <w:t xml:space="preserve">’ and offered ‘modest and largely technical solutions to overcome human rights challenges’. To address civil society’s concerns with the </w:t>
      </w:r>
      <w:r w:rsidRPr="00C05EE7">
        <w:rPr>
          <w:i/>
          <w:iCs/>
        </w:rPr>
        <w:t>National Human Rights Strategy 2021-26</w:t>
      </w:r>
      <w:r>
        <w:t>, the Egyptian Government said it was preparing a</w:t>
      </w:r>
      <w:r w:rsidRPr="00D93A39">
        <w:t xml:space="preserve"> new 5</w:t>
      </w:r>
      <w:r>
        <w:t>-</w:t>
      </w:r>
      <w:r w:rsidRPr="00D93A39">
        <w:t>year</w:t>
      </w:r>
      <w:r>
        <w:t xml:space="preserve"> national human rights strategy</w:t>
      </w:r>
      <w:r w:rsidRPr="00D93A39">
        <w:t xml:space="preserve"> </w:t>
      </w:r>
      <w:r>
        <w:t>to</w:t>
      </w:r>
      <w:r w:rsidRPr="00D93A39">
        <w:t xml:space="preserve"> be released in </w:t>
      </w:r>
      <w:r>
        <w:t xml:space="preserve">late </w:t>
      </w:r>
      <w:r w:rsidRPr="00D93A39">
        <w:t>2026</w:t>
      </w:r>
      <w:r>
        <w:t>, which would include tangible measures to implement reforms on realistic timelines.</w:t>
      </w:r>
    </w:p>
    <w:p w14:paraId="6BF8B58E" w14:textId="77777777" w:rsidR="00C47BE6" w:rsidRPr="00C47BE6" w:rsidRDefault="00C47BE6" w:rsidP="00C47BE6">
      <w:pPr>
        <w:pStyle w:val="Heading2"/>
        <w:ind w:firstLine="0"/>
        <w:jc w:val="left"/>
        <w:rPr>
          <w:rFonts w:ascii="Calibri" w:hAnsi="Calibri" w:cs="Calibri"/>
          <w:b/>
          <w:bCs/>
          <w:color w:val="auto"/>
          <w:sz w:val="36"/>
          <w:szCs w:val="36"/>
        </w:rPr>
      </w:pPr>
      <w:bookmarkStart w:id="37" w:name="_SECURITY_SITUATION_1"/>
      <w:bookmarkEnd w:id="37"/>
      <w:r w:rsidRPr="00C47BE6">
        <w:rPr>
          <w:rFonts w:ascii="Calibri" w:hAnsi="Calibri" w:cs="Calibri"/>
          <w:b/>
          <w:bCs/>
          <w:color w:val="auto"/>
          <w:sz w:val="36"/>
          <w:szCs w:val="36"/>
        </w:rPr>
        <w:t>SECURITY SITUATION</w:t>
      </w:r>
      <w:bookmarkEnd w:id="36"/>
    </w:p>
    <w:p w14:paraId="3F59EDAA" w14:textId="50E397DF" w:rsidR="00C47BE6" w:rsidRDefault="00C47BE6" w:rsidP="00C47BE6">
      <w:pPr>
        <w:pStyle w:val="ListParagraph1"/>
      </w:pPr>
      <w:r w:rsidRPr="00AA6C49">
        <w:t>Egypt</w:t>
      </w:r>
      <w:r>
        <w:t xml:space="preserve"> has low </w:t>
      </w:r>
      <w:r w:rsidRPr="00AA6C49">
        <w:t xml:space="preserve">rates </w:t>
      </w:r>
      <w:r>
        <w:t>of</w:t>
      </w:r>
      <w:r w:rsidRPr="00AA6C49">
        <w:t xml:space="preserve"> serious </w:t>
      </w:r>
      <w:r>
        <w:t>and</w:t>
      </w:r>
      <w:r w:rsidRPr="00AA6C49">
        <w:t xml:space="preserve"> violent crime, including </w:t>
      </w:r>
      <w:r>
        <w:t xml:space="preserve">in major cities like </w:t>
      </w:r>
      <w:r w:rsidRPr="00AA6C49">
        <w:t>Cairo</w:t>
      </w:r>
      <w:r>
        <w:t xml:space="preserve"> and Alexandria. Several c</w:t>
      </w:r>
      <w:r w:rsidRPr="00DD23F2">
        <w:t xml:space="preserve">risis </w:t>
      </w:r>
      <w:r w:rsidR="00DE64CB">
        <w:t>on</w:t>
      </w:r>
      <w:r>
        <w:t xml:space="preserve"> Egypt’s borders </w:t>
      </w:r>
      <w:r w:rsidR="00DE64CB">
        <w:t xml:space="preserve">continued </w:t>
      </w:r>
      <w:r>
        <w:t xml:space="preserve">in 2025. </w:t>
      </w:r>
      <w:r w:rsidRPr="00B022A3">
        <w:t>In</w:t>
      </w:r>
      <w:r>
        <w:noBreakHyphen/>
      </w:r>
      <w:r w:rsidRPr="00B022A3">
        <w:t xml:space="preserve">country sources </w:t>
      </w:r>
      <w:r>
        <w:t>said</w:t>
      </w:r>
      <w:r w:rsidRPr="00B022A3">
        <w:t xml:space="preserve"> </w:t>
      </w:r>
      <w:r>
        <w:t xml:space="preserve">Egypt’s internal </w:t>
      </w:r>
      <w:r w:rsidRPr="00B022A3">
        <w:t xml:space="preserve">security presence increased </w:t>
      </w:r>
      <w:r>
        <w:t xml:space="preserve">significantly in 2024 when the civil war in Sudan and the </w:t>
      </w:r>
      <w:r w:rsidRPr="00B022A3">
        <w:t>uprising in Syria</w:t>
      </w:r>
      <w:r>
        <w:t xml:space="preserve"> intensified</w:t>
      </w:r>
      <w:r w:rsidRPr="00B022A3">
        <w:t>.</w:t>
      </w:r>
      <w:r>
        <w:t xml:space="preserve"> </w:t>
      </w:r>
      <w:r w:rsidR="00DE64CB">
        <w:t>Despite regional instability, t</w:t>
      </w:r>
      <w:r w:rsidR="00DE64CB" w:rsidRPr="00B022A3">
        <w:t xml:space="preserve">hreats to national security </w:t>
      </w:r>
      <w:r w:rsidR="00DE64CB">
        <w:t>in Egypt are</w:t>
      </w:r>
      <w:r w:rsidR="00DE64CB" w:rsidRPr="00B022A3">
        <w:t xml:space="preserve"> low.</w:t>
      </w:r>
    </w:p>
    <w:p w14:paraId="77FF6DF1" w14:textId="77777777" w:rsidR="00C47BE6" w:rsidRDefault="00C47BE6" w:rsidP="00C47BE6">
      <w:pPr>
        <w:pStyle w:val="ListParagraph1"/>
      </w:pPr>
      <w:r>
        <w:t>On 25</w:t>
      </w:r>
      <w:r w:rsidRPr="00EB7739">
        <w:t xml:space="preserve"> October 2021, President </w:t>
      </w:r>
      <w:r>
        <w:t>El-</w:t>
      </w:r>
      <w:r w:rsidRPr="00EB7739">
        <w:t xml:space="preserve">Sisi </w:t>
      </w:r>
      <w:r>
        <w:t>lifted</w:t>
      </w:r>
      <w:r w:rsidRPr="00EB7739">
        <w:t xml:space="preserve"> Egypt’s state of emergency for the first time in more than four years</w:t>
      </w:r>
      <w:r>
        <w:t xml:space="preserve">. The state of emergency granted the </w:t>
      </w:r>
      <w:r w:rsidRPr="00EB7739">
        <w:t>executive and security services</w:t>
      </w:r>
      <w:r>
        <w:t xml:space="preserve"> expanded powers under the </w:t>
      </w:r>
      <w:r w:rsidRPr="00152237">
        <w:rPr>
          <w:i/>
          <w:iCs/>
        </w:rPr>
        <w:t>Emergency</w:t>
      </w:r>
      <w:r>
        <w:rPr>
          <w:i/>
          <w:iCs/>
        </w:rPr>
        <w:t> </w:t>
      </w:r>
      <w:r w:rsidRPr="00152237">
        <w:rPr>
          <w:i/>
          <w:iCs/>
        </w:rPr>
        <w:t>Law (No. 162) 1958</w:t>
      </w:r>
      <w:r>
        <w:t xml:space="preserve"> under limited</w:t>
      </w:r>
      <w:r w:rsidRPr="00EB7739">
        <w:t xml:space="preserve"> judicial oversight. </w:t>
      </w:r>
      <w:r>
        <w:t>Powers</w:t>
      </w:r>
      <w:r w:rsidRPr="00EB7739">
        <w:t xml:space="preserve"> includ</w:t>
      </w:r>
      <w:r>
        <w:t>ed</w:t>
      </w:r>
      <w:r w:rsidRPr="00EB7739">
        <w:t xml:space="preserve"> </w:t>
      </w:r>
      <w:r>
        <w:t>the</w:t>
      </w:r>
      <w:r w:rsidRPr="00EB7739">
        <w:t xml:space="preserve"> authority to suspend free expression, assembly and movement.</w:t>
      </w:r>
      <w:r>
        <w:t xml:space="preserve"> The state of e</w:t>
      </w:r>
      <w:r w:rsidRPr="00EB7739">
        <w:t xml:space="preserve">mergency </w:t>
      </w:r>
      <w:r>
        <w:t>also put in place</w:t>
      </w:r>
      <w:r w:rsidRPr="00EB7739">
        <w:t xml:space="preserve"> security courts to facilitate speedy prosecutions </w:t>
      </w:r>
      <w:r>
        <w:t xml:space="preserve">without a right to </w:t>
      </w:r>
      <w:r w:rsidRPr="00EB7739">
        <w:t>appeal</w:t>
      </w:r>
      <w:r>
        <w:t xml:space="preserve"> (see </w:t>
      </w:r>
      <w:hyperlink w:anchor="_Legal_system" w:history="1">
        <w:r w:rsidRPr="00EB7739">
          <w:rPr>
            <w:rStyle w:val="Hyperlink"/>
          </w:rPr>
          <w:t>Legal system</w:t>
        </w:r>
      </w:hyperlink>
      <w:r>
        <w:t xml:space="preserve">). </w:t>
      </w:r>
    </w:p>
    <w:p w14:paraId="1D29B8EE" w14:textId="77777777" w:rsidR="00C47BE6" w:rsidRDefault="00C47BE6" w:rsidP="00C47BE6">
      <w:pPr>
        <w:pStyle w:val="ListParagraph1"/>
      </w:pPr>
      <w:r w:rsidRPr="00EB7739">
        <w:lastRenderedPageBreak/>
        <w:t>Human Rights Watch called the decision</w:t>
      </w:r>
      <w:r>
        <w:t xml:space="preserve"> to lift the state of emergency ‘</w:t>
      </w:r>
      <w:r w:rsidRPr="00EB7739">
        <w:t>positive but far from sufficient to begin to quell the country’s prolonged human rights crisis</w:t>
      </w:r>
      <w:r>
        <w:t>’.</w:t>
      </w:r>
      <w:r w:rsidRPr="00EB7739">
        <w:t xml:space="preserve"> </w:t>
      </w:r>
      <w:r>
        <w:t>T</w:t>
      </w:r>
      <w:r w:rsidRPr="00EB7739">
        <w:t>he Egyptian Initiative for Personal Rights</w:t>
      </w:r>
      <w:r>
        <w:t xml:space="preserve"> stated it was a</w:t>
      </w:r>
      <w:r w:rsidRPr="00EB7739">
        <w:t xml:space="preserve"> </w:t>
      </w:r>
      <w:r>
        <w:t>‘</w:t>
      </w:r>
      <w:r w:rsidRPr="00EB7739">
        <w:t>step in the right direction, although…</w:t>
      </w:r>
      <w:r>
        <w:t xml:space="preserve"> </w:t>
      </w:r>
      <w:r w:rsidRPr="00EB7739">
        <w:t>deficient alone in dismantling the arsenal of repressive legislation issued in recent years</w:t>
      </w:r>
      <w:r>
        <w:t>’</w:t>
      </w:r>
      <w:r w:rsidRPr="00EB7739">
        <w:t>.</w:t>
      </w:r>
      <w:r>
        <w:t xml:space="preserve"> Following the lifting of</w:t>
      </w:r>
      <w:r w:rsidRPr="006526E0">
        <w:t xml:space="preserve"> </w:t>
      </w:r>
      <w:r>
        <w:t xml:space="preserve">the </w:t>
      </w:r>
      <w:r w:rsidRPr="006526E0">
        <w:t xml:space="preserve">state of emergency, </w:t>
      </w:r>
      <w:r>
        <w:t>P</w:t>
      </w:r>
      <w:r w:rsidRPr="006526E0">
        <w:t xml:space="preserve">arliament </w:t>
      </w:r>
      <w:r>
        <w:t xml:space="preserve">passed amendments </w:t>
      </w:r>
      <w:r w:rsidRPr="006526E0">
        <w:t>incorporating many emergency-law-like provisions in other laws</w:t>
      </w:r>
      <w:r>
        <w:t xml:space="preserve">. </w:t>
      </w:r>
      <w:r w:rsidRPr="006526E0">
        <w:t xml:space="preserve">President </w:t>
      </w:r>
      <w:r>
        <w:t>El-</w:t>
      </w:r>
      <w:r w:rsidRPr="006526E0">
        <w:t xml:space="preserve">Sisi ratified </w:t>
      </w:r>
      <w:r>
        <w:t xml:space="preserve">this legislation, </w:t>
      </w:r>
      <w:r w:rsidRPr="006526E0">
        <w:t xml:space="preserve">allowing </w:t>
      </w:r>
      <w:r>
        <w:t>him</w:t>
      </w:r>
      <w:r w:rsidRPr="006526E0">
        <w:t xml:space="preserve"> to take </w:t>
      </w:r>
      <w:r>
        <w:t>‘</w:t>
      </w:r>
      <w:r w:rsidRPr="006526E0">
        <w:t>appropriate measures</w:t>
      </w:r>
      <w:r>
        <w:t>’</w:t>
      </w:r>
      <w:r w:rsidRPr="006526E0">
        <w:t xml:space="preserve"> </w:t>
      </w:r>
      <w:r>
        <w:t xml:space="preserve">for </w:t>
      </w:r>
      <w:r w:rsidRPr="006526E0">
        <w:t>not exceed</w:t>
      </w:r>
      <w:r>
        <w:t>ing</w:t>
      </w:r>
      <w:r w:rsidRPr="006526E0">
        <w:t xml:space="preserve"> six months to maintain public order and security (</w:t>
      </w:r>
      <w:r>
        <w:t>including</w:t>
      </w:r>
      <w:r w:rsidRPr="006526E0">
        <w:t xml:space="preserve"> curfews </w:t>
      </w:r>
      <w:r>
        <w:t>and</w:t>
      </w:r>
      <w:r w:rsidRPr="006526E0">
        <w:t xml:space="preserve"> forced evacuations) in the event of a natural disaster or terrorism event and authori</w:t>
      </w:r>
      <w:r>
        <w:t>s</w:t>
      </w:r>
      <w:r w:rsidRPr="006526E0">
        <w:t>ing the military to assist local authorities in protecting critical infrastructure.</w:t>
      </w:r>
    </w:p>
    <w:p w14:paraId="64A83808" w14:textId="77777777" w:rsidR="00C47BE6" w:rsidRDefault="00C47BE6" w:rsidP="00C47BE6">
      <w:pPr>
        <w:pStyle w:val="ListParagraph1"/>
      </w:pPr>
      <w:r>
        <w:t>Sectarian and militant attacks have been rare since 2020 but isolated incidents have occurred. For example, the Ministry of Interior announced on 20 July 2025 it had killed two alleged militants in an anti-terrorism raid in the</w:t>
      </w:r>
      <w:r w:rsidRPr="009D0EA6">
        <w:t xml:space="preserve"> </w:t>
      </w:r>
      <w:proofErr w:type="spellStart"/>
      <w:r w:rsidRPr="009D0EA6">
        <w:t>Boulaq</w:t>
      </w:r>
      <w:proofErr w:type="spellEnd"/>
      <w:r w:rsidRPr="009D0EA6">
        <w:t xml:space="preserve"> al-</w:t>
      </w:r>
      <w:proofErr w:type="spellStart"/>
      <w:r w:rsidRPr="009D0EA6">
        <w:t>Dakrour</w:t>
      </w:r>
      <w:proofErr w:type="spellEnd"/>
      <w:r w:rsidRPr="009D0EA6">
        <w:t xml:space="preserve"> neighbourhood of Giza, near Cairo</w:t>
      </w:r>
      <w:r>
        <w:t xml:space="preserve">. </w:t>
      </w:r>
      <w:r w:rsidRPr="009D0EA6">
        <w:t xml:space="preserve">In addition to the suspects, a civilian was killed </w:t>
      </w:r>
      <w:r>
        <w:t xml:space="preserve">and </w:t>
      </w:r>
      <w:r w:rsidRPr="009D0EA6">
        <w:t>an officer injured</w:t>
      </w:r>
      <w:r>
        <w:t xml:space="preserve"> during the exchange of gunfire</w:t>
      </w:r>
      <w:r w:rsidRPr="009D0EA6">
        <w:t>.</w:t>
      </w:r>
    </w:p>
    <w:p w14:paraId="247A863D" w14:textId="77777777" w:rsidR="00C47BE6" w:rsidRDefault="00C47BE6" w:rsidP="00C47BE6">
      <w:pPr>
        <w:pStyle w:val="ListParagraph1"/>
      </w:pPr>
      <w:r>
        <w:t>Militant attacks in North Sinai, especially around the cities of Arish, Rafah and Sheikh Zuweid, decreased significantly after</w:t>
      </w:r>
      <w:r w:rsidRPr="00813DC6">
        <w:t xml:space="preserve"> the launch of</w:t>
      </w:r>
      <w:r>
        <w:t xml:space="preserve"> the </w:t>
      </w:r>
      <w:hyperlink w:anchor="_Military" w:history="1">
        <w:r w:rsidRPr="005419CF">
          <w:rPr>
            <w:rStyle w:val="Hyperlink"/>
          </w:rPr>
          <w:t>military’s</w:t>
        </w:r>
      </w:hyperlink>
      <w:r w:rsidRPr="00813DC6">
        <w:t xml:space="preserve"> </w:t>
      </w:r>
      <w:r>
        <w:t>‘</w:t>
      </w:r>
      <w:r w:rsidRPr="00813DC6">
        <w:t>Comprehensive Operation Sinai</w:t>
      </w:r>
      <w:r>
        <w:t>’</w:t>
      </w:r>
      <w:r w:rsidRPr="00813DC6">
        <w:t xml:space="preserve"> in 2018</w:t>
      </w:r>
      <w:r>
        <w:t>.</w:t>
      </w:r>
      <w:r>
        <w:rPr>
          <w:rStyle w:val="FootnoteReference"/>
        </w:rPr>
        <w:t xml:space="preserve"> </w:t>
      </w:r>
      <w:r w:rsidRPr="00EC5B79">
        <w:t>Militant groups like Islamic</w:t>
      </w:r>
      <w:r>
        <w:t> </w:t>
      </w:r>
      <w:r w:rsidRPr="00EC5B79">
        <w:t xml:space="preserve">State Sinai Province (IS-Sinai, </w:t>
      </w:r>
      <w:r>
        <w:t>designated</w:t>
      </w:r>
      <w:r w:rsidRPr="00EC5B79">
        <w:t xml:space="preserve"> </w:t>
      </w:r>
      <w:r>
        <w:t xml:space="preserve">a </w:t>
      </w:r>
      <w:r w:rsidRPr="00EC5B79">
        <w:t xml:space="preserve">terrorist organisation </w:t>
      </w:r>
      <w:r>
        <w:t xml:space="preserve">by </w:t>
      </w:r>
      <w:r w:rsidRPr="00EC5B79">
        <w:t>Australia and the United Nations</w:t>
      </w:r>
      <w:r>
        <w:t xml:space="preserve">), had previously </w:t>
      </w:r>
      <w:r w:rsidRPr="00EC5B79">
        <w:t>conduct</w:t>
      </w:r>
      <w:r>
        <w:t>ed</w:t>
      </w:r>
      <w:r w:rsidRPr="00EC5B79">
        <w:t xml:space="preserve"> regular small arms, light weapon and improvised explosive device (IED) attacks in North Sinai. Most of </w:t>
      </w:r>
      <w:r>
        <w:t>these</w:t>
      </w:r>
      <w:r w:rsidRPr="00EC5B79">
        <w:t xml:space="preserve"> attacks target</w:t>
      </w:r>
      <w:r>
        <w:t>ed</w:t>
      </w:r>
      <w:r w:rsidRPr="00EC5B79">
        <w:t xml:space="preserve"> Egyptian security forces</w:t>
      </w:r>
      <w:r>
        <w:t xml:space="preserve">, </w:t>
      </w:r>
      <w:r w:rsidRPr="00EC5B79">
        <w:t>anti</w:t>
      </w:r>
      <w:r>
        <w:noBreakHyphen/>
      </w:r>
      <w:r w:rsidRPr="00EC5B79">
        <w:t xml:space="preserve">IS tribal militias and </w:t>
      </w:r>
      <w:r>
        <w:t xml:space="preserve">local </w:t>
      </w:r>
      <w:r w:rsidRPr="00EC5B79">
        <w:t>infrastructure.</w:t>
      </w:r>
      <w:r>
        <w:t xml:space="preserve"> </w:t>
      </w:r>
      <w:r w:rsidRPr="00813DC6">
        <w:t xml:space="preserve">The last confrontation between the military and </w:t>
      </w:r>
      <w:r>
        <w:t>militant</w:t>
      </w:r>
      <w:r w:rsidRPr="00813DC6">
        <w:t xml:space="preserve"> groups in North Sinai </w:t>
      </w:r>
      <w:r>
        <w:t>occurred</w:t>
      </w:r>
      <w:r w:rsidRPr="00813DC6">
        <w:t xml:space="preserve"> in August 2022</w:t>
      </w:r>
      <w:r>
        <w:t>,</w:t>
      </w:r>
      <w:r w:rsidRPr="00813DC6">
        <w:t xml:space="preserve"> when the army killed </w:t>
      </w:r>
      <w:r w:rsidRPr="00EC5B79">
        <w:t>IS</w:t>
      </w:r>
      <w:r>
        <w:noBreakHyphen/>
      </w:r>
      <w:r w:rsidRPr="00EC5B79">
        <w:t>Sinai</w:t>
      </w:r>
      <w:r w:rsidRPr="00813DC6">
        <w:t xml:space="preserve"> leader</w:t>
      </w:r>
      <w:r>
        <w:t>,</w:t>
      </w:r>
      <w:r w:rsidRPr="00813DC6">
        <w:t xml:space="preserve"> Hamza Al-</w:t>
      </w:r>
      <w:proofErr w:type="spellStart"/>
      <w:r w:rsidRPr="00813DC6">
        <w:t>Zamli</w:t>
      </w:r>
      <w:proofErr w:type="spellEnd"/>
      <w:r w:rsidRPr="00813DC6">
        <w:t xml:space="preserve"> </w:t>
      </w:r>
      <w:r w:rsidRPr="00990704">
        <w:t>(Abul Kazim al Maqdisi)</w:t>
      </w:r>
      <w:r w:rsidRPr="00813DC6">
        <w:t>.</w:t>
      </w:r>
      <w:r>
        <w:t xml:space="preserve"> </w:t>
      </w:r>
    </w:p>
    <w:p w14:paraId="0B7CAB41" w14:textId="77777777" w:rsidR="00C47BE6" w:rsidRDefault="00C47BE6" w:rsidP="00C47BE6">
      <w:pPr>
        <w:pStyle w:val="ListParagraph1"/>
      </w:pPr>
      <w:r>
        <w:t>O</w:t>
      </w:r>
      <w:r w:rsidRPr="00986FEE">
        <w:t xml:space="preserve">n </w:t>
      </w:r>
      <w:r>
        <w:t xml:space="preserve">25 </w:t>
      </w:r>
      <w:r w:rsidRPr="00986FEE">
        <w:t>January 2023,</w:t>
      </w:r>
      <w:r>
        <w:t xml:space="preserve"> </w:t>
      </w:r>
      <w:r w:rsidRPr="00986FEE">
        <w:t>President</w:t>
      </w:r>
      <w:r>
        <w:t xml:space="preserve"> El-</w:t>
      </w:r>
      <w:r w:rsidRPr="00986FEE">
        <w:t xml:space="preserve">Sisi announced the </w:t>
      </w:r>
      <w:r>
        <w:t>‘</w:t>
      </w:r>
      <w:r w:rsidRPr="00986FEE">
        <w:t>end of terrorism</w:t>
      </w:r>
      <w:r>
        <w:t>’</w:t>
      </w:r>
      <w:r w:rsidRPr="00986FEE">
        <w:t xml:space="preserve"> in Sinai. </w:t>
      </w:r>
      <w:r>
        <w:t xml:space="preserve">The security situation in areas outside of North Sinai had already improved by </w:t>
      </w:r>
      <w:r w:rsidRPr="00986FEE">
        <w:t>2021</w:t>
      </w:r>
      <w:r>
        <w:t xml:space="preserve">, with </w:t>
      </w:r>
      <w:r w:rsidRPr="00986FEE">
        <w:t>many residents</w:t>
      </w:r>
      <w:r>
        <w:t xml:space="preserve"> uprooted by the violence </w:t>
      </w:r>
      <w:r w:rsidRPr="00986FEE">
        <w:t>allowed to return</w:t>
      </w:r>
      <w:r>
        <w:t xml:space="preserve"> home</w:t>
      </w:r>
      <w:r w:rsidRPr="00986FEE">
        <w:t>.</w:t>
      </w:r>
      <w:r>
        <w:t xml:space="preserve"> In 2025, </w:t>
      </w:r>
      <w:r w:rsidRPr="00415FAC">
        <w:t>North Sinai was tightly controlled</w:t>
      </w:r>
      <w:r>
        <w:t xml:space="preserve"> by the </w:t>
      </w:r>
      <w:r w:rsidRPr="00415FAC">
        <w:t xml:space="preserve">enhanced </w:t>
      </w:r>
      <w:r>
        <w:t>military presence in place since</w:t>
      </w:r>
      <w:r w:rsidRPr="00415FAC">
        <w:t xml:space="preserve"> the beginning of the Hamas-Israel conflict</w:t>
      </w:r>
      <w:r>
        <w:t xml:space="preserve">. At the time of writing, </w:t>
      </w:r>
      <w:r w:rsidRPr="00EC5B79">
        <w:t>IS-Sinai</w:t>
      </w:r>
      <w:r>
        <w:t xml:space="preserve"> did not pose a threat to the population of the Sinai. </w:t>
      </w:r>
    </w:p>
    <w:p w14:paraId="48C28EF7" w14:textId="77777777" w:rsidR="00C47BE6" w:rsidRPr="002E7513" w:rsidRDefault="00C47BE6" w:rsidP="00C47BE6">
      <w:pPr>
        <w:pStyle w:val="ListParagraph1"/>
      </w:pPr>
      <w:r>
        <w:t>In the governorates of Upper Egypt, including Assiut and Minya, d</w:t>
      </w:r>
      <w:r w:rsidRPr="00497D8B">
        <w:t xml:space="preserve">isagreements over land or business deals </w:t>
      </w:r>
      <w:r>
        <w:t xml:space="preserve">sometimes </w:t>
      </w:r>
      <w:r w:rsidRPr="00497D8B">
        <w:t>escalate into blood feuds</w:t>
      </w:r>
      <w:r>
        <w:t>. In-country sources said these feuds were</w:t>
      </w:r>
      <w:r w:rsidRPr="00497D8B">
        <w:t xml:space="preserve"> </w:t>
      </w:r>
      <w:r>
        <w:t xml:space="preserve">swiftly </w:t>
      </w:r>
      <w:r w:rsidRPr="00497D8B">
        <w:t xml:space="preserve">contained by the large security </w:t>
      </w:r>
      <w:r>
        <w:t>presence in the region</w:t>
      </w:r>
      <w:r w:rsidRPr="00497D8B">
        <w:t>.</w:t>
      </w:r>
      <w:r>
        <w:t xml:space="preserve"> Local media reported in 2025 security forces were active in rooting out ‘criminal elements’ in Upper Egypt and had killed several criminals and militants in confrontations.</w:t>
      </w:r>
      <w:r>
        <w:br w:type="page"/>
      </w:r>
    </w:p>
    <w:p w14:paraId="6AF375F7" w14:textId="77777777" w:rsidR="00C47BE6" w:rsidRPr="00C47BE6" w:rsidRDefault="00C47BE6" w:rsidP="00C47BE6">
      <w:pPr>
        <w:pStyle w:val="Heading1Numbered"/>
        <w:spacing w:before="240" w:after="0"/>
        <w:jc w:val="left"/>
        <w:rPr>
          <w:rFonts w:ascii="Calibri" w:hAnsi="Calibri" w:cs="Calibri"/>
          <w:color w:val="auto"/>
          <w:sz w:val="40"/>
          <w:szCs w:val="40"/>
        </w:rPr>
      </w:pPr>
      <w:bookmarkStart w:id="38" w:name="_Toc196387076"/>
      <w:r w:rsidRPr="00C47BE6">
        <w:rPr>
          <w:rFonts w:ascii="Calibri" w:hAnsi="Calibri" w:cs="Calibri"/>
          <w:color w:val="auto"/>
          <w:sz w:val="40"/>
          <w:szCs w:val="40"/>
        </w:rPr>
        <w:lastRenderedPageBreak/>
        <w:t>REFUGEE CONVENTION CLAIMS</w:t>
      </w:r>
      <w:bookmarkEnd w:id="38"/>
    </w:p>
    <w:p w14:paraId="19017593" w14:textId="77777777" w:rsidR="00C47BE6" w:rsidRPr="00C47BE6" w:rsidRDefault="00C47BE6" w:rsidP="00C47BE6">
      <w:pPr>
        <w:pStyle w:val="Heading2"/>
        <w:ind w:firstLine="0"/>
        <w:jc w:val="left"/>
        <w:rPr>
          <w:rFonts w:ascii="Calibri" w:hAnsi="Calibri" w:cs="Calibri"/>
          <w:b/>
          <w:bCs/>
          <w:color w:val="auto"/>
          <w:sz w:val="36"/>
          <w:szCs w:val="36"/>
        </w:rPr>
      </w:pPr>
      <w:bookmarkStart w:id="39" w:name="_RACE/NATIONALITY"/>
      <w:bookmarkStart w:id="40" w:name="_Toc196387077"/>
      <w:bookmarkEnd w:id="39"/>
      <w:r w:rsidRPr="00C47BE6">
        <w:rPr>
          <w:rFonts w:ascii="Calibri" w:hAnsi="Calibri" w:cs="Calibri"/>
          <w:b/>
          <w:bCs/>
          <w:color w:val="auto"/>
          <w:sz w:val="36"/>
          <w:szCs w:val="36"/>
        </w:rPr>
        <w:t>RACE/NATIONALITY</w:t>
      </w:r>
      <w:bookmarkEnd w:id="40"/>
    </w:p>
    <w:p w14:paraId="68085128" w14:textId="77777777" w:rsidR="00C47BE6" w:rsidRPr="0091001A" w:rsidRDefault="00C47BE6" w:rsidP="00C47BE6">
      <w:pPr>
        <w:pStyle w:val="ListParagraph1"/>
      </w:pPr>
      <w:r w:rsidRPr="0091001A">
        <w:t xml:space="preserve">The Egyptian population is almost entirely Arab (including </w:t>
      </w:r>
      <w:hyperlink w:anchor="_Kurds" w:history="1">
        <w:r w:rsidRPr="0091001A">
          <w:rPr>
            <w:rStyle w:val="Hyperlink"/>
          </w:rPr>
          <w:t>Bedouin</w:t>
        </w:r>
      </w:hyperlink>
      <w:r w:rsidRPr="0091001A">
        <w:t>)</w:t>
      </w:r>
      <w:r>
        <w:t>. S</w:t>
      </w:r>
      <w:r w:rsidRPr="0091001A">
        <w:t>everal small ethnic minority communities</w:t>
      </w:r>
      <w:r>
        <w:t xml:space="preserve"> exist, such as </w:t>
      </w:r>
      <w:hyperlink w:anchor="_Nubians" w:history="1">
        <w:r w:rsidRPr="0091001A">
          <w:rPr>
            <w:rStyle w:val="Hyperlink"/>
          </w:rPr>
          <w:t>Nubians</w:t>
        </w:r>
      </w:hyperlink>
      <w:r w:rsidRPr="0091001A">
        <w:t xml:space="preserve">. </w:t>
      </w:r>
      <w:r>
        <w:t>The</w:t>
      </w:r>
      <w:r w:rsidRPr="001220EC">
        <w:t xml:space="preserve"> </w:t>
      </w:r>
      <w:r>
        <w:t>C</w:t>
      </w:r>
      <w:r w:rsidRPr="001220EC">
        <w:t>onstitution consider</w:t>
      </w:r>
      <w:r>
        <w:t>s</w:t>
      </w:r>
      <w:r w:rsidRPr="001220EC">
        <w:t xml:space="preserve"> all citizens equal in </w:t>
      </w:r>
      <w:r>
        <w:t xml:space="preserve">terms of </w:t>
      </w:r>
      <w:r w:rsidRPr="001220EC">
        <w:t>rights, freedoms and duties without discrimination based on origin, race, colo</w:t>
      </w:r>
      <w:r>
        <w:t>u</w:t>
      </w:r>
      <w:r w:rsidRPr="001220EC">
        <w:t>r</w:t>
      </w:r>
      <w:r>
        <w:t xml:space="preserve"> or </w:t>
      </w:r>
      <w:r w:rsidRPr="001220EC">
        <w:t>language.</w:t>
      </w:r>
      <w:r>
        <w:t xml:space="preserve"> In-country sources estimated </w:t>
      </w:r>
      <w:r w:rsidRPr="0091001A">
        <w:t>Egypt host</w:t>
      </w:r>
      <w:r>
        <w:t>s</w:t>
      </w:r>
      <w:r w:rsidRPr="0091001A">
        <w:t xml:space="preserve"> </w:t>
      </w:r>
      <w:r>
        <w:t>approximately one million registered refugees and upwards of 9</w:t>
      </w:r>
      <w:r w:rsidRPr="0091001A">
        <w:t>.5</w:t>
      </w:r>
      <w:r>
        <w:t> </w:t>
      </w:r>
      <w:r w:rsidRPr="0091001A">
        <w:t>m</w:t>
      </w:r>
      <w:r>
        <w:t>illion</w:t>
      </w:r>
      <w:r w:rsidRPr="0091001A">
        <w:t xml:space="preserve"> </w:t>
      </w:r>
      <w:r>
        <w:t xml:space="preserve">unregistered </w:t>
      </w:r>
      <w:r w:rsidRPr="0091001A">
        <w:t>asylum seekers</w:t>
      </w:r>
      <w:r>
        <w:t xml:space="preserve">, mainly </w:t>
      </w:r>
      <w:hyperlink w:anchor="_Palestinians" w:history="1">
        <w:r w:rsidRPr="0091001A">
          <w:rPr>
            <w:rStyle w:val="Hyperlink"/>
          </w:rPr>
          <w:t>Palestinians</w:t>
        </w:r>
      </w:hyperlink>
      <w:r>
        <w:t xml:space="preserve">, </w:t>
      </w:r>
      <w:hyperlink w:anchor="_Sudanese" w:history="1">
        <w:r w:rsidRPr="0091001A">
          <w:rPr>
            <w:rStyle w:val="Hyperlink"/>
          </w:rPr>
          <w:t>Sudanese</w:t>
        </w:r>
      </w:hyperlink>
      <w:r>
        <w:t xml:space="preserve"> and </w:t>
      </w:r>
      <w:hyperlink w:anchor="_Syrians" w:history="1">
        <w:r w:rsidRPr="0091001A">
          <w:rPr>
            <w:rStyle w:val="Hyperlink"/>
          </w:rPr>
          <w:t>Syrians</w:t>
        </w:r>
      </w:hyperlink>
      <w:r>
        <w:t>.</w:t>
      </w:r>
    </w:p>
    <w:p w14:paraId="221E53AF" w14:textId="77777777" w:rsidR="00C47BE6" w:rsidRPr="000D7B8D" w:rsidRDefault="00C47BE6" w:rsidP="00C47BE6">
      <w:pPr>
        <w:pStyle w:val="Heading3"/>
        <w:ind w:firstLine="0"/>
        <w:jc w:val="left"/>
        <w:rPr>
          <w:rFonts w:cs="Calibri"/>
          <w:b/>
          <w:bCs/>
          <w:color w:val="auto"/>
          <w:highlight w:val="yellow"/>
        </w:rPr>
      </w:pPr>
      <w:bookmarkStart w:id="41" w:name="_Kurds"/>
      <w:bookmarkStart w:id="42" w:name="_Bedouin"/>
      <w:bookmarkEnd w:id="41"/>
      <w:bookmarkEnd w:id="42"/>
      <w:r w:rsidRPr="001560EE">
        <w:rPr>
          <w:rFonts w:cs="Calibri"/>
          <w:b/>
          <w:bCs/>
          <w:color w:val="auto"/>
        </w:rPr>
        <w:t>Bedouin</w:t>
      </w:r>
    </w:p>
    <w:p w14:paraId="007D267D" w14:textId="77777777" w:rsidR="00C47BE6" w:rsidRDefault="00C47BE6" w:rsidP="00C47BE6">
      <w:pPr>
        <w:pStyle w:val="ListParagraph1"/>
      </w:pPr>
      <w:r w:rsidRPr="001560EE">
        <w:t>Bedouin</w:t>
      </w:r>
      <w:r>
        <w:t xml:space="preserve"> (</w:t>
      </w:r>
      <w:proofErr w:type="spellStart"/>
      <w:r w:rsidRPr="001560EE">
        <w:t>Beduin</w:t>
      </w:r>
      <w:proofErr w:type="spellEnd"/>
      <w:r w:rsidRPr="001560EE">
        <w:t xml:space="preserve"> or </w:t>
      </w:r>
      <w:proofErr w:type="spellStart"/>
      <w:r w:rsidRPr="001560EE">
        <w:t>Beduare</w:t>
      </w:r>
      <w:proofErr w:type="spellEnd"/>
      <w:r>
        <w:t>)</w:t>
      </w:r>
      <w:r w:rsidRPr="001560EE">
        <w:t xml:space="preserve"> </w:t>
      </w:r>
      <w:r>
        <w:t xml:space="preserve">are Arab tribes of </w:t>
      </w:r>
      <w:r w:rsidRPr="001560EE">
        <w:t>nomadic pastoral</w:t>
      </w:r>
      <w:r>
        <w:t xml:space="preserve">ists numbering around 1 million in Egypt. Most Bedouin are Sunni Muslims. </w:t>
      </w:r>
      <w:r w:rsidRPr="002B589B">
        <w:t>Bedouin society is patriarchal</w:t>
      </w:r>
      <w:r>
        <w:t xml:space="preserve"> and</w:t>
      </w:r>
      <w:r w:rsidRPr="002B589B">
        <w:t xml:space="preserve"> typically composed of extended families. The head of the family, as well as of each successively larger social unit making up the tribal structure, is called </w:t>
      </w:r>
      <w:r w:rsidRPr="005572EA">
        <w:rPr>
          <w:i/>
          <w:iCs/>
        </w:rPr>
        <w:t>sheikh</w:t>
      </w:r>
      <w:r w:rsidRPr="002B589B">
        <w:t>.</w:t>
      </w:r>
      <w:r>
        <w:t xml:space="preserve"> Bedouin </w:t>
      </w:r>
      <w:r w:rsidRPr="001560EE">
        <w:t>mostly resid</w:t>
      </w:r>
      <w:r>
        <w:t>e</w:t>
      </w:r>
      <w:r w:rsidRPr="001560EE">
        <w:t xml:space="preserve"> </w:t>
      </w:r>
      <w:r>
        <w:t>i</w:t>
      </w:r>
      <w:r w:rsidRPr="001560EE">
        <w:t>n the Sinai Peninsula</w:t>
      </w:r>
      <w:r>
        <w:t xml:space="preserve"> but also in the governorates of </w:t>
      </w:r>
      <w:r w:rsidRPr="001560EE">
        <w:t>Matruh, Red Sea, Suez</w:t>
      </w:r>
      <w:r>
        <w:t xml:space="preserve"> and </w:t>
      </w:r>
      <w:r w:rsidRPr="001560EE">
        <w:t>Ismailia</w:t>
      </w:r>
      <w:r>
        <w:t>, as well as in</w:t>
      </w:r>
      <w:r w:rsidRPr="001560EE">
        <w:t xml:space="preserve"> Cairo</w:t>
      </w:r>
      <w:r>
        <w:t>.</w:t>
      </w:r>
      <w:r w:rsidRPr="002B589B">
        <w:rPr>
          <w:rStyle w:val="FootnoteReference"/>
        </w:rPr>
        <w:t xml:space="preserve"> </w:t>
      </w:r>
      <w:r>
        <w:rPr>
          <w:rStyle w:val="FootnoteReference"/>
        </w:rPr>
        <w:t xml:space="preserve"> </w:t>
      </w:r>
      <w:r>
        <w:t>Bedouin</w:t>
      </w:r>
      <w:r w:rsidRPr="001369D7">
        <w:t xml:space="preserve"> </w:t>
      </w:r>
      <w:r>
        <w:t>generally</w:t>
      </w:r>
      <w:r w:rsidRPr="001369D7">
        <w:t xml:space="preserve"> have higher rates of unemployment and poverty than the Egyptian population</w:t>
      </w:r>
      <w:r>
        <w:t xml:space="preserve"> overall</w:t>
      </w:r>
      <w:r w:rsidRPr="001369D7">
        <w:t>.</w:t>
      </w:r>
      <w:r>
        <w:t xml:space="preserve"> </w:t>
      </w:r>
    </w:p>
    <w:p w14:paraId="5C3A2894" w14:textId="77777777" w:rsidR="00C47BE6" w:rsidRDefault="00C47BE6" w:rsidP="00C47BE6">
      <w:pPr>
        <w:pStyle w:val="ListParagraph1"/>
      </w:pPr>
      <w:r w:rsidRPr="002B589B">
        <w:t xml:space="preserve">Bedouin </w:t>
      </w:r>
      <w:r>
        <w:t xml:space="preserve">residing in </w:t>
      </w:r>
      <w:r w:rsidRPr="002B589B">
        <w:t>Sinai</w:t>
      </w:r>
      <w:r>
        <w:t xml:space="preserve"> have historically been viewed with suspicion by the Egyptian Government. In</w:t>
      </w:r>
      <w:r>
        <w:noBreakHyphen/>
        <w:t xml:space="preserve">country sources said Bedouin were often detained at checkpoints and after security incidents occurred because they were viewed as potential terrorists. Between </w:t>
      </w:r>
      <w:r w:rsidRPr="003A7F35">
        <w:t>2014</w:t>
      </w:r>
      <w:r>
        <w:t xml:space="preserve"> and 2023</w:t>
      </w:r>
      <w:r w:rsidRPr="003A7F35">
        <w:t xml:space="preserve">, approximately 150,000 Bedouin </w:t>
      </w:r>
      <w:r>
        <w:t xml:space="preserve">were displaced after </w:t>
      </w:r>
      <w:r w:rsidRPr="003A7F35">
        <w:t xml:space="preserve">the </w:t>
      </w:r>
      <w:r>
        <w:t>military</w:t>
      </w:r>
      <w:r w:rsidRPr="003A7F35">
        <w:t xml:space="preserve"> demolished thousands of </w:t>
      </w:r>
      <w:r>
        <w:t xml:space="preserve">their </w:t>
      </w:r>
      <w:r w:rsidRPr="003A7F35">
        <w:t xml:space="preserve">homes </w:t>
      </w:r>
      <w:r>
        <w:t>and</w:t>
      </w:r>
      <w:r w:rsidRPr="003A7F35">
        <w:t xml:space="preserve"> bulldozed tens of thousands </w:t>
      </w:r>
      <w:r>
        <w:t xml:space="preserve">of </w:t>
      </w:r>
      <w:r w:rsidRPr="003A7F35">
        <w:t>acres</w:t>
      </w:r>
      <w:r>
        <w:t xml:space="preserve"> of agricultural land in North Sinai</w:t>
      </w:r>
      <w:r w:rsidRPr="003A7F35">
        <w:t xml:space="preserve">. </w:t>
      </w:r>
      <w:r>
        <w:t xml:space="preserve">Bedouin were resettled </w:t>
      </w:r>
      <w:r w:rsidRPr="00815F7D">
        <w:t>in residential complexes</w:t>
      </w:r>
      <w:r>
        <w:t xml:space="preserve"> away from North Sinai and promised the right to </w:t>
      </w:r>
      <w:r w:rsidRPr="003A7F35">
        <w:t xml:space="preserve">return </w:t>
      </w:r>
      <w:r>
        <w:t xml:space="preserve">when the state of emergency was lifted. Despite its lifting in October 2021, in-country sources said Bedouin had not officially been allowed to return to North Sinai, with government officials justifying this policy based on factors including the existence of </w:t>
      </w:r>
      <w:r w:rsidRPr="002B589B">
        <w:t>unexploded ordinance</w:t>
      </w:r>
      <w:r>
        <w:t>.</w:t>
      </w:r>
    </w:p>
    <w:p w14:paraId="3E33A530" w14:textId="77777777" w:rsidR="00C47BE6" w:rsidRDefault="00C47BE6" w:rsidP="00C47BE6">
      <w:pPr>
        <w:pStyle w:val="ListParagraph1"/>
      </w:pPr>
      <w:r>
        <w:t xml:space="preserve">In 2023, some </w:t>
      </w:r>
      <w:r w:rsidRPr="002B589B">
        <w:t>Bedouin</w:t>
      </w:r>
      <w:r>
        <w:t xml:space="preserve"> </w:t>
      </w:r>
      <w:r w:rsidRPr="002B589B">
        <w:t xml:space="preserve">attempted to return </w:t>
      </w:r>
      <w:r>
        <w:t>to their traditional lands in North Sinai without permission but were</w:t>
      </w:r>
      <w:r w:rsidRPr="002B589B">
        <w:t xml:space="preserve"> refused entry</w:t>
      </w:r>
      <w:r>
        <w:t xml:space="preserve"> by the military. In-country sources said Bedouin attempting to move back to North Sinai faced </w:t>
      </w:r>
      <w:r w:rsidRPr="003A7F35">
        <w:t>arbitrary arrests and detention</w:t>
      </w:r>
      <w:r>
        <w:t>. For example,</w:t>
      </w:r>
      <w:r w:rsidRPr="003A7F35">
        <w:t xml:space="preserve"> 54 </w:t>
      </w:r>
      <w:r>
        <w:t>Bedouin protesting their displacement</w:t>
      </w:r>
      <w:r w:rsidRPr="003A7F35">
        <w:t xml:space="preserve"> </w:t>
      </w:r>
      <w:r>
        <w:t xml:space="preserve">were detained </w:t>
      </w:r>
      <w:r w:rsidRPr="003A7F35">
        <w:t>in October 2023</w:t>
      </w:r>
      <w:r>
        <w:t xml:space="preserve">, with some </w:t>
      </w:r>
      <w:r w:rsidRPr="003A7F35">
        <w:t xml:space="preserve">facing </w:t>
      </w:r>
      <w:r>
        <w:t xml:space="preserve">charges of </w:t>
      </w:r>
      <w:r w:rsidRPr="003A7F35">
        <w:t>terrorism.</w:t>
      </w:r>
      <w:r>
        <w:t xml:space="preserve"> In another example, prominent Bedouin </w:t>
      </w:r>
      <w:r w:rsidRPr="00EE097B">
        <w:rPr>
          <w:i/>
          <w:iCs/>
        </w:rPr>
        <w:t>sheikhs</w:t>
      </w:r>
      <w:r>
        <w:t xml:space="preserve"> who advocated for return to North Sinai were</w:t>
      </w:r>
      <w:r w:rsidRPr="002B589B">
        <w:t xml:space="preserve"> arrested in December 2024 for</w:t>
      </w:r>
      <w:r>
        <w:t xml:space="preserve"> ‘</w:t>
      </w:r>
      <w:r w:rsidRPr="002B589B">
        <w:t>attac</w:t>
      </w:r>
      <w:r w:rsidRPr="000006F0">
        <w:t>king the military’. Most Bedouin involved in these incidents later received presidential pardons</w:t>
      </w:r>
      <w:r>
        <w:t>, according to in-country sources</w:t>
      </w:r>
      <w:r w:rsidRPr="000006F0">
        <w:t>.</w:t>
      </w:r>
      <w:r w:rsidDel="00EE097B">
        <w:t xml:space="preserve"> </w:t>
      </w:r>
    </w:p>
    <w:p w14:paraId="5E54E532" w14:textId="77777777" w:rsidR="00C47BE6" w:rsidRPr="001369D7" w:rsidRDefault="00C47BE6" w:rsidP="00C47BE6">
      <w:pPr>
        <w:pStyle w:val="ListParagraph1"/>
      </w:pPr>
      <w:r w:rsidRPr="001369D7">
        <w:t xml:space="preserve">In-country sources </w:t>
      </w:r>
      <w:r>
        <w:t>said</w:t>
      </w:r>
      <w:r w:rsidRPr="001369D7">
        <w:t xml:space="preserve"> official discrimination against Bedouin </w:t>
      </w:r>
      <w:r>
        <w:t>occurred</w:t>
      </w:r>
      <w:r w:rsidRPr="001369D7">
        <w:t>. International media report</w:t>
      </w:r>
      <w:r>
        <w:t xml:space="preserve">ed </w:t>
      </w:r>
      <w:r w:rsidRPr="001369D7">
        <w:t>Bedouin often face</w:t>
      </w:r>
      <w:r>
        <w:t>d</w:t>
      </w:r>
      <w:r w:rsidRPr="001369D7">
        <w:t xml:space="preserve"> discrimination when accessing </w:t>
      </w:r>
      <w:hyperlink w:anchor="_Employment" w:history="1">
        <w:r w:rsidRPr="00B0601A">
          <w:rPr>
            <w:rStyle w:val="Hyperlink"/>
          </w:rPr>
          <w:t>employment</w:t>
        </w:r>
      </w:hyperlink>
      <w:r w:rsidRPr="001369D7">
        <w:t>, including being excluded from work on government-sponsored projects in the Sinai. Local media report</w:t>
      </w:r>
      <w:r>
        <w:t>ed</w:t>
      </w:r>
      <w:r w:rsidRPr="001369D7">
        <w:t xml:space="preserve"> there are restrictions on Bedouin joining the </w:t>
      </w:r>
      <w:hyperlink w:anchor="_Military" w:history="1">
        <w:r>
          <w:rPr>
            <w:rStyle w:val="Hyperlink"/>
          </w:rPr>
          <w:t>military</w:t>
        </w:r>
      </w:hyperlink>
      <w:r w:rsidRPr="001369D7">
        <w:t xml:space="preserve"> and </w:t>
      </w:r>
      <w:hyperlink w:anchor="_Police" w:history="1">
        <w:r w:rsidRPr="001369D7">
          <w:rPr>
            <w:rStyle w:val="Hyperlink"/>
          </w:rPr>
          <w:t>police</w:t>
        </w:r>
      </w:hyperlink>
      <w:r w:rsidRPr="001369D7">
        <w:t>, as well as holding significant posts in government.</w:t>
      </w:r>
      <w:r w:rsidRPr="001369D7">
        <w:rPr>
          <w:rStyle w:val="FootnoteReference"/>
        </w:rPr>
        <w:t xml:space="preserve"> </w:t>
      </w:r>
      <w:r>
        <w:t xml:space="preserve"> The US Department of State’s </w:t>
      </w:r>
      <w:r w:rsidRPr="00397CBB">
        <w:t xml:space="preserve">2023 </w:t>
      </w:r>
      <w:r w:rsidRPr="000006F0">
        <w:rPr>
          <w:i/>
          <w:iCs/>
        </w:rPr>
        <w:t xml:space="preserve">Country Report on Human Rights Practices in Egypt </w:t>
      </w:r>
      <w:r w:rsidRPr="00397CBB">
        <w:t>state</w:t>
      </w:r>
      <w:r>
        <w:t xml:space="preserve">d </w:t>
      </w:r>
      <w:r w:rsidRPr="00397CBB">
        <w:t xml:space="preserve">Sinai Bedouin communities </w:t>
      </w:r>
      <w:r>
        <w:t>also</w:t>
      </w:r>
      <w:r w:rsidRPr="00397CBB">
        <w:t xml:space="preserve"> faced marginali</w:t>
      </w:r>
      <w:r>
        <w:t>s</w:t>
      </w:r>
      <w:r w:rsidRPr="00397CBB">
        <w:t>ation</w:t>
      </w:r>
      <w:r>
        <w:t xml:space="preserve"> due to negative </w:t>
      </w:r>
      <w:r w:rsidRPr="00397CBB">
        <w:t>stereotyping in the media and popular culture.</w:t>
      </w:r>
    </w:p>
    <w:p w14:paraId="79E9A94B" w14:textId="77777777" w:rsidR="00C47BE6" w:rsidRDefault="00C47BE6" w:rsidP="00C47BE6">
      <w:pPr>
        <w:pStyle w:val="ListParagraph1"/>
      </w:pPr>
      <w:r w:rsidRPr="0057646C">
        <w:t xml:space="preserve">Egyptian law imposes tight restrictions on property ownership in </w:t>
      </w:r>
      <w:r>
        <w:t xml:space="preserve">the </w:t>
      </w:r>
      <w:r w:rsidRPr="0057646C">
        <w:t>Sinai</w:t>
      </w:r>
      <w:r>
        <w:t xml:space="preserve"> and Bedouin there sometimes have difficulty proving they own their homes. For example,</w:t>
      </w:r>
      <w:r w:rsidRPr="0057646C">
        <w:t xml:space="preserve"> North Sinai </w:t>
      </w:r>
      <w:r>
        <w:t xml:space="preserve">has </w:t>
      </w:r>
      <w:r w:rsidRPr="0057646C">
        <w:t xml:space="preserve">around 40,000 pieces of land inherited through the </w:t>
      </w:r>
      <w:r w:rsidRPr="0057646C">
        <w:rPr>
          <w:i/>
          <w:iCs/>
        </w:rPr>
        <w:t>wad al-yad</w:t>
      </w:r>
      <w:r w:rsidRPr="0057646C">
        <w:t xml:space="preserve"> practice, meaning houses, farmlands and businesses have been passed through generations without official documents </w:t>
      </w:r>
      <w:r>
        <w:t>to</w:t>
      </w:r>
      <w:r w:rsidRPr="0057646C">
        <w:t xml:space="preserve"> prove ownership</w:t>
      </w:r>
      <w:r>
        <w:t xml:space="preserve">. Under the </w:t>
      </w:r>
      <w:r w:rsidRPr="001369D7">
        <w:rPr>
          <w:i/>
          <w:iCs/>
        </w:rPr>
        <w:t>wad al-yad</w:t>
      </w:r>
      <w:r>
        <w:t xml:space="preserve"> practice, </w:t>
      </w:r>
      <w:r w:rsidRPr="00815F7D">
        <w:t xml:space="preserve">Sinai Bedouin are </w:t>
      </w:r>
      <w:r>
        <w:t xml:space="preserve">deemed </w:t>
      </w:r>
      <w:r w:rsidRPr="00815F7D">
        <w:t>‘occupants’ of the land</w:t>
      </w:r>
      <w:r>
        <w:t xml:space="preserve"> through</w:t>
      </w:r>
      <w:r w:rsidRPr="00815F7D">
        <w:t xml:space="preserve"> customary proprietorship</w:t>
      </w:r>
      <w:r>
        <w:t xml:space="preserve"> but not always regarded as owners by the Egyptian Government</w:t>
      </w:r>
      <w:r w:rsidRPr="00815F7D">
        <w:t>.</w:t>
      </w:r>
      <w:r>
        <w:t xml:space="preserve"> </w:t>
      </w:r>
      <w:r w:rsidRPr="0057646C">
        <w:t>Only Egyptians born to Egyptian parents can own land</w:t>
      </w:r>
      <w:r>
        <w:t>. P</w:t>
      </w:r>
      <w:r w:rsidRPr="0057646C">
        <w:t>roving</w:t>
      </w:r>
      <w:r>
        <w:t xml:space="preserve"> family lineage for some </w:t>
      </w:r>
      <w:r w:rsidRPr="0057646C">
        <w:t xml:space="preserve">Bedouins </w:t>
      </w:r>
      <w:r>
        <w:t xml:space="preserve">can be challenging because they sometimes </w:t>
      </w:r>
      <w:r w:rsidRPr="0057646C">
        <w:t>do</w:t>
      </w:r>
      <w:r>
        <w:t xml:space="preserve"> </w:t>
      </w:r>
      <w:r w:rsidRPr="0057646C">
        <w:t>n</w:t>
      </w:r>
      <w:r>
        <w:t>o</w:t>
      </w:r>
      <w:r w:rsidRPr="0057646C">
        <w:t>t have birth certificates or ID cards</w:t>
      </w:r>
      <w:r>
        <w:t xml:space="preserve"> (see </w:t>
      </w:r>
      <w:hyperlink w:anchor="_DOCUMENTATION" w:history="1">
        <w:r w:rsidRPr="001369D7">
          <w:rPr>
            <w:rStyle w:val="Hyperlink"/>
          </w:rPr>
          <w:t>Documentation</w:t>
        </w:r>
      </w:hyperlink>
      <w:r>
        <w:t xml:space="preserve">). </w:t>
      </w:r>
    </w:p>
    <w:p w14:paraId="1410A54C" w14:textId="77777777" w:rsidR="00C47BE6" w:rsidRPr="004D5AA3" w:rsidRDefault="00C47BE6" w:rsidP="00C47BE6">
      <w:pPr>
        <w:pStyle w:val="ListParagraph1"/>
      </w:pPr>
      <w:r w:rsidRPr="004D5AA3">
        <w:t>DFAT asse</w:t>
      </w:r>
      <w:r w:rsidRPr="00B133A5">
        <w:t>sses Bedouin are likely</w:t>
      </w:r>
      <w:r>
        <w:t xml:space="preserve"> to</w:t>
      </w:r>
      <w:r w:rsidRPr="00B133A5">
        <w:t xml:space="preserve"> face official discrimination in the form of harassment by </w:t>
      </w:r>
      <w:hyperlink w:anchor="_Police" w:history="1">
        <w:r w:rsidRPr="00B133A5">
          <w:rPr>
            <w:rStyle w:val="Hyperlink"/>
          </w:rPr>
          <w:t>police</w:t>
        </w:r>
      </w:hyperlink>
      <w:r w:rsidRPr="00B133A5">
        <w:t>, as well as</w:t>
      </w:r>
      <w:r>
        <w:t xml:space="preserve"> detention when </w:t>
      </w:r>
      <w:hyperlink w:anchor="_SECURITY_SITUATION_1" w:history="1">
        <w:r w:rsidRPr="00652EB7">
          <w:rPr>
            <w:rStyle w:val="Hyperlink"/>
          </w:rPr>
          <w:t>security</w:t>
        </w:r>
      </w:hyperlink>
      <w:r>
        <w:t xml:space="preserve"> incidents occur. DFAT assesses Bedouin possibly face societal discrimination when accessing </w:t>
      </w:r>
      <w:hyperlink w:anchor="_Employment" w:history="1">
        <w:r w:rsidRPr="00652EB7">
          <w:rPr>
            <w:rStyle w:val="Hyperlink"/>
          </w:rPr>
          <w:t>employment</w:t>
        </w:r>
      </w:hyperlink>
      <w:r>
        <w:t xml:space="preserve">. DFAT assesses it is rare for Bedouin to face violence from the </w:t>
      </w:r>
      <w:hyperlink w:anchor="_Military" w:history="1">
        <w:r w:rsidRPr="00652EB7">
          <w:rPr>
            <w:rStyle w:val="Hyperlink"/>
          </w:rPr>
          <w:t>security forces</w:t>
        </w:r>
      </w:hyperlink>
      <w:r>
        <w:t xml:space="preserve"> or Islamic militant groups.</w:t>
      </w:r>
    </w:p>
    <w:p w14:paraId="5DA2229C" w14:textId="77777777" w:rsidR="00C47BE6" w:rsidRPr="00730042" w:rsidRDefault="00C47BE6" w:rsidP="00C47BE6">
      <w:pPr>
        <w:pStyle w:val="Heading3"/>
        <w:ind w:firstLine="0"/>
        <w:jc w:val="left"/>
        <w:rPr>
          <w:rFonts w:cs="Calibri"/>
          <w:b/>
          <w:bCs/>
          <w:color w:val="auto"/>
        </w:rPr>
      </w:pPr>
      <w:bookmarkStart w:id="43" w:name="_Nubians"/>
      <w:bookmarkEnd w:id="43"/>
      <w:r w:rsidRPr="00730042">
        <w:rPr>
          <w:rFonts w:cs="Calibri"/>
          <w:b/>
          <w:bCs/>
          <w:color w:val="auto"/>
        </w:rPr>
        <w:lastRenderedPageBreak/>
        <w:t>Nubians</w:t>
      </w:r>
    </w:p>
    <w:p w14:paraId="301697E2" w14:textId="77777777" w:rsidR="00C47BE6" w:rsidRDefault="00C47BE6" w:rsidP="00C47BE6">
      <w:pPr>
        <w:pStyle w:val="ListParagraph1"/>
      </w:pPr>
      <w:r w:rsidRPr="00AA0BDE">
        <w:t>Nubians are a</w:t>
      </w:r>
      <w:r>
        <w:t xml:space="preserve"> non-Arab</w:t>
      </w:r>
      <w:r w:rsidRPr="00AA0BDE">
        <w:t xml:space="preserve"> Nilo-Saharan speaking ethnic group indigenous to southern Egypt.</w:t>
      </w:r>
      <w:r>
        <w:t xml:space="preserve"> </w:t>
      </w:r>
      <w:r w:rsidRPr="009F2D35">
        <w:t xml:space="preserve">There are no </w:t>
      </w:r>
      <w:r>
        <w:t xml:space="preserve">official </w:t>
      </w:r>
      <w:r w:rsidRPr="009F2D35">
        <w:t xml:space="preserve">statistics on </w:t>
      </w:r>
      <w:r>
        <w:t>the number of</w:t>
      </w:r>
      <w:r w:rsidRPr="009F2D35">
        <w:t xml:space="preserve"> Nubians liv</w:t>
      </w:r>
      <w:r>
        <w:t>ing</w:t>
      </w:r>
      <w:r w:rsidRPr="009F2D35">
        <w:t xml:space="preserve"> in Egypt</w:t>
      </w:r>
      <w:r>
        <w:t xml:space="preserve"> but e</w:t>
      </w:r>
      <w:r w:rsidRPr="009F2D35">
        <w:t>stimates range from 300,000 to 5 million.</w:t>
      </w:r>
      <w:r>
        <w:t xml:space="preserve"> Most Nubians are Sunni Muslims.</w:t>
      </w:r>
      <w:r w:rsidRPr="009F2D35">
        <w:t xml:space="preserve"> </w:t>
      </w:r>
      <w:r>
        <w:t>Nubians</w:t>
      </w:r>
      <w:r w:rsidRPr="001369D7">
        <w:t xml:space="preserve"> </w:t>
      </w:r>
      <w:r>
        <w:t>generally</w:t>
      </w:r>
      <w:r w:rsidRPr="001369D7">
        <w:t xml:space="preserve"> have higher rates of unemployment and poverty than the Egyptian population</w:t>
      </w:r>
      <w:r>
        <w:t xml:space="preserve"> overall</w:t>
      </w:r>
      <w:r w:rsidRPr="001369D7">
        <w:t>.</w:t>
      </w:r>
    </w:p>
    <w:p w14:paraId="6DCD9171" w14:textId="77777777" w:rsidR="00C47BE6" w:rsidRDefault="00C47BE6" w:rsidP="00C47BE6">
      <w:pPr>
        <w:pStyle w:val="ListParagraph1"/>
      </w:pPr>
      <w:r w:rsidRPr="009F2D35">
        <w:t>In the 1960s</w:t>
      </w:r>
      <w:r>
        <w:t xml:space="preserve">, many Nubian villages were </w:t>
      </w:r>
      <w:r w:rsidRPr="009F2D35">
        <w:t>destroyed by the construction of the Aswan High Dam</w:t>
      </w:r>
      <w:r>
        <w:t xml:space="preserve"> that </w:t>
      </w:r>
      <w:r w:rsidRPr="009F2D35">
        <w:t>flooded the region upstream from Aswan</w:t>
      </w:r>
      <w:r>
        <w:t xml:space="preserve"> and created the 500 km-long Lake Nasser</w:t>
      </w:r>
      <w:r w:rsidRPr="009F2D35">
        <w:t xml:space="preserve">. Between 50,000 and 130,000 </w:t>
      </w:r>
      <w:r>
        <w:t>Nubians</w:t>
      </w:r>
      <w:r w:rsidRPr="009F2D35">
        <w:t xml:space="preserve"> were </w:t>
      </w:r>
      <w:r>
        <w:t xml:space="preserve">forcibly relocated to </w:t>
      </w:r>
      <w:r w:rsidRPr="009F2D35">
        <w:t>Cairo, Alexandria</w:t>
      </w:r>
      <w:r>
        <w:t xml:space="preserve"> and </w:t>
      </w:r>
      <w:r w:rsidRPr="009F2D35">
        <w:t>purpose-built accommodation in</w:t>
      </w:r>
      <w:r w:rsidRPr="00461EAD">
        <w:t xml:space="preserve"> </w:t>
      </w:r>
      <w:r w:rsidRPr="00730042">
        <w:t>Kom Ombo</w:t>
      </w:r>
      <w:r w:rsidRPr="009F2D35">
        <w:t>.</w:t>
      </w:r>
      <w:r>
        <w:t xml:space="preserve"> </w:t>
      </w:r>
      <w:r w:rsidRPr="00461EAD">
        <w:t xml:space="preserve">Nubian </w:t>
      </w:r>
      <w:r>
        <w:t xml:space="preserve">rights </w:t>
      </w:r>
      <w:r w:rsidRPr="00461EAD">
        <w:t xml:space="preserve">activists participated in </w:t>
      </w:r>
      <w:r>
        <w:t>the</w:t>
      </w:r>
      <w:r w:rsidRPr="006E72F5">
        <w:t xml:space="preserve"> </w:t>
      </w:r>
      <w:r>
        <w:t>‘25 January Revolution’ of 2011</w:t>
      </w:r>
      <w:r w:rsidRPr="00461EAD">
        <w:t xml:space="preserve"> and </w:t>
      </w:r>
      <w:r>
        <w:t>were later</w:t>
      </w:r>
      <w:r w:rsidRPr="00461EAD">
        <w:t xml:space="preserve"> represented in negotiations le</w:t>
      </w:r>
      <w:r>
        <w:t>a</w:t>
      </w:r>
      <w:r w:rsidRPr="00461EAD">
        <w:t>d</w:t>
      </w:r>
      <w:r>
        <w:t>ing</w:t>
      </w:r>
      <w:r w:rsidRPr="00461EAD">
        <w:t xml:space="preserve"> to</w:t>
      </w:r>
      <w:r>
        <w:t xml:space="preserve"> the 2014</w:t>
      </w:r>
      <w:r w:rsidRPr="00461EAD">
        <w:t xml:space="preserve"> </w:t>
      </w:r>
      <w:r>
        <w:t>C</w:t>
      </w:r>
      <w:r w:rsidRPr="00461EAD">
        <w:t xml:space="preserve">onstitution. </w:t>
      </w:r>
      <w:r>
        <w:t xml:space="preserve">Nubians </w:t>
      </w:r>
      <w:r w:rsidRPr="00461EAD">
        <w:t xml:space="preserve">obtained the right of return to unflooded lands around Lake Nasser and consultation on any decisions concerning the economic development of the region. Article 236 of the </w:t>
      </w:r>
      <w:r>
        <w:t>C</w:t>
      </w:r>
      <w:r w:rsidRPr="00461EAD">
        <w:t xml:space="preserve">onstitution </w:t>
      </w:r>
      <w:r>
        <w:t xml:space="preserve">specifically </w:t>
      </w:r>
      <w:r w:rsidRPr="00461EAD">
        <w:t xml:space="preserve">mentions </w:t>
      </w:r>
      <w:r>
        <w:t xml:space="preserve">Nubians’ right to </w:t>
      </w:r>
      <w:r w:rsidRPr="00461EAD">
        <w:t xml:space="preserve">return within a period of ten years. </w:t>
      </w:r>
    </w:p>
    <w:p w14:paraId="02517BD0" w14:textId="77777777" w:rsidR="00C47BE6" w:rsidRDefault="00C47BE6" w:rsidP="00C47BE6">
      <w:pPr>
        <w:pStyle w:val="ListParagraph1"/>
      </w:pPr>
      <w:r>
        <w:t>S</w:t>
      </w:r>
      <w:r w:rsidRPr="00C56AF7">
        <w:t xml:space="preserve">ince 2014, presidential decrees </w:t>
      </w:r>
      <w:r>
        <w:t xml:space="preserve">have </w:t>
      </w:r>
      <w:r w:rsidRPr="00C56AF7">
        <w:t>allocat</w:t>
      </w:r>
      <w:r>
        <w:t>ed</w:t>
      </w:r>
      <w:r w:rsidRPr="00C56AF7">
        <w:t xml:space="preserve"> parts of </w:t>
      </w:r>
      <w:r>
        <w:t>Nubian lands for</w:t>
      </w:r>
      <w:r w:rsidRPr="00C56AF7">
        <w:t xml:space="preserve"> business projects </w:t>
      </w:r>
      <w:r>
        <w:t>and</w:t>
      </w:r>
      <w:r w:rsidRPr="00C56AF7">
        <w:t xml:space="preserve"> </w:t>
      </w:r>
      <w:hyperlink w:anchor="_Military" w:history="1">
        <w:r w:rsidRPr="00DD0768">
          <w:rPr>
            <w:rStyle w:val="Hyperlink"/>
          </w:rPr>
          <w:t>military</w:t>
        </w:r>
      </w:hyperlink>
      <w:r w:rsidRPr="00C56AF7">
        <w:t xml:space="preserve"> purposes, </w:t>
      </w:r>
      <w:r>
        <w:t xml:space="preserve">impeding </w:t>
      </w:r>
      <w:r w:rsidRPr="00C56AF7">
        <w:t>Nubians</w:t>
      </w:r>
      <w:r>
        <w:t>’ constitutional</w:t>
      </w:r>
      <w:r w:rsidRPr="00C56AF7">
        <w:t xml:space="preserve"> right to return.</w:t>
      </w:r>
      <w:r>
        <w:t xml:space="preserve"> For example, </w:t>
      </w:r>
      <w:r w:rsidRPr="00E927B1">
        <w:t xml:space="preserve">17 of the 44 villages </w:t>
      </w:r>
      <w:r>
        <w:t>identified as suitable for Nubians</w:t>
      </w:r>
      <w:r w:rsidRPr="00E927B1">
        <w:t xml:space="preserve"> have been cut off </w:t>
      </w:r>
      <w:r>
        <w:t>due to military control of surrounding lands</w:t>
      </w:r>
      <w:r w:rsidRPr="00E927B1">
        <w:t>.</w:t>
      </w:r>
      <w:r>
        <w:t xml:space="preserve"> In-country sources said c</w:t>
      </w:r>
      <w:r w:rsidRPr="00C56AF7">
        <w:t>ompensation ha</w:t>
      </w:r>
      <w:r>
        <w:t>d</w:t>
      </w:r>
      <w:r w:rsidRPr="00C56AF7">
        <w:t xml:space="preserve"> been granted as an alternative to the right to return</w:t>
      </w:r>
      <w:r>
        <w:t xml:space="preserve">. Nubians have alleged the </w:t>
      </w:r>
      <w:r w:rsidRPr="00C56AF7">
        <w:t xml:space="preserve">process lacked fairness and </w:t>
      </w:r>
      <w:r>
        <w:t>was not based on their</w:t>
      </w:r>
      <w:r w:rsidRPr="00C56AF7">
        <w:t xml:space="preserve"> free, prior and informed consent.</w:t>
      </w:r>
      <w:r>
        <w:t xml:space="preserve"> Academics estimated approximately</w:t>
      </w:r>
      <w:r w:rsidRPr="00D16CD6">
        <w:t xml:space="preserve"> 5,22</w:t>
      </w:r>
      <w:r>
        <w:t>0 Nubians were</w:t>
      </w:r>
      <w:r w:rsidRPr="00D16CD6">
        <w:t xml:space="preserve"> not</w:t>
      </w:r>
      <w:r>
        <w:t xml:space="preserve"> provided</w:t>
      </w:r>
      <w:r w:rsidRPr="00D16CD6">
        <w:t xml:space="preserve"> compensat</w:t>
      </w:r>
      <w:r>
        <w:t>ion</w:t>
      </w:r>
      <w:r w:rsidRPr="00D16CD6">
        <w:t xml:space="preserve"> for</w:t>
      </w:r>
      <w:r>
        <w:t xml:space="preserve"> the</w:t>
      </w:r>
      <w:r w:rsidRPr="00D16CD6">
        <w:t xml:space="preserve"> loss of </w:t>
      </w:r>
      <w:r>
        <w:t>lands during this process.</w:t>
      </w:r>
    </w:p>
    <w:p w14:paraId="0B079370" w14:textId="77777777" w:rsidR="00C47BE6" w:rsidRDefault="00C47BE6" w:rsidP="00C47BE6">
      <w:pPr>
        <w:pStyle w:val="ListParagraph1"/>
      </w:pPr>
      <w:r>
        <w:t xml:space="preserve">Nubians protesting their inability to return to lands identified under </w:t>
      </w:r>
      <w:r w:rsidRPr="00461EAD">
        <w:t xml:space="preserve">Article 236 of the </w:t>
      </w:r>
      <w:r>
        <w:t>C</w:t>
      </w:r>
      <w:r w:rsidRPr="00461EAD">
        <w:t>onstitution</w:t>
      </w:r>
      <w:r w:rsidRPr="00E927B1">
        <w:t xml:space="preserve"> </w:t>
      </w:r>
      <w:r>
        <w:t xml:space="preserve">have been detained and arrested. For example, after </w:t>
      </w:r>
      <w:r w:rsidRPr="00A47DB5">
        <w:rPr>
          <w:i/>
          <w:iCs/>
        </w:rPr>
        <w:t>Presidential Decree 355</w:t>
      </w:r>
      <w:r w:rsidRPr="00E927B1">
        <w:t xml:space="preserve"> was issued </w:t>
      </w:r>
      <w:r>
        <w:t xml:space="preserve">in 2016 </w:t>
      </w:r>
      <w:r w:rsidRPr="00E927B1">
        <w:t>to allocate state-owned land to investors</w:t>
      </w:r>
      <w:r>
        <w:t>,</w:t>
      </w:r>
      <w:r w:rsidRPr="00E927B1">
        <w:t xml:space="preserve"> Nubian youth staged a sit-in</w:t>
      </w:r>
      <w:r>
        <w:t xml:space="preserve"> and dozens were arrested. </w:t>
      </w:r>
      <w:r w:rsidRPr="00C56AF7">
        <w:t>In 2017, Nubians organi</w:t>
      </w:r>
      <w:r>
        <w:t>s</w:t>
      </w:r>
      <w:r w:rsidRPr="00C56AF7">
        <w:t>ed a march in Aswan</w:t>
      </w:r>
      <w:r>
        <w:t xml:space="preserve"> and</w:t>
      </w:r>
      <w:r w:rsidRPr="00C56AF7">
        <w:t xml:space="preserve"> 24 people were arrested, </w:t>
      </w:r>
      <w:r>
        <w:t>including</w:t>
      </w:r>
      <w:r w:rsidRPr="00C56AF7">
        <w:t xml:space="preserve"> Gamal Sorour </w:t>
      </w:r>
      <w:r>
        <w:t xml:space="preserve">who later </w:t>
      </w:r>
      <w:r w:rsidRPr="00C56AF7">
        <w:t>died in prison.</w:t>
      </w:r>
      <w:r>
        <w:t xml:space="preserve"> As a result of these arrests, local and international media reported most Nubians attempted to remain apolitical and avoid </w:t>
      </w:r>
      <w:r w:rsidRPr="00E927B1">
        <w:t>collective mobilisation</w:t>
      </w:r>
      <w:r>
        <w:t xml:space="preserve"> or</w:t>
      </w:r>
      <w:r w:rsidRPr="00E927B1">
        <w:t xml:space="preserve"> </w:t>
      </w:r>
      <w:r>
        <w:t>publicly highlighting their</w:t>
      </w:r>
      <w:r w:rsidRPr="00E927B1">
        <w:t xml:space="preserve"> distinct language and history.</w:t>
      </w:r>
      <w:r>
        <w:t xml:space="preserve"> In-country sources said Nubian e</w:t>
      </w:r>
      <w:r w:rsidRPr="00C56AF7">
        <w:t xml:space="preserve">lders </w:t>
      </w:r>
      <w:r>
        <w:t xml:space="preserve">remained fearful of arrest if they raised human rights concerns and advised Nubian youth against organising or protesting. </w:t>
      </w:r>
      <w:r w:rsidRPr="00E927B1">
        <w:t xml:space="preserve">Attempts at collective mobilisation </w:t>
      </w:r>
      <w:r>
        <w:t>by</w:t>
      </w:r>
      <w:r w:rsidRPr="00E927B1">
        <w:t xml:space="preserve"> group</w:t>
      </w:r>
      <w:r>
        <w:t xml:space="preserve">s in Egypt are often </w:t>
      </w:r>
      <w:r w:rsidRPr="00E927B1">
        <w:t xml:space="preserve">suppressed by </w:t>
      </w:r>
      <w:r>
        <w:t>security forces</w:t>
      </w:r>
      <w:r w:rsidRPr="00E927B1">
        <w:t xml:space="preserve">, </w:t>
      </w:r>
      <w:r>
        <w:t>especially if considered a</w:t>
      </w:r>
      <w:r w:rsidRPr="00E927B1">
        <w:t xml:space="preserve"> threat to national unity.</w:t>
      </w:r>
    </w:p>
    <w:p w14:paraId="3CAFDDFF" w14:textId="77777777" w:rsidR="00C47BE6" w:rsidRDefault="00C47BE6" w:rsidP="00C47BE6">
      <w:pPr>
        <w:pStyle w:val="ListParagraph1"/>
      </w:pPr>
      <w:r w:rsidRPr="001369D7">
        <w:t xml:space="preserve">In-country sources </w:t>
      </w:r>
      <w:r>
        <w:t>said</w:t>
      </w:r>
      <w:r w:rsidRPr="001369D7">
        <w:t xml:space="preserve"> official discrimination against </w:t>
      </w:r>
      <w:r>
        <w:t>Nubians</w:t>
      </w:r>
      <w:r w:rsidRPr="001369D7">
        <w:t xml:space="preserve"> </w:t>
      </w:r>
      <w:r>
        <w:t>occurred</w:t>
      </w:r>
      <w:r w:rsidRPr="001369D7">
        <w:t xml:space="preserve">. </w:t>
      </w:r>
      <w:r>
        <w:t>Nubians</w:t>
      </w:r>
      <w:r w:rsidRPr="001369D7">
        <w:t xml:space="preserve"> often face discrimination when accessing </w:t>
      </w:r>
      <w:hyperlink w:anchor="_Employment" w:history="1">
        <w:r w:rsidRPr="00B0601A">
          <w:rPr>
            <w:rStyle w:val="Hyperlink"/>
          </w:rPr>
          <w:t>employment</w:t>
        </w:r>
      </w:hyperlink>
      <w:r w:rsidRPr="001369D7">
        <w:t>,</w:t>
      </w:r>
      <w:r>
        <w:t xml:space="preserve"> with many </w:t>
      </w:r>
      <w:r w:rsidRPr="00E927B1">
        <w:t>confined to</w:t>
      </w:r>
      <w:r>
        <w:t xml:space="preserve"> </w:t>
      </w:r>
      <w:r w:rsidRPr="00E927B1">
        <w:t>low</w:t>
      </w:r>
      <w:r>
        <w:t>er</w:t>
      </w:r>
      <w:r w:rsidRPr="00E927B1">
        <w:t>-status employment</w:t>
      </w:r>
      <w:r>
        <w:t>. S</w:t>
      </w:r>
      <w:r w:rsidRPr="00E927B1">
        <w:t>tereotypes propagated by the media</w:t>
      </w:r>
      <w:r>
        <w:t xml:space="preserve"> often portray Nubians as</w:t>
      </w:r>
      <w:r w:rsidRPr="00E927B1">
        <w:t xml:space="preserve"> doormen, servants and drivers.</w:t>
      </w:r>
      <w:r>
        <w:t xml:space="preserve"> </w:t>
      </w:r>
    </w:p>
    <w:p w14:paraId="41E453D9" w14:textId="77777777" w:rsidR="00C47BE6" w:rsidRPr="00E927B1" w:rsidRDefault="00C47BE6" w:rsidP="00C47BE6">
      <w:pPr>
        <w:pStyle w:val="ListParagraph1"/>
      </w:pPr>
      <w:r>
        <w:t xml:space="preserve">Nubians face societal discrimination due to their darker skin colour and because </w:t>
      </w:r>
      <w:r w:rsidRPr="00C56AF7">
        <w:t xml:space="preserve">some </w:t>
      </w:r>
      <w:r>
        <w:t xml:space="preserve">Egyptians </w:t>
      </w:r>
      <w:r w:rsidRPr="00C56AF7">
        <w:t>believe th</w:t>
      </w:r>
      <w:r>
        <w:t xml:space="preserve">ey </w:t>
      </w:r>
      <w:r w:rsidRPr="00C56AF7">
        <w:t>are part of an immigrant or refugee community.</w:t>
      </w:r>
      <w:r>
        <w:t xml:space="preserve"> Al</w:t>
      </w:r>
      <w:r w:rsidRPr="00E927B1">
        <w:t xml:space="preserve">though </w:t>
      </w:r>
      <w:r>
        <w:t>many Nubians</w:t>
      </w:r>
      <w:r w:rsidRPr="00E927B1">
        <w:t xml:space="preserve"> self-identif</w:t>
      </w:r>
      <w:r>
        <w:t>y</w:t>
      </w:r>
      <w:r w:rsidRPr="00E927B1">
        <w:t xml:space="preserve"> as Egyptians or Egyptian Nubians, </w:t>
      </w:r>
      <w:r>
        <w:t xml:space="preserve">they say they often need to </w:t>
      </w:r>
      <w:r w:rsidRPr="00E927B1">
        <w:t xml:space="preserve">deny </w:t>
      </w:r>
      <w:r>
        <w:t>harbouring separatist intentions.</w:t>
      </w:r>
    </w:p>
    <w:p w14:paraId="6F717CAD" w14:textId="77777777" w:rsidR="00C47BE6" w:rsidRPr="00DD0768" w:rsidRDefault="00C47BE6" w:rsidP="00C47BE6">
      <w:pPr>
        <w:pStyle w:val="ListParagraph1"/>
      </w:pPr>
      <w:r w:rsidRPr="004D5AA3">
        <w:t xml:space="preserve">DFAT assesses </w:t>
      </w:r>
      <w:r>
        <w:t>Nubians</w:t>
      </w:r>
      <w:r w:rsidRPr="004D5AA3">
        <w:t xml:space="preserve"> </w:t>
      </w:r>
      <w:r>
        <w:t xml:space="preserve">are </w:t>
      </w:r>
      <w:r w:rsidRPr="004D5AA3">
        <w:t xml:space="preserve">likely </w:t>
      </w:r>
      <w:r>
        <w:t xml:space="preserve">to </w:t>
      </w:r>
      <w:r w:rsidRPr="004D5AA3">
        <w:t xml:space="preserve">face official discrimination </w:t>
      </w:r>
      <w:r>
        <w:t>in the form</w:t>
      </w:r>
      <w:r w:rsidRPr="004E6628">
        <w:t xml:space="preserve"> of harassment</w:t>
      </w:r>
      <w:r>
        <w:t xml:space="preserve"> by </w:t>
      </w:r>
      <w:hyperlink w:anchor="_Police" w:history="1">
        <w:r w:rsidRPr="00652EB7">
          <w:rPr>
            <w:rStyle w:val="Hyperlink"/>
          </w:rPr>
          <w:t>police</w:t>
        </w:r>
      </w:hyperlink>
      <w:r>
        <w:t xml:space="preserve"> based on their race. DFAT assesses Nubians are likely to face societal discrimination when accessing </w:t>
      </w:r>
      <w:hyperlink w:anchor="_Employment" w:history="1">
        <w:r w:rsidRPr="00652EB7">
          <w:rPr>
            <w:rStyle w:val="Hyperlink"/>
          </w:rPr>
          <w:t>employment</w:t>
        </w:r>
      </w:hyperlink>
      <w:r>
        <w:t xml:space="preserve"> based on their race. DFAT assesses it is rare for Nubians to face violence from </w:t>
      </w:r>
      <w:hyperlink w:anchor="_Military" w:history="1">
        <w:r w:rsidRPr="00652EB7">
          <w:rPr>
            <w:rStyle w:val="Hyperlink"/>
          </w:rPr>
          <w:t>security forces</w:t>
        </w:r>
      </w:hyperlink>
      <w:r>
        <w:t xml:space="preserve"> based on their race.</w:t>
      </w:r>
    </w:p>
    <w:p w14:paraId="6FC8F8AC" w14:textId="77777777" w:rsidR="00C47BE6" w:rsidRPr="009B1C5B" w:rsidRDefault="00C47BE6" w:rsidP="00C47BE6">
      <w:pPr>
        <w:pStyle w:val="Heading3"/>
        <w:ind w:firstLine="0"/>
        <w:jc w:val="left"/>
        <w:rPr>
          <w:rFonts w:cs="Calibri"/>
          <w:b/>
          <w:bCs/>
          <w:color w:val="auto"/>
        </w:rPr>
      </w:pPr>
      <w:bookmarkStart w:id="44" w:name="_Palestinians"/>
      <w:bookmarkEnd w:id="44"/>
      <w:r w:rsidRPr="009B1C5B">
        <w:rPr>
          <w:rFonts w:cs="Calibri"/>
          <w:b/>
          <w:bCs/>
          <w:color w:val="auto"/>
        </w:rPr>
        <w:t xml:space="preserve">Palestinians </w:t>
      </w:r>
    </w:p>
    <w:p w14:paraId="0BF8DA32" w14:textId="77777777" w:rsidR="00C47BE6" w:rsidRDefault="00C47BE6" w:rsidP="00C47BE6">
      <w:pPr>
        <w:pStyle w:val="ListParagraph1"/>
      </w:pPr>
      <w:r w:rsidRPr="00CF4F41">
        <w:t>Palestinians</w:t>
      </w:r>
      <w:r>
        <w:t xml:space="preserve"> </w:t>
      </w:r>
      <w:r w:rsidRPr="00CF4F41">
        <w:t xml:space="preserve">are an Arab group </w:t>
      </w:r>
      <w:r>
        <w:t>in</w:t>
      </w:r>
      <w:r w:rsidRPr="00CF4F41">
        <w:t xml:space="preserve"> the Levant</w:t>
      </w:r>
      <w:r>
        <w:t xml:space="preserve"> that share </w:t>
      </w:r>
      <w:r w:rsidRPr="00CF4F41">
        <w:t xml:space="preserve">close religious, linguistic and cultural ties with </w:t>
      </w:r>
      <w:r>
        <w:t>Egyptians</w:t>
      </w:r>
      <w:r w:rsidRPr="00CF4F41">
        <w:t>.</w:t>
      </w:r>
      <w:r>
        <w:t xml:space="preserve"> </w:t>
      </w:r>
      <w:r w:rsidRPr="009F2D35">
        <w:t xml:space="preserve">There are no </w:t>
      </w:r>
      <w:r>
        <w:t xml:space="preserve">official </w:t>
      </w:r>
      <w:r w:rsidRPr="009F2D35">
        <w:t xml:space="preserve">statistics on </w:t>
      </w:r>
      <w:r>
        <w:t>the number of</w:t>
      </w:r>
      <w:r w:rsidRPr="009F2D35">
        <w:t xml:space="preserve"> </w:t>
      </w:r>
      <w:r>
        <w:t>Palestinians</w:t>
      </w:r>
      <w:r w:rsidRPr="009F2D35">
        <w:t xml:space="preserve"> </w:t>
      </w:r>
      <w:r>
        <w:t>currently</w:t>
      </w:r>
      <w:r w:rsidRPr="009F2D35">
        <w:t xml:space="preserve"> in Egypt</w:t>
      </w:r>
      <w:r>
        <w:t xml:space="preserve"> but e</w:t>
      </w:r>
      <w:r w:rsidRPr="009F2D35">
        <w:t xml:space="preserve">stimates range from </w:t>
      </w:r>
      <w:r>
        <w:t>7</w:t>
      </w:r>
      <w:r w:rsidRPr="009F2D35">
        <w:t xml:space="preserve">0,000 to </w:t>
      </w:r>
      <w:r>
        <w:t>140,000. Most Palestinians are in the country on temporary visas because t</w:t>
      </w:r>
      <w:r w:rsidRPr="00597ABD">
        <w:t xml:space="preserve">he 1954 </w:t>
      </w:r>
      <w:r w:rsidRPr="00597ABD">
        <w:rPr>
          <w:i/>
          <w:iCs/>
        </w:rPr>
        <w:t>Memorandum of Understanding</w:t>
      </w:r>
      <w:r w:rsidRPr="00597ABD">
        <w:t xml:space="preserve"> between the UNHCR and the Egyptian </w:t>
      </w:r>
      <w:r>
        <w:t>G</w:t>
      </w:r>
      <w:r w:rsidRPr="00597ABD">
        <w:t>overnment</w:t>
      </w:r>
      <w:r>
        <w:t xml:space="preserve"> limits their ability to be registered as refugees. The Egyptian Government actively discourages Palestinians from organising or joining protests in relation to the </w:t>
      </w:r>
      <w:r w:rsidRPr="005B6581">
        <w:t xml:space="preserve">Hamas-Israel </w:t>
      </w:r>
      <w:r>
        <w:t>c</w:t>
      </w:r>
      <w:r w:rsidRPr="005B6581">
        <w:t>onflict</w:t>
      </w:r>
      <w:r>
        <w:t xml:space="preserve">. </w:t>
      </w:r>
    </w:p>
    <w:p w14:paraId="64D75F71" w14:textId="77777777" w:rsidR="00C47BE6" w:rsidRDefault="00C47BE6" w:rsidP="00C47BE6">
      <w:pPr>
        <w:pStyle w:val="ListParagraph1"/>
      </w:pPr>
      <w:r>
        <w:t xml:space="preserve">The Egyptian Government issues temporary visas to some Palestinians on </w:t>
      </w:r>
      <w:r w:rsidRPr="000867DD">
        <w:t>humanitarian grounds</w:t>
      </w:r>
      <w:r>
        <w:t xml:space="preserve">, including for medical transfers valid for one month. At the time of writing, these visas were not being extended, meaning most Palestinians in Egypt lacked official status. </w:t>
      </w:r>
      <w:r w:rsidRPr="000867DD">
        <w:t xml:space="preserve">Palestinians </w:t>
      </w:r>
      <w:r>
        <w:t xml:space="preserve">arriving in Egypt on </w:t>
      </w:r>
      <w:r w:rsidRPr="000867DD">
        <w:t xml:space="preserve">free medical transfers are </w:t>
      </w:r>
      <w:r>
        <w:t xml:space="preserve">often confined to </w:t>
      </w:r>
      <w:r w:rsidRPr="000867DD">
        <w:t>hospital</w:t>
      </w:r>
      <w:r>
        <w:t xml:space="preserve"> unless returning to Gaza</w:t>
      </w:r>
      <w:r w:rsidRPr="000867DD">
        <w:t>.</w:t>
      </w:r>
      <w:r>
        <w:t xml:space="preserve"> </w:t>
      </w:r>
      <w:r w:rsidRPr="002B0683">
        <w:t xml:space="preserve">Although Palestinians with expired visas are in breach of the </w:t>
      </w:r>
      <w:r w:rsidRPr="002B0683">
        <w:rPr>
          <w:i/>
          <w:iCs/>
        </w:rPr>
        <w:t xml:space="preserve">Regulation on </w:t>
      </w:r>
      <w:r w:rsidRPr="002B0683">
        <w:rPr>
          <w:i/>
          <w:iCs/>
        </w:rPr>
        <w:lastRenderedPageBreak/>
        <w:t>Migration Law (No. 111) 1983</w:t>
      </w:r>
      <w:r w:rsidRPr="002B0683">
        <w:t xml:space="preserve">, </w:t>
      </w:r>
      <w:r>
        <w:t>in</w:t>
      </w:r>
      <w:r>
        <w:noBreakHyphen/>
        <w:t xml:space="preserve">country sources said the Egyptian Government had not and would not deport Palestinians back to the State of Palestine under any circumstances. </w:t>
      </w:r>
    </w:p>
    <w:p w14:paraId="3575637E" w14:textId="77777777" w:rsidR="00C47BE6" w:rsidRDefault="00C47BE6" w:rsidP="00C47BE6">
      <w:pPr>
        <w:pStyle w:val="ListParagraph1"/>
      </w:pPr>
      <w:r w:rsidRPr="00597ABD">
        <w:t>Egypt’s response to</w:t>
      </w:r>
      <w:r>
        <w:t xml:space="preserve"> the humanitarian situation in Gaza following the </w:t>
      </w:r>
      <w:r w:rsidRPr="005B6581">
        <w:t xml:space="preserve">Hamas-Israel </w:t>
      </w:r>
      <w:r>
        <w:t>c</w:t>
      </w:r>
      <w:r w:rsidRPr="005B6581">
        <w:t>onflict</w:t>
      </w:r>
      <w:r>
        <w:t xml:space="preserve"> in October 2023 was to </w:t>
      </w:r>
      <w:r w:rsidRPr="00597ABD">
        <w:t xml:space="preserve">designate the Egyptian Red Crescent (ERC) as its humanitarian lead, working closely with the Ministry of Social Solidarity. All international cooperation and coordination between Egypt, the UN and the broader humanitarian community </w:t>
      </w:r>
      <w:r>
        <w:t>i</w:t>
      </w:r>
      <w:r w:rsidRPr="00597ABD">
        <w:t>s channelled through the ERC.</w:t>
      </w:r>
      <w:r>
        <w:t xml:space="preserve"> In-country sources said without the ability to obtain refugee status or residency, most Palestinians </w:t>
      </w:r>
      <w:r w:rsidRPr="00597ABD">
        <w:t>ha</w:t>
      </w:r>
      <w:r>
        <w:t>d</w:t>
      </w:r>
      <w:r w:rsidRPr="00597ABD">
        <w:t xml:space="preserve"> limited access to </w:t>
      </w:r>
      <w:hyperlink w:anchor="_Health" w:history="1">
        <w:r w:rsidRPr="00B0601A">
          <w:rPr>
            <w:rStyle w:val="Hyperlink"/>
          </w:rPr>
          <w:t>medical care</w:t>
        </w:r>
      </w:hyperlink>
      <w:r>
        <w:t xml:space="preserve">, </w:t>
      </w:r>
      <w:hyperlink w:anchor="_Education" w:history="1">
        <w:r w:rsidRPr="00B0601A">
          <w:rPr>
            <w:rStyle w:val="Hyperlink"/>
          </w:rPr>
          <w:t>education</w:t>
        </w:r>
      </w:hyperlink>
      <w:r>
        <w:t xml:space="preserve"> and legal </w:t>
      </w:r>
      <w:hyperlink w:anchor="_Employment" w:history="1">
        <w:r w:rsidRPr="00B0601A">
          <w:rPr>
            <w:rStyle w:val="Hyperlink"/>
          </w:rPr>
          <w:t>employment</w:t>
        </w:r>
      </w:hyperlink>
      <w:r>
        <w:t xml:space="preserve"> options. Palestinians in Egypt lack </w:t>
      </w:r>
      <w:r w:rsidRPr="00BE55AE">
        <w:t xml:space="preserve">access to </w:t>
      </w:r>
      <w:r>
        <w:t xml:space="preserve">government services but are still able to receive assistance from </w:t>
      </w:r>
      <w:r w:rsidRPr="00BE55AE">
        <w:t>INGOs and CSOs</w:t>
      </w:r>
      <w:r>
        <w:t>. Palestinians do not face societal discrimination in Egypt based on their race or nationality according to in</w:t>
      </w:r>
      <w:r>
        <w:noBreakHyphen/>
        <w:t>country sources.</w:t>
      </w:r>
    </w:p>
    <w:p w14:paraId="7376B2C2" w14:textId="77777777" w:rsidR="00C47BE6" w:rsidRPr="00520291" w:rsidRDefault="00C47BE6" w:rsidP="00C47BE6">
      <w:pPr>
        <w:pStyle w:val="ListParagraph1"/>
      </w:pPr>
      <w:r w:rsidRPr="004D5AA3">
        <w:t xml:space="preserve">DFAT assesses </w:t>
      </w:r>
      <w:r>
        <w:t>it is rare for Palestinians</w:t>
      </w:r>
      <w:r w:rsidRPr="004D5AA3">
        <w:t xml:space="preserve"> </w:t>
      </w:r>
      <w:r>
        <w:t xml:space="preserve">to </w:t>
      </w:r>
      <w:r w:rsidRPr="004D5AA3">
        <w:t xml:space="preserve">face official </w:t>
      </w:r>
      <w:r>
        <w:t xml:space="preserve">or societal </w:t>
      </w:r>
      <w:r w:rsidRPr="004D5AA3">
        <w:t>discrimination</w:t>
      </w:r>
      <w:r>
        <w:t xml:space="preserve"> based on their nationality. DFAT assesses it is rare for Palestinians to face societal violence in Egypt based on their nationality.</w:t>
      </w:r>
    </w:p>
    <w:p w14:paraId="2BB4C273" w14:textId="77777777" w:rsidR="00C47BE6" w:rsidRPr="00C579C6" w:rsidRDefault="00C47BE6" w:rsidP="00C47BE6">
      <w:pPr>
        <w:pStyle w:val="Heading3"/>
        <w:ind w:firstLine="0"/>
        <w:jc w:val="left"/>
        <w:rPr>
          <w:rFonts w:cs="Calibri"/>
          <w:b/>
          <w:bCs/>
          <w:color w:val="auto"/>
        </w:rPr>
      </w:pPr>
      <w:bookmarkStart w:id="45" w:name="_Sudanese"/>
      <w:bookmarkEnd w:id="45"/>
      <w:r w:rsidRPr="00C579C6">
        <w:rPr>
          <w:rFonts w:cs="Calibri"/>
          <w:b/>
          <w:bCs/>
          <w:color w:val="auto"/>
        </w:rPr>
        <w:t>Sudanese</w:t>
      </w:r>
    </w:p>
    <w:p w14:paraId="509486ED" w14:textId="77777777" w:rsidR="00C47BE6" w:rsidRDefault="00C47BE6" w:rsidP="00C47BE6">
      <w:pPr>
        <w:pStyle w:val="ListParagraph1"/>
      </w:pPr>
      <w:r>
        <w:t xml:space="preserve">Sudanese are a non-homogenic </w:t>
      </w:r>
      <w:r w:rsidRPr="00113B8D">
        <w:t>Arabic-speaking</w:t>
      </w:r>
      <w:r>
        <w:t xml:space="preserve"> group, mostly Muslims of </w:t>
      </w:r>
      <w:r w:rsidRPr="00113B8D">
        <w:t>Cushitic ancestry</w:t>
      </w:r>
      <w:r>
        <w:t xml:space="preserve">, descended </w:t>
      </w:r>
      <w:r w:rsidRPr="00113B8D">
        <w:t>from Arab and African tribes.</w:t>
      </w:r>
      <w:r>
        <w:t xml:space="preserve"> </w:t>
      </w:r>
      <w:r w:rsidRPr="009F2D35">
        <w:t xml:space="preserve">There are no </w:t>
      </w:r>
      <w:r>
        <w:t xml:space="preserve">official </w:t>
      </w:r>
      <w:r w:rsidRPr="009F2D35">
        <w:t xml:space="preserve">statistics on </w:t>
      </w:r>
      <w:r>
        <w:t>the number of</w:t>
      </w:r>
      <w:r w:rsidRPr="009F2D35">
        <w:t xml:space="preserve"> </w:t>
      </w:r>
      <w:r>
        <w:t>Sudanese</w:t>
      </w:r>
      <w:r w:rsidRPr="009F2D35">
        <w:t xml:space="preserve"> </w:t>
      </w:r>
      <w:r>
        <w:t>currently</w:t>
      </w:r>
      <w:r w:rsidRPr="009F2D35">
        <w:t xml:space="preserve"> in Egypt</w:t>
      </w:r>
      <w:r>
        <w:t xml:space="preserve"> but in</w:t>
      </w:r>
      <w:r>
        <w:noBreakHyphen/>
        <w:t>country sources e</w:t>
      </w:r>
      <w:r w:rsidRPr="009F2D35">
        <w:t>stimate</w:t>
      </w:r>
      <w:r>
        <w:t>d</w:t>
      </w:r>
      <w:r w:rsidRPr="009F2D35">
        <w:t xml:space="preserve"> </w:t>
      </w:r>
      <w:r>
        <w:t>there were</w:t>
      </w:r>
      <w:r w:rsidRPr="009F2D35">
        <w:t xml:space="preserve"> </w:t>
      </w:r>
      <w:r>
        <w:t xml:space="preserve">around 5 million in 2025. </w:t>
      </w:r>
      <w:r w:rsidRPr="004757BD">
        <w:t xml:space="preserve">Following the outbreak of armed conflict in Sudan in April 2023, </w:t>
      </w:r>
      <w:r>
        <w:t>upwards of 1.5 million</w:t>
      </w:r>
      <w:r w:rsidRPr="004757BD">
        <w:t xml:space="preserve"> </w:t>
      </w:r>
      <w:r>
        <w:t>Sudanese</w:t>
      </w:r>
      <w:r w:rsidRPr="004757BD">
        <w:t xml:space="preserve"> </w:t>
      </w:r>
      <w:r>
        <w:t>fled</w:t>
      </w:r>
      <w:r w:rsidRPr="004757BD">
        <w:t xml:space="preserve"> to Egypt. In response, UNHCR expanded its work with Egypt</w:t>
      </w:r>
      <w:r>
        <w:t>’s government</w:t>
      </w:r>
      <w:r w:rsidRPr="004757BD">
        <w:t xml:space="preserve"> and partners to register and assist </w:t>
      </w:r>
      <w:r>
        <w:t xml:space="preserve">the </w:t>
      </w:r>
      <w:r w:rsidRPr="004757BD">
        <w:t>forcibly displaced people arriving in the country.</w:t>
      </w:r>
      <w:r>
        <w:t xml:space="preserve"> In</w:t>
      </w:r>
      <w:r>
        <w:noBreakHyphen/>
        <w:t xml:space="preserve">country sources said around </w:t>
      </w:r>
      <w:r w:rsidRPr="00E345EC">
        <w:t xml:space="preserve">70 per cent of </w:t>
      </w:r>
      <w:r>
        <w:t xml:space="preserve">the </w:t>
      </w:r>
      <w:r w:rsidRPr="00E345EC">
        <w:t>900</w:t>
      </w:r>
      <w:r>
        <w:t>,000</w:t>
      </w:r>
      <w:r w:rsidRPr="00E345EC">
        <w:t xml:space="preserve"> </w:t>
      </w:r>
      <w:r>
        <w:t xml:space="preserve">refugees </w:t>
      </w:r>
      <w:r w:rsidRPr="00E345EC">
        <w:t xml:space="preserve">registered by UNHCR </w:t>
      </w:r>
      <w:r>
        <w:t xml:space="preserve">in Egypt </w:t>
      </w:r>
      <w:r w:rsidRPr="00E345EC">
        <w:t>are from Sudan</w:t>
      </w:r>
      <w:r>
        <w:t>.</w:t>
      </w:r>
    </w:p>
    <w:p w14:paraId="6D090112" w14:textId="77777777" w:rsidR="00C47BE6" w:rsidRDefault="00C47BE6" w:rsidP="00C47BE6">
      <w:pPr>
        <w:pStyle w:val="ListParagraph1"/>
      </w:pPr>
      <w:r>
        <w:t>P</w:t>
      </w:r>
      <w:r w:rsidRPr="004757BD">
        <w:t xml:space="preserve">rior to the </w:t>
      </w:r>
      <w:r>
        <w:t>start of the conflict in Sudan</w:t>
      </w:r>
      <w:r w:rsidRPr="004757BD">
        <w:t xml:space="preserve">, Egypt had an open-door policy for </w:t>
      </w:r>
      <w:r>
        <w:t xml:space="preserve">Sudanese under the </w:t>
      </w:r>
      <w:r w:rsidRPr="00D230E4">
        <w:rPr>
          <w:i/>
          <w:iCs/>
        </w:rPr>
        <w:t>Four Freedoms Agreement</w:t>
      </w:r>
      <w:r w:rsidRPr="00D230E4">
        <w:t xml:space="preserve"> </w:t>
      </w:r>
      <w:r w:rsidRPr="00D230E4">
        <w:rPr>
          <w:i/>
          <w:iCs/>
        </w:rPr>
        <w:t>2004</w:t>
      </w:r>
      <w:r>
        <w:t>, which allowed</w:t>
      </w:r>
      <w:r w:rsidRPr="00D230E4">
        <w:t xml:space="preserve"> </w:t>
      </w:r>
      <w:r>
        <w:t xml:space="preserve">for </w:t>
      </w:r>
      <w:r w:rsidRPr="00D230E4">
        <w:t>freedom of movement</w:t>
      </w:r>
      <w:r>
        <w:t xml:space="preserve">. On 10 June 2023, </w:t>
      </w:r>
      <w:r w:rsidRPr="0004066B">
        <w:t>Egypt</w:t>
      </w:r>
      <w:r>
        <w:t xml:space="preserve"> began</w:t>
      </w:r>
      <w:r w:rsidRPr="0004066B">
        <w:t xml:space="preserve"> </w:t>
      </w:r>
      <w:r>
        <w:t xml:space="preserve">implementing regulations </w:t>
      </w:r>
      <w:r w:rsidRPr="0004066B">
        <w:t xml:space="preserve">requiring all Sudanese to obtain visas from </w:t>
      </w:r>
      <w:r>
        <w:t xml:space="preserve">the </w:t>
      </w:r>
      <w:r w:rsidRPr="0004066B">
        <w:t>Egyptian consular office</w:t>
      </w:r>
      <w:r>
        <w:t>s</w:t>
      </w:r>
      <w:r w:rsidRPr="0004066B">
        <w:t xml:space="preserve"> in Wadi Halfa or Port Sudan </w:t>
      </w:r>
      <w:r>
        <w:t>prior</w:t>
      </w:r>
      <w:r w:rsidRPr="0004066B">
        <w:t xml:space="preserve"> </w:t>
      </w:r>
      <w:r>
        <w:t xml:space="preserve">to </w:t>
      </w:r>
      <w:r w:rsidRPr="0004066B">
        <w:t>crossing the</w:t>
      </w:r>
      <w:r>
        <w:t xml:space="preserve"> Egyptian</w:t>
      </w:r>
      <w:r w:rsidRPr="0004066B">
        <w:t xml:space="preserve"> border.</w:t>
      </w:r>
      <w:r>
        <w:t xml:space="preserve"> As the civil</w:t>
      </w:r>
      <w:r w:rsidRPr="004757BD">
        <w:t xml:space="preserve"> war </w:t>
      </w:r>
      <w:r>
        <w:t xml:space="preserve">intensified and larger numbers of Sudanese entered the country, Egypt stopped issuing visas in Sudan. In-country sources said it was still possible in some instances to obtain an Egyptian visa in Sudan but this required paying a substantial bribe too expensive for most Sudanese. </w:t>
      </w:r>
    </w:p>
    <w:p w14:paraId="52D2D8F5" w14:textId="77777777" w:rsidR="00F35EFA" w:rsidRDefault="00C47BE6" w:rsidP="00F35EFA">
      <w:pPr>
        <w:pStyle w:val="ListParagraph1"/>
      </w:pPr>
      <w:r>
        <w:t xml:space="preserve">Since 2023, most </w:t>
      </w:r>
      <w:r w:rsidRPr="004757BD">
        <w:t xml:space="preserve">Sudanese </w:t>
      </w:r>
      <w:r>
        <w:t xml:space="preserve">have </w:t>
      </w:r>
      <w:r w:rsidRPr="004757BD">
        <w:t>pa</w:t>
      </w:r>
      <w:r>
        <w:t>id</w:t>
      </w:r>
      <w:r w:rsidRPr="004757BD">
        <w:t xml:space="preserve"> smugglers to </w:t>
      </w:r>
      <w:r>
        <w:t xml:space="preserve">facilitate their entry into Egypt. In-country sources said smugglers often </w:t>
      </w:r>
      <w:r w:rsidRPr="004757BD">
        <w:t>exploit</w:t>
      </w:r>
      <w:r>
        <w:t>ed</w:t>
      </w:r>
      <w:r w:rsidRPr="004757BD">
        <w:t xml:space="preserve"> </w:t>
      </w:r>
      <w:r>
        <w:t xml:space="preserve">irregular migrants and subjected them </w:t>
      </w:r>
      <w:r w:rsidRPr="004757BD">
        <w:t>to violence</w:t>
      </w:r>
      <w:r>
        <w:t xml:space="preserve">. The crossing from Sudan to Egypt was dangerous and in the most extreme cases those unable to pay smugglers had been shot. Others died of </w:t>
      </w:r>
      <w:r w:rsidRPr="004757BD">
        <w:t>heat st</w:t>
      </w:r>
      <w:r w:rsidR="00495004">
        <w:t>r</w:t>
      </w:r>
      <w:r w:rsidRPr="004757BD">
        <w:t xml:space="preserve">oke </w:t>
      </w:r>
      <w:r>
        <w:t xml:space="preserve">while </w:t>
      </w:r>
      <w:r w:rsidRPr="004757BD">
        <w:t xml:space="preserve">crossing </w:t>
      </w:r>
      <w:r>
        <w:t xml:space="preserve">the Nubian Desert. </w:t>
      </w:r>
      <w:r w:rsidRPr="004757BD">
        <w:t>Sudanese arriv</w:t>
      </w:r>
      <w:r>
        <w:t>ing</w:t>
      </w:r>
      <w:r w:rsidRPr="004757BD">
        <w:t xml:space="preserve"> in Egypt</w:t>
      </w:r>
      <w:r>
        <w:t xml:space="preserve"> over the southern border still need to travel to Cairo (</w:t>
      </w:r>
      <w:proofErr w:type="gramStart"/>
      <w:r>
        <w:t>a distance of approximately</w:t>
      </w:r>
      <w:proofErr w:type="gramEnd"/>
      <w:r>
        <w:t xml:space="preserve"> 950km) </w:t>
      </w:r>
      <w:proofErr w:type="gramStart"/>
      <w:r>
        <w:t>in order to</w:t>
      </w:r>
      <w:proofErr w:type="gramEnd"/>
      <w:r>
        <w:t xml:space="preserve"> register with </w:t>
      </w:r>
      <w:r w:rsidRPr="004757BD">
        <w:t>UNHCR</w:t>
      </w:r>
      <w:r>
        <w:t xml:space="preserve"> to obtain refugee status and residency.</w:t>
      </w:r>
    </w:p>
    <w:p w14:paraId="41ED223E" w14:textId="347049FA" w:rsidR="00C47BE6" w:rsidRPr="00F35EFA" w:rsidRDefault="00C47BE6" w:rsidP="00F35EFA">
      <w:pPr>
        <w:pStyle w:val="ListParagraph1"/>
        <w:rPr>
          <w:rStyle w:val="FootnoteReference"/>
          <w:vertAlign w:val="baseline"/>
        </w:rPr>
      </w:pPr>
      <w:r>
        <w:t>Sudanese</w:t>
      </w:r>
      <w:r w:rsidRPr="002B0683">
        <w:t xml:space="preserve"> with expired visas </w:t>
      </w:r>
      <w:r>
        <w:t xml:space="preserve">and/or without residency </w:t>
      </w:r>
      <w:r w:rsidRPr="002B0683">
        <w:t xml:space="preserve">are in breach of the </w:t>
      </w:r>
      <w:r w:rsidRPr="00F35EFA">
        <w:rPr>
          <w:i/>
          <w:iCs/>
        </w:rPr>
        <w:t>Regulation on Migration Law (No. 111) 1983</w:t>
      </w:r>
      <w:r>
        <w:t xml:space="preserve"> and liable for fines and deportation to Sudan</w:t>
      </w:r>
      <w:r w:rsidRPr="002B0683">
        <w:t>.</w:t>
      </w:r>
      <w:r>
        <w:t xml:space="preserve"> In-country sources said approximately 20,000 Sudanese had been deported from Egypt in 2024, some as part of group deportations. The number of d</w:t>
      </w:r>
      <w:r w:rsidRPr="00B8685D">
        <w:t xml:space="preserve">eportations of </w:t>
      </w:r>
      <w:r>
        <w:t xml:space="preserve">Sudanese </w:t>
      </w:r>
      <w:r w:rsidRPr="00B8685D">
        <w:t>asylum seek</w:t>
      </w:r>
      <w:r>
        <w:t>er</w:t>
      </w:r>
      <w:r w:rsidRPr="00B8685D">
        <w:t xml:space="preserve">s for </w:t>
      </w:r>
      <w:r>
        <w:t xml:space="preserve">violations to </w:t>
      </w:r>
      <w:r w:rsidRPr="00B8685D">
        <w:t xml:space="preserve">residence </w:t>
      </w:r>
      <w:r>
        <w:t>permit regulations had increased in 2025. During the deportation process, returnees were</w:t>
      </w:r>
      <w:r w:rsidRPr="00AC74D0">
        <w:t xml:space="preserve"> charged a fee of EGP500 (AUD15) in addition to fines calculated by the number of days spent in the country without status. </w:t>
      </w:r>
      <w:r w:rsidRPr="00F35EFA">
        <w:rPr>
          <w:color w:val="333333"/>
          <w:spacing w:val="-4"/>
        </w:rPr>
        <w:t>Detainees at times reported authorities subjected them to oral abuse and poor detention conditions.</w:t>
      </w:r>
      <w:r w:rsidRPr="00AC74D0">
        <w:t xml:space="preserve"> In-country sources said many Sudanese instead choose </w:t>
      </w:r>
      <w:r>
        <w:t xml:space="preserve">to </w:t>
      </w:r>
      <w:r w:rsidRPr="00AC74D0">
        <w:t>bribe border guards or army units approximately EGP90</w:t>
      </w:r>
      <w:r>
        <w:t xml:space="preserve">0 (AUD27) to be deported without paying additional overstay fees. </w:t>
      </w:r>
      <w:r w:rsidRPr="00F35EFA">
        <w:rPr>
          <w:lang w:val="en-AU"/>
        </w:rPr>
        <w:t>As of August 2025, Egypt was offering free trains from Cairo to Aswan and then onward transport into Sudan, to facilitate voluntary returns.</w:t>
      </w:r>
    </w:p>
    <w:p w14:paraId="414769C2" w14:textId="77777777" w:rsidR="00C47BE6" w:rsidRDefault="00C47BE6" w:rsidP="00C47BE6">
      <w:pPr>
        <w:pStyle w:val="ListParagraph1"/>
      </w:pPr>
      <w:r>
        <w:t xml:space="preserve">Sudanese recognised as refugees by the UNHCR or with residency status have </w:t>
      </w:r>
      <w:r w:rsidRPr="00597ABD">
        <w:t xml:space="preserve">access to </w:t>
      </w:r>
      <w:hyperlink w:anchor="_Health" w:history="1">
        <w:r w:rsidRPr="000F7E6B">
          <w:rPr>
            <w:rStyle w:val="Hyperlink"/>
          </w:rPr>
          <w:t>medical care</w:t>
        </w:r>
      </w:hyperlink>
      <w:r>
        <w:t xml:space="preserve">, </w:t>
      </w:r>
      <w:hyperlink w:anchor="_Education" w:history="1">
        <w:r w:rsidRPr="000F7E6B">
          <w:rPr>
            <w:rStyle w:val="Hyperlink"/>
          </w:rPr>
          <w:t>education</w:t>
        </w:r>
      </w:hyperlink>
      <w:r>
        <w:t xml:space="preserve"> and legal </w:t>
      </w:r>
      <w:hyperlink w:anchor="_Employment" w:history="1">
        <w:r w:rsidRPr="000F7E6B">
          <w:rPr>
            <w:rStyle w:val="Hyperlink"/>
          </w:rPr>
          <w:t>employment</w:t>
        </w:r>
      </w:hyperlink>
      <w:r>
        <w:t xml:space="preserve"> options. </w:t>
      </w:r>
      <w:r w:rsidRPr="00E345EC">
        <w:t xml:space="preserve">Sudanese </w:t>
      </w:r>
      <w:r>
        <w:t xml:space="preserve">often send their </w:t>
      </w:r>
      <w:r w:rsidRPr="00E345EC">
        <w:t xml:space="preserve">children </w:t>
      </w:r>
      <w:r>
        <w:t>to ‘</w:t>
      </w:r>
      <w:r w:rsidRPr="00E345EC">
        <w:t>learning centres’</w:t>
      </w:r>
      <w:r>
        <w:t xml:space="preserve"> instead of government schools because they better</w:t>
      </w:r>
      <w:r w:rsidRPr="00E345EC">
        <w:t xml:space="preserve"> align</w:t>
      </w:r>
      <w:r>
        <w:t xml:space="preserve"> </w:t>
      </w:r>
      <w:r w:rsidRPr="00E345EC">
        <w:t xml:space="preserve">with </w:t>
      </w:r>
      <w:r>
        <w:t xml:space="preserve">the </w:t>
      </w:r>
      <w:r w:rsidRPr="00E345EC">
        <w:t>Sudan</w:t>
      </w:r>
      <w:r>
        <w:t xml:space="preserve">ese </w:t>
      </w:r>
      <w:r w:rsidRPr="00E345EC">
        <w:t>curriculum</w:t>
      </w:r>
      <w:r>
        <w:t>. There is a</w:t>
      </w:r>
      <w:r w:rsidRPr="00E345EC">
        <w:t xml:space="preserve"> </w:t>
      </w:r>
      <w:r>
        <w:t xml:space="preserve">fee </w:t>
      </w:r>
      <w:r w:rsidRPr="00E345EC">
        <w:t>involved to attend</w:t>
      </w:r>
      <w:r>
        <w:t xml:space="preserve"> these learning centres</w:t>
      </w:r>
      <w:r w:rsidRPr="00E345EC">
        <w:t>, wh</w:t>
      </w:r>
      <w:r>
        <w:t>ile government-run</w:t>
      </w:r>
      <w:r w:rsidRPr="00E345EC">
        <w:t xml:space="preserve"> public </w:t>
      </w:r>
      <w:r w:rsidRPr="000F7E6B">
        <w:t>schools</w:t>
      </w:r>
      <w:r w:rsidRPr="00E345EC">
        <w:t xml:space="preserve"> are free</w:t>
      </w:r>
      <w:r>
        <w:t xml:space="preserve">. Around </w:t>
      </w:r>
      <w:r w:rsidRPr="00D230E4">
        <w:t xml:space="preserve">60 per cent of Sudanese children </w:t>
      </w:r>
      <w:r>
        <w:t>in Egypt were not attending school in 2025.</w:t>
      </w:r>
      <w:r w:rsidRPr="00D230E4">
        <w:t xml:space="preserve"> </w:t>
      </w:r>
      <w:r>
        <w:t xml:space="preserve">In-country sources said some learning centres had been closed by authorities in 2025 because they lacked permits. Some Sudanese without residency permits had been detained near learning centres pending deportation. </w:t>
      </w:r>
    </w:p>
    <w:p w14:paraId="6BB10B05" w14:textId="77777777" w:rsidR="00C47BE6" w:rsidRDefault="00C47BE6" w:rsidP="00C47BE6">
      <w:pPr>
        <w:pStyle w:val="ListParagraph1"/>
      </w:pPr>
      <w:r>
        <w:t xml:space="preserve">Sudanese face societal discrimination in Egypt based on their nationality, which often impacts their ability to secure </w:t>
      </w:r>
      <w:hyperlink w:anchor="_Employment" w:history="1">
        <w:r w:rsidRPr="00B0601A">
          <w:rPr>
            <w:rStyle w:val="Hyperlink"/>
          </w:rPr>
          <w:t>employment</w:t>
        </w:r>
      </w:hyperlink>
      <w:r>
        <w:t xml:space="preserve"> and accommodation. </w:t>
      </w:r>
      <w:r w:rsidRPr="00D52292">
        <w:t xml:space="preserve">Sudanese </w:t>
      </w:r>
      <w:r>
        <w:t xml:space="preserve">are easily identifiable based on their darker skin tone and </w:t>
      </w:r>
      <w:r>
        <w:lastRenderedPageBreak/>
        <w:t>in</w:t>
      </w:r>
      <w:r>
        <w:noBreakHyphen/>
        <w:t xml:space="preserve">country sources said they often faced </w:t>
      </w:r>
      <w:r w:rsidRPr="00D52292">
        <w:t xml:space="preserve">racism </w:t>
      </w:r>
      <w:r>
        <w:t xml:space="preserve">due to </w:t>
      </w:r>
      <w:r w:rsidRPr="00D52292">
        <w:t>their appearance</w:t>
      </w:r>
      <w:r>
        <w:t xml:space="preserve">, including from authorities. For example, </w:t>
      </w:r>
      <w:r w:rsidRPr="00392D68">
        <w:t>hundreds of Sudanese proteste</w:t>
      </w:r>
      <w:r>
        <w:t>d in</w:t>
      </w:r>
      <w:r w:rsidRPr="00392D68">
        <w:t xml:space="preserve"> Cairo</w:t>
      </w:r>
      <w:r>
        <w:t xml:space="preserve"> i</w:t>
      </w:r>
      <w:r w:rsidRPr="00392D68">
        <w:t>n March 2022 to draw attention to the</w:t>
      </w:r>
      <w:r>
        <w:t>ir</w:t>
      </w:r>
      <w:r w:rsidRPr="00392D68">
        <w:t xml:space="preserve"> ongoing harassment and racist treatment. The </w:t>
      </w:r>
      <w:r>
        <w:t>protests</w:t>
      </w:r>
      <w:r w:rsidRPr="00392D68">
        <w:t xml:space="preserve"> were </w:t>
      </w:r>
      <w:r>
        <w:t xml:space="preserve">broken up with some involved </w:t>
      </w:r>
      <w:r w:rsidRPr="00392D68">
        <w:t xml:space="preserve">arrested </w:t>
      </w:r>
      <w:r>
        <w:t>by</w:t>
      </w:r>
      <w:r w:rsidRPr="00392D68">
        <w:t xml:space="preserve"> police</w:t>
      </w:r>
      <w:r>
        <w:t xml:space="preserve"> and others pressed into forced </w:t>
      </w:r>
      <w:r w:rsidRPr="00392D68">
        <w:t>labo</w:t>
      </w:r>
      <w:r>
        <w:t>u</w:t>
      </w:r>
      <w:r w:rsidRPr="00392D68">
        <w:t xml:space="preserve">r </w:t>
      </w:r>
      <w:r>
        <w:t xml:space="preserve">despite not </w:t>
      </w:r>
      <w:r w:rsidRPr="00392D68">
        <w:t>being convicted of a crime.</w:t>
      </w:r>
      <w:r>
        <w:t xml:space="preserve"> </w:t>
      </w:r>
      <w:r w:rsidRPr="007C7D96">
        <w:t xml:space="preserve">In February 2024, members of security forces subjected </w:t>
      </w:r>
      <w:r>
        <w:t xml:space="preserve">Sudanese </w:t>
      </w:r>
      <w:r w:rsidRPr="007C7D96">
        <w:t>gathered in front of the UNHCR building in</w:t>
      </w:r>
      <w:r>
        <w:t xml:space="preserve"> the</w:t>
      </w:r>
      <w:r w:rsidRPr="007C7D96">
        <w:t xml:space="preserve"> Giza governorate to violence and racist insults</w:t>
      </w:r>
      <w:r>
        <w:t xml:space="preserve"> like ‘</w:t>
      </w:r>
      <w:r w:rsidRPr="007C7D96">
        <w:t>slaves</w:t>
      </w:r>
      <w:r>
        <w:t>’</w:t>
      </w:r>
      <w:r w:rsidRPr="007C7D96">
        <w:t xml:space="preserve"> and </w:t>
      </w:r>
      <w:r>
        <w:t>‘</w:t>
      </w:r>
      <w:r w:rsidRPr="007C7D96">
        <w:t>filth</w:t>
      </w:r>
      <w:r>
        <w:t xml:space="preserve">’. </w:t>
      </w:r>
      <w:r w:rsidRPr="00A41497">
        <w:t xml:space="preserve">In July 2024, </w:t>
      </w:r>
      <w:r>
        <w:t>D</w:t>
      </w:r>
      <w:r w:rsidRPr="00A41497">
        <w:t>irector of the African Vision School for Sudanese Education</w:t>
      </w:r>
      <w:r>
        <w:t>,</w:t>
      </w:r>
      <w:r w:rsidRPr="00A41497">
        <w:t xml:space="preserve"> Othman Hussein Yaqoub, </w:t>
      </w:r>
      <w:r>
        <w:t xml:space="preserve">was </w:t>
      </w:r>
      <w:r w:rsidRPr="00A41497">
        <w:t xml:space="preserve">forcibly disappeared for a week, during which he </w:t>
      </w:r>
      <w:r>
        <w:t>stated he was</w:t>
      </w:r>
      <w:r w:rsidRPr="00A41497">
        <w:t xml:space="preserve"> </w:t>
      </w:r>
      <w:hyperlink w:anchor="_Torture_1" w:history="1">
        <w:r w:rsidRPr="008C2089">
          <w:rPr>
            <w:rStyle w:val="Hyperlink"/>
          </w:rPr>
          <w:t>tortured</w:t>
        </w:r>
      </w:hyperlink>
      <w:r w:rsidRPr="00A41497">
        <w:t xml:space="preserve"> </w:t>
      </w:r>
      <w:r>
        <w:t xml:space="preserve">and forced </w:t>
      </w:r>
      <w:r w:rsidRPr="00A41497">
        <w:t xml:space="preserve">to signing a </w:t>
      </w:r>
      <w:r>
        <w:t>‘</w:t>
      </w:r>
      <w:r w:rsidRPr="00A41497">
        <w:t>voluntary return</w:t>
      </w:r>
      <w:r>
        <w:t>’</w:t>
      </w:r>
      <w:r w:rsidRPr="00A41497">
        <w:t xml:space="preserve"> document in order to deport him to Sudan.</w:t>
      </w:r>
    </w:p>
    <w:p w14:paraId="0200ACF7" w14:textId="77777777" w:rsidR="00C47BE6" w:rsidRPr="00D501C7" w:rsidRDefault="00C47BE6" w:rsidP="00C47BE6">
      <w:pPr>
        <w:pStyle w:val="ListParagraph1"/>
      </w:pPr>
      <w:r w:rsidRPr="004D5AA3">
        <w:t xml:space="preserve">DFAT assesses </w:t>
      </w:r>
      <w:r>
        <w:t>Sudanese</w:t>
      </w:r>
      <w:r w:rsidRPr="004D5AA3">
        <w:t xml:space="preserve"> </w:t>
      </w:r>
      <w:r>
        <w:t xml:space="preserve">are </w:t>
      </w:r>
      <w:r w:rsidRPr="004D5AA3">
        <w:t xml:space="preserve">likely </w:t>
      </w:r>
      <w:r>
        <w:t xml:space="preserve">to </w:t>
      </w:r>
      <w:r w:rsidRPr="004D5AA3">
        <w:t xml:space="preserve">face official discrimination </w:t>
      </w:r>
      <w:r>
        <w:t>in the form</w:t>
      </w:r>
      <w:r w:rsidRPr="004E6628">
        <w:t xml:space="preserve"> of harassment</w:t>
      </w:r>
      <w:r>
        <w:t xml:space="preserve"> by </w:t>
      </w:r>
      <w:hyperlink w:anchor="_Police" w:history="1">
        <w:r w:rsidRPr="00652EB7">
          <w:rPr>
            <w:rStyle w:val="Hyperlink"/>
          </w:rPr>
          <w:t>police</w:t>
        </w:r>
      </w:hyperlink>
      <w:r>
        <w:t xml:space="preserve"> and detention, based on their nationality. DFAT assesses Sudanese are likely to face societal discrimination when accessing </w:t>
      </w:r>
      <w:hyperlink w:anchor="_Employment" w:history="1">
        <w:r w:rsidRPr="00652EB7">
          <w:rPr>
            <w:rStyle w:val="Hyperlink"/>
          </w:rPr>
          <w:t>employment</w:t>
        </w:r>
      </w:hyperlink>
      <w:r>
        <w:t xml:space="preserve">, </w:t>
      </w:r>
      <w:hyperlink w:anchor="_Education" w:history="1">
        <w:r w:rsidRPr="00652EB7">
          <w:rPr>
            <w:rStyle w:val="Hyperlink"/>
          </w:rPr>
          <w:t>education</w:t>
        </w:r>
      </w:hyperlink>
      <w:r>
        <w:t xml:space="preserve"> and housing, based on their nationality. DFAT assesses Sudanese are unlikely to face societal violence based on their nationality.</w:t>
      </w:r>
    </w:p>
    <w:p w14:paraId="6EF833CE" w14:textId="77777777" w:rsidR="00C47BE6" w:rsidRPr="00ED14CD" w:rsidRDefault="00C47BE6" w:rsidP="00C47BE6">
      <w:pPr>
        <w:pStyle w:val="Heading3"/>
        <w:ind w:firstLine="0"/>
        <w:jc w:val="left"/>
        <w:rPr>
          <w:rFonts w:cs="Calibri"/>
          <w:b/>
          <w:bCs/>
          <w:color w:val="auto"/>
        </w:rPr>
      </w:pPr>
      <w:bookmarkStart w:id="46" w:name="_Syrians"/>
      <w:bookmarkEnd w:id="46"/>
      <w:r w:rsidRPr="00ED14CD">
        <w:rPr>
          <w:rFonts w:cs="Calibri"/>
          <w:b/>
          <w:bCs/>
          <w:color w:val="auto"/>
        </w:rPr>
        <w:t>Syrians</w:t>
      </w:r>
    </w:p>
    <w:p w14:paraId="42E848E5" w14:textId="77777777" w:rsidR="00C47BE6" w:rsidRPr="00CD0572" w:rsidRDefault="00C47BE6" w:rsidP="00C47BE6">
      <w:pPr>
        <w:pStyle w:val="ListParagraph1"/>
      </w:pPr>
      <w:r>
        <w:t xml:space="preserve">Syrians </w:t>
      </w:r>
      <w:r w:rsidRPr="00CF4F41">
        <w:t xml:space="preserve">are an Arab group </w:t>
      </w:r>
      <w:r>
        <w:t>in</w:t>
      </w:r>
      <w:r w:rsidRPr="00CF4F41">
        <w:t xml:space="preserve"> the Levant</w:t>
      </w:r>
      <w:r>
        <w:t xml:space="preserve"> that share </w:t>
      </w:r>
      <w:r w:rsidRPr="00CF4F41">
        <w:t xml:space="preserve">close religious, linguistic and cultural ties with </w:t>
      </w:r>
      <w:r>
        <w:t xml:space="preserve">Egyptians. </w:t>
      </w:r>
      <w:r w:rsidRPr="009F2D35">
        <w:t xml:space="preserve">There are no </w:t>
      </w:r>
      <w:r>
        <w:t xml:space="preserve">official </w:t>
      </w:r>
      <w:r w:rsidRPr="009F2D35">
        <w:t xml:space="preserve">statistics on </w:t>
      </w:r>
      <w:r>
        <w:t>the number of</w:t>
      </w:r>
      <w:r w:rsidRPr="009F2D35">
        <w:t xml:space="preserve"> </w:t>
      </w:r>
      <w:r>
        <w:t>Syrians</w:t>
      </w:r>
      <w:r w:rsidRPr="009F2D35">
        <w:t xml:space="preserve"> </w:t>
      </w:r>
      <w:r>
        <w:t>currently</w:t>
      </w:r>
      <w:r w:rsidRPr="009F2D35">
        <w:t xml:space="preserve"> in Egypt</w:t>
      </w:r>
      <w:r>
        <w:t xml:space="preserve"> but estimates by the International Organization for Migration are</w:t>
      </w:r>
      <w:r w:rsidRPr="009F2D35">
        <w:t xml:space="preserve"> </w:t>
      </w:r>
      <w:r>
        <w:t xml:space="preserve">upwards of 1.5 million. </w:t>
      </w:r>
      <w:r w:rsidRPr="00CD0572">
        <w:t xml:space="preserve">In-country sources said large number of Syrians </w:t>
      </w:r>
      <w:r>
        <w:t xml:space="preserve">began </w:t>
      </w:r>
      <w:r w:rsidRPr="00CD0572">
        <w:t xml:space="preserve">returning home voluntarily in the wake of </w:t>
      </w:r>
      <w:r>
        <w:t xml:space="preserve">the overthrow of the </w:t>
      </w:r>
      <w:r w:rsidRPr="00CD0572">
        <w:t>Assad regime in Syria in December 2024. The UNHCR reported the number of Syrians in its caseload reduced from 160,000 in 2024 to 140,000 in 2025.</w:t>
      </w:r>
    </w:p>
    <w:p w14:paraId="644148B0" w14:textId="77777777" w:rsidR="00C47BE6" w:rsidRPr="00CD0572" w:rsidRDefault="00C47BE6" w:rsidP="00C47BE6">
      <w:pPr>
        <w:pStyle w:val="ListParagraph1"/>
      </w:pPr>
      <w:r w:rsidRPr="00CD0572">
        <w:t>Most Syrians arrive</w:t>
      </w:r>
      <w:r>
        <w:t>d</w:t>
      </w:r>
      <w:r w:rsidRPr="00CD0572">
        <w:t xml:space="preserve"> in Egypt on tourist visas, with many </w:t>
      </w:r>
      <w:r>
        <w:t xml:space="preserve">later </w:t>
      </w:r>
      <w:r w:rsidRPr="00CD0572">
        <w:t xml:space="preserve">obtaining residency and setting up businesses. </w:t>
      </w:r>
      <w:r>
        <w:t xml:space="preserve">Syrians recognised as refugees by the UNHCR or with residency status have </w:t>
      </w:r>
      <w:r w:rsidRPr="00597ABD">
        <w:t xml:space="preserve">access to </w:t>
      </w:r>
      <w:hyperlink w:anchor="_Health" w:history="1">
        <w:r w:rsidRPr="00887C22">
          <w:rPr>
            <w:rStyle w:val="Hyperlink"/>
          </w:rPr>
          <w:t>medical care</w:t>
        </w:r>
      </w:hyperlink>
      <w:r>
        <w:t xml:space="preserve">, </w:t>
      </w:r>
      <w:hyperlink w:anchor="_Education" w:history="1">
        <w:r w:rsidRPr="00887C22">
          <w:rPr>
            <w:rStyle w:val="Hyperlink"/>
          </w:rPr>
          <w:t>education</w:t>
        </w:r>
      </w:hyperlink>
      <w:r>
        <w:t xml:space="preserve"> and legal </w:t>
      </w:r>
      <w:hyperlink w:anchor="_Employment" w:history="1">
        <w:r w:rsidRPr="00887C22">
          <w:rPr>
            <w:rStyle w:val="Hyperlink"/>
          </w:rPr>
          <w:t>employment</w:t>
        </w:r>
      </w:hyperlink>
      <w:r>
        <w:t xml:space="preserve"> options. </w:t>
      </w:r>
      <w:r w:rsidRPr="00ED14CD">
        <w:t>As of June 2024</w:t>
      </w:r>
      <w:r>
        <w:t>,</w:t>
      </w:r>
      <w:r w:rsidRPr="00ED14CD">
        <w:t xml:space="preserve"> Syrians </w:t>
      </w:r>
      <w:r>
        <w:t xml:space="preserve">could no longer renew </w:t>
      </w:r>
      <w:r w:rsidRPr="00ED14CD">
        <w:t xml:space="preserve">tourist visas </w:t>
      </w:r>
      <w:r>
        <w:t>within Egypt</w:t>
      </w:r>
      <w:r w:rsidRPr="00ED14CD">
        <w:t xml:space="preserve"> and </w:t>
      </w:r>
      <w:r>
        <w:t>were required to return to Syria to reapply. In-country sources said</w:t>
      </w:r>
      <w:r w:rsidRPr="00ED14CD">
        <w:t xml:space="preserve"> </w:t>
      </w:r>
      <w:r>
        <w:t xml:space="preserve">Egyptian embassies stopped issuing </w:t>
      </w:r>
      <w:r w:rsidRPr="00ED14CD">
        <w:t xml:space="preserve">tourist visas </w:t>
      </w:r>
      <w:r>
        <w:t>to Syrians</w:t>
      </w:r>
      <w:r w:rsidRPr="00ED14CD">
        <w:t xml:space="preserve"> in December 2024, except for </w:t>
      </w:r>
      <w:r>
        <w:t>those</w:t>
      </w:r>
      <w:r w:rsidRPr="00ED14CD">
        <w:t xml:space="preserve"> married to Egyptian</w:t>
      </w:r>
      <w:r>
        <w:t xml:space="preserve"> citizens. Syrians</w:t>
      </w:r>
      <w:r w:rsidRPr="002B0683">
        <w:t xml:space="preserve"> with expired visas </w:t>
      </w:r>
      <w:r>
        <w:t xml:space="preserve">and/or without residency </w:t>
      </w:r>
      <w:r w:rsidRPr="002B0683">
        <w:t xml:space="preserve">are in breach of the </w:t>
      </w:r>
      <w:r w:rsidRPr="002B0683">
        <w:rPr>
          <w:i/>
          <w:iCs/>
        </w:rPr>
        <w:t>Regulation on Migration Law (No. 111) 1983</w:t>
      </w:r>
      <w:r>
        <w:t xml:space="preserve"> and liable for fines and deportation to Syria</w:t>
      </w:r>
      <w:r w:rsidRPr="002B0683">
        <w:t>.</w:t>
      </w:r>
    </w:p>
    <w:p w14:paraId="378E7D6D" w14:textId="77777777" w:rsidR="00C47BE6" w:rsidRDefault="00C47BE6" w:rsidP="00C47BE6">
      <w:pPr>
        <w:pStyle w:val="ListParagraph1"/>
      </w:pPr>
      <w:r>
        <w:t>F</w:t>
      </w:r>
      <w:r w:rsidRPr="00DB0ABE">
        <w:t xml:space="preserve">ollowing the </w:t>
      </w:r>
      <w:r>
        <w:t xml:space="preserve">overthrow </w:t>
      </w:r>
      <w:r w:rsidRPr="00DB0ABE">
        <w:t xml:space="preserve">of </w:t>
      </w:r>
      <w:r>
        <w:t xml:space="preserve">Syria’s </w:t>
      </w:r>
      <w:r w:rsidRPr="00DB0ABE">
        <w:t>Assad</w:t>
      </w:r>
      <w:r>
        <w:t xml:space="preserve"> regime </w:t>
      </w:r>
      <w:r w:rsidRPr="00DB0ABE">
        <w:t>on 8 December</w:t>
      </w:r>
      <w:r>
        <w:t xml:space="preserve"> 2024</w:t>
      </w:r>
      <w:r w:rsidRPr="00DB0ABE">
        <w:t xml:space="preserve">, </w:t>
      </w:r>
      <w:r>
        <w:t>l</w:t>
      </w:r>
      <w:r w:rsidRPr="00DB0ABE">
        <w:t>ocal media reported many Syrian</w:t>
      </w:r>
      <w:r>
        <w:t>s</w:t>
      </w:r>
      <w:r w:rsidRPr="00DB0ABE">
        <w:t xml:space="preserve"> took to the streets in</w:t>
      </w:r>
      <w:r>
        <w:t xml:space="preserve"> Egypt in</w:t>
      </w:r>
      <w:r w:rsidRPr="00DB0ABE">
        <w:t xml:space="preserve"> spontaneous celebrations. </w:t>
      </w:r>
      <w:r>
        <w:t xml:space="preserve">These impromptu gatherings were quickly </w:t>
      </w:r>
      <w:r w:rsidRPr="00DB0ABE">
        <w:t xml:space="preserve">dispersed </w:t>
      </w:r>
      <w:r>
        <w:t xml:space="preserve">by security services and </w:t>
      </w:r>
      <w:r w:rsidRPr="00DB0ABE">
        <w:t>30 Syrians</w:t>
      </w:r>
      <w:r>
        <w:t xml:space="preserve"> were detained </w:t>
      </w:r>
      <w:r w:rsidRPr="00DB0ABE">
        <w:t xml:space="preserve">according to </w:t>
      </w:r>
      <w:r>
        <w:t>a local CSO</w:t>
      </w:r>
      <w:r w:rsidRPr="00DB0ABE">
        <w:t>.</w:t>
      </w:r>
      <w:r>
        <w:t xml:space="preserve"> Strict</w:t>
      </w:r>
      <w:r w:rsidRPr="001658E6">
        <w:t xml:space="preserve"> entry restrictions </w:t>
      </w:r>
      <w:r>
        <w:t xml:space="preserve">were also imposed </w:t>
      </w:r>
      <w:r w:rsidRPr="001658E6">
        <w:t>on Syrian migrants</w:t>
      </w:r>
      <w:r>
        <w:t xml:space="preserve"> from this time</w:t>
      </w:r>
      <w:r w:rsidRPr="001658E6">
        <w:t xml:space="preserve">, </w:t>
      </w:r>
      <w:r>
        <w:t xml:space="preserve">including </w:t>
      </w:r>
      <w:r w:rsidRPr="001658E6">
        <w:t>requir</w:t>
      </w:r>
      <w:r>
        <w:t>ements for them to</w:t>
      </w:r>
      <w:r w:rsidRPr="001658E6">
        <w:t xml:space="preserve"> undergo background checks by Egyptian </w:t>
      </w:r>
      <w:r>
        <w:t>embassies</w:t>
      </w:r>
      <w:r w:rsidRPr="001658E6">
        <w:t xml:space="preserve"> before entering </w:t>
      </w:r>
      <w:r>
        <w:t xml:space="preserve">the country to screen for </w:t>
      </w:r>
      <w:r w:rsidRPr="001658E6">
        <w:t xml:space="preserve">links to the </w:t>
      </w:r>
      <w:hyperlink w:anchor="_Counter-terrorism_laws" w:history="1">
        <w:r w:rsidRPr="00B0601A">
          <w:rPr>
            <w:rStyle w:val="Hyperlink"/>
          </w:rPr>
          <w:t>Muslim Brotherhood</w:t>
        </w:r>
      </w:hyperlink>
      <w:r>
        <w:t xml:space="preserve">. Syrians already holding Egyptian </w:t>
      </w:r>
      <w:r w:rsidRPr="001658E6">
        <w:t>residence permits</w:t>
      </w:r>
      <w:r>
        <w:t xml:space="preserve"> are exempt from background screening procedures.</w:t>
      </w:r>
    </w:p>
    <w:p w14:paraId="706E913E" w14:textId="77777777" w:rsidR="00C47BE6" w:rsidRDefault="00C47BE6" w:rsidP="00C47BE6">
      <w:pPr>
        <w:pStyle w:val="ListParagraph1"/>
      </w:pPr>
      <w:r>
        <w:t>Syrians did not face societal discrimination in Egypt based on their race or nationality according to in-country sources. Despite rising anti</w:t>
      </w:r>
      <w:r>
        <w:noBreakHyphen/>
        <w:t xml:space="preserve">migrant sentiment in Egypt, </w:t>
      </w:r>
      <w:r w:rsidRPr="001F12CA">
        <w:t xml:space="preserve">Syrians </w:t>
      </w:r>
      <w:r>
        <w:t xml:space="preserve">were generally welcome because they were perceived as law abiding contributors to the economy. Due to religious, </w:t>
      </w:r>
      <w:r w:rsidRPr="00CF4F41">
        <w:t>linguistic and cultural</w:t>
      </w:r>
      <w:r>
        <w:t xml:space="preserve"> similarities, Syrians have been able to </w:t>
      </w:r>
      <w:r w:rsidRPr="001F12CA">
        <w:t>settle</w:t>
      </w:r>
      <w:r>
        <w:t xml:space="preserve"> </w:t>
      </w:r>
      <w:r w:rsidRPr="001F12CA">
        <w:t xml:space="preserve">in </w:t>
      </w:r>
      <w:r>
        <w:t>well</w:t>
      </w:r>
      <w:r w:rsidRPr="001F12CA">
        <w:t xml:space="preserve"> and blend</w:t>
      </w:r>
      <w:r>
        <w:t xml:space="preserve"> </w:t>
      </w:r>
      <w:r w:rsidRPr="001F12CA">
        <w:t xml:space="preserve">into the local population. </w:t>
      </w:r>
      <w:r>
        <w:t xml:space="preserve">However, </w:t>
      </w:r>
      <w:r w:rsidRPr="00CD0572">
        <w:t xml:space="preserve">some Syrians </w:t>
      </w:r>
      <w:r>
        <w:t>in Egypt were</w:t>
      </w:r>
      <w:r w:rsidRPr="00CD0572">
        <w:t xml:space="preserve"> accused </w:t>
      </w:r>
      <w:r>
        <w:t xml:space="preserve">in 2025 </w:t>
      </w:r>
      <w:r w:rsidRPr="00CD0572">
        <w:t>of being supporters of</w:t>
      </w:r>
      <w:r>
        <w:t xml:space="preserve"> </w:t>
      </w:r>
      <w:r w:rsidRPr="00CD0572">
        <w:t>Islamist groups</w:t>
      </w:r>
      <w:r>
        <w:t xml:space="preserve"> such as </w:t>
      </w:r>
      <w:proofErr w:type="spellStart"/>
      <w:r w:rsidRPr="001658E6">
        <w:t>Hay'at</w:t>
      </w:r>
      <w:proofErr w:type="spellEnd"/>
      <w:r w:rsidRPr="001658E6">
        <w:t xml:space="preserve"> Tahrir al-Sham</w:t>
      </w:r>
      <w:r w:rsidRPr="00CD0572">
        <w:t>.</w:t>
      </w:r>
    </w:p>
    <w:p w14:paraId="5CC6DEC6" w14:textId="77777777" w:rsidR="00C47BE6" w:rsidRPr="008B35AD" w:rsidRDefault="00C47BE6" w:rsidP="00C47BE6">
      <w:pPr>
        <w:pStyle w:val="ListParagraph1"/>
      </w:pPr>
      <w:r w:rsidRPr="004D5AA3">
        <w:t xml:space="preserve">DFAT assesses </w:t>
      </w:r>
      <w:r>
        <w:t>it is rare for Syrians</w:t>
      </w:r>
      <w:r w:rsidRPr="004D5AA3">
        <w:t xml:space="preserve"> </w:t>
      </w:r>
      <w:r>
        <w:t xml:space="preserve">to </w:t>
      </w:r>
      <w:r w:rsidRPr="004D5AA3">
        <w:t xml:space="preserve">face official </w:t>
      </w:r>
      <w:r>
        <w:t xml:space="preserve">or societal </w:t>
      </w:r>
      <w:r w:rsidRPr="004D5AA3">
        <w:t>discrimination</w:t>
      </w:r>
      <w:r>
        <w:t xml:space="preserve"> based on their nationality. DFAT assesses it is rare for Syrians to face societal violence in Egypt based on their nationality.</w:t>
      </w:r>
    </w:p>
    <w:p w14:paraId="545D3775" w14:textId="77777777" w:rsidR="00C47BE6" w:rsidRPr="00C47BE6" w:rsidRDefault="00C47BE6" w:rsidP="00C47BE6">
      <w:pPr>
        <w:pStyle w:val="Heading2"/>
        <w:ind w:firstLine="0"/>
        <w:jc w:val="left"/>
        <w:rPr>
          <w:rFonts w:ascii="Calibri" w:hAnsi="Calibri" w:cs="Calibri"/>
          <w:b/>
          <w:bCs/>
          <w:color w:val="auto"/>
          <w:sz w:val="36"/>
          <w:szCs w:val="36"/>
        </w:rPr>
      </w:pPr>
      <w:bookmarkStart w:id="47" w:name="_Conflict_between_Turkish"/>
      <w:bookmarkStart w:id="48" w:name="_RELIGION"/>
      <w:bookmarkStart w:id="49" w:name="_Toc196387078"/>
      <w:bookmarkEnd w:id="47"/>
      <w:bookmarkEnd w:id="48"/>
      <w:r w:rsidRPr="00C47BE6">
        <w:rPr>
          <w:rFonts w:ascii="Calibri" w:hAnsi="Calibri" w:cs="Calibri"/>
          <w:b/>
          <w:bCs/>
          <w:color w:val="auto"/>
          <w:sz w:val="36"/>
          <w:szCs w:val="36"/>
        </w:rPr>
        <w:t>RELIGION</w:t>
      </w:r>
      <w:bookmarkEnd w:id="49"/>
      <w:r w:rsidRPr="00C47BE6">
        <w:rPr>
          <w:rFonts w:ascii="Calibri" w:hAnsi="Calibri" w:cs="Calibri"/>
          <w:b/>
          <w:bCs/>
          <w:color w:val="auto"/>
          <w:sz w:val="36"/>
          <w:szCs w:val="36"/>
        </w:rPr>
        <w:t xml:space="preserve"> </w:t>
      </w:r>
    </w:p>
    <w:p w14:paraId="17256211" w14:textId="77777777" w:rsidR="00C47BE6" w:rsidRPr="001001E6" w:rsidRDefault="00C47BE6" w:rsidP="00C47BE6">
      <w:pPr>
        <w:pStyle w:val="ListParagraph1"/>
      </w:pPr>
      <w:r w:rsidRPr="001001E6">
        <w:t xml:space="preserve">There is no official breakdown of Egypt’s religious demographics. Most experts estimate Sunni Muslims comprise approximately 90 per cent of the population, with Coptic </w:t>
      </w:r>
      <w:hyperlink w:anchor="_Coptic_Christians" w:history="1">
        <w:r w:rsidRPr="001001E6">
          <w:rPr>
            <w:rStyle w:val="Hyperlink"/>
          </w:rPr>
          <w:t>Christians</w:t>
        </w:r>
      </w:hyperlink>
      <w:r w:rsidRPr="001001E6">
        <w:t xml:space="preserve"> and a small numbers of other religious minority groups making up the remaining 10 per cent. The Egyptian Government only recognises the Abrahamic faiths of Islam, Christianity and Judaism.</w:t>
      </w:r>
      <w:r w:rsidRPr="001001E6">
        <w:rPr>
          <w:rStyle w:val="FootnoteReference"/>
        </w:rPr>
        <w:t xml:space="preserve"> </w:t>
      </w:r>
      <w:r w:rsidRPr="001001E6">
        <w:t xml:space="preserve"> The Constitution states Islam is the state religion and the principles of </w:t>
      </w:r>
      <w:r w:rsidRPr="001001E6">
        <w:rPr>
          <w:i/>
        </w:rPr>
        <w:t>sharia</w:t>
      </w:r>
      <w:r w:rsidRPr="001001E6">
        <w:t xml:space="preserve"> are the primary source of Egypt’s legislation. Article 64 states ‘freedom of belief is absolute’. </w:t>
      </w:r>
    </w:p>
    <w:p w14:paraId="102FE27F" w14:textId="77777777" w:rsidR="00C47BE6" w:rsidRPr="001001E6" w:rsidRDefault="00C47BE6" w:rsidP="00C47BE6">
      <w:pPr>
        <w:pStyle w:val="ListParagraph1"/>
      </w:pPr>
      <w:r w:rsidRPr="001001E6">
        <w:t xml:space="preserve">Religious institutions are responsible for personal status issues such as marriage, divorce and inheritance. Muslim personal status laws, derived from </w:t>
      </w:r>
      <w:r w:rsidRPr="001001E6">
        <w:rPr>
          <w:i/>
        </w:rPr>
        <w:t>sharia</w:t>
      </w:r>
      <w:r w:rsidRPr="001001E6">
        <w:t xml:space="preserve">, are reflected in legislation applicable to all Muslims. For </w:t>
      </w:r>
      <w:hyperlink w:anchor="_Coptic_Christians" w:history="1">
        <w:r w:rsidRPr="001001E6">
          <w:rPr>
            <w:rStyle w:val="Hyperlink"/>
          </w:rPr>
          <w:t>Christians</w:t>
        </w:r>
      </w:hyperlink>
      <w:r w:rsidRPr="001001E6">
        <w:t xml:space="preserve">, </w:t>
      </w:r>
      <w:r w:rsidRPr="001001E6">
        <w:lastRenderedPageBreak/>
        <w:t>religious authorities such as the Coptic Orthodox Church adopt personal status rules based on relevant religious doctrine. These rules are considered equivalent to administrative decisions and are subject to review in courts. At the time of writing, Egypt’s personal status laws were undergoing review.</w:t>
      </w:r>
    </w:p>
    <w:p w14:paraId="1810DE15" w14:textId="77777777" w:rsidR="00C47BE6" w:rsidRPr="001001E6" w:rsidRDefault="00C47BE6" w:rsidP="00C47BE6">
      <w:pPr>
        <w:pStyle w:val="ListParagraph1"/>
      </w:pPr>
      <w:r w:rsidRPr="001001E6">
        <w:t>Civil marriage is not permitted in Egypt. However, in-country sources said civil marriages of Egyptians abroad were recognised and could be registered by authorities if they complied with Egypt’s personal status laws. However, a marriage not in accordance with Egypt’s personal status laws would not be recognised, for example where a Muslim married a Christian in Australia. Egypt does not recognise same-sex marriage.</w:t>
      </w:r>
      <w:r>
        <w:t xml:space="preserve"> </w:t>
      </w:r>
      <w:r w:rsidRPr="001001E6">
        <w:t xml:space="preserve">Egyptian children born from civil marriages </w:t>
      </w:r>
      <w:r>
        <w:t xml:space="preserve">or out of wedlock </w:t>
      </w:r>
      <w:r w:rsidRPr="001001E6">
        <w:t>are officially recognised.</w:t>
      </w:r>
    </w:p>
    <w:p w14:paraId="5A248B18" w14:textId="77777777" w:rsidR="00C47BE6" w:rsidRPr="001001E6" w:rsidRDefault="00C47BE6" w:rsidP="00C47BE6">
      <w:pPr>
        <w:pStyle w:val="ListParagraph1"/>
      </w:pPr>
      <w:r w:rsidRPr="001001E6">
        <w:t xml:space="preserve">The Egyptian Government recognises conversion to Islam but not generally conversions from Islam to any other religion. The sole exception is the case of individuals who were not born Muslim but later converted to Islam and then wished to revert to their original religion. Egyptians attempting to convert from Islam are generally unable to have the </w:t>
      </w:r>
      <w:r w:rsidRPr="001001E6" w:rsidDel="00333FC6">
        <w:t xml:space="preserve">conversion officially recognised, including on </w:t>
      </w:r>
      <w:r w:rsidRPr="001001E6">
        <w:t xml:space="preserve">their </w:t>
      </w:r>
      <w:hyperlink w:anchor="_National_Identity_Cards" w:history="1">
        <w:r w:rsidRPr="002D69C1" w:rsidDel="00333FC6">
          <w:rPr>
            <w:rStyle w:val="Hyperlink"/>
          </w:rPr>
          <w:t>national identity cards</w:t>
        </w:r>
      </w:hyperlink>
      <w:r w:rsidRPr="001001E6">
        <w:t xml:space="preserve">. </w:t>
      </w:r>
      <w:r w:rsidRPr="001001E6" w:rsidDel="00333FC6">
        <w:t>Converts from Islam to other religions are not subject to officially sanctioned violence</w:t>
      </w:r>
      <w:r w:rsidRPr="001001E6">
        <w:t xml:space="preserve"> or</w:t>
      </w:r>
      <w:r w:rsidRPr="001001E6" w:rsidDel="00333FC6">
        <w:t xml:space="preserve"> detention</w:t>
      </w:r>
      <w:r w:rsidRPr="001001E6">
        <w:t xml:space="preserve"> but</w:t>
      </w:r>
      <w:r w:rsidRPr="001001E6" w:rsidDel="00333FC6">
        <w:t xml:space="preserve"> face significant societal discrimination in the form of rejection, ostracism and sometimes violence from their families</w:t>
      </w:r>
      <w:r w:rsidRPr="001001E6">
        <w:t xml:space="preserve"> and</w:t>
      </w:r>
      <w:r w:rsidRPr="001001E6" w:rsidDel="00333FC6">
        <w:t xml:space="preserve"> communities</w:t>
      </w:r>
      <w:r>
        <w:t xml:space="preserve"> (see also </w:t>
      </w:r>
      <w:hyperlink w:anchor="_Coptic_Christians" w:history="1">
        <w:r w:rsidRPr="00807B92">
          <w:rPr>
            <w:rStyle w:val="Hyperlink"/>
          </w:rPr>
          <w:t>Christians</w:t>
        </w:r>
      </w:hyperlink>
      <w:r>
        <w:t>).</w:t>
      </w:r>
    </w:p>
    <w:p w14:paraId="46F8EBCA" w14:textId="77777777" w:rsidR="00C47BE6" w:rsidRPr="00222670" w:rsidRDefault="00C47BE6" w:rsidP="00C47BE6">
      <w:pPr>
        <w:pStyle w:val="Heading3"/>
        <w:ind w:firstLine="0"/>
        <w:jc w:val="left"/>
        <w:rPr>
          <w:rFonts w:cs="Calibri"/>
          <w:b/>
          <w:bCs/>
          <w:color w:val="auto"/>
        </w:rPr>
      </w:pPr>
      <w:bookmarkStart w:id="50" w:name="_Alevis"/>
      <w:bookmarkStart w:id="51" w:name="_Blasphemy/_Defamation_of"/>
      <w:bookmarkStart w:id="52" w:name="_Blasphemy/Defamation_of_Religion"/>
      <w:bookmarkEnd w:id="50"/>
      <w:bookmarkEnd w:id="51"/>
      <w:bookmarkEnd w:id="52"/>
      <w:r w:rsidRPr="00551B23">
        <w:rPr>
          <w:rFonts w:cs="Calibri"/>
          <w:b/>
          <w:bCs/>
          <w:color w:val="auto"/>
        </w:rPr>
        <w:t>Blasphemy/Defamation of Religion</w:t>
      </w:r>
      <w:r>
        <w:rPr>
          <w:rFonts w:cs="Calibri"/>
          <w:b/>
          <w:bCs/>
          <w:color w:val="auto"/>
        </w:rPr>
        <w:t xml:space="preserve"> </w:t>
      </w:r>
    </w:p>
    <w:p w14:paraId="567A7694" w14:textId="77777777" w:rsidR="00C47BE6" w:rsidRDefault="00C47BE6" w:rsidP="00C47BE6">
      <w:pPr>
        <w:pStyle w:val="ListParagraph1"/>
      </w:pPr>
      <w:r w:rsidRPr="003B6790">
        <w:t xml:space="preserve">Article 98(f) of the </w:t>
      </w:r>
      <w:r w:rsidRPr="003136BC">
        <w:rPr>
          <w:i/>
          <w:iCs/>
        </w:rPr>
        <w:t>Pen</w:t>
      </w:r>
      <w:r w:rsidRPr="001E6289">
        <w:rPr>
          <w:i/>
          <w:iCs/>
        </w:rPr>
        <w:t>al Code (No. 58) 1937</w:t>
      </w:r>
      <w:r w:rsidRPr="001E6289">
        <w:t xml:space="preserve"> provides for prison sentences of up to five years and/or </w:t>
      </w:r>
      <w:r w:rsidRPr="00B70A91">
        <w:t xml:space="preserve">fines of at least </w:t>
      </w:r>
      <w:r>
        <w:t>EGP</w:t>
      </w:r>
      <w:r w:rsidRPr="00B70A91">
        <w:t xml:space="preserve">500 </w:t>
      </w:r>
      <w:r w:rsidRPr="001E6289">
        <w:t>(AUD</w:t>
      </w:r>
      <w:r>
        <w:t>15</w:t>
      </w:r>
      <w:r w:rsidRPr="001E6289">
        <w:t>)</w:t>
      </w:r>
      <w:r w:rsidRPr="00DD4C76">
        <w:t xml:space="preserve"> for ‘exploiting and using religion in advocating and propagating extremist thoughts with the aim of instigating sedition and division or disdaining and contemplating any of the heavenly religions or prejudicing national unity or social peace’. Articles 160 and 161 </w:t>
      </w:r>
      <w:r>
        <w:t>proscribe</w:t>
      </w:r>
      <w:r w:rsidRPr="00DD4C76">
        <w:t xml:space="preserve"> </w:t>
      </w:r>
      <w:r>
        <w:t>various acts</w:t>
      </w:r>
      <w:r w:rsidRPr="00DD4C76">
        <w:t xml:space="preserve"> connected with religion, including disturbing religious ceremonies, violating the sanctity of religious buildings or cemeteries, printing adulterated versions of holy books or imitating religious ceremonies for the purpose of ridicule.</w:t>
      </w:r>
      <w:r>
        <w:t xml:space="preserve"> In-country sources said </w:t>
      </w:r>
      <w:r w:rsidRPr="003B6790">
        <w:t>Article 98(f)</w:t>
      </w:r>
      <w:r>
        <w:t xml:space="preserve"> was being used considerably less since 2019 as legal justification for arresting blasphemy suspects.</w:t>
      </w:r>
    </w:p>
    <w:p w14:paraId="3323EF92" w14:textId="77777777" w:rsidR="00C47BE6" w:rsidRDefault="00C47BE6" w:rsidP="00C47BE6">
      <w:pPr>
        <w:pStyle w:val="ListParagraph1"/>
      </w:pPr>
      <w:r w:rsidRPr="007761DB">
        <w:t xml:space="preserve">Article 19 of the </w:t>
      </w:r>
      <w:r w:rsidRPr="00401EB2">
        <w:rPr>
          <w:i/>
          <w:iCs/>
        </w:rPr>
        <w:t xml:space="preserve">Anti-Cyber and Information Technology Crimes Law (No. 175) 2018 </w:t>
      </w:r>
      <w:r>
        <w:t xml:space="preserve">has been used increasingly since 2019 to arrest those posting on social media on topics seen as going </w:t>
      </w:r>
      <w:r w:rsidRPr="007761DB">
        <w:t>against ‘family values’</w:t>
      </w:r>
      <w:r>
        <w:t xml:space="preserve">. </w:t>
      </w:r>
      <w:r w:rsidRPr="00980A83">
        <w:t>The cybercrime law penali</w:t>
      </w:r>
      <w:r>
        <w:t>s</w:t>
      </w:r>
      <w:r w:rsidRPr="00980A83">
        <w:t xml:space="preserve">es </w:t>
      </w:r>
      <w:r>
        <w:t>‘</w:t>
      </w:r>
      <w:r w:rsidRPr="00980A83">
        <w:t>violating the family principles of Egyptian Society</w:t>
      </w:r>
      <w:r>
        <w:t>’</w:t>
      </w:r>
      <w:r w:rsidRPr="00980A83">
        <w:t xml:space="preserve"> with a minimum imprisonment of six</w:t>
      </w:r>
      <w:r>
        <w:t> </w:t>
      </w:r>
      <w:r w:rsidRPr="00980A83">
        <w:t>months and a fine of EGP50,000</w:t>
      </w:r>
      <w:r>
        <w:t xml:space="preserve"> to </w:t>
      </w:r>
      <w:r w:rsidRPr="00980A83">
        <w:t>100,000 (</w:t>
      </w:r>
      <w:r>
        <w:t>AUD</w:t>
      </w:r>
      <w:r w:rsidRPr="00980A83">
        <w:t>1</w:t>
      </w:r>
      <w:r>
        <w:t>,536</w:t>
      </w:r>
      <w:r w:rsidRPr="00980A83">
        <w:t xml:space="preserve"> to 3,</w:t>
      </w:r>
      <w:r>
        <w:t>072</w:t>
      </w:r>
      <w:r w:rsidRPr="00980A83">
        <w:t>).</w:t>
      </w:r>
      <w:r>
        <w:t xml:space="preserve"> The </w:t>
      </w:r>
      <w:r w:rsidRPr="00D61FAF">
        <w:t>Public Prosecut</w:t>
      </w:r>
      <w:r>
        <w:t>ion</w:t>
      </w:r>
      <w:r w:rsidRPr="00D61FAF">
        <w:t xml:space="preserve"> Office has a unit for monitoring social media</w:t>
      </w:r>
      <w:r>
        <w:t xml:space="preserve"> (especially</w:t>
      </w:r>
      <w:r w:rsidRPr="00D61FAF">
        <w:t xml:space="preserve"> Tik</w:t>
      </w:r>
      <w:r>
        <w:t>T</w:t>
      </w:r>
      <w:r w:rsidRPr="00D61FAF">
        <w:t>ok</w:t>
      </w:r>
      <w:r>
        <w:t xml:space="preserve">) but also relies on </w:t>
      </w:r>
      <w:r w:rsidRPr="00D61FAF">
        <w:t>social media users to</w:t>
      </w:r>
      <w:r>
        <w:t xml:space="preserve"> report others. What constitutes</w:t>
      </w:r>
      <w:r w:rsidRPr="00980A83">
        <w:t xml:space="preserve"> </w:t>
      </w:r>
      <w:r>
        <w:t>‘</w:t>
      </w:r>
      <w:r w:rsidRPr="00980A83">
        <w:t>family principles</w:t>
      </w:r>
      <w:r>
        <w:t>’</w:t>
      </w:r>
      <w:r w:rsidRPr="00980A83">
        <w:t xml:space="preserve"> is vague and authorities </w:t>
      </w:r>
      <w:r>
        <w:t xml:space="preserve">sometimes invoke this provision </w:t>
      </w:r>
      <w:r w:rsidRPr="00980A83">
        <w:t>to punish perceived</w:t>
      </w:r>
      <w:r>
        <w:t xml:space="preserve"> </w:t>
      </w:r>
      <w:r w:rsidRPr="00980A83">
        <w:t>blasphemy.</w:t>
      </w:r>
    </w:p>
    <w:p w14:paraId="04AA8BC9" w14:textId="77777777" w:rsidR="00C47BE6" w:rsidRDefault="00C47BE6" w:rsidP="00C47BE6">
      <w:pPr>
        <w:pStyle w:val="ListParagraph1"/>
      </w:pPr>
      <w:r w:rsidRPr="00DD4C76">
        <w:t xml:space="preserve">Misdemeanour Courts hear most </w:t>
      </w:r>
      <w:r>
        <w:t xml:space="preserve">blasphemy and </w:t>
      </w:r>
      <w:r w:rsidRPr="00DD4C76">
        <w:t>defamation of religion cases</w:t>
      </w:r>
      <w:r>
        <w:t xml:space="preserve">. </w:t>
      </w:r>
      <w:r w:rsidRPr="00DD4C76">
        <w:t>Criminal Courts have jurisdiction if the charge involve</w:t>
      </w:r>
      <w:r>
        <w:t>s</w:t>
      </w:r>
      <w:r w:rsidRPr="00DD4C76">
        <w:t xml:space="preserve"> a potential </w:t>
      </w:r>
      <w:r>
        <w:t xml:space="preserve">prison </w:t>
      </w:r>
      <w:r w:rsidRPr="00DD4C76">
        <w:t>term. It is common for</w:t>
      </w:r>
      <w:r>
        <w:t xml:space="preserve"> these</w:t>
      </w:r>
      <w:r w:rsidRPr="00DD4C76">
        <w:t xml:space="preserve"> cases</w:t>
      </w:r>
      <w:r>
        <w:t xml:space="preserve"> </w:t>
      </w:r>
      <w:r w:rsidRPr="00DD4C76">
        <w:t xml:space="preserve">to last over a year and for proceedings to be postponed repeatedly. </w:t>
      </w:r>
      <w:r>
        <w:t>T</w:t>
      </w:r>
      <w:r w:rsidRPr="00DD4C76">
        <w:t xml:space="preserve">he Public Prosecution Office </w:t>
      </w:r>
      <w:r>
        <w:t>initiates</w:t>
      </w:r>
      <w:r w:rsidRPr="00DD4C76">
        <w:t xml:space="preserve"> charges </w:t>
      </w:r>
      <w:r>
        <w:t xml:space="preserve">when </w:t>
      </w:r>
      <w:r w:rsidRPr="00DD4C76">
        <w:t xml:space="preserve">a private citizen </w:t>
      </w:r>
      <w:r>
        <w:t xml:space="preserve">or </w:t>
      </w:r>
      <w:r w:rsidRPr="00DD4C76">
        <w:t xml:space="preserve">the state files a </w:t>
      </w:r>
      <w:r>
        <w:t xml:space="preserve">complaint of blasphemy </w:t>
      </w:r>
    </w:p>
    <w:p w14:paraId="1DC14609" w14:textId="77777777" w:rsidR="00C47BE6" w:rsidRDefault="00C47BE6" w:rsidP="00C47BE6">
      <w:pPr>
        <w:pStyle w:val="ListParagraph1"/>
      </w:pPr>
      <w:hyperlink w:anchor="_Coptic_Christians" w:history="1">
        <w:r w:rsidRPr="00791396">
          <w:rPr>
            <w:rStyle w:val="Hyperlink"/>
          </w:rPr>
          <w:t>Christians</w:t>
        </w:r>
      </w:hyperlink>
      <w:r>
        <w:t xml:space="preserve"> publicly discussing Islam were sometimes arrested under </w:t>
      </w:r>
      <w:r w:rsidRPr="003B6790">
        <w:t>Article 98(f)</w:t>
      </w:r>
      <w:r>
        <w:t xml:space="preserve"> </w:t>
      </w:r>
      <w:r w:rsidRPr="003B6790">
        <w:t xml:space="preserve">of the </w:t>
      </w:r>
      <w:r w:rsidRPr="003136BC">
        <w:rPr>
          <w:i/>
          <w:iCs/>
        </w:rPr>
        <w:t>Pen</w:t>
      </w:r>
      <w:r w:rsidRPr="001E6289">
        <w:rPr>
          <w:i/>
          <w:iCs/>
        </w:rPr>
        <w:t>al Code (No. 58) 1937</w:t>
      </w:r>
      <w:r w:rsidRPr="001E6289">
        <w:t xml:space="preserve"> </w:t>
      </w:r>
      <w:r>
        <w:t xml:space="preserve">or </w:t>
      </w:r>
      <w:r w:rsidRPr="007761DB">
        <w:t xml:space="preserve">Article 19 of the </w:t>
      </w:r>
      <w:r w:rsidRPr="00401EB2">
        <w:rPr>
          <w:i/>
          <w:iCs/>
        </w:rPr>
        <w:t>Anti-Cyber and Information Technology Crimes Law (No. 175) 2018</w:t>
      </w:r>
      <w:r>
        <w:rPr>
          <w:i/>
          <w:iCs/>
        </w:rPr>
        <w:t>.</w:t>
      </w:r>
      <w:r>
        <w:t xml:space="preserve"> Most were later released without convictions after a period of pre-trial detention. In-country sources said penalties imposed for convictions for ‘</w:t>
      </w:r>
      <w:r w:rsidRPr="00980A83">
        <w:t>violating the family principles of Egyptian Society</w:t>
      </w:r>
      <w:r>
        <w:t>’</w:t>
      </w:r>
      <w:r w:rsidRPr="00B70A91">
        <w:t xml:space="preserve"> </w:t>
      </w:r>
      <w:r>
        <w:t xml:space="preserve">were inconsistent and depended on a judge’s opinion of what family principles and values had been offended. Gender and socio-economic status were also unofficially considered during sentencing (see also </w:t>
      </w:r>
      <w:hyperlink w:anchor="_Legal_system" w:history="1">
        <w:r w:rsidRPr="00F42C86">
          <w:rPr>
            <w:rStyle w:val="Hyperlink"/>
          </w:rPr>
          <w:t>Legal system</w:t>
        </w:r>
      </w:hyperlink>
      <w:r>
        <w:t>).</w:t>
      </w:r>
    </w:p>
    <w:p w14:paraId="1AA87A99" w14:textId="77777777" w:rsidR="00C47BE6" w:rsidRDefault="00C47BE6" w:rsidP="00C47BE6">
      <w:pPr>
        <w:pStyle w:val="ListParagraph1"/>
      </w:pPr>
      <w:r>
        <w:t xml:space="preserve">Recent convictions on grounds of blasphemy include </w:t>
      </w:r>
      <w:r w:rsidRPr="007F136E">
        <w:t xml:space="preserve">Yusuf Sa‘d Hanin, a Coptic Christian conscript, </w:t>
      </w:r>
      <w:r>
        <w:t>who was sentenced by a</w:t>
      </w:r>
      <w:r w:rsidRPr="007F136E">
        <w:t xml:space="preserve"> </w:t>
      </w:r>
      <w:hyperlink w:anchor="_Military_Courts_and" w:history="1">
        <w:r w:rsidRPr="00AA2B01">
          <w:rPr>
            <w:rStyle w:val="Hyperlink"/>
          </w:rPr>
          <w:t>military court</w:t>
        </w:r>
      </w:hyperlink>
      <w:r w:rsidRPr="007F136E">
        <w:t xml:space="preserve"> to three years in prison </w:t>
      </w:r>
      <w:r>
        <w:t>in July 2024 for</w:t>
      </w:r>
      <w:r w:rsidRPr="007F136E">
        <w:t xml:space="preserve"> blasphem</w:t>
      </w:r>
      <w:r>
        <w:t xml:space="preserve">y </w:t>
      </w:r>
      <w:r w:rsidRPr="007F136E">
        <w:t xml:space="preserve">after he exchanged </w:t>
      </w:r>
      <w:r>
        <w:t>‘</w:t>
      </w:r>
      <w:r w:rsidRPr="007F136E">
        <w:t>statements offensive to Islam</w:t>
      </w:r>
      <w:r>
        <w:t>’</w:t>
      </w:r>
      <w:r w:rsidRPr="007F136E">
        <w:t xml:space="preserve"> in a private</w:t>
      </w:r>
      <w:r>
        <w:t xml:space="preserve"> text message</w:t>
      </w:r>
      <w:r w:rsidRPr="007F136E">
        <w:t xml:space="preserve"> conversation</w:t>
      </w:r>
      <w:r>
        <w:t>. C</w:t>
      </w:r>
      <w:r w:rsidRPr="00AA2B01">
        <w:t>omposer Ahmed Hegazy</w:t>
      </w:r>
      <w:r>
        <w:t xml:space="preserve"> was sentenced </w:t>
      </w:r>
      <w:r w:rsidRPr="00AA2B01">
        <w:t xml:space="preserve">to six months in prison </w:t>
      </w:r>
      <w:r>
        <w:t>i</w:t>
      </w:r>
      <w:r w:rsidRPr="00AA2B01">
        <w:t xml:space="preserve">n January 2024 for </w:t>
      </w:r>
      <w:r>
        <w:t>‘</w:t>
      </w:r>
      <w:r w:rsidRPr="00AA2B01">
        <w:t>contempt of religion</w:t>
      </w:r>
      <w:r>
        <w:t>’</w:t>
      </w:r>
      <w:r w:rsidRPr="00AA2B01">
        <w:t xml:space="preserve"> after he appeared in a video reciting verses of the Qur’an to a tune deemed inappropriate</w:t>
      </w:r>
      <w:r>
        <w:t xml:space="preserve"> by authorities</w:t>
      </w:r>
      <w:r w:rsidRPr="00AA2B01">
        <w:t>.</w:t>
      </w:r>
      <w:r>
        <w:t xml:space="preserve"> A </w:t>
      </w:r>
      <w:r w:rsidRPr="007A7BD0">
        <w:t xml:space="preserve">TikTok content creator using the account name 'al-Prince al-Masry' (Egyptian Prince) </w:t>
      </w:r>
      <w:r>
        <w:t xml:space="preserve">was sentenced to </w:t>
      </w:r>
      <w:r w:rsidRPr="007A7BD0">
        <w:t>three years in prison</w:t>
      </w:r>
      <w:r>
        <w:t xml:space="preserve"> in</w:t>
      </w:r>
      <w:r w:rsidRPr="007A7BD0">
        <w:t xml:space="preserve"> February 2023 for insulting Christianity via several videos in which he burned the Bible, smashed a cross and insulted Jesus</w:t>
      </w:r>
      <w:r>
        <w:t>.</w:t>
      </w:r>
      <w:r w:rsidRPr="007A7BD0">
        <w:rPr>
          <w:rStyle w:val="FootnoteReference"/>
        </w:rPr>
        <w:t xml:space="preserve"> </w:t>
      </w:r>
    </w:p>
    <w:p w14:paraId="4C740351" w14:textId="77777777" w:rsidR="00C47BE6" w:rsidRPr="00621CB6" w:rsidRDefault="00C47BE6" w:rsidP="00C47BE6">
      <w:pPr>
        <w:pStyle w:val="Heading3"/>
        <w:ind w:firstLine="0"/>
        <w:jc w:val="left"/>
        <w:rPr>
          <w:rFonts w:cs="Calibri"/>
          <w:b/>
          <w:bCs/>
          <w:color w:val="auto"/>
        </w:rPr>
      </w:pPr>
      <w:r w:rsidRPr="00824268">
        <w:rPr>
          <w:rFonts w:cs="Calibri"/>
          <w:b/>
          <w:bCs/>
          <w:color w:val="auto"/>
        </w:rPr>
        <w:lastRenderedPageBreak/>
        <w:t>Atheists</w:t>
      </w:r>
    </w:p>
    <w:p w14:paraId="19B01C0F" w14:textId="77777777" w:rsidR="00C47BE6" w:rsidRDefault="00C47BE6" w:rsidP="00C47BE6">
      <w:pPr>
        <w:pStyle w:val="ListParagraph1"/>
      </w:pPr>
      <w:r w:rsidRPr="004248A9">
        <w:t>There is no l</w:t>
      </w:r>
      <w:r>
        <w:t>aw</w:t>
      </w:r>
      <w:r w:rsidRPr="004248A9">
        <w:t xml:space="preserve"> preventing atheism</w:t>
      </w:r>
      <w:r>
        <w:t xml:space="preserve"> in Egypt, h</w:t>
      </w:r>
      <w:r w:rsidRPr="004248A9">
        <w:t>owever</w:t>
      </w:r>
      <w:r>
        <w:t xml:space="preserve"> in-country sources said</w:t>
      </w:r>
      <w:r w:rsidRPr="004248A9">
        <w:t xml:space="preserve"> </w:t>
      </w:r>
      <w:r>
        <w:t>the</w:t>
      </w:r>
      <w:r w:rsidRPr="004248A9">
        <w:t xml:space="preserve"> centrality of religio</w:t>
      </w:r>
      <w:r>
        <w:t>n was rarely questioned.</w:t>
      </w:r>
      <w:r w:rsidRPr="004248A9">
        <w:t xml:space="preserve"> </w:t>
      </w:r>
      <w:r w:rsidRPr="009F2D35">
        <w:t xml:space="preserve">There are no </w:t>
      </w:r>
      <w:r>
        <w:t xml:space="preserve">official </w:t>
      </w:r>
      <w:r w:rsidRPr="009F2D35">
        <w:t xml:space="preserve">statistics on </w:t>
      </w:r>
      <w:r>
        <w:t>the number of</w:t>
      </w:r>
      <w:r w:rsidRPr="009F2D35">
        <w:t xml:space="preserve"> </w:t>
      </w:r>
      <w:r>
        <w:t>atheists</w:t>
      </w:r>
      <w:r w:rsidRPr="009F2D35">
        <w:t xml:space="preserve"> in Egypt</w:t>
      </w:r>
      <w:r>
        <w:t xml:space="preserve"> but e</w:t>
      </w:r>
      <w:r w:rsidRPr="009F2D35">
        <w:t>stimate</w:t>
      </w:r>
      <w:r>
        <w:t>s</w:t>
      </w:r>
      <w:r w:rsidRPr="009F2D35">
        <w:t xml:space="preserve"> </w:t>
      </w:r>
      <w:r>
        <w:t>range from hundreds to millions. L</w:t>
      </w:r>
      <w:r w:rsidRPr="007761DB">
        <w:t xml:space="preserve">ocal media sources quoted a former Minister of Culture </w:t>
      </w:r>
      <w:r>
        <w:t xml:space="preserve">in 2020 as </w:t>
      </w:r>
      <w:r w:rsidRPr="007761DB">
        <w:t xml:space="preserve">estimating </w:t>
      </w:r>
      <w:r>
        <w:t xml:space="preserve">the </w:t>
      </w:r>
      <w:r w:rsidRPr="007761DB">
        <w:t>number of atheists a</w:t>
      </w:r>
      <w:r>
        <w:t>s</w:t>
      </w:r>
      <w:r w:rsidRPr="007761DB">
        <w:t xml:space="preserve"> several million</w:t>
      </w:r>
      <w:r>
        <w:t xml:space="preserve">, while a </w:t>
      </w:r>
      <w:r w:rsidRPr="007761DB">
        <w:t>scholar at al-Azhar University</w:t>
      </w:r>
      <w:r>
        <w:t xml:space="preserve"> said there were </w:t>
      </w:r>
      <w:r w:rsidRPr="007761DB">
        <w:t xml:space="preserve">four million. Boston University’s 2020 </w:t>
      </w:r>
      <w:r w:rsidRPr="00C17AF5">
        <w:rPr>
          <w:i/>
          <w:iCs/>
        </w:rPr>
        <w:t>World Religions Database</w:t>
      </w:r>
      <w:r w:rsidRPr="007761DB">
        <w:t xml:space="preserve"> </w:t>
      </w:r>
      <w:r>
        <w:t>reported</w:t>
      </w:r>
      <w:r w:rsidRPr="007761DB">
        <w:t xml:space="preserve"> there are approximately 700,000 atheists and agnostics</w:t>
      </w:r>
      <w:r>
        <w:t xml:space="preserve"> in Egypt</w:t>
      </w:r>
      <w:r w:rsidRPr="007761DB">
        <w:t>.</w:t>
      </w:r>
    </w:p>
    <w:p w14:paraId="143138EE" w14:textId="77777777" w:rsidR="00C47BE6" w:rsidRDefault="00C47BE6" w:rsidP="00C47BE6">
      <w:pPr>
        <w:pStyle w:val="ListParagraph1"/>
      </w:pPr>
      <w:r w:rsidRPr="00C8763B">
        <w:t xml:space="preserve">The </w:t>
      </w:r>
      <w:r w:rsidRPr="003136BC">
        <w:rPr>
          <w:i/>
          <w:iCs/>
        </w:rPr>
        <w:t>Penal Code (No. 58) 1937</w:t>
      </w:r>
      <w:r w:rsidRPr="00C8763B">
        <w:t xml:space="preserve"> does not criminali</w:t>
      </w:r>
      <w:r>
        <w:t>se</w:t>
      </w:r>
      <w:r w:rsidRPr="00C8763B">
        <w:t xml:space="preserve"> atheism</w:t>
      </w:r>
      <w:r>
        <w:t xml:space="preserve"> h</w:t>
      </w:r>
      <w:r w:rsidRPr="00C8763B">
        <w:t>owever Article 98</w:t>
      </w:r>
      <w:r>
        <w:t xml:space="preserve">(f) on </w:t>
      </w:r>
      <w:hyperlink w:anchor="_Blasphemy/_Defamation_of" w:history="1">
        <w:r w:rsidRPr="00E818E4">
          <w:rPr>
            <w:rStyle w:val="Hyperlink"/>
          </w:rPr>
          <w:t>blasphemy</w:t>
        </w:r>
      </w:hyperlink>
      <w:r w:rsidRPr="00C8763B">
        <w:t xml:space="preserve"> has been </w:t>
      </w:r>
      <w:r w:rsidRPr="00CE49C0">
        <w:t xml:space="preserve">used </w:t>
      </w:r>
      <w:r w:rsidRPr="00C8763B">
        <w:t>selectively</w:t>
      </w:r>
      <w:r w:rsidRPr="00CE49C0">
        <w:t xml:space="preserve"> against</w:t>
      </w:r>
      <w:r>
        <w:t xml:space="preserve"> those</w:t>
      </w:r>
      <w:r w:rsidRPr="00CE49C0">
        <w:t xml:space="preserve"> </w:t>
      </w:r>
      <w:r>
        <w:t xml:space="preserve">making </w:t>
      </w:r>
      <w:r w:rsidRPr="00CE49C0">
        <w:t>public declarations of atheism</w:t>
      </w:r>
      <w:r w:rsidRPr="00C8763B">
        <w:t>.</w:t>
      </w:r>
      <w:r w:rsidRPr="008F2467">
        <w:rPr>
          <w:rStyle w:val="FootnoteReference"/>
        </w:rPr>
        <w:t xml:space="preserve"> </w:t>
      </w:r>
      <w:r w:rsidRPr="00C8763B">
        <w:t xml:space="preserve"> </w:t>
      </w:r>
      <w:r w:rsidRPr="008F2467">
        <w:t>For example, Egyptian blogger and activist</w:t>
      </w:r>
      <w:r>
        <w:t>,</w:t>
      </w:r>
      <w:r w:rsidRPr="008F2467">
        <w:t xml:space="preserve"> Anas Hassan</w:t>
      </w:r>
      <w:r>
        <w:t>,</w:t>
      </w:r>
      <w:r w:rsidRPr="008F2467">
        <w:t xml:space="preserve"> was convicted in February 2020 of </w:t>
      </w:r>
      <w:r>
        <w:t>‘</w:t>
      </w:r>
      <w:r w:rsidRPr="008F2467">
        <w:t>insulting religion and misusing social media</w:t>
      </w:r>
      <w:r>
        <w:t>’</w:t>
      </w:r>
      <w:r w:rsidRPr="008F2467">
        <w:t xml:space="preserve"> for </w:t>
      </w:r>
      <w:r>
        <w:t>creating</w:t>
      </w:r>
      <w:r w:rsidRPr="008F2467">
        <w:t xml:space="preserve"> a Facebook page called </w:t>
      </w:r>
      <w:r>
        <w:t>‘</w:t>
      </w:r>
      <w:r w:rsidRPr="008F2467">
        <w:t>Egyptian Atheists</w:t>
      </w:r>
      <w:r>
        <w:t>’</w:t>
      </w:r>
      <w:r w:rsidRPr="008F2467">
        <w:t>, which contained content promoting atheism</w:t>
      </w:r>
      <w:r>
        <w:t xml:space="preserve"> that was viewed as </w:t>
      </w:r>
      <w:proofErr w:type="spellStart"/>
      <w:r w:rsidRPr="006775DD">
        <w:t>proselyti</w:t>
      </w:r>
      <w:r>
        <w:t>s</w:t>
      </w:r>
      <w:r w:rsidRPr="006775DD">
        <w:t>ation</w:t>
      </w:r>
      <w:proofErr w:type="spellEnd"/>
      <w:r w:rsidRPr="008F2467">
        <w:t xml:space="preserve">. He was </w:t>
      </w:r>
      <w:r>
        <w:t xml:space="preserve">later </w:t>
      </w:r>
      <w:r w:rsidRPr="008F2467">
        <w:t>sentenced to three years in prison</w:t>
      </w:r>
      <w:r>
        <w:t xml:space="preserve">. In-country sources said only those publicly promoting atheism would potentially be targeted with legal action for blasphemy. </w:t>
      </w:r>
      <w:r w:rsidRPr="006C43A8">
        <w:t xml:space="preserve">At the time of writing, DFAT was not aware of </w:t>
      </w:r>
      <w:r>
        <w:t xml:space="preserve">recent instances of </w:t>
      </w:r>
      <w:r w:rsidRPr="001932FE">
        <w:t>Article 98(f) on blasphemy</w:t>
      </w:r>
      <w:r>
        <w:t xml:space="preserve"> being</w:t>
      </w:r>
      <w:r>
        <w:rPr>
          <w:i/>
          <w:iCs/>
        </w:rPr>
        <w:t xml:space="preserve"> </w:t>
      </w:r>
      <w:r w:rsidRPr="006C43A8">
        <w:t xml:space="preserve">used against </w:t>
      </w:r>
      <w:r>
        <w:t>atheists.</w:t>
      </w:r>
    </w:p>
    <w:p w14:paraId="3F61AEE5" w14:textId="694E0AC2" w:rsidR="00C47BE6" w:rsidRDefault="00C47BE6" w:rsidP="00C47BE6">
      <w:pPr>
        <w:pStyle w:val="ListParagraph1"/>
      </w:pPr>
      <w:r w:rsidRPr="007761DB">
        <w:t xml:space="preserve">Article 19 of the </w:t>
      </w:r>
      <w:r w:rsidRPr="00401EB2">
        <w:rPr>
          <w:i/>
          <w:iCs/>
        </w:rPr>
        <w:t xml:space="preserve">Anti-Cyber and Information Technology Crimes Law (No. 175) 2018 </w:t>
      </w:r>
      <w:r>
        <w:t xml:space="preserve">has been used selectively to arrest those posting on social media on topics seen as going </w:t>
      </w:r>
      <w:r w:rsidRPr="007761DB">
        <w:t>against ‘family values’</w:t>
      </w:r>
      <w:r>
        <w:t xml:space="preserve">, including atheism. Although the </w:t>
      </w:r>
      <w:r w:rsidRPr="007761DB">
        <w:t>Public Prosecutors Office has a unit for monitoring social media</w:t>
      </w:r>
      <w:r>
        <w:t>, it often</w:t>
      </w:r>
      <w:r w:rsidRPr="007761DB">
        <w:t xml:space="preserve"> rel</w:t>
      </w:r>
      <w:r>
        <w:t>ies</w:t>
      </w:r>
      <w:r w:rsidRPr="007761DB">
        <w:t xml:space="preserve"> on social media users to </w:t>
      </w:r>
      <w:r>
        <w:t xml:space="preserve">report others. In-country sources said </w:t>
      </w:r>
      <w:r w:rsidRPr="007761DB">
        <w:t xml:space="preserve">the </w:t>
      </w:r>
      <w:r w:rsidRPr="00401EB2">
        <w:rPr>
          <w:i/>
          <w:iCs/>
        </w:rPr>
        <w:t>Anti-Cyber and Information Technology Crimes Law (No. 175) 2018</w:t>
      </w:r>
      <w:r w:rsidRPr="007761DB">
        <w:t xml:space="preserve"> </w:t>
      </w:r>
      <w:r>
        <w:t>had been used against</w:t>
      </w:r>
      <w:r w:rsidRPr="007761DB">
        <w:t xml:space="preserve"> atheists</w:t>
      </w:r>
      <w:r>
        <w:t xml:space="preserve"> but could not detail any recent cases. In-country sources said only </w:t>
      </w:r>
      <w:r w:rsidRPr="007761DB">
        <w:t xml:space="preserve">atheists </w:t>
      </w:r>
      <w:r>
        <w:t xml:space="preserve">promoting the practice on social media would potentially </w:t>
      </w:r>
      <w:r w:rsidR="008954ED">
        <w:t xml:space="preserve">be </w:t>
      </w:r>
      <w:r>
        <w:t xml:space="preserve">arrested. </w:t>
      </w:r>
      <w:r w:rsidRPr="006C43A8">
        <w:t xml:space="preserve">At the time of writing, DFAT was not aware of </w:t>
      </w:r>
      <w:r>
        <w:t xml:space="preserve">recent instances of the </w:t>
      </w:r>
      <w:r w:rsidRPr="00401EB2">
        <w:rPr>
          <w:i/>
          <w:iCs/>
        </w:rPr>
        <w:t>Anti-Cyber and Information Technology Crimes Law (No. 175) 2018</w:t>
      </w:r>
      <w:r>
        <w:rPr>
          <w:i/>
          <w:iCs/>
        </w:rPr>
        <w:t xml:space="preserve"> </w:t>
      </w:r>
      <w:r w:rsidRPr="006C43A8">
        <w:t xml:space="preserve">used against </w:t>
      </w:r>
      <w:r>
        <w:t>atheists.</w:t>
      </w:r>
    </w:p>
    <w:p w14:paraId="217F5605" w14:textId="77777777" w:rsidR="00C47BE6" w:rsidRDefault="00C47BE6" w:rsidP="00C47BE6">
      <w:pPr>
        <w:pStyle w:val="ListParagraph1"/>
      </w:pPr>
      <w:r>
        <w:t>I</w:t>
      </w:r>
      <w:r w:rsidRPr="00C17AF5">
        <w:t xml:space="preserve">t is </w:t>
      </w:r>
      <w:r>
        <w:t xml:space="preserve">difficult </w:t>
      </w:r>
      <w:r w:rsidRPr="00C17AF5">
        <w:t>to live in Egypt completely free of religious tradition</w:t>
      </w:r>
      <w:r>
        <w:t xml:space="preserve">. </w:t>
      </w:r>
      <w:hyperlink w:anchor="_National_Identity_Cards" w:history="1">
        <w:r w:rsidRPr="007761DB">
          <w:rPr>
            <w:rStyle w:val="Hyperlink"/>
          </w:rPr>
          <w:t>National identity cards</w:t>
        </w:r>
      </w:hyperlink>
      <w:r w:rsidRPr="004248A9">
        <w:t xml:space="preserve"> and corresponding records reflect a perso</w:t>
      </w:r>
      <w:r>
        <w:t xml:space="preserve">n’s religious identity at birth (see </w:t>
      </w:r>
      <w:hyperlink w:anchor="_DOCUMENTATION" w:history="1">
        <w:r w:rsidRPr="007761DB">
          <w:rPr>
            <w:rStyle w:val="Hyperlink"/>
          </w:rPr>
          <w:t>Document</w:t>
        </w:r>
        <w:r>
          <w:rPr>
            <w:rStyle w:val="Hyperlink"/>
          </w:rPr>
          <w:t>ation</w:t>
        </w:r>
      </w:hyperlink>
      <w:r>
        <w:t xml:space="preserve">). </w:t>
      </w:r>
      <w:r w:rsidRPr="00C17AF5">
        <w:t>Official guidance from the Ministry of Justice stipulates marriage to an atheist</w:t>
      </w:r>
      <w:r>
        <w:t xml:space="preserve"> is prohibited because only </w:t>
      </w:r>
      <w:r w:rsidRPr="00C8763B">
        <w:t xml:space="preserve">religious </w:t>
      </w:r>
      <w:r>
        <w:t>marriages</w:t>
      </w:r>
      <w:r w:rsidRPr="00C8763B">
        <w:t xml:space="preserve"> </w:t>
      </w:r>
      <w:r>
        <w:t xml:space="preserve">are </w:t>
      </w:r>
      <w:r w:rsidRPr="00C8763B">
        <w:t>recogni</w:t>
      </w:r>
      <w:r>
        <w:t>s</w:t>
      </w:r>
      <w:r w:rsidRPr="00C8763B">
        <w:t>e</w:t>
      </w:r>
      <w:r>
        <w:t xml:space="preserve">d. This means </w:t>
      </w:r>
      <w:r w:rsidRPr="00C8763B">
        <w:t>atheists</w:t>
      </w:r>
      <w:r>
        <w:t xml:space="preserve"> wanting to marry</w:t>
      </w:r>
      <w:r w:rsidRPr="00C8763B">
        <w:t xml:space="preserve"> </w:t>
      </w:r>
      <w:r>
        <w:t>first need to</w:t>
      </w:r>
      <w:r w:rsidRPr="00C8763B">
        <w:t xml:space="preserve"> register a religious identity </w:t>
      </w:r>
      <w:r>
        <w:t>in conflict with their beliefs</w:t>
      </w:r>
      <w:r w:rsidRPr="00C8763B">
        <w:t>.</w:t>
      </w:r>
    </w:p>
    <w:p w14:paraId="2D13B497" w14:textId="77777777" w:rsidR="00C47BE6" w:rsidRDefault="00C47BE6" w:rsidP="00C47BE6">
      <w:pPr>
        <w:pStyle w:val="ListParagraph1"/>
      </w:pPr>
      <w:r w:rsidRPr="00581F14">
        <w:t xml:space="preserve">Atheism </w:t>
      </w:r>
      <w:r>
        <w:t>is not well understood in Egypt but most atheists are</w:t>
      </w:r>
      <w:r w:rsidRPr="00E818E4">
        <w:t xml:space="preserve"> tolerate</w:t>
      </w:r>
      <w:r>
        <w:t xml:space="preserve">d unless they advocate publicly for the practice. In-country sources said most Egyptians held the view atheists could </w:t>
      </w:r>
      <w:r w:rsidRPr="00E818E4">
        <w:t xml:space="preserve">think and believe whatever </w:t>
      </w:r>
      <w:r>
        <w:t>they</w:t>
      </w:r>
      <w:r w:rsidRPr="00E818E4">
        <w:t xml:space="preserve"> want</w:t>
      </w:r>
      <w:r>
        <w:t>ed</w:t>
      </w:r>
      <w:r w:rsidRPr="00E818E4">
        <w:t xml:space="preserve"> </w:t>
      </w:r>
      <w:r>
        <w:t>provided</w:t>
      </w:r>
      <w:r w:rsidRPr="00E818E4">
        <w:t xml:space="preserve"> </w:t>
      </w:r>
      <w:r>
        <w:t>they</w:t>
      </w:r>
      <w:r w:rsidRPr="00E818E4">
        <w:t xml:space="preserve"> ke</w:t>
      </w:r>
      <w:r>
        <w:t>pt it to themselves</w:t>
      </w:r>
      <w:r w:rsidRPr="00581F14">
        <w:t>.</w:t>
      </w:r>
      <w:r>
        <w:t xml:space="preserve"> Some g</w:t>
      </w:r>
      <w:r w:rsidRPr="00C62E72">
        <w:t xml:space="preserve">overnment </w:t>
      </w:r>
      <w:r>
        <w:t>officials and religious figures have come out against atheism</w:t>
      </w:r>
      <w:r w:rsidRPr="00C62E72">
        <w:t xml:space="preserve">, </w:t>
      </w:r>
      <w:r>
        <w:t xml:space="preserve">including </w:t>
      </w:r>
      <w:r w:rsidRPr="00C62E72">
        <w:t xml:space="preserve">negatively stereotyping </w:t>
      </w:r>
      <w:r>
        <w:t>the practice</w:t>
      </w:r>
      <w:r w:rsidRPr="00C62E72">
        <w:t xml:space="preserve"> and suggesting </w:t>
      </w:r>
      <w:r>
        <w:t>it wa</w:t>
      </w:r>
      <w:r w:rsidRPr="00C62E72">
        <w:t>s a sickness</w:t>
      </w:r>
      <w:r>
        <w:t xml:space="preserve">. In-country sources said instances of </w:t>
      </w:r>
      <w:r w:rsidRPr="00581F14">
        <w:t>vigilantis</w:t>
      </w:r>
      <w:r>
        <w:t xml:space="preserve">m against atheists were rare, especially against those not publicly advocating for the practice or posting about it on social media. </w:t>
      </w:r>
      <w:r w:rsidRPr="006C43A8">
        <w:t xml:space="preserve">At the time of writing, DFAT was not aware of </w:t>
      </w:r>
      <w:r>
        <w:t>recent instances of societal violence targeting atheists.</w:t>
      </w:r>
    </w:p>
    <w:p w14:paraId="6803D63A" w14:textId="77777777" w:rsidR="00C47BE6" w:rsidRPr="00426E20" w:rsidRDefault="00C47BE6" w:rsidP="00C47BE6">
      <w:pPr>
        <w:pStyle w:val="ListParagraph1"/>
      </w:pPr>
      <w:r w:rsidRPr="004D5AA3">
        <w:t>DFAT assesses</w:t>
      </w:r>
      <w:r>
        <w:t xml:space="preserve"> it is rare for atheists to </w:t>
      </w:r>
      <w:r w:rsidRPr="004D5AA3">
        <w:t>face official discrimination</w:t>
      </w:r>
      <w:r>
        <w:t xml:space="preserve"> based on their lack of religion unless they publicly advocate for and </w:t>
      </w:r>
      <w:r w:rsidRPr="008F2467">
        <w:t>promot</w:t>
      </w:r>
      <w:r>
        <w:t xml:space="preserve">e the practice. </w:t>
      </w:r>
      <w:r w:rsidRPr="00E30F6B">
        <w:t>Proselyti</w:t>
      </w:r>
      <w:r>
        <w:t>s</w:t>
      </w:r>
      <w:r w:rsidRPr="00E30F6B">
        <w:t xml:space="preserve">ing is highly restricted in Egypt due to </w:t>
      </w:r>
      <w:hyperlink w:anchor="_Alevis" w:history="1">
        <w:r w:rsidRPr="00E30F6B">
          <w:rPr>
            <w:rStyle w:val="Hyperlink"/>
          </w:rPr>
          <w:t>blasphemy</w:t>
        </w:r>
      </w:hyperlink>
      <w:r w:rsidRPr="00E30F6B">
        <w:t xml:space="preserve"> and apostasy laws</w:t>
      </w:r>
      <w:r>
        <w:t>,</w:t>
      </w:r>
      <w:r w:rsidRPr="00E30F6B">
        <w:t xml:space="preserve"> </w:t>
      </w:r>
      <w:r>
        <w:t>with those engaging in the practice likely to face</w:t>
      </w:r>
      <w:r w:rsidRPr="00E30F6B">
        <w:t xml:space="preserve"> arrest.</w:t>
      </w:r>
      <w:r>
        <w:t xml:space="preserve"> DFAT assesses it is rare for atheists to face societal discrimination based on their lack of religion unless they publicly advocate for and promote the practice. DFAT assesses it is rare for atheists to face societal violence.</w:t>
      </w:r>
    </w:p>
    <w:p w14:paraId="763E52F2" w14:textId="77777777" w:rsidR="00C47BE6" w:rsidRPr="00621CB6" w:rsidRDefault="00C47BE6" w:rsidP="00C47BE6">
      <w:pPr>
        <w:pStyle w:val="Heading3"/>
        <w:ind w:firstLine="0"/>
        <w:jc w:val="left"/>
        <w:rPr>
          <w:rFonts w:cs="Calibri"/>
          <w:b/>
          <w:bCs/>
          <w:color w:val="auto"/>
        </w:rPr>
      </w:pPr>
      <w:bookmarkStart w:id="53" w:name="_Baha’i"/>
      <w:bookmarkEnd w:id="53"/>
      <w:r w:rsidRPr="00A20D9F">
        <w:rPr>
          <w:rFonts w:cs="Calibri"/>
          <w:b/>
          <w:bCs/>
          <w:color w:val="auto"/>
        </w:rPr>
        <w:t>Baha’i</w:t>
      </w:r>
    </w:p>
    <w:p w14:paraId="500112FC" w14:textId="71FFA0F8" w:rsidR="00C47BE6" w:rsidRDefault="00C47BE6" w:rsidP="00C47BE6">
      <w:pPr>
        <w:pStyle w:val="ListParagraph1"/>
      </w:pPr>
      <w:r>
        <w:t xml:space="preserve">The </w:t>
      </w:r>
      <w:r w:rsidRPr="0051795B">
        <w:t>Bah</w:t>
      </w:r>
      <w:r>
        <w:t>a’i</w:t>
      </w:r>
      <w:r w:rsidRPr="0051795B">
        <w:t xml:space="preserve"> faith proclaims the essential unity of all religions and humanity. It is concerned with social ethics and has no priesthood or sacraments. </w:t>
      </w:r>
      <w:r w:rsidR="003C6BB8">
        <w:t xml:space="preserve">As a result </w:t>
      </w:r>
      <w:r w:rsidRPr="0051795B">
        <w:t xml:space="preserve">of its 19 initial disciples, it considers the number 19 sacred. Adherents are expected to pray daily, fast 19 days a year and </w:t>
      </w:r>
      <w:r>
        <w:t xml:space="preserve">obey </w:t>
      </w:r>
      <w:r w:rsidRPr="0051795B">
        <w:t>a strict ethical code.</w:t>
      </w:r>
      <w:r>
        <w:t xml:space="preserve"> </w:t>
      </w:r>
      <w:r w:rsidRPr="009F2D35">
        <w:t xml:space="preserve">There are no </w:t>
      </w:r>
      <w:r>
        <w:t xml:space="preserve">official </w:t>
      </w:r>
      <w:r w:rsidRPr="009F2D35">
        <w:t xml:space="preserve">statistics on </w:t>
      </w:r>
      <w:r>
        <w:t>the number of</w:t>
      </w:r>
      <w:r w:rsidRPr="009F2D35">
        <w:t xml:space="preserve"> </w:t>
      </w:r>
      <w:r>
        <w:t>Baha’i</w:t>
      </w:r>
      <w:r w:rsidRPr="009F2D35">
        <w:t xml:space="preserve"> in Egypt</w:t>
      </w:r>
      <w:r>
        <w:t xml:space="preserve"> but e</w:t>
      </w:r>
      <w:r w:rsidRPr="009F2D35">
        <w:t>stimate</w:t>
      </w:r>
      <w:r>
        <w:t>s</w:t>
      </w:r>
      <w:r w:rsidRPr="009F2D35">
        <w:t xml:space="preserve"> </w:t>
      </w:r>
      <w:r>
        <w:t xml:space="preserve">range from </w:t>
      </w:r>
      <w:r w:rsidRPr="0051795B">
        <w:t>1,</w:t>
      </w:r>
      <w:r>
        <w:t>0</w:t>
      </w:r>
      <w:r w:rsidRPr="0051795B">
        <w:t>00 to over 7,000</w:t>
      </w:r>
      <w:r>
        <w:t>.</w:t>
      </w:r>
    </w:p>
    <w:p w14:paraId="54423E2A" w14:textId="77777777" w:rsidR="00C47BE6" w:rsidRDefault="00C47BE6" w:rsidP="00C47BE6">
      <w:pPr>
        <w:pStyle w:val="ListParagraph1"/>
      </w:pPr>
      <w:r w:rsidRPr="004248A9">
        <w:t>T</w:t>
      </w:r>
      <w:r>
        <w:t xml:space="preserve">he Egyptian Government does not recognise the Baha’i faith because its </w:t>
      </w:r>
      <w:r w:rsidRPr="0051795B">
        <w:t>legal status was annulled</w:t>
      </w:r>
      <w:r>
        <w:t xml:space="preserve"> by the </w:t>
      </w:r>
      <w:r w:rsidRPr="00782D61">
        <w:rPr>
          <w:i/>
          <w:iCs/>
        </w:rPr>
        <w:t>1960 decree (</w:t>
      </w:r>
      <w:r>
        <w:rPr>
          <w:i/>
          <w:iCs/>
        </w:rPr>
        <w:t xml:space="preserve">No. </w:t>
      </w:r>
      <w:r w:rsidRPr="00782D61">
        <w:rPr>
          <w:i/>
          <w:iCs/>
        </w:rPr>
        <w:t>263)</w:t>
      </w:r>
      <w:r>
        <w:t xml:space="preserve">. </w:t>
      </w:r>
      <w:r w:rsidRPr="006163A6">
        <w:t>Baha’i institutions and community activities</w:t>
      </w:r>
      <w:r>
        <w:t xml:space="preserve"> are officially banned although the </w:t>
      </w:r>
      <w:r w:rsidRPr="003136BC">
        <w:rPr>
          <w:i/>
          <w:iCs/>
        </w:rPr>
        <w:t>Penal Code (No. 58) 1937</w:t>
      </w:r>
      <w:r>
        <w:t xml:space="preserve"> </w:t>
      </w:r>
      <w:r w:rsidRPr="006163A6">
        <w:t xml:space="preserve">does not stipulate penalties for banned religious groups or members who engage in </w:t>
      </w:r>
      <w:r>
        <w:t xml:space="preserve">banned </w:t>
      </w:r>
      <w:r w:rsidRPr="006163A6">
        <w:t>religious practices</w:t>
      </w:r>
      <w:r>
        <w:t xml:space="preserve">. Baha’i organisations do not have the legal right to own </w:t>
      </w:r>
      <w:r w:rsidRPr="006163A6">
        <w:t>houses of worship or other property, hold bank accounts or import religious literature.</w:t>
      </w:r>
      <w:r>
        <w:t xml:space="preserve"> </w:t>
      </w:r>
      <w:proofErr w:type="spellStart"/>
      <w:r w:rsidRPr="006873C2">
        <w:t>Bassatine</w:t>
      </w:r>
      <w:proofErr w:type="spellEnd"/>
      <w:r w:rsidRPr="006873C2">
        <w:t xml:space="preserve"> Cemetery in Cairo</w:t>
      </w:r>
      <w:r>
        <w:t xml:space="preserve"> is the </w:t>
      </w:r>
      <w:r w:rsidRPr="006873C2">
        <w:t xml:space="preserve">only cemetery in </w:t>
      </w:r>
      <w:r>
        <w:t>Egypt that permits</w:t>
      </w:r>
      <w:r w:rsidRPr="006873C2">
        <w:t xml:space="preserve"> Baha’i </w:t>
      </w:r>
      <w:r w:rsidRPr="006873C2">
        <w:lastRenderedPageBreak/>
        <w:t>buri</w:t>
      </w:r>
      <w:r>
        <w:t>als</w:t>
      </w:r>
      <w:r w:rsidRPr="006873C2">
        <w:t>.</w:t>
      </w:r>
      <w:r>
        <w:t xml:space="preserve"> In-country sources said </w:t>
      </w:r>
      <w:r w:rsidRPr="00EB0378">
        <w:t>Baha’is</w:t>
      </w:r>
      <w:r>
        <w:t xml:space="preserve"> were permitted to</w:t>
      </w:r>
      <w:r w:rsidRPr="00EB0378">
        <w:t xml:space="preserve"> worship privately in small numbers</w:t>
      </w:r>
      <w:r>
        <w:t xml:space="preserve"> but were unable to hold larger public gatherings or </w:t>
      </w:r>
      <w:r w:rsidRPr="009556B4">
        <w:t>proselytise</w:t>
      </w:r>
      <w:r w:rsidRPr="00EB0378">
        <w:t>.</w:t>
      </w:r>
      <w:r>
        <w:t xml:space="preserve"> </w:t>
      </w:r>
    </w:p>
    <w:p w14:paraId="0C57AB53" w14:textId="77777777" w:rsidR="00C47BE6" w:rsidRDefault="00C47BE6" w:rsidP="00C47BE6">
      <w:pPr>
        <w:pStyle w:val="ListParagraph1"/>
      </w:pPr>
      <w:r>
        <w:t>P</w:t>
      </w:r>
      <w:r w:rsidRPr="006163A6">
        <w:t>ersonal status issues in Egypt are informed by religious rather than civil law</w:t>
      </w:r>
      <w:r>
        <w:t xml:space="preserve"> but</w:t>
      </w:r>
      <w:r w:rsidRPr="006163A6">
        <w:t xml:space="preserve"> this </w:t>
      </w:r>
      <w:r>
        <w:t xml:space="preserve">does not </w:t>
      </w:r>
      <w:r w:rsidRPr="006163A6">
        <w:t>extend to the Bah</w:t>
      </w:r>
      <w:r>
        <w:t>a’i</w:t>
      </w:r>
      <w:r w:rsidRPr="006163A6">
        <w:t xml:space="preserve"> faith. This means that many aspects of the lives of Bah</w:t>
      </w:r>
      <w:r>
        <w:t>a’i</w:t>
      </w:r>
      <w:r w:rsidRPr="006163A6">
        <w:t xml:space="preserve"> adherents, such as marriage, divorce and family relationships</w:t>
      </w:r>
      <w:r>
        <w:t>,</w:t>
      </w:r>
      <w:r w:rsidRPr="006163A6">
        <w:t xml:space="preserve"> are not </w:t>
      </w:r>
      <w:r>
        <w:t xml:space="preserve">officially </w:t>
      </w:r>
      <w:r w:rsidRPr="006163A6">
        <w:t>recogni</w:t>
      </w:r>
      <w:r>
        <w:t>s</w:t>
      </w:r>
      <w:r w:rsidRPr="006163A6">
        <w:t>ed.</w:t>
      </w:r>
      <w:r w:rsidRPr="006163A6">
        <w:rPr>
          <w:rStyle w:val="FootnoteReference"/>
        </w:rPr>
        <w:t xml:space="preserve"> </w:t>
      </w:r>
      <w:r>
        <w:t xml:space="preserve"> Baha’i</w:t>
      </w:r>
      <w:r w:rsidRPr="006163A6">
        <w:t xml:space="preserve"> secured the </w:t>
      </w:r>
      <w:r>
        <w:t xml:space="preserve">legal </w:t>
      </w:r>
      <w:r w:rsidRPr="006163A6">
        <w:t xml:space="preserve">right to </w:t>
      </w:r>
      <w:r>
        <w:t>obtain</w:t>
      </w:r>
      <w:r w:rsidRPr="006163A6">
        <w:t xml:space="preserve"> identification card</w:t>
      </w:r>
      <w:r>
        <w:t xml:space="preserve">s with </w:t>
      </w:r>
      <w:r w:rsidRPr="006163A6">
        <w:t xml:space="preserve">a dash </w:t>
      </w:r>
      <w:r>
        <w:t xml:space="preserve">listed </w:t>
      </w:r>
      <w:r w:rsidRPr="006163A6">
        <w:t xml:space="preserve">in the space </w:t>
      </w:r>
      <w:r>
        <w:t>for</w:t>
      </w:r>
      <w:r w:rsidRPr="006163A6">
        <w:t xml:space="preserve"> religious affiliation</w:t>
      </w:r>
      <w:r>
        <w:t xml:space="preserve"> in 2009</w:t>
      </w:r>
      <w:r w:rsidRPr="006163A6">
        <w:t xml:space="preserve">. </w:t>
      </w:r>
      <w:r>
        <w:t xml:space="preserve">Baha’i marriages </w:t>
      </w:r>
      <w:r w:rsidRPr="006163A6">
        <w:t xml:space="preserve">are not acknowledged by </w:t>
      </w:r>
      <w:r>
        <w:t>authorities and</w:t>
      </w:r>
      <w:r w:rsidRPr="006163A6">
        <w:t xml:space="preserve"> married Bah</w:t>
      </w:r>
      <w:r>
        <w:t>a’i</w:t>
      </w:r>
      <w:r w:rsidRPr="006163A6">
        <w:t xml:space="preserve"> who refused to be issued documentation list</w:t>
      </w:r>
      <w:r>
        <w:t>ing</w:t>
      </w:r>
      <w:r w:rsidRPr="006163A6">
        <w:t xml:space="preserve"> them as ‘single’</w:t>
      </w:r>
      <w:r>
        <w:t xml:space="preserve"> sometimes </w:t>
      </w:r>
      <w:r w:rsidRPr="006163A6">
        <w:t>face difficulties setting up a bank account</w:t>
      </w:r>
      <w:r>
        <w:t>s</w:t>
      </w:r>
      <w:r w:rsidRPr="006163A6">
        <w:t>.</w:t>
      </w:r>
      <w:r>
        <w:t xml:space="preserve"> </w:t>
      </w:r>
      <w:r w:rsidRPr="006873C2">
        <w:t xml:space="preserve">Baha’i reported occasional success </w:t>
      </w:r>
      <w:r>
        <w:t>when</w:t>
      </w:r>
      <w:r w:rsidRPr="006873C2">
        <w:t xml:space="preserve"> filing individual </w:t>
      </w:r>
      <w:r>
        <w:t xml:space="preserve">legal </w:t>
      </w:r>
      <w:r w:rsidRPr="006873C2">
        <w:t xml:space="preserve">petitions </w:t>
      </w:r>
      <w:r>
        <w:t>to</w:t>
      </w:r>
      <w:r w:rsidRPr="006873C2">
        <w:t xml:space="preserve"> recogni</w:t>
      </w:r>
      <w:r>
        <w:t>se</w:t>
      </w:r>
      <w:r w:rsidRPr="006873C2">
        <w:t xml:space="preserve"> marriages performed outside Egypt </w:t>
      </w:r>
      <w:r>
        <w:t xml:space="preserve">but </w:t>
      </w:r>
      <w:r w:rsidRPr="006873C2">
        <w:t>the</w:t>
      </w:r>
      <w:r>
        <w:t>se</w:t>
      </w:r>
      <w:r w:rsidRPr="006873C2">
        <w:t xml:space="preserve"> </w:t>
      </w:r>
      <w:r>
        <w:t xml:space="preserve">cases were usually </w:t>
      </w:r>
      <w:r w:rsidRPr="006873C2">
        <w:t xml:space="preserve">appealed </w:t>
      </w:r>
      <w:r>
        <w:t>by the Egyptian Government</w:t>
      </w:r>
      <w:r w:rsidRPr="006873C2">
        <w:t>.</w:t>
      </w:r>
    </w:p>
    <w:p w14:paraId="1A544F5E" w14:textId="77777777" w:rsidR="00C47BE6" w:rsidRDefault="00C47BE6" w:rsidP="00C47BE6">
      <w:pPr>
        <w:pStyle w:val="ListParagraph1"/>
      </w:pPr>
      <w:r w:rsidRPr="001A7174">
        <w:t>Baha'</w:t>
      </w:r>
      <w:r>
        <w:t>i in Egypt</w:t>
      </w:r>
      <w:r w:rsidRPr="001A7174">
        <w:t xml:space="preserve"> </w:t>
      </w:r>
      <w:r>
        <w:t xml:space="preserve">state they are </w:t>
      </w:r>
      <w:r w:rsidRPr="001A7174">
        <w:t xml:space="preserve">harassed, intimidated and interrogated by </w:t>
      </w:r>
      <w:r>
        <w:t xml:space="preserve">authorities. The US Commission on International Religious Freedom reported state surveillance of Baha’i and their activities occurred in 2024, including the monitoring of social media, email accounts and mobile phones. Baha’i state their friends are sometimes </w:t>
      </w:r>
      <w:r w:rsidRPr="001A7174">
        <w:t xml:space="preserve">discouraged </w:t>
      </w:r>
      <w:r>
        <w:t xml:space="preserve">by other Egyptians </w:t>
      </w:r>
      <w:r w:rsidRPr="001A7174">
        <w:t>from maintaining relationships with the</w:t>
      </w:r>
      <w:r w:rsidRPr="00C718BF">
        <w:t xml:space="preserve">m. Some Muslims regard the </w:t>
      </w:r>
      <w:r w:rsidRPr="004E43D6">
        <w:rPr>
          <w:color w:val="3F3F3F"/>
        </w:rPr>
        <w:t>Baha'i faith as an apostasy from Islam</w:t>
      </w:r>
      <w:r w:rsidRPr="00C718BF">
        <w:t>.</w:t>
      </w:r>
      <w:r>
        <w:t xml:space="preserve"> </w:t>
      </w:r>
      <w:r w:rsidRPr="006C43A8">
        <w:t xml:space="preserve">At the time of writing, DFAT was not aware of </w:t>
      </w:r>
      <w:r>
        <w:t xml:space="preserve">recent instances of societal violence targeting Baha’i. </w:t>
      </w:r>
    </w:p>
    <w:p w14:paraId="2F75962D" w14:textId="77777777" w:rsidR="00C47BE6" w:rsidRPr="008800E9" w:rsidRDefault="00C47BE6" w:rsidP="00C47BE6">
      <w:pPr>
        <w:pStyle w:val="ListParagraph1"/>
      </w:pPr>
      <w:r w:rsidRPr="004D5AA3">
        <w:t xml:space="preserve">DFAT assesses </w:t>
      </w:r>
      <w:r>
        <w:t xml:space="preserve">Baha’i are </w:t>
      </w:r>
      <w:r w:rsidRPr="004D5AA3">
        <w:t xml:space="preserve">likely </w:t>
      </w:r>
      <w:r>
        <w:t xml:space="preserve">to </w:t>
      </w:r>
      <w:r w:rsidRPr="004D5AA3">
        <w:t>face official discrimination</w:t>
      </w:r>
      <w:r>
        <w:t xml:space="preserve"> based on their religion in the form of </w:t>
      </w:r>
      <w:r w:rsidRPr="004E6628">
        <w:t>harassment</w:t>
      </w:r>
      <w:r>
        <w:t xml:space="preserve"> by </w:t>
      </w:r>
      <w:hyperlink w:anchor="_Police" w:history="1">
        <w:r w:rsidRPr="00652EB7">
          <w:rPr>
            <w:rStyle w:val="Hyperlink"/>
          </w:rPr>
          <w:t>police</w:t>
        </w:r>
      </w:hyperlink>
      <w:r>
        <w:t xml:space="preserve"> and difficulties obtaining official government </w:t>
      </w:r>
      <w:hyperlink w:anchor="_DOCUMENTATION" w:history="1">
        <w:r w:rsidRPr="00652EB7">
          <w:rPr>
            <w:rStyle w:val="Hyperlink"/>
          </w:rPr>
          <w:t>documentation</w:t>
        </w:r>
      </w:hyperlink>
      <w:r>
        <w:t xml:space="preserve">. </w:t>
      </w:r>
      <w:r w:rsidRPr="00E30F6B">
        <w:t>Proselyti</w:t>
      </w:r>
      <w:r>
        <w:t>s</w:t>
      </w:r>
      <w:r w:rsidRPr="00E30F6B">
        <w:t xml:space="preserve">ing is highly restricted in Egypt due to </w:t>
      </w:r>
      <w:hyperlink w:anchor="_Alevis" w:history="1">
        <w:r w:rsidRPr="00E30F6B">
          <w:rPr>
            <w:rStyle w:val="Hyperlink"/>
          </w:rPr>
          <w:t>blasphemy</w:t>
        </w:r>
      </w:hyperlink>
      <w:r w:rsidRPr="00E30F6B">
        <w:t xml:space="preserve"> and apostasy laws</w:t>
      </w:r>
      <w:r>
        <w:t>,</w:t>
      </w:r>
      <w:r w:rsidRPr="00E30F6B">
        <w:t xml:space="preserve"> </w:t>
      </w:r>
      <w:r>
        <w:t>with those engaging in the practice likely to face</w:t>
      </w:r>
      <w:r w:rsidRPr="00E30F6B">
        <w:t xml:space="preserve"> arrest.</w:t>
      </w:r>
      <w:r>
        <w:t xml:space="preserve"> DFAT assesses Baha’i are unlikely to face societal discrimination unless they publicly advocate and promote their religion. DFAT assesses it is rare for Baha’i to face sectarian violence.</w:t>
      </w:r>
    </w:p>
    <w:p w14:paraId="4D0F0BB2" w14:textId="77777777" w:rsidR="00C47BE6" w:rsidRPr="00621CB6" w:rsidRDefault="00C47BE6" w:rsidP="00C47BE6">
      <w:pPr>
        <w:pStyle w:val="Heading3"/>
        <w:ind w:firstLine="0"/>
        <w:jc w:val="left"/>
        <w:rPr>
          <w:rFonts w:cs="Calibri"/>
          <w:b/>
          <w:bCs/>
          <w:color w:val="auto"/>
        </w:rPr>
      </w:pPr>
      <w:bookmarkStart w:id="54" w:name="_Coptic_Christians"/>
      <w:bookmarkStart w:id="55" w:name="_Christians"/>
      <w:bookmarkEnd w:id="54"/>
      <w:bookmarkEnd w:id="55"/>
      <w:r w:rsidRPr="00D92A1E">
        <w:rPr>
          <w:rFonts w:cs="Calibri"/>
          <w:b/>
          <w:bCs/>
          <w:color w:val="auto"/>
        </w:rPr>
        <w:t>Christians</w:t>
      </w:r>
    </w:p>
    <w:p w14:paraId="55409337" w14:textId="77777777" w:rsidR="00C47BE6" w:rsidRDefault="00C47BE6" w:rsidP="00C47BE6">
      <w:pPr>
        <w:pStyle w:val="ListParagraph1"/>
      </w:pPr>
      <w:r>
        <w:t xml:space="preserve">There are twelve officially recognised Christian denominations in Egypt (four Orthodox, seven Catholic and one Protestant). </w:t>
      </w:r>
      <w:proofErr w:type="gramStart"/>
      <w:r>
        <w:t>The vast majority of</w:t>
      </w:r>
      <w:proofErr w:type="gramEnd"/>
      <w:r>
        <w:t xml:space="preserve"> Christians in Egypt are members of the Coptic Orthodox Church. Christians reside throughout the country but are concentrated in Upper Egypt and in major cities such as Cairo and Alexandria. Christians are diverse in terms of socio-economic status and political views. They range from the very poor to the very rich, have attained a range of education levels and hold varied professions. At the time of writing, </w:t>
      </w:r>
      <w:r w:rsidRPr="00F66A8E">
        <w:t xml:space="preserve">Christians </w:t>
      </w:r>
      <w:r>
        <w:t>were</w:t>
      </w:r>
      <w:r w:rsidRPr="00F66A8E">
        <w:t xml:space="preserve"> prominent and influential in Egyptian politics and business. </w:t>
      </w:r>
      <w:r>
        <w:t xml:space="preserve">Christians generally dress similarly to Muslim Egyptians, except in some urban areas where Christian women are more likely than Muslim women to leave their hair uncovered. Christians tend to have identifiable names. Some tattoo small crosses on the inside of their wrists or between their thumb and forefinger as a mark of identity. Not all Christians have these tattoos and it is not a mandatory religious practice. All those belonging to recognised Christian denominations are identified as Christian on their </w:t>
      </w:r>
      <w:hyperlink w:anchor="_National_Identity_Cards" w:history="1">
        <w:r w:rsidRPr="00821AE9">
          <w:rPr>
            <w:rStyle w:val="Hyperlink"/>
          </w:rPr>
          <w:t xml:space="preserve">national </w:t>
        </w:r>
        <w:r>
          <w:rPr>
            <w:rStyle w:val="Hyperlink"/>
          </w:rPr>
          <w:t>identity</w:t>
        </w:r>
        <w:r w:rsidRPr="00821AE9">
          <w:rPr>
            <w:rStyle w:val="Hyperlink"/>
          </w:rPr>
          <w:t xml:space="preserve"> cards</w:t>
        </w:r>
      </w:hyperlink>
      <w:r>
        <w:t>.</w:t>
      </w:r>
    </w:p>
    <w:p w14:paraId="295C7FDF" w14:textId="77777777" w:rsidR="00C47BE6" w:rsidRDefault="00C47BE6" w:rsidP="00C47BE6">
      <w:pPr>
        <w:pStyle w:val="ListParagraph1"/>
      </w:pPr>
      <w:r w:rsidRPr="00DD4953">
        <w:t>Coptic Christians</w:t>
      </w:r>
      <w:r>
        <w:t xml:space="preserve"> </w:t>
      </w:r>
      <w:r w:rsidRPr="00DD4953">
        <w:t xml:space="preserve">adhere to core Christian beliefs, including the Holy Trinity, the divinity of Jesus and the authority of the Bible. They also practice sacraments </w:t>
      </w:r>
      <w:r>
        <w:t xml:space="preserve">such as </w:t>
      </w:r>
      <w:r w:rsidRPr="00DD4953">
        <w:t>baptism, communion and confession, and observe fasting periods.</w:t>
      </w:r>
      <w:r>
        <w:t xml:space="preserve"> The number of Coptic Christians in Egypt is contested. T</w:t>
      </w:r>
      <w:r w:rsidRPr="00B05C21">
        <w:t xml:space="preserve">he Egyptian </w:t>
      </w:r>
      <w:r>
        <w:t>G</w:t>
      </w:r>
      <w:r w:rsidRPr="00B05C21">
        <w:t>overnment estimat</w:t>
      </w:r>
      <w:r>
        <w:t xml:space="preserve">es there are </w:t>
      </w:r>
      <w:r w:rsidRPr="00B05C21">
        <w:t>a</w:t>
      </w:r>
      <w:r>
        <w:t>pproximately</w:t>
      </w:r>
      <w:r w:rsidRPr="00B05C21">
        <w:t xml:space="preserve"> 5 million Copts</w:t>
      </w:r>
      <w:r>
        <w:t xml:space="preserve"> in Egypt</w:t>
      </w:r>
      <w:r w:rsidRPr="00B05C21">
        <w:t xml:space="preserve">, </w:t>
      </w:r>
      <w:r>
        <w:t>while</w:t>
      </w:r>
      <w:r w:rsidRPr="00B05C21">
        <w:t xml:space="preserve"> the Coptic Orthodox Church</w:t>
      </w:r>
      <w:r>
        <w:t xml:space="preserve"> states it has between </w:t>
      </w:r>
      <w:r w:rsidRPr="00B05C21">
        <w:t>15</w:t>
      </w:r>
      <w:r>
        <w:t xml:space="preserve"> and </w:t>
      </w:r>
      <w:r w:rsidRPr="00B05C21">
        <w:t>18 million</w:t>
      </w:r>
      <w:r>
        <w:t xml:space="preserve"> adherents</w:t>
      </w:r>
      <w:r w:rsidRPr="00B05C21">
        <w:t>.</w:t>
      </w:r>
      <w:r>
        <w:t xml:space="preserve"> </w:t>
      </w:r>
    </w:p>
    <w:p w14:paraId="5CA24E26" w14:textId="77777777" w:rsidR="00C47BE6" w:rsidRPr="00110FC4" w:rsidRDefault="00C47BE6" w:rsidP="00C47BE6">
      <w:pPr>
        <w:pStyle w:val="ListParagraph1"/>
      </w:pPr>
      <w:r>
        <w:t xml:space="preserve">The Egyptian Government recognises the right of Christians </w:t>
      </w:r>
      <w:r w:rsidRPr="001E6E00">
        <w:t>to practice their religion</w:t>
      </w:r>
      <w:r>
        <w:t xml:space="preserve"> publicly</w:t>
      </w:r>
      <w:r w:rsidRPr="001E6E00">
        <w:t>.</w:t>
      </w:r>
      <w:r>
        <w:t xml:space="preserve"> In-country sources said Coptic Christians were able to practice their religion freely and without government interference. </w:t>
      </w:r>
      <w:r w:rsidRPr="00BE43C2">
        <w:t xml:space="preserve">President </w:t>
      </w:r>
      <w:r>
        <w:t>El-</w:t>
      </w:r>
      <w:r w:rsidRPr="00BE43C2">
        <w:t xml:space="preserve">Sisi </w:t>
      </w:r>
      <w:r>
        <w:t xml:space="preserve">is </w:t>
      </w:r>
      <w:r w:rsidRPr="00BE43C2">
        <w:t>supportive of Egypt</w:t>
      </w:r>
      <w:r>
        <w:t>’s</w:t>
      </w:r>
      <w:r w:rsidRPr="00BE43C2">
        <w:t xml:space="preserve"> Copt</w:t>
      </w:r>
      <w:r>
        <w:t xml:space="preserve">ic Christian community and has </w:t>
      </w:r>
      <w:r w:rsidRPr="00E935F5">
        <w:t>attend</w:t>
      </w:r>
      <w:r>
        <w:t xml:space="preserve">ed religious celebrations at Easter and Christmas since 2015. He also </w:t>
      </w:r>
      <w:r w:rsidRPr="00E935F5">
        <w:t xml:space="preserve">regularly </w:t>
      </w:r>
      <w:r>
        <w:t>makes public statements refere</w:t>
      </w:r>
      <w:r w:rsidRPr="00F360DC">
        <w:t xml:space="preserve">ncing the Coptic Christian community as part of Egypt’s ‘values of unity and coexistence that define the nation’s identity’. </w:t>
      </w:r>
    </w:p>
    <w:p w14:paraId="599CF43A" w14:textId="77777777" w:rsidR="00C47BE6" w:rsidRDefault="00C47BE6" w:rsidP="00C47BE6">
      <w:pPr>
        <w:pStyle w:val="ListParagraph1"/>
      </w:pPr>
      <w:r>
        <w:t xml:space="preserve">Under the Constitution, Christians are legally allowed to </w:t>
      </w:r>
      <w:r w:rsidRPr="00860E87">
        <w:t xml:space="preserve">build </w:t>
      </w:r>
      <w:r>
        <w:t>churches</w:t>
      </w:r>
      <w:r w:rsidRPr="00860E87">
        <w:t>.</w:t>
      </w:r>
      <w:r>
        <w:t xml:space="preserve"> </w:t>
      </w:r>
      <w:r w:rsidRPr="00874165">
        <w:t xml:space="preserve">Egypt's </w:t>
      </w:r>
      <w:r w:rsidRPr="00874165">
        <w:rPr>
          <w:i/>
          <w:iCs/>
        </w:rPr>
        <w:t>Church Construction Law (No. 80</w:t>
      </w:r>
      <w:r>
        <w:rPr>
          <w:i/>
          <w:iCs/>
        </w:rPr>
        <w:t>)</w:t>
      </w:r>
      <w:r w:rsidRPr="00874165">
        <w:rPr>
          <w:i/>
          <w:iCs/>
        </w:rPr>
        <w:t xml:space="preserve"> 2016</w:t>
      </w:r>
      <w:r>
        <w:rPr>
          <w:i/>
          <w:iCs/>
        </w:rPr>
        <w:t xml:space="preserve"> </w:t>
      </w:r>
      <w:r w:rsidRPr="00734DE3">
        <w:t xml:space="preserve">created a formal process for Christian denominations to submit a request for the </w:t>
      </w:r>
      <w:r>
        <w:t>‘</w:t>
      </w:r>
      <w:r w:rsidRPr="00734DE3">
        <w:t>building, expanding, enhancement, reinforcement, destruction, or external detailing of a church, church annex, services building, or retreat house</w:t>
      </w:r>
      <w:r>
        <w:t>’</w:t>
      </w:r>
      <w:r w:rsidRPr="00734DE3">
        <w:t>. A legal representative of the church must submit a request with the appropriate permits and documentation to the relevant provincial governor.</w:t>
      </w:r>
      <w:r>
        <w:t xml:space="preserve"> </w:t>
      </w:r>
      <w:r w:rsidRPr="00734DE3">
        <w:rPr>
          <w:i/>
          <w:iCs/>
        </w:rPr>
        <w:t>Law 80</w:t>
      </w:r>
      <w:r w:rsidRPr="00734DE3">
        <w:t xml:space="preserve"> also create</w:t>
      </w:r>
      <w:r>
        <w:t>d</w:t>
      </w:r>
      <w:r w:rsidRPr="00734DE3">
        <w:t xml:space="preserve"> a ministerial committee to review applications for churches built without permission before the law was ratified</w:t>
      </w:r>
      <w:r>
        <w:t xml:space="preserve"> in 2016. P</w:t>
      </w:r>
      <w:r w:rsidRPr="00734DE3">
        <w:t xml:space="preserve">rior to the passage of </w:t>
      </w:r>
      <w:r w:rsidRPr="00423116">
        <w:rPr>
          <w:i/>
          <w:iCs/>
        </w:rPr>
        <w:t xml:space="preserve">Law </w:t>
      </w:r>
      <w:r w:rsidRPr="00423116">
        <w:rPr>
          <w:i/>
          <w:iCs/>
        </w:rPr>
        <w:lastRenderedPageBreak/>
        <w:t>80</w:t>
      </w:r>
      <w:r w:rsidRPr="00734DE3">
        <w:t xml:space="preserve">, the construction of churches had been governed by the </w:t>
      </w:r>
      <w:proofErr w:type="spellStart"/>
      <w:r w:rsidRPr="00734DE3">
        <w:rPr>
          <w:i/>
          <w:iCs/>
        </w:rPr>
        <w:t>Hamayouni</w:t>
      </w:r>
      <w:proofErr w:type="spellEnd"/>
      <w:r w:rsidRPr="00734DE3">
        <w:rPr>
          <w:i/>
          <w:iCs/>
        </w:rPr>
        <w:t xml:space="preserve"> Law</w:t>
      </w:r>
      <w:r>
        <w:rPr>
          <w:i/>
          <w:iCs/>
        </w:rPr>
        <w:t xml:space="preserve"> 1856</w:t>
      </w:r>
      <w:r w:rsidRPr="00734DE3">
        <w:t xml:space="preserve">, which required the president (and previously the </w:t>
      </w:r>
      <w:r>
        <w:t>Egyptian K</w:t>
      </w:r>
      <w:r w:rsidRPr="00734DE3">
        <w:t xml:space="preserve">ing and </w:t>
      </w:r>
      <w:r>
        <w:t>Ottoman S</w:t>
      </w:r>
      <w:r w:rsidRPr="00734DE3">
        <w:t xml:space="preserve">ultan) </w:t>
      </w:r>
      <w:r>
        <w:t xml:space="preserve">to </w:t>
      </w:r>
      <w:r w:rsidRPr="00734DE3">
        <w:t>approve the construction of every new church.</w:t>
      </w:r>
      <w:r>
        <w:t xml:space="preserve"> As of October 2024, the</w:t>
      </w:r>
      <w:r w:rsidRPr="006F23FD">
        <w:t xml:space="preserve"> government </w:t>
      </w:r>
      <w:r>
        <w:t>stated it had</w:t>
      </w:r>
      <w:r w:rsidRPr="006F23FD">
        <w:t xml:space="preserve"> approved the legali</w:t>
      </w:r>
      <w:r>
        <w:t>s</w:t>
      </w:r>
      <w:r w:rsidRPr="006F23FD">
        <w:t xml:space="preserve">ation of 3,453 churches out of the 5,540 requests submitted since </w:t>
      </w:r>
      <w:r w:rsidRPr="006F23FD">
        <w:rPr>
          <w:i/>
          <w:iCs/>
        </w:rPr>
        <w:t>Law 80</w:t>
      </w:r>
      <w:r w:rsidRPr="006F23FD">
        <w:t xml:space="preserve"> was enacted.</w:t>
      </w:r>
      <w:r>
        <w:t xml:space="preserve"> In-country sources said </w:t>
      </w:r>
      <w:r w:rsidRPr="00453041">
        <w:rPr>
          <w:i/>
          <w:iCs/>
        </w:rPr>
        <w:t>Law 80</w:t>
      </w:r>
      <w:r>
        <w:t xml:space="preserve"> was being upheld by authorities, with Coptic Christian churches receiving permission to be built and renovated, even if decisions could be slow.</w:t>
      </w:r>
    </w:p>
    <w:p w14:paraId="7552288A" w14:textId="77777777" w:rsidR="00C47BE6" w:rsidRDefault="00C47BE6" w:rsidP="00C47BE6">
      <w:pPr>
        <w:pStyle w:val="ListParagraph1"/>
      </w:pPr>
      <w:r w:rsidRPr="00453041">
        <w:t xml:space="preserve">Newly built cities </w:t>
      </w:r>
      <w:r>
        <w:t xml:space="preserve">and suburbs </w:t>
      </w:r>
      <w:r w:rsidRPr="00453041">
        <w:t>must include a</w:t>
      </w:r>
      <w:r>
        <w:t xml:space="preserve"> Coptic Christian</w:t>
      </w:r>
      <w:r w:rsidRPr="00453041">
        <w:t xml:space="preserve"> church</w:t>
      </w:r>
      <w:r>
        <w:t xml:space="preserve"> to receive planning approval.</w:t>
      </w:r>
      <w:r w:rsidRPr="00453041">
        <w:t xml:space="preserve"> President </w:t>
      </w:r>
      <w:r>
        <w:t>El-</w:t>
      </w:r>
      <w:r w:rsidRPr="00453041">
        <w:t>Sisi stat</w:t>
      </w:r>
      <w:r>
        <w:t>ed</w:t>
      </w:r>
      <w:r w:rsidRPr="00453041">
        <w:t xml:space="preserve"> in 2022</w:t>
      </w:r>
      <w:r>
        <w:t>,</w:t>
      </w:r>
      <w:r w:rsidRPr="00453041">
        <w:t xml:space="preserve"> </w:t>
      </w:r>
      <w:r>
        <w:t>‘w</w:t>
      </w:r>
      <w:r w:rsidRPr="00453041">
        <w:t>here there is a mosque</w:t>
      </w:r>
      <w:r>
        <w:t xml:space="preserve">, </w:t>
      </w:r>
      <w:r w:rsidRPr="00453041">
        <w:t>there must also be a church</w:t>
      </w:r>
      <w:r>
        <w:t>’. He clarified ‘even if they</w:t>
      </w:r>
      <w:r w:rsidRPr="00453041">
        <w:t xml:space="preserve"> will be attended by only 100 people, it </w:t>
      </w:r>
      <w:r>
        <w:t xml:space="preserve">[churches] </w:t>
      </w:r>
      <w:r w:rsidRPr="00453041">
        <w:t>must be built anyway</w:t>
      </w:r>
      <w:r>
        <w:t>… s</w:t>
      </w:r>
      <w:r w:rsidRPr="00453041">
        <w:t>o no one will have to meet in an apartment and present that private house as a c</w:t>
      </w:r>
      <w:r w:rsidRPr="00C47BE6">
        <w:rPr>
          <w:color w:val="auto"/>
        </w:rPr>
        <w:t>hurc</w:t>
      </w:r>
      <w:r w:rsidRPr="00453041">
        <w:t>h</w:t>
      </w:r>
      <w:r>
        <w:t>’</w:t>
      </w:r>
      <w:r w:rsidRPr="00453041">
        <w:t>.</w:t>
      </w:r>
      <w:r>
        <w:t xml:space="preserve"> In-country sources said the government was allocating land in all new cities and suburbs for the construction of Christian churches. Christian churches in Egypt are well protected, including by armed guards, </w:t>
      </w:r>
      <w:r w:rsidRPr="00977326">
        <w:t>concrete barriers</w:t>
      </w:r>
      <w:r>
        <w:t xml:space="preserve"> and security gates.</w:t>
      </w:r>
    </w:p>
    <w:p w14:paraId="6BEA1D4F" w14:textId="77777777" w:rsidR="00C47BE6" w:rsidRDefault="00C47BE6" w:rsidP="00C47BE6">
      <w:pPr>
        <w:pStyle w:val="ListParagraph1"/>
      </w:pPr>
      <w:r w:rsidRPr="001E6E00">
        <w:t xml:space="preserve">The </w:t>
      </w:r>
      <w:r>
        <w:t>C</w:t>
      </w:r>
      <w:r w:rsidRPr="001E6E00">
        <w:t>onstitution st</w:t>
      </w:r>
      <w:r>
        <w:t>ates</w:t>
      </w:r>
      <w:r w:rsidRPr="001E6E00">
        <w:t xml:space="preserve"> Christian canonical law form</w:t>
      </w:r>
      <w:r>
        <w:t>s</w:t>
      </w:r>
      <w:r w:rsidRPr="001E6E00">
        <w:t xml:space="preserve"> the basis of legislation governing Christian</w:t>
      </w:r>
      <w:r>
        <w:t>s</w:t>
      </w:r>
      <w:r w:rsidRPr="001E6E00">
        <w:t xml:space="preserve"> personal status, religious affairs and selection of spiritual leaders.</w:t>
      </w:r>
      <w:r>
        <w:t xml:space="preserve"> </w:t>
      </w:r>
      <w:r w:rsidRPr="00BE5A1C">
        <w:t xml:space="preserve">The </w:t>
      </w:r>
      <w:r w:rsidRPr="001E6E00">
        <w:t>Coptic Orthodox Church</w:t>
      </w:r>
      <w:r w:rsidRPr="00BE5A1C">
        <w:t xml:space="preserve"> has the sole </w:t>
      </w:r>
      <w:r>
        <w:t>legal r</w:t>
      </w:r>
      <w:r w:rsidRPr="00BE5A1C">
        <w:t>ight to marry Copt</w:t>
      </w:r>
      <w:r>
        <w:t xml:space="preserve">ic Christians and is responsible for granting </w:t>
      </w:r>
      <w:r w:rsidRPr="00BE5A1C">
        <w:t xml:space="preserve">approval </w:t>
      </w:r>
      <w:r>
        <w:t>to</w:t>
      </w:r>
      <w:r w:rsidRPr="00BE5A1C">
        <w:t xml:space="preserve"> complet</w:t>
      </w:r>
      <w:r>
        <w:t>e</w:t>
      </w:r>
      <w:r w:rsidRPr="00BE5A1C">
        <w:t xml:space="preserve"> the sacrament of marriage and documenting the contract in the Ministry of Justice.</w:t>
      </w:r>
      <w:r w:rsidRPr="001E6E00">
        <w:t xml:space="preserve"> </w:t>
      </w:r>
      <w:r>
        <w:t>T</w:t>
      </w:r>
      <w:r w:rsidRPr="005B7FE6">
        <w:t>he Coptic Orthodox Church</w:t>
      </w:r>
      <w:r>
        <w:t xml:space="preserve"> rarely permits </w:t>
      </w:r>
      <w:r w:rsidRPr="005B7FE6">
        <w:t>divorce</w:t>
      </w:r>
      <w:r>
        <w:t>, which may only occur</w:t>
      </w:r>
      <w:r w:rsidRPr="005B7FE6">
        <w:t xml:space="preserve"> under very limited circumstances</w:t>
      </w:r>
      <w:r>
        <w:t xml:space="preserve"> such as proven </w:t>
      </w:r>
      <w:r w:rsidRPr="005B7FE6">
        <w:t>adultery or in cases of a change of faith</w:t>
      </w:r>
      <w:r>
        <w:t xml:space="preserve"> (</w:t>
      </w:r>
      <w:r w:rsidRPr="005B7FE6">
        <w:t>apostasy</w:t>
      </w:r>
      <w:r>
        <w:t>)</w:t>
      </w:r>
      <w:r w:rsidRPr="005B7FE6">
        <w:t>.</w:t>
      </w:r>
      <w:r>
        <w:t xml:space="preserve"> In-country sources said </w:t>
      </w:r>
      <w:proofErr w:type="gramStart"/>
      <w:r>
        <w:t>as a result of</w:t>
      </w:r>
      <w:proofErr w:type="gramEnd"/>
      <w:r>
        <w:t xml:space="preserve"> the difficulties in obtaining a divorce, Coptic Christian women often </w:t>
      </w:r>
      <w:r w:rsidRPr="005B7FE6">
        <w:t>convert</w:t>
      </w:r>
      <w:r>
        <w:t>ed</w:t>
      </w:r>
      <w:r w:rsidRPr="005B7FE6">
        <w:t xml:space="preserve"> </w:t>
      </w:r>
      <w:r>
        <w:t xml:space="preserve">to Islam when they wanted to annul a </w:t>
      </w:r>
      <w:r w:rsidRPr="005B7FE6">
        <w:t>marriage</w:t>
      </w:r>
      <w:r>
        <w:t>. I</w:t>
      </w:r>
      <w:r w:rsidRPr="00BE5A1C">
        <w:t xml:space="preserve">f one spouse </w:t>
      </w:r>
      <w:r>
        <w:t>converts to Islam</w:t>
      </w:r>
      <w:r w:rsidRPr="00BE5A1C">
        <w:t xml:space="preserve">, </w:t>
      </w:r>
      <w:r>
        <w:t>Egypt’s</w:t>
      </w:r>
      <w:r w:rsidRPr="00BE5A1C">
        <w:t xml:space="preserve"> court </w:t>
      </w:r>
      <w:r>
        <w:t xml:space="preserve">system </w:t>
      </w:r>
      <w:r w:rsidRPr="00BE5A1C">
        <w:t>appli</w:t>
      </w:r>
      <w:r>
        <w:t>es</w:t>
      </w:r>
      <w:r w:rsidRPr="00BE5A1C">
        <w:t xml:space="preserve"> Islamic </w:t>
      </w:r>
      <w:proofErr w:type="gramStart"/>
      <w:r w:rsidRPr="00BE5A1C">
        <w:t>law</w:t>
      </w:r>
      <w:proofErr w:type="gramEnd"/>
      <w:r w:rsidRPr="00BE5A1C">
        <w:t xml:space="preserve"> and a ruling </w:t>
      </w:r>
      <w:r>
        <w:t xml:space="preserve">can be obtained </w:t>
      </w:r>
      <w:r w:rsidRPr="00BE5A1C">
        <w:t>invalidating the marriage</w:t>
      </w:r>
      <w:r>
        <w:t xml:space="preserve"> performed by the </w:t>
      </w:r>
      <w:r w:rsidRPr="001E6E00">
        <w:t>Coptic Orthodox Church</w:t>
      </w:r>
      <w:r>
        <w:t xml:space="preserve"> </w:t>
      </w:r>
      <w:proofErr w:type="gramStart"/>
      <w:r>
        <w:t>on the basis of</w:t>
      </w:r>
      <w:proofErr w:type="gramEnd"/>
      <w:r>
        <w:t xml:space="preserve"> a</w:t>
      </w:r>
      <w:r w:rsidRPr="00BE5A1C">
        <w:t xml:space="preserve"> chang</w:t>
      </w:r>
      <w:r>
        <w:t>e in</w:t>
      </w:r>
      <w:r w:rsidRPr="00BE5A1C">
        <w:t xml:space="preserve"> religion. </w:t>
      </w:r>
      <w:r>
        <w:t>Converting to Islam also permits the option to</w:t>
      </w:r>
      <w:r w:rsidRPr="00BE5A1C">
        <w:t xml:space="preserve"> </w:t>
      </w:r>
      <w:r>
        <w:t>re-</w:t>
      </w:r>
      <w:r w:rsidRPr="00BE5A1C">
        <w:t>marry</w:t>
      </w:r>
      <w:r>
        <w:t xml:space="preserve"> which is restricted by the </w:t>
      </w:r>
      <w:r w:rsidRPr="001E6E00">
        <w:t>Coptic Orthodox Church</w:t>
      </w:r>
      <w:r>
        <w:t xml:space="preserve"> in cases of divorce</w:t>
      </w:r>
      <w:r w:rsidRPr="00BE5A1C">
        <w:t>.</w:t>
      </w:r>
    </w:p>
    <w:p w14:paraId="0F733E30" w14:textId="77777777" w:rsidR="00C47BE6" w:rsidRDefault="00C47BE6" w:rsidP="00C47BE6">
      <w:pPr>
        <w:pStyle w:val="ListParagraph1"/>
      </w:pPr>
      <w:r>
        <w:t xml:space="preserve">A new </w:t>
      </w:r>
      <w:r w:rsidRPr="00D92A1E">
        <w:rPr>
          <w:i/>
          <w:iCs/>
        </w:rPr>
        <w:t>Personal Status Law for Christians</w:t>
      </w:r>
      <w:r>
        <w:t xml:space="preserve"> was being debated in Parliament at the time of writing. The Coptic Orthodox Church, along with representatives from other Christian churches (including Catholic, Evangelical and Anglican), contributed to drafting laws related to Christian marriage, divorce, child custody and inheritance. Under the draft law, the courts would make decisions on </w:t>
      </w:r>
      <w:r w:rsidRPr="00490028">
        <w:t xml:space="preserve">divorce </w:t>
      </w:r>
      <w:r>
        <w:t>with the</w:t>
      </w:r>
      <w:r w:rsidRPr="00490028">
        <w:t xml:space="preserve"> Coptic Orthodox Church's role limited to granting permission for a second marriage. </w:t>
      </w:r>
      <w:r>
        <w:t>G</w:t>
      </w:r>
      <w:r w:rsidRPr="00490028">
        <w:t>rounds for marriage annulment</w:t>
      </w:r>
      <w:r>
        <w:t xml:space="preserve"> would expand to include ‘</w:t>
      </w:r>
      <w:r w:rsidRPr="00490028">
        <w:t>deception regarding a chronic illness</w:t>
      </w:r>
      <w:r>
        <w:t>’</w:t>
      </w:r>
      <w:r w:rsidRPr="00490028">
        <w:t xml:space="preserve"> (including infertility) </w:t>
      </w:r>
      <w:r>
        <w:t>and</w:t>
      </w:r>
      <w:r w:rsidRPr="00490028">
        <w:t xml:space="preserve"> </w:t>
      </w:r>
      <w:r>
        <w:t>‘</w:t>
      </w:r>
      <w:r w:rsidRPr="00490028">
        <w:t>separation lasting three years or more</w:t>
      </w:r>
      <w:r>
        <w:t>’</w:t>
      </w:r>
      <w:r w:rsidRPr="00490028">
        <w:t xml:space="preserve">. </w:t>
      </w:r>
      <w:r>
        <w:t>T</w:t>
      </w:r>
      <w:r w:rsidRPr="00490028">
        <w:t xml:space="preserve">he practice of changing religion </w:t>
      </w:r>
      <w:r>
        <w:t xml:space="preserve">solely </w:t>
      </w:r>
      <w:r w:rsidRPr="00490028">
        <w:t>to obtain a divorce</w:t>
      </w:r>
      <w:r>
        <w:t xml:space="preserve"> would be r</w:t>
      </w:r>
      <w:r w:rsidRPr="00490028">
        <w:t>estrict</w:t>
      </w:r>
      <w:r>
        <w:t xml:space="preserve">ed. The new </w:t>
      </w:r>
      <w:r w:rsidRPr="00D92A1E">
        <w:rPr>
          <w:i/>
          <w:iCs/>
        </w:rPr>
        <w:t>Personal Status Law for Christians</w:t>
      </w:r>
      <w:r>
        <w:t xml:space="preserve"> would also </w:t>
      </w:r>
      <w:r w:rsidRPr="004F1045">
        <w:t>introduc</w:t>
      </w:r>
      <w:r>
        <w:t>e</w:t>
      </w:r>
      <w:r w:rsidRPr="004F1045">
        <w:t xml:space="preserve"> gender equality in</w:t>
      </w:r>
      <w:r>
        <w:t>to</w:t>
      </w:r>
      <w:r w:rsidRPr="004F1045">
        <w:t xml:space="preserve"> </w:t>
      </w:r>
      <w:r>
        <w:t xml:space="preserve">official </w:t>
      </w:r>
      <w:r w:rsidRPr="004F1045">
        <w:t xml:space="preserve">inheritance </w:t>
      </w:r>
      <w:r>
        <w:t xml:space="preserve">procedures. </w:t>
      </w:r>
    </w:p>
    <w:p w14:paraId="53256CDC" w14:textId="55C8F33D" w:rsidR="00C47BE6" w:rsidRDefault="00C47BE6" w:rsidP="00C47BE6">
      <w:pPr>
        <w:pStyle w:val="ListParagraph1"/>
      </w:pPr>
      <w:r>
        <w:t xml:space="preserve">In-country sources said forced conversions and marriages of Coptic Christian women had all but ceased since 2014. Coptic Christians chose to voluntarily convert to Islam for </w:t>
      </w:r>
      <w:proofErr w:type="gramStart"/>
      <w:r>
        <w:t>a number of</w:t>
      </w:r>
      <w:proofErr w:type="gramEnd"/>
      <w:r>
        <w:t xml:space="preserve"> reasons, including to obtain a legal divorce, in cases of interfaith marriages and occasionally for economic reasons. Coptic Christian families of converts often portrayed these voluntary conversions and marriages as forced, due to stigma, disapproval from the community and fear their relative would face eternal punishment. Coptic Christian organisations primarily located outside Egypt reported forced conversions and marriages sometimes occurred but </w:t>
      </w:r>
      <w:r w:rsidRPr="00EE55EF">
        <w:t>the means of converting Coptic Christian women and girls ha</w:t>
      </w:r>
      <w:r>
        <w:t>d</w:t>
      </w:r>
      <w:r w:rsidRPr="00EE55EF">
        <w:t xml:space="preserve"> shifted from </w:t>
      </w:r>
      <w:r>
        <w:t>‘</w:t>
      </w:r>
      <w:r w:rsidRPr="00EE55EF">
        <w:t>abduction to deception, luring or grooming</w:t>
      </w:r>
      <w:r>
        <w:t>’. At the time of writing there were no official statistics or details on the numbers of Coptic Christians who had converted to Islam, voluntar</w:t>
      </w:r>
      <w:r w:rsidR="00A56DBA">
        <w:t>il</w:t>
      </w:r>
      <w:r>
        <w:t>y or otherwise.</w:t>
      </w:r>
    </w:p>
    <w:p w14:paraId="5DCE2151" w14:textId="77777777" w:rsidR="00C47BE6" w:rsidRPr="00801C58" w:rsidRDefault="00C47BE6" w:rsidP="00C47BE6">
      <w:pPr>
        <w:pStyle w:val="ListParagraph1"/>
      </w:pPr>
      <w:r>
        <w:t>T</w:t>
      </w:r>
      <w:r w:rsidDel="00333FC6">
        <w:t xml:space="preserve">here is no prohibition on converting from </w:t>
      </w:r>
      <w:r>
        <w:t>Christianity to Islam</w:t>
      </w:r>
      <w:r w:rsidDel="00333FC6">
        <w:t xml:space="preserve">. </w:t>
      </w:r>
      <w:r>
        <w:t>A</w:t>
      </w:r>
      <w:r w:rsidDel="00333FC6">
        <w:t xml:space="preserve">uthorities </w:t>
      </w:r>
      <w:r>
        <w:t xml:space="preserve">often </w:t>
      </w:r>
      <w:r w:rsidDel="00333FC6">
        <w:t xml:space="preserve">require </w:t>
      </w:r>
      <w:r>
        <w:t>a</w:t>
      </w:r>
      <w:r w:rsidRPr="00801C58">
        <w:t xml:space="preserve"> certificate of conversion provided by </w:t>
      </w:r>
      <w:r>
        <w:t>a</w:t>
      </w:r>
      <w:r w:rsidRPr="00801C58">
        <w:t xml:space="preserve"> mosque</w:t>
      </w:r>
      <w:r>
        <w:t xml:space="preserve">, as well as </w:t>
      </w:r>
      <w:r w:rsidDel="00333FC6">
        <w:t xml:space="preserve">identity documents and fingerprints. </w:t>
      </w:r>
      <w:r>
        <w:t>C</w:t>
      </w:r>
      <w:r w:rsidDel="00333FC6">
        <w:t xml:space="preserve">riminal history </w:t>
      </w:r>
      <w:r>
        <w:t>c</w:t>
      </w:r>
      <w:r w:rsidDel="00333FC6">
        <w:t>hecks are made as conversion often requires a change in name. Convers</w:t>
      </w:r>
      <w:r>
        <w:t>ion</w:t>
      </w:r>
      <w:r w:rsidDel="00333FC6">
        <w:t xml:space="preserve"> to Islam </w:t>
      </w:r>
      <w:r>
        <w:t xml:space="preserve">is </w:t>
      </w:r>
      <w:r w:rsidDel="00333FC6">
        <w:t xml:space="preserve">generally recognised and </w:t>
      </w:r>
      <w:hyperlink w:anchor="_National_Identity_Cards" w:history="1">
        <w:r>
          <w:rPr>
            <w:rStyle w:val="Hyperlink"/>
          </w:rPr>
          <w:t>national i</w:t>
        </w:r>
        <w:r w:rsidRPr="00821AE9" w:rsidDel="00333FC6">
          <w:rPr>
            <w:rStyle w:val="Hyperlink"/>
          </w:rPr>
          <w:t>dentity cards</w:t>
        </w:r>
      </w:hyperlink>
      <w:r w:rsidDel="00333FC6">
        <w:t xml:space="preserve"> changed without difficulty or delay.</w:t>
      </w:r>
      <w:r>
        <w:t xml:space="preserve"> A 2011 court ruling allowed Christians who converted to Islam and then back to Christianity (generally to more easily access divorce) to amend their identity cards to reflect the return to their original faith. At the time of writing only a small number of such individuals had been permitted to do so.</w:t>
      </w:r>
    </w:p>
    <w:p w14:paraId="47E101C2" w14:textId="76CF4AE4" w:rsidR="00C47BE6" w:rsidRPr="00E17F07" w:rsidRDefault="00C47BE6" w:rsidP="00C47BE6">
      <w:pPr>
        <w:pStyle w:val="ListParagraph1"/>
      </w:pPr>
      <w:r w:rsidRPr="003136BC">
        <w:rPr>
          <w:i/>
          <w:iCs/>
        </w:rPr>
        <w:t>Penal Code (No. 58) 1937</w:t>
      </w:r>
      <w:r w:rsidRPr="00C8763B">
        <w:t xml:space="preserve"> Article 98</w:t>
      </w:r>
      <w:r>
        <w:t xml:space="preserve">(f) on </w:t>
      </w:r>
      <w:hyperlink w:anchor="_Blasphemy/_Defamation_of" w:history="1">
        <w:r w:rsidRPr="00E818E4">
          <w:rPr>
            <w:rStyle w:val="Hyperlink"/>
          </w:rPr>
          <w:t>blasphemy</w:t>
        </w:r>
      </w:hyperlink>
      <w:r w:rsidRPr="00C8763B">
        <w:t xml:space="preserve"> has been </w:t>
      </w:r>
      <w:r w:rsidRPr="00CE49C0">
        <w:t xml:space="preserve">used </w:t>
      </w:r>
      <w:r w:rsidRPr="00C8763B">
        <w:t>selectively</w:t>
      </w:r>
      <w:r w:rsidRPr="00CE49C0">
        <w:t xml:space="preserve"> against</w:t>
      </w:r>
      <w:r>
        <w:t xml:space="preserve"> Coptic Christians for</w:t>
      </w:r>
      <w:r w:rsidRPr="005834C7">
        <w:t xml:space="preserve"> </w:t>
      </w:r>
      <w:r>
        <w:t xml:space="preserve">insulting religion but in-country sources said its use was rare in recent years. </w:t>
      </w:r>
      <w:r w:rsidRPr="00C92767">
        <w:t xml:space="preserve">For example, Marco Gerges was found guilty of contempt of Islamic religion and violating family values in February 2022 for having images on his mobile </w:t>
      </w:r>
      <w:r>
        <w:t>tele</w:t>
      </w:r>
      <w:r w:rsidRPr="00C92767">
        <w:t>phone considered offensive to Islam.</w:t>
      </w:r>
      <w:r>
        <w:t xml:space="preserve"> </w:t>
      </w:r>
      <w:r w:rsidRPr="006C43A8">
        <w:t xml:space="preserve">At the time of writing, DFAT was not aware of </w:t>
      </w:r>
      <w:r>
        <w:t xml:space="preserve">recent instances of </w:t>
      </w:r>
      <w:r w:rsidRPr="00E17F07">
        <w:t>Article 98(f) on blasphemy used against Coptic Christians.</w:t>
      </w:r>
    </w:p>
    <w:p w14:paraId="1E0D4772" w14:textId="77777777" w:rsidR="00C47BE6" w:rsidRDefault="00C47BE6" w:rsidP="00C47BE6">
      <w:pPr>
        <w:pStyle w:val="ListParagraph1"/>
      </w:pPr>
      <w:r w:rsidRPr="00E17F07">
        <w:lastRenderedPageBreak/>
        <w:t>Sectarian violence against Coptic Christians has been rare since 2018, including in the Upper Egyptian governorates of Assiut and Minya. In-country sources said police and security forces were effective</w:t>
      </w:r>
      <w:r>
        <w:t xml:space="preserve"> in</w:t>
      </w:r>
      <w:r w:rsidRPr="00E17F07">
        <w:t xml:space="preserve"> protecting Coptic Christians from violence and swiftly made arrests when incidents occurred</w:t>
      </w:r>
      <w:r>
        <w:t xml:space="preserve">. For example, after some Coptic Christians were assaulted </w:t>
      </w:r>
      <w:r w:rsidRPr="00E17F07">
        <w:t>in the village of Al</w:t>
      </w:r>
      <w:r w:rsidRPr="00E17F07">
        <w:noBreakHyphen/>
        <w:t>Kom Al-Ahmar in Minya governorate in April 2024</w:t>
      </w:r>
      <w:r>
        <w:t xml:space="preserve">, </w:t>
      </w:r>
      <w:r w:rsidRPr="00E17F07">
        <w:t xml:space="preserve">security forces made arrests </w:t>
      </w:r>
      <w:r>
        <w:t>to bring</w:t>
      </w:r>
      <w:r w:rsidRPr="00E17F07">
        <w:t xml:space="preserve"> the situation under control. </w:t>
      </w:r>
      <w:r>
        <w:t xml:space="preserve">In another instance, </w:t>
      </w:r>
      <w:r w:rsidRPr="00E17F07">
        <w:t>Christians in the village of Al-</w:t>
      </w:r>
      <w:proofErr w:type="spellStart"/>
      <w:r w:rsidRPr="00E17F07">
        <w:t>Fawakher</w:t>
      </w:r>
      <w:proofErr w:type="spellEnd"/>
      <w:r w:rsidRPr="00E17F07">
        <w:t xml:space="preserve"> in Minya governorate were assaulted and several houses set on fire</w:t>
      </w:r>
      <w:r>
        <w:t xml:space="preserve"> by extremists following rumours a church was to be built in the area. S</w:t>
      </w:r>
      <w:r w:rsidRPr="00E17F07">
        <w:t>ecurity forces arrived</w:t>
      </w:r>
      <w:r>
        <w:t xml:space="preserve">, </w:t>
      </w:r>
      <w:r w:rsidRPr="00E17F07">
        <w:t>arrested the perpetrators</w:t>
      </w:r>
      <w:r>
        <w:t xml:space="preserve"> and reportedly restored calm to the area</w:t>
      </w:r>
      <w:r w:rsidRPr="00E17F07">
        <w:t xml:space="preserve"> (see </w:t>
      </w:r>
      <w:hyperlink w:anchor="_SECURITY_SITUATION_1" w:history="1">
        <w:r w:rsidRPr="00E17F07">
          <w:rPr>
            <w:rStyle w:val="Hyperlink"/>
          </w:rPr>
          <w:t>Security situation</w:t>
        </w:r>
      </w:hyperlink>
      <w:r w:rsidRPr="00E17F07">
        <w:t>).</w:t>
      </w:r>
    </w:p>
    <w:p w14:paraId="7E7A9D54" w14:textId="77777777" w:rsidR="00C47BE6" w:rsidRPr="00E17F07" w:rsidRDefault="00C47BE6" w:rsidP="00C47BE6">
      <w:pPr>
        <w:pStyle w:val="ListParagraph1"/>
      </w:pPr>
      <w:r>
        <w:t>I</w:t>
      </w:r>
      <w:r w:rsidRPr="00E17F07">
        <w:t xml:space="preserve">n-country Coptic Christian sources said most conflict involving Coptic Christians and Muslims was due to land or business disputes, not religious issues. </w:t>
      </w:r>
      <w:r>
        <w:t>However, t</w:t>
      </w:r>
      <w:r w:rsidRPr="00E17F07">
        <w:t xml:space="preserve">hese localised disputes over </w:t>
      </w:r>
      <w:r>
        <w:t>non</w:t>
      </w:r>
      <w:r>
        <w:noBreakHyphen/>
        <w:t>religious</w:t>
      </w:r>
      <w:r w:rsidRPr="00E17F07">
        <w:t xml:space="preserve"> matters were sometimes reported </w:t>
      </w:r>
      <w:r>
        <w:t>as ‘sectarian disputes’</w:t>
      </w:r>
      <w:r w:rsidRPr="00E17F07">
        <w:t xml:space="preserve"> by Coptic Christian advocacy groups based overseas. For example, local media reported in May 2025 some Coptic Christians were assaulted in the village of </w:t>
      </w:r>
      <w:proofErr w:type="spellStart"/>
      <w:r w:rsidRPr="00E17F07">
        <w:t>Manshyiat</w:t>
      </w:r>
      <w:proofErr w:type="spellEnd"/>
      <w:r w:rsidRPr="00E17F07">
        <w:t xml:space="preserve"> El-</w:t>
      </w:r>
      <w:proofErr w:type="spellStart"/>
      <w:r w:rsidRPr="00E17F07">
        <w:t>Hawaslya</w:t>
      </w:r>
      <w:proofErr w:type="spellEnd"/>
      <w:r w:rsidRPr="00E17F07">
        <w:t xml:space="preserve"> in Minya governorate</w:t>
      </w:r>
      <w:r>
        <w:t>,</w:t>
      </w:r>
      <w:r w:rsidRPr="00E17F07">
        <w:t xml:space="preserve"> </w:t>
      </w:r>
      <w:r>
        <w:t>with</w:t>
      </w:r>
      <w:r w:rsidRPr="00E17F07">
        <w:t xml:space="preserve"> Bishop Macarius of Minya </w:t>
      </w:r>
      <w:r>
        <w:t>stating</w:t>
      </w:r>
      <w:r w:rsidRPr="00E17F07">
        <w:t xml:space="preserve"> the incident </w:t>
      </w:r>
      <w:r>
        <w:t xml:space="preserve">was not sectarian but instead </w:t>
      </w:r>
      <w:r w:rsidRPr="00E17F07">
        <w:t>stemmed from a disagreement over the installation of a mobile phone tower on a Coptic</w:t>
      </w:r>
      <w:r>
        <w:noBreakHyphen/>
      </w:r>
      <w:r w:rsidRPr="00E17F07">
        <w:t xml:space="preserve">owned house. The incident damaged some equipment but no one was harmed after police successfully contained the situation. </w:t>
      </w:r>
    </w:p>
    <w:p w14:paraId="40F29335" w14:textId="5944620A" w:rsidR="00C47BE6" w:rsidRDefault="00C47BE6" w:rsidP="00C47BE6">
      <w:pPr>
        <w:pStyle w:val="ListParagraph1"/>
      </w:pPr>
      <w:r>
        <w:t xml:space="preserve">In-country sources said most Coptic Christians were well integrated into local communities and generally </w:t>
      </w:r>
      <w:r w:rsidR="001F1D6A">
        <w:t>did not suffer discrimination</w:t>
      </w:r>
      <w:r w:rsidR="00632DB0">
        <w:t xml:space="preserve">. </w:t>
      </w:r>
      <w:r>
        <w:t>The majority of Egyptian Muslims accepted Coptic Christians as members of the wider community according to in-country sources. Whether or not individual Coptic Christians reported feeling discriminat</w:t>
      </w:r>
      <w:r w:rsidR="001139D0">
        <w:t>ion</w:t>
      </w:r>
      <w:r>
        <w:t xml:space="preserve"> in Egypt often depended on their socio-economic status, with those from </w:t>
      </w:r>
      <w:r w:rsidR="00471958">
        <w:t xml:space="preserve">a </w:t>
      </w:r>
      <w:r>
        <w:t>lower socio</w:t>
      </w:r>
      <w:r>
        <w:noBreakHyphen/>
        <w:t>economic status stating it occurred more frequently than others. D</w:t>
      </w:r>
      <w:r w:rsidRPr="001A274C">
        <w:t>iscrimination</w:t>
      </w:r>
      <w:r>
        <w:t>,</w:t>
      </w:r>
      <w:r w:rsidRPr="001A274C">
        <w:t xml:space="preserve"> </w:t>
      </w:r>
      <w:r>
        <w:t xml:space="preserve">when it occurred, often related to reduced </w:t>
      </w:r>
      <w:hyperlink w:anchor="_Employment" w:history="1">
        <w:r w:rsidRPr="00707EB0">
          <w:rPr>
            <w:rStyle w:val="Hyperlink"/>
          </w:rPr>
          <w:t>employment</w:t>
        </w:r>
      </w:hyperlink>
      <w:r>
        <w:t xml:space="preserve"> opportunities within the private sector. Some Coptic Christians complained </w:t>
      </w:r>
      <w:r w:rsidRPr="00F66A8E">
        <w:t>anti</w:t>
      </w:r>
      <w:r>
        <w:noBreakHyphen/>
      </w:r>
      <w:r w:rsidRPr="00F66A8E">
        <w:t xml:space="preserve">discriminatory laws and legal protections </w:t>
      </w:r>
      <w:r>
        <w:t>were not</w:t>
      </w:r>
      <w:r w:rsidRPr="00F66A8E">
        <w:t xml:space="preserve"> enforced fairly</w:t>
      </w:r>
      <w:r>
        <w:t xml:space="preserve">, reporting instances of </w:t>
      </w:r>
      <w:r w:rsidRPr="001A274C">
        <w:t xml:space="preserve">police </w:t>
      </w:r>
      <w:r>
        <w:t xml:space="preserve">siding with Muslims in legal disputes. At the time of writing, Coptic Christians were restricted from joining certain national security and intelligence institutions but could become </w:t>
      </w:r>
      <w:hyperlink w:anchor="_Police" w:history="1">
        <w:r w:rsidRPr="002E10FC">
          <w:rPr>
            <w:rStyle w:val="Hyperlink"/>
          </w:rPr>
          <w:t>police</w:t>
        </w:r>
      </w:hyperlink>
      <w:r>
        <w:t xml:space="preserve"> officers. In</w:t>
      </w:r>
      <w:r>
        <w:noBreakHyphen/>
        <w:t xml:space="preserve">country sources reported some discrimination within the public service but said this was related to </w:t>
      </w:r>
      <w:r w:rsidRPr="001A274C">
        <w:t xml:space="preserve">individual prejudices </w:t>
      </w:r>
      <w:r>
        <w:t xml:space="preserve">rather than </w:t>
      </w:r>
      <w:r w:rsidRPr="001A274C">
        <w:t>official policy</w:t>
      </w:r>
      <w:r>
        <w:t>. Coptic Christians have served in senior government roles, including as governors, ambassadors, ministers and currently as P</w:t>
      </w:r>
      <w:r w:rsidRPr="00B40D76">
        <w:t xml:space="preserve">resident of </w:t>
      </w:r>
      <w:r>
        <w:t xml:space="preserve">the </w:t>
      </w:r>
      <w:r w:rsidRPr="00B40D76">
        <w:t>Supreme Constitutional Court</w:t>
      </w:r>
      <w:r>
        <w:t xml:space="preserve">. </w:t>
      </w:r>
      <w:r w:rsidRPr="00F66A8E">
        <w:t xml:space="preserve">DFAT understands the percentage of Christians in the Egyptian </w:t>
      </w:r>
      <w:r>
        <w:t>public</w:t>
      </w:r>
      <w:r w:rsidRPr="00F66A8E">
        <w:t xml:space="preserve"> service is broadly representative of the religious breakdown of the population</w:t>
      </w:r>
      <w:r>
        <w:t>.</w:t>
      </w:r>
    </w:p>
    <w:p w14:paraId="35061D1D" w14:textId="77777777" w:rsidR="00C47BE6" w:rsidRDefault="00C47BE6" w:rsidP="00C47BE6">
      <w:pPr>
        <w:pStyle w:val="ListParagraph1"/>
      </w:pPr>
      <w:r>
        <w:t xml:space="preserve">There are approximately 1000 to 1,500 </w:t>
      </w:r>
      <w:r w:rsidRPr="00F360DC">
        <w:t>Jehovah’s Witnesses living in Egypt</w:t>
      </w:r>
      <w:r>
        <w:t xml:space="preserve">. </w:t>
      </w:r>
      <w:r w:rsidRPr="00F360DC">
        <w:t>Jehovah’s Witnesses are not officially recognised</w:t>
      </w:r>
      <w:r>
        <w:t xml:space="preserve"> by the Egyptian Government</w:t>
      </w:r>
      <w:r w:rsidRPr="00F360DC">
        <w:t xml:space="preserve"> but are allowed by authorities to meet privately and worship in gatherings of fewer than 30 people. Jehovah’s Witnesses are banned from importing religious literature such as Watchtower publications, a key part of religious instruction and practice</w:t>
      </w:r>
      <w:r>
        <w:t>. Courts have ruled Jehovah’s Witnesses have the</w:t>
      </w:r>
      <w:r w:rsidRPr="006163A6">
        <w:t xml:space="preserve"> </w:t>
      </w:r>
      <w:r>
        <w:t xml:space="preserve">legal </w:t>
      </w:r>
      <w:r w:rsidRPr="006163A6">
        <w:t xml:space="preserve">right to </w:t>
      </w:r>
      <w:r>
        <w:t>obtain</w:t>
      </w:r>
      <w:r w:rsidRPr="006163A6">
        <w:t xml:space="preserve"> identification card</w:t>
      </w:r>
      <w:r>
        <w:t xml:space="preserve">s with </w:t>
      </w:r>
      <w:r w:rsidRPr="006163A6">
        <w:t xml:space="preserve">a dash </w:t>
      </w:r>
      <w:r>
        <w:t xml:space="preserve">listed </w:t>
      </w:r>
      <w:r w:rsidRPr="006163A6">
        <w:t xml:space="preserve">in the space </w:t>
      </w:r>
      <w:r>
        <w:t>for</w:t>
      </w:r>
      <w:r w:rsidRPr="006163A6">
        <w:t xml:space="preserve"> religious affiliation</w:t>
      </w:r>
      <w:r>
        <w:t>.</w:t>
      </w:r>
    </w:p>
    <w:p w14:paraId="4697B89A" w14:textId="77777777" w:rsidR="00C47BE6" w:rsidRPr="008800E9" w:rsidRDefault="00C47BE6" w:rsidP="00C47BE6">
      <w:pPr>
        <w:pStyle w:val="ListParagraph1"/>
      </w:pPr>
      <w:r w:rsidRPr="004D5AA3">
        <w:t xml:space="preserve">DFAT assesses </w:t>
      </w:r>
      <w:r>
        <w:t xml:space="preserve">Christians are unlikely to </w:t>
      </w:r>
      <w:r w:rsidRPr="004D5AA3">
        <w:t>face official discrimination</w:t>
      </w:r>
      <w:r>
        <w:t xml:space="preserve"> based on their religion, in the form of inability to access government employment in certain national security and intelligence institutions. DFAT assesses Christians are unlikely to face societal discrimination based on their religion, which is more common in rural than urban areas. DFAT assesses it is rare for Christians to face sectarian violence.</w:t>
      </w:r>
    </w:p>
    <w:p w14:paraId="4591C855" w14:textId="77777777" w:rsidR="00C47BE6" w:rsidRPr="00621CB6" w:rsidRDefault="00C47BE6" w:rsidP="00C47BE6">
      <w:pPr>
        <w:pStyle w:val="Heading3"/>
        <w:ind w:firstLine="0"/>
        <w:jc w:val="left"/>
        <w:rPr>
          <w:rFonts w:cs="Calibri"/>
          <w:b/>
          <w:bCs/>
          <w:color w:val="auto"/>
        </w:rPr>
      </w:pPr>
      <w:r>
        <w:rPr>
          <w:rFonts w:cs="Calibri"/>
          <w:b/>
          <w:bCs/>
          <w:color w:val="auto"/>
        </w:rPr>
        <w:t>Shi’a</w:t>
      </w:r>
    </w:p>
    <w:p w14:paraId="04BF3D4C" w14:textId="77777777" w:rsidR="00C47BE6" w:rsidRDefault="00C47BE6" w:rsidP="00C47BE6">
      <w:pPr>
        <w:pStyle w:val="ListParagraph1"/>
      </w:pPr>
      <w:r w:rsidRPr="001932FE">
        <w:t>Shi</w:t>
      </w:r>
      <w:r>
        <w:t>’</w:t>
      </w:r>
      <w:r w:rsidRPr="001932FE">
        <w:t xml:space="preserve">a Islam </w:t>
      </w:r>
      <w:r>
        <w:t>places importance on the</w:t>
      </w:r>
      <w:r w:rsidRPr="001932FE">
        <w:t xml:space="preserve"> Ten Obligatory Acts</w:t>
      </w:r>
      <w:r>
        <w:t xml:space="preserve"> and</w:t>
      </w:r>
      <w:r w:rsidRPr="001932FE">
        <w:t xml:space="preserve"> </w:t>
      </w:r>
      <w:r w:rsidRPr="00D95956">
        <w:t>mourn</w:t>
      </w:r>
      <w:r>
        <w:t>s</w:t>
      </w:r>
      <w:r w:rsidRPr="00D95956">
        <w:t xml:space="preserve"> the martyrdom of Imam Hussein</w:t>
      </w:r>
      <w:r>
        <w:t xml:space="preserve">. </w:t>
      </w:r>
      <w:r w:rsidRPr="00D95956">
        <w:t xml:space="preserve">The size of the Shi’a </w:t>
      </w:r>
      <w:r>
        <w:t>population</w:t>
      </w:r>
      <w:r w:rsidRPr="00D95956">
        <w:t xml:space="preserve"> in Egypt is unclear</w:t>
      </w:r>
      <w:r>
        <w:t xml:space="preserve"> because o</w:t>
      </w:r>
      <w:r w:rsidRPr="00D95956">
        <w:t>fficial statistics do not distinguish Muslims by sects</w:t>
      </w:r>
      <w:r>
        <w:t xml:space="preserve"> but e</w:t>
      </w:r>
      <w:r w:rsidRPr="00D95956">
        <w:t>stimates range from 800,000 to two million.</w:t>
      </w:r>
      <w:r>
        <w:t xml:space="preserve"> </w:t>
      </w:r>
      <w:r w:rsidRPr="00AA302A">
        <w:t xml:space="preserve">Shi’a in Egypt </w:t>
      </w:r>
      <w:r>
        <w:t xml:space="preserve">are mainly from the </w:t>
      </w:r>
      <w:r w:rsidRPr="00AA302A">
        <w:t>Twelver</w:t>
      </w:r>
      <w:r>
        <w:t xml:space="preserve"> sect, with smaller numbers of </w:t>
      </w:r>
      <w:r w:rsidRPr="00AA302A">
        <w:t>Ismaili</w:t>
      </w:r>
      <w:r>
        <w:t>,</w:t>
      </w:r>
      <w:r w:rsidRPr="00AA302A">
        <w:t xml:space="preserve"> </w:t>
      </w:r>
      <w:r>
        <w:t xml:space="preserve">including </w:t>
      </w:r>
      <w:r w:rsidRPr="00AA302A">
        <w:t>Dawoodi Bohra</w:t>
      </w:r>
      <w:r>
        <w:t xml:space="preserve"> and </w:t>
      </w:r>
      <w:r w:rsidRPr="00AA302A">
        <w:t>followers of the Aga Khan.</w:t>
      </w:r>
    </w:p>
    <w:p w14:paraId="379F4CF9" w14:textId="49470428" w:rsidR="00C47BE6" w:rsidRDefault="00C47BE6" w:rsidP="00C47BE6">
      <w:pPr>
        <w:pStyle w:val="ListParagraph1"/>
      </w:pPr>
      <w:r>
        <w:t>There is no legal prohibition on Shi’a Islam in Egypt but authorities have on occasion prevented its practice. In-country sources said Shi’a were permitted to</w:t>
      </w:r>
      <w:r w:rsidRPr="00EB0378">
        <w:t xml:space="preserve"> worship privately in small numbers</w:t>
      </w:r>
      <w:r>
        <w:t xml:space="preserve"> but unable to hold larger public gatherings like those celebrating </w:t>
      </w:r>
      <w:r w:rsidRPr="00B77697">
        <w:rPr>
          <w:i/>
          <w:iCs/>
        </w:rPr>
        <w:t>Ashura</w:t>
      </w:r>
      <w:r w:rsidRPr="00EB0378">
        <w:t>.</w:t>
      </w:r>
      <w:r>
        <w:t xml:space="preserve"> Shi’a have not received official permission to establish </w:t>
      </w:r>
      <w:proofErr w:type="spellStart"/>
      <w:r w:rsidRPr="00C11130">
        <w:rPr>
          <w:i/>
          <w:iCs/>
        </w:rPr>
        <w:t>husseiniyas</w:t>
      </w:r>
      <w:proofErr w:type="spellEnd"/>
      <w:r>
        <w:t xml:space="preserve"> (congregational halls) and other places of worship including mosques</w:t>
      </w:r>
      <w:r w:rsidRPr="006873C2">
        <w:t>.</w:t>
      </w:r>
      <w:r>
        <w:t xml:space="preserve"> Some Shi’a state they were excluded from service in the </w:t>
      </w:r>
      <w:hyperlink w:anchor="_Military" w:history="1">
        <w:r w:rsidRPr="00397EE5">
          <w:rPr>
            <w:rStyle w:val="Hyperlink"/>
          </w:rPr>
          <w:t>armed forces</w:t>
        </w:r>
      </w:hyperlink>
      <w:r>
        <w:t xml:space="preserve"> and from employment in the security and intelligence services. </w:t>
      </w:r>
      <w:r w:rsidRPr="00770D9A">
        <w:t xml:space="preserve">In-country sources said authorities were suspicious </w:t>
      </w:r>
      <w:r>
        <w:t>at time</w:t>
      </w:r>
      <w:r w:rsidR="00DF7EB5">
        <w:t>s</w:t>
      </w:r>
      <w:r>
        <w:t xml:space="preserve"> of </w:t>
      </w:r>
      <w:r w:rsidRPr="00770D9A">
        <w:t xml:space="preserve">Twelver Shi’a due to concerns </w:t>
      </w:r>
      <w:r>
        <w:t>over</w:t>
      </w:r>
      <w:r w:rsidRPr="00770D9A">
        <w:t xml:space="preserve"> foreign influence if they followed an Iranian ayatollah or </w:t>
      </w:r>
      <w:r>
        <w:t xml:space="preserve">fear </w:t>
      </w:r>
      <w:proofErr w:type="spellStart"/>
      <w:r w:rsidRPr="00770D9A">
        <w:rPr>
          <w:i/>
          <w:iCs/>
        </w:rPr>
        <w:t>husseiniyas</w:t>
      </w:r>
      <w:proofErr w:type="spellEnd"/>
      <w:r w:rsidRPr="00770D9A">
        <w:t xml:space="preserve"> </w:t>
      </w:r>
      <w:r>
        <w:t>would</w:t>
      </w:r>
      <w:r w:rsidRPr="00770D9A">
        <w:t xml:space="preserve"> become centre</w:t>
      </w:r>
      <w:r>
        <w:t>s</w:t>
      </w:r>
      <w:r w:rsidRPr="00770D9A">
        <w:t xml:space="preserve"> for Iranian political activity. </w:t>
      </w:r>
      <w:r>
        <w:t xml:space="preserve">DFAT is aware some Twelver </w:t>
      </w:r>
      <w:r>
        <w:lastRenderedPageBreak/>
        <w:t xml:space="preserve">Shi’a have been dismissed from private sector employment after their employers discovered their religious identity but not of cases where Shi’a have been dismissed from public sector employment because of their faith. In-country sources said Ismaili Shi’a were </w:t>
      </w:r>
      <w:r w:rsidRPr="00770D9A">
        <w:t xml:space="preserve">generally well-integrated </w:t>
      </w:r>
      <w:r>
        <w:t xml:space="preserve">into Egyptian society </w:t>
      </w:r>
      <w:r w:rsidRPr="00770D9A">
        <w:t>and ha</w:t>
      </w:r>
      <w:r>
        <w:t>d</w:t>
      </w:r>
      <w:r w:rsidRPr="00770D9A">
        <w:t xml:space="preserve"> </w:t>
      </w:r>
      <w:r>
        <w:t xml:space="preserve">comparatively </w:t>
      </w:r>
      <w:r w:rsidRPr="00770D9A">
        <w:t>higher socio</w:t>
      </w:r>
      <w:r>
        <w:noBreakHyphen/>
      </w:r>
      <w:r w:rsidRPr="00770D9A">
        <w:t>economic background</w:t>
      </w:r>
      <w:r>
        <w:t xml:space="preserve">s than </w:t>
      </w:r>
      <w:r w:rsidRPr="00770D9A">
        <w:t>Twelver Shi’a.</w:t>
      </w:r>
    </w:p>
    <w:p w14:paraId="7558C76B" w14:textId="77777777" w:rsidR="00C47BE6" w:rsidRDefault="00C47BE6" w:rsidP="00C47BE6">
      <w:pPr>
        <w:pStyle w:val="ListParagraph1"/>
      </w:pPr>
      <w:r w:rsidRPr="00C8763B">
        <w:t xml:space="preserve">The </w:t>
      </w:r>
      <w:r w:rsidRPr="003136BC">
        <w:rPr>
          <w:i/>
          <w:iCs/>
        </w:rPr>
        <w:t>Penal Code (No. 58) 1937</w:t>
      </w:r>
      <w:r w:rsidRPr="00C8763B">
        <w:t xml:space="preserve"> does not criminali</w:t>
      </w:r>
      <w:r>
        <w:t>se</w:t>
      </w:r>
      <w:r w:rsidRPr="00C8763B">
        <w:t xml:space="preserve"> </w:t>
      </w:r>
      <w:r>
        <w:t>Shi’a Islam</w:t>
      </w:r>
      <w:r w:rsidRPr="00C8763B">
        <w:t>. However, Article 98</w:t>
      </w:r>
      <w:r>
        <w:t xml:space="preserve">(f) on </w:t>
      </w:r>
      <w:hyperlink w:anchor="_Blasphemy/_Defamation_of" w:history="1">
        <w:r w:rsidRPr="00E818E4">
          <w:rPr>
            <w:rStyle w:val="Hyperlink"/>
          </w:rPr>
          <w:t>blasphemy</w:t>
        </w:r>
      </w:hyperlink>
      <w:r w:rsidRPr="00C8763B">
        <w:t xml:space="preserve"> has been </w:t>
      </w:r>
      <w:r w:rsidRPr="00CE49C0">
        <w:t xml:space="preserve">used </w:t>
      </w:r>
      <w:r w:rsidRPr="00C8763B">
        <w:t>selectively</w:t>
      </w:r>
      <w:r w:rsidRPr="00CE49C0">
        <w:t xml:space="preserve"> against</w:t>
      </w:r>
      <w:r>
        <w:t xml:space="preserve"> m</w:t>
      </w:r>
      <w:r w:rsidRPr="00BA17B2">
        <w:t>embers of the Shi</w:t>
      </w:r>
      <w:r>
        <w:t>’</w:t>
      </w:r>
      <w:r w:rsidRPr="00BA17B2">
        <w:t>a community for publicly voicing their religious opinions</w:t>
      </w:r>
      <w:r>
        <w:t xml:space="preserve"> and </w:t>
      </w:r>
      <w:r w:rsidRPr="00BA17B2">
        <w:t>promoting Shi</w:t>
      </w:r>
      <w:r>
        <w:t>’</w:t>
      </w:r>
      <w:r w:rsidRPr="00BA17B2">
        <w:t>a thought</w:t>
      </w:r>
      <w:r w:rsidRPr="00C8763B">
        <w:t>.</w:t>
      </w:r>
      <w:r w:rsidRPr="008F2467">
        <w:rPr>
          <w:rStyle w:val="FootnoteReference"/>
        </w:rPr>
        <w:t xml:space="preserve"> </w:t>
      </w:r>
      <w:r w:rsidRPr="00C8763B">
        <w:t xml:space="preserve"> </w:t>
      </w:r>
      <w:r w:rsidRPr="008F2467">
        <w:t>For example</w:t>
      </w:r>
      <w:r>
        <w:t xml:space="preserve">, </w:t>
      </w:r>
      <w:r w:rsidRPr="006B3B31">
        <w:t>Mustafa Al-Ramli and Mahmoud Youssef were found guilty on 27 June</w:t>
      </w:r>
      <w:r>
        <w:t> </w:t>
      </w:r>
      <w:r w:rsidRPr="006B3B31">
        <w:t>2020 of ‘illegally establishing a group to proselytise the Shi’a faith’ and sentenced to one year in prison.</w:t>
      </w:r>
      <w:r>
        <w:t xml:space="preserve"> </w:t>
      </w:r>
      <w:r w:rsidRPr="006C43A8">
        <w:t xml:space="preserve">At the time of writing, DFAT was not aware of </w:t>
      </w:r>
      <w:r>
        <w:t xml:space="preserve">recent instances of </w:t>
      </w:r>
      <w:r w:rsidRPr="001932FE">
        <w:t>Article 98(f) on blasphemy</w:t>
      </w:r>
      <w:r>
        <w:rPr>
          <w:i/>
          <w:iCs/>
        </w:rPr>
        <w:t xml:space="preserve"> </w:t>
      </w:r>
      <w:r w:rsidRPr="00B77697">
        <w:t xml:space="preserve">being </w:t>
      </w:r>
      <w:r w:rsidRPr="006C43A8">
        <w:t xml:space="preserve">used against </w:t>
      </w:r>
      <w:r>
        <w:t>Shi’a. However, s</w:t>
      </w:r>
      <w:r w:rsidRPr="006B3B31">
        <w:t>ome Shi'a who have travelled to Iran and Iraq have been detained</w:t>
      </w:r>
      <w:r>
        <w:t xml:space="preserve"> for questioning</w:t>
      </w:r>
      <w:r w:rsidRPr="006B3B31">
        <w:t xml:space="preserve"> </w:t>
      </w:r>
      <w:r>
        <w:t xml:space="preserve">by authorities upon return. </w:t>
      </w:r>
    </w:p>
    <w:p w14:paraId="69E74157" w14:textId="77777777" w:rsidR="00C47BE6" w:rsidRDefault="00C47BE6" w:rsidP="00C47BE6">
      <w:pPr>
        <w:pStyle w:val="ListParagraph1"/>
      </w:pPr>
      <w:r>
        <w:t xml:space="preserve">Most Shi’a do not promote their religious identity. Shi’a do not have any defining characteristics such as appearance or dress that would distinguish them from other Egyptians. They do not live in identifiable communities and often </w:t>
      </w:r>
      <w:r w:rsidRPr="00FC2559">
        <w:t>worship in private</w:t>
      </w:r>
      <w:r>
        <w:t>. Although most Shi’a have given names</w:t>
      </w:r>
      <w:r w:rsidRPr="009E60A9">
        <w:t xml:space="preserve"> </w:t>
      </w:r>
      <w:r>
        <w:t xml:space="preserve">such as ‘Ali’ or ‘Hussein’ that would identify them as Shi’a in other parts of the Middle East, many Egyptian Sunnis also use these names. </w:t>
      </w:r>
      <w:hyperlink w:anchor="_National_Identity_Cards" w:history="1">
        <w:r w:rsidRPr="00D84694">
          <w:rPr>
            <w:rStyle w:val="Hyperlink"/>
          </w:rPr>
          <w:t>National identity cards</w:t>
        </w:r>
      </w:hyperlink>
      <w:r>
        <w:t xml:space="preserve"> identify the holder as ‘Muslim’ without any additional information about sect. Marriages between Shi’a are recognised as Muslim marriages.</w:t>
      </w:r>
    </w:p>
    <w:p w14:paraId="67C28EFA" w14:textId="77777777" w:rsidR="00C47BE6" w:rsidRDefault="00C47BE6" w:rsidP="00C47BE6">
      <w:pPr>
        <w:pStyle w:val="ListParagraph1"/>
      </w:pPr>
      <w:r>
        <w:t xml:space="preserve">According to in-country sources, those publicly identifying as Twelver Shi’a sometimes faced societal discrimination, which varied based on geographic location and socio-economic status. </w:t>
      </w:r>
      <w:r w:rsidRPr="007D17D8">
        <w:t>Shi</w:t>
      </w:r>
      <w:r>
        <w:t>’a had been targets of</w:t>
      </w:r>
      <w:r w:rsidRPr="007D17D8">
        <w:t xml:space="preserve"> defamation and hate speech</w:t>
      </w:r>
      <w:r>
        <w:t xml:space="preserve"> by </w:t>
      </w:r>
      <w:r w:rsidRPr="007D17D8">
        <w:t>Salafi Islamist groups</w:t>
      </w:r>
      <w:r>
        <w:t xml:space="preserve"> that do not </w:t>
      </w:r>
      <w:r w:rsidRPr="007D17D8">
        <w:t>accept Shi</w:t>
      </w:r>
      <w:r>
        <w:t>’a</w:t>
      </w:r>
      <w:r w:rsidRPr="007D17D8">
        <w:t xml:space="preserve"> as Muslims</w:t>
      </w:r>
      <w:r w:rsidRPr="00397EE5">
        <w:t>.</w:t>
      </w:r>
      <w:r>
        <w:t xml:space="preserve"> A 2023 report from the </w:t>
      </w:r>
      <w:proofErr w:type="spellStart"/>
      <w:r>
        <w:t>Andalus</w:t>
      </w:r>
      <w:proofErr w:type="spellEnd"/>
      <w:r>
        <w:t xml:space="preserve"> </w:t>
      </w:r>
      <w:proofErr w:type="spellStart"/>
      <w:r>
        <w:t>Center</w:t>
      </w:r>
      <w:proofErr w:type="spellEnd"/>
      <w:r>
        <w:t xml:space="preserve"> for Tolerance and Anti-violence noted hate speech targeting Shi’a was highest on Facebook, where anti-Shi’a posts made up over 79 percent of hate speech posts analysed in Egypt. </w:t>
      </w:r>
      <w:r w:rsidRPr="006C43A8">
        <w:t xml:space="preserve">At the time of writing, DFAT was not aware of </w:t>
      </w:r>
      <w:r>
        <w:t>recent instances of societal violence targeting any Shi’a</w:t>
      </w:r>
      <w:bookmarkStart w:id="56" w:name="_Recognised_Religious_Groups"/>
      <w:bookmarkEnd w:id="56"/>
      <w:r>
        <w:t xml:space="preserve"> sect.</w:t>
      </w:r>
    </w:p>
    <w:p w14:paraId="2DF40E00" w14:textId="77777777" w:rsidR="00C47BE6" w:rsidRPr="00D950B7" w:rsidRDefault="00C47BE6" w:rsidP="00C47BE6">
      <w:pPr>
        <w:pStyle w:val="ListParagraph1"/>
      </w:pPr>
      <w:r w:rsidRPr="004D5AA3">
        <w:t xml:space="preserve">DFAT assesses </w:t>
      </w:r>
      <w:r>
        <w:t xml:space="preserve">Shi’a are </w:t>
      </w:r>
      <w:r w:rsidRPr="004D5AA3">
        <w:t xml:space="preserve">likely </w:t>
      </w:r>
      <w:r>
        <w:t xml:space="preserve">to </w:t>
      </w:r>
      <w:r w:rsidRPr="004D5AA3">
        <w:t>face official discrimination</w:t>
      </w:r>
      <w:r>
        <w:t xml:space="preserve"> based on their religion in the form of </w:t>
      </w:r>
      <w:r w:rsidRPr="004E6628">
        <w:t>harassment</w:t>
      </w:r>
      <w:r>
        <w:t xml:space="preserve"> by </w:t>
      </w:r>
      <w:hyperlink w:anchor="_Police" w:history="1">
        <w:r w:rsidRPr="00652EB7">
          <w:rPr>
            <w:rStyle w:val="Hyperlink"/>
          </w:rPr>
          <w:t>police</w:t>
        </w:r>
      </w:hyperlink>
      <w:r>
        <w:t xml:space="preserve"> and charges of </w:t>
      </w:r>
      <w:hyperlink w:anchor="_Blasphemy/Defamation_of_Religion" w:history="1">
        <w:r w:rsidRPr="00652EB7">
          <w:rPr>
            <w:rStyle w:val="Hyperlink"/>
          </w:rPr>
          <w:t>blasphemy</w:t>
        </w:r>
      </w:hyperlink>
      <w:r>
        <w:t xml:space="preserve">. </w:t>
      </w:r>
      <w:r w:rsidRPr="00E30F6B">
        <w:t>Proselyti</w:t>
      </w:r>
      <w:r>
        <w:t>s</w:t>
      </w:r>
      <w:r w:rsidRPr="00E30F6B">
        <w:t xml:space="preserve">ing is highly restricted in Egypt due to </w:t>
      </w:r>
      <w:hyperlink w:anchor="_Alevis" w:history="1">
        <w:r w:rsidRPr="00E30F6B">
          <w:rPr>
            <w:rStyle w:val="Hyperlink"/>
          </w:rPr>
          <w:t>blasphemy</w:t>
        </w:r>
      </w:hyperlink>
      <w:r w:rsidRPr="00E30F6B">
        <w:t xml:space="preserve"> and apostasy laws</w:t>
      </w:r>
      <w:r>
        <w:t>,</w:t>
      </w:r>
      <w:r w:rsidRPr="00E30F6B">
        <w:t xml:space="preserve"> </w:t>
      </w:r>
      <w:r>
        <w:t>with those engaging in the practice likely to face</w:t>
      </w:r>
      <w:r w:rsidRPr="00E30F6B">
        <w:t xml:space="preserve"> arrest.</w:t>
      </w:r>
      <w:r>
        <w:t xml:space="preserve"> DFAT assesses Shi’a are likely to face societal discrimination based on their religion. DFAT assesses it is rare for Shi’a to face sectarian violence.</w:t>
      </w:r>
    </w:p>
    <w:p w14:paraId="06C9CF2D" w14:textId="77777777" w:rsidR="00C47BE6" w:rsidRPr="00C47BE6" w:rsidRDefault="00C47BE6" w:rsidP="00C47BE6">
      <w:pPr>
        <w:pStyle w:val="Heading2"/>
        <w:ind w:firstLine="0"/>
        <w:jc w:val="left"/>
        <w:rPr>
          <w:rFonts w:ascii="Calibri" w:hAnsi="Calibri" w:cs="Calibri"/>
          <w:b/>
          <w:bCs/>
          <w:color w:val="auto"/>
          <w:sz w:val="36"/>
          <w:szCs w:val="36"/>
        </w:rPr>
      </w:pPr>
      <w:bookmarkStart w:id="57" w:name="_POLITICAL_OPINION_(ACTUAL_1"/>
      <w:bookmarkStart w:id="58" w:name="_POLITICAL_OPINION_(ACTUAL"/>
      <w:bookmarkStart w:id="59" w:name="_Toc196387079"/>
      <w:bookmarkEnd w:id="57"/>
      <w:bookmarkEnd w:id="58"/>
      <w:r w:rsidRPr="00C47BE6">
        <w:rPr>
          <w:rFonts w:ascii="Calibri" w:hAnsi="Calibri" w:cs="Calibri"/>
          <w:b/>
          <w:bCs/>
          <w:color w:val="auto"/>
          <w:sz w:val="36"/>
          <w:szCs w:val="36"/>
        </w:rPr>
        <w:t>POLITICAL OPINION (ACTUAL OR IMPUTED)</w:t>
      </w:r>
      <w:bookmarkEnd w:id="59"/>
    </w:p>
    <w:p w14:paraId="071D952B" w14:textId="77777777" w:rsidR="00C47BE6" w:rsidRDefault="00C47BE6" w:rsidP="00C47BE6">
      <w:pPr>
        <w:pStyle w:val="ListParagraph1"/>
      </w:pPr>
      <w:r w:rsidRPr="00530EBE">
        <w:t xml:space="preserve">Article 65 of the Constitution guarantees freedom of thought and </w:t>
      </w:r>
      <w:r>
        <w:t xml:space="preserve">the </w:t>
      </w:r>
      <w:r w:rsidRPr="00530EBE">
        <w:t xml:space="preserve">right of every person to express </w:t>
      </w:r>
      <w:r>
        <w:t>their</w:t>
      </w:r>
      <w:r w:rsidRPr="00530EBE">
        <w:t xml:space="preserve"> opinion.</w:t>
      </w:r>
      <w:r>
        <w:t xml:space="preserve"> However, </w:t>
      </w:r>
      <w:proofErr w:type="gramStart"/>
      <w:r>
        <w:t xml:space="preserve">a </w:t>
      </w:r>
      <w:r w:rsidRPr="006D4150">
        <w:t>number of</w:t>
      </w:r>
      <w:proofErr w:type="gramEnd"/>
      <w:r w:rsidRPr="006D4150">
        <w:t xml:space="preserve"> topics are considered sensitive, with those raising them liable to receive punishment. Sensitive issues include but are not limited to: President </w:t>
      </w:r>
      <w:r>
        <w:t>El-</w:t>
      </w:r>
      <w:r w:rsidRPr="006D4150">
        <w:t xml:space="preserve">Sisi and his family, the General Intelligence Service and its associated businesses, the </w:t>
      </w:r>
      <w:hyperlink w:anchor="_Military" w:history="1">
        <w:r w:rsidRPr="00087861">
          <w:rPr>
            <w:rStyle w:val="Hyperlink"/>
          </w:rPr>
          <w:t>armed forces</w:t>
        </w:r>
      </w:hyperlink>
      <w:r w:rsidRPr="006D4150">
        <w:t xml:space="preserve"> and its associated businesses, and</w:t>
      </w:r>
      <w:r>
        <w:t xml:space="preserve"> conditions in</w:t>
      </w:r>
      <w:r w:rsidRPr="006D4150">
        <w:t xml:space="preserve"> prison</w:t>
      </w:r>
      <w:r>
        <w:t>s</w:t>
      </w:r>
      <w:r w:rsidRPr="006D4150">
        <w:t xml:space="preserve">. Article 179 of the </w:t>
      </w:r>
      <w:r w:rsidRPr="006D4150">
        <w:rPr>
          <w:i/>
          <w:iCs/>
        </w:rPr>
        <w:t>Penal Code (No. 58) 1937</w:t>
      </w:r>
      <w:r w:rsidRPr="006D4150">
        <w:t xml:space="preserve"> amended in 2021 criminalises insulting the president and imposes a penalty of detention and/or </w:t>
      </w:r>
      <w:r>
        <w:t xml:space="preserve">a </w:t>
      </w:r>
      <w:r w:rsidRPr="006D4150">
        <w:t xml:space="preserve">fine of between EGP10,000 to 30,000 (AUD316 to 948). Article 184 of the </w:t>
      </w:r>
      <w:r w:rsidRPr="006D4150">
        <w:rPr>
          <w:i/>
          <w:iCs/>
        </w:rPr>
        <w:t>Penal Code (No. 58) 1937</w:t>
      </w:r>
      <w:r w:rsidRPr="006D4150">
        <w:t xml:space="preserve"> criminalises ‘insulting the People’s Assembly, the Shura Council or any State Authority, or the Army or the Courts’</w:t>
      </w:r>
      <w:r>
        <w:t>, imposing a penalty of</w:t>
      </w:r>
      <w:r w:rsidRPr="006D4150">
        <w:t xml:space="preserve"> detention and/or a fine of between EGP5,000 to 10,000 (AUD 158 to 316). In</w:t>
      </w:r>
      <w:r w:rsidRPr="006D4150">
        <w:noBreakHyphen/>
        <w:t>country sources said official tolerance for freedom of expression and</w:t>
      </w:r>
      <w:r>
        <w:t xml:space="preserve"> opinion, including public criticism of the government, had shrunk in recent years.</w:t>
      </w:r>
    </w:p>
    <w:p w14:paraId="14F03F5B" w14:textId="77777777" w:rsidR="00C47BE6" w:rsidRDefault="00C47BE6" w:rsidP="00C47BE6">
      <w:pPr>
        <w:pStyle w:val="ListParagraph1"/>
      </w:pPr>
      <w:r>
        <w:t xml:space="preserve">According to </w:t>
      </w:r>
      <w:r w:rsidRPr="009401DE">
        <w:t>Freedom House</w:t>
      </w:r>
      <w:r>
        <w:t>,</w:t>
      </w:r>
      <w:r w:rsidRPr="009401DE">
        <w:t xml:space="preserve"> </w:t>
      </w:r>
      <w:r>
        <w:t>Egyptians</w:t>
      </w:r>
      <w:r w:rsidRPr="009401DE">
        <w:t xml:space="preserve"> who express personal views contrary to preferred state narratives are subject to reprisals</w:t>
      </w:r>
      <w:r>
        <w:t>. C</w:t>
      </w:r>
      <w:r w:rsidRPr="009401DE">
        <w:t xml:space="preserve">riticism of the </w:t>
      </w:r>
      <w:r>
        <w:t>p</w:t>
      </w:r>
      <w:r w:rsidRPr="009401DE">
        <w:t>resident online or in public can result in imprisonment.</w:t>
      </w:r>
      <w:r>
        <w:t xml:space="preserve"> </w:t>
      </w:r>
      <w:r w:rsidRPr="007F7DCD">
        <w:t>Human Rights Watch</w:t>
      </w:r>
      <w:r>
        <w:t xml:space="preserve"> reported in 2024 the Egyptian G</w:t>
      </w:r>
      <w:r w:rsidRPr="007F7DCD">
        <w:t>overnment systematically detain</w:t>
      </w:r>
      <w:r>
        <w:t>ed</w:t>
      </w:r>
      <w:r w:rsidRPr="007F7DCD">
        <w:t xml:space="preserve"> and punish</w:t>
      </w:r>
      <w:r>
        <w:t>ed</w:t>
      </w:r>
      <w:r w:rsidRPr="007F7DCD">
        <w:t xml:space="preserve"> peaceful critics and activists</w:t>
      </w:r>
      <w:r>
        <w:t>,</w:t>
      </w:r>
      <w:r w:rsidRPr="007F7DCD">
        <w:t xml:space="preserve"> effectively criminali</w:t>
      </w:r>
      <w:r>
        <w:t>s</w:t>
      </w:r>
      <w:r w:rsidRPr="007F7DCD">
        <w:t>ing peaceful dissent.</w:t>
      </w:r>
      <w:r>
        <w:t xml:space="preserve"> </w:t>
      </w:r>
      <w:r w:rsidRPr="00FF6743">
        <w:t xml:space="preserve">The US Department of State's 2023 </w:t>
      </w:r>
      <w:r w:rsidRPr="00FF6743">
        <w:rPr>
          <w:i/>
          <w:iCs/>
        </w:rPr>
        <w:t>Egypt Country Report on Human Rights Practices</w:t>
      </w:r>
      <w:r w:rsidRPr="00FF6743">
        <w:t xml:space="preserve"> state</w:t>
      </w:r>
      <w:r>
        <w:t>d</w:t>
      </w:r>
      <w:r w:rsidRPr="00FF6743">
        <w:t xml:space="preserve"> </w:t>
      </w:r>
      <w:r>
        <w:t>the Egyptian G</w:t>
      </w:r>
      <w:r w:rsidRPr="007F7DCD">
        <w:t>overnment regularly investigated, detained and prosecuted individuals for expressing political views or criticism, using charges such as</w:t>
      </w:r>
      <w:r>
        <w:t>:</w:t>
      </w:r>
      <w:r w:rsidRPr="007F7DCD">
        <w:t xml:space="preserve"> spreading false news</w:t>
      </w:r>
      <w:r>
        <w:t>,</w:t>
      </w:r>
      <w:r w:rsidRPr="007F7DCD">
        <w:t xml:space="preserve"> supporting a banned group, incitement of violence, insults to religion, insults to public figures and institutions </w:t>
      </w:r>
      <w:r>
        <w:t>(</w:t>
      </w:r>
      <w:r w:rsidRPr="007F7DCD">
        <w:t xml:space="preserve">such as the </w:t>
      </w:r>
      <w:hyperlink w:anchor="_Legal_system" w:history="1">
        <w:r w:rsidRPr="006D0300">
          <w:rPr>
            <w:rStyle w:val="Hyperlink"/>
          </w:rPr>
          <w:t>judiciary</w:t>
        </w:r>
      </w:hyperlink>
      <w:r w:rsidRPr="007F7DCD">
        <w:t xml:space="preserve"> and the </w:t>
      </w:r>
      <w:hyperlink w:anchor="_Military" w:history="1">
        <w:r w:rsidRPr="006D0300">
          <w:rPr>
            <w:rStyle w:val="Hyperlink"/>
          </w:rPr>
          <w:t>military</w:t>
        </w:r>
      </w:hyperlink>
      <w:r>
        <w:t>)</w:t>
      </w:r>
      <w:r w:rsidRPr="007F7DCD">
        <w:t xml:space="preserve"> or abuse of public morals.</w:t>
      </w:r>
    </w:p>
    <w:p w14:paraId="5FBB4A64" w14:textId="77777777" w:rsidR="00C47BE6" w:rsidRDefault="00C47BE6" w:rsidP="00C47BE6">
      <w:pPr>
        <w:pStyle w:val="ListParagraph1"/>
      </w:pPr>
      <w:r w:rsidRPr="00A3568E">
        <w:t xml:space="preserve">Authorities </w:t>
      </w:r>
      <w:r>
        <w:t xml:space="preserve">actively </w:t>
      </w:r>
      <w:r w:rsidRPr="00A3568E">
        <w:t xml:space="preserve">discourage </w:t>
      </w:r>
      <w:r>
        <w:t>negative portrayals of</w:t>
      </w:r>
      <w:r w:rsidRPr="00A3568E">
        <w:t xml:space="preserve"> </w:t>
      </w:r>
      <w:r>
        <w:t xml:space="preserve">President El-Sisi, the General Intelligence Service and the armed forces. Those responsible for negative public portrayals are often arrested. For example, the Interior Ministry stated in July 2024 a man had been arrested for </w:t>
      </w:r>
      <w:r w:rsidRPr="009401DE">
        <w:t xml:space="preserve">displaying criticism of </w:t>
      </w:r>
      <w:r>
        <w:t>President El-</w:t>
      </w:r>
      <w:r w:rsidRPr="009401DE">
        <w:t>Sisi on a</w:t>
      </w:r>
      <w:r>
        <w:t xml:space="preserve">n advertising </w:t>
      </w:r>
      <w:r>
        <w:lastRenderedPageBreak/>
        <w:t xml:space="preserve">screen (billboard) </w:t>
      </w:r>
      <w:r w:rsidRPr="009401DE">
        <w:t xml:space="preserve">in Giza which </w:t>
      </w:r>
      <w:r>
        <w:t>had gone</w:t>
      </w:r>
      <w:r w:rsidRPr="009401DE">
        <w:t xml:space="preserve"> viral on social media.</w:t>
      </w:r>
      <w:r>
        <w:t xml:space="preserve"> </w:t>
      </w:r>
      <w:r w:rsidRPr="00A3568E">
        <w:t>In a</w:t>
      </w:r>
      <w:r>
        <w:t>nother</w:t>
      </w:r>
      <w:r w:rsidRPr="00A3568E">
        <w:t xml:space="preserve"> highly publicised example</w:t>
      </w:r>
      <w:r>
        <w:t xml:space="preserve">, </w:t>
      </w:r>
      <w:r w:rsidRPr="00A3568E">
        <w:t>Ashraf Omar</w:t>
      </w:r>
      <w:r>
        <w:t xml:space="preserve"> was arrested in July 2024 </w:t>
      </w:r>
      <w:r w:rsidRPr="00A3568E">
        <w:t xml:space="preserve">after publishing cartoons </w:t>
      </w:r>
      <w:r>
        <w:t>criticising</w:t>
      </w:r>
      <w:r w:rsidRPr="00A3568E">
        <w:t xml:space="preserve"> the country’s economic crisis and energy shortages</w:t>
      </w:r>
      <w:r>
        <w:t xml:space="preserve"> in a way that negatively portrayed President El-Sisi and the armed forces. He was charged with </w:t>
      </w:r>
      <w:r w:rsidRPr="00A3568E">
        <w:t xml:space="preserve">being involved in a </w:t>
      </w:r>
      <w:r>
        <w:t>‘</w:t>
      </w:r>
      <w:r w:rsidRPr="00A3568E">
        <w:t>terrorist group, disseminating false news, and misusing social media tools</w:t>
      </w:r>
      <w:r>
        <w:t>’. Omar remained in</w:t>
      </w:r>
      <w:r w:rsidRPr="00A3568E">
        <w:t xml:space="preserve"> pretrial detention </w:t>
      </w:r>
      <w:r>
        <w:t xml:space="preserve">at the time of writing. </w:t>
      </w:r>
      <w:r w:rsidRPr="007F7DCD">
        <w:t>Ashraf Omar's wife, Nada Mougheeth, was arrest</w:t>
      </w:r>
      <w:r>
        <w:t>ed</w:t>
      </w:r>
      <w:r w:rsidRPr="007F7DCD">
        <w:t xml:space="preserve"> in January 2025 after </w:t>
      </w:r>
      <w:r>
        <w:t>bringing public attention to</w:t>
      </w:r>
      <w:r w:rsidRPr="007F7DCD">
        <w:t xml:space="preserve"> her husband's </w:t>
      </w:r>
      <w:r>
        <w:t xml:space="preserve">arrest and ongoing detention, as well as alleging </w:t>
      </w:r>
      <w:r w:rsidRPr="007F7DCD">
        <w:t xml:space="preserve">money and personal items </w:t>
      </w:r>
      <w:r>
        <w:t>had been</w:t>
      </w:r>
      <w:r w:rsidRPr="007F7DCD">
        <w:t xml:space="preserve"> seized </w:t>
      </w:r>
      <w:r>
        <w:t xml:space="preserve">by authorities </w:t>
      </w:r>
      <w:r w:rsidRPr="007F7DCD">
        <w:t>from their home. The Ministry of Interior s</w:t>
      </w:r>
      <w:r>
        <w:t>aid</w:t>
      </w:r>
      <w:r w:rsidRPr="007F7DCD">
        <w:t xml:space="preserve"> legal action </w:t>
      </w:r>
      <w:r>
        <w:t>had been</w:t>
      </w:r>
      <w:r w:rsidRPr="007F7DCD">
        <w:t xml:space="preserve"> </w:t>
      </w:r>
      <w:r>
        <w:t>under</w:t>
      </w:r>
      <w:r w:rsidRPr="007F7DCD">
        <w:t>taken</w:t>
      </w:r>
      <w:r>
        <w:t xml:space="preserve"> against</w:t>
      </w:r>
      <w:r w:rsidRPr="007F7DCD">
        <w:t xml:space="preserve"> </w:t>
      </w:r>
      <w:proofErr w:type="spellStart"/>
      <w:r w:rsidRPr="007F7DCD">
        <w:t>Mougheeth</w:t>
      </w:r>
      <w:proofErr w:type="spellEnd"/>
      <w:r w:rsidRPr="007F7DCD">
        <w:t xml:space="preserve"> for spreading false allegations.</w:t>
      </w:r>
      <w:r>
        <w:t xml:space="preserve"> In another instance, </w:t>
      </w:r>
      <w:r w:rsidRPr="006F23FD">
        <w:t xml:space="preserve">Yehia Hussein Abdelhady </w:t>
      </w:r>
      <w:r>
        <w:t xml:space="preserve">was arrested in July 2024 for </w:t>
      </w:r>
      <w:r w:rsidRPr="00A3568E">
        <w:t>being involved in a terrorist group</w:t>
      </w:r>
      <w:r>
        <w:t xml:space="preserve"> and</w:t>
      </w:r>
      <w:r w:rsidRPr="00A3568E">
        <w:t xml:space="preserve"> disseminating false news</w:t>
      </w:r>
      <w:r>
        <w:t xml:space="preserve"> </w:t>
      </w:r>
      <w:r w:rsidRPr="006F23FD">
        <w:t>after he published a Facebook post critici</w:t>
      </w:r>
      <w:r>
        <w:t>s</w:t>
      </w:r>
      <w:r w:rsidRPr="006F23FD">
        <w:t xml:space="preserve">ing </w:t>
      </w:r>
      <w:r>
        <w:t>President El-Sisi</w:t>
      </w:r>
      <w:r w:rsidRPr="006F23FD">
        <w:t xml:space="preserve"> and the </w:t>
      </w:r>
      <w:r>
        <w:t>armed forces.</w:t>
      </w:r>
    </w:p>
    <w:p w14:paraId="2F21D158" w14:textId="77777777" w:rsidR="00C47BE6" w:rsidRDefault="00C47BE6" w:rsidP="00C47BE6">
      <w:pPr>
        <w:pStyle w:val="ListParagraph1"/>
      </w:pPr>
      <w:r w:rsidRPr="006B7136">
        <w:t>Article 87 of the Constitution states every citizen has the right to ‘run for elections’</w:t>
      </w:r>
      <w:r>
        <w:t xml:space="preserve"> with </w:t>
      </w:r>
      <w:r w:rsidRPr="006B7136">
        <w:t>the caveat</w:t>
      </w:r>
      <w:r>
        <w:t>s</w:t>
      </w:r>
      <w:r w:rsidRPr="006B7136">
        <w:t xml:space="preserve"> ‘</w:t>
      </w:r>
      <w:r>
        <w:t>l</w:t>
      </w:r>
      <w:r w:rsidRPr="006B7136">
        <w:t xml:space="preserve">aw shall regulate the exercise of these rights’ and ‘there may be exemption from the performance of this duty in certain cases’. Article 74 of the Constitution gives citizens the right to form regulated political parties. Political parties cannot be based on </w:t>
      </w:r>
      <w:hyperlink w:anchor="_Conflict_between_Turkish" w:history="1">
        <w:r w:rsidRPr="006B7136">
          <w:rPr>
            <w:rStyle w:val="Hyperlink"/>
          </w:rPr>
          <w:t>religion</w:t>
        </w:r>
      </w:hyperlink>
      <w:r w:rsidRPr="006B7136">
        <w:t>, sex, origin, sect or geographic location. Activities hostile to democracy, secretive or military in nature are prohibited.</w:t>
      </w:r>
      <w:r>
        <w:t xml:space="preserve"> Parliamentary elections for the House of Representatives and Senate were last held in 2020 and presidential elections were last held in 2023. Egypt </w:t>
      </w:r>
      <w:r w:rsidRPr="00D322F8">
        <w:t>has not held elections for local councils since 2008</w:t>
      </w:r>
      <w:r>
        <w:t>. T</w:t>
      </w:r>
      <w:r w:rsidRPr="00D322F8">
        <w:t>he last elected local councils were dissolved in 2011.</w:t>
      </w:r>
    </w:p>
    <w:p w14:paraId="3F68EFD7" w14:textId="77777777" w:rsidR="00C47BE6" w:rsidRDefault="00C47BE6" w:rsidP="00C47BE6">
      <w:pPr>
        <w:pStyle w:val="ListParagraph1"/>
      </w:pPr>
      <w:r w:rsidRPr="009401DE">
        <w:t xml:space="preserve">Freedom House </w:t>
      </w:r>
      <w:r>
        <w:t xml:space="preserve">states </w:t>
      </w:r>
      <w:r w:rsidRPr="00D60A7D">
        <w:t xml:space="preserve">significant challengers </w:t>
      </w:r>
      <w:r>
        <w:t xml:space="preserve">were barred </w:t>
      </w:r>
      <w:r w:rsidRPr="00D60A7D">
        <w:t xml:space="preserve">from participating in the 2023 </w:t>
      </w:r>
      <w:hyperlink w:anchor="_POLITICAL_SYSTEM_1" w:history="1">
        <w:r w:rsidRPr="006D0300">
          <w:rPr>
            <w:rStyle w:val="Hyperlink"/>
          </w:rPr>
          <w:t>presidential election</w:t>
        </w:r>
      </w:hyperlink>
      <w:r w:rsidRPr="00D60A7D">
        <w:t xml:space="preserve"> and </w:t>
      </w:r>
      <w:r>
        <w:t xml:space="preserve">the </w:t>
      </w:r>
      <w:r w:rsidRPr="00D60A7D">
        <w:t>parliamentary 2020 elections were marred by the widespread detention and intimidation of individuals critic</w:t>
      </w:r>
      <w:r>
        <w:t xml:space="preserve">al of </w:t>
      </w:r>
      <w:r w:rsidRPr="00D60A7D">
        <w:t>the process</w:t>
      </w:r>
      <w:r>
        <w:t xml:space="preserve">. </w:t>
      </w:r>
      <w:r w:rsidRPr="00D60A7D">
        <w:t>While electoral laws provide a basis for credible elections, electoral authorities fail to ensure an open and competitive campaign environment.</w:t>
      </w:r>
      <w:r>
        <w:t xml:space="preserve"> Restrictions imposed by the Egyptian Government have</w:t>
      </w:r>
      <w:r w:rsidRPr="00D60A7D">
        <w:t xml:space="preserve"> made it nearly impossible for the opposition to gain power through elections.</w:t>
      </w:r>
      <w:r>
        <w:t xml:space="preserve"> </w:t>
      </w:r>
      <w:r w:rsidRPr="00D60A7D">
        <w:t>Human Rights Watch reported the 2023 presidential election followed a campaign of arrests, intimidation and onerous requirements for candidates that effectively prevented meaningful competition</w:t>
      </w:r>
      <w:r>
        <w:t xml:space="preserve">. </w:t>
      </w:r>
      <w:r w:rsidRPr="00FF6743">
        <w:t xml:space="preserve">The US Department of State's 2023 </w:t>
      </w:r>
      <w:r w:rsidRPr="00FF6743">
        <w:rPr>
          <w:i/>
          <w:iCs/>
        </w:rPr>
        <w:t>Egypt Country Report on Human Rights Practices</w:t>
      </w:r>
      <w:r w:rsidRPr="00FF6743">
        <w:t xml:space="preserve"> state</w:t>
      </w:r>
      <w:r>
        <w:t>d</w:t>
      </w:r>
      <w:r w:rsidRPr="003963D9">
        <w:t xml:space="preserve"> </w:t>
      </w:r>
      <w:r>
        <w:t>the 2023 presidential election was</w:t>
      </w:r>
      <w:r w:rsidRPr="003963D9">
        <w:t xml:space="preserve"> widely reported to not be fair </w:t>
      </w:r>
      <w:r>
        <w:t>or</w:t>
      </w:r>
      <w:r w:rsidRPr="003963D9">
        <w:t xml:space="preserve"> free of abuses and irregularities, including actions inhibiting declared candidates from qualifying for the ballot.</w:t>
      </w:r>
    </w:p>
    <w:p w14:paraId="37C5E0E6" w14:textId="03A9D9E9" w:rsidR="00C47BE6" w:rsidRDefault="00C47BE6" w:rsidP="00C47BE6">
      <w:pPr>
        <w:pStyle w:val="ListParagraph1"/>
      </w:pPr>
      <w:r w:rsidRPr="00D322F8">
        <w:t xml:space="preserve">Ahmed Tantawi, the key challenger to </w:t>
      </w:r>
      <w:r>
        <w:t>El-</w:t>
      </w:r>
      <w:r w:rsidRPr="00D322F8">
        <w:t xml:space="preserve">Sisi in </w:t>
      </w:r>
      <w:r>
        <w:t>the 2023 presidential</w:t>
      </w:r>
      <w:r w:rsidRPr="00D322F8">
        <w:t xml:space="preserve"> election, </w:t>
      </w:r>
      <w:r>
        <w:t xml:space="preserve">was forced to </w:t>
      </w:r>
      <w:r w:rsidRPr="00D322F8">
        <w:t xml:space="preserve">suspend his </w:t>
      </w:r>
      <w:r>
        <w:t xml:space="preserve">campaign </w:t>
      </w:r>
      <w:r w:rsidRPr="00D322F8">
        <w:t xml:space="preserve">after failing to secure </w:t>
      </w:r>
      <w:r w:rsidR="000F70D8">
        <w:t xml:space="preserve">the </w:t>
      </w:r>
      <w:r w:rsidRPr="00D322F8">
        <w:t>required signatures. His efforts had been impeded by the climate of fear created by the arrest of over 100 of his supporters</w:t>
      </w:r>
      <w:r>
        <w:t xml:space="preserve"> charged with </w:t>
      </w:r>
      <w:r w:rsidRPr="00EA3DFB">
        <w:t>terrorism-related offenses</w:t>
      </w:r>
      <w:r>
        <w:t>,</w:t>
      </w:r>
      <w:r w:rsidRPr="00EA3DFB">
        <w:t xml:space="preserve"> illegal assembly</w:t>
      </w:r>
      <w:r>
        <w:t>, spreading false news and misusing social media</w:t>
      </w:r>
      <w:r w:rsidRPr="00D322F8">
        <w:t xml:space="preserve">. </w:t>
      </w:r>
      <w:r w:rsidRPr="000317E1">
        <w:t xml:space="preserve">Human Rights Watch stated in December 2023 it had </w:t>
      </w:r>
      <w:r>
        <w:t>documented</w:t>
      </w:r>
      <w:r w:rsidRPr="000317E1">
        <w:t xml:space="preserve"> security instructions to hotels prohibiting them from hosting opposition conferences</w:t>
      </w:r>
      <w:r>
        <w:t xml:space="preserve">. It also alleges </w:t>
      </w:r>
      <w:r w:rsidRPr="000317E1">
        <w:t>physical harassment by security officials in civilian clothes or members of pro</w:t>
      </w:r>
      <w:r>
        <w:noBreakHyphen/>
      </w:r>
      <w:r w:rsidRPr="000317E1">
        <w:t xml:space="preserve">Sisi parties against people attempting to register endorsements for other candidates and </w:t>
      </w:r>
      <w:r>
        <w:t xml:space="preserve">other </w:t>
      </w:r>
      <w:r w:rsidRPr="000317E1">
        <w:t>bureaucratic obstructions.</w:t>
      </w:r>
      <w:r>
        <w:t xml:space="preserve"> </w:t>
      </w:r>
      <w:r w:rsidRPr="00D322F8">
        <w:t>In February of 2024</w:t>
      </w:r>
      <w:r>
        <w:t>,</w:t>
      </w:r>
      <w:r w:rsidRPr="00D322F8">
        <w:t xml:space="preserve"> </w:t>
      </w:r>
      <w:r w:rsidR="00DE64CB" w:rsidRPr="00D322F8">
        <w:t xml:space="preserve">Tantawi </w:t>
      </w:r>
      <w:r w:rsidR="00DE64CB">
        <w:t>and</w:t>
      </w:r>
      <w:r>
        <w:t xml:space="preserve"> 22 of his supporters </w:t>
      </w:r>
      <w:r w:rsidR="000A6746">
        <w:t>were</w:t>
      </w:r>
      <w:r w:rsidRPr="00D322F8">
        <w:t xml:space="preserve"> sentenced to prison </w:t>
      </w:r>
      <w:r>
        <w:t xml:space="preserve">sentences </w:t>
      </w:r>
      <w:r w:rsidRPr="00D322F8">
        <w:t>for the unauthori</w:t>
      </w:r>
      <w:r>
        <w:t>s</w:t>
      </w:r>
      <w:r w:rsidRPr="00D322F8">
        <w:t>ed circulation and production of election documents.</w:t>
      </w:r>
      <w:r>
        <w:t xml:space="preserve"> </w:t>
      </w:r>
      <w:r w:rsidRPr="000317E1">
        <w:t>According to Human Rights Watch, Egypt detain</w:t>
      </w:r>
      <w:r>
        <w:t>ed</w:t>
      </w:r>
      <w:r w:rsidRPr="000317E1">
        <w:t xml:space="preserve"> dozens of politicians and activists, including Ziad al-</w:t>
      </w:r>
      <w:proofErr w:type="spellStart"/>
      <w:r w:rsidRPr="000317E1">
        <w:t>Elaimy</w:t>
      </w:r>
      <w:proofErr w:type="spellEnd"/>
      <w:r w:rsidRPr="000317E1">
        <w:t xml:space="preserve"> and Hossam Mo’nis, for planning a new coalition to contest the 2020 parliamentary elections.</w:t>
      </w:r>
      <w:r>
        <w:t xml:space="preserve"> </w:t>
      </w:r>
      <w:r w:rsidRPr="000317E1">
        <w:t>Observers of Egypt's 2020 parliamentary elections noted restrictions on freedom of peaceful assembly, political association and expression significantly inhibited the political climate surrounding the elections.</w:t>
      </w:r>
    </w:p>
    <w:p w14:paraId="3D51B092" w14:textId="77777777" w:rsidR="00C47BE6" w:rsidRPr="00D322F8" w:rsidRDefault="00C47BE6" w:rsidP="00C47BE6">
      <w:pPr>
        <w:pStyle w:val="ListParagraph1"/>
      </w:pPr>
      <w:r>
        <w:t>The Egyptian Government</w:t>
      </w:r>
      <w:r w:rsidRPr="00D322F8">
        <w:t xml:space="preserve"> initiated a </w:t>
      </w:r>
      <w:r>
        <w:t>‘N</w:t>
      </w:r>
      <w:r w:rsidRPr="00D322F8">
        <w:t xml:space="preserve">ational </w:t>
      </w:r>
      <w:r>
        <w:t>D</w:t>
      </w:r>
      <w:r w:rsidRPr="00D322F8">
        <w:t>ialogue</w:t>
      </w:r>
      <w:r>
        <w:t>’</w:t>
      </w:r>
      <w:r w:rsidRPr="00D322F8">
        <w:t xml:space="preserve"> </w:t>
      </w:r>
      <w:r>
        <w:t xml:space="preserve">in 2023, which </w:t>
      </w:r>
      <w:r w:rsidRPr="00D322F8">
        <w:t>involv</w:t>
      </w:r>
      <w:r>
        <w:t>ed</w:t>
      </w:r>
      <w:r w:rsidRPr="00D322F8">
        <w:t xml:space="preserve"> opposition parties, union leaders, </w:t>
      </w:r>
      <w:r>
        <w:t xml:space="preserve">religious figures, </w:t>
      </w:r>
      <w:hyperlink w:anchor="_Criminal_defamation_and" w:history="1">
        <w:r w:rsidRPr="007008F1">
          <w:rPr>
            <w:rStyle w:val="Hyperlink"/>
          </w:rPr>
          <w:t>journalists</w:t>
        </w:r>
      </w:hyperlink>
      <w:r>
        <w:t xml:space="preserve"> </w:t>
      </w:r>
      <w:r w:rsidRPr="00D322F8">
        <w:t xml:space="preserve">and </w:t>
      </w:r>
      <w:hyperlink w:anchor="_Civil_Society" w:history="1">
        <w:r w:rsidRPr="007008F1">
          <w:rPr>
            <w:rStyle w:val="Hyperlink"/>
          </w:rPr>
          <w:t>civil society</w:t>
        </w:r>
      </w:hyperlink>
      <w:r w:rsidRPr="00D322F8">
        <w:t xml:space="preserve"> </w:t>
      </w:r>
      <w:r>
        <w:t>representatives</w:t>
      </w:r>
      <w:r w:rsidRPr="00D322F8">
        <w:t>.</w:t>
      </w:r>
      <w:r>
        <w:t xml:space="preserve"> The National Dialogue </w:t>
      </w:r>
      <w:r w:rsidRPr="00D322F8">
        <w:t>continued into 2024</w:t>
      </w:r>
      <w:r>
        <w:t xml:space="preserve"> and</w:t>
      </w:r>
      <w:r w:rsidRPr="00D322F8">
        <w:t xml:space="preserve"> discuss</w:t>
      </w:r>
      <w:r>
        <w:t>ed</w:t>
      </w:r>
      <w:r w:rsidRPr="00D322F8">
        <w:t xml:space="preserve"> </w:t>
      </w:r>
      <w:hyperlink w:anchor="_ECONOMIC_OVERVIEW" w:history="1">
        <w:r w:rsidRPr="007008F1">
          <w:rPr>
            <w:rStyle w:val="Hyperlink"/>
          </w:rPr>
          <w:t>economic</w:t>
        </w:r>
      </w:hyperlink>
      <w:r w:rsidRPr="00D322F8">
        <w:t xml:space="preserve"> issues, </w:t>
      </w:r>
      <w:hyperlink w:anchor="_Detention_and_Prison" w:history="1">
        <w:r w:rsidRPr="007008F1">
          <w:rPr>
            <w:rStyle w:val="Hyperlink"/>
          </w:rPr>
          <w:t>pretrial detention</w:t>
        </w:r>
      </w:hyperlink>
      <w:r w:rsidRPr="00D322F8">
        <w:t xml:space="preserve"> and </w:t>
      </w:r>
      <w:hyperlink w:anchor="_SECURITY_SITUATION_1" w:history="1">
        <w:r w:rsidRPr="007008F1">
          <w:rPr>
            <w:rStyle w:val="Hyperlink"/>
          </w:rPr>
          <w:t>national security</w:t>
        </w:r>
      </w:hyperlink>
      <w:r w:rsidRPr="00D322F8">
        <w:t xml:space="preserve"> among other issues. The </w:t>
      </w:r>
      <w:r>
        <w:t>N</w:t>
      </w:r>
      <w:r w:rsidRPr="00D322F8">
        <w:t xml:space="preserve">ational </w:t>
      </w:r>
      <w:r>
        <w:t>D</w:t>
      </w:r>
      <w:r w:rsidRPr="00D322F8">
        <w:t xml:space="preserve">ialogue’s pretrial detention recommendations resulted in changes to </w:t>
      </w:r>
      <w:r>
        <w:t xml:space="preserve">the </w:t>
      </w:r>
      <w:r w:rsidRPr="00076DAD">
        <w:rPr>
          <w:i/>
          <w:iCs/>
        </w:rPr>
        <w:t>Code of Criminal Procedure 1950</w:t>
      </w:r>
      <w:r w:rsidRPr="00D322F8">
        <w:t xml:space="preserve">, approved by </w:t>
      </w:r>
      <w:r>
        <w:t>P</w:t>
      </w:r>
      <w:r w:rsidRPr="00D322F8">
        <w:t>arliament in December</w:t>
      </w:r>
      <w:r>
        <w:t xml:space="preserve"> 2024</w:t>
      </w:r>
      <w:r w:rsidRPr="00D322F8">
        <w:t>.</w:t>
      </w:r>
      <w:r>
        <w:t xml:space="preserve"> </w:t>
      </w:r>
      <w:r w:rsidRPr="001A3198">
        <w:t xml:space="preserve">However, legal experts and independent commentators said </w:t>
      </w:r>
      <w:r w:rsidRPr="00D322F8">
        <w:t xml:space="preserve">changes to </w:t>
      </w:r>
      <w:r>
        <w:t xml:space="preserve">the </w:t>
      </w:r>
      <w:r w:rsidRPr="00076DAD">
        <w:rPr>
          <w:i/>
          <w:iCs/>
        </w:rPr>
        <w:t>Code of Criminal Procedure 1950</w:t>
      </w:r>
      <w:r>
        <w:t xml:space="preserve"> </w:t>
      </w:r>
      <w:r w:rsidRPr="001A3198">
        <w:t xml:space="preserve">did not </w:t>
      </w:r>
      <w:proofErr w:type="gramStart"/>
      <w:r w:rsidRPr="001A3198">
        <w:t>take into account</w:t>
      </w:r>
      <w:proofErr w:type="gramEnd"/>
      <w:r w:rsidRPr="001A3198">
        <w:t xml:space="preserve"> National Dialogue recommendations</w:t>
      </w:r>
      <w:r>
        <w:t xml:space="preserve"> and </w:t>
      </w:r>
      <w:r w:rsidRPr="001A3198">
        <w:t>contradict</w:t>
      </w:r>
      <w:r>
        <w:t>ed</w:t>
      </w:r>
      <w:r w:rsidRPr="001A3198">
        <w:t xml:space="preserve"> the Constitution and </w:t>
      </w:r>
      <w:r>
        <w:t xml:space="preserve">Egypt’s </w:t>
      </w:r>
      <w:r w:rsidRPr="001A3198">
        <w:t xml:space="preserve">international obligations. </w:t>
      </w:r>
      <w:r w:rsidRPr="007008F1">
        <w:t xml:space="preserve">In-country sources said the </w:t>
      </w:r>
      <w:r>
        <w:t>N</w:t>
      </w:r>
      <w:r w:rsidRPr="007008F1">
        <w:t xml:space="preserve">ational </w:t>
      </w:r>
      <w:r>
        <w:t>D</w:t>
      </w:r>
      <w:r w:rsidRPr="007008F1">
        <w:t>ialogue was seen as an important outlet</w:t>
      </w:r>
      <w:r>
        <w:t xml:space="preserve"> for society, considering</w:t>
      </w:r>
      <w:r w:rsidRPr="007008F1">
        <w:t xml:space="preserve"> Parliament was made up </w:t>
      </w:r>
      <w:r>
        <w:t xml:space="preserve">almost </w:t>
      </w:r>
      <w:r w:rsidRPr="007008F1">
        <w:t xml:space="preserve">exclusively of loyalists of President </w:t>
      </w:r>
      <w:r>
        <w:t>El-</w:t>
      </w:r>
      <w:r w:rsidRPr="007008F1">
        <w:t xml:space="preserve">Sisi. </w:t>
      </w:r>
      <w:r>
        <w:t>However, it</w:t>
      </w:r>
      <w:r w:rsidRPr="007008F1">
        <w:t xml:space="preserve"> was designed </w:t>
      </w:r>
      <w:r>
        <w:t xml:space="preserve">to placate those who otherwise </w:t>
      </w:r>
      <w:r w:rsidRPr="007008F1">
        <w:t>fel</w:t>
      </w:r>
      <w:r>
        <w:t>t</w:t>
      </w:r>
      <w:r w:rsidRPr="007008F1">
        <w:t xml:space="preserve"> they </w:t>
      </w:r>
      <w:r>
        <w:t xml:space="preserve">did not </w:t>
      </w:r>
      <w:r w:rsidRPr="007008F1">
        <w:t>have a voice</w:t>
      </w:r>
      <w:r>
        <w:t xml:space="preserve"> and</w:t>
      </w:r>
      <w:r w:rsidRPr="007008F1">
        <w:t xml:space="preserve"> </w:t>
      </w:r>
      <w:r>
        <w:t xml:space="preserve">had not instituted significant </w:t>
      </w:r>
      <w:r w:rsidRPr="007008F1">
        <w:t>reform.</w:t>
      </w:r>
    </w:p>
    <w:p w14:paraId="01EFA2CA" w14:textId="77777777" w:rsidR="00C47BE6" w:rsidRDefault="00C47BE6" w:rsidP="00C47BE6">
      <w:pPr>
        <w:pStyle w:val="ListParagraph1"/>
      </w:pPr>
      <w:r>
        <w:t>Article 73 of t</w:t>
      </w:r>
      <w:r w:rsidRPr="00900FB5">
        <w:t xml:space="preserve">he Constitution guarantees citizens the right to organise public meetings, marches, </w:t>
      </w:r>
      <w:r w:rsidRPr="00AB5703">
        <w:t>demonstrations</w:t>
      </w:r>
      <w:r w:rsidRPr="00900FB5">
        <w:t xml:space="preserve"> and unarmed peaceful protest by serving a notification as required by law. The Constitution further</w:t>
      </w:r>
      <w:r w:rsidRPr="00BF523D">
        <w:t xml:space="preserve"> </w:t>
      </w:r>
      <w:r w:rsidRPr="00BF523D">
        <w:lastRenderedPageBreak/>
        <w:t xml:space="preserve">prohibits security forces from attending, monitoring or eavesdropping on such meetings. </w:t>
      </w:r>
      <w:r>
        <w:t>T</w:t>
      </w:r>
      <w:r w:rsidRPr="00BF523D">
        <w:t xml:space="preserve">he passing of the </w:t>
      </w:r>
      <w:r w:rsidRPr="00BF523D">
        <w:rPr>
          <w:i/>
          <w:iCs/>
        </w:rPr>
        <w:t>Protest Law (No. 107) 2013</w:t>
      </w:r>
      <w:r w:rsidRPr="00BF523D">
        <w:t xml:space="preserve"> restricted the ability of </w:t>
      </w:r>
      <w:r>
        <w:t>Egyptians</w:t>
      </w:r>
      <w:r w:rsidRPr="00BF523D">
        <w:t xml:space="preserve"> to protest peacefully. </w:t>
      </w:r>
      <w:r w:rsidRPr="00BF523D">
        <w:rPr>
          <w:i/>
          <w:iCs/>
        </w:rPr>
        <w:t>Law 107</w:t>
      </w:r>
      <w:r>
        <w:t xml:space="preserve"> </w:t>
      </w:r>
      <w:r w:rsidRPr="00BF523D">
        <w:t>requires organisers of any kind of public event</w:t>
      </w:r>
      <w:r w:rsidRPr="00AB5703">
        <w:t xml:space="preserve"> or meeting involving more than ten people to provide police with three days’ notice</w:t>
      </w:r>
      <w:r>
        <w:t xml:space="preserve"> and</w:t>
      </w:r>
      <w:r w:rsidRPr="00AB5703">
        <w:t xml:space="preserve"> prohibits houses of worship (or their vicinities) being used for political gatherings or as meeting points for marches</w:t>
      </w:r>
      <w:r>
        <w:t xml:space="preserve">. </w:t>
      </w:r>
      <w:r w:rsidRPr="00BF523D">
        <w:rPr>
          <w:i/>
          <w:iCs/>
        </w:rPr>
        <w:t>Law 107</w:t>
      </w:r>
      <w:r>
        <w:t xml:space="preserve"> also</w:t>
      </w:r>
      <w:r w:rsidRPr="00AB5703">
        <w:t xml:space="preserve"> limits activities </w:t>
      </w:r>
      <w:r>
        <w:t>that</w:t>
      </w:r>
      <w:r w:rsidRPr="00AB5703">
        <w:t xml:space="preserve"> could be seen as violating general security, public order, production or which could impact on public services or the flow of traffic among other things. Failure to comply with the</w:t>
      </w:r>
      <w:r>
        <w:t xml:space="preserve"> </w:t>
      </w:r>
      <w:r w:rsidRPr="00AB5703">
        <w:t xml:space="preserve">provisions </w:t>
      </w:r>
      <w:r>
        <w:t xml:space="preserve">of </w:t>
      </w:r>
      <w:r w:rsidRPr="00BF523D">
        <w:rPr>
          <w:i/>
          <w:iCs/>
        </w:rPr>
        <w:t>Law 107</w:t>
      </w:r>
      <w:r>
        <w:t xml:space="preserve"> </w:t>
      </w:r>
      <w:r w:rsidRPr="00AB5703">
        <w:t>are punishable with fine of up to EGP300,000 (AUD</w:t>
      </w:r>
      <w:r>
        <w:t>9,175</w:t>
      </w:r>
      <w:r w:rsidRPr="00AB5703">
        <w:t xml:space="preserve">) or up to seven years’ imprisonment. </w:t>
      </w:r>
      <w:r>
        <w:t>T</w:t>
      </w:r>
      <w:r w:rsidRPr="002A352A">
        <w:t xml:space="preserve">he Court of Cassation ruled </w:t>
      </w:r>
      <w:r>
        <w:t xml:space="preserve">on 30 May 2023 </w:t>
      </w:r>
      <w:r w:rsidRPr="002A352A">
        <w:t>defendants convicted for participating in illegal demonstrations could be dismissed from their jobs.</w:t>
      </w:r>
      <w:r>
        <w:t xml:space="preserve"> </w:t>
      </w:r>
      <w:r w:rsidRPr="002A352A">
        <w:t>According to local human rights organi</w:t>
      </w:r>
      <w:r>
        <w:t>s</w:t>
      </w:r>
      <w:r w:rsidRPr="002A352A">
        <w:t xml:space="preserve">ations, security forces set up checkpoints around the anniversaries of street protests and conduct searches </w:t>
      </w:r>
      <w:r>
        <w:t>(</w:t>
      </w:r>
      <w:r w:rsidRPr="002A352A">
        <w:t>including of mobile devices</w:t>
      </w:r>
      <w:r>
        <w:t>)</w:t>
      </w:r>
      <w:r w:rsidRPr="002A352A">
        <w:t xml:space="preserve"> and </w:t>
      </w:r>
      <w:r>
        <w:t xml:space="preserve">sometimes make </w:t>
      </w:r>
      <w:r w:rsidRPr="002A352A">
        <w:t>arrests without warrants.</w:t>
      </w:r>
    </w:p>
    <w:p w14:paraId="6144D960" w14:textId="77777777" w:rsidR="00C47BE6" w:rsidRDefault="00C47BE6" w:rsidP="00C47BE6">
      <w:pPr>
        <w:pStyle w:val="ListParagraph1"/>
      </w:pPr>
      <w:r>
        <w:t xml:space="preserve">According to Freedom House, </w:t>
      </w:r>
      <w:r w:rsidRPr="00BF523D">
        <w:t xml:space="preserve">protests in Egypt are rare because </w:t>
      </w:r>
      <w:r>
        <w:t>of fears they will be</w:t>
      </w:r>
      <w:r w:rsidRPr="00BF523D">
        <w:t xml:space="preserve"> dispersed forcefully and protesters </w:t>
      </w:r>
      <w:r>
        <w:t>will be arrested</w:t>
      </w:r>
      <w:r w:rsidRPr="00BF523D">
        <w:t>.</w:t>
      </w:r>
      <w:r>
        <w:t xml:space="preserve"> In 2023, </w:t>
      </w:r>
      <w:r w:rsidRPr="00BF523D">
        <w:t>security forces arrested more than 2,000 people for peaceful expression or assembly according to the independent human rights campaign</w:t>
      </w:r>
      <w:r>
        <w:t>,</w:t>
      </w:r>
      <w:r w:rsidRPr="00BF523D">
        <w:t xml:space="preserve"> Until the Last Prisoner.</w:t>
      </w:r>
      <w:r>
        <w:t xml:space="preserve"> </w:t>
      </w:r>
      <w:r w:rsidRPr="002E7839">
        <w:t xml:space="preserve">Amnesty International reported authorities </w:t>
      </w:r>
      <w:r>
        <w:t xml:space="preserve">often </w:t>
      </w:r>
      <w:r w:rsidRPr="002E7839">
        <w:t>carried out mass arrests to prevent planned anti-government protests and forcibly dispersed the few small peaceful protests that took place.</w:t>
      </w:r>
      <w:r>
        <w:t xml:space="preserve"> </w:t>
      </w:r>
      <w:r w:rsidRPr="002E7839">
        <w:t xml:space="preserve">In-country sources said authorities were </w:t>
      </w:r>
      <w:r>
        <w:t xml:space="preserve">increasingly disrupting </w:t>
      </w:r>
      <w:r w:rsidRPr="002E7839">
        <w:t>any kind of protest, fear</w:t>
      </w:r>
      <w:r>
        <w:t>ing</w:t>
      </w:r>
      <w:r w:rsidRPr="002E7839">
        <w:t xml:space="preserve"> they could morph into anti</w:t>
      </w:r>
      <w:r>
        <w:noBreakHyphen/>
      </w:r>
      <w:r w:rsidRPr="002E7839">
        <w:t>government protests.</w:t>
      </w:r>
      <w:r>
        <w:t xml:space="preserve"> </w:t>
      </w:r>
      <w:r w:rsidRPr="002E7839">
        <w:t xml:space="preserve">For example, authorities arbitrarily arrested dozens of Egyptians in July 2024 in connection with online calls for protests and for the ousting of President </w:t>
      </w:r>
      <w:r>
        <w:t>El-</w:t>
      </w:r>
      <w:r w:rsidRPr="002E7839">
        <w:t>Sisi’s government due to price increases. Security forces forcibly dispersed a small demonstration in Alexandria in March 2024 and arbitrarily arrested protesters w</w:t>
      </w:r>
      <w:r>
        <w:t xml:space="preserve">ith </w:t>
      </w:r>
      <w:r w:rsidRPr="002E7839">
        <w:t xml:space="preserve">signs blaming </w:t>
      </w:r>
      <w:r>
        <w:t>President El-</w:t>
      </w:r>
      <w:r w:rsidRPr="002E7839">
        <w:t xml:space="preserve">Sisi for </w:t>
      </w:r>
      <w:r>
        <w:t>‘</w:t>
      </w:r>
      <w:r w:rsidRPr="002E7839">
        <w:t>starving</w:t>
      </w:r>
      <w:r>
        <w:t>’</w:t>
      </w:r>
      <w:r w:rsidRPr="002E7839">
        <w:t xml:space="preserve"> the poor.</w:t>
      </w:r>
      <w:r>
        <w:t xml:space="preserve"> </w:t>
      </w:r>
      <w:r w:rsidRPr="002A352A">
        <w:t>Between 20 and 29 October</w:t>
      </w:r>
      <w:r>
        <w:t xml:space="preserve"> 2023</w:t>
      </w:r>
      <w:r w:rsidRPr="002A352A">
        <w:t xml:space="preserve">, </w:t>
      </w:r>
      <w:r>
        <w:t>authorities</w:t>
      </w:r>
      <w:r w:rsidRPr="002A352A">
        <w:t xml:space="preserve"> </w:t>
      </w:r>
      <w:hyperlink w:anchor="_Arbitrary_Arrest_and" w:history="1">
        <w:r w:rsidRPr="00353A5C">
          <w:rPr>
            <w:rStyle w:val="Hyperlink"/>
          </w:rPr>
          <w:t>arbitrarily arrested</w:t>
        </w:r>
      </w:hyperlink>
      <w:r w:rsidRPr="002A352A">
        <w:t xml:space="preserve"> dozens of people, including children, in connection to Palestine solidarity protests in the governorates of Cairo, Giza, Alexandria and </w:t>
      </w:r>
      <w:proofErr w:type="spellStart"/>
      <w:r w:rsidRPr="002A352A">
        <w:t>Dakahlia</w:t>
      </w:r>
      <w:proofErr w:type="spellEnd"/>
      <w:r w:rsidRPr="002A352A">
        <w:t>.</w:t>
      </w:r>
      <w:r>
        <w:t xml:space="preserve"> In-country sources said Palestine solidarity protests in Egypt had continued in 2025, resulting in further arrests. Many protesters arrested in these protests remained in pre</w:t>
      </w:r>
      <w:r>
        <w:noBreakHyphen/>
        <w:t>trial detention at the time of writing.</w:t>
      </w:r>
    </w:p>
    <w:p w14:paraId="29542859" w14:textId="77777777" w:rsidR="00C47BE6" w:rsidRDefault="00C47BE6" w:rsidP="00C47BE6">
      <w:pPr>
        <w:pStyle w:val="ListParagraph1"/>
      </w:pPr>
      <w:r w:rsidRPr="00353A5C">
        <w:t xml:space="preserve">DFAT assesses human rights activists who publicly criticise </w:t>
      </w:r>
      <w:r>
        <w:t>President El-Sisi and/or the</w:t>
      </w:r>
      <w:r w:rsidRPr="00353A5C">
        <w:t xml:space="preserve"> </w:t>
      </w:r>
      <w:hyperlink w:anchor="_Military" w:history="1">
        <w:r w:rsidRPr="00652EB7">
          <w:rPr>
            <w:rStyle w:val="Hyperlink"/>
          </w:rPr>
          <w:t>military</w:t>
        </w:r>
      </w:hyperlink>
      <w:r w:rsidRPr="00353A5C">
        <w:t xml:space="preserve"> </w:t>
      </w:r>
      <w:r>
        <w:t xml:space="preserve">are almost certain to face </w:t>
      </w:r>
      <w:r w:rsidRPr="00353A5C">
        <w:t xml:space="preserve">official discrimination in the form of harassment by security forces, </w:t>
      </w:r>
      <w:hyperlink w:anchor="_Exit_and_Entry" w:history="1">
        <w:r w:rsidRPr="00102FBF">
          <w:rPr>
            <w:rStyle w:val="Hyperlink"/>
          </w:rPr>
          <w:t>travel bans</w:t>
        </w:r>
      </w:hyperlink>
      <w:r>
        <w:t xml:space="preserve">, </w:t>
      </w:r>
      <w:r w:rsidRPr="00353A5C">
        <w:t xml:space="preserve">arrest, </w:t>
      </w:r>
      <w:hyperlink w:anchor="_Detention_and_Prison" w:history="1">
        <w:r w:rsidRPr="00652EB7">
          <w:rPr>
            <w:rStyle w:val="Hyperlink"/>
          </w:rPr>
          <w:t>imprisonment</w:t>
        </w:r>
      </w:hyperlink>
      <w:r>
        <w:t xml:space="preserve"> and </w:t>
      </w:r>
      <w:hyperlink w:anchor="_Enforced_or_Involuntary" w:history="1">
        <w:r w:rsidRPr="00DE4652">
          <w:rPr>
            <w:rStyle w:val="Hyperlink"/>
          </w:rPr>
          <w:t>enforced disappearances</w:t>
        </w:r>
      </w:hyperlink>
      <w:r>
        <w:t>.</w:t>
      </w:r>
      <w:r w:rsidRPr="00353A5C">
        <w:t xml:space="preserve"> DFAT assesses </w:t>
      </w:r>
      <w:r>
        <w:t xml:space="preserve">it is rare for </w:t>
      </w:r>
      <w:r w:rsidRPr="00353A5C">
        <w:t xml:space="preserve">human rights activists </w:t>
      </w:r>
      <w:r>
        <w:t xml:space="preserve">to face societal discrimination or violence. </w:t>
      </w:r>
      <w:r w:rsidRPr="00353A5C">
        <w:t xml:space="preserve">DFAT assesses people who participate in protests </w:t>
      </w:r>
      <w:r>
        <w:t xml:space="preserve">are likely to </w:t>
      </w:r>
      <w:r w:rsidRPr="00353A5C">
        <w:t>face official discrimination in the form of harassment</w:t>
      </w:r>
      <w:r>
        <w:t>,</w:t>
      </w:r>
      <w:r w:rsidRPr="00353A5C">
        <w:t xml:space="preserve"> arrest</w:t>
      </w:r>
      <w:r>
        <w:t xml:space="preserve"> and imprisonment</w:t>
      </w:r>
      <w:r w:rsidRPr="00353A5C">
        <w:t xml:space="preserve">. DFAT assesses </w:t>
      </w:r>
      <w:r>
        <w:t xml:space="preserve">it is rare for </w:t>
      </w:r>
      <w:r w:rsidRPr="00353A5C">
        <w:t xml:space="preserve">protesters </w:t>
      </w:r>
      <w:r>
        <w:t xml:space="preserve">to face societal discrimination or violence. </w:t>
      </w:r>
    </w:p>
    <w:p w14:paraId="1C9C9B1A" w14:textId="77777777" w:rsidR="00C47BE6" w:rsidRPr="00863F27" w:rsidRDefault="00C47BE6" w:rsidP="00C47BE6">
      <w:pPr>
        <w:pStyle w:val="Heading3"/>
        <w:ind w:firstLine="0"/>
        <w:jc w:val="left"/>
        <w:rPr>
          <w:rFonts w:cs="Calibri"/>
          <w:b/>
          <w:bCs/>
          <w:color w:val="auto"/>
        </w:rPr>
      </w:pPr>
      <w:bookmarkStart w:id="60" w:name="_Counter-terrorism_laws"/>
      <w:bookmarkStart w:id="61" w:name="_Muslim_Brotherhood"/>
      <w:bookmarkStart w:id="62" w:name="_Civil_Society"/>
      <w:bookmarkStart w:id="63" w:name="_Toc196318432"/>
      <w:bookmarkEnd w:id="60"/>
      <w:bookmarkEnd w:id="61"/>
      <w:bookmarkEnd w:id="62"/>
      <w:r w:rsidRPr="00D74D06">
        <w:rPr>
          <w:rFonts w:cs="Calibri"/>
          <w:b/>
          <w:bCs/>
          <w:color w:val="auto"/>
        </w:rPr>
        <w:t>Civil Society</w:t>
      </w:r>
      <w:bookmarkEnd w:id="63"/>
      <w:r>
        <w:rPr>
          <w:rFonts w:cs="Calibri"/>
          <w:b/>
          <w:bCs/>
          <w:color w:val="auto"/>
        </w:rPr>
        <w:t xml:space="preserve"> </w:t>
      </w:r>
    </w:p>
    <w:p w14:paraId="3EF6F3D6" w14:textId="77777777" w:rsidR="00C47BE6" w:rsidRDefault="00C47BE6" w:rsidP="00C47BE6">
      <w:pPr>
        <w:pStyle w:val="ListParagraph1"/>
      </w:pPr>
      <w:r w:rsidRPr="00BD4620">
        <w:t>Article 75 of the Constitution</w:t>
      </w:r>
      <w:r>
        <w:t xml:space="preserve"> states</w:t>
      </w:r>
      <w:r w:rsidRPr="00BD4620">
        <w:t xml:space="preserve"> citizens have the right to form NGOs. The same </w:t>
      </w:r>
      <w:r>
        <w:t>article</w:t>
      </w:r>
      <w:r w:rsidRPr="00BD4620">
        <w:t xml:space="preserve"> further states administrative entities </w:t>
      </w:r>
      <w:r>
        <w:t>may</w:t>
      </w:r>
      <w:r w:rsidRPr="00BD4620">
        <w:t xml:space="preserve"> not interfere in the affairs of </w:t>
      </w:r>
      <w:r>
        <w:t>NGOs</w:t>
      </w:r>
      <w:r w:rsidRPr="00BD4620">
        <w:t>, dissolve them or their board</w:t>
      </w:r>
      <w:r>
        <w:t>s</w:t>
      </w:r>
      <w:r w:rsidRPr="00BD4620">
        <w:t xml:space="preserve"> without a judicial ruling.</w:t>
      </w:r>
      <w:r>
        <w:t xml:space="preserve"> </w:t>
      </w:r>
      <w:r w:rsidRPr="000A1EF2">
        <w:t xml:space="preserve">President </w:t>
      </w:r>
      <w:r>
        <w:t>El-</w:t>
      </w:r>
      <w:r w:rsidRPr="000A1EF2">
        <w:t>Sisi declared 2022 the</w:t>
      </w:r>
      <w:r>
        <w:t xml:space="preserve"> ‘</w:t>
      </w:r>
      <w:r w:rsidRPr="000A1EF2">
        <w:t>Year of Civil Society</w:t>
      </w:r>
      <w:r>
        <w:t>’</w:t>
      </w:r>
      <w:r w:rsidRPr="000A1EF2">
        <w:t xml:space="preserve"> and </w:t>
      </w:r>
      <w:r>
        <w:t xml:space="preserve">directed </w:t>
      </w:r>
      <w:r w:rsidRPr="000A1EF2">
        <w:t>state bodies to create a dialogue platform among local and international NGOs.</w:t>
      </w:r>
      <w:r>
        <w:t xml:space="preserve"> </w:t>
      </w:r>
      <w:r w:rsidRPr="00B45C7C">
        <w:t xml:space="preserve">In line with </w:t>
      </w:r>
      <w:r>
        <w:t>President El-</w:t>
      </w:r>
      <w:r w:rsidRPr="00B45C7C">
        <w:t xml:space="preserve">Sisi's directive, the National Alliance for Civil Development Action was </w:t>
      </w:r>
      <w:r>
        <w:t>established</w:t>
      </w:r>
      <w:r w:rsidRPr="00B45C7C">
        <w:t xml:space="preserve"> to gather </w:t>
      </w:r>
      <w:r>
        <w:t>‘</w:t>
      </w:r>
      <w:r w:rsidRPr="00B45C7C">
        <w:t>voluntary and civil efforts under one umbrella to maximi</w:t>
      </w:r>
      <w:r>
        <w:t>s</w:t>
      </w:r>
      <w:r w:rsidRPr="00B45C7C">
        <w:t>e impact</w:t>
      </w:r>
      <w:r>
        <w:t xml:space="preserve">’. </w:t>
      </w:r>
      <w:r w:rsidRPr="00B45C7C">
        <w:t>At Egypt's Universal Periodic Review in 2025, the government reported the National Coalition for Civil and Developmental Work</w:t>
      </w:r>
      <w:r>
        <w:t xml:space="preserve"> </w:t>
      </w:r>
      <w:r w:rsidRPr="00B45C7C">
        <w:t>incorporated 36 major CSOs and 3,000 grass-roots associations, collectively serving 5 million beneficiaries.</w:t>
      </w:r>
    </w:p>
    <w:p w14:paraId="22F525D8" w14:textId="77777777" w:rsidR="00C47BE6" w:rsidRDefault="00C47BE6" w:rsidP="00C47BE6">
      <w:pPr>
        <w:pStyle w:val="ListParagraph1"/>
      </w:pPr>
      <w:r>
        <w:t xml:space="preserve">The </w:t>
      </w:r>
      <w:r w:rsidRPr="00BD4620">
        <w:rPr>
          <w:i/>
          <w:iCs/>
        </w:rPr>
        <w:t>Law Governing the Pursuit of Civil Work (No. 194) 2019</w:t>
      </w:r>
      <w:r>
        <w:t>, commonly known as the ‘NGO Law’, governs the process for legal recognition of CSOs and international non-governmental organisations (INGOs) and outlines provisions on their activities,</w:t>
      </w:r>
      <w:r w:rsidRPr="00863F27">
        <w:t xml:space="preserve"> monitoring, funding and sanctions for violations</w:t>
      </w:r>
      <w:r>
        <w:t>. Under the NGO Law, d</w:t>
      </w:r>
      <w:r w:rsidRPr="00863F27">
        <w:t xml:space="preserve">omestic and foreign NGOs are prohibited from pursuing activities </w:t>
      </w:r>
      <w:r>
        <w:t xml:space="preserve">in </w:t>
      </w:r>
      <w:r w:rsidRPr="00863F27">
        <w:t xml:space="preserve">breach </w:t>
      </w:r>
      <w:r>
        <w:t xml:space="preserve">of </w:t>
      </w:r>
      <w:r w:rsidRPr="00863F27">
        <w:t xml:space="preserve">vaguely worded terms </w:t>
      </w:r>
      <w:r>
        <w:t>such as</w:t>
      </w:r>
      <w:r w:rsidRPr="00863F27">
        <w:t xml:space="preserve"> </w:t>
      </w:r>
      <w:r>
        <w:t>‘</w:t>
      </w:r>
      <w:r w:rsidRPr="00863F27">
        <w:t>national security</w:t>
      </w:r>
      <w:r>
        <w:t>’,</w:t>
      </w:r>
      <w:r w:rsidRPr="00863F27">
        <w:t xml:space="preserve"> </w:t>
      </w:r>
      <w:r>
        <w:t>‘</w:t>
      </w:r>
      <w:r w:rsidRPr="00863F27">
        <w:t>public order</w:t>
      </w:r>
      <w:r>
        <w:t>’</w:t>
      </w:r>
      <w:r w:rsidRPr="00863F27">
        <w:t xml:space="preserve"> and </w:t>
      </w:r>
      <w:r>
        <w:t>‘</w:t>
      </w:r>
      <w:r w:rsidRPr="00863F27">
        <w:t>public morals</w:t>
      </w:r>
      <w:r>
        <w:t>’</w:t>
      </w:r>
      <w:r w:rsidRPr="00863F27">
        <w:t xml:space="preserve">. Other provisions </w:t>
      </w:r>
      <w:r>
        <w:t xml:space="preserve">in the law </w:t>
      </w:r>
      <w:r w:rsidRPr="00863F27">
        <w:t>prohibit NGOs from conducting political activities</w:t>
      </w:r>
      <w:r>
        <w:t>,</w:t>
      </w:r>
      <w:r w:rsidRPr="00863F27">
        <w:t xml:space="preserve"> entering into agreements with foreign entities</w:t>
      </w:r>
      <w:r>
        <w:t>,</w:t>
      </w:r>
      <w:r w:rsidRPr="00863F27">
        <w:t xml:space="preserve"> conducting opinion polls and surveys</w:t>
      </w:r>
      <w:r>
        <w:t>,</w:t>
      </w:r>
      <w:r w:rsidRPr="00863F27">
        <w:t xml:space="preserve"> </w:t>
      </w:r>
      <w:r>
        <w:t xml:space="preserve">engaging </w:t>
      </w:r>
      <w:r w:rsidRPr="00863F27">
        <w:t>foreig</w:t>
      </w:r>
      <w:r>
        <w:t>ners</w:t>
      </w:r>
      <w:r w:rsidRPr="00863F27">
        <w:t xml:space="preserve"> as employees or volunteers </w:t>
      </w:r>
      <w:r>
        <w:t>or</w:t>
      </w:r>
      <w:r w:rsidRPr="00863F27">
        <w:t xml:space="preserve"> participating in workshops abroad without prior approval.</w:t>
      </w:r>
      <w:r>
        <w:t xml:space="preserve"> </w:t>
      </w:r>
      <w:r w:rsidRPr="00863F27">
        <w:t xml:space="preserve">The </w:t>
      </w:r>
      <w:r>
        <w:t>NGO Law</w:t>
      </w:r>
      <w:r w:rsidRPr="00863F27">
        <w:t xml:space="preserve"> </w:t>
      </w:r>
      <w:r>
        <w:t xml:space="preserve">also </w:t>
      </w:r>
      <w:r w:rsidRPr="00863F27">
        <w:t>create</w:t>
      </w:r>
      <w:r>
        <w:t>d</w:t>
      </w:r>
      <w:r w:rsidRPr="00863F27">
        <w:t xml:space="preserve"> a Central Unit for Associations and Civil Work within the Ministry of Social Solidarity responsible for monitoring and oversight of NGOs.</w:t>
      </w:r>
      <w:r>
        <w:t xml:space="preserve"> The Ministry of Social Solidary stated NGOs not registered under the NGO Law by</w:t>
      </w:r>
      <w:r w:rsidRPr="00BD4620">
        <w:t xml:space="preserve"> 12 April 2023 risk</w:t>
      </w:r>
      <w:r>
        <w:t>ed</w:t>
      </w:r>
      <w:r w:rsidRPr="00BD4620">
        <w:t xml:space="preserve"> dissol</w:t>
      </w:r>
      <w:r>
        <w:t>ution</w:t>
      </w:r>
      <w:r w:rsidRPr="00BD4620">
        <w:t>.</w:t>
      </w:r>
      <w:r>
        <w:t xml:space="preserve"> </w:t>
      </w:r>
    </w:p>
    <w:p w14:paraId="31B9A5CA" w14:textId="77777777" w:rsidR="00C47BE6" w:rsidRDefault="00C47BE6" w:rsidP="00C47BE6">
      <w:pPr>
        <w:pStyle w:val="ListParagraph1"/>
      </w:pPr>
      <w:r w:rsidRPr="008E0C9C">
        <w:lastRenderedPageBreak/>
        <w:t>The space for civic engagement and human rights activism in Egypt has shrunk</w:t>
      </w:r>
      <w:r>
        <w:t xml:space="preserve"> due to restrictions on CSOs and INGOs</w:t>
      </w:r>
      <w:r w:rsidRPr="008E0C9C">
        <w:t>.</w:t>
      </w:r>
      <w:r>
        <w:t xml:space="preserve"> In 2025, </w:t>
      </w:r>
      <w:r w:rsidRPr="00BD4620">
        <w:t xml:space="preserve">Freedom House stated </w:t>
      </w:r>
      <w:r>
        <w:t>‘</w:t>
      </w:r>
      <w:r w:rsidRPr="00BD4620">
        <w:t>in recent years, NGOs have faced mass closures, as well as harassment in the form of office raids, arrests of members, lengthy legal cases and restrictions on travel</w:t>
      </w:r>
      <w:r>
        <w:t>’</w:t>
      </w:r>
      <w:r w:rsidRPr="00BD4620">
        <w:t>.</w:t>
      </w:r>
      <w:r>
        <w:t xml:space="preserve"> </w:t>
      </w:r>
      <w:r w:rsidRPr="00FF6743">
        <w:t xml:space="preserve">The US Department of State's 2023 </w:t>
      </w:r>
      <w:r w:rsidRPr="00FF6743">
        <w:rPr>
          <w:i/>
          <w:iCs/>
        </w:rPr>
        <w:t>Egypt Country Report on Human Rights Practices</w:t>
      </w:r>
      <w:r w:rsidRPr="00FF6743">
        <w:t xml:space="preserve"> state</w:t>
      </w:r>
      <w:r>
        <w:t>d</w:t>
      </w:r>
      <w:r w:rsidRPr="00F4791B">
        <w:t xml:space="preserve"> </w:t>
      </w:r>
      <w:r>
        <w:t>i</w:t>
      </w:r>
      <w:r w:rsidRPr="00F4791B">
        <w:t xml:space="preserve">ndependent domestic human rights NGOs faced difficulties operating due to reprisals and pressure from the government and security forces. Authorities sometimes allowed </w:t>
      </w:r>
      <w:r>
        <w:t xml:space="preserve">CSOs </w:t>
      </w:r>
      <w:r w:rsidRPr="00F4791B">
        <w:t>not registered as NGOs to operate but such organi</w:t>
      </w:r>
      <w:r>
        <w:t>s</w:t>
      </w:r>
      <w:r w:rsidRPr="00F4791B">
        <w:t>ations reported harassment and surveillance, along with threats of government interference, investigation, asset freezes or closure.</w:t>
      </w:r>
      <w:r>
        <w:t xml:space="preserve"> In-country sources said many CSOs, especially those focused on human rights issues, had been unable to register under the NGO Law. Others, such as the </w:t>
      </w:r>
      <w:r w:rsidRPr="00C47FC6">
        <w:t>Arab Network for Human Rights Information</w:t>
      </w:r>
      <w:r>
        <w:t xml:space="preserve">, decided to cease </w:t>
      </w:r>
      <w:r w:rsidRPr="00C47FC6">
        <w:t xml:space="preserve">operations </w:t>
      </w:r>
      <w:r>
        <w:t xml:space="preserve">rather than </w:t>
      </w:r>
      <w:r w:rsidRPr="00C47FC6">
        <w:t xml:space="preserve">comply with the restrictions </w:t>
      </w:r>
      <w:r>
        <w:t>the NGO Law imposed</w:t>
      </w:r>
      <w:r w:rsidRPr="00C47FC6">
        <w:t>.</w:t>
      </w:r>
      <w:r>
        <w:t xml:space="preserve"> In-country sources said CSOs were increasingly being approached by police and national security agencies and pressured to provide information about their staff, activities and sources of funding.</w:t>
      </w:r>
    </w:p>
    <w:p w14:paraId="3A19F373" w14:textId="77777777" w:rsidR="00C47BE6" w:rsidRPr="00F23E41" w:rsidRDefault="00C47BE6" w:rsidP="00C47BE6">
      <w:pPr>
        <w:pStyle w:val="ListParagraph1"/>
      </w:pPr>
      <w:r w:rsidRPr="00B87025">
        <w:t xml:space="preserve">The ability of individuals, CSOs and INGOs to monitor and investigate human rights issues within Egypt is limited. In-country sources said human rights defenders </w:t>
      </w:r>
      <w:r>
        <w:t xml:space="preserve">were targeted by authorities with </w:t>
      </w:r>
      <w:r w:rsidRPr="00B87025">
        <w:t xml:space="preserve">raids, hostile phone calls, confiscation of assets and/or prosecution. </w:t>
      </w:r>
      <w:r w:rsidRPr="00C55799">
        <w:t xml:space="preserve">Authorities </w:t>
      </w:r>
      <w:r>
        <w:t xml:space="preserve">sometimes used the </w:t>
      </w:r>
      <w:r w:rsidRPr="00C55799">
        <w:t xml:space="preserve">provisions under the </w:t>
      </w:r>
      <w:r w:rsidRPr="00C55799">
        <w:rPr>
          <w:i/>
          <w:iCs/>
        </w:rPr>
        <w:t>Counter-Terrorism Law (No. 74) 2015</w:t>
      </w:r>
      <w:r w:rsidRPr="00C55799">
        <w:t xml:space="preserve"> against human rights defenders.</w:t>
      </w:r>
      <w:r>
        <w:t xml:space="preserve"> </w:t>
      </w:r>
      <w:r w:rsidRPr="00B87025">
        <w:t>Human rights defenders ha</w:t>
      </w:r>
      <w:r>
        <w:t>d</w:t>
      </w:r>
      <w:r w:rsidRPr="00B87025">
        <w:t xml:space="preserve"> been charged</w:t>
      </w:r>
      <w:r>
        <w:t xml:space="preserve"> for</w:t>
      </w:r>
      <w:r w:rsidRPr="00B87025">
        <w:t xml:space="preserve"> ‘publishing false information for the purposes of harming national security’ or ‘membership in a terrorist (or banned) group’. </w:t>
      </w:r>
      <w:r>
        <w:t xml:space="preserve">For example, human rights </w:t>
      </w:r>
      <w:r w:rsidRPr="00A549DF">
        <w:t xml:space="preserve">lawyer </w:t>
      </w:r>
      <w:r w:rsidRPr="00B87025">
        <w:t>Houda Abdel Moneim had terrorism-related charges brought against her in October 2024, despite</w:t>
      </w:r>
      <w:r>
        <w:t xml:space="preserve"> previously</w:t>
      </w:r>
      <w:r w:rsidRPr="00B87025">
        <w:t xml:space="preserve"> serving jail time for the same offences due to her work with the CSO Egyptian Coordination for Rights and Freedoms.</w:t>
      </w:r>
      <w:r>
        <w:t xml:space="preserve"> The </w:t>
      </w:r>
      <w:r w:rsidRPr="00F23E41">
        <w:t>founder of the human rights group Egyptian Coordination for Rights and Freedoms,</w:t>
      </w:r>
      <w:r>
        <w:t xml:space="preserve"> </w:t>
      </w:r>
      <w:r w:rsidRPr="00F23E41">
        <w:t>Ezzat Ghoniem and 29 others</w:t>
      </w:r>
      <w:r>
        <w:t xml:space="preserve"> were convicted in March 2023 on a variety of charges</w:t>
      </w:r>
      <w:r w:rsidRPr="00F23E41">
        <w:t xml:space="preserve"> </w:t>
      </w:r>
      <w:r>
        <w:t>related to</w:t>
      </w:r>
      <w:r w:rsidRPr="00F23E41">
        <w:t xml:space="preserve"> their human rights work and sentenced to prison terms ranging from five years to life</w:t>
      </w:r>
      <w:r>
        <w:t>. In other cases, p</w:t>
      </w:r>
      <w:r w:rsidRPr="00B87025">
        <w:t>rosecutors have appealed judicial release orders and insisted on the long-term pre-trial detention of detainees, sometime upwards of two years.</w:t>
      </w:r>
      <w:r>
        <w:t xml:space="preserve"> For example, prominent women’s rights activist, Marwa Arafa had been in pre-trial detention for over five years at the time of writing for ‘</w:t>
      </w:r>
      <w:r w:rsidRPr="00192344">
        <w:t>spreading false news</w:t>
      </w:r>
      <w:r>
        <w:t>’</w:t>
      </w:r>
      <w:r w:rsidRPr="00192344">
        <w:t xml:space="preserve"> and </w:t>
      </w:r>
      <w:r>
        <w:t>‘</w:t>
      </w:r>
      <w:r w:rsidRPr="00192344">
        <w:t>misusing social media</w:t>
      </w:r>
      <w:r>
        <w:t xml:space="preserve">’. </w:t>
      </w:r>
    </w:p>
    <w:p w14:paraId="109D5E0B" w14:textId="77777777" w:rsidR="00C47BE6" w:rsidRDefault="00C47BE6" w:rsidP="00C47BE6">
      <w:pPr>
        <w:pStyle w:val="ListParagraph1"/>
      </w:pPr>
      <w:r>
        <w:t>Egypt’s</w:t>
      </w:r>
      <w:r w:rsidRPr="00EF0746">
        <w:t xml:space="preserve"> law</w:t>
      </w:r>
      <w:r>
        <w:t xml:space="preserve">s </w:t>
      </w:r>
      <w:r w:rsidRPr="00EF0746">
        <w:t xml:space="preserve">impose penalties on individuals designated by a court as </w:t>
      </w:r>
      <w:r>
        <w:t>‘</w:t>
      </w:r>
      <w:r w:rsidRPr="00EF0746">
        <w:t>terrorists</w:t>
      </w:r>
      <w:r>
        <w:t>’</w:t>
      </w:r>
      <w:r w:rsidRPr="00EF0746">
        <w:t xml:space="preserve"> even without criminal convictions, including travel bans, asset freezes</w:t>
      </w:r>
      <w:r>
        <w:t xml:space="preserve"> and</w:t>
      </w:r>
      <w:r w:rsidRPr="00EF0746">
        <w:t xml:space="preserve"> passport cancellation. For example, human rights defender</w:t>
      </w:r>
      <w:r>
        <w:t>s</w:t>
      </w:r>
      <w:r w:rsidRPr="00EF0746">
        <w:t xml:space="preserve"> Hoda Abdelwahab</w:t>
      </w:r>
      <w:r>
        <w:t xml:space="preserve"> and </w:t>
      </w:r>
      <w:r w:rsidRPr="00EF0746">
        <w:t>Gasser Abdelrazek were banned from traveling abroad</w:t>
      </w:r>
      <w:r>
        <w:t xml:space="preserve"> </w:t>
      </w:r>
      <w:r w:rsidRPr="00EF0746">
        <w:t>at the time of writing.</w:t>
      </w:r>
      <w:r>
        <w:t xml:space="preserve"> </w:t>
      </w:r>
      <w:r w:rsidRPr="00EF0746">
        <w:t xml:space="preserve">Travel bans are not always formally announced but </w:t>
      </w:r>
      <w:r>
        <w:t>information is available</w:t>
      </w:r>
      <w:r w:rsidRPr="00EF0746">
        <w:t xml:space="preserve"> at </w:t>
      </w:r>
      <w:r w:rsidRPr="005103B0">
        <w:t>Passports Authority</w:t>
      </w:r>
      <w:r>
        <w:t xml:space="preserve"> offices</w:t>
      </w:r>
      <w:r w:rsidRPr="00EF0746">
        <w:t>.</w:t>
      </w:r>
      <w:r>
        <w:t xml:space="preserve"> </w:t>
      </w:r>
      <w:r w:rsidRPr="005103B0">
        <w:t xml:space="preserve">Those seeking information </w:t>
      </w:r>
      <w:r>
        <w:t>regarding</w:t>
      </w:r>
      <w:r w:rsidRPr="005103B0">
        <w:t xml:space="preserve"> who issued </w:t>
      </w:r>
      <w:r>
        <w:t xml:space="preserve">a </w:t>
      </w:r>
      <w:r w:rsidRPr="005103B0">
        <w:t xml:space="preserve">travel ban and when must generally inquire </w:t>
      </w:r>
      <w:r>
        <w:t xml:space="preserve">in-person. Travel bans are reviewed and can be lifted. For example, </w:t>
      </w:r>
      <w:r w:rsidRPr="00EF0746">
        <w:t>Human Right</w:t>
      </w:r>
      <w:r>
        <w:t>s</w:t>
      </w:r>
      <w:r w:rsidRPr="00EF0746">
        <w:t xml:space="preserve"> Watch </w:t>
      </w:r>
      <w:r>
        <w:t>reported</w:t>
      </w:r>
      <w:r w:rsidRPr="00EF0746">
        <w:t xml:space="preserve"> in 2024 the Egyptian </w:t>
      </w:r>
      <w:r>
        <w:t>G</w:t>
      </w:r>
      <w:r w:rsidRPr="00EF0746">
        <w:t>overnment allowed several leading human rights defenders</w:t>
      </w:r>
      <w:r>
        <w:t xml:space="preserve">, including </w:t>
      </w:r>
      <w:r w:rsidRPr="00EF0746">
        <w:t>Gamal Eid</w:t>
      </w:r>
      <w:r>
        <w:t xml:space="preserve"> and</w:t>
      </w:r>
      <w:r w:rsidRPr="00EF0746">
        <w:t xml:space="preserve"> Hossam Bahgat</w:t>
      </w:r>
      <w:r>
        <w:t xml:space="preserve">, </w:t>
      </w:r>
      <w:r w:rsidRPr="00EF0746">
        <w:t xml:space="preserve">to travel outside </w:t>
      </w:r>
      <w:r>
        <w:t>the country for the first time</w:t>
      </w:r>
      <w:r w:rsidRPr="00EF0746">
        <w:t xml:space="preserve"> since 2016</w:t>
      </w:r>
      <w:r>
        <w:t xml:space="preserve">. </w:t>
      </w:r>
    </w:p>
    <w:p w14:paraId="002D889E" w14:textId="77777777" w:rsidR="00C47BE6" w:rsidRPr="00570BE6" w:rsidRDefault="00C47BE6" w:rsidP="00C47BE6">
      <w:pPr>
        <w:pStyle w:val="ListParagraph1"/>
      </w:pPr>
      <w:r>
        <w:t>D</w:t>
      </w:r>
      <w:r w:rsidRPr="00570BE6">
        <w:t xml:space="preserve">FAT assesses </w:t>
      </w:r>
      <w:r>
        <w:t xml:space="preserve">high-profile </w:t>
      </w:r>
      <w:r w:rsidRPr="00570BE6">
        <w:t>civil society actors who work on topics deemed sensitive</w:t>
      </w:r>
      <w:r>
        <w:t xml:space="preserve"> by the government or </w:t>
      </w:r>
      <w:hyperlink w:anchor="_Military" w:history="1">
        <w:r w:rsidRPr="00652EB7">
          <w:rPr>
            <w:rStyle w:val="Hyperlink"/>
          </w:rPr>
          <w:t>military</w:t>
        </w:r>
      </w:hyperlink>
      <w:r w:rsidRPr="00570BE6">
        <w:t xml:space="preserve"> </w:t>
      </w:r>
      <w:r>
        <w:t xml:space="preserve">are likely to </w:t>
      </w:r>
      <w:r w:rsidRPr="00570BE6">
        <w:t xml:space="preserve">face official discrimination in the form of harassment by security forces, </w:t>
      </w:r>
      <w:hyperlink w:anchor="_Exit_and_Entry" w:history="1">
        <w:r w:rsidRPr="00102FBF">
          <w:rPr>
            <w:rStyle w:val="Hyperlink"/>
          </w:rPr>
          <w:t>travel bans</w:t>
        </w:r>
      </w:hyperlink>
      <w:r>
        <w:t xml:space="preserve">, </w:t>
      </w:r>
      <w:r w:rsidRPr="00570BE6">
        <w:t xml:space="preserve">arrest </w:t>
      </w:r>
      <w:r>
        <w:t xml:space="preserve">and </w:t>
      </w:r>
      <w:hyperlink w:anchor="_Detention_and_Prison" w:history="1">
        <w:r w:rsidRPr="00652EB7">
          <w:rPr>
            <w:rStyle w:val="Hyperlink"/>
          </w:rPr>
          <w:t>imprisonment</w:t>
        </w:r>
      </w:hyperlink>
      <w:r>
        <w:t xml:space="preserve">. </w:t>
      </w:r>
      <w:r w:rsidRPr="00570BE6">
        <w:t xml:space="preserve">The hidden nature of low-profile CSO members, especially those working for service-delivery organisation, makes it difficult to assess the </w:t>
      </w:r>
      <w:r>
        <w:t>likelihood of discrimination they</w:t>
      </w:r>
      <w:r w:rsidRPr="00570BE6">
        <w:t xml:space="preserve"> may face. DFAT assesses </w:t>
      </w:r>
      <w:r>
        <w:t xml:space="preserve">it is rare for </w:t>
      </w:r>
      <w:r w:rsidRPr="00570BE6">
        <w:t xml:space="preserve">CSO members </w:t>
      </w:r>
      <w:r>
        <w:t xml:space="preserve">to </w:t>
      </w:r>
      <w:r w:rsidRPr="00570BE6">
        <w:t xml:space="preserve">face </w:t>
      </w:r>
      <w:r>
        <w:t>societal discrimination or violence.</w:t>
      </w:r>
    </w:p>
    <w:p w14:paraId="6DDEC6D9" w14:textId="77777777" w:rsidR="00C47BE6" w:rsidRPr="00026E2C" w:rsidRDefault="00C47BE6" w:rsidP="00C47BE6">
      <w:pPr>
        <w:pStyle w:val="Heading3"/>
        <w:ind w:firstLine="0"/>
        <w:jc w:val="left"/>
        <w:rPr>
          <w:rFonts w:cs="Calibri"/>
          <w:b/>
          <w:bCs/>
          <w:color w:val="auto"/>
        </w:rPr>
      </w:pPr>
      <w:bookmarkStart w:id="64" w:name="_Criminal_defamation_and"/>
      <w:bookmarkStart w:id="65" w:name="_Media_and_Journalists"/>
      <w:bookmarkStart w:id="66" w:name="_Toc196318433"/>
      <w:bookmarkEnd w:id="64"/>
      <w:bookmarkEnd w:id="65"/>
      <w:r w:rsidRPr="00102FBF">
        <w:rPr>
          <w:rFonts w:cs="Calibri"/>
          <w:b/>
          <w:bCs/>
          <w:color w:val="auto"/>
        </w:rPr>
        <w:t>Media and Journalists</w:t>
      </w:r>
      <w:bookmarkEnd w:id="66"/>
      <w:r w:rsidRPr="00026E2C">
        <w:rPr>
          <w:rFonts w:cs="Calibri"/>
          <w:b/>
          <w:bCs/>
          <w:color w:val="auto"/>
        </w:rPr>
        <w:t xml:space="preserve"> </w:t>
      </w:r>
    </w:p>
    <w:p w14:paraId="167F6E8B" w14:textId="77777777" w:rsidR="00C47BE6" w:rsidRDefault="00C47BE6" w:rsidP="00C47BE6">
      <w:pPr>
        <w:pStyle w:val="ListParagraph1"/>
      </w:pPr>
      <w:r w:rsidRPr="00530EBE">
        <w:t xml:space="preserve">Article 65 of the Constitution guarantees freedom of thought and opinion, including the right of every person to </w:t>
      </w:r>
      <w:r>
        <w:t>‘</w:t>
      </w:r>
      <w:r w:rsidRPr="00530EBE">
        <w:t>express his/her opinion verbally, in writing, through imagery, or by any other means of expression and publication</w:t>
      </w:r>
      <w:r>
        <w:t>’</w:t>
      </w:r>
      <w:r w:rsidRPr="00530EBE">
        <w:t>.</w:t>
      </w:r>
      <w:r>
        <w:t xml:space="preserve"> Article 71 of the</w:t>
      </w:r>
      <w:r w:rsidRPr="001756A9">
        <w:t xml:space="preserve"> </w:t>
      </w:r>
      <w:r>
        <w:t>C</w:t>
      </w:r>
      <w:r w:rsidRPr="001756A9">
        <w:t>onstitution allow</w:t>
      </w:r>
      <w:r>
        <w:t>s for</w:t>
      </w:r>
      <w:r w:rsidRPr="001756A9">
        <w:t xml:space="preserve"> </w:t>
      </w:r>
      <w:r>
        <w:t>‘</w:t>
      </w:r>
      <w:r w:rsidRPr="001756A9">
        <w:t>limited censorship in times of war or public mobili</w:t>
      </w:r>
      <w:r>
        <w:t>s</w:t>
      </w:r>
      <w:r w:rsidRPr="001756A9">
        <w:t>ation</w:t>
      </w:r>
      <w:r>
        <w:t>’</w:t>
      </w:r>
      <w:r w:rsidRPr="001756A9">
        <w:t>.</w:t>
      </w:r>
      <w:r>
        <w:t xml:space="preserve"> The </w:t>
      </w:r>
      <w:r w:rsidRPr="001756A9">
        <w:rPr>
          <w:i/>
          <w:iCs/>
        </w:rPr>
        <w:t>Law on the Organization of Press, Media, and the Supreme Council of Media (No. 180) 2018</w:t>
      </w:r>
      <w:r w:rsidRPr="001756A9">
        <w:t xml:space="preserve"> regulate</w:t>
      </w:r>
      <w:r>
        <w:t>s</w:t>
      </w:r>
      <w:r w:rsidRPr="001756A9">
        <w:t xml:space="preserve"> media conduct</w:t>
      </w:r>
      <w:r>
        <w:t xml:space="preserve">, giving the Supreme Council of Media the authority to file criminal complaints against digital media platforms and individuals </w:t>
      </w:r>
      <w:proofErr w:type="gramStart"/>
      <w:r>
        <w:t>on the basis of</w:t>
      </w:r>
      <w:proofErr w:type="gramEnd"/>
      <w:r>
        <w:t xml:space="preserve"> vaguely worded offences such as ‘inciting people to violate laws’ and ‘defamation against individuals and state </w:t>
      </w:r>
      <w:proofErr w:type="gramStart"/>
      <w:r>
        <w:t>institutions’</w:t>
      </w:r>
      <w:proofErr w:type="gramEnd"/>
      <w:r w:rsidRPr="00460F56">
        <w:t>.</w:t>
      </w:r>
      <w:r>
        <w:t xml:space="preserve"> Amendments made in 2021 to the </w:t>
      </w:r>
      <w:r w:rsidRPr="00A90002">
        <w:rPr>
          <w:i/>
          <w:iCs/>
        </w:rPr>
        <w:t>Penal Code (No. 58) 1937</w:t>
      </w:r>
      <w:r w:rsidRPr="001756A9">
        <w:t xml:space="preserve"> </w:t>
      </w:r>
      <w:r w:rsidRPr="00A90002">
        <w:t>increas</w:t>
      </w:r>
      <w:r>
        <w:t>ed</w:t>
      </w:r>
      <w:r w:rsidRPr="00A90002">
        <w:t xml:space="preserve"> punishments for journalists cover</w:t>
      </w:r>
      <w:r>
        <w:t>ing</w:t>
      </w:r>
      <w:r w:rsidRPr="00A90002">
        <w:t xml:space="preserve"> criminal trial sessions without prior approval</w:t>
      </w:r>
      <w:r>
        <w:t xml:space="preserve"> and allowed for prison terms of up to five years for those </w:t>
      </w:r>
      <w:r w:rsidRPr="00A90002">
        <w:t>disclosing classified information.</w:t>
      </w:r>
    </w:p>
    <w:p w14:paraId="31C0882A" w14:textId="77777777" w:rsidR="00C47BE6" w:rsidRDefault="00C47BE6" w:rsidP="00C47BE6">
      <w:pPr>
        <w:pStyle w:val="ListParagraph1"/>
      </w:pPr>
      <w:r>
        <w:t xml:space="preserve">Egypt has a wide variety of traditional and electronic media. Government-owned and aligned companies make up the majority of TV, radio, print and online media outlets. In-country sources said </w:t>
      </w:r>
      <w:r w:rsidRPr="00044816">
        <w:t xml:space="preserve">United Media </w:t>
      </w:r>
      <w:r>
        <w:t xml:space="preserve">Services, created and overseen by the </w:t>
      </w:r>
      <w:r w:rsidRPr="00044816">
        <w:t>General Intelligence</w:t>
      </w:r>
      <w:r>
        <w:t xml:space="preserve"> Service,</w:t>
      </w:r>
      <w:r w:rsidRPr="00044816">
        <w:t xml:space="preserve"> own</w:t>
      </w:r>
      <w:r>
        <w:t>ed</w:t>
      </w:r>
      <w:r w:rsidRPr="00044816">
        <w:t xml:space="preserve"> more than 80 media companies</w:t>
      </w:r>
      <w:r>
        <w:t xml:space="preserve"> in Egypt. At the </w:t>
      </w:r>
      <w:r>
        <w:lastRenderedPageBreak/>
        <w:t>time of writing, i</w:t>
      </w:r>
      <w:r w:rsidRPr="00044816">
        <w:t xml:space="preserve">ndependent media </w:t>
      </w:r>
      <w:r>
        <w:t xml:space="preserve">was made up primarily of online newspapers such as </w:t>
      </w:r>
      <w:r w:rsidRPr="00E72798">
        <w:t>Mada Masr and Al Manassa</w:t>
      </w:r>
      <w:r>
        <w:t xml:space="preserve">, neither of which was licenced to operate by the </w:t>
      </w:r>
      <w:r w:rsidRPr="00DC5C1A">
        <w:t>Supreme Council for Media Regulation.</w:t>
      </w:r>
      <w:r>
        <w:t xml:space="preserve"> </w:t>
      </w:r>
    </w:p>
    <w:p w14:paraId="4234798A" w14:textId="77777777" w:rsidR="00C47BE6" w:rsidRDefault="00C47BE6" w:rsidP="00C47BE6">
      <w:pPr>
        <w:pStyle w:val="ListParagraph1"/>
      </w:pPr>
      <w:r>
        <w:t xml:space="preserve">The ability of journalists to exercise freedom of expression in Egypt is constrained. Self-censorship is common. </w:t>
      </w:r>
      <w:r w:rsidRPr="00E72798">
        <w:t xml:space="preserve">Egypt ranked 170 out of 180 countries in Reporters Without Borders’ 2025 </w:t>
      </w:r>
      <w:r w:rsidRPr="00E72798">
        <w:rPr>
          <w:i/>
          <w:iCs/>
        </w:rPr>
        <w:t>World Press Freedom Index</w:t>
      </w:r>
      <w:r w:rsidRPr="00E72798">
        <w:t>, with the media situation labelled ‘very serious’.</w:t>
      </w:r>
      <w:r>
        <w:t xml:space="preserve"> </w:t>
      </w:r>
      <w:r w:rsidRPr="001657AC">
        <w:t>A local CSO</w:t>
      </w:r>
      <w:r>
        <w:t xml:space="preserve"> recorded </w:t>
      </w:r>
      <w:r w:rsidRPr="001657AC">
        <w:t>367 violations against journalists and media workers</w:t>
      </w:r>
      <w:r>
        <w:t xml:space="preserve"> b</w:t>
      </w:r>
      <w:r w:rsidRPr="001657AC">
        <w:t>etween 1 May 2023 and 1 May 2024</w:t>
      </w:r>
      <w:r>
        <w:t>.</w:t>
      </w:r>
      <w:r w:rsidRPr="001657AC">
        <w:t xml:space="preserve"> </w:t>
      </w:r>
      <w:r>
        <w:t>D</w:t>
      </w:r>
      <w:r w:rsidRPr="001657AC">
        <w:t xml:space="preserve">uring this </w:t>
      </w:r>
      <w:r>
        <w:t>time,</w:t>
      </w:r>
      <w:r w:rsidRPr="001657AC">
        <w:t xml:space="preserve"> </w:t>
      </w:r>
      <w:r>
        <w:t>authorities</w:t>
      </w:r>
      <w:r w:rsidRPr="001657AC">
        <w:t xml:space="preserve"> actively prevented </w:t>
      </w:r>
      <w:r>
        <w:t xml:space="preserve">the </w:t>
      </w:r>
      <w:r w:rsidRPr="001657AC">
        <w:t xml:space="preserve">media </w:t>
      </w:r>
      <w:r>
        <w:t>from covering</w:t>
      </w:r>
      <w:r w:rsidRPr="001657AC">
        <w:t xml:space="preserve"> 26 incidents, restricti</w:t>
      </w:r>
      <w:r>
        <w:t>ng the</w:t>
      </w:r>
      <w:r w:rsidRPr="001657AC">
        <w:t xml:space="preserve"> press's ability to report freely.</w:t>
      </w:r>
      <w:r>
        <w:t xml:space="preserve"> </w:t>
      </w:r>
      <w:r w:rsidRPr="00EE55B3">
        <w:t xml:space="preserve">In-country sources said </w:t>
      </w:r>
      <w:r>
        <w:t>journalists</w:t>
      </w:r>
      <w:r w:rsidRPr="00EE55B3">
        <w:t xml:space="preserve"> and editors </w:t>
      </w:r>
      <w:r>
        <w:t>were often</w:t>
      </w:r>
      <w:r w:rsidRPr="00EE55B3">
        <w:t xml:space="preserve"> called in for questioning by</w:t>
      </w:r>
      <w:r>
        <w:t xml:space="preserve"> the</w:t>
      </w:r>
      <w:r w:rsidRPr="00EE55B3">
        <w:t xml:space="preserve"> </w:t>
      </w:r>
      <w:r w:rsidRPr="00DC5C1A">
        <w:t>Supreme Council for Media Regulation</w:t>
      </w:r>
      <w:r w:rsidRPr="00EE55B3">
        <w:t xml:space="preserve"> </w:t>
      </w:r>
      <w:r>
        <w:t xml:space="preserve">after covering politically sensitive topics. The </w:t>
      </w:r>
      <w:r w:rsidRPr="00DC5C1A">
        <w:t>Supreme Council for Media Regulation</w:t>
      </w:r>
      <w:r>
        <w:t xml:space="preserve"> also asked</w:t>
      </w:r>
      <w:r w:rsidRPr="00EE55B3">
        <w:t xml:space="preserve"> media organisations to self-censor</w:t>
      </w:r>
      <w:r>
        <w:t xml:space="preserve"> to avoid defamation action. Approximately 51 media organisations have been shut down by authorities since 2013. </w:t>
      </w:r>
    </w:p>
    <w:p w14:paraId="72278B81" w14:textId="77777777" w:rsidR="00C47BE6" w:rsidRDefault="00C47BE6" w:rsidP="00C47BE6">
      <w:pPr>
        <w:pStyle w:val="ListParagraph1"/>
      </w:pPr>
      <w:r>
        <w:t xml:space="preserve">Journalists have been arrested when covering politically sensitive topics, tried and in some instances received prison sentences. </w:t>
      </w:r>
      <w:r w:rsidRPr="00E72798">
        <w:t xml:space="preserve">Reporters Without Borders </w:t>
      </w:r>
      <w:r>
        <w:t xml:space="preserve">reported </w:t>
      </w:r>
      <w:r w:rsidRPr="00E72798">
        <w:t xml:space="preserve">20 journalists </w:t>
      </w:r>
      <w:r>
        <w:t xml:space="preserve">were </w:t>
      </w:r>
      <w:r w:rsidRPr="00E72798">
        <w:t>detained in Egypt in July 2025.</w:t>
      </w:r>
      <w:r>
        <w:t xml:space="preserve"> </w:t>
      </w:r>
      <w:r w:rsidRPr="001657AC">
        <w:t>A local CSO</w:t>
      </w:r>
      <w:r>
        <w:t xml:space="preserve"> documented </w:t>
      </w:r>
      <w:r w:rsidRPr="001657AC">
        <w:t>36 journalists subject to detention</w:t>
      </w:r>
      <w:r>
        <w:t xml:space="preserve">, 14 to oral </w:t>
      </w:r>
      <w:r w:rsidRPr="001657AC">
        <w:t>threats</w:t>
      </w:r>
      <w:r>
        <w:t xml:space="preserve"> and</w:t>
      </w:r>
      <w:r w:rsidRPr="001657AC">
        <w:t xml:space="preserve"> 13 </w:t>
      </w:r>
      <w:r>
        <w:t xml:space="preserve">to </w:t>
      </w:r>
      <w:r w:rsidRPr="001657AC">
        <w:t>physical abuse</w:t>
      </w:r>
      <w:r>
        <w:t xml:space="preserve"> between </w:t>
      </w:r>
      <w:r w:rsidRPr="001657AC">
        <w:t>1 May 2023 and 1 May 2024</w:t>
      </w:r>
      <w:r>
        <w:t>. In-country sources said journalists reporting on politically sensitive issues sometimes had their communications intercepted and were threatened by authorities with arrest.</w:t>
      </w:r>
      <w:r w:rsidRPr="00EE55B3">
        <w:rPr>
          <w:rStyle w:val="FootnoteReference"/>
        </w:rPr>
        <w:t xml:space="preserve"> </w:t>
      </w:r>
      <w:r>
        <w:t xml:space="preserve"> </w:t>
      </w:r>
      <w:r w:rsidRPr="007F60E1">
        <w:t xml:space="preserve">For example, </w:t>
      </w:r>
      <w:r>
        <w:t>j</w:t>
      </w:r>
      <w:r w:rsidRPr="00854E16">
        <w:t>ournalist Sayed Saber was arrested in November 2024 following his post</w:t>
      </w:r>
      <w:r>
        <w:t>s</w:t>
      </w:r>
      <w:r w:rsidRPr="00854E16">
        <w:t xml:space="preserve"> on social media criticising military rule in Egypt.</w:t>
      </w:r>
      <w:r>
        <w:t xml:space="preserve"> S</w:t>
      </w:r>
      <w:r w:rsidRPr="007F60E1">
        <w:t xml:space="preserve">ecurity forces raided the home of journalist Khaled Mamdouh in July 2024 and charged </w:t>
      </w:r>
      <w:r>
        <w:t xml:space="preserve">him </w:t>
      </w:r>
      <w:r w:rsidRPr="007F60E1">
        <w:t xml:space="preserve">with belonging to an unnamed terrorist group and </w:t>
      </w:r>
      <w:r>
        <w:t>‘</w:t>
      </w:r>
      <w:r w:rsidRPr="007F60E1">
        <w:t>spreading false news</w:t>
      </w:r>
      <w:r>
        <w:t>’</w:t>
      </w:r>
      <w:r w:rsidRPr="007F60E1">
        <w:t>.</w:t>
      </w:r>
      <w:r>
        <w:t xml:space="preserve"> J</w:t>
      </w:r>
      <w:r w:rsidRPr="007F60E1">
        <w:t xml:space="preserve">ournalist Abdelrahman Mahmoud Abdou (Abdelrahman Ayyash) was charged along with four others </w:t>
      </w:r>
      <w:r>
        <w:t xml:space="preserve">in July 2024 </w:t>
      </w:r>
      <w:r w:rsidRPr="007F60E1">
        <w:t xml:space="preserve">with </w:t>
      </w:r>
      <w:r>
        <w:t>‘</w:t>
      </w:r>
      <w:r w:rsidRPr="007F60E1">
        <w:t>leadership of a terrorist group</w:t>
      </w:r>
      <w:r>
        <w:t>’</w:t>
      </w:r>
      <w:r w:rsidRPr="007F60E1">
        <w:t>.</w:t>
      </w:r>
    </w:p>
    <w:p w14:paraId="721FD509" w14:textId="77777777" w:rsidR="00C47BE6" w:rsidRDefault="00C47BE6" w:rsidP="00C47BE6">
      <w:pPr>
        <w:pStyle w:val="ListParagraph1"/>
      </w:pPr>
      <w:r>
        <w:t xml:space="preserve">The </w:t>
      </w:r>
      <w:r w:rsidRPr="00854E16">
        <w:rPr>
          <w:i/>
        </w:rPr>
        <w:t>Anti-Cyber and Information Technology Crimes Law (No. 175) 2018</w:t>
      </w:r>
      <w:r>
        <w:t xml:space="preserve"> provides police and investigative authorities power to monitor and block websites for material deemed to incite crime or damage national security. The </w:t>
      </w:r>
      <w:r w:rsidRPr="001756A9">
        <w:rPr>
          <w:i/>
          <w:iCs/>
        </w:rPr>
        <w:t>Law on the Organization of Press, Media, and the Supreme Council of Media (No. 180) 2018</w:t>
      </w:r>
      <w:r>
        <w:rPr>
          <w:i/>
          <w:iCs/>
        </w:rPr>
        <w:t xml:space="preserve"> </w:t>
      </w:r>
      <w:r>
        <w:t xml:space="preserve">subjects social media accounts with more than 5,000 followers to the same level of criminal responsibility as formalised media outlets for acts such as ‘publishing false information’ or ‘inciting the public to disobey laws’. </w:t>
      </w:r>
      <w:r w:rsidRPr="002544F1">
        <w:t xml:space="preserve">Freedom House ranked Egypt as ‘Not </w:t>
      </w:r>
      <w:r>
        <w:t>F</w:t>
      </w:r>
      <w:r w:rsidRPr="002544F1">
        <w:t xml:space="preserve">ree’ </w:t>
      </w:r>
      <w:r>
        <w:t>i</w:t>
      </w:r>
      <w:r w:rsidRPr="002544F1">
        <w:t xml:space="preserve">n its </w:t>
      </w:r>
      <w:r w:rsidRPr="002544F1">
        <w:rPr>
          <w:i/>
          <w:iCs/>
        </w:rPr>
        <w:t>Freedom on the Net</w:t>
      </w:r>
      <w:r>
        <w:rPr>
          <w:i/>
          <w:iCs/>
        </w:rPr>
        <w:t xml:space="preserve"> 2024</w:t>
      </w:r>
      <w:r w:rsidRPr="002544F1">
        <w:rPr>
          <w:i/>
          <w:iCs/>
        </w:rPr>
        <w:t xml:space="preserve"> </w:t>
      </w:r>
      <w:r>
        <w:t>report</w:t>
      </w:r>
      <w:r w:rsidRPr="002544F1">
        <w:t xml:space="preserve"> stating internet freedom and the rights of internet users were severely constrained. According to the report, website blocking, removal of content, criminal penalties, harassment and surveillance contributed to high levels of self-censorship among internet users</w:t>
      </w:r>
      <w:r>
        <w:t xml:space="preserve">. For example, </w:t>
      </w:r>
      <w:proofErr w:type="spellStart"/>
      <w:r>
        <w:t>Tiktok</w:t>
      </w:r>
      <w:proofErr w:type="spellEnd"/>
      <w:r>
        <w:t xml:space="preserve"> influencer Mariam Ayman was arrested on 2 August 2025 and charged with distributing indecent content after the Interior Ministry received complaints her posts contained objectionable content. Ayman’s case was ongoing at the time of publication. (s</w:t>
      </w:r>
      <w:r w:rsidRPr="002544F1">
        <w:t xml:space="preserve">ee also </w:t>
      </w:r>
      <w:hyperlink w:anchor="_Alevis" w:history="1">
        <w:r w:rsidRPr="002544F1">
          <w:rPr>
            <w:rStyle w:val="Hyperlink"/>
          </w:rPr>
          <w:t>Blasphemy</w:t>
        </w:r>
      </w:hyperlink>
      <w:r w:rsidRPr="002544F1">
        <w:t xml:space="preserve">, </w:t>
      </w:r>
      <w:hyperlink w:anchor="_Women" w:history="1">
        <w:r w:rsidRPr="002544F1">
          <w:rPr>
            <w:rStyle w:val="Hyperlink"/>
          </w:rPr>
          <w:t>Women</w:t>
        </w:r>
      </w:hyperlink>
      <w:r>
        <w:t>)</w:t>
      </w:r>
      <w:r w:rsidRPr="002544F1">
        <w:t>.</w:t>
      </w:r>
    </w:p>
    <w:p w14:paraId="4A3CC02B" w14:textId="26198508" w:rsidR="00C47BE6" w:rsidRPr="008822D1" w:rsidRDefault="00C47BE6" w:rsidP="00C47BE6">
      <w:pPr>
        <w:pStyle w:val="ListParagraph1"/>
      </w:pPr>
      <w:r>
        <w:t>D</w:t>
      </w:r>
      <w:r w:rsidRPr="00570BE6">
        <w:t xml:space="preserve">FAT assesses </w:t>
      </w:r>
      <w:r>
        <w:t>journalists covering</w:t>
      </w:r>
      <w:r w:rsidRPr="00570BE6">
        <w:t xml:space="preserve"> topics deemed sensitive</w:t>
      </w:r>
      <w:r>
        <w:t xml:space="preserve"> by the government or </w:t>
      </w:r>
      <w:hyperlink w:anchor="_Military" w:history="1">
        <w:r w:rsidRPr="00652EB7">
          <w:rPr>
            <w:rStyle w:val="Hyperlink"/>
          </w:rPr>
          <w:t>military</w:t>
        </w:r>
      </w:hyperlink>
      <w:r w:rsidRPr="00570BE6">
        <w:t xml:space="preserve"> </w:t>
      </w:r>
      <w:r>
        <w:t xml:space="preserve">are likely to </w:t>
      </w:r>
      <w:r w:rsidRPr="00570BE6">
        <w:t xml:space="preserve">face official discrimination in the form of harassment by security forces, arrest </w:t>
      </w:r>
      <w:r>
        <w:t xml:space="preserve">and </w:t>
      </w:r>
      <w:hyperlink w:anchor="_Detention_and_Prison" w:history="1">
        <w:r w:rsidRPr="00652EB7">
          <w:rPr>
            <w:rStyle w:val="Hyperlink"/>
          </w:rPr>
          <w:t>imprisonment</w:t>
        </w:r>
      </w:hyperlink>
      <w:r>
        <w:t>.</w:t>
      </w:r>
      <w:r w:rsidRPr="00570BE6">
        <w:t xml:space="preserve"> DFAT assesses </w:t>
      </w:r>
      <w:r>
        <w:t xml:space="preserve">it is rare for journalists to </w:t>
      </w:r>
      <w:r w:rsidRPr="00570BE6">
        <w:t xml:space="preserve">face </w:t>
      </w:r>
      <w:r>
        <w:t xml:space="preserve">societal discrimination or violence. </w:t>
      </w:r>
      <w:proofErr w:type="gramStart"/>
      <w:r w:rsidRPr="007951BF">
        <w:t>The majority of</w:t>
      </w:r>
      <w:proofErr w:type="gramEnd"/>
      <w:r w:rsidRPr="007951BF">
        <w:t xml:space="preserve"> social media users in </w:t>
      </w:r>
      <w:r>
        <w:t>Egypt</w:t>
      </w:r>
      <w:r w:rsidRPr="007951BF">
        <w:t xml:space="preserve"> </w:t>
      </w:r>
      <w:proofErr w:type="gramStart"/>
      <w:r w:rsidRPr="007951BF">
        <w:t>are able to</w:t>
      </w:r>
      <w:proofErr w:type="gramEnd"/>
      <w:r w:rsidRPr="007951BF">
        <w:t xml:space="preserve"> use platforms without incident</w:t>
      </w:r>
      <w:r>
        <w:t xml:space="preserve"> </w:t>
      </w:r>
      <w:r w:rsidRPr="00DD60BE">
        <w:t xml:space="preserve">although they do so with the acknowledgement they </w:t>
      </w:r>
      <w:r>
        <w:t>may be</w:t>
      </w:r>
      <w:r w:rsidRPr="00DD60BE">
        <w:t xml:space="preserve"> monitored</w:t>
      </w:r>
      <w:r>
        <w:t xml:space="preserve"> and need to self</w:t>
      </w:r>
      <w:r>
        <w:noBreakHyphen/>
        <w:t>censor.</w:t>
      </w:r>
    </w:p>
    <w:p w14:paraId="17A4FBE1" w14:textId="77777777" w:rsidR="00C47BE6" w:rsidRPr="007A45D0" w:rsidRDefault="00C47BE6" w:rsidP="00C47BE6">
      <w:pPr>
        <w:pStyle w:val="Heading3"/>
        <w:ind w:firstLine="0"/>
        <w:jc w:val="left"/>
        <w:rPr>
          <w:rFonts w:cs="Calibri"/>
          <w:b/>
          <w:bCs/>
          <w:color w:val="auto"/>
        </w:rPr>
      </w:pPr>
      <w:r w:rsidRPr="007A45D0">
        <w:rPr>
          <w:rFonts w:cs="Calibri"/>
          <w:b/>
          <w:bCs/>
          <w:color w:val="auto"/>
        </w:rPr>
        <w:t xml:space="preserve">Military Objectors </w:t>
      </w:r>
    </w:p>
    <w:p w14:paraId="2F5F9A71" w14:textId="77777777" w:rsidR="00C47BE6" w:rsidRPr="007A45D0" w:rsidRDefault="00C47BE6" w:rsidP="00C47BE6">
      <w:pPr>
        <w:pStyle w:val="ListParagraph1"/>
      </w:pPr>
      <w:r w:rsidRPr="007A45D0">
        <w:t xml:space="preserve">Article 86 of the Constitution states military service is compulsory. Military service is regulated by the </w:t>
      </w:r>
      <w:r w:rsidRPr="007A45D0">
        <w:rPr>
          <w:i/>
        </w:rPr>
        <w:t>Law on the</w:t>
      </w:r>
      <w:r w:rsidRPr="007A45D0">
        <w:t xml:space="preserve"> </w:t>
      </w:r>
      <w:r w:rsidRPr="007A45D0">
        <w:rPr>
          <w:i/>
        </w:rPr>
        <w:t>Military and National Service (No. 127) 1980</w:t>
      </w:r>
      <w:r>
        <w:t xml:space="preserve"> and </w:t>
      </w:r>
      <w:r w:rsidRPr="007A45D0">
        <w:t>mandatory for all males aged between 18 and 30</w:t>
      </w:r>
      <w:r>
        <w:t>. Length of required military service</w:t>
      </w:r>
      <w:r w:rsidRPr="007A45D0">
        <w:t xml:space="preserve"> var</w:t>
      </w:r>
      <w:r>
        <w:t>ies</w:t>
      </w:r>
      <w:r w:rsidRPr="007A45D0">
        <w:t xml:space="preserve"> based on education level, ranging from one to three years. Conscripts may be placed in a branch of the military,</w:t>
      </w:r>
      <w:r>
        <w:t xml:space="preserve"> </w:t>
      </w:r>
      <w:r w:rsidRPr="007A45D0">
        <w:t xml:space="preserve">police force or prison service. Women are not subject to conscription </w:t>
      </w:r>
      <w:r>
        <w:t xml:space="preserve">but </w:t>
      </w:r>
      <w:r w:rsidRPr="007A45D0">
        <w:t xml:space="preserve">may serve voluntarily in limited </w:t>
      </w:r>
      <w:r>
        <w:t xml:space="preserve">roles </w:t>
      </w:r>
      <w:r w:rsidRPr="007A45D0">
        <w:t>such as nurses</w:t>
      </w:r>
      <w:r>
        <w:t>,</w:t>
      </w:r>
      <w:r w:rsidRPr="007A45D0">
        <w:t xml:space="preserve"> specialised officers in administrative positions and assistant civil servants. </w:t>
      </w:r>
    </w:p>
    <w:p w14:paraId="01B4A145" w14:textId="77777777" w:rsidR="00C47BE6" w:rsidRPr="007A45D0" w:rsidRDefault="00C47BE6" w:rsidP="00C47BE6">
      <w:pPr>
        <w:pStyle w:val="ListParagraph1"/>
      </w:pPr>
      <w:r w:rsidRPr="007A45D0">
        <w:t xml:space="preserve">The military conscription process is highly structured, involving registration, background checks and medical examinations. In-country sources said background checks </w:t>
      </w:r>
      <w:r>
        <w:t xml:space="preserve">regularly </w:t>
      </w:r>
      <w:r w:rsidRPr="007A45D0">
        <w:t xml:space="preserve">involved investigations into whether potential conscripts were politically active (or came from politically active families), </w:t>
      </w:r>
      <w:r>
        <w:t xml:space="preserve">were </w:t>
      </w:r>
      <w:r w:rsidRPr="007A45D0">
        <w:t xml:space="preserve">‘overly religious’ or had criminal convictions. Military intelligence often ruled out those with strong </w:t>
      </w:r>
      <w:hyperlink w:anchor="_POLITICAL_OPINION_(ACTUAL_1" w:history="1">
        <w:r w:rsidRPr="00C15D30">
          <w:rPr>
            <w:rStyle w:val="Hyperlink"/>
          </w:rPr>
          <w:t>political opinions</w:t>
        </w:r>
      </w:hyperlink>
      <w:r w:rsidRPr="007A45D0">
        <w:t xml:space="preserve"> or </w:t>
      </w:r>
      <w:hyperlink w:anchor="_Conflict_between_Turkish" w:history="1">
        <w:r w:rsidRPr="00C15D30">
          <w:rPr>
            <w:rStyle w:val="Hyperlink"/>
          </w:rPr>
          <w:t>religious beliefs</w:t>
        </w:r>
      </w:hyperlink>
      <w:r w:rsidRPr="007A45D0">
        <w:t xml:space="preserve"> for fear of these views ‘infecting’ the military. Medical checks were sometimes carried out to identify and screen out conscripts based on their </w:t>
      </w:r>
      <w:hyperlink w:anchor="_Sexual_Orientation_and" w:history="1">
        <w:r w:rsidRPr="00C15D30">
          <w:rPr>
            <w:rStyle w:val="Hyperlink"/>
          </w:rPr>
          <w:t>same-sex orientation</w:t>
        </w:r>
      </w:hyperlink>
      <w:r w:rsidRPr="007A45D0">
        <w:t xml:space="preserve">. </w:t>
      </w:r>
    </w:p>
    <w:p w14:paraId="099B7ABC" w14:textId="77777777" w:rsidR="00C47BE6" w:rsidRPr="007A45D0" w:rsidRDefault="00C47BE6" w:rsidP="00C47BE6">
      <w:pPr>
        <w:pStyle w:val="ListParagraph1"/>
      </w:pPr>
      <w:r w:rsidRPr="007A45D0">
        <w:lastRenderedPageBreak/>
        <w:t xml:space="preserve">Temporary and permanent exemptions from military service are reportedly common. Exemptions can be granted for several reasons, including family circumstances (for example, when an individual is an only son), </w:t>
      </w:r>
      <w:hyperlink w:anchor="_Health" w:history="1">
        <w:r w:rsidRPr="00D528D9">
          <w:rPr>
            <w:rStyle w:val="Hyperlink"/>
          </w:rPr>
          <w:t>health conditions</w:t>
        </w:r>
      </w:hyperlink>
      <w:r w:rsidRPr="007A45D0">
        <w:t xml:space="preserve"> and </w:t>
      </w:r>
      <w:hyperlink w:anchor="_People_with_Disability" w:history="1">
        <w:r w:rsidRPr="00D528D9">
          <w:rPr>
            <w:rStyle w:val="Hyperlink"/>
          </w:rPr>
          <w:t>disabilities</w:t>
        </w:r>
      </w:hyperlink>
      <w:r w:rsidRPr="007A45D0">
        <w:t xml:space="preserve">, </w:t>
      </w:r>
      <w:r>
        <w:t xml:space="preserve">to </w:t>
      </w:r>
      <w:r w:rsidRPr="007A45D0">
        <w:t>complet</w:t>
      </w:r>
      <w:r>
        <w:t>e</w:t>
      </w:r>
      <w:r w:rsidRPr="007A45D0">
        <w:t xml:space="preserve"> </w:t>
      </w:r>
      <w:hyperlink w:anchor="_Education" w:history="1">
        <w:r w:rsidRPr="00D528D9">
          <w:rPr>
            <w:rStyle w:val="Hyperlink"/>
          </w:rPr>
          <w:t>education</w:t>
        </w:r>
      </w:hyperlink>
      <w:r w:rsidRPr="007A45D0">
        <w:t xml:space="preserve"> and in cases of dual nationality. Exemptions are usually granted </w:t>
      </w:r>
      <w:r>
        <w:t>temporaril</w:t>
      </w:r>
      <w:r w:rsidRPr="007A45D0">
        <w:t xml:space="preserve">y with final exemptions being granted </w:t>
      </w:r>
      <w:r>
        <w:t>at</w:t>
      </w:r>
      <w:r w:rsidRPr="007A45D0">
        <w:t xml:space="preserve"> 30</w:t>
      </w:r>
      <w:r>
        <w:t xml:space="preserve"> years of age</w:t>
      </w:r>
      <w:r w:rsidRPr="007A45D0">
        <w:t xml:space="preserve">. </w:t>
      </w:r>
      <w:r>
        <w:t>Those</w:t>
      </w:r>
      <w:r w:rsidRPr="007A45D0">
        <w:t xml:space="preserve"> granted an exemption are issued with an exemption certificate. </w:t>
      </w:r>
    </w:p>
    <w:p w14:paraId="2CC02749" w14:textId="77777777" w:rsidR="00C47BE6" w:rsidRDefault="00C47BE6" w:rsidP="00C47BE6">
      <w:pPr>
        <w:pStyle w:val="ListParagraph1"/>
      </w:pPr>
      <w:r w:rsidRPr="007A45D0">
        <w:t xml:space="preserve">Egyptians who fail to report to register for military service can be punished with one year </w:t>
      </w:r>
      <w:r>
        <w:t xml:space="preserve">of </w:t>
      </w:r>
      <w:r w:rsidRPr="007A45D0">
        <w:t>additional service. Those who evade military service and reach the age of 30 can be fined between EGP3,000-10,000 (AUD94</w:t>
      </w:r>
      <w:r w:rsidRPr="007A45D0">
        <w:noBreakHyphen/>
        <w:t xml:space="preserve">312) and/or be imprisoned for up to one year. In-country sources said a fine was the most common </w:t>
      </w:r>
      <w:r>
        <w:t>method used against those</w:t>
      </w:r>
      <w:r w:rsidRPr="007A45D0">
        <w:t xml:space="preserve"> </w:t>
      </w:r>
      <w:r>
        <w:t>evading</w:t>
      </w:r>
      <w:r w:rsidRPr="007A45D0">
        <w:t xml:space="preserve"> military service. Egyptians who have not completed military service and not obtained an exemption may not be able</w:t>
      </w:r>
      <w:r w:rsidRPr="00720183">
        <w:t xml:space="preserve"> to travel and may find it difficult to obtain employment</w:t>
      </w:r>
      <w:r>
        <w:t>.</w:t>
      </w:r>
    </w:p>
    <w:p w14:paraId="62AFF3B3" w14:textId="77777777" w:rsidR="00C47BE6" w:rsidRDefault="00C47BE6" w:rsidP="00C47BE6">
      <w:pPr>
        <w:pStyle w:val="ListParagraph1"/>
      </w:pPr>
      <w:r w:rsidRPr="00112D86">
        <w:t xml:space="preserve">Conscientious objection to military service is not common </w:t>
      </w:r>
      <w:r>
        <w:t xml:space="preserve">according to in-country sources. Most people who chose to avoid military service did so due to personal preference rather than </w:t>
      </w:r>
      <w:r w:rsidRPr="00D633A5">
        <w:t>reasons of conscience</w:t>
      </w:r>
      <w:r>
        <w:t>. Human Rights Watch reports Egyptians e</w:t>
      </w:r>
      <w:r w:rsidRPr="002F69EF">
        <w:t>vad</w:t>
      </w:r>
      <w:r>
        <w:t xml:space="preserve">ing military service, who are not politically active, are </w:t>
      </w:r>
      <w:r w:rsidRPr="002F69EF">
        <w:t xml:space="preserve">not </w:t>
      </w:r>
      <w:r>
        <w:t xml:space="preserve">targeted by authorities as </w:t>
      </w:r>
      <w:hyperlink w:anchor="_Civil_Society" w:history="1">
        <w:r w:rsidRPr="007A45D0">
          <w:rPr>
            <w:rStyle w:val="Hyperlink"/>
          </w:rPr>
          <w:t>critics or activists</w:t>
        </w:r>
      </w:hyperlink>
      <w:r>
        <w:t xml:space="preserve">. Societal discrimination is rare against evaders of </w:t>
      </w:r>
      <w:r w:rsidRPr="002F69EF">
        <w:t>military service</w:t>
      </w:r>
      <w:r>
        <w:t xml:space="preserve"> according to Human Rights Watch</w:t>
      </w:r>
      <w:r w:rsidRPr="002F69EF">
        <w:t>.</w:t>
      </w:r>
    </w:p>
    <w:p w14:paraId="132502F8" w14:textId="77777777" w:rsidR="00C47BE6" w:rsidRPr="00D528D9" w:rsidRDefault="00C47BE6" w:rsidP="00C47BE6">
      <w:pPr>
        <w:pStyle w:val="ListParagraph1"/>
      </w:pPr>
      <w:r>
        <w:t>D</w:t>
      </w:r>
      <w:r w:rsidRPr="00570BE6">
        <w:t xml:space="preserve">FAT assesses </w:t>
      </w:r>
      <w:r>
        <w:t xml:space="preserve">military objectors possibly </w:t>
      </w:r>
      <w:r w:rsidRPr="00570BE6">
        <w:t xml:space="preserve">face official discrimination in the form of </w:t>
      </w:r>
      <w:r>
        <w:t xml:space="preserve">fines and in rare instances </w:t>
      </w:r>
      <w:hyperlink w:anchor="_Detention_and_Prison" w:history="1">
        <w:r w:rsidRPr="00652EB7">
          <w:rPr>
            <w:rStyle w:val="Hyperlink"/>
          </w:rPr>
          <w:t>imprisonment</w:t>
        </w:r>
      </w:hyperlink>
      <w:r>
        <w:t>.</w:t>
      </w:r>
      <w:r w:rsidRPr="00570BE6">
        <w:t xml:space="preserve"> DFAT assesses </w:t>
      </w:r>
      <w:r>
        <w:t xml:space="preserve">it is rare for military objectors to </w:t>
      </w:r>
      <w:r w:rsidRPr="00570BE6">
        <w:t xml:space="preserve">face </w:t>
      </w:r>
      <w:r>
        <w:t>societal discrimination or violence.</w:t>
      </w:r>
    </w:p>
    <w:p w14:paraId="0DEF934D" w14:textId="77777777" w:rsidR="00C47BE6" w:rsidRPr="004B28FD" w:rsidRDefault="00C47BE6" w:rsidP="00C47BE6">
      <w:pPr>
        <w:pStyle w:val="Heading3"/>
        <w:ind w:firstLine="0"/>
        <w:jc w:val="left"/>
        <w:rPr>
          <w:rFonts w:cs="Calibri"/>
          <w:b/>
          <w:bCs/>
          <w:color w:val="auto"/>
        </w:rPr>
      </w:pPr>
      <w:r>
        <w:rPr>
          <w:rFonts w:cs="Calibri"/>
          <w:b/>
          <w:bCs/>
          <w:color w:val="auto"/>
        </w:rPr>
        <w:t>Muslim Brotherhood</w:t>
      </w:r>
    </w:p>
    <w:p w14:paraId="3AF2B515" w14:textId="77777777" w:rsidR="00C47BE6" w:rsidRDefault="00C47BE6" w:rsidP="00C47BE6">
      <w:pPr>
        <w:pStyle w:val="ListParagraph1"/>
      </w:pPr>
      <w:r w:rsidRPr="00066CCA">
        <w:t xml:space="preserve">The Muslim Brotherhood (‘the Brotherhood’) is an Islamist religious, political and social movement founded in 1928. The Brotherhood has traditionally </w:t>
      </w:r>
      <w:r>
        <w:t>been</w:t>
      </w:r>
      <w:r w:rsidRPr="00066CCA">
        <w:t xml:space="preserve"> the primary political opposition to Egypt’s military rulers, despite being </w:t>
      </w:r>
      <w:r>
        <w:t xml:space="preserve">largely </w:t>
      </w:r>
      <w:r w:rsidRPr="00066CCA">
        <w:t xml:space="preserve">prevented from participating in formal politics and being subjected to intermittent (and often violent) crackdowns. Although the Brotherhood did not play a significant role in </w:t>
      </w:r>
      <w:r>
        <w:t>the ‘25 January Revolution’ of 2011, it</w:t>
      </w:r>
      <w:r w:rsidRPr="00066CCA">
        <w:t xml:space="preserve"> took a more assertive role afterwards.</w:t>
      </w:r>
      <w:r>
        <w:t xml:space="preserve"> </w:t>
      </w:r>
      <w:r w:rsidRPr="00415FAC">
        <w:t xml:space="preserve">The election of Mohamed Morsi as </w:t>
      </w:r>
      <w:r>
        <w:t>p</w:t>
      </w:r>
      <w:r w:rsidRPr="00415FAC">
        <w:t xml:space="preserve">resident in June 2012 </w:t>
      </w:r>
      <w:r>
        <w:t>led to the</w:t>
      </w:r>
      <w:r w:rsidRPr="00415FAC">
        <w:t xml:space="preserve"> Brotherhood</w:t>
      </w:r>
      <w:r>
        <w:t>’s</w:t>
      </w:r>
      <w:r w:rsidRPr="00415FAC">
        <w:t xml:space="preserve"> emerge</w:t>
      </w:r>
      <w:r>
        <w:t>nce</w:t>
      </w:r>
      <w:r w:rsidRPr="00415FAC">
        <w:t xml:space="preserve"> as the most significant </w:t>
      </w:r>
      <w:r>
        <w:t>political Islamic group</w:t>
      </w:r>
      <w:r w:rsidRPr="00415FAC">
        <w:t xml:space="preserve"> in the region.</w:t>
      </w:r>
      <w:r>
        <w:t xml:space="preserve"> </w:t>
      </w:r>
    </w:p>
    <w:p w14:paraId="0C19C4BE" w14:textId="085116F1" w:rsidR="00C47BE6" w:rsidRDefault="00C47BE6" w:rsidP="00C47BE6">
      <w:pPr>
        <w:pStyle w:val="ListParagraph1"/>
      </w:pPr>
      <w:r w:rsidRPr="00066CCA">
        <w:t xml:space="preserve">Since the July 2013 military intervention removed Morsi from office, </w:t>
      </w:r>
      <w:r>
        <w:t>the Egyptian G</w:t>
      </w:r>
      <w:r w:rsidRPr="00537DA1">
        <w:t xml:space="preserve">overnment </w:t>
      </w:r>
      <w:r>
        <w:t xml:space="preserve">has </w:t>
      </w:r>
      <w:r w:rsidRPr="00537DA1">
        <w:t>outlawed the Brotherhood</w:t>
      </w:r>
      <w:r w:rsidRPr="000C2D2C">
        <w:t xml:space="preserve"> </w:t>
      </w:r>
      <w:r>
        <w:t>and taken</w:t>
      </w:r>
      <w:r w:rsidRPr="00537DA1">
        <w:t xml:space="preserve"> strong steps to </w:t>
      </w:r>
      <w:r>
        <w:t>arrest and prosecute its members. T</w:t>
      </w:r>
      <w:r w:rsidRPr="00066CCA">
        <w:t xml:space="preserve">he Brotherhood </w:t>
      </w:r>
      <w:r>
        <w:t xml:space="preserve">was declared </w:t>
      </w:r>
      <w:r w:rsidRPr="00066CCA">
        <w:t xml:space="preserve">a ‘terrorist organisation’ under Article 86 of the </w:t>
      </w:r>
      <w:r w:rsidRPr="00C85E1E">
        <w:rPr>
          <w:i/>
          <w:iCs/>
        </w:rPr>
        <w:t>Penal Code (No. 58) 1937</w:t>
      </w:r>
      <w:r w:rsidRPr="00066CCA">
        <w:t xml:space="preserve"> in December 2013. Under Article 86, membership of a designated terrorist group </w:t>
      </w:r>
      <w:r>
        <w:t>can</w:t>
      </w:r>
      <w:r w:rsidRPr="00066CCA">
        <w:t xml:space="preserve"> incur penalties of up to five years’ imprisonment. Article 86 also criminalises the distribution of materials, in writing or in speech, pertaining to a proscribed organisation or in service of its objectives.</w:t>
      </w:r>
      <w:r>
        <w:t xml:space="preserve"> International academics have documented the imprisonment of tens of t</w:t>
      </w:r>
      <w:r w:rsidRPr="00537DA1">
        <w:t xml:space="preserve">housands </w:t>
      </w:r>
      <w:r w:rsidR="003C3C3E">
        <w:t xml:space="preserve">of </w:t>
      </w:r>
      <w:r>
        <w:t>Brotherhood members. I</w:t>
      </w:r>
      <w:r w:rsidRPr="001B6881">
        <w:t>n-country sources estimated upwards of 80,000 Brotherhood members ha</w:t>
      </w:r>
      <w:r>
        <w:t>d</w:t>
      </w:r>
      <w:r w:rsidRPr="001B6881">
        <w:t xml:space="preserve"> been imprisoned</w:t>
      </w:r>
      <w:r>
        <w:t xml:space="preserve"> since 2013.</w:t>
      </w:r>
      <w:r w:rsidRPr="00537DA1">
        <w:t xml:space="preserve"> The </w:t>
      </w:r>
      <w:r>
        <w:t>Brotherhood</w:t>
      </w:r>
      <w:r w:rsidRPr="00537DA1">
        <w:t xml:space="preserve">’s charities have been </w:t>
      </w:r>
      <w:r>
        <w:t>closed</w:t>
      </w:r>
      <w:r w:rsidRPr="00537DA1">
        <w:t xml:space="preserve"> and their assets confiscated. Morsi, who had been on trial since </w:t>
      </w:r>
      <w:r>
        <w:t>2013</w:t>
      </w:r>
      <w:r w:rsidRPr="00537DA1">
        <w:t xml:space="preserve">, died in </w:t>
      </w:r>
      <w:r>
        <w:t xml:space="preserve">prison in </w:t>
      </w:r>
      <w:r w:rsidRPr="00537DA1">
        <w:t>June 2019</w:t>
      </w:r>
      <w:r>
        <w:t xml:space="preserve">. </w:t>
      </w:r>
      <w:r w:rsidRPr="00066CCA">
        <w:t xml:space="preserve">Egypt’s security apparatus and courts have </w:t>
      </w:r>
      <w:r>
        <w:t>imposed</w:t>
      </w:r>
      <w:r w:rsidRPr="00066CCA">
        <w:t xml:space="preserve"> significant </w:t>
      </w:r>
      <w:r>
        <w:t xml:space="preserve">restrictions </w:t>
      </w:r>
      <w:r w:rsidRPr="00066CCA">
        <w:t>on the Brotherhood’s members and activities</w:t>
      </w:r>
      <w:r>
        <w:t xml:space="preserve"> using the </w:t>
      </w:r>
      <w:r w:rsidRPr="00C85E1E">
        <w:rPr>
          <w:i/>
          <w:iCs/>
        </w:rPr>
        <w:t>Terrorist Entities Law (No. 8) 2015</w:t>
      </w:r>
      <w:r w:rsidRPr="00066CCA">
        <w:t>.</w:t>
      </w:r>
      <w:r>
        <w:t xml:space="preserve"> </w:t>
      </w:r>
      <w:r w:rsidRPr="00415FAC">
        <w:t>As of late 2024, the list of terrorist entities</w:t>
      </w:r>
      <w:r>
        <w:t xml:space="preserve"> in Egypt</w:t>
      </w:r>
      <w:r w:rsidRPr="00415FAC">
        <w:t xml:space="preserve"> included over 4</w:t>
      </w:r>
      <w:r>
        <w:t>,</w:t>
      </w:r>
      <w:r w:rsidRPr="00415FAC">
        <w:t>400 individuals</w:t>
      </w:r>
      <w:r>
        <w:t>.</w:t>
      </w:r>
    </w:p>
    <w:p w14:paraId="539D65E5" w14:textId="77777777" w:rsidR="00C47BE6" w:rsidRDefault="00C47BE6" w:rsidP="00C47BE6">
      <w:pPr>
        <w:pStyle w:val="ListParagraph1"/>
      </w:pPr>
      <w:r>
        <w:t xml:space="preserve">At the time of writing, </w:t>
      </w:r>
      <w:r w:rsidRPr="00FC3BDB">
        <w:t xml:space="preserve">most of Egypt’s Muslim Brotherhood members </w:t>
      </w:r>
      <w:r>
        <w:t xml:space="preserve">were </w:t>
      </w:r>
      <w:r w:rsidRPr="0047536C">
        <w:t xml:space="preserve">imprisoned or </w:t>
      </w:r>
      <w:r>
        <w:t xml:space="preserve">living </w:t>
      </w:r>
      <w:r w:rsidRPr="0047536C">
        <w:t>in exile. In</w:t>
      </w:r>
      <w:r>
        <w:noBreakHyphen/>
      </w:r>
      <w:r w:rsidRPr="0047536C">
        <w:t xml:space="preserve">country sources said despite the Hamas-Israel conflict and the overthrow of Bashar al-Assad in Syria, </w:t>
      </w:r>
      <w:r>
        <w:t>a</w:t>
      </w:r>
      <w:r w:rsidRPr="0047536C">
        <w:t xml:space="preserve"> resurgence of the Muslim Brotherhood was unlikely in Egypt.</w:t>
      </w:r>
      <w:r>
        <w:t xml:space="preserve"> The sustained </w:t>
      </w:r>
      <w:r w:rsidRPr="001B6881">
        <w:t xml:space="preserve">crackdown on </w:t>
      </w:r>
      <w:r>
        <w:t xml:space="preserve">its operations meant the Brotherhood’s </w:t>
      </w:r>
      <w:r w:rsidRPr="001B6881">
        <w:t xml:space="preserve">party structure </w:t>
      </w:r>
      <w:r>
        <w:t xml:space="preserve">had </w:t>
      </w:r>
      <w:r w:rsidRPr="001B6881">
        <w:t>not be</w:t>
      </w:r>
      <w:r>
        <w:t>en</w:t>
      </w:r>
      <w:r w:rsidRPr="001B6881">
        <w:t xml:space="preserve"> </w:t>
      </w:r>
      <w:r>
        <w:t>rebuilt domestically. New leaders had been prevented from emerging in Egypt and the Brotherhood’s</w:t>
      </w:r>
      <w:r w:rsidRPr="001B6881">
        <w:t xml:space="preserve"> chain of command </w:t>
      </w:r>
      <w:r>
        <w:t>no longer existed within the country.</w:t>
      </w:r>
      <w:r w:rsidRPr="0047536C">
        <w:t xml:space="preserve"> </w:t>
      </w:r>
      <w:r>
        <w:t xml:space="preserve">However, </w:t>
      </w:r>
      <w:r w:rsidRPr="0047536C">
        <w:t xml:space="preserve">Egyptians </w:t>
      </w:r>
      <w:r>
        <w:t xml:space="preserve">still </w:t>
      </w:r>
      <w:r w:rsidRPr="0047536C">
        <w:t xml:space="preserve">identified with the Brotherhood who </w:t>
      </w:r>
      <w:r>
        <w:t>we</w:t>
      </w:r>
      <w:r w:rsidRPr="0047536C">
        <w:t>re no longer active face</w:t>
      </w:r>
      <w:r>
        <w:t>d</w:t>
      </w:r>
      <w:r w:rsidRPr="0047536C">
        <w:t xml:space="preserve"> arrest or other forms of harassment, including losing their jobs.</w:t>
      </w:r>
    </w:p>
    <w:p w14:paraId="585AD6DC" w14:textId="77777777" w:rsidR="00C47BE6" w:rsidRPr="0009587D" w:rsidRDefault="00C47BE6" w:rsidP="00C47BE6">
      <w:pPr>
        <w:pStyle w:val="ListParagraph1"/>
      </w:pPr>
      <w:r w:rsidRPr="00353A5C">
        <w:t xml:space="preserve">DFAT assesses </w:t>
      </w:r>
      <w:r>
        <w:t xml:space="preserve">Muslim Brotherhood members, regardless of level of seniority, are almost certain to </w:t>
      </w:r>
      <w:r w:rsidRPr="00353A5C">
        <w:t xml:space="preserve">face official discrimination in the form of harassment by </w:t>
      </w:r>
      <w:hyperlink w:anchor="_Military" w:history="1">
        <w:r w:rsidRPr="00652EB7">
          <w:rPr>
            <w:rStyle w:val="Hyperlink"/>
          </w:rPr>
          <w:t>security forces</w:t>
        </w:r>
      </w:hyperlink>
      <w:r w:rsidRPr="00353A5C">
        <w:t xml:space="preserve">, arrest, </w:t>
      </w:r>
      <w:hyperlink w:anchor="_Detention_and_Prison" w:history="1">
        <w:r w:rsidRPr="00F266A0">
          <w:rPr>
            <w:rStyle w:val="Hyperlink"/>
          </w:rPr>
          <w:t>imprisonment</w:t>
        </w:r>
      </w:hyperlink>
      <w:r>
        <w:t xml:space="preserve">, </w:t>
      </w:r>
      <w:hyperlink w:anchor="_Enforced_or_Involuntary" w:history="1">
        <w:r w:rsidRPr="00DE4652">
          <w:rPr>
            <w:rStyle w:val="Hyperlink"/>
          </w:rPr>
          <w:t>enforced disappearances</w:t>
        </w:r>
      </w:hyperlink>
      <w:r>
        <w:t xml:space="preserve"> and </w:t>
      </w:r>
      <w:hyperlink w:anchor="_Extrajudicial_Killings" w:history="1">
        <w:r w:rsidRPr="00B12811">
          <w:rPr>
            <w:rStyle w:val="Hyperlink"/>
          </w:rPr>
          <w:t>extrajudicial killings</w:t>
        </w:r>
      </w:hyperlink>
      <w:r>
        <w:t>.</w:t>
      </w:r>
      <w:r w:rsidRPr="00353A5C">
        <w:t xml:space="preserve"> DFAT assesses </w:t>
      </w:r>
      <w:r>
        <w:t>Muslim Brotherhood members possibly face societal discrimination. DFAT assesses Muslim Brotherhood members are likely to face violence from security forces.</w:t>
      </w:r>
    </w:p>
    <w:p w14:paraId="2FF19981" w14:textId="77777777" w:rsidR="00C47BE6" w:rsidRPr="00C47BE6" w:rsidRDefault="00C47BE6" w:rsidP="00C47BE6">
      <w:pPr>
        <w:pStyle w:val="Heading2"/>
        <w:ind w:firstLine="0"/>
        <w:jc w:val="left"/>
        <w:rPr>
          <w:rFonts w:ascii="Calibri" w:hAnsi="Calibri" w:cs="Calibri"/>
          <w:b/>
          <w:bCs/>
          <w:color w:val="auto"/>
          <w:sz w:val="36"/>
          <w:szCs w:val="36"/>
        </w:rPr>
      </w:pPr>
      <w:bookmarkStart w:id="67" w:name="_Human_Rights_Defenders"/>
      <w:bookmarkStart w:id="68" w:name="_Toc196387080"/>
      <w:bookmarkEnd w:id="67"/>
      <w:r w:rsidRPr="00C47BE6">
        <w:rPr>
          <w:rFonts w:ascii="Calibri" w:hAnsi="Calibri" w:cs="Calibri"/>
          <w:b/>
          <w:bCs/>
          <w:color w:val="auto"/>
          <w:sz w:val="36"/>
          <w:szCs w:val="36"/>
        </w:rPr>
        <w:lastRenderedPageBreak/>
        <w:t>GROUPS OF INTEREST</w:t>
      </w:r>
      <w:bookmarkEnd w:id="68"/>
    </w:p>
    <w:p w14:paraId="629AACB3" w14:textId="77777777" w:rsidR="00C47BE6" w:rsidRPr="00133F84" w:rsidRDefault="00C47BE6" w:rsidP="00C47BE6">
      <w:pPr>
        <w:pStyle w:val="Heading3"/>
        <w:ind w:firstLine="0"/>
        <w:jc w:val="left"/>
        <w:rPr>
          <w:rFonts w:cs="Calibri"/>
          <w:b/>
          <w:bCs/>
          <w:color w:val="auto"/>
        </w:rPr>
      </w:pPr>
      <w:bookmarkStart w:id="69" w:name="_Women"/>
      <w:bookmarkStart w:id="70" w:name="_Toc369617176"/>
      <w:bookmarkStart w:id="71" w:name="_Toc196318435"/>
      <w:bookmarkStart w:id="72" w:name="_Hlk207965095"/>
      <w:bookmarkEnd w:id="69"/>
      <w:r w:rsidRPr="004566ED">
        <w:rPr>
          <w:rFonts w:cs="Calibri"/>
          <w:b/>
          <w:bCs/>
          <w:color w:val="auto"/>
        </w:rPr>
        <w:t>Women</w:t>
      </w:r>
      <w:bookmarkEnd w:id="70"/>
      <w:bookmarkEnd w:id="71"/>
      <w:r w:rsidRPr="00133F84">
        <w:rPr>
          <w:rFonts w:cs="Calibri"/>
          <w:b/>
          <w:bCs/>
          <w:color w:val="auto"/>
        </w:rPr>
        <w:t xml:space="preserve"> </w:t>
      </w:r>
    </w:p>
    <w:p w14:paraId="62E029C4" w14:textId="77777777" w:rsidR="00C47BE6" w:rsidRDefault="00C47BE6" w:rsidP="00C47BE6">
      <w:pPr>
        <w:pStyle w:val="ListParagraph1"/>
      </w:pPr>
      <w:r>
        <w:t xml:space="preserve">Article 11 of the Constitution commits the state to achieve equality between women and men and to ensure appropriate representation of women in national bodies. There are considerable legal protections for women in Egypt, including on personal safety, participation in the workforce and mandatory schooling for girls. The government’s </w:t>
      </w:r>
      <w:r w:rsidRPr="00966686">
        <w:rPr>
          <w:i/>
          <w:iCs/>
        </w:rPr>
        <w:t>National Strategy for the Empowerment of Egyptian Women (2017 – 2030)</w:t>
      </w:r>
      <w:r>
        <w:t xml:space="preserve"> sets </w:t>
      </w:r>
      <w:proofErr w:type="gramStart"/>
      <w:r>
        <w:t>a number of</w:t>
      </w:r>
      <w:proofErr w:type="gramEnd"/>
      <w:r>
        <w:t xml:space="preserve"> concrete targets for political, economic and social empowerment by 2030. The strategy aims to increase the percentage of women in public posts from 5 per cent to 17 per cent, reduce the unemployment rate for women from 24 per cent to 16 per cent and to halve the maternal mortality rate. The strategy also aims to eliminate sexual harassment and domestic violence and improve Egypt’s ranking on the UN’s </w:t>
      </w:r>
      <w:r w:rsidRPr="007A533D">
        <w:rPr>
          <w:i/>
          <w:iCs/>
        </w:rPr>
        <w:t>Gender Inequality Index</w:t>
      </w:r>
      <w:r>
        <w:t xml:space="preserve">. </w:t>
      </w:r>
    </w:p>
    <w:p w14:paraId="4CAF1CC5" w14:textId="77777777" w:rsidR="00C47BE6" w:rsidRDefault="00C47BE6" w:rsidP="00C47BE6">
      <w:pPr>
        <w:pStyle w:val="ListParagraph1"/>
      </w:pPr>
      <w:r>
        <w:t>T</w:t>
      </w:r>
      <w:r w:rsidRPr="00090707">
        <w:t xml:space="preserve">he 2025 World Economic Forum’s </w:t>
      </w:r>
      <w:r w:rsidRPr="006055F4">
        <w:rPr>
          <w:i/>
          <w:iCs/>
        </w:rPr>
        <w:t>Global Gender Gap Report</w:t>
      </w:r>
      <w:r>
        <w:t xml:space="preserve"> ranked </w:t>
      </w:r>
      <w:r w:rsidRPr="00DB337B">
        <w:t>Egypt 139</w:t>
      </w:r>
      <w:r w:rsidRPr="00DB337B">
        <w:rPr>
          <w:vertAlign w:val="superscript"/>
        </w:rPr>
        <w:t>th</w:t>
      </w:r>
      <w:r>
        <w:t xml:space="preserve"> out of 148 economies </w:t>
      </w:r>
      <w:r w:rsidRPr="002B5CD5">
        <w:t xml:space="preserve">for </w:t>
      </w:r>
      <w:r>
        <w:t>women’s</w:t>
      </w:r>
      <w:r w:rsidRPr="002B5CD5">
        <w:t xml:space="preserve"> </w:t>
      </w:r>
      <w:hyperlink w:anchor="_Employment" w:history="1">
        <w:r w:rsidRPr="00621EB3">
          <w:rPr>
            <w:rStyle w:val="Hyperlink"/>
          </w:rPr>
          <w:t>economic participation</w:t>
        </w:r>
      </w:hyperlink>
      <w:r w:rsidRPr="002B5CD5">
        <w:t xml:space="preserve"> and opportunity, </w:t>
      </w:r>
      <w:hyperlink w:anchor="_Education" w:history="1">
        <w:r w:rsidRPr="00621EB3">
          <w:rPr>
            <w:rStyle w:val="Hyperlink"/>
          </w:rPr>
          <w:t>educational attainment</w:t>
        </w:r>
      </w:hyperlink>
      <w:r w:rsidRPr="002B5CD5">
        <w:t xml:space="preserve">, </w:t>
      </w:r>
      <w:hyperlink w:anchor="_Health" w:history="1">
        <w:r w:rsidRPr="00621EB3">
          <w:rPr>
            <w:rStyle w:val="Hyperlink"/>
          </w:rPr>
          <w:t>health</w:t>
        </w:r>
      </w:hyperlink>
      <w:r w:rsidRPr="002B5CD5">
        <w:t xml:space="preserve"> and survival</w:t>
      </w:r>
      <w:r>
        <w:t>,</w:t>
      </w:r>
      <w:r w:rsidRPr="002B5CD5">
        <w:t xml:space="preserve"> and </w:t>
      </w:r>
      <w:hyperlink w:anchor="_POLITICAL_SYSTEM_1" w:history="1">
        <w:r w:rsidRPr="00621EB3">
          <w:rPr>
            <w:rStyle w:val="Hyperlink"/>
          </w:rPr>
          <w:t>political empowerment</w:t>
        </w:r>
      </w:hyperlink>
      <w:r w:rsidRPr="002B5CD5">
        <w:t xml:space="preserve"> (Sudan ranked the lowest, countries like Afghanistan and Yemen were not included).</w:t>
      </w:r>
      <w:r>
        <w:t xml:space="preserve"> The report stated women attained parity with men in </w:t>
      </w:r>
      <w:r w:rsidRPr="0026597C">
        <w:t xml:space="preserve">life </w:t>
      </w:r>
      <w:r>
        <w:t>expectancy but this was</w:t>
      </w:r>
      <w:r w:rsidRPr="0026597C">
        <w:t xml:space="preserve"> </w:t>
      </w:r>
      <w:r>
        <w:t xml:space="preserve">due </w:t>
      </w:r>
      <w:r w:rsidRPr="0026597C">
        <w:t xml:space="preserve">in large part </w:t>
      </w:r>
      <w:r>
        <w:t xml:space="preserve">to declines in life expectancy for </w:t>
      </w:r>
      <w:r w:rsidRPr="0026597C">
        <w:t>men.</w:t>
      </w:r>
      <w:r>
        <w:t xml:space="preserve"> The report also noted recent positive progress in women’s</w:t>
      </w:r>
      <w:r w:rsidRPr="0026597C">
        <w:t xml:space="preserve"> workforce participation</w:t>
      </w:r>
      <w:r>
        <w:t xml:space="preserve"> with women attaining</w:t>
      </w:r>
      <w:r w:rsidRPr="0026597C">
        <w:t xml:space="preserve"> parity </w:t>
      </w:r>
      <w:r>
        <w:t>in</w:t>
      </w:r>
      <w:r w:rsidRPr="0026597C">
        <w:t xml:space="preserve"> professional and technical roles</w:t>
      </w:r>
      <w:r>
        <w:t>, as well as in</w:t>
      </w:r>
      <w:r w:rsidRPr="00641B07">
        <w:t xml:space="preserve"> literacy </w:t>
      </w:r>
      <w:r>
        <w:t>rates (</w:t>
      </w:r>
      <w:r w:rsidRPr="00641B07">
        <w:t>86</w:t>
      </w:r>
      <w:r>
        <w:t xml:space="preserve"> per cent). However, l</w:t>
      </w:r>
      <w:r w:rsidRPr="00240EF2">
        <w:t xml:space="preserve">ack of affordable childcare options and </w:t>
      </w:r>
      <w:r>
        <w:t>reductions</w:t>
      </w:r>
      <w:r w:rsidRPr="00240EF2">
        <w:t xml:space="preserve"> in agricultural and public service jobs </w:t>
      </w:r>
      <w:r>
        <w:t xml:space="preserve">have </w:t>
      </w:r>
      <w:r w:rsidRPr="00240EF2">
        <w:t>impact</w:t>
      </w:r>
      <w:r>
        <w:t>ed</w:t>
      </w:r>
      <w:r w:rsidRPr="00240EF2">
        <w:t xml:space="preserve"> women's employment opportunities</w:t>
      </w:r>
      <w:r>
        <w:t>. The</w:t>
      </w:r>
      <w:r w:rsidRPr="00240EF2">
        <w:t xml:space="preserve"> labo</w:t>
      </w:r>
      <w:r>
        <w:t>u</w:t>
      </w:r>
      <w:r w:rsidRPr="00240EF2">
        <w:t xml:space="preserve">r force participation rate </w:t>
      </w:r>
      <w:r>
        <w:t>of women wa</w:t>
      </w:r>
      <w:r w:rsidRPr="00240EF2">
        <w:t>s around 18 per cent</w:t>
      </w:r>
      <w:r>
        <w:t xml:space="preserve"> in 2025 according to</w:t>
      </w:r>
      <w:r w:rsidRPr="00240EF2">
        <w:t xml:space="preserve"> World Bank estimates. </w:t>
      </w:r>
    </w:p>
    <w:p w14:paraId="74EF7FDD" w14:textId="77777777" w:rsidR="00C47BE6" w:rsidRDefault="00C47BE6" w:rsidP="00C47BE6">
      <w:pPr>
        <w:pStyle w:val="ListParagraph1"/>
      </w:pPr>
      <w:r>
        <w:t xml:space="preserve">Women participate in all areas of Egyptian society, including government, business and </w:t>
      </w:r>
      <w:hyperlink w:anchor="_Counter-terrorism_laws" w:history="1">
        <w:r w:rsidRPr="004566ED">
          <w:rPr>
            <w:rStyle w:val="Hyperlink"/>
          </w:rPr>
          <w:t>civil society</w:t>
        </w:r>
      </w:hyperlink>
      <w:r>
        <w:t xml:space="preserve">. There have been considerable improvements in women’s representation in Parliament in recent years, assisted by </w:t>
      </w:r>
      <w:r w:rsidRPr="00966686">
        <w:rPr>
          <w:i/>
          <w:iCs/>
        </w:rPr>
        <w:t>Law 46 2014</w:t>
      </w:r>
      <w:r>
        <w:t xml:space="preserve"> that introduced quotas. For example, w</w:t>
      </w:r>
      <w:r w:rsidRPr="00966686">
        <w:t xml:space="preserve">omen </w:t>
      </w:r>
      <w:r>
        <w:t>made up</w:t>
      </w:r>
      <w:r w:rsidRPr="00966686">
        <w:t xml:space="preserve"> 162 seats </w:t>
      </w:r>
      <w:r>
        <w:t xml:space="preserve">of both houses of Parliament in </w:t>
      </w:r>
      <w:r w:rsidRPr="00966686">
        <w:t xml:space="preserve">2020, </w:t>
      </w:r>
      <w:r>
        <w:t>an</w:t>
      </w:r>
      <w:r w:rsidRPr="00966686">
        <w:t xml:space="preserve"> increase from 89 women</w:t>
      </w:r>
      <w:r>
        <w:t xml:space="preserve"> </w:t>
      </w:r>
      <w:r w:rsidRPr="00966686">
        <w:t xml:space="preserve">in 2015 and 11 </w:t>
      </w:r>
      <w:r>
        <w:t xml:space="preserve">in </w:t>
      </w:r>
      <w:r w:rsidRPr="00966686">
        <w:t>2012.</w:t>
      </w:r>
      <w:r>
        <w:t xml:space="preserve"> </w:t>
      </w:r>
      <w:r w:rsidRPr="00E72AAB">
        <w:t xml:space="preserve">The cabinet reshuffle in July 2024 </w:t>
      </w:r>
      <w:r>
        <w:t>resulted in women heading four</w:t>
      </w:r>
      <w:r w:rsidRPr="00E72AAB">
        <w:t xml:space="preserve"> out of 30 ministries</w:t>
      </w:r>
      <w:r>
        <w:t xml:space="preserve">. Five out of 23 </w:t>
      </w:r>
      <w:r w:rsidRPr="00E72AAB">
        <w:t>deput</w:t>
      </w:r>
      <w:r>
        <w:t>y ministers are women. Three women</w:t>
      </w:r>
      <w:r w:rsidRPr="00AE55DA">
        <w:t xml:space="preserve"> judges </w:t>
      </w:r>
      <w:r>
        <w:t>were appointed to</w:t>
      </w:r>
      <w:r w:rsidRPr="00AE55DA">
        <w:t xml:space="preserve"> the Technical Office of the Council President for the first time </w:t>
      </w:r>
      <w:r>
        <w:t xml:space="preserve">in 2024. In another first, a woman, </w:t>
      </w:r>
      <w:r w:rsidRPr="00E72AAB">
        <w:t>Major General Manal Atef</w:t>
      </w:r>
      <w:r>
        <w:t>,</w:t>
      </w:r>
      <w:r w:rsidRPr="00E72AAB">
        <w:t xml:space="preserve"> </w:t>
      </w:r>
      <w:r>
        <w:t>w</w:t>
      </w:r>
      <w:r w:rsidRPr="00E72AAB">
        <w:t xml:space="preserve">as </w:t>
      </w:r>
      <w:r>
        <w:t xml:space="preserve">appointed </w:t>
      </w:r>
      <w:r w:rsidRPr="00E72AAB">
        <w:t>Assistant Minister of Interior for the Human Rights Sector</w:t>
      </w:r>
      <w:r>
        <w:t xml:space="preserve"> in 2024</w:t>
      </w:r>
      <w:r w:rsidRPr="00E72AAB">
        <w:t>.</w:t>
      </w:r>
    </w:p>
    <w:p w14:paraId="23093A5F" w14:textId="77777777" w:rsidR="00C47BE6" w:rsidRDefault="00C47BE6" w:rsidP="00C47BE6">
      <w:pPr>
        <w:pStyle w:val="ListParagraph1"/>
      </w:pPr>
      <w:r>
        <w:t xml:space="preserve">Discriminatory laws and regulations based on gender exist. These include the </w:t>
      </w:r>
      <w:r w:rsidRPr="00491A87">
        <w:rPr>
          <w:i/>
          <w:iCs/>
        </w:rPr>
        <w:t xml:space="preserve">Personal Status Law </w:t>
      </w:r>
      <w:r>
        <w:rPr>
          <w:i/>
          <w:iCs/>
        </w:rPr>
        <w:t>1920/1929</w:t>
      </w:r>
      <w:r w:rsidRPr="00491A87">
        <w:t xml:space="preserve"> govern</w:t>
      </w:r>
      <w:r>
        <w:t>ing</w:t>
      </w:r>
      <w:r w:rsidRPr="00491A87">
        <w:t xml:space="preserve"> marriage, guardianship, custody, alimony</w:t>
      </w:r>
      <w:r>
        <w:t xml:space="preserve"> and </w:t>
      </w:r>
      <w:r w:rsidRPr="00491A87">
        <w:t>inheritance.</w:t>
      </w:r>
      <w:r>
        <w:t xml:space="preserve"> For example, while Muslim men can unilaterally divorce their wives without providing justification, Muslim women must either forfeit their financial rights by accepting a ‘no-fault’ divorce (</w:t>
      </w:r>
      <w:r w:rsidRPr="00607D0A">
        <w:rPr>
          <w:i/>
          <w:iCs/>
        </w:rPr>
        <w:t>khula</w:t>
      </w:r>
      <w:r>
        <w:t xml:space="preserve">) or fight long and costly court battles to prove their husband committed ‘harm’. If a divorced woman with children decides to remarry, she loses custody of her children to the children’s father or his closest female kin, leading most divorced women to elect not to remarry. Laws related to adultery are far more severe for women than men. For example, under </w:t>
      </w:r>
      <w:r w:rsidRPr="00573D3D">
        <w:t xml:space="preserve">Article 237 </w:t>
      </w:r>
      <w:r>
        <w:t xml:space="preserve">of the </w:t>
      </w:r>
      <w:r w:rsidRPr="003136BC">
        <w:rPr>
          <w:i/>
          <w:iCs/>
        </w:rPr>
        <w:t>Pen</w:t>
      </w:r>
      <w:r w:rsidRPr="001E6289">
        <w:rPr>
          <w:i/>
          <w:iCs/>
        </w:rPr>
        <w:t>al Code (No. 58) 1937</w:t>
      </w:r>
      <w:r>
        <w:t xml:space="preserve">, </w:t>
      </w:r>
      <w:r w:rsidRPr="00573D3D">
        <w:t xml:space="preserve">a husband who kills his wife </w:t>
      </w:r>
      <w:r>
        <w:t>who has committed</w:t>
      </w:r>
      <w:r w:rsidRPr="00573D3D">
        <w:t xml:space="preserve"> act</w:t>
      </w:r>
      <w:r>
        <w:t>s</w:t>
      </w:r>
      <w:r w:rsidRPr="00573D3D">
        <w:t xml:space="preserve"> of adultery </w:t>
      </w:r>
      <w:r>
        <w:t>can be</w:t>
      </w:r>
      <w:r w:rsidRPr="00573D3D">
        <w:t xml:space="preserve"> charged with a misdemeanour </w:t>
      </w:r>
      <w:r>
        <w:t>instead of</w:t>
      </w:r>
      <w:r w:rsidRPr="00573D3D">
        <w:t xml:space="preserve"> murde</w:t>
      </w:r>
      <w:r>
        <w:t>r</w:t>
      </w:r>
      <w:r w:rsidRPr="00573D3D">
        <w:t>.</w:t>
      </w:r>
      <w:r>
        <w:t xml:space="preserve"> Under the </w:t>
      </w:r>
      <w:r w:rsidRPr="00491A87">
        <w:rPr>
          <w:i/>
          <w:iCs/>
        </w:rPr>
        <w:t xml:space="preserve">Personal Status Law </w:t>
      </w:r>
      <w:r>
        <w:rPr>
          <w:i/>
          <w:iCs/>
        </w:rPr>
        <w:t>1920/1929</w:t>
      </w:r>
      <w:r>
        <w:t>, Muslim women are entitled to inherit only half as much as their male relatives.</w:t>
      </w:r>
    </w:p>
    <w:p w14:paraId="3411165E" w14:textId="77777777" w:rsidR="00C47BE6" w:rsidRDefault="00C47BE6" w:rsidP="00C47BE6">
      <w:pPr>
        <w:pStyle w:val="ListParagraph1"/>
      </w:pPr>
      <w:r w:rsidRPr="00607D0A">
        <w:t xml:space="preserve">Gender-based </w:t>
      </w:r>
      <w:r>
        <w:t>v</w:t>
      </w:r>
      <w:r w:rsidRPr="00607D0A">
        <w:t xml:space="preserve">iolence (GBV) </w:t>
      </w:r>
      <w:r w:rsidRPr="00F358D8">
        <w:t>against women and girls takes many forms</w:t>
      </w:r>
      <w:r>
        <w:t xml:space="preserve">. </w:t>
      </w:r>
      <w:r w:rsidRPr="00607D0A">
        <w:t xml:space="preserve">It </w:t>
      </w:r>
      <w:r>
        <w:t xml:space="preserve">can be </w:t>
      </w:r>
      <w:r w:rsidRPr="00607D0A">
        <w:t xml:space="preserve">physical, emotional, psychological or sexual in nature </w:t>
      </w:r>
      <w:r>
        <w:t xml:space="preserve">and may </w:t>
      </w:r>
      <w:r w:rsidRPr="00607D0A">
        <w:t>encompass threats of violence and coercion.</w:t>
      </w:r>
      <w:r>
        <w:t xml:space="preserve"> GBV is common in Egypt according to the UNFPA. In-country sources said the Egyptian Government was attempting to address GBV, including through its 2015</w:t>
      </w:r>
      <w:r w:rsidRPr="00833C8E">
        <w:t xml:space="preserve"> </w:t>
      </w:r>
      <w:r w:rsidRPr="00FE6AFC">
        <w:rPr>
          <w:i/>
          <w:iCs/>
        </w:rPr>
        <w:t>National Strategy to Combat Violence against Women</w:t>
      </w:r>
      <w:r>
        <w:t xml:space="preserve">. Some progress had been made but according to in-country sources upwards of 30 per cent of women in Egypt experienced GBV at least once in their lives. According to </w:t>
      </w:r>
      <w:r w:rsidRPr="00D70035">
        <w:t xml:space="preserve">UN Women approximately 12 per cent of ever-partnered women and girls aged 15 years and older </w:t>
      </w:r>
      <w:r>
        <w:t xml:space="preserve">were </w:t>
      </w:r>
      <w:r w:rsidRPr="00D70035">
        <w:t>subject to physical, sexual or psychological violence by a current or former intimate partner in the previous 12 months</w:t>
      </w:r>
      <w:r>
        <w:t xml:space="preserve">. </w:t>
      </w:r>
    </w:p>
    <w:p w14:paraId="0E93F569" w14:textId="561FEE62" w:rsidR="00C47BE6" w:rsidRDefault="00C47BE6" w:rsidP="00C47BE6">
      <w:pPr>
        <w:pStyle w:val="ListParagraph1"/>
      </w:pPr>
      <w:r>
        <w:t xml:space="preserve">Article 267 of the </w:t>
      </w:r>
      <w:r w:rsidRPr="003136BC">
        <w:rPr>
          <w:i/>
          <w:iCs/>
        </w:rPr>
        <w:t>Pen</w:t>
      </w:r>
      <w:r w:rsidRPr="001E6289">
        <w:rPr>
          <w:i/>
          <w:iCs/>
        </w:rPr>
        <w:t>al Code (No. 58) 1937</w:t>
      </w:r>
      <w:r>
        <w:t xml:space="preserve"> criminalises sexual intercourse with a female without her consent, </w:t>
      </w:r>
      <w:r w:rsidRPr="00573D3D">
        <w:t xml:space="preserve">prescribing penalties of </w:t>
      </w:r>
      <w:r>
        <w:t>upwards of</w:t>
      </w:r>
      <w:r w:rsidRPr="00573D3D">
        <w:t xml:space="preserve"> 25 years’ imprisonment</w:t>
      </w:r>
      <w:r>
        <w:t>,</w:t>
      </w:r>
      <w:r w:rsidRPr="00573D3D">
        <w:t xml:space="preserve"> or life imprisonment for cases of rape involving armed abduction.</w:t>
      </w:r>
      <w:r>
        <w:t xml:space="preserve"> ‘</w:t>
      </w:r>
      <w:r w:rsidRPr="00573D3D">
        <w:t>Corrective rape</w:t>
      </w:r>
      <w:r>
        <w:t>’</w:t>
      </w:r>
      <w:r w:rsidR="00DE64CB">
        <w:t xml:space="preserve"> </w:t>
      </w:r>
      <w:r w:rsidR="00DE64CB" w:rsidRPr="00DE64CB">
        <w:t xml:space="preserve">perpetrated against someone </w:t>
      </w:r>
      <w:proofErr w:type="gramStart"/>
      <w:r w:rsidR="00DE64CB" w:rsidRPr="00DE64CB">
        <w:t>on the basis of</w:t>
      </w:r>
      <w:proofErr w:type="gramEnd"/>
      <w:r w:rsidR="00DE64CB" w:rsidRPr="00DE64CB">
        <w:t xml:space="preserve"> their sexual orientation or gender identity to force them to conform to heterosexuality or normative gender identity</w:t>
      </w:r>
      <w:r w:rsidR="00DE64CB">
        <w:t xml:space="preserve"> </w:t>
      </w:r>
      <w:r>
        <w:t>is</w:t>
      </w:r>
      <w:r w:rsidRPr="00573D3D">
        <w:t xml:space="preserve"> </w:t>
      </w:r>
      <w:r>
        <w:t xml:space="preserve">considered </w:t>
      </w:r>
      <w:r w:rsidRPr="00573D3D">
        <w:t>criminali</w:t>
      </w:r>
      <w:r>
        <w:t>s</w:t>
      </w:r>
      <w:r w:rsidRPr="00573D3D">
        <w:t xml:space="preserve">ed under the </w:t>
      </w:r>
      <w:r w:rsidRPr="003136BC">
        <w:rPr>
          <w:i/>
          <w:iCs/>
        </w:rPr>
        <w:t>Pen</w:t>
      </w:r>
      <w:r w:rsidRPr="001E6289">
        <w:rPr>
          <w:i/>
          <w:iCs/>
        </w:rPr>
        <w:t>al Code (No. 58) 1937</w:t>
      </w:r>
      <w:r w:rsidRPr="00573D3D">
        <w:t xml:space="preserve"> but there </w:t>
      </w:r>
      <w:r>
        <w:t>are</w:t>
      </w:r>
      <w:r w:rsidRPr="00573D3D">
        <w:t xml:space="preserve"> no known instances of prosecution.</w:t>
      </w:r>
      <w:r>
        <w:t xml:space="preserve"> Rape within marriage is not a crime. </w:t>
      </w:r>
      <w:r>
        <w:lastRenderedPageBreak/>
        <w:t xml:space="preserve">Articles 268 and 269 of the </w:t>
      </w:r>
      <w:r w:rsidRPr="003136BC">
        <w:rPr>
          <w:i/>
          <w:iCs/>
        </w:rPr>
        <w:t>Pen</w:t>
      </w:r>
      <w:r w:rsidRPr="001E6289">
        <w:rPr>
          <w:i/>
          <w:iCs/>
        </w:rPr>
        <w:t>al Code (No. 58) 1937</w:t>
      </w:r>
      <w:r>
        <w:rPr>
          <w:i/>
          <w:iCs/>
        </w:rPr>
        <w:t xml:space="preserve"> </w:t>
      </w:r>
      <w:r>
        <w:t xml:space="preserve">criminalise indecent assault. Egypt does not have a </w:t>
      </w:r>
      <w:r w:rsidRPr="00491125">
        <w:t>law on domestic violence</w:t>
      </w:r>
      <w:r>
        <w:t xml:space="preserve"> and t</w:t>
      </w:r>
      <w:r w:rsidRPr="00A15559">
        <w:t xml:space="preserve">here are no specific civil protection orders available </w:t>
      </w:r>
      <w:r>
        <w:t xml:space="preserve">for survivors. Some </w:t>
      </w:r>
      <w:r w:rsidRPr="00491125">
        <w:t xml:space="preserve">domestic violence offences </w:t>
      </w:r>
      <w:r>
        <w:t>are</w:t>
      </w:r>
      <w:r w:rsidRPr="00491125">
        <w:t xml:space="preserve"> punishable under</w:t>
      </w:r>
      <w:r>
        <w:t xml:space="preserve"> 1998 amendments to the </w:t>
      </w:r>
      <w:r w:rsidRPr="003136BC">
        <w:rPr>
          <w:i/>
          <w:iCs/>
        </w:rPr>
        <w:t>Pen</w:t>
      </w:r>
      <w:r w:rsidRPr="001E6289">
        <w:rPr>
          <w:i/>
          <w:iCs/>
        </w:rPr>
        <w:t>al Code (No. 58) 1937</w:t>
      </w:r>
      <w:r>
        <w:t xml:space="preserve"> </w:t>
      </w:r>
      <w:r w:rsidRPr="00491125">
        <w:t>but only if the</w:t>
      </w:r>
      <w:r>
        <w:t>y</w:t>
      </w:r>
      <w:r w:rsidRPr="00491125">
        <w:t xml:space="preserve"> exceed </w:t>
      </w:r>
      <w:r>
        <w:t>‘</w:t>
      </w:r>
      <w:r w:rsidRPr="00491125">
        <w:t>accepted limits of discipline</w:t>
      </w:r>
      <w:r>
        <w:t>’</w:t>
      </w:r>
      <w:r w:rsidRPr="00491125">
        <w:t xml:space="preserve"> </w:t>
      </w:r>
      <w:r>
        <w:t xml:space="preserve">as </w:t>
      </w:r>
      <w:r w:rsidRPr="00491125">
        <w:t>de</w:t>
      </w:r>
      <w:r>
        <w:t>termined</w:t>
      </w:r>
      <w:r w:rsidRPr="00491125">
        <w:t xml:space="preserve"> by </w:t>
      </w:r>
      <w:r>
        <w:t>a</w:t>
      </w:r>
      <w:r w:rsidRPr="00491125">
        <w:t xml:space="preserve"> judge and injuries are apparent when </w:t>
      </w:r>
      <w:r>
        <w:t xml:space="preserve">a </w:t>
      </w:r>
      <w:r w:rsidRPr="00491125">
        <w:t xml:space="preserve">complaint </w:t>
      </w:r>
      <w:r>
        <w:t>is filed with police</w:t>
      </w:r>
      <w:r w:rsidRPr="00491125">
        <w:t>.</w:t>
      </w:r>
      <w:r>
        <w:t xml:space="preserve"> There are no reliable statistics available regarding the incidence of killings and assaults motivated by ‘honour’. These are not specifically addressed in </w:t>
      </w:r>
      <w:r w:rsidRPr="003136BC">
        <w:rPr>
          <w:i/>
          <w:iCs/>
        </w:rPr>
        <w:t>Pen</w:t>
      </w:r>
      <w:r w:rsidRPr="001E6289">
        <w:rPr>
          <w:i/>
          <w:iCs/>
        </w:rPr>
        <w:t xml:space="preserve">al Code (No. 58) 1937 </w:t>
      </w:r>
      <w:r w:rsidRPr="00425988">
        <w:t>but</w:t>
      </w:r>
      <w:r>
        <w:t xml:space="preserve"> are treated as crimes. P</w:t>
      </w:r>
      <w:r w:rsidRPr="00A15559">
        <w:t xml:space="preserve">olice reports are </w:t>
      </w:r>
      <w:r>
        <w:t>generally not provided to</w:t>
      </w:r>
      <w:r w:rsidRPr="00A15559">
        <w:t xml:space="preserve"> victim</w:t>
      </w:r>
      <w:r>
        <w:t>s</w:t>
      </w:r>
      <w:r w:rsidRPr="00A15559">
        <w:t xml:space="preserve"> </w:t>
      </w:r>
      <w:r>
        <w:t xml:space="preserve">of crimes, with </w:t>
      </w:r>
      <w:r w:rsidRPr="00A15559">
        <w:t>reference number</w:t>
      </w:r>
      <w:r>
        <w:t>s</w:t>
      </w:r>
      <w:r w:rsidRPr="00A15559">
        <w:t xml:space="preserve"> </w:t>
      </w:r>
      <w:r>
        <w:t>being given instead to</w:t>
      </w:r>
      <w:r w:rsidRPr="00A15559">
        <w:t xml:space="preserve"> follow up </w:t>
      </w:r>
      <w:r>
        <w:t xml:space="preserve">on </w:t>
      </w:r>
      <w:r w:rsidRPr="00A15559">
        <w:t>court</w:t>
      </w:r>
      <w:r>
        <w:t xml:space="preserve"> cases.</w:t>
      </w:r>
      <w:r w:rsidRPr="00D05ED3">
        <w:rPr>
          <w:rStyle w:val="FootnoteReference"/>
        </w:rPr>
        <w:t xml:space="preserve"> </w:t>
      </w:r>
    </w:p>
    <w:p w14:paraId="5D3A67C7" w14:textId="77777777" w:rsidR="00C47BE6" w:rsidRDefault="00C47BE6" w:rsidP="00C47BE6">
      <w:pPr>
        <w:pStyle w:val="ListParagraph1"/>
      </w:pPr>
      <w:r>
        <w:t>S</w:t>
      </w:r>
      <w:r w:rsidRPr="00833C8E">
        <w:t>tate protection is available</w:t>
      </w:r>
      <w:r>
        <w:t xml:space="preserve"> for women reporting GBV. In-country sources said reports of GBV are generally </w:t>
      </w:r>
      <w:r w:rsidRPr="00833C8E">
        <w:t>taken seriously</w:t>
      </w:r>
      <w:r>
        <w:t xml:space="preserve"> by </w:t>
      </w:r>
      <w:hyperlink w:anchor="_Police" w:history="1">
        <w:r w:rsidRPr="004566ED">
          <w:rPr>
            <w:rStyle w:val="Hyperlink"/>
          </w:rPr>
          <w:t>police</w:t>
        </w:r>
      </w:hyperlink>
      <w:r>
        <w:t xml:space="preserve">, who file cases and undertake investigations. </w:t>
      </w:r>
      <w:r w:rsidRPr="00FF6743">
        <w:t xml:space="preserve">The US Department of State's 2023 </w:t>
      </w:r>
      <w:r w:rsidRPr="00341F75">
        <w:rPr>
          <w:i/>
          <w:iCs/>
        </w:rPr>
        <w:t>Egypt Country Report on Human Rights Practices</w:t>
      </w:r>
      <w:r w:rsidRPr="00FF6743">
        <w:t xml:space="preserve"> </w:t>
      </w:r>
      <w:r>
        <w:t xml:space="preserve">stated there were instances where </w:t>
      </w:r>
      <w:r w:rsidRPr="005C5DF6">
        <w:t>police treat</w:t>
      </w:r>
      <w:r>
        <w:t>ed</w:t>
      </w:r>
      <w:r w:rsidRPr="005C5DF6">
        <w:t xml:space="preserve"> domestic violence as a matter for private family resolution</w:t>
      </w:r>
      <w:r>
        <w:t>,</w:t>
      </w:r>
      <w:r w:rsidRPr="005C5DF6">
        <w:t xml:space="preserve"> </w:t>
      </w:r>
      <w:r>
        <w:t xml:space="preserve">which in-country sources said was due to </w:t>
      </w:r>
      <w:r w:rsidRPr="005C5DF6">
        <w:t>individual prejudices of police</w:t>
      </w:r>
      <w:r>
        <w:t xml:space="preserve"> officers</w:t>
      </w:r>
      <w:r w:rsidRPr="005C5DF6">
        <w:t xml:space="preserve"> rather than official policy</w:t>
      </w:r>
      <w:r>
        <w:t xml:space="preserve">. However, in-country sources said police often took GBV claims of wives and mothers more seriously than daughters’ allegations against their fathers, which were met with more scepticism. Women and girls who brought advocates (family members, </w:t>
      </w:r>
      <w:hyperlink w:anchor="_Counter-terrorism_laws" w:history="1">
        <w:r w:rsidRPr="004566ED">
          <w:rPr>
            <w:rStyle w:val="Hyperlink"/>
          </w:rPr>
          <w:t>CSOs</w:t>
        </w:r>
      </w:hyperlink>
      <w:r>
        <w:t xml:space="preserve">, </w:t>
      </w:r>
      <w:hyperlink w:anchor="_Conflict_between_Turkish" w:history="1">
        <w:r w:rsidRPr="004566ED">
          <w:rPr>
            <w:rStyle w:val="Hyperlink"/>
          </w:rPr>
          <w:t>faith-based groups</w:t>
        </w:r>
      </w:hyperlink>
      <w:r>
        <w:t xml:space="preserve"> or legal professionals) to their initial meetings with police often had their cases handled more quickly. </w:t>
      </w:r>
    </w:p>
    <w:p w14:paraId="24AC24B2" w14:textId="77777777" w:rsidR="00C47BE6" w:rsidRDefault="00C47BE6" w:rsidP="00C47BE6">
      <w:pPr>
        <w:pStyle w:val="ListParagraph1"/>
      </w:pPr>
      <w:r>
        <w:t xml:space="preserve">Prosecutors require </w:t>
      </w:r>
      <w:r w:rsidRPr="00D26BAD">
        <w:t>medical report</w:t>
      </w:r>
      <w:r>
        <w:t>s</w:t>
      </w:r>
      <w:r w:rsidRPr="00D26BAD">
        <w:t xml:space="preserve"> </w:t>
      </w:r>
      <w:r>
        <w:t>from a</w:t>
      </w:r>
      <w:r w:rsidRPr="00D26BAD">
        <w:t xml:space="preserve"> public hospital </w:t>
      </w:r>
      <w:r>
        <w:t>in addition to</w:t>
      </w:r>
      <w:r w:rsidRPr="00D26BAD">
        <w:t xml:space="preserve"> police </w:t>
      </w:r>
      <w:r>
        <w:t xml:space="preserve">reports to file charges against offenders for GBV offences. In-country sources said average </w:t>
      </w:r>
      <w:r w:rsidRPr="00D26BAD">
        <w:t xml:space="preserve">sentences </w:t>
      </w:r>
      <w:r>
        <w:t>imposed on those found guilty of minor physical assaults against women and girls ranged from one to four</w:t>
      </w:r>
      <w:r w:rsidRPr="00D26BAD">
        <w:t xml:space="preserve"> weeks in jail</w:t>
      </w:r>
      <w:r>
        <w:t>. Those found to have committed rape or assaults causing permanent injury</w:t>
      </w:r>
      <w:r w:rsidRPr="00D26BAD">
        <w:t xml:space="preserve"> </w:t>
      </w:r>
      <w:r>
        <w:t xml:space="preserve">are often sentenced to months or years in prison. </w:t>
      </w:r>
    </w:p>
    <w:p w14:paraId="7B088D9D" w14:textId="77777777" w:rsidR="00C47BE6" w:rsidRPr="00607D0A" w:rsidRDefault="00C47BE6" w:rsidP="00C47BE6">
      <w:pPr>
        <w:pStyle w:val="ListParagraph1"/>
      </w:pPr>
      <w:r w:rsidRPr="00D26BAD">
        <w:t>The Ministry of Social Solidarity</w:t>
      </w:r>
      <w:r>
        <w:t xml:space="preserve"> runs a network of approximately nine shelters nationwide to accommodate survivors of GBV. During intake these shelters often ask women for identification and if criminal charges have been filed against offenders. Shelters are generally accessible and house upwards of several hundred people nationwide. </w:t>
      </w:r>
      <w:hyperlink w:anchor="_Conscientious_Objectors" w:history="1">
        <w:r w:rsidRPr="004566ED">
          <w:rPr>
            <w:rStyle w:val="Hyperlink"/>
          </w:rPr>
          <w:t>Children</w:t>
        </w:r>
      </w:hyperlink>
      <w:r>
        <w:t xml:space="preserve"> can be accommodated but boys are only permitted until the age of seven. Shelters provide social, family and psychological counselling, along with referrals to other relevant government and CSO service providers. </w:t>
      </w:r>
      <w:r w:rsidRPr="00B73460">
        <w:t xml:space="preserve">DFAT </w:t>
      </w:r>
      <w:r>
        <w:t>wa</w:t>
      </w:r>
      <w:r w:rsidRPr="00B73460">
        <w:t xml:space="preserve">s not aware </w:t>
      </w:r>
      <w:r>
        <w:t>at the time of writing</w:t>
      </w:r>
      <w:r w:rsidRPr="00B73460">
        <w:t xml:space="preserve"> of </w:t>
      </w:r>
      <w:r>
        <w:t xml:space="preserve">targeted </w:t>
      </w:r>
      <w:r w:rsidRPr="00B73460">
        <w:t>government programs or financial assistance for GBV survivors.</w:t>
      </w:r>
      <w:r>
        <w:t xml:space="preserve"> Faith</w:t>
      </w:r>
      <w:r>
        <w:noBreakHyphen/>
        <w:t xml:space="preserve">based organisations run </w:t>
      </w:r>
      <w:r w:rsidRPr="00D26BAD">
        <w:t>informal shelters</w:t>
      </w:r>
      <w:r>
        <w:t xml:space="preserve"> that may be easier for some to access. L</w:t>
      </w:r>
      <w:r w:rsidRPr="008B0C1D">
        <w:t>ocation</w:t>
      </w:r>
      <w:r>
        <w:t>s and details of these informal shelters are</w:t>
      </w:r>
      <w:r w:rsidRPr="008B0C1D">
        <w:t xml:space="preserve"> kept confidential </w:t>
      </w:r>
      <w:r>
        <w:t>to</w:t>
      </w:r>
      <w:r w:rsidRPr="008B0C1D">
        <w:t xml:space="preserve"> protect </w:t>
      </w:r>
      <w:r>
        <w:t xml:space="preserve">the safety of </w:t>
      </w:r>
      <w:r w:rsidRPr="008B0C1D">
        <w:t>survivo</w:t>
      </w:r>
      <w:r>
        <w:t>r</w:t>
      </w:r>
      <w:r w:rsidRPr="008B0C1D">
        <w:t>s</w:t>
      </w:r>
      <w:r>
        <w:t xml:space="preserve"> of GBV.</w:t>
      </w:r>
      <w:r w:rsidRPr="00B73460">
        <w:t xml:space="preserve"> </w:t>
      </w:r>
    </w:p>
    <w:p w14:paraId="122DAEC8" w14:textId="77777777" w:rsidR="00C47BE6" w:rsidRDefault="00C47BE6" w:rsidP="00C47BE6">
      <w:pPr>
        <w:pStyle w:val="ListParagraph1"/>
      </w:pPr>
      <w:r w:rsidRPr="00EC06FC">
        <w:t xml:space="preserve">Female </w:t>
      </w:r>
      <w:r>
        <w:t>g</w:t>
      </w:r>
      <w:r w:rsidRPr="00EC06FC">
        <w:t xml:space="preserve">enital </w:t>
      </w:r>
      <w:r>
        <w:t>m</w:t>
      </w:r>
      <w:r w:rsidRPr="00EC06FC">
        <w:t>utilation</w:t>
      </w:r>
      <w:r>
        <w:t>/cutting</w:t>
      </w:r>
      <w:r w:rsidRPr="004A4D39">
        <w:t xml:space="preserve"> </w:t>
      </w:r>
      <w:r>
        <w:t>(FGM/C)</w:t>
      </w:r>
      <w:r w:rsidRPr="00EC06FC">
        <w:t xml:space="preserve"> refers to all procedures involving partial or total removal of the external female genitalia or other injury to the female genital organs for cultural or other non-medical reasons.</w:t>
      </w:r>
      <w:r>
        <w:t xml:space="preserve"> FGM/C has been illegal in Egypt since 2008 under Article 242 of the </w:t>
      </w:r>
      <w:r w:rsidRPr="003136BC">
        <w:rPr>
          <w:i/>
          <w:iCs/>
        </w:rPr>
        <w:t>Pen</w:t>
      </w:r>
      <w:r w:rsidRPr="001E6289">
        <w:rPr>
          <w:i/>
          <w:iCs/>
        </w:rPr>
        <w:t>al Code (No. 58) 1937</w:t>
      </w:r>
      <w:r>
        <w:t xml:space="preserve"> although there are no</w:t>
      </w:r>
      <w:r w:rsidRPr="00EB4E0C">
        <w:t xml:space="preserve"> punishments </w:t>
      </w:r>
      <w:r>
        <w:t xml:space="preserve">explicitly set out </w:t>
      </w:r>
      <w:r w:rsidRPr="00EB4E0C">
        <w:t>for aiding</w:t>
      </w:r>
      <w:r>
        <w:t>,</w:t>
      </w:r>
      <w:r w:rsidRPr="00EB4E0C">
        <w:t xml:space="preserve"> abetting </w:t>
      </w:r>
      <w:r>
        <w:t xml:space="preserve">or failing to </w:t>
      </w:r>
      <w:r w:rsidRPr="00EB4E0C">
        <w:t>report the practice.</w:t>
      </w:r>
      <w:r>
        <w:t xml:space="preserve"> </w:t>
      </w:r>
      <w:r w:rsidRPr="00FF6743">
        <w:t xml:space="preserve">The US Department of State's 2023 </w:t>
      </w:r>
      <w:r w:rsidRPr="00341F75">
        <w:rPr>
          <w:i/>
          <w:iCs/>
        </w:rPr>
        <w:t>Egypt Country Report on Human Rights Practices</w:t>
      </w:r>
      <w:r w:rsidRPr="00FF6743">
        <w:t xml:space="preserve"> state</w:t>
      </w:r>
      <w:r>
        <w:t xml:space="preserve">d </w:t>
      </w:r>
      <w:r w:rsidRPr="00341F75">
        <w:t>the government enforce</w:t>
      </w:r>
      <w:r>
        <w:t>d</w:t>
      </w:r>
      <w:r w:rsidRPr="00341F75">
        <w:t xml:space="preserve"> the FGM/C law, including maintaining hotlines to inform authorities of doctors who performed </w:t>
      </w:r>
      <w:r>
        <w:t xml:space="preserve">FGM/C, as well as </w:t>
      </w:r>
      <w:r w:rsidRPr="00341F75">
        <w:t>public awareness campaign</w:t>
      </w:r>
      <w:r>
        <w:t>s</w:t>
      </w:r>
      <w:r w:rsidRPr="00FF6743">
        <w:t>.</w:t>
      </w:r>
      <w:r>
        <w:t xml:space="preserve"> </w:t>
      </w:r>
    </w:p>
    <w:p w14:paraId="7D96F41D" w14:textId="77777777" w:rsidR="00C47BE6" w:rsidRDefault="00C47BE6" w:rsidP="00C47BE6">
      <w:pPr>
        <w:pStyle w:val="ListParagraph1"/>
      </w:pPr>
      <w:r>
        <w:t>Egypt’s political leaders and highest Muslim religious authorities have declared FGM/C unacceptable and without basis in Islam. Still, some Muslim and Christian communities continue to practice FGM/C. A</w:t>
      </w:r>
      <w:r w:rsidRPr="00EC06FC">
        <w:t xml:space="preserve">ccording to the </w:t>
      </w:r>
      <w:r>
        <w:t xml:space="preserve">2021 </w:t>
      </w:r>
      <w:r w:rsidRPr="000F0D89">
        <w:rPr>
          <w:i/>
          <w:iCs/>
        </w:rPr>
        <w:t>Egyptian Family Health Survey</w:t>
      </w:r>
      <w:r>
        <w:t>,</w:t>
      </w:r>
      <w:r w:rsidRPr="00EC06FC">
        <w:t xml:space="preserve"> 86 per</w:t>
      </w:r>
      <w:r>
        <w:t xml:space="preserve"> </w:t>
      </w:r>
      <w:r w:rsidRPr="00EC06FC">
        <w:t>cent of married Egyptian women between the ages of 15 and 49 ha</w:t>
      </w:r>
      <w:r>
        <w:t>d</w:t>
      </w:r>
      <w:r w:rsidRPr="00EC06FC">
        <w:t xml:space="preserve"> undergone FGM</w:t>
      </w:r>
      <w:r>
        <w:t>/C</w:t>
      </w:r>
      <w:r w:rsidRPr="00EC06FC">
        <w:t xml:space="preserve">, </w:t>
      </w:r>
      <w:r>
        <w:t xml:space="preserve">of which </w:t>
      </w:r>
      <w:r w:rsidRPr="00EC06FC">
        <w:t>74 per</w:t>
      </w:r>
      <w:r>
        <w:t xml:space="preserve"> </w:t>
      </w:r>
      <w:r w:rsidRPr="00EC06FC">
        <w:t>cent</w:t>
      </w:r>
      <w:r>
        <w:t xml:space="preserve"> was performed </w:t>
      </w:r>
      <w:r w:rsidRPr="00EC06FC">
        <w:t xml:space="preserve">by </w:t>
      </w:r>
      <w:r>
        <w:t xml:space="preserve">a </w:t>
      </w:r>
      <w:r w:rsidRPr="00EC06FC">
        <w:t>docto</w:t>
      </w:r>
      <w:r>
        <w:t>r</w:t>
      </w:r>
      <w:r w:rsidRPr="00EC06FC">
        <w:t>.</w:t>
      </w:r>
      <w:r>
        <w:t xml:space="preserve"> Community attitudes appear to be shifting. The same survey found </w:t>
      </w:r>
      <w:r w:rsidRPr="00493437">
        <w:t>13</w:t>
      </w:r>
      <w:r>
        <w:t xml:space="preserve"> per cent </w:t>
      </w:r>
      <w:r w:rsidRPr="00493437">
        <w:t>of mothers intend</w:t>
      </w:r>
      <w:r>
        <w:t>ed</w:t>
      </w:r>
      <w:r w:rsidRPr="00493437">
        <w:t xml:space="preserve"> to </w:t>
      </w:r>
      <w:r>
        <w:t xml:space="preserve">subject </w:t>
      </w:r>
      <w:r w:rsidRPr="00493437">
        <w:t xml:space="preserve">their daughters </w:t>
      </w:r>
      <w:r>
        <w:t xml:space="preserve">to FMG/C, a reduction from </w:t>
      </w:r>
      <w:r w:rsidRPr="00493437">
        <w:t>35</w:t>
      </w:r>
      <w:r>
        <w:t> per cent recorded in 2014</w:t>
      </w:r>
      <w:r w:rsidRPr="00493437">
        <w:t xml:space="preserve">. </w:t>
      </w:r>
      <w:r>
        <w:t xml:space="preserve">  </w:t>
      </w:r>
    </w:p>
    <w:p w14:paraId="231FE4FD" w14:textId="77777777" w:rsidR="00C47BE6" w:rsidRDefault="00C47BE6" w:rsidP="00C47BE6">
      <w:pPr>
        <w:pStyle w:val="ListParagraph1"/>
      </w:pPr>
      <w:r>
        <w:t>Sexual harassment is experienced by w</w:t>
      </w:r>
      <w:r w:rsidRPr="00C14031">
        <w:t>omen across the socio</w:t>
      </w:r>
      <w:r>
        <w:noBreakHyphen/>
      </w:r>
      <w:r w:rsidRPr="00C14031">
        <w:t>economic spectrum</w:t>
      </w:r>
      <w:r>
        <w:t>. S</w:t>
      </w:r>
      <w:r w:rsidRPr="00B95ABB">
        <w:t xml:space="preserve">exual harassment </w:t>
      </w:r>
      <w:r>
        <w:t xml:space="preserve">was criminalised in </w:t>
      </w:r>
      <w:r w:rsidRPr="00B95ABB">
        <w:t>2014</w:t>
      </w:r>
      <w:r>
        <w:t xml:space="preserve"> and was upgraded to </w:t>
      </w:r>
      <w:r w:rsidRPr="00B95ABB">
        <w:t xml:space="preserve">a felony </w:t>
      </w:r>
      <w:r>
        <w:t>in 2021, with</w:t>
      </w:r>
      <w:r w:rsidRPr="00B95ABB">
        <w:t xml:space="preserve"> </w:t>
      </w:r>
      <w:r>
        <w:t>penalties of upwards of</w:t>
      </w:r>
      <w:r w:rsidRPr="00B95ABB">
        <w:t xml:space="preserve"> </w:t>
      </w:r>
      <w:r>
        <w:t>four</w:t>
      </w:r>
      <w:r w:rsidRPr="00B95ABB">
        <w:t xml:space="preserve"> years in prison and/or a fine of</w:t>
      </w:r>
      <w:r>
        <w:t xml:space="preserve"> upwards of EGP</w:t>
      </w:r>
      <w:r w:rsidRPr="00B95ABB">
        <w:t xml:space="preserve">200,000 </w:t>
      </w:r>
      <w:r>
        <w:t xml:space="preserve">(AUD6,334) </w:t>
      </w:r>
      <w:r w:rsidRPr="00B95ABB">
        <w:t xml:space="preserve">for anyone who </w:t>
      </w:r>
      <w:r>
        <w:t>‘</w:t>
      </w:r>
      <w:r w:rsidRPr="00B95ABB">
        <w:t>subjects others, in a public or private place, to sexual or lewd matters, suggestions, or hints, whether by sign, words, deeds, or any means, including wired, wireless, or electronic communication</w:t>
      </w:r>
      <w:r>
        <w:t>’</w:t>
      </w:r>
      <w:r w:rsidRPr="00B95ABB">
        <w:t>.</w:t>
      </w:r>
      <w:r>
        <w:t xml:space="preserve"> In December 2023 the penalty for sexual harassment in ‘aggravating circumstances’ was increased to imprisonment of a minimum of 10 years. However, a</w:t>
      </w:r>
      <w:r w:rsidRPr="00341F75">
        <w:t xml:space="preserve">n April </w:t>
      </w:r>
      <w:r>
        <w:t xml:space="preserve">2023 </w:t>
      </w:r>
      <w:r w:rsidRPr="00341F75">
        <w:t xml:space="preserve">report by the UN Human Rights Committee </w:t>
      </w:r>
      <w:r>
        <w:t>stated</w:t>
      </w:r>
      <w:r w:rsidRPr="00341F75">
        <w:t xml:space="preserve"> heightened sentences for sexual harassment had </w:t>
      </w:r>
      <w:r>
        <w:t xml:space="preserve">not yet </w:t>
      </w:r>
      <w:r w:rsidRPr="00341F75">
        <w:t>reduce</w:t>
      </w:r>
      <w:r>
        <w:t>d</w:t>
      </w:r>
      <w:r w:rsidRPr="00341F75">
        <w:t xml:space="preserve"> its prevalence.</w:t>
      </w:r>
      <w:r>
        <w:t xml:space="preserve"> In-country sources said</w:t>
      </w:r>
      <w:r w:rsidRPr="00C14031">
        <w:t xml:space="preserve"> prosecutions and sentences </w:t>
      </w:r>
      <w:r>
        <w:t>for committing sexual harassment were</w:t>
      </w:r>
      <w:r w:rsidRPr="00C14031">
        <w:t xml:space="preserve"> rare.</w:t>
      </w:r>
      <w:r>
        <w:t xml:space="preserve"> </w:t>
      </w:r>
    </w:p>
    <w:p w14:paraId="19A0797B" w14:textId="77777777" w:rsidR="00C47BE6" w:rsidRPr="000A1F71" w:rsidRDefault="00C47BE6" w:rsidP="00C47BE6">
      <w:pPr>
        <w:pStyle w:val="ListParagraph1"/>
      </w:pPr>
      <w:r>
        <w:t xml:space="preserve">Historically it was socially taboo for women to live alone without a male relative or guardian. In-country sources said </w:t>
      </w:r>
      <w:r w:rsidRPr="00A0277D">
        <w:t xml:space="preserve">women </w:t>
      </w:r>
      <w:r>
        <w:t xml:space="preserve">were now able to live alone but were sometimes viewed with disapproval or </w:t>
      </w:r>
      <w:r w:rsidRPr="00A0277D">
        <w:t>shame</w:t>
      </w:r>
      <w:r>
        <w:t xml:space="preserve">. There are </w:t>
      </w:r>
      <w:r>
        <w:lastRenderedPageBreak/>
        <w:t>no official barriers for s</w:t>
      </w:r>
      <w:r w:rsidRPr="000A1F71">
        <w:t>ingle</w:t>
      </w:r>
      <w:r>
        <w:t xml:space="preserve">, divorced and widowed </w:t>
      </w:r>
      <w:r w:rsidRPr="000A1F71">
        <w:t xml:space="preserve">women </w:t>
      </w:r>
      <w:r>
        <w:t xml:space="preserve">accessing </w:t>
      </w:r>
      <w:hyperlink w:anchor="_Education" w:history="1">
        <w:r w:rsidRPr="00AB41AF">
          <w:rPr>
            <w:rStyle w:val="Hyperlink"/>
          </w:rPr>
          <w:t>education</w:t>
        </w:r>
      </w:hyperlink>
      <w:r w:rsidRPr="000A1F71">
        <w:t xml:space="preserve"> and </w:t>
      </w:r>
      <w:hyperlink w:anchor="_Employment" w:history="1">
        <w:r w:rsidRPr="00AB41AF">
          <w:rPr>
            <w:rStyle w:val="Hyperlink"/>
          </w:rPr>
          <w:t>employment</w:t>
        </w:r>
      </w:hyperlink>
      <w:r>
        <w:t xml:space="preserve">. </w:t>
      </w:r>
      <w:r w:rsidRPr="008F1AD7">
        <w:t xml:space="preserve">The </w:t>
      </w:r>
      <w:r w:rsidRPr="008F1AD7">
        <w:rPr>
          <w:i/>
          <w:iCs/>
        </w:rPr>
        <w:t>Labor Law (No. 12) 2003</w:t>
      </w:r>
      <w:r w:rsidRPr="008F1AD7">
        <w:t xml:space="preserve"> prohibits </w:t>
      </w:r>
      <w:r>
        <w:t xml:space="preserve">employment and </w:t>
      </w:r>
      <w:r w:rsidRPr="008F1AD7">
        <w:t>wage</w:t>
      </w:r>
      <w:r>
        <w:t xml:space="preserve"> </w:t>
      </w:r>
      <w:r w:rsidRPr="008F1AD7">
        <w:t xml:space="preserve">discrimination </w:t>
      </w:r>
      <w:proofErr w:type="gramStart"/>
      <w:r w:rsidRPr="008F1AD7">
        <w:t>on the basis of</w:t>
      </w:r>
      <w:proofErr w:type="gramEnd"/>
      <w:r w:rsidRPr="008F1AD7">
        <w:t xml:space="preserve"> gende</w:t>
      </w:r>
      <w:r>
        <w:t>r</w:t>
      </w:r>
      <w:r w:rsidRPr="008F1AD7">
        <w:t>. It also imposes a fine on employers or their representatives who breach these obligations.</w:t>
      </w:r>
      <w:r>
        <w:t xml:space="preserve"> Anti-discrimination measures are enforced according to in-country sources. </w:t>
      </w:r>
      <w:r w:rsidRPr="00552904">
        <w:t xml:space="preserve">A 2025 study in the </w:t>
      </w:r>
      <w:r w:rsidRPr="00552904">
        <w:rPr>
          <w:i/>
          <w:iCs/>
        </w:rPr>
        <w:t>Journal of Development Economics</w:t>
      </w:r>
      <w:r w:rsidRPr="00552904">
        <w:t xml:space="preserve"> found </w:t>
      </w:r>
      <w:r>
        <w:t xml:space="preserve">when applying for employment, Egyptian </w:t>
      </w:r>
      <w:r w:rsidRPr="00552904">
        <w:t xml:space="preserve">women were slightly less likely to receive callbacks than </w:t>
      </w:r>
      <w:r>
        <w:t xml:space="preserve">Egyptian </w:t>
      </w:r>
      <w:r w:rsidRPr="00552904">
        <w:t>men, with only a small difference between single and married women.</w:t>
      </w:r>
      <w:r>
        <w:t xml:space="preserve"> Women’s significantly lower rate of participation in the labour force has been attributed to </w:t>
      </w:r>
      <w:r w:rsidRPr="00552904">
        <w:t>barriers includ</w:t>
      </w:r>
      <w:r>
        <w:t>ing</w:t>
      </w:r>
      <w:r w:rsidRPr="00552904">
        <w:t xml:space="preserve"> </w:t>
      </w:r>
      <w:r>
        <w:t xml:space="preserve">them </w:t>
      </w:r>
      <w:r w:rsidRPr="00552904">
        <w:t>assuming a disproportionate share of childcare and household responsibilities.</w:t>
      </w:r>
    </w:p>
    <w:p w14:paraId="3C6126AC" w14:textId="77777777" w:rsidR="00C47BE6" w:rsidRPr="004566ED" w:rsidRDefault="00C47BE6" w:rsidP="00C47BE6">
      <w:pPr>
        <w:pStyle w:val="ListParagraph1"/>
      </w:pPr>
      <w:r>
        <w:t>D</w:t>
      </w:r>
      <w:r w:rsidRPr="00570BE6">
        <w:t xml:space="preserve">FAT assesses </w:t>
      </w:r>
      <w:r>
        <w:t xml:space="preserve">women possibly </w:t>
      </w:r>
      <w:r w:rsidRPr="00570BE6">
        <w:t xml:space="preserve">face official discrimination </w:t>
      </w:r>
      <w:r>
        <w:t xml:space="preserve">based on gender </w:t>
      </w:r>
      <w:r w:rsidRPr="00570BE6">
        <w:t xml:space="preserve">in the form of </w:t>
      </w:r>
      <w:r>
        <w:t xml:space="preserve">discriminatory laws and regulations including the </w:t>
      </w:r>
      <w:r w:rsidRPr="00491A87">
        <w:rPr>
          <w:i/>
          <w:iCs/>
        </w:rPr>
        <w:t xml:space="preserve">Personal Status Law </w:t>
      </w:r>
      <w:r>
        <w:rPr>
          <w:i/>
          <w:iCs/>
        </w:rPr>
        <w:t>1920/1929.</w:t>
      </w:r>
      <w:r>
        <w:t xml:space="preserve"> DFAT assesses women possibly face societal discrimination in the form of s</w:t>
      </w:r>
      <w:r w:rsidRPr="00B95ABB">
        <w:t>exual harassment</w:t>
      </w:r>
      <w:r>
        <w:t xml:space="preserve"> and discrimination in employment. DFAT assesses women possibly face violence in the form of FGM/C and GBV.</w:t>
      </w:r>
    </w:p>
    <w:p w14:paraId="761556CB" w14:textId="77777777" w:rsidR="00C47BE6" w:rsidRPr="000B0F61" w:rsidRDefault="00C47BE6" w:rsidP="00C47BE6">
      <w:pPr>
        <w:pStyle w:val="Heading3"/>
        <w:ind w:firstLine="0"/>
        <w:jc w:val="left"/>
        <w:rPr>
          <w:rFonts w:cs="Calibri"/>
          <w:b/>
          <w:bCs/>
          <w:color w:val="auto"/>
        </w:rPr>
      </w:pPr>
      <w:bookmarkStart w:id="73" w:name="_Sexual_Orientation_and"/>
      <w:bookmarkStart w:id="74" w:name="_Toc369617177"/>
      <w:bookmarkStart w:id="75" w:name="_Toc196318436"/>
      <w:bookmarkStart w:id="76" w:name="_Hlk207965218"/>
      <w:bookmarkEnd w:id="72"/>
      <w:bookmarkEnd w:id="73"/>
      <w:r w:rsidRPr="008A3AB6">
        <w:rPr>
          <w:rFonts w:cs="Calibri"/>
          <w:b/>
          <w:bCs/>
          <w:color w:val="auto"/>
        </w:rPr>
        <w:t>Sexual Orientation and Gender Identity</w:t>
      </w:r>
      <w:bookmarkEnd w:id="74"/>
      <w:bookmarkEnd w:id="75"/>
    </w:p>
    <w:p w14:paraId="2BAFA06F" w14:textId="77777777" w:rsidR="00C47BE6" w:rsidRDefault="00C47BE6" w:rsidP="00C47BE6">
      <w:pPr>
        <w:pStyle w:val="ListParagraph1"/>
      </w:pPr>
      <w:r>
        <w:t>Homosexuality is not criminalised in Egypt, but there have been instances where LGBTQIA+ people</w:t>
      </w:r>
      <w:r w:rsidRPr="00424CE0">
        <w:t xml:space="preserve"> have been charged with ‘habitual debauchery’ under</w:t>
      </w:r>
      <w:r>
        <w:t xml:space="preserve"> the </w:t>
      </w:r>
      <w:r w:rsidRPr="006A52FE">
        <w:rPr>
          <w:i/>
          <w:iCs/>
        </w:rPr>
        <w:t>Law on Combating Prostitution (No. 10) 1961</w:t>
      </w:r>
      <w:r w:rsidRPr="00424CE0">
        <w:t>.</w:t>
      </w:r>
      <w:r>
        <w:rPr>
          <w:lang w:val="en-AU"/>
        </w:rPr>
        <w:t xml:space="preserve"> M</w:t>
      </w:r>
      <w:r w:rsidRPr="000A258A">
        <w:rPr>
          <w:lang w:val="en-AU"/>
        </w:rPr>
        <w:t>edical checks are sometimes carried out</w:t>
      </w:r>
      <w:r>
        <w:rPr>
          <w:lang w:val="en-AU"/>
        </w:rPr>
        <w:t xml:space="preserve"> to determine if </w:t>
      </w:r>
      <w:r w:rsidRPr="000A258A">
        <w:rPr>
          <w:lang w:val="en-AU"/>
        </w:rPr>
        <w:t>penetrative sex</w:t>
      </w:r>
      <w:r>
        <w:rPr>
          <w:lang w:val="en-AU"/>
        </w:rPr>
        <w:t xml:space="preserve"> occurred, as well as </w:t>
      </w:r>
      <w:r w:rsidRPr="000A258A">
        <w:rPr>
          <w:lang w:val="en-AU"/>
        </w:rPr>
        <w:t>part of sexually transmitted infection screening</w:t>
      </w:r>
      <w:r>
        <w:rPr>
          <w:lang w:val="en-AU"/>
        </w:rPr>
        <w:t xml:space="preserve"> processes</w:t>
      </w:r>
      <w:r>
        <w:t xml:space="preserve">. </w:t>
      </w:r>
      <w:r>
        <w:rPr>
          <w:lang w:val="en-AU"/>
        </w:rPr>
        <w:t>F</w:t>
      </w:r>
      <w:r w:rsidRPr="00D05ED3">
        <w:rPr>
          <w:lang w:val="en-AU"/>
        </w:rPr>
        <w:t>orced anal examinations</w:t>
      </w:r>
      <w:r>
        <w:rPr>
          <w:lang w:val="en-AU"/>
        </w:rPr>
        <w:t xml:space="preserve"> - </w:t>
      </w:r>
      <w:r w:rsidRPr="00D05ED3">
        <w:rPr>
          <w:lang w:val="en-AU"/>
        </w:rPr>
        <w:t>held to be a form of cruel, degrading, and inhuman treatment</w:t>
      </w:r>
      <w:r>
        <w:rPr>
          <w:lang w:val="en-AU"/>
        </w:rPr>
        <w:t xml:space="preserve"> –rarely occurred in 2025 according to in-country sources.</w:t>
      </w:r>
      <w:r>
        <w:t xml:space="preserve"> P</w:t>
      </w:r>
      <w:r w:rsidRPr="00C02197">
        <w:t xml:space="preserve">eople </w:t>
      </w:r>
      <w:r>
        <w:t>found guilty of ‘habitual debauchery’ receive</w:t>
      </w:r>
      <w:r w:rsidRPr="00C02197">
        <w:t xml:space="preserve"> sentence</w:t>
      </w:r>
      <w:r>
        <w:t>s of</w:t>
      </w:r>
      <w:r w:rsidRPr="00C02197">
        <w:t xml:space="preserve"> between </w:t>
      </w:r>
      <w:r>
        <w:t>three</w:t>
      </w:r>
      <w:r w:rsidRPr="00C02197">
        <w:t xml:space="preserve"> months </w:t>
      </w:r>
      <w:r>
        <w:t>to three</w:t>
      </w:r>
      <w:r w:rsidRPr="00C02197">
        <w:t xml:space="preserve"> years, </w:t>
      </w:r>
      <w:r>
        <w:t>although</w:t>
      </w:r>
      <w:r w:rsidRPr="00C02197">
        <w:t xml:space="preserve"> most </w:t>
      </w:r>
      <w:r>
        <w:t xml:space="preserve">are </w:t>
      </w:r>
      <w:r w:rsidRPr="00C02197">
        <w:t xml:space="preserve">acquitted </w:t>
      </w:r>
      <w:r>
        <w:t>upon</w:t>
      </w:r>
      <w:r w:rsidRPr="00C02197">
        <w:t xml:space="preserve"> appeal.</w:t>
      </w:r>
      <w:r>
        <w:t xml:space="preserve"> Egypt’s </w:t>
      </w:r>
      <w:r w:rsidRPr="000A258A">
        <w:t xml:space="preserve">media </w:t>
      </w:r>
      <w:r>
        <w:t xml:space="preserve">does not generally </w:t>
      </w:r>
      <w:r w:rsidRPr="000A258A">
        <w:t xml:space="preserve">publish the details of </w:t>
      </w:r>
      <w:r>
        <w:t xml:space="preserve">‘habitual </w:t>
      </w:r>
      <w:r w:rsidRPr="000A258A">
        <w:t>debauchery</w:t>
      </w:r>
      <w:r>
        <w:t>’</w:t>
      </w:r>
      <w:r w:rsidRPr="000A258A">
        <w:t xml:space="preserve"> cases</w:t>
      </w:r>
      <w:r>
        <w:t xml:space="preserve"> </w:t>
      </w:r>
      <w:r w:rsidRPr="000A258A">
        <w:t>to protect the privacy of the accused</w:t>
      </w:r>
      <w:r>
        <w:t xml:space="preserve">. </w:t>
      </w:r>
      <w:r w:rsidRPr="00032C99">
        <w:t>DFAT is not aware of instances of lesbians being arrested</w:t>
      </w:r>
      <w:r>
        <w:t>, charged or convicted</w:t>
      </w:r>
      <w:r w:rsidRPr="00032C99">
        <w:t xml:space="preserve"> under </w:t>
      </w:r>
      <w:r>
        <w:t xml:space="preserve">the </w:t>
      </w:r>
      <w:r w:rsidRPr="00D05ED3">
        <w:rPr>
          <w:i/>
          <w:iCs/>
        </w:rPr>
        <w:t>Law on Combating Prostitution (No. 10) 1961</w:t>
      </w:r>
      <w:r w:rsidRPr="00032C99">
        <w:t>.</w:t>
      </w:r>
    </w:p>
    <w:p w14:paraId="0BAA9161" w14:textId="77777777" w:rsidR="00C47BE6" w:rsidRPr="006A52FE" w:rsidRDefault="00C47BE6" w:rsidP="00C47BE6">
      <w:pPr>
        <w:pStyle w:val="ListParagraph1"/>
      </w:pPr>
      <w:r>
        <w:t xml:space="preserve">In-country sources said police </w:t>
      </w:r>
      <w:r w:rsidRPr="00695EC7">
        <w:t>officers operating on their own initiative</w:t>
      </w:r>
      <w:r>
        <w:t xml:space="preserve"> sometimes </w:t>
      </w:r>
      <w:r w:rsidRPr="00695EC7">
        <w:t>use</w:t>
      </w:r>
      <w:r>
        <w:t>d</w:t>
      </w:r>
      <w:r w:rsidRPr="00695EC7">
        <w:t xml:space="preserve"> social media and app</w:t>
      </w:r>
      <w:r>
        <w:t>lications</w:t>
      </w:r>
      <w:r w:rsidRPr="00695EC7">
        <w:t xml:space="preserve"> like Grindr to </w:t>
      </w:r>
      <w:r>
        <w:t xml:space="preserve">monitor </w:t>
      </w:r>
      <w:r w:rsidRPr="00695EC7">
        <w:t>LGBTQIA+ people</w:t>
      </w:r>
      <w:r>
        <w:t xml:space="preserve">. In-country sources said some individual police officers viewed LGBTQIA+ people as ‘amoral’ or suffering from a </w:t>
      </w:r>
      <w:r w:rsidRPr="00781719">
        <w:t xml:space="preserve">form of </w:t>
      </w:r>
      <w:r>
        <w:t>‘</w:t>
      </w:r>
      <w:r w:rsidRPr="00781719">
        <w:t>sexual perversion</w:t>
      </w:r>
      <w:r>
        <w:t>’ that was ‘</w:t>
      </w:r>
      <w:r w:rsidRPr="00781719">
        <w:rPr>
          <w:i/>
          <w:iCs/>
        </w:rPr>
        <w:t>haram</w:t>
      </w:r>
      <w:r>
        <w:t>’ (</w:t>
      </w:r>
      <w:r w:rsidRPr="00781719">
        <w:t>forbidden or proscribed by Islamic law</w:t>
      </w:r>
      <w:r>
        <w:t>). In some instances, these officers arrested LGBTQIA+ people after luring them to pre-arranged meetings or</w:t>
      </w:r>
      <w:r w:rsidRPr="00695EC7">
        <w:t xml:space="preserve"> date</w:t>
      </w:r>
      <w:r>
        <w:t>s</w:t>
      </w:r>
      <w:r w:rsidRPr="00695EC7">
        <w:t>.</w:t>
      </w:r>
      <w:r>
        <w:t xml:space="preserve"> As these cases were initiated and investigated based on officers’ individual prejudices instead of official policy, judges generally</w:t>
      </w:r>
      <w:r w:rsidRPr="00695EC7">
        <w:t xml:space="preserve"> acqui</w:t>
      </w:r>
      <w:r>
        <w:t>tted the accused</w:t>
      </w:r>
      <w:r w:rsidRPr="00695EC7">
        <w:t xml:space="preserve"> </w:t>
      </w:r>
      <w:r>
        <w:t xml:space="preserve">because the charges lacked a legal basis or were based on </w:t>
      </w:r>
      <w:r w:rsidRPr="00695EC7">
        <w:t>entrapment</w:t>
      </w:r>
      <w:r>
        <w:t xml:space="preserve">. </w:t>
      </w:r>
      <w:r w:rsidRPr="00FF6743">
        <w:t xml:space="preserve">The US Department of State's 2023 </w:t>
      </w:r>
      <w:r w:rsidRPr="000A1F71">
        <w:rPr>
          <w:i/>
          <w:iCs/>
        </w:rPr>
        <w:t>Egypt Country Report on Human Rights Practices</w:t>
      </w:r>
      <w:r w:rsidRPr="00FF6743">
        <w:t xml:space="preserve"> </w:t>
      </w:r>
      <w:r>
        <w:t xml:space="preserve">reported </w:t>
      </w:r>
      <w:r w:rsidRPr="0019558C">
        <w:t xml:space="preserve">police </w:t>
      </w:r>
      <w:r>
        <w:t xml:space="preserve">had sometimes </w:t>
      </w:r>
      <w:r w:rsidRPr="0019558C">
        <w:t>harass</w:t>
      </w:r>
      <w:r>
        <w:t>ed</w:t>
      </w:r>
      <w:r w:rsidRPr="0019558C">
        <w:t xml:space="preserve"> LGBTQI</w:t>
      </w:r>
      <w:r>
        <w:t>A</w:t>
      </w:r>
      <w:r w:rsidRPr="0019558C">
        <w:t>+ pe</w:t>
      </w:r>
      <w:r>
        <w:t xml:space="preserve">ople and used </w:t>
      </w:r>
      <w:r w:rsidRPr="0019558C">
        <w:t xml:space="preserve">physical assault, </w:t>
      </w:r>
      <w:r>
        <w:t xml:space="preserve">had </w:t>
      </w:r>
      <w:r w:rsidRPr="0019558C">
        <w:t>forcibly solicit</w:t>
      </w:r>
      <w:r>
        <w:t>ed</w:t>
      </w:r>
      <w:r w:rsidRPr="0019558C">
        <w:t xml:space="preserve"> bribes to avoid arrest and forc</w:t>
      </w:r>
      <w:r>
        <w:t>ed</w:t>
      </w:r>
      <w:r w:rsidRPr="0019558C">
        <w:t xml:space="preserve"> them to provide information concerning other LGBTQI</w:t>
      </w:r>
      <w:r>
        <w:t>A</w:t>
      </w:r>
      <w:r w:rsidRPr="0019558C">
        <w:t>+ individuals</w:t>
      </w:r>
      <w:r>
        <w:rPr>
          <w:lang w:val="en-AU"/>
        </w:rPr>
        <w:t xml:space="preserve">. </w:t>
      </w:r>
      <w:r w:rsidRPr="006E495B">
        <w:t xml:space="preserve">In-country sources said between 30 to 50 LGBTQIA+ people </w:t>
      </w:r>
      <w:r>
        <w:t>were</w:t>
      </w:r>
      <w:r w:rsidRPr="006E495B">
        <w:t xml:space="preserve"> arrested annually in Egypt, the majority</w:t>
      </w:r>
      <w:r>
        <w:t xml:space="preserve"> were </w:t>
      </w:r>
      <w:r w:rsidRPr="006E495B">
        <w:t>later acquitted.</w:t>
      </w:r>
      <w:r>
        <w:t xml:space="preserve"> I</w:t>
      </w:r>
      <w:r w:rsidRPr="006E495B">
        <w:t xml:space="preserve">n-country sources </w:t>
      </w:r>
      <w:r>
        <w:t>said</w:t>
      </w:r>
      <w:r w:rsidRPr="006E495B">
        <w:t xml:space="preserve"> </w:t>
      </w:r>
      <w:r>
        <w:t>police</w:t>
      </w:r>
      <w:r w:rsidRPr="006E495B">
        <w:t xml:space="preserve"> </w:t>
      </w:r>
      <w:r>
        <w:t xml:space="preserve">often </w:t>
      </w:r>
      <w:r w:rsidRPr="006E495B">
        <w:t>target</w:t>
      </w:r>
      <w:r>
        <w:t>ed</w:t>
      </w:r>
      <w:r w:rsidRPr="006E495B">
        <w:t xml:space="preserve"> </w:t>
      </w:r>
      <w:r>
        <w:t xml:space="preserve">LGBTQIA+ people based on class, with those arrested primarily having lower socio-economic status and lacking </w:t>
      </w:r>
      <w:r w:rsidRPr="00A52F70">
        <w:rPr>
          <w:i/>
          <w:iCs/>
        </w:rPr>
        <w:t>wasta</w:t>
      </w:r>
      <w:r>
        <w:t xml:space="preserve">. </w:t>
      </w:r>
      <w:r w:rsidRPr="00781719">
        <w:t xml:space="preserve">International media reported that </w:t>
      </w:r>
      <w:r>
        <w:t xml:space="preserve">incarcerated </w:t>
      </w:r>
      <w:r w:rsidRPr="00781719">
        <w:t>LGBTQIA+ people often face worse treatment than other inmates, including verbal and physical abuse.</w:t>
      </w:r>
    </w:p>
    <w:p w14:paraId="2997DB8E" w14:textId="77777777" w:rsidR="00C47BE6" w:rsidRDefault="00C47BE6" w:rsidP="00C47BE6">
      <w:pPr>
        <w:pStyle w:val="ListParagraph1"/>
      </w:pPr>
      <w:r>
        <w:t xml:space="preserve">Homosexuality is </w:t>
      </w:r>
      <w:r w:rsidRPr="003A090C">
        <w:t>social</w:t>
      </w:r>
      <w:r>
        <w:t>ly</w:t>
      </w:r>
      <w:r w:rsidRPr="003A090C">
        <w:t xml:space="preserve"> taboo </w:t>
      </w:r>
      <w:r>
        <w:t xml:space="preserve">in Egypt </w:t>
      </w:r>
      <w:r w:rsidRPr="003A090C">
        <w:t>across socio-economic backgrounds and geographic locations.</w:t>
      </w:r>
      <w:r>
        <w:t xml:space="preserve"> Societal discrimination against LGBTQIA+ people is common, especially in terms of accessing accommodation and e</w:t>
      </w:r>
      <w:r w:rsidRPr="000B0408">
        <w:t>mployment</w:t>
      </w:r>
      <w:r>
        <w:t xml:space="preserve">. In-country sources said LGBTQIA+ people generally did not share their </w:t>
      </w:r>
      <w:r w:rsidRPr="000B0408">
        <w:t>sexual orientation or gender identity openly with other</w:t>
      </w:r>
      <w:r>
        <w:t xml:space="preserve">s, although some did on social media and dating applications. In-country sources said many LGBTQIA+ people feared being ‘outed’ and the perceived shame it might bring their family. LGBTQIA+ people sometimes faced threats and extortion when people found out about their </w:t>
      </w:r>
      <w:r w:rsidRPr="000B0408">
        <w:t>sexual orientation or gender identity</w:t>
      </w:r>
      <w:r>
        <w:t>. In</w:t>
      </w:r>
      <w:r>
        <w:noBreakHyphen/>
        <w:t xml:space="preserve">country sources said LGBTQIA+ had difficulties accessing state protection because they often avoided contact with the </w:t>
      </w:r>
      <w:hyperlink w:anchor="_Police" w:history="1">
        <w:r w:rsidRPr="008909E9">
          <w:rPr>
            <w:rStyle w:val="Hyperlink"/>
          </w:rPr>
          <w:t>police</w:t>
        </w:r>
      </w:hyperlink>
      <w:r>
        <w:t xml:space="preserve"> for fear of being questioned, detained or extorted. Although societal violence against LGBTQIA+ people was rarely reported, family violence sometimes occurred, especially against gay men </w:t>
      </w:r>
      <w:proofErr w:type="gramStart"/>
      <w:r>
        <w:t>as a result of</w:t>
      </w:r>
      <w:proofErr w:type="gramEnd"/>
      <w:r w:rsidRPr="00A52F70">
        <w:t xml:space="preserve"> Egypt</w:t>
      </w:r>
      <w:r>
        <w:t>’s</w:t>
      </w:r>
      <w:r w:rsidRPr="00A52F70">
        <w:t xml:space="preserve"> patriarchal culture</w:t>
      </w:r>
      <w:r>
        <w:t xml:space="preserve">. LGBTQIA+ people also reportedly had a higher </w:t>
      </w:r>
      <w:r w:rsidRPr="000B0408">
        <w:t>suicide</w:t>
      </w:r>
      <w:r>
        <w:t xml:space="preserve"> rate than the overall population. </w:t>
      </w:r>
    </w:p>
    <w:p w14:paraId="41CE9B98" w14:textId="77777777" w:rsidR="00C47BE6" w:rsidRDefault="00C47BE6" w:rsidP="00C47BE6">
      <w:pPr>
        <w:pStyle w:val="ListParagraph1"/>
      </w:pPr>
      <w:r>
        <w:t xml:space="preserve">Both gay men and lesbians come under considerable social pressure to enter heterosexual marriages and produce children. Religious leaders from both the Muslim and Coptic Christians communities sometimes advocated for forced ‘corrective’ heterosexual marriages and conversion therapy. In-country sources said few people accessed conversion therapy, which was very expensive and only accessible to rich, upper-class families.  </w:t>
      </w:r>
    </w:p>
    <w:p w14:paraId="2E33FB39" w14:textId="77777777" w:rsidR="00C47BE6" w:rsidRDefault="00C47BE6" w:rsidP="00C47BE6">
      <w:pPr>
        <w:pStyle w:val="ListParagraph1"/>
      </w:pPr>
      <w:r>
        <w:lastRenderedPageBreak/>
        <w:t xml:space="preserve">Egypt </w:t>
      </w:r>
      <w:r w:rsidRPr="00BB01EF">
        <w:t>lack</w:t>
      </w:r>
      <w:r>
        <w:t>s detailed</w:t>
      </w:r>
      <w:r w:rsidRPr="00BB01EF">
        <w:t xml:space="preserve"> legislation</w:t>
      </w:r>
      <w:r>
        <w:t xml:space="preserve"> or processes </w:t>
      </w:r>
      <w:r w:rsidRPr="00BB01EF">
        <w:t>regulat</w:t>
      </w:r>
      <w:r>
        <w:t>ing</w:t>
      </w:r>
      <w:r w:rsidRPr="00BB01EF">
        <w:t xml:space="preserve"> sex reassignment surgery.</w:t>
      </w:r>
      <w:r>
        <w:t xml:space="preserve"> P</w:t>
      </w:r>
      <w:r w:rsidRPr="00EF7D8A">
        <w:t>hysician</w:t>
      </w:r>
      <w:r>
        <w:t>s</w:t>
      </w:r>
      <w:r w:rsidRPr="00EF7D8A">
        <w:t xml:space="preserve"> </w:t>
      </w:r>
      <w:r>
        <w:t>are</w:t>
      </w:r>
      <w:r w:rsidRPr="00EF7D8A">
        <w:t xml:space="preserve"> prohibited from carrying out </w:t>
      </w:r>
      <w:r>
        <w:t>‘</w:t>
      </w:r>
      <w:r w:rsidRPr="00EF7D8A">
        <w:t>gender change</w:t>
      </w:r>
      <w:r>
        <w:t>’</w:t>
      </w:r>
      <w:r w:rsidRPr="00EF7D8A">
        <w:t xml:space="preserve"> operations</w:t>
      </w:r>
      <w:r>
        <w:t xml:space="preserve"> but are permitted to perform ‘</w:t>
      </w:r>
      <w:r w:rsidRPr="00EF7D8A">
        <w:t>gender correction</w:t>
      </w:r>
      <w:r>
        <w:t>’</w:t>
      </w:r>
      <w:r w:rsidRPr="00EF7D8A">
        <w:t xml:space="preserve"> operations</w:t>
      </w:r>
      <w:r>
        <w:t xml:space="preserve"> with </w:t>
      </w:r>
      <w:r w:rsidRPr="00EF7D8A">
        <w:t xml:space="preserve">approval </w:t>
      </w:r>
      <w:r>
        <w:t xml:space="preserve">from </w:t>
      </w:r>
      <w:r w:rsidRPr="00EF7D8A">
        <w:t xml:space="preserve">the </w:t>
      </w:r>
      <w:r>
        <w:t xml:space="preserve">review </w:t>
      </w:r>
      <w:r w:rsidRPr="00EF7D8A">
        <w:t>committee</w:t>
      </w:r>
      <w:r>
        <w:t xml:space="preserve"> within the Medical Syndicate</w:t>
      </w:r>
      <w:r w:rsidRPr="00EF7D8A">
        <w:t>.</w:t>
      </w:r>
      <w:r>
        <w:t xml:space="preserve"> In-country sources said the committee met irregularly and had a backlog of cases.</w:t>
      </w:r>
      <w:r w:rsidRPr="00EF7D8A">
        <w:t xml:space="preserve"> In 2020, the head of the committee </w:t>
      </w:r>
      <w:r>
        <w:t xml:space="preserve">said </w:t>
      </w:r>
      <w:r w:rsidRPr="00EF7D8A">
        <w:t xml:space="preserve">between 2014 and 2017, 87 cases </w:t>
      </w:r>
      <w:r>
        <w:t xml:space="preserve">of ‘gender correction’ </w:t>
      </w:r>
      <w:r w:rsidRPr="00EF7D8A">
        <w:t xml:space="preserve">had been approved for </w:t>
      </w:r>
      <w:r>
        <w:t xml:space="preserve">intersex people </w:t>
      </w:r>
      <w:r w:rsidRPr="00EF7D8A">
        <w:t xml:space="preserve">but none </w:t>
      </w:r>
      <w:r>
        <w:t>for transgender people</w:t>
      </w:r>
      <w:r w:rsidRPr="00EF7D8A">
        <w:t>.</w:t>
      </w:r>
      <w:r>
        <w:t xml:space="preserve"> </w:t>
      </w:r>
      <w:r w:rsidRPr="00F44C12">
        <w:t>In the absence of government-sponsored gender-affirming healthcare</w:t>
      </w:r>
      <w:r>
        <w:t>,</w:t>
      </w:r>
      <w:r w:rsidRPr="00F44C12">
        <w:t xml:space="preserve"> an underground </w:t>
      </w:r>
      <w:r w:rsidRPr="00BB01EF">
        <w:t>sex reassignment surgery</w:t>
      </w:r>
      <w:r w:rsidRPr="00F44C12">
        <w:t xml:space="preserve"> industry </w:t>
      </w:r>
      <w:r>
        <w:t>has emerged</w:t>
      </w:r>
      <w:r w:rsidRPr="00F44C12">
        <w:t>.</w:t>
      </w:r>
      <w:r>
        <w:t xml:space="preserve"> Those who do not gain relevant approvals before undergoing </w:t>
      </w:r>
      <w:r w:rsidRPr="00BB01EF">
        <w:t>sex reassignment surgery</w:t>
      </w:r>
      <w:r>
        <w:t xml:space="preserve"> often </w:t>
      </w:r>
      <w:r w:rsidRPr="00EF7D8A">
        <w:t xml:space="preserve">face problems </w:t>
      </w:r>
      <w:r>
        <w:t>changing</w:t>
      </w:r>
      <w:r w:rsidRPr="00EF7D8A">
        <w:t xml:space="preserve"> </w:t>
      </w:r>
      <w:r>
        <w:t>their</w:t>
      </w:r>
      <w:r w:rsidRPr="00EF7D8A">
        <w:t xml:space="preserve"> </w:t>
      </w:r>
      <w:r>
        <w:t xml:space="preserve">gender on </w:t>
      </w:r>
      <w:r w:rsidRPr="00EF7D8A">
        <w:t>official documents</w:t>
      </w:r>
      <w:r>
        <w:t>. In-country sources said they were aware of instances of gender being modified on government-issued identification of trans women but only after bribes were paid.</w:t>
      </w:r>
    </w:p>
    <w:p w14:paraId="1B398DDB" w14:textId="77777777" w:rsidR="00C47BE6" w:rsidRPr="00F44C12" w:rsidRDefault="00C47BE6" w:rsidP="00C47BE6">
      <w:pPr>
        <w:pStyle w:val="ListParagraph1"/>
      </w:pPr>
      <w:r>
        <w:t>T</w:t>
      </w:r>
      <w:r w:rsidRPr="00F44C12">
        <w:t xml:space="preserve">rans women </w:t>
      </w:r>
      <w:r>
        <w:t>often experience societal discrimination and find it difficult to secure formal</w:t>
      </w:r>
      <w:r w:rsidRPr="00F44C12">
        <w:t xml:space="preserve"> employment</w:t>
      </w:r>
      <w:r>
        <w:t>. Some trans women</w:t>
      </w:r>
      <w:r w:rsidRPr="00F44C12">
        <w:t xml:space="preserve"> reportedly turn to prostitution, leaving them vulnerable to sexual abuse, harassment or arrest under</w:t>
      </w:r>
      <w:r>
        <w:t xml:space="preserve"> the</w:t>
      </w:r>
      <w:r w:rsidRPr="00F44C12">
        <w:t xml:space="preserve"> </w:t>
      </w:r>
      <w:r w:rsidRPr="00F44C12">
        <w:rPr>
          <w:i/>
          <w:iCs/>
        </w:rPr>
        <w:t>Law on Combating Prostitution (No. 10) 1961</w:t>
      </w:r>
      <w:r w:rsidRPr="00F44C12">
        <w:t xml:space="preserve">. If arrested, trans women are generally treated </w:t>
      </w:r>
      <w:r>
        <w:t xml:space="preserve">by authorities </w:t>
      </w:r>
      <w:r w:rsidRPr="00F44C12">
        <w:t>as men.</w:t>
      </w:r>
    </w:p>
    <w:p w14:paraId="0A03BD5D" w14:textId="77777777" w:rsidR="00C47BE6" w:rsidRDefault="00C47BE6" w:rsidP="00C47BE6">
      <w:pPr>
        <w:pStyle w:val="ListParagraph1"/>
      </w:pPr>
      <w:r>
        <w:t>A small number of CSOs advocate for LGBTQIA+ rights. Most CSO efforts are</w:t>
      </w:r>
      <w:r w:rsidRPr="00A47093">
        <w:t xml:space="preserve"> </w:t>
      </w:r>
      <w:r>
        <w:t xml:space="preserve">focused on providing legal support to those arrested, psycho-social support and safe spaces for the community and discreet advocacy with international organisations. Most CSOs advocating for LGBTQIA+ rights in Egypt keep a low profile and operate discretely to avoid the attention of authorities. </w:t>
      </w:r>
    </w:p>
    <w:p w14:paraId="4C84521B" w14:textId="77777777" w:rsidR="00C47BE6" w:rsidRPr="00657840" w:rsidRDefault="00C47BE6" w:rsidP="00C47BE6">
      <w:pPr>
        <w:pStyle w:val="ListParagraph1"/>
      </w:pPr>
      <w:r w:rsidRPr="00657840">
        <w:t>DFAT assesses LGBTQIA+ people</w:t>
      </w:r>
      <w:r>
        <w:t xml:space="preserve"> are likely</w:t>
      </w:r>
      <w:r w:rsidRPr="00657840">
        <w:t xml:space="preserve"> </w:t>
      </w:r>
      <w:r>
        <w:t xml:space="preserve">to </w:t>
      </w:r>
      <w:r w:rsidRPr="00657840">
        <w:t>face official discrimination</w:t>
      </w:r>
      <w:r>
        <w:t xml:space="preserve"> based on their s</w:t>
      </w:r>
      <w:r w:rsidRPr="00E02527">
        <w:t xml:space="preserve">exual </w:t>
      </w:r>
      <w:r>
        <w:t>o</w:t>
      </w:r>
      <w:r w:rsidRPr="00E02527">
        <w:t xml:space="preserve">rientation and </w:t>
      </w:r>
      <w:r>
        <w:t>g</w:t>
      </w:r>
      <w:r w:rsidRPr="00E02527">
        <w:t xml:space="preserve">ender </w:t>
      </w:r>
      <w:r>
        <w:t>i</w:t>
      </w:r>
      <w:r w:rsidRPr="00E02527">
        <w:t>dentity</w:t>
      </w:r>
      <w:r w:rsidRPr="00657840">
        <w:t xml:space="preserve"> in the form</w:t>
      </w:r>
      <w:r>
        <w:t xml:space="preserve"> of harassment and arrest due to</w:t>
      </w:r>
      <w:r w:rsidRPr="00657840">
        <w:t xml:space="preserve"> individual prejudices of </w:t>
      </w:r>
      <w:hyperlink w:anchor="_Police" w:history="1">
        <w:r w:rsidRPr="00F266A0">
          <w:rPr>
            <w:rStyle w:val="Hyperlink"/>
          </w:rPr>
          <w:t>police</w:t>
        </w:r>
      </w:hyperlink>
      <w:r>
        <w:t xml:space="preserve"> officers </w:t>
      </w:r>
      <w:r w:rsidRPr="00657840">
        <w:t>rather than official policy</w:t>
      </w:r>
      <w:r>
        <w:t xml:space="preserve">, as well as </w:t>
      </w:r>
      <w:r w:rsidRPr="00161899">
        <w:t xml:space="preserve">apprehension about </w:t>
      </w:r>
      <w:r>
        <w:t>accessing</w:t>
      </w:r>
      <w:r w:rsidRPr="00161899">
        <w:t xml:space="preserve"> state protection</w:t>
      </w:r>
      <w:r w:rsidRPr="00657840">
        <w:t>.</w:t>
      </w:r>
      <w:r>
        <w:t xml:space="preserve"> </w:t>
      </w:r>
      <w:r w:rsidRPr="00E02527">
        <w:t>DFAT assesses</w:t>
      </w:r>
      <w:r>
        <w:t xml:space="preserve"> </w:t>
      </w:r>
      <w:r w:rsidRPr="00E02527">
        <w:t xml:space="preserve">LGBTQIA+ people </w:t>
      </w:r>
      <w:r>
        <w:t xml:space="preserve">are likely to </w:t>
      </w:r>
      <w:r w:rsidRPr="00E02527">
        <w:t>face societal discrimination</w:t>
      </w:r>
      <w:r>
        <w:t>.</w:t>
      </w:r>
      <w:r w:rsidRPr="00E02527">
        <w:t xml:space="preserve"> DFAT assesses it is rare </w:t>
      </w:r>
      <w:r>
        <w:t xml:space="preserve">for </w:t>
      </w:r>
      <w:r w:rsidRPr="00E02527">
        <w:t xml:space="preserve">LGBTQIA+ </w:t>
      </w:r>
      <w:r>
        <w:t xml:space="preserve">people to </w:t>
      </w:r>
      <w:r w:rsidRPr="00E02527">
        <w:t xml:space="preserve">experience societal violence </w:t>
      </w:r>
      <w:r>
        <w:t xml:space="preserve">but </w:t>
      </w:r>
      <w:r w:rsidRPr="00E02527">
        <w:t>they possibly experience family violence</w:t>
      </w:r>
      <w:r>
        <w:t>. DFAT assesses t</w:t>
      </w:r>
      <w:r w:rsidRPr="00F44C12">
        <w:t>rans women</w:t>
      </w:r>
      <w:r>
        <w:t xml:space="preserve"> are almost certain to </w:t>
      </w:r>
      <w:r w:rsidRPr="00657840">
        <w:t>face official discrimination</w:t>
      </w:r>
      <w:r>
        <w:t xml:space="preserve"> in the form of gaining permission for </w:t>
      </w:r>
      <w:r w:rsidRPr="00BB01EF">
        <w:t>sex reassignment surgery</w:t>
      </w:r>
      <w:r>
        <w:t xml:space="preserve"> and changing</w:t>
      </w:r>
      <w:r w:rsidRPr="00EF7D8A">
        <w:t xml:space="preserve"> </w:t>
      </w:r>
      <w:r>
        <w:t>their</w:t>
      </w:r>
      <w:r w:rsidRPr="00EF7D8A">
        <w:t xml:space="preserve"> </w:t>
      </w:r>
      <w:r>
        <w:t xml:space="preserve">gender on </w:t>
      </w:r>
      <w:r w:rsidRPr="00EF7D8A">
        <w:t xml:space="preserve">official </w:t>
      </w:r>
      <w:hyperlink w:anchor="_DOCUMENTATION" w:history="1">
        <w:r w:rsidRPr="00F266A0">
          <w:rPr>
            <w:rStyle w:val="Hyperlink"/>
          </w:rPr>
          <w:t>documents</w:t>
        </w:r>
      </w:hyperlink>
      <w:bookmarkEnd w:id="76"/>
      <w:r>
        <w:t>.</w:t>
      </w:r>
    </w:p>
    <w:p w14:paraId="0B4EADEE" w14:textId="77777777" w:rsidR="00C47BE6" w:rsidRPr="000B0F61" w:rsidRDefault="00C47BE6" w:rsidP="00C47BE6">
      <w:pPr>
        <w:pStyle w:val="Heading3"/>
        <w:ind w:firstLine="0"/>
        <w:jc w:val="left"/>
        <w:rPr>
          <w:rFonts w:cs="Calibri"/>
          <w:b/>
          <w:bCs/>
          <w:color w:val="auto"/>
        </w:rPr>
      </w:pPr>
      <w:bookmarkStart w:id="77" w:name="_Conscientious_Objectors"/>
      <w:bookmarkStart w:id="78" w:name="_Children"/>
      <w:bookmarkStart w:id="79" w:name="_Toc196318437"/>
      <w:bookmarkEnd w:id="77"/>
      <w:bookmarkEnd w:id="78"/>
      <w:r>
        <w:rPr>
          <w:rFonts w:cs="Calibri"/>
          <w:b/>
          <w:bCs/>
          <w:color w:val="auto"/>
        </w:rPr>
        <w:t>Children</w:t>
      </w:r>
      <w:bookmarkEnd w:id="79"/>
    </w:p>
    <w:p w14:paraId="647327F3" w14:textId="77777777" w:rsidR="00C47BE6" w:rsidRPr="00493DFA" w:rsidRDefault="00C47BE6" w:rsidP="00C47BE6">
      <w:pPr>
        <w:pStyle w:val="ListParagraph1"/>
      </w:pPr>
      <w:r w:rsidRPr="00493DFA">
        <w:t xml:space="preserve">Article 80 of the Constitution </w:t>
      </w:r>
      <w:r>
        <w:t xml:space="preserve">defines </w:t>
      </w:r>
      <w:r w:rsidRPr="00493DFA">
        <w:t xml:space="preserve">anyone under the age of 18 years </w:t>
      </w:r>
      <w:r>
        <w:t>as a</w:t>
      </w:r>
      <w:r w:rsidRPr="00493DFA">
        <w:t xml:space="preserve"> child</w:t>
      </w:r>
      <w:r>
        <w:t>. The Constitution</w:t>
      </w:r>
      <w:r w:rsidRPr="00493DFA">
        <w:t xml:space="preserve"> </w:t>
      </w:r>
      <w:r>
        <w:t>commits the state to ensuring children have</w:t>
      </w:r>
      <w:r w:rsidRPr="00493DFA">
        <w:t xml:space="preserve"> free </w:t>
      </w:r>
      <w:r>
        <w:t xml:space="preserve">healthcare, </w:t>
      </w:r>
      <w:r w:rsidRPr="00493DFA">
        <w:t>vaccination</w:t>
      </w:r>
      <w:r>
        <w:t>s</w:t>
      </w:r>
      <w:r w:rsidRPr="00493DFA">
        <w:t>, basic nutrition, safe shelter</w:t>
      </w:r>
      <w:r>
        <w:t xml:space="preserve"> and</w:t>
      </w:r>
      <w:r w:rsidRPr="00493DFA">
        <w:t xml:space="preserve"> education.</w:t>
      </w:r>
      <w:r>
        <w:t xml:space="preserve"> </w:t>
      </w:r>
      <w:r>
        <w:rPr>
          <w:lang w:val="en-AU"/>
        </w:rPr>
        <w:t xml:space="preserve">The Egyptian Government is responsible for </w:t>
      </w:r>
      <w:r w:rsidRPr="00493DFA">
        <w:rPr>
          <w:lang w:val="en-AU"/>
        </w:rPr>
        <w:t>provid</w:t>
      </w:r>
      <w:r>
        <w:rPr>
          <w:lang w:val="en-AU"/>
        </w:rPr>
        <w:t>ing</w:t>
      </w:r>
      <w:r w:rsidRPr="00493DFA">
        <w:rPr>
          <w:lang w:val="en-AU"/>
        </w:rPr>
        <w:t xml:space="preserve"> children with protection from </w:t>
      </w:r>
      <w:r>
        <w:rPr>
          <w:lang w:val="en-AU"/>
        </w:rPr>
        <w:t>‘</w:t>
      </w:r>
      <w:r w:rsidRPr="00493DFA">
        <w:rPr>
          <w:lang w:val="en-AU"/>
        </w:rPr>
        <w:t>all forms of violence, abuse, mistreatment and commercial and sexual exploitation</w:t>
      </w:r>
      <w:r>
        <w:rPr>
          <w:lang w:val="en-AU"/>
        </w:rPr>
        <w:t xml:space="preserve">’. </w:t>
      </w:r>
      <w:r w:rsidRPr="00FF5E08">
        <w:rPr>
          <w:lang w:val="en-AU"/>
        </w:rPr>
        <w:t xml:space="preserve">The </w:t>
      </w:r>
      <w:r w:rsidRPr="00FF5E08">
        <w:rPr>
          <w:i/>
          <w:iCs/>
          <w:lang w:val="en-AU"/>
        </w:rPr>
        <w:t>Child Law (No. 12) 1996</w:t>
      </w:r>
      <w:r w:rsidRPr="00FF5E08">
        <w:rPr>
          <w:lang w:val="en-AU"/>
        </w:rPr>
        <w:t xml:space="preserve"> amended </w:t>
      </w:r>
      <w:r>
        <w:rPr>
          <w:lang w:val="en-AU"/>
        </w:rPr>
        <w:t>in</w:t>
      </w:r>
      <w:r w:rsidRPr="00FF5E08">
        <w:rPr>
          <w:lang w:val="en-AU"/>
        </w:rPr>
        <w:t xml:space="preserve"> 2008</w:t>
      </w:r>
      <w:r>
        <w:rPr>
          <w:lang w:val="en-AU"/>
        </w:rPr>
        <w:t xml:space="preserve">, </w:t>
      </w:r>
      <w:r w:rsidRPr="00FF5E08">
        <w:rPr>
          <w:i/>
          <w:iCs/>
          <w:lang w:val="en-AU"/>
        </w:rPr>
        <w:t>Labour Law (No.12) 2003</w:t>
      </w:r>
      <w:r>
        <w:rPr>
          <w:lang w:val="en-AU"/>
        </w:rPr>
        <w:t xml:space="preserve"> and</w:t>
      </w:r>
      <w:r w:rsidRPr="00FF5E08">
        <w:rPr>
          <w:lang w:val="en-AU"/>
        </w:rPr>
        <w:t xml:space="preserve"> </w:t>
      </w:r>
      <w:r w:rsidRPr="00FF5E08">
        <w:rPr>
          <w:i/>
          <w:iCs/>
          <w:lang w:val="en-AU"/>
        </w:rPr>
        <w:t>Law No. 64 2010</w:t>
      </w:r>
      <w:r w:rsidRPr="00FF5E08">
        <w:rPr>
          <w:lang w:val="en-AU"/>
        </w:rPr>
        <w:t xml:space="preserve"> on combating human trafficking provide </w:t>
      </w:r>
      <w:r>
        <w:rPr>
          <w:lang w:val="en-AU"/>
        </w:rPr>
        <w:t xml:space="preserve">specific </w:t>
      </w:r>
      <w:r w:rsidRPr="00FF5E08">
        <w:rPr>
          <w:lang w:val="en-AU"/>
        </w:rPr>
        <w:t>protection</w:t>
      </w:r>
      <w:r>
        <w:rPr>
          <w:lang w:val="en-AU"/>
        </w:rPr>
        <w:t>s</w:t>
      </w:r>
      <w:r w:rsidRPr="00FF5E08">
        <w:rPr>
          <w:lang w:val="en-AU"/>
        </w:rPr>
        <w:t xml:space="preserve"> for children</w:t>
      </w:r>
      <w:r>
        <w:rPr>
          <w:lang w:val="en-AU"/>
        </w:rPr>
        <w:t xml:space="preserve">. </w:t>
      </w:r>
      <w:r w:rsidRPr="00FF5E08">
        <w:rPr>
          <w:lang w:val="en-AU"/>
        </w:rPr>
        <w:t xml:space="preserve">The </w:t>
      </w:r>
      <w:r w:rsidRPr="00FF5E08">
        <w:rPr>
          <w:i/>
          <w:iCs/>
          <w:lang w:val="en-AU"/>
        </w:rPr>
        <w:t>Sustainable Development Strategy: Egypt Vision 2030</w:t>
      </w:r>
      <w:r w:rsidRPr="00FF5E08">
        <w:rPr>
          <w:lang w:val="en-AU"/>
        </w:rPr>
        <w:t xml:space="preserve"> </w:t>
      </w:r>
      <w:r>
        <w:rPr>
          <w:lang w:val="en-AU"/>
        </w:rPr>
        <w:t>outlines</w:t>
      </w:r>
      <w:r w:rsidRPr="00FF5E08">
        <w:rPr>
          <w:lang w:val="en-AU"/>
        </w:rPr>
        <w:t xml:space="preserve"> commitment</w:t>
      </w:r>
      <w:r>
        <w:rPr>
          <w:lang w:val="en-AU"/>
        </w:rPr>
        <w:t>s</w:t>
      </w:r>
      <w:r w:rsidRPr="00FF5E08">
        <w:rPr>
          <w:lang w:val="en-AU"/>
        </w:rPr>
        <w:t xml:space="preserve"> towards </w:t>
      </w:r>
      <w:r>
        <w:rPr>
          <w:lang w:val="en-AU"/>
        </w:rPr>
        <w:t xml:space="preserve">combatting </w:t>
      </w:r>
      <w:r w:rsidRPr="00BB01EF">
        <w:rPr>
          <w:lang w:val="en-AU"/>
        </w:rPr>
        <w:t xml:space="preserve">violence against children, </w:t>
      </w:r>
      <w:r>
        <w:rPr>
          <w:lang w:val="en-AU"/>
        </w:rPr>
        <w:t xml:space="preserve">ending </w:t>
      </w:r>
      <w:r w:rsidRPr="00BB01EF">
        <w:rPr>
          <w:lang w:val="en-AU"/>
        </w:rPr>
        <w:t xml:space="preserve">preventable deaths of newborns and young children and ensuring universal health coverage for </w:t>
      </w:r>
      <w:r>
        <w:rPr>
          <w:lang w:val="en-AU"/>
        </w:rPr>
        <w:t xml:space="preserve">all </w:t>
      </w:r>
      <w:r w:rsidRPr="00BB01EF">
        <w:rPr>
          <w:lang w:val="en-AU"/>
        </w:rPr>
        <w:t>childre</w:t>
      </w:r>
      <w:r>
        <w:rPr>
          <w:lang w:val="en-AU"/>
        </w:rPr>
        <w:t>n.</w:t>
      </w:r>
    </w:p>
    <w:p w14:paraId="30D080BA" w14:textId="757B95C3" w:rsidR="00C47BE6" w:rsidRDefault="00C47BE6" w:rsidP="00C47BE6">
      <w:pPr>
        <w:pStyle w:val="ListParagraph1"/>
      </w:pPr>
      <w:r>
        <w:t>Corporal punishment in Egypt is common and p</w:t>
      </w:r>
      <w:r w:rsidRPr="00FF5E08">
        <w:t xml:space="preserve">arents </w:t>
      </w:r>
      <w:r>
        <w:t>often</w:t>
      </w:r>
      <w:r w:rsidRPr="00FF5E08">
        <w:t xml:space="preserve"> adopt </w:t>
      </w:r>
      <w:r>
        <w:t xml:space="preserve">violent </w:t>
      </w:r>
      <w:r w:rsidRPr="00FF5E08">
        <w:t>disciplinary practices</w:t>
      </w:r>
      <w:r>
        <w:t xml:space="preserve"> according to UNICEF. Boys</w:t>
      </w:r>
      <w:r w:rsidRPr="00FF5E08">
        <w:t xml:space="preserve"> are </w:t>
      </w:r>
      <w:r>
        <w:t>more</w:t>
      </w:r>
      <w:r w:rsidRPr="00FF5E08">
        <w:t xml:space="preserve"> likely than </w:t>
      </w:r>
      <w:r>
        <w:t>girls</w:t>
      </w:r>
      <w:r w:rsidRPr="00FF5E08">
        <w:t xml:space="preserve"> to suffer from violent discipline.</w:t>
      </w:r>
      <w:r>
        <w:t xml:space="preserve"> </w:t>
      </w:r>
      <w:r w:rsidRPr="00FF5E08">
        <w:t>Children living in poorer households are more likely to be exposed to violent disciplinary methods than children</w:t>
      </w:r>
      <w:r w:rsidR="00DE64CB">
        <w:t xml:space="preserve"> from wealthier families</w:t>
      </w:r>
      <w:r w:rsidRPr="00FF5E08">
        <w:t xml:space="preserve">. </w:t>
      </w:r>
    </w:p>
    <w:p w14:paraId="49E7252E" w14:textId="77777777" w:rsidR="00C47BE6" w:rsidRDefault="00C47BE6" w:rsidP="00C47BE6">
      <w:pPr>
        <w:pStyle w:val="ListParagraph1"/>
      </w:pPr>
      <w:r>
        <w:t>C</w:t>
      </w:r>
      <w:r w:rsidRPr="003E2ECC">
        <w:t>hild marriage</w:t>
      </w:r>
      <w:r>
        <w:t xml:space="preserve"> sometimes occurs, more frequently </w:t>
      </w:r>
      <w:r w:rsidRPr="003E2ECC">
        <w:t xml:space="preserve">in rural areas </w:t>
      </w:r>
      <w:r>
        <w:t xml:space="preserve">rather </w:t>
      </w:r>
      <w:r w:rsidRPr="003E2ECC">
        <w:t xml:space="preserve">than urban areas. </w:t>
      </w:r>
      <w:r>
        <w:t>Approximately</w:t>
      </w:r>
      <w:r w:rsidRPr="003E2ECC">
        <w:t xml:space="preserve"> 2</w:t>
      </w:r>
      <w:r>
        <w:t> </w:t>
      </w:r>
      <w:r w:rsidRPr="003E2ECC">
        <w:t>per cent of women aged 20-24 years were married by age 15 and 16 per cent were married by age 18</w:t>
      </w:r>
      <w:r>
        <w:t xml:space="preserve"> according to UNICEF data. In-country sources said child marriages often resulted in unregistered</w:t>
      </w:r>
      <w:r w:rsidRPr="003E2ECC">
        <w:t xml:space="preserve"> birth</w:t>
      </w:r>
      <w:r>
        <w:t>s.</w:t>
      </w:r>
    </w:p>
    <w:p w14:paraId="6AE33435" w14:textId="77777777" w:rsidR="00F35EFA" w:rsidRDefault="00C47BE6" w:rsidP="00F35EFA">
      <w:pPr>
        <w:pStyle w:val="ListParagraph1"/>
      </w:pPr>
      <w:r>
        <w:t xml:space="preserve">Approximately </w:t>
      </w:r>
      <w:r w:rsidRPr="003E2ECC">
        <w:t xml:space="preserve">1.3 million children aged </w:t>
      </w:r>
      <w:r>
        <w:t xml:space="preserve">between five and </w:t>
      </w:r>
      <w:r w:rsidRPr="003E2ECC">
        <w:t xml:space="preserve">17 </w:t>
      </w:r>
      <w:r>
        <w:t xml:space="preserve">were </w:t>
      </w:r>
      <w:r w:rsidRPr="003E2ECC">
        <w:t xml:space="preserve">engaged in child labour activities </w:t>
      </w:r>
      <w:r>
        <w:t>in Egypt in 2021.</w:t>
      </w:r>
      <w:r w:rsidRPr="003E2ECC">
        <w:t xml:space="preserve"> Child labour is twice as common in rural areas than </w:t>
      </w:r>
      <w:r>
        <w:t xml:space="preserve">in </w:t>
      </w:r>
      <w:r w:rsidRPr="003E2ECC">
        <w:t>urban area</w:t>
      </w:r>
      <w:r>
        <w:t>s. It is also</w:t>
      </w:r>
      <w:r w:rsidRPr="003E2ECC">
        <w:t xml:space="preserve"> more common among poorer households and among those whose mother is deceased. </w:t>
      </w:r>
      <w:r>
        <w:t>According to UNICEF, c</w:t>
      </w:r>
      <w:r w:rsidRPr="003E2ECC">
        <w:t xml:space="preserve">hild labour affects </w:t>
      </w:r>
      <w:hyperlink w:anchor="_Education" w:history="1">
        <w:r w:rsidRPr="009E59CE">
          <w:rPr>
            <w:rStyle w:val="Hyperlink"/>
          </w:rPr>
          <w:t>school</w:t>
        </w:r>
      </w:hyperlink>
      <w:r w:rsidRPr="003E2ECC">
        <w:t xml:space="preserve"> attendance w</w:t>
      </w:r>
      <w:r>
        <w:t xml:space="preserve">ith </w:t>
      </w:r>
      <w:r w:rsidRPr="003E2ECC">
        <w:t xml:space="preserve">10 per cent of children who are not attending school engaged in child labour compared </w:t>
      </w:r>
      <w:r w:rsidR="0047378D">
        <w:t xml:space="preserve">with </w:t>
      </w:r>
      <w:r w:rsidRPr="003E2ECC">
        <w:t>4 per</w:t>
      </w:r>
      <w:r>
        <w:t> </w:t>
      </w:r>
      <w:r w:rsidRPr="003E2ECC">
        <w:t xml:space="preserve">cent among those attending school. </w:t>
      </w:r>
      <w:r>
        <w:t>The Egyptian Government does not release</w:t>
      </w:r>
      <w:r w:rsidRPr="003E2ECC">
        <w:t xml:space="preserve"> data on the number of children exposed to the worst forms of child labour, such as drug trafficking, forced begg</w:t>
      </w:r>
      <w:r>
        <w:t>ing</w:t>
      </w:r>
      <w:r w:rsidRPr="003E2ECC">
        <w:t xml:space="preserve"> and commercial sexual exploitation</w:t>
      </w:r>
      <w:r>
        <w:t>.</w:t>
      </w:r>
    </w:p>
    <w:p w14:paraId="25D676D7" w14:textId="72456290" w:rsidR="00C47BE6" w:rsidRPr="00F35EFA" w:rsidRDefault="00C47BE6" w:rsidP="00F35EFA">
      <w:pPr>
        <w:pStyle w:val="ListParagraph1"/>
      </w:pPr>
      <w:r w:rsidRPr="00F35EFA">
        <w:t>DFAT assesses it is rare for children to face official or societal discrimination based on their juvenile status</w:t>
      </w:r>
      <w:r>
        <w:t xml:space="preserve"> alone. DFAT assesses children are likely to face societal violence in </w:t>
      </w:r>
      <w:r w:rsidRPr="001159C9">
        <w:t xml:space="preserve">the form of </w:t>
      </w:r>
      <w:hyperlink w:anchor="_Corporal_Punishment" w:history="1">
        <w:r w:rsidRPr="00F266A0">
          <w:rPr>
            <w:rStyle w:val="Hyperlink"/>
          </w:rPr>
          <w:t>corporal punishment</w:t>
        </w:r>
      </w:hyperlink>
      <w:r w:rsidRPr="001159C9">
        <w:t xml:space="preserve">. Children who are poor, geographically isolated, </w:t>
      </w:r>
      <w:hyperlink w:anchor="_Women" w:history="1">
        <w:r w:rsidRPr="00F266A0">
          <w:rPr>
            <w:rStyle w:val="Hyperlink"/>
          </w:rPr>
          <w:t>female</w:t>
        </w:r>
      </w:hyperlink>
      <w:r w:rsidRPr="001159C9">
        <w:t xml:space="preserve">, living with </w:t>
      </w:r>
      <w:hyperlink w:anchor="_People_with_Disability" w:history="1">
        <w:r w:rsidRPr="001159C9">
          <w:rPr>
            <w:rStyle w:val="Hyperlink"/>
          </w:rPr>
          <w:t>disabilities</w:t>
        </w:r>
      </w:hyperlink>
      <w:r w:rsidRPr="001159C9">
        <w:t xml:space="preserve"> or orphaned may face elevated risks</w:t>
      </w:r>
      <w:r>
        <w:t>.</w:t>
      </w:r>
      <w:bookmarkStart w:id="80" w:name="_Asylum_seekers_and_1"/>
      <w:bookmarkEnd w:id="80"/>
      <w:r>
        <w:br w:type="page"/>
      </w:r>
    </w:p>
    <w:p w14:paraId="2F99CBE8" w14:textId="77777777" w:rsidR="00C47BE6" w:rsidRPr="00C47BE6" w:rsidRDefault="00C47BE6" w:rsidP="00C47BE6">
      <w:pPr>
        <w:pStyle w:val="Heading1Numbered"/>
        <w:spacing w:before="240" w:after="0"/>
        <w:jc w:val="left"/>
        <w:rPr>
          <w:rFonts w:ascii="Calibri" w:hAnsi="Calibri" w:cs="Calibri"/>
          <w:color w:val="auto"/>
          <w:sz w:val="40"/>
          <w:szCs w:val="40"/>
        </w:rPr>
      </w:pPr>
      <w:bookmarkStart w:id="81" w:name="_Toc196387081"/>
      <w:r w:rsidRPr="00C47BE6">
        <w:rPr>
          <w:rFonts w:ascii="Calibri" w:hAnsi="Calibri" w:cs="Calibri"/>
          <w:color w:val="auto"/>
          <w:sz w:val="40"/>
          <w:szCs w:val="40"/>
        </w:rPr>
        <w:lastRenderedPageBreak/>
        <w:t>COMPLEMENTARY PROTECTION CLAIMS</w:t>
      </w:r>
      <w:bookmarkEnd w:id="81"/>
    </w:p>
    <w:p w14:paraId="3A3046CB" w14:textId="77777777" w:rsidR="00C47BE6" w:rsidRPr="00C47BE6" w:rsidRDefault="00C47BE6" w:rsidP="00C47BE6">
      <w:pPr>
        <w:pStyle w:val="Heading2"/>
        <w:ind w:firstLine="0"/>
        <w:jc w:val="left"/>
        <w:rPr>
          <w:rFonts w:ascii="Calibri" w:hAnsi="Calibri" w:cs="Calibri"/>
          <w:b/>
          <w:bCs/>
          <w:color w:val="auto"/>
          <w:sz w:val="36"/>
          <w:szCs w:val="36"/>
        </w:rPr>
      </w:pPr>
      <w:bookmarkStart w:id="82" w:name="_Toc196387082"/>
      <w:r w:rsidRPr="00C47BE6">
        <w:rPr>
          <w:rFonts w:ascii="Calibri" w:hAnsi="Calibri" w:cs="Calibri"/>
          <w:b/>
          <w:bCs/>
          <w:color w:val="auto"/>
          <w:sz w:val="36"/>
          <w:szCs w:val="36"/>
        </w:rPr>
        <w:t>ARBITRARY DEPRIVATION OF LIFE</w:t>
      </w:r>
      <w:bookmarkEnd w:id="82"/>
    </w:p>
    <w:p w14:paraId="6918A678" w14:textId="77777777" w:rsidR="00C47BE6" w:rsidRPr="00C47BE6" w:rsidRDefault="00C47BE6" w:rsidP="00C47BE6">
      <w:pPr>
        <w:pStyle w:val="Heading3"/>
        <w:ind w:firstLine="0"/>
        <w:jc w:val="left"/>
        <w:rPr>
          <w:rFonts w:cs="Calibri"/>
          <w:b/>
          <w:bCs/>
          <w:color w:val="auto"/>
        </w:rPr>
      </w:pPr>
      <w:bookmarkStart w:id="83" w:name="_Extrajudicial_Killings"/>
      <w:bookmarkStart w:id="84" w:name="_Toc196318440"/>
      <w:bookmarkEnd w:id="83"/>
      <w:r w:rsidRPr="00C47BE6">
        <w:rPr>
          <w:rFonts w:cs="Calibri"/>
          <w:b/>
          <w:bCs/>
          <w:color w:val="auto"/>
        </w:rPr>
        <w:t>Extrajudicial Killings</w:t>
      </w:r>
      <w:bookmarkEnd w:id="84"/>
    </w:p>
    <w:p w14:paraId="71B749CB" w14:textId="77777777" w:rsidR="00C47BE6" w:rsidRDefault="00C47BE6" w:rsidP="00C47BE6">
      <w:pPr>
        <w:pStyle w:val="ListParagraph1"/>
      </w:pPr>
      <w:r w:rsidRPr="00493DFA">
        <w:t xml:space="preserve">Article </w:t>
      </w:r>
      <w:r>
        <w:t>59</w:t>
      </w:r>
      <w:r w:rsidRPr="00493DFA">
        <w:t xml:space="preserve"> of the Constitution </w:t>
      </w:r>
      <w:r>
        <w:t>guarantees Egyptians the</w:t>
      </w:r>
      <w:r w:rsidRPr="005E4D42">
        <w:t xml:space="preserve"> right to a </w:t>
      </w:r>
      <w:r>
        <w:t>‘</w:t>
      </w:r>
      <w:r w:rsidRPr="005E4D42">
        <w:t>safe life</w:t>
      </w:r>
      <w:r>
        <w:t xml:space="preserve">’, with the government responsible for </w:t>
      </w:r>
      <w:r w:rsidRPr="005E4D42">
        <w:t>provid</w:t>
      </w:r>
      <w:r>
        <w:t>ing</w:t>
      </w:r>
      <w:r w:rsidRPr="005E4D42">
        <w:t xml:space="preserve"> security </w:t>
      </w:r>
      <w:r>
        <w:t xml:space="preserve">for its citizens. The </w:t>
      </w:r>
      <w:r w:rsidRPr="00806D02">
        <w:t>Supreme State Security Prosecution</w:t>
      </w:r>
      <w:r>
        <w:t xml:space="preserve"> is often responsible for investigating extrajudicial killings but outcomes are rarely made public. </w:t>
      </w:r>
      <w:r w:rsidRPr="00FF6743">
        <w:t xml:space="preserve">The US Department of State's 2023 </w:t>
      </w:r>
      <w:r w:rsidRPr="000A1F71">
        <w:rPr>
          <w:i/>
          <w:iCs/>
        </w:rPr>
        <w:t>Egypt Country Report on Human Rights Practices</w:t>
      </w:r>
      <w:r w:rsidRPr="00FF6743">
        <w:t xml:space="preserve"> state</w:t>
      </w:r>
      <w:r>
        <w:t>d t</w:t>
      </w:r>
      <w:r w:rsidRPr="0043517F">
        <w:t xml:space="preserve">he Public Prosecutor’s Office </w:t>
      </w:r>
      <w:r>
        <w:t xml:space="preserve">had </w:t>
      </w:r>
      <w:r w:rsidRPr="0043517F">
        <w:t xml:space="preserve">charged, prosecuted and convicted </w:t>
      </w:r>
      <w:r>
        <w:t xml:space="preserve">a small number of </w:t>
      </w:r>
      <w:r w:rsidRPr="0043517F">
        <w:t xml:space="preserve">perpetrators but lack of accountability </w:t>
      </w:r>
      <w:r>
        <w:t>was</w:t>
      </w:r>
      <w:r w:rsidRPr="0043517F">
        <w:t xml:space="preserve"> a serious problem.</w:t>
      </w:r>
      <w:r>
        <w:t xml:space="preserve"> Human rights organisations reported perpetrators of extrajudicial killings often </w:t>
      </w:r>
      <w:r w:rsidRPr="0043517F">
        <w:t>ac</w:t>
      </w:r>
      <w:r>
        <w:t xml:space="preserve">ted with </w:t>
      </w:r>
      <w:r w:rsidRPr="0043517F">
        <w:t xml:space="preserve">impunity under the pretext </w:t>
      </w:r>
      <w:r>
        <w:t>the killings</w:t>
      </w:r>
      <w:r w:rsidRPr="0043517F">
        <w:t xml:space="preserve"> occurred </w:t>
      </w:r>
      <w:r>
        <w:t>as part</w:t>
      </w:r>
      <w:r w:rsidRPr="0043517F">
        <w:t xml:space="preserve"> </w:t>
      </w:r>
      <w:r>
        <w:t xml:space="preserve">of </w:t>
      </w:r>
      <w:r w:rsidRPr="0043517F">
        <w:t>counter</w:t>
      </w:r>
      <w:r>
        <w:noBreakHyphen/>
      </w:r>
      <w:r w:rsidRPr="0043517F">
        <w:t>terrorism operations.</w:t>
      </w:r>
      <w:r>
        <w:t xml:space="preserve"> In-country sources said provisions of the </w:t>
      </w:r>
      <w:r w:rsidRPr="0021405E">
        <w:rPr>
          <w:i/>
          <w:iCs/>
          <w:lang w:val="en-AU"/>
        </w:rPr>
        <w:t>Anti-Terrorism Law</w:t>
      </w:r>
      <w:r w:rsidRPr="00000CB9">
        <w:rPr>
          <w:i/>
          <w:iCs/>
          <w:lang w:val="en-AU"/>
        </w:rPr>
        <w:t xml:space="preserve"> 2015</w:t>
      </w:r>
      <w:r w:rsidRPr="0047166C">
        <w:t xml:space="preserve"> </w:t>
      </w:r>
      <w:r>
        <w:t>protected officers who used</w:t>
      </w:r>
      <w:r w:rsidRPr="0047166C">
        <w:t xml:space="preserve"> force </w:t>
      </w:r>
      <w:r>
        <w:t xml:space="preserve">in the course of </w:t>
      </w:r>
      <w:r w:rsidRPr="0047166C">
        <w:t>their dut</w:t>
      </w:r>
      <w:r>
        <w:t>ies</w:t>
      </w:r>
      <w:r w:rsidRPr="0047166C">
        <w:t xml:space="preserve"> as long</w:t>
      </w:r>
      <w:r>
        <w:t xml:space="preserve"> it</w:t>
      </w:r>
      <w:r w:rsidRPr="0047166C">
        <w:t xml:space="preserve"> </w:t>
      </w:r>
      <w:r>
        <w:t>wa</w:t>
      </w:r>
      <w:r w:rsidRPr="0047166C">
        <w:t>s found to have been necessary.</w:t>
      </w:r>
    </w:p>
    <w:p w14:paraId="1F96E8C9" w14:textId="77777777" w:rsidR="00C47BE6" w:rsidRPr="009655F1" w:rsidRDefault="00C47BE6" w:rsidP="00C47BE6">
      <w:pPr>
        <w:pStyle w:val="ListParagraph1"/>
      </w:pPr>
      <w:r>
        <w:t xml:space="preserve">When they occur, extrajudicial killings usually happen during </w:t>
      </w:r>
      <w:r w:rsidRPr="00806D02">
        <w:t xml:space="preserve">arrests or </w:t>
      </w:r>
      <w:r>
        <w:t xml:space="preserve">while suspects are in police </w:t>
      </w:r>
      <w:r w:rsidRPr="00806D02">
        <w:t>custody.</w:t>
      </w:r>
      <w:r>
        <w:t xml:space="preserve"> For example,</w:t>
      </w:r>
      <w:r w:rsidRPr="0043517F">
        <w:t xml:space="preserve"> Youssef </w:t>
      </w:r>
      <w:proofErr w:type="spellStart"/>
      <w:r w:rsidRPr="0043517F">
        <w:t>Sarhani</w:t>
      </w:r>
      <w:proofErr w:type="spellEnd"/>
      <w:r w:rsidRPr="0043517F">
        <w:t xml:space="preserve"> and Farag al-Farazi were reportedly killed in police custody</w:t>
      </w:r>
      <w:r>
        <w:t xml:space="preserve"> </w:t>
      </w:r>
      <w:r w:rsidRPr="001042DF">
        <w:t xml:space="preserve">in </w:t>
      </w:r>
      <w:proofErr w:type="spellStart"/>
      <w:r w:rsidRPr="001042DF">
        <w:t>Matrouh</w:t>
      </w:r>
      <w:proofErr w:type="spellEnd"/>
      <w:r w:rsidRPr="001042DF">
        <w:t xml:space="preserve"> </w:t>
      </w:r>
      <w:r>
        <w:t>G</w:t>
      </w:r>
      <w:r w:rsidRPr="001042DF">
        <w:t>overnorate</w:t>
      </w:r>
      <w:r>
        <w:t xml:space="preserve"> while being questioned about the deaths of </w:t>
      </w:r>
      <w:r w:rsidRPr="001042DF">
        <w:t>three security force</w:t>
      </w:r>
      <w:r>
        <w:t xml:space="preserve"> members. </w:t>
      </w:r>
      <w:r w:rsidRPr="001042DF">
        <w:t xml:space="preserve">Public prosecutors in </w:t>
      </w:r>
      <w:proofErr w:type="spellStart"/>
      <w:r w:rsidRPr="001042DF">
        <w:t>Matrouh</w:t>
      </w:r>
      <w:proofErr w:type="spellEnd"/>
      <w:r w:rsidRPr="001042DF">
        <w:t xml:space="preserve"> initiated an investigation into the </w:t>
      </w:r>
      <w:r>
        <w:t xml:space="preserve">deaths of </w:t>
      </w:r>
      <w:proofErr w:type="spellStart"/>
      <w:r>
        <w:t>Sarhani</w:t>
      </w:r>
      <w:proofErr w:type="spellEnd"/>
      <w:r>
        <w:t xml:space="preserve"> and al-Farazi, which was ongoing at the time of publication.</w:t>
      </w:r>
    </w:p>
    <w:p w14:paraId="7B6D1A31" w14:textId="77777777" w:rsidR="00C47BE6" w:rsidRPr="00954EB9" w:rsidRDefault="00C47BE6" w:rsidP="00C47BE6">
      <w:pPr>
        <w:pStyle w:val="Heading3"/>
        <w:ind w:firstLine="0"/>
        <w:jc w:val="left"/>
        <w:rPr>
          <w:rFonts w:cs="Calibri"/>
          <w:b/>
          <w:bCs/>
          <w:color w:val="auto"/>
        </w:rPr>
      </w:pPr>
      <w:bookmarkStart w:id="85" w:name="_Enforced_or_Involuntary"/>
      <w:bookmarkStart w:id="86" w:name="_Toc196318441"/>
      <w:bookmarkEnd w:id="85"/>
      <w:r w:rsidRPr="007F2D24">
        <w:rPr>
          <w:rFonts w:cs="Calibri"/>
          <w:b/>
          <w:bCs/>
          <w:color w:val="auto"/>
        </w:rPr>
        <w:t>Enforced or Involuntary Disappearances</w:t>
      </w:r>
      <w:bookmarkEnd w:id="86"/>
    </w:p>
    <w:p w14:paraId="2392CC54" w14:textId="77777777" w:rsidR="00C47BE6" w:rsidRPr="0021405E" w:rsidRDefault="00C47BE6" w:rsidP="00C47BE6">
      <w:pPr>
        <w:pStyle w:val="ListParagraph1"/>
      </w:pPr>
      <w:r w:rsidRPr="0021405E">
        <w:t xml:space="preserve">Article </w:t>
      </w:r>
      <w:r>
        <w:t>54 of the Constitution prohibits the</w:t>
      </w:r>
      <w:r w:rsidRPr="0021405E">
        <w:t xml:space="preserve"> arrest, det</w:t>
      </w:r>
      <w:r>
        <w:t xml:space="preserve">ention </w:t>
      </w:r>
      <w:r w:rsidRPr="0021405E">
        <w:t>or restrict</w:t>
      </w:r>
      <w:r>
        <w:t xml:space="preserve">ion of </w:t>
      </w:r>
      <w:r w:rsidRPr="0021405E">
        <w:t xml:space="preserve">freedom of anyone in any way </w:t>
      </w:r>
      <w:r>
        <w:t xml:space="preserve">unless under </w:t>
      </w:r>
      <w:r w:rsidRPr="0021405E">
        <w:t>judicial order.</w:t>
      </w:r>
      <w:r>
        <w:t xml:space="preserve"> </w:t>
      </w:r>
      <w:r w:rsidRPr="00FF6743">
        <w:t xml:space="preserve">The US Department of State's 2023 </w:t>
      </w:r>
      <w:r w:rsidRPr="000A1F71">
        <w:rPr>
          <w:i/>
          <w:iCs/>
        </w:rPr>
        <w:t>Egypt Country Report on Human Rights Practices</w:t>
      </w:r>
      <w:r w:rsidRPr="00FF6743">
        <w:t xml:space="preserve"> </w:t>
      </w:r>
      <w:r>
        <w:t>reported a</w:t>
      </w:r>
      <w:r w:rsidRPr="0021405E">
        <w:t>uthorities sometimes detained individuals without producing warrants</w:t>
      </w:r>
      <w:r>
        <w:t xml:space="preserve">. Many </w:t>
      </w:r>
      <w:r w:rsidRPr="0021405E">
        <w:t xml:space="preserve">detainees </w:t>
      </w:r>
      <w:r>
        <w:t xml:space="preserve">were held </w:t>
      </w:r>
      <w:r w:rsidRPr="0021405E">
        <w:t xml:space="preserve">incommunicado and denied requests to contact family members </w:t>
      </w:r>
      <w:r>
        <w:t>or</w:t>
      </w:r>
      <w:r w:rsidRPr="0021405E">
        <w:t xml:space="preserve"> lawyers for periods ranging from a few days to several years.</w:t>
      </w:r>
      <w:r>
        <w:t xml:space="preserve"> Local human rights organisation stated </w:t>
      </w:r>
      <w:r w:rsidRPr="0021405E">
        <w:rPr>
          <w:lang w:val="en-AU"/>
        </w:rPr>
        <w:t xml:space="preserve">enforced disappearances </w:t>
      </w:r>
      <w:r>
        <w:rPr>
          <w:lang w:val="en-AU"/>
        </w:rPr>
        <w:t>were</w:t>
      </w:r>
      <w:r w:rsidRPr="0021405E">
        <w:rPr>
          <w:lang w:val="en-AU"/>
        </w:rPr>
        <w:t xml:space="preserve"> systemic and widespread</w:t>
      </w:r>
      <w:r>
        <w:rPr>
          <w:lang w:val="en-AU"/>
        </w:rPr>
        <w:t>.</w:t>
      </w:r>
    </w:p>
    <w:p w14:paraId="51B5762D" w14:textId="77777777" w:rsidR="00C47BE6" w:rsidRPr="00954EB9" w:rsidRDefault="00C47BE6" w:rsidP="00C47BE6">
      <w:pPr>
        <w:pStyle w:val="ListParagraph1"/>
      </w:pPr>
      <w:r>
        <w:t xml:space="preserve">In-country sources said during enforced disappearances suspects were blindfolded by security services and </w:t>
      </w:r>
      <w:r w:rsidRPr="007D5A41">
        <w:t>shackled to wall</w:t>
      </w:r>
      <w:r>
        <w:t>s</w:t>
      </w:r>
      <w:r w:rsidRPr="007D5A41">
        <w:t xml:space="preserve"> </w:t>
      </w:r>
      <w:r>
        <w:t>for between six</w:t>
      </w:r>
      <w:r w:rsidRPr="007D5A41">
        <w:t xml:space="preserve"> weeks to </w:t>
      </w:r>
      <w:r>
        <w:t>two</w:t>
      </w:r>
      <w:r w:rsidRPr="007D5A41">
        <w:t xml:space="preserve"> months</w:t>
      </w:r>
      <w:r>
        <w:t xml:space="preserve"> before ultimately being charged with </w:t>
      </w:r>
      <w:r w:rsidRPr="007D5A41">
        <w:t>belonging to a terrorist group</w:t>
      </w:r>
      <w:r>
        <w:t>.</w:t>
      </w:r>
      <w:r w:rsidRPr="007D5A41">
        <w:t xml:space="preserve"> </w:t>
      </w:r>
      <w:r w:rsidRPr="007204E9">
        <w:t xml:space="preserve">The UN Working Group on Enforced or Involuntary Disappearance reported in </w:t>
      </w:r>
      <w:r>
        <w:t>July 2024</w:t>
      </w:r>
      <w:r w:rsidRPr="007204E9">
        <w:t xml:space="preserve"> it had a total of </w:t>
      </w:r>
      <w:r>
        <w:t>279</w:t>
      </w:r>
      <w:r w:rsidRPr="007204E9">
        <w:t xml:space="preserve"> unresolved cases</w:t>
      </w:r>
      <w:r>
        <w:rPr>
          <w:lang w:val="en-AU"/>
        </w:rPr>
        <w:t xml:space="preserve">. </w:t>
      </w:r>
      <w:r w:rsidRPr="0021405E">
        <w:rPr>
          <w:lang w:val="en-AU"/>
        </w:rPr>
        <w:t>The Working Group express</w:t>
      </w:r>
      <w:r>
        <w:rPr>
          <w:lang w:val="en-AU"/>
        </w:rPr>
        <w:t>ed</w:t>
      </w:r>
      <w:r w:rsidRPr="0021405E">
        <w:rPr>
          <w:lang w:val="en-AU"/>
        </w:rPr>
        <w:t xml:space="preserve"> concern at the reported patterns of use of the </w:t>
      </w:r>
      <w:r w:rsidRPr="0021405E">
        <w:rPr>
          <w:i/>
          <w:iCs/>
          <w:lang w:val="en-AU"/>
        </w:rPr>
        <w:t>Anti-Terrorism Law</w:t>
      </w:r>
      <w:r w:rsidRPr="00000CB9">
        <w:rPr>
          <w:i/>
          <w:iCs/>
          <w:lang w:val="en-AU"/>
        </w:rPr>
        <w:t xml:space="preserve"> 2015 </w:t>
      </w:r>
      <w:r w:rsidRPr="0021405E">
        <w:rPr>
          <w:lang w:val="en-AU"/>
        </w:rPr>
        <w:t>and national security legislation to perpetrate enforced disappearances.</w:t>
      </w:r>
      <w:r>
        <w:rPr>
          <w:lang w:val="en-AU"/>
        </w:rPr>
        <w:t xml:space="preserve"> </w:t>
      </w:r>
      <w:r w:rsidRPr="00000CB9">
        <w:rPr>
          <w:lang w:val="en-AU"/>
        </w:rPr>
        <w:t xml:space="preserve">Cases of enforced disappearance spiked in 2017 at 198 instances </w:t>
      </w:r>
      <w:r>
        <w:rPr>
          <w:lang w:val="en-AU"/>
        </w:rPr>
        <w:t>before decreasing to</w:t>
      </w:r>
      <w:r w:rsidRPr="00000CB9">
        <w:rPr>
          <w:lang w:val="en-AU"/>
        </w:rPr>
        <w:t xml:space="preserve"> </w:t>
      </w:r>
      <w:r>
        <w:rPr>
          <w:lang w:val="en-AU"/>
        </w:rPr>
        <w:t>eight</w:t>
      </w:r>
      <w:r w:rsidRPr="00000CB9">
        <w:rPr>
          <w:lang w:val="en-AU"/>
        </w:rPr>
        <w:t xml:space="preserve"> instances in 2021, three in 2022 and five in 2023.</w:t>
      </w:r>
      <w:r>
        <w:rPr>
          <w:lang w:val="en-AU"/>
        </w:rPr>
        <w:t xml:space="preserve"> </w:t>
      </w:r>
      <w:r w:rsidRPr="00000CB9">
        <w:rPr>
          <w:lang w:val="en-AU"/>
        </w:rPr>
        <w:t>Amnesty International reported dozens of individuals were subjected to enforced disappearance in 2024.</w:t>
      </w:r>
    </w:p>
    <w:p w14:paraId="39837703" w14:textId="77777777" w:rsidR="00C47BE6" w:rsidRPr="007F2D24" w:rsidRDefault="00C47BE6" w:rsidP="00C47BE6">
      <w:pPr>
        <w:pStyle w:val="Heading3"/>
        <w:ind w:firstLine="0"/>
        <w:jc w:val="left"/>
        <w:rPr>
          <w:rFonts w:cs="Calibri"/>
          <w:b/>
          <w:bCs/>
          <w:color w:val="auto"/>
        </w:rPr>
      </w:pPr>
      <w:bookmarkStart w:id="87" w:name="_Ref506285016"/>
      <w:bookmarkStart w:id="88" w:name="_Toc196318442"/>
      <w:r w:rsidRPr="007F2D24">
        <w:rPr>
          <w:rFonts w:cs="Calibri"/>
          <w:b/>
          <w:bCs/>
          <w:color w:val="auto"/>
        </w:rPr>
        <w:t>Deaths in Custody</w:t>
      </w:r>
      <w:bookmarkEnd w:id="87"/>
      <w:bookmarkEnd w:id="88"/>
    </w:p>
    <w:p w14:paraId="03797FB1" w14:textId="77777777" w:rsidR="00C47BE6" w:rsidRDefault="00C47BE6" w:rsidP="00C47BE6">
      <w:pPr>
        <w:pStyle w:val="ListParagraph1"/>
      </w:pPr>
      <w:r w:rsidRPr="00BB2AB0">
        <w:t xml:space="preserve">Egypt does not publish statistics on deaths in custody. </w:t>
      </w:r>
      <w:r>
        <w:t>In-country sources said</w:t>
      </w:r>
      <w:r w:rsidRPr="00BB2AB0">
        <w:t xml:space="preserve"> deaths in detention facilities </w:t>
      </w:r>
      <w:r>
        <w:t xml:space="preserve">occurred primarily due to </w:t>
      </w:r>
      <w:r w:rsidRPr="00BB2AB0">
        <w:t xml:space="preserve">lack of access to medical care and treatment (see </w:t>
      </w:r>
      <w:hyperlink w:anchor="_Detention_and_Prison" w:history="1">
        <w:r w:rsidRPr="00BB2AB0">
          <w:rPr>
            <w:rStyle w:val="Hyperlink"/>
            <w:rFonts w:cstheme="minorBidi"/>
            <w:lang w:val="en-AU"/>
          </w:rPr>
          <w:t>Detention and Prison</w:t>
        </w:r>
      </w:hyperlink>
      <w:r w:rsidRPr="00BB2AB0">
        <w:t xml:space="preserve">). </w:t>
      </w:r>
      <w:r>
        <w:t>Authorities often conclude d</w:t>
      </w:r>
      <w:r w:rsidRPr="00505A81">
        <w:t xml:space="preserve">eaths in custody occurred from natural causes </w:t>
      </w:r>
      <w:r>
        <w:t>and do not undertake</w:t>
      </w:r>
      <w:r w:rsidRPr="00505A81">
        <w:t xml:space="preserve"> forensic examination</w:t>
      </w:r>
      <w:r>
        <w:t>s</w:t>
      </w:r>
      <w:r w:rsidRPr="00505A81">
        <w:t>.</w:t>
      </w:r>
    </w:p>
    <w:p w14:paraId="6724555B" w14:textId="77777777" w:rsidR="00C47BE6" w:rsidRPr="006845AC" w:rsidRDefault="00C47BE6" w:rsidP="00C47BE6">
      <w:pPr>
        <w:pStyle w:val="ListParagraph1"/>
      </w:pPr>
      <w:r>
        <w:t xml:space="preserve">In-country sources said there had been approximately 132 deaths in custody between </w:t>
      </w:r>
      <w:r w:rsidRPr="00505A81">
        <w:t xml:space="preserve">April 2022 </w:t>
      </w:r>
      <w:r>
        <w:t>and</w:t>
      </w:r>
      <w:r w:rsidRPr="00505A81">
        <w:t xml:space="preserve"> November 2024</w:t>
      </w:r>
      <w:r>
        <w:t xml:space="preserve">. </w:t>
      </w:r>
      <w:r w:rsidRPr="00505A81">
        <w:t>A</w:t>
      </w:r>
      <w:r>
        <w:t>mnesty International stated a</w:t>
      </w:r>
      <w:r w:rsidRPr="00505A81">
        <w:t xml:space="preserve">uthorities failed to adequately investigate the causes and circumstances of at least 43 deaths in custody </w:t>
      </w:r>
      <w:r>
        <w:t>in 2024</w:t>
      </w:r>
      <w:r w:rsidRPr="00505A81">
        <w:t xml:space="preserve">. </w:t>
      </w:r>
      <w:r>
        <w:t>For example, n</w:t>
      </w:r>
      <w:r w:rsidRPr="00505A81">
        <w:t>o investigations were opened into the death of Ibrahim al-</w:t>
      </w:r>
      <w:proofErr w:type="spellStart"/>
      <w:r w:rsidRPr="00505A81">
        <w:t>Ajeery</w:t>
      </w:r>
      <w:proofErr w:type="spellEnd"/>
      <w:r w:rsidRPr="00505A81">
        <w:t xml:space="preserve"> </w:t>
      </w:r>
      <w:r>
        <w:t>in</w:t>
      </w:r>
      <w:r w:rsidRPr="00505A81">
        <w:t xml:space="preserve"> January </w:t>
      </w:r>
      <w:r>
        <w:t xml:space="preserve">2024 </w:t>
      </w:r>
      <w:r w:rsidRPr="00505A81">
        <w:t xml:space="preserve">at </w:t>
      </w:r>
      <w:r>
        <w:t xml:space="preserve">the </w:t>
      </w:r>
      <w:r w:rsidRPr="00505A81">
        <w:t xml:space="preserve">Badr 3 </w:t>
      </w:r>
      <w:r>
        <w:t>P</w:t>
      </w:r>
      <w:r w:rsidRPr="00505A81">
        <w:t>rison</w:t>
      </w:r>
      <w:r>
        <w:t xml:space="preserve"> following claims he had been denied access to healthcare for a chronic condition</w:t>
      </w:r>
      <w:r w:rsidRPr="00505A81">
        <w:t>.</w:t>
      </w:r>
    </w:p>
    <w:p w14:paraId="77EB7CC4" w14:textId="77777777" w:rsidR="00C47BE6" w:rsidRPr="00C47BE6" w:rsidRDefault="00C47BE6" w:rsidP="00C47BE6">
      <w:pPr>
        <w:pStyle w:val="Heading2"/>
        <w:ind w:firstLine="0"/>
        <w:jc w:val="left"/>
        <w:rPr>
          <w:rFonts w:ascii="Calibri" w:hAnsi="Calibri" w:cs="Calibri"/>
          <w:b/>
          <w:bCs/>
          <w:color w:val="auto"/>
          <w:sz w:val="36"/>
          <w:szCs w:val="36"/>
        </w:rPr>
      </w:pPr>
      <w:bookmarkStart w:id="89" w:name="_Toc196387083"/>
      <w:r w:rsidRPr="00C47BE6">
        <w:rPr>
          <w:rFonts w:ascii="Calibri" w:hAnsi="Calibri" w:cs="Calibri"/>
          <w:b/>
          <w:bCs/>
          <w:color w:val="auto"/>
          <w:sz w:val="36"/>
          <w:szCs w:val="36"/>
        </w:rPr>
        <w:t>DEATH PENALTY</w:t>
      </w:r>
      <w:bookmarkEnd w:id="89"/>
    </w:p>
    <w:p w14:paraId="201E5CF2" w14:textId="77777777" w:rsidR="00C47BE6" w:rsidRDefault="00C47BE6" w:rsidP="00C47BE6">
      <w:pPr>
        <w:pStyle w:val="ListParagraph1"/>
      </w:pPr>
      <w:bookmarkStart w:id="90" w:name="_Torture"/>
      <w:bookmarkEnd w:id="90"/>
      <w:r w:rsidRPr="00550C17">
        <w:t xml:space="preserve">Egyptian law permits the death penalty for 104 crimes </w:t>
      </w:r>
      <w:r>
        <w:t>under</w:t>
      </w:r>
      <w:r w:rsidRPr="00550C17">
        <w:t xml:space="preserve"> the </w:t>
      </w:r>
      <w:r w:rsidRPr="00DE64CB">
        <w:rPr>
          <w:i/>
          <w:iCs/>
        </w:rPr>
        <w:t>Penal Code (No. 58) 1937</w:t>
      </w:r>
      <w:r w:rsidRPr="00550C17">
        <w:t xml:space="preserve">, </w:t>
      </w:r>
      <w:r w:rsidRPr="00DE64CB">
        <w:rPr>
          <w:i/>
          <w:iCs/>
        </w:rPr>
        <w:t>Military Judiciary Law (No. 25) 1966</w:t>
      </w:r>
      <w:r w:rsidRPr="00550C17">
        <w:t xml:space="preserve">, </w:t>
      </w:r>
      <w:r w:rsidRPr="00DE64CB">
        <w:rPr>
          <w:i/>
          <w:iCs/>
        </w:rPr>
        <w:t>Weapons and Ammunition Law (No. 394) 1954</w:t>
      </w:r>
      <w:r w:rsidRPr="00550C17">
        <w:t xml:space="preserve"> and </w:t>
      </w:r>
      <w:r w:rsidRPr="00DE64CB">
        <w:rPr>
          <w:i/>
          <w:iCs/>
        </w:rPr>
        <w:t>Anti-Narcotics Law (No. 182) 1960</w:t>
      </w:r>
      <w:r w:rsidRPr="00550C17">
        <w:t>.</w:t>
      </w:r>
      <w:r>
        <w:t xml:space="preserve"> </w:t>
      </w:r>
      <w:r w:rsidRPr="00C76819">
        <w:t xml:space="preserve">Executions are carried out by hanging, although military personnel can be executed by firing squad. All death sentences are referred to the Grand Mufti who issues non-binding legal opinions based on </w:t>
      </w:r>
      <w:r w:rsidRPr="00550C17">
        <w:t>sharia</w:t>
      </w:r>
      <w:r w:rsidRPr="00C76819">
        <w:t xml:space="preserve">. Appeals against death sentences are referred to the Court of Cassation, except in the case of military trials that </w:t>
      </w:r>
      <w:r>
        <w:t xml:space="preserve">are not </w:t>
      </w:r>
      <w:r w:rsidRPr="00C76819">
        <w:t>appeal</w:t>
      </w:r>
      <w:r>
        <w:t>able</w:t>
      </w:r>
      <w:r w:rsidRPr="00C76819">
        <w:t>.</w:t>
      </w:r>
      <w:r>
        <w:t xml:space="preserve"> Prior to execution, </w:t>
      </w:r>
      <w:r w:rsidRPr="00172814">
        <w:lastRenderedPageBreak/>
        <w:t>file</w:t>
      </w:r>
      <w:r>
        <w:t>s</w:t>
      </w:r>
      <w:r w:rsidRPr="00172814">
        <w:t xml:space="preserve"> </w:t>
      </w:r>
      <w:r>
        <w:t>are</w:t>
      </w:r>
      <w:r w:rsidRPr="00172814">
        <w:t xml:space="preserve"> sent to the </w:t>
      </w:r>
      <w:r>
        <w:t>p</w:t>
      </w:r>
      <w:r w:rsidRPr="00172814">
        <w:t xml:space="preserve">resident </w:t>
      </w:r>
      <w:r>
        <w:t>to consider clemency. If no response is received within 14 days of the president receiving the condemned person’s file, the execution can legally be carried out.</w:t>
      </w:r>
    </w:p>
    <w:p w14:paraId="47E07F90" w14:textId="30308B94" w:rsidR="00C47BE6" w:rsidRDefault="00C47BE6" w:rsidP="00C47BE6">
      <w:pPr>
        <w:pStyle w:val="ListParagraph1"/>
      </w:pPr>
      <w:r w:rsidRPr="00550C17">
        <w:t>Egyptian courts issu</w:t>
      </w:r>
      <w:r>
        <w:t>e</w:t>
      </w:r>
      <w:r w:rsidRPr="00550C17">
        <w:t xml:space="preserve"> death sentences across a variety of cases</w:t>
      </w:r>
      <w:r>
        <w:t xml:space="preserve">, including those that are </w:t>
      </w:r>
      <w:r w:rsidRPr="00550C17">
        <w:t>politically motivated.</w:t>
      </w:r>
      <w:r>
        <w:t xml:space="preserve"> C</w:t>
      </w:r>
      <w:r w:rsidRPr="00550C17">
        <w:t xml:space="preserve">ourts issued at least 380 death sentences in 2024, compared </w:t>
      </w:r>
      <w:r w:rsidR="00C62FA6">
        <w:t xml:space="preserve">with </w:t>
      </w:r>
      <w:r w:rsidRPr="00550C17">
        <w:t>348 in 2023</w:t>
      </w:r>
      <w:r>
        <w:t xml:space="preserve"> and 538 in 2022</w:t>
      </w:r>
      <w:r w:rsidRPr="00550C17">
        <w:t xml:space="preserve">. Authorities executed at least 13 people in 2024, compared </w:t>
      </w:r>
      <w:r w:rsidR="006A78A1">
        <w:t>with</w:t>
      </w:r>
      <w:r w:rsidRPr="00550C17">
        <w:t xml:space="preserve"> at least </w:t>
      </w:r>
      <w:r>
        <w:t>8</w:t>
      </w:r>
      <w:r w:rsidRPr="00550C17">
        <w:t xml:space="preserve"> people in 2023</w:t>
      </w:r>
      <w:r>
        <w:t xml:space="preserve"> and 30 people in 2022</w:t>
      </w:r>
      <w:r w:rsidRPr="00550C17">
        <w:t xml:space="preserve">. </w:t>
      </w:r>
      <w:r w:rsidRPr="00EF2F83">
        <w:t xml:space="preserve">The Egyptian Front for Human Rights </w:t>
      </w:r>
      <w:r>
        <w:t xml:space="preserve">(EFHR) </w:t>
      </w:r>
      <w:r w:rsidRPr="00EF2F83">
        <w:t>state</w:t>
      </w:r>
      <w:r>
        <w:t>d</w:t>
      </w:r>
      <w:r w:rsidRPr="00EF2F83">
        <w:t xml:space="preserve"> all </w:t>
      </w:r>
      <w:r>
        <w:t xml:space="preserve">executions in 2023 and 2024 related to </w:t>
      </w:r>
      <w:r w:rsidRPr="00EF2F83">
        <w:t>criminal cases</w:t>
      </w:r>
      <w:r>
        <w:t xml:space="preserve">, with none </w:t>
      </w:r>
      <w:r w:rsidRPr="00EF2F83">
        <w:t xml:space="preserve">against individuals </w:t>
      </w:r>
      <w:r>
        <w:t xml:space="preserve">convicted </w:t>
      </w:r>
      <w:r w:rsidRPr="00EF2F83">
        <w:t>in</w:t>
      </w:r>
      <w:r>
        <w:t xml:space="preserve"> cased EFHR considered politically motivated</w:t>
      </w:r>
      <w:r w:rsidRPr="00EF2F83">
        <w:t>.</w:t>
      </w:r>
      <w:r>
        <w:t xml:space="preserve"> EFHR reported in 2022 seven </w:t>
      </w:r>
      <w:r w:rsidRPr="005279DD">
        <w:t>people</w:t>
      </w:r>
      <w:r>
        <w:t xml:space="preserve"> were executed following convictions in </w:t>
      </w:r>
      <w:r w:rsidRPr="005279DD">
        <w:t>cases of political violence.</w:t>
      </w:r>
    </w:p>
    <w:p w14:paraId="0A8A9461" w14:textId="77777777" w:rsidR="00C47BE6" w:rsidRDefault="00C47BE6" w:rsidP="00C47BE6">
      <w:pPr>
        <w:pStyle w:val="ListParagraph1"/>
      </w:pPr>
      <w:r w:rsidRPr="00C76819">
        <w:t xml:space="preserve">In-country sources </w:t>
      </w:r>
      <w:r>
        <w:t xml:space="preserve">said the number of executions in Egypt had declined significantly since 2020 because the </w:t>
      </w:r>
      <w:r w:rsidRPr="00AC7805">
        <w:t xml:space="preserve">government </w:t>
      </w:r>
      <w:r>
        <w:t>was keen to highlight progress addressing human rights concerns</w:t>
      </w:r>
      <w:r w:rsidRPr="00AC7805">
        <w:t>, including as part of the National Dialogue</w:t>
      </w:r>
      <w:r>
        <w:t>. In addition,</w:t>
      </w:r>
      <w:r w:rsidRPr="00AC7805">
        <w:t xml:space="preserve"> </w:t>
      </w:r>
      <w:r>
        <w:t xml:space="preserve">many of those found guilty of terrorism offences were </w:t>
      </w:r>
      <w:r w:rsidRPr="00AC7805">
        <w:t>execut</w:t>
      </w:r>
      <w:r>
        <w:t>ed prior to</w:t>
      </w:r>
      <w:r w:rsidRPr="00AC7805">
        <w:t xml:space="preserve"> 2022</w:t>
      </w:r>
      <w:r>
        <w:t>.</w:t>
      </w:r>
      <w:r w:rsidRPr="00AC7805">
        <w:t xml:space="preserve"> </w:t>
      </w:r>
    </w:p>
    <w:p w14:paraId="016AF148" w14:textId="77777777" w:rsidR="00C47BE6" w:rsidRPr="00C47BE6" w:rsidRDefault="00C47BE6" w:rsidP="00C47BE6">
      <w:pPr>
        <w:pStyle w:val="Heading2"/>
        <w:ind w:firstLine="0"/>
        <w:jc w:val="left"/>
        <w:rPr>
          <w:rFonts w:ascii="Calibri" w:hAnsi="Calibri" w:cs="Calibri"/>
          <w:b/>
          <w:bCs/>
          <w:color w:val="auto"/>
          <w:sz w:val="36"/>
          <w:szCs w:val="36"/>
        </w:rPr>
      </w:pPr>
      <w:bookmarkStart w:id="91" w:name="_Toc475371471"/>
      <w:bookmarkStart w:id="92" w:name="_Toc196387084"/>
      <w:r w:rsidRPr="00C47BE6">
        <w:rPr>
          <w:rFonts w:ascii="Calibri" w:hAnsi="Calibri" w:cs="Calibri"/>
          <w:b/>
          <w:bCs/>
          <w:color w:val="auto"/>
          <w:sz w:val="36"/>
          <w:szCs w:val="36"/>
        </w:rPr>
        <w:t>CRUEL, INHUMAN OR DEGRADING TREATMENT OR P</w:t>
      </w:r>
      <w:bookmarkEnd w:id="91"/>
      <w:r w:rsidRPr="00C47BE6">
        <w:rPr>
          <w:rFonts w:ascii="Calibri" w:hAnsi="Calibri" w:cs="Calibri"/>
          <w:b/>
          <w:bCs/>
          <w:color w:val="auto"/>
          <w:sz w:val="36"/>
          <w:szCs w:val="36"/>
        </w:rPr>
        <w:t>UNISHMENT</w:t>
      </w:r>
      <w:bookmarkEnd w:id="92"/>
    </w:p>
    <w:p w14:paraId="7EB718CA" w14:textId="77777777" w:rsidR="00C47BE6" w:rsidRPr="00F53385" w:rsidRDefault="00C47BE6" w:rsidP="00C47BE6">
      <w:pPr>
        <w:pStyle w:val="Heading3"/>
        <w:ind w:firstLine="0"/>
        <w:jc w:val="left"/>
        <w:rPr>
          <w:rFonts w:cs="Calibri"/>
          <w:b/>
          <w:bCs/>
          <w:color w:val="auto"/>
        </w:rPr>
      </w:pPr>
      <w:bookmarkStart w:id="93" w:name="_Torture_1"/>
      <w:bookmarkStart w:id="94" w:name="_Toc196318445"/>
      <w:bookmarkEnd w:id="93"/>
      <w:r w:rsidRPr="00F53385">
        <w:rPr>
          <w:rFonts w:cs="Calibri"/>
          <w:b/>
          <w:bCs/>
          <w:color w:val="auto"/>
        </w:rPr>
        <w:t>T</w:t>
      </w:r>
      <w:r>
        <w:rPr>
          <w:rFonts w:cs="Calibri"/>
          <w:b/>
          <w:bCs/>
          <w:color w:val="auto"/>
        </w:rPr>
        <w:t>orture</w:t>
      </w:r>
      <w:bookmarkEnd w:id="94"/>
    </w:p>
    <w:p w14:paraId="513F0215" w14:textId="77777777" w:rsidR="00C47BE6" w:rsidRDefault="00C47BE6" w:rsidP="00C47BE6">
      <w:pPr>
        <w:pStyle w:val="ListParagraph1"/>
      </w:pPr>
      <w:bookmarkStart w:id="95" w:name="_Ref520370638"/>
      <w:bookmarkStart w:id="96" w:name="_Toc196318446"/>
      <w:r>
        <w:t xml:space="preserve">Egypt is a State Party to the Convention Against Torture but not its Optional Protocol. Article 52 of the Constitution states all forms of torture are crimes with no statute of limitations. Article 126 of </w:t>
      </w:r>
      <w:r w:rsidRPr="008D1AF1">
        <w:t xml:space="preserve">The </w:t>
      </w:r>
      <w:r w:rsidRPr="003136BC">
        <w:rPr>
          <w:i/>
          <w:iCs/>
        </w:rPr>
        <w:t>Penal Code (No.</w:t>
      </w:r>
      <w:r>
        <w:rPr>
          <w:i/>
          <w:iCs/>
        </w:rPr>
        <w:t> </w:t>
      </w:r>
      <w:r w:rsidRPr="003136BC">
        <w:rPr>
          <w:i/>
          <w:iCs/>
        </w:rPr>
        <w:t>58) 1937</w:t>
      </w:r>
      <w:r>
        <w:t xml:space="preserve"> provides punishments of between </w:t>
      </w:r>
      <w:proofErr w:type="gramStart"/>
      <w:r>
        <w:t>three and ten years’</w:t>
      </w:r>
      <w:proofErr w:type="gramEnd"/>
      <w:r>
        <w:t xml:space="preserve"> imprisonment for ordering or conducting torture to extract a confession. The Office of the Public Prosecutor has responsibility for investigating complaints of torture and for referring them to the criminal courts. </w:t>
      </w:r>
    </w:p>
    <w:p w14:paraId="793FB904" w14:textId="77777777" w:rsidR="00C47BE6" w:rsidRPr="00466E60" w:rsidRDefault="00C47BE6" w:rsidP="00C47BE6">
      <w:pPr>
        <w:pStyle w:val="ListParagraph1"/>
      </w:pPr>
      <w:r>
        <w:t xml:space="preserve">Authorities, including President El-Sisi, have denied systemic torture occurs in Egypt. </w:t>
      </w:r>
      <w:r w:rsidRPr="00F42390">
        <w:rPr>
          <w:lang w:val="en-AU"/>
        </w:rPr>
        <w:t xml:space="preserve">Despite legal protections, </w:t>
      </w:r>
      <w:r>
        <w:rPr>
          <w:lang w:val="en-AU"/>
        </w:rPr>
        <w:t>in-country sources said</w:t>
      </w:r>
      <w:r w:rsidRPr="0047162E">
        <w:t xml:space="preserve"> </w:t>
      </w:r>
      <w:r>
        <w:t xml:space="preserve">police and </w:t>
      </w:r>
      <w:r w:rsidRPr="0047162E">
        <w:t>secu</w:t>
      </w:r>
      <w:r>
        <w:t>rity authorities sometimes</w:t>
      </w:r>
      <w:r w:rsidRPr="0047162E">
        <w:t xml:space="preserve"> resort</w:t>
      </w:r>
      <w:r>
        <w:t>ed</w:t>
      </w:r>
      <w:r w:rsidRPr="0047162E">
        <w:t xml:space="preserve"> to torture </w:t>
      </w:r>
      <w:r>
        <w:t>as a means of</w:t>
      </w:r>
      <w:r w:rsidRPr="0047162E">
        <w:t xml:space="preserve"> obtain</w:t>
      </w:r>
      <w:r>
        <w:t>ing</w:t>
      </w:r>
      <w:r w:rsidRPr="0047162E">
        <w:t xml:space="preserve"> confessions.</w:t>
      </w:r>
      <w:r>
        <w:t xml:space="preserve"> Torture often includes </w:t>
      </w:r>
      <w:r w:rsidRPr="0099524F">
        <w:t>beatings, sleep deprivation</w:t>
      </w:r>
      <w:r>
        <w:t xml:space="preserve"> and</w:t>
      </w:r>
      <w:r w:rsidRPr="0099524F">
        <w:t xml:space="preserve"> threats to family</w:t>
      </w:r>
      <w:r>
        <w:t xml:space="preserve">. </w:t>
      </w:r>
      <w:r w:rsidRPr="00020EF6">
        <w:t xml:space="preserve">Human Rights Watch </w:t>
      </w:r>
      <w:r>
        <w:t xml:space="preserve">further </w:t>
      </w:r>
      <w:r w:rsidRPr="00020EF6">
        <w:t xml:space="preserve">documented </w:t>
      </w:r>
      <w:r>
        <w:t xml:space="preserve">incidents of </w:t>
      </w:r>
      <w:r w:rsidRPr="00020EF6">
        <w:t xml:space="preserve">police and National Security Agency </w:t>
      </w:r>
      <w:r>
        <w:t xml:space="preserve">(NSA) </w:t>
      </w:r>
      <w:r w:rsidRPr="00020EF6">
        <w:t xml:space="preserve">officers </w:t>
      </w:r>
      <w:r>
        <w:t>using</w:t>
      </w:r>
      <w:r w:rsidRPr="00020EF6">
        <w:t xml:space="preserve"> electric shocks, stress positions and sometimes sexual assault</w:t>
      </w:r>
      <w:r>
        <w:t xml:space="preserve"> against terrorist and criminal suspects</w:t>
      </w:r>
      <w:r w:rsidRPr="00020EF6">
        <w:t>.</w:t>
      </w:r>
      <w:r>
        <w:t xml:space="preserve"> For example, political cartoonist </w:t>
      </w:r>
      <w:r w:rsidRPr="00A3568E">
        <w:t>Ashraf Omar</w:t>
      </w:r>
      <w:r>
        <w:t xml:space="preserve">’s </w:t>
      </w:r>
      <w:r w:rsidRPr="00B22723">
        <w:rPr>
          <w:lang w:val="en-AU"/>
        </w:rPr>
        <w:t xml:space="preserve">family said </w:t>
      </w:r>
      <w:r>
        <w:rPr>
          <w:lang w:val="en-AU"/>
        </w:rPr>
        <w:t xml:space="preserve">NSA officers </w:t>
      </w:r>
      <w:r w:rsidRPr="00B22723">
        <w:rPr>
          <w:lang w:val="en-AU"/>
        </w:rPr>
        <w:t xml:space="preserve">tortured him and threatened to subject him to electric shocks while </w:t>
      </w:r>
      <w:r>
        <w:rPr>
          <w:lang w:val="en-AU"/>
        </w:rPr>
        <w:t>in</w:t>
      </w:r>
      <w:r w:rsidRPr="00B22723">
        <w:rPr>
          <w:lang w:val="en-AU"/>
        </w:rPr>
        <w:t xml:space="preserve"> detention.</w:t>
      </w:r>
      <w:r>
        <w:t xml:space="preserve"> I</w:t>
      </w:r>
      <w:r w:rsidRPr="007A1995">
        <w:t>nternational human rights organisation</w:t>
      </w:r>
      <w:r>
        <w:t xml:space="preserve">s report </w:t>
      </w:r>
      <w:r w:rsidRPr="007A1995">
        <w:t>a</w:t>
      </w:r>
      <w:r>
        <w:t xml:space="preserve"> </w:t>
      </w:r>
      <w:r w:rsidRPr="007A1995">
        <w:t xml:space="preserve">culture of impunity for torture </w:t>
      </w:r>
      <w:r>
        <w:t>exists and</w:t>
      </w:r>
      <w:r w:rsidRPr="007A1995">
        <w:t xml:space="preserve"> State Prosecutors rarely investigate</w:t>
      </w:r>
      <w:r>
        <w:t xml:space="preserve"> torture allegations</w:t>
      </w:r>
      <w:r w:rsidRPr="007A1995">
        <w:t>.</w:t>
      </w:r>
    </w:p>
    <w:p w14:paraId="1CA9C30B" w14:textId="77777777" w:rsidR="00C47BE6" w:rsidRPr="00E96060" w:rsidRDefault="00C47BE6" w:rsidP="00C47BE6">
      <w:pPr>
        <w:pStyle w:val="Heading3"/>
        <w:ind w:firstLine="0"/>
        <w:jc w:val="left"/>
        <w:rPr>
          <w:rFonts w:cs="Calibri"/>
          <w:b/>
          <w:bCs/>
          <w:color w:val="auto"/>
        </w:rPr>
      </w:pPr>
      <w:bookmarkStart w:id="97" w:name="_Arbitrary_Arrest_and"/>
      <w:bookmarkEnd w:id="97"/>
      <w:r w:rsidRPr="00870E81">
        <w:rPr>
          <w:rFonts w:cs="Calibri"/>
          <w:b/>
          <w:bCs/>
          <w:color w:val="auto"/>
        </w:rPr>
        <w:t>Arbitrary Arrest and Detention</w:t>
      </w:r>
      <w:bookmarkEnd w:id="95"/>
      <w:bookmarkEnd w:id="96"/>
    </w:p>
    <w:p w14:paraId="37AC48C0" w14:textId="77777777" w:rsidR="00C47BE6" w:rsidRDefault="00C47BE6" w:rsidP="00C47BE6">
      <w:pPr>
        <w:pStyle w:val="ListParagraph1"/>
      </w:pPr>
      <w:r w:rsidRPr="00F06B4E">
        <w:t xml:space="preserve">Article 54 of the Constitution states, except when caught in the act, citizens may only be apprehended, searched, </w:t>
      </w:r>
      <w:r w:rsidRPr="00466E60">
        <w:t>arrested</w:t>
      </w:r>
      <w:r w:rsidRPr="00F06B4E">
        <w:t xml:space="preserve">, or have their freedoms restricted </w:t>
      </w:r>
      <w:r>
        <w:t xml:space="preserve">after a </w:t>
      </w:r>
      <w:r w:rsidRPr="00F06B4E">
        <w:t>judicial warrant</w:t>
      </w:r>
      <w:r>
        <w:t xml:space="preserve"> is issued</w:t>
      </w:r>
      <w:r w:rsidRPr="00F06B4E">
        <w:t xml:space="preserve">. Those detained must be immediately informed of the reason, allowed to contact family and a lawyer and </w:t>
      </w:r>
      <w:r>
        <w:t xml:space="preserve">be </w:t>
      </w:r>
      <w:r w:rsidRPr="00F06B4E">
        <w:t xml:space="preserve">brought before the investigating authority within 24 hours. Questioning may only </w:t>
      </w:r>
      <w:r>
        <w:t>occur</w:t>
      </w:r>
      <w:r w:rsidRPr="00F06B4E">
        <w:t xml:space="preserve"> in the presence of a lawyer.</w:t>
      </w:r>
    </w:p>
    <w:p w14:paraId="676FB9BA" w14:textId="77777777" w:rsidR="00C47BE6" w:rsidRDefault="00C47BE6" w:rsidP="00C47BE6">
      <w:pPr>
        <w:pStyle w:val="ListParagraph1"/>
      </w:pPr>
      <w:r w:rsidRPr="00870E81">
        <w:t xml:space="preserve">International and local human rights organisations </w:t>
      </w:r>
      <w:r>
        <w:t>state</w:t>
      </w:r>
      <w:r w:rsidRPr="00870E81">
        <w:t xml:space="preserve"> arrests without warrant</w:t>
      </w:r>
      <w:r>
        <w:t>s</w:t>
      </w:r>
      <w:r w:rsidRPr="00870E81">
        <w:t xml:space="preserve"> are common</w:t>
      </w:r>
      <w:r w:rsidRPr="00F06B4E">
        <w:t xml:space="preserve">. This is due in large part to </w:t>
      </w:r>
      <w:r w:rsidRPr="0021405E">
        <w:rPr>
          <w:lang w:val="en-AU"/>
        </w:rPr>
        <w:t xml:space="preserve">the </w:t>
      </w:r>
      <w:r w:rsidRPr="0021405E">
        <w:rPr>
          <w:i/>
          <w:iCs/>
          <w:lang w:val="en-AU"/>
        </w:rPr>
        <w:t>Anti-Terrorism Law</w:t>
      </w:r>
      <w:r w:rsidRPr="00000CB9">
        <w:rPr>
          <w:i/>
          <w:iCs/>
          <w:lang w:val="en-AU"/>
        </w:rPr>
        <w:t xml:space="preserve"> 2015 </w:t>
      </w:r>
      <w:r w:rsidRPr="0021405E">
        <w:rPr>
          <w:lang w:val="en-AU"/>
        </w:rPr>
        <w:t>and national security legislation</w:t>
      </w:r>
      <w:r w:rsidRPr="00F06B4E">
        <w:t xml:space="preserve"> that gives prosecutors greater power to detain suspects without judicial review and significantly expand</w:t>
      </w:r>
      <w:r>
        <w:t>s</w:t>
      </w:r>
      <w:r w:rsidRPr="00F06B4E">
        <w:t xml:space="preserve"> the definition of activities for which individuals and groups may be designated terrorists.</w:t>
      </w:r>
      <w:r>
        <w:t xml:space="preserve"> For example, </w:t>
      </w:r>
      <w:r w:rsidRPr="007C01A3">
        <w:t>Hani Soliman</w:t>
      </w:r>
      <w:r>
        <w:t xml:space="preserve"> was detained</w:t>
      </w:r>
      <w:r w:rsidRPr="007C01A3">
        <w:t xml:space="preserve"> </w:t>
      </w:r>
      <w:r>
        <w:t xml:space="preserve">in April 2023 </w:t>
      </w:r>
      <w:r w:rsidRPr="007C01A3">
        <w:t>following comment</w:t>
      </w:r>
      <w:r>
        <w:t>s on social media</w:t>
      </w:r>
      <w:r w:rsidRPr="007C01A3">
        <w:t xml:space="preserve"> </w:t>
      </w:r>
      <w:r>
        <w:t>regarding the</w:t>
      </w:r>
      <w:r w:rsidRPr="007C01A3">
        <w:t xml:space="preserve"> lack of transparency </w:t>
      </w:r>
      <w:r>
        <w:t xml:space="preserve">of </w:t>
      </w:r>
      <w:r w:rsidRPr="007C01A3">
        <w:t xml:space="preserve">President </w:t>
      </w:r>
      <w:r>
        <w:t>El-</w:t>
      </w:r>
      <w:r w:rsidRPr="007C01A3">
        <w:t xml:space="preserve">Sisi’s finances and suggesting </w:t>
      </w:r>
      <w:r>
        <w:t>he</w:t>
      </w:r>
      <w:r w:rsidRPr="007C01A3">
        <w:t xml:space="preserve"> would not accept defeat in elections. Soliman w</w:t>
      </w:r>
      <w:r>
        <w:t>as charged with ‘</w:t>
      </w:r>
      <w:r w:rsidRPr="007C01A3">
        <w:t>joining a banned group</w:t>
      </w:r>
      <w:r>
        <w:t>’,</w:t>
      </w:r>
      <w:r w:rsidRPr="007C01A3">
        <w:t xml:space="preserve"> </w:t>
      </w:r>
      <w:r>
        <w:t>‘</w:t>
      </w:r>
      <w:r w:rsidRPr="007C01A3">
        <w:t>spreading false news</w:t>
      </w:r>
      <w:r>
        <w:t>’</w:t>
      </w:r>
      <w:r w:rsidRPr="007C01A3">
        <w:t xml:space="preserve"> and </w:t>
      </w:r>
      <w:r>
        <w:t>‘</w:t>
      </w:r>
      <w:r w:rsidRPr="007C01A3">
        <w:t>misuse of social media</w:t>
      </w:r>
      <w:r>
        <w:t>’</w:t>
      </w:r>
      <w:r w:rsidRPr="007C01A3">
        <w:t>.</w:t>
      </w:r>
      <w:r>
        <w:t xml:space="preserve"> In another instance, a</w:t>
      </w:r>
      <w:r w:rsidRPr="00870E81">
        <w:t xml:space="preserve">uthorities arbitrarily detained </w:t>
      </w:r>
      <w:r>
        <w:t>dozens of people</w:t>
      </w:r>
      <w:r w:rsidRPr="00870E81">
        <w:t xml:space="preserve"> </w:t>
      </w:r>
      <w:r>
        <w:t xml:space="preserve">In July 2024 </w:t>
      </w:r>
      <w:r w:rsidRPr="00870E81">
        <w:t>amid online calls for protests in response to price hikes and power cuts.</w:t>
      </w:r>
      <w:r w:rsidRPr="007C01A3">
        <w:rPr>
          <w:rStyle w:val="FootnoteReference"/>
        </w:rPr>
        <w:t xml:space="preserve"> </w:t>
      </w:r>
    </w:p>
    <w:p w14:paraId="4434F574" w14:textId="6263BB73" w:rsidR="00C47BE6" w:rsidRPr="00F06B4E" w:rsidRDefault="00C47BE6" w:rsidP="00C47BE6">
      <w:pPr>
        <w:pStyle w:val="ListParagraph1"/>
      </w:pPr>
      <w:r>
        <w:t xml:space="preserve">Egypt’s </w:t>
      </w:r>
      <w:r w:rsidRPr="007A7B3A">
        <w:rPr>
          <w:i/>
          <w:iCs/>
        </w:rPr>
        <w:t>Code of Criminal Procedure 1950</w:t>
      </w:r>
      <w:r>
        <w:t xml:space="preserve"> allows a suspect to be held in detention for a maximum of two years throughout the preliminary investigation stage and criminal trial, but i</w:t>
      </w:r>
      <w:r w:rsidRPr="00870E81">
        <w:t>nternational and local human rights organisations</w:t>
      </w:r>
      <w:r>
        <w:t xml:space="preserve"> state prosecutors and judges sometimes circumvent this requirement through the practice of </w:t>
      </w:r>
      <w:proofErr w:type="spellStart"/>
      <w:r w:rsidRPr="00EC2867">
        <w:rPr>
          <w:i/>
          <w:iCs/>
        </w:rPr>
        <w:t>tadweer</w:t>
      </w:r>
      <w:proofErr w:type="spellEnd"/>
      <w:r>
        <w:t xml:space="preserve"> (‘rotation’ or ‘recycling’). When certain detainees are close to reaching their maximum period of pretrial detention, they are re-arrested in connection with a new case with near-identical factual allegations to the original case brought against them. This re-arrest then restarts the two-year clock on pretrial detention. For example, a local research institute recorded 941 </w:t>
      </w:r>
      <w:r w:rsidRPr="008A47CD">
        <w:t xml:space="preserve">cases of rotation impacting 774 defendants between January 2018 and March 2021. From </w:t>
      </w:r>
      <w:r w:rsidRPr="008A47CD">
        <w:lastRenderedPageBreak/>
        <w:t>among those defendants, 660 were subject to rotation once, 77 were subject to it twice and 38 were subject to it three or more times.</w:t>
      </w:r>
      <w:r>
        <w:t xml:space="preserve"> </w:t>
      </w:r>
      <w:r w:rsidRPr="00B23D15">
        <w:t>On 26 August 2025, UN High Commissioner for Human Rights Volker Türk called on Egyptian authorities to immediately end the abusive practice of 'rotation' and release all those arbitrarily detained under it.</w:t>
      </w:r>
      <w:r>
        <w:t xml:space="preserve"> Changes to the</w:t>
      </w:r>
      <w:r w:rsidRPr="007A7B3A">
        <w:rPr>
          <w:lang w:val="en-AU"/>
        </w:rPr>
        <w:t xml:space="preserve"> </w:t>
      </w:r>
      <w:r w:rsidRPr="00A73A19">
        <w:rPr>
          <w:i/>
          <w:iCs/>
          <w:lang w:val="en-AU"/>
        </w:rPr>
        <w:t>Criminal Procedure Code 1950</w:t>
      </w:r>
      <w:r>
        <w:rPr>
          <w:lang w:val="en-AU"/>
        </w:rPr>
        <w:t xml:space="preserve"> were being considered by parliament at the time of writing, including reducing the amount of time it was permissible to spend in pre-trail detention.</w:t>
      </w:r>
    </w:p>
    <w:p w14:paraId="3EB937A9" w14:textId="77777777" w:rsidR="00C47BE6" w:rsidRPr="00E96060" w:rsidRDefault="00C47BE6" w:rsidP="00C47BE6">
      <w:pPr>
        <w:pStyle w:val="Heading3"/>
        <w:ind w:firstLine="0"/>
        <w:jc w:val="left"/>
        <w:rPr>
          <w:rFonts w:cs="Calibri"/>
          <w:b/>
          <w:bCs/>
          <w:color w:val="auto"/>
        </w:rPr>
      </w:pPr>
      <w:bookmarkStart w:id="98" w:name="_Corporal_Punishment"/>
      <w:bookmarkStart w:id="99" w:name="_Toc196318447"/>
      <w:bookmarkEnd w:id="98"/>
      <w:r w:rsidRPr="007A7EEB">
        <w:rPr>
          <w:rFonts w:cs="Calibri"/>
          <w:b/>
          <w:bCs/>
          <w:color w:val="auto"/>
        </w:rPr>
        <w:t>Corporal Punishment</w:t>
      </w:r>
      <w:bookmarkEnd w:id="99"/>
    </w:p>
    <w:p w14:paraId="62992409" w14:textId="77777777" w:rsidR="00C47BE6" w:rsidRDefault="00C47BE6" w:rsidP="00C47BE6">
      <w:pPr>
        <w:pStyle w:val="ListParagraph1"/>
      </w:pPr>
      <w:r w:rsidRPr="00C41DEF">
        <w:t xml:space="preserve">Article 55 of the Constitution states detainees may not be physically or mentally harmed. Corporal punishment has been illegal as a disciplinary measure in </w:t>
      </w:r>
      <w:hyperlink w:anchor="_Detention_and_Prison" w:history="1">
        <w:r w:rsidRPr="007A7EEB">
          <w:rPr>
            <w:rStyle w:val="Hyperlink"/>
          </w:rPr>
          <w:t>prisons</w:t>
        </w:r>
      </w:hyperlink>
      <w:r w:rsidRPr="00C41DEF">
        <w:t xml:space="preserve"> since 2002 and is unlawful as a sentence for crime.</w:t>
      </w:r>
      <w:r>
        <w:t xml:space="preserve"> </w:t>
      </w:r>
      <w:r w:rsidRPr="00C41DEF">
        <w:t xml:space="preserve">Despite the prohibition on </w:t>
      </w:r>
      <w:r>
        <w:t>its</w:t>
      </w:r>
      <w:r w:rsidRPr="00C41DEF">
        <w:t xml:space="preserve"> use, </w:t>
      </w:r>
      <w:r>
        <w:t>in-country sources said</w:t>
      </w:r>
      <w:r w:rsidRPr="00C41DEF">
        <w:t xml:space="preserve"> </w:t>
      </w:r>
      <w:r>
        <w:t>corporal punishment was sometimes used on</w:t>
      </w:r>
      <w:r w:rsidRPr="00C41DEF">
        <w:t xml:space="preserve"> prisoners in detention facilities</w:t>
      </w:r>
      <w:r w:rsidRPr="00CB678D">
        <w:t>.</w:t>
      </w:r>
      <w:r w:rsidRPr="00C41DEF">
        <w:t xml:space="preserve"> </w:t>
      </w:r>
    </w:p>
    <w:p w14:paraId="28085EB6" w14:textId="77777777" w:rsidR="00C47BE6" w:rsidRDefault="00C47BE6" w:rsidP="00C47BE6">
      <w:pPr>
        <w:pStyle w:val="ListParagraph1"/>
      </w:pPr>
      <w:r w:rsidRPr="00C41DEF">
        <w:t>Corporal punishment is lawful in Egyptian homes, alternative care settings and day care centres.</w:t>
      </w:r>
      <w:r>
        <w:t xml:space="preserve"> </w:t>
      </w:r>
      <w:r w:rsidRPr="00731094">
        <w:rPr>
          <w:i/>
          <w:iCs/>
        </w:rPr>
        <w:t>Act No. 126 2008</w:t>
      </w:r>
      <w:r w:rsidRPr="007A7EEB">
        <w:t xml:space="preserve"> amended the </w:t>
      </w:r>
      <w:r w:rsidRPr="007A7EEB">
        <w:rPr>
          <w:i/>
          <w:iCs/>
        </w:rPr>
        <w:t>Children’s Act 1996</w:t>
      </w:r>
      <w:r w:rsidRPr="007A7EEB">
        <w:t xml:space="preserve"> to strengthen legal protection for children’s rights, including protection from harm</w:t>
      </w:r>
      <w:r>
        <w:t xml:space="preserve"> but</w:t>
      </w:r>
      <w:r w:rsidRPr="007A7EEB">
        <w:t xml:space="preserve"> confirm</w:t>
      </w:r>
      <w:r>
        <w:t>ed</w:t>
      </w:r>
      <w:r w:rsidRPr="007A7EEB">
        <w:t xml:space="preserve"> parents</w:t>
      </w:r>
      <w:r>
        <w:t xml:space="preserve">’ and </w:t>
      </w:r>
      <w:r w:rsidRPr="007A7EEB">
        <w:t>carers</w:t>
      </w:r>
      <w:r>
        <w:t>’</w:t>
      </w:r>
      <w:r w:rsidRPr="007A7EEB">
        <w:t xml:space="preserve"> </w:t>
      </w:r>
      <w:r>
        <w:t>‘</w:t>
      </w:r>
      <w:r w:rsidRPr="007A7EEB">
        <w:t>right to discipline through legitimate means</w:t>
      </w:r>
      <w:r>
        <w:t>’.</w:t>
      </w:r>
      <w:r w:rsidRPr="007A7EEB">
        <w:t xml:space="preserve"> Provisions against violence and abuse in the </w:t>
      </w:r>
      <w:r w:rsidRPr="007A7EEB">
        <w:rPr>
          <w:i/>
          <w:iCs/>
        </w:rPr>
        <w:t>Children’s Act 1996</w:t>
      </w:r>
      <w:r>
        <w:t xml:space="preserve"> and </w:t>
      </w:r>
      <w:r w:rsidRPr="007A7EEB">
        <w:t xml:space="preserve">the </w:t>
      </w:r>
      <w:r w:rsidRPr="007A7EEB">
        <w:rPr>
          <w:i/>
          <w:iCs/>
        </w:rPr>
        <w:t>Penal Code (No. 58) 1937</w:t>
      </w:r>
      <w:r w:rsidRPr="007A7EEB">
        <w:t xml:space="preserve"> </w:t>
      </w:r>
      <w:r>
        <w:t>have not been legally</w:t>
      </w:r>
      <w:r w:rsidRPr="007A7EEB">
        <w:t xml:space="preserve"> interpreted as prohibiting corporal punishment of children</w:t>
      </w:r>
      <w:r w:rsidRPr="00C41DEF">
        <w:t xml:space="preserve"> </w:t>
      </w:r>
      <w:r w:rsidRPr="00104F26">
        <w:t xml:space="preserve">(see also </w:t>
      </w:r>
      <w:hyperlink w:anchor="_Children" w:history="1">
        <w:r>
          <w:rPr>
            <w:rStyle w:val="Hyperlink"/>
          </w:rPr>
          <w:t>Children</w:t>
        </w:r>
      </w:hyperlink>
      <w:r w:rsidRPr="00104F26">
        <w:t>).</w:t>
      </w:r>
    </w:p>
    <w:p w14:paraId="6426461B" w14:textId="77777777" w:rsidR="00C47BE6" w:rsidRDefault="00C47BE6" w:rsidP="00C47BE6">
      <w:pPr>
        <w:rPr>
          <w:rFonts w:asciiTheme="majorHAnsi" w:eastAsiaTheme="minorHAnsi" w:hAnsiTheme="majorHAnsi" w:cstheme="majorHAnsi"/>
          <w:bCs/>
          <w:color w:val="252525"/>
          <w:shd w:val="clear" w:color="auto" w:fill="FFFFFF"/>
          <w:lang w:val="en-GB"/>
        </w:rPr>
      </w:pPr>
      <w:r>
        <w:br w:type="page"/>
      </w:r>
    </w:p>
    <w:p w14:paraId="2B5C596B" w14:textId="77777777" w:rsidR="00C47BE6" w:rsidRPr="00C47BE6" w:rsidRDefault="00C47BE6" w:rsidP="00C47BE6">
      <w:pPr>
        <w:pStyle w:val="Heading1Numbered"/>
        <w:spacing w:before="240" w:after="0"/>
        <w:jc w:val="left"/>
        <w:rPr>
          <w:rFonts w:ascii="Calibri" w:hAnsi="Calibri" w:cs="Calibri"/>
          <w:color w:val="auto"/>
          <w:sz w:val="40"/>
          <w:szCs w:val="40"/>
        </w:rPr>
      </w:pPr>
      <w:bookmarkStart w:id="100" w:name="_Toc196387085"/>
      <w:r w:rsidRPr="00C47BE6">
        <w:rPr>
          <w:rFonts w:ascii="Calibri" w:hAnsi="Calibri" w:cs="Calibri"/>
          <w:color w:val="auto"/>
          <w:sz w:val="40"/>
          <w:szCs w:val="40"/>
        </w:rPr>
        <w:lastRenderedPageBreak/>
        <w:t>OTHER CONSIDERATIONS</w:t>
      </w:r>
      <w:bookmarkEnd w:id="100"/>
    </w:p>
    <w:p w14:paraId="10DF2F06" w14:textId="77777777" w:rsidR="00C47BE6" w:rsidRPr="00C47BE6" w:rsidRDefault="00C47BE6" w:rsidP="00C47BE6">
      <w:pPr>
        <w:pStyle w:val="Heading2"/>
        <w:ind w:firstLine="0"/>
        <w:jc w:val="left"/>
        <w:rPr>
          <w:rFonts w:ascii="Calibri" w:hAnsi="Calibri" w:cs="Calibri"/>
          <w:b/>
          <w:bCs/>
          <w:color w:val="auto"/>
          <w:sz w:val="36"/>
          <w:szCs w:val="36"/>
        </w:rPr>
      </w:pPr>
      <w:bookmarkStart w:id="101" w:name="_Toc196387086"/>
      <w:r w:rsidRPr="00C47BE6">
        <w:rPr>
          <w:rFonts w:ascii="Calibri" w:hAnsi="Calibri" w:cs="Calibri"/>
          <w:b/>
          <w:bCs/>
          <w:color w:val="auto"/>
          <w:sz w:val="36"/>
          <w:szCs w:val="36"/>
        </w:rPr>
        <w:t>STATE PROTECTION</w:t>
      </w:r>
      <w:bookmarkEnd w:id="101"/>
    </w:p>
    <w:p w14:paraId="5D1BA1CA" w14:textId="77777777" w:rsidR="00C47BE6" w:rsidRPr="00145A52" w:rsidRDefault="00C47BE6" w:rsidP="00C47BE6">
      <w:pPr>
        <w:pStyle w:val="Heading3"/>
        <w:ind w:firstLine="0"/>
        <w:jc w:val="left"/>
        <w:rPr>
          <w:rFonts w:cs="Calibri"/>
          <w:b/>
          <w:bCs/>
          <w:color w:val="auto"/>
        </w:rPr>
      </w:pPr>
      <w:bookmarkStart w:id="102" w:name="_Military"/>
      <w:bookmarkStart w:id="103" w:name="_Ref505951731"/>
      <w:bookmarkStart w:id="104" w:name="_Toc196318450"/>
      <w:bookmarkEnd w:id="102"/>
      <w:r w:rsidRPr="00F466E2">
        <w:rPr>
          <w:rFonts w:cs="Calibri"/>
          <w:b/>
          <w:bCs/>
          <w:color w:val="auto"/>
        </w:rPr>
        <w:t>Military</w:t>
      </w:r>
      <w:bookmarkEnd w:id="103"/>
      <w:bookmarkEnd w:id="104"/>
    </w:p>
    <w:p w14:paraId="081AAD76" w14:textId="77777777" w:rsidR="00C47BE6" w:rsidRDefault="00C47BE6" w:rsidP="00C47BE6">
      <w:pPr>
        <w:pStyle w:val="ListParagraph1"/>
      </w:pPr>
      <w:r>
        <w:t>Egypt’s</w:t>
      </w:r>
      <w:r w:rsidRPr="00845C9C">
        <w:t xml:space="preserve"> military</w:t>
      </w:r>
      <w:r>
        <w:t xml:space="preserve"> </w:t>
      </w:r>
      <w:r w:rsidRPr="00845C9C">
        <w:t>comprise</w:t>
      </w:r>
      <w:r>
        <w:t>s</w:t>
      </w:r>
      <w:r w:rsidRPr="00845C9C">
        <w:t xml:space="preserve"> </w:t>
      </w:r>
      <w:r>
        <w:t>the</w:t>
      </w:r>
      <w:r w:rsidRPr="00845C9C">
        <w:t xml:space="preserve"> Army, Navy, Air Force and Air Defence Force.</w:t>
      </w:r>
      <w:r>
        <w:t xml:space="preserve"> It</w:t>
      </w:r>
      <w:r w:rsidRPr="00F466E2">
        <w:t xml:space="preserve"> </w:t>
      </w:r>
      <w:r>
        <w:t xml:space="preserve">had </w:t>
      </w:r>
      <w:r w:rsidRPr="00F466E2">
        <w:t xml:space="preserve">440,000 active personnel, 480,000 reserve personnel and </w:t>
      </w:r>
      <w:r>
        <w:t xml:space="preserve">a </w:t>
      </w:r>
      <w:r w:rsidRPr="00F466E2">
        <w:t>300,000</w:t>
      </w:r>
      <w:r>
        <w:t>-person strong</w:t>
      </w:r>
      <w:r w:rsidRPr="00F466E2">
        <w:t xml:space="preserve"> paramilitary</w:t>
      </w:r>
      <w:r>
        <w:t xml:space="preserve"> in 2025</w:t>
      </w:r>
      <w:r w:rsidRPr="00F466E2">
        <w:t>.</w:t>
      </w:r>
      <w:r>
        <w:t xml:space="preserve"> </w:t>
      </w:r>
      <w:r w:rsidRPr="00D639E2">
        <w:t xml:space="preserve">The </w:t>
      </w:r>
      <w:r>
        <w:t>military’s</w:t>
      </w:r>
      <w:r w:rsidRPr="00D639E2">
        <w:t xml:space="preserve"> </w:t>
      </w:r>
      <w:r>
        <w:t xml:space="preserve">primary </w:t>
      </w:r>
      <w:r w:rsidRPr="00D639E2">
        <w:t xml:space="preserve">mission is </w:t>
      </w:r>
      <w:r>
        <w:t xml:space="preserve">to </w:t>
      </w:r>
      <w:r w:rsidRPr="00D639E2">
        <w:t xml:space="preserve">safeguard </w:t>
      </w:r>
      <w:r>
        <w:t>Egypt’s</w:t>
      </w:r>
      <w:r w:rsidRPr="00D639E2">
        <w:t xml:space="preserve"> territorial integrity and sovereignty. This includes defending </w:t>
      </w:r>
      <w:r>
        <w:t>the country’s</w:t>
      </w:r>
      <w:r w:rsidRPr="00D639E2">
        <w:t xml:space="preserve"> land borders and coastline on the Mediterranean and Red Seas.</w:t>
      </w:r>
      <w:r>
        <w:t xml:space="preserve"> The </w:t>
      </w:r>
      <w:r w:rsidRPr="005B45ED">
        <w:rPr>
          <w:i/>
          <w:iCs/>
        </w:rPr>
        <w:t>Law on Guarding and Protecting the State’s Public and Vital Facilities and Buildings (No. 3) 2024</w:t>
      </w:r>
      <w:r>
        <w:t xml:space="preserve"> expanded the a</w:t>
      </w:r>
      <w:r w:rsidRPr="005B45ED">
        <w:t>rmed forces</w:t>
      </w:r>
      <w:r>
        <w:t xml:space="preserve">’ responsibilities, tasking the military </w:t>
      </w:r>
      <w:r w:rsidRPr="005B45ED">
        <w:t xml:space="preserve">with assisting </w:t>
      </w:r>
      <w:hyperlink w:anchor="_Police" w:history="1">
        <w:r w:rsidRPr="00606FFA">
          <w:rPr>
            <w:rStyle w:val="Hyperlink"/>
          </w:rPr>
          <w:t>police</w:t>
        </w:r>
      </w:hyperlink>
      <w:r w:rsidRPr="005B45ED">
        <w:t xml:space="preserve"> guarding and protecting vital facilities including power stations, electricity lines and towers, oil fields, railway tracks, roads, bridges</w:t>
      </w:r>
      <w:r>
        <w:t xml:space="preserve"> </w:t>
      </w:r>
      <w:r w:rsidRPr="005B45ED">
        <w:t>and other comparable facilities. The law provides military personnel involved in such operations with the same judicial powers of arrest and seizure as police.</w:t>
      </w:r>
    </w:p>
    <w:p w14:paraId="027D2AA3" w14:textId="77777777" w:rsidR="00C47BE6" w:rsidRDefault="00C47BE6" w:rsidP="00C47BE6">
      <w:pPr>
        <w:pStyle w:val="ListParagraph1"/>
      </w:pPr>
      <w:r w:rsidRPr="00845C9C">
        <w:t xml:space="preserve">Article 152 of the Constitution states the </w:t>
      </w:r>
      <w:r>
        <w:t>P</w:t>
      </w:r>
      <w:r w:rsidRPr="00845C9C">
        <w:t xml:space="preserve">resident is Supreme Commander of the Egyptian Armed Forces. The </w:t>
      </w:r>
      <w:r>
        <w:t>P</w:t>
      </w:r>
      <w:r w:rsidRPr="00845C9C">
        <w:t xml:space="preserve">resident cannot declare war or send the military into </w:t>
      </w:r>
      <w:r>
        <w:t xml:space="preserve">overseas </w:t>
      </w:r>
      <w:r w:rsidRPr="00845C9C">
        <w:t>combat without consultation with the National Defence Council (consisting of senior political and military leaders) and the approval of the House of Representatives with a two-thirds majority. Article 201 states the Minister of Defence is the Commander in Chief of the Egyptian Armed Forces (although answerable to the Supreme Commander) and must be appointed from among its officers.</w:t>
      </w:r>
    </w:p>
    <w:p w14:paraId="16D96D7C" w14:textId="77777777" w:rsidR="00C47BE6" w:rsidRPr="00145A52" w:rsidRDefault="00C47BE6" w:rsidP="00C47BE6">
      <w:pPr>
        <w:pStyle w:val="ListParagraph1"/>
        <w:rPr>
          <w:lang w:val="en-AU"/>
        </w:rPr>
      </w:pPr>
      <w:r w:rsidRPr="00405153">
        <w:t xml:space="preserve">The </w:t>
      </w:r>
      <w:r w:rsidRPr="00F15DFA">
        <w:rPr>
          <w:i/>
          <w:iCs/>
        </w:rPr>
        <w:t>Law Concerning the Treatment of Some Senior Officers of the Armed Forces (No. 161) 2018</w:t>
      </w:r>
      <w:r>
        <w:t xml:space="preserve"> allows the president to grant legal immunity to senior military officers for any crimes committed between 3 July 2013 (when the Constitution was suspended) and 10 January 2016, when parliament </w:t>
      </w:r>
      <w:r w:rsidRPr="00F15DFA">
        <w:rPr>
          <w:lang w:val="en-AU"/>
        </w:rPr>
        <w:t>reconvened</w:t>
      </w:r>
      <w:r>
        <w:t>.</w:t>
      </w:r>
      <w:r>
        <w:rPr>
          <w:rStyle w:val="FootnoteReference"/>
        </w:rPr>
        <w:t xml:space="preserve"> </w:t>
      </w:r>
      <w:r>
        <w:t>L</w:t>
      </w:r>
      <w:r w:rsidRPr="00280C21">
        <w:t xml:space="preserve">egal action against </w:t>
      </w:r>
      <w:r>
        <w:t>these</w:t>
      </w:r>
      <w:r w:rsidRPr="00280C21">
        <w:t xml:space="preserve"> officers </w:t>
      </w:r>
      <w:r>
        <w:t xml:space="preserve">would first </w:t>
      </w:r>
      <w:r w:rsidRPr="00280C21">
        <w:t>require permission from the Supreme Council of the Armed Forces.</w:t>
      </w:r>
      <w:r>
        <w:t xml:space="preserve"> </w:t>
      </w:r>
      <w:r w:rsidRPr="00606FFA">
        <w:t xml:space="preserve">President </w:t>
      </w:r>
      <w:r>
        <w:t>El-</w:t>
      </w:r>
      <w:r w:rsidRPr="00606FFA">
        <w:t xml:space="preserve">Sisi issued a decree </w:t>
      </w:r>
      <w:r>
        <w:t xml:space="preserve">in 2022 </w:t>
      </w:r>
      <w:r w:rsidRPr="00606FFA">
        <w:t>granting immunity to all members of the armed forces</w:t>
      </w:r>
      <w:r>
        <w:t xml:space="preserve">. </w:t>
      </w:r>
      <w:r w:rsidRPr="00606FFA">
        <w:t xml:space="preserve">This immunity means </w:t>
      </w:r>
      <w:r>
        <w:t xml:space="preserve">the actions of the military cannot be </w:t>
      </w:r>
      <w:r w:rsidRPr="00606FFA">
        <w:t>question</w:t>
      </w:r>
      <w:r>
        <w:t>ed</w:t>
      </w:r>
      <w:r w:rsidRPr="00606FFA">
        <w:t xml:space="preserve">. </w:t>
      </w:r>
      <w:r>
        <w:t>A</w:t>
      </w:r>
      <w:r w:rsidRPr="00606FFA">
        <w:t>ccording to the decree</w:t>
      </w:r>
      <w:r>
        <w:t>, n</w:t>
      </w:r>
      <w:r w:rsidRPr="00606FFA">
        <w:t>o authority in Egypt has the right to search the properties of officers or to grant a search warrant for anybody to search their property or vehicles.</w:t>
      </w:r>
      <w:r>
        <w:t xml:space="preserve"> In-country sources confirmed the decree included</w:t>
      </w:r>
      <w:r w:rsidRPr="00606FFA">
        <w:t xml:space="preserve"> </w:t>
      </w:r>
      <w:r>
        <w:t>complete i</w:t>
      </w:r>
      <w:r w:rsidRPr="00606FFA">
        <w:t xml:space="preserve">mmunity </w:t>
      </w:r>
      <w:r>
        <w:t>for</w:t>
      </w:r>
      <w:r w:rsidRPr="00606FFA">
        <w:t xml:space="preserve"> the military and intelligence services</w:t>
      </w:r>
      <w:r>
        <w:t xml:space="preserve">, including the inability for them to be </w:t>
      </w:r>
      <w:r w:rsidRPr="00606FFA">
        <w:t>summoned</w:t>
      </w:r>
      <w:r>
        <w:t>, questioned or</w:t>
      </w:r>
      <w:r w:rsidRPr="00606FFA">
        <w:t xml:space="preserve"> prosecuted.</w:t>
      </w:r>
    </w:p>
    <w:p w14:paraId="2E49DF5A" w14:textId="77777777" w:rsidR="00C47BE6" w:rsidRPr="00E96060" w:rsidRDefault="00C47BE6" w:rsidP="00C47BE6">
      <w:pPr>
        <w:pStyle w:val="Heading3"/>
        <w:ind w:firstLine="0"/>
        <w:jc w:val="left"/>
        <w:rPr>
          <w:rFonts w:cs="Calibri"/>
          <w:b/>
          <w:bCs/>
          <w:color w:val="auto"/>
        </w:rPr>
      </w:pPr>
      <w:bookmarkStart w:id="105" w:name="_Police"/>
      <w:bookmarkStart w:id="106" w:name="_Toc196318451"/>
      <w:bookmarkEnd w:id="105"/>
      <w:r w:rsidRPr="00E96060">
        <w:rPr>
          <w:rFonts w:cs="Calibri"/>
          <w:b/>
          <w:bCs/>
          <w:color w:val="auto"/>
        </w:rPr>
        <w:t>Police</w:t>
      </w:r>
      <w:bookmarkEnd w:id="106"/>
    </w:p>
    <w:p w14:paraId="630A5E1A" w14:textId="77777777" w:rsidR="00C47BE6" w:rsidRDefault="00C47BE6" w:rsidP="00C47BE6">
      <w:pPr>
        <w:pStyle w:val="ListParagraph1"/>
      </w:pPr>
      <w:r w:rsidRPr="00845C9C">
        <w:t xml:space="preserve">Articles 206 and 207 of the Constitution set out the roles and responsibilities of the police force, namely ensuring safety and security </w:t>
      </w:r>
      <w:r>
        <w:t>of</w:t>
      </w:r>
      <w:r w:rsidRPr="00845C9C">
        <w:t xml:space="preserve"> citizens and preserving public order and morality.</w:t>
      </w:r>
      <w:r>
        <w:t xml:space="preserve"> </w:t>
      </w:r>
      <w:r w:rsidRPr="00B13D25">
        <w:t>Police are divided into two main forces</w:t>
      </w:r>
      <w:r>
        <w:t>:</w:t>
      </w:r>
      <w:r w:rsidRPr="00B13D25">
        <w:t xml:space="preserve"> the Egyptian National Police (ENP) and the Central Security Forces (CSF). The</w:t>
      </w:r>
      <w:r w:rsidRPr="00845C9C">
        <w:t xml:space="preserve"> ENP is a regular police force </w:t>
      </w:r>
      <w:r>
        <w:t>that had</w:t>
      </w:r>
      <w:r w:rsidRPr="00845C9C">
        <w:t xml:space="preserve"> approximately 350,000 personnel</w:t>
      </w:r>
      <w:r>
        <w:t xml:space="preserve"> in 2017 (most recent data available)</w:t>
      </w:r>
      <w:r w:rsidRPr="00845C9C">
        <w:t xml:space="preserve">. It is responsible for law enforcement and maintaining public order nation-wide. It has </w:t>
      </w:r>
      <w:proofErr w:type="gramStart"/>
      <w:r w:rsidRPr="00845C9C">
        <w:t>a number of</w:t>
      </w:r>
      <w:proofErr w:type="gramEnd"/>
      <w:r w:rsidRPr="00845C9C">
        <w:t xml:space="preserve"> specialist agencies, including the General Directorate of Criminal Investigation and the General Administration of Criminal Evidence Verification. The paramilitary CSF, which includes conscripts and whose estimated numbers vary considerably, is responsible for security at key infrastructure sites, diplomatic missions and public events.</w:t>
      </w:r>
      <w:r>
        <w:t xml:space="preserve"> </w:t>
      </w:r>
      <w:r w:rsidRPr="00845C9C">
        <w:t>Professionalism varies across the police</w:t>
      </w:r>
      <w:r>
        <w:t xml:space="preserve"> and</w:t>
      </w:r>
      <w:r w:rsidRPr="00845C9C">
        <w:t xml:space="preserve"> effectiveness is limited by</w:t>
      </w:r>
      <w:r>
        <w:t xml:space="preserve"> understaffing, </w:t>
      </w:r>
      <w:r w:rsidRPr="00845C9C">
        <w:t>shortage</w:t>
      </w:r>
      <w:r>
        <w:t>s</w:t>
      </w:r>
      <w:r w:rsidRPr="00845C9C">
        <w:t xml:space="preserve"> of equipment, </w:t>
      </w:r>
      <w:r>
        <w:t>insufficient</w:t>
      </w:r>
      <w:r w:rsidRPr="00845C9C">
        <w:t xml:space="preserve"> training</w:t>
      </w:r>
      <w:r>
        <w:t xml:space="preserve"> and</w:t>
      </w:r>
      <w:r w:rsidRPr="00845C9C">
        <w:t xml:space="preserve"> low pay</w:t>
      </w:r>
      <w:r>
        <w:t xml:space="preserve">. </w:t>
      </w:r>
    </w:p>
    <w:p w14:paraId="1FC9068E" w14:textId="77777777" w:rsidR="00C47BE6" w:rsidRPr="00205CD8" w:rsidRDefault="00C47BE6" w:rsidP="00C47BE6">
      <w:pPr>
        <w:pStyle w:val="ListParagraph1"/>
      </w:pPr>
      <w:r w:rsidRPr="00690F76">
        <w:t>Human rights education ha</w:t>
      </w:r>
      <w:r>
        <w:t>s</w:t>
      </w:r>
      <w:r w:rsidRPr="00690F76">
        <w:t xml:space="preserve"> been integrated into police training programs, covering topics such as the United Nations Standard Minimum Rules for the Treatment of Prisoners (the Nelson Mandela Rules) and combating violence against women</w:t>
      </w:r>
      <w:r>
        <w:t>. Complaints against police can be submitted</w:t>
      </w:r>
      <w:r w:rsidRPr="00690F76">
        <w:t xml:space="preserve"> through governmental platforms, the Office of the Public Prosecutor and human rights entities. </w:t>
      </w:r>
      <w:r w:rsidRPr="0044308A">
        <w:t xml:space="preserve">Police officers have been charged and convicted </w:t>
      </w:r>
      <w:r>
        <w:t xml:space="preserve">after committing criminal </w:t>
      </w:r>
      <w:r w:rsidRPr="0044308A">
        <w:t xml:space="preserve">offences, including the use of torture. For example, two police officers </w:t>
      </w:r>
      <w:r>
        <w:t xml:space="preserve">were sentenced </w:t>
      </w:r>
      <w:r w:rsidRPr="0044308A">
        <w:t>to six years in prison</w:t>
      </w:r>
      <w:r>
        <w:t xml:space="preserve"> in 2022</w:t>
      </w:r>
      <w:r w:rsidRPr="0044308A">
        <w:t xml:space="preserve"> after they were found guilty of torturing Mahmoud Khamis Gaber to death while he was in police custody.</w:t>
      </w:r>
      <w:r>
        <w:t xml:space="preserve"> </w:t>
      </w:r>
      <w:r w:rsidRPr="00690F76">
        <w:t xml:space="preserve">However, international human rights organisations report </w:t>
      </w:r>
      <w:r>
        <w:t>convictions are rare and prosecutors</w:t>
      </w:r>
      <w:r w:rsidRPr="00690F76">
        <w:t xml:space="preserve"> often dismiss or ignore complaints </w:t>
      </w:r>
      <w:r>
        <w:t xml:space="preserve">filed </w:t>
      </w:r>
      <w:r w:rsidRPr="00690F76">
        <w:t>against police.</w:t>
      </w:r>
    </w:p>
    <w:p w14:paraId="7E0D39C4" w14:textId="77777777" w:rsidR="00C47BE6" w:rsidRPr="00CF70E6" w:rsidRDefault="00C47BE6" w:rsidP="00C47BE6">
      <w:pPr>
        <w:pStyle w:val="Heading3"/>
        <w:ind w:firstLine="0"/>
        <w:jc w:val="left"/>
        <w:rPr>
          <w:rFonts w:cs="Calibri"/>
          <w:b/>
          <w:bCs/>
          <w:color w:val="auto"/>
        </w:rPr>
      </w:pPr>
      <w:bookmarkStart w:id="107" w:name="_Legal_system"/>
      <w:bookmarkStart w:id="108" w:name="_Toc196318452"/>
      <w:bookmarkEnd w:id="107"/>
      <w:r w:rsidRPr="00CF70E6">
        <w:rPr>
          <w:rFonts w:cs="Calibri"/>
          <w:b/>
          <w:bCs/>
          <w:color w:val="auto"/>
        </w:rPr>
        <w:lastRenderedPageBreak/>
        <w:t xml:space="preserve">Legal </w:t>
      </w:r>
      <w:r>
        <w:rPr>
          <w:rFonts w:cs="Calibri"/>
          <w:b/>
          <w:bCs/>
          <w:color w:val="auto"/>
        </w:rPr>
        <w:t>S</w:t>
      </w:r>
      <w:r w:rsidRPr="00CF70E6">
        <w:rPr>
          <w:rFonts w:cs="Calibri"/>
          <w:b/>
          <w:bCs/>
          <w:color w:val="auto"/>
        </w:rPr>
        <w:t>ystem</w:t>
      </w:r>
      <w:bookmarkEnd w:id="108"/>
    </w:p>
    <w:p w14:paraId="5C6E1FA5" w14:textId="77777777" w:rsidR="00C47BE6" w:rsidRDefault="00C47BE6" w:rsidP="00C47BE6">
      <w:pPr>
        <w:pStyle w:val="ListParagraph1"/>
      </w:pPr>
      <w:r w:rsidRPr="00845C9C">
        <w:t xml:space="preserve">Article 184 of the Constitution guarantees the independence of the judiciary and prohibits </w:t>
      </w:r>
      <w:r>
        <w:t xml:space="preserve">political </w:t>
      </w:r>
      <w:r w:rsidRPr="00845C9C">
        <w:t>interference in judicial affairs</w:t>
      </w:r>
      <w:r>
        <w:t>.</w:t>
      </w:r>
      <w:r w:rsidRPr="00845C9C">
        <w:t xml:space="preserve"> Article 186 guarantees the independence and </w:t>
      </w:r>
      <w:r w:rsidRPr="00F168F1">
        <w:t>permanent</w:t>
      </w:r>
      <w:r w:rsidRPr="00845C9C">
        <w:t xml:space="preserve"> status of judges</w:t>
      </w:r>
      <w:r>
        <w:t>, while</w:t>
      </w:r>
      <w:r w:rsidRPr="00845C9C">
        <w:t xml:space="preserve"> Article 198 prohibits the arrest or detention of lawyers engaged in defence work</w:t>
      </w:r>
      <w:r>
        <w:t>. Senior judges are generally professional and independent but the quality and impartiality of judges at more junior levels varies. W</w:t>
      </w:r>
      <w:r w:rsidRPr="00A1158C">
        <w:t xml:space="preserve">omen </w:t>
      </w:r>
      <w:r>
        <w:t>can serve as</w:t>
      </w:r>
      <w:r w:rsidRPr="00A1158C">
        <w:t xml:space="preserve"> prosecutors and judges</w:t>
      </w:r>
      <w:r>
        <w:t xml:space="preserve"> at all levels.</w:t>
      </w:r>
    </w:p>
    <w:p w14:paraId="07C0D822" w14:textId="77777777" w:rsidR="00C47BE6" w:rsidRDefault="00C47BE6" w:rsidP="00C47BE6">
      <w:pPr>
        <w:pStyle w:val="ListParagraph1"/>
      </w:pPr>
      <w:r w:rsidRPr="00845C9C">
        <w:t>Egypt has three supreme courts. The Supreme Constitutional Court is the highest judicial authority and has exclusive jurisdiction to decide issues regarding the constitutionality of laws. The Court of Cassation is the supreme court of the common court system</w:t>
      </w:r>
      <w:r>
        <w:t xml:space="preserve"> and</w:t>
      </w:r>
      <w:r w:rsidRPr="00845C9C">
        <w:t xml:space="preserve"> deals with civil and criminal matters. The Supreme Administrative Court is the highest court of the administrative court system, known as the State Council</w:t>
      </w:r>
      <w:r>
        <w:t>, and</w:t>
      </w:r>
      <w:r w:rsidRPr="00845C9C">
        <w:t xml:space="preserve"> adjudicates disputes involving government actions or those involving government employees.</w:t>
      </w:r>
    </w:p>
    <w:p w14:paraId="0C304601" w14:textId="77777777" w:rsidR="00C47BE6" w:rsidRDefault="00C47BE6" w:rsidP="00C47BE6">
      <w:pPr>
        <w:pStyle w:val="ListParagraph1"/>
      </w:pPr>
      <w:r>
        <w:t xml:space="preserve">The common court system hears </w:t>
      </w:r>
      <w:proofErr w:type="gramStart"/>
      <w:r>
        <w:t>the majority of</w:t>
      </w:r>
      <w:proofErr w:type="gramEnd"/>
      <w:r>
        <w:t xml:space="preserve"> criminal and civil cases. Courts of first instance are the first level of litigation in civil cases and in criminal cases involving misdemeanours (crimes punishable by up to three years’ detention) and petty offences. Misdemeanour courts consist of a single judge attached to the court of first instance for that district. Appeals are to a misdemeanour court of appeals, consisting of a panel of three judges. Felonies are tried before</w:t>
      </w:r>
      <w:r w:rsidRPr="00B73913">
        <w:t xml:space="preserve"> </w:t>
      </w:r>
      <w:r>
        <w:t>panels of three judges in criminal courts, which are a circuit of the courts of appeal. Egypt has eight courts of appeal located throughout the country. Family courts deal with family</w:t>
      </w:r>
      <w:r>
        <w:noBreakHyphen/>
        <w:t>related disputes.</w:t>
      </w:r>
    </w:p>
    <w:p w14:paraId="32FA49F0" w14:textId="77777777" w:rsidR="00C47BE6" w:rsidRDefault="00C47BE6" w:rsidP="00C47BE6">
      <w:pPr>
        <w:pStyle w:val="ListParagraph1"/>
      </w:pPr>
      <w:r>
        <w:t xml:space="preserve">Misdemeanour and criminal court judges have the authority to conduct their own supplemental investigation if they are not satisfied with evidence presented by the public prosecution and defence or if new factual issues arise </w:t>
      </w:r>
      <w:proofErr w:type="gramStart"/>
      <w:r>
        <w:t>in the course of</w:t>
      </w:r>
      <w:proofErr w:type="gramEnd"/>
      <w:r>
        <w:t xml:space="preserve"> the trial. At the other extreme, trial judges can accept the evidence as presented by the parties in the court file without any requirement to hear live testimony from witnesses if not requested to do so by a party. </w:t>
      </w:r>
      <w:proofErr w:type="gramStart"/>
      <w:r>
        <w:t>A large number of</w:t>
      </w:r>
      <w:proofErr w:type="gramEnd"/>
      <w:r>
        <w:t xml:space="preserve"> misdemeanour and even some felony cases are routinely tried in a single day. Other trials generally take longer.</w:t>
      </w:r>
    </w:p>
    <w:p w14:paraId="46F35128" w14:textId="77777777" w:rsidR="00C47BE6" w:rsidRDefault="00C47BE6" w:rsidP="00C47BE6">
      <w:pPr>
        <w:pStyle w:val="ListParagraph1"/>
      </w:pPr>
      <w:r>
        <w:t>The Public Prosecution Office is an independent arm of the judiciary charged with conducting neutral, unbiased investigations. It is headed by a Prosecutor-General, a senior judge selected by the Supreme Judicial Council. Public Prosecutors act as both investigators and courtroom prosecutors. Criminal investigations are generally initiated based on complaints filed by citizens or government officials but may also be initiated by the Public Prosecution Office.</w:t>
      </w:r>
    </w:p>
    <w:p w14:paraId="7F7D449E" w14:textId="77777777" w:rsidR="00C47BE6" w:rsidRDefault="00C47BE6" w:rsidP="00C47BE6">
      <w:pPr>
        <w:pStyle w:val="ListParagraph1"/>
      </w:pPr>
      <w:r>
        <w:t>The only avenue for appeal for cases before criminal courts is the Court of Cassation. Appeals are limited to issues of law rather than fact. However, judgements in criminal courts unsupported by sufficient evidence are sometimes reversed as erroneous as a matter of law. For example, in</w:t>
      </w:r>
      <w:r>
        <w:noBreakHyphen/>
        <w:t xml:space="preserve">country sources provided examples of convictions of </w:t>
      </w:r>
      <w:r w:rsidRPr="006E495B">
        <w:t xml:space="preserve">LGBTQIA+ people </w:t>
      </w:r>
      <w:r>
        <w:t>overturned by the Court of Cassation due to errors of law.</w:t>
      </w:r>
    </w:p>
    <w:p w14:paraId="03BE607B" w14:textId="77777777" w:rsidR="00C47BE6" w:rsidRPr="00C47BE6" w:rsidRDefault="00C47BE6" w:rsidP="00C47BE6">
      <w:pPr>
        <w:pStyle w:val="Heading4"/>
        <w:ind w:firstLine="0"/>
        <w:jc w:val="left"/>
        <w:rPr>
          <w:rFonts w:cs="Calibri"/>
          <w:b/>
          <w:bCs/>
          <w:i w:val="0"/>
          <w:iCs w:val="0"/>
          <w:color w:val="auto"/>
          <w:sz w:val="24"/>
          <w:szCs w:val="24"/>
        </w:rPr>
      </w:pPr>
      <w:bookmarkStart w:id="109" w:name="_Military_Courts_and"/>
      <w:bookmarkEnd w:id="109"/>
      <w:r w:rsidRPr="00C47BE6">
        <w:rPr>
          <w:rFonts w:cs="Calibri"/>
          <w:b/>
          <w:bCs/>
          <w:i w:val="0"/>
          <w:iCs w:val="0"/>
          <w:color w:val="auto"/>
          <w:sz w:val="24"/>
          <w:szCs w:val="24"/>
        </w:rPr>
        <w:t>Military Courts and State Security Emergency Courts</w:t>
      </w:r>
    </w:p>
    <w:p w14:paraId="3988048F" w14:textId="77777777" w:rsidR="00C47BE6" w:rsidRDefault="00C47BE6" w:rsidP="00C47BE6">
      <w:pPr>
        <w:pStyle w:val="ListParagraph1"/>
      </w:pPr>
      <w:r w:rsidRPr="00C810F1">
        <w:t>Egypt’s military courts operate under the authority of the Defence Ministry. Military courts typically deny defendants</w:t>
      </w:r>
      <w:r>
        <w:t>’</w:t>
      </w:r>
      <w:r w:rsidRPr="00C810F1">
        <w:t xml:space="preserve"> rights accorded by civilian courts, </w:t>
      </w:r>
      <w:r>
        <w:t>including the right of the accused to be informed of the charges against them, to access a lawyer and to be brought promptly before a judge following arrest.</w:t>
      </w:r>
      <w:r w:rsidRPr="00C810F1">
        <w:t xml:space="preserve"> Although Article 204 of the Constitution prohibits military trials of civilians, it has a broad exemption for crimes representing direct assault</w:t>
      </w:r>
      <w:r>
        <w:t xml:space="preserve">s </w:t>
      </w:r>
      <w:r w:rsidRPr="00C810F1">
        <w:t>against military authority.</w:t>
      </w:r>
      <w:r>
        <w:t xml:space="preserve"> For example, </w:t>
      </w:r>
      <w:r w:rsidRPr="00883295">
        <w:t xml:space="preserve">a military court sentenced 62 residents of North Sinai governorate </w:t>
      </w:r>
      <w:r>
        <w:t xml:space="preserve">in December 2024 </w:t>
      </w:r>
      <w:r w:rsidRPr="00883295">
        <w:t>to prison terms ranging from three to 10 years on charges of damaging military vehicles and using force against public officials.</w:t>
      </w:r>
    </w:p>
    <w:p w14:paraId="3223AC6E" w14:textId="77777777" w:rsidR="00C47BE6" w:rsidRDefault="00C47BE6" w:rsidP="00C47BE6">
      <w:pPr>
        <w:pStyle w:val="ListParagraph1"/>
      </w:pPr>
      <w:r w:rsidRPr="00F647A6">
        <w:t xml:space="preserve">Amendments made in January 2025 to the </w:t>
      </w:r>
      <w:r w:rsidRPr="005A4FDD">
        <w:rPr>
          <w:i/>
          <w:iCs/>
        </w:rPr>
        <w:t>Military Code of Justice (No. 25) 1966</w:t>
      </w:r>
      <w:r w:rsidRPr="00F647A6">
        <w:t xml:space="preserve"> add</w:t>
      </w:r>
      <w:r>
        <w:t>ed</w:t>
      </w:r>
      <w:r w:rsidRPr="00F647A6">
        <w:t xml:space="preserve"> to the military courts’ jurisdiction crimes committed against </w:t>
      </w:r>
      <w:r>
        <w:t>‘</w:t>
      </w:r>
      <w:r w:rsidRPr="00F647A6">
        <w:t>public and vital facilities and public properties, and other comparable things, that are protected by the armed forces</w:t>
      </w:r>
      <w:r>
        <w:t>’</w:t>
      </w:r>
      <w:r w:rsidRPr="00F647A6">
        <w:t>.</w:t>
      </w:r>
      <w:r>
        <w:t xml:space="preserve"> </w:t>
      </w:r>
      <w:r w:rsidRPr="00FC32AB">
        <w:rPr>
          <w:i/>
          <w:iCs/>
        </w:rPr>
        <w:t>Law No. 25</w:t>
      </w:r>
      <w:r>
        <w:t xml:space="preserve"> was invoked in January 2025 to </w:t>
      </w:r>
      <w:r w:rsidRPr="00FC32AB">
        <w:t xml:space="preserve">arrest five fishermen at Lake </w:t>
      </w:r>
      <w:proofErr w:type="spellStart"/>
      <w:r w:rsidRPr="00FC32AB">
        <w:t>Bardawil</w:t>
      </w:r>
      <w:proofErr w:type="spellEnd"/>
      <w:r>
        <w:t xml:space="preserve"> for</w:t>
      </w:r>
      <w:r w:rsidRPr="00FC32AB">
        <w:t xml:space="preserve"> being in a </w:t>
      </w:r>
      <w:r>
        <w:t>‘</w:t>
      </w:r>
      <w:r w:rsidRPr="00FC32AB">
        <w:t>military area</w:t>
      </w:r>
      <w:r>
        <w:t>’</w:t>
      </w:r>
      <w:r w:rsidRPr="00FC32AB">
        <w:t xml:space="preserve"> without permission.</w:t>
      </w:r>
    </w:p>
    <w:p w14:paraId="1D9AC092" w14:textId="77777777" w:rsidR="00C47BE6" w:rsidRPr="00C47BE6" w:rsidRDefault="00C47BE6" w:rsidP="00C47BE6">
      <w:pPr>
        <w:pStyle w:val="Heading4"/>
        <w:ind w:firstLine="0"/>
        <w:jc w:val="left"/>
        <w:rPr>
          <w:rFonts w:cs="Calibri"/>
          <w:b/>
          <w:bCs/>
          <w:i w:val="0"/>
          <w:iCs w:val="0"/>
          <w:color w:val="auto"/>
          <w:sz w:val="24"/>
          <w:szCs w:val="24"/>
        </w:rPr>
      </w:pPr>
      <w:r w:rsidRPr="00C47BE6">
        <w:rPr>
          <w:rFonts w:cs="Calibri"/>
          <w:b/>
          <w:bCs/>
          <w:i w:val="0"/>
          <w:iCs w:val="0"/>
          <w:color w:val="auto"/>
          <w:sz w:val="24"/>
          <w:szCs w:val="24"/>
        </w:rPr>
        <w:t xml:space="preserve">Reconciliation Committees </w:t>
      </w:r>
    </w:p>
    <w:p w14:paraId="54DA54E3" w14:textId="77777777" w:rsidR="00C47BE6" w:rsidRPr="00262C30" w:rsidRDefault="00C47BE6" w:rsidP="00C47BE6">
      <w:pPr>
        <w:pStyle w:val="ListParagraph1"/>
      </w:pPr>
      <w:r w:rsidRPr="003341DB">
        <w:t>Reconciliation committees are a form of traditional justice authorities use to resolve communal incidents</w:t>
      </w:r>
      <w:r>
        <w:t xml:space="preserve"> </w:t>
      </w:r>
      <w:r w:rsidRPr="003341DB">
        <w:t xml:space="preserve">between Muslims and </w:t>
      </w:r>
      <w:hyperlink w:anchor="_Coptic_Christians" w:history="1">
        <w:r w:rsidRPr="005142D0">
          <w:rPr>
            <w:rStyle w:val="Hyperlink"/>
          </w:rPr>
          <w:t>Christians</w:t>
        </w:r>
      </w:hyperlink>
      <w:r>
        <w:t>, including in land and business disputes</w:t>
      </w:r>
      <w:r w:rsidRPr="003341DB">
        <w:t xml:space="preserve">. The process typically involves victims </w:t>
      </w:r>
      <w:r w:rsidRPr="003341DB">
        <w:lastRenderedPageBreak/>
        <w:t xml:space="preserve">accepting a negotiated apology and compensation </w:t>
      </w:r>
      <w:r>
        <w:t>for</w:t>
      </w:r>
      <w:r w:rsidRPr="003341DB">
        <w:t xml:space="preserve"> abandoning any claim</w:t>
      </w:r>
      <w:r>
        <w:t xml:space="preserve"> to</w:t>
      </w:r>
      <w:r w:rsidRPr="003341DB">
        <w:t xml:space="preserve"> legal remedy.</w:t>
      </w:r>
      <w:r>
        <w:t xml:space="preserve"> R</w:t>
      </w:r>
      <w:r w:rsidRPr="003341DB">
        <w:t xml:space="preserve">econciliation committees are </w:t>
      </w:r>
      <w:r>
        <w:t>more</w:t>
      </w:r>
      <w:r w:rsidRPr="003341DB">
        <w:t xml:space="preserve"> common in rural and poorer areas, where people </w:t>
      </w:r>
      <w:r>
        <w:t>historically had greater difficulty</w:t>
      </w:r>
      <w:r w:rsidRPr="003341DB">
        <w:t xml:space="preserve"> access</w:t>
      </w:r>
      <w:r>
        <w:t>ing</w:t>
      </w:r>
      <w:r w:rsidRPr="003341DB">
        <w:t xml:space="preserve"> </w:t>
      </w:r>
      <w:r>
        <w:t xml:space="preserve">the </w:t>
      </w:r>
      <w:r w:rsidRPr="003341DB">
        <w:t>justice</w:t>
      </w:r>
      <w:r>
        <w:t xml:space="preserve"> system</w:t>
      </w:r>
      <w:r w:rsidRPr="003341DB">
        <w:t xml:space="preserve">. </w:t>
      </w:r>
      <w:r w:rsidRPr="00FC32AB">
        <w:t xml:space="preserve">In-country sources said reconciliation committees </w:t>
      </w:r>
      <w:r>
        <w:t>we</w:t>
      </w:r>
      <w:r w:rsidRPr="00FC32AB">
        <w:t xml:space="preserve">re </w:t>
      </w:r>
      <w:r w:rsidRPr="00262C30">
        <w:t>being used less frequently due to improvement</w:t>
      </w:r>
      <w:r>
        <w:t>s</w:t>
      </w:r>
      <w:r w:rsidRPr="00262C30">
        <w:t xml:space="preserve"> within the common court system, which had resulted in fewer adjournments, speedier trials and reduced backlogs of cases. </w:t>
      </w:r>
      <w:r>
        <w:t xml:space="preserve">DFAT was not aware at the time of writing </w:t>
      </w:r>
      <w:r w:rsidRPr="006C43A8">
        <w:t xml:space="preserve">of </w:t>
      </w:r>
      <w:r>
        <w:t xml:space="preserve">recent instances of reconciliation committees forcing Christians to </w:t>
      </w:r>
      <w:r w:rsidRPr="007E07BA">
        <w:t>withdraw charges</w:t>
      </w:r>
      <w:r>
        <w:t xml:space="preserve"> against Muslims or</w:t>
      </w:r>
      <w:r w:rsidRPr="007E07BA">
        <w:t xml:space="preserve"> apologise</w:t>
      </w:r>
      <w:r>
        <w:t xml:space="preserve"> to them unjustly </w:t>
      </w:r>
      <w:proofErr w:type="gramStart"/>
      <w:r>
        <w:t xml:space="preserve">in order </w:t>
      </w:r>
      <w:r w:rsidRPr="007E07BA">
        <w:t>to</w:t>
      </w:r>
      <w:proofErr w:type="gramEnd"/>
      <w:r w:rsidRPr="007E07BA">
        <w:t xml:space="preserve"> resolve issues at the local level</w:t>
      </w:r>
      <w:r>
        <w:t>.</w:t>
      </w:r>
    </w:p>
    <w:p w14:paraId="56F77CFA" w14:textId="77777777" w:rsidR="00C47BE6" w:rsidRPr="00C47BE6" w:rsidRDefault="00C47BE6" w:rsidP="00C47BE6">
      <w:pPr>
        <w:pStyle w:val="Heading4"/>
        <w:ind w:firstLine="0"/>
        <w:jc w:val="left"/>
        <w:rPr>
          <w:rFonts w:cs="Calibri"/>
          <w:b/>
          <w:bCs/>
          <w:i w:val="0"/>
          <w:iCs w:val="0"/>
          <w:color w:val="auto"/>
          <w:sz w:val="24"/>
          <w:szCs w:val="24"/>
        </w:rPr>
      </w:pPr>
      <w:r w:rsidRPr="00C47BE6">
        <w:rPr>
          <w:rFonts w:cs="Calibri"/>
          <w:b/>
          <w:bCs/>
          <w:i w:val="0"/>
          <w:iCs w:val="0"/>
          <w:color w:val="auto"/>
          <w:sz w:val="24"/>
          <w:szCs w:val="24"/>
        </w:rPr>
        <w:t>Double Jeopardy</w:t>
      </w:r>
    </w:p>
    <w:p w14:paraId="6F826DF7" w14:textId="77777777" w:rsidR="00C47BE6" w:rsidRPr="00262C30" w:rsidRDefault="00C47BE6" w:rsidP="00C47BE6">
      <w:pPr>
        <w:pStyle w:val="ListParagraph1"/>
      </w:pPr>
      <w:r>
        <w:t>Egypt</w:t>
      </w:r>
      <w:r w:rsidRPr="00262C30">
        <w:t xml:space="preserve">'s legal system generally recognises the principle of double jeopardy. However, the UN Special Rapporteur </w:t>
      </w:r>
      <w:proofErr w:type="gramStart"/>
      <w:r w:rsidRPr="00262C30">
        <w:t>on the situation of</w:t>
      </w:r>
      <w:proofErr w:type="gramEnd"/>
      <w:r w:rsidRPr="00262C30">
        <w:t xml:space="preserve"> human rights defenders </w:t>
      </w:r>
      <w:r>
        <w:t xml:space="preserve">reported instances where people were </w:t>
      </w:r>
      <w:r w:rsidRPr="00262C30">
        <w:t xml:space="preserve">charged with similar, </w:t>
      </w:r>
      <w:r>
        <w:t>and sometimes</w:t>
      </w:r>
      <w:r w:rsidRPr="00262C30">
        <w:t xml:space="preserve"> identical, terrorism-related accusations in a practice known as 'rotation' or 'recycling'. For example, upon completing a five-year sentence on 1 November 2023 for ‘joining an unnamed terrorist organisation’, human rights lawyer</w:t>
      </w:r>
      <w:r w:rsidRPr="00A46FFC">
        <w:t xml:space="preserve"> Hoda Abdel Moneim was detained again </w:t>
      </w:r>
      <w:r>
        <w:t>for an</w:t>
      </w:r>
      <w:r w:rsidRPr="00A46FFC">
        <w:t xml:space="preserve"> identical </w:t>
      </w:r>
      <w:r>
        <w:t xml:space="preserve">charge </w:t>
      </w:r>
      <w:r w:rsidRPr="00A46FFC">
        <w:t xml:space="preserve">to that for which she had completed her </w:t>
      </w:r>
      <w:r>
        <w:t xml:space="preserve">previous </w:t>
      </w:r>
      <w:r w:rsidRPr="00A46FFC">
        <w:t>sentence</w:t>
      </w:r>
      <w:r>
        <w:t>. In another instance,</w:t>
      </w:r>
      <w:r w:rsidRPr="00A46FFC">
        <w:t xml:space="preserve"> human rights defender Aisha al-Shater</w:t>
      </w:r>
      <w:r>
        <w:t xml:space="preserve"> was charged with an identical crime </w:t>
      </w:r>
      <w:r w:rsidRPr="00A46FFC">
        <w:t xml:space="preserve">to that for which she </w:t>
      </w:r>
      <w:r>
        <w:t>was</w:t>
      </w:r>
      <w:r w:rsidRPr="00A46FFC">
        <w:t xml:space="preserve"> serving a 10-year prison sentence.</w:t>
      </w:r>
      <w:r>
        <w:t xml:space="preserve"> There have been other cases where people charged and acquitted by one jurisdiction of Egypt were charged for the same offence in another jurisdiction.  DFAT was not aware at the time of writing </w:t>
      </w:r>
      <w:r w:rsidRPr="006C43A8">
        <w:t xml:space="preserve">of </w:t>
      </w:r>
      <w:r>
        <w:t xml:space="preserve">recent instances of </w:t>
      </w:r>
      <w:r w:rsidRPr="00B65085">
        <w:t>individual</w:t>
      </w:r>
      <w:r>
        <w:t>s</w:t>
      </w:r>
      <w:r w:rsidRPr="00B65085">
        <w:t xml:space="preserve"> </w:t>
      </w:r>
      <w:r>
        <w:t>convicted</w:t>
      </w:r>
      <w:r w:rsidRPr="00B65085">
        <w:t xml:space="preserve"> </w:t>
      </w:r>
      <w:r>
        <w:t xml:space="preserve">or acquitted of crimes </w:t>
      </w:r>
      <w:r w:rsidRPr="00B65085">
        <w:t>overseas</w:t>
      </w:r>
      <w:r>
        <w:t xml:space="preserve"> being charged for the same crimes upon their return to Egypt.</w:t>
      </w:r>
    </w:p>
    <w:p w14:paraId="79C19330" w14:textId="77777777" w:rsidR="00C47BE6" w:rsidRPr="005F3FA2" w:rsidRDefault="00C47BE6" w:rsidP="00C47BE6">
      <w:pPr>
        <w:pStyle w:val="Heading3"/>
        <w:ind w:firstLine="0"/>
        <w:jc w:val="left"/>
        <w:rPr>
          <w:rFonts w:cs="Calibri"/>
          <w:b/>
          <w:bCs/>
          <w:color w:val="auto"/>
        </w:rPr>
      </w:pPr>
      <w:bookmarkStart w:id="110" w:name="_Toc195628610"/>
      <w:bookmarkStart w:id="111" w:name="_Toc195629308"/>
      <w:bookmarkStart w:id="112" w:name="_Toc196318453"/>
      <w:r w:rsidRPr="00C065AA">
        <w:rPr>
          <w:rFonts w:cs="Calibri"/>
          <w:b/>
          <w:bCs/>
          <w:color w:val="auto"/>
        </w:rPr>
        <w:t>National Human Rights Institution</w:t>
      </w:r>
      <w:bookmarkEnd w:id="110"/>
      <w:bookmarkEnd w:id="111"/>
      <w:bookmarkEnd w:id="112"/>
    </w:p>
    <w:p w14:paraId="12389F63" w14:textId="77777777" w:rsidR="00C47BE6" w:rsidRDefault="00C47BE6" w:rsidP="00C47BE6">
      <w:pPr>
        <w:pStyle w:val="ListParagraph1"/>
      </w:pPr>
      <w:r w:rsidRPr="003341DB">
        <w:t>The National Council for Human Rights (NCHR) was established in 2003</w:t>
      </w:r>
      <w:r>
        <w:t xml:space="preserve"> with a mission to </w:t>
      </w:r>
      <w:r w:rsidRPr="00F03DAF">
        <w:t>protect, promote and develop human rights in Egypt under the provisions of the Constitution</w:t>
      </w:r>
      <w:r w:rsidRPr="003341DB">
        <w:t>. Article 99 of the Constitution grants the NCHR the power to file complaints with the Public Prosecution Office in the event of violations of legally established civil rights.</w:t>
      </w:r>
      <w:r w:rsidRPr="00C266A8">
        <w:t xml:space="preserve"> </w:t>
      </w:r>
      <w:r w:rsidRPr="003341DB">
        <w:t xml:space="preserve">Article 214 of the Constitution guarantees the NCHR’s independence </w:t>
      </w:r>
      <w:r>
        <w:t xml:space="preserve">but </w:t>
      </w:r>
      <w:r w:rsidRPr="00C065AA">
        <w:rPr>
          <w:i/>
          <w:iCs/>
        </w:rPr>
        <w:t>Law 94 2003</w:t>
      </w:r>
      <w:r>
        <w:t xml:space="preserve"> – the NCHR’s </w:t>
      </w:r>
      <w:r w:rsidRPr="003341DB">
        <w:t>enabling law</w:t>
      </w:r>
      <w:r>
        <w:t xml:space="preserve"> -</w:t>
      </w:r>
      <w:r w:rsidRPr="003341DB">
        <w:t xml:space="preserve"> does not specifically establish </w:t>
      </w:r>
      <w:r>
        <w:t xml:space="preserve">its </w:t>
      </w:r>
      <w:r w:rsidRPr="003341DB">
        <w:t>independence from the executive and legislative branches of government.</w:t>
      </w:r>
      <w:r>
        <w:t xml:space="preserve"> In-country sources said r</w:t>
      </w:r>
      <w:r w:rsidRPr="003341DB">
        <w:t xml:space="preserve">esource and mandate </w:t>
      </w:r>
      <w:r>
        <w:t>constraints</w:t>
      </w:r>
      <w:r w:rsidRPr="003341DB">
        <w:t xml:space="preserve"> limit</w:t>
      </w:r>
      <w:r>
        <w:t>ed</w:t>
      </w:r>
      <w:r w:rsidRPr="003341DB">
        <w:t xml:space="preserve"> </w:t>
      </w:r>
      <w:r>
        <w:t>the</w:t>
      </w:r>
      <w:r w:rsidRPr="003341DB">
        <w:t xml:space="preserve"> </w:t>
      </w:r>
      <w:r>
        <w:t>NCHR’s</w:t>
      </w:r>
      <w:r w:rsidRPr="003341DB">
        <w:t xml:space="preserve"> effectiveness</w:t>
      </w:r>
      <w:r>
        <w:t xml:space="preserve">. They said the NCHR </w:t>
      </w:r>
      <w:r w:rsidRPr="00EE1CD2">
        <w:t>lack</w:t>
      </w:r>
      <w:r>
        <w:t>ed</w:t>
      </w:r>
      <w:r w:rsidRPr="003341DB">
        <w:t xml:space="preserve"> the power to subpoena officials</w:t>
      </w:r>
      <w:r>
        <w:t xml:space="preserve"> or</w:t>
      </w:r>
      <w:r w:rsidRPr="003341DB">
        <w:t xml:space="preserve"> make binding demands on the government</w:t>
      </w:r>
      <w:r>
        <w:t>.</w:t>
      </w:r>
    </w:p>
    <w:p w14:paraId="214751B0" w14:textId="77777777" w:rsidR="00C47BE6" w:rsidRDefault="00C47BE6" w:rsidP="00C47BE6">
      <w:pPr>
        <w:pStyle w:val="ListParagraph1"/>
      </w:pPr>
      <w:r>
        <w:t xml:space="preserve">The NCHR’s </w:t>
      </w:r>
      <w:r w:rsidRPr="00F03DAF">
        <w:t>periodic reports on the human rights situation in Egypt declined in both frequency and substance in recent years</w:t>
      </w:r>
      <w:r>
        <w:t>, according to human rights organisations. The NCHR has</w:t>
      </w:r>
      <w:r w:rsidRPr="00F03DAF">
        <w:t xml:space="preserve"> </w:t>
      </w:r>
      <w:r>
        <w:t xml:space="preserve">also </w:t>
      </w:r>
      <w:r w:rsidRPr="00F03DAF">
        <w:t>limit</w:t>
      </w:r>
      <w:r>
        <w:t>ed</w:t>
      </w:r>
      <w:r w:rsidRPr="00F03DAF">
        <w:t xml:space="preserve"> </w:t>
      </w:r>
      <w:r>
        <w:t xml:space="preserve">its </w:t>
      </w:r>
      <w:r w:rsidRPr="00F03DAF">
        <w:t>engagement with</w:t>
      </w:r>
      <w:r>
        <w:t xml:space="preserve"> politically sensitive</w:t>
      </w:r>
      <w:r w:rsidRPr="00F03DAF">
        <w:t xml:space="preserve"> </w:t>
      </w:r>
      <w:r>
        <w:t xml:space="preserve">human rights </w:t>
      </w:r>
      <w:r w:rsidRPr="00F03DAF">
        <w:t xml:space="preserve">issues </w:t>
      </w:r>
      <w:r>
        <w:t>like</w:t>
      </w:r>
      <w:r w:rsidRPr="00F03DAF">
        <w:t xml:space="preserve"> enforced disappearances</w:t>
      </w:r>
      <w:r>
        <w:t xml:space="preserve"> and is instead focusing on </w:t>
      </w:r>
      <w:r w:rsidRPr="00203F95">
        <w:rPr>
          <w:lang w:val="en-AU"/>
        </w:rPr>
        <w:t>socio-economic rights</w:t>
      </w:r>
      <w:r>
        <w:t>. T</w:t>
      </w:r>
      <w:r w:rsidRPr="00203F95">
        <w:t xml:space="preserve">he Sub-Committee on Accreditation of the Global Alliance of National Human Rights Institutions recommended downgrading the NCHR to </w:t>
      </w:r>
      <w:r>
        <w:t>‘</w:t>
      </w:r>
      <w:r w:rsidRPr="00203F95">
        <w:t>B status</w:t>
      </w:r>
      <w:r>
        <w:t>’</w:t>
      </w:r>
      <w:r w:rsidRPr="00203F95">
        <w:t xml:space="preserve"> </w:t>
      </w:r>
      <w:r>
        <w:t xml:space="preserve">in November 2024 </w:t>
      </w:r>
      <w:r w:rsidRPr="00203F95">
        <w:t>over concerns about its lack of independence, transparency and effectiveness</w:t>
      </w:r>
      <w:r>
        <w:t>.</w:t>
      </w:r>
    </w:p>
    <w:p w14:paraId="481593AB" w14:textId="77777777" w:rsidR="00C47BE6" w:rsidRPr="00987A68" w:rsidRDefault="00C47BE6" w:rsidP="00C47BE6">
      <w:pPr>
        <w:pStyle w:val="ListParagraph1"/>
      </w:pPr>
      <w:r w:rsidRPr="00977003">
        <w:t xml:space="preserve">The Supreme Standing Committee for Human Rights (SSCHR) was established </w:t>
      </w:r>
      <w:r>
        <w:t xml:space="preserve">in 2018 </w:t>
      </w:r>
      <w:r w:rsidRPr="00977003">
        <w:t xml:space="preserve">by </w:t>
      </w:r>
      <w:r w:rsidRPr="00502732">
        <w:rPr>
          <w:i/>
          <w:iCs/>
        </w:rPr>
        <w:t>Prime Ministerial Decree No. 2396</w:t>
      </w:r>
      <w:r>
        <w:t xml:space="preserve"> with the aim of further</w:t>
      </w:r>
      <w:r w:rsidRPr="00977003">
        <w:t xml:space="preserve"> enhanc</w:t>
      </w:r>
      <w:r>
        <w:t>ing</w:t>
      </w:r>
      <w:r w:rsidRPr="00977003">
        <w:t xml:space="preserve"> human rights protection in Egypt. </w:t>
      </w:r>
      <w:r w:rsidRPr="00502732">
        <w:t>It includes all ministries and government bodies involved with human rights</w:t>
      </w:r>
      <w:r>
        <w:t xml:space="preserve"> in Egypt</w:t>
      </w:r>
      <w:r w:rsidRPr="00502732">
        <w:t xml:space="preserve"> and is chaired by the Ministry of Foreign Affairs. The committee is responsible for monitoring implementation of international obligations under the relevant international conventions</w:t>
      </w:r>
      <w:r>
        <w:t>. SSCHR also</w:t>
      </w:r>
      <w:r w:rsidRPr="00502732">
        <w:t xml:space="preserve"> reviews </w:t>
      </w:r>
      <w:r>
        <w:t xml:space="preserve">domestic </w:t>
      </w:r>
      <w:r w:rsidRPr="00502732">
        <w:t xml:space="preserve">human rights legislation and policies and </w:t>
      </w:r>
      <w:r>
        <w:t>monitors</w:t>
      </w:r>
      <w:r w:rsidRPr="00502732">
        <w:t xml:space="preserve"> implementation of </w:t>
      </w:r>
      <w:r w:rsidRPr="00987A68">
        <w:t>national human rights strategies.</w:t>
      </w:r>
    </w:p>
    <w:p w14:paraId="7ECEF2F0" w14:textId="77777777" w:rsidR="00C47BE6" w:rsidRPr="00A505AC" w:rsidRDefault="00C47BE6" w:rsidP="00C47BE6">
      <w:pPr>
        <w:pStyle w:val="Heading3"/>
        <w:ind w:firstLine="0"/>
        <w:jc w:val="left"/>
        <w:rPr>
          <w:rFonts w:cs="Calibri"/>
          <w:b/>
          <w:bCs/>
          <w:color w:val="auto"/>
        </w:rPr>
      </w:pPr>
      <w:bookmarkStart w:id="113" w:name="_Detention_and_Prison"/>
      <w:bookmarkStart w:id="114" w:name="_Toc196318454"/>
      <w:bookmarkEnd w:id="113"/>
      <w:r w:rsidRPr="00987A68">
        <w:rPr>
          <w:rFonts w:cs="Calibri"/>
          <w:b/>
          <w:bCs/>
          <w:color w:val="auto"/>
        </w:rPr>
        <w:t>Detention and Prison</w:t>
      </w:r>
      <w:bookmarkEnd w:id="114"/>
    </w:p>
    <w:p w14:paraId="644AF000" w14:textId="77777777" w:rsidR="00C47BE6" w:rsidRDefault="00C47BE6" w:rsidP="00C47BE6">
      <w:pPr>
        <w:pStyle w:val="ListParagraph1"/>
      </w:pPr>
      <w:r w:rsidRPr="00292609">
        <w:t>Article 56 of the Constitution states prisons are houses for reform and rehabilitation subject to judicial oversight</w:t>
      </w:r>
      <w:r>
        <w:t xml:space="preserve">. </w:t>
      </w:r>
      <w:r w:rsidRPr="00B40A34">
        <w:t>Apart from a few military prisons under the Defen</w:t>
      </w:r>
      <w:r>
        <w:t>c</w:t>
      </w:r>
      <w:r w:rsidRPr="00B40A34">
        <w:t>e Ministry, all official prisons in Egypt are administered by the Interior Ministry, under its Prison Authority or security directorates.</w:t>
      </w:r>
      <w:r>
        <w:t xml:space="preserve"> There were 78 prison facilities operating in 2021 and an unclear number of police detention facilities. T</w:t>
      </w:r>
      <w:r w:rsidRPr="00B40A34">
        <w:t xml:space="preserve">he </w:t>
      </w:r>
      <w:r>
        <w:t>I</w:t>
      </w:r>
      <w:r w:rsidRPr="00B40A34">
        <w:t xml:space="preserve">nterior </w:t>
      </w:r>
      <w:r>
        <w:t>M</w:t>
      </w:r>
      <w:r w:rsidRPr="00B40A34">
        <w:t>inistry</w:t>
      </w:r>
      <w:r>
        <w:t xml:space="preserve"> </w:t>
      </w:r>
      <w:r w:rsidRPr="00B40A34">
        <w:t>restructure</w:t>
      </w:r>
      <w:r>
        <w:t>d</w:t>
      </w:r>
      <w:r w:rsidRPr="00B40A34">
        <w:t xml:space="preserve"> </w:t>
      </w:r>
      <w:r>
        <w:t xml:space="preserve">its </w:t>
      </w:r>
      <w:r w:rsidRPr="00B40A34">
        <w:t xml:space="preserve">prisons and rehabilitation centres </w:t>
      </w:r>
      <w:r>
        <w:t xml:space="preserve">since 2021 to improve standards. This included closing down 15 ‘traditional prisons’ and constructing new facilities, including the </w:t>
      </w:r>
      <w:r w:rsidRPr="00B40A34">
        <w:t>Wadi Al-</w:t>
      </w:r>
      <w:proofErr w:type="spellStart"/>
      <w:r w:rsidRPr="00B40A34">
        <w:t>Natroun</w:t>
      </w:r>
      <w:proofErr w:type="spellEnd"/>
      <w:r w:rsidRPr="00B40A34">
        <w:t xml:space="preserve"> Rehabilitation Centre</w:t>
      </w:r>
      <w:r>
        <w:t xml:space="preserve"> in </w:t>
      </w:r>
      <w:r w:rsidRPr="002F09F8">
        <w:t xml:space="preserve">the </w:t>
      </w:r>
      <w:proofErr w:type="spellStart"/>
      <w:r w:rsidRPr="002F09F8">
        <w:t>Beheira</w:t>
      </w:r>
      <w:proofErr w:type="spellEnd"/>
      <w:r w:rsidRPr="002F09F8">
        <w:t xml:space="preserve"> Governorate</w:t>
      </w:r>
      <w:r w:rsidRPr="00B40A34">
        <w:t>.</w:t>
      </w:r>
    </w:p>
    <w:p w14:paraId="29E611EF" w14:textId="77777777" w:rsidR="00C47BE6" w:rsidRDefault="00C47BE6" w:rsidP="00C47BE6">
      <w:pPr>
        <w:pStyle w:val="ListParagraph1"/>
      </w:pPr>
      <w:r>
        <w:t xml:space="preserve">Egypt does not </w:t>
      </w:r>
      <w:r w:rsidRPr="003E6B24">
        <w:rPr>
          <w:lang w:val="en-AU"/>
        </w:rPr>
        <w:t>publish</w:t>
      </w:r>
      <w:r>
        <w:t xml:space="preserve"> official statistics on its prison population. However, according to the World Prison Brief/Institute for Criminal Policy Research’s World Prison Population List, Egypt had an estimated total prison </w:t>
      </w:r>
      <w:r>
        <w:lastRenderedPageBreak/>
        <w:t xml:space="preserve">population of </w:t>
      </w:r>
      <w:r w:rsidRPr="00327D7F">
        <w:t>1</w:t>
      </w:r>
      <w:r>
        <w:t>20</w:t>
      </w:r>
      <w:r w:rsidRPr="00327D7F">
        <w:t>,000</w:t>
      </w:r>
      <w:r>
        <w:t xml:space="preserve"> (including pre-trial detainees and remand prisoners) in 2022. </w:t>
      </w:r>
      <w:r w:rsidRPr="00586B16">
        <w:t xml:space="preserve">The official prison capacity is 55,000 people. </w:t>
      </w:r>
      <w:r>
        <w:t xml:space="preserve">According to a former chairperson </w:t>
      </w:r>
      <w:r w:rsidRPr="00AB2406">
        <w:t xml:space="preserve">of </w:t>
      </w:r>
      <w:r>
        <w:t>P</w:t>
      </w:r>
      <w:r w:rsidRPr="00AB2406">
        <w:t xml:space="preserve">arliament’s </w:t>
      </w:r>
      <w:r>
        <w:t>H</w:t>
      </w:r>
      <w:r w:rsidRPr="00AB2406">
        <w:t xml:space="preserve">uman </w:t>
      </w:r>
      <w:r>
        <w:t>R</w:t>
      </w:r>
      <w:r w:rsidRPr="00AB2406">
        <w:t xml:space="preserve">ights </w:t>
      </w:r>
      <w:r>
        <w:t>C</w:t>
      </w:r>
      <w:r w:rsidRPr="00AB2406">
        <w:t xml:space="preserve">ommittee, half of the prisoners in Egypt </w:t>
      </w:r>
      <w:r>
        <w:t>were</w:t>
      </w:r>
      <w:r w:rsidRPr="00AB2406">
        <w:t xml:space="preserve"> in pretrial detention</w:t>
      </w:r>
      <w:r>
        <w:t xml:space="preserve"> in 2025 and yet to be</w:t>
      </w:r>
      <w:r w:rsidRPr="00AB2406">
        <w:t xml:space="preserve"> sentenced</w:t>
      </w:r>
      <w:r>
        <w:t>.</w:t>
      </w:r>
    </w:p>
    <w:p w14:paraId="7A4AC0CF" w14:textId="3E9B47D4" w:rsidR="00C47BE6" w:rsidRDefault="00C47BE6" w:rsidP="00C47BE6">
      <w:pPr>
        <w:pStyle w:val="ListParagraph1"/>
      </w:pPr>
      <w:r w:rsidRPr="00987A68">
        <w:t>In-country sources said older</w:t>
      </w:r>
      <w:r>
        <w:t xml:space="preserve"> style</w:t>
      </w:r>
      <w:r w:rsidRPr="00987A68">
        <w:t xml:space="preserve"> traditional prisons were </w:t>
      </w:r>
      <w:r>
        <w:t xml:space="preserve">often </w:t>
      </w:r>
      <w:r w:rsidRPr="00987A68">
        <w:t>overcrowd</w:t>
      </w:r>
      <w:r>
        <w:t>ed</w:t>
      </w:r>
      <w:r w:rsidRPr="00987A68">
        <w:t xml:space="preserve"> and lacked proper sanitation and ventilation</w:t>
      </w:r>
      <w:r>
        <w:t xml:space="preserve"> but newly built facilities did not have these issues. Newly built rehabilitation facilities have lights on for 24 hours a day and cameras installed in every cell, while traditional prisons do not. </w:t>
      </w:r>
      <w:r w:rsidRPr="00295611">
        <w:t xml:space="preserve">All facilities reportedly </w:t>
      </w:r>
      <w:r>
        <w:t>lacked nutritious food</w:t>
      </w:r>
      <w:r w:rsidRPr="00295611">
        <w:t xml:space="preserve"> and </w:t>
      </w:r>
      <w:r>
        <w:t xml:space="preserve">provided only </w:t>
      </w:r>
      <w:r w:rsidRPr="00295611">
        <w:t>limited</w:t>
      </w:r>
      <w:r>
        <w:t xml:space="preserve"> access to fresh air and exercise. Medical facilities varied in terms of quality and access to specialist services. Inmates are generally permitted family visits once a month for between 15 or 20 minutes. The government reports there are employment and education programs available for inmates but DFAT was unable to verify if these programs functioned. Inmates are permitted to worship and there are </w:t>
      </w:r>
      <w:r w:rsidR="00F35EFA">
        <w:t xml:space="preserve">mosques and </w:t>
      </w:r>
      <w:r>
        <w:t>small churches within every rehabilitation centre/prison that hold weekly prayer sessions.</w:t>
      </w:r>
    </w:p>
    <w:p w14:paraId="20D3ADE0" w14:textId="77777777" w:rsidR="00C47BE6" w:rsidRPr="00B074E4" w:rsidRDefault="00C47BE6" w:rsidP="00C47BE6">
      <w:pPr>
        <w:pStyle w:val="ListParagraph1"/>
      </w:pPr>
      <w:r w:rsidRPr="00292609">
        <w:t>Article 56 of the Constitution states</w:t>
      </w:r>
      <w:r>
        <w:t xml:space="preserve"> c</w:t>
      </w:r>
      <w:r w:rsidRPr="00292609">
        <w:t>onduct violating the dignity of prisoners or endangering</w:t>
      </w:r>
      <w:r>
        <w:t xml:space="preserve"> their health is forbidden</w:t>
      </w:r>
      <w:r w:rsidRPr="00292609">
        <w:t>.</w:t>
      </w:r>
      <w:r>
        <w:t xml:space="preserve"> </w:t>
      </w:r>
      <w:r w:rsidRPr="00FF6743">
        <w:t xml:space="preserve">The US Department of State's 2023 </w:t>
      </w:r>
      <w:r w:rsidRPr="000A1F71">
        <w:rPr>
          <w:i/>
          <w:iCs/>
        </w:rPr>
        <w:t>Egypt Country Report on Human Rights Practices</w:t>
      </w:r>
      <w:r w:rsidRPr="00FF6743">
        <w:t xml:space="preserve"> </w:t>
      </w:r>
      <w:r>
        <w:t xml:space="preserve">reported </w:t>
      </w:r>
      <w:r w:rsidRPr="001D7A9E">
        <w:t xml:space="preserve">families of some deceased prisoners </w:t>
      </w:r>
      <w:r>
        <w:t>alleged</w:t>
      </w:r>
      <w:r w:rsidRPr="001D7A9E">
        <w:t xml:space="preserve"> prison authorities denied prisoners access to potentially life-saving medical care and in some cases denied requests to transfer the prisoners to hospital, leading to deaths in prison. A report by a local monitoring organi</w:t>
      </w:r>
      <w:r>
        <w:t>s</w:t>
      </w:r>
      <w:r w:rsidRPr="001D7A9E">
        <w:t xml:space="preserve">ation stated 35 prisoners and detainees died </w:t>
      </w:r>
      <w:proofErr w:type="gramStart"/>
      <w:r w:rsidRPr="001D7A9E">
        <w:t>as a result of</w:t>
      </w:r>
      <w:proofErr w:type="gramEnd"/>
      <w:r w:rsidRPr="001D7A9E">
        <w:t xml:space="preserve"> abuse or medical neglect during</w:t>
      </w:r>
      <w:r>
        <w:t xml:space="preserve"> 2023</w:t>
      </w:r>
      <w:r w:rsidRPr="001D7A9E">
        <w:t>.</w:t>
      </w:r>
      <w:r>
        <w:t xml:space="preserve"> In-country sources said punishment for offences committed in prisons usually involved restrictions on food, solitary confinement or transfer to other prisons.</w:t>
      </w:r>
      <w:r w:rsidRPr="001D7A9E">
        <w:rPr>
          <w:rStyle w:val="FootnoteReference"/>
        </w:rPr>
        <w:t xml:space="preserve"> </w:t>
      </w:r>
      <w:r>
        <w:t>Corporal punishment occurs in prisons, with inmates sometimes subjected to threats, sleep deprivation and beatings, often when on hunger strikes.</w:t>
      </w:r>
    </w:p>
    <w:p w14:paraId="73C23AC5" w14:textId="77777777" w:rsidR="00C47BE6" w:rsidRPr="00C47BE6" w:rsidRDefault="00C47BE6" w:rsidP="00C47BE6">
      <w:pPr>
        <w:pStyle w:val="Heading2"/>
        <w:ind w:firstLine="0"/>
        <w:jc w:val="left"/>
        <w:rPr>
          <w:rFonts w:ascii="Calibri" w:hAnsi="Calibri" w:cs="Calibri"/>
          <w:b/>
          <w:bCs/>
          <w:color w:val="auto"/>
          <w:sz w:val="36"/>
          <w:szCs w:val="36"/>
        </w:rPr>
      </w:pPr>
      <w:bookmarkStart w:id="115" w:name="_INTERNAL_RELOCATION"/>
      <w:bookmarkStart w:id="116" w:name="_Toc196387087"/>
      <w:bookmarkEnd w:id="115"/>
      <w:r w:rsidRPr="00C47BE6">
        <w:rPr>
          <w:rFonts w:ascii="Calibri" w:hAnsi="Calibri" w:cs="Calibri"/>
          <w:b/>
          <w:bCs/>
          <w:color w:val="auto"/>
          <w:sz w:val="36"/>
          <w:szCs w:val="36"/>
        </w:rPr>
        <w:t>INTERNAL RELOCATION</w:t>
      </w:r>
      <w:bookmarkEnd w:id="116"/>
    </w:p>
    <w:p w14:paraId="7D5593F2" w14:textId="77777777" w:rsidR="00C47BE6" w:rsidRDefault="00C47BE6" w:rsidP="00C47BE6">
      <w:pPr>
        <w:pStyle w:val="ListParagraph1"/>
      </w:pPr>
      <w:r w:rsidRPr="003341DB">
        <w:t xml:space="preserve">Article 62 of the Constitution guarantees freedom of movement, residence and emigration. There </w:t>
      </w:r>
      <w:r>
        <w:t>are</w:t>
      </w:r>
      <w:r w:rsidRPr="003341DB">
        <w:t xml:space="preserve"> no legal impediment</w:t>
      </w:r>
      <w:r>
        <w:t>s</w:t>
      </w:r>
      <w:r w:rsidRPr="003341DB">
        <w:t xml:space="preserve"> to internal movement within Egypt</w:t>
      </w:r>
      <w:r>
        <w:t>. E</w:t>
      </w:r>
      <w:r w:rsidRPr="003341DB">
        <w:t xml:space="preserve">gyptians can and do relocate for a variety of reasons. Major cities, such as Cairo and Alexandria, offer Egyptians greater opportunities for employment. Some Egyptians from the poorer parts of Upper Egypt have moved to the north coast of the country in search </w:t>
      </w:r>
      <w:r>
        <w:t>of</w:t>
      </w:r>
      <w:r w:rsidRPr="003341DB">
        <w:t xml:space="preserve"> better jobs and living conditions.</w:t>
      </w:r>
      <w:r>
        <w:t xml:space="preserve"> In-country sources said worsening e</w:t>
      </w:r>
      <w:r w:rsidRPr="00985859">
        <w:t>conomic conditions</w:t>
      </w:r>
      <w:r>
        <w:t xml:space="preserve"> within Egypt were</w:t>
      </w:r>
      <w:r w:rsidRPr="00985859">
        <w:t xml:space="preserve"> a major push factor for both legal and illegal migration</w:t>
      </w:r>
      <w:r>
        <w:t xml:space="preserve"> abroad, which was favoured by most over internal relocation. For </w:t>
      </w:r>
      <w:hyperlink w:anchor="_Women" w:history="1">
        <w:r w:rsidRPr="00293CD1">
          <w:rPr>
            <w:rStyle w:val="Hyperlink"/>
          </w:rPr>
          <w:t>women</w:t>
        </w:r>
      </w:hyperlink>
      <w:r>
        <w:t xml:space="preserve"> escaping situations of violence, those from the </w:t>
      </w:r>
      <w:r w:rsidRPr="003341DB">
        <w:t xml:space="preserve">middle </w:t>
      </w:r>
      <w:r>
        <w:t xml:space="preserve">and upper </w:t>
      </w:r>
      <w:r w:rsidRPr="003341DB">
        <w:t>class</w:t>
      </w:r>
      <w:r>
        <w:t>es</w:t>
      </w:r>
      <w:r w:rsidRPr="003341DB">
        <w:t xml:space="preserve"> </w:t>
      </w:r>
      <w:r>
        <w:t>are likely to</w:t>
      </w:r>
      <w:r w:rsidRPr="003341DB">
        <w:t xml:space="preserve"> </w:t>
      </w:r>
      <w:r>
        <w:t xml:space="preserve">have </w:t>
      </w:r>
      <w:r w:rsidRPr="003341DB">
        <w:t>a greater ability to find work and shelter</w:t>
      </w:r>
      <w:r>
        <w:t xml:space="preserve"> in new locations</w:t>
      </w:r>
      <w:r w:rsidRPr="003341DB">
        <w:t xml:space="preserve">. </w:t>
      </w:r>
    </w:p>
    <w:p w14:paraId="571998D5" w14:textId="77777777" w:rsidR="00C47BE6" w:rsidRDefault="00C47BE6" w:rsidP="00C47BE6">
      <w:pPr>
        <w:pStyle w:val="ListParagraph1"/>
      </w:pPr>
      <w:r w:rsidRPr="00985859">
        <w:t xml:space="preserve">DFAT assesses migrating to large urban areas </w:t>
      </w:r>
      <w:r>
        <w:t xml:space="preserve">like Cairo and Alexandria </w:t>
      </w:r>
      <w:r w:rsidRPr="00985859">
        <w:t xml:space="preserve">may mitigate against </w:t>
      </w:r>
      <w:r>
        <w:t>potential</w:t>
      </w:r>
      <w:r w:rsidRPr="00985859">
        <w:t xml:space="preserve"> risks posed by GBV. However, vulnerable groups such as</w:t>
      </w:r>
      <w:r>
        <w:t xml:space="preserve"> single and divorced </w:t>
      </w:r>
      <w:r w:rsidRPr="00F266A0">
        <w:t>women</w:t>
      </w:r>
      <w:r w:rsidRPr="003341DB">
        <w:t xml:space="preserve"> from poor</w:t>
      </w:r>
      <w:r>
        <w:t>er</w:t>
      </w:r>
      <w:r w:rsidRPr="003341DB">
        <w:t xml:space="preserve"> and more </w:t>
      </w:r>
      <w:r>
        <w:t xml:space="preserve">rural </w:t>
      </w:r>
      <w:r w:rsidRPr="003341DB">
        <w:t>areas</w:t>
      </w:r>
      <w:r w:rsidRPr="00985859">
        <w:t xml:space="preserve"> leaving family violence situations may face additional barriers to relocation</w:t>
      </w:r>
      <w:r>
        <w:t>,</w:t>
      </w:r>
      <w:r w:rsidRPr="00985859">
        <w:t xml:space="preserve"> including access</w:t>
      </w:r>
      <w:r>
        <w:t>ing</w:t>
      </w:r>
      <w:r w:rsidRPr="00985859">
        <w:t xml:space="preserve"> </w:t>
      </w:r>
      <w:hyperlink w:anchor="_Employment" w:history="1">
        <w:r w:rsidRPr="00F266A0">
          <w:rPr>
            <w:rStyle w:val="Hyperlink"/>
          </w:rPr>
          <w:t>employment</w:t>
        </w:r>
      </w:hyperlink>
      <w:r>
        <w:t xml:space="preserve"> and </w:t>
      </w:r>
      <w:r w:rsidRPr="00985859">
        <w:t xml:space="preserve">housing (see also </w:t>
      </w:r>
      <w:hyperlink w:anchor="_Women" w:history="1">
        <w:r w:rsidRPr="00985859">
          <w:rPr>
            <w:rStyle w:val="Hyperlink"/>
          </w:rPr>
          <w:t>Women</w:t>
        </w:r>
      </w:hyperlink>
      <w:r w:rsidRPr="00985859">
        <w:t>)</w:t>
      </w:r>
      <w:r>
        <w:t>.</w:t>
      </w:r>
    </w:p>
    <w:p w14:paraId="0C090F34" w14:textId="77777777" w:rsidR="00C47BE6" w:rsidRPr="00C47BE6" w:rsidRDefault="00C47BE6" w:rsidP="00C47BE6">
      <w:pPr>
        <w:pStyle w:val="Heading2"/>
        <w:ind w:firstLine="0"/>
        <w:jc w:val="left"/>
        <w:rPr>
          <w:rFonts w:ascii="Calibri" w:hAnsi="Calibri" w:cs="Calibri"/>
          <w:b/>
          <w:bCs/>
          <w:color w:val="auto"/>
          <w:sz w:val="36"/>
          <w:szCs w:val="36"/>
        </w:rPr>
      </w:pPr>
      <w:bookmarkStart w:id="117" w:name="_Toc196387088"/>
      <w:r w:rsidRPr="00C47BE6">
        <w:rPr>
          <w:rFonts w:ascii="Calibri" w:hAnsi="Calibri" w:cs="Calibri"/>
          <w:b/>
          <w:bCs/>
          <w:color w:val="auto"/>
          <w:sz w:val="36"/>
          <w:szCs w:val="36"/>
        </w:rPr>
        <w:t>TREATMENT OF RETURNEES</w:t>
      </w:r>
      <w:bookmarkEnd w:id="117"/>
    </w:p>
    <w:p w14:paraId="5298FFFA" w14:textId="77777777" w:rsidR="00C47BE6" w:rsidRPr="00C47BE6" w:rsidRDefault="00C47BE6" w:rsidP="00C47BE6">
      <w:pPr>
        <w:pStyle w:val="Heading3"/>
        <w:ind w:firstLine="0"/>
        <w:jc w:val="left"/>
        <w:rPr>
          <w:rFonts w:cs="Calibri"/>
          <w:b/>
          <w:bCs/>
          <w:color w:val="auto"/>
        </w:rPr>
      </w:pPr>
      <w:bookmarkStart w:id="118" w:name="_Exit_and_Entry"/>
      <w:bookmarkStart w:id="119" w:name="_Ref507075053"/>
      <w:bookmarkStart w:id="120" w:name="_Toc196318457"/>
      <w:bookmarkEnd w:id="118"/>
      <w:r w:rsidRPr="00C47BE6">
        <w:rPr>
          <w:rFonts w:cs="Calibri"/>
          <w:b/>
          <w:bCs/>
          <w:color w:val="auto"/>
        </w:rPr>
        <w:t>Exit and Entry Procedures</w:t>
      </w:r>
      <w:bookmarkEnd w:id="119"/>
      <w:bookmarkEnd w:id="120"/>
    </w:p>
    <w:p w14:paraId="52A0FB9A" w14:textId="77777777" w:rsidR="00C47BE6" w:rsidRDefault="00C47BE6" w:rsidP="00C47BE6">
      <w:pPr>
        <w:pStyle w:val="ListParagraph1"/>
      </w:pPr>
      <w:r w:rsidRPr="003341DB">
        <w:t>The Passport Control Department of the Interior Ministry is responsible for conducting checks</w:t>
      </w:r>
      <w:r>
        <w:t xml:space="preserve"> at ports of entry and exit</w:t>
      </w:r>
      <w:r w:rsidRPr="003341DB">
        <w:t xml:space="preserve">, which are strictly enforced. When leaving Egypt, Egyptians must present a valid passport and visa for their destination country, if required. Egyptian males are </w:t>
      </w:r>
      <w:r>
        <w:t xml:space="preserve">also </w:t>
      </w:r>
      <w:r w:rsidRPr="003341DB">
        <w:t>required to show evidence of their military service status</w:t>
      </w:r>
      <w:r>
        <w:t xml:space="preserve"> when departing the country</w:t>
      </w:r>
      <w:r w:rsidRPr="003341DB">
        <w:t xml:space="preserve">. Such proof </w:t>
      </w:r>
      <w:r>
        <w:t>includes</w:t>
      </w:r>
      <w:r w:rsidRPr="003341DB">
        <w:t xml:space="preserve"> exemption certificate</w:t>
      </w:r>
      <w:r>
        <w:t>s,</w:t>
      </w:r>
      <w:r w:rsidRPr="003341DB">
        <w:t xml:space="preserve"> an expired passport noting exemption from military service</w:t>
      </w:r>
      <w:r>
        <w:t>,</w:t>
      </w:r>
      <w:r w:rsidRPr="003341DB">
        <w:t xml:space="preserve"> or a permission to travel issued by the Conscription Department.</w:t>
      </w:r>
    </w:p>
    <w:p w14:paraId="04E11E5D" w14:textId="77777777" w:rsidR="00C47BE6" w:rsidRDefault="00C47BE6" w:rsidP="00C47BE6">
      <w:pPr>
        <w:pStyle w:val="ListParagraph1"/>
      </w:pPr>
      <w:r w:rsidRPr="003341DB">
        <w:t xml:space="preserve">Egypt records entries and exits from the country, </w:t>
      </w:r>
      <w:r>
        <w:t>with</w:t>
      </w:r>
      <w:r w:rsidRPr="003341DB">
        <w:t xml:space="preserve"> </w:t>
      </w:r>
      <w:r>
        <w:t>authorities</w:t>
      </w:r>
      <w:r w:rsidRPr="003341DB">
        <w:t xml:space="preserve"> </w:t>
      </w:r>
      <w:r>
        <w:t>able</w:t>
      </w:r>
      <w:r w:rsidRPr="003341DB">
        <w:t xml:space="preserve"> to </w:t>
      </w:r>
      <w:r>
        <w:t>determine whether someone</w:t>
      </w:r>
      <w:r w:rsidRPr="003341DB">
        <w:t xml:space="preserve"> is in Egypt or abroad. Egyptian law prevents </w:t>
      </w:r>
      <w:r>
        <w:t xml:space="preserve">those with </w:t>
      </w:r>
      <w:r w:rsidRPr="003341DB">
        <w:t>criminal charges against the</w:t>
      </w:r>
      <w:r>
        <w:t xml:space="preserve">m </w:t>
      </w:r>
      <w:r w:rsidRPr="003341DB">
        <w:t>leaving the country. These names are recorded on a ‘warning list’, amended by judges and the Prosecutor-General, against which all travellers are checked prior to depart</w:t>
      </w:r>
      <w:r>
        <w:t>ure</w:t>
      </w:r>
      <w:r w:rsidRPr="003341DB">
        <w:t>. Not all people with charges against the</w:t>
      </w:r>
      <w:r>
        <w:t>m</w:t>
      </w:r>
      <w:r w:rsidRPr="003341DB">
        <w:t xml:space="preserve"> (or trials or appeals pending) are automatically put on the warning list. It is possible for names to be taken off the list, even if trials are pending. Should a person’s lawyer request a name be taken off the list, it is the responsibility of the Prosecutor-General to show why the name </w:t>
      </w:r>
      <w:r w:rsidRPr="003341DB">
        <w:lastRenderedPageBreak/>
        <w:t xml:space="preserve">should remain on it. There have been numerous cases where a person facing trial has had </w:t>
      </w:r>
      <w:r>
        <w:t>their</w:t>
      </w:r>
      <w:r w:rsidRPr="003341DB">
        <w:t xml:space="preserve"> name removed from the list and subsequently travelled abroad without incident.</w:t>
      </w:r>
    </w:p>
    <w:p w14:paraId="4B5679FA" w14:textId="77777777" w:rsidR="00C47BE6" w:rsidRDefault="00C47BE6" w:rsidP="00C47BE6">
      <w:pPr>
        <w:pStyle w:val="ListParagraph1"/>
      </w:pPr>
      <w:r>
        <w:t>H</w:t>
      </w:r>
      <w:r w:rsidRPr="003341DB">
        <w:t xml:space="preserve">uman rights organisations have reported the Interior Ministry and General Intelligence Service </w:t>
      </w:r>
      <w:r>
        <w:t>are able to</w:t>
      </w:r>
      <w:r w:rsidRPr="003341DB">
        <w:t xml:space="preserve"> amend th</w:t>
      </w:r>
      <w:r>
        <w:t>e</w:t>
      </w:r>
      <w:r w:rsidRPr="003341DB">
        <w:t xml:space="preserve"> warning list to include persons of interest, including for political reasons</w:t>
      </w:r>
      <w:r>
        <w:t xml:space="preserve">. For example, </w:t>
      </w:r>
      <w:r w:rsidRPr="00536BC7">
        <w:t xml:space="preserve">Patrick Zaki was arrested in 2020 after publishing an article with personal reflections on religious discrimination against </w:t>
      </w:r>
      <w:hyperlink w:anchor="_Coptic_Christians" w:history="1">
        <w:r w:rsidRPr="00087802">
          <w:rPr>
            <w:rStyle w:val="Hyperlink"/>
          </w:rPr>
          <w:t>Coptic Christians</w:t>
        </w:r>
      </w:hyperlink>
      <w:r w:rsidRPr="00536BC7">
        <w:t xml:space="preserve"> in Egypt. Authorities released him</w:t>
      </w:r>
      <w:r>
        <w:t xml:space="preserve"> pending trial</w:t>
      </w:r>
      <w:r w:rsidRPr="00536BC7">
        <w:t xml:space="preserve"> after 22 months of detention but for the next 1.5 years placed him under a travel ban. </w:t>
      </w:r>
      <w:r>
        <w:t xml:space="preserve">In July 2023, Zaki was sentenced and then, two days later, pardoned by </w:t>
      </w:r>
      <w:r w:rsidRPr="00536BC7">
        <w:t xml:space="preserve">President </w:t>
      </w:r>
      <w:r>
        <w:t>El</w:t>
      </w:r>
      <w:r>
        <w:noBreakHyphen/>
      </w:r>
      <w:r w:rsidRPr="00536BC7">
        <w:t xml:space="preserve">Sisi </w:t>
      </w:r>
      <w:r>
        <w:t>and removed from the warning list</w:t>
      </w:r>
      <w:r w:rsidRPr="00536BC7">
        <w:t>.</w:t>
      </w:r>
    </w:p>
    <w:p w14:paraId="4F923B65" w14:textId="77777777" w:rsidR="00C47BE6" w:rsidRPr="004169ED" w:rsidRDefault="00C47BE6" w:rsidP="00C47BE6">
      <w:pPr>
        <w:pStyle w:val="ListParagraph1"/>
      </w:pPr>
      <w:hyperlink w:anchor="_Conscientious_Objectors" w:history="1">
        <w:r w:rsidRPr="00087802">
          <w:rPr>
            <w:rStyle w:val="Hyperlink"/>
          </w:rPr>
          <w:t>Children</w:t>
        </w:r>
      </w:hyperlink>
      <w:r w:rsidRPr="003341DB">
        <w:t xml:space="preserve"> travelling with only their mothers must present proof of their father’s approval to leave the country. This can take the form </w:t>
      </w:r>
      <w:proofErr w:type="gramStart"/>
      <w:r w:rsidRPr="003341DB">
        <w:t>of:</w:t>
      </w:r>
      <w:proofErr w:type="gramEnd"/>
      <w:r w:rsidRPr="003341DB">
        <w:t xml:space="preserve"> in-person approval by the father, written approval from the father presented by a paternal uncle or grandfather, written approval from the father signed and stamped by the Notary Office, or written approval from the father stamped by an embassy or consulate.</w:t>
      </w:r>
    </w:p>
    <w:p w14:paraId="37FD67C9" w14:textId="77777777" w:rsidR="00C47BE6" w:rsidRPr="00A505AC" w:rsidRDefault="00C47BE6" w:rsidP="00C47BE6">
      <w:pPr>
        <w:pStyle w:val="Heading3"/>
        <w:ind w:firstLine="0"/>
        <w:jc w:val="left"/>
        <w:rPr>
          <w:rFonts w:cs="Calibri"/>
          <w:b/>
          <w:bCs/>
          <w:color w:val="auto"/>
        </w:rPr>
      </w:pPr>
      <w:bookmarkStart w:id="121" w:name="_Toc196318458"/>
      <w:r w:rsidRPr="00A505AC">
        <w:rPr>
          <w:rFonts w:cs="Calibri"/>
          <w:b/>
          <w:bCs/>
          <w:color w:val="auto"/>
        </w:rPr>
        <w:t>Conditions for Returnees</w:t>
      </w:r>
      <w:bookmarkEnd w:id="121"/>
    </w:p>
    <w:p w14:paraId="0F83588C" w14:textId="77777777" w:rsidR="00C47BE6" w:rsidRDefault="00C47BE6" w:rsidP="00C47BE6">
      <w:pPr>
        <w:pStyle w:val="ListParagraph1"/>
      </w:pPr>
      <w:r w:rsidRPr="00B570A9">
        <w:t>Returnees</w:t>
      </w:r>
      <w:r>
        <w:t>, both voluntary and involuntary,</w:t>
      </w:r>
      <w:r w:rsidRPr="00B570A9">
        <w:t xml:space="preserve"> are processed at </w:t>
      </w:r>
      <w:r>
        <w:t>Egypt’</w:t>
      </w:r>
      <w:r w:rsidRPr="00B570A9">
        <w:t xml:space="preserve">s ports of entry like </w:t>
      </w:r>
      <w:r>
        <w:t xml:space="preserve">other </w:t>
      </w:r>
      <w:r w:rsidRPr="003341DB">
        <w:t xml:space="preserve">returning </w:t>
      </w:r>
      <w:r>
        <w:t>citizens</w:t>
      </w:r>
      <w:r w:rsidRPr="00B570A9">
        <w:t xml:space="preserve">. </w:t>
      </w:r>
      <w:r>
        <w:t>In</w:t>
      </w:r>
      <w:r>
        <w:softHyphen/>
      </w:r>
      <w:r>
        <w:noBreakHyphen/>
        <w:t>country sources said some failed asylum seekers had been questioned by border officials upon their return to i</w:t>
      </w:r>
      <w:r w:rsidRPr="00ED7C03">
        <w:t xml:space="preserve">dentify </w:t>
      </w:r>
      <w:r>
        <w:t>if they were members of</w:t>
      </w:r>
      <w:r w:rsidRPr="00ED7C03">
        <w:t xml:space="preserve"> </w:t>
      </w:r>
      <w:r>
        <w:t xml:space="preserve">banned </w:t>
      </w:r>
      <w:r w:rsidRPr="00ED7C03">
        <w:t>Islamic militant groups</w:t>
      </w:r>
      <w:r>
        <w:t xml:space="preserve">. Suspected militants returning from conflict zones such as Libya are likely to be detained for further questioning. </w:t>
      </w:r>
    </w:p>
    <w:p w14:paraId="3CE8B41F" w14:textId="77777777" w:rsidR="00C47BE6" w:rsidRDefault="00C47BE6" w:rsidP="00C47BE6">
      <w:pPr>
        <w:pStyle w:val="ListParagraph1"/>
      </w:pPr>
      <w:r>
        <w:t>A</w:t>
      </w:r>
      <w:r w:rsidRPr="003341DB">
        <w:t>irport authorities</w:t>
      </w:r>
      <w:r>
        <w:t xml:space="preserve"> do not report f</w:t>
      </w:r>
      <w:r w:rsidRPr="003341DB">
        <w:t xml:space="preserve">ailed </w:t>
      </w:r>
      <w:r w:rsidRPr="00EB5A9D">
        <w:t xml:space="preserve">asylum seekers to the Ministry of the Interior or </w:t>
      </w:r>
      <w:r>
        <w:t xml:space="preserve">other </w:t>
      </w:r>
      <w:r w:rsidRPr="00EB5A9D">
        <w:t>security services beyond normal security screening processes. Egyptian embassies take note of political activities conducted by Egyptians abroad but in-country sources said only particularly high-profile cases gaining media attention in Egypt are likely to be questioned upon return.</w:t>
      </w:r>
    </w:p>
    <w:p w14:paraId="4652EB1E" w14:textId="77777777" w:rsidR="00C47BE6" w:rsidRPr="00B570A9" w:rsidRDefault="00C47BE6" w:rsidP="00C47BE6">
      <w:pPr>
        <w:pStyle w:val="ListParagraph1"/>
      </w:pPr>
      <w:r w:rsidRPr="003341DB">
        <w:t>The International Organization for Migration (IOM) runs a program in Egypt t</w:t>
      </w:r>
      <w:r>
        <w:t>o</w:t>
      </w:r>
      <w:r w:rsidRPr="003341DB">
        <w:t xml:space="preserve"> assist voluntary returnees in cooperation with the country from which they are returning. Egyptian authorities cooperate with the IOM in these arrangements.</w:t>
      </w:r>
      <w:r>
        <w:t xml:space="preserve"> Egypt’s</w:t>
      </w:r>
      <w:r w:rsidRPr="00B570A9">
        <w:t xml:space="preserve"> diplomatic missions issue passports to </w:t>
      </w:r>
      <w:r>
        <w:t>citizens</w:t>
      </w:r>
      <w:r w:rsidRPr="00B570A9">
        <w:t xml:space="preserve"> overseas, including those who have previously sought asylum abroad.</w:t>
      </w:r>
    </w:p>
    <w:p w14:paraId="7612C047" w14:textId="77777777" w:rsidR="00C47BE6" w:rsidRPr="000A494B" w:rsidRDefault="00C47BE6" w:rsidP="00C47BE6">
      <w:pPr>
        <w:pStyle w:val="ListParagraph1"/>
      </w:pPr>
      <w:r w:rsidRPr="000A494B">
        <w:t>DFAT assesses people who return to Egypt, even after several years’ absence, do not face adverse attention</w:t>
      </w:r>
      <w:r>
        <w:t xml:space="preserve"> by authorities</w:t>
      </w:r>
      <w:r w:rsidRPr="000A494B">
        <w:t xml:space="preserve"> on their return due to their absence. DFAT assesses failed asylum seekers do not face adverse attention </w:t>
      </w:r>
      <w:r>
        <w:t xml:space="preserve">from authorities </w:t>
      </w:r>
      <w:r w:rsidRPr="000A494B">
        <w:t xml:space="preserve">because of their failed application for asylum when they return to Egypt. </w:t>
      </w:r>
    </w:p>
    <w:p w14:paraId="48675097" w14:textId="77777777" w:rsidR="00C47BE6" w:rsidRPr="00C47BE6" w:rsidRDefault="00C47BE6" w:rsidP="00C47BE6">
      <w:pPr>
        <w:pStyle w:val="Heading2"/>
        <w:ind w:firstLine="0"/>
        <w:jc w:val="left"/>
        <w:rPr>
          <w:rFonts w:ascii="Calibri" w:hAnsi="Calibri" w:cs="Calibri"/>
          <w:b/>
          <w:bCs/>
          <w:color w:val="auto"/>
          <w:sz w:val="36"/>
          <w:szCs w:val="36"/>
        </w:rPr>
      </w:pPr>
      <w:bookmarkStart w:id="122" w:name="_DOCUMENTATION"/>
      <w:bookmarkStart w:id="123" w:name="_Toc196387089"/>
      <w:bookmarkEnd w:id="122"/>
      <w:r w:rsidRPr="00C47BE6">
        <w:rPr>
          <w:rFonts w:ascii="Calibri" w:hAnsi="Calibri" w:cs="Calibri"/>
          <w:b/>
          <w:bCs/>
          <w:color w:val="auto"/>
          <w:sz w:val="36"/>
          <w:szCs w:val="36"/>
        </w:rPr>
        <w:t>DOCUMENTATION</w:t>
      </w:r>
      <w:bookmarkStart w:id="124" w:name="_Central_Civil_Registration"/>
      <w:bookmarkEnd w:id="123"/>
      <w:bookmarkEnd w:id="124"/>
    </w:p>
    <w:p w14:paraId="3E8B80CE" w14:textId="77777777" w:rsidR="00C47BE6" w:rsidRPr="00C47BE6" w:rsidRDefault="00C47BE6" w:rsidP="00C47BE6">
      <w:pPr>
        <w:pStyle w:val="Heading3"/>
        <w:ind w:firstLine="0"/>
        <w:jc w:val="left"/>
        <w:rPr>
          <w:rFonts w:cs="Calibri"/>
          <w:b/>
          <w:bCs/>
          <w:color w:val="auto"/>
        </w:rPr>
      </w:pPr>
      <w:bookmarkStart w:id="125" w:name="_Toc196318460"/>
      <w:bookmarkStart w:id="126" w:name="_Ref512337874"/>
      <w:r w:rsidRPr="00C47BE6">
        <w:rPr>
          <w:rFonts w:cs="Calibri"/>
          <w:b/>
          <w:bCs/>
          <w:color w:val="auto"/>
        </w:rPr>
        <w:t>Birth, Death and Marriage Certificates</w:t>
      </w:r>
      <w:bookmarkEnd w:id="125"/>
    </w:p>
    <w:p w14:paraId="08D93169" w14:textId="77777777" w:rsidR="00C47BE6" w:rsidRDefault="00C47BE6" w:rsidP="00C47BE6">
      <w:pPr>
        <w:pStyle w:val="ListParagraph1"/>
      </w:pPr>
      <w:r w:rsidRPr="003341DB">
        <w:t xml:space="preserve">The Central Civil Registration </w:t>
      </w:r>
      <w:r w:rsidRPr="001A4B73">
        <w:t>Office (CCRO) holds</w:t>
      </w:r>
      <w:r w:rsidRPr="003341DB">
        <w:t xml:space="preserve"> information in relation to births, deaths and marriages. </w:t>
      </w:r>
      <w:r>
        <w:t xml:space="preserve">To register a </w:t>
      </w:r>
      <w:r w:rsidRPr="003341DB">
        <w:t>birth</w:t>
      </w:r>
      <w:r>
        <w:t>, the</w:t>
      </w:r>
      <w:r w:rsidRPr="003341DB">
        <w:t xml:space="preserve"> informant must produce identification and </w:t>
      </w:r>
      <w:r>
        <w:t>bring an</w:t>
      </w:r>
      <w:r w:rsidRPr="003341DB">
        <w:t xml:space="preserve"> additional witness. Births </w:t>
      </w:r>
      <w:r>
        <w:t>are required</w:t>
      </w:r>
      <w:r w:rsidRPr="003341DB">
        <w:t xml:space="preserve"> to be registered within 15 days.</w:t>
      </w:r>
      <w:r>
        <w:t xml:space="preserve"> B</w:t>
      </w:r>
      <w:r w:rsidRPr="003341DB">
        <w:t>irth</w:t>
      </w:r>
      <w:r>
        <w:t>s</w:t>
      </w:r>
      <w:r w:rsidRPr="003341DB">
        <w:t xml:space="preserve"> may be registered by a hospital or local health unit.  </w:t>
      </w:r>
    </w:p>
    <w:p w14:paraId="0F494311" w14:textId="77777777" w:rsidR="00C47BE6" w:rsidRDefault="00C47BE6" w:rsidP="00C47BE6">
      <w:pPr>
        <w:pStyle w:val="ListParagraph1"/>
      </w:pPr>
      <w:hyperlink w:anchor="_Coptic_Christians" w:history="1">
        <w:r w:rsidRPr="00145F2E">
          <w:rPr>
            <w:rStyle w:val="Hyperlink"/>
          </w:rPr>
          <w:t>Christians</w:t>
        </w:r>
      </w:hyperlink>
      <w:r w:rsidRPr="003341DB">
        <w:t xml:space="preserve">, </w:t>
      </w:r>
      <w:hyperlink w:anchor="_Conflict_between_Turkish" w:history="1">
        <w:r w:rsidRPr="00145F2E">
          <w:rPr>
            <w:rStyle w:val="Hyperlink"/>
          </w:rPr>
          <w:t>Jews</w:t>
        </w:r>
      </w:hyperlink>
      <w:r w:rsidRPr="003341DB">
        <w:t xml:space="preserve"> and </w:t>
      </w:r>
      <w:hyperlink w:anchor="_Conflict_between_Turkish" w:history="1">
        <w:r w:rsidRPr="00145F2E">
          <w:rPr>
            <w:rStyle w:val="Hyperlink"/>
          </w:rPr>
          <w:t>Muslims</w:t>
        </w:r>
      </w:hyperlink>
      <w:r w:rsidRPr="003341DB">
        <w:t xml:space="preserve"> can register marriages with documentation </w:t>
      </w:r>
      <w:r>
        <w:t>provided by</w:t>
      </w:r>
      <w:r w:rsidRPr="003341DB">
        <w:t xml:space="preserve"> a cleric. Marriage registration requires both parties and witnesses to present identification </w:t>
      </w:r>
      <w:r w:rsidRPr="00145F2E">
        <w:t>and to pay</w:t>
      </w:r>
      <w:r>
        <w:t xml:space="preserve"> relevant</w:t>
      </w:r>
      <w:r w:rsidRPr="00145F2E">
        <w:t xml:space="preserve"> fees. </w:t>
      </w:r>
      <w:r>
        <w:t>When granted, d</w:t>
      </w:r>
      <w:r w:rsidRPr="00145F2E">
        <w:t xml:space="preserve">ivorces may be registered by </w:t>
      </w:r>
      <w:r>
        <w:t>the</w:t>
      </w:r>
      <w:r w:rsidRPr="00145F2E">
        <w:t xml:space="preserve"> court</w:t>
      </w:r>
      <w:r>
        <w:t>s</w:t>
      </w:r>
      <w:r w:rsidRPr="00145F2E">
        <w:t>. Both marriages and divorces must be registered with</w:t>
      </w:r>
      <w:r>
        <w:t>in</w:t>
      </w:r>
      <w:r w:rsidRPr="00145F2E">
        <w:t xml:space="preserve"> 15 days. Adherents of non-officially recognised religions often have difficulty having their marriages recognised and recorded, including</w:t>
      </w:r>
      <w:r>
        <w:t xml:space="preserve"> adherents of</w:t>
      </w:r>
      <w:r w:rsidRPr="00145F2E">
        <w:t xml:space="preserve"> </w:t>
      </w:r>
      <w:hyperlink w:anchor="_Baha’i" w:history="1">
        <w:r w:rsidRPr="00145F2E">
          <w:rPr>
            <w:rStyle w:val="Hyperlink"/>
          </w:rPr>
          <w:t>Baha’i</w:t>
        </w:r>
      </w:hyperlink>
      <w:r w:rsidRPr="00145F2E">
        <w:t xml:space="preserve"> and </w:t>
      </w:r>
      <w:hyperlink w:anchor="_Coptic_Christians" w:history="1">
        <w:r w:rsidRPr="00145F2E">
          <w:rPr>
            <w:rStyle w:val="Hyperlink"/>
          </w:rPr>
          <w:t>Jehovah’s witnesses</w:t>
        </w:r>
      </w:hyperlink>
      <w:r w:rsidRPr="00145F2E">
        <w:t xml:space="preserve">. </w:t>
      </w:r>
      <w:r>
        <w:t>In-country sources said Egyptians married overseas in c</w:t>
      </w:r>
      <w:r w:rsidRPr="00145F2E">
        <w:t xml:space="preserve">ivil ceremonies </w:t>
      </w:r>
      <w:r>
        <w:t xml:space="preserve">found it relatively easy to </w:t>
      </w:r>
      <w:r w:rsidRPr="00145F2E">
        <w:t>register them</w:t>
      </w:r>
      <w:r>
        <w:t xml:space="preserve"> if they accorded with the </w:t>
      </w:r>
      <w:r w:rsidRPr="00491A87">
        <w:rPr>
          <w:i/>
          <w:iCs/>
        </w:rPr>
        <w:t xml:space="preserve">Personal Status Law </w:t>
      </w:r>
      <w:r>
        <w:rPr>
          <w:i/>
          <w:iCs/>
        </w:rPr>
        <w:t xml:space="preserve">1920/1929. </w:t>
      </w:r>
      <w:r w:rsidRPr="00837B77">
        <w:t>Children</w:t>
      </w:r>
      <w:r>
        <w:t xml:space="preserve"> born overseas from civil unions could also be registered.</w:t>
      </w:r>
      <w:r w:rsidRPr="00145F2E">
        <w:t xml:space="preserve"> </w:t>
      </w:r>
      <w:r>
        <w:t xml:space="preserve">Some Egyptian Christians had obtained divorces in Lebanon through </w:t>
      </w:r>
      <w:r w:rsidRPr="00145F2E">
        <w:t xml:space="preserve">civil </w:t>
      </w:r>
      <w:r>
        <w:t>means, which were accepted and successfully registered in Egypt.</w:t>
      </w:r>
    </w:p>
    <w:p w14:paraId="089EA651" w14:textId="77777777" w:rsidR="00C47BE6" w:rsidRPr="00605609" w:rsidRDefault="00C47BE6" w:rsidP="00C47BE6">
      <w:pPr>
        <w:pStyle w:val="ListParagraph1"/>
      </w:pPr>
      <w:r>
        <w:t>To register a death, the</w:t>
      </w:r>
      <w:r w:rsidRPr="003341DB">
        <w:t xml:space="preserve"> informant</w:t>
      </w:r>
      <w:r>
        <w:t xml:space="preserve"> must show</w:t>
      </w:r>
      <w:r w:rsidRPr="003341DB">
        <w:t xml:space="preserve"> identification and </w:t>
      </w:r>
      <w:r>
        <w:t>the</w:t>
      </w:r>
      <w:r w:rsidRPr="003341DB">
        <w:t xml:space="preserve"> medical certificate</w:t>
      </w:r>
      <w:r>
        <w:t xml:space="preserve">. </w:t>
      </w:r>
      <w:r w:rsidRPr="003341DB">
        <w:t>Deaths must be notified to authorities within 24 hours</w:t>
      </w:r>
      <w:r>
        <w:t xml:space="preserve"> and registered within 15 days. F</w:t>
      </w:r>
      <w:r w:rsidRPr="003341DB">
        <w:t xml:space="preserve">oetal and neonatal deaths are </w:t>
      </w:r>
      <w:r>
        <w:t xml:space="preserve">required </w:t>
      </w:r>
      <w:r w:rsidRPr="003341DB">
        <w:t xml:space="preserve">to be registered within 24 hours </w:t>
      </w:r>
      <w:r>
        <w:t xml:space="preserve">of </w:t>
      </w:r>
      <w:r w:rsidRPr="003341DB">
        <w:t>occur</w:t>
      </w:r>
      <w:r>
        <w:t>rence.</w:t>
      </w:r>
      <w:r w:rsidRPr="003341DB">
        <w:t xml:space="preserve"> </w:t>
      </w:r>
      <w:r>
        <w:t>H</w:t>
      </w:r>
      <w:r w:rsidRPr="003341DB">
        <w:t xml:space="preserve">ealth authorities </w:t>
      </w:r>
      <w:proofErr w:type="gramStart"/>
      <w:r>
        <w:t>are able to</w:t>
      </w:r>
      <w:proofErr w:type="gramEnd"/>
      <w:r w:rsidRPr="003341DB">
        <w:t xml:space="preserve"> register death</w:t>
      </w:r>
      <w:r>
        <w:t>s</w:t>
      </w:r>
      <w:r w:rsidRPr="003341DB">
        <w:t>.</w:t>
      </w:r>
    </w:p>
    <w:p w14:paraId="495F1B4F" w14:textId="77777777" w:rsidR="00C47BE6" w:rsidRPr="00A62EA5" w:rsidRDefault="00C47BE6" w:rsidP="00C47BE6">
      <w:pPr>
        <w:pStyle w:val="Heading3"/>
        <w:ind w:firstLine="0"/>
        <w:jc w:val="left"/>
        <w:rPr>
          <w:rFonts w:cs="Calibri"/>
          <w:b/>
          <w:bCs/>
          <w:color w:val="auto"/>
        </w:rPr>
      </w:pPr>
      <w:bookmarkStart w:id="127" w:name="_National_Identity_Cards"/>
      <w:bookmarkStart w:id="128" w:name="_Toc196318461"/>
      <w:bookmarkEnd w:id="127"/>
      <w:r w:rsidRPr="00A62EA5">
        <w:rPr>
          <w:rFonts w:cs="Calibri"/>
          <w:b/>
          <w:bCs/>
          <w:color w:val="auto"/>
        </w:rPr>
        <w:lastRenderedPageBreak/>
        <w:t>National Identity Cards</w:t>
      </w:r>
      <w:bookmarkEnd w:id="126"/>
      <w:bookmarkEnd w:id="128"/>
    </w:p>
    <w:p w14:paraId="60A79424" w14:textId="77777777" w:rsidR="00C47BE6" w:rsidRDefault="00C47BE6" w:rsidP="00C47BE6">
      <w:pPr>
        <w:pStyle w:val="ListParagraph1"/>
      </w:pPr>
      <w:r w:rsidRPr="005915D5">
        <w:t>Egyptians</w:t>
      </w:r>
      <w:r w:rsidRPr="003341DB">
        <w:t xml:space="preserve"> are eligible for national identity cards from 16 years of age. To issue the card</w:t>
      </w:r>
      <w:r>
        <w:t>,</w:t>
      </w:r>
      <w:r w:rsidRPr="003341DB">
        <w:t xml:space="preserve"> authorities require an original birth certificate and a declaration (in person) from either parent </w:t>
      </w:r>
      <w:r>
        <w:t xml:space="preserve">that </w:t>
      </w:r>
      <w:r w:rsidRPr="003341DB">
        <w:t>the applicant is their child. The applicant must submit evidence of study</w:t>
      </w:r>
      <w:r>
        <w:t xml:space="preserve">, usually </w:t>
      </w:r>
      <w:r w:rsidRPr="003341DB">
        <w:t xml:space="preserve">a recent certificate issued and endorsed by a school or university confirming enrolment and the </w:t>
      </w:r>
      <w:r w:rsidRPr="005915D5">
        <w:t>applicant’s</w:t>
      </w:r>
      <w:r w:rsidRPr="003341DB">
        <w:t xml:space="preserve"> photo and identity. A digital photo of the applicant is taken at the time of application. An electronic record of the identity card and associated documentation is kept at the C</w:t>
      </w:r>
      <w:r>
        <w:t xml:space="preserve">CRO. This </w:t>
      </w:r>
      <w:r w:rsidRPr="003341DB">
        <w:t>is verified against</w:t>
      </w:r>
      <w:r>
        <w:t xml:space="preserve">, </w:t>
      </w:r>
      <w:r w:rsidRPr="003341DB">
        <w:t>and linked to</w:t>
      </w:r>
      <w:r>
        <w:t>,</w:t>
      </w:r>
      <w:r w:rsidRPr="003341DB">
        <w:t xml:space="preserve"> the applicant’s and parents’ birth records.</w:t>
      </w:r>
    </w:p>
    <w:p w14:paraId="17EB1F3E" w14:textId="77777777" w:rsidR="00C47BE6" w:rsidRDefault="00C47BE6" w:rsidP="00C47BE6">
      <w:pPr>
        <w:pStyle w:val="ListParagraph1"/>
      </w:pPr>
      <w:r w:rsidRPr="003341DB">
        <w:t xml:space="preserve">The address on the </w:t>
      </w:r>
      <w:r>
        <w:t xml:space="preserve">national </w:t>
      </w:r>
      <w:r w:rsidRPr="003341DB">
        <w:t xml:space="preserve">identity card should be the holder’s residence. It is a requirement the address is updated when a person relocates but this requires the holder to actively make the change. There is no penalty for not updating one’s address. </w:t>
      </w:r>
      <w:r>
        <w:t xml:space="preserve">The applicant’s religion </w:t>
      </w:r>
      <w:r w:rsidRPr="00937B04">
        <w:t>(</w:t>
      </w:r>
      <w:hyperlink w:anchor="_Coptic_Christians" w:history="1">
        <w:r w:rsidRPr="005142D0">
          <w:rPr>
            <w:rStyle w:val="Hyperlink"/>
          </w:rPr>
          <w:t>Christianity</w:t>
        </w:r>
      </w:hyperlink>
      <w:r w:rsidRPr="00937B04">
        <w:t xml:space="preserve">, </w:t>
      </w:r>
      <w:hyperlink w:anchor="_Conflict_between_Turkish" w:history="1">
        <w:r w:rsidRPr="005142D0">
          <w:rPr>
            <w:rStyle w:val="Hyperlink"/>
          </w:rPr>
          <w:t>Judaism</w:t>
        </w:r>
      </w:hyperlink>
      <w:r>
        <w:t xml:space="preserve">, </w:t>
      </w:r>
      <w:hyperlink w:anchor="_Conflict_between_Turkish" w:history="1">
        <w:r w:rsidRPr="005142D0">
          <w:rPr>
            <w:rStyle w:val="Hyperlink"/>
          </w:rPr>
          <w:t>Islam</w:t>
        </w:r>
      </w:hyperlink>
      <w:r>
        <w:t xml:space="preserve"> or a ‘</w:t>
      </w:r>
      <w:hyperlink w:anchor="_Baha’i" w:history="1">
        <w:r w:rsidRPr="005142D0">
          <w:rPr>
            <w:rStyle w:val="Hyperlink"/>
          </w:rPr>
          <w:t>dash’</w:t>
        </w:r>
      </w:hyperlink>
      <w:r w:rsidRPr="00937B04">
        <w:t>)</w:t>
      </w:r>
      <w:r>
        <w:t xml:space="preserve"> is generally included on national identity cards because </w:t>
      </w:r>
      <w:r w:rsidRPr="00937B04">
        <w:t xml:space="preserve">courts in Egypt apply religious laws in personal status matters and </w:t>
      </w:r>
      <w:r>
        <w:t xml:space="preserve">require </w:t>
      </w:r>
      <w:r w:rsidRPr="00937B04">
        <w:t xml:space="preserve">the individual's religious affiliation </w:t>
      </w:r>
      <w:r>
        <w:t xml:space="preserve">to </w:t>
      </w:r>
      <w:r w:rsidRPr="00937B04">
        <w:t>determine which jurisdiction applies</w:t>
      </w:r>
      <w:r>
        <w:t xml:space="preserve">. </w:t>
      </w:r>
      <w:r w:rsidRPr="004438DE">
        <w:t xml:space="preserve">While the </w:t>
      </w:r>
      <w:r>
        <w:t>‘</w:t>
      </w:r>
      <w:r w:rsidRPr="004438DE">
        <w:t>dash</w:t>
      </w:r>
      <w:r>
        <w:t>’ on national identification cards</w:t>
      </w:r>
      <w:r w:rsidRPr="004438DE">
        <w:t xml:space="preserve"> allows members of non-recogni</w:t>
      </w:r>
      <w:r>
        <w:t>s</w:t>
      </w:r>
      <w:r w:rsidRPr="004438DE">
        <w:t xml:space="preserve">ed faiths to avoid falsely claiming membership in a different religion, </w:t>
      </w:r>
      <w:r>
        <w:t xml:space="preserve">some religious minorities state it imposes </w:t>
      </w:r>
      <w:r w:rsidRPr="004438DE">
        <w:t xml:space="preserve">restrictions on </w:t>
      </w:r>
      <w:r>
        <w:t xml:space="preserve">their </w:t>
      </w:r>
      <w:r w:rsidRPr="004438DE">
        <w:t>freedom of religion or belief</w:t>
      </w:r>
      <w:r>
        <w:t xml:space="preserve"> (see </w:t>
      </w:r>
      <w:hyperlink w:anchor="_Baha’i" w:history="1">
        <w:r w:rsidRPr="00145F2E">
          <w:rPr>
            <w:rStyle w:val="Hyperlink"/>
          </w:rPr>
          <w:t>Baha’i</w:t>
        </w:r>
      </w:hyperlink>
      <w:r>
        <w:t>,</w:t>
      </w:r>
      <w:r w:rsidRPr="00145F2E">
        <w:t xml:space="preserve"> </w:t>
      </w:r>
      <w:hyperlink w:anchor="_Coptic_Christians" w:history="1">
        <w:r w:rsidRPr="00145F2E">
          <w:rPr>
            <w:rStyle w:val="Hyperlink"/>
          </w:rPr>
          <w:t>Jehovah’s witnesses</w:t>
        </w:r>
      </w:hyperlink>
      <w:r>
        <w:t xml:space="preserve">). </w:t>
      </w:r>
    </w:p>
    <w:p w14:paraId="321A5229" w14:textId="77777777" w:rsidR="00C47BE6" w:rsidRPr="009125F0" w:rsidRDefault="00C47BE6" w:rsidP="00C47BE6">
      <w:pPr>
        <w:pStyle w:val="ListParagraph1"/>
      </w:pPr>
      <w:r w:rsidRPr="003341DB">
        <w:t>National identity cards are mandatory for adults in Egypt</w:t>
      </w:r>
      <w:r>
        <w:t>. M</w:t>
      </w:r>
      <w:r w:rsidRPr="003341DB">
        <w:t>any key transactions are</w:t>
      </w:r>
      <w:r>
        <w:t xml:space="preserve"> almost </w:t>
      </w:r>
      <w:r w:rsidRPr="003341DB">
        <w:t xml:space="preserve">impossible to conclude without them, including renting or buying property or vehicles, applying for </w:t>
      </w:r>
      <w:hyperlink w:anchor="_Passports" w:history="1">
        <w:r w:rsidRPr="00A911B9">
          <w:rPr>
            <w:rStyle w:val="Hyperlink"/>
          </w:rPr>
          <w:t>passports</w:t>
        </w:r>
      </w:hyperlink>
      <w:r>
        <w:t xml:space="preserve">, </w:t>
      </w:r>
      <w:r w:rsidRPr="003341DB">
        <w:t>opening bank</w:t>
      </w:r>
      <w:r>
        <w:t xml:space="preserve"> accounts</w:t>
      </w:r>
      <w:r w:rsidRPr="003341DB">
        <w:t xml:space="preserve"> </w:t>
      </w:r>
      <w:r>
        <w:t xml:space="preserve">and entering </w:t>
      </w:r>
      <w:hyperlink w:anchor="_Employment" w:history="1">
        <w:r w:rsidRPr="00A911B9">
          <w:rPr>
            <w:rStyle w:val="Hyperlink"/>
          </w:rPr>
          <w:t>employment</w:t>
        </w:r>
      </w:hyperlink>
      <w:r>
        <w:t xml:space="preserve">. </w:t>
      </w:r>
      <w:r w:rsidRPr="003341DB">
        <w:t>Failure to obtain a national identity card does not usually result in prosecution.</w:t>
      </w:r>
      <w:r>
        <w:t xml:space="preserve"> </w:t>
      </w:r>
      <w:r w:rsidRPr="003341DB">
        <w:t>Lost cards must be reported to the police</w:t>
      </w:r>
      <w:r>
        <w:t>. R</w:t>
      </w:r>
      <w:r w:rsidRPr="003341DB">
        <w:t xml:space="preserve">eplacement is straightforward.  </w:t>
      </w:r>
    </w:p>
    <w:p w14:paraId="36CEB10F" w14:textId="77777777" w:rsidR="00C47BE6" w:rsidRPr="00920F04" w:rsidRDefault="00C47BE6" w:rsidP="00C47BE6">
      <w:pPr>
        <w:pStyle w:val="Heading3"/>
        <w:ind w:firstLine="0"/>
        <w:jc w:val="left"/>
        <w:rPr>
          <w:rFonts w:cs="Calibri"/>
          <w:b/>
          <w:bCs/>
          <w:color w:val="auto"/>
        </w:rPr>
      </w:pPr>
      <w:bookmarkStart w:id="129" w:name="_Passports"/>
      <w:bookmarkStart w:id="130" w:name="_Ref513037470"/>
      <w:bookmarkStart w:id="131" w:name="_Toc196318462"/>
      <w:bookmarkEnd w:id="129"/>
      <w:r w:rsidRPr="00A62EA5">
        <w:rPr>
          <w:rFonts w:cs="Calibri"/>
          <w:b/>
          <w:bCs/>
          <w:color w:val="auto"/>
        </w:rPr>
        <w:t>Passports</w:t>
      </w:r>
      <w:bookmarkEnd w:id="130"/>
      <w:bookmarkEnd w:id="131"/>
    </w:p>
    <w:p w14:paraId="326B4ED6" w14:textId="77777777" w:rsidR="00C47BE6" w:rsidRPr="00C47BE6" w:rsidRDefault="00C47BE6" w:rsidP="00C47BE6">
      <w:pPr>
        <w:pStyle w:val="ListParagraph1"/>
      </w:pPr>
      <w:r w:rsidRPr="00C47BE6">
        <w:t xml:space="preserve">To obtain a passport, Egyptians older than 15 years of age must provide a valid </w:t>
      </w:r>
      <w:hyperlink w:anchor="_National_Identity_Cards" w:history="1">
        <w:r w:rsidRPr="00C47BE6">
          <w:rPr>
            <w:rStyle w:val="Hyperlink"/>
          </w:rPr>
          <w:t>national identification card</w:t>
        </w:r>
      </w:hyperlink>
      <w:r w:rsidRPr="00C47BE6">
        <w:t>. Men must show proof of their ‘military status’. Women must submit a computerised Egyptian document issued by the Civil Status Sector of the Ministry of Interior to prove their marital status in the event of marriage or divorce. Unmarried women must submit a declaration of non</w:t>
      </w:r>
      <w:r w:rsidRPr="00C47BE6">
        <w:noBreakHyphen/>
        <w:t xml:space="preserve">marriage. Those under 15 years old must also provide their original computerised birth certificate and original certificates of enrolment if they are students.  </w:t>
      </w:r>
    </w:p>
    <w:p w14:paraId="59BC3F08" w14:textId="77777777" w:rsidR="00C47BE6" w:rsidRPr="00C67A52" w:rsidRDefault="00C47BE6" w:rsidP="00C47BE6">
      <w:pPr>
        <w:pStyle w:val="Heading3"/>
        <w:ind w:firstLine="0"/>
        <w:jc w:val="left"/>
        <w:rPr>
          <w:rFonts w:cs="Calibri"/>
          <w:b/>
          <w:bCs/>
          <w:color w:val="auto"/>
        </w:rPr>
      </w:pPr>
      <w:r w:rsidRPr="00C67A52">
        <w:rPr>
          <w:rFonts w:cs="Calibri"/>
          <w:b/>
          <w:bCs/>
          <w:color w:val="auto"/>
        </w:rPr>
        <w:t>Prevalence of Fraud</w:t>
      </w:r>
    </w:p>
    <w:p w14:paraId="25CB0733" w14:textId="77777777" w:rsidR="00C47BE6" w:rsidRPr="00C47BE6" w:rsidRDefault="00C47BE6" w:rsidP="00C47BE6">
      <w:pPr>
        <w:pStyle w:val="ListParagraph1"/>
      </w:pPr>
      <w:r w:rsidRPr="00C47BE6">
        <w:t>Identity fraud in Egypt is uncommon and penalties are severe. Forgery of official documents constitutes ‘aggression against the State’s authority, a loss of trust in State issued documents, damage to the interests of individuals and an overall breach of security and stability in society’. Fraudulently obtained genuine documents are also uncommon due to cross checking by ministries. Cases of identity fraud referred to or discovered by authorities are investigated and prosecuted.</w:t>
      </w:r>
    </w:p>
    <w:p w14:paraId="78DFFB94" w14:textId="77777777" w:rsidR="00C47BE6" w:rsidRPr="00C47BE6" w:rsidRDefault="00C47BE6" w:rsidP="00C47BE6">
      <w:pPr>
        <w:pStyle w:val="ListParagraph1"/>
      </w:pPr>
      <w:r w:rsidRPr="00C47BE6">
        <w:t xml:space="preserve">Instances reported of fraudulent </w:t>
      </w:r>
      <w:hyperlink w:anchor="_Passports" w:history="1">
        <w:r w:rsidRPr="00C47BE6">
          <w:rPr>
            <w:rStyle w:val="Hyperlink"/>
          </w:rPr>
          <w:t>passports</w:t>
        </w:r>
      </w:hyperlink>
      <w:r w:rsidRPr="00C47BE6">
        <w:t xml:space="preserve"> being used by Egyptians overseas are rare. For example, an Egyptian man was detained in Malaysia in July 2025 after presenting a falsified Egyptian passport to renew his visa.</w:t>
      </w:r>
      <w:bookmarkEnd w:id="0"/>
    </w:p>
    <w:p w14:paraId="7D252138" w14:textId="28D91EA6" w:rsidR="002121E0" w:rsidRDefault="002121E0"/>
    <w:sectPr w:rsidR="002121E0" w:rsidSect="00C47BE6">
      <w:headerReference w:type="default" r:id="rId7"/>
      <w:footerReference w:type="default" r:id="rId8"/>
      <w:headerReference w:type="first" r:id="rId9"/>
      <w:pgSz w:w="11906" w:h="16838" w:code="9"/>
      <w:pgMar w:top="1418" w:right="851" w:bottom="1276" w:left="851" w:header="340" w:footer="41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49FF" w14:textId="77777777" w:rsidR="0050387F" w:rsidRDefault="0050387F" w:rsidP="00C47BE6">
      <w:pPr>
        <w:spacing w:before="0" w:after="0"/>
      </w:pPr>
      <w:r>
        <w:separator/>
      </w:r>
    </w:p>
  </w:endnote>
  <w:endnote w:type="continuationSeparator" w:id="0">
    <w:p w14:paraId="0CDD74FD" w14:textId="77777777" w:rsidR="0050387F" w:rsidRDefault="0050387F" w:rsidP="00C47B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72715"/>
      <w:docPartObj>
        <w:docPartGallery w:val="Page Numbers (Bottom of Page)"/>
        <w:docPartUnique/>
      </w:docPartObj>
    </w:sdtPr>
    <w:sdtEndPr>
      <w:rPr>
        <w:noProof/>
        <w:color w:val="FFFFFF" w:themeColor="background1"/>
      </w:rPr>
    </w:sdtEndPr>
    <w:sdtContent>
      <w:p w14:paraId="12E02EAB" w14:textId="77777777" w:rsidR="00E36E36" w:rsidRPr="00EC3C2B" w:rsidRDefault="00E36E36" w:rsidP="00B46B05">
        <w:pPr>
          <w:pStyle w:val="Footer"/>
          <w:jc w:val="center"/>
          <w:rPr>
            <w:color w:val="FFFFFF" w:themeColor="background1"/>
          </w:rPr>
        </w:pPr>
        <w:r w:rsidRPr="00EC3C2B">
          <w:rPr>
            <w:noProof/>
            <w:color w:val="FFFFFF" w:themeColor="background1"/>
          </w:rPr>
          <w:drawing>
            <wp:anchor distT="0" distB="0" distL="114300" distR="114300" simplePos="0" relativeHeight="251661312" behindDoc="1" locked="0" layoutInCell="1" allowOverlap="1" wp14:anchorId="2D2EDE9D" wp14:editId="7A1EF3FD">
              <wp:simplePos x="0" y="0"/>
              <wp:positionH relativeFrom="margin">
                <wp:align>center</wp:align>
              </wp:positionH>
              <wp:positionV relativeFrom="paragraph">
                <wp:posOffset>-78105</wp:posOffset>
              </wp:positionV>
              <wp:extent cx="7105650" cy="372745"/>
              <wp:effectExtent l="0" t="0" r="0" b="8255"/>
              <wp:wrapNone/>
              <wp:docPr id="1116272845" name="Picture 11162728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05650" cy="372745"/>
                      </a:xfrm>
                      <a:prstGeom prst="rect">
                        <a:avLst/>
                      </a:prstGeom>
                    </pic:spPr>
                  </pic:pic>
                </a:graphicData>
              </a:graphic>
              <wp14:sizeRelH relativeFrom="margin">
                <wp14:pctWidth>0</wp14:pctWidth>
              </wp14:sizeRelH>
              <wp14:sizeRelV relativeFrom="margin">
                <wp14:pctHeight>0</wp14:pctHeight>
              </wp14:sizeRelV>
            </wp:anchor>
          </w:drawing>
        </w:r>
        <w:r w:rsidRPr="00EC3C2B">
          <w:rPr>
            <w:color w:val="FFFFFF" w:themeColor="background1"/>
          </w:rPr>
          <w:fldChar w:fldCharType="begin"/>
        </w:r>
        <w:r w:rsidRPr="00EC3C2B">
          <w:rPr>
            <w:color w:val="FFFFFF" w:themeColor="background1"/>
          </w:rPr>
          <w:instrText xml:space="preserve"> PAGE   \* MERGEFORMAT </w:instrText>
        </w:r>
        <w:r w:rsidRPr="00EC3C2B">
          <w:rPr>
            <w:color w:val="FFFFFF" w:themeColor="background1"/>
          </w:rPr>
          <w:fldChar w:fldCharType="separate"/>
        </w:r>
        <w:r w:rsidRPr="00EC3C2B">
          <w:rPr>
            <w:noProof/>
            <w:color w:val="FFFFFF" w:themeColor="background1"/>
          </w:rPr>
          <w:t>2</w:t>
        </w:r>
        <w:r w:rsidRPr="00EC3C2B">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0B03" w14:textId="77777777" w:rsidR="0050387F" w:rsidRDefault="0050387F" w:rsidP="00C47BE6">
      <w:pPr>
        <w:spacing w:before="0" w:after="0"/>
      </w:pPr>
      <w:r>
        <w:separator/>
      </w:r>
    </w:p>
  </w:footnote>
  <w:footnote w:type="continuationSeparator" w:id="0">
    <w:p w14:paraId="312C8C68" w14:textId="77777777" w:rsidR="0050387F" w:rsidRDefault="0050387F" w:rsidP="00C47B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F150" w14:textId="5A016FD8" w:rsidR="00E36E36" w:rsidRPr="00B63B50" w:rsidRDefault="00E36E36" w:rsidP="002305CC">
    <w:pPr>
      <w:pStyle w:val="SECCLASSIFICATION"/>
      <w:rPr>
        <w:color w:val="FFFFFF" w:themeColor="background1"/>
      </w:rPr>
    </w:pPr>
    <w:r w:rsidRPr="00B63B50">
      <w:rPr>
        <w:color w:val="FFFFFF" w:themeColor="background1"/>
      </w:rPr>
      <w:drawing>
        <wp:anchor distT="0" distB="0" distL="114300" distR="114300" simplePos="0" relativeHeight="251659264" behindDoc="1" locked="1" layoutInCell="1" allowOverlap="1" wp14:anchorId="07844489" wp14:editId="042C9C8C">
          <wp:simplePos x="0" y="0"/>
          <wp:positionH relativeFrom="margin">
            <wp:align>center</wp:align>
          </wp:positionH>
          <wp:positionV relativeFrom="page">
            <wp:align>top</wp:align>
          </wp:positionV>
          <wp:extent cx="7837805" cy="821055"/>
          <wp:effectExtent l="0" t="0" r="0" b="0"/>
          <wp:wrapNone/>
          <wp:docPr id="925392563" name="Picture 925392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805" cy="821055"/>
                  </a:xfrm>
                  <a:prstGeom prst="rect">
                    <a:avLst/>
                  </a:prstGeom>
                </pic:spPr>
              </pic:pic>
            </a:graphicData>
          </a:graphic>
          <wp14:sizeRelH relativeFrom="margin">
            <wp14:pctWidth>0</wp14:pctWidth>
          </wp14:sizeRelH>
          <wp14:sizeRelV relativeFrom="margin">
            <wp14:pctHeight>0</wp14:pctHeight>
          </wp14:sizeRelV>
        </wp:anchor>
      </w:drawing>
    </w:r>
    <w:r w:rsidRPr="00B63B50">
      <w:rPr>
        <w:color w:val="FFFFFF" w:themeColor="background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9CA0" w14:textId="671E2BAE" w:rsidR="00E36E36" w:rsidRDefault="00E36E36" w:rsidP="00B47EE3">
    <w:pPr>
      <w:pStyle w:val="Header"/>
      <w:tabs>
        <w:tab w:val="clear" w:pos="4513"/>
        <w:tab w:val="clear" w:pos="9026"/>
        <w:tab w:val="center" w:pos="5462"/>
      </w:tabs>
    </w:pPr>
    <w:r>
      <w:rPr>
        <w:noProof/>
      </w:rPr>
      <w:drawing>
        <wp:anchor distT="0" distB="0" distL="114300" distR="114300" simplePos="0" relativeHeight="251660288" behindDoc="1" locked="0" layoutInCell="1" allowOverlap="1" wp14:anchorId="61AE2A9E" wp14:editId="0B7E94E5">
          <wp:simplePos x="0" y="0"/>
          <wp:positionH relativeFrom="margin">
            <wp:posOffset>-325755</wp:posOffset>
          </wp:positionH>
          <wp:positionV relativeFrom="paragraph">
            <wp:posOffset>-6985</wp:posOffset>
          </wp:positionV>
          <wp:extent cx="7131917" cy="10239375"/>
          <wp:effectExtent l="0" t="0" r="0" b="0"/>
          <wp:wrapNone/>
          <wp:docPr id="1853693610" name="Picture 1853693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31917" cy="102393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48FC"/>
    <w:multiLevelType w:val="multilevel"/>
    <w:tmpl w:val="CF0A60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B9B159F"/>
    <w:multiLevelType w:val="multilevel"/>
    <w:tmpl w:val="3FB2185A"/>
    <w:styleLink w:val="HeadingsList"/>
    <w:lvl w:ilvl="0">
      <w:start w:val="1"/>
      <w:numFmt w:val="decimal"/>
      <w:pStyle w:val="Heading1Numbered"/>
      <w:lvlText w:val="%1."/>
      <w:lvlJc w:val="left"/>
      <w:pPr>
        <w:ind w:left="567" w:hanging="567"/>
      </w:pPr>
      <w:rPr>
        <w:rFonts w:asciiTheme="minorHAnsi" w:eastAsiaTheme="majorEastAsia" w:hAnsiTheme="minorHAnsi" w:cstheme="minorHAnsi"/>
      </w:rPr>
    </w:lvl>
    <w:lvl w:ilvl="1">
      <w:start w:val="1"/>
      <w:numFmt w:val="decimal"/>
      <w:pStyle w:val="ListParagraph1"/>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D7D1EC0"/>
    <w:multiLevelType w:val="hybridMultilevel"/>
    <w:tmpl w:val="B3402DFC"/>
    <w:lvl w:ilvl="0" w:tplc="8E1A15BE">
      <w:start w:val="1"/>
      <w:numFmt w:val="decimal"/>
      <w:lvlText w:val="%1)"/>
      <w:lvlJc w:val="left"/>
      <w:pPr>
        <w:ind w:left="1020" w:hanging="360"/>
      </w:pPr>
    </w:lvl>
    <w:lvl w:ilvl="1" w:tplc="9F7CDFAA">
      <w:start w:val="1"/>
      <w:numFmt w:val="decimal"/>
      <w:lvlText w:val="%2)"/>
      <w:lvlJc w:val="left"/>
      <w:pPr>
        <w:ind w:left="1020" w:hanging="360"/>
      </w:pPr>
    </w:lvl>
    <w:lvl w:ilvl="2" w:tplc="1BDA03FC">
      <w:start w:val="1"/>
      <w:numFmt w:val="decimal"/>
      <w:lvlText w:val="%3)"/>
      <w:lvlJc w:val="left"/>
      <w:pPr>
        <w:ind w:left="1020" w:hanging="360"/>
      </w:pPr>
    </w:lvl>
    <w:lvl w:ilvl="3" w:tplc="16C00294">
      <w:start w:val="1"/>
      <w:numFmt w:val="decimal"/>
      <w:lvlText w:val="%4)"/>
      <w:lvlJc w:val="left"/>
      <w:pPr>
        <w:ind w:left="1020" w:hanging="360"/>
      </w:pPr>
    </w:lvl>
    <w:lvl w:ilvl="4" w:tplc="473A0572">
      <w:start w:val="1"/>
      <w:numFmt w:val="decimal"/>
      <w:lvlText w:val="%5)"/>
      <w:lvlJc w:val="left"/>
      <w:pPr>
        <w:ind w:left="1020" w:hanging="360"/>
      </w:pPr>
    </w:lvl>
    <w:lvl w:ilvl="5" w:tplc="3FE0051C">
      <w:start w:val="1"/>
      <w:numFmt w:val="decimal"/>
      <w:lvlText w:val="%6)"/>
      <w:lvlJc w:val="left"/>
      <w:pPr>
        <w:ind w:left="1020" w:hanging="360"/>
      </w:pPr>
    </w:lvl>
    <w:lvl w:ilvl="6" w:tplc="58788CCA">
      <w:start w:val="1"/>
      <w:numFmt w:val="decimal"/>
      <w:lvlText w:val="%7)"/>
      <w:lvlJc w:val="left"/>
      <w:pPr>
        <w:ind w:left="1020" w:hanging="360"/>
      </w:pPr>
    </w:lvl>
    <w:lvl w:ilvl="7" w:tplc="A7CA8AE8">
      <w:start w:val="1"/>
      <w:numFmt w:val="decimal"/>
      <w:lvlText w:val="%8)"/>
      <w:lvlJc w:val="left"/>
      <w:pPr>
        <w:ind w:left="1020" w:hanging="360"/>
      </w:pPr>
    </w:lvl>
    <w:lvl w:ilvl="8" w:tplc="7EFAD8A6">
      <w:start w:val="1"/>
      <w:numFmt w:val="decimal"/>
      <w:lvlText w:val="%9)"/>
      <w:lvlJc w:val="left"/>
      <w:pPr>
        <w:ind w:left="1020" w:hanging="360"/>
      </w:pPr>
    </w:lvl>
  </w:abstractNum>
  <w:abstractNum w:abstractNumId="4" w15:restartNumberingAfterBreak="0">
    <w:nsid w:val="40106D68"/>
    <w:multiLevelType w:val="hybridMultilevel"/>
    <w:tmpl w:val="D8002AF8"/>
    <w:lvl w:ilvl="0" w:tplc="E0D4DA9A">
      <w:start w:val="15"/>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105741"/>
    <w:multiLevelType w:val="multilevel"/>
    <w:tmpl w:val="45EA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D6460"/>
    <w:multiLevelType w:val="hybridMultilevel"/>
    <w:tmpl w:val="F6CEE8AC"/>
    <w:lvl w:ilvl="0" w:tplc="B56EEBE6">
      <w:start w:val="1"/>
      <w:numFmt w:val="decimal"/>
      <w:lvlText w:val="%1)"/>
      <w:lvlJc w:val="left"/>
      <w:pPr>
        <w:ind w:left="1020" w:hanging="360"/>
      </w:pPr>
    </w:lvl>
    <w:lvl w:ilvl="1" w:tplc="75A47376">
      <w:start w:val="1"/>
      <w:numFmt w:val="decimal"/>
      <w:lvlText w:val="%2)"/>
      <w:lvlJc w:val="left"/>
      <w:pPr>
        <w:ind w:left="1020" w:hanging="360"/>
      </w:pPr>
    </w:lvl>
    <w:lvl w:ilvl="2" w:tplc="DD780512">
      <w:start w:val="1"/>
      <w:numFmt w:val="decimal"/>
      <w:lvlText w:val="%3)"/>
      <w:lvlJc w:val="left"/>
      <w:pPr>
        <w:ind w:left="1020" w:hanging="360"/>
      </w:pPr>
    </w:lvl>
    <w:lvl w:ilvl="3" w:tplc="CA6AD358">
      <w:start w:val="1"/>
      <w:numFmt w:val="decimal"/>
      <w:lvlText w:val="%4)"/>
      <w:lvlJc w:val="left"/>
      <w:pPr>
        <w:ind w:left="1020" w:hanging="360"/>
      </w:pPr>
    </w:lvl>
    <w:lvl w:ilvl="4" w:tplc="65A84C24">
      <w:start w:val="1"/>
      <w:numFmt w:val="decimal"/>
      <w:lvlText w:val="%5)"/>
      <w:lvlJc w:val="left"/>
      <w:pPr>
        <w:ind w:left="1020" w:hanging="360"/>
      </w:pPr>
    </w:lvl>
    <w:lvl w:ilvl="5" w:tplc="7D8609B4">
      <w:start w:val="1"/>
      <w:numFmt w:val="decimal"/>
      <w:lvlText w:val="%6)"/>
      <w:lvlJc w:val="left"/>
      <w:pPr>
        <w:ind w:left="1020" w:hanging="360"/>
      </w:pPr>
    </w:lvl>
    <w:lvl w:ilvl="6" w:tplc="834EDFDE">
      <w:start w:val="1"/>
      <w:numFmt w:val="decimal"/>
      <w:lvlText w:val="%7)"/>
      <w:lvlJc w:val="left"/>
      <w:pPr>
        <w:ind w:left="1020" w:hanging="360"/>
      </w:pPr>
    </w:lvl>
    <w:lvl w:ilvl="7" w:tplc="CD42F3AC">
      <w:start w:val="1"/>
      <w:numFmt w:val="decimal"/>
      <w:lvlText w:val="%8)"/>
      <w:lvlJc w:val="left"/>
      <w:pPr>
        <w:ind w:left="1020" w:hanging="360"/>
      </w:pPr>
    </w:lvl>
    <w:lvl w:ilvl="8" w:tplc="D250D8EA">
      <w:start w:val="1"/>
      <w:numFmt w:val="decimal"/>
      <w:lvlText w:val="%9)"/>
      <w:lvlJc w:val="left"/>
      <w:pPr>
        <w:ind w:left="1020" w:hanging="360"/>
      </w:pPr>
    </w:lvl>
  </w:abstractNum>
  <w:abstractNum w:abstractNumId="7"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1E6251"/>
    <w:multiLevelType w:val="hybridMultilevel"/>
    <w:tmpl w:val="FEA6C8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3C1EA7"/>
    <w:multiLevelType w:val="multilevel"/>
    <w:tmpl w:val="43428892"/>
    <w:numStyleLink w:val="BulletsList"/>
  </w:abstractNum>
  <w:abstractNum w:abstractNumId="10" w15:restartNumberingAfterBreak="0">
    <w:nsid w:val="5E565206"/>
    <w:multiLevelType w:val="hybridMultilevel"/>
    <w:tmpl w:val="E9E249BC"/>
    <w:lvl w:ilvl="0" w:tplc="1BD6485C">
      <w:start w:val="1"/>
      <w:numFmt w:val="bullet"/>
      <w:lvlText w:val=""/>
      <w:lvlJc w:val="left"/>
      <w:pPr>
        <w:ind w:left="720" w:hanging="360"/>
      </w:pPr>
      <w:rPr>
        <w:rFonts w:ascii="Symbol" w:hAnsi="Symbol"/>
      </w:rPr>
    </w:lvl>
    <w:lvl w:ilvl="1" w:tplc="56F68FCA">
      <w:start w:val="1"/>
      <w:numFmt w:val="bullet"/>
      <w:lvlText w:val=""/>
      <w:lvlJc w:val="left"/>
      <w:pPr>
        <w:ind w:left="720" w:hanging="360"/>
      </w:pPr>
      <w:rPr>
        <w:rFonts w:ascii="Symbol" w:hAnsi="Symbol"/>
      </w:rPr>
    </w:lvl>
    <w:lvl w:ilvl="2" w:tplc="A5821448">
      <w:start w:val="1"/>
      <w:numFmt w:val="bullet"/>
      <w:lvlText w:val=""/>
      <w:lvlJc w:val="left"/>
      <w:pPr>
        <w:ind w:left="720" w:hanging="360"/>
      </w:pPr>
      <w:rPr>
        <w:rFonts w:ascii="Symbol" w:hAnsi="Symbol"/>
      </w:rPr>
    </w:lvl>
    <w:lvl w:ilvl="3" w:tplc="60366696">
      <w:start w:val="1"/>
      <w:numFmt w:val="bullet"/>
      <w:lvlText w:val=""/>
      <w:lvlJc w:val="left"/>
      <w:pPr>
        <w:ind w:left="720" w:hanging="360"/>
      </w:pPr>
      <w:rPr>
        <w:rFonts w:ascii="Symbol" w:hAnsi="Symbol"/>
      </w:rPr>
    </w:lvl>
    <w:lvl w:ilvl="4" w:tplc="0930C2C6">
      <w:start w:val="1"/>
      <w:numFmt w:val="bullet"/>
      <w:lvlText w:val=""/>
      <w:lvlJc w:val="left"/>
      <w:pPr>
        <w:ind w:left="720" w:hanging="360"/>
      </w:pPr>
      <w:rPr>
        <w:rFonts w:ascii="Symbol" w:hAnsi="Symbol"/>
      </w:rPr>
    </w:lvl>
    <w:lvl w:ilvl="5" w:tplc="C07A7B74">
      <w:start w:val="1"/>
      <w:numFmt w:val="bullet"/>
      <w:lvlText w:val=""/>
      <w:lvlJc w:val="left"/>
      <w:pPr>
        <w:ind w:left="720" w:hanging="360"/>
      </w:pPr>
      <w:rPr>
        <w:rFonts w:ascii="Symbol" w:hAnsi="Symbol"/>
      </w:rPr>
    </w:lvl>
    <w:lvl w:ilvl="6" w:tplc="89D65AA8">
      <w:start w:val="1"/>
      <w:numFmt w:val="bullet"/>
      <w:lvlText w:val=""/>
      <w:lvlJc w:val="left"/>
      <w:pPr>
        <w:ind w:left="720" w:hanging="360"/>
      </w:pPr>
      <w:rPr>
        <w:rFonts w:ascii="Symbol" w:hAnsi="Symbol"/>
      </w:rPr>
    </w:lvl>
    <w:lvl w:ilvl="7" w:tplc="602E51FA">
      <w:start w:val="1"/>
      <w:numFmt w:val="bullet"/>
      <w:lvlText w:val=""/>
      <w:lvlJc w:val="left"/>
      <w:pPr>
        <w:ind w:left="720" w:hanging="360"/>
      </w:pPr>
      <w:rPr>
        <w:rFonts w:ascii="Symbol" w:hAnsi="Symbol"/>
      </w:rPr>
    </w:lvl>
    <w:lvl w:ilvl="8" w:tplc="65F26C10">
      <w:start w:val="1"/>
      <w:numFmt w:val="bullet"/>
      <w:lvlText w:val=""/>
      <w:lvlJc w:val="left"/>
      <w:pPr>
        <w:ind w:left="720" w:hanging="360"/>
      </w:pPr>
      <w:rPr>
        <w:rFonts w:ascii="Symbol" w:hAnsi="Symbol"/>
      </w:rPr>
    </w:lvl>
  </w:abstractNum>
  <w:abstractNum w:abstractNumId="11" w15:restartNumberingAfterBreak="0">
    <w:nsid w:val="617A45ED"/>
    <w:multiLevelType w:val="hybridMultilevel"/>
    <w:tmpl w:val="949CC1BA"/>
    <w:lvl w:ilvl="0" w:tplc="6EAE637E">
      <w:start w:val="1"/>
      <w:numFmt w:val="decimal"/>
      <w:lvlText w:val="%1)"/>
      <w:lvlJc w:val="left"/>
      <w:pPr>
        <w:ind w:left="1020" w:hanging="360"/>
      </w:pPr>
    </w:lvl>
    <w:lvl w:ilvl="1" w:tplc="5622DD0A">
      <w:start w:val="1"/>
      <w:numFmt w:val="decimal"/>
      <w:lvlText w:val="%2)"/>
      <w:lvlJc w:val="left"/>
      <w:pPr>
        <w:ind w:left="1020" w:hanging="360"/>
      </w:pPr>
    </w:lvl>
    <w:lvl w:ilvl="2" w:tplc="5E60F442">
      <w:start w:val="1"/>
      <w:numFmt w:val="decimal"/>
      <w:lvlText w:val="%3)"/>
      <w:lvlJc w:val="left"/>
      <w:pPr>
        <w:ind w:left="1020" w:hanging="360"/>
      </w:pPr>
    </w:lvl>
    <w:lvl w:ilvl="3" w:tplc="469E8B48">
      <w:start w:val="1"/>
      <w:numFmt w:val="decimal"/>
      <w:lvlText w:val="%4)"/>
      <w:lvlJc w:val="left"/>
      <w:pPr>
        <w:ind w:left="1020" w:hanging="360"/>
      </w:pPr>
    </w:lvl>
    <w:lvl w:ilvl="4" w:tplc="DCBA5222">
      <w:start w:val="1"/>
      <w:numFmt w:val="decimal"/>
      <w:lvlText w:val="%5)"/>
      <w:lvlJc w:val="left"/>
      <w:pPr>
        <w:ind w:left="1020" w:hanging="360"/>
      </w:pPr>
    </w:lvl>
    <w:lvl w:ilvl="5" w:tplc="4800BF5A">
      <w:start w:val="1"/>
      <w:numFmt w:val="decimal"/>
      <w:lvlText w:val="%6)"/>
      <w:lvlJc w:val="left"/>
      <w:pPr>
        <w:ind w:left="1020" w:hanging="360"/>
      </w:pPr>
    </w:lvl>
    <w:lvl w:ilvl="6" w:tplc="770A45EE">
      <w:start w:val="1"/>
      <w:numFmt w:val="decimal"/>
      <w:lvlText w:val="%7)"/>
      <w:lvlJc w:val="left"/>
      <w:pPr>
        <w:ind w:left="1020" w:hanging="360"/>
      </w:pPr>
    </w:lvl>
    <w:lvl w:ilvl="7" w:tplc="501E1BD4">
      <w:start w:val="1"/>
      <w:numFmt w:val="decimal"/>
      <w:lvlText w:val="%8)"/>
      <w:lvlJc w:val="left"/>
      <w:pPr>
        <w:ind w:left="1020" w:hanging="360"/>
      </w:pPr>
    </w:lvl>
    <w:lvl w:ilvl="8" w:tplc="FEEAE096">
      <w:start w:val="1"/>
      <w:numFmt w:val="decimal"/>
      <w:lvlText w:val="%9)"/>
      <w:lvlJc w:val="left"/>
      <w:pPr>
        <w:ind w:left="1020" w:hanging="360"/>
      </w:pPr>
    </w:lvl>
  </w:abstractNum>
  <w:abstractNum w:abstractNumId="12" w15:restartNumberingAfterBreak="0">
    <w:nsid w:val="65495EF8"/>
    <w:multiLevelType w:val="hybridMultilevel"/>
    <w:tmpl w:val="27600146"/>
    <w:lvl w:ilvl="0" w:tplc="2D92A3F2">
      <w:start w:val="1"/>
      <w:numFmt w:val="decimal"/>
      <w:lvlText w:val="%1)"/>
      <w:lvlJc w:val="left"/>
      <w:pPr>
        <w:ind w:left="1020" w:hanging="360"/>
      </w:pPr>
    </w:lvl>
    <w:lvl w:ilvl="1" w:tplc="F7CE4BDC">
      <w:start w:val="1"/>
      <w:numFmt w:val="decimal"/>
      <w:lvlText w:val="%2)"/>
      <w:lvlJc w:val="left"/>
      <w:pPr>
        <w:ind w:left="1020" w:hanging="360"/>
      </w:pPr>
    </w:lvl>
    <w:lvl w:ilvl="2" w:tplc="9E72E27A">
      <w:start w:val="1"/>
      <w:numFmt w:val="decimal"/>
      <w:lvlText w:val="%3)"/>
      <w:lvlJc w:val="left"/>
      <w:pPr>
        <w:ind w:left="1020" w:hanging="360"/>
      </w:pPr>
    </w:lvl>
    <w:lvl w:ilvl="3" w:tplc="27809F72">
      <w:start w:val="1"/>
      <w:numFmt w:val="decimal"/>
      <w:lvlText w:val="%4)"/>
      <w:lvlJc w:val="left"/>
      <w:pPr>
        <w:ind w:left="1020" w:hanging="360"/>
      </w:pPr>
    </w:lvl>
    <w:lvl w:ilvl="4" w:tplc="651660E2">
      <w:start w:val="1"/>
      <w:numFmt w:val="decimal"/>
      <w:lvlText w:val="%5)"/>
      <w:lvlJc w:val="left"/>
      <w:pPr>
        <w:ind w:left="1020" w:hanging="360"/>
      </w:pPr>
    </w:lvl>
    <w:lvl w:ilvl="5" w:tplc="2A30C39C">
      <w:start w:val="1"/>
      <w:numFmt w:val="decimal"/>
      <w:lvlText w:val="%6)"/>
      <w:lvlJc w:val="left"/>
      <w:pPr>
        <w:ind w:left="1020" w:hanging="360"/>
      </w:pPr>
    </w:lvl>
    <w:lvl w:ilvl="6" w:tplc="BC4E7B4E">
      <w:start w:val="1"/>
      <w:numFmt w:val="decimal"/>
      <w:lvlText w:val="%7)"/>
      <w:lvlJc w:val="left"/>
      <w:pPr>
        <w:ind w:left="1020" w:hanging="360"/>
      </w:pPr>
    </w:lvl>
    <w:lvl w:ilvl="7" w:tplc="C6D0CDC2">
      <w:start w:val="1"/>
      <w:numFmt w:val="decimal"/>
      <w:lvlText w:val="%8)"/>
      <w:lvlJc w:val="left"/>
      <w:pPr>
        <w:ind w:left="1020" w:hanging="360"/>
      </w:pPr>
    </w:lvl>
    <w:lvl w:ilvl="8" w:tplc="3D288568">
      <w:start w:val="1"/>
      <w:numFmt w:val="decimal"/>
      <w:lvlText w:val="%9)"/>
      <w:lvlJc w:val="left"/>
      <w:pPr>
        <w:ind w:left="1020" w:hanging="360"/>
      </w:pPr>
    </w:lvl>
  </w:abstractNum>
  <w:abstractNum w:abstractNumId="13" w15:restartNumberingAfterBreak="0">
    <w:nsid w:val="696D4600"/>
    <w:multiLevelType w:val="hybridMultilevel"/>
    <w:tmpl w:val="75D04C20"/>
    <w:lvl w:ilvl="0" w:tplc="DFDECD76">
      <w:start w:val="1"/>
      <w:numFmt w:val="decimal"/>
      <w:lvlText w:val="%1)"/>
      <w:lvlJc w:val="left"/>
      <w:pPr>
        <w:ind w:left="1020" w:hanging="360"/>
      </w:pPr>
    </w:lvl>
    <w:lvl w:ilvl="1" w:tplc="E78A20C6">
      <w:start w:val="1"/>
      <w:numFmt w:val="decimal"/>
      <w:lvlText w:val="%2)"/>
      <w:lvlJc w:val="left"/>
      <w:pPr>
        <w:ind w:left="1020" w:hanging="360"/>
      </w:pPr>
    </w:lvl>
    <w:lvl w:ilvl="2" w:tplc="B9CE850E">
      <w:start w:val="1"/>
      <w:numFmt w:val="decimal"/>
      <w:lvlText w:val="%3)"/>
      <w:lvlJc w:val="left"/>
      <w:pPr>
        <w:ind w:left="1020" w:hanging="360"/>
      </w:pPr>
    </w:lvl>
    <w:lvl w:ilvl="3" w:tplc="E56875A4">
      <w:start w:val="1"/>
      <w:numFmt w:val="decimal"/>
      <w:lvlText w:val="%4)"/>
      <w:lvlJc w:val="left"/>
      <w:pPr>
        <w:ind w:left="1020" w:hanging="360"/>
      </w:pPr>
    </w:lvl>
    <w:lvl w:ilvl="4" w:tplc="8A2EA45A">
      <w:start w:val="1"/>
      <w:numFmt w:val="decimal"/>
      <w:lvlText w:val="%5)"/>
      <w:lvlJc w:val="left"/>
      <w:pPr>
        <w:ind w:left="1020" w:hanging="360"/>
      </w:pPr>
    </w:lvl>
    <w:lvl w:ilvl="5" w:tplc="B1B62690">
      <w:start w:val="1"/>
      <w:numFmt w:val="decimal"/>
      <w:lvlText w:val="%6)"/>
      <w:lvlJc w:val="left"/>
      <w:pPr>
        <w:ind w:left="1020" w:hanging="360"/>
      </w:pPr>
    </w:lvl>
    <w:lvl w:ilvl="6" w:tplc="E670DC9C">
      <w:start w:val="1"/>
      <w:numFmt w:val="decimal"/>
      <w:lvlText w:val="%7)"/>
      <w:lvlJc w:val="left"/>
      <w:pPr>
        <w:ind w:left="1020" w:hanging="360"/>
      </w:pPr>
    </w:lvl>
    <w:lvl w:ilvl="7" w:tplc="0D0492DE">
      <w:start w:val="1"/>
      <w:numFmt w:val="decimal"/>
      <w:lvlText w:val="%8)"/>
      <w:lvlJc w:val="left"/>
      <w:pPr>
        <w:ind w:left="1020" w:hanging="360"/>
      </w:pPr>
    </w:lvl>
    <w:lvl w:ilvl="8" w:tplc="C95431FE">
      <w:start w:val="1"/>
      <w:numFmt w:val="decimal"/>
      <w:lvlText w:val="%9)"/>
      <w:lvlJc w:val="left"/>
      <w:pPr>
        <w:ind w:left="1020" w:hanging="360"/>
      </w:pPr>
    </w:lvl>
  </w:abstractNum>
  <w:abstractNum w:abstractNumId="14" w15:restartNumberingAfterBreak="0">
    <w:nsid w:val="71482938"/>
    <w:multiLevelType w:val="hybridMultilevel"/>
    <w:tmpl w:val="23EA2DC4"/>
    <w:lvl w:ilvl="0" w:tplc="03E4BF54">
      <w:start w:val="1"/>
      <w:numFmt w:val="bullet"/>
      <w:lvlText w:val=""/>
      <w:lvlJc w:val="left"/>
      <w:pPr>
        <w:ind w:left="720" w:hanging="360"/>
      </w:pPr>
      <w:rPr>
        <w:rFonts w:ascii="Symbol" w:hAnsi="Symbol"/>
      </w:rPr>
    </w:lvl>
    <w:lvl w:ilvl="1" w:tplc="A8F2D942">
      <w:start w:val="1"/>
      <w:numFmt w:val="bullet"/>
      <w:lvlText w:val=""/>
      <w:lvlJc w:val="left"/>
      <w:pPr>
        <w:ind w:left="720" w:hanging="360"/>
      </w:pPr>
      <w:rPr>
        <w:rFonts w:ascii="Symbol" w:hAnsi="Symbol"/>
      </w:rPr>
    </w:lvl>
    <w:lvl w:ilvl="2" w:tplc="517EBB48">
      <w:start w:val="1"/>
      <w:numFmt w:val="bullet"/>
      <w:lvlText w:val=""/>
      <w:lvlJc w:val="left"/>
      <w:pPr>
        <w:ind w:left="720" w:hanging="360"/>
      </w:pPr>
      <w:rPr>
        <w:rFonts w:ascii="Symbol" w:hAnsi="Symbol"/>
      </w:rPr>
    </w:lvl>
    <w:lvl w:ilvl="3" w:tplc="47980542">
      <w:start w:val="1"/>
      <w:numFmt w:val="bullet"/>
      <w:lvlText w:val=""/>
      <w:lvlJc w:val="left"/>
      <w:pPr>
        <w:ind w:left="720" w:hanging="360"/>
      </w:pPr>
      <w:rPr>
        <w:rFonts w:ascii="Symbol" w:hAnsi="Symbol"/>
      </w:rPr>
    </w:lvl>
    <w:lvl w:ilvl="4" w:tplc="EDFC8852">
      <w:start w:val="1"/>
      <w:numFmt w:val="bullet"/>
      <w:lvlText w:val=""/>
      <w:lvlJc w:val="left"/>
      <w:pPr>
        <w:ind w:left="720" w:hanging="360"/>
      </w:pPr>
      <w:rPr>
        <w:rFonts w:ascii="Symbol" w:hAnsi="Symbol"/>
      </w:rPr>
    </w:lvl>
    <w:lvl w:ilvl="5" w:tplc="495A89CA">
      <w:start w:val="1"/>
      <w:numFmt w:val="bullet"/>
      <w:lvlText w:val=""/>
      <w:lvlJc w:val="left"/>
      <w:pPr>
        <w:ind w:left="720" w:hanging="360"/>
      </w:pPr>
      <w:rPr>
        <w:rFonts w:ascii="Symbol" w:hAnsi="Symbol"/>
      </w:rPr>
    </w:lvl>
    <w:lvl w:ilvl="6" w:tplc="783C3848">
      <w:start w:val="1"/>
      <w:numFmt w:val="bullet"/>
      <w:lvlText w:val=""/>
      <w:lvlJc w:val="left"/>
      <w:pPr>
        <w:ind w:left="720" w:hanging="360"/>
      </w:pPr>
      <w:rPr>
        <w:rFonts w:ascii="Symbol" w:hAnsi="Symbol"/>
      </w:rPr>
    </w:lvl>
    <w:lvl w:ilvl="7" w:tplc="A2D43AF0">
      <w:start w:val="1"/>
      <w:numFmt w:val="bullet"/>
      <w:lvlText w:val=""/>
      <w:lvlJc w:val="left"/>
      <w:pPr>
        <w:ind w:left="720" w:hanging="360"/>
      </w:pPr>
      <w:rPr>
        <w:rFonts w:ascii="Symbol" w:hAnsi="Symbol"/>
      </w:rPr>
    </w:lvl>
    <w:lvl w:ilvl="8" w:tplc="87F081AC">
      <w:start w:val="1"/>
      <w:numFmt w:val="bullet"/>
      <w:lvlText w:val=""/>
      <w:lvlJc w:val="left"/>
      <w:pPr>
        <w:ind w:left="720" w:hanging="360"/>
      </w:pPr>
      <w:rPr>
        <w:rFonts w:ascii="Symbol" w:hAnsi="Symbol"/>
      </w:rPr>
    </w:lvl>
  </w:abstractNum>
  <w:abstractNum w:abstractNumId="15" w15:restartNumberingAfterBreak="0">
    <w:nsid w:val="73107305"/>
    <w:multiLevelType w:val="multilevel"/>
    <w:tmpl w:val="43428892"/>
    <w:styleLink w:val="BulletsList"/>
    <w:lvl w:ilvl="0">
      <w:start w:val="1"/>
      <w:numFmt w:val="bullet"/>
      <w:pStyle w:val="Bullet1"/>
      <w:lvlText w:val=""/>
      <w:lvlJc w:val="left"/>
      <w:pPr>
        <w:ind w:left="170"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73E91262"/>
    <w:multiLevelType w:val="multilevel"/>
    <w:tmpl w:val="DB18B3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6E15CE"/>
    <w:multiLevelType w:val="hybridMultilevel"/>
    <w:tmpl w:val="49B4DC14"/>
    <w:lvl w:ilvl="0" w:tplc="7E0E648C">
      <w:start w:val="1"/>
      <w:numFmt w:val="bullet"/>
      <w:lvlText w:val=""/>
      <w:lvlJc w:val="left"/>
      <w:pPr>
        <w:ind w:left="720" w:hanging="360"/>
      </w:pPr>
      <w:rPr>
        <w:rFonts w:ascii="Symbol" w:hAnsi="Symbol"/>
      </w:rPr>
    </w:lvl>
    <w:lvl w:ilvl="1" w:tplc="C7A80A5A">
      <w:start w:val="1"/>
      <w:numFmt w:val="bullet"/>
      <w:lvlText w:val=""/>
      <w:lvlJc w:val="left"/>
      <w:pPr>
        <w:ind w:left="720" w:hanging="360"/>
      </w:pPr>
      <w:rPr>
        <w:rFonts w:ascii="Symbol" w:hAnsi="Symbol"/>
      </w:rPr>
    </w:lvl>
    <w:lvl w:ilvl="2" w:tplc="5BCC3B72">
      <w:start w:val="1"/>
      <w:numFmt w:val="bullet"/>
      <w:lvlText w:val=""/>
      <w:lvlJc w:val="left"/>
      <w:pPr>
        <w:ind w:left="720" w:hanging="360"/>
      </w:pPr>
      <w:rPr>
        <w:rFonts w:ascii="Symbol" w:hAnsi="Symbol"/>
      </w:rPr>
    </w:lvl>
    <w:lvl w:ilvl="3" w:tplc="068EDC32">
      <w:start w:val="1"/>
      <w:numFmt w:val="bullet"/>
      <w:lvlText w:val=""/>
      <w:lvlJc w:val="left"/>
      <w:pPr>
        <w:ind w:left="720" w:hanging="360"/>
      </w:pPr>
      <w:rPr>
        <w:rFonts w:ascii="Symbol" w:hAnsi="Symbol"/>
      </w:rPr>
    </w:lvl>
    <w:lvl w:ilvl="4" w:tplc="02C81DD4">
      <w:start w:val="1"/>
      <w:numFmt w:val="bullet"/>
      <w:lvlText w:val=""/>
      <w:lvlJc w:val="left"/>
      <w:pPr>
        <w:ind w:left="720" w:hanging="360"/>
      </w:pPr>
      <w:rPr>
        <w:rFonts w:ascii="Symbol" w:hAnsi="Symbol"/>
      </w:rPr>
    </w:lvl>
    <w:lvl w:ilvl="5" w:tplc="9DAC8076">
      <w:start w:val="1"/>
      <w:numFmt w:val="bullet"/>
      <w:lvlText w:val=""/>
      <w:lvlJc w:val="left"/>
      <w:pPr>
        <w:ind w:left="720" w:hanging="360"/>
      </w:pPr>
      <w:rPr>
        <w:rFonts w:ascii="Symbol" w:hAnsi="Symbol"/>
      </w:rPr>
    </w:lvl>
    <w:lvl w:ilvl="6" w:tplc="B496957A">
      <w:start w:val="1"/>
      <w:numFmt w:val="bullet"/>
      <w:lvlText w:val=""/>
      <w:lvlJc w:val="left"/>
      <w:pPr>
        <w:ind w:left="720" w:hanging="360"/>
      </w:pPr>
      <w:rPr>
        <w:rFonts w:ascii="Symbol" w:hAnsi="Symbol"/>
      </w:rPr>
    </w:lvl>
    <w:lvl w:ilvl="7" w:tplc="FD089FAA">
      <w:start w:val="1"/>
      <w:numFmt w:val="bullet"/>
      <w:lvlText w:val=""/>
      <w:lvlJc w:val="left"/>
      <w:pPr>
        <w:ind w:left="720" w:hanging="360"/>
      </w:pPr>
      <w:rPr>
        <w:rFonts w:ascii="Symbol" w:hAnsi="Symbol"/>
      </w:rPr>
    </w:lvl>
    <w:lvl w:ilvl="8" w:tplc="B5389334">
      <w:start w:val="1"/>
      <w:numFmt w:val="bullet"/>
      <w:lvlText w:val=""/>
      <w:lvlJc w:val="left"/>
      <w:pPr>
        <w:ind w:left="720" w:hanging="360"/>
      </w:pPr>
      <w:rPr>
        <w:rFonts w:ascii="Symbol" w:hAnsi="Symbol"/>
      </w:rPr>
    </w:lvl>
  </w:abstractNum>
  <w:abstractNum w:abstractNumId="18" w15:restartNumberingAfterBreak="0">
    <w:nsid w:val="7B1B1CA8"/>
    <w:multiLevelType w:val="hybridMultilevel"/>
    <w:tmpl w:val="1EE828B0"/>
    <w:lvl w:ilvl="0" w:tplc="65EEBA86">
      <w:start w:val="1"/>
      <w:numFmt w:val="decimal"/>
      <w:lvlText w:val="%1)"/>
      <w:lvlJc w:val="left"/>
      <w:pPr>
        <w:ind w:left="1020" w:hanging="360"/>
      </w:pPr>
    </w:lvl>
    <w:lvl w:ilvl="1" w:tplc="1CA64E80">
      <w:start w:val="1"/>
      <w:numFmt w:val="decimal"/>
      <w:lvlText w:val="%2)"/>
      <w:lvlJc w:val="left"/>
      <w:pPr>
        <w:ind w:left="1020" w:hanging="360"/>
      </w:pPr>
    </w:lvl>
    <w:lvl w:ilvl="2" w:tplc="FA32F6C2">
      <w:start w:val="1"/>
      <w:numFmt w:val="decimal"/>
      <w:lvlText w:val="%3)"/>
      <w:lvlJc w:val="left"/>
      <w:pPr>
        <w:ind w:left="1020" w:hanging="360"/>
      </w:pPr>
    </w:lvl>
    <w:lvl w:ilvl="3" w:tplc="2B526390">
      <w:start w:val="1"/>
      <w:numFmt w:val="decimal"/>
      <w:lvlText w:val="%4)"/>
      <w:lvlJc w:val="left"/>
      <w:pPr>
        <w:ind w:left="1020" w:hanging="360"/>
      </w:pPr>
    </w:lvl>
    <w:lvl w:ilvl="4" w:tplc="F5B83836">
      <w:start w:val="1"/>
      <w:numFmt w:val="decimal"/>
      <w:lvlText w:val="%5)"/>
      <w:lvlJc w:val="left"/>
      <w:pPr>
        <w:ind w:left="1020" w:hanging="360"/>
      </w:pPr>
    </w:lvl>
    <w:lvl w:ilvl="5" w:tplc="DCDA1442">
      <w:start w:val="1"/>
      <w:numFmt w:val="decimal"/>
      <w:lvlText w:val="%6)"/>
      <w:lvlJc w:val="left"/>
      <w:pPr>
        <w:ind w:left="1020" w:hanging="360"/>
      </w:pPr>
    </w:lvl>
    <w:lvl w:ilvl="6" w:tplc="7E1C7EF6">
      <w:start w:val="1"/>
      <w:numFmt w:val="decimal"/>
      <w:lvlText w:val="%7)"/>
      <w:lvlJc w:val="left"/>
      <w:pPr>
        <w:ind w:left="1020" w:hanging="360"/>
      </w:pPr>
    </w:lvl>
    <w:lvl w:ilvl="7" w:tplc="107821FC">
      <w:start w:val="1"/>
      <w:numFmt w:val="decimal"/>
      <w:lvlText w:val="%8)"/>
      <w:lvlJc w:val="left"/>
      <w:pPr>
        <w:ind w:left="1020" w:hanging="360"/>
      </w:pPr>
    </w:lvl>
    <w:lvl w:ilvl="8" w:tplc="4D4A92B6">
      <w:start w:val="1"/>
      <w:numFmt w:val="decimal"/>
      <w:lvlText w:val="%9)"/>
      <w:lvlJc w:val="left"/>
      <w:pPr>
        <w:ind w:left="1020" w:hanging="360"/>
      </w:pPr>
    </w:lvl>
  </w:abstractNum>
  <w:num w:numId="1" w16cid:durableId="278145982">
    <w:abstractNumId w:val="2"/>
  </w:num>
  <w:num w:numId="2" w16cid:durableId="92871242">
    <w:abstractNumId w:val="7"/>
  </w:num>
  <w:num w:numId="3" w16cid:durableId="795374713">
    <w:abstractNumId w:val="8"/>
  </w:num>
  <w:num w:numId="4" w16cid:durableId="971053451">
    <w:abstractNumId w:val="0"/>
  </w:num>
  <w:num w:numId="5" w16cid:durableId="1976131971">
    <w:abstractNumId w:val="1"/>
  </w:num>
  <w:num w:numId="6" w16cid:durableId="1370569075">
    <w:abstractNumId w:val="1"/>
    <w:lvlOverride w:ilvl="0">
      <w:lvl w:ilvl="0">
        <w:start w:val="1"/>
        <w:numFmt w:val="decimal"/>
        <w:pStyle w:val="Heading1Numbered"/>
        <w:lvlText w:val="%1."/>
        <w:lvlJc w:val="left"/>
        <w:pPr>
          <w:ind w:left="567" w:hanging="567"/>
        </w:pPr>
        <w:rPr>
          <w:rFonts w:asciiTheme="minorHAnsi" w:eastAsiaTheme="majorEastAsia" w:hAnsiTheme="minorHAnsi" w:cstheme="minorHAnsi"/>
        </w:rPr>
      </w:lvl>
    </w:lvlOverride>
    <w:lvlOverride w:ilvl="1">
      <w:lvl w:ilvl="1">
        <w:start w:val="1"/>
        <w:numFmt w:val="decimal"/>
        <w:pStyle w:val="ListParagraph1"/>
        <w:lvlText w:val="%1.%2"/>
        <w:lvlJc w:val="left"/>
        <w:pPr>
          <w:ind w:left="567" w:hanging="567"/>
        </w:pPr>
        <w:rPr>
          <w:rFonts w:hint="default"/>
          <w:sz w:val="22"/>
          <w:szCs w:val="22"/>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7" w16cid:durableId="277296064">
    <w:abstractNumId w:val="14"/>
  </w:num>
  <w:num w:numId="8" w16cid:durableId="2125926635">
    <w:abstractNumId w:val="10"/>
  </w:num>
  <w:num w:numId="9" w16cid:durableId="1679500997">
    <w:abstractNumId w:val="17"/>
  </w:num>
  <w:num w:numId="10" w16cid:durableId="1048533177">
    <w:abstractNumId w:val="5"/>
  </w:num>
  <w:num w:numId="11" w16cid:durableId="781000930">
    <w:abstractNumId w:val="16"/>
  </w:num>
  <w:num w:numId="12" w16cid:durableId="1602370187">
    <w:abstractNumId w:val="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ListParagraph1"/>
        <w:lvlText w:val="%1.%2"/>
        <w:lvlJc w:val="left"/>
        <w:pPr>
          <w:ind w:left="567" w:hanging="567"/>
        </w:pPr>
        <w:rPr>
          <w:rFonts w:hint="default"/>
          <w:i w:val="0"/>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3" w16cid:durableId="1140343693">
    <w:abstractNumId w:val="4"/>
  </w:num>
  <w:num w:numId="14" w16cid:durableId="392850665">
    <w:abstractNumId w:val="15"/>
  </w:num>
  <w:num w:numId="15" w16cid:durableId="1096899697">
    <w:abstractNumId w:val="9"/>
  </w:num>
  <w:num w:numId="16" w16cid:durableId="1638142938">
    <w:abstractNumId w:val="1"/>
    <w:lvlOverride w:ilvl="1">
      <w:lvl w:ilvl="1">
        <w:start w:val="1"/>
        <w:numFmt w:val="decimal"/>
        <w:pStyle w:val="ListParagraph1"/>
        <w:lvlText w:val="%1.%2"/>
        <w:lvlJc w:val="left"/>
        <w:pPr>
          <w:ind w:left="567" w:hanging="567"/>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2142115818">
    <w:abstractNumId w:val="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ListParagraph1"/>
        <w:lvlText w:val="%1.%2"/>
        <w:lvlJc w:val="left"/>
        <w:pPr>
          <w:ind w:left="567" w:hanging="567"/>
        </w:pPr>
        <w:rPr>
          <w:rFonts w:hint="default"/>
          <w:i w:val="0"/>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8" w16cid:durableId="1664238">
    <w:abstractNumId w:val="1"/>
    <w:lvlOverride w:ilvl="0">
      <w:startOverride w:val="1"/>
      <w:lvl w:ilvl="0">
        <w:start w:val="1"/>
        <w:numFmt w:val="decimal"/>
        <w:pStyle w:val="Heading1Numbered"/>
        <w:lvlText w:val="%1."/>
        <w:lvlJc w:val="left"/>
        <w:pPr>
          <w:ind w:left="567" w:hanging="567"/>
        </w:pPr>
        <w:rPr>
          <w:rFonts w:asciiTheme="minorHAnsi" w:eastAsiaTheme="majorEastAsia" w:hAnsiTheme="minorHAnsi" w:cstheme="minorHAnsi"/>
        </w:rPr>
      </w:lvl>
    </w:lvlOverride>
    <w:lvlOverride w:ilvl="1">
      <w:startOverride w:val="1"/>
      <w:lvl w:ilvl="1">
        <w:start w:val="1"/>
        <w:numFmt w:val="decimal"/>
        <w:pStyle w:val="ListParagraph1"/>
        <w:lvlText w:val="%1.%2"/>
        <w:lvlJc w:val="left"/>
        <w:pPr>
          <w:ind w:left="567" w:hanging="567"/>
        </w:pPr>
        <w:rPr>
          <w:rFonts w:hint="default"/>
        </w:rPr>
      </w:lvl>
    </w:lvlOverride>
    <w:lvlOverride w:ilvl="2">
      <w:startOverride w:val="1"/>
      <w:lvl w:ilvl="2">
        <w:start w:val="1"/>
        <w:numFmt w:val="decimal"/>
        <w:pStyle w:val="Heading3Numbered"/>
        <w:lvlText w:val="%1.%2.%3"/>
        <w:lvlJc w:val="left"/>
        <w:pPr>
          <w:ind w:left="851" w:hanging="851"/>
        </w:pPr>
        <w:rPr>
          <w:rFonts w:hint="default"/>
        </w:rPr>
      </w:lvl>
    </w:lvlOverride>
    <w:lvlOverride w:ilvl="3">
      <w:startOverride w:val="1"/>
      <w:lvl w:ilvl="3">
        <w:start w:val="1"/>
        <w:numFmt w:val="decimal"/>
        <w:lvlText w:val="(%4)"/>
        <w:lvlJc w:val="left"/>
        <w:pPr>
          <w:ind w:left="2160" w:hanging="360"/>
        </w:pPr>
        <w:rPr>
          <w:rFonts w:hint="default"/>
        </w:rPr>
      </w:lvl>
    </w:lvlOverride>
    <w:lvlOverride w:ilvl="4">
      <w:startOverride w:val="1"/>
      <w:lvl w:ilvl="4">
        <w:start w:val="1"/>
        <w:numFmt w:val="lowerLetter"/>
        <w:lvlText w:val="(%5)"/>
        <w:lvlJc w:val="left"/>
        <w:pPr>
          <w:ind w:left="2520" w:hanging="360"/>
        </w:pPr>
        <w:rPr>
          <w:rFonts w:hint="default"/>
        </w:rPr>
      </w:lvl>
    </w:lvlOverride>
    <w:lvlOverride w:ilvl="5">
      <w:startOverride w:val="1"/>
      <w:lvl w:ilvl="5">
        <w:start w:val="1"/>
        <w:numFmt w:val="lowerRoman"/>
        <w:lvlText w:val="(%6)"/>
        <w:lvlJc w:val="left"/>
        <w:pPr>
          <w:ind w:left="2880" w:hanging="360"/>
        </w:pPr>
        <w:rPr>
          <w:rFonts w:hint="default"/>
        </w:rPr>
      </w:lvl>
    </w:lvlOverride>
    <w:lvlOverride w:ilvl="6">
      <w:startOverride w:val="1"/>
      <w:lvl w:ilvl="6">
        <w:start w:val="1"/>
        <w:numFmt w:val="decimal"/>
        <w:lvlText w:val="%7."/>
        <w:lvlJc w:val="left"/>
        <w:pPr>
          <w:ind w:left="3240" w:hanging="360"/>
        </w:pPr>
        <w:rPr>
          <w:rFonts w:hint="default"/>
        </w:rPr>
      </w:lvl>
    </w:lvlOverride>
    <w:lvlOverride w:ilvl="7">
      <w:startOverride w:val="1"/>
      <w:lvl w:ilvl="7">
        <w:start w:val="1"/>
        <w:numFmt w:val="lowerLetter"/>
        <w:lvlText w:val="%8."/>
        <w:lvlJc w:val="left"/>
        <w:pPr>
          <w:ind w:left="3600" w:hanging="360"/>
        </w:pPr>
        <w:rPr>
          <w:rFonts w:hint="default"/>
        </w:rPr>
      </w:lvl>
    </w:lvlOverride>
    <w:lvlOverride w:ilvl="8">
      <w:startOverride w:val="1"/>
      <w:lvl w:ilvl="8">
        <w:start w:val="1"/>
        <w:numFmt w:val="lowerRoman"/>
        <w:lvlText w:val="%9."/>
        <w:lvlJc w:val="left"/>
        <w:pPr>
          <w:ind w:left="3960" w:hanging="360"/>
        </w:pPr>
        <w:rPr>
          <w:rFonts w:hint="default"/>
        </w:rPr>
      </w:lvl>
    </w:lvlOverride>
  </w:num>
  <w:num w:numId="19" w16cid:durableId="2116897234">
    <w:abstractNumId w:val="1"/>
    <w:lvlOverride w:ilvl="0">
      <w:lvl w:ilvl="0">
        <w:start w:val="1"/>
        <w:numFmt w:val="decimal"/>
        <w:pStyle w:val="Heading1Numbered"/>
        <w:lvlText w:val="%1."/>
        <w:lvlJc w:val="left"/>
        <w:pPr>
          <w:ind w:left="567" w:hanging="567"/>
        </w:pPr>
        <w:rPr>
          <w:rFonts w:asciiTheme="minorHAnsi" w:eastAsiaTheme="majorEastAsia" w:hAnsiTheme="minorHAnsi" w:cstheme="minorHAnsi"/>
        </w:rPr>
      </w:lvl>
    </w:lvlOverride>
    <w:lvlOverride w:ilvl="1">
      <w:lvl w:ilvl="1">
        <w:start w:val="1"/>
        <w:numFmt w:val="decimal"/>
        <w:pStyle w:val="ListParagraph1"/>
        <w:lvlText w:val="%1.%2"/>
        <w:lvlJc w:val="left"/>
        <w:pPr>
          <w:ind w:left="850" w:hanging="567"/>
        </w:pPr>
      </w:lvl>
    </w:lvlOverride>
    <w:lvlOverride w:ilvl="2">
      <w:lvl w:ilvl="2">
        <w:start w:val="1"/>
        <w:numFmt w:val="decimal"/>
        <w:pStyle w:val="Heading3Numbered"/>
        <w:lvlText w:val="%1.%2.%3"/>
        <w:lvlJc w:val="left"/>
        <w:pPr>
          <w:ind w:left="851" w:hanging="851"/>
        </w:p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 w:numId="20" w16cid:durableId="77364583">
    <w:abstractNumId w:val="6"/>
  </w:num>
  <w:num w:numId="21" w16cid:durableId="1511216168">
    <w:abstractNumId w:val="18"/>
  </w:num>
  <w:num w:numId="22" w16cid:durableId="756562553">
    <w:abstractNumId w:val="12"/>
  </w:num>
  <w:num w:numId="23" w16cid:durableId="2007635874">
    <w:abstractNumId w:val="3"/>
  </w:num>
  <w:num w:numId="24" w16cid:durableId="666399025">
    <w:abstractNumId w:val="13"/>
  </w:num>
  <w:num w:numId="25" w16cid:durableId="756096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6"/>
    <w:rsid w:val="00097478"/>
    <w:rsid w:val="000A6746"/>
    <w:rsid w:val="000C06F7"/>
    <w:rsid w:val="000F70D8"/>
    <w:rsid w:val="001102B2"/>
    <w:rsid w:val="001139D0"/>
    <w:rsid w:val="00133347"/>
    <w:rsid w:val="00145D47"/>
    <w:rsid w:val="001F1D6A"/>
    <w:rsid w:val="002121E0"/>
    <w:rsid w:val="002235C4"/>
    <w:rsid w:val="002260CD"/>
    <w:rsid w:val="0023439B"/>
    <w:rsid w:val="00324C2C"/>
    <w:rsid w:val="003275AE"/>
    <w:rsid w:val="003303F7"/>
    <w:rsid w:val="0033569C"/>
    <w:rsid w:val="003366AB"/>
    <w:rsid w:val="00383B12"/>
    <w:rsid w:val="003C3C3E"/>
    <w:rsid w:val="003C6BB8"/>
    <w:rsid w:val="003D4776"/>
    <w:rsid w:val="003D4A04"/>
    <w:rsid w:val="003F60F0"/>
    <w:rsid w:val="00434980"/>
    <w:rsid w:val="00471958"/>
    <w:rsid w:val="0047378D"/>
    <w:rsid w:val="00495004"/>
    <w:rsid w:val="00497399"/>
    <w:rsid w:val="004F44BB"/>
    <w:rsid w:val="0050387F"/>
    <w:rsid w:val="005E7FA8"/>
    <w:rsid w:val="006000B0"/>
    <w:rsid w:val="00632DB0"/>
    <w:rsid w:val="006649E1"/>
    <w:rsid w:val="00681521"/>
    <w:rsid w:val="006829E4"/>
    <w:rsid w:val="006A78A1"/>
    <w:rsid w:val="006B3B05"/>
    <w:rsid w:val="006C4E10"/>
    <w:rsid w:val="006F1B3E"/>
    <w:rsid w:val="00742BF3"/>
    <w:rsid w:val="007703FA"/>
    <w:rsid w:val="007C3D80"/>
    <w:rsid w:val="00825F6A"/>
    <w:rsid w:val="00840A3F"/>
    <w:rsid w:val="008954ED"/>
    <w:rsid w:val="008C79C4"/>
    <w:rsid w:val="0095340B"/>
    <w:rsid w:val="00974A3F"/>
    <w:rsid w:val="00980504"/>
    <w:rsid w:val="0099640D"/>
    <w:rsid w:val="009A11C8"/>
    <w:rsid w:val="00A56DBA"/>
    <w:rsid w:val="00A76760"/>
    <w:rsid w:val="00AC0303"/>
    <w:rsid w:val="00AF0593"/>
    <w:rsid w:val="00C47BE6"/>
    <w:rsid w:val="00C623AD"/>
    <w:rsid w:val="00C62FA6"/>
    <w:rsid w:val="00CA0F5B"/>
    <w:rsid w:val="00CE7DC8"/>
    <w:rsid w:val="00D47D01"/>
    <w:rsid w:val="00D745CF"/>
    <w:rsid w:val="00DB4E15"/>
    <w:rsid w:val="00DE64CB"/>
    <w:rsid w:val="00DF7EB5"/>
    <w:rsid w:val="00E35E63"/>
    <w:rsid w:val="00E36E36"/>
    <w:rsid w:val="00E646DB"/>
    <w:rsid w:val="00E7418A"/>
    <w:rsid w:val="00ED2B59"/>
    <w:rsid w:val="00F35EFA"/>
    <w:rsid w:val="00F65D38"/>
    <w:rsid w:val="00F77199"/>
    <w:rsid w:val="00F8301A"/>
    <w:rsid w:val="00FD5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F0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BE6"/>
    <w:pPr>
      <w:spacing w:before="120" w:after="120" w:line="240" w:lineRule="auto"/>
      <w:ind w:firstLine="720"/>
      <w:jc w:val="both"/>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47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7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7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7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7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7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7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BE6"/>
    <w:rPr>
      <w:rFonts w:eastAsiaTheme="majorEastAsia" w:cstheme="majorBidi"/>
      <w:color w:val="272727" w:themeColor="text1" w:themeTint="D8"/>
    </w:rPr>
  </w:style>
  <w:style w:type="paragraph" w:styleId="Title">
    <w:name w:val="Title"/>
    <w:basedOn w:val="Normal"/>
    <w:next w:val="Normal"/>
    <w:link w:val="TitleChar"/>
    <w:uiPriority w:val="10"/>
    <w:qFormat/>
    <w:rsid w:val="00C47B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BE6"/>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BE6"/>
    <w:pPr>
      <w:spacing w:before="160"/>
      <w:jc w:val="center"/>
    </w:pPr>
    <w:rPr>
      <w:i/>
      <w:iCs/>
      <w:color w:val="404040" w:themeColor="text1" w:themeTint="BF"/>
    </w:rPr>
  </w:style>
  <w:style w:type="character" w:customStyle="1" w:styleId="QuoteChar">
    <w:name w:val="Quote Char"/>
    <w:basedOn w:val="DefaultParagraphFont"/>
    <w:link w:val="Quote"/>
    <w:uiPriority w:val="29"/>
    <w:rsid w:val="00C47BE6"/>
    <w:rPr>
      <w:i/>
      <w:iCs/>
      <w:color w:val="404040" w:themeColor="text1" w:themeTint="BF"/>
    </w:rPr>
  </w:style>
  <w:style w:type="paragraph" w:styleId="ListParagraph">
    <w:name w:val="List Paragraph"/>
    <w:basedOn w:val="Normal"/>
    <w:link w:val="ListParagraphChar"/>
    <w:uiPriority w:val="34"/>
    <w:qFormat/>
    <w:rsid w:val="00C47BE6"/>
    <w:pPr>
      <w:ind w:left="720"/>
      <w:contextualSpacing/>
    </w:pPr>
  </w:style>
  <w:style w:type="character" w:styleId="IntenseEmphasis">
    <w:name w:val="Intense Emphasis"/>
    <w:basedOn w:val="DefaultParagraphFont"/>
    <w:uiPriority w:val="21"/>
    <w:qFormat/>
    <w:rsid w:val="00C47BE6"/>
    <w:rPr>
      <w:i/>
      <w:iCs/>
      <w:color w:val="0F4761" w:themeColor="accent1" w:themeShade="BF"/>
    </w:rPr>
  </w:style>
  <w:style w:type="paragraph" w:styleId="IntenseQuote">
    <w:name w:val="Intense Quote"/>
    <w:basedOn w:val="Normal"/>
    <w:next w:val="Normal"/>
    <w:link w:val="IntenseQuoteChar"/>
    <w:uiPriority w:val="30"/>
    <w:qFormat/>
    <w:rsid w:val="00C47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BE6"/>
    <w:rPr>
      <w:i/>
      <w:iCs/>
      <w:color w:val="0F4761" w:themeColor="accent1" w:themeShade="BF"/>
    </w:rPr>
  </w:style>
  <w:style w:type="character" w:styleId="IntenseReference">
    <w:name w:val="Intense Reference"/>
    <w:basedOn w:val="DefaultParagraphFont"/>
    <w:uiPriority w:val="32"/>
    <w:qFormat/>
    <w:rsid w:val="00C47BE6"/>
    <w:rPr>
      <w:b/>
      <w:bCs/>
      <w:smallCaps/>
      <w:color w:val="0F4761" w:themeColor="accent1" w:themeShade="BF"/>
      <w:spacing w:val="5"/>
    </w:rPr>
  </w:style>
  <w:style w:type="paragraph" w:customStyle="1" w:styleId="H1-Heading1">
    <w:name w:val="H1 - Heading 1"/>
    <w:basedOn w:val="Heading1"/>
    <w:link w:val="H1-Heading1Char"/>
    <w:qFormat/>
    <w:rsid w:val="00C47BE6"/>
    <w:pPr>
      <w:spacing w:before="0" w:after="0"/>
      <w:jc w:val="center"/>
    </w:pPr>
    <w:rPr>
      <w:b/>
      <w:bCs/>
      <w:caps/>
      <w:color w:val="313E48"/>
    </w:rPr>
  </w:style>
  <w:style w:type="paragraph" w:customStyle="1" w:styleId="BodyCopy">
    <w:name w:val="Body Copy"/>
    <w:qFormat/>
    <w:rsid w:val="00C47BE6"/>
    <w:pPr>
      <w:spacing w:before="40" w:after="120" w:line="240" w:lineRule="auto"/>
      <w:ind w:firstLine="720"/>
      <w:jc w:val="both"/>
    </w:pPr>
    <w:rPr>
      <w:rFonts w:ascii="Calibri Light" w:eastAsia="Calibri" w:hAnsi="Calibri Light" w:cs="Calibri Light"/>
      <w:color w:val="313E48"/>
      <w:kern w:val="0"/>
      <w:sz w:val="22"/>
      <w:szCs w:val="21"/>
      <w14:ligatures w14:val="none"/>
    </w:rPr>
  </w:style>
  <w:style w:type="paragraph" w:customStyle="1" w:styleId="H2-Heading2">
    <w:name w:val="H2 - Heading 2"/>
    <w:basedOn w:val="Heading2"/>
    <w:qFormat/>
    <w:rsid w:val="00C47BE6"/>
    <w:pPr>
      <w:spacing w:before="240" w:after="120"/>
    </w:pPr>
    <w:rPr>
      <w:rFonts w:asciiTheme="minorHAnsi" w:hAnsiTheme="minorHAnsi" w:cstheme="minorHAnsi"/>
      <w:b/>
      <w:bCs/>
      <w:caps/>
      <w:color w:val="313E48"/>
    </w:rPr>
  </w:style>
  <w:style w:type="paragraph" w:customStyle="1" w:styleId="H4-Heading4">
    <w:name w:val="H4 - Heading 4"/>
    <w:basedOn w:val="Heading4"/>
    <w:next w:val="BodyCopy"/>
    <w:qFormat/>
    <w:rsid w:val="00C47BE6"/>
    <w:pPr>
      <w:spacing w:before="160" w:after="120"/>
    </w:pPr>
    <w:rPr>
      <w:rFonts w:asciiTheme="majorHAnsi" w:hAnsiTheme="majorHAnsi" w:cstheme="minorHAnsi"/>
      <w:b/>
      <w:bCs/>
      <w:i w:val="0"/>
      <w:color w:val="313E48"/>
    </w:rPr>
  </w:style>
  <w:style w:type="paragraph" w:customStyle="1" w:styleId="H3-Heading3">
    <w:name w:val="H3 - Heading 3"/>
    <w:basedOn w:val="Heading3"/>
    <w:qFormat/>
    <w:rsid w:val="00C47BE6"/>
    <w:pPr>
      <w:spacing w:before="240" w:after="120"/>
    </w:pPr>
    <w:rPr>
      <w:rFonts w:cstheme="minorHAnsi"/>
      <w:b/>
      <w:bCs/>
      <w:color w:val="313E48"/>
    </w:rPr>
  </w:style>
  <w:style w:type="paragraph" w:customStyle="1" w:styleId="BodycopyNumberedBullets">
    <w:name w:val="Body copy Numbered Bullets"/>
    <w:basedOn w:val="BodyCopy"/>
    <w:qFormat/>
    <w:rsid w:val="00C47BE6"/>
    <w:pPr>
      <w:numPr>
        <w:numId w:val="1"/>
      </w:numPr>
      <w:ind w:left="641" w:hanging="357"/>
    </w:pPr>
  </w:style>
  <w:style w:type="paragraph" w:customStyle="1" w:styleId="BodyCopyPrebulletsandnumberedbullets">
    <w:name w:val="Body Copy Pre bullets and numbered bullets"/>
    <w:basedOn w:val="BodyCopy"/>
    <w:qFormat/>
    <w:rsid w:val="00C47BE6"/>
    <w:pPr>
      <w:spacing w:before="240"/>
    </w:pPr>
  </w:style>
  <w:style w:type="paragraph" w:customStyle="1" w:styleId="BodyCopyBullets">
    <w:name w:val="Body Copy Bullets"/>
    <w:basedOn w:val="BodyCopy"/>
    <w:qFormat/>
    <w:rsid w:val="00C47BE6"/>
    <w:pPr>
      <w:numPr>
        <w:numId w:val="2"/>
      </w:numPr>
      <w:ind w:left="624" w:hanging="340"/>
    </w:pPr>
  </w:style>
  <w:style w:type="table" w:styleId="TableGrid">
    <w:name w:val="Table Grid"/>
    <w:basedOn w:val="TableNormal"/>
    <w:uiPriority w:val="59"/>
    <w:rsid w:val="00C47BE6"/>
    <w:pPr>
      <w:spacing w:before="120" w:after="120" w:line="240" w:lineRule="auto"/>
      <w:ind w:firstLine="720"/>
      <w:jc w:val="both"/>
    </w:pPr>
    <w:rPr>
      <w:rFonts w:ascii="Calibri" w:eastAsia="Calibri" w:hAnsi="Calibri"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qFormat/>
    <w:rsid w:val="00C47BE6"/>
    <w:pPr>
      <w:spacing w:after="40"/>
    </w:pPr>
    <w:rPr>
      <w:rFonts w:asciiTheme="minorHAnsi" w:hAnsiTheme="minorHAnsi" w:cstheme="minorHAnsi"/>
      <w:b/>
      <w:bCs/>
    </w:rPr>
  </w:style>
  <w:style w:type="paragraph" w:customStyle="1" w:styleId="TableBodyCopy">
    <w:name w:val="Table Body Copy"/>
    <w:basedOn w:val="BodyCopy"/>
    <w:qFormat/>
    <w:rsid w:val="00C47BE6"/>
    <w:pPr>
      <w:spacing w:after="40"/>
    </w:pPr>
  </w:style>
  <w:style w:type="paragraph" w:customStyle="1" w:styleId="PostBulletsBodyCopy">
    <w:name w:val="Post Bullets Body Copy"/>
    <w:basedOn w:val="BodyCopy"/>
    <w:qFormat/>
    <w:rsid w:val="00C47BE6"/>
    <w:pPr>
      <w:spacing w:before="240" w:after="160"/>
    </w:pPr>
  </w:style>
  <w:style w:type="paragraph" w:styleId="Header">
    <w:name w:val="header"/>
    <w:basedOn w:val="Normal"/>
    <w:link w:val="HeaderChar"/>
    <w:uiPriority w:val="99"/>
    <w:unhideWhenUsed/>
    <w:rsid w:val="00C47BE6"/>
    <w:pPr>
      <w:tabs>
        <w:tab w:val="center" w:pos="4513"/>
        <w:tab w:val="right" w:pos="9026"/>
      </w:tabs>
      <w:spacing w:after="0"/>
    </w:pPr>
  </w:style>
  <w:style w:type="character" w:customStyle="1" w:styleId="HeaderChar">
    <w:name w:val="Header Char"/>
    <w:basedOn w:val="DefaultParagraphFont"/>
    <w:link w:val="Header"/>
    <w:uiPriority w:val="99"/>
    <w:rsid w:val="00C47BE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47BE6"/>
    <w:pPr>
      <w:tabs>
        <w:tab w:val="center" w:pos="4513"/>
        <w:tab w:val="right" w:pos="9026"/>
      </w:tabs>
      <w:spacing w:after="0"/>
    </w:pPr>
  </w:style>
  <w:style w:type="character" w:customStyle="1" w:styleId="FooterChar">
    <w:name w:val="Footer Char"/>
    <w:basedOn w:val="DefaultParagraphFont"/>
    <w:link w:val="Footer"/>
    <w:uiPriority w:val="99"/>
    <w:rsid w:val="00C47BE6"/>
    <w:rPr>
      <w:rFonts w:ascii="Calibri" w:eastAsia="Calibri" w:hAnsi="Calibri" w:cs="Times New Roman"/>
      <w:kern w:val="0"/>
      <w:sz w:val="22"/>
      <w:szCs w:val="22"/>
      <w14:ligatures w14:val="none"/>
    </w:rPr>
  </w:style>
  <w:style w:type="character" w:customStyle="1" w:styleId="Green">
    <w:name w:val="Green"/>
    <w:basedOn w:val="DefaultParagraphFont"/>
    <w:uiPriority w:val="1"/>
    <w:qFormat/>
    <w:rsid w:val="00C47BE6"/>
    <w:rPr>
      <w:color w:val="E97132" w:themeColor="accent2"/>
    </w:rPr>
  </w:style>
  <w:style w:type="paragraph" w:customStyle="1" w:styleId="TitleCover">
    <w:name w:val="Title Cover"/>
    <w:basedOn w:val="H1-Heading1"/>
    <w:link w:val="TitleCoverChar"/>
    <w:qFormat/>
    <w:rsid w:val="00C47BE6"/>
    <w:pPr>
      <w:spacing w:before="4440"/>
      <w:jc w:val="left"/>
    </w:pPr>
    <w:rPr>
      <w:rFonts w:cstheme="minorHAnsi"/>
      <w:color w:val="FFFFFF" w:themeColor="background1"/>
      <w:sz w:val="48"/>
    </w:rPr>
  </w:style>
  <w:style w:type="paragraph" w:customStyle="1" w:styleId="SECCLASSIFICATION">
    <w:name w:val="SEC CLASSIFICATION"/>
    <w:basedOn w:val="Header"/>
    <w:qFormat/>
    <w:rsid w:val="00C47BE6"/>
    <w:pPr>
      <w:jc w:val="center"/>
    </w:pPr>
    <w:rPr>
      <w:b/>
      <w:caps/>
      <w:noProof/>
      <w:color w:val="FF0000"/>
    </w:rPr>
  </w:style>
  <w:style w:type="character" w:customStyle="1" w:styleId="H1-Heading1Char">
    <w:name w:val="H1 - Heading 1 Char"/>
    <w:basedOn w:val="DefaultParagraphFont"/>
    <w:link w:val="H1-Heading1"/>
    <w:rsid w:val="00C47BE6"/>
    <w:rPr>
      <w:rFonts w:asciiTheme="majorHAnsi" w:eastAsiaTheme="majorEastAsia" w:hAnsiTheme="majorHAnsi" w:cstheme="majorBidi"/>
      <w:b/>
      <w:bCs/>
      <w:caps/>
      <w:color w:val="313E48"/>
      <w:kern w:val="0"/>
      <w:sz w:val="40"/>
      <w:szCs w:val="40"/>
      <w14:ligatures w14:val="none"/>
    </w:rPr>
  </w:style>
  <w:style w:type="character" w:customStyle="1" w:styleId="TitleCoverChar">
    <w:name w:val="Title Cover Char"/>
    <w:basedOn w:val="H1-Heading1Char"/>
    <w:link w:val="TitleCover"/>
    <w:rsid w:val="00C47BE6"/>
    <w:rPr>
      <w:rFonts w:asciiTheme="majorHAnsi" w:eastAsiaTheme="majorEastAsia" w:hAnsiTheme="majorHAnsi" w:cstheme="minorHAnsi"/>
      <w:b/>
      <w:bCs/>
      <w:caps/>
      <w:color w:val="FFFFFF" w:themeColor="background1"/>
      <w:kern w:val="0"/>
      <w:sz w:val="48"/>
      <w:szCs w:val="40"/>
      <w14:ligatures w14:val="none"/>
    </w:rPr>
  </w:style>
  <w:style w:type="paragraph" w:customStyle="1" w:styleId="Subtitlecover">
    <w:name w:val="Subtitle cover"/>
    <w:basedOn w:val="TitleCover"/>
    <w:link w:val="SubtitlecoverChar"/>
    <w:qFormat/>
    <w:rsid w:val="00C47BE6"/>
    <w:pPr>
      <w:spacing w:before="360"/>
    </w:pPr>
    <w:rPr>
      <w:sz w:val="36"/>
    </w:rPr>
  </w:style>
  <w:style w:type="character" w:customStyle="1" w:styleId="SubtitlecoverChar">
    <w:name w:val="Subtitle cover Char"/>
    <w:basedOn w:val="TitleCoverChar"/>
    <w:link w:val="Subtitlecover"/>
    <w:rsid w:val="00C47BE6"/>
    <w:rPr>
      <w:rFonts w:asciiTheme="majorHAnsi" w:eastAsiaTheme="majorEastAsia" w:hAnsiTheme="majorHAnsi" w:cstheme="minorHAnsi"/>
      <w:b/>
      <w:bCs/>
      <w:caps/>
      <w:color w:val="FFFFFF" w:themeColor="background1"/>
      <w:kern w:val="0"/>
      <w:sz w:val="36"/>
      <w:szCs w:val="40"/>
      <w14:ligatures w14:val="none"/>
    </w:rPr>
  </w:style>
  <w:style w:type="character" w:styleId="Strong">
    <w:name w:val="Strong"/>
    <w:aliases w:val="Introduction"/>
    <w:basedOn w:val="DefaultParagraphFont"/>
    <w:uiPriority w:val="22"/>
    <w:qFormat/>
    <w:rsid w:val="00C47BE6"/>
    <w:rPr>
      <w:rFonts w:asciiTheme="minorHAnsi" w:hAnsiTheme="minorHAnsi"/>
      <w:b/>
      <w:bCs/>
    </w:rPr>
  </w:style>
  <w:style w:type="paragraph" w:styleId="TOC2">
    <w:name w:val="toc 2"/>
    <w:basedOn w:val="Normal"/>
    <w:next w:val="Normal"/>
    <w:autoRedefine/>
    <w:uiPriority w:val="39"/>
    <w:unhideWhenUsed/>
    <w:rsid w:val="00C47BE6"/>
    <w:pPr>
      <w:tabs>
        <w:tab w:val="right" w:leader="dot" w:pos="10194"/>
      </w:tabs>
      <w:spacing w:after="100"/>
      <w:ind w:firstLine="0"/>
    </w:pPr>
    <w:rPr>
      <w:rFonts w:cstheme="minorHAnsi"/>
      <w:noProof/>
    </w:rPr>
  </w:style>
  <w:style w:type="paragraph" w:styleId="TOC1">
    <w:name w:val="toc 1"/>
    <w:basedOn w:val="Normal"/>
    <w:next w:val="Normal"/>
    <w:autoRedefine/>
    <w:uiPriority w:val="39"/>
    <w:unhideWhenUsed/>
    <w:rsid w:val="00C47BE6"/>
    <w:pPr>
      <w:spacing w:after="100"/>
    </w:pPr>
  </w:style>
  <w:style w:type="paragraph" w:styleId="TOC3">
    <w:name w:val="toc 3"/>
    <w:basedOn w:val="Normal"/>
    <w:next w:val="Normal"/>
    <w:autoRedefine/>
    <w:uiPriority w:val="39"/>
    <w:unhideWhenUsed/>
    <w:rsid w:val="00C47BE6"/>
    <w:pPr>
      <w:spacing w:after="100"/>
      <w:ind w:left="440"/>
    </w:pPr>
  </w:style>
  <w:style w:type="character" w:styleId="Hyperlink">
    <w:name w:val="Hyperlink"/>
    <w:basedOn w:val="DefaultParagraphFont"/>
    <w:uiPriority w:val="99"/>
    <w:unhideWhenUsed/>
    <w:rsid w:val="00C47BE6"/>
    <w:rPr>
      <w:color w:val="467886" w:themeColor="hyperlink"/>
      <w:u w:val="single"/>
    </w:rPr>
  </w:style>
  <w:style w:type="paragraph" w:styleId="TOCHeading">
    <w:name w:val="TOC Heading"/>
    <w:basedOn w:val="H2-Heading2"/>
    <w:next w:val="Normal"/>
    <w:uiPriority w:val="39"/>
    <w:unhideWhenUsed/>
    <w:qFormat/>
    <w:rsid w:val="00C47BE6"/>
  </w:style>
  <w:style w:type="character" w:customStyle="1" w:styleId="ListParagraphChar">
    <w:name w:val="List Paragraph Char"/>
    <w:link w:val="ListParagraph"/>
    <w:uiPriority w:val="34"/>
    <w:rsid w:val="00C47BE6"/>
  </w:style>
  <w:style w:type="paragraph" w:customStyle="1" w:styleId="Heading1Numbered">
    <w:name w:val="Heading 1 Numbered"/>
    <w:basedOn w:val="Heading1"/>
    <w:next w:val="Normal"/>
    <w:qFormat/>
    <w:rsid w:val="00C47BE6"/>
    <w:pPr>
      <w:numPr>
        <w:numId w:val="5"/>
      </w:numPr>
      <w:suppressAutoHyphens/>
      <w:spacing w:before="0" w:after="2040" w:line="380" w:lineRule="exact"/>
      <w:contextualSpacing/>
    </w:pPr>
    <w:rPr>
      <w:b/>
      <w:bCs/>
      <w:caps/>
      <w:color w:val="0E2841" w:themeColor="text2"/>
      <w:sz w:val="38"/>
      <w:szCs w:val="28"/>
      <w:lang w:val="en-GB"/>
    </w:rPr>
  </w:style>
  <w:style w:type="paragraph" w:customStyle="1" w:styleId="ListParagraph1">
    <w:name w:val="List Paragraph1"/>
    <w:basedOn w:val="BodyText"/>
    <w:next w:val="Normal"/>
    <w:autoRedefine/>
    <w:qFormat/>
    <w:rsid w:val="00C47BE6"/>
    <w:pPr>
      <w:numPr>
        <w:ilvl w:val="1"/>
        <w:numId w:val="6"/>
      </w:numPr>
      <w:suppressAutoHyphens/>
      <w:ind w:left="0" w:firstLine="0"/>
    </w:pPr>
    <w:rPr>
      <w:rFonts w:ascii="Calibri Light" w:eastAsiaTheme="minorHAnsi" w:hAnsi="Calibri Light" w:cs="Calibri Light"/>
      <w:bCs/>
      <w:color w:val="252525"/>
      <w:shd w:val="clear" w:color="auto" w:fill="FFFFFF"/>
      <w:lang w:val="en-GB"/>
    </w:rPr>
  </w:style>
  <w:style w:type="paragraph" w:customStyle="1" w:styleId="Heading3Numbered">
    <w:name w:val="Heading 3 Numbered"/>
    <w:basedOn w:val="Heading3"/>
    <w:next w:val="Normal"/>
    <w:qFormat/>
    <w:rsid w:val="00C47BE6"/>
    <w:pPr>
      <w:numPr>
        <w:ilvl w:val="2"/>
        <w:numId w:val="5"/>
      </w:numPr>
      <w:suppressAutoHyphens/>
      <w:spacing w:before="300" w:after="60" w:line="360" w:lineRule="atLeast"/>
      <w:contextualSpacing/>
    </w:pPr>
    <w:rPr>
      <w:rFonts w:asciiTheme="majorHAnsi" w:hAnsiTheme="majorHAnsi"/>
      <w:bCs/>
      <w:color w:val="0E2841" w:themeColor="text2"/>
      <w:sz w:val="30"/>
      <w:szCs w:val="22"/>
      <w:lang w:val="en-GB"/>
    </w:rPr>
  </w:style>
  <w:style w:type="numbering" w:customStyle="1" w:styleId="HeadingsList">
    <w:name w:val="Headings List"/>
    <w:uiPriority w:val="99"/>
    <w:rsid w:val="00C47BE6"/>
    <w:pPr>
      <w:numPr>
        <w:numId w:val="5"/>
      </w:numPr>
    </w:pPr>
  </w:style>
  <w:style w:type="paragraph" w:styleId="BodyText">
    <w:name w:val="Body Text"/>
    <w:basedOn w:val="Normal"/>
    <w:link w:val="BodyTextChar"/>
    <w:uiPriority w:val="99"/>
    <w:semiHidden/>
    <w:unhideWhenUsed/>
    <w:rsid w:val="00C47BE6"/>
  </w:style>
  <w:style w:type="character" w:customStyle="1" w:styleId="BodyTextChar">
    <w:name w:val="Body Text Char"/>
    <w:basedOn w:val="DefaultParagraphFont"/>
    <w:link w:val="BodyText"/>
    <w:uiPriority w:val="99"/>
    <w:semiHidden/>
    <w:rsid w:val="00C47BE6"/>
    <w:rPr>
      <w:rFonts w:ascii="Calibri" w:eastAsia="Calibri" w:hAnsi="Calibri" w:cs="Times New Roman"/>
      <w:kern w:val="0"/>
      <w:sz w:val="22"/>
      <w:szCs w:val="22"/>
      <w14:ligatures w14:val="none"/>
    </w:rPr>
  </w:style>
  <w:style w:type="character" w:styleId="FootnoteReference">
    <w:name w:val="footnote reference"/>
    <w:aliases w:val="4_G,Footnote number,Footnotes refss,Footnote Ref,16 Point,Superscript 6 Point,ftref,Footnote Refernece,Appel note de bas de p.,[0],Texto de nota al pie,referencia nota al pie,BVI fnr,Footnote text,callout,Ref,de nota al pie,Footnote,F"/>
    <w:basedOn w:val="DefaultParagraphFont"/>
    <w:link w:val="CharChar1CharCharCharChar1CharCharCharCharCharCharCharCharCharCharCharCharCharCharCharChar"/>
    <w:uiPriority w:val="99"/>
    <w:unhideWhenUsed/>
    <w:qFormat/>
    <w:rsid w:val="00C47BE6"/>
    <w:rPr>
      <w:vertAlign w:val="superscript"/>
    </w:rPr>
  </w:style>
  <w:style w:type="paragraph" w:styleId="TOC4">
    <w:name w:val="toc 4"/>
    <w:basedOn w:val="Normal"/>
    <w:next w:val="Normal"/>
    <w:autoRedefine/>
    <w:uiPriority w:val="39"/>
    <w:unhideWhenUsed/>
    <w:rsid w:val="00C47BE6"/>
    <w:pPr>
      <w:spacing w:before="0" w:after="100" w:line="278" w:lineRule="auto"/>
      <w:ind w:left="720" w:firstLine="0"/>
      <w:jc w:val="left"/>
    </w:pPr>
    <w:rPr>
      <w:rFonts w:asciiTheme="minorHAnsi" w:eastAsiaTheme="minorEastAsia" w:hAnsiTheme="minorHAnsi" w:cstheme="minorBidi"/>
      <w:kern w:val="2"/>
      <w:sz w:val="24"/>
      <w:szCs w:val="24"/>
      <w:lang w:eastAsia="en-AU"/>
      <w14:ligatures w14:val="standardContextual"/>
    </w:rPr>
  </w:style>
  <w:style w:type="paragraph" w:styleId="TOC5">
    <w:name w:val="toc 5"/>
    <w:basedOn w:val="Normal"/>
    <w:next w:val="Normal"/>
    <w:autoRedefine/>
    <w:uiPriority w:val="39"/>
    <w:unhideWhenUsed/>
    <w:rsid w:val="00C47BE6"/>
    <w:pPr>
      <w:spacing w:before="0" w:after="100" w:line="278" w:lineRule="auto"/>
      <w:ind w:left="960" w:firstLine="0"/>
      <w:jc w:val="left"/>
    </w:pPr>
    <w:rPr>
      <w:rFonts w:asciiTheme="minorHAnsi" w:eastAsiaTheme="minorEastAsia" w:hAnsiTheme="minorHAnsi" w:cstheme="minorBidi"/>
      <w:kern w:val="2"/>
      <w:sz w:val="24"/>
      <w:szCs w:val="24"/>
      <w:lang w:eastAsia="en-AU"/>
      <w14:ligatures w14:val="standardContextual"/>
    </w:rPr>
  </w:style>
  <w:style w:type="paragraph" w:styleId="TOC6">
    <w:name w:val="toc 6"/>
    <w:basedOn w:val="Normal"/>
    <w:next w:val="Normal"/>
    <w:autoRedefine/>
    <w:uiPriority w:val="39"/>
    <w:unhideWhenUsed/>
    <w:rsid w:val="00C47BE6"/>
    <w:pPr>
      <w:spacing w:before="0" w:after="100" w:line="278" w:lineRule="auto"/>
      <w:ind w:left="1200" w:firstLine="0"/>
      <w:jc w:val="left"/>
    </w:pPr>
    <w:rPr>
      <w:rFonts w:asciiTheme="minorHAnsi" w:eastAsiaTheme="minorEastAsia" w:hAnsiTheme="minorHAnsi" w:cstheme="minorBidi"/>
      <w:kern w:val="2"/>
      <w:sz w:val="24"/>
      <w:szCs w:val="24"/>
      <w:lang w:eastAsia="en-AU"/>
      <w14:ligatures w14:val="standardContextual"/>
    </w:rPr>
  </w:style>
  <w:style w:type="paragraph" w:styleId="TOC7">
    <w:name w:val="toc 7"/>
    <w:basedOn w:val="Normal"/>
    <w:next w:val="Normal"/>
    <w:autoRedefine/>
    <w:uiPriority w:val="39"/>
    <w:unhideWhenUsed/>
    <w:rsid w:val="00C47BE6"/>
    <w:pPr>
      <w:spacing w:before="0" w:after="100" w:line="278" w:lineRule="auto"/>
      <w:ind w:left="1440" w:firstLine="0"/>
      <w:jc w:val="left"/>
    </w:pPr>
    <w:rPr>
      <w:rFonts w:asciiTheme="minorHAnsi" w:eastAsiaTheme="minorEastAsia" w:hAnsiTheme="minorHAnsi" w:cstheme="minorBidi"/>
      <w:kern w:val="2"/>
      <w:sz w:val="24"/>
      <w:szCs w:val="24"/>
      <w:lang w:eastAsia="en-AU"/>
      <w14:ligatures w14:val="standardContextual"/>
    </w:rPr>
  </w:style>
  <w:style w:type="paragraph" w:styleId="TOC8">
    <w:name w:val="toc 8"/>
    <w:basedOn w:val="Normal"/>
    <w:next w:val="Normal"/>
    <w:autoRedefine/>
    <w:uiPriority w:val="39"/>
    <w:unhideWhenUsed/>
    <w:rsid w:val="00C47BE6"/>
    <w:pPr>
      <w:spacing w:before="0" w:after="100" w:line="278" w:lineRule="auto"/>
      <w:ind w:left="1680" w:firstLine="0"/>
      <w:jc w:val="left"/>
    </w:pPr>
    <w:rPr>
      <w:rFonts w:asciiTheme="minorHAnsi" w:eastAsiaTheme="minorEastAsia" w:hAnsiTheme="minorHAnsi" w:cstheme="minorBidi"/>
      <w:kern w:val="2"/>
      <w:sz w:val="24"/>
      <w:szCs w:val="24"/>
      <w:lang w:eastAsia="en-AU"/>
      <w14:ligatures w14:val="standardContextual"/>
    </w:rPr>
  </w:style>
  <w:style w:type="paragraph" w:styleId="TOC9">
    <w:name w:val="toc 9"/>
    <w:basedOn w:val="Normal"/>
    <w:next w:val="Normal"/>
    <w:autoRedefine/>
    <w:uiPriority w:val="39"/>
    <w:unhideWhenUsed/>
    <w:rsid w:val="00C47BE6"/>
    <w:pPr>
      <w:spacing w:before="0" w:after="100" w:line="278" w:lineRule="auto"/>
      <w:ind w:left="1920" w:firstLine="0"/>
      <w:jc w:val="left"/>
    </w:pPr>
    <w:rPr>
      <w:rFonts w:asciiTheme="minorHAnsi" w:eastAsiaTheme="minorEastAsia" w:hAnsiTheme="minorHAnsi" w:cstheme="minorBidi"/>
      <w:kern w:val="2"/>
      <w:sz w:val="24"/>
      <w:szCs w:val="24"/>
      <w:lang w:eastAsia="en-AU"/>
      <w14:ligatures w14:val="standardContextual"/>
    </w:rPr>
  </w:style>
  <w:style w:type="character" w:styleId="UnresolvedMention">
    <w:name w:val="Unresolved Mention"/>
    <w:basedOn w:val="DefaultParagraphFont"/>
    <w:uiPriority w:val="99"/>
    <w:semiHidden/>
    <w:unhideWhenUsed/>
    <w:rsid w:val="00C47BE6"/>
    <w:rPr>
      <w:color w:val="605E5C"/>
      <w:shd w:val="clear" w:color="auto" w:fill="E1DFDD"/>
    </w:rPr>
  </w:style>
  <w:style w:type="character" w:styleId="FollowedHyperlink">
    <w:name w:val="FollowedHyperlink"/>
    <w:basedOn w:val="DefaultParagraphFont"/>
    <w:uiPriority w:val="99"/>
    <w:semiHidden/>
    <w:unhideWhenUsed/>
    <w:rsid w:val="00C47BE6"/>
    <w:rPr>
      <w:color w:val="96607D" w:themeColor="followedHyperlink"/>
      <w:u w:val="single"/>
    </w:rPr>
  </w:style>
  <w:style w:type="character" w:styleId="CommentReference">
    <w:name w:val="annotation reference"/>
    <w:basedOn w:val="DefaultParagraphFont"/>
    <w:uiPriority w:val="99"/>
    <w:semiHidden/>
    <w:unhideWhenUsed/>
    <w:rsid w:val="00C47BE6"/>
    <w:rPr>
      <w:sz w:val="16"/>
      <w:szCs w:val="16"/>
    </w:rPr>
  </w:style>
  <w:style w:type="paragraph" w:styleId="CommentText">
    <w:name w:val="annotation text"/>
    <w:basedOn w:val="Normal"/>
    <w:link w:val="CommentTextChar"/>
    <w:uiPriority w:val="99"/>
    <w:unhideWhenUsed/>
    <w:rsid w:val="00C47BE6"/>
    <w:rPr>
      <w:sz w:val="20"/>
      <w:szCs w:val="20"/>
    </w:rPr>
  </w:style>
  <w:style w:type="character" w:customStyle="1" w:styleId="CommentTextChar">
    <w:name w:val="Comment Text Char"/>
    <w:basedOn w:val="DefaultParagraphFont"/>
    <w:link w:val="CommentText"/>
    <w:uiPriority w:val="99"/>
    <w:rsid w:val="00C47BE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47BE6"/>
    <w:rPr>
      <w:b/>
      <w:bCs/>
    </w:rPr>
  </w:style>
  <w:style w:type="character" w:customStyle="1" w:styleId="CommentSubjectChar">
    <w:name w:val="Comment Subject Char"/>
    <w:basedOn w:val="CommentTextChar"/>
    <w:link w:val="CommentSubject"/>
    <w:uiPriority w:val="99"/>
    <w:semiHidden/>
    <w:rsid w:val="00C47BE6"/>
    <w:rPr>
      <w:rFonts w:ascii="Calibri" w:eastAsia="Calibri" w:hAnsi="Calibri" w:cs="Times New Roman"/>
      <w:b/>
      <w:bCs/>
      <w:kern w:val="0"/>
      <w:sz w:val="20"/>
      <w:szCs w:val="20"/>
      <w14:ligatures w14:val="none"/>
    </w:rPr>
  </w:style>
  <w:style w:type="paragraph" w:styleId="FootnoteText">
    <w:name w:val="footnote text"/>
    <w:aliases w:val="5_G,Footnote Text Char Char Char Char Char,Footnote Text Char Char Char Char,Footnote reference,FA Fu,Footnote Text Char Char Char, Char,Footnote Reference1,FA Fuﬂnotentext,Footnote Text Char Char Char Char Char Char Char Char,f,fn,A,Char"/>
    <w:basedOn w:val="Normal"/>
    <w:link w:val="FootnoteTextChar"/>
    <w:uiPriority w:val="99"/>
    <w:unhideWhenUsed/>
    <w:qFormat/>
    <w:rsid w:val="00C47BE6"/>
    <w:pPr>
      <w:spacing w:before="0" w:after="0"/>
    </w:pPr>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A Fuﬂnotentext Char,f Char,fn Char"/>
    <w:basedOn w:val="DefaultParagraphFont"/>
    <w:link w:val="FootnoteText"/>
    <w:uiPriority w:val="99"/>
    <w:qFormat/>
    <w:rsid w:val="00C47BE6"/>
    <w:rPr>
      <w:rFonts w:ascii="Calibri" w:eastAsia="Calibri" w:hAnsi="Calibri" w:cs="Times New Roman"/>
      <w:kern w:val="0"/>
      <w:sz w:val="20"/>
      <w:szCs w:val="20"/>
      <w14:ligatures w14:val="none"/>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C47BE6"/>
    <w:pPr>
      <w:spacing w:before="0" w:after="160" w:line="240" w:lineRule="exact"/>
      <w:ind w:firstLine="0"/>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graph">
    <w:name w:val="paragraph"/>
    <w:basedOn w:val="Normal"/>
    <w:rsid w:val="00C47BE6"/>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normaltextrun">
    <w:name w:val="normaltextrun"/>
    <w:basedOn w:val="DefaultParagraphFont"/>
    <w:rsid w:val="00C47BE6"/>
  </w:style>
  <w:style w:type="character" w:customStyle="1" w:styleId="superscript">
    <w:name w:val="superscript"/>
    <w:basedOn w:val="DefaultParagraphFont"/>
    <w:rsid w:val="00C47BE6"/>
  </w:style>
  <w:style w:type="character" w:customStyle="1" w:styleId="eop">
    <w:name w:val="eop"/>
    <w:basedOn w:val="DefaultParagraphFont"/>
    <w:rsid w:val="00C47BE6"/>
  </w:style>
  <w:style w:type="paragraph" w:customStyle="1" w:styleId="Bullet1">
    <w:name w:val="Bullet 1"/>
    <w:basedOn w:val="Normal"/>
    <w:qFormat/>
    <w:rsid w:val="00C47BE6"/>
    <w:pPr>
      <w:numPr>
        <w:numId w:val="15"/>
      </w:numPr>
      <w:suppressAutoHyphens/>
      <w:spacing w:before="60" w:after="60" w:line="260" w:lineRule="atLeast"/>
      <w:jc w:val="left"/>
    </w:pPr>
    <w:rPr>
      <w:rFonts w:asciiTheme="minorHAnsi" w:eastAsiaTheme="minorHAnsi" w:hAnsiTheme="minorHAnsi" w:cstheme="minorBidi"/>
      <w:color w:val="0E2841" w:themeColor="text2"/>
      <w:lang w:val="en-GB"/>
    </w:rPr>
  </w:style>
  <w:style w:type="paragraph" w:customStyle="1" w:styleId="Bullet2">
    <w:name w:val="Bullet 2"/>
    <w:basedOn w:val="Bullet1"/>
    <w:qFormat/>
    <w:rsid w:val="00C47BE6"/>
    <w:pPr>
      <w:numPr>
        <w:ilvl w:val="1"/>
      </w:numPr>
    </w:pPr>
  </w:style>
  <w:style w:type="paragraph" w:customStyle="1" w:styleId="Bullet3">
    <w:name w:val="Bullet 3"/>
    <w:basedOn w:val="Bullet2"/>
    <w:qFormat/>
    <w:rsid w:val="00C47BE6"/>
    <w:pPr>
      <w:numPr>
        <w:ilvl w:val="2"/>
      </w:numPr>
    </w:pPr>
  </w:style>
  <w:style w:type="numbering" w:customStyle="1" w:styleId="BulletsList">
    <w:name w:val="Bullets List"/>
    <w:uiPriority w:val="99"/>
    <w:rsid w:val="00C47BE6"/>
    <w:pPr>
      <w:numPr>
        <w:numId w:val="14"/>
      </w:numPr>
    </w:pPr>
  </w:style>
  <w:style w:type="paragraph" w:styleId="EndnoteText">
    <w:name w:val="endnote text"/>
    <w:basedOn w:val="Normal"/>
    <w:link w:val="EndnoteTextChar"/>
    <w:uiPriority w:val="99"/>
    <w:semiHidden/>
    <w:unhideWhenUsed/>
    <w:rsid w:val="00C47BE6"/>
    <w:pPr>
      <w:spacing w:before="0" w:after="0"/>
    </w:pPr>
    <w:rPr>
      <w:sz w:val="20"/>
      <w:szCs w:val="20"/>
    </w:rPr>
  </w:style>
  <w:style w:type="character" w:customStyle="1" w:styleId="EndnoteTextChar">
    <w:name w:val="Endnote Text Char"/>
    <w:basedOn w:val="DefaultParagraphFont"/>
    <w:link w:val="EndnoteText"/>
    <w:uiPriority w:val="99"/>
    <w:semiHidden/>
    <w:rsid w:val="00C47BE6"/>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C47BE6"/>
    <w:rPr>
      <w:vertAlign w:val="superscript"/>
    </w:rPr>
  </w:style>
  <w:style w:type="paragraph" w:styleId="Revision">
    <w:name w:val="Revision"/>
    <w:hidden/>
    <w:uiPriority w:val="99"/>
    <w:semiHidden/>
    <w:rsid w:val="00C47BE6"/>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25427</Words>
  <Characters>144602</Characters>
  <Application>Microsoft Office Word</Application>
  <DocSecurity>0</DocSecurity>
  <Lines>1725</Lines>
  <Paragraphs>389</Paragraphs>
  <ScaleCrop>false</ScaleCrop>
  <HeadingPairs>
    <vt:vector size="2" baseType="variant">
      <vt:variant>
        <vt:lpstr>Title</vt:lpstr>
      </vt:variant>
      <vt:variant>
        <vt:i4>1</vt:i4>
      </vt:variant>
    </vt:vector>
  </HeadingPairs>
  <TitlesOfParts>
    <vt:vector size="1" baseType="lpstr">
      <vt:lpstr>DFAT Country inforamtion</vt:lpstr>
    </vt:vector>
  </TitlesOfParts>
  <Company/>
  <LinksUpToDate>false</LinksUpToDate>
  <CharactersWithSpaces>169797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Country inforamtion report - Egypt</dc:title>
  <dc:subject/>
  <dc:creator/>
  <cp:keywords>[SEC=OFFICIAL]</cp:keywords>
  <dc:description/>
  <cp:lastModifiedBy/>
  <cp:revision>1</cp:revision>
  <dcterms:created xsi:type="dcterms:W3CDTF">2025-10-28T23:16:00Z</dcterms:created>
  <dcterms:modified xsi:type="dcterms:W3CDTF">2025-11-19T00:26:00Z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2025-10-24T06:13:38Z</vt:lpwstr>
  </property>
  <property fmtid="{D5CDD505-2E9C-101B-9397-08002B2CF9AE}" pid="3" name="PM_ProtectiveMarkingValue_Header">
    <vt:lpwstr>OFFICIAL</vt:lpwstr>
  </property>
  <property fmtid="{D5CDD505-2E9C-101B-9397-08002B2CF9AE}" pid="4" name="PM_Expires">
    <vt:lpwstr/>
  </property>
  <property fmtid="{D5CDD505-2E9C-101B-9397-08002B2CF9AE}" pid="5" name="PM_DisplayValueSecClassificationWithQualifier">
    <vt:lpwstr>OFFICIAL</vt:lpwstr>
  </property>
  <property fmtid="{D5CDD505-2E9C-101B-9397-08002B2CF9AE}" pid="6" name="PM_InsertionValue">
    <vt:lpwstr>OFFICIAL</vt:lpwstr>
  </property>
  <property fmtid="{D5CDD505-2E9C-101B-9397-08002B2CF9AE}" pid="7" name="PM_Originator_Hash_SHA1">
    <vt:lpwstr>D9F6E5C82DFAF7AB6E3D596D48DD43C72EDFDAB4</vt:lpwstr>
  </property>
  <property fmtid="{D5CDD505-2E9C-101B-9397-08002B2CF9AE}" pid="8" name="PM_ProtectiveMarkingValue_Footer">
    <vt:lpwstr>OFFICIAL</vt:lpwstr>
  </property>
  <property fmtid="{D5CDD505-2E9C-101B-9397-08002B2CF9AE}" pid="9" name="PM_Originating_FileId">
    <vt:lpwstr>83F884E0DB6443939C3AD57507BFA32B</vt:lpwstr>
  </property>
  <property fmtid="{D5CDD505-2E9C-101B-9397-08002B2CF9AE}" pid="10" name="PM_Display">
    <vt:lpwstr>OFFICIAL</vt:lpwstr>
  </property>
  <property fmtid="{D5CDD505-2E9C-101B-9397-08002B2CF9AE}" pid="11" name="PM_OriginatorUserAccountName_SHA256">
    <vt:lpwstr>3E9DB5AB808CA91EB3E8EC398CDB7F67B110581D6BB28BC88565729DCE387350</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Hash_Salt_Prev">
    <vt:lpwstr>A48628DD56FBD5B447FF08438A3561B2</vt:lpwstr>
  </property>
  <property fmtid="{D5CDD505-2E9C-101B-9397-08002B2CF9AE}" pid="16" name="PM_Hash_Salt">
    <vt:lpwstr>BA18CAAC19A7B2B618A467B84A6CC78F</vt:lpwstr>
  </property>
  <property fmtid="{D5CDD505-2E9C-101B-9397-08002B2CF9AE}" pid="17" name="PM_Hash_SHA1">
    <vt:lpwstr>C84BA1E023C784D11402B2D8B93DA0A4B18F3C38</vt:lpwstr>
  </property>
  <property fmtid="{D5CDD505-2E9C-101B-9397-08002B2CF9AE}" pid="18" name="PM_SecurityClassification_Prev">
    <vt:lpwstr>OFFICIAL</vt:lpwstr>
  </property>
  <property fmtid="{D5CDD505-2E9C-101B-9397-08002B2CF9AE}" pid="19" name="PM_Qualifier_Prev">
    <vt:lpwstr/>
  </property>
  <property fmtid="{D5CDD505-2E9C-101B-9397-08002B2CF9AE}" pid="20" name="PM_Qualifier">
    <vt:lpwstr/>
  </property>
  <property fmtid="{D5CDD505-2E9C-101B-9397-08002B2CF9AE}" pid="21" name="PMHMAC">
    <vt:lpwstr>v=2022.1;a=SHA256;h=DE2005E1263E088DA92114FAEC867F7CE99DDC18797716A32E0E7DC6B5781B19</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_Note">
    <vt:lpwstr/>
  </property>
  <property fmtid="{D5CDD505-2E9C-101B-9397-08002B2CF9AE}" pid="26" name="PM_Markers">
    <vt:lpwstr/>
  </property>
  <property fmtid="{D5CDD505-2E9C-101B-9397-08002B2CF9AE}" pid="27" name="PM_Caveats_Count">
    <vt:lpwstr>0</vt:lpwstr>
  </property>
  <property fmtid="{D5CDD505-2E9C-101B-9397-08002B2CF9AE}" pid="28" name="PM_DownTo">
    <vt:lpwstr/>
  </property>
</Properties>
</file>