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97550" w14:textId="5F80C9AD" w:rsidR="00CC25B7" w:rsidRPr="00504817" w:rsidRDefault="00CC25B7" w:rsidP="00504817">
      <w:pPr>
        <w:pStyle w:val="Heading1"/>
        <w:spacing w:before="0" w:after="200" w:line="276" w:lineRule="auto"/>
        <w:jc w:val="both"/>
        <w:rPr>
          <w:rFonts w:asciiTheme="minorHAnsi" w:hAnsiTheme="minorHAnsi" w:cstheme="minorHAnsi"/>
          <w:b/>
          <w:caps/>
          <w:sz w:val="28"/>
          <w:szCs w:val="28"/>
        </w:rPr>
      </w:pPr>
      <w:r w:rsidRPr="00504817">
        <w:rPr>
          <w:rFonts w:asciiTheme="minorHAnsi" w:hAnsiTheme="minorHAnsi" w:cstheme="minorHAnsi"/>
          <w:b/>
          <w:caps/>
          <w:sz w:val="28"/>
          <w:szCs w:val="28"/>
          <w:lang w:val="en-AU"/>
        </w:rPr>
        <w:t>chapter summary: C</w:t>
      </w:r>
      <w:r w:rsidRPr="00504817">
        <w:rPr>
          <w:rFonts w:asciiTheme="minorHAnsi" w:hAnsiTheme="minorHAnsi" w:cstheme="minorHAnsi"/>
          <w:b/>
          <w:caps/>
          <w:sz w:val="28"/>
          <w:szCs w:val="28"/>
        </w:rPr>
        <w:t xml:space="preserve">ompetitiveness and business facilitation </w:t>
      </w:r>
    </w:p>
    <w:p w14:paraId="00466C49" w14:textId="26E21964" w:rsidR="00CC25B7" w:rsidRPr="00504817" w:rsidRDefault="00CC25B7" w:rsidP="00504817">
      <w:pPr>
        <w:spacing w:after="200" w:line="276" w:lineRule="auto"/>
        <w:jc w:val="both"/>
        <w:rPr>
          <w:rFonts w:asciiTheme="minorHAnsi" w:hAnsiTheme="minorHAnsi" w:cstheme="minorHAnsi"/>
          <w:color w:val="3D3935" w:themeColor="text2"/>
          <w:sz w:val="22"/>
          <w:u w:val="single"/>
        </w:rPr>
      </w:pPr>
      <w:r w:rsidRPr="00504817">
        <w:rPr>
          <w:rFonts w:asciiTheme="minorHAnsi" w:hAnsiTheme="minorHAnsi" w:cstheme="minorHAnsi"/>
          <w:sz w:val="22"/>
        </w:rPr>
        <w:t xml:space="preserve">The Competitiveness and Business Facilitation Chapter focuses on strengthening supply chains (also known as ‘global value chains’ or GVCs). GVCs are central to international trade and investment, particularly in Asia.  </w:t>
      </w:r>
    </w:p>
    <w:p w14:paraId="28B4E77D" w14:textId="34353EE0" w:rsidR="00CC25B7" w:rsidRPr="00504817" w:rsidRDefault="00CC25B7" w:rsidP="00504817">
      <w:pPr>
        <w:spacing w:after="200" w:line="276" w:lineRule="auto"/>
        <w:jc w:val="both"/>
        <w:rPr>
          <w:rFonts w:asciiTheme="minorHAnsi" w:hAnsiTheme="minorHAnsi" w:cstheme="minorHAnsi"/>
          <w:color w:val="3D3935" w:themeColor="text2"/>
          <w:sz w:val="22"/>
          <w:u w:val="single"/>
        </w:rPr>
      </w:pPr>
      <w:r w:rsidRPr="00504817">
        <w:rPr>
          <w:rFonts w:asciiTheme="minorHAnsi" w:hAnsiTheme="minorHAnsi" w:cstheme="minorHAnsi"/>
          <w:sz w:val="22"/>
        </w:rPr>
        <w:t xml:space="preserve">There are diverse benefits to Australian businesses, exporters and consumers from greater participation in GVCs. GVCs provide opportunities for businesses to enter markets by </w:t>
      </w:r>
      <w:proofErr w:type="spellStart"/>
      <w:r w:rsidRPr="00504817">
        <w:rPr>
          <w:rFonts w:asciiTheme="minorHAnsi" w:hAnsiTheme="minorHAnsi" w:cstheme="minorHAnsi"/>
          <w:sz w:val="22"/>
        </w:rPr>
        <w:t>specialising</w:t>
      </w:r>
      <w:proofErr w:type="spellEnd"/>
      <w:r w:rsidRPr="00504817">
        <w:rPr>
          <w:rFonts w:asciiTheme="minorHAnsi" w:hAnsiTheme="minorHAnsi" w:cstheme="minorHAnsi"/>
          <w:sz w:val="22"/>
        </w:rPr>
        <w:t xml:space="preserve"> in intermediate activities within a chain and to enhance into higher-value segments of their industries. GVCs also allow Australian businesses to learn new production methods, meet standards that enhance their market access, facilitate exports, encourage uptake of technology, and access new sources of capital. For more information on GVCs, refer to: </w:t>
      </w:r>
      <w:r w:rsidRPr="00504817">
        <w:rPr>
          <w:rFonts w:asciiTheme="minorHAnsi" w:hAnsiTheme="minorHAnsi" w:cstheme="minorHAnsi"/>
          <w:color w:val="3D3935" w:themeColor="text2"/>
          <w:sz w:val="22"/>
          <w:u w:val="single"/>
        </w:rPr>
        <w:t xml:space="preserve">Background paper: Global Value Chains and the Trans-Pacific Partnership Agreement. </w:t>
      </w:r>
    </w:p>
    <w:p w14:paraId="3F217E61" w14:textId="0899E4B5" w:rsidR="00CC25B7" w:rsidRPr="00504817" w:rsidRDefault="00CC25B7" w:rsidP="00504817">
      <w:pPr>
        <w:pStyle w:val="Heading1"/>
        <w:spacing w:before="0" w:after="200" w:line="276" w:lineRule="auto"/>
        <w:jc w:val="both"/>
        <w:rPr>
          <w:rFonts w:asciiTheme="minorHAnsi" w:hAnsiTheme="minorHAnsi" w:cstheme="minorHAnsi"/>
          <w:color w:val="1A6887"/>
          <w:sz w:val="24"/>
          <w:szCs w:val="24"/>
        </w:rPr>
      </w:pPr>
      <w:r w:rsidRPr="00504817">
        <w:rPr>
          <w:rFonts w:asciiTheme="minorHAnsi" w:hAnsiTheme="minorHAnsi" w:cstheme="minorHAnsi"/>
          <w:b/>
          <w:caps/>
          <w:sz w:val="24"/>
          <w:szCs w:val="24"/>
          <w:lang w:val="en-AU"/>
        </w:rPr>
        <w:t xml:space="preserve">more information on the chapter </w:t>
      </w:r>
      <w:r w:rsidRPr="00504817">
        <w:rPr>
          <w:rFonts w:asciiTheme="minorHAnsi" w:hAnsiTheme="minorHAnsi" w:cstheme="minorHAnsi"/>
          <w:sz w:val="24"/>
          <w:szCs w:val="24"/>
        </w:rPr>
        <w:t xml:space="preserve"> </w:t>
      </w:r>
    </w:p>
    <w:p w14:paraId="02FA1A8C" w14:textId="799454EA" w:rsidR="00CC25B7" w:rsidRPr="00504817" w:rsidRDefault="00CC25B7" w:rsidP="00504817">
      <w:pPr>
        <w:spacing w:after="200" w:line="276" w:lineRule="auto"/>
        <w:jc w:val="both"/>
        <w:rPr>
          <w:rFonts w:asciiTheme="minorHAnsi" w:hAnsiTheme="minorHAnsi" w:cstheme="minorHAnsi"/>
          <w:sz w:val="22"/>
        </w:rPr>
      </w:pPr>
      <w:r w:rsidRPr="00504817">
        <w:rPr>
          <w:rFonts w:asciiTheme="minorHAnsi" w:hAnsiTheme="minorHAnsi" w:cstheme="minorHAnsi"/>
          <w:sz w:val="22"/>
        </w:rPr>
        <w:t xml:space="preserve">To enhance competitiveness and business participation in TPP Parties, a </w:t>
      </w:r>
      <w:bookmarkStart w:id="0" w:name="_GoBack"/>
      <w:r w:rsidRPr="00841428">
        <w:rPr>
          <w:rFonts w:asciiTheme="minorHAnsi" w:hAnsiTheme="minorHAnsi" w:cstheme="minorHAnsi"/>
          <w:sz w:val="22"/>
        </w:rPr>
        <w:t>Committee on Competitiveness and Business Facilitation</w:t>
      </w:r>
      <w:r w:rsidRPr="00504817">
        <w:rPr>
          <w:rFonts w:asciiTheme="minorHAnsi" w:hAnsiTheme="minorHAnsi" w:cstheme="minorHAnsi"/>
          <w:sz w:val="22"/>
        </w:rPr>
        <w:t xml:space="preserve"> </w:t>
      </w:r>
      <w:bookmarkEnd w:id="0"/>
      <w:r w:rsidR="00147583" w:rsidRPr="00504817">
        <w:rPr>
          <w:rFonts w:asciiTheme="minorHAnsi" w:hAnsiTheme="minorHAnsi" w:cstheme="minorHAnsi"/>
          <w:sz w:val="22"/>
        </w:rPr>
        <w:t xml:space="preserve">will be established, </w:t>
      </w:r>
      <w:r w:rsidRPr="00504817">
        <w:rPr>
          <w:rFonts w:asciiTheme="minorHAnsi" w:hAnsiTheme="minorHAnsi" w:cstheme="minorHAnsi"/>
          <w:sz w:val="22"/>
        </w:rPr>
        <w:t xml:space="preserve">comprising government representatives of each TPP Party. </w:t>
      </w:r>
      <w:r w:rsidR="00147583" w:rsidRPr="00504817">
        <w:rPr>
          <w:rFonts w:asciiTheme="minorHAnsi" w:hAnsiTheme="minorHAnsi" w:cstheme="minorHAnsi"/>
          <w:sz w:val="22"/>
        </w:rPr>
        <w:t>The Committee will</w:t>
      </w:r>
      <w:r w:rsidRPr="00504817">
        <w:rPr>
          <w:rFonts w:asciiTheme="minorHAnsi" w:hAnsiTheme="minorHAnsi" w:cstheme="minorHAnsi"/>
          <w:sz w:val="22"/>
        </w:rPr>
        <w:t>:</w:t>
      </w:r>
    </w:p>
    <w:p w14:paraId="4FD90F07" w14:textId="4A8A845A" w:rsidR="00CC25B7" w:rsidRPr="00504817" w:rsidRDefault="00147583" w:rsidP="00504817">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sz w:val="22"/>
        </w:rPr>
      </w:pPr>
      <w:r w:rsidRPr="00504817">
        <w:rPr>
          <w:rFonts w:asciiTheme="minorHAnsi" w:hAnsiTheme="minorHAnsi" w:cstheme="minorHAnsi"/>
          <w:sz w:val="22"/>
        </w:rPr>
        <w:t xml:space="preserve">encourage </w:t>
      </w:r>
      <w:r w:rsidR="00CC25B7" w:rsidRPr="00504817">
        <w:rPr>
          <w:rFonts w:asciiTheme="minorHAnsi" w:hAnsiTheme="minorHAnsi" w:cstheme="minorHAnsi"/>
          <w:sz w:val="22"/>
        </w:rPr>
        <w:t>information sharing on efforts to enhance competitiveness in TPP Parties to promote further trade, investment, and economic integration;</w:t>
      </w:r>
    </w:p>
    <w:p w14:paraId="20CEF8A9" w14:textId="03D6F98E" w:rsidR="00CC25B7" w:rsidRPr="00504817" w:rsidRDefault="00147583" w:rsidP="00504817">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sz w:val="22"/>
        </w:rPr>
      </w:pPr>
      <w:r w:rsidRPr="00504817">
        <w:rPr>
          <w:rFonts w:asciiTheme="minorHAnsi" w:hAnsiTheme="minorHAnsi" w:cstheme="minorHAnsi"/>
          <w:sz w:val="22"/>
        </w:rPr>
        <w:t xml:space="preserve">explore </w:t>
      </w:r>
      <w:r w:rsidR="00CC25B7" w:rsidRPr="00504817">
        <w:rPr>
          <w:rFonts w:asciiTheme="minorHAnsi" w:hAnsiTheme="minorHAnsi" w:cstheme="minorHAnsi"/>
          <w:sz w:val="22"/>
        </w:rPr>
        <w:t xml:space="preserve">ways to take advantage of the trade and investment opportunities the </w:t>
      </w:r>
      <w:r w:rsidR="00EF5755">
        <w:rPr>
          <w:rFonts w:asciiTheme="minorHAnsi" w:hAnsiTheme="minorHAnsi" w:cstheme="minorHAnsi"/>
          <w:sz w:val="22"/>
        </w:rPr>
        <w:t>TPP</w:t>
      </w:r>
      <w:r w:rsidR="00CC25B7" w:rsidRPr="00504817">
        <w:rPr>
          <w:rFonts w:asciiTheme="minorHAnsi" w:hAnsiTheme="minorHAnsi" w:cstheme="minorHAnsi"/>
          <w:sz w:val="22"/>
        </w:rPr>
        <w:t xml:space="preserve"> creates;</w:t>
      </w:r>
    </w:p>
    <w:p w14:paraId="35A8F51B" w14:textId="2239409E" w:rsidR="00CC25B7" w:rsidRPr="00504817" w:rsidRDefault="00147583" w:rsidP="00504817">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sz w:val="22"/>
        </w:rPr>
      </w:pPr>
      <w:r w:rsidRPr="00504817">
        <w:rPr>
          <w:rFonts w:asciiTheme="minorHAnsi" w:hAnsiTheme="minorHAnsi" w:cstheme="minorHAnsi"/>
          <w:sz w:val="22"/>
        </w:rPr>
        <w:t xml:space="preserve">advise </w:t>
      </w:r>
      <w:r w:rsidR="00CC25B7" w:rsidRPr="00504817">
        <w:rPr>
          <w:rFonts w:asciiTheme="minorHAnsi" w:hAnsiTheme="minorHAnsi" w:cstheme="minorHAnsi"/>
          <w:sz w:val="22"/>
        </w:rPr>
        <w:t xml:space="preserve">the TPP Commission on ways to enhance competitiveness, including ways to enhance the participation of small and medium-sized enterprises in GVCs; </w:t>
      </w:r>
    </w:p>
    <w:p w14:paraId="1A23F340" w14:textId="0970ABD1" w:rsidR="00CC25B7" w:rsidRPr="00504817" w:rsidRDefault="00147583" w:rsidP="00504817">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sz w:val="22"/>
        </w:rPr>
      </w:pPr>
      <w:r w:rsidRPr="00504817">
        <w:rPr>
          <w:rFonts w:asciiTheme="minorHAnsi" w:hAnsiTheme="minorHAnsi" w:cstheme="minorHAnsi"/>
          <w:sz w:val="22"/>
        </w:rPr>
        <w:t xml:space="preserve">explore </w:t>
      </w:r>
      <w:r w:rsidR="00CC25B7" w:rsidRPr="00504817">
        <w:rPr>
          <w:rFonts w:asciiTheme="minorHAnsi" w:hAnsiTheme="minorHAnsi" w:cstheme="minorHAnsi"/>
          <w:sz w:val="22"/>
        </w:rPr>
        <w:t>ways to promote the expansion and strengthening of GVCs; and</w:t>
      </w:r>
    </w:p>
    <w:p w14:paraId="1ED5BEA2" w14:textId="00BE1935" w:rsidR="00CC25B7" w:rsidRPr="00504817" w:rsidRDefault="00504817" w:rsidP="00504817">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sz w:val="22"/>
        </w:rPr>
      </w:pPr>
      <w:r>
        <w:rPr>
          <w:rFonts w:asciiTheme="minorHAnsi" w:hAnsiTheme="minorHAnsi" w:cstheme="minorHAnsi"/>
          <w:sz w:val="22"/>
        </w:rPr>
        <w:t>c</w:t>
      </w:r>
      <w:r w:rsidR="00CC25B7" w:rsidRPr="00504817">
        <w:rPr>
          <w:rFonts w:asciiTheme="minorHAnsi" w:hAnsiTheme="minorHAnsi" w:cstheme="minorHAnsi"/>
          <w:sz w:val="22"/>
        </w:rPr>
        <w:t xml:space="preserve">onduct periodic reviews of the extent to which the </w:t>
      </w:r>
      <w:r w:rsidR="00EF5755">
        <w:rPr>
          <w:rFonts w:asciiTheme="minorHAnsi" w:hAnsiTheme="minorHAnsi" w:cstheme="minorHAnsi"/>
          <w:sz w:val="22"/>
        </w:rPr>
        <w:t>TPP</w:t>
      </w:r>
      <w:r w:rsidR="00CC25B7" w:rsidRPr="00504817">
        <w:rPr>
          <w:rFonts w:asciiTheme="minorHAnsi" w:hAnsiTheme="minorHAnsi" w:cstheme="minorHAnsi"/>
          <w:sz w:val="22"/>
        </w:rPr>
        <w:t xml:space="preserve"> has facilitated the development, strengthening and operation of GVCs in TPP Parties. </w:t>
      </w:r>
    </w:p>
    <w:p w14:paraId="5F59E03B" w14:textId="05C6BC5F" w:rsidR="009E727B" w:rsidRPr="00504817" w:rsidRDefault="00CC25B7" w:rsidP="00504817">
      <w:pPr>
        <w:spacing w:after="200" w:line="276" w:lineRule="auto"/>
        <w:jc w:val="both"/>
        <w:rPr>
          <w:rFonts w:asciiTheme="minorHAnsi" w:hAnsiTheme="minorHAnsi" w:cstheme="minorHAnsi"/>
          <w:sz w:val="22"/>
        </w:rPr>
      </w:pPr>
      <w:r w:rsidRPr="00504817">
        <w:rPr>
          <w:rFonts w:asciiTheme="minorHAnsi" w:hAnsiTheme="minorHAnsi" w:cstheme="minorHAnsi"/>
          <w:sz w:val="22"/>
        </w:rPr>
        <w:t xml:space="preserve">The Competitiveness and Business Facilitation Chapter is not subject to the TPP </w:t>
      </w:r>
      <w:r w:rsidR="00504817">
        <w:rPr>
          <w:rFonts w:asciiTheme="minorHAnsi" w:hAnsiTheme="minorHAnsi" w:cstheme="minorHAnsi"/>
          <w:sz w:val="22"/>
        </w:rPr>
        <w:t>D</w:t>
      </w:r>
      <w:r w:rsidRPr="00504817">
        <w:rPr>
          <w:rFonts w:asciiTheme="minorHAnsi" w:hAnsiTheme="minorHAnsi" w:cstheme="minorHAnsi"/>
          <w:sz w:val="22"/>
        </w:rPr>
        <w:t xml:space="preserve">ispute </w:t>
      </w:r>
      <w:r w:rsidR="00504817">
        <w:rPr>
          <w:rFonts w:asciiTheme="minorHAnsi" w:hAnsiTheme="minorHAnsi" w:cstheme="minorHAnsi"/>
          <w:sz w:val="22"/>
        </w:rPr>
        <w:t>S</w:t>
      </w:r>
      <w:r w:rsidRPr="00504817">
        <w:rPr>
          <w:rFonts w:asciiTheme="minorHAnsi" w:hAnsiTheme="minorHAnsi" w:cstheme="minorHAnsi"/>
          <w:sz w:val="22"/>
        </w:rPr>
        <w:t xml:space="preserve">ettlement </w:t>
      </w:r>
      <w:r w:rsidR="00504817">
        <w:rPr>
          <w:rFonts w:asciiTheme="minorHAnsi" w:hAnsiTheme="minorHAnsi" w:cstheme="minorHAnsi"/>
          <w:sz w:val="22"/>
        </w:rPr>
        <w:t>Chapter</w:t>
      </w:r>
      <w:r w:rsidRPr="00504817">
        <w:rPr>
          <w:rFonts w:asciiTheme="minorHAnsi" w:hAnsiTheme="minorHAnsi" w:cstheme="minorHAnsi"/>
          <w:sz w:val="22"/>
        </w:rPr>
        <w:t xml:space="preserve">. </w:t>
      </w:r>
    </w:p>
    <w:sectPr w:rsidR="009E727B" w:rsidRPr="00504817" w:rsidSect="00032CE3">
      <w:headerReference w:type="default" r:id="rId11"/>
      <w:footerReference w:type="even" r:id="rId12"/>
      <w:footerReference w:type="default" r:id="rId13"/>
      <w:headerReference w:type="first" r:id="rId14"/>
      <w:footerReference w:type="first" r:id="rId15"/>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491AE" w14:textId="77777777" w:rsidR="0009261C" w:rsidRDefault="0009261C" w:rsidP="00E8641D">
      <w:pPr>
        <w:spacing w:line="240" w:lineRule="auto"/>
      </w:pPr>
      <w:r>
        <w:separator/>
      </w:r>
    </w:p>
  </w:endnote>
  <w:endnote w:type="continuationSeparator" w:id="0">
    <w:p w14:paraId="2BBF974D" w14:textId="77777777" w:rsidR="0009261C" w:rsidRDefault="0009261C"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E3D41" w14:textId="77777777"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473BF" w14:textId="77777777" w:rsidR="0009261C" w:rsidRDefault="0009261C" w:rsidP="00401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0A435" w14:textId="77777777"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4817">
      <w:rPr>
        <w:rStyle w:val="PageNumber"/>
        <w:noProof/>
      </w:rPr>
      <w:t>2</w:t>
    </w:r>
    <w:r>
      <w:rPr>
        <w:rStyle w:val="PageNumber"/>
      </w:rPr>
      <w:fldChar w:fldCharType="end"/>
    </w:r>
  </w:p>
  <w:p w14:paraId="05243470" w14:textId="1F1DBEC7" w:rsidR="0009261C" w:rsidRDefault="00C81FC7"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841428">
      <w:rPr>
        <w:noProof/>
        <w:lang w:val="en-AU"/>
      </w:rPr>
      <w:t>14.11.2016</w:t>
    </w:r>
    <w:r>
      <w:rPr>
        <w:lang w:val="en-AU"/>
      </w:rPr>
      <w:fldChar w:fldCharType="end"/>
    </w:r>
    <w:r w:rsidR="006F4F7E">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01668" w14:textId="0DCE9EC8" w:rsidR="0009261C" w:rsidRDefault="00306851"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841428">
      <w:rPr>
        <w:noProof/>
        <w:lang w:val="en-AU"/>
      </w:rPr>
      <w:t>14.11.2016</w:t>
    </w:r>
    <w:r>
      <w:rPr>
        <w:lang w:val="en-AU"/>
      </w:rPr>
      <w:fldChar w:fldCharType="end"/>
    </w:r>
    <w:r>
      <w:rPr>
        <w:lang w:val="en-AU"/>
      </w:rPr>
      <w:br/>
    </w:r>
    <w:r w:rsidRPr="00E8641D">
      <w:rPr>
        <w:lang w:val="en-AU"/>
      </w:rPr>
      <w:t xml:space="preserve">More information on the </w:t>
    </w:r>
    <w:r>
      <w:rPr>
        <w:lang w:val="en-AU"/>
      </w:rPr>
      <w:t>T</w:t>
    </w:r>
    <w:r w:rsidR="004C1D59">
      <w:rPr>
        <w:lang w:val="en-AU"/>
      </w:rPr>
      <w:t>r</w:t>
    </w:r>
    <w:r>
      <w:rPr>
        <w:lang w:val="en-AU"/>
      </w:rPr>
      <w:t>ans-Pacific Partnership</w:t>
    </w:r>
    <w:r w:rsidRPr="00E8641D">
      <w:rPr>
        <w:lang w:val="en-AU"/>
      </w:rPr>
      <w:t xml:space="preserve"> Agreement</w:t>
    </w:r>
    <w:r>
      <w:rPr>
        <w:lang w:val="en-AU"/>
      </w:rPr>
      <w:br/>
    </w:r>
    <w:r w:rsidRPr="00E8641D">
      <w:rPr>
        <w:lang w:val="en-AU"/>
      </w:rPr>
      <w:t>is available at</w:t>
    </w:r>
    <w:r w:rsidR="004C1D59">
      <w:rPr>
        <w:lang w:val="en-AU"/>
      </w:rPr>
      <w:t xml:space="preserve"> </w:t>
    </w:r>
    <w:r w:rsidR="004C1D59" w:rsidRPr="004C1D59">
      <w:rPr>
        <w:color w:val="0070C0"/>
        <w:lang w:val="en-AU"/>
      </w:rPr>
      <w:t>http://dfat.gov.au/trade/agreements/tpp/</w:t>
    </w:r>
    <w:r w:rsidRPr="004C1D59">
      <w:rPr>
        <w:color w:val="0070C0"/>
        <w:lang w:val="en-AU"/>
      </w:rPr>
      <w:t xml:space="preserve"> </w:t>
    </w:r>
    <w:r w:rsidR="0009261C">
      <w:rPr>
        <w:noProof/>
        <w:lang w:val="en-AU" w:eastAsia="en-AU"/>
      </w:rPr>
      <w:drawing>
        <wp:anchor distT="360045" distB="0" distL="114300" distR="114300" simplePos="0" relativeHeight="251659264" behindDoc="1" locked="0" layoutInCell="1" allowOverlap="1" wp14:anchorId="7C9994F8" wp14:editId="39434CB5">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B4363" w14:textId="77777777" w:rsidR="0009261C" w:rsidRDefault="0009261C" w:rsidP="00E8641D">
      <w:pPr>
        <w:spacing w:line="240" w:lineRule="auto"/>
      </w:pPr>
      <w:r>
        <w:separator/>
      </w:r>
    </w:p>
  </w:footnote>
  <w:footnote w:type="continuationSeparator" w:id="0">
    <w:p w14:paraId="7C4004C9" w14:textId="77777777" w:rsidR="0009261C" w:rsidRDefault="0009261C" w:rsidP="00E864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CF5DD" w14:textId="4EACE3E1" w:rsidR="0009261C" w:rsidRDefault="0009261C">
    <w:pPr>
      <w:pStyle w:val="Header"/>
    </w:pPr>
    <w:r>
      <w:rPr>
        <w:noProof/>
        <w:lang w:val="en-AU" w:eastAsia="en-AU"/>
      </w:rPr>
      <w:drawing>
        <wp:anchor distT="0" distB="180340" distL="114300" distR="114300" simplePos="0" relativeHeight="251660288" behindDoc="1" locked="0" layoutInCell="1" allowOverlap="1" wp14:anchorId="4111892D" wp14:editId="53790108">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EAFCB" w14:textId="0CB042DD" w:rsidR="0009261C" w:rsidRDefault="0009261C">
    <w:pPr>
      <w:pStyle w:val="Header"/>
    </w:pPr>
    <w:r>
      <w:rPr>
        <w:noProof/>
        <w:lang w:val="en-AU" w:eastAsia="en-AU"/>
      </w:rPr>
      <w:drawing>
        <wp:anchor distT="0" distB="180340" distL="114300" distR="114300" simplePos="0" relativeHeight="251658240" behindDoc="1" locked="0" layoutInCell="1" allowOverlap="1" wp14:anchorId="44940E1B" wp14:editId="6DBBEDC3">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E41A3"/>
    <w:multiLevelType w:val="hybridMultilevel"/>
    <w:tmpl w:val="48903392"/>
    <w:lvl w:ilvl="0" w:tplc="C6A8D954">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 w15:restartNumberingAfterBreak="0">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71"/>
    <w:rsid w:val="00006463"/>
    <w:rsid w:val="00032CE3"/>
    <w:rsid w:val="0009261C"/>
    <w:rsid w:val="00147583"/>
    <w:rsid w:val="001C13A2"/>
    <w:rsid w:val="002E1149"/>
    <w:rsid w:val="00306851"/>
    <w:rsid w:val="00401E7C"/>
    <w:rsid w:val="00423641"/>
    <w:rsid w:val="00444109"/>
    <w:rsid w:val="004B2171"/>
    <w:rsid w:val="004C1D59"/>
    <w:rsid w:val="00504817"/>
    <w:rsid w:val="00576FDA"/>
    <w:rsid w:val="006F4F7E"/>
    <w:rsid w:val="00734E00"/>
    <w:rsid w:val="0079782B"/>
    <w:rsid w:val="007A6F6F"/>
    <w:rsid w:val="007C57D5"/>
    <w:rsid w:val="00841428"/>
    <w:rsid w:val="0089567B"/>
    <w:rsid w:val="009606BB"/>
    <w:rsid w:val="009E3E4D"/>
    <w:rsid w:val="009E727B"/>
    <w:rsid w:val="00AD4C0C"/>
    <w:rsid w:val="00B95C02"/>
    <w:rsid w:val="00C14483"/>
    <w:rsid w:val="00C81FC7"/>
    <w:rsid w:val="00C939D5"/>
    <w:rsid w:val="00CC25B7"/>
    <w:rsid w:val="00DC5B75"/>
    <w:rsid w:val="00E8641D"/>
    <w:rsid w:val="00EC62D6"/>
    <w:rsid w:val="00EE7A01"/>
    <w:rsid w:val="00EF5755"/>
    <w:rsid w:val="00F14C62"/>
    <w:rsid w:val="00F20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4D2E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basedOn w:val="Normal"/>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0031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76ED87E499D74F957EA98E38249353" ma:contentTypeVersion="1" ma:contentTypeDescription="Create a new document." ma:contentTypeScope="" ma:versionID="c7fba12bb51fc3be4f6d0de24922d2b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9671C9-DD8C-4E53-A20D-25C14AF429CA}">
  <ds:schemaRefs>
    <ds:schemaRef ds:uri="http://schemas.microsoft.com/sharepoint/v3/contenttype/forms"/>
  </ds:schemaRefs>
</ds:datastoreItem>
</file>

<file path=customXml/itemProps2.xml><?xml version="1.0" encoding="utf-8"?>
<ds:datastoreItem xmlns:ds="http://schemas.openxmlformats.org/officeDocument/2006/customXml" ds:itemID="{CD31F3A8-70C4-4270-AECE-96E8F40C7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86160-289A-4F81-8F59-16E9454D625C}">
  <ds:schemaRef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2016-11-14T04:22:00Z</dcterms:created>
  <dcterms:modified xsi:type="dcterms:W3CDTF">2016-11-14T04:23:00Z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0x0101000A76ED87E499D74F957EA98E38249353</vt:lpwstr>
  </property>
  <property fmtid="{D5CDD505-2E9C-101B-9397-08002B2CF9AE}" pid="3" name="TemplateUrl">
    <vt:lpwstr/>
  </property>
  <property fmtid="{D5CDD505-2E9C-101B-9397-08002B2CF9AE}" pid="4" name="Order">
    <vt:r8>2700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itusGUID">
    <vt:lpwstr>0f9c0d06-a762-4d41-91c9-90a075427e37</vt:lpwstr>
  </property>
  <property fmtid="{D5CDD505-2E9C-101B-9397-08002B2CF9AE}" pid="10" name="SEC">
    <vt:lpwstr>UNCLASSIFIED</vt:lpwstr>
  </property>
  <property fmtid="{D5CDD505-2E9C-101B-9397-08002B2CF9AE}" pid="11" name="DLM">
    <vt:lpwstr>No DLM</vt:lpwstr>
  </property>
</Properties>
</file>