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517A2" w14:textId="19A5025B" w:rsidR="00901626" w:rsidRPr="009A05FB" w:rsidRDefault="00901626" w:rsidP="00901626">
      <w:pPr>
        <w:pStyle w:val="DocName"/>
        <w:pBdr>
          <w:top w:val="single" w:sz="4" w:space="12" w:color="FF9900"/>
          <w:bottom w:val="single" w:sz="4" w:space="5" w:color="FF9900"/>
        </w:pBdr>
        <w:shd w:val="clear" w:color="auto" w:fill="FFFFCC"/>
        <w:spacing w:line="360" w:lineRule="auto"/>
        <w:rPr>
          <w:rFonts w:asciiTheme="minorHAnsi" w:hAnsiTheme="minorHAnsi" w:cstheme="minorHAnsi"/>
          <w:sz w:val="24"/>
          <w:lang w:eastAsia="en-AU"/>
        </w:rPr>
      </w:pPr>
      <w:bookmarkStart w:id="0" w:name="_GoBack"/>
      <w:bookmarkEnd w:id="0"/>
      <w:r w:rsidRPr="009A05FB">
        <w:rPr>
          <w:rFonts w:asciiTheme="minorHAnsi" w:hAnsiTheme="minorHAnsi" w:cstheme="minorHAnsi"/>
          <w:sz w:val="24"/>
          <w:lang w:eastAsia="en-AU"/>
        </w:rPr>
        <w:t xml:space="preserve">Independent </w:t>
      </w:r>
      <w:r w:rsidR="00544040">
        <w:rPr>
          <w:rFonts w:asciiTheme="minorHAnsi" w:hAnsiTheme="minorHAnsi" w:cstheme="minorHAnsi"/>
          <w:sz w:val="24"/>
          <w:lang w:eastAsia="en-AU"/>
        </w:rPr>
        <w:t>Evaluation</w:t>
      </w:r>
      <w:r w:rsidRPr="009A05FB">
        <w:rPr>
          <w:rFonts w:asciiTheme="minorHAnsi" w:hAnsiTheme="minorHAnsi" w:cstheme="minorHAnsi"/>
          <w:sz w:val="24"/>
          <w:lang w:eastAsia="en-AU"/>
        </w:rPr>
        <w:t xml:space="preserve"> of the</w:t>
      </w:r>
    </w:p>
    <w:p w14:paraId="1D53D68A" w14:textId="768A3670" w:rsidR="00555BB9" w:rsidRDefault="00555BB9" w:rsidP="00555BB9">
      <w:pPr>
        <w:pStyle w:val="DocName"/>
        <w:pBdr>
          <w:top w:val="single" w:sz="4" w:space="12" w:color="FF9900"/>
          <w:bottom w:val="single" w:sz="4" w:space="5" w:color="FF9900"/>
        </w:pBdr>
        <w:shd w:val="clear" w:color="auto" w:fill="FFFFCC"/>
        <w:spacing w:line="360" w:lineRule="auto"/>
        <w:rPr>
          <w:rFonts w:asciiTheme="minorHAnsi" w:hAnsiTheme="minorHAnsi" w:cstheme="minorHAnsi"/>
          <w:sz w:val="24"/>
          <w:lang w:eastAsia="en-AU"/>
        </w:rPr>
      </w:pPr>
      <w:r>
        <w:rPr>
          <w:rFonts w:asciiTheme="minorHAnsi" w:hAnsiTheme="minorHAnsi" w:cstheme="minorHAnsi"/>
          <w:sz w:val="24"/>
          <w:lang w:eastAsia="en-AU"/>
        </w:rPr>
        <w:t>Community-based Climate Change Action Grants (CBCCAG)</w:t>
      </w:r>
    </w:p>
    <w:p w14:paraId="320E2621" w14:textId="34567CF5" w:rsidR="00C657FB" w:rsidRPr="009A05FB" w:rsidRDefault="00901626" w:rsidP="00901626">
      <w:pPr>
        <w:pStyle w:val="DocName"/>
        <w:pBdr>
          <w:top w:val="single" w:sz="4" w:space="12" w:color="FF9900"/>
          <w:bottom w:val="single" w:sz="4" w:space="5" w:color="FF9900"/>
        </w:pBdr>
        <w:shd w:val="clear" w:color="auto" w:fill="FFFFCC"/>
        <w:spacing w:line="360" w:lineRule="auto"/>
        <w:rPr>
          <w:rFonts w:asciiTheme="minorHAnsi" w:hAnsiTheme="minorHAnsi" w:cstheme="minorHAnsi"/>
          <w:sz w:val="24"/>
          <w:lang w:eastAsia="en-AU"/>
        </w:rPr>
      </w:pPr>
      <w:r w:rsidRPr="009A05FB">
        <w:rPr>
          <w:rFonts w:asciiTheme="minorHAnsi" w:hAnsiTheme="minorHAnsi" w:cstheme="minorHAnsi"/>
          <w:sz w:val="22"/>
          <w:szCs w:val="22"/>
          <w:lang w:eastAsia="en-AU"/>
        </w:rPr>
        <w:t xml:space="preserve"> </w:t>
      </w:r>
      <w:r w:rsidR="00F37B61" w:rsidRPr="009A05FB">
        <w:rPr>
          <w:rFonts w:asciiTheme="minorHAnsi" w:hAnsiTheme="minorHAnsi" w:cstheme="minorHAnsi"/>
          <w:sz w:val="24"/>
          <w:lang w:eastAsia="en-AU"/>
        </w:rPr>
        <w:t>MANAGEMENT RESPONSE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552"/>
        <w:gridCol w:w="2693"/>
        <w:gridCol w:w="1843"/>
        <w:gridCol w:w="2551"/>
      </w:tblGrid>
      <w:tr w:rsidR="00C657FB" w:rsidRPr="009A05FB" w14:paraId="320E2625" w14:textId="77777777" w:rsidTr="005E0127">
        <w:trPr>
          <w:cantSplit/>
          <w:tblHeader/>
        </w:trPr>
        <w:tc>
          <w:tcPr>
            <w:tcW w:w="2552" w:type="dxa"/>
            <w:shd w:val="clear" w:color="auto" w:fill="B8CCE4" w:themeFill="accent1" w:themeFillTint="66"/>
            <w:vAlign w:val="center"/>
          </w:tcPr>
          <w:p w14:paraId="320E2623" w14:textId="77777777" w:rsidR="00C657FB" w:rsidRPr="009A05FB" w:rsidRDefault="00EF02B3" w:rsidP="00175FFC">
            <w:pPr>
              <w:pStyle w:val="Table-normal-text"/>
              <w:spacing w:before="120" w:after="120"/>
              <w:rPr>
                <w:rFonts w:asciiTheme="minorHAnsi" w:hAnsiTheme="minorHAnsi" w:cstheme="minorHAnsi"/>
                <w:b/>
                <w:sz w:val="22"/>
                <w:szCs w:val="22"/>
              </w:rPr>
            </w:pPr>
            <w:r w:rsidRPr="009A05FB">
              <w:rPr>
                <w:rFonts w:asciiTheme="minorHAnsi" w:hAnsiTheme="minorHAnsi" w:cstheme="minorHAnsi"/>
                <w:b/>
                <w:sz w:val="22"/>
                <w:szCs w:val="22"/>
              </w:rPr>
              <w:t>Initiative</w:t>
            </w:r>
            <w:r w:rsidR="00C657FB" w:rsidRPr="009A05FB">
              <w:rPr>
                <w:rFonts w:asciiTheme="minorHAnsi" w:hAnsiTheme="minorHAnsi" w:cstheme="minorHAnsi"/>
                <w:b/>
                <w:sz w:val="22"/>
                <w:szCs w:val="22"/>
              </w:rPr>
              <w:t xml:space="preserve"> Name</w:t>
            </w:r>
          </w:p>
        </w:tc>
        <w:tc>
          <w:tcPr>
            <w:tcW w:w="7087" w:type="dxa"/>
            <w:gridSpan w:val="3"/>
            <w:shd w:val="clear" w:color="auto" w:fill="B8CCE4" w:themeFill="accent1" w:themeFillTint="66"/>
            <w:vAlign w:val="center"/>
          </w:tcPr>
          <w:p w14:paraId="320E2624" w14:textId="6B3F21B8" w:rsidR="00C657FB" w:rsidRPr="009A05FB" w:rsidRDefault="00862B14" w:rsidP="00175FFC">
            <w:pPr>
              <w:pStyle w:val="Table-normal-text"/>
              <w:spacing w:before="120" w:after="120"/>
              <w:rPr>
                <w:rFonts w:asciiTheme="minorHAnsi" w:hAnsiTheme="minorHAnsi" w:cstheme="minorHAnsi"/>
                <w:b/>
                <w:sz w:val="22"/>
                <w:szCs w:val="22"/>
              </w:rPr>
            </w:pPr>
            <w:r>
              <w:rPr>
                <w:rFonts w:asciiTheme="minorHAnsi" w:hAnsiTheme="minorHAnsi" w:cstheme="minorHAnsi"/>
                <w:sz w:val="22"/>
                <w:szCs w:val="22"/>
                <w:lang w:eastAsia="en-AU"/>
              </w:rPr>
              <w:t xml:space="preserve">Community-based Climate Change Action Grants </w:t>
            </w:r>
          </w:p>
        </w:tc>
      </w:tr>
      <w:tr w:rsidR="00C657FB" w:rsidRPr="009A05FB" w14:paraId="320E2628" w14:textId="77777777" w:rsidTr="00511038">
        <w:trPr>
          <w:cantSplit/>
        </w:trPr>
        <w:tc>
          <w:tcPr>
            <w:tcW w:w="2552" w:type="dxa"/>
            <w:shd w:val="clear" w:color="auto" w:fill="auto"/>
          </w:tcPr>
          <w:p w14:paraId="320E2626" w14:textId="2A106363" w:rsidR="00C657FB" w:rsidRPr="009A05FB" w:rsidRDefault="00C657FB"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Aid</w:t>
            </w:r>
            <w:r w:rsidR="00EE6F8E" w:rsidRPr="009A05FB">
              <w:rPr>
                <w:rFonts w:asciiTheme="minorHAnsi" w:hAnsiTheme="minorHAnsi" w:cstheme="minorHAnsi"/>
                <w:sz w:val="22"/>
                <w:szCs w:val="22"/>
              </w:rPr>
              <w:t xml:space="preserve"> </w:t>
            </w:r>
            <w:r w:rsidRPr="009A05FB">
              <w:rPr>
                <w:rFonts w:asciiTheme="minorHAnsi" w:hAnsiTheme="minorHAnsi" w:cstheme="minorHAnsi"/>
                <w:sz w:val="22"/>
                <w:szCs w:val="22"/>
              </w:rPr>
              <w:t>Works initiative number</w:t>
            </w:r>
          </w:p>
        </w:tc>
        <w:tc>
          <w:tcPr>
            <w:tcW w:w="7087" w:type="dxa"/>
            <w:gridSpan w:val="3"/>
            <w:shd w:val="clear" w:color="auto" w:fill="auto"/>
          </w:tcPr>
          <w:p w14:paraId="320E2627" w14:textId="24219049" w:rsidR="00C657FB" w:rsidRPr="009A05FB" w:rsidRDefault="00555BB9" w:rsidP="00175FFC">
            <w:pPr>
              <w:pStyle w:val="Table-normal-text"/>
              <w:rPr>
                <w:rFonts w:asciiTheme="minorHAnsi" w:hAnsiTheme="minorHAnsi" w:cstheme="minorHAnsi"/>
                <w:sz w:val="22"/>
                <w:szCs w:val="22"/>
              </w:rPr>
            </w:pPr>
            <w:r>
              <w:rPr>
                <w:rFonts w:asciiTheme="minorHAnsi" w:hAnsiTheme="minorHAnsi" w:cstheme="minorHAnsi"/>
                <w:sz w:val="22"/>
                <w:szCs w:val="22"/>
              </w:rPr>
              <w:t>INK189</w:t>
            </w:r>
          </w:p>
        </w:tc>
      </w:tr>
      <w:tr w:rsidR="00C657FB" w:rsidRPr="009A05FB" w14:paraId="320E262D" w14:textId="77777777" w:rsidTr="00511038">
        <w:trPr>
          <w:cantSplit/>
        </w:trPr>
        <w:tc>
          <w:tcPr>
            <w:tcW w:w="2552" w:type="dxa"/>
            <w:shd w:val="clear" w:color="auto" w:fill="auto"/>
          </w:tcPr>
          <w:p w14:paraId="320E2629" w14:textId="77777777" w:rsidR="00C657FB" w:rsidRPr="009A05FB" w:rsidRDefault="00C657FB"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Commencement date</w:t>
            </w:r>
          </w:p>
        </w:tc>
        <w:tc>
          <w:tcPr>
            <w:tcW w:w="2693" w:type="dxa"/>
            <w:shd w:val="clear" w:color="auto" w:fill="auto"/>
          </w:tcPr>
          <w:p w14:paraId="320E262A" w14:textId="2B6CA9F7" w:rsidR="00C657FB" w:rsidRPr="009A05FB" w:rsidRDefault="00555BB9" w:rsidP="00175FFC">
            <w:pPr>
              <w:pStyle w:val="Table-normal-text"/>
              <w:rPr>
                <w:rFonts w:asciiTheme="minorHAnsi" w:hAnsiTheme="minorHAnsi" w:cstheme="minorHAnsi"/>
                <w:sz w:val="22"/>
                <w:szCs w:val="22"/>
              </w:rPr>
            </w:pPr>
            <w:r>
              <w:rPr>
                <w:rFonts w:asciiTheme="minorHAnsi" w:hAnsiTheme="minorHAnsi" w:cstheme="minorHAnsi"/>
                <w:sz w:val="22"/>
                <w:szCs w:val="22"/>
              </w:rPr>
              <w:t>12 October 2011</w:t>
            </w:r>
          </w:p>
        </w:tc>
        <w:tc>
          <w:tcPr>
            <w:tcW w:w="1843" w:type="dxa"/>
            <w:shd w:val="clear" w:color="auto" w:fill="auto"/>
          </w:tcPr>
          <w:p w14:paraId="320E262B" w14:textId="77777777" w:rsidR="00C657FB" w:rsidRPr="009A05FB" w:rsidRDefault="00C657FB"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Completion date</w:t>
            </w:r>
          </w:p>
        </w:tc>
        <w:tc>
          <w:tcPr>
            <w:tcW w:w="2551" w:type="dxa"/>
            <w:shd w:val="clear" w:color="auto" w:fill="auto"/>
          </w:tcPr>
          <w:p w14:paraId="320E262C" w14:textId="0571C0C3" w:rsidR="00C657FB" w:rsidRPr="009A05FB" w:rsidRDefault="00555BB9" w:rsidP="005F69D2">
            <w:pPr>
              <w:pStyle w:val="Table-normal-text"/>
              <w:rPr>
                <w:rFonts w:asciiTheme="minorHAnsi" w:hAnsiTheme="minorHAnsi" w:cstheme="minorHAnsi"/>
                <w:sz w:val="22"/>
                <w:szCs w:val="22"/>
              </w:rPr>
            </w:pPr>
            <w:r>
              <w:rPr>
                <w:rFonts w:asciiTheme="minorHAnsi" w:hAnsiTheme="minorHAnsi" w:cstheme="minorHAnsi"/>
                <w:sz w:val="22"/>
                <w:szCs w:val="22"/>
              </w:rPr>
              <w:t>28 February 2016</w:t>
            </w:r>
          </w:p>
        </w:tc>
      </w:tr>
      <w:tr w:rsidR="00C657FB" w:rsidRPr="009A05FB" w14:paraId="320E2630" w14:textId="77777777" w:rsidTr="00511038">
        <w:trPr>
          <w:cantSplit/>
        </w:trPr>
        <w:tc>
          <w:tcPr>
            <w:tcW w:w="2552" w:type="dxa"/>
            <w:shd w:val="clear" w:color="auto" w:fill="auto"/>
          </w:tcPr>
          <w:p w14:paraId="320E262E" w14:textId="77777777" w:rsidR="00C657FB" w:rsidRPr="009A05FB" w:rsidRDefault="00C657FB"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Total Australian $</w:t>
            </w:r>
          </w:p>
        </w:tc>
        <w:tc>
          <w:tcPr>
            <w:tcW w:w="7087" w:type="dxa"/>
            <w:gridSpan w:val="3"/>
            <w:shd w:val="clear" w:color="auto" w:fill="auto"/>
          </w:tcPr>
          <w:p w14:paraId="320E262F" w14:textId="53AA3F18" w:rsidR="00C657FB" w:rsidRPr="009A05FB" w:rsidRDefault="00555BB9" w:rsidP="00175FFC">
            <w:pPr>
              <w:pStyle w:val="Table-normal-text"/>
              <w:rPr>
                <w:rFonts w:asciiTheme="minorHAnsi" w:hAnsiTheme="minorHAnsi" w:cstheme="minorHAnsi"/>
                <w:sz w:val="22"/>
                <w:szCs w:val="22"/>
              </w:rPr>
            </w:pPr>
            <w:r>
              <w:rPr>
                <w:rFonts w:asciiTheme="minorHAnsi" w:hAnsiTheme="minorHAnsi" w:cstheme="minorHAnsi"/>
                <w:sz w:val="22"/>
                <w:szCs w:val="22"/>
              </w:rPr>
              <w:t>$16,931,831.95</w:t>
            </w:r>
          </w:p>
        </w:tc>
      </w:tr>
      <w:tr w:rsidR="00C657FB" w:rsidRPr="009A05FB" w14:paraId="320E2639" w14:textId="77777777" w:rsidTr="00511038">
        <w:trPr>
          <w:cantSplit/>
        </w:trPr>
        <w:tc>
          <w:tcPr>
            <w:tcW w:w="2552" w:type="dxa"/>
            <w:shd w:val="clear" w:color="auto" w:fill="auto"/>
          </w:tcPr>
          <w:p w14:paraId="320E2637" w14:textId="77777777" w:rsidR="00C657FB" w:rsidRPr="009A05FB" w:rsidRDefault="00C657FB" w:rsidP="00845B17">
            <w:pPr>
              <w:pStyle w:val="Table-normal-text"/>
              <w:rPr>
                <w:rFonts w:asciiTheme="minorHAnsi" w:hAnsiTheme="minorHAnsi" w:cstheme="minorHAnsi"/>
                <w:sz w:val="22"/>
                <w:szCs w:val="22"/>
              </w:rPr>
            </w:pPr>
            <w:r w:rsidRPr="009A05FB">
              <w:rPr>
                <w:rFonts w:asciiTheme="minorHAnsi" w:hAnsiTheme="minorHAnsi" w:cstheme="minorHAnsi"/>
                <w:sz w:val="22"/>
                <w:szCs w:val="22"/>
              </w:rPr>
              <w:t xml:space="preserve">Implementing </w:t>
            </w:r>
            <w:r w:rsidR="00845B17" w:rsidRPr="009A05FB">
              <w:rPr>
                <w:rFonts w:asciiTheme="minorHAnsi" w:hAnsiTheme="minorHAnsi" w:cstheme="minorHAnsi"/>
                <w:sz w:val="22"/>
                <w:szCs w:val="22"/>
              </w:rPr>
              <w:t>partner</w:t>
            </w:r>
            <w:r w:rsidRPr="009A05FB">
              <w:rPr>
                <w:rFonts w:asciiTheme="minorHAnsi" w:hAnsiTheme="minorHAnsi" w:cstheme="minorHAnsi"/>
                <w:sz w:val="22"/>
                <w:szCs w:val="22"/>
              </w:rPr>
              <w:t>(s)</w:t>
            </w:r>
          </w:p>
        </w:tc>
        <w:tc>
          <w:tcPr>
            <w:tcW w:w="7087" w:type="dxa"/>
            <w:gridSpan w:val="3"/>
            <w:shd w:val="clear" w:color="auto" w:fill="auto"/>
          </w:tcPr>
          <w:p w14:paraId="320E2638" w14:textId="133A05C5" w:rsidR="00C657FB" w:rsidRPr="009A05FB" w:rsidRDefault="00474DB9" w:rsidP="00F1122B">
            <w:pPr>
              <w:pStyle w:val="Table-normal-text"/>
              <w:rPr>
                <w:rFonts w:asciiTheme="minorHAnsi" w:hAnsiTheme="minorHAnsi" w:cstheme="minorHAnsi"/>
                <w:sz w:val="22"/>
                <w:szCs w:val="22"/>
              </w:rPr>
            </w:pPr>
            <w:r>
              <w:rPr>
                <w:rFonts w:asciiTheme="minorHAnsi" w:hAnsiTheme="minorHAnsi" w:cstheme="minorHAnsi"/>
                <w:sz w:val="22"/>
                <w:szCs w:val="22"/>
              </w:rPr>
              <w:t>CBCCAG was implemented in partnership with</w:t>
            </w:r>
            <w:r w:rsidR="00F1122B">
              <w:rPr>
                <w:rFonts w:asciiTheme="minorHAnsi" w:hAnsiTheme="minorHAnsi" w:cstheme="minorHAnsi"/>
                <w:sz w:val="22"/>
                <w:szCs w:val="22"/>
              </w:rPr>
              <w:t xml:space="preserve"> multiple</w:t>
            </w:r>
            <w:r>
              <w:rPr>
                <w:rFonts w:asciiTheme="minorHAnsi" w:hAnsiTheme="minorHAnsi" w:cstheme="minorHAnsi"/>
                <w:sz w:val="22"/>
                <w:szCs w:val="22"/>
              </w:rPr>
              <w:t xml:space="preserve"> </w:t>
            </w:r>
            <w:r w:rsidR="000E6672">
              <w:rPr>
                <w:rFonts w:asciiTheme="minorHAnsi" w:hAnsiTheme="minorHAnsi" w:cstheme="minorHAnsi"/>
                <w:sz w:val="22"/>
                <w:szCs w:val="22"/>
              </w:rPr>
              <w:t>Non-Government Organisations</w:t>
            </w:r>
            <w:r>
              <w:rPr>
                <w:rFonts w:asciiTheme="minorHAnsi" w:hAnsiTheme="minorHAnsi" w:cstheme="minorHAnsi"/>
                <w:sz w:val="22"/>
                <w:szCs w:val="22"/>
              </w:rPr>
              <w:t xml:space="preserve">, including: </w:t>
            </w:r>
            <w:r w:rsidR="00796E22">
              <w:rPr>
                <w:rFonts w:asciiTheme="minorHAnsi" w:hAnsiTheme="minorHAnsi" w:cstheme="minorHAnsi"/>
                <w:sz w:val="22"/>
                <w:szCs w:val="22"/>
                <w:lang w:val="en-US"/>
              </w:rPr>
              <w:t>Oxfam, CARE Australia,</w:t>
            </w:r>
            <w:r w:rsidR="00796E22">
              <w:rPr>
                <w:rFonts w:asciiTheme="minorHAnsi" w:hAnsiTheme="minorHAnsi" w:cstheme="minorHAnsi"/>
                <w:sz w:val="22"/>
                <w:szCs w:val="22"/>
              </w:rPr>
              <w:t xml:space="preserve"> Save the Children</w:t>
            </w:r>
            <w:r w:rsidR="00F1122B">
              <w:rPr>
                <w:rFonts w:asciiTheme="minorHAnsi" w:hAnsiTheme="minorHAnsi" w:cstheme="minorHAnsi"/>
                <w:sz w:val="22"/>
                <w:szCs w:val="22"/>
              </w:rPr>
              <w:t xml:space="preserve"> International</w:t>
            </w:r>
            <w:r w:rsidR="00796E22">
              <w:rPr>
                <w:rFonts w:asciiTheme="minorHAnsi" w:hAnsiTheme="minorHAnsi" w:cstheme="minorHAnsi"/>
                <w:sz w:val="22"/>
                <w:szCs w:val="22"/>
              </w:rPr>
              <w:t>,</w:t>
            </w:r>
            <w:r w:rsidR="00796E22" w:rsidRPr="00930041">
              <w:rPr>
                <w:rFonts w:asciiTheme="minorHAnsi" w:hAnsiTheme="minorHAnsi" w:cstheme="minorHAnsi"/>
                <w:sz w:val="22"/>
                <w:szCs w:val="22"/>
                <w:lang w:val="en-US"/>
              </w:rPr>
              <w:t xml:space="preserve"> </w:t>
            </w:r>
            <w:r w:rsidR="00930041" w:rsidRPr="00930041">
              <w:rPr>
                <w:rFonts w:asciiTheme="minorHAnsi" w:hAnsiTheme="minorHAnsi" w:cstheme="minorHAnsi"/>
                <w:sz w:val="22"/>
                <w:szCs w:val="22"/>
                <w:lang w:val="en-US"/>
              </w:rPr>
              <w:t xml:space="preserve">Act for Peace, Live </w:t>
            </w:r>
            <w:r w:rsidR="00F1122B">
              <w:rPr>
                <w:rFonts w:asciiTheme="minorHAnsi" w:hAnsiTheme="minorHAnsi" w:cstheme="minorHAnsi"/>
                <w:sz w:val="22"/>
                <w:szCs w:val="22"/>
                <w:lang w:val="en-US"/>
              </w:rPr>
              <w:t>&amp;</w:t>
            </w:r>
            <w:r w:rsidR="00930041" w:rsidRPr="00930041">
              <w:rPr>
                <w:rFonts w:asciiTheme="minorHAnsi" w:hAnsiTheme="minorHAnsi" w:cstheme="minorHAnsi"/>
                <w:sz w:val="22"/>
                <w:szCs w:val="22"/>
                <w:lang w:val="en-US"/>
              </w:rPr>
              <w:t xml:space="preserve"> Learn, The Nature Conservancy and Plan International</w:t>
            </w:r>
            <w:r w:rsidR="00930041">
              <w:rPr>
                <w:rFonts w:asciiTheme="minorHAnsi" w:hAnsiTheme="minorHAnsi" w:cstheme="minorHAnsi"/>
                <w:sz w:val="22"/>
                <w:szCs w:val="22"/>
                <w:lang w:val="en-US"/>
              </w:rPr>
              <w:t>.</w:t>
            </w:r>
          </w:p>
        </w:tc>
      </w:tr>
      <w:tr w:rsidR="00C657FB" w:rsidRPr="009A05FB" w14:paraId="320E263C" w14:textId="77777777" w:rsidTr="00511038">
        <w:trPr>
          <w:cantSplit/>
        </w:trPr>
        <w:tc>
          <w:tcPr>
            <w:tcW w:w="2552" w:type="dxa"/>
            <w:shd w:val="clear" w:color="auto" w:fill="auto"/>
          </w:tcPr>
          <w:p w14:paraId="320E263A" w14:textId="77777777" w:rsidR="00C657FB" w:rsidRPr="009A05FB" w:rsidRDefault="00C657FB"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Country/Region</w:t>
            </w:r>
          </w:p>
        </w:tc>
        <w:tc>
          <w:tcPr>
            <w:tcW w:w="7087" w:type="dxa"/>
            <w:gridSpan w:val="3"/>
            <w:shd w:val="clear" w:color="auto" w:fill="auto"/>
          </w:tcPr>
          <w:p w14:paraId="320E263B" w14:textId="42DB4666" w:rsidR="00C657FB" w:rsidRPr="009A05FB" w:rsidRDefault="00474DB9" w:rsidP="00175FFC">
            <w:pPr>
              <w:pStyle w:val="Table-normal-text"/>
              <w:rPr>
                <w:rFonts w:asciiTheme="minorHAnsi" w:hAnsiTheme="minorHAnsi" w:cstheme="minorHAnsi"/>
                <w:sz w:val="22"/>
                <w:szCs w:val="22"/>
              </w:rPr>
            </w:pPr>
            <w:r>
              <w:rPr>
                <w:rFonts w:asciiTheme="minorHAnsi" w:hAnsiTheme="minorHAnsi" w:cstheme="minorHAnsi"/>
                <w:sz w:val="22"/>
                <w:szCs w:val="22"/>
              </w:rPr>
              <w:t>Vietnam, Timor Leste, Philippines, PNG, Solomon Islands, Vanuatu, Kiribati, Republic of Marshall Islands, Tonga</w:t>
            </w:r>
            <w:r w:rsidR="00DE20C8">
              <w:rPr>
                <w:rFonts w:asciiTheme="minorHAnsi" w:hAnsiTheme="minorHAnsi" w:cstheme="minorHAnsi"/>
                <w:sz w:val="22"/>
                <w:szCs w:val="22"/>
              </w:rPr>
              <w:t>.</w:t>
            </w:r>
          </w:p>
        </w:tc>
      </w:tr>
      <w:tr w:rsidR="00C657FB" w:rsidRPr="009A05FB" w14:paraId="320E263F" w14:textId="77777777" w:rsidTr="00511038">
        <w:trPr>
          <w:cantSplit/>
        </w:trPr>
        <w:tc>
          <w:tcPr>
            <w:tcW w:w="2552" w:type="dxa"/>
            <w:shd w:val="clear" w:color="auto" w:fill="auto"/>
          </w:tcPr>
          <w:p w14:paraId="320E263D" w14:textId="77777777" w:rsidR="00C657FB" w:rsidRPr="009A05FB" w:rsidRDefault="00C657FB" w:rsidP="00845B17">
            <w:pPr>
              <w:pStyle w:val="Table-normal-text"/>
              <w:rPr>
                <w:rFonts w:asciiTheme="minorHAnsi" w:hAnsiTheme="minorHAnsi" w:cstheme="minorHAnsi"/>
                <w:sz w:val="22"/>
                <w:szCs w:val="22"/>
              </w:rPr>
            </w:pPr>
            <w:r w:rsidRPr="009A05FB">
              <w:rPr>
                <w:rFonts w:asciiTheme="minorHAnsi" w:hAnsiTheme="minorHAnsi" w:cstheme="minorHAnsi"/>
                <w:sz w:val="22"/>
                <w:szCs w:val="22"/>
              </w:rPr>
              <w:t xml:space="preserve">Primary </w:t>
            </w:r>
            <w:r w:rsidR="00845B17" w:rsidRPr="009A05FB">
              <w:rPr>
                <w:rFonts w:asciiTheme="minorHAnsi" w:hAnsiTheme="minorHAnsi" w:cstheme="minorHAnsi"/>
                <w:sz w:val="22"/>
                <w:szCs w:val="22"/>
              </w:rPr>
              <w:t>sector</w:t>
            </w:r>
          </w:p>
        </w:tc>
        <w:tc>
          <w:tcPr>
            <w:tcW w:w="7087" w:type="dxa"/>
            <w:gridSpan w:val="3"/>
            <w:shd w:val="clear" w:color="auto" w:fill="auto"/>
          </w:tcPr>
          <w:p w14:paraId="320E263E" w14:textId="71289A7B" w:rsidR="00C657FB" w:rsidRPr="009A05FB" w:rsidRDefault="00474DB9" w:rsidP="00582E8A">
            <w:pPr>
              <w:pStyle w:val="Table-normal-text"/>
              <w:rPr>
                <w:rFonts w:asciiTheme="minorHAnsi" w:hAnsiTheme="minorHAnsi" w:cstheme="minorHAnsi"/>
                <w:sz w:val="22"/>
                <w:szCs w:val="22"/>
              </w:rPr>
            </w:pPr>
            <w:r>
              <w:rPr>
                <w:rFonts w:asciiTheme="minorHAnsi" w:hAnsiTheme="minorHAnsi" w:cstheme="minorHAnsi"/>
                <w:sz w:val="22"/>
                <w:szCs w:val="22"/>
              </w:rPr>
              <w:t>Adaptation and mitigation to climate change</w:t>
            </w:r>
            <w:r w:rsidR="00DE20C8">
              <w:rPr>
                <w:rFonts w:asciiTheme="minorHAnsi" w:hAnsiTheme="minorHAnsi" w:cstheme="minorHAnsi"/>
                <w:sz w:val="22"/>
                <w:szCs w:val="22"/>
              </w:rPr>
              <w:t>.</w:t>
            </w:r>
          </w:p>
        </w:tc>
      </w:tr>
      <w:tr w:rsidR="00C657FB" w:rsidRPr="009A05FB" w14:paraId="320E2642" w14:textId="77777777" w:rsidTr="00511038">
        <w:trPr>
          <w:cantSplit/>
          <w:trHeight w:val="1187"/>
        </w:trPr>
        <w:tc>
          <w:tcPr>
            <w:tcW w:w="2552" w:type="dxa"/>
            <w:shd w:val="clear" w:color="auto" w:fill="auto"/>
          </w:tcPr>
          <w:p w14:paraId="320E2640" w14:textId="77777777" w:rsidR="00C657FB" w:rsidRPr="009A05FB" w:rsidRDefault="00390A59"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Initiative</w:t>
            </w:r>
            <w:r w:rsidR="00C657FB" w:rsidRPr="009A05FB">
              <w:rPr>
                <w:rFonts w:asciiTheme="minorHAnsi" w:hAnsiTheme="minorHAnsi" w:cstheme="minorHAnsi"/>
                <w:sz w:val="22"/>
                <w:szCs w:val="22"/>
              </w:rPr>
              <w:t xml:space="preserve"> objective</w:t>
            </w:r>
            <w:r w:rsidR="00614E79" w:rsidRPr="009A05FB">
              <w:rPr>
                <w:rFonts w:asciiTheme="minorHAnsi" w:hAnsiTheme="minorHAnsi" w:cstheme="minorHAnsi"/>
                <w:sz w:val="22"/>
                <w:szCs w:val="22"/>
              </w:rPr>
              <w:t>/s</w:t>
            </w:r>
          </w:p>
        </w:tc>
        <w:tc>
          <w:tcPr>
            <w:tcW w:w="7087" w:type="dxa"/>
            <w:gridSpan w:val="3"/>
            <w:shd w:val="clear" w:color="auto" w:fill="auto"/>
          </w:tcPr>
          <w:p w14:paraId="320E2641" w14:textId="2DFB59DC" w:rsidR="00A60A50" w:rsidRPr="009A05FB" w:rsidRDefault="00474DB9" w:rsidP="00474DB9">
            <w:pPr>
              <w:pStyle w:val="Table-normal-text"/>
              <w:rPr>
                <w:rFonts w:asciiTheme="minorHAnsi" w:hAnsiTheme="minorHAnsi" w:cstheme="minorHAnsi"/>
                <w:sz w:val="22"/>
                <w:szCs w:val="22"/>
              </w:rPr>
            </w:pPr>
            <w:r w:rsidRPr="00474DB9">
              <w:rPr>
                <w:rFonts w:asciiTheme="minorHAnsi" w:hAnsiTheme="minorHAnsi" w:cstheme="minorHAnsi"/>
                <w:sz w:val="22"/>
                <w:szCs w:val="22"/>
              </w:rPr>
              <w:t xml:space="preserve">The Community-based Climate Change Action Grants support community-based adaptation and mitigation activities in developing countries in partnership with non-government organisations. The objectives of the program are to: increase the resilience of communities in developing countries to the unavoidable impacts of climate change; and reduce or avoid greenhouse gas emissions while also contributing to development priorities in the target communities. </w:t>
            </w:r>
          </w:p>
        </w:tc>
      </w:tr>
    </w:tbl>
    <w:p w14:paraId="105E0B52" w14:textId="2E282869" w:rsidR="00582E8A" w:rsidRPr="009A05FB" w:rsidRDefault="00582E8A" w:rsidP="00582E8A">
      <w:pPr>
        <w:pStyle w:val="Heading2"/>
        <w:rPr>
          <w:rFonts w:asciiTheme="minorHAnsi" w:hAnsiTheme="minorHAnsi" w:cstheme="minorHAnsi"/>
          <w:caps/>
        </w:rPr>
      </w:pPr>
      <w:r w:rsidRPr="009A05FB">
        <w:rPr>
          <w:rFonts w:asciiTheme="minorHAnsi" w:hAnsiTheme="minorHAnsi" w:cstheme="minorHAnsi"/>
          <w:caps/>
        </w:rPr>
        <w:t>Initiative Summary</w:t>
      </w:r>
      <w:r w:rsidR="005E0127" w:rsidRPr="009A05FB">
        <w:rPr>
          <w:rFonts w:asciiTheme="minorHAnsi" w:hAnsiTheme="minorHAnsi" w:cstheme="minorHAnsi"/>
          <w:caps/>
        </w:rPr>
        <w:t xml:space="preserve"> </w:t>
      </w:r>
    </w:p>
    <w:p w14:paraId="36FD54EE" w14:textId="223AC5CA" w:rsidR="00930041" w:rsidRPr="00930041" w:rsidRDefault="008D6123" w:rsidP="00CD6AD1">
      <w:pPr>
        <w:spacing w:before="0" w:after="120"/>
        <w:rPr>
          <w:rFonts w:asciiTheme="minorHAnsi" w:hAnsiTheme="minorHAnsi" w:cstheme="minorHAnsi"/>
          <w:sz w:val="22"/>
          <w:szCs w:val="22"/>
        </w:rPr>
      </w:pPr>
      <w:r w:rsidRPr="008D6123">
        <w:rPr>
          <w:rFonts w:asciiTheme="minorHAnsi" w:hAnsiTheme="minorHAnsi" w:cstheme="minorHAnsi"/>
          <w:sz w:val="22"/>
          <w:szCs w:val="22"/>
        </w:rPr>
        <w:t>The Community-based Climate Change Action Grants (CBCCAG) program supports community-based adaptation (CBA) and mitigation activities in developing countries.</w:t>
      </w:r>
      <w:r>
        <w:rPr>
          <w:rFonts w:asciiTheme="minorHAnsi" w:hAnsiTheme="minorHAnsi" w:cstheme="minorHAnsi"/>
          <w:sz w:val="22"/>
          <w:szCs w:val="22"/>
        </w:rPr>
        <w:t xml:space="preserve"> </w:t>
      </w:r>
      <w:r w:rsidR="00930041" w:rsidRPr="00930041">
        <w:rPr>
          <w:rFonts w:asciiTheme="minorHAnsi" w:hAnsiTheme="minorHAnsi" w:cstheme="minorHAnsi"/>
          <w:sz w:val="22"/>
          <w:szCs w:val="22"/>
        </w:rPr>
        <w:t>The CBCCAG co-invested with a range of NGOs, including Oxfam, CARE Australia, Act for Peace, Live and Learn, The Nature Cons</w:t>
      </w:r>
      <w:r w:rsidR="00CD6AD1">
        <w:rPr>
          <w:rFonts w:asciiTheme="minorHAnsi" w:hAnsiTheme="minorHAnsi" w:cstheme="minorHAnsi"/>
          <w:sz w:val="22"/>
          <w:szCs w:val="22"/>
        </w:rPr>
        <w:t xml:space="preserve">ervancy and Plan International. </w:t>
      </w:r>
    </w:p>
    <w:p w14:paraId="0D91D6CA" w14:textId="3063AFDE" w:rsidR="00930041" w:rsidRPr="00930041" w:rsidRDefault="00930041" w:rsidP="00CD6AD1">
      <w:pPr>
        <w:spacing w:before="0" w:after="120"/>
        <w:rPr>
          <w:rFonts w:asciiTheme="minorHAnsi" w:hAnsiTheme="minorHAnsi" w:cstheme="minorHAnsi"/>
          <w:sz w:val="22"/>
          <w:szCs w:val="22"/>
        </w:rPr>
      </w:pPr>
      <w:r w:rsidRPr="00930041">
        <w:rPr>
          <w:rFonts w:asciiTheme="minorHAnsi" w:hAnsiTheme="minorHAnsi" w:cstheme="minorHAnsi"/>
          <w:sz w:val="22"/>
          <w:szCs w:val="22"/>
        </w:rPr>
        <w:t>The program forms part of Australia’s international ‘fast-start’ commitment of $599 million (2010-2013), building on the outcomes and achievements of previous support for community-based adaptation activities.</w:t>
      </w:r>
      <w:r w:rsidR="00CD6AD1">
        <w:rPr>
          <w:rFonts w:asciiTheme="minorHAnsi" w:hAnsiTheme="minorHAnsi" w:cstheme="minorHAnsi"/>
          <w:sz w:val="22"/>
          <w:szCs w:val="22"/>
        </w:rPr>
        <w:t xml:space="preserve"> T</w:t>
      </w:r>
      <w:r w:rsidRPr="00930041">
        <w:rPr>
          <w:rFonts w:asciiTheme="minorHAnsi" w:hAnsiTheme="minorHAnsi" w:cstheme="minorHAnsi"/>
          <w:sz w:val="22"/>
          <w:szCs w:val="22"/>
        </w:rPr>
        <w:t>he program builds on Australia’s previous support for community-level adaptation activities in developing countries and complements Australia’s support for small-scale community-based work through the Global Environment Facility’s Small Grants Program.</w:t>
      </w:r>
    </w:p>
    <w:p w14:paraId="320E2643" w14:textId="62B9D41C" w:rsidR="00C657FB" w:rsidRPr="009A05FB" w:rsidRDefault="008D6694" w:rsidP="00C657FB">
      <w:pPr>
        <w:pStyle w:val="Heading2"/>
        <w:rPr>
          <w:rFonts w:asciiTheme="minorHAnsi" w:hAnsiTheme="minorHAnsi" w:cstheme="minorHAnsi"/>
          <w:caps/>
        </w:rPr>
      </w:pPr>
      <w:r>
        <w:rPr>
          <w:rFonts w:asciiTheme="minorHAnsi" w:hAnsiTheme="minorHAnsi" w:cstheme="minorHAnsi"/>
          <w:caps/>
        </w:rPr>
        <w:t>Evaluation</w:t>
      </w:r>
      <w:r w:rsidR="00C657FB" w:rsidRPr="009A05FB">
        <w:rPr>
          <w:rFonts w:asciiTheme="minorHAnsi" w:hAnsiTheme="minorHAnsi" w:cstheme="minorHAnsi"/>
          <w:caps/>
        </w:rPr>
        <w:t xml:space="preserve"> Summary</w:t>
      </w:r>
    </w:p>
    <w:p w14:paraId="71F66D67" w14:textId="15D00C12" w:rsidR="006A0BA6" w:rsidRPr="006A0BA6" w:rsidRDefault="00C657FB" w:rsidP="00C657FB">
      <w:pPr>
        <w:rPr>
          <w:rFonts w:asciiTheme="minorHAnsi" w:hAnsiTheme="minorHAnsi" w:cstheme="minorHAnsi"/>
          <w:sz w:val="22"/>
          <w:szCs w:val="22"/>
        </w:rPr>
      </w:pPr>
      <w:r w:rsidRPr="009A05FB">
        <w:rPr>
          <w:rFonts w:asciiTheme="minorHAnsi" w:hAnsiTheme="minorHAnsi" w:cstheme="minorHAnsi"/>
          <w:b/>
          <w:sz w:val="22"/>
          <w:szCs w:val="22"/>
        </w:rPr>
        <w:t xml:space="preserve">Objective: </w:t>
      </w:r>
      <w:r w:rsidR="00C75067" w:rsidRPr="009A05FB">
        <w:rPr>
          <w:rFonts w:asciiTheme="minorHAnsi" w:hAnsiTheme="minorHAnsi" w:cstheme="minorHAnsi"/>
          <w:sz w:val="22"/>
          <w:szCs w:val="22"/>
        </w:rPr>
        <w:t xml:space="preserve">The purpose of the </w:t>
      </w:r>
      <w:r w:rsidR="005B5A5A">
        <w:rPr>
          <w:rFonts w:asciiTheme="minorHAnsi" w:hAnsiTheme="minorHAnsi" w:cstheme="minorHAnsi"/>
          <w:sz w:val="22"/>
          <w:szCs w:val="22"/>
        </w:rPr>
        <w:t>independent evaluation</w:t>
      </w:r>
      <w:r w:rsidR="00C75067" w:rsidRPr="009A05FB">
        <w:rPr>
          <w:rFonts w:asciiTheme="minorHAnsi" w:hAnsiTheme="minorHAnsi" w:cstheme="minorHAnsi"/>
          <w:sz w:val="22"/>
          <w:szCs w:val="22"/>
        </w:rPr>
        <w:t xml:space="preserve"> </w:t>
      </w:r>
      <w:r w:rsidR="00BD74CB">
        <w:rPr>
          <w:rFonts w:asciiTheme="minorHAnsi" w:hAnsiTheme="minorHAnsi" w:cstheme="minorHAnsi"/>
          <w:sz w:val="22"/>
          <w:szCs w:val="22"/>
        </w:rPr>
        <w:t>is</w:t>
      </w:r>
      <w:r w:rsidR="00C75067" w:rsidRPr="009A05FB">
        <w:rPr>
          <w:rFonts w:asciiTheme="minorHAnsi" w:hAnsiTheme="minorHAnsi" w:cstheme="minorHAnsi"/>
          <w:sz w:val="22"/>
          <w:szCs w:val="22"/>
        </w:rPr>
        <w:t xml:space="preserve"> to inform </w:t>
      </w:r>
      <w:r w:rsidR="002D6948" w:rsidRPr="009A05FB">
        <w:rPr>
          <w:rFonts w:ascii="Calibri" w:hAnsi="Calibri" w:cs="Calibri"/>
          <w:sz w:val="24"/>
        </w:rPr>
        <w:t xml:space="preserve">DFAT’s </w:t>
      </w:r>
      <w:r w:rsidR="00C75067" w:rsidRPr="009A05FB">
        <w:rPr>
          <w:rFonts w:asciiTheme="minorHAnsi" w:hAnsiTheme="minorHAnsi" w:cstheme="minorHAnsi"/>
          <w:sz w:val="22"/>
          <w:szCs w:val="22"/>
        </w:rPr>
        <w:t xml:space="preserve">future </w:t>
      </w:r>
      <w:r w:rsidR="005B5A5A">
        <w:rPr>
          <w:rFonts w:asciiTheme="minorHAnsi" w:hAnsiTheme="minorHAnsi" w:cstheme="minorHAnsi"/>
          <w:sz w:val="22"/>
          <w:szCs w:val="22"/>
        </w:rPr>
        <w:t>investments in climate change adaptation and mitigation</w:t>
      </w:r>
      <w:r w:rsidR="00BD74CB">
        <w:rPr>
          <w:rFonts w:asciiTheme="minorHAnsi" w:hAnsiTheme="minorHAnsi" w:cstheme="minorHAnsi"/>
          <w:sz w:val="22"/>
          <w:szCs w:val="22"/>
        </w:rPr>
        <w:t xml:space="preserve"> programs</w:t>
      </w:r>
      <w:r w:rsidR="00C75067" w:rsidRPr="009A05FB">
        <w:rPr>
          <w:rFonts w:asciiTheme="minorHAnsi" w:hAnsiTheme="minorHAnsi" w:cstheme="minorHAnsi"/>
          <w:sz w:val="22"/>
          <w:szCs w:val="22"/>
        </w:rPr>
        <w:t xml:space="preserve"> and</w:t>
      </w:r>
      <w:r w:rsidR="00E71ABD" w:rsidRPr="009A05FB">
        <w:rPr>
          <w:rFonts w:asciiTheme="minorHAnsi" w:hAnsiTheme="minorHAnsi" w:cstheme="minorHAnsi"/>
          <w:sz w:val="22"/>
          <w:szCs w:val="22"/>
        </w:rPr>
        <w:t xml:space="preserve"> provide guidance on</w:t>
      </w:r>
      <w:r w:rsidR="00C75067" w:rsidRPr="009A05FB">
        <w:rPr>
          <w:rFonts w:asciiTheme="minorHAnsi" w:hAnsiTheme="minorHAnsi" w:cstheme="minorHAnsi"/>
          <w:sz w:val="22"/>
          <w:szCs w:val="22"/>
        </w:rPr>
        <w:t xml:space="preserve"> strategic issues pertaining to </w:t>
      </w:r>
      <w:r w:rsidR="002D6948" w:rsidRPr="009A05FB">
        <w:rPr>
          <w:rFonts w:ascii="Calibri" w:hAnsi="Calibri" w:cs="Calibri"/>
          <w:sz w:val="24"/>
        </w:rPr>
        <w:t>DFAT’s</w:t>
      </w:r>
      <w:r w:rsidR="002D6948" w:rsidRPr="009A05FB">
        <w:rPr>
          <w:rFonts w:asciiTheme="minorHAnsi" w:hAnsiTheme="minorHAnsi" w:cstheme="minorHAnsi"/>
          <w:sz w:val="22"/>
          <w:szCs w:val="22"/>
        </w:rPr>
        <w:t xml:space="preserve"> </w:t>
      </w:r>
      <w:r w:rsidR="006D1719" w:rsidRPr="009A05FB">
        <w:rPr>
          <w:rFonts w:asciiTheme="minorHAnsi" w:hAnsiTheme="minorHAnsi" w:cstheme="minorHAnsi"/>
          <w:sz w:val="22"/>
          <w:szCs w:val="22"/>
        </w:rPr>
        <w:t>broader</w:t>
      </w:r>
      <w:r w:rsidR="00C75067" w:rsidRPr="009A05FB">
        <w:rPr>
          <w:rFonts w:asciiTheme="minorHAnsi" w:hAnsiTheme="minorHAnsi" w:cstheme="minorHAnsi"/>
          <w:sz w:val="22"/>
          <w:szCs w:val="22"/>
        </w:rPr>
        <w:t xml:space="preserve"> </w:t>
      </w:r>
      <w:r w:rsidR="005B5A5A">
        <w:rPr>
          <w:rFonts w:asciiTheme="minorHAnsi" w:hAnsiTheme="minorHAnsi" w:cstheme="minorHAnsi"/>
          <w:sz w:val="22"/>
          <w:szCs w:val="22"/>
        </w:rPr>
        <w:t xml:space="preserve">climate change </w:t>
      </w:r>
      <w:r w:rsidR="00C75067" w:rsidRPr="009A05FB">
        <w:rPr>
          <w:rFonts w:asciiTheme="minorHAnsi" w:hAnsiTheme="minorHAnsi" w:cstheme="minorHAnsi"/>
          <w:sz w:val="22"/>
          <w:szCs w:val="22"/>
        </w:rPr>
        <w:t xml:space="preserve">programming. </w:t>
      </w:r>
      <w:r w:rsidR="0000445C" w:rsidRPr="0000445C">
        <w:rPr>
          <w:rFonts w:asciiTheme="minorHAnsi" w:hAnsiTheme="minorHAnsi" w:cstheme="minorHAnsi"/>
          <w:sz w:val="22"/>
          <w:szCs w:val="22"/>
        </w:rPr>
        <w:t xml:space="preserve">The NGOs managing the projects are an equally important audience, having an interest in the outcomes and lessons as they apply to the design and implementation of comparable future work. </w:t>
      </w:r>
    </w:p>
    <w:p w14:paraId="460B9CA9" w14:textId="4098132A" w:rsidR="007D0EB1" w:rsidRPr="008D6694" w:rsidRDefault="00A2696D" w:rsidP="000D316D">
      <w:pPr>
        <w:rPr>
          <w:rFonts w:asciiTheme="minorHAnsi" w:hAnsiTheme="minorHAnsi" w:cstheme="minorHAnsi"/>
          <w:sz w:val="22"/>
          <w:szCs w:val="22"/>
        </w:rPr>
      </w:pPr>
      <w:r>
        <w:rPr>
          <w:rFonts w:asciiTheme="minorHAnsi" w:hAnsiTheme="minorHAnsi" w:cstheme="minorHAnsi"/>
          <w:b/>
          <w:sz w:val="22"/>
          <w:szCs w:val="22"/>
        </w:rPr>
        <w:t>Evaluation</w:t>
      </w:r>
      <w:r w:rsidR="00C657FB" w:rsidRPr="009A05FB">
        <w:rPr>
          <w:rFonts w:asciiTheme="minorHAnsi" w:hAnsiTheme="minorHAnsi" w:cstheme="minorHAnsi"/>
          <w:b/>
          <w:sz w:val="22"/>
          <w:szCs w:val="22"/>
        </w:rPr>
        <w:t xml:space="preserve"> Team:</w:t>
      </w:r>
      <w:r w:rsidR="00E84132" w:rsidRPr="009A05FB">
        <w:rPr>
          <w:rFonts w:asciiTheme="minorHAnsi" w:hAnsiTheme="minorHAnsi" w:cstheme="minorHAnsi"/>
          <w:b/>
          <w:sz w:val="22"/>
          <w:szCs w:val="22"/>
        </w:rPr>
        <w:t xml:space="preserve"> </w:t>
      </w:r>
      <w:r w:rsidR="0000445C" w:rsidRPr="009A05FB">
        <w:rPr>
          <w:rFonts w:asciiTheme="minorHAnsi" w:hAnsiTheme="minorHAnsi" w:cstheme="minorHAnsi"/>
          <w:sz w:val="22"/>
          <w:szCs w:val="22"/>
        </w:rPr>
        <w:t xml:space="preserve">The independent </w:t>
      </w:r>
      <w:r w:rsidR="0000445C">
        <w:rPr>
          <w:rFonts w:asciiTheme="minorHAnsi" w:hAnsiTheme="minorHAnsi" w:cstheme="minorHAnsi"/>
          <w:sz w:val="22"/>
          <w:szCs w:val="22"/>
        </w:rPr>
        <w:t>evaluation</w:t>
      </w:r>
      <w:r w:rsidR="0000445C" w:rsidRPr="009A05FB">
        <w:rPr>
          <w:rFonts w:asciiTheme="minorHAnsi" w:hAnsiTheme="minorHAnsi" w:cstheme="minorHAnsi"/>
          <w:sz w:val="22"/>
          <w:szCs w:val="22"/>
        </w:rPr>
        <w:t xml:space="preserve"> is the result of a comprehensive review process involving broad stakeholder consultation and involvement</w:t>
      </w:r>
      <w:r w:rsidR="0000445C">
        <w:rPr>
          <w:rFonts w:asciiTheme="minorHAnsi" w:hAnsiTheme="minorHAnsi" w:cstheme="minorHAnsi"/>
          <w:sz w:val="22"/>
          <w:szCs w:val="22"/>
        </w:rPr>
        <w:t xml:space="preserve">. </w:t>
      </w:r>
      <w:r>
        <w:rPr>
          <w:rFonts w:asciiTheme="minorHAnsi" w:hAnsiTheme="minorHAnsi" w:cstheme="minorHAnsi"/>
          <w:sz w:val="22"/>
          <w:szCs w:val="22"/>
        </w:rPr>
        <w:t xml:space="preserve">The evaluation team was conducted by a specialist team from Griffin </w:t>
      </w:r>
      <w:r w:rsidR="003F5C21">
        <w:rPr>
          <w:rFonts w:asciiTheme="minorHAnsi" w:hAnsiTheme="minorHAnsi" w:cstheme="minorHAnsi"/>
          <w:sz w:val="22"/>
          <w:szCs w:val="22"/>
        </w:rPr>
        <w:t xml:space="preserve">NRM </w:t>
      </w:r>
      <w:r>
        <w:rPr>
          <w:rFonts w:asciiTheme="minorHAnsi" w:hAnsiTheme="minorHAnsi" w:cstheme="minorHAnsi"/>
          <w:sz w:val="22"/>
          <w:szCs w:val="22"/>
        </w:rPr>
        <w:t xml:space="preserve">Pty Ltd, comprising: Dr. Kate Duggan (climate change specialist); and Bruce Bailey (monitoring and evaluation specialist). </w:t>
      </w:r>
    </w:p>
    <w:p w14:paraId="320E264A" w14:textId="3405B668" w:rsidR="005E3939" w:rsidRPr="009A05FB" w:rsidRDefault="005F52C0" w:rsidP="000D316D">
      <w:pPr>
        <w:rPr>
          <w:rFonts w:asciiTheme="minorHAnsi" w:hAnsiTheme="minorHAnsi" w:cstheme="minorHAnsi"/>
          <w:b/>
          <w:caps/>
          <w:sz w:val="24"/>
          <w:lang w:eastAsia="en-AU"/>
        </w:rPr>
      </w:pPr>
      <w:r w:rsidRPr="009A05FB">
        <w:rPr>
          <w:rFonts w:asciiTheme="minorHAnsi" w:hAnsiTheme="minorHAnsi" w:cstheme="minorHAnsi"/>
          <w:b/>
          <w:caps/>
          <w:sz w:val="24"/>
          <w:lang w:eastAsia="en-AU"/>
        </w:rPr>
        <w:lastRenderedPageBreak/>
        <w:t>DFAT</w:t>
      </w:r>
      <w:r w:rsidR="00367DA3" w:rsidRPr="009A05FB">
        <w:rPr>
          <w:rFonts w:asciiTheme="minorHAnsi" w:hAnsiTheme="minorHAnsi" w:cstheme="minorHAnsi"/>
          <w:b/>
          <w:caps/>
          <w:sz w:val="24"/>
          <w:lang w:eastAsia="en-AU"/>
        </w:rPr>
        <w:t xml:space="preserve">’s response to the </w:t>
      </w:r>
      <w:r w:rsidR="00A2696D">
        <w:rPr>
          <w:rFonts w:asciiTheme="minorHAnsi" w:hAnsiTheme="minorHAnsi" w:cstheme="minorHAnsi"/>
          <w:b/>
          <w:caps/>
          <w:sz w:val="24"/>
          <w:lang w:eastAsia="en-AU"/>
        </w:rPr>
        <w:t>Evaluation</w:t>
      </w:r>
      <w:r w:rsidR="00367DA3" w:rsidRPr="009A05FB">
        <w:rPr>
          <w:rFonts w:asciiTheme="minorHAnsi" w:hAnsiTheme="minorHAnsi" w:cstheme="minorHAnsi"/>
          <w:b/>
          <w:caps/>
          <w:sz w:val="24"/>
          <w:lang w:eastAsia="en-AU"/>
        </w:rPr>
        <w:t xml:space="preserve"> </w:t>
      </w:r>
      <w:r w:rsidR="00AC1BF0" w:rsidRPr="009A05FB">
        <w:rPr>
          <w:rFonts w:asciiTheme="minorHAnsi" w:hAnsiTheme="minorHAnsi" w:cstheme="minorHAnsi"/>
          <w:b/>
          <w:caps/>
          <w:sz w:val="24"/>
          <w:lang w:eastAsia="en-AU"/>
        </w:rPr>
        <w:t>recommendations</w:t>
      </w:r>
    </w:p>
    <w:p w14:paraId="60522F4B" w14:textId="666F3864" w:rsidR="00BD74CB" w:rsidRDefault="0000445C" w:rsidP="000D316D">
      <w:pPr>
        <w:rPr>
          <w:rFonts w:asciiTheme="minorHAnsi" w:hAnsiTheme="minorHAnsi" w:cstheme="minorHAnsi"/>
          <w:sz w:val="22"/>
          <w:szCs w:val="22"/>
        </w:rPr>
      </w:pPr>
      <w:r>
        <w:rPr>
          <w:rFonts w:asciiTheme="minorHAnsi" w:hAnsiTheme="minorHAnsi" w:cstheme="minorHAnsi"/>
          <w:sz w:val="22"/>
          <w:szCs w:val="22"/>
        </w:rPr>
        <w:t>DFAT agrees t</w:t>
      </w:r>
      <w:r w:rsidR="00BD74CB" w:rsidRPr="00BD74CB">
        <w:rPr>
          <w:rFonts w:asciiTheme="minorHAnsi" w:hAnsiTheme="minorHAnsi" w:cstheme="minorHAnsi"/>
          <w:sz w:val="22"/>
          <w:szCs w:val="22"/>
        </w:rPr>
        <w:t xml:space="preserve">he CBCCAG program is best viewed as a snapshot in the longer-term development programs of the implementation partners and participating communities. In the three-year timeframe, </w:t>
      </w:r>
      <w:r w:rsidR="004B1F1B">
        <w:rPr>
          <w:rFonts w:asciiTheme="minorHAnsi" w:hAnsiTheme="minorHAnsi" w:cstheme="minorHAnsi"/>
          <w:sz w:val="22"/>
          <w:szCs w:val="22"/>
        </w:rPr>
        <w:t xml:space="preserve">partners </w:t>
      </w:r>
      <w:r w:rsidR="00BD74CB" w:rsidRPr="00BD74CB">
        <w:rPr>
          <w:rFonts w:asciiTheme="minorHAnsi" w:hAnsiTheme="minorHAnsi" w:cstheme="minorHAnsi"/>
          <w:sz w:val="22"/>
          <w:szCs w:val="22"/>
        </w:rPr>
        <w:t>integrat</w:t>
      </w:r>
      <w:r w:rsidR="004B1F1B">
        <w:rPr>
          <w:rFonts w:asciiTheme="minorHAnsi" w:hAnsiTheme="minorHAnsi" w:cstheme="minorHAnsi"/>
          <w:sz w:val="22"/>
          <w:szCs w:val="22"/>
        </w:rPr>
        <w:t>ed</w:t>
      </w:r>
      <w:r w:rsidR="00BD74CB" w:rsidRPr="00BD74CB">
        <w:rPr>
          <w:rFonts w:asciiTheme="minorHAnsi" w:hAnsiTheme="minorHAnsi" w:cstheme="minorHAnsi"/>
          <w:sz w:val="22"/>
          <w:szCs w:val="22"/>
        </w:rPr>
        <w:t xml:space="preserve"> the risks of climate change in their work with communities to improve livelihoods and build resilience, and contribute to the global evidence base for community-based adaptation</w:t>
      </w:r>
      <w:r w:rsidR="00BD74CB">
        <w:rPr>
          <w:rFonts w:asciiTheme="minorHAnsi" w:hAnsiTheme="minorHAnsi" w:cstheme="minorHAnsi"/>
          <w:sz w:val="22"/>
          <w:szCs w:val="22"/>
        </w:rPr>
        <w:t>.</w:t>
      </w:r>
      <w:r w:rsidR="00BD74CB" w:rsidRPr="00BD74CB">
        <w:rPr>
          <w:rFonts w:asciiTheme="minorHAnsi" w:hAnsiTheme="minorHAnsi" w:cstheme="minorHAnsi"/>
          <w:sz w:val="22"/>
          <w:szCs w:val="22"/>
        </w:rPr>
        <w:t xml:space="preserve"> </w:t>
      </w:r>
      <w:r w:rsidR="004B1F1B">
        <w:rPr>
          <w:rFonts w:asciiTheme="minorHAnsi" w:hAnsiTheme="minorHAnsi" w:cstheme="minorHAnsi"/>
          <w:sz w:val="22"/>
          <w:szCs w:val="22"/>
        </w:rPr>
        <w:t xml:space="preserve">CBCCAG enabled partners to build knowledge and skills about the risks and vulnerabilities posed by changing weather and climate in their local contexts. </w:t>
      </w:r>
    </w:p>
    <w:p w14:paraId="5924F620" w14:textId="32FA921E" w:rsidR="00544040" w:rsidRDefault="00E639C7" w:rsidP="000D316D">
      <w:pPr>
        <w:rPr>
          <w:rFonts w:asciiTheme="minorHAnsi" w:hAnsiTheme="minorHAnsi" w:cstheme="minorHAnsi"/>
          <w:sz w:val="22"/>
          <w:szCs w:val="22"/>
        </w:rPr>
      </w:pPr>
      <w:r w:rsidRPr="009A05FB">
        <w:rPr>
          <w:rFonts w:asciiTheme="minorHAnsi" w:hAnsiTheme="minorHAnsi" w:cstheme="minorHAnsi"/>
          <w:sz w:val="22"/>
          <w:szCs w:val="22"/>
        </w:rPr>
        <w:t xml:space="preserve">The </w:t>
      </w:r>
      <w:r w:rsidR="007D0EB1" w:rsidRPr="009A05FB">
        <w:rPr>
          <w:rFonts w:asciiTheme="minorHAnsi" w:hAnsiTheme="minorHAnsi" w:cstheme="minorHAnsi"/>
          <w:sz w:val="22"/>
          <w:szCs w:val="22"/>
        </w:rPr>
        <w:t xml:space="preserve">review, </w:t>
      </w:r>
      <w:r w:rsidRPr="009A05FB">
        <w:rPr>
          <w:rFonts w:asciiTheme="minorHAnsi" w:hAnsiTheme="minorHAnsi" w:cstheme="minorHAnsi"/>
          <w:sz w:val="22"/>
          <w:szCs w:val="22"/>
        </w:rPr>
        <w:t>particularly its findings and recommendations</w:t>
      </w:r>
      <w:r w:rsidR="006A0BA6">
        <w:rPr>
          <w:rFonts w:asciiTheme="minorHAnsi" w:hAnsiTheme="minorHAnsi" w:cstheme="minorHAnsi"/>
          <w:sz w:val="22"/>
          <w:szCs w:val="22"/>
        </w:rPr>
        <w:t>,</w:t>
      </w:r>
      <w:r w:rsidRPr="009A05FB">
        <w:rPr>
          <w:rFonts w:asciiTheme="minorHAnsi" w:hAnsiTheme="minorHAnsi" w:cstheme="minorHAnsi"/>
          <w:sz w:val="22"/>
          <w:szCs w:val="22"/>
        </w:rPr>
        <w:t xml:space="preserve"> will be useful for guiding future </w:t>
      </w:r>
      <w:r w:rsidR="00544040">
        <w:rPr>
          <w:rFonts w:asciiTheme="minorHAnsi" w:hAnsiTheme="minorHAnsi" w:cstheme="minorHAnsi"/>
          <w:sz w:val="22"/>
          <w:szCs w:val="22"/>
        </w:rPr>
        <w:t xml:space="preserve">investments in climate change programs </w:t>
      </w:r>
      <w:r w:rsidRPr="009A05FB">
        <w:rPr>
          <w:rFonts w:asciiTheme="minorHAnsi" w:hAnsiTheme="minorHAnsi" w:cstheme="minorHAnsi"/>
          <w:sz w:val="22"/>
          <w:szCs w:val="22"/>
        </w:rPr>
        <w:t>as well as informing the designs of other</w:t>
      </w:r>
      <w:r w:rsidR="00544040">
        <w:rPr>
          <w:rFonts w:asciiTheme="minorHAnsi" w:hAnsiTheme="minorHAnsi" w:cstheme="minorHAnsi"/>
          <w:sz w:val="22"/>
          <w:szCs w:val="22"/>
        </w:rPr>
        <w:t xml:space="preserve"> climate</w:t>
      </w:r>
      <w:r w:rsidRPr="009A05FB">
        <w:rPr>
          <w:rFonts w:asciiTheme="minorHAnsi" w:hAnsiTheme="minorHAnsi" w:cstheme="minorHAnsi"/>
          <w:sz w:val="22"/>
          <w:szCs w:val="22"/>
        </w:rPr>
        <w:t xml:space="preserve"> initiatives</w:t>
      </w:r>
      <w:r w:rsidR="00544040">
        <w:rPr>
          <w:rFonts w:asciiTheme="minorHAnsi" w:hAnsiTheme="minorHAnsi" w:cstheme="minorHAnsi"/>
          <w:sz w:val="22"/>
          <w:szCs w:val="22"/>
        </w:rPr>
        <w:t>. O</w:t>
      </w:r>
      <w:r w:rsidRPr="009A05FB">
        <w:rPr>
          <w:rFonts w:asciiTheme="minorHAnsi" w:hAnsiTheme="minorHAnsi" w:cstheme="minorHAnsi"/>
          <w:sz w:val="22"/>
          <w:szCs w:val="22"/>
        </w:rPr>
        <w:t xml:space="preserve">verall, </w:t>
      </w:r>
      <w:r w:rsidR="005F52C0" w:rsidRPr="009A05FB">
        <w:rPr>
          <w:rFonts w:asciiTheme="minorHAnsi" w:hAnsiTheme="minorHAnsi" w:cstheme="minorHAnsi"/>
          <w:sz w:val="22"/>
          <w:szCs w:val="22"/>
        </w:rPr>
        <w:t>DFAT</w:t>
      </w:r>
      <w:r w:rsidRPr="009A05FB">
        <w:rPr>
          <w:rFonts w:asciiTheme="minorHAnsi" w:hAnsiTheme="minorHAnsi" w:cstheme="minorHAnsi"/>
          <w:sz w:val="22"/>
          <w:szCs w:val="22"/>
        </w:rPr>
        <w:t xml:space="preserve"> broadly agrees with </w:t>
      </w:r>
      <w:r w:rsidR="00C93A34" w:rsidRPr="009A05FB">
        <w:rPr>
          <w:rFonts w:asciiTheme="minorHAnsi" w:hAnsiTheme="minorHAnsi" w:cstheme="minorHAnsi"/>
          <w:sz w:val="22"/>
          <w:szCs w:val="22"/>
        </w:rPr>
        <w:t xml:space="preserve">the </w:t>
      </w:r>
      <w:r w:rsidRPr="009A05FB">
        <w:rPr>
          <w:rFonts w:asciiTheme="minorHAnsi" w:hAnsiTheme="minorHAnsi" w:cstheme="minorHAnsi"/>
          <w:sz w:val="22"/>
          <w:szCs w:val="22"/>
        </w:rPr>
        <w:t xml:space="preserve">recommendations made by the </w:t>
      </w:r>
      <w:r w:rsidR="00AC1BF0" w:rsidRPr="009A05FB">
        <w:rPr>
          <w:rFonts w:asciiTheme="minorHAnsi" w:hAnsiTheme="minorHAnsi" w:cstheme="minorHAnsi"/>
          <w:sz w:val="22"/>
          <w:szCs w:val="22"/>
        </w:rPr>
        <w:t>review</w:t>
      </w:r>
      <w:r w:rsidR="006A0BA6" w:rsidRPr="006A0BA6">
        <w:rPr>
          <w:rFonts w:asciiTheme="minorHAnsi" w:hAnsiTheme="minorHAnsi" w:cstheme="minorHAnsi"/>
          <w:sz w:val="22"/>
          <w:szCs w:val="22"/>
          <w:lang w:eastAsia="en-AU"/>
        </w:rPr>
        <w:t xml:space="preserve"> </w:t>
      </w:r>
      <w:r w:rsidR="006A0BA6">
        <w:rPr>
          <w:rFonts w:asciiTheme="minorHAnsi" w:hAnsiTheme="minorHAnsi" w:cstheme="minorHAnsi"/>
          <w:sz w:val="22"/>
          <w:szCs w:val="22"/>
          <w:lang w:eastAsia="en-AU"/>
        </w:rPr>
        <w:t>s</w:t>
      </w:r>
      <w:r w:rsidR="006A0BA6" w:rsidRPr="009A05FB">
        <w:rPr>
          <w:rFonts w:asciiTheme="minorHAnsi" w:hAnsiTheme="minorHAnsi" w:cstheme="minorHAnsi"/>
          <w:sz w:val="22"/>
          <w:szCs w:val="22"/>
          <w:lang w:eastAsia="en-AU"/>
        </w:rPr>
        <w:t>ome review recommendations will require ongoing discussions</w:t>
      </w:r>
      <w:r w:rsidR="006A0BA6">
        <w:rPr>
          <w:rFonts w:asciiTheme="minorHAnsi" w:hAnsiTheme="minorHAnsi" w:cstheme="minorHAnsi"/>
          <w:sz w:val="22"/>
          <w:szCs w:val="22"/>
          <w:lang w:eastAsia="en-AU"/>
        </w:rPr>
        <w:t xml:space="preserve"> as climate investments are mainstreamed across the aid program</w:t>
      </w:r>
      <w:r w:rsidR="006A0BA6" w:rsidRPr="009A05FB">
        <w:rPr>
          <w:rFonts w:asciiTheme="minorHAnsi" w:hAnsiTheme="minorHAnsi" w:cstheme="minorHAnsi"/>
          <w:sz w:val="22"/>
          <w:szCs w:val="22"/>
          <w:lang w:eastAsia="en-AU"/>
        </w:rPr>
        <w:t>.</w:t>
      </w:r>
      <w:r w:rsidR="00131C40" w:rsidRPr="009A05FB">
        <w:rPr>
          <w:rFonts w:asciiTheme="minorHAnsi" w:hAnsiTheme="minorHAnsi" w:cstheme="minorHAnsi"/>
          <w:sz w:val="22"/>
          <w:szCs w:val="22"/>
        </w:rPr>
        <w:t xml:space="preserve"> Specific responses can be found in the table below. </w:t>
      </w:r>
    </w:p>
    <w:p w14:paraId="67AF20B5" w14:textId="77777777" w:rsidR="008A27C4" w:rsidRDefault="008A27C4" w:rsidP="000D316D">
      <w:pPr>
        <w:rPr>
          <w:rFonts w:asciiTheme="minorHAnsi" w:hAnsiTheme="minorHAnsi" w:cstheme="minorHAnsi"/>
          <w:sz w:val="22"/>
          <w:szCs w:val="22"/>
        </w:rPr>
      </w:pPr>
    </w:p>
    <w:tbl>
      <w:tblPr>
        <w:tblW w:w="10491"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568"/>
        <w:gridCol w:w="7371"/>
        <w:gridCol w:w="2552"/>
      </w:tblGrid>
      <w:tr w:rsidR="002B2018" w:rsidRPr="009A05FB" w14:paraId="320E2657" w14:textId="77777777" w:rsidTr="006C3FB6">
        <w:trPr>
          <w:cantSplit/>
        </w:trPr>
        <w:tc>
          <w:tcPr>
            <w:tcW w:w="568" w:type="dxa"/>
            <w:shd w:val="clear" w:color="auto" w:fill="E5DFEC" w:themeFill="accent4" w:themeFillTint="33"/>
          </w:tcPr>
          <w:p w14:paraId="408F243D" w14:textId="2A7D9356" w:rsidR="002B2018" w:rsidRPr="006C3FB6" w:rsidRDefault="002B2018" w:rsidP="00A06233">
            <w:pPr>
              <w:pStyle w:val="Heading2"/>
              <w:spacing w:before="0" w:after="0"/>
              <w:jc w:val="center"/>
              <w:rPr>
                <w:rFonts w:asciiTheme="minorHAnsi" w:hAnsiTheme="minorHAnsi" w:cstheme="minorHAnsi"/>
                <w:sz w:val="20"/>
                <w:szCs w:val="20"/>
              </w:rPr>
            </w:pPr>
            <w:r w:rsidRPr="006C3FB6">
              <w:rPr>
                <w:rFonts w:asciiTheme="minorHAnsi" w:hAnsiTheme="minorHAnsi" w:cstheme="minorHAnsi"/>
                <w:sz w:val="20"/>
                <w:szCs w:val="20"/>
              </w:rPr>
              <w:t>No</w:t>
            </w:r>
            <w:r w:rsidR="006A0BA6">
              <w:rPr>
                <w:rFonts w:asciiTheme="minorHAnsi" w:hAnsiTheme="minorHAnsi" w:cstheme="minorHAnsi"/>
                <w:sz w:val="20"/>
                <w:szCs w:val="20"/>
              </w:rPr>
              <w:t>.</w:t>
            </w:r>
          </w:p>
        </w:tc>
        <w:tc>
          <w:tcPr>
            <w:tcW w:w="7371" w:type="dxa"/>
            <w:shd w:val="clear" w:color="auto" w:fill="E5DFEC" w:themeFill="accent4" w:themeFillTint="33"/>
          </w:tcPr>
          <w:p w14:paraId="320E2653" w14:textId="6D68C98A" w:rsidR="002B2018" w:rsidRPr="009A05FB" w:rsidRDefault="002B2018" w:rsidP="00A06233">
            <w:pPr>
              <w:pStyle w:val="Heading2"/>
              <w:spacing w:before="0" w:after="0"/>
              <w:jc w:val="center"/>
              <w:rPr>
                <w:rFonts w:asciiTheme="minorHAnsi" w:hAnsiTheme="minorHAnsi" w:cstheme="minorHAnsi"/>
                <w:sz w:val="22"/>
              </w:rPr>
            </w:pPr>
            <w:r w:rsidRPr="009A05FB">
              <w:rPr>
                <w:rFonts w:asciiTheme="minorHAnsi" w:hAnsiTheme="minorHAnsi" w:cstheme="minorHAnsi"/>
                <w:sz w:val="22"/>
              </w:rPr>
              <w:t>Recommendation</w:t>
            </w:r>
          </w:p>
        </w:tc>
        <w:tc>
          <w:tcPr>
            <w:tcW w:w="2552" w:type="dxa"/>
            <w:tcBorders>
              <w:right w:val="single" w:sz="4" w:space="0" w:color="auto"/>
            </w:tcBorders>
            <w:shd w:val="clear" w:color="auto" w:fill="E5DFEC" w:themeFill="accent4" w:themeFillTint="33"/>
          </w:tcPr>
          <w:p w14:paraId="320E2654" w14:textId="77777777" w:rsidR="002B2018" w:rsidRPr="009A05FB" w:rsidRDefault="002B2018" w:rsidP="00A06233">
            <w:pPr>
              <w:spacing w:before="0"/>
              <w:jc w:val="center"/>
              <w:rPr>
                <w:rFonts w:asciiTheme="minorHAnsi" w:hAnsiTheme="minorHAnsi" w:cstheme="minorHAnsi"/>
                <w:b/>
                <w:sz w:val="22"/>
                <w:szCs w:val="22"/>
              </w:rPr>
            </w:pPr>
            <w:r w:rsidRPr="009A05FB">
              <w:rPr>
                <w:rFonts w:asciiTheme="minorHAnsi" w:hAnsiTheme="minorHAnsi" w:cstheme="minorHAnsi"/>
                <w:b/>
                <w:sz w:val="22"/>
                <w:szCs w:val="22"/>
              </w:rPr>
              <w:t>Response</w:t>
            </w:r>
          </w:p>
        </w:tc>
      </w:tr>
      <w:tr w:rsidR="002B2018" w:rsidRPr="009A05FB" w14:paraId="2918709D" w14:textId="77777777" w:rsidTr="006C3FB6">
        <w:trPr>
          <w:cantSplit/>
          <w:trHeight w:val="885"/>
        </w:trPr>
        <w:tc>
          <w:tcPr>
            <w:tcW w:w="568" w:type="dxa"/>
            <w:vAlign w:val="center"/>
          </w:tcPr>
          <w:p w14:paraId="42B5EDF3" w14:textId="4349CD8C" w:rsidR="002B2018" w:rsidRPr="006A0BA6" w:rsidRDefault="002B2018" w:rsidP="006A0BA6">
            <w:pPr>
              <w:rPr>
                <w:rFonts w:asciiTheme="minorHAnsi" w:hAnsiTheme="minorHAnsi" w:cstheme="minorHAnsi"/>
                <w:sz w:val="22"/>
                <w:szCs w:val="22"/>
              </w:rPr>
            </w:pPr>
            <w:r w:rsidRPr="006A0BA6">
              <w:rPr>
                <w:rFonts w:asciiTheme="minorHAnsi" w:hAnsiTheme="minorHAnsi" w:cstheme="minorHAnsi"/>
                <w:sz w:val="22"/>
                <w:szCs w:val="22"/>
              </w:rPr>
              <w:t>1</w:t>
            </w:r>
          </w:p>
        </w:tc>
        <w:tc>
          <w:tcPr>
            <w:tcW w:w="7371" w:type="dxa"/>
            <w:shd w:val="clear" w:color="auto" w:fill="auto"/>
          </w:tcPr>
          <w:p w14:paraId="191B5648" w14:textId="77777777" w:rsidR="002B2018" w:rsidRPr="006A0BA6" w:rsidRDefault="002B2018" w:rsidP="006A0BA6">
            <w:pPr>
              <w:rPr>
                <w:rFonts w:asciiTheme="minorHAnsi" w:hAnsiTheme="minorHAnsi" w:cstheme="minorHAnsi"/>
                <w:sz w:val="22"/>
                <w:szCs w:val="22"/>
              </w:rPr>
            </w:pPr>
            <w:r w:rsidRPr="006A0BA6">
              <w:rPr>
                <w:rFonts w:asciiTheme="minorHAnsi" w:hAnsiTheme="minorHAnsi" w:cstheme="minorHAnsi"/>
                <w:b/>
                <w:sz w:val="22"/>
                <w:szCs w:val="22"/>
              </w:rPr>
              <w:t xml:space="preserve">Keep going: </w:t>
            </w:r>
            <w:r w:rsidRPr="006A0BA6">
              <w:rPr>
                <w:rFonts w:asciiTheme="minorHAnsi" w:hAnsiTheme="minorHAnsi" w:cstheme="minorHAnsi"/>
                <w:sz w:val="22"/>
                <w:szCs w:val="22"/>
              </w:rPr>
              <w:t xml:space="preserve">Invest in a further phase, building on the partnerships and achievements to date, adjusting pathways to impact and approaches based on lessons learned. </w:t>
            </w:r>
          </w:p>
          <w:p w14:paraId="51D9B8C2" w14:textId="2CD37980" w:rsidR="002B2018" w:rsidRPr="006A0BA6" w:rsidRDefault="002B2018" w:rsidP="006A0BA6">
            <w:pPr>
              <w:rPr>
                <w:rFonts w:asciiTheme="minorHAnsi" w:hAnsiTheme="minorHAnsi" w:cstheme="minorHAnsi"/>
                <w:sz w:val="22"/>
                <w:szCs w:val="22"/>
              </w:rPr>
            </w:pPr>
            <w:r w:rsidRPr="006A0BA6">
              <w:rPr>
                <w:rFonts w:asciiTheme="minorHAnsi" w:hAnsiTheme="minorHAnsi" w:cstheme="minorHAnsi"/>
                <w:sz w:val="22"/>
                <w:szCs w:val="22"/>
              </w:rPr>
              <w:t xml:space="preserve">Continue the approach of integrating climate change through a community development lens, focusing on the issues concerning communities, such as food and water security, health and </w:t>
            </w:r>
            <w:r w:rsidR="00492683" w:rsidRPr="006A0BA6">
              <w:rPr>
                <w:rFonts w:asciiTheme="minorHAnsi" w:hAnsiTheme="minorHAnsi" w:cstheme="minorHAnsi"/>
                <w:sz w:val="22"/>
                <w:szCs w:val="22"/>
              </w:rPr>
              <w:t>incomes, which</w:t>
            </w:r>
            <w:r w:rsidRPr="006A0BA6">
              <w:rPr>
                <w:rFonts w:asciiTheme="minorHAnsi" w:hAnsiTheme="minorHAnsi" w:cstheme="minorHAnsi"/>
                <w:sz w:val="22"/>
                <w:szCs w:val="22"/>
              </w:rPr>
              <w:t xml:space="preserve"> provide benefits in the short term as well as resilience to the specific impacts of climate change. </w:t>
            </w:r>
          </w:p>
        </w:tc>
        <w:tc>
          <w:tcPr>
            <w:tcW w:w="2552" w:type="dxa"/>
            <w:tcBorders>
              <w:right w:val="single" w:sz="4" w:space="0" w:color="auto"/>
            </w:tcBorders>
            <w:shd w:val="clear" w:color="auto" w:fill="auto"/>
          </w:tcPr>
          <w:p w14:paraId="7D754E74" w14:textId="33FC1223" w:rsidR="002B2018" w:rsidRPr="006A0BA6" w:rsidRDefault="00796E22" w:rsidP="006A0BA6">
            <w:pPr>
              <w:rPr>
                <w:rFonts w:asciiTheme="minorHAnsi" w:hAnsiTheme="minorHAnsi" w:cstheme="minorHAnsi"/>
                <w:sz w:val="22"/>
                <w:szCs w:val="22"/>
              </w:rPr>
            </w:pPr>
            <w:r w:rsidRPr="006A0BA6">
              <w:rPr>
                <w:rFonts w:asciiTheme="minorHAnsi" w:hAnsiTheme="minorHAnsi" w:cstheme="minorHAnsi"/>
                <w:sz w:val="22"/>
                <w:szCs w:val="22"/>
              </w:rPr>
              <w:t xml:space="preserve">Agree that </w:t>
            </w:r>
            <w:r w:rsidR="006A0BA6" w:rsidRPr="006A0BA6">
              <w:rPr>
                <w:rFonts w:asciiTheme="minorHAnsi" w:hAnsiTheme="minorHAnsi" w:cstheme="minorHAnsi"/>
                <w:sz w:val="22"/>
                <w:szCs w:val="22"/>
              </w:rPr>
              <w:t xml:space="preserve">it is important to build on achievements </w:t>
            </w:r>
            <w:r w:rsidR="00F1122B">
              <w:rPr>
                <w:rFonts w:asciiTheme="minorHAnsi" w:hAnsiTheme="minorHAnsi" w:cstheme="minorHAnsi"/>
                <w:sz w:val="22"/>
                <w:szCs w:val="22"/>
              </w:rPr>
              <w:t xml:space="preserve">made </w:t>
            </w:r>
            <w:r w:rsidR="006A0BA6" w:rsidRPr="006A0BA6">
              <w:rPr>
                <w:rFonts w:asciiTheme="minorHAnsi" w:hAnsiTheme="minorHAnsi" w:cstheme="minorHAnsi"/>
                <w:sz w:val="22"/>
                <w:szCs w:val="22"/>
              </w:rPr>
              <w:t>to date</w:t>
            </w:r>
            <w:r w:rsidRPr="006A0BA6">
              <w:rPr>
                <w:rFonts w:asciiTheme="minorHAnsi" w:hAnsiTheme="minorHAnsi" w:cstheme="minorHAnsi"/>
                <w:sz w:val="22"/>
                <w:szCs w:val="22"/>
              </w:rPr>
              <w:t>.</w:t>
            </w:r>
            <w:r w:rsidR="00BD74CB" w:rsidRPr="006A0BA6">
              <w:rPr>
                <w:rFonts w:asciiTheme="minorHAnsi" w:hAnsiTheme="minorHAnsi" w:cstheme="minorHAnsi"/>
                <w:sz w:val="22"/>
                <w:szCs w:val="22"/>
              </w:rPr>
              <w:t xml:space="preserve"> As DFAT mainstreams climate change ac</w:t>
            </w:r>
            <w:r w:rsidR="006C3FB6" w:rsidRPr="006A0BA6">
              <w:rPr>
                <w:rFonts w:asciiTheme="minorHAnsi" w:hAnsiTheme="minorHAnsi" w:cstheme="minorHAnsi"/>
                <w:sz w:val="22"/>
                <w:szCs w:val="22"/>
              </w:rPr>
              <w:t xml:space="preserve">tivities </w:t>
            </w:r>
            <w:r w:rsidR="00BD74CB" w:rsidRPr="006A0BA6">
              <w:rPr>
                <w:rFonts w:asciiTheme="minorHAnsi" w:hAnsiTheme="minorHAnsi" w:cstheme="minorHAnsi"/>
                <w:sz w:val="22"/>
                <w:szCs w:val="22"/>
              </w:rPr>
              <w:t>through Australia’s development program, we will</w:t>
            </w:r>
            <w:r w:rsidR="006C3FB6" w:rsidRPr="006A0BA6">
              <w:rPr>
                <w:rFonts w:asciiTheme="minorHAnsi" w:hAnsiTheme="minorHAnsi" w:cstheme="minorHAnsi"/>
                <w:sz w:val="22"/>
                <w:szCs w:val="22"/>
              </w:rPr>
              <w:t xml:space="preserve"> continue to</w:t>
            </w:r>
            <w:r w:rsidR="00BD74CB" w:rsidRPr="006A0BA6">
              <w:rPr>
                <w:rFonts w:asciiTheme="minorHAnsi" w:hAnsiTheme="minorHAnsi" w:cstheme="minorHAnsi"/>
                <w:sz w:val="22"/>
                <w:szCs w:val="22"/>
              </w:rPr>
              <w:t xml:space="preserve"> look </w:t>
            </w:r>
            <w:r w:rsidR="006C3FB6" w:rsidRPr="006A0BA6">
              <w:rPr>
                <w:rFonts w:asciiTheme="minorHAnsi" w:hAnsiTheme="minorHAnsi" w:cstheme="minorHAnsi"/>
                <w:sz w:val="22"/>
                <w:szCs w:val="22"/>
              </w:rPr>
              <w:t xml:space="preserve">for opportunities </w:t>
            </w:r>
            <w:r w:rsidR="00BD74CB" w:rsidRPr="006A0BA6">
              <w:rPr>
                <w:rFonts w:asciiTheme="minorHAnsi" w:hAnsiTheme="minorHAnsi" w:cstheme="minorHAnsi"/>
                <w:sz w:val="22"/>
                <w:szCs w:val="22"/>
              </w:rPr>
              <w:t xml:space="preserve">to continue the approach of integrating climate change through a community development lens. </w:t>
            </w:r>
          </w:p>
        </w:tc>
      </w:tr>
      <w:tr w:rsidR="002B2018" w:rsidRPr="009A05FB" w14:paraId="2E267171" w14:textId="77777777" w:rsidTr="006C3FB6">
        <w:trPr>
          <w:cantSplit/>
          <w:trHeight w:val="885"/>
        </w:trPr>
        <w:tc>
          <w:tcPr>
            <w:tcW w:w="568" w:type="dxa"/>
            <w:vAlign w:val="center"/>
          </w:tcPr>
          <w:p w14:paraId="51F8A163" w14:textId="4700F473" w:rsidR="002B2018" w:rsidRPr="006C3FB6" w:rsidRDefault="002B2018" w:rsidP="00BF2D01">
            <w:pPr>
              <w:pStyle w:val="ListParagraph"/>
              <w:spacing w:after="120"/>
              <w:ind w:left="0"/>
              <w:jc w:val="center"/>
              <w:rPr>
                <w:rFonts w:asciiTheme="minorHAnsi" w:hAnsiTheme="minorHAnsi" w:cstheme="minorHAnsi"/>
                <w:szCs w:val="20"/>
              </w:rPr>
            </w:pPr>
            <w:r w:rsidRPr="006C3FB6">
              <w:rPr>
                <w:rFonts w:asciiTheme="minorHAnsi" w:hAnsiTheme="minorHAnsi" w:cstheme="minorHAnsi"/>
                <w:szCs w:val="20"/>
              </w:rPr>
              <w:t>2</w:t>
            </w:r>
          </w:p>
        </w:tc>
        <w:tc>
          <w:tcPr>
            <w:tcW w:w="7371" w:type="dxa"/>
            <w:shd w:val="clear" w:color="auto" w:fill="auto"/>
          </w:tcPr>
          <w:p w14:paraId="6C043A82" w14:textId="77777777" w:rsidR="002B2018" w:rsidRPr="006A0BA6" w:rsidRDefault="002B2018" w:rsidP="00A06233">
            <w:pPr>
              <w:spacing w:after="120"/>
              <w:rPr>
                <w:rFonts w:asciiTheme="minorHAnsi" w:hAnsiTheme="minorHAnsi" w:cstheme="minorHAnsi"/>
                <w:sz w:val="22"/>
                <w:szCs w:val="22"/>
              </w:rPr>
            </w:pPr>
            <w:r w:rsidRPr="006A0BA6">
              <w:rPr>
                <w:rFonts w:asciiTheme="minorHAnsi" w:hAnsiTheme="minorHAnsi" w:cstheme="minorHAnsi"/>
                <w:b/>
                <w:sz w:val="22"/>
                <w:szCs w:val="22"/>
              </w:rPr>
              <w:t>Go deeper:</w:t>
            </w:r>
            <w:r w:rsidRPr="006A0BA6">
              <w:rPr>
                <w:rFonts w:asciiTheme="minorHAnsi" w:hAnsiTheme="minorHAnsi" w:cstheme="minorHAnsi"/>
                <w:sz w:val="22"/>
                <w:szCs w:val="22"/>
              </w:rPr>
              <w:t xml:space="preserve"> Deepen community understanding of the risks that changing weather and climate poses for their lives and livelihoods. Keep working on enabling their timely, ongoing access to good information such as forecasts and warnings so that they can incorporate it into their planning and investment. </w:t>
            </w:r>
          </w:p>
          <w:p w14:paraId="79457CF1" w14:textId="77777777" w:rsidR="002B2018" w:rsidRPr="006A0BA6" w:rsidRDefault="002B2018" w:rsidP="00A06233">
            <w:pPr>
              <w:spacing w:after="120"/>
              <w:rPr>
                <w:rFonts w:asciiTheme="minorHAnsi" w:hAnsiTheme="minorHAnsi" w:cstheme="minorHAnsi"/>
                <w:sz w:val="22"/>
                <w:szCs w:val="22"/>
              </w:rPr>
            </w:pPr>
            <w:r w:rsidRPr="006A0BA6">
              <w:rPr>
                <w:rFonts w:asciiTheme="minorHAnsi" w:hAnsiTheme="minorHAnsi" w:cstheme="minorHAnsi"/>
                <w:sz w:val="22"/>
                <w:szCs w:val="22"/>
              </w:rPr>
              <w:t>Look for opportunities and partnerships to broker knowledge, and for translating and making complex technical information accessible to communities in forms that make sense and can be applied in their livelihood systems. Try to ensure that the knowledge is integrated in community knowledge systems (e.g. for food and water security) and is not disconnected from decision-making processes. Always tailor communication to the education and technology levels of communities; engage them in its production.</w:t>
            </w:r>
          </w:p>
          <w:p w14:paraId="047FFF31" w14:textId="79D72328" w:rsidR="002B2018" w:rsidRPr="006A0BA6" w:rsidRDefault="002B2018" w:rsidP="00A06233">
            <w:pPr>
              <w:spacing w:after="120"/>
              <w:rPr>
                <w:rFonts w:asciiTheme="minorHAnsi" w:hAnsiTheme="minorHAnsi" w:cstheme="minorHAnsi"/>
                <w:sz w:val="22"/>
                <w:szCs w:val="22"/>
              </w:rPr>
            </w:pPr>
            <w:r w:rsidRPr="006A0BA6">
              <w:rPr>
                <w:rFonts w:asciiTheme="minorHAnsi" w:hAnsiTheme="minorHAnsi" w:cstheme="minorHAnsi"/>
                <w:sz w:val="22"/>
                <w:szCs w:val="22"/>
              </w:rPr>
              <w:t>Look for partnerships that can help to build technical skills locally over time, including in local government extension services, and to support extension centres (such as climate centres and field schools) as their capacity to provide accurate, timely, relevant information to communities gradually develops.</w:t>
            </w:r>
          </w:p>
        </w:tc>
        <w:tc>
          <w:tcPr>
            <w:tcW w:w="2552" w:type="dxa"/>
            <w:tcBorders>
              <w:right w:val="single" w:sz="4" w:space="0" w:color="auto"/>
            </w:tcBorders>
            <w:shd w:val="clear" w:color="auto" w:fill="auto"/>
          </w:tcPr>
          <w:p w14:paraId="37A1307A" w14:textId="77777777" w:rsidR="006C3FB6" w:rsidRPr="006A0BA6" w:rsidRDefault="002B2018" w:rsidP="00803AB0">
            <w:pPr>
              <w:spacing w:after="120"/>
              <w:rPr>
                <w:rFonts w:asciiTheme="minorHAnsi" w:hAnsiTheme="minorHAnsi" w:cstheme="minorHAnsi"/>
                <w:sz w:val="22"/>
                <w:szCs w:val="22"/>
              </w:rPr>
            </w:pPr>
            <w:r w:rsidRPr="006A0BA6">
              <w:rPr>
                <w:rFonts w:asciiTheme="minorHAnsi" w:hAnsiTheme="minorHAnsi" w:cstheme="minorHAnsi"/>
                <w:sz w:val="22"/>
                <w:szCs w:val="22"/>
              </w:rPr>
              <w:t>Agree</w:t>
            </w:r>
            <w:r w:rsidR="00F8326D" w:rsidRPr="006A0BA6">
              <w:rPr>
                <w:rFonts w:asciiTheme="minorHAnsi" w:hAnsiTheme="minorHAnsi" w:cstheme="minorHAnsi"/>
                <w:sz w:val="22"/>
                <w:szCs w:val="22"/>
              </w:rPr>
              <w:t xml:space="preserve">. </w:t>
            </w:r>
            <w:r w:rsidR="006C3FB6" w:rsidRPr="006A0BA6">
              <w:rPr>
                <w:rFonts w:asciiTheme="minorHAnsi" w:hAnsiTheme="minorHAnsi" w:cstheme="minorHAnsi"/>
                <w:sz w:val="22"/>
                <w:szCs w:val="22"/>
              </w:rPr>
              <w:t xml:space="preserve">Enabling access to timely and quality information is critical to planning and investment. </w:t>
            </w:r>
          </w:p>
          <w:p w14:paraId="3D6DBA6A" w14:textId="05D781F4" w:rsidR="002B2018" w:rsidRPr="006A0BA6" w:rsidRDefault="00F8326D" w:rsidP="00803AB0">
            <w:pPr>
              <w:spacing w:after="120"/>
              <w:rPr>
                <w:rFonts w:asciiTheme="minorHAnsi" w:hAnsiTheme="minorHAnsi" w:cstheme="minorHAnsi"/>
                <w:sz w:val="22"/>
                <w:szCs w:val="22"/>
              </w:rPr>
            </w:pPr>
            <w:r w:rsidRPr="006A0BA6">
              <w:rPr>
                <w:rFonts w:asciiTheme="minorHAnsi" w:hAnsiTheme="minorHAnsi" w:cstheme="minorHAnsi"/>
                <w:sz w:val="22"/>
                <w:szCs w:val="22"/>
              </w:rPr>
              <w:t xml:space="preserve">Early warning systems and assessments form an important part of Australia’s support </w:t>
            </w:r>
            <w:r w:rsidR="00492683" w:rsidRPr="006A0BA6">
              <w:rPr>
                <w:rFonts w:asciiTheme="minorHAnsi" w:hAnsiTheme="minorHAnsi" w:cstheme="minorHAnsi"/>
                <w:sz w:val="22"/>
                <w:szCs w:val="22"/>
              </w:rPr>
              <w:t>to</w:t>
            </w:r>
            <w:r w:rsidRPr="006A0BA6">
              <w:rPr>
                <w:rFonts w:asciiTheme="minorHAnsi" w:hAnsiTheme="minorHAnsi" w:cstheme="minorHAnsi"/>
                <w:sz w:val="22"/>
                <w:szCs w:val="22"/>
              </w:rPr>
              <w:t xml:space="preserve"> mitigate the impacts of disasters. DFAT recognises the importance of community disaster planning </w:t>
            </w:r>
            <w:r w:rsidR="00492683" w:rsidRPr="006A0BA6">
              <w:rPr>
                <w:rFonts w:asciiTheme="minorHAnsi" w:hAnsiTheme="minorHAnsi" w:cstheme="minorHAnsi"/>
                <w:sz w:val="22"/>
                <w:szCs w:val="22"/>
              </w:rPr>
              <w:t xml:space="preserve">and enhanced meteorological services and will continue </w:t>
            </w:r>
            <w:r w:rsidRPr="006A0BA6">
              <w:rPr>
                <w:rFonts w:asciiTheme="minorHAnsi" w:hAnsiTheme="minorHAnsi" w:cstheme="minorHAnsi"/>
                <w:sz w:val="22"/>
                <w:szCs w:val="22"/>
              </w:rPr>
              <w:t>to</w:t>
            </w:r>
            <w:r w:rsidR="00492683" w:rsidRPr="006A0BA6">
              <w:rPr>
                <w:rFonts w:asciiTheme="minorHAnsi" w:hAnsiTheme="minorHAnsi" w:cstheme="minorHAnsi"/>
                <w:sz w:val="22"/>
                <w:szCs w:val="22"/>
              </w:rPr>
              <w:t xml:space="preserve"> invest in these areas. </w:t>
            </w:r>
          </w:p>
          <w:p w14:paraId="35955684" w14:textId="77777777" w:rsidR="002B2018" w:rsidRPr="006A0BA6" w:rsidRDefault="002B2018" w:rsidP="00803AB0">
            <w:pPr>
              <w:spacing w:after="120"/>
              <w:rPr>
                <w:rFonts w:asciiTheme="minorHAnsi" w:hAnsiTheme="minorHAnsi" w:cstheme="minorHAnsi"/>
                <w:sz w:val="22"/>
                <w:szCs w:val="22"/>
              </w:rPr>
            </w:pPr>
          </w:p>
        </w:tc>
      </w:tr>
      <w:tr w:rsidR="002B2018" w:rsidRPr="009A05FB" w14:paraId="4E08647F" w14:textId="77777777" w:rsidTr="006C3FB6">
        <w:trPr>
          <w:cantSplit/>
          <w:trHeight w:val="885"/>
        </w:trPr>
        <w:tc>
          <w:tcPr>
            <w:tcW w:w="568" w:type="dxa"/>
            <w:vAlign w:val="center"/>
          </w:tcPr>
          <w:p w14:paraId="19B5131B" w14:textId="3DCD930F" w:rsidR="002B2018" w:rsidRPr="006C3FB6" w:rsidRDefault="002B2018" w:rsidP="00BF2D01">
            <w:pPr>
              <w:pStyle w:val="ListParagraph"/>
              <w:spacing w:after="120"/>
              <w:ind w:left="0"/>
              <w:jc w:val="center"/>
              <w:rPr>
                <w:rFonts w:asciiTheme="minorHAnsi" w:hAnsiTheme="minorHAnsi" w:cstheme="minorHAnsi"/>
                <w:szCs w:val="20"/>
              </w:rPr>
            </w:pPr>
            <w:r w:rsidRPr="006C3FB6">
              <w:rPr>
                <w:rFonts w:asciiTheme="minorHAnsi" w:hAnsiTheme="minorHAnsi" w:cstheme="minorHAnsi"/>
                <w:szCs w:val="20"/>
              </w:rPr>
              <w:lastRenderedPageBreak/>
              <w:t>3</w:t>
            </w:r>
          </w:p>
        </w:tc>
        <w:tc>
          <w:tcPr>
            <w:tcW w:w="7371" w:type="dxa"/>
            <w:shd w:val="clear" w:color="auto" w:fill="auto"/>
          </w:tcPr>
          <w:p w14:paraId="6C38A385" w14:textId="77777777"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b/>
                <w:sz w:val="22"/>
                <w:szCs w:val="22"/>
              </w:rPr>
              <w:t>Integrate science and traditional knowledge:</w:t>
            </w:r>
            <w:r w:rsidRPr="006A0BA6">
              <w:rPr>
                <w:rFonts w:asciiTheme="minorHAnsi" w:hAnsiTheme="minorHAnsi" w:cstheme="minorHAnsi"/>
                <w:sz w:val="22"/>
                <w:szCs w:val="22"/>
              </w:rPr>
              <w:t xml:space="preserve"> Continue and enhance the integration of scientific and technical knowledge for understanding and managing the risks of climate change with community knowledge of their environment, their development context and their livelihood systems. Communities are best placed to develop adaptive options, initially from within their livelihood systems, when they are provided with a reasonable depth of understanding of the risks and likely impacts of climate change.</w:t>
            </w:r>
          </w:p>
          <w:p w14:paraId="53E612F0" w14:textId="77777777"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sz w:val="22"/>
                <w:szCs w:val="22"/>
              </w:rPr>
              <w:t xml:space="preserve">Work with local partners to understand these systems before new technology and options for reducing the risks of climate change are introduced, so that they can better identify ways to meet local needs. </w:t>
            </w:r>
          </w:p>
          <w:p w14:paraId="750AB3D7" w14:textId="3C715123" w:rsidR="002B2018" w:rsidRPr="008D6694" w:rsidRDefault="002B2018" w:rsidP="008D6694">
            <w:pPr>
              <w:spacing w:after="120"/>
              <w:rPr>
                <w:rFonts w:asciiTheme="minorHAnsi" w:hAnsiTheme="minorHAnsi" w:cstheme="minorHAnsi"/>
                <w:sz w:val="18"/>
                <w:szCs w:val="18"/>
              </w:rPr>
            </w:pPr>
            <w:r w:rsidRPr="006A0BA6">
              <w:rPr>
                <w:rFonts w:asciiTheme="minorHAnsi" w:hAnsiTheme="minorHAnsi" w:cstheme="minorHAnsi"/>
                <w:sz w:val="22"/>
                <w:szCs w:val="22"/>
              </w:rPr>
              <w:t>Continue to incorporate traditional knowledge and practice in assessments of vulnerability and adaptive capacity, and facilitate the use of local resource governance mechanisms and jurisdiction.</w:t>
            </w:r>
          </w:p>
        </w:tc>
        <w:tc>
          <w:tcPr>
            <w:tcW w:w="2552" w:type="dxa"/>
            <w:tcBorders>
              <w:right w:val="single" w:sz="4" w:space="0" w:color="auto"/>
            </w:tcBorders>
            <w:shd w:val="clear" w:color="auto" w:fill="auto"/>
          </w:tcPr>
          <w:p w14:paraId="36A23BDD" w14:textId="4ADCCD71" w:rsidR="002B2018" w:rsidRPr="006A0BA6" w:rsidRDefault="002B2018" w:rsidP="00803AB0">
            <w:pPr>
              <w:spacing w:after="120"/>
              <w:rPr>
                <w:rFonts w:asciiTheme="minorHAnsi" w:hAnsiTheme="minorHAnsi" w:cstheme="minorHAnsi"/>
                <w:sz w:val="22"/>
                <w:szCs w:val="22"/>
              </w:rPr>
            </w:pPr>
            <w:r w:rsidRPr="006A0BA6">
              <w:rPr>
                <w:rFonts w:asciiTheme="minorHAnsi" w:hAnsiTheme="minorHAnsi" w:cstheme="minorHAnsi"/>
                <w:sz w:val="22"/>
                <w:szCs w:val="22"/>
              </w:rPr>
              <w:t>Agree</w:t>
            </w:r>
            <w:r w:rsidR="00492683" w:rsidRPr="006A0BA6">
              <w:rPr>
                <w:rFonts w:asciiTheme="minorHAnsi" w:hAnsiTheme="minorHAnsi" w:cstheme="minorHAnsi"/>
                <w:sz w:val="22"/>
                <w:szCs w:val="22"/>
              </w:rPr>
              <w:t xml:space="preserve">. DFAT recognises the importance of incorporating traditional and local knowledge into climate change activities and planning. </w:t>
            </w:r>
            <w:r w:rsidR="00610FB5" w:rsidRPr="006A0BA6">
              <w:rPr>
                <w:rFonts w:asciiTheme="minorHAnsi" w:hAnsiTheme="minorHAnsi" w:cstheme="minorHAnsi"/>
                <w:sz w:val="22"/>
                <w:szCs w:val="22"/>
              </w:rPr>
              <w:t xml:space="preserve">DFAT will continue this practice. </w:t>
            </w:r>
          </w:p>
          <w:p w14:paraId="08DF5166" w14:textId="0138DCE2" w:rsidR="002B2018" w:rsidRPr="009A05FB" w:rsidRDefault="001B2E88" w:rsidP="0000445C">
            <w:pPr>
              <w:spacing w:after="120"/>
              <w:rPr>
                <w:rFonts w:asciiTheme="minorHAnsi" w:hAnsiTheme="minorHAnsi" w:cstheme="minorHAnsi"/>
                <w:sz w:val="18"/>
                <w:szCs w:val="18"/>
              </w:rPr>
            </w:pPr>
            <w:r w:rsidRPr="006A0BA6">
              <w:rPr>
                <w:rFonts w:asciiTheme="minorHAnsi" w:hAnsiTheme="minorHAnsi" w:cstheme="minorHAnsi"/>
                <w:sz w:val="22"/>
                <w:szCs w:val="22"/>
              </w:rPr>
              <w:t>As the evaluation identifies, Communities have extensive, deep knowledge about their resources and how best to manage them to sustain their livelihoods. It is critical to incorporate this knowledge into planning to meet local needs.</w:t>
            </w:r>
            <w:r>
              <w:rPr>
                <w:rFonts w:asciiTheme="minorHAnsi" w:hAnsiTheme="minorHAnsi" w:cstheme="minorHAnsi"/>
                <w:sz w:val="18"/>
                <w:szCs w:val="18"/>
              </w:rPr>
              <w:t xml:space="preserve">  </w:t>
            </w:r>
          </w:p>
        </w:tc>
      </w:tr>
      <w:tr w:rsidR="002B2018" w:rsidRPr="009A05FB" w14:paraId="54B48491" w14:textId="77777777" w:rsidTr="006C3FB6">
        <w:trPr>
          <w:cantSplit/>
          <w:trHeight w:val="885"/>
        </w:trPr>
        <w:tc>
          <w:tcPr>
            <w:tcW w:w="568" w:type="dxa"/>
            <w:vAlign w:val="center"/>
          </w:tcPr>
          <w:p w14:paraId="7A691147" w14:textId="5B537AEB" w:rsidR="002B2018" w:rsidRPr="006C3FB6" w:rsidRDefault="002B2018" w:rsidP="00BF2D01">
            <w:pPr>
              <w:pStyle w:val="ListParagraph"/>
              <w:spacing w:after="120"/>
              <w:ind w:left="0"/>
              <w:jc w:val="center"/>
              <w:rPr>
                <w:rFonts w:asciiTheme="minorHAnsi" w:hAnsiTheme="minorHAnsi" w:cstheme="minorHAnsi"/>
                <w:szCs w:val="20"/>
              </w:rPr>
            </w:pPr>
            <w:r w:rsidRPr="006C3FB6">
              <w:rPr>
                <w:rFonts w:asciiTheme="minorHAnsi" w:hAnsiTheme="minorHAnsi" w:cstheme="minorHAnsi"/>
                <w:szCs w:val="20"/>
              </w:rPr>
              <w:t>4</w:t>
            </w:r>
          </w:p>
        </w:tc>
        <w:tc>
          <w:tcPr>
            <w:tcW w:w="7371" w:type="dxa"/>
            <w:shd w:val="clear" w:color="auto" w:fill="auto"/>
          </w:tcPr>
          <w:p w14:paraId="1BED6AB3" w14:textId="0853283B"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b/>
                <w:sz w:val="22"/>
                <w:szCs w:val="22"/>
              </w:rPr>
              <w:t>Work with community governance structures:</w:t>
            </w:r>
            <w:r w:rsidRPr="006A0BA6">
              <w:rPr>
                <w:rFonts w:asciiTheme="minorHAnsi" w:hAnsiTheme="minorHAnsi" w:cstheme="minorHAnsi"/>
                <w:sz w:val="22"/>
                <w:szCs w:val="22"/>
              </w:rPr>
              <w:t xml:space="preserve"> Continue to provide facilities for communities to organise around climate change issues. Make sure these are connected to mainstream community development planning groups and systems (e.g. farmer and water groups) and that the knowledge and experience are integrated, informing the decisions of these organisations. These connections can be mutually reinforcing, providing knowledge and capacity building across sectors and interests.</w:t>
            </w:r>
          </w:p>
        </w:tc>
        <w:tc>
          <w:tcPr>
            <w:tcW w:w="2552" w:type="dxa"/>
            <w:tcBorders>
              <w:right w:val="single" w:sz="4" w:space="0" w:color="auto"/>
            </w:tcBorders>
            <w:shd w:val="clear" w:color="auto" w:fill="auto"/>
          </w:tcPr>
          <w:p w14:paraId="2540098B" w14:textId="402C5EAD" w:rsidR="002B2018" w:rsidRPr="006A0BA6" w:rsidRDefault="002B2018" w:rsidP="0000445C">
            <w:pPr>
              <w:spacing w:after="120"/>
              <w:rPr>
                <w:rFonts w:asciiTheme="minorHAnsi" w:hAnsiTheme="minorHAnsi" w:cstheme="minorHAnsi"/>
                <w:sz w:val="22"/>
                <w:szCs w:val="22"/>
              </w:rPr>
            </w:pPr>
            <w:r w:rsidRPr="006A0BA6">
              <w:rPr>
                <w:rFonts w:asciiTheme="minorHAnsi" w:hAnsiTheme="minorHAnsi" w:cstheme="minorHAnsi"/>
                <w:sz w:val="22"/>
                <w:szCs w:val="22"/>
              </w:rPr>
              <w:t>Agree</w:t>
            </w:r>
            <w:r w:rsidR="0000445C" w:rsidRPr="006A0BA6">
              <w:rPr>
                <w:rFonts w:asciiTheme="minorHAnsi" w:hAnsiTheme="minorHAnsi" w:cstheme="minorHAnsi"/>
                <w:sz w:val="22"/>
                <w:szCs w:val="22"/>
              </w:rPr>
              <w:t xml:space="preserve">. Coordination and knowledge sharing between different interest groups and governance structures was integral to achieving the outcomes of the program. </w:t>
            </w:r>
          </w:p>
        </w:tc>
      </w:tr>
      <w:tr w:rsidR="002B2018" w:rsidRPr="009A05FB" w14:paraId="2DD5B834" w14:textId="77777777" w:rsidTr="006C3FB6">
        <w:trPr>
          <w:cantSplit/>
          <w:trHeight w:val="885"/>
        </w:trPr>
        <w:tc>
          <w:tcPr>
            <w:tcW w:w="568" w:type="dxa"/>
            <w:vAlign w:val="center"/>
          </w:tcPr>
          <w:p w14:paraId="53D5637C" w14:textId="443D27B3" w:rsidR="002B2018" w:rsidRPr="006C3FB6" w:rsidRDefault="002B2018" w:rsidP="00BF2D01">
            <w:pPr>
              <w:pStyle w:val="ListParagraph"/>
              <w:spacing w:after="120"/>
              <w:ind w:left="0"/>
              <w:jc w:val="center"/>
              <w:rPr>
                <w:rFonts w:asciiTheme="minorHAnsi" w:hAnsiTheme="minorHAnsi" w:cstheme="minorHAnsi"/>
                <w:szCs w:val="20"/>
              </w:rPr>
            </w:pPr>
            <w:r w:rsidRPr="006C3FB6">
              <w:rPr>
                <w:rFonts w:asciiTheme="minorHAnsi" w:hAnsiTheme="minorHAnsi" w:cstheme="minorHAnsi"/>
                <w:szCs w:val="20"/>
              </w:rPr>
              <w:t>5</w:t>
            </w:r>
          </w:p>
        </w:tc>
        <w:tc>
          <w:tcPr>
            <w:tcW w:w="7371" w:type="dxa"/>
            <w:shd w:val="clear" w:color="auto" w:fill="auto"/>
          </w:tcPr>
          <w:p w14:paraId="56EE0155" w14:textId="77777777" w:rsidR="002B2018" w:rsidRPr="006A0BA6" w:rsidRDefault="002B2018" w:rsidP="008D6694">
            <w:pPr>
              <w:rPr>
                <w:rFonts w:asciiTheme="minorHAnsi" w:hAnsiTheme="minorHAnsi" w:cstheme="minorHAnsi"/>
                <w:sz w:val="22"/>
                <w:szCs w:val="22"/>
              </w:rPr>
            </w:pPr>
            <w:r w:rsidRPr="006A0BA6">
              <w:rPr>
                <w:rFonts w:asciiTheme="minorHAnsi" w:hAnsiTheme="minorHAnsi" w:cstheme="minorHAnsi"/>
                <w:b/>
                <w:sz w:val="22"/>
                <w:szCs w:val="22"/>
              </w:rPr>
              <w:t>Tailor activities to the needs, roles and skills of different groups:</w:t>
            </w:r>
            <w:r w:rsidRPr="006A0BA6">
              <w:rPr>
                <w:rFonts w:asciiTheme="minorHAnsi" w:hAnsiTheme="minorHAnsi" w:cstheme="minorHAnsi"/>
                <w:sz w:val="22"/>
                <w:szCs w:val="22"/>
              </w:rPr>
              <w:t xml:space="preserve"> Ensure that the vulnerabilities of all groups in the community are fully appreciated, discussed and assessed. Provide opportunities/spaces for all groups to access the knowledge they need for these discussions. Make sure there are mechanisms to connect these with mainstream community development decision-making. </w:t>
            </w:r>
          </w:p>
          <w:p w14:paraId="24320CDE" w14:textId="03B5F213" w:rsidR="002B2018" w:rsidRPr="006A0BA6" w:rsidRDefault="002B2018" w:rsidP="008D6694">
            <w:pPr>
              <w:rPr>
                <w:rFonts w:asciiTheme="minorHAnsi" w:hAnsiTheme="minorHAnsi" w:cstheme="minorHAnsi"/>
                <w:sz w:val="22"/>
                <w:szCs w:val="22"/>
              </w:rPr>
            </w:pPr>
            <w:r w:rsidRPr="006A0BA6">
              <w:rPr>
                <w:rFonts w:asciiTheme="minorHAnsi" w:hAnsiTheme="minorHAnsi" w:cstheme="minorHAnsi"/>
                <w:sz w:val="22"/>
                <w:szCs w:val="22"/>
              </w:rPr>
              <w:t xml:space="preserve">Focus resilience-building activities on the roles of groups that may not be active in traditional decision-making in communities, providing opportunities for them to understand and discuss the risks within their particular circumstances, and to come up with ways to reduce the risks and contribute to the resilience of the whole community. </w:t>
            </w:r>
          </w:p>
          <w:p w14:paraId="2F245DDE" w14:textId="77777777" w:rsidR="002B2018" w:rsidRPr="006A0BA6" w:rsidRDefault="002B2018" w:rsidP="008D6694">
            <w:pPr>
              <w:rPr>
                <w:rFonts w:asciiTheme="minorHAnsi" w:hAnsiTheme="minorHAnsi" w:cstheme="minorHAnsi"/>
                <w:sz w:val="22"/>
                <w:szCs w:val="22"/>
              </w:rPr>
            </w:pPr>
            <w:r w:rsidRPr="006A0BA6">
              <w:rPr>
                <w:rFonts w:asciiTheme="minorHAnsi" w:hAnsiTheme="minorHAnsi" w:cstheme="minorHAnsi"/>
                <w:sz w:val="22"/>
                <w:szCs w:val="22"/>
              </w:rPr>
              <w:t>Include child-led and child-centred approaches to engage children/youth in vulnerability assessments, adaptation planning and local action. Their inputs are unique and essential to overall community resilience. Specific expertise and methods are needed for this, including different media and forms of communication that ‘speak to’ children and harness their creativity. Form partnerships to provide these.</w:t>
            </w:r>
          </w:p>
          <w:p w14:paraId="18CD1545" w14:textId="2131D07D"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sz w:val="22"/>
                <w:szCs w:val="22"/>
              </w:rPr>
              <w:t>Provide opportunities to connect children to wider knowledge networks and access to ongoing education about climate change where possible (e.g. through mentoring and courses) while the formal education system matures.</w:t>
            </w:r>
          </w:p>
        </w:tc>
        <w:tc>
          <w:tcPr>
            <w:tcW w:w="2552" w:type="dxa"/>
            <w:tcBorders>
              <w:right w:val="single" w:sz="4" w:space="0" w:color="auto"/>
            </w:tcBorders>
            <w:shd w:val="clear" w:color="auto" w:fill="auto"/>
          </w:tcPr>
          <w:p w14:paraId="6A7745AF" w14:textId="195E304A" w:rsidR="00F66D0D" w:rsidRPr="006A0BA6" w:rsidRDefault="00492683" w:rsidP="0000445C">
            <w:pPr>
              <w:spacing w:after="120"/>
              <w:rPr>
                <w:rFonts w:asciiTheme="minorHAnsi" w:hAnsiTheme="minorHAnsi" w:cstheme="minorHAnsi"/>
                <w:sz w:val="22"/>
                <w:szCs w:val="22"/>
              </w:rPr>
            </w:pPr>
            <w:r w:rsidRPr="006A0BA6">
              <w:rPr>
                <w:rFonts w:asciiTheme="minorHAnsi" w:hAnsiTheme="minorHAnsi" w:cstheme="minorHAnsi"/>
                <w:sz w:val="22"/>
                <w:szCs w:val="22"/>
              </w:rPr>
              <w:t xml:space="preserve">Agree. All projects in CBCCAG employed participatory planning models, providing the foundation for wide community engagement. </w:t>
            </w:r>
          </w:p>
          <w:p w14:paraId="2258C0C3" w14:textId="18E4583C" w:rsidR="00F66D0D" w:rsidRPr="006A0BA6" w:rsidRDefault="00F66D0D" w:rsidP="00F66D0D">
            <w:pPr>
              <w:rPr>
                <w:rFonts w:asciiTheme="minorHAnsi" w:hAnsiTheme="minorHAnsi" w:cstheme="minorHAnsi"/>
                <w:sz w:val="22"/>
                <w:szCs w:val="22"/>
              </w:rPr>
            </w:pPr>
            <w:r w:rsidRPr="006A0BA6">
              <w:rPr>
                <w:rFonts w:asciiTheme="minorHAnsi" w:hAnsiTheme="minorHAnsi" w:cstheme="minorHAnsi"/>
                <w:sz w:val="22"/>
                <w:szCs w:val="22"/>
              </w:rPr>
              <w:t>DFAT notes most projects reported that they have more work to do in engaging people with disabilities. While some projects targeted support through activities that facilitated disabled access, this is an area in need of further work.</w:t>
            </w:r>
            <w:r w:rsidR="007F67F1" w:rsidRPr="006A0BA6">
              <w:rPr>
                <w:rFonts w:asciiTheme="minorHAnsi" w:hAnsiTheme="minorHAnsi" w:cstheme="minorHAnsi"/>
                <w:sz w:val="22"/>
                <w:szCs w:val="22"/>
              </w:rPr>
              <w:t xml:space="preserve"> This area will be given greater consideration for future investments. </w:t>
            </w:r>
          </w:p>
          <w:p w14:paraId="4D6F47FF" w14:textId="4FEF172C" w:rsidR="002B2018" w:rsidRPr="006A0BA6" w:rsidRDefault="002B2018" w:rsidP="00F66D0D">
            <w:pPr>
              <w:rPr>
                <w:rFonts w:asciiTheme="minorHAnsi" w:hAnsiTheme="minorHAnsi" w:cstheme="minorHAnsi"/>
                <w:sz w:val="22"/>
                <w:szCs w:val="22"/>
              </w:rPr>
            </w:pPr>
          </w:p>
        </w:tc>
      </w:tr>
      <w:tr w:rsidR="002B2018" w:rsidRPr="009A05FB" w14:paraId="312049D7" w14:textId="77777777" w:rsidTr="006C3FB6">
        <w:trPr>
          <w:cantSplit/>
          <w:trHeight w:val="885"/>
        </w:trPr>
        <w:tc>
          <w:tcPr>
            <w:tcW w:w="568" w:type="dxa"/>
            <w:vAlign w:val="center"/>
          </w:tcPr>
          <w:p w14:paraId="77347AF3" w14:textId="4486A668" w:rsidR="002B2018" w:rsidRPr="006C3FB6" w:rsidRDefault="008A27C4" w:rsidP="00BF2D01">
            <w:pPr>
              <w:pStyle w:val="ListParagraph"/>
              <w:spacing w:after="120"/>
              <w:ind w:left="0"/>
              <w:jc w:val="center"/>
              <w:rPr>
                <w:rFonts w:asciiTheme="minorHAnsi" w:hAnsiTheme="minorHAnsi" w:cstheme="minorHAnsi"/>
                <w:szCs w:val="20"/>
              </w:rPr>
            </w:pPr>
            <w:r>
              <w:rPr>
                <w:rFonts w:asciiTheme="minorHAnsi" w:hAnsiTheme="minorHAnsi" w:cstheme="minorHAnsi"/>
                <w:szCs w:val="20"/>
              </w:rPr>
              <w:lastRenderedPageBreak/>
              <w:t>6</w:t>
            </w:r>
          </w:p>
        </w:tc>
        <w:tc>
          <w:tcPr>
            <w:tcW w:w="7371" w:type="dxa"/>
            <w:shd w:val="clear" w:color="auto" w:fill="auto"/>
          </w:tcPr>
          <w:p w14:paraId="4A8CDE15" w14:textId="77777777" w:rsidR="002B2018" w:rsidRPr="006A0BA6" w:rsidRDefault="002B2018" w:rsidP="008D6694">
            <w:pPr>
              <w:rPr>
                <w:rFonts w:asciiTheme="minorHAnsi" w:hAnsiTheme="minorHAnsi" w:cstheme="minorHAnsi"/>
                <w:sz w:val="22"/>
                <w:szCs w:val="22"/>
              </w:rPr>
            </w:pPr>
            <w:r w:rsidRPr="006A0BA6">
              <w:rPr>
                <w:rFonts w:asciiTheme="minorHAnsi" w:hAnsiTheme="minorHAnsi" w:cstheme="minorHAnsi"/>
                <w:b/>
                <w:sz w:val="22"/>
                <w:szCs w:val="22"/>
              </w:rPr>
              <w:t>Deepen community experience of options for adaptation:</w:t>
            </w:r>
            <w:r w:rsidRPr="006A0BA6">
              <w:rPr>
                <w:rFonts w:asciiTheme="minorHAnsi" w:hAnsiTheme="minorHAnsi" w:cstheme="minorHAnsi"/>
                <w:sz w:val="22"/>
                <w:szCs w:val="22"/>
              </w:rPr>
              <w:t xml:space="preserve"> Continue community-led testing of options for reducing the risks of climate change in their livelihood systems and, over time, for adapting these systems. Look for partnerships to support these options and for development of innovations. </w:t>
            </w:r>
          </w:p>
          <w:p w14:paraId="1930A5B2" w14:textId="77777777" w:rsidR="002B2018" w:rsidRPr="006A0BA6" w:rsidRDefault="002B2018" w:rsidP="008D6694">
            <w:pPr>
              <w:rPr>
                <w:rFonts w:asciiTheme="minorHAnsi" w:hAnsiTheme="minorHAnsi" w:cstheme="minorHAnsi"/>
                <w:sz w:val="22"/>
                <w:szCs w:val="22"/>
              </w:rPr>
            </w:pPr>
            <w:r w:rsidRPr="006A0BA6">
              <w:rPr>
                <w:rFonts w:asciiTheme="minorHAnsi" w:hAnsiTheme="minorHAnsi" w:cstheme="minorHAnsi"/>
                <w:sz w:val="22"/>
                <w:szCs w:val="22"/>
              </w:rPr>
              <w:t xml:space="preserve">These should include partnerships with government through complementary planning and development. These partnerships can provide essential infrastructure and services, and facilitate access to water, markets and mechanisms such as technical assistance/ incentives, seed funding, market regulation and trade agreements. </w:t>
            </w:r>
          </w:p>
          <w:p w14:paraId="7A515DE0" w14:textId="77777777" w:rsidR="002B2018" w:rsidRPr="006A0BA6" w:rsidRDefault="002B2018" w:rsidP="008D6694">
            <w:pPr>
              <w:rPr>
                <w:rFonts w:asciiTheme="minorHAnsi" w:hAnsiTheme="minorHAnsi" w:cstheme="minorHAnsi"/>
                <w:sz w:val="22"/>
                <w:szCs w:val="22"/>
              </w:rPr>
            </w:pPr>
            <w:r w:rsidRPr="006A0BA6">
              <w:rPr>
                <w:rFonts w:asciiTheme="minorHAnsi" w:hAnsiTheme="minorHAnsi" w:cstheme="minorHAnsi"/>
                <w:sz w:val="22"/>
                <w:szCs w:val="22"/>
              </w:rPr>
              <w:t>Partnerships could be established with the private sector to provide for the genuine engagement and the rights of producers. These partnerships can support supply of inputs for conservation farming, integrated pest management and low-cost, efficient water and fuel technology. They can also open up markets to a more diverse range of produce.</w:t>
            </w:r>
          </w:p>
          <w:p w14:paraId="335DC27A" w14:textId="1E8B4DC4"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sz w:val="22"/>
                <w:szCs w:val="22"/>
              </w:rPr>
              <w:t>Partnerships could also be forged with research for development agencies, actively engaging them on the ground to monitor and assess different options, and to inform their research. This will make their research more relevant and responsive to the needs of vulnerable communities.</w:t>
            </w:r>
          </w:p>
        </w:tc>
        <w:tc>
          <w:tcPr>
            <w:tcW w:w="2552" w:type="dxa"/>
            <w:tcBorders>
              <w:right w:val="single" w:sz="4" w:space="0" w:color="auto"/>
            </w:tcBorders>
            <w:shd w:val="clear" w:color="auto" w:fill="auto"/>
          </w:tcPr>
          <w:p w14:paraId="7670A6B5" w14:textId="77777777" w:rsidR="007F67F1" w:rsidRPr="006A0BA6" w:rsidRDefault="002B2018" w:rsidP="00610FB5">
            <w:pPr>
              <w:spacing w:after="120"/>
              <w:rPr>
                <w:rFonts w:asciiTheme="minorHAnsi" w:hAnsiTheme="minorHAnsi" w:cstheme="minorHAnsi"/>
                <w:sz w:val="22"/>
                <w:szCs w:val="22"/>
              </w:rPr>
            </w:pPr>
            <w:r w:rsidRPr="006A0BA6" w:rsidDel="00A63273">
              <w:rPr>
                <w:rFonts w:asciiTheme="minorHAnsi" w:hAnsiTheme="minorHAnsi" w:cstheme="minorHAnsi"/>
                <w:sz w:val="22"/>
                <w:szCs w:val="22"/>
              </w:rPr>
              <w:t>Agree</w:t>
            </w:r>
            <w:r w:rsidR="00610FB5" w:rsidRPr="006A0BA6">
              <w:rPr>
                <w:rFonts w:asciiTheme="minorHAnsi" w:hAnsiTheme="minorHAnsi" w:cstheme="minorHAnsi"/>
                <w:sz w:val="22"/>
                <w:szCs w:val="22"/>
              </w:rPr>
              <w:t>. DFAT acknowledges and recognises the importance of community-based adaptation and the importance of incorporating the lessons learned from this program</w:t>
            </w:r>
            <w:r w:rsidR="007F67F1" w:rsidRPr="006A0BA6">
              <w:rPr>
                <w:rFonts w:asciiTheme="minorHAnsi" w:hAnsiTheme="minorHAnsi" w:cstheme="minorHAnsi"/>
                <w:sz w:val="22"/>
                <w:szCs w:val="22"/>
              </w:rPr>
              <w:t xml:space="preserve"> in future investments</w:t>
            </w:r>
            <w:r w:rsidR="00610FB5" w:rsidRPr="006A0BA6">
              <w:rPr>
                <w:rFonts w:asciiTheme="minorHAnsi" w:hAnsiTheme="minorHAnsi" w:cstheme="minorHAnsi"/>
                <w:sz w:val="22"/>
                <w:szCs w:val="22"/>
              </w:rPr>
              <w:t>.</w:t>
            </w:r>
          </w:p>
          <w:p w14:paraId="2EFA8216" w14:textId="5D74568E" w:rsidR="002B2018" w:rsidRPr="006A0BA6" w:rsidRDefault="007F67F1" w:rsidP="00803AB0">
            <w:pPr>
              <w:spacing w:after="120"/>
              <w:rPr>
                <w:rFonts w:asciiTheme="minorHAnsi" w:hAnsiTheme="minorHAnsi" w:cstheme="minorHAnsi"/>
                <w:sz w:val="22"/>
                <w:szCs w:val="22"/>
              </w:rPr>
            </w:pPr>
            <w:r w:rsidRPr="006A0BA6">
              <w:rPr>
                <w:rFonts w:asciiTheme="minorHAnsi" w:hAnsiTheme="minorHAnsi" w:cstheme="minorHAnsi"/>
                <w:sz w:val="22"/>
                <w:szCs w:val="22"/>
              </w:rPr>
              <w:t xml:space="preserve">DFAT will continue to assess and consider options going forward to work closer with the private sector in this area, particularly through implementation of the outcomes of the COP21 Paris Agreement. </w:t>
            </w:r>
            <w:r w:rsidR="00610FB5" w:rsidRPr="006A0BA6">
              <w:rPr>
                <w:rFonts w:asciiTheme="minorHAnsi" w:hAnsiTheme="minorHAnsi" w:cstheme="minorHAnsi"/>
                <w:sz w:val="22"/>
                <w:szCs w:val="22"/>
              </w:rPr>
              <w:t xml:space="preserve">  </w:t>
            </w:r>
          </w:p>
        </w:tc>
      </w:tr>
      <w:tr w:rsidR="002B2018" w:rsidRPr="009A05FB" w14:paraId="32BB5881" w14:textId="77777777" w:rsidTr="006C3FB6">
        <w:trPr>
          <w:cantSplit/>
          <w:trHeight w:val="885"/>
        </w:trPr>
        <w:tc>
          <w:tcPr>
            <w:tcW w:w="568" w:type="dxa"/>
            <w:vAlign w:val="center"/>
          </w:tcPr>
          <w:p w14:paraId="3D831A10" w14:textId="11EB4D9C" w:rsidR="002B2018" w:rsidRPr="006C3FB6" w:rsidRDefault="002B2018" w:rsidP="00BF2D01">
            <w:pPr>
              <w:pStyle w:val="ListParagraph"/>
              <w:spacing w:after="120"/>
              <w:ind w:left="0"/>
              <w:jc w:val="center"/>
              <w:rPr>
                <w:rFonts w:asciiTheme="minorHAnsi" w:hAnsiTheme="minorHAnsi" w:cstheme="minorHAnsi"/>
                <w:szCs w:val="20"/>
              </w:rPr>
            </w:pPr>
            <w:r w:rsidRPr="006C3FB6">
              <w:rPr>
                <w:rFonts w:asciiTheme="minorHAnsi" w:hAnsiTheme="minorHAnsi" w:cstheme="minorHAnsi"/>
                <w:szCs w:val="20"/>
              </w:rPr>
              <w:t>7</w:t>
            </w:r>
          </w:p>
        </w:tc>
        <w:tc>
          <w:tcPr>
            <w:tcW w:w="7371" w:type="dxa"/>
            <w:shd w:val="clear" w:color="auto" w:fill="auto"/>
          </w:tcPr>
          <w:p w14:paraId="41DF1903" w14:textId="77777777" w:rsidR="002B2018" w:rsidRPr="006A0BA6" w:rsidRDefault="002B2018" w:rsidP="008D6694">
            <w:pPr>
              <w:rPr>
                <w:rFonts w:asciiTheme="minorHAnsi" w:hAnsiTheme="minorHAnsi" w:cstheme="minorHAnsi"/>
                <w:sz w:val="22"/>
                <w:szCs w:val="22"/>
              </w:rPr>
            </w:pPr>
            <w:r w:rsidRPr="006A0BA6">
              <w:rPr>
                <w:rFonts w:asciiTheme="minorHAnsi" w:hAnsiTheme="minorHAnsi" w:cstheme="minorHAnsi"/>
                <w:b/>
                <w:sz w:val="22"/>
                <w:szCs w:val="22"/>
              </w:rPr>
              <w:t>Engage with local government early and on multiple fronts:</w:t>
            </w:r>
            <w:r w:rsidRPr="006A0BA6">
              <w:rPr>
                <w:rFonts w:asciiTheme="minorHAnsi" w:hAnsiTheme="minorHAnsi" w:cstheme="minorHAnsi"/>
                <w:sz w:val="22"/>
                <w:szCs w:val="22"/>
              </w:rPr>
              <w:t xml:space="preserve"> Begin engaging with local government at the start of activities. Work with their local leadership to ensure that project activities are coordinated with other work in the local area and to ensure that officials are fully across the project. Keep them regularly updated.</w:t>
            </w:r>
          </w:p>
          <w:p w14:paraId="26CF59EA" w14:textId="77777777" w:rsidR="002B2018" w:rsidRPr="006A0BA6" w:rsidRDefault="002B2018" w:rsidP="008D6694">
            <w:pPr>
              <w:rPr>
                <w:rFonts w:asciiTheme="minorHAnsi" w:hAnsiTheme="minorHAnsi" w:cstheme="minorHAnsi"/>
                <w:sz w:val="22"/>
                <w:szCs w:val="22"/>
              </w:rPr>
            </w:pPr>
            <w:r w:rsidRPr="006A0BA6">
              <w:rPr>
                <w:rFonts w:asciiTheme="minorHAnsi" w:hAnsiTheme="minorHAnsi" w:cstheme="minorHAnsi"/>
                <w:sz w:val="22"/>
                <w:szCs w:val="22"/>
              </w:rPr>
              <w:t>Engage technical officials in capacity building around climate change. This will take time to develop and will not be sufficient in many areas to support the ongoing needs of communities for technical assistance, especially as climate change impacts worsen. However, it all helps and is an effective way to engage officials with communities, and for them to hear community voices.</w:t>
            </w:r>
          </w:p>
          <w:p w14:paraId="7BB926F8" w14:textId="77777777" w:rsidR="002B2018" w:rsidRPr="006A0BA6" w:rsidRDefault="002B2018" w:rsidP="008D6694">
            <w:pPr>
              <w:rPr>
                <w:rFonts w:asciiTheme="minorHAnsi" w:hAnsiTheme="minorHAnsi" w:cstheme="minorHAnsi"/>
                <w:sz w:val="22"/>
                <w:szCs w:val="22"/>
              </w:rPr>
            </w:pPr>
            <w:r w:rsidRPr="006A0BA6">
              <w:rPr>
                <w:rFonts w:asciiTheme="minorHAnsi" w:hAnsiTheme="minorHAnsi" w:cstheme="minorHAnsi"/>
                <w:sz w:val="22"/>
                <w:szCs w:val="22"/>
              </w:rPr>
              <w:t xml:space="preserve">Support this capacity building by providing other opportunities for technical officers to build their skills, for example through mentoring, formal training courses and professional exchanges, so that they can more effectively support community needs. This is an ongoing process that requires sustained investment, education and training. </w:t>
            </w:r>
          </w:p>
          <w:p w14:paraId="0918E472" w14:textId="77777777" w:rsidR="002B2018" w:rsidRPr="006A0BA6" w:rsidRDefault="002B2018" w:rsidP="008D6694">
            <w:pPr>
              <w:rPr>
                <w:rFonts w:asciiTheme="minorHAnsi" w:hAnsiTheme="minorHAnsi" w:cstheme="minorHAnsi"/>
                <w:sz w:val="22"/>
                <w:szCs w:val="22"/>
              </w:rPr>
            </w:pPr>
            <w:r w:rsidRPr="006A0BA6">
              <w:rPr>
                <w:rFonts w:asciiTheme="minorHAnsi" w:hAnsiTheme="minorHAnsi" w:cstheme="minorHAnsi"/>
                <w:sz w:val="22"/>
                <w:szCs w:val="22"/>
              </w:rPr>
              <w:t xml:space="preserve">Connect community planning for climate change adaptation to mainstream local government community development programs. This is challenging and requires dedicated effort, but working outside these systems is not sustainable and is unlikely to deliver ongoing benefits for communities. </w:t>
            </w:r>
          </w:p>
          <w:p w14:paraId="1B008F8E" w14:textId="77777777" w:rsidR="002B2018" w:rsidRPr="006A0BA6" w:rsidRDefault="002B2018" w:rsidP="008D6694">
            <w:pPr>
              <w:rPr>
                <w:rFonts w:asciiTheme="minorHAnsi" w:hAnsiTheme="minorHAnsi" w:cstheme="minorHAnsi"/>
                <w:sz w:val="22"/>
                <w:szCs w:val="22"/>
              </w:rPr>
            </w:pPr>
            <w:r w:rsidRPr="006A0BA6">
              <w:rPr>
                <w:rFonts w:asciiTheme="minorHAnsi" w:hAnsiTheme="minorHAnsi" w:cstheme="minorHAnsi"/>
                <w:sz w:val="22"/>
                <w:szCs w:val="22"/>
              </w:rPr>
              <w:t xml:space="preserve">Start small, for example by facilitating integration of community vulnerability assessments in local construction planning, so that community road projects are designed to withstand weather, and supplies provided through agriculture programs suit changing weather conditions. This means working with officials such as engineers, agronomists and natural resource managers (where they exist) and not just extension workers. </w:t>
            </w:r>
          </w:p>
          <w:p w14:paraId="698BB492" w14:textId="7F8FFF84" w:rsidR="002B2018" w:rsidRPr="008D6694" w:rsidRDefault="002B2018" w:rsidP="008D6694">
            <w:pPr>
              <w:spacing w:after="120"/>
              <w:rPr>
                <w:rFonts w:asciiTheme="minorHAnsi" w:hAnsiTheme="minorHAnsi" w:cstheme="minorHAnsi"/>
                <w:sz w:val="18"/>
                <w:szCs w:val="18"/>
              </w:rPr>
            </w:pPr>
            <w:r w:rsidRPr="006A0BA6">
              <w:rPr>
                <w:rFonts w:asciiTheme="minorHAnsi" w:hAnsiTheme="minorHAnsi" w:cstheme="minorHAnsi"/>
                <w:sz w:val="22"/>
                <w:szCs w:val="22"/>
              </w:rPr>
              <w:t>Opportunities are emerging in some places to integrate through DRR programs, although these too are commonly disconnected from mainstream development budgets, and dedicated DRR program budgets (where they exist) tend to be small and lack transparency.</w:t>
            </w:r>
          </w:p>
        </w:tc>
        <w:tc>
          <w:tcPr>
            <w:tcW w:w="2552" w:type="dxa"/>
            <w:tcBorders>
              <w:right w:val="single" w:sz="4" w:space="0" w:color="auto"/>
            </w:tcBorders>
            <w:shd w:val="clear" w:color="auto" w:fill="auto"/>
          </w:tcPr>
          <w:p w14:paraId="4EB558BC" w14:textId="40876D2B" w:rsidR="003E6696" w:rsidRPr="006A0BA6" w:rsidRDefault="002B2018" w:rsidP="006A0BA6">
            <w:pPr>
              <w:rPr>
                <w:rFonts w:asciiTheme="minorHAnsi" w:hAnsiTheme="minorHAnsi" w:cstheme="minorHAnsi"/>
                <w:sz w:val="22"/>
                <w:szCs w:val="22"/>
              </w:rPr>
            </w:pPr>
            <w:r w:rsidRPr="006A0BA6">
              <w:rPr>
                <w:rFonts w:asciiTheme="minorHAnsi" w:hAnsiTheme="minorHAnsi" w:cstheme="minorHAnsi"/>
                <w:sz w:val="22"/>
                <w:szCs w:val="22"/>
              </w:rPr>
              <w:t>Agree</w:t>
            </w:r>
            <w:r w:rsidR="00C0691A" w:rsidRPr="006A0BA6">
              <w:rPr>
                <w:rFonts w:asciiTheme="minorHAnsi" w:hAnsiTheme="minorHAnsi" w:cstheme="minorHAnsi"/>
                <w:sz w:val="22"/>
                <w:szCs w:val="22"/>
              </w:rPr>
              <w:t>.</w:t>
            </w:r>
            <w:r w:rsidR="00F66D0D" w:rsidRPr="006A0BA6">
              <w:rPr>
                <w:rFonts w:asciiTheme="minorHAnsi" w:hAnsiTheme="minorHAnsi" w:cstheme="minorHAnsi"/>
                <w:sz w:val="22"/>
                <w:szCs w:val="22"/>
              </w:rPr>
              <w:t xml:space="preserve"> The projects engaged local governments through various </w:t>
            </w:r>
            <w:r w:rsidR="003E6696" w:rsidRPr="006A0BA6">
              <w:rPr>
                <w:rFonts w:asciiTheme="minorHAnsi" w:hAnsiTheme="minorHAnsi" w:cstheme="minorHAnsi"/>
                <w:sz w:val="22"/>
                <w:szCs w:val="22"/>
              </w:rPr>
              <w:t xml:space="preserve">mechanisms. DFAT acknowledges that engagement with the local government at early stages in the program promotes local ownership, improves coordination of responses and aligns development priorities. </w:t>
            </w:r>
          </w:p>
          <w:p w14:paraId="2F9B404C" w14:textId="0512691B" w:rsidR="002B2018" w:rsidRPr="009A05FB" w:rsidRDefault="00F66D0D" w:rsidP="006A0BA6">
            <w:pPr>
              <w:rPr>
                <w:rFonts w:asciiTheme="minorHAnsi" w:hAnsiTheme="minorHAnsi" w:cstheme="minorHAnsi"/>
                <w:sz w:val="18"/>
                <w:szCs w:val="18"/>
              </w:rPr>
            </w:pPr>
            <w:r w:rsidRPr="006A0BA6">
              <w:rPr>
                <w:rFonts w:asciiTheme="minorHAnsi" w:hAnsiTheme="minorHAnsi" w:cstheme="minorHAnsi"/>
                <w:sz w:val="22"/>
                <w:szCs w:val="22"/>
              </w:rPr>
              <w:t>DFAT</w:t>
            </w:r>
            <w:r w:rsidR="003E6696" w:rsidRPr="006A0BA6">
              <w:rPr>
                <w:rFonts w:asciiTheme="minorHAnsi" w:hAnsiTheme="minorHAnsi" w:cstheme="minorHAnsi"/>
                <w:sz w:val="22"/>
                <w:szCs w:val="22"/>
              </w:rPr>
              <w:t xml:space="preserve"> also recognises </w:t>
            </w:r>
            <w:r w:rsidRPr="006A0BA6">
              <w:rPr>
                <w:rFonts w:asciiTheme="minorHAnsi" w:hAnsiTheme="minorHAnsi" w:cstheme="minorHAnsi"/>
                <w:sz w:val="22"/>
                <w:szCs w:val="22"/>
              </w:rPr>
              <w:t>limited capacities and resources can cause engagemen</w:t>
            </w:r>
            <w:r w:rsidR="003E6696" w:rsidRPr="006A0BA6">
              <w:rPr>
                <w:rFonts w:asciiTheme="minorHAnsi" w:hAnsiTheme="minorHAnsi" w:cstheme="minorHAnsi"/>
                <w:sz w:val="22"/>
                <w:szCs w:val="22"/>
              </w:rPr>
              <w:t>t and sustainability challenges, some of these challenges can be overcome with early planning, engagement and adequate coordination.</w:t>
            </w:r>
            <w:r w:rsidR="003E6696">
              <w:rPr>
                <w:rFonts w:asciiTheme="minorHAnsi" w:hAnsiTheme="minorHAnsi" w:cstheme="minorHAnsi"/>
                <w:sz w:val="18"/>
                <w:szCs w:val="18"/>
              </w:rPr>
              <w:t xml:space="preserve"> </w:t>
            </w:r>
          </w:p>
        </w:tc>
      </w:tr>
      <w:tr w:rsidR="002B2018" w:rsidRPr="009A05FB" w14:paraId="4D8F1DC1" w14:textId="77777777" w:rsidTr="006C3FB6">
        <w:trPr>
          <w:cantSplit/>
          <w:trHeight w:val="885"/>
        </w:trPr>
        <w:tc>
          <w:tcPr>
            <w:tcW w:w="568" w:type="dxa"/>
            <w:vAlign w:val="center"/>
          </w:tcPr>
          <w:p w14:paraId="21CC011C" w14:textId="5D9770D3" w:rsidR="002B2018" w:rsidRPr="006C3FB6" w:rsidRDefault="002B2018" w:rsidP="00BF2D01">
            <w:pPr>
              <w:pStyle w:val="ListParagraph"/>
              <w:spacing w:after="120"/>
              <w:ind w:left="0"/>
              <w:jc w:val="center"/>
              <w:rPr>
                <w:rFonts w:asciiTheme="minorHAnsi" w:hAnsiTheme="minorHAnsi" w:cstheme="minorHAnsi"/>
                <w:szCs w:val="20"/>
              </w:rPr>
            </w:pPr>
            <w:r w:rsidRPr="006C3FB6">
              <w:rPr>
                <w:rFonts w:asciiTheme="minorHAnsi" w:hAnsiTheme="minorHAnsi" w:cstheme="minorHAnsi"/>
                <w:szCs w:val="20"/>
              </w:rPr>
              <w:lastRenderedPageBreak/>
              <w:t>8</w:t>
            </w:r>
          </w:p>
        </w:tc>
        <w:tc>
          <w:tcPr>
            <w:tcW w:w="7371" w:type="dxa"/>
            <w:shd w:val="clear" w:color="auto" w:fill="auto"/>
          </w:tcPr>
          <w:p w14:paraId="4741E4DC" w14:textId="77777777"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b/>
                <w:sz w:val="22"/>
                <w:szCs w:val="22"/>
              </w:rPr>
              <w:t>Look for partnerships to deliver complementary development at scale:</w:t>
            </w:r>
            <w:r w:rsidRPr="006A0BA6">
              <w:rPr>
                <w:rFonts w:asciiTheme="minorHAnsi" w:hAnsiTheme="minorHAnsi" w:cstheme="minorHAnsi"/>
                <w:sz w:val="22"/>
                <w:szCs w:val="22"/>
              </w:rPr>
              <w:t xml:space="preserve"> Climate change plays out across landscapes and ecosystems and many of the risks such as large floods, drought and drying conditions are best addressed at this scale. If they are not addressed at this scale, the work of communities (e.g. small-scale flood protection, sea walls, new water supplies, and new production technologies and systems) can be quickly undermined. Where it is achieved, however, the impact can be truly transformative. </w:t>
            </w:r>
          </w:p>
          <w:p w14:paraId="2A535814" w14:textId="45F5A17D"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sz w:val="22"/>
                <w:szCs w:val="22"/>
              </w:rPr>
              <w:t>Firstly, the landscape scale processes must be understood, requiring specialist technical expertise, which is rarely available locally. Then it entails establishing cooperative networks across communities and local government administration areas, far beyond the scope of communities to achieve. Civil society can play a role through advocacy and its own extensive networks, including with national/provincial government, development banks and donors.</w:t>
            </w:r>
          </w:p>
        </w:tc>
        <w:tc>
          <w:tcPr>
            <w:tcW w:w="2552" w:type="dxa"/>
            <w:tcBorders>
              <w:right w:val="single" w:sz="4" w:space="0" w:color="auto"/>
            </w:tcBorders>
            <w:shd w:val="clear" w:color="auto" w:fill="auto"/>
          </w:tcPr>
          <w:p w14:paraId="2A3772CE" w14:textId="77777777" w:rsidR="007F67F1" w:rsidRPr="006A0BA6" w:rsidRDefault="002B2018" w:rsidP="001B2E88">
            <w:pPr>
              <w:spacing w:after="120"/>
              <w:rPr>
                <w:rFonts w:asciiTheme="minorHAnsi" w:hAnsiTheme="minorHAnsi" w:cstheme="minorHAnsi"/>
                <w:sz w:val="22"/>
                <w:szCs w:val="22"/>
              </w:rPr>
            </w:pPr>
            <w:r w:rsidRPr="006A0BA6">
              <w:rPr>
                <w:rFonts w:asciiTheme="minorHAnsi" w:hAnsiTheme="minorHAnsi" w:cstheme="minorHAnsi"/>
                <w:sz w:val="22"/>
                <w:szCs w:val="22"/>
              </w:rPr>
              <w:t>Agree</w:t>
            </w:r>
            <w:r w:rsidR="001B2E88" w:rsidRPr="006A0BA6">
              <w:rPr>
                <w:rFonts w:asciiTheme="minorHAnsi" w:hAnsiTheme="minorHAnsi" w:cstheme="minorHAnsi"/>
                <w:sz w:val="22"/>
                <w:szCs w:val="22"/>
              </w:rPr>
              <w:t>. DFAT acknowledges Engagement with government provides mechanisms for scaling out successful approaches to other communities and</w:t>
            </w:r>
            <w:r w:rsidR="007F67F1" w:rsidRPr="006A0BA6">
              <w:rPr>
                <w:rFonts w:asciiTheme="minorHAnsi" w:hAnsiTheme="minorHAnsi" w:cstheme="minorHAnsi"/>
                <w:sz w:val="22"/>
                <w:szCs w:val="22"/>
              </w:rPr>
              <w:t xml:space="preserve"> wider</w:t>
            </w:r>
            <w:r w:rsidR="001B2E88" w:rsidRPr="006A0BA6">
              <w:rPr>
                <w:rFonts w:asciiTheme="minorHAnsi" w:hAnsiTheme="minorHAnsi" w:cstheme="minorHAnsi"/>
                <w:sz w:val="22"/>
                <w:szCs w:val="22"/>
              </w:rPr>
              <w:t xml:space="preserve"> areas. </w:t>
            </w:r>
          </w:p>
          <w:p w14:paraId="4672BFE5" w14:textId="528728A2" w:rsidR="001B2E88" w:rsidRPr="006A0BA6" w:rsidRDefault="001B2E88" w:rsidP="001B2E88">
            <w:pPr>
              <w:spacing w:after="120"/>
              <w:rPr>
                <w:rFonts w:asciiTheme="minorHAnsi" w:hAnsiTheme="minorHAnsi" w:cstheme="minorHAnsi"/>
                <w:sz w:val="22"/>
                <w:szCs w:val="22"/>
              </w:rPr>
            </w:pPr>
            <w:r w:rsidRPr="006A0BA6">
              <w:rPr>
                <w:rFonts w:asciiTheme="minorHAnsi" w:hAnsiTheme="minorHAnsi" w:cstheme="minorHAnsi"/>
                <w:sz w:val="22"/>
                <w:szCs w:val="22"/>
              </w:rPr>
              <w:t>The private sector also offers poten</w:t>
            </w:r>
            <w:r w:rsidR="007F67F1" w:rsidRPr="006A0BA6">
              <w:rPr>
                <w:rFonts w:asciiTheme="minorHAnsi" w:hAnsiTheme="minorHAnsi" w:cstheme="minorHAnsi"/>
                <w:sz w:val="22"/>
                <w:szCs w:val="22"/>
              </w:rPr>
              <w:t xml:space="preserve">tial for supporting scaling out and leveraging of funding and activities. DFAT will continue to consider ways for a broad range of actors to coordinate and effectively and deliver complementary work at scale. </w:t>
            </w:r>
          </w:p>
          <w:p w14:paraId="13ECA806" w14:textId="6CDD92A1" w:rsidR="002B2018" w:rsidRPr="006A0BA6" w:rsidRDefault="002B2018" w:rsidP="003E0901">
            <w:pPr>
              <w:spacing w:after="120"/>
              <w:rPr>
                <w:rFonts w:asciiTheme="minorHAnsi" w:hAnsiTheme="minorHAnsi" w:cstheme="minorHAnsi"/>
                <w:sz w:val="22"/>
                <w:szCs w:val="22"/>
              </w:rPr>
            </w:pPr>
          </w:p>
          <w:p w14:paraId="5A66C6FD" w14:textId="77777777" w:rsidR="002B2018" w:rsidRPr="006A0BA6" w:rsidRDefault="002B2018" w:rsidP="00803AB0">
            <w:pPr>
              <w:spacing w:after="120"/>
              <w:rPr>
                <w:rFonts w:asciiTheme="minorHAnsi" w:hAnsiTheme="minorHAnsi" w:cstheme="minorHAnsi"/>
                <w:sz w:val="22"/>
                <w:szCs w:val="22"/>
              </w:rPr>
            </w:pPr>
          </w:p>
        </w:tc>
      </w:tr>
      <w:tr w:rsidR="002B2018" w:rsidRPr="006A0BA6" w14:paraId="6080EA13" w14:textId="77777777" w:rsidTr="006C3FB6">
        <w:trPr>
          <w:cantSplit/>
          <w:trHeight w:val="885"/>
        </w:trPr>
        <w:tc>
          <w:tcPr>
            <w:tcW w:w="568" w:type="dxa"/>
            <w:vAlign w:val="center"/>
          </w:tcPr>
          <w:p w14:paraId="6F988837" w14:textId="469E745F" w:rsidR="002B2018" w:rsidRPr="006C3FB6" w:rsidRDefault="002B2018" w:rsidP="00BF2D01">
            <w:pPr>
              <w:pStyle w:val="ListParagraph"/>
              <w:spacing w:after="120"/>
              <w:ind w:left="0"/>
              <w:jc w:val="center"/>
              <w:rPr>
                <w:rFonts w:asciiTheme="minorHAnsi" w:hAnsiTheme="minorHAnsi" w:cstheme="minorHAnsi"/>
                <w:szCs w:val="20"/>
              </w:rPr>
            </w:pPr>
            <w:r w:rsidRPr="006C3FB6">
              <w:rPr>
                <w:rFonts w:asciiTheme="minorHAnsi" w:hAnsiTheme="minorHAnsi" w:cstheme="minorHAnsi"/>
                <w:szCs w:val="20"/>
              </w:rPr>
              <w:t>9</w:t>
            </w:r>
          </w:p>
        </w:tc>
        <w:tc>
          <w:tcPr>
            <w:tcW w:w="7371" w:type="dxa"/>
            <w:shd w:val="clear" w:color="auto" w:fill="auto"/>
          </w:tcPr>
          <w:p w14:paraId="52F792E7" w14:textId="77777777"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b/>
                <w:sz w:val="22"/>
                <w:szCs w:val="22"/>
              </w:rPr>
              <w:t>Consolidate the CBCCAG evidence base on community-based climate change adaptation across the projects:</w:t>
            </w:r>
            <w:r w:rsidRPr="006A0BA6">
              <w:rPr>
                <w:rFonts w:asciiTheme="minorHAnsi" w:hAnsiTheme="minorHAnsi" w:cstheme="minorHAnsi"/>
                <w:sz w:val="22"/>
                <w:szCs w:val="22"/>
              </w:rPr>
              <w:t xml:space="preserve"> Analyse it and document outcomes, experiences and lessons to see if it is possible to define ‘models’ and approaches that can be shared to inform future programs and the global methodological discussion on CBA. Make the evidence base available and accessible.</w:t>
            </w:r>
          </w:p>
          <w:p w14:paraId="7ECB7E3C" w14:textId="77777777"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sz w:val="22"/>
                <w:szCs w:val="22"/>
              </w:rPr>
              <w:t>This evidence base also offers a wealth of knowledge to inform discussions about entry points for climate change in community development, complementing knowledge from adaptation efforts around the world. Properly analysed, it could inform our understanding of what ‘resilience’ means in community settings, how it relates to short-term development benefits and how investment might need to be ramped up to deal with worsening impacts.</w:t>
            </w:r>
          </w:p>
          <w:p w14:paraId="49AE909A" w14:textId="5FB6B2B0"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sz w:val="22"/>
                <w:szCs w:val="22"/>
              </w:rPr>
              <w:t>The CBCCAG evidence base is of particular value in the context of the Pacific Region, home to many of the world’s most vulnerable areas and to millions of at-risk people who have not benefited from the industrial and resources booms that fuel global climate change. It offers rich, in-depth experiences and lessons to guide the next wave of donor investment.</w:t>
            </w:r>
          </w:p>
        </w:tc>
        <w:tc>
          <w:tcPr>
            <w:tcW w:w="2552" w:type="dxa"/>
            <w:tcBorders>
              <w:right w:val="single" w:sz="4" w:space="0" w:color="auto"/>
            </w:tcBorders>
            <w:shd w:val="clear" w:color="auto" w:fill="auto"/>
          </w:tcPr>
          <w:p w14:paraId="48EE5011" w14:textId="22336B6E" w:rsidR="002B2018" w:rsidRPr="006A0BA6" w:rsidRDefault="002B2018" w:rsidP="004149D3">
            <w:pPr>
              <w:spacing w:after="120"/>
              <w:rPr>
                <w:rFonts w:asciiTheme="minorHAnsi" w:hAnsiTheme="minorHAnsi" w:cstheme="minorHAnsi"/>
                <w:sz w:val="22"/>
                <w:szCs w:val="22"/>
              </w:rPr>
            </w:pPr>
            <w:r w:rsidRPr="006A0BA6">
              <w:rPr>
                <w:rFonts w:asciiTheme="minorHAnsi" w:hAnsiTheme="minorHAnsi" w:cstheme="minorHAnsi"/>
                <w:sz w:val="22"/>
                <w:szCs w:val="22"/>
              </w:rPr>
              <w:t>Agree</w:t>
            </w:r>
            <w:r w:rsidR="00492683" w:rsidRPr="006A0BA6">
              <w:rPr>
                <w:rFonts w:asciiTheme="minorHAnsi" w:hAnsiTheme="minorHAnsi" w:cstheme="minorHAnsi"/>
                <w:sz w:val="22"/>
                <w:szCs w:val="22"/>
              </w:rPr>
              <w:t xml:space="preserve">. </w:t>
            </w:r>
            <w:r w:rsidR="007F67F1" w:rsidRPr="006A0BA6">
              <w:rPr>
                <w:rFonts w:asciiTheme="minorHAnsi" w:hAnsiTheme="minorHAnsi" w:cstheme="minorHAnsi"/>
                <w:sz w:val="22"/>
                <w:szCs w:val="22"/>
              </w:rPr>
              <w:t xml:space="preserve">Experiences across the program highlight the need for streamlined, targeted environment assessment and management tools, drawing on the substantial global knowledge base, for community-based development work. A number of lessons and achievements can be drawn from these programs and it is important these </w:t>
            </w:r>
            <w:r w:rsidR="00492683" w:rsidRPr="006A0BA6">
              <w:rPr>
                <w:rFonts w:asciiTheme="minorHAnsi" w:hAnsiTheme="minorHAnsi" w:cstheme="minorHAnsi"/>
                <w:sz w:val="22"/>
                <w:szCs w:val="22"/>
              </w:rPr>
              <w:t xml:space="preserve">lessons </w:t>
            </w:r>
            <w:r w:rsidR="007F67F1" w:rsidRPr="006A0BA6">
              <w:rPr>
                <w:rFonts w:asciiTheme="minorHAnsi" w:hAnsiTheme="minorHAnsi" w:cstheme="minorHAnsi"/>
                <w:sz w:val="22"/>
                <w:szCs w:val="22"/>
              </w:rPr>
              <w:t xml:space="preserve">are incorporated into future planning. </w:t>
            </w:r>
          </w:p>
        </w:tc>
      </w:tr>
      <w:tr w:rsidR="002B2018" w:rsidRPr="006A0BA6" w14:paraId="62FA9DA6" w14:textId="77777777" w:rsidTr="006C3FB6">
        <w:trPr>
          <w:cantSplit/>
          <w:trHeight w:val="885"/>
        </w:trPr>
        <w:tc>
          <w:tcPr>
            <w:tcW w:w="568" w:type="dxa"/>
            <w:vAlign w:val="center"/>
          </w:tcPr>
          <w:p w14:paraId="5EE00E66" w14:textId="1FF9C297" w:rsidR="002B2018" w:rsidRPr="006C3FB6" w:rsidRDefault="002B2018" w:rsidP="00BF2D01">
            <w:pPr>
              <w:pStyle w:val="ListParagraph"/>
              <w:spacing w:after="120"/>
              <w:ind w:left="0"/>
              <w:jc w:val="center"/>
              <w:rPr>
                <w:rFonts w:asciiTheme="minorHAnsi" w:hAnsiTheme="minorHAnsi" w:cstheme="minorHAnsi"/>
                <w:szCs w:val="20"/>
              </w:rPr>
            </w:pPr>
            <w:r w:rsidRPr="006C3FB6">
              <w:rPr>
                <w:rFonts w:asciiTheme="minorHAnsi" w:hAnsiTheme="minorHAnsi" w:cstheme="minorHAnsi"/>
                <w:szCs w:val="20"/>
              </w:rPr>
              <w:lastRenderedPageBreak/>
              <w:t>10</w:t>
            </w:r>
          </w:p>
        </w:tc>
        <w:tc>
          <w:tcPr>
            <w:tcW w:w="7371" w:type="dxa"/>
            <w:shd w:val="clear" w:color="auto" w:fill="auto"/>
          </w:tcPr>
          <w:p w14:paraId="54955358" w14:textId="575F8B91" w:rsidR="002B2018" w:rsidRPr="006A0BA6" w:rsidRDefault="002B2018" w:rsidP="008D6694">
            <w:pPr>
              <w:spacing w:after="120"/>
              <w:rPr>
                <w:rFonts w:asciiTheme="minorHAnsi" w:hAnsiTheme="minorHAnsi" w:cstheme="minorHAnsi"/>
                <w:sz w:val="22"/>
                <w:szCs w:val="22"/>
              </w:rPr>
            </w:pPr>
            <w:r w:rsidRPr="00F1122B">
              <w:rPr>
                <w:rFonts w:asciiTheme="minorHAnsi" w:hAnsiTheme="minorHAnsi" w:cstheme="minorHAnsi"/>
                <w:b/>
                <w:sz w:val="22"/>
                <w:szCs w:val="22"/>
              </w:rPr>
              <w:t>Don’t start again:</w:t>
            </w:r>
            <w:r w:rsidRPr="006A0BA6">
              <w:rPr>
                <w:rFonts w:asciiTheme="minorHAnsi" w:hAnsiTheme="minorHAnsi" w:cstheme="minorHAnsi"/>
                <w:sz w:val="22"/>
                <w:szCs w:val="22"/>
              </w:rPr>
              <w:t xml:space="preserve"> Build on the achievements in the project locations. Deepening the knowledge and experiences of communities and local partners will enable the evidence base and good practice generated by the CBCCAG program to be adapted locally for wider application</w:t>
            </w:r>
          </w:p>
        </w:tc>
        <w:tc>
          <w:tcPr>
            <w:tcW w:w="2552" w:type="dxa"/>
            <w:tcBorders>
              <w:right w:val="single" w:sz="4" w:space="0" w:color="auto"/>
            </w:tcBorders>
            <w:shd w:val="clear" w:color="auto" w:fill="auto"/>
          </w:tcPr>
          <w:p w14:paraId="7FAB2D35" w14:textId="4650E6EC" w:rsidR="002B2018" w:rsidRPr="006A0BA6" w:rsidRDefault="002B2018" w:rsidP="006C3FB6">
            <w:pPr>
              <w:spacing w:after="120"/>
              <w:rPr>
                <w:rFonts w:asciiTheme="minorHAnsi" w:hAnsiTheme="minorHAnsi" w:cstheme="minorHAnsi"/>
                <w:sz w:val="22"/>
                <w:szCs w:val="22"/>
              </w:rPr>
            </w:pPr>
            <w:r w:rsidRPr="006A0BA6">
              <w:rPr>
                <w:rFonts w:asciiTheme="minorHAnsi" w:hAnsiTheme="minorHAnsi" w:cstheme="minorHAnsi"/>
                <w:sz w:val="22"/>
                <w:szCs w:val="22"/>
              </w:rPr>
              <w:t>Agree</w:t>
            </w:r>
            <w:r w:rsidR="00930041" w:rsidRPr="006A0BA6">
              <w:rPr>
                <w:rFonts w:asciiTheme="minorHAnsi" w:hAnsiTheme="minorHAnsi" w:cstheme="minorHAnsi"/>
                <w:sz w:val="22"/>
                <w:szCs w:val="22"/>
              </w:rPr>
              <w:t>.</w:t>
            </w:r>
            <w:r w:rsidR="0000445C" w:rsidRPr="006A0BA6">
              <w:rPr>
                <w:rFonts w:asciiTheme="minorHAnsi" w:hAnsiTheme="minorHAnsi" w:cstheme="minorHAnsi"/>
                <w:sz w:val="22"/>
                <w:szCs w:val="22"/>
              </w:rPr>
              <w:t xml:space="preserve"> The findings and lessons learned from CBCCAG projects, and workshops held throughout the life of the program, have established a strong evidence base for future investments and best practice. </w:t>
            </w:r>
            <w:r w:rsidR="006C3FB6" w:rsidRPr="006A0BA6">
              <w:rPr>
                <w:rFonts w:asciiTheme="minorHAnsi" w:hAnsiTheme="minorHAnsi" w:cstheme="minorHAnsi"/>
                <w:sz w:val="22"/>
                <w:szCs w:val="22"/>
              </w:rPr>
              <w:t xml:space="preserve">These achievements will be valuable to build on for future climate investments. </w:t>
            </w:r>
          </w:p>
        </w:tc>
      </w:tr>
      <w:tr w:rsidR="002B2018" w:rsidRPr="009A05FB" w14:paraId="73C1A7C6" w14:textId="77777777" w:rsidTr="006C3FB6">
        <w:trPr>
          <w:cantSplit/>
          <w:trHeight w:val="885"/>
        </w:trPr>
        <w:tc>
          <w:tcPr>
            <w:tcW w:w="568" w:type="dxa"/>
            <w:vAlign w:val="center"/>
          </w:tcPr>
          <w:p w14:paraId="002A3338" w14:textId="58811741" w:rsidR="002B2018" w:rsidRPr="006C3FB6" w:rsidRDefault="002B2018" w:rsidP="001F338A">
            <w:pPr>
              <w:pStyle w:val="ListParagraph"/>
              <w:spacing w:after="120"/>
              <w:ind w:left="0"/>
              <w:jc w:val="center"/>
              <w:rPr>
                <w:rFonts w:asciiTheme="minorHAnsi" w:hAnsiTheme="minorHAnsi" w:cstheme="minorHAnsi"/>
                <w:szCs w:val="20"/>
              </w:rPr>
            </w:pPr>
            <w:r w:rsidRPr="006C3FB6">
              <w:rPr>
                <w:rFonts w:asciiTheme="minorHAnsi" w:hAnsiTheme="minorHAnsi" w:cstheme="minorHAnsi"/>
                <w:szCs w:val="20"/>
              </w:rPr>
              <w:t>11</w:t>
            </w:r>
          </w:p>
        </w:tc>
        <w:tc>
          <w:tcPr>
            <w:tcW w:w="7371" w:type="dxa"/>
            <w:shd w:val="clear" w:color="auto" w:fill="auto"/>
          </w:tcPr>
          <w:p w14:paraId="191AE449" w14:textId="77777777"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b/>
                <w:sz w:val="22"/>
                <w:szCs w:val="22"/>
              </w:rPr>
              <w:t>Continue the consortium approach:</w:t>
            </w:r>
            <w:r w:rsidRPr="006A0BA6">
              <w:rPr>
                <w:rFonts w:asciiTheme="minorHAnsi" w:hAnsiTheme="minorHAnsi" w:cstheme="minorHAnsi"/>
                <w:sz w:val="22"/>
                <w:szCs w:val="22"/>
              </w:rPr>
              <w:t xml:space="preserve"> It is an efficient implementation method with large potential benefits for all partners.</w:t>
            </w:r>
          </w:p>
          <w:p w14:paraId="37B4711A" w14:textId="77777777"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sz w:val="22"/>
                <w:szCs w:val="22"/>
              </w:rPr>
              <w:t>Ensure that roles and responsibilities of partners are clear upfront. Provide mechanisms for collaboration and synergies in the way different partners work (i.e. not just working separately).</w:t>
            </w:r>
          </w:p>
          <w:p w14:paraId="2063CF35" w14:textId="77777777"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sz w:val="22"/>
                <w:szCs w:val="22"/>
              </w:rPr>
              <w:t>Engage all partners in the design process, agreeing on objectives, outcomes, budgets and pace of implementation.</w:t>
            </w:r>
          </w:p>
          <w:p w14:paraId="6DFB90F5" w14:textId="3010F926"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sz w:val="22"/>
                <w:szCs w:val="22"/>
              </w:rPr>
              <w:t>Jointly develop a project-wide monitoring and evaluation system. Ensure it is structured to report against program as well as project objectives and outcomes. Provide dedicated resources and expertise to coordinate regular monitoring, analysis and reporting. Provide a range of opportunities for cross-learning within and between communities and across project countries. Local partners highly value these.</w:t>
            </w:r>
          </w:p>
        </w:tc>
        <w:tc>
          <w:tcPr>
            <w:tcW w:w="2552" w:type="dxa"/>
            <w:tcBorders>
              <w:right w:val="single" w:sz="4" w:space="0" w:color="auto"/>
            </w:tcBorders>
            <w:shd w:val="clear" w:color="auto" w:fill="auto"/>
          </w:tcPr>
          <w:p w14:paraId="39BEAD26" w14:textId="646B993D" w:rsidR="002B2018" w:rsidRPr="006A0BA6" w:rsidRDefault="002B2018" w:rsidP="003E0901">
            <w:pPr>
              <w:spacing w:after="120"/>
              <w:rPr>
                <w:rFonts w:asciiTheme="minorHAnsi" w:hAnsiTheme="minorHAnsi" w:cstheme="minorHAnsi"/>
                <w:sz w:val="22"/>
                <w:szCs w:val="22"/>
              </w:rPr>
            </w:pPr>
            <w:r w:rsidRPr="006A0BA6">
              <w:rPr>
                <w:rFonts w:asciiTheme="minorHAnsi" w:hAnsiTheme="minorHAnsi" w:cstheme="minorHAnsi"/>
                <w:sz w:val="22"/>
                <w:szCs w:val="22"/>
              </w:rPr>
              <w:t>Agree</w:t>
            </w:r>
            <w:r w:rsidR="00492683" w:rsidRPr="006A0BA6">
              <w:rPr>
                <w:rFonts w:asciiTheme="minorHAnsi" w:hAnsiTheme="minorHAnsi" w:cstheme="minorHAnsi"/>
                <w:sz w:val="22"/>
                <w:szCs w:val="22"/>
              </w:rPr>
              <w:t xml:space="preserve">. </w:t>
            </w:r>
            <w:r w:rsidR="001E1680" w:rsidRPr="006A0BA6">
              <w:rPr>
                <w:rFonts w:asciiTheme="minorHAnsi" w:hAnsiTheme="minorHAnsi" w:cstheme="minorHAnsi"/>
                <w:sz w:val="22"/>
                <w:szCs w:val="22"/>
              </w:rPr>
              <w:t>The consortium model proved to be efficient and effective to build capacity of local partners and enabled the sharing of lessons and approaches.</w:t>
            </w:r>
          </w:p>
          <w:p w14:paraId="66F4E7E3" w14:textId="60EEFD90" w:rsidR="002B2018" w:rsidRPr="006A0BA6" w:rsidRDefault="00326342" w:rsidP="0000445C">
            <w:pPr>
              <w:spacing w:after="120"/>
              <w:rPr>
                <w:rFonts w:asciiTheme="minorHAnsi" w:hAnsiTheme="minorHAnsi" w:cstheme="minorHAnsi"/>
                <w:sz w:val="22"/>
                <w:szCs w:val="22"/>
              </w:rPr>
            </w:pPr>
            <w:r w:rsidRPr="006A0BA6">
              <w:rPr>
                <w:rFonts w:asciiTheme="minorHAnsi" w:hAnsiTheme="minorHAnsi" w:cstheme="minorHAnsi"/>
                <w:sz w:val="22"/>
                <w:szCs w:val="22"/>
              </w:rPr>
              <w:t>DFAT recognises and a</w:t>
            </w:r>
            <w:r w:rsidR="001E1680" w:rsidRPr="006A0BA6">
              <w:rPr>
                <w:rFonts w:asciiTheme="minorHAnsi" w:hAnsiTheme="minorHAnsi" w:cstheme="minorHAnsi"/>
                <w:sz w:val="22"/>
                <w:szCs w:val="22"/>
              </w:rPr>
              <w:t>gree</w:t>
            </w:r>
            <w:r w:rsidRPr="006A0BA6">
              <w:rPr>
                <w:rFonts w:asciiTheme="minorHAnsi" w:hAnsiTheme="minorHAnsi" w:cstheme="minorHAnsi"/>
                <w:sz w:val="22"/>
                <w:szCs w:val="22"/>
              </w:rPr>
              <w:t>s</w:t>
            </w:r>
            <w:r w:rsidR="001E1680" w:rsidRPr="006A0BA6">
              <w:rPr>
                <w:rFonts w:asciiTheme="minorHAnsi" w:hAnsiTheme="minorHAnsi" w:cstheme="minorHAnsi"/>
                <w:sz w:val="22"/>
                <w:szCs w:val="22"/>
              </w:rPr>
              <w:t xml:space="preserve"> that </w:t>
            </w:r>
            <w:r w:rsidR="0000445C" w:rsidRPr="006A0BA6">
              <w:rPr>
                <w:rFonts w:asciiTheme="minorHAnsi" w:hAnsiTheme="minorHAnsi" w:cstheme="minorHAnsi"/>
                <w:sz w:val="22"/>
                <w:szCs w:val="22"/>
              </w:rPr>
              <w:t xml:space="preserve">the consortia approach added value however future investments using this </w:t>
            </w:r>
            <w:r w:rsidR="001E1680" w:rsidRPr="006A0BA6">
              <w:rPr>
                <w:rFonts w:asciiTheme="minorHAnsi" w:hAnsiTheme="minorHAnsi" w:cstheme="minorHAnsi"/>
                <w:sz w:val="22"/>
                <w:szCs w:val="22"/>
              </w:rPr>
              <w:t>approach will require greater monito</w:t>
            </w:r>
            <w:r w:rsidR="0000445C" w:rsidRPr="006A0BA6">
              <w:rPr>
                <w:rFonts w:asciiTheme="minorHAnsi" w:hAnsiTheme="minorHAnsi" w:cstheme="minorHAnsi"/>
                <w:sz w:val="22"/>
                <w:szCs w:val="22"/>
              </w:rPr>
              <w:t>ring and evaluation practices at both</w:t>
            </w:r>
            <w:r w:rsidR="001E1680" w:rsidRPr="006A0BA6">
              <w:rPr>
                <w:rFonts w:asciiTheme="minorHAnsi" w:hAnsiTheme="minorHAnsi" w:cstheme="minorHAnsi"/>
                <w:sz w:val="22"/>
                <w:szCs w:val="22"/>
              </w:rPr>
              <w:t xml:space="preserve"> consortia and program levels. </w:t>
            </w:r>
          </w:p>
        </w:tc>
      </w:tr>
      <w:tr w:rsidR="002B2018" w:rsidRPr="009A05FB" w14:paraId="0F62F6D2" w14:textId="77777777" w:rsidTr="006C3FB6">
        <w:trPr>
          <w:cantSplit/>
          <w:trHeight w:val="885"/>
        </w:trPr>
        <w:tc>
          <w:tcPr>
            <w:tcW w:w="568" w:type="dxa"/>
            <w:vAlign w:val="center"/>
          </w:tcPr>
          <w:p w14:paraId="08756DA3" w14:textId="0859F6B4" w:rsidR="002B2018" w:rsidRPr="006C3FB6" w:rsidRDefault="002B2018" w:rsidP="001F338A">
            <w:pPr>
              <w:pStyle w:val="ListParagraph"/>
              <w:spacing w:after="120"/>
              <w:ind w:left="0"/>
              <w:jc w:val="center"/>
              <w:rPr>
                <w:rFonts w:asciiTheme="minorHAnsi" w:hAnsiTheme="minorHAnsi" w:cstheme="minorHAnsi"/>
                <w:szCs w:val="20"/>
              </w:rPr>
            </w:pPr>
            <w:r w:rsidRPr="006C3FB6">
              <w:rPr>
                <w:rFonts w:asciiTheme="minorHAnsi" w:hAnsiTheme="minorHAnsi" w:cstheme="minorHAnsi"/>
                <w:szCs w:val="20"/>
              </w:rPr>
              <w:t>12</w:t>
            </w:r>
          </w:p>
        </w:tc>
        <w:tc>
          <w:tcPr>
            <w:tcW w:w="7371" w:type="dxa"/>
            <w:shd w:val="clear" w:color="auto" w:fill="auto"/>
          </w:tcPr>
          <w:p w14:paraId="1BFBBE7D" w14:textId="2E8A2249"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b/>
                <w:sz w:val="22"/>
                <w:szCs w:val="22"/>
              </w:rPr>
              <w:t>Build local partner capacities:</w:t>
            </w:r>
            <w:r w:rsidRPr="006A0BA6">
              <w:rPr>
                <w:rFonts w:asciiTheme="minorHAnsi" w:hAnsiTheme="minorHAnsi" w:cstheme="minorHAnsi"/>
                <w:sz w:val="22"/>
                <w:szCs w:val="22"/>
              </w:rPr>
              <w:t xml:space="preserve"> Supporting local partners through good coordination, sharing of new methods and technologies, and providing access to wider networks is an effective ongoing role for international NGOs to play</w:t>
            </w:r>
            <w:r w:rsidR="006A0BA6" w:rsidRPr="006A0BA6">
              <w:rPr>
                <w:rFonts w:asciiTheme="minorHAnsi" w:hAnsiTheme="minorHAnsi" w:cstheme="minorHAnsi"/>
                <w:sz w:val="22"/>
                <w:szCs w:val="22"/>
              </w:rPr>
              <w:t>.</w:t>
            </w:r>
          </w:p>
        </w:tc>
        <w:tc>
          <w:tcPr>
            <w:tcW w:w="2552" w:type="dxa"/>
            <w:tcBorders>
              <w:right w:val="single" w:sz="4" w:space="0" w:color="auto"/>
            </w:tcBorders>
            <w:shd w:val="clear" w:color="auto" w:fill="auto"/>
          </w:tcPr>
          <w:p w14:paraId="23C784B3" w14:textId="6F942A9B" w:rsidR="002B2018" w:rsidRPr="006A0BA6" w:rsidRDefault="002B2018" w:rsidP="004149D3">
            <w:pPr>
              <w:spacing w:after="120"/>
              <w:rPr>
                <w:rFonts w:asciiTheme="minorHAnsi" w:hAnsiTheme="minorHAnsi" w:cstheme="minorHAnsi"/>
                <w:sz w:val="22"/>
                <w:szCs w:val="22"/>
              </w:rPr>
            </w:pPr>
            <w:r w:rsidRPr="006A0BA6">
              <w:rPr>
                <w:rFonts w:asciiTheme="minorHAnsi" w:hAnsiTheme="minorHAnsi" w:cstheme="minorHAnsi"/>
                <w:sz w:val="22"/>
                <w:szCs w:val="22"/>
              </w:rPr>
              <w:t>Agree</w:t>
            </w:r>
            <w:r w:rsidR="00A83991" w:rsidRPr="006A0BA6">
              <w:rPr>
                <w:rFonts w:asciiTheme="minorHAnsi" w:hAnsiTheme="minorHAnsi" w:cstheme="minorHAnsi"/>
                <w:sz w:val="22"/>
                <w:szCs w:val="22"/>
              </w:rPr>
              <w:t>. Local partners were integral to the implementation of CBCCAG, good coordination and shar</w:t>
            </w:r>
            <w:r w:rsidR="004149D3">
              <w:rPr>
                <w:rFonts w:asciiTheme="minorHAnsi" w:hAnsiTheme="minorHAnsi" w:cstheme="minorHAnsi"/>
                <w:sz w:val="22"/>
                <w:szCs w:val="22"/>
              </w:rPr>
              <w:t xml:space="preserve">ing of knowledge was important to </w:t>
            </w:r>
            <w:r w:rsidR="00A83991" w:rsidRPr="006A0BA6">
              <w:rPr>
                <w:rFonts w:asciiTheme="minorHAnsi" w:hAnsiTheme="minorHAnsi" w:cstheme="minorHAnsi"/>
                <w:sz w:val="22"/>
                <w:szCs w:val="22"/>
              </w:rPr>
              <w:t>achiev</w:t>
            </w:r>
            <w:r w:rsidR="004149D3">
              <w:rPr>
                <w:rFonts w:asciiTheme="minorHAnsi" w:hAnsiTheme="minorHAnsi" w:cstheme="minorHAnsi"/>
                <w:sz w:val="22"/>
                <w:szCs w:val="22"/>
              </w:rPr>
              <w:t>e</w:t>
            </w:r>
            <w:r w:rsidR="00A83991" w:rsidRPr="006A0BA6">
              <w:rPr>
                <w:rFonts w:asciiTheme="minorHAnsi" w:hAnsiTheme="minorHAnsi" w:cstheme="minorHAnsi"/>
                <w:sz w:val="22"/>
                <w:szCs w:val="22"/>
              </w:rPr>
              <w:t xml:space="preserve"> the outcomes of projects. </w:t>
            </w:r>
          </w:p>
        </w:tc>
      </w:tr>
      <w:tr w:rsidR="002B2018" w:rsidRPr="009A05FB" w14:paraId="37B783DA" w14:textId="77777777" w:rsidTr="006C3FB6">
        <w:trPr>
          <w:cantSplit/>
          <w:trHeight w:val="885"/>
        </w:trPr>
        <w:tc>
          <w:tcPr>
            <w:tcW w:w="568" w:type="dxa"/>
            <w:vAlign w:val="center"/>
          </w:tcPr>
          <w:p w14:paraId="0D2E0577" w14:textId="38EFE365" w:rsidR="002B2018" w:rsidRPr="006C3FB6" w:rsidRDefault="002B2018" w:rsidP="001F338A">
            <w:pPr>
              <w:pStyle w:val="ListParagraph"/>
              <w:spacing w:after="120"/>
              <w:ind w:left="0"/>
              <w:jc w:val="center"/>
              <w:rPr>
                <w:rFonts w:asciiTheme="minorHAnsi" w:hAnsiTheme="minorHAnsi" w:cstheme="minorHAnsi"/>
                <w:szCs w:val="20"/>
              </w:rPr>
            </w:pPr>
            <w:r w:rsidRPr="006C3FB6">
              <w:rPr>
                <w:rFonts w:asciiTheme="minorHAnsi" w:hAnsiTheme="minorHAnsi" w:cstheme="minorHAnsi"/>
                <w:szCs w:val="20"/>
              </w:rPr>
              <w:lastRenderedPageBreak/>
              <w:t>13</w:t>
            </w:r>
          </w:p>
        </w:tc>
        <w:tc>
          <w:tcPr>
            <w:tcW w:w="7371" w:type="dxa"/>
            <w:shd w:val="clear" w:color="auto" w:fill="auto"/>
          </w:tcPr>
          <w:p w14:paraId="6A6D8661" w14:textId="77777777"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b/>
                <w:sz w:val="22"/>
                <w:szCs w:val="22"/>
              </w:rPr>
              <w:t xml:space="preserve">Provide support for program managers: </w:t>
            </w:r>
            <w:r w:rsidRPr="006A0BA6">
              <w:rPr>
                <w:rFonts w:asciiTheme="minorHAnsi" w:hAnsiTheme="minorHAnsi" w:cstheme="minorHAnsi"/>
                <w:sz w:val="22"/>
                <w:szCs w:val="22"/>
              </w:rPr>
              <w:t>Provide clear directions on DFAT requirements and design guidelines. Enable input from Posts and DFAT sector specialists (where these still exist). Provide opportunities for Post to engage (e.g. by giving Post a role in program management and cross-program events, and sharing progress reports).</w:t>
            </w:r>
          </w:p>
          <w:p w14:paraId="06C925E9" w14:textId="77777777"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sz w:val="22"/>
                <w:szCs w:val="22"/>
              </w:rPr>
              <w:t xml:space="preserve">Develop a program-wide monitoring and evaluation framework, setting out program objectives, outcomes and indicators, and a coherent theory of change. Provide regular opportunities for cross-learning across the program and feedback to implementation partners on program-level progress. Extend these to include opportunities for sharing of skills and methods, including professional placements, peer-to-peer exchanges and methodology workshops. </w:t>
            </w:r>
          </w:p>
          <w:p w14:paraId="6DC019FB" w14:textId="77777777"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sz w:val="22"/>
                <w:szCs w:val="22"/>
              </w:rPr>
              <w:t>Enable regular cross-program communication and exchange (e.g. through a program website or blog).</w:t>
            </w:r>
          </w:p>
          <w:p w14:paraId="39946938" w14:textId="7DB1B72E" w:rsidR="002B2018" w:rsidRPr="006A0BA6" w:rsidRDefault="002B2018" w:rsidP="008D6694">
            <w:pPr>
              <w:spacing w:after="120"/>
              <w:rPr>
                <w:rFonts w:asciiTheme="minorHAnsi" w:hAnsiTheme="minorHAnsi" w:cstheme="minorHAnsi"/>
                <w:sz w:val="22"/>
                <w:szCs w:val="22"/>
              </w:rPr>
            </w:pPr>
            <w:r w:rsidRPr="006A0BA6">
              <w:rPr>
                <w:rFonts w:asciiTheme="minorHAnsi" w:hAnsiTheme="minorHAnsi" w:cstheme="minorHAnsi"/>
                <w:sz w:val="22"/>
                <w:szCs w:val="22"/>
              </w:rPr>
              <w:t>Provide resources for consolidation and analysis of the evidence base across the program to inform future programs and wider methodological development in CBA.</w:t>
            </w:r>
          </w:p>
        </w:tc>
        <w:tc>
          <w:tcPr>
            <w:tcW w:w="2552" w:type="dxa"/>
            <w:tcBorders>
              <w:right w:val="single" w:sz="4" w:space="0" w:color="auto"/>
            </w:tcBorders>
            <w:shd w:val="clear" w:color="auto" w:fill="auto"/>
          </w:tcPr>
          <w:p w14:paraId="57F6132A" w14:textId="680D07EA" w:rsidR="0034077E" w:rsidRPr="006A0BA6" w:rsidRDefault="002B2018" w:rsidP="0034077E">
            <w:pPr>
              <w:spacing w:after="120"/>
              <w:rPr>
                <w:rFonts w:asciiTheme="minorHAnsi" w:hAnsiTheme="minorHAnsi" w:cstheme="minorHAnsi"/>
                <w:sz w:val="22"/>
                <w:szCs w:val="22"/>
              </w:rPr>
            </w:pPr>
            <w:r w:rsidRPr="006A0BA6">
              <w:rPr>
                <w:rFonts w:asciiTheme="minorHAnsi" w:hAnsiTheme="minorHAnsi" w:cstheme="minorHAnsi"/>
                <w:sz w:val="22"/>
                <w:szCs w:val="22"/>
              </w:rPr>
              <w:t>Agree</w:t>
            </w:r>
            <w:r w:rsidR="00F1122B">
              <w:rPr>
                <w:rFonts w:asciiTheme="minorHAnsi" w:hAnsiTheme="minorHAnsi" w:cstheme="minorHAnsi"/>
                <w:sz w:val="22"/>
                <w:szCs w:val="22"/>
              </w:rPr>
              <w:t xml:space="preserve"> that</w:t>
            </w:r>
            <w:r w:rsidR="00A83991" w:rsidRPr="006A0BA6">
              <w:rPr>
                <w:rFonts w:asciiTheme="minorHAnsi" w:hAnsiTheme="minorHAnsi" w:cstheme="minorHAnsi"/>
                <w:sz w:val="22"/>
                <w:szCs w:val="22"/>
              </w:rPr>
              <w:t xml:space="preserve"> </w:t>
            </w:r>
            <w:r w:rsidR="00F1122B">
              <w:rPr>
                <w:rFonts w:asciiTheme="minorHAnsi" w:hAnsiTheme="minorHAnsi" w:cstheme="minorHAnsi"/>
                <w:sz w:val="22"/>
                <w:szCs w:val="22"/>
              </w:rPr>
              <w:t>r</w:t>
            </w:r>
            <w:r w:rsidR="00464AB2" w:rsidRPr="006A0BA6">
              <w:rPr>
                <w:rFonts w:asciiTheme="minorHAnsi" w:hAnsiTheme="minorHAnsi" w:cstheme="minorHAnsi"/>
                <w:sz w:val="22"/>
                <w:szCs w:val="22"/>
              </w:rPr>
              <w:t xml:space="preserve">egular opportunities for </w:t>
            </w:r>
            <w:r w:rsidR="0034077E" w:rsidRPr="006A0BA6">
              <w:rPr>
                <w:rFonts w:asciiTheme="minorHAnsi" w:hAnsiTheme="minorHAnsi" w:cstheme="minorHAnsi"/>
                <w:sz w:val="22"/>
                <w:szCs w:val="22"/>
              </w:rPr>
              <w:t>m</w:t>
            </w:r>
            <w:r w:rsidR="00464AB2" w:rsidRPr="006A0BA6">
              <w:rPr>
                <w:rFonts w:asciiTheme="minorHAnsi" w:hAnsiTheme="minorHAnsi" w:cstheme="minorHAnsi"/>
                <w:sz w:val="22"/>
                <w:szCs w:val="22"/>
              </w:rPr>
              <w:t xml:space="preserve">onitoring and </w:t>
            </w:r>
            <w:r w:rsidR="0034077E" w:rsidRPr="006A0BA6">
              <w:rPr>
                <w:rFonts w:asciiTheme="minorHAnsi" w:hAnsiTheme="minorHAnsi" w:cstheme="minorHAnsi"/>
                <w:sz w:val="22"/>
                <w:szCs w:val="22"/>
              </w:rPr>
              <w:t>e</w:t>
            </w:r>
            <w:r w:rsidR="00464AB2" w:rsidRPr="006A0BA6">
              <w:rPr>
                <w:rFonts w:asciiTheme="minorHAnsi" w:hAnsiTheme="minorHAnsi" w:cstheme="minorHAnsi"/>
                <w:sz w:val="22"/>
                <w:szCs w:val="22"/>
              </w:rPr>
              <w:t xml:space="preserve">valuation are </w:t>
            </w:r>
            <w:r w:rsidR="004149D3">
              <w:rPr>
                <w:rFonts w:asciiTheme="minorHAnsi" w:hAnsiTheme="minorHAnsi" w:cstheme="minorHAnsi"/>
                <w:sz w:val="22"/>
                <w:szCs w:val="22"/>
              </w:rPr>
              <w:t xml:space="preserve">critical </w:t>
            </w:r>
            <w:r w:rsidR="00464AB2" w:rsidRPr="006A0BA6">
              <w:rPr>
                <w:rFonts w:asciiTheme="minorHAnsi" w:hAnsiTheme="minorHAnsi" w:cstheme="minorHAnsi"/>
                <w:sz w:val="22"/>
                <w:szCs w:val="22"/>
              </w:rPr>
              <w:t xml:space="preserve">to achieving outcomes against objectives. </w:t>
            </w:r>
            <w:r w:rsidR="0034077E" w:rsidRPr="006A0BA6">
              <w:rPr>
                <w:rFonts w:asciiTheme="minorHAnsi" w:hAnsiTheme="minorHAnsi" w:cstheme="minorHAnsi"/>
                <w:sz w:val="22"/>
                <w:szCs w:val="22"/>
              </w:rPr>
              <w:t>Some project teams provided training for local partners in monitoring and evaluations and shared lessons through cross-country and peer-to-peer exchanges. DFAT recognises most project teams consider that more opportunities could have been made available for cross-learning both within and between projects.</w:t>
            </w:r>
            <w:r w:rsidR="006A0BA6" w:rsidRPr="006A0BA6">
              <w:rPr>
                <w:rFonts w:asciiTheme="minorHAnsi" w:hAnsiTheme="minorHAnsi" w:cstheme="minorHAnsi"/>
                <w:sz w:val="22"/>
                <w:szCs w:val="22"/>
              </w:rPr>
              <w:t xml:space="preserve"> </w:t>
            </w:r>
            <w:r w:rsidR="00F1122B">
              <w:rPr>
                <w:rFonts w:asciiTheme="minorHAnsi" w:hAnsiTheme="minorHAnsi" w:cstheme="minorHAnsi"/>
                <w:sz w:val="22"/>
                <w:szCs w:val="22"/>
              </w:rPr>
              <w:t>We encourage NGOs to continue to work together and with DFAT to share learnings from CBCCAG.</w:t>
            </w:r>
          </w:p>
          <w:p w14:paraId="59817843" w14:textId="77777777" w:rsidR="002B2018" w:rsidRPr="006A0BA6" w:rsidRDefault="002B2018" w:rsidP="00312C6B">
            <w:pPr>
              <w:spacing w:after="120"/>
              <w:rPr>
                <w:rFonts w:asciiTheme="minorHAnsi" w:hAnsiTheme="minorHAnsi" w:cstheme="minorHAnsi"/>
                <w:sz w:val="22"/>
                <w:szCs w:val="22"/>
              </w:rPr>
            </w:pPr>
          </w:p>
          <w:p w14:paraId="20BF159E" w14:textId="77777777" w:rsidR="0034077E" w:rsidRPr="006A0BA6" w:rsidRDefault="0034077E" w:rsidP="00312C6B">
            <w:pPr>
              <w:spacing w:after="120"/>
              <w:rPr>
                <w:rFonts w:asciiTheme="minorHAnsi" w:hAnsiTheme="minorHAnsi" w:cstheme="minorHAnsi"/>
                <w:sz w:val="22"/>
                <w:szCs w:val="22"/>
              </w:rPr>
            </w:pPr>
          </w:p>
          <w:p w14:paraId="5DAD1DF9" w14:textId="77777777" w:rsidR="0034077E" w:rsidRPr="006A0BA6" w:rsidRDefault="0034077E" w:rsidP="00312C6B">
            <w:pPr>
              <w:spacing w:after="120"/>
              <w:rPr>
                <w:rFonts w:asciiTheme="minorHAnsi" w:hAnsiTheme="minorHAnsi" w:cstheme="minorHAnsi"/>
                <w:sz w:val="22"/>
                <w:szCs w:val="22"/>
              </w:rPr>
            </w:pPr>
          </w:p>
          <w:p w14:paraId="40E84F6E" w14:textId="77777777" w:rsidR="00464AB2" w:rsidRPr="006A0BA6" w:rsidRDefault="00464AB2" w:rsidP="00312C6B">
            <w:pPr>
              <w:spacing w:after="120"/>
              <w:rPr>
                <w:rFonts w:asciiTheme="minorHAnsi" w:hAnsiTheme="minorHAnsi" w:cstheme="minorHAnsi"/>
                <w:sz w:val="22"/>
                <w:szCs w:val="22"/>
              </w:rPr>
            </w:pPr>
          </w:p>
          <w:p w14:paraId="0D954BA9" w14:textId="2048D5EA" w:rsidR="00464AB2" w:rsidRPr="006A0BA6" w:rsidRDefault="00464AB2" w:rsidP="00312C6B">
            <w:pPr>
              <w:spacing w:after="120"/>
              <w:rPr>
                <w:rFonts w:asciiTheme="minorHAnsi" w:hAnsiTheme="minorHAnsi" w:cstheme="minorHAnsi"/>
                <w:sz w:val="22"/>
                <w:szCs w:val="22"/>
              </w:rPr>
            </w:pPr>
          </w:p>
        </w:tc>
      </w:tr>
    </w:tbl>
    <w:p w14:paraId="320E2664" w14:textId="56EF99B3" w:rsidR="00C657FB" w:rsidRPr="008009D9" w:rsidRDefault="00C657FB" w:rsidP="00C657FB">
      <w:pPr>
        <w:rPr>
          <w:rFonts w:asciiTheme="minorHAnsi" w:hAnsiTheme="minorHAnsi" w:cstheme="minorHAnsi"/>
        </w:rPr>
      </w:pPr>
    </w:p>
    <w:sectPr w:rsidR="00C657FB" w:rsidRPr="008009D9" w:rsidSect="00830520">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E266F" w14:textId="77777777" w:rsidR="00207DF0" w:rsidRDefault="00207DF0">
      <w:pPr>
        <w:pStyle w:val="Table-list-number"/>
      </w:pPr>
      <w:r>
        <w:separator/>
      </w:r>
    </w:p>
  </w:endnote>
  <w:endnote w:type="continuationSeparator" w:id="0">
    <w:p w14:paraId="320E2670" w14:textId="77777777" w:rsidR="00207DF0" w:rsidRDefault="00207DF0">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DBFC2" w14:textId="77777777" w:rsidR="00207DF0" w:rsidRDefault="00207D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E2674" w14:textId="04ACAF38" w:rsidR="00207DF0" w:rsidRPr="009638FC" w:rsidRDefault="00207DF0" w:rsidP="009638FC">
    <w:pPr>
      <w:pStyle w:val="Footer"/>
      <w:pBdr>
        <w:top w:val="single" w:sz="4" w:space="7" w:color="333333"/>
      </w:pBdr>
      <w:tabs>
        <w:tab w:val="clear" w:pos="4153"/>
        <w:tab w:val="clear" w:pos="8306"/>
        <w:tab w:val="left" w:pos="4253"/>
        <w:tab w:val="right" w:pos="9639"/>
      </w:tabs>
      <w:jc w:val="center"/>
    </w:pPr>
    <w:r>
      <w:rPr>
        <w:rStyle w:val="PageNumber"/>
      </w:rPr>
      <w:tab/>
    </w:r>
    <w:r w:rsidRPr="00AE52D5">
      <w:rPr>
        <w:rStyle w:val="PageNumber"/>
      </w:rPr>
      <w:t>UNCLASSIFIED</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7B568D">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7B568D">
      <w:rPr>
        <w:rStyle w:val="PageNumber"/>
        <w:noProof/>
      </w:rPr>
      <w:t>7</w:t>
    </w:r>
    <w:r w:rsidRPr="00AE52D5">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AD8F5" w14:textId="77777777" w:rsidR="00207DF0" w:rsidRDefault="00207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E266D" w14:textId="77777777" w:rsidR="00207DF0" w:rsidRDefault="00207DF0">
      <w:pPr>
        <w:pStyle w:val="Table-list-number"/>
      </w:pPr>
      <w:r>
        <w:separator/>
      </w:r>
    </w:p>
  </w:footnote>
  <w:footnote w:type="continuationSeparator" w:id="0">
    <w:p w14:paraId="320E266E" w14:textId="77777777" w:rsidR="00207DF0" w:rsidRDefault="00207DF0">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1FD5" w14:textId="77777777" w:rsidR="00207DF0" w:rsidRDefault="00207D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E2671" w14:textId="77777777" w:rsidR="00207DF0" w:rsidRPr="00077243" w:rsidRDefault="00207DF0"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F7424" w14:textId="77777777" w:rsidR="00207DF0" w:rsidRDefault="00207D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27E"/>
    <w:multiLevelType w:val="hybridMultilevel"/>
    <w:tmpl w:val="529807FC"/>
    <w:lvl w:ilvl="0" w:tplc="CEA06CC4">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441369"/>
    <w:multiLevelType w:val="hybridMultilevel"/>
    <w:tmpl w:val="CDE43564"/>
    <w:lvl w:ilvl="0" w:tplc="A412F65E">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D43692"/>
    <w:multiLevelType w:val="hybridMultilevel"/>
    <w:tmpl w:val="4912A7E8"/>
    <w:lvl w:ilvl="0" w:tplc="0C09000F">
      <w:start w:val="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A9D4DB0"/>
    <w:multiLevelType w:val="hybridMultilevel"/>
    <w:tmpl w:val="2FD09B0C"/>
    <w:lvl w:ilvl="0" w:tplc="77BE373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CC412C"/>
    <w:multiLevelType w:val="hybridMultilevel"/>
    <w:tmpl w:val="067AF116"/>
    <w:lvl w:ilvl="0" w:tplc="D4C404EC">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E4112E"/>
    <w:multiLevelType w:val="hybridMultilevel"/>
    <w:tmpl w:val="664E5952"/>
    <w:lvl w:ilvl="0" w:tplc="6CF08C7E">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AA56E2C"/>
    <w:multiLevelType w:val="hybridMultilevel"/>
    <w:tmpl w:val="9B08F0A8"/>
    <w:lvl w:ilvl="0" w:tplc="7B502210">
      <w:start w:val="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427645"/>
    <w:multiLevelType w:val="hybridMultilevel"/>
    <w:tmpl w:val="4912A7E8"/>
    <w:lvl w:ilvl="0" w:tplc="0C09000F">
      <w:start w:val="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E776514"/>
    <w:multiLevelType w:val="hybridMultilevel"/>
    <w:tmpl w:val="C8AAD1A0"/>
    <w:lvl w:ilvl="0" w:tplc="0C09000F">
      <w:start w:val="1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F0F30BF"/>
    <w:multiLevelType w:val="hybridMultilevel"/>
    <w:tmpl w:val="99E46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33F00"/>
    <w:multiLevelType w:val="hybridMultilevel"/>
    <w:tmpl w:val="0212CF8E"/>
    <w:lvl w:ilvl="0" w:tplc="0C09000F">
      <w:start w:val="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0E35628"/>
    <w:multiLevelType w:val="hybridMultilevel"/>
    <w:tmpl w:val="034485A2"/>
    <w:lvl w:ilvl="0" w:tplc="85EAE964">
      <w:start w:val="1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4B36A4"/>
    <w:multiLevelType w:val="hybridMultilevel"/>
    <w:tmpl w:val="D2F0E7B4"/>
    <w:lvl w:ilvl="0" w:tplc="CCCE9DF4">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3D2745A"/>
    <w:multiLevelType w:val="hybridMultilevel"/>
    <w:tmpl w:val="E5D0ECEA"/>
    <w:lvl w:ilvl="0" w:tplc="BB543D9E">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257771B8"/>
    <w:multiLevelType w:val="hybridMultilevel"/>
    <w:tmpl w:val="CE7049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A16577F"/>
    <w:multiLevelType w:val="hybridMultilevel"/>
    <w:tmpl w:val="E99A61B0"/>
    <w:lvl w:ilvl="0" w:tplc="77BE373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0776AD"/>
    <w:multiLevelType w:val="hybridMultilevel"/>
    <w:tmpl w:val="2AAC7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9507C01"/>
    <w:multiLevelType w:val="hybridMultilevel"/>
    <w:tmpl w:val="C8AAD1A0"/>
    <w:lvl w:ilvl="0" w:tplc="0C09000F">
      <w:start w:val="1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F223589"/>
    <w:multiLevelType w:val="hybridMultilevel"/>
    <w:tmpl w:val="C9E6F06A"/>
    <w:lvl w:ilvl="0" w:tplc="0C09000F">
      <w:start w:val="1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4A77A8D"/>
    <w:multiLevelType w:val="hybridMultilevel"/>
    <w:tmpl w:val="78BAE78A"/>
    <w:lvl w:ilvl="0" w:tplc="DEF2AC2C">
      <w:start w:val="1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nsid w:val="4E3042BA"/>
    <w:multiLevelType w:val="hybridMultilevel"/>
    <w:tmpl w:val="C8AAD1A0"/>
    <w:lvl w:ilvl="0" w:tplc="0C09000F">
      <w:start w:val="1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4F12315D"/>
    <w:multiLevelType w:val="hybridMultilevel"/>
    <w:tmpl w:val="CE7049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1E86AF0"/>
    <w:multiLevelType w:val="hybridMultilevel"/>
    <w:tmpl w:val="018A7A3A"/>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51A11C7"/>
    <w:multiLevelType w:val="hybridMultilevel"/>
    <w:tmpl w:val="52C26000"/>
    <w:lvl w:ilvl="0" w:tplc="F092B1B2">
      <w:start w:val="1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71C1972"/>
    <w:multiLevelType w:val="hybridMultilevel"/>
    <w:tmpl w:val="F5F6707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D3F7E57"/>
    <w:multiLevelType w:val="hybridMultilevel"/>
    <w:tmpl w:val="666A6202"/>
    <w:lvl w:ilvl="0" w:tplc="08EEF732">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2C3348"/>
    <w:multiLevelType w:val="hybridMultilevel"/>
    <w:tmpl w:val="008AED58"/>
    <w:lvl w:ilvl="0" w:tplc="B1AE12E8">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1AA1509"/>
    <w:multiLevelType w:val="hybridMultilevel"/>
    <w:tmpl w:val="F5F6707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649D2E9E"/>
    <w:multiLevelType w:val="hybridMultilevel"/>
    <w:tmpl w:val="018A7A3A"/>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C722357"/>
    <w:multiLevelType w:val="hybridMultilevel"/>
    <w:tmpl w:val="EA1A6F1A"/>
    <w:lvl w:ilvl="0" w:tplc="C076143E">
      <w:start w:val="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EAD2BD6"/>
    <w:multiLevelType w:val="hybridMultilevel"/>
    <w:tmpl w:val="C8AAD1A0"/>
    <w:lvl w:ilvl="0" w:tplc="0C09000F">
      <w:start w:val="1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EE63AF0"/>
    <w:multiLevelType w:val="hybridMultilevel"/>
    <w:tmpl w:val="9E64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7">
    <w:nsid w:val="742206D6"/>
    <w:multiLevelType w:val="hybridMultilevel"/>
    <w:tmpl w:val="018A7A3A"/>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763B0696"/>
    <w:multiLevelType w:val="hybridMultilevel"/>
    <w:tmpl w:val="4912A7E8"/>
    <w:lvl w:ilvl="0" w:tplc="0C09000F">
      <w:start w:val="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19"/>
  </w:num>
  <w:num w:numId="4">
    <w:abstractNumId w:val="36"/>
  </w:num>
  <w:num w:numId="5">
    <w:abstractNumId w:val="39"/>
  </w:num>
  <w:num w:numId="6">
    <w:abstractNumId w:val="2"/>
  </w:num>
  <w:num w:numId="7">
    <w:abstractNumId w:val="17"/>
  </w:num>
  <w:num w:numId="8">
    <w:abstractNumId w:val="4"/>
  </w:num>
  <w:num w:numId="9">
    <w:abstractNumId w:val="31"/>
  </w:num>
  <w:num w:numId="10">
    <w:abstractNumId w:val="21"/>
  </w:num>
  <w:num w:numId="11">
    <w:abstractNumId w:val="16"/>
  </w:num>
  <w:num w:numId="12">
    <w:abstractNumId w:val="25"/>
  </w:num>
  <w:num w:numId="13">
    <w:abstractNumId w:val="8"/>
  </w:num>
  <w:num w:numId="14">
    <w:abstractNumId w:val="26"/>
  </w:num>
  <w:num w:numId="15">
    <w:abstractNumId w:val="20"/>
  </w:num>
  <w:num w:numId="16">
    <w:abstractNumId w:val="3"/>
  </w:num>
  <w:num w:numId="17">
    <w:abstractNumId w:val="24"/>
  </w:num>
  <w:num w:numId="18">
    <w:abstractNumId w:val="11"/>
  </w:num>
  <w:num w:numId="19">
    <w:abstractNumId w:val="37"/>
  </w:num>
  <w:num w:numId="20">
    <w:abstractNumId w:val="38"/>
  </w:num>
  <w:num w:numId="21">
    <w:abstractNumId w:val="9"/>
  </w:num>
  <w:num w:numId="22">
    <w:abstractNumId w:val="34"/>
  </w:num>
  <w:num w:numId="23">
    <w:abstractNumId w:val="32"/>
  </w:num>
  <w:num w:numId="24">
    <w:abstractNumId w:val="28"/>
  </w:num>
  <w:num w:numId="25">
    <w:abstractNumId w:val="1"/>
  </w:num>
  <w:num w:numId="26">
    <w:abstractNumId w:val="0"/>
  </w:num>
  <w:num w:numId="27">
    <w:abstractNumId w:val="35"/>
  </w:num>
  <w:num w:numId="28">
    <w:abstractNumId w:val="18"/>
  </w:num>
  <w:num w:numId="29">
    <w:abstractNumId w:val="29"/>
  </w:num>
  <w:num w:numId="30">
    <w:abstractNumId w:val="7"/>
  </w:num>
  <w:num w:numId="31">
    <w:abstractNumId w:val="27"/>
  </w:num>
  <w:num w:numId="32">
    <w:abstractNumId w:val="14"/>
  </w:num>
  <w:num w:numId="33">
    <w:abstractNumId w:val="6"/>
  </w:num>
  <w:num w:numId="34">
    <w:abstractNumId w:val="12"/>
  </w:num>
  <w:num w:numId="35">
    <w:abstractNumId w:val="22"/>
  </w:num>
  <w:num w:numId="36">
    <w:abstractNumId w:val="33"/>
  </w:num>
  <w:num w:numId="37">
    <w:abstractNumId w:val="13"/>
  </w:num>
  <w:num w:numId="38">
    <w:abstractNumId w:val="30"/>
  </w:num>
  <w:num w:numId="39">
    <w:abstractNumId w:val="5"/>
  </w:num>
  <w:num w:numId="4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445C"/>
    <w:rsid w:val="00012070"/>
    <w:rsid w:val="00012E96"/>
    <w:rsid w:val="000135D5"/>
    <w:rsid w:val="00015371"/>
    <w:rsid w:val="000163BD"/>
    <w:rsid w:val="000272E0"/>
    <w:rsid w:val="00031779"/>
    <w:rsid w:val="000412DD"/>
    <w:rsid w:val="00052316"/>
    <w:rsid w:val="00054700"/>
    <w:rsid w:val="00067C95"/>
    <w:rsid w:val="0007162A"/>
    <w:rsid w:val="00071CEC"/>
    <w:rsid w:val="000724B9"/>
    <w:rsid w:val="000728D3"/>
    <w:rsid w:val="000733A7"/>
    <w:rsid w:val="0007369D"/>
    <w:rsid w:val="000765F5"/>
    <w:rsid w:val="00077243"/>
    <w:rsid w:val="000815FC"/>
    <w:rsid w:val="0008519D"/>
    <w:rsid w:val="000869CE"/>
    <w:rsid w:val="000939B9"/>
    <w:rsid w:val="00094CE2"/>
    <w:rsid w:val="000A3C68"/>
    <w:rsid w:val="000A77DB"/>
    <w:rsid w:val="000B2D06"/>
    <w:rsid w:val="000B520A"/>
    <w:rsid w:val="000B7AFD"/>
    <w:rsid w:val="000C3725"/>
    <w:rsid w:val="000C4574"/>
    <w:rsid w:val="000D2B5B"/>
    <w:rsid w:val="000D316D"/>
    <w:rsid w:val="000D38AE"/>
    <w:rsid w:val="000D3B4A"/>
    <w:rsid w:val="000E1475"/>
    <w:rsid w:val="000E1958"/>
    <w:rsid w:val="000E6672"/>
    <w:rsid w:val="000F3DE7"/>
    <w:rsid w:val="000F3DEF"/>
    <w:rsid w:val="000F51D5"/>
    <w:rsid w:val="000F5FF5"/>
    <w:rsid w:val="000F626D"/>
    <w:rsid w:val="0010006D"/>
    <w:rsid w:val="00102362"/>
    <w:rsid w:val="00104963"/>
    <w:rsid w:val="001077BF"/>
    <w:rsid w:val="00113C84"/>
    <w:rsid w:val="00116D39"/>
    <w:rsid w:val="00121D44"/>
    <w:rsid w:val="00121F43"/>
    <w:rsid w:val="001236CF"/>
    <w:rsid w:val="00123C3E"/>
    <w:rsid w:val="0012582F"/>
    <w:rsid w:val="00131C40"/>
    <w:rsid w:val="00134127"/>
    <w:rsid w:val="00134B6C"/>
    <w:rsid w:val="001352E2"/>
    <w:rsid w:val="001369CE"/>
    <w:rsid w:val="001378B7"/>
    <w:rsid w:val="00140289"/>
    <w:rsid w:val="00141909"/>
    <w:rsid w:val="00144AF1"/>
    <w:rsid w:val="001461C8"/>
    <w:rsid w:val="001467C6"/>
    <w:rsid w:val="00151891"/>
    <w:rsid w:val="00153F2A"/>
    <w:rsid w:val="001605F4"/>
    <w:rsid w:val="001614B0"/>
    <w:rsid w:val="00161DC8"/>
    <w:rsid w:val="0016457C"/>
    <w:rsid w:val="00167533"/>
    <w:rsid w:val="0017222D"/>
    <w:rsid w:val="00173632"/>
    <w:rsid w:val="00175FFC"/>
    <w:rsid w:val="00177AC0"/>
    <w:rsid w:val="00184728"/>
    <w:rsid w:val="001874BC"/>
    <w:rsid w:val="001917F6"/>
    <w:rsid w:val="001963D5"/>
    <w:rsid w:val="001A0BD2"/>
    <w:rsid w:val="001B182E"/>
    <w:rsid w:val="001B1EE4"/>
    <w:rsid w:val="001B2E88"/>
    <w:rsid w:val="001B4D26"/>
    <w:rsid w:val="001B527B"/>
    <w:rsid w:val="001B5DEE"/>
    <w:rsid w:val="001C68A1"/>
    <w:rsid w:val="001D7353"/>
    <w:rsid w:val="001E1680"/>
    <w:rsid w:val="001E3D24"/>
    <w:rsid w:val="001E4372"/>
    <w:rsid w:val="001E4FCC"/>
    <w:rsid w:val="001E6673"/>
    <w:rsid w:val="001F338A"/>
    <w:rsid w:val="001F548E"/>
    <w:rsid w:val="00201759"/>
    <w:rsid w:val="00204E83"/>
    <w:rsid w:val="00206132"/>
    <w:rsid w:val="00207DF0"/>
    <w:rsid w:val="00214C24"/>
    <w:rsid w:val="00214F7F"/>
    <w:rsid w:val="00221D53"/>
    <w:rsid w:val="00223581"/>
    <w:rsid w:val="00231035"/>
    <w:rsid w:val="00232239"/>
    <w:rsid w:val="002425E0"/>
    <w:rsid w:val="00242AF7"/>
    <w:rsid w:val="002451D8"/>
    <w:rsid w:val="00245265"/>
    <w:rsid w:val="00250414"/>
    <w:rsid w:val="00250CB9"/>
    <w:rsid w:val="00251235"/>
    <w:rsid w:val="002524DA"/>
    <w:rsid w:val="002533C6"/>
    <w:rsid w:val="002546B7"/>
    <w:rsid w:val="00254AA4"/>
    <w:rsid w:val="00255DF0"/>
    <w:rsid w:val="00264366"/>
    <w:rsid w:val="0026534D"/>
    <w:rsid w:val="00266B8B"/>
    <w:rsid w:val="00276F45"/>
    <w:rsid w:val="002824B7"/>
    <w:rsid w:val="002839B9"/>
    <w:rsid w:val="00296139"/>
    <w:rsid w:val="0029717D"/>
    <w:rsid w:val="002A079C"/>
    <w:rsid w:val="002A5388"/>
    <w:rsid w:val="002A5439"/>
    <w:rsid w:val="002A7CEC"/>
    <w:rsid w:val="002B2018"/>
    <w:rsid w:val="002B2279"/>
    <w:rsid w:val="002B2BA6"/>
    <w:rsid w:val="002B5216"/>
    <w:rsid w:val="002D1173"/>
    <w:rsid w:val="002D2FE8"/>
    <w:rsid w:val="002D4C96"/>
    <w:rsid w:val="002D6948"/>
    <w:rsid w:val="002E0EA2"/>
    <w:rsid w:val="002E1903"/>
    <w:rsid w:val="002E4AC7"/>
    <w:rsid w:val="002E7065"/>
    <w:rsid w:val="002E7A09"/>
    <w:rsid w:val="002F001E"/>
    <w:rsid w:val="002F13CD"/>
    <w:rsid w:val="002F3803"/>
    <w:rsid w:val="002F79C6"/>
    <w:rsid w:val="0030264B"/>
    <w:rsid w:val="00310523"/>
    <w:rsid w:val="00310FA6"/>
    <w:rsid w:val="00312C6B"/>
    <w:rsid w:val="003138A9"/>
    <w:rsid w:val="0031423A"/>
    <w:rsid w:val="00321B0B"/>
    <w:rsid w:val="003261F5"/>
    <w:rsid w:val="00326342"/>
    <w:rsid w:val="0032648A"/>
    <w:rsid w:val="00326D2A"/>
    <w:rsid w:val="0033419F"/>
    <w:rsid w:val="00334E51"/>
    <w:rsid w:val="0034077E"/>
    <w:rsid w:val="00342870"/>
    <w:rsid w:val="00345F77"/>
    <w:rsid w:val="003465D0"/>
    <w:rsid w:val="00350917"/>
    <w:rsid w:val="0035724B"/>
    <w:rsid w:val="00367DA3"/>
    <w:rsid w:val="003719DB"/>
    <w:rsid w:val="00371B8D"/>
    <w:rsid w:val="00373EB2"/>
    <w:rsid w:val="0037535E"/>
    <w:rsid w:val="00375BD9"/>
    <w:rsid w:val="00381B5E"/>
    <w:rsid w:val="00382888"/>
    <w:rsid w:val="003877FB"/>
    <w:rsid w:val="0039002F"/>
    <w:rsid w:val="00390A59"/>
    <w:rsid w:val="00394C72"/>
    <w:rsid w:val="00394CAD"/>
    <w:rsid w:val="0039628C"/>
    <w:rsid w:val="00397F85"/>
    <w:rsid w:val="003A09AD"/>
    <w:rsid w:val="003A273C"/>
    <w:rsid w:val="003A36D5"/>
    <w:rsid w:val="003A4D26"/>
    <w:rsid w:val="003B3746"/>
    <w:rsid w:val="003B518A"/>
    <w:rsid w:val="003C0A67"/>
    <w:rsid w:val="003C24EC"/>
    <w:rsid w:val="003C25ED"/>
    <w:rsid w:val="003C5020"/>
    <w:rsid w:val="003C7234"/>
    <w:rsid w:val="003D0C24"/>
    <w:rsid w:val="003D157B"/>
    <w:rsid w:val="003D236A"/>
    <w:rsid w:val="003D4CAC"/>
    <w:rsid w:val="003D548A"/>
    <w:rsid w:val="003D5CFC"/>
    <w:rsid w:val="003D6E0A"/>
    <w:rsid w:val="003D7317"/>
    <w:rsid w:val="003E0901"/>
    <w:rsid w:val="003E0DFE"/>
    <w:rsid w:val="003E2603"/>
    <w:rsid w:val="003E2CB5"/>
    <w:rsid w:val="003E3E3E"/>
    <w:rsid w:val="003E3FAA"/>
    <w:rsid w:val="003E525A"/>
    <w:rsid w:val="003E5A5A"/>
    <w:rsid w:val="003E6561"/>
    <w:rsid w:val="003E6696"/>
    <w:rsid w:val="003E7BC4"/>
    <w:rsid w:val="003F0F7E"/>
    <w:rsid w:val="003F1B6A"/>
    <w:rsid w:val="003F2997"/>
    <w:rsid w:val="003F43CF"/>
    <w:rsid w:val="003F43F9"/>
    <w:rsid w:val="003F5C21"/>
    <w:rsid w:val="003F7C64"/>
    <w:rsid w:val="004032D0"/>
    <w:rsid w:val="00406563"/>
    <w:rsid w:val="00406867"/>
    <w:rsid w:val="00406AED"/>
    <w:rsid w:val="00406CD2"/>
    <w:rsid w:val="00411862"/>
    <w:rsid w:val="004135FC"/>
    <w:rsid w:val="004149D3"/>
    <w:rsid w:val="00416565"/>
    <w:rsid w:val="004221A5"/>
    <w:rsid w:val="00434134"/>
    <w:rsid w:val="0043455C"/>
    <w:rsid w:val="004355B6"/>
    <w:rsid w:val="00444D45"/>
    <w:rsid w:val="00453789"/>
    <w:rsid w:val="00454766"/>
    <w:rsid w:val="004555E2"/>
    <w:rsid w:val="00455F94"/>
    <w:rsid w:val="00456E9B"/>
    <w:rsid w:val="00461D80"/>
    <w:rsid w:val="00464AB2"/>
    <w:rsid w:val="00466CDA"/>
    <w:rsid w:val="0046708D"/>
    <w:rsid w:val="004707CB"/>
    <w:rsid w:val="00473AA7"/>
    <w:rsid w:val="00474DB9"/>
    <w:rsid w:val="00476FDC"/>
    <w:rsid w:val="0047719C"/>
    <w:rsid w:val="00492683"/>
    <w:rsid w:val="004938EC"/>
    <w:rsid w:val="00496DB3"/>
    <w:rsid w:val="004A100E"/>
    <w:rsid w:val="004A31E7"/>
    <w:rsid w:val="004A56A0"/>
    <w:rsid w:val="004B07A4"/>
    <w:rsid w:val="004B1F1B"/>
    <w:rsid w:val="004B30C7"/>
    <w:rsid w:val="004C00C0"/>
    <w:rsid w:val="004C429D"/>
    <w:rsid w:val="004C675F"/>
    <w:rsid w:val="004D31C7"/>
    <w:rsid w:val="004D3454"/>
    <w:rsid w:val="004E0A16"/>
    <w:rsid w:val="004E150A"/>
    <w:rsid w:val="004E37BD"/>
    <w:rsid w:val="004F5F17"/>
    <w:rsid w:val="00502744"/>
    <w:rsid w:val="00504689"/>
    <w:rsid w:val="005077AB"/>
    <w:rsid w:val="00511038"/>
    <w:rsid w:val="00512411"/>
    <w:rsid w:val="005149FE"/>
    <w:rsid w:val="005154F9"/>
    <w:rsid w:val="0052010E"/>
    <w:rsid w:val="00522766"/>
    <w:rsid w:val="00523BBF"/>
    <w:rsid w:val="00530283"/>
    <w:rsid w:val="00531E9B"/>
    <w:rsid w:val="00544040"/>
    <w:rsid w:val="005477B9"/>
    <w:rsid w:val="00550E26"/>
    <w:rsid w:val="005553AF"/>
    <w:rsid w:val="00555BB9"/>
    <w:rsid w:val="005672CB"/>
    <w:rsid w:val="00576EED"/>
    <w:rsid w:val="005829CA"/>
    <w:rsid w:val="00582E8A"/>
    <w:rsid w:val="00582EB5"/>
    <w:rsid w:val="005866E3"/>
    <w:rsid w:val="00586B72"/>
    <w:rsid w:val="0059065C"/>
    <w:rsid w:val="005928E6"/>
    <w:rsid w:val="00593DB7"/>
    <w:rsid w:val="0059519C"/>
    <w:rsid w:val="00596949"/>
    <w:rsid w:val="005A230C"/>
    <w:rsid w:val="005A4455"/>
    <w:rsid w:val="005A47C3"/>
    <w:rsid w:val="005A6B4A"/>
    <w:rsid w:val="005A7156"/>
    <w:rsid w:val="005A7776"/>
    <w:rsid w:val="005B5A5A"/>
    <w:rsid w:val="005C5125"/>
    <w:rsid w:val="005D008B"/>
    <w:rsid w:val="005D3F4B"/>
    <w:rsid w:val="005E0127"/>
    <w:rsid w:val="005E0F91"/>
    <w:rsid w:val="005E3939"/>
    <w:rsid w:val="005F12A5"/>
    <w:rsid w:val="005F2E59"/>
    <w:rsid w:val="005F51EF"/>
    <w:rsid w:val="005F52C0"/>
    <w:rsid w:val="005F69D2"/>
    <w:rsid w:val="0060092E"/>
    <w:rsid w:val="00610FB5"/>
    <w:rsid w:val="00611E1D"/>
    <w:rsid w:val="0061231E"/>
    <w:rsid w:val="00614E79"/>
    <w:rsid w:val="00614EC8"/>
    <w:rsid w:val="006153BC"/>
    <w:rsid w:val="006205F4"/>
    <w:rsid w:val="006224CC"/>
    <w:rsid w:val="00625A5A"/>
    <w:rsid w:val="00630522"/>
    <w:rsid w:val="00632714"/>
    <w:rsid w:val="00636F15"/>
    <w:rsid w:val="0064250A"/>
    <w:rsid w:val="00642F53"/>
    <w:rsid w:val="00654508"/>
    <w:rsid w:val="00654BC0"/>
    <w:rsid w:val="00656E2F"/>
    <w:rsid w:val="0066182A"/>
    <w:rsid w:val="00670D9D"/>
    <w:rsid w:val="00677BF8"/>
    <w:rsid w:val="00681953"/>
    <w:rsid w:val="00681FC6"/>
    <w:rsid w:val="00683EB4"/>
    <w:rsid w:val="00691182"/>
    <w:rsid w:val="006949F2"/>
    <w:rsid w:val="00696A03"/>
    <w:rsid w:val="006A01F0"/>
    <w:rsid w:val="006A069A"/>
    <w:rsid w:val="006A0BA6"/>
    <w:rsid w:val="006A33F8"/>
    <w:rsid w:val="006A6864"/>
    <w:rsid w:val="006A7B31"/>
    <w:rsid w:val="006B0754"/>
    <w:rsid w:val="006B0F3C"/>
    <w:rsid w:val="006B16B9"/>
    <w:rsid w:val="006B204D"/>
    <w:rsid w:val="006B338A"/>
    <w:rsid w:val="006B3B52"/>
    <w:rsid w:val="006B4A7A"/>
    <w:rsid w:val="006B5E30"/>
    <w:rsid w:val="006B7BFE"/>
    <w:rsid w:val="006C2142"/>
    <w:rsid w:val="006C3268"/>
    <w:rsid w:val="006C3FB6"/>
    <w:rsid w:val="006C589E"/>
    <w:rsid w:val="006D1719"/>
    <w:rsid w:val="006D31BA"/>
    <w:rsid w:val="006D7297"/>
    <w:rsid w:val="006E0843"/>
    <w:rsid w:val="006E08F6"/>
    <w:rsid w:val="006E1946"/>
    <w:rsid w:val="006F35BC"/>
    <w:rsid w:val="00705BAF"/>
    <w:rsid w:val="007104C5"/>
    <w:rsid w:val="0072064D"/>
    <w:rsid w:val="007336DD"/>
    <w:rsid w:val="00743FDA"/>
    <w:rsid w:val="00744139"/>
    <w:rsid w:val="0074597B"/>
    <w:rsid w:val="007470A5"/>
    <w:rsid w:val="007478C2"/>
    <w:rsid w:val="00747B90"/>
    <w:rsid w:val="00755ECE"/>
    <w:rsid w:val="007617BD"/>
    <w:rsid w:val="00762F7B"/>
    <w:rsid w:val="00767EB4"/>
    <w:rsid w:val="007717B2"/>
    <w:rsid w:val="0077265D"/>
    <w:rsid w:val="0077790F"/>
    <w:rsid w:val="007820D0"/>
    <w:rsid w:val="00783EFE"/>
    <w:rsid w:val="00783F58"/>
    <w:rsid w:val="00786486"/>
    <w:rsid w:val="007873A1"/>
    <w:rsid w:val="00795AF9"/>
    <w:rsid w:val="00796E22"/>
    <w:rsid w:val="007B042E"/>
    <w:rsid w:val="007B568D"/>
    <w:rsid w:val="007C0922"/>
    <w:rsid w:val="007C0E48"/>
    <w:rsid w:val="007C5FAB"/>
    <w:rsid w:val="007C72E4"/>
    <w:rsid w:val="007D0EB1"/>
    <w:rsid w:val="007D2631"/>
    <w:rsid w:val="007E37A6"/>
    <w:rsid w:val="007E37BE"/>
    <w:rsid w:val="007E4E22"/>
    <w:rsid w:val="007E4FE8"/>
    <w:rsid w:val="007E60A1"/>
    <w:rsid w:val="007E694D"/>
    <w:rsid w:val="007F3EE5"/>
    <w:rsid w:val="007F67F1"/>
    <w:rsid w:val="00800650"/>
    <w:rsid w:val="008009D9"/>
    <w:rsid w:val="00802A54"/>
    <w:rsid w:val="00803AB0"/>
    <w:rsid w:val="00804AEF"/>
    <w:rsid w:val="00804D49"/>
    <w:rsid w:val="00806888"/>
    <w:rsid w:val="00812B79"/>
    <w:rsid w:val="00814D47"/>
    <w:rsid w:val="0081654C"/>
    <w:rsid w:val="00816584"/>
    <w:rsid w:val="00817570"/>
    <w:rsid w:val="00830520"/>
    <w:rsid w:val="00831FE2"/>
    <w:rsid w:val="00836576"/>
    <w:rsid w:val="0084096A"/>
    <w:rsid w:val="00843412"/>
    <w:rsid w:val="00843D42"/>
    <w:rsid w:val="00845B17"/>
    <w:rsid w:val="008462B0"/>
    <w:rsid w:val="00847FA2"/>
    <w:rsid w:val="00856C5F"/>
    <w:rsid w:val="00862B14"/>
    <w:rsid w:val="00864A76"/>
    <w:rsid w:val="008651A3"/>
    <w:rsid w:val="00872601"/>
    <w:rsid w:val="0087604D"/>
    <w:rsid w:val="0088293F"/>
    <w:rsid w:val="00883007"/>
    <w:rsid w:val="00886689"/>
    <w:rsid w:val="00887304"/>
    <w:rsid w:val="00894472"/>
    <w:rsid w:val="008A27C4"/>
    <w:rsid w:val="008A5637"/>
    <w:rsid w:val="008B3156"/>
    <w:rsid w:val="008B7666"/>
    <w:rsid w:val="008C5873"/>
    <w:rsid w:val="008D0F5B"/>
    <w:rsid w:val="008D105C"/>
    <w:rsid w:val="008D6123"/>
    <w:rsid w:val="008D6694"/>
    <w:rsid w:val="008D6B75"/>
    <w:rsid w:val="008D716B"/>
    <w:rsid w:val="008D7666"/>
    <w:rsid w:val="008E0C4C"/>
    <w:rsid w:val="008F36C7"/>
    <w:rsid w:val="00901626"/>
    <w:rsid w:val="0091135C"/>
    <w:rsid w:val="00913F5E"/>
    <w:rsid w:val="009211A4"/>
    <w:rsid w:val="00921CBF"/>
    <w:rsid w:val="00923B0C"/>
    <w:rsid w:val="00923CD3"/>
    <w:rsid w:val="009247FD"/>
    <w:rsid w:val="00930041"/>
    <w:rsid w:val="00933765"/>
    <w:rsid w:val="0093622D"/>
    <w:rsid w:val="00936948"/>
    <w:rsid w:val="00944BC2"/>
    <w:rsid w:val="009526A3"/>
    <w:rsid w:val="00953323"/>
    <w:rsid w:val="00953FAD"/>
    <w:rsid w:val="00954047"/>
    <w:rsid w:val="0095688C"/>
    <w:rsid w:val="00962AC9"/>
    <w:rsid w:val="009638FC"/>
    <w:rsid w:val="00963C76"/>
    <w:rsid w:val="00963FE5"/>
    <w:rsid w:val="00966037"/>
    <w:rsid w:val="00972E2F"/>
    <w:rsid w:val="00975EFF"/>
    <w:rsid w:val="00982318"/>
    <w:rsid w:val="00983442"/>
    <w:rsid w:val="0098485D"/>
    <w:rsid w:val="00984891"/>
    <w:rsid w:val="00984DA5"/>
    <w:rsid w:val="00993D41"/>
    <w:rsid w:val="009944C6"/>
    <w:rsid w:val="009A05FB"/>
    <w:rsid w:val="009A192B"/>
    <w:rsid w:val="009A4B0D"/>
    <w:rsid w:val="009B1EDE"/>
    <w:rsid w:val="009B2769"/>
    <w:rsid w:val="009B4B2D"/>
    <w:rsid w:val="009B6244"/>
    <w:rsid w:val="009B6A20"/>
    <w:rsid w:val="009C0A5D"/>
    <w:rsid w:val="009C0F18"/>
    <w:rsid w:val="009C235A"/>
    <w:rsid w:val="009C34DA"/>
    <w:rsid w:val="009C73C2"/>
    <w:rsid w:val="009D62FF"/>
    <w:rsid w:val="009D6BDE"/>
    <w:rsid w:val="009D6DE1"/>
    <w:rsid w:val="009D7187"/>
    <w:rsid w:val="009E74C0"/>
    <w:rsid w:val="00A02130"/>
    <w:rsid w:val="00A04888"/>
    <w:rsid w:val="00A06233"/>
    <w:rsid w:val="00A10D43"/>
    <w:rsid w:val="00A1792E"/>
    <w:rsid w:val="00A236A7"/>
    <w:rsid w:val="00A2540E"/>
    <w:rsid w:val="00A268C7"/>
    <w:rsid w:val="00A2696D"/>
    <w:rsid w:val="00A32596"/>
    <w:rsid w:val="00A33696"/>
    <w:rsid w:val="00A36EBD"/>
    <w:rsid w:val="00A435F6"/>
    <w:rsid w:val="00A44E49"/>
    <w:rsid w:val="00A5059C"/>
    <w:rsid w:val="00A519CC"/>
    <w:rsid w:val="00A5273A"/>
    <w:rsid w:val="00A53647"/>
    <w:rsid w:val="00A558C5"/>
    <w:rsid w:val="00A55C90"/>
    <w:rsid w:val="00A60A50"/>
    <w:rsid w:val="00A71362"/>
    <w:rsid w:val="00A75B48"/>
    <w:rsid w:val="00A77560"/>
    <w:rsid w:val="00A83991"/>
    <w:rsid w:val="00A83C65"/>
    <w:rsid w:val="00A83DAF"/>
    <w:rsid w:val="00A85757"/>
    <w:rsid w:val="00A86E3C"/>
    <w:rsid w:val="00A87493"/>
    <w:rsid w:val="00A91D3A"/>
    <w:rsid w:val="00A94B71"/>
    <w:rsid w:val="00AA4991"/>
    <w:rsid w:val="00AB1261"/>
    <w:rsid w:val="00AB6960"/>
    <w:rsid w:val="00AC0DAD"/>
    <w:rsid w:val="00AC1574"/>
    <w:rsid w:val="00AC1BF0"/>
    <w:rsid w:val="00AC3332"/>
    <w:rsid w:val="00AC56F6"/>
    <w:rsid w:val="00AD1B8A"/>
    <w:rsid w:val="00AD542D"/>
    <w:rsid w:val="00AD5575"/>
    <w:rsid w:val="00AE250D"/>
    <w:rsid w:val="00AE52D5"/>
    <w:rsid w:val="00AE5F85"/>
    <w:rsid w:val="00AE7561"/>
    <w:rsid w:val="00AF1433"/>
    <w:rsid w:val="00AF367C"/>
    <w:rsid w:val="00AF4FCA"/>
    <w:rsid w:val="00B008B4"/>
    <w:rsid w:val="00B01001"/>
    <w:rsid w:val="00B04101"/>
    <w:rsid w:val="00B045C1"/>
    <w:rsid w:val="00B04A7B"/>
    <w:rsid w:val="00B06A1E"/>
    <w:rsid w:val="00B07AD5"/>
    <w:rsid w:val="00B11A4D"/>
    <w:rsid w:val="00B171D2"/>
    <w:rsid w:val="00B2593F"/>
    <w:rsid w:val="00B30382"/>
    <w:rsid w:val="00B35261"/>
    <w:rsid w:val="00B35F23"/>
    <w:rsid w:val="00B362C7"/>
    <w:rsid w:val="00B369D1"/>
    <w:rsid w:val="00B41A17"/>
    <w:rsid w:val="00B432DE"/>
    <w:rsid w:val="00B4437C"/>
    <w:rsid w:val="00B45293"/>
    <w:rsid w:val="00B4693E"/>
    <w:rsid w:val="00B511EF"/>
    <w:rsid w:val="00B512B0"/>
    <w:rsid w:val="00B57ACF"/>
    <w:rsid w:val="00B67F3E"/>
    <w:rsid w:val="00B75863"/>
    <w:rsid w:val="00B766F4"/>
    <w:rsid w:val="00B8200C"/>
    <w:rsid w:val="00B84249"/>
    <w:rsid w:val="00B86E2F"/>
    <w:rsid w:val="00B91940"/>
    <w:rsid w:val="00B93E67"/>
    <w:rsid w:val="00B9551F"/>
    <w:rsid w:val="00BA0B11"/>
    <w:rsid w:val="00BA0FD1"/>
    <w:rsid w:val="00BA3C47"/>
    <w:rsid w:val="00BB173D"/>
    <w:rsid w:val="00BB53D4"/>
    <w:rsid w:val="00BC2C84"/>
    <w:rsid w:val="00BC5D5C"/>
    <w:rsid w:val="00BD0B21"/>
    <w:rsid w:val="00BD74CB"/>
    <w:rsid w:val="00BF02D8"/>
    <w:rsid w:val="00BF0FEA"/>
    <w:rsid w:val="00BF2D01"/>
    <w:rsid w:val="00BF3562"/>
    <w:rsid w:val="00BF3735"/>
    <w:rsid w:val="00C00100"/>
    <w:rsid w:val="00C01019"/>
    <w:rsid w:val="00C0509D"/>
    <w:rsid w:val="00C0520A"/>
    <w:rsid w:val="00C0691A"/>
    <w:rsid w:val="00C10B10"/>
    <w:rsid w:val="00C13229"/>
    <w:rsid w:val="00C16B9D"/>
    <w:rsid w:val="00C20446"/>
    <w:rsid w:val="00C263B2"/>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5067"/>
    <w:rsid w:val="00C77C7A"/>
    <w:rsid w:val="00C8100B"/>
    <w:rsid w:val="00C8709B"/>
    <w:rsid w:val="00C93A34"/>
    <w:rsid w:val="00C94ED1"/>
    <w:rsid w:val="00CA2397"/>
    <w:rsid w:val="00CA5F98"/>
    <w:rsid w:val="00CB0D9F"/>
    <w:rsid w:val="00CB13C6"/>
    <w:rsid w:val="00CB24A3"/>
    <w:rsid w:val="00CB3A5F"/>
    <w:rsid w:val="00CC0307"/>
    <w:rsid w:val="00CC30D7"/>
    <w:rsid w:val="00CC5199"/>
    <w:rsid w:val="00CC7AE9"/>
    <w:rsid w:val="00CD0227"/>
    <w:rsid w:val="00CD3E9A"/>
    <w:rsid w:val="00CD6AD1"/>
    <w:rsid w:val="00CD6CB5"/>
    <w:rsid w:val="00CE0C47"/>
    <w:rsid w:val="00CE7330"/>
    <w:rsid w:val="00CF08F0"/>
    <w:rsid w:val="00CF7592"/>
    <w:rsid w:val="00D02F70"/>
    <w:rsid w:val="00D111F3"/>
    <w:rsid w:val="00D17961"/>
    <w:rsid w:val="00D273CD"/>
    <w:rsid w:val="00D32C2A"/>
    <w:rsid w:val="00D34B08"/>
    <w:rsid w:val="00D34BBC"/>
    <w:rsid w:val="00D35C20"/>
    <w:rsid w:val="00D4140F"/>
    <w:rsid w:val="00D4711F"/>
    <w:rsid w:val="00D63102"/>
    <w:rsid w:val="00D66ACD"/>
    <w:rsid w:val="00D67964"/>
    <w:rsid w:val="00D709F8"/>
    <w:rsid w:val="00D721A2"/>
    <w:rsid w:val="00D72611"/>
    <w:rsid w:val="00D73DC3"/>
    <w:rsid w:val="00D81AE0"/>
    <w:rsid w:val="00D82FCE"/>
    <w:rsid w:val="00D8789C"/>
    <w:rsid w:val="00D91610"/>
    <w:rsid w:val="00D9527A"/>
    <w:rsid w:val="00D95EB1"/>
    <w:rsid w:val="00D97707"/>
    <w:rsid w:val="00D97C41"/>
    <w:rsid w:val="00DB1297"/>
    <w:rsid w:val="00DB20B2"/>
    <w:rsid w:val="00DB389F"/>
    <w:rsid w:val="00DC06C0"/>
    <w:rsid w:val="00DC413B"/>
    <w:rsid w:val="00DC4205"/>
    <w:rsid w:val="00DC5878"/>
    <w:rsid w:val="00DC73A5"/>
    <w:rsid w:val="00DC7D35"/>
    <w:rsid w:val="00DD5022"/>
    <w:rsid w:val="00DE11AB"/>
    <w:rsid w:val="00DE134F"/>
    <w:rsid w:val="00DE20C8"/>
    <w:rsid w:val="00DE2470"/>
    <w:rsid w:val="00DE5C52"/>
    <w:rsid w:val="00DF62D0"/>
    <w:rsid w:val="00E10870"/>
    <w:rsid w:val="00E11577"/>
    <w:rsid w:val="00E12A1C"/>
    <w:rsid w:val="00E12F7B"/>
    <w:rsid w:val="00E15821"/>
    <w:rsid w:val="00E20030"/>
    <w:rsid w:val="00E245E4"/>
    <w:rsid w:val="00E27F4A"/>
    <w:rsid w:val="00E30F79"/>
    <w:rsid w:val="00E33AAE"/>
    <w:rsid w:val="00E33E4E"/>
    <w:rsid w:val="00E36400"/>
    <w:rsid w:val="00E42B7E"/>
    <w:rsid w:val="00E44075"/>
    <w:rsid w:val="00E4686E"/>
    <w:rsid w:val="00E4706D"/>
    <w:rsid w:val="00E50AA1"/>
    <w:rsid w:val="00E5268B"/>
    <w:rsid w:val="00E57B1B"/>
    <w:rsid w:val="00E605EE"/>
    <w:rsid w:val="00E6086F"/>
    <w:rsid w:val="00E6298A"/>
    <w:rsid w:val="00E639C7"/>
    <w:rsid w:val="00E67963"/>
    <w:rsid w:val="00E70FC9"/>
    <w:rsid w:val="00E71ABD"/>
    <w:rsid w:val="00E77742"/>
    <w:rsid w:val="00E77EAF"/>
    <w:rsid w:val="00E80349"/>
    <w:rsid w:val="00E84132"/>
    <w:rsid w:val="00E854B4"/>
    <w:rsid w:val="00E86F3D"/>
    <w:rsid w:val="00E879FB"/>
    <w:rsid w:val="00E87C6A"/>
    <w:rsid w:val="00E9095B"/>
    <w:rsid w:val="00E9260F"/>
    <w:rsid w:val="00E9448D"/>
    <w:rsid w:val="00E96214"/>
    <w:rsid w:val="00EA1AA0"/>
    <w:rsid w:val="00EA5124"/>
    <w:rsid w:val="00EA6987"/>
    <w:rsid w:val="00EA6FCD"/>
    <w:rsid w:val="00EB3E0E"/>
    <w:rsid w:val="00EB3F2D"/>
    <w:rsid w:val="00EB462B"/>
    <w:rsid w:val="00EB4E6F"/>
    <w:rsid w:val="00EB6110"/>
    <w:rsid w:val="00EB74F2"/>
    <w:rsid w:val="00EC262F"/>
    <w:rsid w:val="00EC54C2"/>
    <w:rsid w:val="00EC6A26"/>
    <w:rsid w:val="00EE6F8E"/>
    <w:rsid w:val="00EF02B3"/>
    <w:rsid w:val="00EF116F"/>
    <w:rsid w:val="00EF51DB"/>
    <w:rsid w:val="00EF53BC"/>
    <w:rsid w:val="00F00F21"/>
    <w:rsid w:val="00F01177"/>
    <w:rsid w:val="00F0610B"/>
    <w:rsid w:val="00F1122B"/>
    <w:rsid w:val="00F12452"/>
    <w:rsid w:val="00F13AF9"/>
    <w:rsid w:val="00F14A26"/>
    <w:rsid w:val="00F20835"/>
    <w:rsid w:val="00F22FFA"/>
    <w:rsid w:val="00F31F3B"/>
    <w:rsid w:val="00F33863"/>
    <w:rsid w:val="00F36188"/>
    <w:rsid w:val="00F3700D"/>
    <w:rsid w:val="00F37B61"/>
    <w:rsid w:val="00F37DD4"/>
    <w:rsid w:val="00F4512D"/>
    <w:rsid w:val="00F52AAB"/>
    <w:rsid w:val="00F52EA1"/>
    <w:rsid w:val="00F54AAE"/>
    <w:rsid w:val="00F570DB"/>
    <w:rsid w:val="00F63B43"/>
    <w:rsid w:val="00F66D0D"/>
    <w:rsid w:val="00F67830"/>
    <w:rsid w:val="00F73AAC"/>
    <w:rsid w:val="00F73C82"/>
    <w:rsid w:val="00F766CD"/>
    <w:rsid w:val="00F77915"/>
    <w:rsid w:val="00F8326D"/>
    <w:rsid w:val="00F931EC"/>
    <w:rsid w:val="00F94EA6"/>
    <w:rsid w:val="00FA2BD3"/>
    <w:rsid w:val="00FA5AC3"/>
    <w:rsid w:val="00FB0C27"/>
    <w:rsid w:val="00FB136D"/>
    <w:rsid w:val="00FB4715"/>
    <w:rsid w:val="00FC0754"/>
    <w:rsid w:val="00FC2E73"/>
    <w:rsid w:val="00FC32FD"/>
    <w:rsid w:val="00FC5F97"/>
    <w:rsid w:val="00FC7332"/>
    <w:rsid w:val="00FD7C44"/>
    <w:rsid w:val="00FE16B3"/>
    <w:rsid w:val="00FE1D7B"/>
    <w:rsid w:val="00FE31C3"/>
    <w:rsid w:val="00FE5571"/>
    <w:rsid w:val="00FF0910"/>
    <w:rsid w:val="00FF247F"/>
    <w:rsid w:val="00FF3066"/>
    <w:rsid w:val="00FF31DD"/>
    <w:rsid w:val="00FF39C1"/>
    <w:rsid w:val="00FF5A97"/>
    <w:rsid w:val="00FF6C48"/>
    <w:rsid w:val="00FF6DD3"/>
    <w:rsid w:val="00FF7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320E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C75067"/>
    <w:pPr>
      <w:ind w:left="720"/>
      <w:contextualSpacing/>
    </w:pPr>
  </w:style>
  <w:style w:type="paragraph" w:styleId="FootnoteText">
    <w:name w:val="footnote text"/>
    <w:basedOn w:val="Normal"/>
    <w:link w:val="FootnoteTextChar"/>
    <w:rsid w:val="00251235"/>
    <w:pPr>
      <w:spacing w:before="0"/>
    </w:pPr>
    <w:rPr>
      <w:szCs w:val="20"/>
    </w:rPr>
  </w:style>
  <w:style w:type="character" w:customStyle="1" w:styleId="FootnoteTextChar">
    <w:name w:val="Footnote Text Char"/>
    <w:basedOn w:val="DefaultParagraphFont"/>
    <w:link w:val="FootnoteText"/>
    <w:rsid w:val="00251235"/>
    <w:rPr>
      <w:rFonts w:ascii="Arial" w:hAnsi="Arial"/>
      <w:lang w:eastAsia="en-US"/>
    </w:rPr>
  </w:style>
  <w:style w:type="character" w:styleId="FootnoteReference">
    <w:name w:val="footnote reference"/>
    <w:basedOn w:val="DefaultParagraphFont"/>
    <w:rsid w:val="00251235"/>
    <w:rPr>
      <w:vertAlign w:val="superscript"/>
    </w:rPr>
  </w:style>
  <w:style w:type="paragraph" w:styleId="Revision">
    <w:name w:val="Revision"/>
    <w:hidden/>
    <w:uiPriority w:val="99"/>
    <w:semiHidden/>
    <w:rsid w:val="00D97707"/>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C75067"/>
    <w:pPr>
      <w:ind w:left="720"/>
      <w:contextualSpacing/>
    </w:pPr>
  </w:style>
  <w:style w:type="paragraph" w:styleId="FootnoteText">
    <w:name w:val="footnote text"/>
    <w:basedOn w:val="Normal"/>
    <w:link w:val="FootnoteTextChar"/>
    <w:rsid w:val="00251235"/>
    <w:pPr>
      <w:spacing w:before="0"/>
    </w:pPr>
    <w:rPr>
      <w:szCs w:val="20"/>
    </w:rPr>
  </w:style>
  <w:style w:type="character" w:customStyle="1" w:styleId="FootnoteTextChar">
    <w:name w:val="Footnote Text Char"/>
    <w:basedOn w:val="DefaultParagraphFont"/>
    <w:link w:val="FootnoteText"/>
    <w:rsid w:val="00251235"/>
    <w:rPr>
      <w:rFonts w:ascii="Arial" w:hAnsi="Arial"/>
      <w:lang w:eastAsia="en-US"/>
    </w:rPr>
  </w:style>
  <w:style w:type="character" w:styleId="FootnoteReference">
    <w:name w:val="footnote reference"/>
    <w:basedOn w:val="DefaultParagraphFont"/>
    <w:rsid w:val="00251235"/>
    <w:rPr>
      <w:vertAlign w:val="superscript"/>
    </w:rPr>
  </w:style>
  <w:style w:type="paragraph" w:styleId="Revision">
    <w:name w:val="Revision"/>
    <w:hidden/>
    <w:uiPriority w:val="99"/>
    <w:semiHidden/>
    <w:rsid w:val="00D9770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10619">
      <w:bodyDiv w:val="1"/>
      <w:marLeft w:val="0"/>
      <w:marRight w:val="0"/>
      <w:marTop w:val="0"/>
      <w:marBottom w:val="0"/>
      <w:divBdr>
        <w:top w:val="none" w:sz="0" w:space="0" w:color="auto"/>
        <w:left w:val="none" w:sz="0" w:space="0" w:color="auto"/>
        <w:bottom w:val="none" w:sz="0" w:space="0" w:color="auto"/>
        <w:right w:val="none" w:sz="0" w:space="0" w:color="auto"/>
      </w:divBdr>
      <w:divsChild>
        <w:div w:id="371273889">
          <w:marLeft w:val="0"/>
          <w:marRight w:val="0"/>
          <w:marTop w:val="0"/>
          <w:marBottom w:val="0"/>
          <w:divBdr>
            <w:top w:val="none" w:sz="0" w:space="0" w:color="auto"/>
            <w:left w:val="none" w:sz="0" w:space="0" w:color="auto"/>
            <w:bottom w:val="none" w:sz="0" w:space="0" w:color="auto"/>
            <w:right w:val="none" w:sz="0" w:space="0" w:color="auto"/>
          </w:divBdr>
          <w:divsChild>
            <w:div w:id="850755243">
              <w:marLeft w:val="0"/>
              <w:marRight w:val="0"/>
              <w:marTop w:val="0"/>
              <w:marBottom w:val="0"/>
              <w:divBdr>
                <w:top w:val="none" w:sz="0" w:space="0" w:color="auto"/>
                <w:left w:val="none" w:sz="0" w:space="0" w:color="auto"/>
                <w:bottom w:val="none" w:sz="0" w:space="0" w:color="auto"/>
                <w:right w:val="none" w:sz="0" w:space="0" w:color="auto"/>
              </w:divBdr>
              <w:divsChild>
                <w:div w:id="1539395918">
                  <w:marLeft w:val="-15"/>
                  <w:marRight w:val="0"/>
                  <w:marTop w:val="0"/>
                  <w:marBottom w:val="0"/>
                  <w:divBdr>
                    <w:top w:val="none" w:sz="0" w:space="0" w:color="auto"/>
                    <w:left w:val="single" w:sz="6" w:space="0" w:color="919B9C"/>
                    <w:bottom w:val="single" w:sz="6" w:space="15" w:color="919B9C"/>
                    <w:right w:val="none" w:sz="0" w:space="0" w:color="auto"/>
                  </w:divBdr>
                  <w:divsChild>
                    <w:div w:id="357699043">
                      <w:marLeft w:val="0"/>
                      <w:marRight w:val="0"/>
                      <w:marTop w:val="0"/>
                      <w:marBottom w:val="0"/>
                      <w:divBdr>
                        <w:top w:val="none" w:sz="0" w:space="0" w:color="auto"/>
                        <w:left w:val="none" w:sz="0" w:space="0" w:color="auto"/>
                        <w:bottom w:val="none" w:sz="0" w:space="0" w:color="auto"/>
                        <w:right w:val="none" w:sz="0" w:space="0" w:color="auto"/>
                      </w:divBdr>
                      <w:divsChild>
                        <w:div w:id="1597595108">
                          <w:marLeft w:val="0"/>
                          <w:marRight w:val="0"/>
                          <w:marTop w:val="0"/>
                          <w:marBottom w:val="0"/>
                          <w:divBdr>
                            <w:top w:val="none" w:sz="0" w:space="0" w:color="auto"/>
                            <w:left w:val="none" w:sz="0" w:space="0" w:color="auto"/>
                            <w:bottom w:val="none" w:sz="0" w:space="0" w:color="auto"/>
                            <w:right w:val="none" w:sz="0" w:space="0" w:color="auto"/>
                          </w:divBdr>
                          <w:divsChild>
                            <w:div w:id="17297603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1417628726">
      <w:bodyDiv w:val="1"/>
      <w:marLeft w:val="0"/>
      <w:marRight w:val="0"/>
      <w:marTop w:val="0"/>
      <w:marBottom w:val="0"/>
      <w:divBdr>
        <w:top w:val="none" w:sz="0" w:space="0" w:color="auto"/>
        <w:left w:val="none" w:sz="0" w:space="0" w:color="auto"/>
        <w:bottom w:val="none" w:sz="0" w:space="0" w:color="auto"/>
        <w:right w:val="none" w:sz="0" w:space="0" w:color="auto"/>
      </w:divBdr>
      <w:divsChild>
        <w:div w:id="776218419">
          <w:marLeft w:val="0"/>
          <w:marRight w:val="0"/>
          <w:marTop w:val="0"/>
          <w:marBottom w:val="0"/>
          <w:divBdr>
            <w:top w:val="none" w:sz="0" w:space="0" w:color="auto"/>
            <w:left w:val="none" w:sz="0" w:space="0" w:color="auto"/>
            <w:bottom w:val="none" w:sz="0" w:space="0" w:color="auto"/>
            <w:right w:val="none" w:sz="0" w:space="0" w:color="auto"/>
          </w:divBdr>
          <w:divsChild>
            <w:div w:id="1614747010">
              <w:marLeft w:val="0"/>
              <w:marRight w:val="0"/>
              <w:marTop w:val="0"/>
              <w:marBottom w:val="0"/>
              <w:divBdr>
                <w:top w:val="none" w:sz="0" w:space="0" w:color="auto"/>
                <w:left w:val="none" w:sz="0" w:space="0" w:color="auto"/>
                <w:bottom w:val="none" w:sz="0" w:space="0" w:color="auto"/>
                <w:right w:val="none" w:sz="0" w:space="0" w:color="auto"/>
              </w:divBdr>
              <w:divsChild>
                <w:div w:id="1519461117">
                  <w:marLeft w:val="-15"/>
                  <w:marRight w:val="0"/>
                  <w:marTop w:val="0"/>
                  <w:marBottom w:val="0"/>
                  <w:divBdr>
                    <w:top w:val="none" w:sz="0" w:space="0" w:color="auto"/>
                    <w:left w:val="single" w:sz="6" w:space="0" w:color="919B9C"/>
                    <w:bottom w:val="single" w:sz="6" w:space="15" w:color="919B9C"/>
                    <w:right w:val="none" w:sz="0" w:space="0" w:color="auto"/>
                  </w:divBdr>
                  <w:divsChild>
                    <w:div w:id="764572762">
                      <w:marLeft w:val="0"/>
                      <w:marRight w:val="0"/>
                      <w:marTop w:val="0"/>
                      <w:marBottom w:val="0"/>
                      <w:divBdr>
                        <w:top w:val="none" w:sz="0" w:space="0" w:color="auto"/>
                        <w:left w:val="none" w:sz="0" w:space="0" w:color="auto"/>
                        <w:bottom w:val="none" w:sz="0" w:space="0" w:color="auto"/>
                        <w:right w:val="none" w:sz="0" w:space="0" w:color="auto"/>
                      </w:divBdr>
                      <w:divsChild>
                        <w:div w:id="836582128">
                          <w:marLeft w:val="0"/>
                          <w:marRight w:val="0"/>
                          <w:marTop w:val="0"/>
                          <w:marBottom w:val="0"/>
                          <w:divBdr>
                            <w:top w:val="none" w:sz="0" w:space="0" w:color="auto"/>
                            <w:left w:val="none" w:sz="0" w:space="0" w:color="auto"/>
                            <w:bottom w:val="none" w:sz="0" w:space="0" w:color="auto"/>
                            <w:right w:val="none" w:sz="0" w:space="0" w:color="auto"/>
                          </w:divBdr>
                          <w:divsChild>
                            <w:div w:id="87250210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0ED84-C038-4FEC-9799-9E87FDEC73B7}"/>
</file>

<file path=customXml/itemProps2.xml><?xml version="1.0" encoding="utf-8"?>
<ds:datastoreItem xmlns:ds="http://schemas.openxmlformats.org/officeDocument/2006/customXml" ds:itemID="{37D2D000-39B3-4C3C-9042-8777940573D7}"/>
</file>

<file path=customXml/itemProps3.xml><?xml version="1.0" encoding="utf-8"?>
<ds:datastoreItem xmlns:ds="http://schemas.openxmlformats.org/officeDocument/2006/customXml" ds:itemID="{9A9E30D9-AD29-47ED-B59A-65E4DC51C092}"/>
</file>

<file path=customXml/itemProps4.xml><?xml version="1.0" encoding="utf-8"?>
<ds:datastoreItem xmlns:ds="http://schemas.openxmlformats.org/officeDocument/2006/customXml" ds:itemID="{C8B6720F-854D-403F-9602-477E9CC05EA7}"/>
</file>

<file path=docProps/app.xml><?xml version="1.0" encoding="utf-8"?>
<Properties xmlns="http://schemas.openxmlformats.org/officeDocument/2006/extended-properties" xmlns:vt="http://schemas.openxmlformats.org/officeDocument/2006/docPropsVTypes">
  <Template>CF45FBD6</Template>
  <TotalTime>0</TotalTime>
  <Pages>7</Pages>
  <Words>2897</Words>
  <Characters>17670</Characters>
  <Application>Microsoft Office Word</Application>
  <DocSecurity>0</DocSecurity>
  <Lines>353</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2016-04-22T04:37:00Z</dcterms:created>
  <dcterms:modified xsi:type="dcterms:W3CDTF">2016-04-22T04:37:00Z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10d157f2-9593-44e6-9dc9-d3779d091ef9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1033500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