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8.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diagrams/drawing1.xml" ContentType="application/vnd.ms-office.drawingml.diagramDrawing+xml"/>
  <Override PartName="/word/theme/theme1.xml" ContentType="application/vnd.openxmlformats-officedocument.theme+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stylesWithEffects.xml" ContentType="application/vnd.ms-word.stylesWithEffect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6E" w:rsidRDefault="00A4046E" w:rsidP="001C1A39">
      <w:pPr>
        <w:pStyle w:val="Heading1"/>
      </w:pPr>
      <w:bookmarkStart w:id="0" w:name="_Toc307484482"/>
      <w:bookmarkStart w:id="1" w:name="_GoBack"/>
      <w:bookmarkEnd w:id="1"/>
      <w:r>
        <w:rPr>
          <w:noProof/>
          <w:lang w:eastAsia="en-AU"/>
        </w:rPr>
        <w:drawing>
          <wp:anchor distT="0" distB="0" distL="114300" distR="114300" simplePos="0" relativeHeight="251659264" behindDoc="0" locked="0" layoutInCell="1" allowOverlap="1">
            <wp:simplePos x="0" y="0"/>
            <wp:positionH relativeFrom="column">
              <wp:posOffset>-177165</wp:posOffset>
            </wp:positionH>
            <wp:positionV relativeFrom="paragraph">
              <wp:posOffset>231140</wp:posOffset>
            </wp:positionV>
            <wp:extent cx="1752600" cy="741680"/>
            <wp:effectExtent l="25400" t="0" r="0" b="0"/>
            <wp:wrapThrough wrapText="bothSides">
              <wp:wrapPolygon edited="0">
                <wp:start x="-313" y="0"/>
                <wp:lineTo x="-313" y="20712"/>
                <wp:lineTo x="21600" y="20712"/>
                <wp:lineTo x="21600" y="0"/>
                <wp:lineTo x="-313"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52600" cy="741680"/>
                    </a:xfrm>
                    <a:prstGeom prst="rect">
                      <a:avLst/>
                    </a:prstGeom>
                    <a:noFill/>
                    <a:ln w="9525">
                      <a:noFill/>
                      <a:miter lim="800000"/>
                      <a:headEnd/>
                      <a:tailEnd/>
                    </a:ln>
                  </pic:spPr>
                </pic:pic>
              </a:graphicData>
            </a:graphic>
          </wp:anchor>
        </w:drawing>
      </w:r>
      <w:r w:rsidR="00CE3B61">
        <w:t xml:space="preserve"> </w:t>
      </w:r>
    </w:p>
    <w:p w:rsidR="00A4046E" w:rsidRDefault="00833FA7" w:rsidP="001C1A39">
      <w:pPr>
        <w:pStyle w:val="Heading1"/>
      </w:pPr>
      <w:r>
        <w:rPr>
          <w:noProof/>
          <w:lang w:eastAsia="en-AU"/>
        </w:rPr>
        <mc:AlternateContent>
          <mc:Choice Requires="wps">
            <w:drawing>
              <wp:anchor distT="45720" distB="45720" distL="114300" distR="114300" simplePos="0" relativeHeight="251660288" behindDoc="0" locked="0" layoutInCell="1" allowOverlap="1">
                <wp:simplePos x="0" y="0"/>
                <wp:positionH relativeFrom="column">
                  <wp:posOffset>1676400</wp:posOffset>
                </wp:positionH>
                <wp:positionV relativeFrom="paragraph">
                  <wp:posOffset>85725</wp:posOffset>
                </wp:positionV>
                <wp:extent cx="2335530" cy="914400"/>
                <wp:effectExtent l="0" t="0" r="7620" b="0"/>
                <wp:wrapTight wrapText="bothSides">
                  <wp:wrapPolygon edited="0">
                    <wp:start x="0" y="0"/>
                    <wp:lineTo x="0" y="21150"/>
                    <wp:lineTo x="21494" y="21150"/>
                    <wp:lineTo x="2149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8C0" w:rsidRPr="007C68FD" w:rsidRDefault="008768C0" w:rsidP="00A4046E">
                            <w:pPr>
                              <w:widowControl w:val="0"/>
                              <w:autoSpaceDE w:val="0"/>
                              <w:autoSpaceDN w:val="0"/>
                              <w:adjustRightInd w:val="0"/>
                              <w:spacing w:after="0"/>
                              <w:rPr>
                                <w:rFonts w:cs="Arial"/>
                                <w:color w:val="808080" w:themeColor="background1" w:themeShade="80"/>
                                <w:sz w:val="20"/>
                                <w:szCs w:val="20"/>
                                <w:lang w:val="en-US"/>
                              </w:rPr>
                            </w:pPr>
                            <w:r>
                              <w:rPr>
                                <w:rFonts w:cs="Arial"/>
                                <w:color w:val="808080" w:themeColor="background1" w:themeShade="80"/>
                                <w:sz w:val="20"/>
                                <w:szCs w:val="20"/>
                                <w:lang w:val="en-US"/>
                              </w:rPr>
                              <w:t>Suite 15 Bailey's Corner Arcade</w:t>
                            </w:r>
                          </w:p>
                          <w:p w:rsidR="008768C0" w:rsidRPr="007C68FD" w:rsidRDefault="008768C0" w:rsidP="00A4046E">
                            <w:pPr>
                              <w:widowControl w:val="0"/>
                              <w:autoSpaceDE w:val="0"/>
                              <w:autoSpaceDN w:val="0"/>
                              <w:adjustRightInd w:val="0"/>
                              <w:spacing w:after="0"/>
                              <w:rPr>
                                <w:rFonts w:cs="Arial"/>
                                <w:color w:val="808080" w:themeColor="background1" w:themeShade="80"/>
                                <w:sz w:val="20"/>
                                <w:szCs w:val="20"/>
                                <w:lang w:val="en-US"/>
                              </w:rPr>
                            </w:pPr>
                            <w:r w:rsidRPr="007C68FD">
                              <w:rPr>
                                <w:rFonts w:cs="Arial"/>
                                <w:color w:val="808080" w:themeColor="background1" w:themeShade="80"/>
                                <w:sz w:val="20"/>
                                <w:szCs w:val="20"/>
                                <w:lang w:val="en-US"/>
                              </w:rPr>
                              <w:t>143 London Circuit</w:t>
                            </w:r>
                          </w:p>
                          <w:p w:rsidR="008768C0" w:rsidRPr="007C68FD" w:rsidRDefault="008768C0" w:rsidP="00A4046E">
                            <w:pPr>
                              <w:widowControl w:val="0"/>
                              <w:autoSpaceDE w:val="0"/>
                              <w:autoSpaceDN w:val="0"/>
                              <w:adjustRightInd w:val="0"/>
                              <w:spacing w:after="0"/>
                              <w:rPr>
                                <w:rFonts w:cs="Arial"/>
                                <w:color w:val="808080" w:themeColor="background1" w:themeShade="80"/>
                                <w:sz w:val="20"/>
                                <w:szCs w:val="20"/>
                                <w:lang w:val="en-US"/>
                              </w:rPr>
                            </w:pPr>
                            <w:r w:rsidRPr="007C68FD">
                              <w:rPr>
                                <w:rFonts w:cs="Arial"/>
                                <w:color w:val="808080" w:themeColor="background1" w:themeShade="80"/>
                                <w:sz w:val="20"/>
                                <w:szCs w:val="20"/>
                                <w:lang w:val="en-US"/>
                              </w:rPr>
                              <w:t>Canberra City 2600</w:t>
                            </w:r>
                          </w:p>
                          <w:p w:rsidR="008768C0" w:rsidRPr="007C68FD" w:rsidRDefault="008768C0" w:rsidP="00A4046E">
                            <w:pPr>
                              <w:widowControl w:val="0"/>
                              <w:autoSpaceDE w:val="0"/>
                              <w:autoSpaceDN w:val="0"/>
                              <w:adjustRightInd w:val="0"/>
                              <w:spacing w:after="0"/>
                              <w:rPr>
                                <w:rFonts w:cs="Arial"/>
                                <w:color w:val="808080" w:themeColor="background1" w:themeShade="80"/>
                                <w:sz w:val="20"/>
                                <w:szCs w:val="20"/>
                                <w:lang w:val="en-US"/>
                              </w:rPr>
                            </w:pPr>
                            <w:r w:rsidRPr="007C68FD">
                              <w:rPr>
                                <w:rFonts w:cs="Arial"/>
                                <w:color w:val="808080" w:themeColor="background1" w:themeShade="80"/>
                                <w:sz w:val="20"/>
                                <w:szCs w:val="20"/>
                                <w:lang w:val="en-US"/>
                              </w:rPr>
                              <w:t>Tel: 61 4 39305225</w:t>
                            </w:r>
                          </w:p>
                          <w:p w:rsidR="008768C0" w:rsidRDefault="008768C0" w:rsidP="00A404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pt;margin-top:6.75pt;width:183.9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kgQ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" stroked="f">
                <v:textbox>
                  <w:txbxContent>
                    <w:p w:rsidR="008768C0" w:rsidRPr="007C68FD" w:rsidRDefault="008768C0" w:rsidP="00A4046E">
                      <w:pPr>
                        <w:widowControl w:val="0"/>
                        <w:autoSpaceDE w:val="0"/>
                        <w:autoSpaceDN w:val="0"/>
                        <w:adjustRightInd w:val="0"/>
                        <w:spacing w:after="0"/>
                        <w:rPr>
                          <w:rFonts w:cs="Arial"/>
                          <w:color w:val="808080" w:themeColor="background1" w:themeShade="80"/>
                          <w:sz w:val="20"/>
                          <w:szCs w:val="20"/>
                          <w:lang w:val="en-US"/>
                        </w:rPr>
                      </w:pPr>
                      <w:r>
                        <w:rPr>
                          <w:rFonts w:cs="Arial"/>
                          <w:color w:val="808080" w:themeColor="background1" w:themeShade="80"/>
                          <w:sz w:val="20"/>
                          <w:szCs w:val="20"/>
                          <w:lang w:val="en-US"/>
                        </w:rPr>
                        <w:t>Suite 15 Bailey's Corner Arcade</w:t>
                      </w:r>
                    </w:p>
                    <w:p w:rsidR="008768C0" w:rsidRPr="007C68FD" w:rsidRDefault="008768C0" w:rsidP="00A4046E">
                      <w:pPr>
                        <w:widowControl w:val="0"/>
                        <w:autoSpaceDE w:val="0"/>
                        <w:autoSpaceDN w:val="0"/>
                        <w:adjustRightInd w:val="0"/>
                        <w:spacing w:after="0"/>
                        <w:rPr>
                          <w:rFonts w:cs="Arial"/>
                          <w:color w:val="808080" w:themeColor="background1" w:themeShade="80"/>
                          <w:sz w:val="20"/>
                          <w:szCs w:val="20"/>
                          <w:lang w:val="en-US"/>
                        </w:rPr>
                      </w:pPr>
                      <w:r w:rsidRPr="007C68FD">
                        <w:rPr>
                          <w:rFonts w:cs="Arial"/>
                          <w:color w:val="808080" w:themeColor="background1" w:themeShade="80"/>
                          <w:sz w:val="20"/>
                          <w:szCs w:val="20"/>
                          <w:lang w:val="en-US"/>
                        </w:rPr>
                        <w:t>143 London Circuit</w:t>
                      </w:r>
                    </w:p>
                    <w:p w:rsidR="008768C0" w:rsidRPr="007C68FD" w:rsidRDefault="008768C0" w:rsidP="00A4046E">
                      <w:pPr>
                        <w:widowControl w:val="0"/>
                        <w:autoSpaceDE w:val="0"/>
                        <w:autoSpaceDN w:val="0"/>
                        <w:adjustRightInd w:val="0"/>
                        <w:spacing w:after="0"/>
                        <w:rPr>
                          <w:rFonts w:cs="Arial"/>
                          <w:color w:val="808080" w:themeColor="background1" w:themeShade="80"/>
                          <w:sz w:val="20"/>
                          <w:szCs w:val="20"/>
                          <w:lang w:val="en-US"/>
                        </w:rPr>
                      </w:pPr>
                      <w:r w:rsidRPr="007C68FD">
                        <w:rPr>
                          <w:rFonts w:cs="Arial"/>
                          <w:color w:val="808080" w:themeColor="background1" w:themeShade="80"/>
                          <w:sz w:val="20"/>
                          <w:szCs w:val="20"/>
                          <w:lang w:val="en-US"/>
                        </w:rPr>
                        <w:t>Canberra City 2600</w:t>
                      </w:r>
                    </w:p>
                    <w:p w:rsidR="008768C0" w:rsidRPr="007C68FD" w:rsidRDefault="008768C0" w:rsidP="00A4046E">
                      <w:pPr>
                        <w:widowControl w:val="0"/>
                        <w:autoSpaceDE w:val="0"/>
                        <w:autoSpaceDN w:val="0"/>
                        <w:adjustRightInd w:val="0"/>
                        <w:spacing w:after="0"/>
                        <w:rPr>
                          <w:rFonts w:cs="Arial"/>
                          <w:color w:val="808080" w:themeColor="background1" w:themeShade="80"/>
                          <w:sz w:val="20"/>
                          <w:szCs w:val="20"/>
                          <w:lang w:val="en-US"/>
                        </w:rPr>
                      </w:pPr>
                      <w:r w:rsidRPr="007C68FD">
                        <w:rPr>
                          <w:rFonts w:cs="Arial"/>
                          <w:color w:val="808080" w:themeColor="background1" w:themeShade="80"/>
                          <w:sz w:val="20"/>
                          <w:szCs w:val="20"/>
                          <w:lang w:val="en-US"/>
                        </w:rPr>
                        <w:t>Tel: 61 4 39305225</w:t>
                      </w:r>
                    </w:p>
                    <w:p w:rsidR="008768C0" w:rsidRDefault="008768C0" w:rsidP="00A4046E"/>
                  </w:txbxContent>
                </v:textbox>
                <w10:wrap type="tight"/>
              </v:shape>
            </w:pict>
          </mc:Fallback>
        </mc:AlternateContent>
      </w:r>
    </w:p>
    <w:p w:rsidR="00A4046E" w:rsidRDefault="00A4046E" w:rsidP="001C1A39">
      <w:pPr>
        <w:pStyle w:val="Heading1"/>
      </w:pPr>
    </w:p>
    <w:p w:rsidR="00A4046E" w:rsidRDefault="00A4046E" w:rsidP="001C1A39">
      <w:pPr>
        <w:pStyle w:val="Heading1"/>
      </w:pPr>
    </w:p>
    <w:p w:rsidR="00A4046E" w:rsidRDefault="00A4046E" w:rsidP="001C1A39">
      <w:pPr>
        <w:pStyle w:val="Heading1"/>
      </w:pPr>
    </w:p>
    <w:p w:rsidR="00A4046E" w:rsidRPr="00A4046E" w:rsidRDefault="00A4046E" w:rsidP="00A4046E">
      <w:pPr>
        <w:widowControl w:val="0"/>
        <w:autoSpaceDE w:val="0"/>
        <w:autoSpaceDN w:val="0"/>
        <w:adjustRightInd w:val="0"/>
        <w:spacing w:after="360"/>
        <w:rPr>
          <w:rFonts w:asciiTheme="majorHAnsi" w:hAnsiTheme="majorHAnsi" w:cs="Arial"/>
          <w:color w:val="17365D" w:themeColor="text2" w:themeShade="BF"/>
          <w:sz w:val="44"/>
          <w:szCs w:val="56"/>
        </w:rPr>
      </w:pPr>
      <w:r w:rsidRPr="00A4046E">
        <w:rPr>
          <w:rFonts w:asciiTheme="majorHAnsi" w:hAnsiTheme="majorHAnsi" w:cs="Arial"/>
          <w:color w:val="17365D" w:themeColor="text2" w:themeShade="BF"/>
          <w:sz w:val="44"/>
          <w:szCs w:val="56"/>
        </w:rPr>
        <w:t>Independent evaluation of the Community</w:t>
      </w:r>
      <w:r w:rsidR="00133D2D">
        <w:rPr>
          <w:rFonts w:asciiTheme="majorHAnsi" w:hAnsiTheme="majorHAnsi" w:cs="Arial"/>
          <w:color w:val="17365D" w:themeColor="text2" w:themeShade="BF"/>
          <w:sz w:val="44"/>
          <w:szCs w:val="56"/>
        </w:rPr>
        <w:t>-b</w:t>
      </w:r>
      <w:r w:rsidRPr="00A4046E">
        <w:rPr>
          <w:rFonts w:asciiTheme="majorHAnsi" w:hAnsiTheme="majorHAnsi" w:cs="Arial"/>
          <w:color w:val="17365D" w:themeColor="text2" w:themeShade="BF"/>
          <w:sz w:val="44"/>
          <w:szCs w:val="56"/>
        </w:rPr>
        <w:t>ased Climate Change Adaptation Grants Program – main evaluation report</w:t>
      </w:r>
    </w:p>
    <w:p w:rsidR="00A4046E" w:rsidRDefault="00A4046E" w:rsidP="00A4046E">
      <w:pPr>
        <w:widowControl w:val="0"/>
        <w:autoSpaceDE w:val="0"/>
        <w:autoSpaceDN w:val="0"/>
        <w:adjustRightInd w:val="0"/>
        <w:spacing w:after="360"/>
        <w:rPr>
          <w:rFonts w:ascii="Arial" w:hAnsi="Arial" w:cs="Arial"/>
          <w:color w:val="17365D" w:themeColor="text2" w:themeShade="BF"/>
          <w:sz w:val="44"/>
          <w:szCs w:val="56"/>
        </w:rPr>
      </w:pPr>
    </w:p>
    <w:p w:rsidR="00A4046E" w:rsidRDefault="00A4046E" w:rsidP="001C1A39">
      <w:pPr>
        <w:pStyle w:val="Heading1"/>
      </w:pPr>
      <w:r w:rsidRPr="00A4046E">
        <w:rPr>
          <w:noProof/>
          <w:lang w:eastAsia="en-AU"/>
        </w:rPr>
        <w:drawing>
          <wp:inline distT="0" distB="0" distL="0" distR="0">
            <wp:extent cx="5270500" cy="3448050"/>
            <wp:effectExtent l="25400" t="0" r="0" b="0"/>
            <wp:docPr id="5" name="Picture 0"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10"/>
                    <a:stretch>
                      <a:fillRect/>
                    </a:stretch>
                  </pic:blipFill>
                  <pic:spPr>
                    <a:xfrm>
                      <a:off x="0" y="0"/>
                      <a:ext cx="5270500" cy="3448050"/>
                    </a:xfrm>
                    <a:prstGeom prst="rect">
                      <a:avLst/>
                    </a:prstGeom>
                  </pic:spPr>
                </pic:pic>
              </a:graphicData>
            </a:graphic>
          </wp:inline>
        </w:drawing>
      </w:r>
    </w:p>
    <w:p w:rsidR="00320EF4" w:rsidRPr="006035B1" w:rsidRDefault="00320EF4" w:rsidP="00320EF4">
      <w:pPr>
        <w:rPr>
          <w:i/>
          <w:sz w:val="18"/>
          <w:szCs w:val="18"/>
        </w:rPr>
      </w:pPr>
      <w:r w:rsidRPr="006035B1">
        <w:rPr>
          <w:i/>
          <w:sz w:val="18"/>
          <w:szCs w:val="18"/>
        </w:rPr>
        <w:t>Plan International project site, Eastern Samar, Philippines</w:t>
      </w:r>
    </w:p>
    <w:p w:rsidR="00A4046E" w:rsidRDefault="00A4046E" w:rsidP="001C1A39">
      <w:pPr>
        <w:pStyle w:val="Heading1"/>
      </w:pPr>
    </w:p>
    <w:p w:rsidR="00A4046E" w:rsidRPr="00A4046E" w:rsidRDefault="00537C5A" w:rsidP="00A4046E">
      <w:pPr>
        <w:rPr>
          <w:rFonts w:asciiTheme="majorHAnsi" w:hAnsiTheme="majorHAnsi"/>
          <w:sz w:val="32"/>
        </w:rPr>
      </w:pPr>
      <w:r>
        <w:rPr>
          <w:rFonts w:asciiTheme="majorHAnsi" w:hAnsiTheme="majorHAnsi"/>
          <w:sz w:val="32"/>
        </w:rPr>
        <w:t>January 2016</w:t>
      </w:r>
    </w:p>
    <w:p w:rsidR="00A4046E" w:rsidRPr="00A4046E" w:rsidRDefault="00A4046E" w:rsidP="00A4046E">
      <w:pPr>
        <w:rPr>
          <w:sz w:val="32"/>
        </w:rPr>
        <w:sectPr w:rsidR="00A4046E" w:rsidRPr="00A4046E">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pPr>
    </w:p>
    <w:bookmarkEnd w:id="0"/>
    <w:p w:rsidR="00A75CC3" w:rsidRDefault="00A75CC3" w:rsidP="00A75CC3">
      <w:r w:rsidRPr="001008B3">
        <w:rPr>
          <w:rFonts w:ascii="Arial" w:hAnsi="Arial"/>
          <w:b/>
          <w:sz w:val="28"/>
        </w:rPr>
        <w:lastRenderedPageBreak/>
        <w:t>Contents</w:t>
      </w:r>
      <w:r>
        <w:t xml:space="preserve"> </w:t>
      </w:r>
    </w:p>
    <w:p w:rsidR="007D7ADE" w:rsidRDefault="007D7ADE">
      <w:pPr>
        <w:pStyle w:val="TOC1"/>
        <w:tabs>
          <w:tab w:val="right" w:leader="dot" w:pos="8290"/>
        </w:tabs>
        <w:rPr>
          <w:rFonts w:eastAsiaTheme="minorEastAsia"/>
          <w:noProof/>
          <w:sz w:val="24"/>
          <w:lang w:val="en-US"/>
        </w:rPr>
      </w:pPr>
      <w:r>
        <w:fldChar w:fldCharType="begin"/>
      </w:r>
      <w:r>
        <w:instrText xml:space="preserve"> TOC \o "1-3" </w:instrText>
      </w:r>
      <w:r>
        <w:fldChar w:fldCharType="separate"/>
      </w:r>
      <w:r>
        <w:rPr>
          <w:noProof/>
        </w:rPr>
        <w:t>Snapshot</w:t>
      </w:r>
      <w:r>
        <w:rPr>
          <w:noProof/>
        </w:rPr>
        <w:tab/>
      </w:r>
      <w:r>
        <w:rPr>
          <w:noProof/>
        </w:rPr>
        <w:fldChar w:fldCharType="begin"/>
      </w:r>
      <w:r>
        <w:rPr>
          <w:noProof/>
        </w:rPr>
        <w:instrText xml:space="preserve"> PAGEREF _Toc315694443 \h </w:instrText>
      </w:r>
      <w:r>
        <w:rPr>
          <w:noProof/>
        </w:rPr>
      </w:r>
      <w:r>
        <w:rPr>
          <w:noProof/>
        </w:rPr>
        <w:fldChar w:fldCharType="separate"/>
      </w:r>
      <w:r>
        <w:rPr>
          <w:noProof/>
        </w:rPr>
        <w:t>1</w:t>
      </w:r>
      <w:r>
        <w:rPr>
          <w:noProof/>
        </w:rPr>
        <w:fldChar w:fldCharType="end"/>
      </w:r>
    </w:p>
    <w:p w:rsidR="007D7ADE" w:rsidRDefault="007D7ADE">
      <w:pPr>
        <w:pStyle w:val="TOC1"/>
        <w:tabs>
          <w:tab w:val="right" w:leader="dot" w:pos="8290"/>
        </w:tabs>
        <w:rPr>
          <w:rFonts w:eastAsiaTheme="minorEastAsia"/>
          <w:noProof/>
          <w:sz w:val="24"/>
          <w:lang w:val="en-US"/>
        </w:rPr>
      </w:pPr>
      <w:r>
        <w:rPr>
          <w:noProof/>
        </w:rPr>
        <w:t>Summary findings and recommendations</w:t>
      </w:r>
      <w:r>
        <w:rPr>
          <w:noProof/>
        </w:rPr>
        <w:tab/>
      </w:r>
      <w:r>
        <w:rPr>
          <w:noProof/>
        </w:rPr>
        <w:fldChar w:fldCharType="begin"/>
      </w:r>
      <w:r>
        <w:rPr>
          <w:noProof/>
        </w:rPr>
        <w:instrText xml:space="preserve"> PAGEREF _Toc315694444 \h </w:instrText>
      </w:r>
      <w:r>
        <w:rPr>
          <w:noProof/>
        </w:rPr>
      </w:r>
      <w:r>
        <w:rPr>
          <w:noProof/>
        </w:rPr>
        <w:fldChar w:fldCharType="separate"/>
      </w:r>
      <w:r>
        <w:rPr>
          <w:noProof/>
        </w:rPr>
        <w:t>ii</w:t>
      </w:r>
      <w:r>
        <w:rPr>
          <w:noProof/>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Lessons for future programs</w:t>
      </w:r>
      <w:r w:rsidRPr="007D7ADE">
        <w:rPr>
          <w:noProof/>
          <w:sz w:val="20"/>
        </w:rPr>
        <w:tab/>
      </w:r>
      <w:r w:rsidRPr="007D7ADE">
        <w:rPr>
          <w:noProof/>
          <w:sz w:val="20"/>
        </w:rPr>
        <w:fldChar w:fldCharType="begin"/>
      </w:r>
      <w:r w:rsidRPr="007D7ADE">
        <w:rPr>
          <w:noProof/>
          <w:sz w:val="20"/>
        </w:rPr>
        <w:instrText xml:space="preserve"> PAGEREF _Toc315694445 \h </w:instrText>
      </w:r>
      <w:r w:rsidRPr="007D7ADE">
        <w:rPr>
          <w:noProof/>
          <w:sz w:val="20"/>
        </w:rPr>
      </w:r>
      <w:r w:rsidRPr="007D7ADE">
        <w:rPr>
          <w:noProof/>
          <w:sz w:val="20"/>
        </w:rPr>
        <w:fldChar w:fldCharType="separate"/>
      </w:r>
      <w:r w:rsidRPr="007D7ADE">
        <w:rPr>
          <w:noProof/>
          <w:sz w:val="20"/>
        </w:rPr>
        <w:t>iii</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Findings and recommendations</w:t>
      </w:r>
      <w:r w:rsidRPr="007D7ADE">
        <w:rPr>
          <w:noProof/>
          <w:sz w:val="20"/>
        </w:rPr>
        <w:tab/>
      </w:r>
      <w:r w:rsidRPr="007D7ADE">
        <w:rPr>
          <w:noProof/>
          <w:sz w:val="20"/>
        </w:rPr>
        <w:fldChar w:fldCharType="begin"/>
      </w:r>
      <w:r w:rsidRPr="007D7ADE">
        <w:rPr>
          <w:noProof/>
          <w:sz w:val="20"/>
        </w:rPr>
        <w:instrText xml:space="preserve"> PAGEREF _Toc315694446 \h </w:instrText>
      </w:r>
      <w:r w:rsidRPr="007D7ADE">
        <w:rPr>
          <w:noProof/>
          <w:sz w:val="20"/>
        </w:rPr>
      </w:r>
      <w:r w:rsidRPr="007D7ADE">
        <w:rPr>
          <w:noProof/>
          <w:sz w:val="20"/>
        </w:rPr>
        <w:fldChar w:fldCharType="separate"/>
      </w:r>
      <w:r w:rsidRPr="007D7ADE">
        <w:rPr>
          <w:noProof/>
          <w:sz w:val="20"/>
        </w:rPr>
        <w:t>viii</w:t>
      </w:r>
      <w:r w:rsidRPr="007D7ADE">
        <w:rPr>
          <w:noProof/>
          <w:sz w:val="20"/>
        </w:rPr>
        <w:fldChar w:fldCharType="end"/>
      </w:r>
    </w:p>
    <w:p w:rsidR="007D7ADE" w:rsidRDefault="007D7ADE">
      <w:pPr>
        <w:pStyle w:val="TOC1"/>
        <w:tabs>
          <w:tab w:val="right" w:leader="dot" w:pos="8290"/>
        </w:tabs>
        <w:rPr>
          <w:rFonts w:eastAsiaTheme="minorEastAsia"/>
          <w:noProof/>
          <w:sz w:val="24"/>
          <w:lang w:val="en-US"/>
        </w:rPr>
      </w:pPr>
      <w:r>
        <w:rPr>
          <w:noProof/>
        </w:rPr>
        <w:t>Background</w:t>
      </w:r>
      <w:r>
        <w:rPr>
          <w:noProof/>
        </w:rPr>
        <w:tab/>
      </w:r>
      <w:r>
        <w:rPr>
          <w:noProof/>
        </w:rPr>
        <w:fldChar w:fldCharType="begin"/>
      </w:r>
      <w:r>
        <w:rPr>
          <w:noProof/>
        </w:rPr>
        <w:instrText xml:space="preserve"> PAGEREF _Toc315694447 \h </w:instrText>
      </w:r>
      <w:r>
        <w:rPr>
          <w:noProof/>
        </w:rPr>
      </w:r>
      <w:r>
        <w:rPr>
          <w:noProof/>
        </w:rPr>
        <w:fldChar w:fldCharType="separate"/>
      </w:r>
      <w:r>
        <w:rPr>
          <w:noProof/>
        </w:rPr>
        <w:t>1</w:t>
      </w:r>
      <w:r>
        <w:rPr>
          <w:noProof/>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Purpose</w:t>
      </w:r>
      <w:r w:rsidRPr="007D7ADE">
        <w:rPr>
          <w:noProof/>
          <w:sz w:val="20"/>
        </w:rPr>
        <w:tab/>
      </w:r>
      <w:r w:rsidRPr="007D7ADE">
        <w:rPr>
          <w:noProof/>
          <w:sz w:val="20"/>
        </w:rPr>
        <w:fldChar w:fldCharType="begin"/>
      </w:r>
      <w:r w:rsidRPr="007D7ADE">
        <w:rPr>
          <w:noProof/>
          <w:sz w:val="20"/>
        </w:rPr>
        <w:instrText xml:space="preserve"> PAGEREF _Toc315694448 \h </w:instrText>
      </w:r>
      <w:r w:rsidRPr="007D7ADE">
        <w:rPr>
          <w:noProof/>
          <w:sz w:val="20"/>
        </w:rPr>
      </w:r>
      <w:r w:rsidRPr="007D7ADE">
        <w:rPr>
          <w:noProof/>
          <w:sz w:val="20"/>
        </w:rPr>
        <w:fldChar w:fldCharType="separate"/>
      </w:r>
      <w:r w:rsidRPr="007D7ADE">
        <w:rPr>
          <w:noProof/>
          <w:sz w:val="20"/>
        </w:rPr>
        <w:t>1</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CBCCAG program</w:t>
      </w:r>
      <w:r w:rsidRPr="007D7ADE">
        <w:rPr>
          <w:noProof/>
          <w:sz w:val="20"/>
        </w:rPr>
        <w:tab/>
      </w:r>
      <w:r w:rsidRPr="007D7ADE">
        <w:rPr>
          <w:noProof/>
          <w:sz w:val="20"/>
        </w:rPr>
        <w:fldChar w:fldCharType="begin"/>
      </w:r>
      <w:r w:rsidRPr="007D7ADE">
        <w:rPr>
          <w:noProof/>
          <w:sz w:val="20"/>
        </w:rPr>
        <w:instrText xml:space="preserve"> PAGEREF _Toc315694449 \h </w:instrText>
      </w:r>
      <w:r w:rsidRPr="007D7ADE">
        <w:rPr>
          <w:noProof/>
          <w:sz w:val="20"/>
        </w:rPr>
      </w:r>
      <w:r w:rsidRPr="007D7ADE">
        <w:rPr>
          <w:noProof/>
          <w:sz w:val="20"/>
        </w:rPr>
        <w:fldChar w:fldCharType="separate"/>
      </w:r>
      <w:r w:rsidRPr="007D7ADE">
        <w:rPr>
          <w:noProof/>
          <w:sz w:val="20"/>
        </w:rPr>
        <w:t>1</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Scope of the evaluation</w:t>
      </w:r>
      <w:r w:rsidRPr="007D7ADE">
        <w:rPr>
          <w:noProof/>
          <w:sz w:val="20"/>
        </w:rPr>
        <w:tab/>
      </w:r>
      <w:r w:rsidRPr="007D7ADE">
        <w:rPr>
          <w:noProof/>
          <w:sz w:val="20"/>
        </w:rPr>
        <w:fldChar w:fldCharType="begin"/>
      </w:r>
      <w:r w:rsidRPr="007D7ADE">
        <w:rPr>
          <w:noProof/>
          <w:sz w:val="20"/>
        </w:rPr>
        <w:instrText xml:space="preserve"> PAGEREF _Toc315694450 \h </w:instrText>
      </w:r>
      <w:r w:rsidRPr="007D7ADE">
        <w:rPr>
          <w:noProof/>
          <w:sz w:val="20"/>
        </w:rPr>
      </w:r>
      <w:r w:rsidRPr="007D7ADE">
        <w:rPr>
          <w:noProof/>
          <w:sz w:val="20"/>
        </w:rPr>
        <w:fldChar w:fldCharType="separate"/>
      </w:r>
      <w:r w:rsidRPr="007D7ADE">
        <w:rPr>
          <w:noProof/>
          <w:sz w:val="20"/>
        </w:rPr>
        <w:t>1</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Audience</w:t>
      </w:r>
      <w:r w:rsidRPr="007D7ADE">
        <w:rPr>
          <w:noProof/>
          <w:sz w:val="20"/>
        </w:rPr>
        <w:tab/>
      </w:r>
      <w:r w:rsidRPr="007D7ADE">
        <w:rPr>
          <w:noProof/>
          <w:sz w:val="20"/>
        </w:rPr>
        <w:fldChar w:fldCharType="begin"/>
      </w:r>
      <w:r w:rsidRPr="007D7ADE">
        <w:rPr>
          <w:noProof/>
          <w:sz w:val="20"/>
        </w:rPr>
        <w:instrText xml:space="preserve"> PAGEREF _Toc315694451 \h </w:instrText>
      </w:r>
      <w:r w:rsidRPr="007D7ADE">
        <w:rPr>
          <w:noProof/>
          <w:sz w:val="20"/>
        </w:rPr>
      </w:r>
      <w:r w:rsidRPr="007D7ADE">
        <w:rPr>
          <w:noProof/>
          <w:sz w:val="20"/>
        </w:rPr>
        <w:fldChar w:fldCharType="separate"/>
      </w:r>
      <w:r w:rsidRPr="007D7ADE">
        <w:rPr>
          <w:noProof/>
          <w:sz w:val="20"/>
        </w:rPr>
        <w:t>2</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Team</w:t>
      </w:r>
      <w:r w:rsidRPr="007D7ADE">
        <w:rPr>
          <w:noProof/>
          <w:sz w:val="20"/>
        </w:rPr>
        <w:tab/>
      </w:r>
      <w:r w:rsidRPr="007D7ADE">
        <w:rPr>
          <w:noProof/>
          <w:sz w:val="20"/>
        </w:rPr>
        <w:fldChar w:fldCharType="begin"/>
      </w:r>
      <w:r w:rsidRPr="007D7ADE">
        <w:rPr>
          <w:noProof/>
          <w:sz w:val="20"/>
        </w:rPr>
        <w:instrText xml:space="preserve"> PAGEREF _Toc315694452 \h </w:instrText>
      </w:r>
      <w:r w:rsidRPr="007D7ADE">
        <w:rPr>
          <w:noProof/>
          <w:sz w:val="20"/>
        </w:rPr>
      </w:r>
      <w:r w:rsidRPr="007D7ADE">
        <w:rPr>
          <w:noProof/>
          <w:sz w:val="20"/>
        </w:rPr>
        <w:fldChar w:fldCharType="separate"/>
      </w:r>
      <w:r w:rsidRPr="007D7ADE">
        <w:rPr>
          <w:noProof/>
          <w:sz w:val="20"/>
        </w:rPr>
        <w:t>2</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Acknowledgements</w:t>
      </w:r>
      <w:r w:rsidRPr="007D7ADE">
        <w:rPr>
          <w:noProof/>
          <w:sz w:val="20"/>
        </w:rPr>
        <w:tab/>
      </w:r>
      <w:r w:rsidRPr="007D7ADE">
        <w:rPr>
          <w:noProof/>
          <w:sz w:val="20"/>
        </w:rPr>
        <w:fldChar w:fldCharType="begin"/>
      </w:r>
      <w:r w:rsidRPr="007D7ADE">
        <w:rPr>
          <w:noProof/>
          <w:sz w:val="20"/>
        </w:rPr>
        <w:instrText xml:space="preserve"> PAGEREF _Toc315694453 \h </w:instrText>
      </w:r>
      <w:r w:rsidRPr="007D7ADE">
        <w:rPr>
          <w:noProof/>
          <w:sz w:val="20"/>
        </w:rPr>
      </w:r>
      <w:r w:rsidRPr="007D7ADE">
        <w:rPr>
          <w:noProof/>
          <w:sz w:val="20"/>
        </w:rPr>
        <w:fldChar w:fldCharType="separate"/>
      </w:r>
      <w:r w:rsidRPr="007D7ADE">
        <w:rPr>
          <w:noProof/>
          <w:sz w:val="20"/>
        </w:rPr>
        <w:t>2</w:t>
      </w:r>
      <w:r w:rsidRPr="007D7ADE">
        <w:rPr>
          <w:noProof/>
          <w:sz w:val="20"/>
        </w:rPr>
        <w:fldChar w:fldCharType="end"/>
      </w:r>
    </w:p>
    <w:p w:rsidR="007D7ADE" w:rsidRDefault="007D7ADE">
      <w:pPr>
        <w:pStyle w:val="TOC1"/>
        <w:tabs>
          <w:tab w:val="right" w:leader="dot" w:pos="8290"/>
        </w:tabs>
        <w:rPr>
          <w:rFonts w:eastAsiaTheme="minorEastAsia"/>
          <w:noProof/>
          <w:sz w:val="24"/>
          <w:lang w:val="en-US"/>
        </w:rPr>
      </w:pPr>
      <w:r>
        <w:rPr>
          <w:noProof/>
        </w:rPr>
        <w:t>Evaluation methods</w:t>
      </w:r>
      <w:r>
        <w:rPr>
          <w:noProof/>
        </w:rPr>
        <w:tab/>
      </w:r>
      <w:r>
        <w:rPr>
          <w:noProof/>
        </w:rPr>
        <w:fldChar w:fldCharType="begin"/>
      </w:r>
      <w:r>
        <w:rPr>
          <w:noProof/>
        </w:rPr>
        <w:instrText xml:space="preserve"> PAGEREF _Toc315694454 \h </w:instrText>
      </w:r>
      <w:r>
        <w:rPr>
          <w:noProof/>
        </w:rPr>
      </w:r>
      <w:r>
        <w:rPr>
          <w:noProof/>
        </w:rPr>
        <w:fldChar w:fldCharType="separate"/>
      </w:r>
      <w:r>
        <w:rPr>
          <w:noProof/>
        </w:rPr>
        <w:t>3</w:t>
      </w:r>
      <w:r>
        <w:rPr>
          <w:noProof/>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Evaluation standards</w:t>
      </w:r>
      <w:r w:rsidRPr="007D7ADE">
        <w:rPr>
          <w:noProof/>
          <w:sz w:val="20"/>
        </w:rPr>
        <w:tab/>
      </w:r>
      <w:r w:rsidRPr="007D7ADE">
        <w:rPr>
          <w:noProof/>
          <w:sz w:val="20"/>
        </w:rPr>
        <w:fldChar w:fldCharType="begin"/>
      </w:r>
      <w:r w:rsidRPr="007D7ADE">
        <w:rPr>
          <w:noProof/>
          <w:sz w:val="20"/>
        </w:rPr>
        <w:instrText xml:space="preserve"> PAGEREF _Toc315694455 \h </w:instrText>
      </w:r>
      <w:r w:rsidRPr="007D7ADE">
        <w:rPr>
          <w:noProof/>
          <w:sz w:val="20"/>
        </w:rPr>
      </w:r>
      <w:r w:rsidRPr="007D7ADE">
        <w:rPr>
          <w:noProof/>
          <w:sz w:val="20"/>
        </w:rPr>
        <w:fldChar w:fldCharType="separate"/>
      </w:r>
      <w:r w:rsidRPr="007D7ADE">
        <w:rPr>
          <w:noProof/>
          <w:sz w:val="20"/>
        </w:rPr>
        <w:t>3</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Methods of inquiry</w:t>
      </w:r>
      <w:r w:rsidRPr="007D7ADE">
        <w:rPr>
          <w:noProof/>
          <w:sz w:val="20"/>
        </w:rPr>
        <w:tab/>
      </w:r>
      <w:r w:rsidRPr="007D7ADE">
        <w:rPr>
          <w:noProof/>
          <w:sz w:val="20"/>
        </w:rPr>
        <w:fldChar w:fldCharType="begin"/>
      </w:r>
      <w:r w:rsidRPr="007D7ADE">
        <w:rPr>
          <w:noProof/>
          <w:sz w:val="20"/>
        </w:rPr>
        <w:instrText xml:space="preserve"> PAGEREF _Toc315694456 \h </w:instrText>
      </w:r>
      <w:r w:rsidRPr="007D7ADE">
        <w:rPr>
          <w:noProof/>
          <w:sz w:val="20"/>
        </w:rPr>
      </w:r>
      <w:r w:rsidRPr="007D7ADE">
        <w:rPr>
          <w:noProof/>
          <w:sz w:val="20"/>
        </w:rPr>
        <w:fldChar w:fldCharType="separate"/>
      </w:r>
      <w:r w:rsidRPr="007D7ADE">
        <w:rPr>
          <w:noProof/>
          <w:sz w:val="20"/>
        </w:rPr>
        <w:t>3</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Community adaptation pathways</w:t>
      </w:r>
      <w:r w:rsidRPr="007D7ADE">
        <w:rPr>
          <w:noProof/>
          <w:sz w:val="20"/>
        </w:rPr>
        <w:tab/>
      </w:r>
      <w:r w:rsidRPr="007D7ADE">
        <w:rPr>
          <w:noProof/>
          <w:sz w:val="20"/>
        </w:rPr>
        <w:fldChar w:fldCharType="begin"/>
      </w:r>
      <w:r w:rsidRPr="007D7ADE">
        <w:rPr>
          <w:noProof/>
          <w:sz w:val="20"/>
        </w:rPr>
        <w:instrText xml:space="preserve"> PAGEREF _Toc315694457 \h </w:instrText>
      </w:r>
      <w:r w:rsidRPr="007D7ADE">
        <w:rPr>
          <w:noProof/>
          <w:sz w:val="20"/>
        </w:rPr>
      </w:r>
      <w:r w:rsidRPr="007D7ADE">
        <w:rPr>
          <w:noProof/>
          <w:sz w:val="20"/>
        </w:rPr>
        <w:fldChar w:fldCharType="separate"/>
      </w:r>
      <w:r w:rsidRPr="007D7ADE">
        <w:rPr>
          <w:noProof/>
          <w:sz w:val="20"/>
        </w:rPr>
        <w:t>4</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Indicators</w:t>
      </w:r>
      <w:r w:rsidRPr="007D7ADE">
        <w:rPr>
          <w:noProof/>
          <w:sz w:val="20"/>
        </w:rPr>
        <w:tab/>
      </w:r>
      <w:r w:rsidRPr="007D7ADE">
        <w:rPr>
          <w:noProof/>
          <w:sz w:val="20"/>
        </w:rPr>
        <w:fldChar w:fldCharType="begin"/>
      </w:r>
      <w:r w:rsidRPr="007D7ADE">
        <w:rPr>
          <w:noProof/>
          <w:sz w:val="20"/>
        </w:rPr>
        <w:instrText xml:space="preserve"> PAGEREF _Toc315694458 \h </w:instrText>
      </w:r>
      <w:r w:rsidRPr="007D7ADE">
        <w:rPr>
          <w:noProof/>
          <w:sz w:val="20"/>
        </w:rPr>
      </w:r>
      <w:r w:rsidRPr="007D7ADE">
        <w:rPr>
          <w:noProof/>
          <w:sz w:val="20"/>
        </w:rPr>
        <w:fldChar w:fldCharType="separate"/>
      </w:r>
      <w:r w:rsidRPr="007D7ADE">
        <w:rPr>
          <w:noProof/>
          <w:sz w:val="20"/>
        </w:rPr>
        <w:t>4</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Limitations</w:t>
      </w:r>
      <w:r w:rsidRPr="007D7ADE">
        <w:rPr>
          <w:noProof/>
          <w:sz w:val="20"/>
        </w:rPr>
        <w:tab/>
      </w:r>
      <w:r w:rsidRPr="007D7ADE">
        <w:rPr>
          <w:noProof/>
          <w:sz w:val="20"/>
        </w:rPr>
        <w:fldChar w:fldCharType="begin"/>
      </w:r>
      <w:r w:rsidRPr="007D7ADE">
        <w:rPr>
          <w:noProof/>
          <w:sz w:val="20"/>
        </w:rPr>
        <w:instrText xml:space="preserve"> PAGEREF _Toc315694459 \h </w:instrText>
      </w:r>
      <w:r w:rsidRPr="007D7ADE">
        <w:rPr>
          <w:noProof/>
          <w:sz w:val="20"/>
        </w:rPr>
      </w:r>
      <w:r w:rsidRPr="007D7ADE">
        <w:rPr>
          <w:noProof/>
          <w:sz w:val="20"/>
        </w:rPr>
        <w:fldChar w:fldCharType="separate"/>
      </w:r>
      <w:r w:rsidRPr="007D7ADE">
        <w:rPr>
          <w:noProof/>
          <w:sz w:val="20"/>
        </w:rPr>
        <w:t>6</w:t>
      </w:r>
      <w:r w:rsidRPr="007D7ADE">
        <w:rPr>
          <w:noProof/>
          <w:sz w:val="20"/>
        </w:rPr>
        <w:fldChar w:fldCharType="end"/>
      </w:r>
    </w:p>
    <w:p w:rsidR="007D7ADE" w:rsidRDefault="007D7ADE">
      <w:pPr>
        <w:pStyle w:val="TOC1"/>
        <w:tabs>
          <w:tab w:val="right" w:leader="dot" w:pos="8290"/>
        </w:tabs>
        <w:rPr>
          <w:rFonts w:eastAsiaTheme="minorEastAsia"/>
          <w:noProof/>
          <w:sz w:val="24"/>
          <w:lang w:val="en-US"/>
        </w:rPr>
      </w:pPr>
      <w:r>
        <w:rPr>
          <w:noProof/>
        </w:rPr>
        <w:t>Program description</w:t>
      </w:r>
      <w:r>
        <w:rPr>
          <w:noProof/>
        </w:rPr>
        <w:tab/>
      </w:r>
      <w:r>
        <w:rPr>
          <w:noProof/>
        </w:rPr>
        <w:fldChar w:fldCharType="begin"/>
      </w:r>
      <w:r>
        <w:rPr>
          <w:noProof/>
        </w:rPr>
        <w:instrText xml:space="preserve"> PAGEREF _Toc315694460 \h </w:instrText>
      </w:r>
      <w:r>
        <w:rPr>
          <w:noProof/>
        </w:rPr>
      </w:r>
      <w:r>
        <w:rPr>
          <w:noProof/>
        </w:rPr>
        <w:fldChar w:fldCharType="separate"/>
      </w:r>
      <w:r>
        <w:rPr>
          <w:noProof/>
        </w:rPr>
        <w:t>7</w:t>
      </w:r>
      <w:r>
        <w:rPr>
          <w:noProof/>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Development priorities</w:t>
      </w:r>
      <w:r w:rsidRPr="007D7ADE">
        <w:rPr>
          <w:noProof/>
          <w:sz w:val="20"/>
        </w:rPr>
        <w:tab/>
      </w:r>
      <w:r w:rsidRPr="007D7ADE">
        <w:rPr>
          <w:noProof/>
          <w:sz w:val="20"/>
        </w:rPr>
        <w:fldChar w:fldCharType="begin"/>
      </w:r>
      <w:r w:rsidRPr="007D7ADE">
        <w:rPr>
          <w:noProof/>
          <w:sz w:val="20"/>
        </w:rPr>
        <w:instrText xml:space="preserve"> PAGEREF _Toc315694461 \h </w:instrText>
      </w:r>
      <w:r w:rsidRPr="007D7ADE">
        <w:rPr>
          <w:noProof/>
          <w:sz w:val="20"/>
        </w:rPr>
      </w:r>
      <w:r w:rsidRPr="007D7ADE">
        <w:rPr>
          <w:noProof/>
          <w:sz w:val="20"/>
        </w:rPr>
        <w:fldChar w:fldCharType="separate"/>
      </w:r>
      <w:r w:rsidRPr="007D7ADE">
        <w:rPr>
          <w:noProof/>
          <w:sz w:val="20"/>
        </w:rPr>
        <w:t>7</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Program theory of change</w:t>
      </w:r>
      <w:r w:rsidRPr="007D7ADE">
        <w:rPr>
          <w:noProof/>
          <w:sz w:val="20"/>
        </w:rPr>
        <w:tab/>
      </w:r>
      <w:r w:rsidRPr="007D7ADE">
        <w:rPr>
          <w:noProof/>
          <w:sz w:val="20"/>
        </w:rPr>
        <w:fldChar w:fldCharType="begin"/>
      </w:r>
      <w:r w:rsidRPr="007D7ADE">
        <w:rPr>
          <w:noProof/>
          <w:sz w:val="20"/>
        </w:rPr>
        <w:instrText xml:space="preserve"> PAGEREF _Toc315694462 \h </w:instrText>
      </w:r>
      <w:r w:rsidRPr="007D7ADE">
        <w:rPr>
          <w:noProof/>
          <w:sz w:val="20"/>
        </w:rPr>
      </w:r>
      <w:r w:rsidRPr="007D7ADE">
        <w:rPr>
          <w:noProof/>
          <w:sz w:val="20"/>
        </w:rPr>
        <w:fldChar w:fldCharType="separate"/>
      </w:r>
      <w:r w:rsidRPr="007D7ADE">
        <w:rPr>
          <w:noProof/>
          <w:sz w:val="20"/>
        </w:rPr>
        <w:t>7</w:t>
      </w:r>
      <w:r w:rsidRPr="007D7ADE">
        <w:rPr>
          <w:noProof/>
          <w:sz w:val="20"/>
        </w:rPr>
        <w:fldChar w:fldCharType="end"/>
      </w:r>
    </w:p>
    <w:p w:rsidR="007D7ADE" w:rsidRDefault="007D7ADE">
      <w:pPr>
        <w:pStyle w:val="TOC1"/>
        <w:tabs>
          <w:tab w:val="right" w:leader="dot" w:pos="8290"/>
        </w:tabs>
        <w:rPr>
          <w:rFonts w:eastAsiaTheme="minorEastAsia"/>
          <w:noProof/>
          <w:sz w:val="24"/>
          <w:lang w:val="en-US"/>
        </w:rPr>
      </w:pPr>
      <w:r>
        <w:rPr>
          <w:noProof/>
        </w:rPr>
        <w:t>Progress towards project-level objectives</w:t>
      </w:r>
      <w:r>
        <w:rPr>
          <w:noProof/>
        </w:rPr>
        <w:tab/>
      </w:r>
      <w:r>
        <w:rPr>
          <w:noProof/>
        </w:rPr>
        <w:fldChar w:fldCharType="begin"/>
      </w:r>
      <w:r>
        <w:rPr>
          <w:noProof/>
        </w:rPr>
        <w:instrText xml:space="preserve"> PAGEREF _Toc315694463 \h </w:instrText>
      </w:r>
      <w:r>
        <w:rPr>
          <w:noProof/>
        </w:rPr>
      </w:r>
      <w:r>
        <w:rPr>
          <w:noProof/>
        </w:rPr>
        <w:fldChar w:fldCharType="separate"/>
      </w:r>
      <w:r>
        <w:rPr>
          <w:noProof/>
        </w:rPr>
        <w:t>8</w:t>
      </w:r>
      <w:r>
        <w:rPr>
          <w:noProof/>
        </w:rPr>
        <w:fldChar w:fldCharType="end"/>
      </w:r>
    </w:p>
    <w:p w:rsidR="007D7ADE" w:rsidRDefault="007D7ADE">
      <w:pPr>
        <w:pStyle w:val="TOC1"/>
        <w:tabs>
          <w:tab w:val="right" w:leader="dot" w:pos="8290"/>
        </w:tabs>
        <w:rPr>
          <w:rFonts w:eastAsiaTheme="minorEastAsia"/>
          <w:noProof/>
          <w:sz w:val="24"/>
          <w:lang w:val="en-US"/>
        </w:rPr>
      </w:pPr>
      <w:r>
        <w:rPr>
          <w:noProof/>
        </w:rPr>
        <w:t>Progress towards program outcomes</w:t>
      </w:r>
      <w:r>
        <w:rPr>
          <w:noProof/>
        </w:rPr>
        <w:tab/>
      </w:r>
      <w:r>
        <w:rPr>
          <w:noProof/>
        </w:rPr>
        <w:fldChar w:fldCharType="begin"/>
      </w:r>
      <w:r>
        <w:rPr>
          <w:noProof/>
        </w:rPr>
        <w:instrText xml:space="preserve"> PAGEREF _Toc315694464 \h </w:instrText>
      </w:r>
      <w:r>
        <w:rPr>
          <w:noProof/>
        </w:rPr>
      </w:r>
      <w:r>
        <w:rPr>
          <w:noProof/>
        </w:rPr>
        <w:fldChar w:fldCharType="separate"/>
      </w:r>
      <w:r>
        <w:rPr>
          <w:noProof/>
        </w:rPr>
        <w:t>8</w:t>
      </w:r>
      <w:r>
        <w:rPr>
          <w:noProof/>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Skills, tools and capacity building</w:t>
      </w:r>
      <w:r w:rsidRPr="007D7ADE">
        <w:rPr>
          <w:noProof/>
          <w:sz w:val="20"/>
        </w:rPr>
        <w:tab/>
      </w:r>
      <w:r w:rsidRPr="007D7ADE">
        <w:rPr>
          <w:noProof/>
          <w:sz w:val="20"/>
        </w:rPr>
        <w:fldChar w:fldCharType="begin"/>
      </w:r>
      <w:r w:rsidRPr="007D7ADE">
        <w:rPr>
          <w:noProof/>
          <w:sz w:val="20"/>
        </w:rPr>
        <w:instrText xml:space="preserve"> PAGEREF _Toc315694465 \h </w:instrText>
      </w:r>
      <w:r w:rsidRPr="007D7ADE">
        <w:rPr>
          <w:noProof/>
          <w:sz w:val="20"/>
        </w:rPr>
      </w:r>
      <w:r w:rsidRPr="007D7ADE">
        <w:rPr>
          <w:noProof/>
          <w:sz w:val="20"/>
        </w:rPr>
        <w:fldChar w:fldCharType="separate"/>
      </w:r>
      <w:r w:rsidRPr="007D7ADE">
        <w:rPr>
          <w:noProof/>
          <w:sz w:val="20"/>
        </w:rPr>
        <w:t>9</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Policy planning and enabling</w:t>
      </w:r>
      <w:r w:rsidRPr="007D7ADE">
        <w:rPr>
          <w:noProof/>
          <w:sz w:val="20"/>
        </w:rPr>
        <w:tab/>
      </w:r>
      <w:r w:rsidRPr="007D7ADE">
        <w:rPr>
          <w:noProof/>
          <w:sz w:val="20"/>
        </w:rPr>
        <w:fldChar w:fldCharType="begin"/>
      </w:r>
      <w:r w:rsidRPr="007D7ADE">
        <w:rPr>
          <w:noProof/>
          <w:sz w:val="20"/>
        </w:rPr>
        <w:instrText xml:space="preserve"> PAGEREF _Toc315694466 \h </w:instrText>
      </w:r>
      <w:r w:rsidRPr="007D7ADE">
        <w:rPr>
          <w:noProof/>
          <w:sz w:val="20"/>
        </w:rPr>
      </w:r>
      <w:r w:rsidRPr="007D7ADE">
        <w:rPr>
          <w:noProof/>
          <w:sz w:val="20"/>
        </w:rPr>
        <w:fldChar w:fldCharType="separate"/>
      </w:r>
      <w:r w:rsidRPr="007D7ADE">
        <w:rPr>
          <w:noProof/>
          <w:sz w:val="20"/>
        </w:rPr>
        <w:t>17</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Adoption, implementation and scale out</w:t>
      </w:r>
      <w:r w:rsidRPr="007D7ADE">
        <w:rPr>
          <w:noProof/>
          <w:sz w:val="20"/>
        </w:rPr>
        <w:tab/>
      </w:r>
      <w:r w:rsidRPr="007D7ADE">
        <w:rPr>
          <w:noProof/>
          <w:sz w:val="20"/>
        </w:rPr>
        <w:fldChar w:fldCharType="begin"/>
      </w:r>
      <w:r w:rsidRPr="007D7ADE">
        <w:rPr>
          <w:noProof/>
          <w:sz w:val="20"/>
        </w:rPr>
        <w:instrText xml:space="preserve"> PAGEREF _Toc315694467 \h </w:instrText>
      </w:r>
      <w:r w:rsidRPr="007D7ADE">
        <w:rPr>
          <w:noProof/>
          <w:sz w:val="20"/>
        </w:rPr>
      </w:r>
      <w:r w:rsidRPr="007D7ADE">
        <w:rPr>
          <w:noProof/>
          <w:sz w:val="20"/>
        </w:rPr>
        <w:fldChar w:fldCharType="separate"/>
      </w:r>
      <w:r w:rsidRPr="007D7ADE">
        <w:rPr>
          <w:noProof/>
          <w:sz w:val="20"/>
        </w:rPr>
        <w:t>19</w:t>
      </w:r>
      <w:r w:rsidRPr="007D7ADE">
        <w:rPr>
          <w:noProof/>
          <w:sz w:val="20"/>
        </w:rPr>
        <w:fldChar w:fldCharType="end"/>
      </w:r>
    </w:p>
    <w:p w:rsidR="007D7ADE" w:rsidRDefault="007D7ADE">
      <w:pPr>
        <w:pStyle w:val="TOC1"/>
        <w:tabs>
          <w:tab w:val="right" w:leader="dot" w:pos="8290"/>
        </w:tabs>
        <w:rPr>
          <w:rFonts w:eastAsiaTheme="minorEastAsia"/>
          <w:noProof/>
          <w:sz w:val="24"/>
          <w:lang w:val="en-US"/>
        </w:rPr>
      </w:pPr>
      <w:r>
        <w:rPr>
          <w:noProof/>
        </w:rPr>
        <w:t>Relevance to partners and Australian Government priorities</w:t>
      </w:r>
      <w:r>
        <w:rPr>
          <w:noProof/>
        </w:rPr>
        <w:tab/>
      </w:r>
      <w:r>
        <w:rPr>
          <w:noProof/>
        </w:rPr>
        <w:fldChar w:fldCharType="begin"/>
      </w:r>
      <w:r>
        <w:rPr>
          <w:noProof/>
        </w:rPr>
        <w:instrText xml:space="preserve"> PAGEREF _Toc315694468 \h </w:instrText>
      </w:r>
      <w:r>
        <w:rPr>
          <w:noProof/>
        </w:rPr>
      </w:r>
      <w:r>
        <w:rPr>
          <w:noProof/>
        </w:rPr>
        <w:fldChar w:fldCharType="separate"/>
      </w:r>
      <w:r>
        <w:rPr>
          <w:noProof/>
        </w:rPr>
        <w:t>23</w:t>
      </w:r>
      <w:r>
        <w:rPr>
          <w:noProof/>
        </w:rPr>
        <w:fldChar w:fldCharType="end"/>
      </w:r>
    </w:p>
    <w:p w:rsidR="007D7ADE" w:rsidRDefault="007D7ADE">
      <w:pPr>
        <w:pStyle w:val="TOC1"/>
        <w:tabs>
          <w:tab w:val="right" w:leader="dot" w:pos="8290"/>
        </w:tabs>
        <w:rPr>
          <w:rFonts w:eastAsiaTheme="minorEastAsia"/>
          <w:noProof/>
          <w:sz w:val="24"/>
          <w:lang w:val="en-US"/>
        </w:rPr>
      </w:pPr>
      <w:r>
        <w:rPr>
          <w:noProof/>
        </w:rPr>
        <w:t>Effectiveness of approaches</w:t>
      </w:r>
      <w:r>
        <w:rPr>
          <w:noProof/>
        </w:rPr>
        <w:tab/>
      </w:r>
      <w:r>
        <w:rPr>
          <w:noProof/>
        </w:rPr>
        <w:fldChar w:fldCharType="begin"/>
      </w:r>
      <w:r>
        <w:rPr>
          <w:noProof/>
        </w:rPr>
        <w:instrText xml:space="preserve"> PAGEREF _Toc315694469 \h </w:instrText>
      </w:r>
      <w:r>
        <w:rPr>
          <w:noProof/>
        </w:rPr>
      </w:r>
      <w:r>
        <w:rPr>
          <w:noProof/>
        </w:rPr>
        <w:fldChar w:fldCharType="separate"/>
      </w:r>
      <w:r>
        <w:rPr>
          <w:noProof/>
        </w:rPr>
        <w:t>24</w:t>
      </w:r>
      <w:r>
        <w:rPr>
          <w:noProof/>
        </w:rPr>
        <w:fldChar w:fldCharType="end"/>
      </w:r>
    </w:p>
    <w:p w:rsidR="007D7ADE" w:rsidRDefault="007D7ADE">
      <w:pPr>
        <w:pStyle w:val="TOC1"/>
        <w:tabs>
          <w:tab w:val="right" w:leader="dot" w:pos="8290"/>
        </w:tabs>
        <w:rPr>
          <w:rFonts w:eastAsiaTheme="minorEastAsia"/>
          <w:noProof/>
          <w:sz w:val="24"/>
          <w:lang w:val="en-US"/>
        </w:rPr>
      </w:pPr>
      <w:r>
        <w:rPr>
          <w:noProof/>
        </w:rPr>
        <w:t>Efficiency of approaches</w:t>
      </w:r>
      <w:r>
        <w:rPr>
          <w:noProof/>
        </w:rPr>
        <w:tab/>
      </w:r>
      <w:r>
        <w:rPr>
          <w:noProof/>
        </w:rPr>
        <w:fldChar w:fldCharType="begin"/>
      </w:r>
      <w:r>
        <w:rPr>
          <w:noProof/>
        </w:rPr>
        <w:instrText xml:space="preserve"> PAGEREF _Toc315694470 \h </w:instrText>
      </w:r>
      <w:r>
        <w:rPr>
          <w:noProof/>
        </w:rPr>
      </w:r>
      <w:r>
        <w:rPr>
          <w:noProof/>
        </w:rPr>
        <w:fldChar w:fldCharType="separate"/>
      </w:r>
      <w:r>
        <w:rPr>
          <w:noProof/>
        </w:rPr>
        <w:t>27</w:t>
      </w:r>
      <w:r>
        <w:rPr>
          <w:noProof/>
        </w:rPr>
        <w:fldChar w:fldCharType="end"/>
      </w:r>
    </w:p>
    <w:p w:rsidR="007D7ADE" w:rsidRDefault="007D7ADE">
      <w:pPr>
        <w:pStyle w:val="TOC1"/>
        <w:tabs>
          <w:tab w:val="right" w:leader="dot" w:pos="8290"/>
        </w:tabs>
        <w:rPr>
          <w:rFonts w:eastAsiaTheme="minorEastAsia"/>
          <w:noProof/>
          <w:sz w:val="24"/>
          <w:lang w:val="en-US"/>
        </w:rPr>
      </w:pPr>
      <w:r>
        <w:rPr>
          <w:noProof/>
        </w:rPr>
        <w:t>Inclusive development</w:t>
      </w:r>
      <w:r>
        <w:rPr>
          <w:noProof/>
        </w:rPr>
        <w:tab/>
      </w:r>
      <w:r>
        <w:rPr>
          <w:noProof/>
        </w:rPr>
        <w:fldChar w:fldCharType="begin"/>
      </w:r>
      <w:r>
        <w:rPr>
          <w:noProof/>
        </w:rPr>
        <w:instrText xml:space="preserve"> PAGEREF _Toc315694471 \h </w:instrText>
      </w:r>
      <w:r>
        <w:rPr>
          <w:noProof/>
        </w:rPr>
      </w:r>
      <w:r>
        <w:rPr>
          <w:noProof/>
        </w:rPr>
        <w:fldChar w:fldCharType="separate"/>
      </w:r>
      <w:r>
        <w:rPr>
          <w:noProof/>
        </w:rPr>
        <w:t>27</w:t>
      </w:r>
      <w:r>
        <w:rPr>
          <w:noProof/>
        </w:rPr>
        <w:fldChar w:fldCharType="end"/>
      </w:r>
    </w:p>
    <w:p w:rsidR="007D7ADE" w:rsidRDefault="007D7ADE">
      <w:pPr>
        <w:pStyle w:val="TOC1"/>
        <w:tabs>
          <w:tab w:val="right" w:leader="dot" w:pos="8290"/>
        </w:tabs>
        <w:rPr>
          <w:rFonts w:eastAsiaTheme="minorEastAsia"/>
          <w:noProof/>
          <w:sz w:val="24"/>
          <w:lang w:val="en-US"/>
        </w:rPr>
      </w:pPr>
      <w:r>
        <w:rPr>
          <w:noProof/>
        </w:rPr>
        <w:t>Safeguards</w:t>
      </w:r>
      <w:r>
        <w:rPr>
          <w:noProof/>
        </w:rPr>
        <w:tab/>
      </w:r>
      <w:r>
        <w:rPr>
          <w:noProof/>
        </w:rPr>
        <w:fldChar w:fldCharType="begin"/>
      </w:r>
      <w:r>
        <w:rPr>
          <w:noProof/>
        </w:rPr>
        <w:instrText xml:space="preserve"> PAGEREF _Toc315694472 \h </w:instrText>
      </w:r>
      <w:r>
        <w:rPr>
          <w:noProof/>
        </w:rPr>
      </w:r>
      <w:r>
        <w:rPr>
          <w:noProof/>
        </w:rPr>
        <w:fldChar w:fldCharType="separate"/>
      </w:r>
      <w:r>
        <w:rPr>
          <w:noProof/>
        </w:rPr>
        <w:t>28</w:t>
      </w:r>
      <w:r>
        <w:rPr>
          <w:noProof/>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Environment</w:t>
      </w:r>
      <w:r w:rsidRPr="007D7ADE">
        <w:rPr>
          <w:noProof/>
          <w:sz w:val="20"/>
        </w:rPr>
        <w:tab/>
      </w:r>
      <w:r w:rsidRPr="007D7ADE">
        <w:rPr>
          <w:noProof/>
          <w:sz w:val="20"/>
        </w:rPr>
        <w:fldChar w:fldCharType="begin"/>
      </w:r>
      <w:r w:rsidRPr="007D7ADE">
        <w:rPr>
          <w:noProof/>
          <w:sz w:val="20"/>
        </w:rPr>
        <w:instrText xml:space="preserve"> PAGEREF _Toc315694473 \h </w:instrText>
      </w:r>
      <w:r w:rsidRPr="007D7ADE">
        <w:rPr>
          <w:noProof/>
          <w:sz w:val="20"/>
        </w:rPr>
      </w:r>
      <w:r w:rsidRPr="007D7ADE">
        <w:rPr>
          <w:noProof/>
          <w:sz w:val="20"/>
        </w:rPr>
        <w:fldChar w:fldCharType="separate"/>
      </w:r>
      <w:r w:rsidRPr="007D7ADE">
        <w:rPr>
          <w:noProof/>
          <w:sz w:val="20"/>
        </w:rPr>
        <w:t>28</w:t>
      </w:r>
      <w:r w:rsidRPr="007D7ADE">
        <w:rPr>
          <w:noProof/>
          <w:sz w:val="20"/>
        </w:rPr>
        <w:fldChar w:fldCharType="end"/>
      </w:r>
    </w:p>
    <w:p w:rsidR="007D7ADE" w:rsidRPr="007D7ADE" w:rsidRDefault="007D7ADE">
      <w:pPr>
        <w:pStyle w:val="TOC2"/>
        <w:tabs>
          <w:tab w:val="right" w:leader="dot" w:pos="8290"/>
        </w:tabs>
        <w:rPr>
          <w:rFonts w:eastAsiaTheme="minorEastAsia"/>
          <w:noProof/>
          <w:sz w:val="20"/>
          <w:lang w:val="en-US"/>
        </w:rPr>
      </w:pPr>
      <w:r w:rsidRPr="007D7ADE">
        <w:rPr>
          <w:noProof/>
          <w:sz w:val="20"/>
        </w:rPr>
        <w:t>Social</w:t>
      </w:r>
      <w:r w:rsidRPr="007D7ADE">
        <w:rPr>
          <w:noProof/>
          <w:sz w:val="20"/>
        </w:rPr>
        <w:tab/>
      </w:r>
      <w:r w:rsidRPr="007D7ADE">
        <w:rPr>
          <w:noProof/>
          <w:sz w:val="20"/>
        </w:rPr>
        <w:fldChar w:fldCharType="begin"/>
      </w:r>
      <w:r w:rsidRPr="007D7ADE">
        <w:rPr>
          <w:noProof/>
          <w:sz w:val="20"/>
        </w:rPr>
        <w:instrText xml:space="preserve"> PAGEREF _Toc315694474 \h </w:instrText>
      </w:r>
      <w:r w:rsidRPr="007D7ADE">
        <w:rPr>
          <w:noProof/>
          <w:sz w:val="20"/>
        </w:rPr>
      </w:r>
      <w:r w:rsidRPr="007D7ADE">
        <w:rPr>
          <w:noProof/>
          <w:sz w:val="20"/>
        </w:rPr>
        <w:fldChar w:fldCharType="separate"/>
      </w:r>
      <w:r w:rsidRPr="007D7ADE">
        <w:rPr>
          <w:noProof/>
          <w:sz w:val="20"/>
        </w:rPr>
        <w:t>29</w:t>
      </w:r>
      <w:r w:rsidRPr="007D7ADE">
        <w:rPr>
          <w:noProof/>
          <w:sz w:val="20"/>
        </w:rPr>
        <w:fldChar w:fldCharType="end"/>
      </w:r>
    </w:p>
    <w:p w:rsidR="007D7ADE" w:rsidRDefault="007D7ADE">
      <w:pPr>
        <w:pStyle w:val="TOC1"/>
        <w:tabs>
          <w:tab w:val="right" w:leader="dot" w:pos="8290"/>
        </w:tabs>
        <w:rPr>
          <w:rFonts w:eastAsiaTheme="minorEastAsia"/>
          <w:noProof/>
          <w:sz w:val="24"/>
          <w:lang w:val="en-US"/>
        </w:rPr>
      </w:pPr>
      <w:r>
        <w:rPr>
          <w:noProof/>
        </w:rPr>
        <w:t>Management and governance</w:t>
      </w:r>
      <w:r>
        <w:rPr>
          <w:noProof/>
        </w:rPr>
        <w:tab/>
      </w:r>
      <w:r>
        <w:rPr>
          <w:noProof/>
        </w:rPr>
        <w:fldChar w:fldCharType="begin"/>
      </w:r>
      <w:r>
        <w:rPr>
          <w:noProof/>
        </w:rPr>
        <w:instrText xml:space="preserve"> PAGEREF _Toc315694475 \h </w:instrText>
      </w:r>
      <w:r>
        <w:rPr>
          <w:noProof/>
        </w:rPr>
      </w:r>
      <w:r>
        <w:rPr>
          <w:noProof/>
        </w:rPr>
        <w:fldChar w:fldCharType="separate"/>
      </w:r>
      <w:r>
        <w:rPr>
          <w:noProof/>
        </w:rPr>
        <w:t>29</w:t>
      </w:r>
      <w:r>
        <w:rPr>
          <w:noProof/>
        </w:rPr>
        <w:fldChar w:fldCharType="end"/>
      </w:r>
    </w:p>
    <w:p w:rsidR="007D7ADE" w:rsidRDefault="007D7ADE">
      <w:pPr>
        <w:pStyle w:val="TOC1"/>
        <w:tabs>
          <w:tab w:val="right" w:leader="dot" w:pos="8290"/>
        </w:tabs>
        <w:rPr>
          <w:rFonts w:eastAsiaTheme="minorEastAsia"/>
          <w:noProof/>
          <w:sz w:val="24"/>
          <w:lang w:val="en-US"/>
        </w:rPr>
      </w:pPr>
      <w:r>
        <w:rPr>
          <w:noProof/>
        </w:rPr>
        <w:t>Sustainability</w:t>
      </w:r>
      <w:r>
        <w:rPr>
          <w:noProof/>
        </w:rPr>
        <w:tab/>
      </w:r>
      <w:r>
        <w:rPr>
          <w:noProof/>
        </w:rPr>
        <w:fldChar w:fldCharType="begin"/>
      </w:r>
      <w:r>
        <w:rPr>
          <w:noProof/>
        </w:rPr>
        <w:instrText xml:space="preserve"> PAGEREF _Toc315694476 \h </w:instrText>
      </w:r>
      <w:r>
        <w:rPr>
          <w:noProof/>
        </w:rPr>
      </w:r>
      <w:r>
        <w:rPr>
          <w:noProof/>
        </w:rPr>
        <w:fldChar w:fldCharType="separate"/>
      </w:r>
      <w:r>
        <w:rPr>
          <w:noProof/>
        </w:rPr>
        <w:t>30</w:t>
      </w:r>
      <w:r>
        <w:rPr>
          <w:noProof/>
        </w:rPr>
        <w:fldChar w:fldCharType="end"/>
      </w:r>
    </w:p>
    <w:p w:rsidR="007D7ADE" w:rsidRDefault="007D7ADE">
      <w:pPr>
        <w:pStyle w:val="TOC1"/>
        <w:tabs>
          <w:tab w:val="right" w:leader="dot" w:pos="8290"/>
        </w:tabs>
        <w:rPr>
          <w:rFonts w:eastAsiaTheme="minorEastAsia"/>
          <w:noProof/>
          <w:sz w:val="24"/>
          <w:lang w:val="en-US"/>
        </w:rPr>
      </w:pPr>
      <w:r>
        <w:rPr>
          <w:noProof/>
        </w:rPr>
        <w:t>Lessons for future programs</w:t>
      </w:r>
      <w:r>
        <w:rPr>
          <w:noProof/>
        </w:rPr>
        <w:tab/>
      </w:r>
      <w:r>
        <w:rPr>
          <w:noProof/>
        </w:rPr>
        <w:fldChar w:fldCharType="begin"/>
      </w:r>
      <w:r>
        <w:rPr>
          <w:noProof/>
        </w:rPr>
        <w:instrText xml:space="preserve"> PAGEREF _Toc315694477 \h </w:instrText>
      </w:r>
      <w:r>
        <w:rPr>
          <w:noProof/>
        </w:rPr>
      </w:r>
      <w:r>
        <w:rPr>
          <w:noProof/>
        </w:rPr>
        <w:fldChar w:fldCharType="separate"/>
      </w:r>
      <w:r>
        <w:rPr>
          <w:noProof/>
        </w:rPr>
        <w:t>31</w:t>
      </w:r>
      <w:r>
        <w:rPr>
          <w:noProof/>
        </w:rPr>
        <w:fldChar w:fldCharType="end"/>
      </w:r>
    </w:p>
    <w:p w:rsidR="007D7ADE" w:rsidRDefault="007D7ADE">
      <w:pPr>
        <w:pStyle w:val="TOC1"/>
        <w:tabs>
          <w:tab w:val="right" w:leader="dot" w:pos="8290"/>
        </w:tabs>
        <w:rPr>
          <w:rFonts w:eastAsiaTheme="minorEastAsia"/>
          <w:noProof/>
          <w:sz w:val="24"/>
          <w:lang w:val="en-US"/>
        </w:rPr>
      </w:pPr>
      <w:r>
        <w:rPr>
          <w:noProof/>
        </w:rPr>
        <w:t>Annex 1 Detailed evaluation plan</w:t>
      </w:r>
      <w:r>
        <w:rPr>
          <w:noProof/>
        </w:rPr>
        <w:tab/>
      </w:r>
      <w:r>
        <w:rPr>
          <w:noProof/>
        </w:rPr>
        <w:fldChar w:fldCharType="begin"/>
      </w:r>
      <w:r>
        <w:rPr>
          <w:noProof/>
        </w:rPr>
        <w:instrText xml:space="preserve"> PAGEREF _Toc315694478 \h </w:instrText>
      </w:r>
      <w:r>
        <w:rPr>
          <w:noProof/>
        </w:rPr>
      </w:r>
      <w:r>
        <w:rPr>
          <w:noProof/>
        </w:rPr>
        <w:fldChar w:fldCharType="separate"/>
      </w:r>
      <w:r>
        <w:rPr>
          <w:noProof/>
        </w:rPr>
        <w:t>37</w:t>
      </w:r>
      <w:r>
        <w:rPr>
          <w:noProof/>
        </w:rPr>
        <w:fldChar w:fldCharType="end"/>
      </w:r>
    </w:p>
    <w:p w:rsidR="007D7ADE" w:rsidRDefault="007D7ADE">
      <w:pPr>
        <w:pStyle w:val="TOC1"/>
        <w:tabs>
          <w:tab w:val="right" w:leader="dot" w:pos="8290"/>
        </w:tabs>
        <w:rPr>
          <w:rFonts w:eastAsiaTheme="minorEastAsia"/>
          <w:noProof/>
          <w:sz w:val="24"/>
          <w:lang w:val="en-US"/>
        </w:rPr>
      </w:pPr>
      <w:r>
        <w:rPr>
          <w:noProof/>
        </w:rPr>
        <w:t>Annex 2 Partners and people interviewed</w:t>
      </w:r>
      <w:r>
        <w:rPr>
          <w:noProof/>
        </w:rPr>
        <w:tab/>
      </w:r>
      <w:r>
        <w:rPr>
          <w:noProof/>
        </w:rPr>
        <w:fldChar w:fldCharType="begin"/>
      </w:r>
      <w:r>
        <w:rPr>
          <w:noProof/>
        </w:rPr>
        <w:instrText xml:space="preserve"> PAGEREF _Toc315694493 \h </w:instrText>
      </w:r>
      <w:r>
        <w:rPr>
          <w:noProof/>
        </w:rPr>
      </w:r>
      <w:r>
        <w:rPr>
          <w:noProof/>
        </w:rPr>
        <w:fldChar w:fldCharType="separate"/>
      </w:r>
      <w:r>
        <w:rPr>
          <w:noProof/>
        </w:rPr>
        <w:t>38</w:t>
      </w:r>
      <w:r>
        <w:rPr>
          <w:noProof/>
        </w:rPr>
        <w:fldChar w:fldCharType="end"/>
      </w:r>
    </w:p>
    <w:p w:rsidR="00A75CC3" w:rsidRPr="008B5597" w:rsidRDefault="007D7ADE" w:rsidP="00A75CC3">
      <w:r>
        <w:lastRenderedPageBreak/>
        <w:fldChar w:fldCharType="end"/>
      </w:r>
      <w:r w:rsidR="00A75CC3">
        <w:rPr>
          <w:rFonts w:ascii="Arial" w:hAnsi="Arial"/>
          <w:b/>
          <w:sz w:val="28"/>
        </w:rPr>
        <w:t>Acronyms</w:t>
      </w:r>
    </w:p>
    <w:p w:rsidR="00533DCC" w:rsidRDefault="00533DCC" w:rsidP="00A75CC3">
      <w:r>
        <w:t>AfP</w:t>
      </w:r>
      <w:r>
        <w:tab/>
      </w:r>
      <w:r>
        <w:tab/>
        <w:t>Act for Peace</w:t>
      </w:r>
    </w:p>
    <w:p w:rsidR="001B4D9F" w:rsidRDefault="001B4D9F" w:rsidP="00A75CC3">
      <w:r>
        <w:t>CAP</w:t>
      </w:r>
      <w:r>
        <w:tab/>
      </w:r>
      <w:r>
        <w:tab/>
        <w:t>Community Action Planning</w:t>
      </w:r>
    </w:p>
    <w:p w:rsidR="001B4D9F" w:rsidRDefault="001B4D9F" w:rsidP="00A75CC3">
      <w:r w:rsidRPr="0088461F">
        <w:t>C</w:t>
      </w:r>
      <w:r w:rsidR="00133D2D" w:rsidRPr="0088461F">
        <w:t>B</w:t>
      </w:r>
      <w:r w:rsidRPr="0088461F">
        <w:t>A</w:t>
      </w:r>
      <w:r w:rsidRPr="0088461F">
        <w:tab/>
      </w:r>
      <w:r w:rsidRPr="0088461F">
        <w:tab/>
        <w:t>Community</w:t>
      </w:r>
      <w:r w:rsidR="005373CF">
        <w:t>-b</w:t>
      </w:r>
      <w:r w:rsidRPr="0088461F">
        <w:t xml:space="preserve">ased </w:t>
      </w:r>
      <w:r w:rsidR="005373CF">
        <w:t>a</w:t>
      </w:r>
      <w:r w:rsidRPr="0088461F">
        <w:t>daptation</w:t>
      </w:r>
    </w:p>
    <w:p w:rsidR="00537C5A" w:rsidRDefault="0088461F" w:rsidP="0000689E">
      <w:r>
        <w:t xml:space="preserve">CBCCAG </w:t>
      </w:r>
      <w:r>
        <w:tab/>
      </w:r>
      <w:r w:rsidRPr="001C1A39">
        <w:t>Community</w:t>
      </w:r>
      <w:r>
        <w:t>-b</w:t>
      </w:r>
      <w:r w:rsidRPr="001C1A39">
        <w:t>ased Climate Change Action Gra</w:t>
      </w:r>
      <w:r>
        <w:t>nts</w:t>
      </w:r>
    </w:p>
    <w:p w:rsidR="00062EB2" w:rsidRDefault="00062EB2" w:rsidP="0000689E">
      <w:r>
        <w:t>CCA</w:t>
      </w:r>
      <w:r>
        <w:tab/>
      </w:r>
      <w:r>
        <w:tab/>
        <w:t>Climate change adaptation</w:t>
      </w:r>
    </w:p>
    <w:p w:rsidR="0000689E" w:rsidRDefault="0000689E" w:rsidP="0000689E">
      <w:r>
        <w:t>COP</w:t>
      </w:r>
      <w:r>
        <w:tab/>
      </w:r>
      <w:r w:rsidR="00537C5A">
        <w:tab/>
      </w:r>
      <w:r>
        <w:t>Conference of the parties</w:t>
      </w:r>
    </w:p>
    <w:p w:rsidR="001A3FDF" w:rsidRDefault="001A3FDF" w:rsidP="001A3FDF">
      <w:r>
        <w:t>CSO</w:t>
      </w:r>
      <w:r>
        <w:tab/>
      </w:r>
      <w:r>
        <w:tab/>
        <w:t xml:space="preserve">Civil </w:t>
      </w:r>
      <w:r w:rsidR="00133D2D">
        <w:t>s</w:t>
      </w:r>
      <w:r>
        <w:t xml:space="preserve">ociety </w:t>
      </w:r>
      <w:r w:rsidR="00133D2D">
        <w:t>o</w:t>
      </w:r>
      <w:r>
        <w:t>rganisation</w:t>
      </w:r>
    </w:p>
    <w:p w:rsidR="005F153F" w:rsidRDefault="005F153F" w:rsidP="005F153F">
      <w:r>
        <w:t>CVCA</w:t>
      </w:r>
      <w:r>
        <w:tab/>
      </w:r>
      <w:r>
        <w:tab/>
        <w:t xml:space="preserve">Climate Vulnerability and Capacity Analysis </w:t>
      </w:r>
    </w:p>
    <w:p w:rsidR="007B0575" w:rsidRDefault="00A871C0" w:rsidP="007B0575">
      <w:r>
        <w:t>DRR</w:t>
      </w:r>
      <w:r>
        <w:tab/>
      </w:r>
      <w:r>
        <w:tab/>
        <w:t xml:space="preserve">Disaster </w:t>
      </w:r>
      <w:r w:rsidR="001F3011">
        <w:t>r</w:t>
      </w:r>
      <w:r>
        <w:t xml:space="preserve">isk </w:t>
      </w:r>
      <w:r w:rsidR="001F3011">
        <w:t>r</w:t>
      </w:r>
      <w:r>
        <w:t>eduction</w:t>
      </w:r>
    </w:p>
    <w:p w:rsidR="007F6E55" w:rsidRDefault="001B4D9F" w:rsidP="00A75CC3">
      <w:r>
        <w:t>DRRM</w:t>
      </w:r>
      <w:r>
        <w:tab/>
      </w:r>
      <w:r>
        <w:tab/>
        <w:t>Disaster Risk Reduction and Management</w:t>
      </w:r>
    </w:p>
    <w:p w:rsidR="00A04ADF" w:rsidRDefault="00A04ADF" w:rsidP="00A04ADF">
      <w:r>
        <w:t>MEL</w:t>
      </w:r>
      <w:r>
        <w:tab/>
      </w:r>
      <w:r>
        <w:tab/>
        <w:t>Monitoring, evaluation and learning</w:t>
      </w:r>
    </w:p>
    <w:p w:rsidR="00533DCC" w:rsidRDefault="001A3FDF" w:rsidP="00A75CC3">
      <w:r>
        <w:t>NAPA</w:t>
      </w:r>
      <w:r>
        <w:tab/>
      </w:r>
      <w:r>
        <w:tab/>
      </w:r>
      <w:r w:rsidRPr="00EB7A5E">
        <w:t>National Adaptation Programs for Action</w:t>
      </w:r>
    </w:p>
    <w:p w:rsidR="0055196C" w:rsidRDefault="00533DCC" w:rsidP="00A75CC3">
      <w:r>
        <w:t xml:space="preserve">NGO </w:t>
      </w:r>
      <w:r>
        <w:tab/>
      </w:r>
      <w:r>
        <w:tab/>
        <w:t>N</w:t>
      </w:r>
      <w:r w:rsidRPr="001C1A39">
        <w:t>on-government organisation</w:t>
      </w:r>
    </w:p>
    <w:p w:rsidR="001B5448" w:rsidRDefault="001B5448" w:rsidP="001B5448">
      <w:r>
        <w:t>PCVA</w:t>
      </w:r>
      <w:r>
        <w:tab/>
      </w:r>
      <w:r>
        <w:tab/>
        <w:t>Participatory Capacity and Vulnerability Assessment</w:t>
      </w:r>
    </w:p>
    <w:p w:rsidR="006A0D1D" w:rsidRDefault="001B5448" w:rsidP="001B5448">
      <w:r>
        <w:t>PNG</w:t>
      </w:r>
      <w:r>
        <w:tab/>
      </w:r>
      <w:r>
        <w:tab/>
        <w:t>Papua New Guinea</w:t>
      </w:r>
    </w:p>
    <w:p w:rsidR="001B5448" w:rsidRDefault="006A0D1D" w:rsidP="001B5448">
      <w:r>
        <w:t>SALT</w:t>
      </w:r>
      <w:r>
        <w:tab/>
      </w:r>
      <w:r>
        <w:tab/>
        <w:t>Sloping Agricultural Land Technology</w:t>
      </w:r>
    </w:p>
    <w:p w:rsidR="00533DCC" w:rsidRDefault="0055196C" w:rsidP="00A75CC3">
      <w:r>
        <w:t xml:space="preserve">SCI </w:t>
      </w:r>
      <w:r>
        <w:tab/>
      </w:r>
      <w:r>
        <w:tab/>
        <w:t>Save the Children International</w:t>
      </w:r>
    </w:p>
    <w:p w:rsidR="00533DCC" w:rsidRDefault="00533DCC" w:rsidP="00A75CC3">
      <w:r>
        <w:t>SPREP</w:t>
      </w:r>
      <w:r>
        <w:tab/>
      </w:r>
      <w:r>
        <w:tab/>
      </w:r>
      <w:r w:rsidRPr="00533DCC">
        <w:t xml:space="preserve">Secretariat of the Pacific </w:t>
      </w:r>
      <w:r>
        <w:t>Regional Environment Programme</w:t>
      </w:r>
    </w:p>
    <w:p w:rsidR="0000689E" w:rsidRDefault="00533DCC" w:rsidP="00A75CC3">
      <w:r>
        <w:t>TNC</w:t>
      </w:r>
      <w:r>
        <w:tab/>
      </w:r>
      <w:r>
        <w:tab/>
        <w:t>The Nature Conservancy</w:t>
      </w:r>
    </w:p>
    <w:p w:rsidR="0000689E" w:rsidRDefault="0000689E" w:rsidP="00A75CC3">
      <w:r>
        <w:t>UNFCCC</w:t>
      </w:r>
      <w:r>
        <w:tab/>
      </w:r>
      <w:r w:rsidRPr="00EB7A5E">
        <w:t>United Nations Framework</w:t>
      </w:r>
      <w:r>
        <w:t xml:space="preserve"> Commission on Climate Change </w:t>
      </w:r>
    </w:p>
    <w:p w:rsidR="006121F3" w:rsidRDefault="007B0575" w:rsidP="00A75CC3">
      <w:r>
        <w:t>VCAN</w:t>
      </w:r>
      <w:r>
        <w:tab/>
      </w:r>
      <w:r>
        <w:tab/>
        <w:t>Vanuatu Climate Action Network</w:t>
      </w:r>
    </w:p>
    <w:p w:rsidR="00885C62" w:rsidRDefault="006121F3" w:rsidP="00A75CC3">
      <w:r>
        <w:t>WASH</w:t>
      </w:r>
      <w:r>
        <w:tab/>
      </w:r>
      <w:r>
        <w:tab/>
        <w:t>Water, sanitation and hygiene</w:t>
      </w:r>
    </w:p>
    <w:p w:rsidR="006904B2" w:rsidRDefault="006904B2" w:rsidP="00A75CC3">
      <w:pPr>
        <w:sectPr w:rsidR="006904B2">
          <w:headerReference w:type="default" r:id="rId17"/>
          <w:pgSz w:w="11900" w:h="16840"/>
          <w:pgMar w:top="1440" w:right="1800" w:bottom="1440" w:left="1800" w:header="708" w:footer="708" w:gutter="0"/>
          <w:cols w:space="708"/>
        </w:sectPr>
      </w:pPr>
    </w:p>
    <w:p w:rsidR="00A75CC3" w:rsidRDefault="00A75CC3" w:rsidP="00A75CC3">
      <w:pPr>
        <w:pStyle w:val="Heading1"/>
      </w:pPr>
      <w:bookmarkStart w:id="2" w:name="_Toc315694443"/>
      <w:r>
        <w:t>Snapshot</w:t>
      </w:r>
      <w:bookmarkEnd w:id="2"/>
    </w:p>
    <w:tbl>
      <w:tblPr>
        <w:tblStyle w:val="TableGrid"/>
        <w:tblW w:w="0" w:type="auto"/>
        <w:tblLook w:val="00A0" w:firstRow="1" w:lastRow="0" w:firstColumn="1" w:lastColumn="0" w:noHBand="0" w:noVBand="0"/>
      </w:tblPr>
      <w:tblGrid>
        <w:gridCol w:w="1809"/>
        <w:gridCol w:w="6707"/>
      </w:tblGrid>
      <w:tr w:rsidR="00A75CC3">
        <w:tc>
          <w:tcPr>
            <w:tcW w:w="1809" w:type="dxa"/>
            <w:shd w:val="solid" w:color="A2B9E1" w:fill="B4C0D2"/>
          </w:tcPr>
          <w:p w:rsidR="00A75CC3" w:rsidRPr="001E3DC4" w:rsidRDefault="00A75CC3" w:rsidP="006F2DF6">
            <w:pPr>
              <w:spacing w:before="120"/>
              <w:rPr>
                <w:b/>
              </w:rPr>
            </w:pPr>
            <w:r>
              <w:rPr>
                <w:b/>
              </w:rPr>
              <w:t>Program</w:t>
            </w:r>
            <w:r w:rsidRPr="001E3DC4">
              <w:rPr>
                <w:b/>
              </w:rPr>
              <w:tab/>
            </w:r>
          </w:p>
          <w:p w:rsidR="00A75CC3" w:rsidRPr="001E3DC4" w:rsidRDefault="00A75CC3" w:rsidP="006F2DF6">
            <w:pPr>
              <w:spacing w:before="120"/>
              <w:rPr>
                <w:b/>
              </w:rPr>
            </w:pPr>
          </w:p>
        </w:tc>
        <w:tc>
          <w:tcPr>
            <w:tcW w:w="6707" w:type="dxa"/>
          </w:tcPr>
          <w:p w:rsidR="00A75CC3" w:rsidRDefault="00A75CC3" w:rsidP="006F2DF6">
            <w:pPr>
              <w:spacing w:before="120"/>
            </w:pPr>
            <w:r w:rsidRPr="001C1A39">
              <w:t xml:space="preserve">The Community-based Climate Change Action Grants </w:t>
            </w:r>
            <w:r>
              <w:t xml:space="preserve">(CBCCAG) program </w:t>
            </w:r>
            <w:r w:rsidRPr="001C1A39">
              <w:t>support</w:t>
            </w:r>
            <w:r>
              <w:t>s</w:t>
            </w:r>
            <w:r w:rsidRPr="001C1A39">
              <w:t xml:space="preserve"> community-based adaptation</w:t>
            </w:r>
            <w:r w:rsidR="00E17997">
              <w:t xml:space="preserve"> (CBA)</w:t>
            </w:r>
            <w:r w:rsidRPr="001C1A39">
              <w:t xml:space="preserve"> and mitigation activities in developing countries in partnership with non-government organisations</w:t>
            </w:r>
            <w:r w:rsidR="00C507C5">
              <w:t xml:space="preserve"> (NGOs)</w:t>
            </w:r>
            <w:r w:rsidRPr="001C1A39">
              <w:t xml:space="preserve">. </w:t>
            </w:r>
          </w:p>
        </w:tc>
      </w:tr>
      <w:tr w:rsidR="00A75CC3">
        <w:tc>
          <w:tcPr>
            <w:tcW w:w="1809" w:type="dxa"/>
            <w:shd w:val="solid" w:color="A2B9E1" w:fill="B4C0D2"/>
          </w:tcPr>
          <w:p w:rsidR="00A75CC3" w:rsidRPr="001E3DC4" w:rsidRDefault="00A75CC3" w:rsidP="006F2DF6">
            <w:pPr>
              <w:spacing w:before="120"/>
              <w:rPr>
                <w:b/>
              </w:rPr>
            </w:pPr>
            <w:r>
              <w:rPr>
                <w:b/>
              </w:rPr>
              <w:t>Lead i</w:t>
            </w:r>
            <w:r w:rsidRPr="001E3DC4">
              <w:rPr>
                <w:b/>
              </w:rPr>
              <w:t xml:space="preserve">mplementing partners </w:t>
            </w:r>
          </w:p>
        </w:tc>
        <w:tc>
          <w:tcPr>
            <w:tcW w:w="6707" w:type="dxa"/>
          </w:tcPr>
          <w:p w:rsidR="00A75CC3" w:rsidRDefault="00A75CC3" w:rsidP="006F2DF6">
            <w:pPr>
              <w:spacing w:before="120"/>
            </w:pPr>
            <w:r w:rsidRPr="001C1A39">
              <w:t xml:space="preserve">The CBCCAG </w:t>
            </w:r>
            <w:r>
              <w:t>projects were managed by several lead</w:t>
            </w:r>
            <w:r w:rsidRPr="001C1A39">
              <w:t xml:space="preserve"> </w:t>
            </w:r>
            <w:r>
              <w:t xml:space="preserve">international </w:t>
            </w:r>
            <w:r w:rsidRPr="001C1A39">
              <w:t xml:space="preserve">NGOs including Oxfam, CARE Australia, </w:t>
            </w:r>
            <w:r>
              <w:t xml:space="preserve">Save the Children International, </w:t>
            </w:r>
            <w:r w:rsidR="00533DCC">
              <w:t>Act for Peace, Live &amp;</w:t>
            </w:r>
            <w:r w:rsidRPr="001C1A39">
              <w:t xml:space="preserve"> Learn, The Nature Conservancy and Plan International</w:t>
            </w:r>
            <w:r>
              <w:t>, working with many other specialist and local partners</w:t>
            </w:r>
            <w:r w:rsidRPr="001C1A39">
              <w:t>.</w:t>
            </w:r>
          </w:p>
        </w:tc>
      </w:tr>
      <w:tr w:rsidR="00A75CC3">
        <w:tc>
          <w:tcPr>
            <w:tcW w:w="1809" w:type="dxa"/>
            <w:shd w:val="solid" w:color="A2B9E1" w:fill="B4C0D2"/>
          </w:tcPr>
          <w:p w:rsidR="00A75CC3" w:rsidRPr="001E3DC4" w:rsidRDefault="00A75CC3" w:rsidP="006F2DF6">
            <w:pPr>
              <w:spacing w:before="120"/>
              <w:rPr>
                <w:b/>
              </w:rPr>
            </w:pPr>
            <w:r>
              <w:rPr>
                <w:b/>
              </w:rPr>
              <w:t>Projects</w:t>
            </w:r>
          </w:p>
        </w:tc>
        <w:tc>
          <w:tcPr>
            <w:tcW w:w="6707" w:type="dxa"/>
          </w:tcPr>
          <w:p w:rsidR="00A75CC3" w:rsidRDefault="00A75CC3" w:rsidP="006F2DF6">
            <w:pPr>
              <w:pStyle w:val="ListParagraph"/>
              <w:numPr>
                <w:ilvl w:val="0"/>
                <w:numId w:val="2"/>
              </w:numPr>
              <w:spacing w:before="120"/>
            </w:pPr>
            <w:r w:rsidRPr="006F2DF6">
              <w:rPr>
                <w:b/>
                <w:i/>
              </w:rPr>
              <w:t>Building Resilient and Adaptive Communities and Institutions in Mindanao</w:t>
            </w:r>
            <w:r>
              <w:t xml:space="preserve"> (Oxfam </w:t>
            </w:r>
            <w:r w:rsidR="00C507C5">
              <w:t>–</w:t>
            </w:r>
            <w:r>
              <w:t xml:space="preserve"> Philippines)</w:t>
            </w:r>
          </w:p>
          <w:p w:rsidR="00A75CC3" w:rsidRDefault="00A75CC3" w:rsidP="006F2DF6">
            <w:pPr>
              <w:pStyle w:val="ListParagraph"/>
              <w:numPr>
                <w:ilvl w:val="0"/>
                <w:numId w:val="2"/>
              </w:numPr>
              <w:spacing w:before="120"/>
            </w:pPr>
            <w:r w:rsidRPr="006F2DF6">
              <w:rPr>
                <w:b/>
                <w:i/>
              </w:rPr>
              <w:t>Assisting Communities to Secure their Environment to Climate Change</w:t>
            </w:r>
            <w:r>
              <w:t xml:space="preserve"> (CARE </w:t>
            </w:r>
            <w:r w:rsidR="00C507C5">
              <w:t>–</w:t>
            </w:r>
            <w:r>
              <w:t xml:space="preserve"> Timor</w:t>
            </w:r>
            <w:r w:rsidR="00C507C5">
              <w:t>-Leste</w:t>
            </w:r>
            <w:r>
              <w:t>)</w:t>
            </w:r>
          </w:p>
          <w:p w:rsidR="00A75CC3" w:rsidRDefault="00A75CC3" w:rsidP="006F2DF6">
            <w:pPr>
              <w:pStyle w:val="ListParagraph"/>
              <w:numPr>
                <w:ilvl w:val="0"/>
                <w:numId w:val="2"/>
              </w:numPr>
              <w:spacing w:before="120"/>
            </w:pPr>
            <w:r w:rsidRPr="006F2DF6">
              <w:rPr>
                <w:b/>
                <w:i/>
              </w:rPr>
              <w:t xml:space="preserve">Addressing Food Security through Improved Agricultural Practice in Green </w:t>
            </w:r>
            <w:r w:rsidR="00F76778">
              <w:rPr>
                <w:b/>
                <w:i/>
              </w:rPr>
              <w:t>I</w:t>
            </w:r>
            <w:r w:rsidRPr="006F2DF6">
              <w:rPr>
                <w:b/>
                <w:i/>
              </w:rPr>
              <w:t>slands</w:t>
            </w:r>
            <w:r>
              <w:t xml:space="preserve"> (CARE </w:t>
            </w:r>
            <w:r w:rsidR="00C507C5">
              <w:t>–</w:t>
            </w:r>
            <w:r>
              <w:t xml:space="preserve"> Papua New Guinea)</w:t>
            </w:r>
          </w:p>
          <w:p w:rsidR="00A75CC3" w:rsidRDefault="00DB3ADA" w:rsidP="006F2DF6">
            <w:pPr>
              <w:pStyle w:val="ListParagraph"/>
              <w:numPr>
                <w:ilvl w:val="0"/>
                <w:numId w:val="2"/>
              </w:numPr>
              <w:spacing w:before="120"/>
            </w:pPr>
            <w:r>
              <w:rPr>
                <w:b/>
                <w:i/>
              </w:rPr>
              <w:t>NGO</w:t>
            </w:r>
            <w:r w:rsidR="00A75CC3" w:rsidRPr="006F2DF6">
              <w:rPr>
                <w:b/>
                <w:i/>
              </w:rPr>
              <w:t xml:space="preserve"> Climate Change Adaptation Program</w:t>
            </w:r>
            <w:r w:rsidR="00A75CC3">
              <w:t xml:space="preserve"> (Oxfam </w:t>
            </w:r>
            <w:r w:rsidR="00C507C5">
              <w:t>–</w:t>
            </w:r>
            <w:r w:rsidR="00A75CC3">
              <w:t xml:space="preserve"> Vanuatu)</w:t>
            </w:r>
          </w:p>
          <w:p w:rsidR="00A75CC3" w:rsidRDefault="00A75CC3" w:rsidP="006F2DF6">
            <w:pPr>
              <w:pStyle w:val="ListParagraph"/>
              <w:numPr>
                <w:ilvl w:val="0"/>
                <w:numId w:val="2"/>
              </w:numPr>
              <w:spacing w:before="120"/>
            </w:pPr>
            <w:r w:rsidRPr="006F2DF6">
              <w:rPr>
                <w:b/>
                <w:i/>
              </w:rPr>
              <w:t>Pacific Island Communities Climate Risk Reduction</w:t>
            </w:r>
            <w:r>
              <w:t xml:space="preserve"> (Act for Peace </w:t>
            </w:r>
            <w:r w:rsidR="00C507C5">
              <w:t>–</w:t>
            </w:r>
            <w:r>
              <w:t xml:space="preserve"> Pacific Region)</w:t>
            </w:r>
          </w:p>
          <w:p w:rsidR="00A75CC3" w:rsidRDefault="00A75CC3" w:rsidP="006F2DF6">
            <w:pPr>
              <w:pStyle w:val="ListParagraph"/>
              <w:numPr>
                <w:ilvl w:val="0"/>
                <w:numId w:val="2"/>
              </w:numPr>
              <w:spacing w:before="120"/>
            </w:pPr>
            <w:r w:rsidRPr="006F2DF6">
              <w:rPr>
                <w:b/>
                <w:i/>
              </w:rPr>
              <w:t>Child-centred Climate Change Adaptation</w:t>
            </w:r>
            <w:r>
              <w:t xml:space="preserve"> (Plan International </w:t>
            </w:r>
            <w:r w:rsidR="00C507C5">
              <w:t>–</w:t>
            </w:r>
            <w:r>
              <w:t xml:space="preserve"> Philippines)</w:t>
            </w:r>
          </w:p>
          <w:p w:rsidR="00A75CC3" w:rsidRDefault="00A75CC3" w:rsidP="006F2DF6">
            <w:pPr>
              <w:pStyle w:val="ListParagraph"/>
              <w:numPr>
                <w:ilvl w:val="0"/>
                <w:numId w:val="2"/>
              </w:numPr>
              <w:spacing w:before="120"/>
            </w:pPr>
            <w:r w:rsidRPr="006F2DF6">
              <w:rPr>
                <w:b/>
                <w:i/>
              </w:rPr>
              <w:t xml:space="preserve">Building </w:t>
            </w:r>
            <w:r w:rsidR="00526952">
              <w:rPr>
                <w:b/>
                <w:i/>
              </w:rPr>
              <w:t>R</w:t>
            </w:r>
            <w:r w:rsidRPr="006F2DF6">
              <w:rPr>
                <w:b/>
                <w:i/>
              </w:rPr>
              <w:t xml:space="preserve">esilience of </w:t>
            </w:r>
            <w:r w:rsidR="00526952">
              <w:rPr>
                <w:b/>
                <w:i/>
              </w:rPr>
              <w:t>C</w:t>
            </w:r>
            <w:r w:rsidRPr="006F2DF6">
              <w:rPr>
                <w:b/>
                <w:i/>
              </w:rPr>
              <w:t xml:space="preserve">ommunities and their </w:t>
            </w:r>
            <w:r w:rsidR="00526952">
              <w:rPr>
                <w:b/>
                <w:i/>
              </w:rPr>
              <w:t>E</w:t>
            </w:r>
            <w:r w:rsidRPr="006F2DF6">
              <w:rPr>
                <w:b/>
                <w:i/>
              </w:rPr>
              <w:t xml:space="preserve">cosystems to the </w:t>
            </w:r>
            <w:r w:rsidR="00526952">
              <w:rPr>
                <w:b/>
                <w:i/>
              </w:rPr>
              <w:t>I</w:t>
            </w:r>
            <w:r w:rsidRPr="006F2DF6">
              <w:rPr>
                <w:b/>
                <w:i/>
              </w:rPr>
              <w:t xml:space="preserve">mpacts of </w:t>
            </w:r>
            <w:r w:rsidR="00526952">
              <w:rPr>
                <w:b/>
                <w:i/>
              </w:rPr>
              <w:t>C</w:t>
            </w:r>
            <w:r w:rsidRPr="006F2DF6">
              <w:rPr>
                <w:b/>
                <w:i/>
              </w:rPr>
              <w:t xml:space="preserve">limate </w:t>
            </w:r>
            <w:r w:rsidR="00526952">
              <w:rPr>
                <w:b/>
                <w:i/>
              </w:rPr>
              <w:t>C</w:t>
            </w:r>
            <w:r w:rsidRPr="006F2DF6">
              <w:rPr>
                <w:b/>
                <w:i/>
              </w:rPr>
              <w:t>hange</w:t>
            </w:r>
            <w:r>
              <w:t xml:space="preserve"> (The Nature Conservancy </w:t>
            </w:r>
            <w:r w:rsidR="00526952">
              <w:t>–</w:t>
            </w:r>
            <w:r>
              <w:t xml:space="preserve"> Pacific Region)</w:t>
            </w:r>
          </w:p>
          <w:p w:rsidR="00A75CC3" w:rsidRDefault="00A75CC3" w:rsidP="006F2DF6">
            <w:pPr>
              <w:pStyle w:val="ListParagraph"/>
              <w:numPr>
                <w:ilvl w:val="0"/>
                <w:numId w:val="2"/>
              </w:numPr>
              <w:spacing w:before="120"/>
            </w:pPr>
            <w:r w:rsidRPr="006F2DF6">
              <w:rPr>
                <w:b/>
                <w:i/>
              </w:rPr>
              <w:t>Protection of Food Security through Adaptation to Climate Change</w:t>
            </w:r>
            <w:r w:rsidR="00533DCC">
              <w:t xml:space="preserve"> (Live &amp;</w:t>
            </w:r>
            <w:r>
              <w:t xml:space="preserve"> Learn </w:t>
            </w:r>
            <w:r w:rsidR="00526952">
              <w:t>–</w:t>
            </w:r>
            <w:r>
              <w:t xml:space="preserve"> Pacific Region)</w:t>
            </w:r>
          </w:p>
          <w:p w:rsidR="00A75CC3" w:rsidRDefault="00A75CC3" w:rsidP="006F2DF6">
            <w:pPr>
              <w:pStyle w:val="ListParagraph"/>
              <w:numPr>
                <w:ilvl w:val="0"/>
                <w:numId w:val="2"/>
              </w:numPr>
              <w:spacing w:before="120"/>
            </w:pPr>
            <w:r w:rsidRPr="006F2DF6">
              <w:rPr>
                <w:b/>
                <w:i/>
              </w:rPr>
              <w:t xml:space="preserve">Improving </w:t>
            </w:r>
            <w:r w:rsidR="00526952">
              <w:rPr>
                <w:b/>
                <w:i/>
              </w:rPr>
              <w:t>L</w:t>
            </w:r>
            <w:r w:rsidRPr="006F2DF6">
              <w:rPr>
                <w:b/>
                <w:i/>
              </w:rPr>
              <w:t xml:space="preserve">and and </w:t>
            </w:r>
            <w:r w:rsidR="00526952">
              <w:rPr>
                <w:b/>
                <w:i/>
              </w:rPr>
              <w:t>W</w:t>
            </w:r>
            <w:r w:rsidRPr="006F2DF6">
              <w:rPr>
                <w:b/>
                <w:i/>
              </w:rPr>
              <w:t xml:space="preserve">ater </w:t>
            </w:r>
            <w:r w:rsidR="00526952">
              <w:rPr>
                <w:b/>
                <w:i/>
              </w:rPr>
              <w:t>M</w:t>
            </w:r>
            <w:r w:rsidRPr="006F2DF6">
              <w:rPr>
                <w:b/>
                <w:i/>
              </w:rPr>
              <w:t xml:space="preserve">anagement to </w:t>
            </w:r>
            <w:r w:rsidR="00526952">
              <w:rPr>
                <w:b/>
                <w:i/>
              </w:rPr>
              <w:t>R</w:t>
            </w:r>
            <w:r w:rsidRPr="006F2DF6">
              <w:rPr>
                <w:b/>
                <w:i/>
              </w:rPr>
              <w:t xml:space="preserve">educe </w:t>
            </w:r>
            <w:r w:rsidR="00526952">
              <w:rPr>
                <w:b/>
                <w:i/>
              </w:rPr>
              <w:t>I</w:t>
            </w:r>
            <w:r w:rsidRPr="006F2DF6">
              <w:rPr>
                <w:b/>
                <w:i/>
              </w:rPr>
              <w:t xml:space="preserve">mpacts of </w:t>
            </w:r>
            <w:r w:rsidR="00526952">
              <w:rPr>
                <w:b/>
                <w:i/>
              </w:rPr>
              <w:t>C</w:t>
            </w:r>
            <w:r w:rsidRPr="006F2DF6">
              <w:rPr>
                <w:b/>
                <w:i/>
              </w:rPr>
              <w:t xml:space="preserve">limate </w:t>
            </w:r>
            <w:r w:rsidR="00526952">
              <w:rPr>
                <w:b/>
                <w:i/>
              </w:rPr>
              <w:t>C</w:t>
            </w:r>
            <w:r w:rsidRPr="006F2DF6">
              <w:rPr>
                <w:b/>
                <w:i/>
              </w:rPr>
              <w:t xml:space="preserve">hange on </w:t>
            </w:r>
            <w:r w:rsidR="00526952">
              <w:rPr>
                <w:b/>
                <w:i/>
              </w:rPr>
              <w:t>C</w:t>
            </w:r>
            <w:r w:rsidRPr="006F2DF6">
              <w:rPr>
                <w:b/>
                <w:i/>
              </w:rPr>
              <w:t>ommunities</w:t>
            </w:r>
            <w:r>
              <w:t xml:space="preserve"> (Oxfam </w:t>
            </w:r>
            <w:r w:rsidR="00526952">
              <w:t xml:space="preserve">– </w:t>
            </w:r>
            <w:r>
              <w:t>Timor</w:t>
            </w:r>
            <w:r w:rsidR="00526952">
              <w:t>-Leste</w:t>
            </w:r>
            <w:r>
              <w:t>)</w:t>
            </w:r>
          </w:p>
        </w:tc>
      </w:tr>
      <w:tr w:rsidR="00A75CC3">
        <w:tc>
          <w:tcPr>
            <w:tcW w:w="1809" w:type="dxa"/>
            <w:shd w:val="solid" w:color="A2B9E1" w:fill="B4C0D2"/>
          </w:tcPr>
          <w:p w:rsidR="00A75CC3" w:rsidRPr="001E3DC4" w:rsidRDefault="00A75CC3" w:rsidP="006F2DF6">
            <w:pPr>
              <w:spacing w:before="120"/>
              <w:rPr>
                <w:b/>
              </w:rPr>
            </w:pPr>
            <w:r w:rsidRPr="001E3DC4">
              <w:rPr>
                <w:b/>
              </w:rPr>
              <w:t xml:space="preserve">Total value and </w:t>
            </w:r>
            <w:r w:rsidR="00133D2D">
              <w:rPr>
                <w:b/>
              </w:rPr>
              <w:t>D</w:t>
            </w:r>
            <w:r w:rsidRPr="001E3DC4">
              <w:rPr>
                <w:b/>
              </w:rPr>
              <w:t>uration</w:t>
            </w:r>
          </w:p>
        </w:tc>
        <w:tc>
          <w:tcPr>
            <w:tcW w:w="6707" w:type="dxa"/>
          </w:tcPr>
          <w:p w:rsidR="00A75CC3" w:rsidRDefault="00A75CC3" w:rsidP="006F2DF6">
            <w:pPr>
              <w:spacing w:before="120"/>
            </w:pPr>
            <w:r w:rsidRPr="00666C12">
              <w:t>The total value of th</w:t>
            </w:r>
            <w:r>
              <w:t>e CBCCAG</w:t>
            </w:r>
            <w:r w:rsidR="00526952">
              <w:t xml:space="preserve"> program</w:t>
            </w:r>
            <w:r w:rsidRPr="00666C12">
              <w:t xml:space="preserve"> is $16.9 million over three years</w:t>
            </w:r>
            <w:r>
              <w:t xml:space="preserve"> from</w:t>
            </w:r>
            <w:r w:rsidRPr="00666C12">
              <w:t xml:space="preserve"> 2011</w:t>
            </w:r>
            <w:r w:rsidR="00526952">
              <w:t>–</w:t>
            </w:r>
            <w:r w:rsidRPr="00666C12">
              <w:t>12</w:t>
            </w:r>
            <w:r w:rsidR="00595A69">
              <w:t>,</w:t>
            </w:r>
            <w:r>
              <w:t xml:space="preserve"> implemented in South</w:t>
            </w:r>
            <w:r w:rsidR="00526952">
              <w:t xml:space="preserve"> E</w:t>
            </w:r>
            <w:r>
              <w:t>ast Asia and the Pacific</w:t>
            </w:r>
            <w:r w:rsidR="004D0787">
              <w:t xml:space="preserve"> Region</w:t>
            </w:r>
            <w:r w:rsidR="00DB3ADA">
              <w:t>*</w:t>
            </w:r>
            <w:r>
              <w:t>.</w:t>
            </w:r>
          </w:p>
          <w:p w:rsidR="00A75CC3" w:rsidRDefault="00A75CC3" w:rsidP="006F2DF6">
            <w:pPr>
              <w:spacing w:before="120"/>
            </w:pPr>
            <w:r w:rsidRPr="00AC2761">
              <w:t>The grants form part of Australia’s $599 million ‘fast-start’ commitment over three years (2010</w:t>
            </w:r>
            <w:r w:rsidR="00526952">
              <w:t>–</w:t>
            </w:r>
            <w:r w:rsidRPr="00AC2761">
              <w:t>11 to 2012</w:t>
            </w:r>
            <w:r w:rsidR="00526952">
              <w:t>–</w:t>
            </w:r>
            <w:r w:rsidRPr="00AC2761">
              <w:t>13) to assist developing countries to respond to climate change</w:t>
            </w:r>
            <w:r>
              <w:t>.</w:t>
            </w:r>
          </w:p>
        </w:tc>
      </w:tr>
    </w:tbl>
    <w:p w:rsidR="00A75CC3" w:rsidRPr="00004EF7" w:rsidRDefault="00DB3ADA" w:rsidP="00004EF7">
      <w:pPr>
        <w:rPr>
          <w:sz w:val="20"/>
          <w:szCs w:val="20"/>
        </w:rPr>
      </w:pPr>
      <w:r w:rsidRPr="00004EF7">
        <w:rPr>
          <w:sz w:val="20"/>
          <w:szCs w:val="20"/>
        </w:rPr>
        <w:t xml:space="preserve">* </w:t>
      </w:r>
      <w:r w:rsidRPr="007D7ADE">
        <w:rPr>
          <w:i/>
          <w:sz w:val="20"/>
          <w:szCs w:val="20"/>
        </w:rPr>
        <w:t>Some projects were provided no-cost extensions to 2015-16 following events such as major cyclones</w:t>
      </w:r>
    </w:p>
    <w:p w:rsidR="00370165" w:rsidRDefault="00370165" w:rsidP="00533DCC">
      <w:pPr>
        <w:pStyle w:val="Heading1"/>
      </w:pPr>
    </w:p>
    <w:p w:rsidR="00DB3ADA" w:rsidRPr="00DB3ADA" w:rsidRDefault="00DB3ADA" w:rsidP="00004EF7">
      <w:pPr>
        <w:sectPr w:rsidR="00DB3ADA" w:rsidRPr="00DB3ADA">
          <w:footerReference w:type="default" r:id="rId18"/>
          <w:pgSz w:w="11900" w:h="16840"/>
          <w:pgMar w:top="1440" w:right="1800" w:bottom="1440" w:left="1800" w:header="708" w:footer="708" w:gutter="0"/>
          <w:pgNumType w:start="1"/>
          <w:cols w:space="708"/>
        </w:sectPr>
      </w:pPr>
    </w:p>
    <w:p w:rsidR="00322833" w:rsidRDefault="00322833" w:rsidP="00533DCC">
      <w:pPr>
        <w:pStyle w:val="Heading1"/>
      </w:pPr>
      <w:bookmarkStart w:id="3" w:name="_Toc315694444"/>
      <w:r>
        <w:t>Summary findings and recommendations</w:t>
      </w:r>
      <w:bookmarkEnd w:id="3"/>
    </w:p>
    <w:p w:rsidR="00A253A1" w:rsidRDefault="007A3A1D" w:rsidP="00A253A1">
      <w:r>
        <w:t xml:space="preserve">Communities participating in </w:t>
      </w:r>
      <w:r w:rsidR="00670874">
        <w:t xml:space="preserve">the </w:t>
      </w:r>
      <w:r w:rsidR="00670874" w:rsidRPr="00670874">
        <w:t xml:space="preserve">Community-based Climate Change Action Grants </w:t>
      </w:r>
      <w:r w:rsidR="00670874">
        <w:t>(</w:t>
      </w:r>
      <w:r>
        <w:t>CBCCAG</w:t>
      </w:r>
      <w:r w:rsidR="00670874">
        <w:t>) program</w:t>
      </w:r>
      <w:r>
        <w:t xml:space="preserve"> regard c</w:t>
      </w:r>
      <w:r w:rsidR="00A253A1">
        <w:t>limate change in general, and adaptation in particular, as a priority</w:t>
      </w:r>
      <w:r>
        <w:t xml:space="preserve">. </w:t>
      </w:r>
      <w:r w:rsidR="005531D2">
        <w:t>This priority ranges from extreme f</w:t>
      </w:r>
      <w:r>
        <w:t>or communities</w:t>
      </w:r>
      <w:r w:rsidR="00A253A1">
        <w:t xml:space="preserve"> </w:t>
      </w:r>
      <w:r w:rsidR="005531D2">
        <w:t>living</w:t>
      </w:r>
      <w:r w:rsidR="00A253A1">
        <w:t xml:space="preserve"> in areas experiencing acute impacts (e.g. the Marshall Islands</w:t>
      </w:r>
      <w:r w:rsidR="00EF409C">
        <w:t xml:space="preserve"> and</w:t>
      </w:r>
      <w:r w:rsidR="00A253A1">
        <w:t xml:space="preserve"> Isabel and Choiseul</w:t>
      </w:r>
      <w:r w:rsidR="00DB3ADA">
        <w:t xml:space="preserve"> provinces</w:t>
      </w:r>
      <w:r w:rsidR="00A253A1">
        <w:t xml:space="preserve"> in the Solomon Islands)</w:t>
      </w:r>
      <w:r w:rsidR="005531D2">
        <w:t xml:space="preserve"> </w:t>
      </w:r>
      <w:r w:rsidR="00A253A1">
        <w:t xml:space="preserve">to very high in communities experiencing a drying trend, less reliable seasons, large storms </w:t>
      </w:r>
      <w:r w:rsidR="005531D2">
        <w:t>or</w:t>
      </w:r>
      <w:r w:rsidR="00A253A1">
        <w:t xml:space="preserve"> floods (e.g. Timor</w:t>
      </w:r>
      <w:r>
        <w:t>-</w:t>
      </w:r>
      <w:r w:rsidR="00A253A1">
        <w:t>Leste, Vanuatu, Philippines</w:t>
      </w:r>
      <w:r w:rsidR="00391B1A">
        <w:t xml:space="preserve"> and</w:t>
      </w:r>
      <w:r w:rsidR="00A253A1">
        <w:t xml:space="preserve"> Papua New Guinea). In many communities, climate change is understood in terms of food and water security, and vulnerability to extreme weather, rather than as a global climate trend. But there is little doubt about the importance of these issues </w:t>
      </w:r>
      <w:r w:rsidR="0085099D">
        <w:t xml:space="preserve">locally </w:t>
      </w:r>
      <w:r w:rsidR="00A253A1">
        <w:t>or the fact that climate change is emerging as a higher priority as awareness buil</w:t>
      </w:r>
      <w:r>
        <w:t>ds</w:t>
      </w:r>
      <w:r w:rsidR="00A253A1">
        <w:t xml:space="preserve">. </w:t>
      </w:r>
    </w:p>
    <w:p w:rsidR="00A253A1" w:rsidRDefault="00A253A1" w:rsidP="00A253A1">
      <w:r>
        <w:t>In some areas of the Pacific</w:t>
      </w:r>
      <w:r w:rsidR="004D0787">
        <w:t xml:space="preserve"> Region</w:t>
      </w:r>
      <w:r>
        <w:t>, adaptation is occurring at the extreme end, with communities needing to migrate f</w:t>
      </w:r>
      <w:r w:rsidR="002629F6">
        <w:t>rom their homes</w:t>
      </w:r>
      <w:r>
        <w:t>. In other low-lying areas, there is a window of opp</w:t>
      </w:r>
      <w:r w:rsidR="002629F6">
        <w:t>ortunity to avert this outcome</w:t>
      </w:r>
      <w:r w:rsidR="004D0787">
        <w:t>.</w:t>
      </w:r>
      <w:r w:rsidR="002629F6">
        <w:t xml:space="preserve"> </w:t>
      </w:r>
      <w:r w:rsidR="004D0787">
        <w:t>I</w:t>
      </w:r>
      <w:r>
        <w:t>n many less vulnerable settings, there are substantial opportunities to build resilience through management of resources and productivity over</w:t>
      </w:r>
      <w:r w:rsidR="005531D2">
        <w:t xml:space="preserve"> </w:t>
      </w:r>
      <w:r>
        <w:t xml:space="preserve">time. </w:t>
      </w:r>
      <w:r w:rsidR="002629F6">
        <w:t>The need for investment is now.</w:t>
      </w:r>
    </w:p>
    <w:p w:rsidR="00A253A1" w:rsidRDefault="00A253A1" w:rsidP="00A253A1">
      <w:r>
        <w:t xml:space="preserve">International investment in adaptation in developing and emerging economies increased dramatically </w:t>
      </w:r>
      <w:r w:rsidR="00175A18">
        <w:t xml:space="preserve">following </w:t>
      </w:r>
      <w:r>
        <w:t xml:space="preserve">the </w:t>
      </w:r>
      <w:r w:rsidRPr="00EB7A5E">
        <w:t>United Nations Framework</w:t>
      </w:r>
      <w:r>
        <w:t xml:space="preserve"> Commission on Climate Change Copenhagen Conference of the parties</w:t>
      </w:r>
      <w:r w:rsidR="00670874">
        <w:t xml:space="preserve"> in</w:t>
      </w:r>
      <w:r>
        <w:t xml:space="preserve"> 2010, </w:t>
      </w:r>
      <w:r w:rsidR="00175A18">
        <w:t xml:space="preserve">which resulted in </w:t>
      </w:r>
      <w:r>
        <w:t xml:space="preserve">agreements by developed nations to provide finance to vulnerable countries. In our region, there was a particular focus on small island Pacific </w:t>
      </w:r>
      <w:r w:rsidR="0085099D">
        <w:t xml:space="preserve">countries, </w:t>
      </w:r>
      <w:r>
        <w:t xml:space="preserve">judged to be among the most vulnerable and having the least capacity to invest internally. </w:t>
      </w:r>
    </w:p>
    <w:p w:rsidR="00A253A1" w:rsidRPr="004659AB" w:rsidRDefault="00A253A1" w:rsidP="00A253A1">
      <w:r>
        <w:t xml:space="preserve">Numerous programs were rolled out </w:t>
      </w:r>
      <w:r w:rsidR="0085099D">
        <w:t xml:space="preserve">post 2010 </w:t>
      </w:r>
      <w:r>
        <w:t>in the Pacific</w:t>
      </w:r>
      <w:r w:rsidR="00223101">
        <w:t xml:space="preserve"> Region</w:t>
      </w:r>
      <w:r>
        <w:t xml:space="preserve"> to establish the science, monitor impacts, develop r</w:t>
      </w:r>
      <w:r w:rsidR="004F3499">
        <w:t xml:space="preserve">egional climate models, support </w:t>
      </w:r>
      <w:r>
        <w:t xml:space="preserve">national policy and adaptation investment plans, and test adaptation strategies. To date, while there have been many plans developed and technologies piloted, </w:t>
      </w:r>
      <w:r w:rsidR="00C60EAE">
        <w:t xml:space="preserve">localised </w:t>
      </w:r>
      <w:r>
        <w:t xml:space="preserve">activity has been limited, and benefits to communities largely unmeasured. </w:t>
      </w:r>
      <w:r w:rsidR="00223101">
        <w:t xml:space="preserve">The </w:t>
      </w:r>
      <w:r>
        <w:t>CBCCAG</w:t>
      </w:r>
      <w:r w:rsidR="00223101">
        <w:t xml:space="preserve"> program</w:t>
      </w:r>
      <w:r>
        <w:t xml:space="preserve"> provided an opportunity </w:t>
      </w:r>
      <w:r w:rsidR="002C3F97">
        <w:t>to</w:t>
      </w:r>
      <w:r>
        <w:t xml:space="preserve"> test a suite of options in a range of settings and build an evidence base for further action.</w:t>
      </w:r>
    </w:p>
    <w:p w:rsidR="00861582" w:rsidRDefault="00AD4EBC" w:rsidP="00322833">
      <w:r>
        <w:t xml:space="preserve">The </w:t>
      </w:r>
      <w:r w:rsidR="0087544C">
        <w:t>CBCCAG</w:t>
      </w:r>
      <w:r w:rsidR="002C3F97">
        <w:t xml:space="preserve"> program</w:t>
      </w:r>
      <w:r w:rsidR="0087544C">
        <w:t xml:space="preserve"> is best</w:t>
      </w:r>
      <w:r w:rsidR="00595A69">
        <w:t xml:space="preserve"> viewed as a snapshot in </w:t>
      </w:r>
      <w:r w:rsidR="005B0130">
        <w:t>the</w:t>
      </w:r>
      <w:r w:rsidR="0087544C">
        <w:t xml:space="preserve"> longer-</w:t>
      </w:r>
      <w:r>
        <w:t>term development programs of the implementation partners</w:t>
      </w:r>
      <w:r w:rsidR="00A231B9">
        <w:t xml:space="preserve"> and </w:t>
      </w:r>
      <w:r w:rsidR="00803863">
        <w:t>participating communities</w:t>
      </w:r>
      <w:r>
        <w:t xml:space="preserve">. </w:t>
      </w:r>
      <w:r w:rsidR="00087AF6">
        <w:t>In the three-</w:t>
      </w:r>
      <w:r w:rsidR="00046CE4">
        <w:t xml:space="preserve">year timeframe, partners took the opportunity to </w:t>
      </w:r>
      <w:r w:rsidR="006B5482">
        <w:t>continue</w:t>
      </w:r>
      <w:r w:rsidR="00046CE4">
        <w:t xml:space="preserve"> the process of integrating the risks of climate change in their work with communities to improve livelihoods</w:t>
      </w:r>
      <w:r w:rsidR="007D15EE">
        <w:t xml:space="preserve"> and build resilience</w:t>
      </w:r>
      <w:r w:rsidR="006B5482">
        <w:t>, and contribute to the global evidence base for community-based adaptation</w:t>
      </w:r>
      <w:r w:rsidR="00E17997">
        <w:t xml:space="preserve"> (CBA)</w:t>
      </w:r>
      <w:r w:rsidR="00046CE4">
        <w:t xml:space="preserve">. This will be an increasingly critical part of community development work, as the impacts of climate change </w:t>
      </w:r>
      <w:r w:rsidR="00087AF6">
        <w:t xml:space="preserve">worsen in many areas. </w:t>
      </w:r>
    </w:p>
    <w:p w:rsidR="00DF5EC3" w:rsidRDefault="0087544C" w:rsidP="00322833">
      <w:r>
        <w:t xml:space="preserve">The experience enabled partners and communities to build knowledge and skills about the risks and vulnerabilities posed </w:t>
      </w:r>
      <w:r w:rsidR="00CE2964">
        <w:t>by changing weather and climate in their local contexts,</w:t>
      </w:r>
      <w:r>
        <w:t xml:space="preserve"> and to begin integrating this knowledge in community development planning systems an</w:t>
      </w:r>
      <w:r w:rsidR="00F510B8">
        <w:t xml:space="preserve">d practice. For most communities, this meant taking account of </w:t>
      </w:r>
      <w:r>
        <w:t xml:space="preserve">the </w:t>
      </w:r>
      <w:r w:rsidR="00F510B8">
        <w:t xml:space="preserve">immediate risks and </w:t>
      </w:r>
      <w:r>
        <w:t>impacts in their resource management decisions</w:t>
      </w:r>
      <w:r w:rsidR="002C3F97">
        <w:t>.</w:t>
      </w:r>
      <w:r w:rsidR="006B5482">
        <w:t xml:space="preserve"> </w:t>
      </w:r>
      <w:r w:rsidR="002C3F97">
        <w:t>It also meant</w:t>
      </w:r>
      <w:r w:rsidR="006B5482">
        <w:t xml:space="preserve"> </w:t>
      </w:r>
      <w:r w:rsidR="005B0130">
        <w:t>beginning the process of adaptation</w:t>
      </w:r>
      <w:r>
        <w:t xml:space="preserve">, including through more diverse and productive </w:t>
      </w:r>
      <w:r w:rsidR="00F510B8">
        <w:t>livelihood</w:t>
      </w:r>
      <w:r>
        <w:t xml:space="preserve"> systems, more efficient use of resources and better management of productive ecosystems. </w:t>
      </w:r>
      <w:r w:rsidR="00861582">
        <w:t>In the short term, the benefits and outcomes are expected</w:t>
      </w:r>
      <w:r>
        <w:t xml:space="preserve"> to support livelihoods and </w:t>
      </w:r>
      <w:r w:rsidR="0085099D">
        <w:t xml:space="preserve">food and water </w:t>
      </w:r>
      <w:r>
        <w:t>security</w:t>
      </w:r>
      <w:r w:rsidR="00861582">
        <w:t xml:space="preserve">. In the long term, as knowledge and experience gradually develop, larger shifts in </w:t>
      </w:r>
      <w:r w:rsidR="00F510B8">
        <w:t xml:space="preserve">community production and </w:t>
      </w:r>
      <w:r w:rsidR="00861582">
        <w:t>management systems may be necessary to deal with worsening impacts.</w:t>
      </w:r>
      <w:r>
        <w:t xml:space="preserve"> </w:t>
      </w:r>
    </w:p>
    <w:p w:rsidR="009F0219" w:rsidRDefault="0085099D" w:rsidP="009E19F2">
      <w:pPr>
        <w:spacing w:after="360"/>
      </w:pPr>
      <w:r>
        <w:t>Adaptation</w:t>
      </w:r>
      <w:r w:rsidR="00861582">
        <w:t xml:space="preserve"> is </w:t>
      </w:r>
      <w:r>
        <w:t xml:space="preserve">a </w:t>
      </w:r>
      <w:r w:rsidR="00861582">
        <w:t>long</w:t>
      </w:r>
      <w:r w:rsidR="00677FB4">
        <w:t xml:space="preserve"> </w:t>
      </w:r>
      <w:r w:rsidR="00861582">
        <w:t>term</w:t>
      </w:r>
      <w:r>
        <w:t xml:space="preserve"> process</w:t>
      </w:r>
      <w:r w:rsidR="00861582">
        <w:t xml:space="preserve">. There are no shortcuts. In </w:t>
      </w:r>
      <w:r w:rsidR="00F510B8">
        <w:t>the CBCCAG snapshot</w:t>
      </w:r>
      <w:r w:rsidR="00861582">
        <w:t xml:space="preserve">, </w:t>
      </w:r>
      <w:r w:rsidR="00C60EAE">
        <w:t>the process</w:t>
      </w:r>
      <w:r w:rsidR="00861582">
        <w:t xml:space="preserve"> has just begun and must continue to fully capitalise on and add value to the achievements to date. </w:t>
      </w:r>
      <w:r w:rsidR="00677FB4">
        <w:t>W</w:t>
      </w:r>
      <w:r w:rsidR="00DF5EC3">
        <w:t>ork should increasingly</w:t>
      </w:r>
      <w:r w:rsidR="00677FB4">
        <w:t xml:space="preserve"> be</w:t>
      </w:r>
      <w:r w:rsidR="00DF5EC3">
        <w:t xml:space="preserve"> tailored to local context</w:t>
      </w:r>
      <w:r w:rsidR="00C60EAE">
        <w:t>s</w:t>
      </w:r>
      <w:r w:rsidR="00DF5EC3">
        <w:t xml:space="preserve"> and focus on deepening knowledge and experience in vulnerable communities</w:t>
      </w:r>
      <w:r w:rsidR="00677FB4">
        <w:t>. It should also</w:t>
      </w:r>
      <w:r w:rsidR="00DF5EC3">
        <w:t xml:space="preserve"> </w:t>
      </w:r>
      <w:r w:rsidR="00D14692">
        <w:t xml:space="preserve">document and </w:t>
      </w:r>
      <w:r w:rsidR="00DF5EC3">
        <w:t>build</w:t>
      </w:r>
      <w:r w:rsidR="00677FB4">
        <w:t xml:space="preserve"> on</w:t>
      </w:r>
      <w:r w:rsidR="00DF5EC3">
        <w:t xml:space="preserve"> the evidence base for robust, cohesive methodologies that can be applied in other communities and locations.</w:t>
      </w:r>
    </w:p>
    <w:p w:rsidR="009F0219" w:rsidRDefault="009F0219" w:rsidP="009F0219">
      <w:pPr>
        <w:pStyle w:val="Heading2"/>
      </w:pPr>
      <w:bookmarkStart w:id="4" w:name="_Toc315694445"/>
      <w:r>
        <w:t>Lessons for future programs</w:t>
      </w:r>
      <w:bookmarkEnd w:id="4"/>
    </w:p>
    <w:p w:rsidR="009F0219" w:rsidRDefault="009F0219" w:rsidP="009F0219">
      <w:r>
        <w:t xml:space="preserve">During interviews and focus group discussions, the evaluation team took the opportunity to ask program partners to reflect on what was learned during their experiences with </w:t>
      </w:r>
      <w:r w:rsidR="00046C4D">
        <w:t xml:space="preserve">the </w:t>
      </w:r>
      <w:r>
        <w:t>CBCCAG</w:t>
      </w:r>
      <w:r w:rsidR="00046C4D">
        <w:t xml:space="preserve"> program</w:t>
      </w:r>
      <w:r>
        <w:t xml:space="preserve"> and what they would do differently next time. Their responses, augmented by a review of project reports, evaluations and case studies, represent a strong endorsement of the main approaches as well as valuable lessons for future programming</w:t>
      </w:r>
      <w:r w:rsidR="00046C4D">
        <w:t>.</w:t>
      </w:r>
    </w:p>
    <w:p w:rsidR="009F0219" w:rsidRDefault="00CB7B2D" w:rsidP="009F0219">
      <w:r>
        <w:rPr>
          <w:b/>
          <w:i/>
        </w:rPr>
        <w:t xml:space="preserve">Extend </w:t>
      </w:r>
      <w:r w:rsidR="009F0219">
        <w:rPr>
          <w:b/>
          <w:i/>
        </w:rPr>
        <w:t>timeframes</w:t>
      </w:r>
    </w:p>
    <w:p w:rsidR="009F0219" w:rsidRDefault="009F0219" w:rsidP="009F0219">
      <w:r>
        <w:t>The projects progressively built on the work, experiences and networks of partners in the target locations. They didn’t start from scratch. In the timeframe available for implementation (less than three years), they were able to engage communities</w:t>
      </w:r>
      <w:r w:rsidR="00D72314">
        <w:t xml:space="preserve"> and </w:t>
      </w:r>
      <w:r>
        <w:t>build knowledge and skills about climate change risks and vulnerabilities</w:t>
      </w:r>
      <w:r w:rsidR="00D72314">
        <w:t xml:space="preserve">. They </w:t>
      </w:r>
      <w:r>
        <w:t>facilitate</w:t>
      </w:r>
      <w:r w:rsidR="00D72314">
        <w:t>d</w:t>
      </w:r>
      <w:r>
        <w:t xml:space="preserve"> participatory planning and community-led identification of options to build resilience and deliver short</w:t>
      </w:r>
      <w:r w:rsidR="003E12F8">
        <w:t>-</w:t>
      </w:r>
      <w:r>
        <w:t>term development benefits</w:t>
      </w:r>
      <w:r w:rsidR="00D72314">
        <w:t>. They</w:t>
      </w:r>
      <w:r>
        <w:t xml:space="preserve"> test</w:t>
      </w:r>
      <w:r w:rsidR="00D72314">
        <w:t>ed</w:t>
      </w:r>
      <w:r>
        <w:t xml:space="preserve"> priority options and lay important institutional foundations for continued community engagement in adaptation planning and action. They </w:t>
      </w:r>
      <w:r w:rsidR="003E12F8">
        <w:t xml:space="preserve">also </w:t>
      </w:r>
      <w:r>
        <w:t xml:space="preserve">built advocacy skills and connections between communities and government. </w:t>
      </w:r>
    </w:p>
    <w:p w:rsidR="009F0219" w:rsidRDefault="009F0219" w:rsidP="009F0219">
      <w:r>
        <w:t>However, the timeframe was not sufficient to fully test, monitor and document the options</w:t>
      </w:r>
      <w:r w:rsidR="003E12F8">
        <w:t>,</w:t>
      </w:r>
      <w:r>
        <w:t xml:space="preserve"> </w:t>
      </w:r>
      <w:r w:rsidR="004F300C">
        <w:t>allow</w:t>
      </w:r>
      <w:r>
        <w:t xml:space="preserve"> successful activities</w:t>
      </w:r>
      <w:r w:rsidR="004F300C">
        <w:t xml:space="preserve"> to be widely adopted</w:t>
      </w:r>
      <w:r w:rsidR="003E12F8">
        <w:t xml:space="preserve"> or </w:t>
      </w:r>
      <w:r w:rsidR="004F300C">
        <w:t>achieve</w:t>
      </w:r>
      <w:r w:rsidR="003E12F8">
        <w:t xml:space="preserve"> </w:t>
      </w:r>
      <w:r>
        <w:t xml:space="preserve">change and impact at scale. In livelihoods work, the timeframe only allowed for two </w:t>
      </w:r>
      <w:r w:rsidR="00D14692">
        <w:t xml:space="preserve">growing </w:t>
      </w:r>
      <w:r>
        <w:t xml:space="preserve">seasons, and coherent results were only emerging as the projects came to a close. </w:t>
      </w:r>
    </w:p>
    <w:p w:rsidR="009F0219" w:rsidRDefault="009F0219" w:rsidP="009F0219">
      <w:r>
        <w:t xml:space="preserve">Longer timeframes are needed in </w:t>
      </w:r>
      <w:r w:rsidR="00E17997">
        <w:t>CBA</w:t>
      </w:r>
      <w:r>
        <w:t xml:space="preserve"> to establish firm relationships with government and other partners, to influence local development planning, and to access funding streams for implementation:</w:t>
      </w:r>
    </w:p>
    <w:p w:rsidR="009F0219" w:rsidRPr="001D03F0" w:rsidRDefault="009F0219" w:rsidP="009F0219">
      <w:pPr>
        <w:ind w:left="720"/>
        <w:rPr>
          <w:i/>
        </w:rPr>
      </w:pPr>
      <w:r>
        <w:rPr>
          <w:i/>
        </w:rPr>
        <w:t xml:space="preserve">‘There are a lot of challenges happening, different parties and different views. We are only 1.5 years into the project – it’s not long enough to bring about lasting change.’ – </w:t>
      </w:r>
      <w:r w:rsidR="00D66E22">
        <w:t>p</w:t>
      </w:r>
      <w:r>
        <w:t>rogram partner</w:t>
      </w:r>
      <w:r w:rsidR="003E12F8">
        <w:t>,</w:t>
      </w:r>
      <w:r>
        <w:t xml:space="preserve"> </w:t>
      </w:r>
      <w:r w:rsidRPr="00906A1E">
        <w:t>Oxfam</w:t>
      </w:r>
      <w:r w:rsidR="003E12F8">
        <w:t>,</w:t>
      </w:r>
      <w:r w:rsidRPr="00906A1E">
        <w:t xml:space="preserve"> T</w:t>
      </w:r>
      <w:r>
        <w:t>imor</w:t>
      </w:r>
      <w:r w:rsidR="003E12F8">
        <w:t>-</w:t>
      </w:r>
      <w:r w:rsidRPr="00906A1E">
        <w:t>L</w:t>
      </w:r>
      <w:r>
        <w:t>este</w:t>
      </w:r>
      <w:r w:rsidR="006B4726">
        <w:t xml:space="preserve"> (interview)</w:t>
      </w:r>
    </w:p>
    <w:p w:rsidR="009F0219" w:rsidRDefault="00D66E22" w:rsidP="009F0219">
      <w:r>
        <w:rPr>
          <w:b/>
          <w:i/>
        </w:rPr>
        <w:t>Deepen knowledge and experiences</w:t>
      </w:r>
    </w:p>
    <w:p w:rsidR="009F0219" w:rsidRDefault="00061872" w:rsidP="009F0219">
      <w:r>
        <w:t>T</w:t>
      </w:r>
      <w:r w:rsidR="009F0219">
        <w:t xml:space="preserve">hrough collaborations with a range of partners, </w:t>
      </w:r>
      <w:r>
        <w:t xml:space="preserve">projects </w:t>
      </w:r>
      <w:r w:rsidR="009F0219">
        <w:t>were able to achieve an extensive geographic reach</w:t>
      </w:r>
      <w:r>
        <w:t xml:space="preserve"> and test approaches</w:t>
      </w:r>
      <w:r w:rsidR="009F0219">
        <w:t xml:space="preserve"> in </w:t>
      </w:r>
      <w:r w:rsidR="002C27F3">
        <w:t>several</w:t>
      </w:r>
      <w:r w:rsidR="009F0219">
        <w:t xml:space="preserve"> contexts</w:t>
      </w:r>
      <w:r>
        <w:t xml:space="preserve">. For example, </w:t>
      </w:r>
      <w:r w:rsidR="009F0219">
        <w:t>Oxfam</w:t>
      </w:r>
      <w:r w:rsidR="00046C4D">
        <w:t>’s project in the</w:t>
      </w:r>
      <w:r w:rsidR="009F0219">
        <w:t xml:space="preserve"> Philippines</w:t>
      </w:r>
      <w:r w:rsidR="00046C4D">
        <w:t xml:space="preserve"> </w:t>
      </w:r>
      <w:r w:rsidR="002C27F3">
        <w:t>operated</w:t>
      </w:r>
      <w:r w:rsidR="009F0219">
        <w:t xml:space="preserve"> in 18 municipalities across </w:t>
      </w:r>
      <w:r>
        <w:t>eight</w:t>
      </w:r>
      <w:r w:rsidR="009F0219">
        <w:t xml:space="preserve"> provinces of Mindanao</w:t>
      </w:r>
      <w:r w:rsidR="00D504F1">
        <w:t xml:space="preserve">, where </w:t>
      </w:r>
      <w:r w:rsidR="009F0219">
        <w:t>12,000 households participated in risk assessment</w:t>
      </w:r>
      <w:r w:rsidR="008E4793">
        <w:t>s</w:t>
      </w:r>
      <w:r w:rsidR="009F0219">
        <w:t xml:space="preserve"> and training</w:t>
      </w:r>
      <w:r w:rsidR="00D504F1">
        <w:t xml:space="preserve"> and </w:t>
      </w:r>
      <w:r w:rsidR="009F0219">
        <w:t>8,000 people</w:t>
      </w:r>
      <w:r>
        <w:t xml:space="preserve"> were</w:t>
      </w:r>
      <w:r w:rsidR="009F0219">
        <w:t xml:space="preserve"> involved in livelihoods work</w:t>
      </w:r>
      <w:r w:rsidR="0099393D">
        <w:t xml:space="preserve">. </w:t>
      </w:r>
      <w:r w:rsidR="009F0219">
        <w:t>Oxfam</w:t>
      </w:r>
      <w:r w:rsidR="0099393D">
        <w:t>’s project in</w:t>
      </w:r>
      <w:r w:rsidR="009F0219">
        <w:t xml:space="preserve"> Timor</w:t>
      </w:r>
      <w:r>
        <w:t>-</w:t>
      </w:r>
      <w:r w:rsidR="009F0219">
        <w:t>Leste</w:t>
      </w:r>
      <w:r w:rsidR="0099393D">
        <w:t xml:space="preserve"> </w:t>
      </w:r>
      <w:r w:rsidR="009F0219">
        <w:t xml:space="preserve">targeted 132 communities in </w:t>
      </w:r>
      <w:r w:rsidR="002C27F3">
        <w:t>four</w:t>
      </w:r>
      <w:r w:rsidR="009F0219">
        <w:t xml:space="preserve"> districts. This strategy enabled projects to build a substantial evidence base within the target localities and for possible wider application</w:t>
      </w:r>
      <w:r w:rsidR="00A80A55">
        <w:t>,</w:t>
      </w:r>
      <w:r w:rsidR="00A80A55" w:rsidRPr="00A80A55">
        <w:t xml:space="preserve"> </w:t>
      </w:r>
      <w:r w:rsidR="00A80A55">
        <w:t>but also presented challenges of achieving depth</w:t>
      </w:r>
      <w:r w:rsidR="00D66E22">
        <w:t>.</w:t>
      </w:r>
    </w:p>
    <w:p w:rsidR="009F0219" w:rsidRDefault="009F0219" w:rsidP="009F0219">
      <w:r>
        <w:t>For future work, the priority should be to build on these foundations of knowledge, awareness and skills, and emerging partnerships and networks with government</w:t>
      </w:r>
      <w:r w:rsidR="00F00024">
        <w:t xml:space="preserve">. This will </w:t>
      </w:r>
      <w:r>
        <w:t xml:space="preserve">deepen people’s experiences, continue to </w:t>
      </w:r>
      <w:r w:rsidR="00F00024">
        <w:t>develop</w:t>
      </w:r>
      <w:r>
        <w:t xml:space="preserve"> capacities of partners and communities, and </w:t>
      </w:r>
      <w:r w:rsidR="00F00024">
        <w:t xml:space="preserve">enable </w:t>
      </w:r>
      <w:r>
        <w:t>results, outcomes and impacts</w:t>
      </w:r>
      <w:r w:rsidR="00F00024">
        <w:t xml:space="preserve"> to be monitored and documented</w:t>
      </w:r>
      <w:r>
        <w:t xml:space="preserve"> over</w:t>
      </w:r>
      <w:r w:rsidR="008E4793">
        <w:t xml:space="preserve"> </w:t>
      </w:r>
      <w:r>
        <w:t xml:space="preserve">time. </w:t>
      </w:r>
    </w:p>
    <w:p w:rsidR="009F0219" w:rsidRDefault="009F0219" w:rsidP="009F0219">
      <w:r>
        <w:rPr>
          <w:b/>
          <w:i/>
        </w:rPr>
        <w:t>Consolidate the evidence base</w:t>
      </w:r>
    </w:p>
    <w:p w:rsidR="009F0219" w:rsidRDefault="009F0219" w:rsidP="009F0219">
      <w:r>
        <w:t>The projects have individually and collectively produced a large volume of material</w:t>
      </w:r>
      <w:r w:rsidR="00B35D21">
        <w:t xml:space="preserve">, such as </w:t>
      </w:r>
      <w:r>
        <w:t>case studies, evaluation reports, project reports, think pieces, videos, training materials and manuals</w:t>
      </w:r>
      <w:r w:rsidR="00B35D21">
        <w:t>. These are</w:t>
      </w:r>
      <w:r>
        <w:t xml:space="preserve"> currently housed in different locations. Some have begun to consolidate their approaches and experiences into ‘models’ for wider use. </w:t>
      </w:r>
    </w:p>
    <w:p w:rsidR="009F0219" w:rsidRDefault="009F0219" w:rsidP="009F0219">
      <w:r>
        <w:t>All of this material is useful, but it must be consolidated, analysed and made available to achieve the value-add offered by</w:t>
      </w:r>
      <w:r w:rsidR="005E2AC1">
        <w:t xml:space="preserve"> the program-level investment. </w:t>
      </w:r>
      <w:r>
        <w:t>This value lies in informing future programs and</w:t>
      </w:r>
      <w:r w:rsidR="00D66E22">
        <w:t xml:space="preserve"> </w:t>
      </w:r>
      <w:r>
        <w:t xml:space="preserve">contributing to the global discussion and methodological development in </w:t>
      </w:r>
      <w:r w:rsidR="00E17997">
        <w:t>CBA</w:t>
      </w:r>
      <w:r>
        <w:t>. With many projects operating around the world, and with a particular focus of global activity in the Pacific</w:t>
      </w:r>
      <w:r w:rsidR="00D36AFF">
        <w:t xml:space="preserve"> Region</w:t>
      </w:r>
      <w:r>
        <w:t>, it is important that the knowledge is shared</w:t>
      </w:r>
      <w:r w:rsidR="000A2E51">
        <w:t xml:space="preserve"> </w:t>
      </w:r>
      <w:r>
        <w:t>and duplication and overlap are avoided.</w:t>
      </w:r>
    </w:p>
    <w:p w:rsidR="009F0219" w:rsidRDefault="009F0219" w:rsidP="009F0219">
      <w:r>
        <w:rPr>
          <w:b/>
          <w:i/>
        </w:rPr>
        <w:t>Continue the community development lens</w:t>
      </w:r>
    </w:p>
    <w:p w:rsidR="009F0219" w:rsidRDefault="009F0219" w:rsidP="009F0219">
      <w:r>
        <w:t xml:space="preserve">Projects provided access to scientific knowledge and technical expertise relevant to climate change via a range of connections (through the lead partners, local government extension workers, partner country technical agencies and external experts). The community development lens adopted by the project teams enabled the knowledge and skills to be introduced in the context of development issues that are important to communities (e.g. food and water security, health and income). </w:t>
      </w:r>
    </w:p>
    <w:p w:rsidR="009F0219" w:rsidRDefault="009F0219" w:rsidP="009F0219">
      <w:r>
        <w:t>This approach was appropriate and successful. The natural resource management, resource use efficiency and ecosystems services technologies/mechanisms introduced by the projects provided options that were complementary to achieving resilience in existing livelihood systems.</w:t>
      </w:r>
    </w:p>
    <w:p w:rsidR="009F0219" w:rsidRDefault="009F0219" w:rsidP="009F0219">
      <w:r>
        <w:t>Communities took ownership and consolidated new knowledge with their extensive local knowhow to discuss their vulnerabilities and identify priority options for reducing the risks and building resilience in their lives and livelihoods. They tested options and adopted new technologies to improve productivity, use resources more efficiently</w:t>
      </w:r>
      <w:r w:rsidR="00B476A6">
        <w:t xml:space="preserve"> </w:t>
      </w:r>
      <w:r w:rsidR="00CB7B2D">
        <w:t xml:space="preserve">and </w:t>
      </w:r>
      <w:r>
        <w:t xml:space="preserve">diversify and insure their livelihoods in a changing climate. </w:t>
      </w:r>
    </w:p>
    <w:p w:rsidR="009F0219" w:rsidRDefault="009F0219" w:rsidP="009F0219">
      <w:r>
        <w:rPr>
          <w:b/>
          <w:i/>
        </w:rPr>
        <w:t>Deepen technical knowledge and skills</w:t>
      </w:r>
    </w:p>
    <w:p w:rsidR="009F0219" w:rsidRDefault="009F0219" w:rsidP="009F0219">
      <w:r>
        <w:t xml:space="preserve">Technical expertise was often essential in this process to ensure that communities had good information on which to base their decisions, especially in relation to new technologies. Without adequate expertise, activities invested in by communities may not be proportionate to the risks, deliver the best benefits in the short term or </w:t>
      </w:r>
      <w:r w:rsidR="00B476A6">
        <w:t>impact</w:t>
      </w:r>
      <w:r>
        <w:t xml:space="preserve"> longer-term resilience. This risk will reduce as communities learn more about climate change and gain knowledge from testing a range of options.</w:t>
      </w:r>
    </w:p>
    <w:p w:rsidR="009F0219" w:rsidRDefault="009F0219" w:rsidP="009F0219">
      <w:r>
        <w:t>Reliance on local technical expertise is often not enough to meet the needs of communities for good information and advice. Local extension workers should be engaged so that they can benefit from knowledge and capacity building, but additional specific expertise is commonly needed. Consortia such as those in the CBCCAG</w:t>
      </w:r>
      <w:r w:rsidR="00B924A4">
        <w:t xml:space="preserve"> program</w:t>
      </w:r>
      <w:r>
        <w:t xml:space="preserve"> are well placed to access specialist expertise from within their organisations and through their networks. </w:t>
      </w:r>
    </w:p>
    <w:p w:rsidR="009F0219" w:rsidRDefault="009F0219" w:rsidP="009F0219">
      <w:r>
        <w:t xml:space="preserve">Knowledge alone will not create change. Care is needed in introducing it. Knowledge tends to be sought after, can confer social status and can impact on the dynamics of communities. In some cases, this can be positive, for example in engendering respect and bringing women to leadership roles, and in creating local champions. However, it is not until a critical </w:t>
      </w:r>
      <w:r w:rsidR="00B924A4">
        <w:t>level of</w:t>
      </w:r>
      <w:r>
        <w:t xml:space="preserve"> knowledge and awareness is achieved that change will occur: the knowledge becomes imbedded, individuals invest and new approaches are adopted. This process takes time – often many years.</w:t>
      </w:r>
    </w:p>
    <w:p w:rsidR="009F0219" w:rsidRPr="00904013" w:rsidRDefault="009F0219" w:rsidP="009F0219">
      <w:pPr>
        <w:rPr>
          <w:b/>
          <w:i/>
        </w:rPr>
      </w:pPr>
      <w:r>
        <w:rPr>
          <w:b/>
          <w:i/>
        </w:rPr>
        <w:t>Find/build knowledge brokers</w:t>
      </w:r>
    </w:p>
    <w:p w:rsidR="009F0219" w:rsidRDefault="009F0219" w:rsidP="009F0219">
      <w:r>
        <w:t>Getting access to climate change information for communities is difficult. Information is commonly housed with different agencies and information management systems are disjointed between national and local levels. Language and literacy barriers, and poor communication technology, limit its accessibility. Where climate change information is available, it is often in scientific forms and highly technical. Technical agencies lack capacities to tailor it to audiences, particularly at local levels.</w:t>
      </w:r>
    </w:p>
    <w:p w:rsidR="009F0219" w:rsidRDefault="009F0219" w:rsidP="009F0219">
      <w:r>
        <w:t xml:space="preserve">Finding effective ways to translate complex technical information into forms that make sense in the local context is essential in the ongoing development of community awareness and adaptation skills. The projects played an important role in brokering knowledge across the technical divide, making it available in forms that could be applied in local planning. </w:t>
      </w:r>
    </w:p>
    <w:p w:rsidR="009F0219" w:rsidRPr="003007D1" w:rsidRDefault="009F0219" w:rsidP="009F0219">
      <w:r>
        <w:t>The role that informed children and youth can play as climate change messengers in their communities was demonstrated, and is likely to become increasingly effective as climate change is gradually integrated in school curricula and across the formal education system. In the meantime, the role of knowledge broker needs to be filled. Local civil society groups are well placed for this role but need a greater depth of knowledge and skills to fully function as brokers to and from communities.</w:t>
      </w:r>
    </w:p>
    <w:p w:rsidR="009F0219" w:rsidRDefault="009F0219" w:rsidP="009F0219">
      <w:r>
        <w:rPr>
          <w:b/>
          <w:i/>
        </w:rPr>
        <w:t>Foster in</w:t>
      </w:r>
      <w:r w:rsidR="0066385A">
        <w:rPr>
          <w:b/>
          <w:i/>
        </w:rPr>
        <w:t>-</w:t>
      </w:r>
      <w:r>
        <w:rPr>
          <w:b/>
          <w:i/>
        </w:rPr>
        <w:t>built resilience</w:t>
      </w:r>
    </w:p>
    <w:p w:rsidR="009F0219" w:rsidRDefault="009F0219" w:rsidP="009F0219">
      <w:r>
        <w:t>Communities have extensive, deep knowledge about their resources and how best to manage them to sustain their livelihoods. In the target locations, communities have witnessed recent weather-related changes and have taken steps to adjust. They are best placed to identify livelihood options and ways to adapt, and can do this when provided with sufficient knowledge about the risks and technical advice about options. The approaches employed by the projects enabled communities to take on board new knowledge in the context of their local knowledge and traditional knowhow.</w:t>
      </w:r>
    </w:p>
    <w:p w:rsidR="009F0219" w:rsidRDefault="009F0219" w:rsidP="009F0219">
      <w:r>
        <w:t>In many cases, the livelihoods of communities are already diverse and contain in-built resilience to unreliable rainfall and extremes in weather, having evolved through the collective wisdom of famers dealing with droughts and floods, poor seasons</w:t>
      </w:r>
      <w:r w:rsidR="00903AFC">
        <w:t xml:space="preserve"> or </w:t>
      </w:r>
      <w:r>
        <w:t>late wet seasons for many centuries. Climate change brings greater intensity and less reliability to these events that farmers need to factor in to their planning. Communities need timely access to good information (short</w:t>
      </w:r>
      <w:r w:rsidR="00903AFC">
        <w:t>-</w:t>
      </w:r>
      <w:r>
        <w:t>term forecasts etc.) and an understanding of likely future trends so that they can adjust. This in</w:t>
      </w:r>
      <w:r w:rsidR="0066385A">
        <w:t>-</w:t>
      </w:r>
      <w:r>
        <w:t xml:space="preserve">built resilience is fundamental to adaptation. Within it, there are substantial opportunities for improving efficiencies of resource use (e.g. water) and productivity and diversity of production systems to boost livelihoods and resilience. </w:t>
      </w:r>
    </w:p>
    <w:p w:rsidR="009F0219" w:rsidRPr="003007D1" w:rsidRDefault="009F0219" w:rsidP="009F0219">
      <w:r>
        <w:t>Over</w:t>
      </w:r>
      <w:r w:rsidR="00903AFC">
        <w:t xml:space="preserve"> </w:t>
      </w:r>
      <w:r>
        <w:t>time (sooner rather than later in some locations), the impacts of climate change will challenge livelihoods that are resilient today. Extreme floods and droughts already do, for a</w:t>
      </w:r>
      <w:r w:rsidR="00903AFC">
        <w:t>t</w:t>
      </w:r>
      <w:r>
        <w:t xml:space="preserve"> least a period of recovery. Adaptation in some contexts means or will mean migration to less vulnerable areas. Community</w:t>
      </w:r>
      <w:r w:rsidR="00903AFC">
        <w:t>-</w:t>
      </w:r>
      <w:r>
        <w:t>based approaches need to be adaptive to these different contexts, acknowledging that communities will need external investment and support to avoid the worst impacts and manage extreme risks.</w:t>
      </w:r>
    </w:p>
    <w:p w:rsidR="009F0219" w:rsidRDefault="009F0219" w:rsidP="009F0219">
      <w:pPr>
        <w:rPr>
          <w:b/>
          <w:i/>
        </w:rPr>
      </w:pPr>
      <w:r>
        <w:rPr>
          <w:b/>
          <w:i/>
        </w:rPr>
        <w:t>Work within local governance structures</w:t>
      </w:r>
    </w:p>
    <w:p w:rsidR="009F0219" w:rsidRDefault="009F0219" w:rsidP="009F0219">
      <w:r>
        <w:t>Communities tend to be organised around the issues that are of concern to them (e.g. farmer groups, water groups</w:t>
      </w:r>
      <w:r w:rsidR="007D0EAB">
        <w:t xml:space="preserve"> and </w:t>
      </w:r>
      <w:r>
        <w:t>church groups). Working within these structures is an effective way of engaging, although it is often necessary to also create new spaces for engaging groups such as women</w:t>
      </w:r>
      <w:r w:rsidR="007D0EAB">
        <w:t xml:space="preserve">, </w:t>
      </w:r>
      <w:r>
        <w:t xml:space="preserve">children/youth and people with disabilities in forums where they feel more comfortable </w:t>
      </w:r>
      <w:r w:rsidR="00903AFC">
        <w:t>and</w:t>
      </w:r>
      <w:r>
        <w:t xml:space="preserve"> able to contribute. These forums must be connected to mainstream community decision-making and development mechanisms to be effective.</w:t>
      </w:r>
    </w:p>
    <w:p w:rsidR="009F0219" w:rsidRPr="00F41631" w:rsidRDefault="009F0219" w:rsidP="009F0219">
      <w:r>
        <w:t xml:space="preserve">Community organisations are commonly linked into local government development planning systems (e.g. through dedicated community development programs) and can access funds. While many </w:t>
      </w:r>
      <w:r w:rsidR="00636E78">
        <w:t xml:space="preserve">local governments </w:t>
      </w:r>
      <w:r>
        <w:t>prioritise income</w:t>
      </w:r>
      <w:r w:rsidR="00903AFC">
        <w:t>-</w:t>
      </w:r>
      <w:r>
        <w:t>generating activities such as small</w:t>
      </w:r>
      <w:r w:rsidR="00903AFC">
        <w:t>-</w:t>
      </w:r>
      <w:r>
        <w:t>scale construction</w:t>
      </w:r>
      <w:r w:rsidR="00903AFC">
        <w:t>,</w:t>
      </w:r>
      <w:r>
        <w:t xml:space="preserve"> roads and water supply</w:t>
      </w:r>
      <w:r w:rsidR="00636E78">
        <w:t xml:space="preserve"> through these links</w:t>
      </w:r>
      <w:r>
        <w:t xml:space="preserve">, </w:t>
      </w:r>
      <w:r w:rsidR="00636E78">
        <w:t>they</w:t>
      </w:r>
      <w:r>
        <w:t xml:space="preserve"> </w:t>
      </w:r>
      <w:r w:rsidR="00B84E11">
        <w:t>have an additional</w:t>
      </w:r>
      <w:r>
        <w:t xml:space="preserve"> opportunit</w:t>
      </w:r>
      <w:r w:rsidR="00B84E11">
        <w:t>y</w:t>
      </w:r>
      <w:r>
        <w:t xml:space="preserve"> </w:t>
      </w:r>
      <w:r w:rsidR="00B84E11">
        <w:t>to</w:t>
      </w:r>
      <w:r>
        <w:t xml:space="preserve"> integrat</w:t>
      </w:r>
      <w:r w:rsidR="00B84E11">
        <w:t>e</w:t>
      </w:r>
      <w:r>
        <w:t xml:space="preserve"> community priorities </w:t>
      </w:r>
      <w:r w:rsidR="00636E78">
        <w:t>to</w:t>
      </w:r>
      <w:r>
        <w:t xml:space="preserve"> build resilience to climate change</w:t>
      </w:r>
      <w:r w:rsidR="00B84E11">
        <w:t>. Moreover, they</w:t>
      </w:r>
      <w:r>
        <w:t xml:space="preserve"> would benefit overall from taking account of weather and climate risks in the activities they fund.</w:t>
      </w:r>
    </w:p>
    <w:p w:rsidR="009F0219" w:rsidRDefault="009F0219" w:rsidP="009F0219">
      <w:r>
        <w:rPr>
          <w:b/>
          <w:i/>
        </w:rPr>
        <w:t>Engage inclusively</w:t>
      </w:r>
    </w:p>
    <w:p w:rsidR="009F0219" w:rsidRDefault="009F0219" w:rsidP="009F0219">
      <w:r>
        <w:t xml:space="preserve">Within community governance structures, there are opportunities to engage inclusively. This is important because different groups in the community have different vulnerabilities and skills, which all need to be represented and taken into account in community resilience building. Otherwise some major risks and opportunities will be missed. </w:t>
      </w:r>
    </w:p>
    <w:p w:rsidR="009F0219" w:rsidRDefault="009F0219" w:rsidP="009F0219">
      <w:r>
        <w:t xml:space="preserve">Working with traditional mandates can be effective (e.g. engaging village chiefs and convincing them to encourage participation) but may not generate the demand or space for ongoing participation. Targeting activities to the specific roles of groups </w:t>
      </w:r>
      <w:r w:rsidR="000D0E7F">
        <w:t>that</w:t>
      </w:r>
      <w:r>
        <w:t xml:space="preserve"> find it difficult to engage through traditional decision-making platforms seems to be effective</w:t>
      </w:r>
      <w:r w:rsidR="000D0E7F">
        <w:t>. For example,</w:t>
      </w:r>
      <w:r>
        <w:t xml:space="preserve"> working with women to develop and diversify kitchen gardens, </w:t>
      </w:r>
      <w:r w:rsidR="000D0E7F">
        <w:t>strengthen</w:t>
      </w:r>
      <w:r w:rsidR="005443F1">
        <w:t>ing</w:t>
      </w:r>
      <w:r w:rsidR="000D0E7F">
        <w:t xml:space="preserve"> their</w:t>
      </w:r>
      <w:r>
        <w:t xml:space="preserve"> marketing and financial skills </w:t>
      </w:r>
      <w:r w:rsidR="000D0E7F">
        <w:t>to</w:t>
      </w:r>
      <w:r>
        <w:t xml:space="preserve"> generat</w:t>
      </w:r>
      <w:r w:rsidR="000D0E7F">
        <w:t>e</w:t>
      </w:r>
      <w:r>
        <w:t xml:space="preserve"> and manag</w:t>
      </w:r>
      <w:r w:rsidR="000D0E7F">
        <w:t>e</w:t>
      </w:r>
      <w:r>
        <w:t xml:space="preserve"> income from surplus produce</w:t>
      </w:r>
      <w:r w:rsidR="000D0E7F">
        <w:t xml:space="preserve">, </w:t>
      </w:r>
      <w:r w:rsidR="005443F1">
        <w:t xml:space="preserve">directly </w:t>
      </w:r>
      <w:r w:rsidR="000D0E7F">
        <w:t>benefits women.</w:t>
      </w:r>
      <w:r>
        <w:t xml:space="preserve"> </w:t>
      </w:r>
      <w:r w:rsidR="000D0E7F">
        <w:t xml:space="preserve">It </w:t>
      </w:r>
      <w:r>
        <w:t xml:space="preserve">also </w:t>
      </w:r>
      <w:r w:rsidR="000D0E7F">
        <w:t xml:space="preserve">benefits the wider </w:t>
      </w:r>
      <w:r>
        <w:t xml:space="preserve">community through women’s roles in family nutrition and health, and in providing funds for </w:t>
      </w:r>
      <w:r w:rsidR="000D0E7F">
        <w:t xml:space="preserve">children’s </w:t>
      </w:r>
      <w:r>
        <w:t>education</w:t>
      </w:r>
      <w:r w:rsidR="000D0E7F">
        <w:t xml:space="preserve">, </w:t>
      </w:r>
      <w:r>
        <w:t>arguably</w:t>
      </w:r>
      <w:r w:rsidR="005443F1">
        <w:t xml:space="preserve"> one of</w:t>
      </w:r>
      <w:r>
        <w:t xml:space="preserve"> the most effective adaptation options currently available to many communities.</w:t>
      </w:r>
    </w:p>
    <w:p w:rsidR="009F0219" w:rsidRPr="004E300F" w:rsidRDefault="009F0219" w:rsidP="009F0219">
      <w:r>
        <w:t xml:space="preserve">Applying similar approaches should be tested for engaging people with disabilities and other disadvantaged groups. All have roles in the community that will be important in developing resilience, and require specific support to reduce their vulnerabilities and risks. </w:t>
      </w:r>
    </w:p>
    <w:p w:rsidR="009F0219" w:rsidRDefault="009F0219" w:rsidP="009F0219">
      <w:r>
        <w:rPr>
          <w:b/>
          <w:i/>
        </w:rPr>
        <w:t>Be realistic about partnerships with government</w:t>
      </w:r>
    </w:p>
    <w:p w:rsidR="009F0219" w:rsidRDefault="009F0219" w:rsidP="009F0219">
      <w:r>
        <w:t xml:space="preserve">Partnerships with government took longer than expected to establish and yield results. Getting engagement in project activities can be achieved through mechanisms such as working groups and committees, but maintaining connections with communities and ensuring that these partnerships offer benefits both ways is challenging. In many target locations, local government is the most appropriate level to partner with, having the mandates for community development. However, </w:t>
      </w:r>
      <w:r w:rsidR="00B93596">
        <w:t>local governments</w:t>
      </w:r>
      <w:r w:rsidR="00535B10">
        <w:t xml:space="preserve"> </w:t>
      </w:r>
      <w:r>
        <w:t xml:space="preserve">commonly lack skills and resources to support </w:t>
      </w:r>
      <w:r w:rsidR="00E17997">
        <w:t>CBA</w:t>
      </w:r>
      <w:r w:rsidR="00B93596">
        <w:t>, and are more</w:t>
      </w:r>
      <w:r>
        <w:t xml:space="preserve"> concerned with short-term local development issues, often dictated by political administrations. Longer-term issues tend to be given lower priority. Climate change is rarely integrated in local development planning and accessing budgets for implementation is difficult.</w:t>
      </w:r>
    </w:p>
    <w:p w:rsidR="009F0219" w:rsidRDefault="009F0219" w:rsidP="009F0219">
      <w:r>
        <w:t>Wherever possible, it is important to work with existing community development planning systems, facilitating adaptation planning as part of these processes and not as separate exercises. In some locations, this approach has enabled access to mainstream community development funding programs for implementation of resilience-building activities. Working outside these systems can achieve success if local government champions emerge and support project activities, but this is unlikely to be sustainable.</w:t>
      </w:r>
    </w:p>
    <w:p w:rsidR="009F0219" w:rsidRDefault="009F0219" w:rsidP="009F0219">
      <w:r>
        <w:rPr>
          <w:b/>
          <w:i/>
        </w:rPr>
        <w:t>Engage at complementary scales</w:t>
      </w:r>
    </w:p>
    <w:p w:rsidR="009F0219" w:rsidRDefault="009F0219" w:rsidP="009F0219">
      <w:r>
        <w:t>Community development work is by its nature small scale and local. Engagement with government provides mechanisms for scaling out successful approaches to other communities and areas. The private sector also offers potential for supporting scaling out.</w:t>
      </w:r>
    </w:p>
    <w:p w:rsidR="009F0219" w:rsidRDefault="009F0219" w:rsidP="009F0219">
      <w:r>
        <w:t xml:space="preserve">In engaging with government and the private sector, as well as looking for wider adoption, it is important to seek out opportunities to build climate change into planning and development systems at different scales. Otherwise, the work at community level can be undermined by failures to address larger systemic issues (such as flood control infrastructure) and development that works against community resilience. </w:t>
      </w:r>
    </w:p>
    <w:p w:rsidR="009F0219" w:rsidRDefault="009F0219" w:rsidP="009F0219">
      <w:r>
        <w:t>Complementary development at community, local and landscape scales can reinforce resilience</w:t>
      </w:r>
      <w:r w:rsidR="00AE4883">
        <w:t xml:space="preserve"> </w:t>
      </w:r>
      <w:r>
        <w:t>building in communities, for example by providing communities with infrastructure (e.g. roads, flood control</w:t>
      </w:r>
      <w:r w:rsidR="005443F1">
        <w:t xml:space="preserve"> and</w:t>
      </w:r>
      <w:r>
        <w:t xml:space="preserve"> water supply) that they need to secure their livelihoods, and ongoing access to weather and climate information and skills. With the private sector, there are opportunities to collaborate on supply chain development to support community resilience (e.g. in supply of organic pesticides and fertiliser, seeds for drought</w:t>
      </w:r>
      <w:r w:rsidR="005443F1">
        <w:t>-</w:t>
      </w:r>
      <w:r>
        <w:t>tolerant plants, and equipment for conservation farming) and opening up markets for diversified cropping systems and new enterprises.</w:t>
      </w:r>
    </w:p>
    <w:p w:rsidR="009F0219" w:rsidRPr="009F78CB" w:rsidRDefault="009F0219" w:rsidP="009F0219">
      <w:r>
        <w:t>While many target locations are a long distance from these outcomes, advocacy, demonstrations and facilitating representation from communities are all helpful towards achieving them.</w:t>
      </w:r>
    </w:p>
    <w:p w:rsidR="009F0219" w:rsidRPr="00135607" w:rsidRDefault="009F0219" w:rsidP="009F0219">
      <w:pPr>
        <w:rPr>
          <w:b/>
          <w:i/>
        </w:rPr>
      </w:pPr>
      <w:r>
        <w:rPr>
          <w:b/>
          <w:i/>
        </w:rPr>
        <w:t>Continue the consortium model</w:t>
      </w:r>
    </w:p>
    <w:p w:rsidR="009F0219" w:rsidRDefault="009F0219" w:rsidP="009F0219">
      <w:r>
        <w:t xml:space="preserve">Partners engaged through consortia found the model to be efficient (with lead agencies providing administrative functions, leaving </w:t>
      </w:r>
      <w:r w:rsidR="002C3B31">
        <w:t xml:space="preserve">local </w:t>
      </w:r>
      <w:r>
        <w:t xml:space="preserve">partners to get on with implementation) and effective (enabling sharing of tools and skills, and capacity building for local partners). Constructive upfront discussions between partners at design stage would help to coordinate and make the best of their different roles and skill sets. </w:t>
      </w:r>
    </w:p>
    <w:p w:rsidR="009F0219" w:rsidRDefault="009F0219" w:rsidP="009F0219">
      <w:r>
        <w:rPr>
          <w:b/>
          <w:i/>
        </w:rPr>
        <w:t>Build local capacities</w:t>
      </w:r>
    </w:p>
    <w:p w:rsidR="009F0219" w:rsidRDefault="009F0219" w:rsidP="009F0219">
      <w:r>
        <w:t xml:space="preserve">The consortium model will be even more efficient and effective as more and more responsibility can be handed to local partners. Building their capacity will help to ensure that the work continues and is responsive and relevant to local needs. It pays off in the long run even if costly to start with. </w:t>
      </w:r>
    </w:p>
    <w:p w:rsidR="009F0219" w:rsidRPr="00E63D8E" w:rsidRDefault="009F0219" w:rsidP="009F0219">
      <w:r>
        <w:t>Supporting local partners through good coordination, sharing of new methods and technologies</w:t>
      </w:r>
      <w:r w:rsidR="00B35152">
        <w:t xml:space="preserve"> </w:t>
      </w:r>
      <w:r>
        <w:t>and providing access to wider networks is a</w:t>
      </w:r>
      <w:r w:rsidR="00B35152">
        <w:t xml:space="preserve">n </w:t>
      </w:r>
      <w:r>
        <w:t>effective ongoing role for international NGOs to play.</w:t>
      </w:r>
    </w:p>
    <w:p w:rsidR="009F0219" w:rsidRDefault="009F0219" w:rsidP="009F0219">
      <w:r>
        <w:rPr>
          <w:b/>
          <w:i/>
        </w:rPr>
        <w:t xml:space="preserve">Coordinate </w:t>
      </w:r>
      <w:r w:rsidR="002C3B31">
        <w:rPr>
          <w:b/>
          <w:i/>
        </w:rPr>
        <w:t>monitoring, evaluation and learning (MEL)</w:t>
      </w:r>
    </w:p>
    <w:p w:rsidR="009F0219" w:rsidRDefault="002C3B31" w:rsidP="009F0219">
      <w:r>
        <w:t>M</w:t>
      </w:r>
      <w:r w:rsidR="009F0219">
        <w:t>onitoring and reporting of results</w:t>
      </w:r>
      <w:r>
        <w:t xml:space="preserve"> for each project was conducted</w:t>
      </w:r>
      <w:r w:rsidR="009F0219">
        <w:t xml:space="preserve"> to meet reporting requirements. </w:t>
      </w:r>
      <w:r>
        <w:t>E</w:t>
      </w:r>
      <w:r w:rsidR="009F0219">
        <w:t>nd</w:t>
      </w:r>
      <w:r>
        <w:t>-</w:t>
      </w:r>
      <w:r w:rsidR="009F0219">
        <w:t>of</w:t>
      </w:r>
      <w:r>
        <w:t>-</w:t>
      </w:r>
      <w:r w:rsidR="009F0219">
        <w:t>project evaluations</w:t>
      </w:r>
      <w:r>
        <w:t xml:space="preserve"> were also carried out</w:t>
      </w:r>
      <w:r w:rsidR="009F0219">
        <w:t>, which assessed progress against outcomes and objectives. Some</w:t>
      </w:r>
      <w:r>
        <w:t xml:space="preserve"> projects</w:t>
      </w:r>
      <w:r w:rsidR="009F0219">
        <w:t xml:space="preserve"> built MEL capacities in local partners. </w:t>
      </w:r>
    </w:p>
    <w:p w:rsidR="009F0219" w:rsidRDefault="009F0219" w:rsidP="009F0219">
      <w:r>
        <w:t>However, at both consortia and program levels, MEL needs to be coordinated to ensure consistency and coherence of reporting across the projects and to provide data that can be aggregated under program</w:t>
      </w:r>
      <w:r w:rsidR="002C3B31">
        <w:t>-</w:t>
      </w:r>
      <w:r>
        <w:t>level outcomes. A program MEL framework developed under a clearly articulated theory of change would be useful in guiding the development of project MEL systems. At project level, it is important that all implementation partners are across the system and have access to specialist MEL expertise if needed. Baselines are essential, in addition to regular systematic monitoring. A balance of stories, case studies and anecdotal evidence with data on productivity</w:t>
      </w:r>
      <w:r w:rsidR="002C3B31">
        <w:t xml:space="preserve"> and </w:t>
      </w:r>
      <w:r>
        <w:t>adoption rates,</w:t>
      </w:r>
      <w:r w:rsidR="002C3B31">
        <w:t xml:space="preserve"> for example,</w:t>
      </w:r>
      <w:r>
        <w:t xml:space="preserve"> is needed to inform evidence</w:t>
      </w:r>
      <w:r w:rsidR="002C3B31">
        <w:t>-</w:t>
      </w:r>
      <w:r>
        <w:t>based reporting.</w:t>
      </w:r>
    </w:p>
    <w:p w:rsidR="009F0219" w:rsidRDefault="009F0219" w:rsidP="009F0219">
      <w:r>
        <w:t>Someone in the consortium/partnership should have responsibility for coordinating monitoring, collating results and providing reports to managers. These should inform project and program</w:t>
      </w:r>
      <w:r w:rsidR="00023D1A">
        <w:t>-</w:t>
      </w:r>
      <w:r>
        <w:t>level reporting of progress against objectives and, where feasible, document development impacts and benefits to people. Dedicated resources are needed for this role.</w:t>
      </w:r>
    </w:p>
    <w:p w:rsidR="009F0219" w:rsidRPr="00DB5D07" w:rsidRDefault="009F0219" w:rsidP="009F0219">
      <w:r>
        <w:t xml:space="preserve">Project partners appreciated opportunities provided for reflection and learning. These included peer-to-peer and cross-country exchanges within projects, and the Nepal workshop, bringing </w:t>
      </w:r>
      <w:r w:rsidR="00537C5A">
        <w:t xml:space="preserve">partners </w:t>
      </w:r>
      <w:r>
        <w:t>together. There is widespread agreement that, given the remarkable synergies and possibilities for value-adding between projects, there should be more of these opportunities in future programs, both within projects and across the program. They should be properly resourced, facilitated and structured as learning activities to share experiences, lessons and approaches.</w:t>
      </w:r>
    </w:p>
    <w:p w:rsidR="00A231B9" w:rsidRDefault="00A231B9" w:rsidP="009E19F2">
      <w:pPr>
        <w:spacing w:after="360"/>
        <w:sectPr w:rsidR="00A231B9">
          <w:pgSz w:w="11900" w:h="16840"/>
          <w:pgMar w:top="1440" w:right="1389" w:bottom="1440" w:left="1440" w:header="709" w:footer="709" w:gutter="0"/>
          <w:pgNumType w:fmt="lowerRoman"/>
          <w:cols w:space="708"/>
        </w:sectPr>
      </w:pPr>
    </w:p>
    <w:p w:rsidR="00A231B9" w:rsidRPr="00A231B9" w:rsidRDefault="00A231B9" w:rsidP="009F0219">
      <w:pPr>
        <w:pStyle w:val="Heading2"/>
      </w:pPr>
      <w:bookmarkStart w:id="5" w:name="_Toc315694446"/>
      <w:r>
        <w:t>Findings and recommendations</w:t>
      </w:r>
      <w:bookmarkEnd w:id="5"/>
    </w:p>
    <w:tbl>
      <w:tblPr>
        <w:tblStyle w:val="TableGrid"/>
        <w:tblW w:w="14142" w:type="dxa"/>
        <w:tblLook w:val="04A0" w:firstRow="1" w:lastRow="0" w:firstColumn="1" w:lastColumn="0" w:noHBand="0" w:noVBand="1"/>
      </w:tblPr>
      <w:tblGrid>
        <w:gridCol w:w="6345"/>
        <w:gridCol w:w="7797"/>
      </w:tblGrid>
      <w:tr w:rsidR="00370165" w:rsidRPr="00650AB0">
        <w:trPr>
          <w:tblHeader/>
        </w:trPr>
        <w:tc>
          <w:tcPr>
            <w:tcW w:w="6345" w:type="dxa"/>
            <w:shd w:val="clear" w:color="auto" w:fill="BCCFF1"/>
          </w:tcPr>
          <w:p w:rsidR="00D0607A" w:rsidRPr="00650AB0" w:rsidRDefault="00D0607A" w:rsidP="009E19F2">
            <w:pPr>
              <w:rPr>
                <w:b/>
                <w:sz w:val="20"/>
              </w:rPr>
            </w:pPr>
            <w:r w:rsidRPr="00650AB0">
              <w:rPr>
                <w:b/>
                <w:sz w:val="20"/>
              </w:rPr>
              <w:t>Finding</w:t>
            </w:r>
          </w:p>
        </w:tc>
        <w:tc>
          <w:tcPr>
            <w:tcW w:w="7797" w:type="dxa"/>
          </w:tcPr>
          <w:p w:rsidR="00D0607A" w:rsidRPr="00650AB0" w:rsidRDefault="00D0607A" w:rsidP="009E19F2">
            <w:pPr>
              <w:rPr>
                <w:b/>
                <w:sz w:val="20"/>
              </w:rPr>
            </w:pPr>
            <w:r w:rsidRPr="00650AB0">
              <w:rPr>
                <w:b/>
                <w:sz w:val="20"/>
              </w:rPr>
              <w:t>Recommendation</w:t>
            </w:r>
          </w:p>
        </w:tc>
      </w:tr>
      <w:tr w:rsidR="00370165">
        <w:tc>
          <w:tcPr>
            <w:tcW w:w="6345" w:type="dxa"/>
            <w:shd w:val="clear" w:color="auto" w:fill="BCCFF1"/>
          </w:tcPr>
          <w:p w:rsidR="00D0607A" w:rsidRDefault="009D6BC6" w:rsidP="004E2057">
            <w:pPr>
              <w:rPr>
                <w:sz w:val="20"/>
              </w:rPr>
            </w:pPr>
            <w:r w:rsidRPr="00650AB0">
              <w:rPr>
                <w:sz w:val="20"/>
              </w:rPr>
              <w:t>The CBCCAG projects built</w:t>
            </w:r>
            <w:r w:rsidR="0050169B" w:rsidRPr="00650AB0">
              <w:rPr>
                <w:sz w:val="20"/>
              </w:rPr>
              <w:t xml:space="preserve"> knowledge and understanding of climate change in vulnerable communities, and connected them with external knowledge networks</w:t>
            </w:r>
            <w:r w:rsidR="00BD3CCF">
              <w:rPr>
                <w:sz w:val="20"/>
              </w:rPr>
              <w:t>.</w:t>
            </w:r>
            <w:r w:rsidR="0050169B" w:rsidRPr="00650AB0">
              <w:rPr>
                <w:sz w:val="20"/>
              </w:rPr>
              <w:t xml:space="preserve"> </w:t>
            </w:r>
            <w:r w:rsidR="00BD3CCF">
              <w:rPr>
                <w:sz w:val="20"/>
              </w:rPr>
              <w:t>T</w:t>
            </w:r>
            <w:r w:rsidR="0050169B" w:rsidRPr="00650AB0">
              <w:rPr>
                <w:sz w:val="20"/>
              </w:rPr>
              <w:t xml:space="preserve">hey facilitated participatory assessments of vulnerability and adaptive capacity, and provided mechanisms and tools </w:t>
            </w:r>
            <w:r w:rsidR="00BD3CCF">
              <w:rPr>
                <w:sz w:val="20"/>
              </w:rPr>
              <w:t xml:space="preserve">that </w:t>
            </w:r>
            <w:r w:rsidR="0050169B" w:rsidRPr="00650AB0">
              <w:rPr>
                <w:sz w:val="20"/>
              </w:rPr>
              <w:t>enabl</w:t>
            </w:r>
            <w:r w:rsidR="00BD3CCF">
              <w:rPr>
                <w:sz w:val="20"/>
              </w:rPr>
              <w:t>ed</w:t>
            </w:r>
            <w:r w:rsidR="0050169B" w:rsidRPr="00650AB0">
              <w:rPr>
                <w:sz w:val="20"/>
              </w:rPr>
              <w:t xml:space="preserve"> communities to discuss and identify options for building resilience through improved livelihood productivity and diversity, </w:t>
            </w:r>
            <w:r w:rsidR="004E2057">
              <w:rPr>
                <w:sz w:val="20"/>
              </w:rPr>
              <w:t xml:space="preserve">productive </w:t>
            </w:r>
            <w:r w:rsidR="0050169B" w:rsidRPr="00650AB0">
              <w:rPr>
                <w:sz w:val="20"/>
              </w:rPr>
              <w:t>management of ecosystems and more effici</w:t>
            </w:r>
            <w:r w:rsidR="00A231B9">
              <w:rPr>
                <w:sz w:val="20"/>
              </w:rPr>
              <w:t xml:space="preserve">ent use of resources. They </w:t>
            </w:r>
            <w:r w:rsidR="0050169B" w:rsidRPr="00650AB0">
              <w:rPr>
                <w:sz w:val="20"/>
              </w:rPr>
              <w:t>provided resources for testing priority options and opportunities to share knowledge and experiences with other communities</w:t>
            </w:r>
            <w:r w:rsidR="00F510B8" w:rsidRPr="00650AB0">
              <w:rPr>
                <w:sz w:val="20"/>
              </w:rPr>
              <w:t xml:space="preserve">. </w:t>
            </w:r>
          </w:p>
          <w:p w:rsidR="00A01D2C" w:rsidRPr="00650AB0" w:rsidRDefault="00A01D2C" w:rsidP="004E2057">
            <w:pPr>
              <w:rPr>
                <w:sz w:val="20"/>
              </w:rPr>
            </w:pPr>
            <w:r w:rsidRPr="00A01D2C">
              <w:rPr>
                <w:sz w:val="20"/>
              </w:rPr>
              <w:t>CBCCAG partners became engaged with the expectation of a future phase. While this was never guaranteed, there is general agreement that further work is needed to secure sustainability of project approaches and lasting impact for beneficiaries. Strong foundations of knowledge, skills and capacities have been established but</w:t>
            </w:r>
            <w:r w:rsidR="00051A09">
              <w:rPr>
                <w:sz w:val="20"/>
              </w:rPr>
              <w:t>,</w:t>
            </w:r>
            <w:r w:rsidRPr="00A01D2C">
              <w:rPr>
                <w:sz w:val="20"/>
              </w:rPr>
              <w:t xml:space="preserve"> less than three years in</w:t>
            </w:r>
            <w:r w:rsidR="00BD3CCF">
              <w:rPr>
                <w:sz w:val="20"/>
              </w:rPr>
              <w:t>, they are</w:t>
            </w:r>
            <w:r w:rsidRPr="00A01D2C">
              <w:rPr>
                <w:sz w:val="20"/>
              </w:rPr>
              <w:t xml:space="preserve"> not </w:t>
            </w:r>
            <w:r w:rsidR="00BD3CCF">
              <w:rPr>
                <w:sz w:val="20"/>
              </w:rPr>
              <w:t xml:space="preserve">established </w:t>
            </w:r>
            <w:r w:rsidRPr="00A01D2C">
              <w:rPr>
                <w:sz w:val="20"/>
              </w:rPr>
              <w:t>enough to see the outcomes and impacts of these achievements. The least useful action at a program level would be to stop now, while there is so much opportunity to consolidate, continue and build on successes and established partnerships, goodwill and networks.</w:t>
            </w:r>
          </w:p>
        </w:tc>
        <w:tc>
          <w:tcPr>
            <w:tcW w:w="7797" w:type="dxa"/>
          </w:tcPr>
          <w:p w:rsidR="00135607" w:rsidRDefault="00CE2964" w:rsidP="009E19F2">
            <w:pPr>
              <w:rPr>
                <w:sz w:val="20"/>
              </w:rPr>
            </w:pPr>
            <w:r w:rsidRPr="00AB2110">
              <w:rPr>
                <w:b/>
                <w:i/>
                <w:sz w:val="20"/>
              </w:rPr>
              <w:t>Keep going:</w:t>
            </w:r>
            <w:r>
              <w:rPr>
                <w:sz w:val="20"/>
              </w:rPr>
              <w:t xml:space="preserve"> I</w:t>
            </w:r>
            <w:r w:rsidR="00D0607A" w:rsidRPr="00650AB0">
              <w:rPr>
                <w:sz w:val="20"/>
              </w:rPr>
              <w:t xml:space="preserve">nvest in a further phase, </w:t>
            </w:r>
            <w:r w:rsidR="004D3A5C" w:rsidRPr="00650AB0">
              <w:rPr>
                <w:sz w:val="20"/>
              </w:rPr>
              <w:t>building on the partnerships and achievements to date</w:t>
            </w:r>
            <w:r w:rsidR="00051A09">
              <w:rPr>
                <w:sz w:val="20"/>
              </w:rPr>
              <w:t>,</w:t>
            </w:r>
            <w:r w:rsidR="004D3A5C" w:rsidRPr="00650AB0">
              <w:rPr>
                <w:sz w:val="20"/>
              </w:rPr>
              <w:t xml:space="preserve"> </w:t>
            </w:r>
            <w:r w:rsidR="00D0607A" w:rsidRPr="00650AB0">
              <w:rPr>
                <w:sz w:val="20"/>
              </w:rPr>
              <w:t>adjusting pathways to impact and appr</w:t>
            </w:r>
            <w:r w:rsidR="0050169B" w:rsidRPr="00650AB0">
              <w:rPr>
                <w:sz w:val="20"/>
              </w:rPr>
              <w:t xml:space="preserve">oaches based on lessons learned. </w:t>
            </w:r>
          </w:p>
          <w:p w:rsidR="0050169B" w:rsidRPr="00650AB0" w:rsidRDefault="0050169B" w:rsidP="009E19F2">
            <w:pPr>
              <w:rPr>
                <w:sz w:val="20"/>
              </w:rPr>
            </w:pPr>
            <w:r w:rsidRPr="00650AB0">
              <w:rPr>
                <w:sz w:val="20"/>
              </w:rPr>
              <w:t>Continue the approach of integrating climate change through a community development lens, focusing on the issues concerning communities, such as food and water s</w:t>
            </w:r>
            <w:r w:rsidR="00594024" w:rsidRPr="00650AB0">
              <w:rPr>
                <w:sz w:val="20"/>
              </w:rPr>
              <w:t>ecurity, health and incomes, that provide</w:t>
            </w:r>
            <w:r w:rsidRPr="00650AB0">
              <w:rPr>
                <w:sz w:val="20"/>
              </w:rPr>
              <w:t xml:space="preserve"> benefits in the short term</w:t>
            </w:r>
            <w:r w:rsidR="00594024" w:rsidRPr="00650AB0">
              <w:rPr>
                <w:sz w:val="20"/>
              </w:rPr>
              <w:t xml:space="preserve"> a</w:t>
            </w:r>
            <w:r w:rsidR="00051A09">
              <w:rPr>
                <w:sz w:val="20"/>
              </w:rPr>
              <w:t>s</w:t>
            </w:r>
            <w:r w:rsidR="00594024" w:rsidRPr="00650AB0">
              <w:rPr>
                <w:sz w:val="20"/>
              </w:rPr>
              <w:t xml:space="preserve"> well as resilience to the specific impacts of climate change</w:t>
            </w:r>
            <w:r w:rsidRPr="00650AB0">
              <w:rPr>
                <w:sz w:val="20"/>
              </w:rPr>
              <w:t xml:space="preserve">. </w:t>
            </w:r>
          </w:p>
          <w:p w:rsidR="00D0607A" w:rsidRPr="00650AB0" w:rsidRDefault="00D0607A" w:rsidP="009E19F2">
            <w:pPr>
              <w:rPr>
                <w:sz w:val="20"/>
              </w:rPr>
            </w:pPr>
          </w:p>
        </w:tc>
      </w:tr>
      <w:tr w:rsidR="00370165">
        <w:tc>
          <w:tcPr>
            <w:tcW w:w="6345" w:type="dxa"/>
            <w:shd w:val="clear" w:color="auto" w:fill="BCCFF1"/>
          </w:tcPr>
          <w:p w:rsidR="00D0607A" w:rsidRPr="00650AB0" w:rsidRDefault="00A231B9" w:rsidP="00EA3CB7">
            <w:pPr>
              <w:rPr>
                <w:sz w:val="20"/>
              </w:rPr>
            </w:pPr>
            <w:r>
              <w:rPr>
                <w:sz w:val="20"/>
              </w:rPr>
              <w:t xml:space="preserve">The projects </w:t>
            </w:r>
            <w:r w:rsidR="0050169B" w:rsidRPr="00650AB0">
              <w:rPr>
                <w:sz w:val="20"/>
              </w:rPr>
              <w:t>e</w:t>
            </w:r>
            <w:r w:rsidR="004E2057">
              <w:rPr>
                <w:sz w:val="20"/>
              </w:rPr>
              <w:t>nabled communities to access</w:t>
            </w:r>
            <w:r w:rsidR="0050169B" w:rsidRPr="00650AB0">
              <w:rPr>
                <w:sz w:val="20"/>
              </w:rPr>
              <w:t xml:space="preserve"> information and expertise to take the risks of climate change into account in their planning.</w:t>
            </w:r>
            <w:r w:rsidR="00594024" w:rsidRPr="00650AB0">
              <w:rPr>
                <w:sz w:val="20"/>
              </w:rPr>
              <w:t xml:space="preserve"> </w:t>
            </w:r>
            <w:r w:rsidR="00582E36">
              <w:rPr>
                <w:sz w:val="20"/>
              </w:rPr>
              <w:t>It proved challenging to g</w:t>
            </w:r>
            <w:r w:rsidR="00594024" w:rsidRPr="00650AB0">
              <w:rPr>
                <w:sz w:val="20"/>
              </w:rPr>
              <w:t>et beyond the basic facts of climate change and provid</w:t>
            </w:r>
            <w:r w:rsidR="007C1057">
              <w:rPr>
                <w:sz w:val="20"/>
              </w:rPr>
              <w:t>e</w:t>
            </w:r>
            <w:r w:rsidR="00594024" w:rsidRPr="00650AB0">
              <w:rPr>
                <w:sz w:val="20"/>
              </w:rPr>
              <w:t xml:space="preserve"> </w:t>
            </w:r>
            <w:r w:rsidR="004E2057">
              <w:rPr>
                <w:sz w:val="20"/>
              </w:rPr>
              <w:t xml:space="preserve">ongoing </w:t>
            </w:r>
            <w:r w:rsidR="00594024" w:rsidRPr="00650AB0">
              <w:rPr>
                <w:sz w:val="20"/>
              </w:rPr>
              <w:t>access to information such as accurate forecasts and projections</w:t>
            </w:r>
            <w:r w:rsidR="00582E36">
              <w:rPr>
                <w:sz w:val="20"/>
              </w:rPr>
              <w:t>. P</w:t>
            </w:r>
            <w:r w:rsidR="00594024" w:rsidRPr="00650AB0">
              <w:rPr>
                <w:sz w:val="20"/>
              </w:rPr>
              <w:t>roviding cost-effective technical expertise to inform development and testing of adaptive livelihood options to reduce risks</w:t>
            </w:r>
            <w:r w:rsidR="00582E36">
              <w:rPr>
                <w:sz w:val="20"/>
              </w:rPr>
              <w:t xml:space="preserve"> was also a challenge</w:t>
            </w:r>
            <w:r w:rsidR="00594024" w:rsidRPr="00650AB0">
              <w:rPr>
                <w:sz w:val="20"/>
              </w:rPr>
              <w:t>.</w:t>
            </w:r>
            <w:r w:rsidR="00B07FF3" w:rsidRPr="00650AB0">
              <w:rPr>
                <w:sz w:val="20"/>
              </w:rPr>
              <w:t xml:space="preserve"> This expertise is critical in cases where new technology and production methods are introduced and for ensuring that options are feasible and effective.</w:t>
            </w:r>
          </w:p>
        </w:tc>
        <w:tc>
          <w:tcPr>
            <w:tcW w:w="7797" w:type="dxa"/>
          </w:tcPr>
          <w:p w:rsidR="00135607" w:rsidRDefault="00AB2110" w:rsidP="009E19F2">
            <w:pPr>
              <w:rPr>
                <w:sz w:val="20"/>
              </w:rPr>
            </w:pPr>
            <w:r>
              <w:rPr>
                <w:b/>
                <w:i/>
                <w:sz w:val="20"/>
              </w:rPr>
              <w:t xml:space="preserve">Go deeper: </w:t>
            </w:r>
            <w:r w:rsidR="00594024" w:rsidRPr="00650AB0">
              <w:rPr>
                <w:sz w:val="20"/>
              </w:rPr>
              <w:t>Deepen community understanding of the risks that changing weather and climate poses for their lives and livelihoods</w:t>
            </w:r>
            <w:r w:rsidR="00051A09">
              <w:rPr>
                <w:sz w:val="20"/>
              </w:rPr>
              <w:t>.</w:t>
            </w:r>
            <w:r w:rsidR="00594024" w:rsidRPr="00650AB0">
              <w:rPr>
                <w:sz w:val="20"/>
              </w:rPr>
              <w:t xml:space="preserve"> </w:t>
            </w:r>
            <w:r w:rsidR="00051A09">
              <w:rPr>
                <w:sz w:val="20"/>
              </w:rPr>
              <w:t>K</w:t>
            </w:r>
            <w:r w:rsidR="00594024" w:rsidRPr="00650AB0">
              <w:rPr>
                <w:sz w:val="20"/>
              </w:rPr>
              <w:t>eep working on enabling their timely, ongoing access to good information</w:t>
            </w:r>
            <w:r w:rsidR="00051A09">
              <w:rPr>
                <w:sz w:val="20"/>
              </w:rPr>
              <w:t xml:space="preserve"> </w:t>
            </w:r>
            <w:r w:rsidR="00594024" w:rsidRPr="00650AB0">
              <w:rPr>
                <w:sz w:val="20"/>
              </w:rPr>
              <w:t>such as forecasts and warnings</w:t>
            </w:r>
            <w:r w:rsidR="00051A09">
              <w:rPr>
                <w:sz w:val="20"/>
              </w:rPr>
              <w:t xml:space="preserve"> so </w:t>
            </w:r>
            <w:r w:rsidR="00594024" w:rsidRPr="00650AB0">
              <w:rPr>
                <w:sz w:val="20"/>
              </w:rPr>
              <w:t>that they can incorporate</w:t>
            </w:r>
            <w:r w:rsidR="00051A09">
              <w:rPr>
                <w:sz w:val="20"/>
              </w:rPr>
              <w:t xml:space="preserve"> it</w:t>
            </w:r>
            <w:r w:rsidR="00594024" w:rsidRPr="00650AB0">
              <w:rPr>
                <w:sz w:val="20"/>
              </w:rPr>
              <w:t xml:space="preserve"> into their planning and investment. </w:t>
            </w:r>
          </w:p>
          <w:p w:rsidR="00135607" w:rsidRDefault="00594024" w:rsidP="009E19F2">
            <w:pPr>
              <w:rPr>
                <w:sz w:val="20"/>
              </w:rPr>
            </w:pPr>
            <w:r w:rsidRPr="00650AB0">
              <w:rPr>
                <w:sz w:val="20"/>
              </w:rPr>
              <w:t>Look for opportunities and partnerships to broker knowledge</w:t>
            </w:r>
            <w:r w:rsidR="00051A09">
              <w:rPr>
                <w:sz w:val="20"/>
              </w:rPr>
              <w:t xml:space="preserve">, and for </w:t>
            </w:r>
            <w:r w:rsidRPr="00650AB0">
              <w:rPr>
                <w:sz w:val="20"/>
              </w:rPr>
              <w:t xml:space="preserve">translating and making complex technical information </w:t>
            </w:r>
            <w:r w:rsidR="004E2057" w:rsidRPr="00650AB0">
              <w:rPr>
                <w:sz w:val="20"/>
              </w:rPr>
              <w:t>acce</w:t>
            </w:r>
            <w:r w:rsidR="004E2057">
              <w:rPr>
                <w:sz w:val="20"/>
              </w:rPr>
              <w:t xml:space="preserve">ssible to communities </w:t>
            </w:r>
            <w:r w:rsidRPr="00650AB0">
              <w:rPr>
                <w:sz w:val="20"/>
              </w:rPr>
              <w:t>in forms that make sense and can be applied in their livelihood systems.</w:t>
            </w:r>
            <w:r w:rsidR="000C4643" w:rsidRPr="00650AB0">
              <w:rPr>
                <w:sz w:val="20"/>
              </w:rPr>
              <w:t xml:space="preserve"> Try to ensure that the knowledge is integrated in community knowledge systems (e.g. for food and water security) and is not disconnected from dec</w:t>
            </w:r>
            <w:r w:rsidR="004E2057">
              <w:rPr>
                <w:sz w:val="20"/>
              </w:rPr>
              <w:t>ision-</w:t>
            </w:r>
            <w:r w:rsidR="000C4643" w:rsidRPr="00650AB0">
              <w:rPr>
                <w:sz w:val="20"/>
              </w:rPr>
              <w:t xml:space="preserve">making processes. </w:t>
            </w:r>
            <w:r w:rsidR="00DE227A">
              <w:rPr>
                <w:sz w:val="20"/>
              </w:rPr>
              <w:t xml:space="preserve">Always tailor communication to the education </w:t>
            </w:r>
            <w:r w:rsidR="00614819">
              <w:rPr>
                <w:sz w:val="20"/>
              </w:rPr>
              <w:t>and te</w:t>
            </w:r>
            <w:r w:rsidR="009E79DD">
              <w:rPr>
                <w:sz w:val="20"/>
              </w:rPr>
              <w:t>chnology levels of</w:t>
            </w:r>
            <w:r w:rsidR="004E2057">
              <w:rPr>
                <w:sz w:val="20"/>
              </w:rPr>
              <w:t xml:space="preserve"> communities; engage them in it</w:t>
            </w:r>
            <w:r w:rsidR="009E79DD">
              <w:rPr>
                <w:sz w:val="20"/>
              </w:rPr>
              <w:t>s production.</w:t>
            </w:r>
          </w:p>
          <w:p w:rsidR="00D0607A" w:rsidRPr="00650AB0" w:rsidRDefault="000C4643" w:rsidP="009E19F2">
            <w:pPr>
              <w:rPr>
                <w:sz w:val="20"/>
              </w:rPr>
            </w:pPr>
            <w:r w:rsidRPr="00650AB0">
              <w:rPr>
                <w:sz w:val="20"/>
              </w:rPr>
              <w:t>Look for partnerships that can help to build technical skills locally over</w:t>
            </w:r>
            <w:r w:rsidR="00D612FC">
              <w:rPr>
                <w:sz w:val="20"/>
              </w:rPr>
              <w:t xml:space="preserve"> </w:t>
            </w:r>
            <w:r w:rsidRPr="00650AB0">
              <w:rPr>
                <w:sz w:val="20"/>
              </w:rPr>
              <w:t>time, including in local government extension services</w:t>
            </w:r>
            <w:r w:rsidR="004E2057">
              <w:rPr>
                <w:sz w:val="20"/>
              </w:rPr>
              <w:t>,</w:t>
            </w:r>
            <w:r w:rsidR="00AD4EBC" w:rsidRPr="00650AB0">
              <w:rPr>
                <w:sz w:val="20"/>
              </w:rPr>
              <w:t xml:space="preserve"> and to support extension centres (such as climate centres and field schools) as their capacity to provide accurate, timely</w:t>
            </w:r>
            <w:r w:rsidR="00D612FC">
              <w:rPr>
                <w:sz w:val="20"/>
              </w:rPr>
              <w:t>,</w:t>
            </w:r>
            <w:r w:rsidR="00AD4EBC" w:rsidRPr="00650AB0">
              <w:rPr>
                <w:sz w:val="20"/>
              </w:rPr>
              <w:t xml:space="preserve"> relevant information to communities gradually develops</w:t>
            </w:r>
            <w:r w:rsidRPr="00650AB0">
              <w:rPr>
                <w:sz w:val="20"/>
              </w:rPr>
              <w:t>.</w:t>
            </w:r>
          </w:p>
        </w:tc>
      </w:tr>
      <w:tr w:rsidR="00370165">
        <w:tc>
          <w:tcPr>
            <w:tcW w:w="6345" w:type="dxa"/>
            <w:shd w:val="clear" w:color="auto" w:fill="BCCFF1"/>
          </w:tcPr>
          <w:p w:rsidR="0050169B" w:rsidRPr="00650AB0" w:rsidRDefault="00AA2087" w:rsidP="009E19F2">
            <w:pPr>
              <w:rPr>
                <w:sz w:val="20"/>
              </w:rPr>
            </w:pPr>
            <w:r w:rsidRPr="00650AB0">
              <w:rPr>
                <w:sz w:val="20"/>
              </w:rPr>
              <w:t>Projects have enabled communities to consider and discuss potential climate change risks in the context of their knowledge systems. Rural communities are experienced in dealing with weather variability, having coped for centuries with poor seasons</w:t>
            </w:r>
            <w:r w:rsidR="00D612FC">
              <w:rPr>
                <w:sz w:val="20"/>
              </w:rPr>
              <w:t xml:space="preserve"> and</w:t>
            </w:r>
            <w:r w:rsidRPr="00650AB0">
              <w:rPr>
                <w:sz w:val="20"/>
              </w:rPr>
              <w:t xml:space="preserve"> false starts to wet seasons, floods and droughts. Their livelihood systems contain important sources of in-built resilience</w:t>
            </w:r>
            <w:r w:rsidR="004E2057">
              <w:rPr>
                <w:sz w:val="20"/>
              </w:rPr>
              <w:t>.</w:t>
            </w:r>
          </w:p>
        </w:tc>
        <w:tc>
          <w:tcPr>
            <w:tcW w:w="7797" w:type="dxa"/>
          </w:tcPr>
          <w:p w:rsidR="00135607" w:rsidRDefault="00AB2110" w:rsidP="009E19F2">
            <w:pPr>
              <w:rPr>
                <w:sz w:val="20"/>
              </w:rPr>
            </w:pPr>
            <w:r>
              <w:rPr>
                <w:b/>
                <w:i/>
                <w:sz w:val="20"/>
              </w:rPr>
              <w:t xml:space="preserve">Integrate science and traditional knowledge: </w:t>
            </w:r>
            <w:r w:rsidR="00AA2087" w:rsidRPr="00650AB0">
              <w:rPr>
                <w:sz w:val="20"/>
              </w:rPr>
              <w:t>Continue and enhance the integration of scientific and technical knowledge for understanding and managing the risks of climate change with community knowledge of their environment, their development context and their liveliho</w:t>
            </w:r>
            <w:r w:rsidR="00135607">
              <w:rPr>
                <w:sz w:val="20"/>
              </w:rPr>
              <w:t>od systems.</w:t>
            </w:r>
            <w:r w:rsidR="00EF409C">
              <w:rPr>
                <w:sz w:val="20"/>
              </w:rPr>
              <w:t xml:space="preserve"> C</w:t>
            </w:r>
            <w:r>
              <w:rPr>
                <w:sz w:val="20"/>
              </w:rPr>
              <w:t>ommunities</w:t>
            </w:r>
            <w:r w:rsidR="00135607">
              <w:rPr>
                <w:sz w:val="20"/>
              </w:rPr>
              <w:t xml:space="preserve"> are best placed</w:t>
            </w:r>
            <w:r w:rsidR="00D612FC">
              <w:rPr>
                <w:sz w:val="20"/>
              </w:rPr>
              <w:t xml:space="preserve"> </w:t>
            </w:r>
            <w:r w:rsidR="00AA2087" w:rsidRPr="00650AB0">
              <w:rPr>
                <w:sz w:val="20"/>
              </w:rPr>
              <w:t>to develop adaptive option</w:t>
            </w:r>
            <w:r w:rsidR="00312D17">
              <w:rPr>
                <w:sz w:val="20"/>
              </w:rPr>
              <w:t>s,</w:t>
            </w:r>
            <w:r w:rsidR="00AA2087" w:rsidRPr="00650AB0">
              <w:rPr>
                <w:sz w:val="20"/>
              </w:rPr>
              <w:t xml:space="preserve"> initially from within their livelihood systems</w:t>
            </w:r>
            <w:r w:rsidR="00312D17">
              <w:rPr>
                <w:sz w:val="20"/>
              </w:rPr>
              <w:t xml:space="preserve">, </w:t>
            </w:r>
            <w:r w:rsidR="00EF409C">
              <w:rPr>
                <w:sz w:val="20"/>
              </w:rPr>
              <w:t>w</w:t>
            </w:r>
            <w:r w:rsidR="00EF409C" w:rsidRPr="00650AB0">
              <w:rPr>
                <w:sz w:val="20"/>
              </w:rPr>
              <w:t xml:space="preserve">hen </w:t>
            </w:r>
            <w:r w:rsidR="00EF409C">
              <w:rPr>
                <w:sz w:val="20"/>
              </w:rPr>
              <w:t xml:space="preserve">they are </w:t>
            </w:r>
            <w:r w:rsidR="00EF409C" w:rsidRPr="00650AB0">
              <w:rPr>
                <w:sz w:val="20"/>
              </w:rPr>
              <w:t>provided with a reasonable depth of understanding of the risks and likely impacts of climate change</w:t>
            </w:r>
            <w:r w:rsidR="00EF409C">
              <w:rPr>
                <w:sz w:val="20"/>
              </w:rPr>
              <w:t>.</w:t>
            </w:r>
          </w:p>
          <w:p w:rsidR="00135607" w:rsidRDefault="00AA2087" w:rsidP="009E19F2">
            <w:pPr>
              <w:rPr>
                <w:sz w:val="20"/>
              </w:rPr>
            </w:pPr>
            <w:r w:rsidRPr="00650AB0">
              <w:rPr>
                <w:sz w:val="20"/>
              </w:rPr>
              <w:t xml:space="preserve">Work with local partners to understand these systems before new technology and options for reducing the risks of climate change are introduced, so that they can better identify ways to meet local needs. </w:t>
            </w:r>
          </w:p>
          <w:p w:rsidR="0050169B" w:rsidRPr="00650AB0" w:rsidRDefault="00AA2087" w:rsidP="009E19F2">
            <w:pPr>
              <w:rPr>
                <w:sz w:val="20"/>
              </w:rPr>
            </w:pPr>
            <w:r w:rsidRPr="00650AB0">
              <w:rPr>
                <w:sz w:val="20"/>
              </w:rPr>
              <w:t>Continue to incorporate traditional knowledge and practi</w:t>
            </w:r>
            <w:r w:rsidR="00D612FC">
              <w:rPr>
                <w:sz w:val="20"/>
              </w:rPr>
              <w:t>c</w:t>
            </w:r>
            <w:r w:rsidRPr="00650AB0">
              <w:rPr>
                <w:sz w:val="20"/>
              </w:rPr>
              <w:t>e in assessments of vulnerability and adaptive capacity, and facilitate the use of local resource governance mechanisms and jurisdiction.</w:t>
            </w:r>
          </w:p>
        </w:tc>
      </w:tr>
      <w:tr w:rsidR="00370165">
        <w:tc>
          <w:tcPr>
            <w:tcW w:w="6345" w:type="dxa"/>
            <w:shd w:val="clear" w:color="auto" w:fill="BCCFF1"/>
          </w:tcPr>
          <w:p w:rsidR="00D0607A" w:rsidRPr="00650AB0" w:rsidRDefault="00AA2087" w:rsidP="009E19F2">
            <w:pPr>
              <w:rPr>
                <w:sz w:val="20"/>
              </w:rPr>
            </w:pPr>
            <w:r w:rsidRPr="00650AB0">
              <w:rPr>
                <w:sz w:val="20"/>
              </w:rPr>
              <w:t>Projects have built community confidence in managing the</w:t>
            </w:r>
            <w:r w:rsidR="00051C98">
              <w:rPr>
                <w:sz w:val="20"/>
              </w:rPr>
              <w:t>ir understanding of the</w:t>
            </w:r>
            <w:r w:rsidRPr="00650AB0">
              <w:rPr>
                <w:sz w:val="20"/>
              </w:rPr>
              <w:t xml:space="preserve"> </w:t>
            </w:r>
            <w:r w:rsidR="002C2404" w:rsidRPr="00650AB0">
              <w:rPr>
                <w:sz w:val="20"/>
              </w:rPr>
              <w:t xml:space="preserve">immediate </w:t>
            </w:r>
            <w:r w:rsidRPr="00650AB0">
              <w:rPr>
                <w:sz w:val="20"/>
              </w:rPr>
              <w:t xml:space="preserve">risks of climate change (e.g. </w:t>
            </w:r>
            <w:r w:rsidR="002C2404" w:rsidRPr="00650AB0">
              <w:rPr>
                <w:sz w:val="20"/>
              </w:rPr>
              <w:t xml:space="preserve">variable and </w:t>
            </w:r>
            <w:r w:rsidRPr="00650AB0">
              <w:rPr>
                <w:sz w:val="20"/>
              </w:rPr>
              <w:t>extreme weather</w:t>
            </w:r>
            <w:r w:rsidR="002C2404" w:rsidRPr="00650AB0">
              <w:rPr>
                <w:sz w:val="20"/>
              </w:rPr>
              <w:t xml:space="preserve">). </w:t>
            </w:r>
            <w:r w:rsidR="00594024" w:rsidRPr="00650AB0">
              <w:rPr>
                <w:sz w:val="20"/>
              </w:rPr>
              <w:t>Levels</w:t>
            </w:r>
            <w:r w:rsidRPr="00650AB0">
              <w:rPr>
                <w:sz w:val="20"/>
              </w:rPr>
              <w:t xml:space="preserve"> of confidence and orga</w:t>
            </w:r>
            <w:r w:rsidR="00594024" w:rsidRPr="00650AB0">
              <w:rPr>
                <w:sz w:val="20"/>
              </w:rPr>
              <w:t>n</w:t>
            </w:r>
            <w:r w:rsidRPr="00650AB0">
              <w:rPr>
                <w:sz w:val="20"/>
              </w:rPr>
              <w:t>i</w:t>
            </w:r>
            <w:r w:rsidR="00594024" w:rsidRPr="00650AB0">
              <w:rPr>
                <w:sz w:val="20"/>
              </w:rPr>
              <w:t>sation</w:t>
            </w:r>
            <w:r w:rsidR="002C2404" w:rsidRPr="00650AB0">
              <w:rPr>
                <w:sz w:val="20"/>
              </w:rPr>
              <w:t xml:space="preserve"> have increased</w:t>
            </w:r>
            <w:r w:rsidR="00D612FC">
              <w:rPr>
                <w:sz w:val="20"/>
              </w:rPr>
              <w:t>,</w:t>
            </w:r>
            <w:r w:rsidR="002C2404" w:rsidRPr="00650AB0">
              <w:rPr>
                <w:sz w:val="20"/>
              </w:rPr>
              <w:t xml:space="preserve"> leaders have emerged</w:t>
            </w:r>
            <w:r w:rsidR="00D612FC">
              <w:rPr>
                <w:sz w:val="20"/>
              </w:rPr>
              <w:t xml:space="preserve"> and</w:t>
            </w:r>
            <w:r w:rsidR="002C2404" w:rsidRPr="00650AB0">
              <w:rPr>
                <w:sz w:val="20"/>
              </w:rPr>
              <w:t xml:space="preserve"> people feel better prepared.</w:t>
            </w:r>
          </w:p>
        </w:tc>
        <w:tc>
          <w:tcPr>
            <w:tcW w:w="7797" w:type="dxa"/>
          </w:tcPr>
          <w:p w:rsidR="00D0607A" w:rsidRPr="00650AB0" w:rsidRDefault="00AB2110" w:rsidP="00AB2110">
            <w:pPr>
              <w:rPr>
                <w:sz w:val="20"/>
              </w:rPr>
            </w:pPr>
            <w:r>
              <w:rPr>
                <w:b/>
                <w:i/>
                <w:sz w:val="20"/>
              </w:rPr>
              <w:t xml:space="preserve">Work with community governance structures: </w:t>
            </w:r>
            <w:r w:rsidR="000C4643" w:rsidRPr="00650AB0">
              <w:rPr>
                <w:sz w:val="20"/>
              </w:rPr>
              <w:t xml:space="preserve">Continue to provide facilities for communities to organise around climate change </w:t>
            </w:r>
            <w:r w:rsidR="00AD4EBC" w:rsidRPr="00650AB0">
              <w:rPr>
                <w:sz w:val="20"/>
              </w:rPr>
              <w:t>issues. Make sure these are conn</w:t>
            </w:r>
            <w:r>
              <w:rPr>
                <w:sz w:val="20"/>
              </w:rPr>
              <w:t>ected to</w:t>
            </w:r>
            <w:r w:rsidR="00AD4EBC" w:rsidRPr="00650AB0">
              <w:rPr>
                <w:sz w:val="20"/>
              </w:rPr>
              <w:t xml:space="preserve"> mainstream community development planning groups and systems (e.g. farmer and water groups)</w:t>
            </w:r>
            <w:r w:rsidR="00A12040" w:rsidRPr="00650AB0">
              <w:rPr>
                <w:sz w:val="20"/>
              </w:rPr>
              <w:t xml:space="preserve"> and that the knowledge and experience are integrated, informing the decisions of these organisations.</w:t>
            </w:r>
            <w:r w:rsidR="00D612FC">
              <w:rPr>
                <w:sz w:val="20"/>
              </w:rPr>
              <w:t xml:space="preserve"> </w:t>
            </w:r>
            <w:r w:rsidR="00051C98">
              <w:rPr>
                <w:sz w:val="20"/>
              </w:rPr>
              <w:t>These connections can be mutually reinforcing, providing knowledge and capacity building across sectors and interests.</w:t>
            </w:r>
          </w:p>
        </w:tc>
      </w:tr>
      <w:tr w:rsidR="00370165">
        <w:tc>
          <w:tcPr>
            <w:tcW w:w="6345" w:type="dxa"/>
            <w:shd w:val="clear" w:color="auto" w:fill="BCCFF1"/>
          </w:tcPr>
          <w:p w:rsidR="00D0607A" w:rsidRDefault="00A12040" w:rsidP="009E19F2">
            <w:pPr>
              <w:rPr>
                <w:sz w:val="20"/>
              </w:rPr>
            </w:pPr>
            <w:r w:rsidRPr="00650AB0">
              <w:rPr>
                <w:sz w:val="20"/>
              </w:rPr>
              <w:t>Within the structures of community governance, the projects provided facilities and mechanisms to encourage inclusive participation in project activities. This is critical to effective climate change adaptation because people’s vulnerabilities and roles in the community vary</w:t>
            </w:r>
            <w:r w:rsidR="00582E36">
              <w:rPr>
                <w:sz w:val="20"/>
              </w:rPr>
              <w:t>.</w:t>
            </w:r>
            <w:r w:rsidR="000A2E51">
              <w:rPr>
                <w:sz w:val="20"/>
              </w:rPr>
              <w:t xml:space="preserve"> </w:t>
            </w:r>
            <w:r w:rsidR="00582E36">
              <w:rPr>
                <w:sz w:val="20"/>
              </w:rPr>
              <w:t>U</w:t>
            </w:r>
            <w:r w:rsidRPr="00650AB0">
              <w:rPr>
                <w:sz w:val="20"/>
              </w:rPr>
              <w:t>nless they are represented and engaged, some major risks, opportunities and skill sets may be missed. Successful mechanisms were demonstrated for including women</w:t>
            </w:r>
            <w:r w:rsidR="00D612FC">
              <w:rPr>
                <w:sz w:val="20"/>
              </w:rPr>
              <w:t>,</w:t>
            </w:r>
            <w:r w:rsidRPr="00650AB0">
              <w:rPr>
                <w:sz w:val="20"/>
              </w:rPr>
              <w:t xml:space="preserve"> and for child-led and child-centred approaches</w:t>
            </w:r>
            <w:r w:rsidR="00582E36">
              <w:rPr>
                <w:sz w:val="20"/>
              </w:rPr>
              <w:t>.</w:t>
            </w:r>
            <w:r w:rsidRPr="00650AB0">
              <w:rPr>
                <w:sz w:val="20"/>
              </w:rPr>
              <w:t xml:space="preserve"> </w:t>
            </w:r>
            <w:r w:rsidR="00582E36">
              <w:rPr>
                <w:sz w:val="20"/>
              </w:rPr>
              <w:t>T</w:t>
            </w:r>
            <w:r w:rsidRPr="00650AB0">
              <w:rPr>
                <w:sz w:val="20"/>
              </w:rPr>
              <w:t xml:space="preserve">here was less progress in ensuring participation of vulnerable groups such as people with disabilities. </w:t>
            </w:r>
            <w:r w:rsidR="00582E36">
              <w:rPr>
                <w:sz w:val="20"/>
              </w:rPr>
              <w:t>E</w:t>
            </w:r>
            <w:r w:rsidRPr="00650AB0">
              <w:rPr>
                <w:sz w:val="20"/>
              </w:rPr>
              <w:t xml:space="preserve">ffective mechanisms for women’s engagement included </w:t>
            </w:r>
            <w:r w:rsidR="00256DD5">
              <w:rPr>
                <w:sz w:val="20"/>
              </w:rPr>
              <w:t>women</w:t>
            </w:r>
            <w:r w:rsidRPr="00650AB0">
              <w:rPr>
                <w:sz w:val="20"/>
              </w:rPr>
              <w:t xml:space="preserve"> in project activities </w:t>
            </w:r>
            <w:r w:rsidR="00582E36">
              <w:rPr>
                <w:sz w:val="20"/>
              </w:rPr>
              <w:t>and f</w:t>
            </w:r>
            <w:r w:rsidRPr="00650AB0">
              <w:rPr>
                <w:sz w:val="20"/>
              </w:rPr>
              <w:t xml:space="preserve">ocused activities on their roles (e.g. </w:t>
            </w:r>
            <w:r w:rsidR="00256DD5">
              <w:rPr>
                <w:sz w:val="20"/>
              </w:rPr>
              <w:t xml:space="preserve">as </w:t>
            </w:r>
            <w:r w:rsidRPr="00650AB0">
              <w:rPr>
                <w:sz w:val="20"/>
              </w:rPr>
              <w:t>kitchen garden</w:t>
            </w:r>
            <w:r w:rsidR="00256DD5">
              <w:rPr>
                <w:sz w:val="20"/>
              </w:rPr>
              <w:t>ers</w:t>
            </w:r>
            <w:r w:rsidRPr="00650AB0">
              <w:rPr>
                <w:sz w:val="20"/>
              </w:rPr>
              <w:t>)</w:t>
            </w:r>
            <w:r w:rsidR="00582E36">
              <w:rPr>
                <w:sz w:val="20"/>
              </w:rPr>
              <w:t xml:space="preserve">. They </w:t>
            </w:r>
            <w:r w:rsidRPr="00650AB0">
              <w:rPr>
                <w:sz w:val="20"/>
              </w:rPr>
              <w:t>work</w:t>
            </w:r>
            <w:r w:rsidR="00582E36">
              <w:rPr>
                <w:sz w:val="20"/>
              </w:rPr>
              <w:t>ed</w:t>
            </w:r>
            <w:r w:rsidRPr="00650AB0">
              <w:rPr>
                <w:sz w:val="20"/>
              </w:rPr>
              <w:t xml:space="preserve"> within accepted community norms</w:t>
            </w:r>
            <w:r w:rsidR="00582E36">
              <w:rPr>
                <w:sz w:val="20"/>
              </w:rPr>
              <w:t xml:space="preserve"> while </w:t>
            </w:r>
            <w:r w:rsidRPr="00650AB0">
              <w:rPr>
                <w:sz w:val="20"/>
              </w:rPr>
              <w:t xml:space="preserve">providing opportunities for women to produce and sell more, and manage finances, with benefits for </w:t>
            </w:r>
            <w:r w:rsidR="00381631">
              <w:rPr>
                <w:sz w:val="20"/>
              </w:rPr>
              <w:t xml:space="preserve">them and their </w:t>
            </w:r>
            <w:r w:rsidRPr="00650AB0">
              <w:rPr>
                <w:sz w:val="20"/>
              </w:rPr>
              <w:t>families.</w:t>
            </w:r>
          </w:p>
          <w:p w:rsidR="00CE2964" w:rsidRPr="00650AB0" w:rsidRDefault="00CE2964" w:rsidP="009E19F2">
            <w:pPr>
              <w:rPr>
                <w:sz w:val="20"/>
              </w:rPr>
            </w:pPr>
            <w:r>
              <w:rPr>
                <w:sz w:val="20"/>
              </w:rPr>
              <w:t>The skills and enthusiasm of children/youth as messengers and advocates for climate change was demonstrated, and their participation in local planning facilitated. Their contributions will increase over</w:t>
            </w:r>
            <w:r w:rsidR="00256DD5">
              <w:rPr>
                <w:sz w:val="20"/>
              </w:rPr>
              <w:t xml:space="preserve"> </w:t>
            </w:r>
            <w:r>
              <w:rPr>
                <w:sz w:val="20"/>
              </w:rPr>
              <w:t>time as their knowledge and skills deepen, including through the formal education system. Child-led/child-centred approaches were successful in harnessing their natural curiosity and enthusiasm for an issue that will affect their lives more than any</w:t>
            </w:r>
            <w:r w:rsidR="00256DD5">
              <w:rPr>
                <w:sz w:val="20"/>
              </w:rPr>
              <w:t xml:space="preserve"> other</w:t>
            </w:r>
            <w:r>
              <w:rPr>
                <w:sz w:val="20"/>
              </w:rPr>
              <w:t>.</w:t>
            </w:r>
            <w:r w:rsidR="00850052">
              <w:rPr>
                <w:sz w:val="20"/>
              </w:rPr>
              <w:t xml:space="preserve"> They bring unique perspectives and powerful skills</w:t>
            </w:r>
            <w:r w:rsidR="00256DD5">
              <w:rPr>
                <w:sz w:val="20"/>
              </w:rPr>
              <w:t xml:space="preserve"> and </w:t>
            </w:r>
            <w:r w:rsidR="00850052">
              <w:rPr>
                <w:sz w:val="20"/>
              </w:rPr>
              <w:t xml:space="preserve">approaches to advocacy, particularly when communicating to their peers. </w:t>
            </w:r>
          </w:p>
        </w:tc>
        <w:tc>
          <w:tcPr>
            <w:tcW w:w="7797" w:type="dxa"/>
          </w:tcPr>
          <w:p w:rsidR="00135607" w:rsidRDefault="00AB2110" w:rsidP="009E19F2">
            <w:pPr>
              <w:rPr>
                <w:sz w:val="20"/>
              </w:rPr>
            </w:pPr>
            <w:r>
              <w:rPr>
                <w:b/>
                <w:i/>
                <w:sz w:val="20"/>
              </w:rPr>
              <w:t xml:space="preserve">Tailor activities to the needs, roles and skills of different groups: </w:t>
            </w:r>
            <w:r w:rsidR="005672C0" w:rsidRPr="00650AB0">
              <w:rPr>
                <w:sz w:val="20"/>
              </w:rPr>
              <w:t xml:space="preserve">Ensure that the vulnerabilities of all groups in the community are fully appreciated, discussed and assessed. </w:t>
            </w:r>
            <w:r w:rsidR="00B04299" w:rsidRPr="00650AB0">
              <w:rPr>
                <w:sz w:val="20"/>
              </w:rPr>
              <w:t>Provide opportunities</w:t>
            </w:r>
            <w:r w:rsidR="00B3663D" w:rsidRPr="00650AB0">
              <w:rPr>
                <w:sz w:val="20"/>
              </w:rPr>
              <w:t>/spaces</w:t>
            </w:r>
            <w:r w:rsidR="00B04299" w:rsidRPr="00650AB0">
              <w:rPr>
                <w:sz w:val="20"/>
              </w:rPr>
              <w:t xml:space="preserve"> for all groups to access the knowledge they need for these discussions. </w:t>
            </w:r>
            <w:r w:rsidR="00B3663D" w:rsidRPr="00650AB0">
              <w:rPr>
                <w:sz w:val="20"/>
              </w:rPr>
              <w:t>Make sure there are me</w:t>
            </w:r>
            <w:r>
              <w:rPr>
                <w:sz w:val="20"/>
              </w:rPr>
              <w:t>chanisms to connect these</w:t>
            </w:r>
            <w:r w:rsidR="00B3663D" w:rsidRPr="00650AB0">
              <w:rPr>
                <w:sz w:val="20"/>
              </w:rPr>
              <w:t xml:space="preserve"> with mainstream community development decision-making. </w:t>
            </w:r>
          </w:p>
          <w:p w:rsidR="00D0607A" w:rsidRDefault="00530097" w:rsidP="009E19F2">
            <w:pPr>
              <w:rPr>
                <w:sz w:val="20"/>
              </w:rPr>
            </w:pPr>
            <w:r w:rsidRPr="00650AB0">
              <w:rPr>
                <w:sz w:val="20"/>
              </w:rPr>
              <w:t>Focus resilience</w:t>
            </w:r>
            <w:r w:rsidR="00256DD5">
              <w:rPr>
                <w:sz w:val="20"/>
              </w:rPr>
              <w:t>-</w:t>
            </w:r>
            <w:r w:rsidRPr="00650AB0">
              <w:rPr>
                <w:sz w:val="20"/>
              </w:rPr>
              <w:t>building activities on the roles of groups that may not be active in traditional decision</w:t>
            </w:r>
            <w:r w:rsidR="00256DD5">
              <w:rPr>
                <w:sz w:val="20"/>
              </w:rPr>
              <w:t>-</w:t>
            </w:r>
            <w:r w:rsidRPr="00650AB0">
              <w:rPr>
                <w:sz w:val="20"/>
              </w:rPr>
              <w:t>making in communit</w:t>
            </w:r>
            <w:r w:rsidR="00232A67" w:rsidRPr="00650AB0">
              <w:rPr>
                <w:sz w:val="20"/>
              </w:rPr>
              <w:t>ies, providing opportunities for them to understand and discuss</w:t>
            </w:r>
            <w:r w:rsidR="00B04299" w:rsidRPr="00650AB0">
              <w:rPr>
                <w:sz w:val="20"/>
              </w:rPr>
              <w:t xml:space="preserve"> the risks within</w:t>
            </w:r>
            <w:r w:rsidR="00232A67" w:rsidRPr="00650AB0">
              <w:rPr>
                <w:sz w:val="20"/>
              </w:rPr>
              <w:t xml:space="preserve"> their particular circumstances, and to come up with ways to reduce the risks and contribute to the resilience of the whole community.</w:t>
            </w:r>
            <w:r w:rsidR="005672C0" w:rsidRPr="00650AB0">
              <w:rPr>
                <w:sz w:val="20"/>
              </w:rPr>
              <w:t xml:space="preserve"> </w:t>
            </w:r>
          </w:p>
          <w:p w:rsidR="00850052" w:rsidRDefault="00850052" w:rsidP="00850052">
            <w:pPr>
              <w:rPr>
                <w:sz w:val="20"/>
              </w:rPr>
            </w:pPr>
            <w:r>
              <w:rPr>
                <w:sz w:val="20"/>
              </w:rPr>
              <w:t xml:space="preserve">Include child-led and child-centred approaches to engage children/youth in vulnerability assessments, adaptation planning and </w:t>
            </w:r>
            <w:r w:rsidR="00256DD5">
              <w:rPr>
                <w:sz w:val="20"/>
              </w:rPr>
              <w:t xml:space="preserve">local </w:t>
            </w:r>
            <w:r>
              <w:rPr>
                <w:sz w:val="20"/>
              </w:rPr>
              <w:t>action. Their inputs are unique and essential to overall community resilience. Specific expertise and methods are needed for this</w:t>
            </w:r>
            <w:r w:rsidR="00946EC6">
              <w:rPr>
                <w:sz w:val="20"/>
              </w:rPr>
              <w:t>, including different media and forms of communication that ‘speak to’ children and harness their creativity</w:t>
            </w:r>
            <w:r>
              <w:rPr>
                <w:sz w:val="20"/>
              </w:rPr>
              <w:t>. Form partnerships to provide these.</w:t>
            </w:r>
          </w:p>
          <w:p w:rsidR="005226F5" w:rsidRPr="00650AB0" w:rsidRDefault="00850052" w:rsidP="00850052">
            <w:pPr>
              <w:rPr>
                <w:sz w:val="20"/>
              </w:rPr>
            </w:pPr>
            <w:r>
              <w:rPr>
                <w:sz w:val="20"/>
              </w:rPr>
              <w:t>Provide opportunities to connect children to wider knowledge networks and access to ongoing education about climate change where possible (e.g. through mentoring and courses)</w:t>
            </w:r>
            <w:r w:rsidR="00256DD5">
              <w:rPr>
                <w:sz w:val="20"/>
              </w:rPr>
              <w:t xml:space="preserve"> </w:t>
            </w:r>
            <w:r>
              <w:rPr>
                <w:sz w:val="20"/>
              </w:rPr>
              <w:t xml:space="preserve">while the </w:t>
            </w:r>
            <w:r w:rsidR="00946EC6">
              <w:rPr>
                <w:sz w:val="20"/>
              </w:rPr>
              <w:t xml:space="preserve">formal </w:t>
            </w:r>
            <w:r>
              <w:rPr>
                <w:sz w:val="20"/>
              </w:rPr>
              <w:t>education system</w:t>
            </w:r>
            <w:r w:rsidR="00946EC6">
              <w:rPr>
                <w:sz w:val="20"/>
              </w:rPr>
              <w:t xml:space="preserve"> matures.</w:t>
            </w:r>
            <w:r>
              <w:rPr>
                <w:sz w:val="20"/>
              </w:rPr>
              <w:t xml:space="preserve"> </w:t>
            </w:r>
          </w:p>
        </w:tc>
      </w:tr>
      <w:tr w:rsidR="00370165">
        <w:tc>
          <w:tcPr>
            <w:tcW w:w="6345" w:type="dxa"/>
            <w:shd w:val="clear" w:color="auto" w:fill="BCCFF1"/>
          </w:tcPr>
          <w:p w:rsidR="00CE14A2" w:rsidRDefault="00515AEB" w:rsidP="009E19F2">
            <w:pPr>
              <w:rPr>
                <w:sz w:val="20"/>
              </w:rPr>
            </w:pPr>
            <w:r w:rsidRPr="00650AB0">
              <w:rPr>
                <w:sz w:val="20"/>
              </w:rPr>
              <w:t xml:space="preserve">Projects facilitated on-ground testing of options for building community resilience. This is essential to the ongoing development of knowledge and experience locally, and to the eventual </w:t>
            </w:r>
            <w:r w:rsidR="00CE14A2">
              <w:rPr>
                <w:sz w:val="20"/>
              </w:rPr>
              <w:t>establishment</w:t>
            </w:r>
            <w:r w:rsidRPr="00650AB0">
              <w:rPr>
                <w:sz w:val="20"/>
              </w:rPr>
              <w:t xml:space="preserve"> of robust and effective options for adaptation. </w:t>
            </w:r>
          </w:p>
          <w:p w:rsidR="00CE14A2" w:rsidRPr="00650AB0" w:rsidRDefault="00515AEB" w:rsidP="009E19F2">
            <w:pPr>
              <w:rPr>
                <w:sz w:val="20"/>
              </w:rPr>
            </w:pPr>
            <w:r w:rsidRPr="00650AB0">
              <w:rPr>
                <w:sz w:val="20"/>
              </w:rPr>
              <w:t>Projects introduced technology and methods, particularly around resource and ecosystems management, which were appropriate and had strong methodological linkages to reducing risks of climate change (e.g. more efficient water use</w:t>
            </w:r>
            <w:r w:rsidR="00256DD5">
              <w:rPr>
                <w:sz w:val="20"/>
              </w:rPr>
              <w:t>,</w:t>
            </w:r>
            <w:r w:rsidRPr="00650AB0">
              <w:rPr>
                <w:sz w:val="20"/>
              </w:rPr>
              <w:t xml:space="preserve"> control of erosion</w:t>
            </w:r>
            <w:r w:rsidR="00256DD5">
              <w:rPr>
                <w:sz w:val="20"/>
              </w:rPr>
              <w:t>, and</w:t>
            </w:r>
            <w:r w:rsidRPr="00650AB0">
              <w:rPr>
                <w:sz w:val="20"/>
              </w:rPr>
              <w:t xml:space="preserve"> improved productivity of fisheries). More time is needed to test these and other options in their different contexts and settings, and to build community experience in adapting them within their livelihood systems. A stronger knowledge base is needed to underpin community decisions </w:t>
            </w:r>
            <w:r w:rsidR="008B652F" w:rsidRPr="00650AB0">
              <w:rPr>
                <w:sz w:val="20"/>
              </w:rPr>
              <w:t>to ensure the options are proportionate to the risks and are effective locally. This is a pre</w:t>
            </w:r>
            <w:r w:rsidR="00C609A2">
              <w:rPr>
                <w:sz w:val="20"/>
              </w:rPr>
              <w:t>requisite to adoption –</w:t>
            </w:r>
            <w:r w:rsidR="008B652F" w:rsidRPr="00650AB0">
              <w:rPr>
                <w:sz w:val="20"/>
              </w:rPr>
              <w:t xml:space="preserve"> when communities and individuals integrate the knowledge, change and invest.</w:t>
            </w:r>
          </w:p>
        </w:tc>
        <w:tc>
          <w:tcPr>
            <w:tcW w:w="7797" w:type="dxa"/>
          </w:tcPr>
          <w:p w:rsidR="00C67993" w:rsidRDefault="00381631" w:rsidP="009E19F2">
            <w:pPr>
              <w:rPr>
                <w:sz w:val="20"/>
              </w:rPr>
            </w:pPr>
            <w:r>
              <w:rPr>
                <w:b/>
                <w:i/>
                <w:sz w:val="20"/>
              </w:rPr>
              <w:t xml:space="preserve">Deepen community experience of options for adaptation: </w:t>
            </w:r>
            <w:r>
              <w:rPr>
                <w:sz w:val="20"/>
              </w:rPr>
              <w:t xml:space="preserve">Continue community-led testing of </w:t>
            </w:r>
            <w:r w:rsidR="008B652F" w:rsidRPr="00650AB0">
              <w:rPr>
                <w:sz w:val="20"/>
              </w:rPr>
              <w:t>options for reducing the risks of climate change in their livelihood systems and, over</w:t>
            </w:r>
            <w:r w:rsidR="00CB4A10">
              <w:rPr>
                <w:sz w:val="20"/>
              </w:rPr>
              <w:t xml:space="preserve"> </w:t>
            </w:r>
            <w:r w:rsidR="008B652F" w:rsidRPr="00650AB0">
              <w:rPr>
                <w:sz w:val="20"/>
              </w:rPr>
              <w:t>time, for adapting these systems. Loo</w:t>
            </w:r>
            <w:r w:rsidR="00135607">
              <w:rPr>
                <w:sz w:val="20"/>
              </w:rPr>
              <w:t>k for partnerships to support</w:t>
            </w:r>
            <w:r w:rsidR="008B652F" w:rsidRPr="00650AB0">
              <w:rPr>
                <w:sz w:val="20"/>
              </w:rPr>
              <w:t xml:space="preserve"> these options and for development of </w:t>
            </w:r>
            <w:r>
              <w:rPr>
                <w:sz w:val="20"/>
              </w:rPr>
              <w:t xml:space="preserve">innovations. </w:t>
            </w:r>
          </w:p>
          <w:p w:rsidR="0027081F" w:rsidRDefault="00381631" w:rsidP="009C3EAD">
            <w:pPr>
              <w:rPr>
                <w:sz w:val="20"/>
              </w:rPr>
            </w:pPr>
            <w:r>
              <w:rPr>
                <w:sz w:val="20"/>
              </w:rPr>
              <w:t>These sh</w:t>
            </w:r>
            <w:r w:rsidR="008B652F" w:rsidRPr="00650AB0">
              <w:rPr>
                <w:sz w:val="20"/>
              </w:rPr>
              <w:t xml:space="preserve">ould include </w:t>
            </w:r>
            <w:r>
              <w:rPr>
                <w:sz w:val="20"/>
              </w:rPr>
              <w:t xml:space="preserve">partnerships with </w:t>
            </w:r>
            <w:r w:rsidR="008B652F" w:rsidRPr="00650AB0">
              <w:rPr>
                <w:sz w:val="20"/>
              </w:rPr>
              <w:t>government through complementary planning and development</w:t>
            </w:r>
            <w:r w:rsidR="0027081F">
              <w:rPr>
                <w:sz w:val="20"/>
              </w:rPr>
              <w:t>. These partnerships can</w:t>
            </w:r>
            <w:r w:rsidR="008B652F" w:rsidRPr="00650AB0">
              <w:rPr>
                <w:sz w:val="20"/>
              </w:rPr>
              <w:t xml:space="preserve"> </w:t>
            </w:r>
            <w:r w:rsidR="00C67993">
              <w:rPr>
                <w:sz w:val="20"/>
              </w:rPr>
              <w:t>provide</w:t>
            </w:r>
            <w:r w:rsidR="008B652F" w:rsidRPr="00650AB0">
              <w:rPr>
                <w:sz w:val="20"/>
              </w:rPr>
              <w:t xml:space="preserve"> </w:t>
            </w:r>
            <w:r w:rsidR="00C67993">
              <w:rPr>
                <w:sz w:val="20"/>
              </w:rPr>
              <w:t xml:space="preserve">essential </w:t>
            </w:r>
            <w:r w:rsidR="008B652F" w:rsidRPr="00650AB0">
              <w:rPr>
                <w:sz w:val="20"/>
              </w:rPr>
              <w:t>infrastructure and services</w:t>
            </w:r>
            <w:r w:rsidR="00CB4A10">
              <w:rPr>
                <w:sz w:val="20"/>
              </w:rPr>
              <w:t xml:space="preserve">, and </w:t>
            </w:r>
            <w:r w:rsidR="00C67993">
              <w:rPr>
                <w:sz w:val="20"/>
              </w:rPr>
              <w:t xml:space="preserve">facilitate </w:t>
            </w:r>
            <w:r w:rsidR="008B652F" w:rsidRPr="00650AB0">
              <w:rPr>
                <w:sz w:val="20"/>
              </w:rPr>
              <w:t>access to wate</w:t>
            </w:r>
            <w:r w:rsidR="0027081F">
              <w:rPr>
                <w:sz w:val="20"/>
              </w:rPr>
              <w:t xml:space="preserve">r, </w:t>
            </w:r>
            <w:r w:rsidR="008B652F" w:rsidRPr="00650AB0">
              <w:rPr>
                <w:sz w:val="20"/>
              </w:rPr>
              <w:t>markets and mechanisms such as technical assistance</w:t>
            </w:r>
            <w:r w:rsidR="0027081F">
              <w:rPr>
                <w:sz w:val="20"/>
              </w:rPr>
              <w:t>/</w:t>
            </w:r>
            <w:r w:rsidR="008B652F" w:rsidRPr="00650AB0">
              <w:rPr>
                <w:sz w:val="20"/>
              </w:rPr>
              <w:t xml:space="preserve"> incentives, seed funding, market regulation and trade agreements</w:t>
            </w:r>
            <w:r w:rsidR="00CB4A10">
              <w:rPr>
                <w:sz w:val="20"/>
              </w:rPr>
              <w:t>.</w:t>
            </w:r>
            <w:r w:rsidR="008B652F" w:rsidRPr="00650AB0">
              <w:rPr>
                <w:sz w:val="20"/>
              </w:rPr>
              <w:t xml:space="preserve"> </w:t>
            </w:r>
          </w:p>
          <w:p w:rsidR="0027081F" w:rsidRDefault="00CB4A10" w:rsidP="009C3EAD">
            <w:pPr>
              <w:rPr>
                <w:sz w:val="20"/>
              </w:rPr>
            </w:pPr>
            <w:r>
              <w:rPr>
                <w:sz w:val="20"/>
              </w:rPr>
              <w:t>P</w:t>
            </w:r>
            <w:r w:rsidR="008B652F" w:rsidRPr="00650AB0">
              <w:rPr>
                <w:sz w:val="20"/>
              </w:rPr>
              <w:t>artnerships</w:t>
            </w:r>
            <w:r w:rsidR="009C3EAD">
              <w:rPr>
                <w:sz w:val="20"/>
              </w:rPr>
              <w:t xml:space="preserve"> could</w:t>
            </w:r>
            <w:r>
              <w:rPr>
                <w:sz w:val="20"/>
              </w:rPr>
              <w:t xml:space="preserve"> be established</w:t>
            </w:r>
            <w:r w:rsidR="008B652F" w:rsidRPr="00650AB0">
              <w:rPr>
                <w:sz w:val="20"/>
              </w:rPr>
              <w:t xml:space="preserve"> with the private sector</w:t>
            </w:r>
            <w:r w:rsidR="00C67993" w:rsidRPr="00650AB0">
              <w:rPr>
                <w:sz w:val="20"/>
              </w:rPr>
              <w:t xml:space="preserve"> </w:t>
            </w:r>
            <w:r>
              <w:rPr>
                <w:sz w:val="20"/>
              </w:rPr>
              <w:t>to</w:t>
            </w:r>
            <w:r w:rsidR="00C67993" w:rsidRPr="00650AB0">
              <w:rPr>
                <w:sz w:val="20"/>
              </w:rPr>
              <w:t xml:space="preserve"> provide for the genuine engagement and the rights </w:t>
            </w:r>
            <w:r w:rsidR="00C67993">
              <w:rPr>
                <w:sz w:val="20"/>
              </w:rPr>
              <w:t>of producers</w:t>
            </w:r>
            <w:r w:rsidR="0027081F">
              <w:rPr>
                <w:sz w:val="20"/>
              </w:rPr>
              <w:t>. These partnerships can</w:t>
            </w:r>
            <w:r>
              <w:rPr>
                <w:sz w:val="20"/>
              </w:rPr>
              <w:t xml:space="preserve"> </w:t>
            </w:r>
            <w:r w:rsidR="008B652F" w:rsidRPr="00650AB0">
              <w:rPr>
                <w:sz w:val="20"/>
              </w:rPr>
              <w:t>support supply of inputs for conservation farming, integrated pest management</w:t>
            </w:r>
            <w:r>
              <w:rPr>
                <w:sz w:val="20"/>
              </w:rPr>
              <w:t xml:space="preserve"> and </w:t>
            </w:r>
            <w:r w:rsidR="008B652F" w:rsidRPr="00650AB0">
              <w:rPr>
                <w:sz w:val="20"/>
              </w:rPr>
              <w:t>low</w:t>
            </w:r>
            <w:r w:rsidR="0027081F">
              <w:rPr>
                <w:sz w:val="20"/>
              </w:rPr>
              <w:t>-</w:t>
            </w:r>
            <w:r w:rsidR="008B652F" w:rsidRPr="00650AB0">
              <w:rPr>
                <w:sz w:val="20"/>
              </w:rPr>
              <w:t>cost</w:t>
            </w:r>
            <w:r w:rsidR="00C67993">
              <w:rPr>
                <w:sz w:val="20"/>
              </w:rPr>
              <w:t>, efficient</w:t>
            </w:r>
            <w:r w:rsidR="008B652F" w:rsidRPr="00650AB0">
              <w:rPr>
                <w:sz w:val="20"/>
              </w:rPr>
              <w:t xml:space="preserve"> water and fuel techno</w:t>
            </w:r>
            <w:r w:rsidR="00C67993">
              <w:rPr>
                <w:sz w:val="20"/>
              </w:rPr>
              <w:t>logy</w:t>
            </w:r>
            <w:r w:rsidR="0027081F">
              <w:rPr>
                <w:sz w:val="20"/>
              </w:rPr>
              <w:t xml:space="preserve">. They can also </w:t>
            </w:r>
            <w:r w:rsidR="00C67993">
              <w:rPr>
                <w:sz w:val="20"/>
              </w:rPr>
              <w:t>open up markets to</w:t>
            </w:r>
            <w:r w:rsidR="008B652F" w:rsidRPr="00650AB0">
              <w:rPr>
                <w:sz w:val="20"/>
              </w:rPr>
              <w:t xml:space="preserve"> </w:t>
            </w:r>
            <w:r w:rsidR="00C67993">
              <w:rPr>
                <w:sz w:val="20"/>
              </w:rPr>
              <w:t>a more diverse range of produce.</w:t>
            </w:r>
          </w:p>
          <w:p w:rsidR="00A23436" w:rsidRPr="00650AB0" w:rsidRDefault="009C3EAD" w:rsidP="009C3EAD">
            <w:pPr>
              <w:rPr>
                <w:sz w:val="20"/>
              </w:rPr>
            </w:pPr>
            <w:r>
              <w:rPr>
                <w:sz w:val="20"/>
              </w:rPr>
              <w:t>P</w:t>
            </w:r>
            <w:r w:rsidR="00381631">
              <w:rPr>
                <w:sz w:val="20"/>
              </w:rPr>
              <w:t xml:space="preserve">artnerships </w:t>
            </w:r>
            <w:r>
              <w:rPr>
                <w:sz w:val="20"/>
              </w:rPr>
              <w:t xml:space="preserve">could also be forged </w:t>
            </w:r>
            <w:r w:rsidR="00381631">
              <w:rPr>
                <w:sz w:val="20"/>
              </w:rPr>
              <w:t>with research for development agencies, actively engaging them on the ground to monitor and assess different options, and to inform their research</w:t>
            </w:r>
            <w:r w:rsidR="000317D3">
              <w:rPr>
                <w:sz w:val="20"/>
              </w:rPr>
              <w:t>. This will make their research</w:t>
            </w:r>
            <w:r w:rsidR="00381631">
              <w:rPr>
                <w:sz w:val="20"/>
              </w:rPr>
              <w:t xml:space="preserve"> more relevant and responsive to the needs of vulnerable communities. </w:t>
            </w:r>
          </w:p>
        </w:tc>
      </w:tr>
      <w:tr w:rsidR="00370165">
        <w:tc>
          <w:tcPr>
            <w:tcW w:w="6345" w:type="dxa"/>
            <w:shd w:val="clear" w:color="auto" w:fill="BCCFF1"/>
          </w:tcPr>
          <w:p w:rsidR="005C77D4" w:rsidRDefault="0089234C" w:rsidP="009E19F2">
            <w:pPr>
              <w:rPr>
                <w:sz w:val="20"/>
              </w:rPr>
            </w:pPr>
            <w:r w:rsidRPr="00650AB0">
              <w:rPr>
                <w:sz w:val="20"/>
              </w:rPr>
              <w:t xml:space="preserve">The projects engaged local government </w:t>
            </w:r>
            <w:r w:rsidR="00673D60" w:rsidRPr="00650AB0">
              <w:rPr>
                <w:sz w:val="20"/>
              </w:rPr>
              <w:t xml:space="preserve">in activities </w:t>
            </w:r>
            <w:r w:rsidRPr="00650AB0">
              <w:rPr>
                <w:sz w:val="20"/>
              </w:rPr>
              <w:t>through various mechanisms</w:t>
            </w:r>
            <w:r w:rsidR="00673D60" w:rsidRPr="00650AB0">
              <w:rPr>
                <w:sz w:val="20"/>
              </w:rPr>
              <w:t>,</w:t>
            </w:r>
            <w:r w:rsidRPr="00650AB0">
              <w:rPr>
                <w:sz w:val="20"/>
              </w:rPr>
              <w:t xml:space="preserve"> including technical working groups and </w:t>
            </w:r>
            <w:r w:rsidR="00673D60" w:rsidRPr="00650AB0">
              <w:rPr>
                <w:sz w:val="20"/>
              </w:rPr>
              <w:t>planning commit</w:t>
            </w:r>
            <w:r w:rsidRPr="00650AB0">
              <w:rPr>
                <w:sz w:val="20"/>
              </w:rPr>
              <w:t>tees</w:t>
            </w:r>
            <w:r w:rsidR="00431F1A" w:rsidRPr="00650AB0">
              <w:rPr>
                <w:sz w:val="20"/>
              </w:rPr>
              <w:t>, and through advocacy to take the voice of communities to local development planning systems</w:t>
            </w:r>
            <w:r w:rsidRPr="00650AB0">
              <w:rPr>
                <w:sz w:val="20"/>
              </w:rPr>
              <w:t xml:space="preserve">. </w:t>
            </w:r>
            <w:r w:rsidR="00673D60" w:rsidRPr="00650AB0">
              <w:rPr>
                <w:sz w:val="20"/>
              </w:rPr>
              <w:t>There were many successes and examples of leadership emerging and support for project activities. There were instances where local government officials remain</w:t>
            </w:r>
            <w:r w:rsidR="005C77D4">
              <w:rPr>
                <w:sz w:val="20"/>
              </w:rPr>
              <w:t>ed</w:t>
            </w:r>
            <w:r w:rsidR="00673D60" w:rsidRPr="00650AB0">
              <w:rPr>
                <w:sz w:val="20"/>
              </w:rPr>
              <w:t xml:space="preserve"> engaged with the participating communities</w:t>
            </w:r>
            <w:r w:rsidR="00431F1A" w:rsidRPr="00650AB0">
              <w:rPr>
                <w:sz w:val="20"/>
              </w:rPr>
              <w:t>, and of commitments to fund activities</w:t>
            </w:r>
            <w:r w:rsidR="00673D60" w:rsidRPr="00650AB0">
              <w:rPr>
                <w:sz w:val="20"/>
              </w:rPr>
              <w:t xml:space="preserve">. </w:t>
            </w:r>
          </w:p>
          <w:p w:rsidR="0050169B" w:rsidRPr="00650AB0" w:rsidRDefault="00673D60" w:rsidP="009E19F2">
            <w:pPr>
              <w:rPr>
                <w:sz w:val="20"/>
              </w:rPr>
            </w:pPr>
            <w:r w:rsidRPr="00650AB0">
              <w:rPr>
                <w:sz w:val="20"/>
              </w:rPr>
              <w:t xml:space="preserve">But limited capacities </w:t>
            </w:r>
            <w:r w:rsidR="005E78E3" w:rsidRPr="00650AB0">
              <w:rPr>
                <w:sz w:val="20"/>
              </w:rPr>
              <w:t>and resources to invest</w:t>
            </w:r>
            <w:r w:rsidRPr="00650AB0">
              <w:rPr>
                <w:sz w:val="20"/>
              </w:rPr>
              <w:t xml:space="preserve"> </w:t>
            </w:r>
            <w:r w:rsidR="00431F1A" w:rsidRPr="00650AB0">
              <w:rPr>
                <w:sz w:val="20"/>
              </w:rPr>
              <w:t xml:space="preserve">at local government levels </w:t>
            </w:r>
            <w:r w:rsidR="005E78E3" w:rsidRPr="00650AB0">
              <w:rPr>
                <w:sz w:val="20"/>
              </w:rPr>
              <w:t xml:space="preserve">challenge this engagement and make it difficult to </w:t>
            </w:r>
            <w:r w:rsidRPr="00650AB0">
              <w:rPr>
                <w:sz w:val="20"/>
              </w:rPr>
              <w:t xml:space="preserve">sustain. Sustaining </w:t>
            </w:r>
            <w:r w:rsidR="00431F1A" w:rsidRPr="00650AB0">
              <w:rPr>
                <w:sz w:val="20"/>
              </w:rPr>
              <w:t xml:space="preserve">it </w:t>
            </w:r>
            <w:r w:rsidRPr="00650AB0">
              <w:rPr>
                <w:sz w:val="20"/>
              </w:rPr>
              <w:t xml:space="preserve">in community development in general is difficult </w:t>
            </w:r>
            <w:r w:rsidR="00431F1A" w:rsidRPr="00650AB0">
              <w:rPr>
                <w:sz w:val="20"/>
              </w:rPr>
              <w:t>enough</w:t>
            </w:r>
            <w:r w:rsidRPr="00650AB0">
              <w:rPr>
                <w:sz w:val="20"/>
              </w:rPr>
              <w:t>, but is particularly challenging for climate change adaptation, which tends to sit outside local government planning systems and funding streams, and is at best beginning to be integrated through disaster risk reduction</w:t>
            </w:r>
            <w:r w:rsidR="00524156">
              <w:rPr>
                <w:sz w:val="20"/>
              </w:rPr>
              <w:t xml:space="preserve"> (DRR)</w:t>
            </w:r>
            <w:r w:rsidRPr="00650AB0">
              <w:rPr>
                <w:sz w:val="20"/>
              </w:rPr>
              <w:t xml:space="preserve"> programs. Sources of funds are available, however, and are likely to increase as donor investment in adaptation ramps up.</w:t>
            </w:r>
          </w:p>
        </w:tc>
        <w:tc>
          <w:tcPr>
            <w:tcW w:w="7797" w:type="dxa"/>
          </w:tcPr>
          <w:p w:rsidR="00673D60" w:rsidRPr="00650AB0" w:rsidRDefault="005C77D4" w:rsidP="009E19F2">
            <w:pPr>
              <w:rPr>
                <w:sz w:val="20"/>
              </w:rPr>
            </w:pPr>
            <w:r>
              <w:rPr>
                <w:b/>
                <w:i/>
                <w:sz w:val="20"/>
              </w:rPr>
              <w:t xml:space="preserve">Engage with local government early and on multiple fronts: </w:t>
            </w:r>
            <w:r w:rsidR="00431F1A" w:rsidRPr="00650AB0">
              <w:rPr>
                <w:sz w:val="20"/>
              </w:rPr>
              <w:t xml:space="preserve">Begin engaging with local government at the </w:t>
            </w:r>
            <w:r>
              <w:rPr>
                <w:sz w:val="20"/>
              </w:rPr>
              <w:t xml:space="preserve">start </w:t>
            </w:r>
            <w:r w:rsidR="00431F1A" w:rsidRPr="00650AB0">
              <w:rPr>
                <w:sz w:val="20"/>
              </w:rPr>
              <w:t>of activities</w:t>
            </w:r>
            <w:r w:rsidR="000317D3">
              <w:rPr>
                <w:sz w:val="20"/>
              </w:rPr>
              <w:t>. W</w:t>
            </w:r>
            <w:r w:rsidR="00431F1A" w:rsidRPr="00650AB0">
              <w:rPr>
                <w:sz w:val="20"/>
              </w:rPr>
              <w:t xml:space="preserve">ork with their local leadership to ensure that project activities are coordinated with other work in the local area and </w:t>
            </w:r>
            <w:r w:rsidR="000317D3">
              <w:rPr>
                <w:sz w:val="20"/>
              </w:rPr>
              <w:t xml:space="preserve">to ensure </w:t>
            </w:r>
            <w:r w:rsidR="00431F1A" w:rsidRPr="00650AB0">
              <w:rPr>
                <w:sz w:val="20"/>
              </w:rPr>
              <w:t>that officials are fully across the project.</w:t>
            </w:r>
            <w:r w:rsidR="00120A15" w:rsidRPr="00650AB0">
              <w:rPr>
                <w:sz w:val="20"/>
              </w:rPr>
              <w:t xml:space="preserve"> Keep them regularly updated.</w:t>
            </w:r>
          </w:p>
          <w:p w:rsidR="00431F1A" w:rsidRPr="00650AB0" w:rsidRDefault="00431F1A" w:rsidP="009E19F2">
            <w:pPr>
              <w:rPr>
                <w:sz w:val="20"/>
              </w:rPr>
            </w:pPr>
            <w:r w:rsidRPr="00650AB0">
              <w:rPr>
                <w:sz w:val="20"/>
              </w:rPr>
              <w:t>Engage technical officials in capacity building around climate change</w:t>
            </w:r>
            <w:r w:rsidR="000317D3">
              <w:rPr>
                <w:sz w:val="20"/>
              </w:rPr>
              <w:t>. T</w:t>
            </w:r>
            <w:r w:rsidRPr="00650AB0">
              <w:rPr>
                <w:sz w:val="20"/>
              </w:rPr>
              <w:t>his will take time to develop and will not be sufficient in many areas to support the ongoing needs of communities for technical assistance, e</w:t>
            </w:r>
            <w:r w:rsidR="005C77D4">
              <w:rPr>
                <w:sz w:val="20"/>
              </w:rPr>
              <w:t>specially as climate change impacts worsen. However,</w:t>
            </w:r>
            <w:r w:rsidRPr="00650AB0">
              <w:rPr>
                <w:sz w:val="20"/>
              </w:rPr>
              <w:t xml:space="preserve"> it all helps and is an effective way to engage officials with communities, and for them to hear community voices.</w:t>
            </w:r>
          </w:p>
          <w:p w:rsidR="001E487D" w:rsidRDefault="00E117D7" w:rsidP="009E19F2">
            <w:pPr>
              <w:rPr>
                <w:sz w:val="20"/>
              </w:rPr>
            </w:pPr>
            <w:r w:rsidRPr="00650AB0">
              <w:rPr>
                <w:sz w:val="20"/>
              </w:rPr>
              <w:t>Support this capacity building by providing other opportunities for technical officers to build their skills</w:t>
            </w:r>
            <w:r w:rsidR="009C3EAD">
              <w:rPr>
                <w:sz w:val="20"/>
              </w:rPr>
              <w:t>, for example</w:t>
            </w:r>
            <w:r w:rsidRPr="00650AB0">
              <w:rPr>
                <w:sz w:val="20"/>
              </w:rPr>
              <w:t xml:space="preserve"> through mentoring, formal training courses and professional exchanges</w:t>
            </w:r>
            <w:r w:rsidR="000317D3">
              <w:rPr>
                <w:sz w:val="20"/>
              </w:rPr>
              <w:t>,</w:t>
            </w:r>
            <w:r w:rsidR="009C3EAD">
              <w:rPr>
                <w:sz w:val="20"/>
              </w:rPr>
              <w:t xml:space="preserve"> </w:t>
            </w:r>
            <w:r w:rsidRPr="00650AB0">
              <w:rPr>
                <w:sz w:val="20"/>
              </w:rPr>
              <w:t xml:space="preserve">so that they can more effectively support community needs. </w:t>
            </w:r>
            <w:r w:rsidR="001E487D" w:rsidRPr="00650AB0">
              <w:rPr>
                <w:sz w:val="20"/>
              </w:rPr>
              <w:t xml:space="preserve">This is an ongoing </w:t>
            </w:r>
            <w:r w:rsidR="001E487D">
              <w:rPr>
                <w:sz w:val="20"/>
              </w:rPr>
              <w:t>process</w:t>
            </w:r>
            <w:r w:rsidR="001E487D" w:rsidRPr="00650AB0">
              <w:rPr>
                <w:sz w:val="20"/>
              </w:rPr>
              <w:t xml:space="preserve"> that requires sustained</w:t>
            </w:r>
            <w:r w:rsidR="001E487D">
              <w:rPr>
                <w:sz w:val="20"/>
              </w:rPr>
              <w:t xml:space="preserve"> investment,</w:t>
            </w:r>
            <w:r w:rsidR="001E487D" w:rsidRPr="00650AB0">
              <w:rPr>
                <w:sz w:val="20"/>
              </w:rPr>
              <w:t xml:space="preserve"> education and training</w:t>
            </w:r>
            <w:r w:rsidR="001E487D">
              <w:rPr>
                <w:sz w:val="20"/>
              </w:rPr>
              <w:t xml:space="preserve">. </w:t>
            </w:r>
          </w:p>
          <w:p w:rsidR="00135607" w:rsidRDefault="002B6CE7" w:rsidP="009E19F2">
            <w:pPr>
              <w:rPr>
                <w:sz w:val="20"/>
              </w:rPr>
            </w:pPr>
            <w:r w:rsidRPr="00650AB0">
              <w:rPr>
                <w:sz w:val="20"/>
              </w:rPr>
              <w:t xml:space="preserve">Connect community planning for climate change adaptation to mainstream local government community development programs. </w:t>
            </w:r>
            <w:r w:rsidR="00EA4661" w:rsidRPr="00650AB0">
              <w:rPr>
                <w:sz w:val="20"/>
              </w:rPr>
              <w:t>This is challenging and requires</w:t>
            </w:r>
            <w:r w:rsidRPr="00650AB0">
              <w:rPr>
                <w:sz w:val="20"/>
              </w:rPr>
              <w:t xml:space="preserve"> dedicated effort, but working outside these systems is not sustainable and is unlikely to deliver ongoing benefits for communities. </w:t>
            </w:r>
          </w:p>
          <w:p w:rsidR="00A23436" w:rsidRPr="00650AB0" w:rsidRDefault="002B6CE7" w:rsidP="009E19F2">
            <w:pPr>
              <w:rPr>
                <w:sz w:val="20"/>
              </w:rPr>
            </w:pPr>
            <w:r w:rsidRPr="00650AB0">
              <w:rPr>
                <w:sz w:val="20"/>
              </w:rPr>
              <w:t>Start s</w:t>
            </w:r>
            <w:r w:rsidR="00EA4661" w:rsidRPr="00650AB0">
              <w:rPr>
                <w:sz w:val="20"/>
              </w:rPr>
              <w:t>mall, for example by facilitating integration of community vulnerability assessments in local construction planning, so that community road projects ar</w:t>
            </w:r>
            <w:r w:rsidR="001E487D">
              <w:rPr>
                <w:sz w:val="20"/>
              </w:rPr>
              <w:t>e designed to withstand weather</w:t>
            </w:r>
            <w:r w:rsidR="009C3EAD">
              <w:rPr>
                <w:sz w:val="20"/>
              </w:rPr>
              <w:t>,</w:t>
            </w:r>
            <w:r w:rsidR="00EA4661" w:rsidRPr="00650AB0">
              <w:rPr>
                <w:sz w:val="20"/>
              </w:rPr>
              <w:t xml:space="preserve"> and supplies provided through agriculture programs suit changing weather conditions. This means working with officials such as engineers</w:t>
            </w:r>
            <w:r w:rsidR="009C3EAD">
              <w:rPr>
                <w:sz w:val="20"/>
              </w:rPr>
              <w:t xml:space="preserve">, </w:t>
            </w:r>
            <w:r w:rsidR="00EA4661" w:rsidRPr="00650AB0">
              <w:rPr>
                <w:sz w:val="20"/>
              </w:rPr>
              <w:t>agronomists</w:t>
            </w:r>
            <w:r w:rsidR="009C3EAD">
              <w:rPr>
                <w:sz w:val="20"/>
              </w:rPr>
              <w:t xml:space="preserve"> and</w:t>
            </w:r>
            <w:r w:rsidR="00EA4661" w:rsidRPr="00650AB0">
              <w:rPr>
                <w:sz w:val="20"/>
              </w:rPr>
              <w:t xml:space="preserve"> natural resource managers</w:t>
            </w:r>
            <w:r w:rsidR="009C3EAD">
              <w:rPr>
                <w:sz w:val="20"/>
              </w:rPr>
              <w:t xml:space="preserve"> </w:t>
            </w:r>
            <w:r w:rsidR="00EA4661" w:rsidRPr="00650AB0">
              <w:rPr>
                <w:sz w:val="20"/>
              </w:rPr>
              <w:t>(where they exist) and not just extension workers</w:t>
            </w:r>
            <w:r w:rsidR="009C3EAD">
              <w:rPr>
                <w:sz w:val="20"/>
              </w:rPr>
              <w:t>.</w:t>
            </w:r>
            <w:r w:rsidR="00EA4661" w:rsidRPr="00650AB0">
              <w:rPr>
                <w:sz w:val="20"/>
              </w:rPr>
              <w:t xml:space="preserve"> </w:t>
            </w:r>
          </w:p>
          <w:p w:rsidR="0050169B" w:rsidRPr="00650AB0" w:rsidRDefault="00EA4661" w:rsidP="003F367D">
            <w:pPr>
              <w:rPr>
                <w:sz w:val="20"/>
              </w:rPr>
            </w:pPr>
            <w:r w:rsidRPr="00650AB0">
              <w:rPr>
                <w:sz w:val="20"/>
              </w:rPr>
              <w:t xml:space="preserve">Opportunities are emerging in some places to integrate through </w:t>
            </w:r>
            <w:r w:rsidR="001E487D">
              <w:rPr>
                <w:sz w:val="20"/>
              </w:rPr>
              <w:t xml:space="preserve">DRR </w:t>
            </w:r>
            <w:r w:rsidRPr="00650AB0">
              <w:rPr>
                <w:sz w:val="20"/>
              </w:rPr>
              <w:t>programs, although these too are commonly disconnected from mainstream development budgets</w:t>
            </w:r>
            <w:r w:rsidR="001E487D">
              <w:rPr>
                <w:sz w:val="20"/>
              </w:rPr>
              <w:t>,</w:t>
            </w:r>
            <w:r w:rsidRPr="00650AB0">
              <w:rPr>
                <w:sz w:val="20"/>
              </w:rPr>
              <w:t xml:space="preserve"> and dedicated </w:t>
            </w:r>
            <w:r w:rsidR="001E487D">
              <w:rPr>
                <w:sz w:val="20"/>
              </w:rPr>
              <w:t xml:space="preserve">DRR </w:t>
            </w:r>
            <w:r w:rsidRPr="00650AB0">
              <w:rPr>
                <w:sz w:val="20"/>
              </w:rPr>
              <w:t xml:space="preserve">program budgets </w:t>
            </w:r>
            <w:r w:rsidR="001E487D">
              <w:rPr>
                <w:sz w:val="20"/>
              </w:rPr>
              <w:t xml:space="preserve">(where they exist) </w:t>
            </w:r>
            <w:r w:rsidRPr="00650AB0">
              <w:rPr>
                <w:sz w:val="20"/>
              </w:rPr>
              <w:t>tend to be small</w:t>
            </w:r>
            <w:r w:rsidR="001E487D">
              <w:rPr>
                <w:sz w:val="20"/>
              </w:rPr>
              <w:t xml:space="preserve"> and lack transparency</w:t>
            </w:r>
            <w:r w:rsidRPr="00650AB0">
              <w:rPr>
                <w:sz w:val="20"/>
              </w:rPr>
              <w:t>.</w:t>
            </w:r>
          </w:p>
        </w:tc>
      </w:tr>
      <w:tr w:rsidR="00984594">
        <w:tc>
          <w:tcPr>
            <w:tcW w:w="6345" w:type="dxa"/>
            <w:shd w:val="clear" w:color="auto" w:fill="BCCFF1"/>
          </w:tcPr>
          <w:p w:rsidR="00984594" w:rsidRPr="00CE14A2" w:rsidRDefault="00E17997" w:rsidP="00984594">
            <w:pPr>
              <w:rPr>
                <w:sz w:val="20"/>
              </w:rPr>
            </w:pPr>
            <w:r>
              <w:rPr>
                <w:sz w:val="20"/>
              </w:rPr>
              <w:t>CBA</w:t>
            </w:r>
            <w:r w:rsidR="00984594" w:rsidRPr="00CE14A2">
              <w:rPr>
                <w:sz w:val="20"/>
              </w:rPr>
              <w:t xml:space="preserve"> and resilience building </w:t>
            </w:r>
            <w:r w:rsidR="00984594">
              <w:rPr>
                <w:sz w:val="20"/>
              </w:rPr>
              <w:t>can be</w:t>
            </w:r>
            <w:r w:rsidR="00984594" w:rsidRPr="00CE14A2">
              <w:rPr>
                <w:sz w:val="20"/>
              </w:rPr>
              <w:t xml:space="preserve"> effective in reducing the risks of climate change and people’s vulnerabilities locally. However, because of the nature and scale of climate change impacts, resilience building requires coordinated action at larger scales (e.g. whole watersheds</w:t>
            </w:r>
            <w:r w:rsidR="009C3EAD">
              <w:rPr>
                <w:sz w:val="20"/>
              </w:rPr>
              <w:t>,</w:t>
            </w:r>
            <w:r w:rsidR="00984594" w:rsidRPr="00CE14A2">
              <w:rPr>
                <w:sz w:val="20"/>
              </w:rPr>
              <w:t xml:space="preserve"> coastlines</w:t>
            </w:r>
            <w:r w:rsidR="009C3EAD">
              <w:rPr>
                <w:sz w:val="20"/>
              </w:rPr>
              <w:t xml:space="preserve"> and</w:t>
            </w:r>
            <w:r w:rsidR="00984594" w:rsidRPr="00CE14A2">
              <w:rPr>
                <w:sz w:val="20"/>
              </w:rPr>
              <w:t xml:space="preserve"> ecosystems) and across jurisdictions. </w:t>
            </w:r>
          </w:p>
          <w:p w:rsidR="00984594" w:rsidRPr="00650AB0" w:rsidRDefault="00524156" w:rsidP="003F213B">
            <w:pPr>
              <w:rPr>
                <w:sz w:val="20"/>
              </w:rPr>
            </w:pPr>
            <w:r>
              <w:rPr>
                <w:sz w:val="20"/>
              </w:rPr>
              <w:t xml:space="preserve">The </w:t>
            </w:r>
            <w:r w:rsidR="00984594" w:rsidRPr="00CE14A2">
              <w:rPr>
                <w:sz w:val="20"/>
              </w:rPr>
              <w:t>CBCCAG</w:t>
            </w:r>
            <w:r>
              <w:rPr>
                <w:sz w:val="20"/>
              </w:rPr>
              <w:t xml:space="preserve"> program</w:t>
            </w:r>
            <w:r w:rsidR="009C3EAD">
              <w:rPr>
                <w:sz w:val="20"/>
              </w:rPr>
              <w:t xml:space="preserve"> </w:t>
            </w:r>
            <w:r w:rsidR="00984594" w:rsidRPr="00CE14A2">
              <w:rPr>
                <w:sz w:val="20"/>
              </w:rPr>
              <w:t>is well positioned to play an important role in providing an evidence base</w:t>
            </w:r>
            <w:r>
              <w:rPr>
                <w:sz w:val="20"/>
              </w:rPr>
              <w:t>. It</w:t>
            </w:r>
            <w:r w:rsidR="00984594" w:rsidRPr="00CE14A2">
              <w:rPr>
                <w:sz w:val="20"/>
              </w:rPr>
              <w:t xml:space="preserve"> demonstrat</w:t>
            </w:r>
            <w:r>
              <w:rPr>
                <w:sz w:val="20"/>
              </w:rPr>
              <w:t>es</w:t>
            </w:r>
            <w:r w:rsidR="00984594" w:rsidRPr="00CE14A2">
              <w:rPr>
                <w:sz w:val="20"/>
              </w:rPr>
              <w:t xml:space="preserve"> the development and economic benefits of resilience building at community level and the potential transformative impact if these efforts are complemented in development planning across scales.</w:t>
            </w:r>
          </w:p>
        </w:tc>
        <w:tc>
          <w:tcPr>
            <w:tcW w:w="7797" w:type="dxa"/>
          </w:tcPr>
          <w:p w:rsidR="00984594" w:rsidRDefault="00984594" w:rsidP="00984594">
            <w:pPr>
              <w:rPr>
                <w:sz w:val="20"/>
              </w:rPr>
            </w:pPr>
            <w:r w:rsidRPr="00984594">
              <w:rPr>
                <w:b/>
                <w:i/>
                <w:sz w:val="20"/>
              </w:rPr>
              <w:t xml:space="preserve">Look for partnerships </w:t>
            </w:r>
            <w:r w:rsidR="00AA22AA">
              <w:rPr>
                <w:b/>
                <w:i/>
                <w:sz w:val="20"/>
              </w:rPr>
              <w:t>to</w:t>
            </w:r>
            <w:r w:rsidRPr="00984594">
              <w:rPr>
                <w:b/>
                <w:i/>
                <w:sz w:val="20"/>
              </w:rPr>
              <w:t xml:space="preserve"> deliver complementary development at scale</w:t>
            </w:r>
            <w:r>
              <w:rPr>
                <w:sz w:val="20"/>
              </w:rPr>
              <w:t xml:space="preserve">: </w:t>
            </w:r>
            <w:r w:rsidR="00FD6EDE">
              <w:rPr>
                <w:sz w:val="20"/>
              </w:rPr>
              <w:t>C</w:t>
            </w:r>
            <w:r w:rsidRPr="00650AB0">
              <w:rPr>
                <w:sz w:val="20"/>
              </w:rPr>
              <w:t xml:space="preserve">limate change plays out </w:t>
            </w:r>
            <w:r w:rsidR="00FD6EDE">
              <w:rPr>
                <w:sz w:val="20"/>
              </w:rPr>
              <w:t xml:space="preserve">across landscapes and ecosystems </w:t>
            </w:r>
            <w:r w:rsidRPr="00650AB0">
              <w:rPr>
                <w:sz w:val="20"/>
              </w:rPr>
              <w:t>and many of the risks</w:t>
            </w:r>
            <w:r w:rsidR="00FD6EDE">
              <w:rPr>
                <w:sz w:val="20"/>
              </w:rPr>
              <w:t xml:space="preserve"> such as</w:t>
            </w:r>
            <w:r w:rsidRPr="00650AB0">
              <w:rPr>
                <w:sz w:val="20"/>
              </w:rPr>
              <w:t xml:space="preserve"> </w:t>
            </w:r>
            <w:r w:rsidR="00FD6EDE">
              <w:rPr>
                <w:sz w:val="20"/>
              </w:rPr>
              <w:t xml:space="preserve">large floods, drought and </w:t>
            </w:r>
            <w:r w:rsidR="00FD6EDE" w:rsidRPr="00650AB0">
              <w:rPr>
                <w:sz w:val="20"/>
              </w:rPr>
              <w:t xml:space="preserve">drying conditions </w:t>
            </w:r>
            <w:r w:rsidRPr="00650AB0">
              <w:rPr>
                <w:sz w:val="20"/>
              </w:rPr>
              <w:t>are best addressed</w:t>
            </w:r>
            <w:r w:rsidR="00FD6EDE">
              <w:rPr>
                <w:sz w:val="20"/>
              </w:rPr>
              <w:t xml:space="preserve"> at this scale</w:t>
            </w:r>
            <w:r w:rsidRPr="00650AB0">
              <w:rPr>
                <w:sz w:val="20"/>
              </w:rPr>
              <w:t xml:space="preserve">. If </w:t>
            </w:r>
            <w:r w:rsidR="00FD6EDE">
              <w:rPr>
                <w:sz w:val="20"/>
              </w:rPr>
              <w:t xml:space="preserve">they are </w:t>
            </w:r>
            <w:r w:rsidRPr="00650AB0">
              <w:rPr>
                <w:sz w:val="20"/>
              </w:rPr>
              <w:t>not addressed at this scale, the work of communities (e.g. small</w:t>
            </w:r>
            <w:r w:rsidR="00524156">
              <w:rPr>
                <w:sz w:val="20"/>
              </w:rPr>
              <w:t>-</w:t>
            </w:r>
            <w:r w:rsidRPr="00650AB0">
              <w:rPr>
                <w:sz w:val="20"/>
              </w:rPr>
              <w:t>scale flood protection, sea walls, new water supplies,</w:t>
            </w:r>
            <w:r w:rsidR="00524156">
              <w:rPr>
                <w:sz w:val="20"/>
              </w:rPr>
              <w:t xml:space="preserve"> and </w:t>
            </w:r>
            <w:r w:rsidRPr="00650AB0">
              <w:rPr>
                <w:sz w:val="20"/>
              </w:rPr>
              <w:t xml:space="preserve">new production technologies and systems) can be quickly undermined. </w:t>
            </w:r>
            <w:r>
              <w:rPr>
                <w:sz w:val="20"/>
              </w:rPr>
              <w:t xml:space="preserve">Where it is achieved, however, the impact can be truly transformative. </w:t>
            </w:r>
          </w:p>
          <w:p w:rsidR="00D3791B" w:rsidRPr="00004EF7" w:rsidRDefault="00984594" w:rsidP="00984594">
            <w:pPr>
              <w:rPr>
                <w:sz w:val="20"/>
              </w:rPr>
            </w:pPr>
            <w:r w:rsidRPr="00650AB0">
              <w:rPr>
                <w:sz w:val="20"/>
              </w:rPr>
              <w:t xml:space="preserve">Firstly, the landscape scale processes must be understood, requiring specialist technical expertise, </w:t>
            </w:r>
            <w:r w:rsidR="00FD6EDE">
              <w:rPr>
                <w:sz w:val="20"/>
              </w:rPr>
              <w:t xml:space="preserve">which is </w:t>
            </w:r>
            <w:r w:rsidRPr="00650AB0">
              <w:rPr>
                <w:sz w:val="20"/>
              </w:rPr>
              <w:t xml:space="preserve">rarely available locally. Then it entails </w:t>
            </w:r>
            <w:r>
              <w:rPr>
                <w:sz w:val="20"/>
              </w:rPr>
              <w:t xml:space="preserve">establishing cooperative </w:t>
            </w:r>
            <w:r w:rsidRPr="00650AB0">
              <w:rPr>
                <w:sz w:val="20"/>
              </w:rPr>
              <w:t xml:space="preserve">networks across communities and local government administration areas, far beyond the scope of communities to achieve. Civil society can play a role through advocacy and </w:t>
            </w:r>
            <w:r w:rsidR="006522DA">
              <w:rPr>
                <w:sz w:val="20"/>
              </w:rPr>
              <w:t xml:space="preserve">its </w:t>
            </w:r>
            <w:r w:rsidRPr="00650AB0">
              <w:rPr>
                <w:sz w:val="20"/>
              </w:rPr>
              <w:t xml:space="preserve">own extensive networks, including </w:t>
            </w:r>
            <w:r>
              <w:rPr>
                <w:sz w:val="20"/>
              </w:rPr>
              <w:t>with</w:t>
            </w:r>
            <w:r w:rsidRPr="00650AB0">
              <w:rPr>
                <w:sz w:val="20"/>
              </w:rPr>
              <w:t xml:space="preserve"> national</w:t>
            </w:r>
            <w:r>
              <w:rPr>
                <w:sz w:val="20"/>
              </w:rPr>
              <w:t>/provincial</w:t>
            </w:r>
            <w:r w:rsidRPr="00650AB0">
              <w:rPr>
                <w:sz w:val="20"/>
              </w:rPr>
              <w:t xml:space="preserve"> government, development banks and donors.</w:t>
            </w:r>
          </w:p>
        </w:tc>
      </w:tr>
      <w:tr w:rsidR="00370165">
        <w:tc>
          <w:tcPr>
            <w:tcW w:w="6345" w:type="dxa"/>
            <w:shd w:val="clear" w:color="auto" w:fill="BCCFF1"/>
          </w:tcPr>
          <w:p w:rsidR="005C1BE3" w:rsidRPr="00650AB0" w:rsidRDefault="005C1BE3" w:rsidP="009E19F2">
            <w:pPr>
              <w:rPr>
                <w:sz w:val="20"/>
              </w:rPr>
            </w:pPr>
            <w:r w:rsidRPr="00650AB0">
              <w:rPr>
                <w:sz w:val="20"/>
              </w:rPr>
              <w:t xml:space="preserve">The </w:t>
            </w:r>
            <w:r w:rsidR="00582E36">
              <w:rPr>
                <w:sz w:val="20"/>
              </w:rPr>
              <w:t>CBA</w:t>
            </w:r>
            <w:r w:rsidRPr="00650AB0">
              <w:rPr>
                <w:sz w:val="20"/>
              </w:rPr>
              <w:t xml:space="preserve"> model</w:t>
            </w:r>
            <w:r w:rsidR="00875016">
              <w:rPr>
                <w:sz w:val="20"/>
              </w:rPr>
              <w:t xml:space="preserve"> – </w:t>
            </w:r>
            <w:r w:rsidRPr="00650AB0">
              <w:rPr>
                <w:sz w:val="20"/>
              </w:rPr>
              <w:t xml:space="preserve">generally </w:t>
            </w:r>
            <w:r w:rsidR="00D3791B">
              <w:rPr>
                <w:sz w:val="20"/>
              </w:rPr>
              <w:t>used</w:t>
            </w:r>
            <w:r w:rsidRPr="00650AB0">
              <w:rPr>
                <w:sz w:val="20"/>
              </w:rPr>
              <w:t xml:space="preserve"> across </w:t>
            </w:r>
            <w:r w:rsidR="00D3791B">
              <w:rPr>
                <w:sz w:val="20"/>
              </w:rPr>
              <w:t xml:space="preserve">the </w:t>
            </w:r>
            <w:r w:rsidRPr="00650AB0">
              <w:rPr>
                <w:sz w:val="20"/>
              </w:rPr>
              <w:t>CB</w:t>
            </w:r>
            <w:r w:rsidR="00E96142" w:rsidRPr="00650AB0">
              <w:rPr>
                <w:sz w:val="20"/>
              </w:rPr>
              <w:t>CCAG</w:t>
            </w:r>
            <w:r w:rsidR="00D3791B">
              <w:rPr>
                <w:sz w:val="20"/>
              </w:rPr>
              <w:t xml:space="preserve"> program</w:t>
            </w:r>
            <w:r w:rsidR="00875016">
              <w:rPr>
                <w:sz w:val="20"/>
              </w:rPr>
              <w:t xml:space="preserve"> – </w:t>
            </w:r>
            <w:r w:rsidR="00E96142" w:rsidRPr="00650AB0">
              <w:rPr>
                <w:sz w:val="20"/>
              </w:rPr>
              <w:t>works on a widely deployed</w:t>
            </w:r>
            <w:r w:rsidRPr="00650AB0">
              <w:rPr>
                <w:sz w:val="20"/>
              </w:rPr>
              <w:t xml:space="preserve"> theory of change</w:t>
            </w:r>
            <w:r w:rsidR="00582E36">
              <w:rPr>
                <w:sz w:val="20"/>
              </w:rPr>
              <w:t xml:space="preserve">. It </w:t>
            </w:r>
            <w:r w:rsidRPr="00650AB0">
              <w:rPr>
                <w:sz w:val="20"/>
              </w:rPr>
              <w:t>build</w:t>
            </w:r>
            <w:r w:rsidR="00582E36">
              <w:rPr>
                <w:sz w:val="20"/>
              </w:rPr>
              <w:t>s</w:t>
            </w:r>
            <w:r w:rsidRPr="00650AB0">
              <w:rPr>
                <w:sz w:val="20"/>
              </w:rPr>
              <w:t xml:space="preserve"> knowledge and skills around climate change impacts and vulnerabilities; facilitate</w:t>
            </w:r>
            <w:r w:rsidR="00582E36">
              <w:rPr>
                <w:sz w:val="20"/>
              </w:rPr>
              <w:t>s</w:t>
            </w:r>
            <w:r w:rsidRPr="00650AB0">
              <w:rPr>
                <w:sz w:val="20"/>
              </w:rPr>
              <w:t xml:space="preserve"> participatory planning to identify adaptive action; </w:t>
            </w:r>
            <w:r w:rsidR="00512EB3">
              <w:rPr>
                <w:sz w:val="20"/>
              </w:rPr>
              <w:t>provide</w:t>
            </w:r>
            <w:r w:rsidR="00582E36">
              <w:rPr>
                <w:sz w:val="20"/>
              </w:rPr>
              <w:t>s</w:t>
            </w:r>
            <w:r w:rsidR="00512EB3">
              <w:rPr>
                <w:sz w:val="20"/>
              </w:rPr>
              <w:t xml:space="preserve"> resources to </w:t>
            </w:r>
            <w:r w:rsidRPr="00650AB0">
              <w:rPr>
                <w:sz w:val="20"/>
              </w:rPr>
              <w:t>test these; advocate</w:t>
            </w:r>
            <w:r w:rsidR="00582E36">
              <w:rPr>
                <w:sz w:val="20"/>
              </w:rPr>
              <w:t>s</w:t>
            </w:r>
            <w:r w:rsidR="00D3791B">
              <w:rPr>
                <w:sz w:val="20"/>
              </w:rPr>
              <w:t xml:space="preserve"> </w:t>
            </w:r>
            <w:r w:rsidRPr="00650AB0">
              <w:rPr>
                <w:sz w:val="20"/>
              </w:rPr>
              <w:t>and engage</w:t>
            </w:r>
            <w:r w:rsidR="00582E36">
              <w:rPr>
                <w:sz w:val="20"/>
              </w:rPr>
              <w:t>s</w:t>
            </w:r>
            <w:r w:rsidRPr="00650AB0">
              <w:rPr>
                <w:sz w:val="20"/>
              </w:rPr>
              <w:t xml:space="preserve"> with government to</w:t>
            </w:r>
            <w:r w:rsidR="00512EB3">
              <w:rPr>
                <w:sz w:val="20"/>
              </w:rPr>
              <w:t xml:space="preserve"> build local capacity, influence development decisions and </w:t>
            </w:r>
            <w:r w:rsidRPr="00650AB0">
              <w:rPr>
                <w:sz w:val="20"/>
              </w:rPr>
              <w:t xml:space="preserve">access resources for implementation; </w:t>
            </w:r>
            <w:r w:rsidR="00D3791B">
              <w:rPr>
                <w:sz w:val="20"/>
              </w:rPr>
              <w:t xml:space="preserve">and </w:t>
            </w:r>
            <w:r w:rsidRPr="00650AB0">
              <w:rPr>
                <w:sz w:val="20"/>
              </w:rPr>
              <w:t>create</w:t>
            </w:r>
            <w:r w:rsidR="00582E36">
              <w:rPr>
                <w:sz w:val="20"/>
              </w:rPr>
              <w:t>s</w:t>
            </w:r>
            <w:r w:rsidRPr="00650AB0">
              <w:rPr>
                <w:sz w:val="20"/>
              </w:rPr>
              <w:t xml:space="preserve"> networks for wider adoption. This theory is effective to a point but faces challenges in defining </w:t>
            </w:r>
            <w:r w:rsidR="0063653D" w:rsidRPr="00650AB0">
              <w:rPr>
                <w:sz w:val="20"/>
              </w:rPr>
              <w:t xml:space="preserve">genuine </w:t>
            </w:r>
            <w:r w:rsidR="00C6051C" w:rsidRPr="00650AB0">
              <w:rPr>
                <w:sz w:val="20"/>
              </w:rPr>
              <w:t>pathways to impact at scale</w:t>
            </w:r>
            <w:r w:rsidRPr="00650AB0">
              <w:rPr>
                <w:sz w:val="20"/>
              </w:rPr>
              <w:t xml:space="preserve">. Change is complex and highly iterative. </w:t>
            </w:r>
            <w:r w:rsidR="0063653D" w:rsidRPr="00650AB0">
              <w:rPr>
                <w:sz w:val="20"/>
              </w:rPr>
              <w:t>I</w:t>
            </w:r>
            <w:r w:rsidR="00353044" w:rsidRPr="00650AB0">
              <w:rPr>
                <w:sz w:val="20"/>
              </w:rPr>
              <w:t xml:space="preserve">t is not achievable in a short project timeframe. </w:t>
            </w:r>
          </w:p>
          <w:p w:rsidR="00C6051C" w:rsidRPr="00650AB0" w:rsidRDefault="006522DA" w:rsidP="009E19F2">
            <w:pPr>
              <w:rPr>
                <w:sz w:val="20"/>
              </w:rPr>
            </w:pPr>
            <w:r>
              <w:rPr>
                <w:sz w:val="20"/>
              </w:rPr>
              <w:t xml:space="preserve">The </w:t>
            </w:r>
            <w:r w:rsidR="00C6051C" w:rsidRPr="00650AB0">
              <w:rPr>
                <w:sz w:val="20"/>
              </w:rPr>
              <w:t>CBCCAG</w:t>
            </w:r>
            <w:r>
              <w:rPr>
                <w:sz w:val="20"/>
              </w:rPr>
              <w:t xml:space="preserve"> program</w:t>
            </w:r>
            <w:r w:rsidR="00D3791B">
              <w:rPr>
                <w:sz w:val="20"/>
              </w:rPr>
              <w:t xml:space="preserve"> </w:t>
            </w:r>
            <w:r w:rsidR="00C6051C" w:rsidRPr="00650AB0">
              <w:rPr>
                <w:sz w:val="20"/>
              </w:rPr>
              <w:t xml:space="preserve">offered a unique opportunity to test this model (with many individual project differences) across a wide geographic </w:t>
            </w:r>
            <w:r w:rsidR="009419F0" w:rsidRPr="00650AB0">
              <w:rPr>
                <w:sz w:val="20"/>
              </w:rPr>
              <w:t>reach</w:t>
            </w:r>
            <w:r w:rsidR="00C6051C" w:rsidRPr="00650AB0">
              <w:rPr>
                <w:sz w:val="20"/>
              </w:rPr>
              <w:t xml:space="preserve"> and in a range of cultural settings and contexts.</w:t>
            </w:r>
          </w:p>
          <w:p w:rsidR="0063653D" w:rsidRPr="00650AB0" w:rsidRDefault="00992E56" w:rsidP="00E17997">
            <w:pPr>
              <w:rPr>
                <w:sz w:val="20"/>
              </w:rPr>
            </w:pPr>
            <w:r w:rsidRPr="00650AB0">
              <w:rPr>
                <w:sz w:val="20"/>
              </w:rPr>
              <w:t xml:space="preserve">Collectively, the projects have built an extraordinary evidence base for </w:t>
            </w:r>
            <w:r w:rsidR="00E17997">
              <w:rPr>
                <w:sz w:val="20"/>
              </w:rPr>
              <w:t>CBA</w:t>
            </w:r>
            <w:r w:rsidRPr="00650AB0">
              <w:rPr>
                <w:sz w:val="20"/>
              </w:rPr>
              <w:t>. Models are emerging from within individual projects and across consortia of like-minded partners</w:t>
            </w:r>
            <w:r w:rsidR="0063653D" w:rsidRPr="00650AB0">
              <w:rPr>
                <w:sz w:val="20"/>
              </w:rPr>
              <w:t>. Right now, it is dispersed, housed with different partners and documented in a range of reports, case studies, videos</w:t>
            </w:r>
            <w:r w:rsidRPr="00650AB0">
              <w:rPr>
                <w:sz w:val="20"/>
              </w:rPr>
              <w:t>, think pieces, manuals and models</w:t>
            </w:r>
            <w:r w:rsidR="0063653D" w:rsidRPr="00650AB0">
              <w:rPr>
                <w:sz w:val="20"/>
              </w:rPr>
              <w:t>.</w:t>
            </w:r>
          </w:p>
        </w:tc>
        <w:tc>
          <w:tcPr>
            <w:tcW w:w="7797" w:type="dxa"/>
          </w:tcPr>
          <w:p w:rsidR="005C1BE3" w:rsidRPr="00650AB0" w:rsidRDefault="0063653D" w:rsidP="009E19F2">
            <w:pPr>
              <w:rPr>
                <w:sz w:val="20"/>
              </w:rPr>
            </w:pPr>
            <w:r w:rsidRPr="00512EB3">
              <w:rPr>
                <w:b/>
                <w:i/>
                <w:sz w:val="20"/>
              </w:rPr>
              <w:t>Consolidate the CBCCAG evidence base</w:t>
            </w:r>
            <w:r w:rsidRPr="00650AB0">
              <w:rPr>
                <w:sz w:val="20"/>
              </w:rPr>
              <w:t xml:space="preserve"> </w:t>
            </w:r>
            <w:r w:rsidRPr="00004EF7">
              <w:rPr>
                <w:b/>
                <w:i/>
                <w:sz w:val="20"/>
              </w:rPr>
              <w:t>on community</w:t>
            </w:r>
            <w:r w:rsidR="00D3791B" w:rsidRPr="00004EF7">
              <w:rPr>
                <w:b/>
                <w:i/>
                <w:sz w:val="20"/>
              </w:rPr>
              <w:t>-</w:t>
            </w:r>
            <w:r w:rsidRPr="00004EF7">
              <w:rPr>
                <w:b/>
                <w:i/>
                <w:sz w:val="20"/>
              </w:rPr>
              <w:t>based climate change adaptation across the projects</w:t>
            </w:r>
            <w:r w:rsidR="00D3791B" w:rsidRPr="00004EF7">
              <w:rPr>
                <w:b/>
                <w:i/>
                <w:sz w:val="20"/>
              </w:rPr>
              <w:t>:</w:t>
            </w:r>
            <w:r w:rsidRPr="00650AB0">
              <w:rPr>
                <w:sz w:val="20"/>
              </w:rPr>
              <w:t xml:space="preserve"> Analyse it and document outcomes, experiences and lessons to see if it is possible to define ‘models’ and approaches that can be shared to inform future programs and the global methodological discussion</w:t>
            </w:r>
            <w:r w:rsidR="004A4349" w:rsidRPr="00650AB0">
              <w:rPr>
                <w:sz w:val="20"/>
              </w:rPr>
              <w:t xml:space="preserve"> on </w:t>
            </w:r>
            <w:r w:rsidR="00E17997">
              <w:rPr>
                <w:sz w:val="20"/>
              </w:rPr>
              <w:t>CBA</w:t>
            </w:r>
            <w:r w:rsidR="004A4349" w:rsidRPr="00650AB0">
              <w:rPr>
                <w:sz w:val="20"/>
              </w:rPr>
              <w:t>. Make the evidence base available and accessible</w:t>
            </w:r>
            <w:r w:rsidRPr="00650AB0">
              <w:rPr>
                <w:sz w:val="20"/>
              </w:rPr>
              <w:t>.</w:t>
            </w:r>
          </w:p>
          <w:p w:rsidR="00E96142" w:rsidRPr="00650AB0" w:rsidRDefault="00E96142" w:rsidP="009E19F2">
            <w:pPr>
              <w:rPr>
                <w:sz w:val="20"/>
              </w:rPr>
            </w:pPr>
            <w:r w:rsidRPr="00650AB0">
              <w:rPr>
                <w:sz w:val="20"/>
              </w:rPr>
              <w:t>This evidence base also offers a wealth of knowledge to inform discussions about entry points for climate change in community development, complementing knowledge from adaptation efforts around the world. Properly analysed, it could inform our understanding of what ‘resilience’ means in community</w:t>
            </w:r>
            <w:r w:rsidR="00044D1D" w:rsidRPr="00650AB0">
              <w:rPr>
                <w:sz w:val="20"/>
              </w:rPr>
              <w:t xml:space="preserve"> settings, how it relates </w:t>
            </w:r>
            <w:r w:rsidR="00512EB3">
              <w:rPr>
                <w:sz w:val="20"/>
              </w:rPr>
              <w:t xml:space="preserve">to </w:t>
            </w:r>
            <w:r w:rsidR="00044D1D" w:rsidRPr="00650AB0">
              <w:rPr>
                <w:sz w:val="20"/>
              </w:rPr>
              <w:t>short-</w:t>
            </w:r>
            <w:r w:rsidRPr="00650AB0">
              <w:rPr>
                <w:sz w:val="20"/>
              </w:rPr>
              <w:t xml:space="preserve">term development benefits and how investment </w:t>
            </w:r>
            <w:r w:rsidR="00512EB3">
              <w:rPr>
                <w:sz w:val="20"/>
              </w:rPr>
              <w:t xml:space="preserve">might </w:t>
            </w:r>
            <w:r w:rsidRPr="00650AB0">
              <w:rPr>
                <w:sz w:val="20"/>
              </w:rPr>
              <w:t>need to be ramped up to deal with worsening impacts.</w:t>
            </w:r>
          </w:p>
          <w:p w:rsidR="00E96142" w:rsidRPr="00650AB0" w:rsidRDefault="00512EB3" w:rsidP="00EE7859">
            <w:pPr>
              <w:rPr>
                <w:sz w:val="20"/>
              </w:rPr>
            </w:pPr>
            <w:r>
              <w:rPr>
                <w:sz w:val="20"/>
              </w:rPr>
              <w:t>The CBCC</w:t>
            </w:r>
            <w:r w:rsidR="00044D1D" w:rsidRPr="00650AB0">
              <w:rPr>
                <w:sz w:val="20"/>
              </w:rPr>
              <w:t>AG evidence base is</w:t>
            </w:r>
            <w:r w:rsidR="00E96142" w:rsidRPr="00650AB0">
              <w:rPr>
                <w:sz w:val="20"/>
              </w:rPr>
              <w:t xml:space="preserve"> of particular value in the context of the Pacific</w:t>
            </w:r>
            <w:r w:rsidR="006522DA">
              <w:rPr>
                <w:sz w:val="20"/>
              </w:rPr>
              <w:t xml:space="preserve"> Region</w:t>
            </w:r>
            <w:r w:rsidR="00E96142" w:rsidRPr="00650AB0">
              <w:rPr>
                <w:sz w:val="20"/>
              </w:rPr>
              <w:t>, home to many of the world’s most vulnerabl</w:t>
            </w:r>
            <w:r w:rsidR="00044D1D" w:rsidRPr="00650AB0">
              <w:rPr>
                <w:sz w:val="20"/>
              </w:rPr>
              <w:t>e areas and to millions of</w:t>
            </w:r>
            <w:r w:rsidR="00E96142" w:rsidRPr="00650AB0">
              <w:rPr>
                <w:sz w:val="20"/>
              </w:rPr>
              <w:t xml:space="preserve"> at</w:t>
            </w:r>
            <w:r w:rsidR="00875016">
              <w:rPr>
                <w:sz w:val="20"/>
              </w:rPr>
              <w:t>-</w:t>
            </w:r>
            <w:r w:rsidR="00E96142" w:rsidRPr="00650AB0">
              <w:rPr>
                <w:sz w:val="20"/>
              </w:rPr>
              <w:t>risk people who have not benefited from the industrial and resources booms that fuel global climate change.</w:t>
            </w:r>
            <w:r w:rsidR="00044D1D" w:rsidRPr="00650AB0">
              <w:rPr>
                <w:sz w:val="20"/>
              </w:rPr>
              <w:t xml:space="preserve"> It offers </w:t>
            </w:r>
            <w:r w:rsidR="00EE7859">
              <w:rPr>
                <w:sz w:val="20"/>
              </w:rPr>
              <w:t>rich</w:t>
            </w:r>
            <w:r w:rsidR="00044D1D" w:rsidRPr="00650AB0">
              <w:rPr>
                <w:sz w:val="20"/>
              </w:rPr>
              <w:t>, in</w:t>
            </w:r>
            <w:r w:rsidR="00875016">
              <w:rPr>
                <w:sz w:val="20"/>
              </w:rPr>
              <w:t>-</w:t>
            </w:r>
            <w:r w:rsidR="00044D1D" w:rsidRPr="00650AB0">
              <w:rPr>
                <w:sz w:val="20"/>
              </w:rPr>
              <w:t xml:space="preserve">depth experiences and lessons </w:t>
            </w:r>
            <w:r w:rsidR="00CD33BE" w:rsidRPr="00650AB0">
              <w:rPr>
                <w:sz w:val="20"/>
              </w:rPr>
              <w:t>to guide the next wave of donor investment.</w:t>
            </w:r>
          </w:p>
        </w:tc>
      </w:tr>
      <w:tr w:rsidR="00AA22AA">
        <w:tc>
          <w:tcPr>
            <w:tcW w:w="6345" w:type="dxa"/>
            <w:shd w:val="clear" w:color="auto" w:fill="BCCFF1"/>
          </w:tcPr>
          <w:p w:rsidR="00AA22AA" w:rsidRPr="00650AB0" w:rsidRDefault="006522DA" w:rsidP="009E19F2">
            <w:pPr>
              <w:rPr>
                <w:sz w:val="20"/>
              </w:rPr>
            </w:pPr>
            <w:r>
              <w:rPr>
                <w:sz w:val="20"/>
              </w:rPr>
              <w:t>L</w:t>
            </w:r>
            <w:r w:rsidR="00AA22AA" w:rsidRPr="00AA22AA">
              <w:rPr>
                <w:sz w:val="20"/>
              </w:rPr>
              <w:t xml:space="preserve">ead partners in </w:t>
            </w:r>
            <w:r>
              <w:rPr>
                <w:sz w:val="20"/>
              </w:rPr>
              <w:t xml:space="preserve">the </w:t>
            </w:r>
            <w:r w:rsidR="00AA22AA" w:rsidRPr="00AA22AA">
              <w:rPr>
                <w:sz w:val="20"/>
              </w:rPr>
              <w:t>CBCCAG</w:t>
            </w:r>
            <w:r>
              <w:rPr>
                <w:sz w:val="20"/>
              </w:rPr>
              <w:t xml:space="preserve"> program</w:t>
            </w:r>
            <w:r w:rsidR="00AA22AA" w:rsidRPr="00AA22AA">
              <w:rPr>
                <w:sz w:val="20"/>
              </w:rPr>
              <w:t xml:space="preserve"> took opportunities to build on long</w:t>
            </w:r>
            <w:r w:rsidR="003F213B">
              <w:rPr>
                <w:sz w:val="20"/>
              </w:rPr>
              <w:t>-</w:t>
            </w:r>
            <w:r w:rsidR="00AA22AA" w:rsidRPr="00AA22AA">
              <w:rPr>
                <w:sz w:val="20"/>
              </w:rPr>
              <w:t>established relationships with local partners and previous phases of related work in the target areas. In some cases they advanced to new locations, taking lessons and experiences to apply in other settings. In others they built on previous planning exercise</w:t>
            </w:r>
            <w:r w:rsidR="003F213B">
              <w:rPr>
                <w:sz w:val="20"/>
              </w:rPr>
              <w:t>s</w:t>
            </w:r>
            <w:r w:rsidR="00AA22AA" w:rsidRPr="00AA22AA">
              <w:rPr>
                <w:sz w:val="20"/>
              </w:rPr>
              <w:t xml:space="preserve"> and vulnerability assessments</w:t>
            </w:r>
            <w:r w:rsidR="003F213B">
              <w:rPr>
                <w:sz w:val="20"/>
              </w:rPr>
              <w:t xml:space="preserve"> </w:t>
            </w:r>
            <w:r w:rsidR="00AA22AA" w:rsidRPr="00AA22AA">
              <w:rPr>
                <w:sz w:val="20"/>
              </w:rPr>
              <w:t>to deepen the experience of partner communities and their engagement in resilience building. At a practical level, this allowed key staff to be retained, lessons consolidated and methods refined. On the ground, it meant that there was continuity of effort and a greater depth of knowledge built, with positive outcomes for local partners and communities.</w:t>
            </w:r>
          </w:p>
        </w:tc>
        <w:tc>
          <w:tcPr>
            <w:tcW w:w="7797" w:type="dxa"/>
          </w:tcPr>
          <w:p w:rsidR="00AA22AA" w:rsidRPr="00AA22AA" w:rsidRDefault="00AA22AA" w:rsidP="00AA22AA">
            <w:pPr>
              <w:rPr>
                <w:sz w:val="20"/>
              </w:rPr>
            </w:pPr>
            <w:r>
              <w:rPr>
                <w:b/>
                <w:i/>
                <w:sz w:val="20"/>
              </w:rPr>
              <w:t xml:space="preserve">Don’t start again: </w:t>
            </w:r>
            <w:r>
              <w:rPr>
                <w:sz w:val="20"/>
              </w:rPr>
              <w:t xml:space="preserve">Build on the achievements in the project locations. Deepening the knowledge and experiences of communities and local partners will enable the evidence base and good practice generated by </w:t>
            </w:r>
            <w:r w:rsidR="006522DA">
              <w:rPr>
                <w:sz w:val="20"/>
              </w:rPr>
              <w:t xml:space="preserve">the </w:t>
            </w:r>
            <w:r>
              <w:rPr>
                <w:sz w:val="20"/>
              </w:rPr>
              <w:t>CBCCAG</w:t>
            </w:r>
            <w:r w:rsidR="006522DA">
              <w:rPr>
                <w:sz w:val="20"/>
              </w:rPr>
              <w:t xml:space="preserve"> program</w:t>
            </w:r>
            <w:r>
              <w:rPr>
                <w:sz w:val="20"/>
              </w:rPr>
              <w:t xml:space="preserve"> to be adapted locally for wider application.</w:t>
            </w:r>
          </w:p>
        </w:tc>
      </w:tr>
      <w:tr w:rsidR="00370165">
        <w:tc>
          <w:tcPr>
            <w:tcW w:w="6345" w:type="dxa"/>
            <w:shd w:val="clear" w:color="auto" w:fill="BCCFF1"/>
          </w:tcPr>
          <w:p w:rsidR="0020519F" w:rsidRPr="00650AB0" w:rsidRDefault="00DE2443" w:rsidP="009E19F2">
            <w:pPr>
              <w:rPr>
                <w:sz w:val="20"/>
              </w:rPr>
            </w:pPr>
            <w:r w:rsidRPr="00650AB0">
              <w:rPr>
                <w:sz w:val="20"/>
              </w:rPr>
              <w:t>The projects formed partnerships for implementation managed by a</w:t>
            </w:r>
            <w:r w:rsidR="000D7FD3" w:rsidRPr="00650AB0">
              <w:rPr>
                <w:sz w:val="20"/>
              </w:rPr>
              <w:t>n experienced</w:t>
            </w:r>
            <w:r w:rsidRPr="00650AB0">
              <w:rPr>
                <w:sz w:val="20"/>
              </w:rPr>
              <w:t xml:space="preserve"> lead organisation. The consortium model, while challenging in terms of coordination, proved effective for a number of reasons. It was efficient in that the lead organisation provided administrative support</w:t>
            </w:r>
            <w:r w:rsidR="006F47D0" w:rsidRPr="00650AB0">
              <w:rPr>
                <w:sz w:val="20"/>
              </w:rPr>
              <w:t xml:space="preserve"> and project management</w:t>
            </w:r>
            <w:r w:rsidRPr="00650AB0">
              <w:rPr>
                <w:sz w:val="20"/>
              </w:rPr>
              <w:t xml:space="preserve">, allowing local partners to get on with their work on the ground. </w:t>
            </w:r>
            <w:r w:rsidR="006F47D0" w:rsidRPr="00650AB0">
              <w:rPr>
                <w:sz w:val="20"/>
              </w:rPr>
              <w:t>It enabled access to specialist skills through the lead agencies and specialist partnerships, and sharing of methods and approaches. It facilitated capacity building of local partners through mentoring and training in climate change but also in aspects of project management (e.g. financial management). These skills have enabled partners to access funds from other sources to continue the work.</w:t>
            </w:r>
            <w:r w:rsidR="00544A58" w:rsidRPr="00650AB0">
              <w:rPr>
                <w:sz w:val="20"/>
              </w:rPr>
              <w:t xml:space="preserve"> It connected local partners to wider networks and ongoing access to knowledge.</w:t>
            </w:r>
          </w:p>
          <w:p w:rsidR="00C525A7" w:rsidRPr="00650AB0" w:rsidRDefault="00C525A7" w:rsidP="00490AA9">
            <w:pPr>
              <w:rPr>
                <w:sz w:val="20"/>
              </w:rPr>
            </w:pPr>
            <w:r w:rsidRPr="00650AB0">
              <w:rPr>
                <w:sz w:val="20"/>
              </w:rPr>
              <w:t xml:space="preserve">There were </w:t>
            </w:r>
            <w:r w:rsidR="00490AA9">
              <w:rPr>
                <w:sz w:val="20"/>
              </w:rPr>
              <w:t xml:space="preserve">also some </w:t>
            </w:r>
            <w:r w:rsidRPr="00650AB0">
              <w:rPr>
                <w:sz w:val="20"/>
              </w:rPr>
              <w:t xml:space="preserve">weaknesses and missed </w:t>
            </w:r>
            <w:r w:rsidR="00490AA9">
              <w:rPr>
                <w:sz w:val="20"/>
              </w:rPr>
              <w:t>opportunities (e.g. consortium</w:t>
            </w:r>
            <w:r w:rsidR="009B6651">
              <w:rPr>
                <w:sz w:val="20"/>
              </w:rPr>
              <w:t>-</w:t>
            </w:r>
            <w:r w:rsidR="00490AA9">
              <w:rPr>
                <w:sz w:val="20"/>
              </w:rPr>
              <w:t xml:space="preserve">level monitoring and evaluation; collaboration on activities; </w:t>
            </w:r>
            <w:r w:rsidR="009B6651">
              <w:rPr>
                <w:sz w:val="20"/>
              </w:rPr>
              <w:t xml:space="preserve">and </w:t>
            </w:r>
            <w:r w:rsidR="00490AA9">
              <w:rPr>
                <w:sz w:val="20"/>
              </w:rPr>
              <w:t>coordination across a large number of local partners).</w:t>
            </w:r>
          </w:p>
        </w:tc>
        <w:tc>
          <w:tcPr>
            <w:tcW w:w="7797" w:type="dxa"/>
          </w:tcPr>
          <w:p w:rsidR="00C525A7" w:rsidRPr="00650AB0" w:rsidRDefault="00C525A7" w:rsidP="009E19F2">
            <w:pPr>
              <w:rPr>
                <w:sz w:val="20"/>
              </w:rPr>
            </w:pPr>
            <w:r w:rsidRPr="00EE7859">
              <w:rPr>
                <w:b/>
                <w:i/>
                <w:sz w:val="20"/>
              </w:rPr>
              <w:t>C</w:t>
            </w:r>
            <w:r w:rsidR="00191AC7" w:rsidRPr="00EE7859">
              <w:rPr>
                <w:b/>
                <w:i/>
                <w:sz w:val="20"/>
              </w:rPr>
              <w:t>ontinue the consortium approach</w:t>
            </w:r>
            <w:r w:rsidR="00EE7859">
              <w:rPr>
                <w:sz w:val="20"/>
              </w:rPr>
              <w:t>:</w:t>
            </w:r>
            <w:r w:rsidR="00191AC7" w:rsidRPr="00650AB0">
              <w:rPr>
                <w:sz w:val="20"/>
              </w:rPr>
              <w:t xml:space="preserve"> It is an efficient implementation method with large potential benefits for all partners.</w:t>
            </w:r>
          </w:p>
          <w:p w:rsidR="00191AC7" w:rsidRDefault="00191AC7" w:rsidP="009E19F2">
            <w:pPr>
              <w:rPr>
                <w:sz w:val="20"/>
              </w:rPr>
            </w:pPr>
            <w:r w:rsidRPr="00650AB0">
              <w:rPr>
                <w:sz w:val="20"/>
              </w:rPr>
              <w:t>Ensure that roles and responsibilities of partners a</w:t>
            </w:r>
            <w:r w:rsidR="009B6651">
              <w:rPr>
                <w:sz w:val="20"/>
              </w:rPr>
              <w:t>re</w:t>
            </w:r>
            <w:r w:rsidRPr="00650AB0">
              <w:rPr>
                <w:sz w:val="20"/>
              </w:rPr>
              <w:t xml:space="preserve"> clear upfront. Provide mechanisms for collaboration and synergies in the way different partners work (i.e. not just working separately).</w:t>
            </w:r>
          </w:p>
          <w:p w:rsidR="00490AA9" w:rsidRPr="00650AB0" w:rsidRDefault="00490AA9" w:rsidP="009E19F2">
            <w:pPr>
              <w:rPr>
                <w:sz w:val="20"/>
              </w:rPr>
            </w:pPr>
            <w:r>
              <w:rPr>
                <w:sz w:val="20"/>
              </w:rPr>
              <w:t>Engage all partners in the design process, agreeing on objectives, outcomes, budgets and pace of implementation.</w:t>
            </w:r>
          </w:p>
          <w:p w:rsidR="0020519F" w:rsidRPr="00650AB0" w:rsidRDefault="00191AC7" w:rsidP="009E19F2">
            <w:pPr>
              <w:rPr>
                <w:sz w:val="20"/>
              </w:rPr>
            </w:pPr>
            <w:r w:rsidRPr="00650AB0">
              <w:rPr>
                <w:sz w:val="20"/>
              </w:rPr>
              <w:t>Jointly develop a project-wide monitoring and evaluation system. Ensure it is structured to report against program as well as project objectives and outcomes. Provide dedicated resources and expertise to coordinate regular monitoring, analysis and reporting. Provide a range of opportunities for cross-learning within and between communities and across project countries. Local partners highly value these.</w:t>
            </w:r>
          </w:p>
        </w:tc>
      </w:tr>
      <w:tr w:rsidR="00370165">
        <w:tc>
          <w:tcPr>
            <w:tcW w:w="6345" w:type="dxa"/>
            <w:shd w:val="clear" w:color="auto" w:fill="BCCFF1"/>
          </w:tcPr>
          <w:p w:rsidR="00762447" w:rsidRPr="00650AB0" w:rsidRDefault="003A1A55" w:rsidP="009E19F2">
            <w:pPr>
              <w:rPr>
                <w:sz w:val="20"/>
              </w:rPr>
            </w:pPr>
            <w:r w:rsidRPr="003A1A55">
              <w:rPr>
                <w:sz w:val="20"/>
              </w:rPr>
              <w:t>The consortium model will be even more efficient and effective as more and more responsibility can be handed to local partners. Building their capacity will help to ensure that the work continues and is responsive and relevant to local needs. It pays off in the long run</w:t>
            </w:r>
            <w:r w:rsidR="009B6651">
              <w:rPr>
                <w:sz w:val="20"/>
              </w:rPr>
              <w:t>,</w:t>
            </w:r>
            <w:r w:rsidRPr="003A1A55">
              <w:rPr>
                <w:sz w:val="20"/>
              </w:rPr>
              <w:t xml:space="preserve"> even if costly to start with. </w:t>
            </w:r>
          </w:p>
        </w:tc>
        <w:tc>
          <w:tcPr>
            <w:tcW w:w="7797" w:type="dxa"/>
          </w:tcPr>
          <w:p w:rsidR="003A1A55" w:rsidRPr="003A1A55" w:rsidRDefault="003A1A55" w:rsidP="003A1A55">
            <w:pPr>
              <w:rPr>
                <w:sz w:val="20"/>
              </w:rPr>
            </w:pPr>
            <w:r w:rsidRPr="00EE7859">
              <w:rPr>
                <w:b/>
                <w:i/>
                <w:sz w:val="20"/>
              </w:rPr>
              <w:t>Build local partner capacities</w:t>
            </w:r>
            <w:r w:rsidR="00EE7859">
              <w:rPr>
                <w:b/>
                <w:i/>
                <w:sz w:val="20"/>
              </w:rPr>
              <w:t>:</w:t>
            </w:r>
            <w:r>
              <w:rPr>
                <w:sz w:val="20"/>
              </w:rPr>
              <w:t xml:space="preserve"> </w:t>
            </w:r>
            <w:r w:rsidRPr="003A1A55">
              <w:rPr>
                <w:sz w:val="20"/>
              </w:rPr>
              <w:t>Supporting local partners through good coordination, sharing of new methods and technologies, and providing access to wider networks is a</w:t>
            </w:r>
            <w:r w:rsidR="003416D1">
              <w:rPr>
                <w:sz w:val="20"/>
              </w:rPr>
              <w:t>n</w:t>
            </w:r>
            <w:r w:rsidRPr="003A1A55">
              <w:rPr>
                <w:sz w:val="20"/>
              </w:rPr>
              <w:t xml:space="preserve"> effective ongoing role for international NGOs to play.</w:t>
            </w:r>
          </w:p>
          <w:p w:rsidR="00762447" w:rsidRPr="00650AB0" w:rsidRDefault="00762447" w:rsidP="009E19F2">
            <w:pPr>
              <w:rPr>
                <w:sz w:val="20"/>
              </w:rPr>
            </w:pPr>
          </w:p>
        </w:tc>
      </w:tr>
      <w:tr w:rsidR="00370165">
        <w:tc>
          <w:tcPr>
            <w:tcW w:w="6345" w:type="dxa"/>
            <w:shd w:val="clear" w:color="auto" w:fill="BCCFF1"/>
          </w:tcPr>
          <w:p w:rsidR="00D0607A" w:rsidRPr="00650AB0" w:rsidRDefault="00762447" w:rsidP="009E19F2">
            <w:pPr>
              <w:rPr>
                <w:sz w:val="20"/>
              </w:rPr>
            </w:pPr>
            <w:r w:rsidRPr="00650AB0">
              <w:rPr>
                <w:sz w:val="20"/>
              </w:rPr>
              <w:t xml:space="preserve">The responsiveness and flexibility of DFAT program managers was valued by the implementation partners. This enabled project teams to adjust the designs and implementation schedules as appropriate along the way. </w:t>
            </w:r>
            <w:r w:rsidR="00776442" w:rsidRPr="00650AB0">
              <w:rPr>
                <w:sz w:val="20"/>
              </w:rPr>
              <w:t>As accredited organisations, the lead agencies are experienced in project management and appreciated the trust shown.</w:t>
            </w:r>
            <w:r w:rsidR="00EC335B" w:rsidRPr="00650AB0">
              <w:rPr>
                <w:sz w:val="20"/>
              </w:rPr>
              <w:t xml:space="preserve"> This contributed to the success of the program. </w:t>
            </w:r>
          </w:p>
          <w:p w:rsidR="003B55CC" w:rsidRPr="00650AB0" w:rsidRDefault="003B55CC" w:rsidP="009E19F2">
            <w:pPr>
              <w:rPr>
                <w:sz w:val="20"/>
              </w:rPr>
            </w:pPr>
            <w:r w:rsidRPr="00650AB0">
              <w:rPr>
                <w:sz w:val="20"/>
              </w:rPr>
              <w:t xml:space="preserve">Implementation partners found the </w:t>
            </w:r>
            <w:r w:rsidR="006F3EE6" w:rsidRPr="00650AB0">
              <w:rPr>
                <w:sz w:val="20"/>
              </w:rPr>
              <w:t xml:space="preserve">design guidelines, and the </w:t>
            </w:r>
            <w:r w:rsidRPr="00650AB0">
              <w:rPr>
                <w:sz w:val="20"/>
              </w:rPr>
              <w:t>guidance</w:t>
            </w:r>
            <w:r w:rsidR="006F3EE6" w:rsidRPr="00650AB0">
              <w:rPr>
                <w:sz w:val="20"/>
              </w:rPr>
              <w:t xml:space="preserve"> provided by DFAT</w:t>
            </w:r>
            <w:r w:rsidRPr="00650AB0">
              <w:rPr>
                <w:sz w:val="20"/>
              </w:rPr>
              <w:t xml:space="preserve"> on safeguards</w:t>
            </w:r>
            <w:r w:rsidR="006F3EE6" w:rsidRPr="00650AB0">
              <w:rPr>
                <w:sz w:val="20"/>
              </w:rPr>
              <w:t>,</w:t>
            </w:r>
            <w:r w:rsidRPr="00650AB0">
              <w:rPr>
                <w:sz w:val="20"/>
              </w:rPr>
              <w:t xml:space="preserve"> to be clear and relevant for </w:t>
            </w:r>
            <w:r w:rsidR="006F3EE6" w:rsidRPr="00650AB0">
              <w:rPr>
                <w:sz w:val="20"/>
              </w:rPr>
              <w:t xml:space="preserve">the context of the work. The </w:t>
            </w:r>
            <w:r w:rsidRPr="00650AB0">
              <w:rPr>
                <w:sz w:val="20"/>
              </w:rPr>
              <w:t xml:space="preserve">design workshop in Hanoi </w:t>
            </w:r>
            <w:r w:rsidR="006F3EE6" w:rsidRPr="00650AB0">
              <w:rPr>
                <w:sz w:val="20"/>
              </w:rPr>
              <w:t xml:space="preserve">was </w:t>
            </w:r>
            <w:r w:rsidRPr="00650AB0">
              <w:rPr>
                <w:sz w:val="20"/>
              </w:rPr>
              <w:t>useful.</w:t>
            </w:r>
          </w:p>
          <w:p w:rsidR="00AA0973" w:rsidRPr="00650AB0" w:rsidRDefault="00AA0973" w:rsidP="009E19F2">
            <w:pPr>
              <w:rPr>
                <w:sz w:val="20"/>
              </w:rPr>
            </w:pPr>
            <w:r w:rsidRPr="00650AB0">
              <w:rPr>
                <w:sz w:val="20"/>
              </w:rPr>
              <w:t>Posts</w:t>
            </w:r>
            <w:r w:rsidR="00650AB0">
              <w:rPr>
                <w:sz w:val="20"/>
              </w:rPr>
              <w:t xml:space="preserve"> were variously engaged. Implementation partners valued active </w:t>
            </w:r>
            <w:r w:rsidRPr="00650AB0">
              <w:rPr>
                <w:sz w:val="20"/>
              </w:rPr>
              <w:t xml:space="preserve">engagement </w:t>
            </w:r>
            <w:r w:rsidR="00650AB0">
              <w:rPr>
                <w:sz w:val="20"/>
              </w:rPr>
              <w:t xml:space="preserve">by Posts. </w:t>
            </w:r>
            <w:r w:rsidRPr="00650AB0">
              <w:rPr>
                <w:sz w:val="20"/>
              </w:rPr>
              <w:t>Post is seen as having an important role in brokering relationships between civil society organisations</w:t>
            </w:r>
            <w:r w:rsidR="003E6F3E">
              <w:rPr>
                <w:sz w:val="20"/>
              </w:rPr>
              <w:t xml:space="preserve"> (CSOs)</w:t>
            </w:r>
            <w:r w:rsidRPr="00650AB0">
              <w:rPr>
                <w:sz w:val="20"/>
              </w:rPr>
              <w:t xml:space="preserve"> and government, and in connecting projects with other elements of the in-country aid program to achieve synergies and avoid overlap.</w:t>
            </w:r>
          </w:p>
          <w:p w:rsidR="00EC335B" w:rsidRPr="00650AB0" w:rsidRDefault="00EC335B" w:rsidP="009E19F2">
            <w:pPr>
              <w:rPr>
                <w:sz w:val="20"/>
              </w:rPr>
            </w:pPr>
            <w:r w:rsidRPr="00650AB0">
              <w:rPr>
                <w:sz w:val="20"/>
              </w:rPr>
              <w:t>The Nepal workshop was widely appreciated but partners and the program would have benefited from more opportunities for cross-learning and program-wide sharing of skills, methods and experiences.</w:t>
            </w:r>
          </w:p>
        </w:tc>
        <w:tc>
          <w:tcPr>
            <w:tcW w:w="7797" w:type="dxa"/>
          </w:tcPr>
          <w:p w:rsidR="000909B0" w:rsidRPr="00650AB0" w:rsidRDefault="009B6651" w:rsidP="009E19F2">
            <w:pPr>
              <w:rPr>
                <w:sz w:val="20"/>
              </w:rPr>
            </w:pPr>
            <w:r>
              <w:rPr>
                <w:b/>
                <w:i/>
                <w:sz w:val="20"/>
              </w:rPr>
              <w:t>Provide support f</w:t>
            </w:r>
            <w:r w:rsidR="00762447" w:rsidRPr="00EE7859">
              <w:rPr>
                <w:b/>
                <w:i/>
                <w:sz w:val="20"/>
              </w:rPr>
              <w:t>or program managers:</w:t>
            </w:r>
            <w:r>
              <w:rPr>
                <w:sz w:val="20"/>
              </w:rPr>
              <w:t xml:space="preserve"> </w:t>
            </w:r>
            <w:r w:rsidR="000909B0" w:rsidRPr="00650AB0">
              <w:rPr>
                <w:sz w:val="20"/>
              </w:rPr>
              <w:t>Provide clear directions on DFAT requirements and design guidelines. Enable input from Posts and DFAT</w:t>
            </w:r>
            <w:r w:rsidR="003416D1">
              <w:rPr>
                <w:sz w:val="20"/>
              </w:rPr>
              <w:t xml:space="preserve"> </w:t>
            </w:r>
            <w:r w:rsidR="000909B0" w:rsidRPr="00650AB0">
              <w:rPr>
                <w:sz w:val="20"/>
              </w:rPr>
              <w:t>sector specialists (where these still exist). Provide opportunities for Post to engage (e.g. by giving Post a role in program management</w:t>
            </w:r>
            <w:r w:rsidR="00CD5642" w:rsidRPr="00650AB0">
              <w:rPr>
                <w:sz w:val="20"/>
              </w:rPr>
              <w:t xml:space="preserve"> and cross-program events,</w:t>
            </w:r>
            <w:r w:rsidR="000909B0" w:rsidRPr="00650AB0">
              <w:rPr>
                <w:sz w:val="20"/>
              </w:rPr>
              <w:t xml:space="preserve"> and </w:t>
            </w:r>
            <w:r w:rsidR="00CD5642" w:rsidRPr="00650AB0">
              <w:rPr>
                <w:sz w:val="20"/>
              </w:rPr>
              <w:t>sharing progress reports).</w:t>
            </w:r>
          </w:p>
          <w:p w:rsidR="00762447" w:rsidRPr="00650AB0" w:rsidRDefault="00762447" w:rsidP="009E19F2">
            <w:pPr>
              <w:rPr>
                <w:sz w:val="20"/>
              </w:rPr>
            </w:pPr>
            <w:r w:rsidRPr="00650AB0">
              <w:rPr>
                <w:sz w:val="20"/>
              </w:rPr>
              <w:t>Develop a program</w:t>
            </w:r>
            <w:r w:rsidR="009B6651">
              <w:rPr>
                <w:sz w:val="20"/>
              </w:rPr>
              <w:t>-</w:t>
            </w:r>
            <w:r w:rsidRPr="00650AB0">
              <w:rPr>
                <w:sz w:val="20"/>
              </w:rPr>
              <w:t>wide monitoring and evaluation framework,</w:t>
            </w:r>
            <w:r w:rsidR="00750AEB" w:rsidRPr="00650AB0">
              <w:rPr>
                <w:sz w:val="20"/>
              </w:rPr>
              <w:t xml:space="preserve"> setting out program objectives, outcomes and indicators</w:t>
            </w:r>
            <w:r w:rsidRPr="00650AB0">
              <w:rPr>
                <w:sz w:val="20"/>
              </w:rPr>
              <w:t>, and a coherent theory of change. Provide regular opportunities for cross-learning across the program and feedback to implementation partners on program</w:t>
            </w:r>
            <w:r w:rsidR="00703861">
              <w:rPr>
                <w:sz w:val="20"/>
              </w:rPr>
              <w:t>-</w:t>
            </w:r>
            <w:r w:rsidRPr="00650AB0">
              <w:rPr>
                <w:sz w:val="20"/>
              </w:rPr>
              <w:t>level progress.</w:t>
            </w:r>
            <w:r w:rsidR="000B0B35" w:rsidRPr="00650AB0">
              <w:rPr>
                <w:sz w:val="20"/>
              </w:rPr>
              <w:t xml:space="preserve"> Extend these to</w:t>
            </w:r>
            <w:r w:rsidR="000909B0" w:rsidRPr="00650AB0">
              <w:rPr>
                <w:sz w:val="20"/>
              </w:rPr>
              <w:t xml:space="preserve"> include opportunities for sharing of skills and methods, including professional placements, peer-to-peer exchanges and methodology workshops.</w:t>
            </w:r>
            <w:r w:rsidR="004552DD" w:rsidRPr="00650AB0">
              <w:rPr>
                <w:sz w:val="20"/>
              </w:rPr>
              <w:t xml:space="preserve"> </w:t>
            </w:r>
          </w:p>
          <w:p w:rsidR="004552DD" w:rsidRPr="00650AB0" w:rsidRDefault="004552DD" w:rsidP="009E19F2">
            <w:pPr>
              <w:rPr>
                <w:sz w:val="20"/>
              </w:rPr>
            </w:pPr>
            <w:r w:rsidRPr="00650AB0">
              <w:rPr>
                <w:sz w:val="20"/>
              </w:rPr>
              <w:t xml:space="preserve">Enable regular cross-program communication and exchange (e.g. through a program website or </w:t>
            </w:r>
            <w:r w:rsidR="00EE7859">
              <w:rPr>
                <w:sz w:val="20"/>
              </w:rPr>
              <w:t>blog</w:t>
            </w:r>
            <w:r w:rsidRPr="00650AB0">
              <w:rPr>
                <w:sz w:val="20"/>
              </w:rPr>
              <w:t>).</w:t>
            </w:r>
          </w:p>
          <w:p w:rsidR="00D0607A" w:rsidRPr="00650AB0" w:rsidRDefault="000B0B35" w:rsidP="00E17997">
            <w:pPr>
              <w:rPr>
                <w:sz w:val="20"/>
              </w:rPr>
            </w:pPr>
            <w:r w:rsidRPr="00650AB0">
              <w:rPr>
                <w:sz w:val="20"/>
              </w:rPr>
              <w:t>Provide resources for consolidation and analysis of the evidence base across the progra</w:t>
            </w:r>
            <w:r w:rsidR="00703861">
              <w:rPr>
                <w:sz w:val="20"/>
              </w:rPr>
              <w:t>m</w:t>
            </w:r>
            <w:r w:rsidRPr="00650AB0">
              <w:rPr>
                <w:sz w:val="20"/>
              </w:rPr>
              <w:t xml:space="preserve"> to inform future programs and wider methodological development in </w:t>
            </w:r>
            <w:r w:rsidR="00E17997">
              <w:rPr>
                <w:sz w:val="20"/>
              </w:rPr>
              <w:t>CBA</w:t>
            </w:r>
            <w:r w:rsidRPr="00650AB0">
              <w:rPr>
                <w:sz w:val="20"/>
              </w:rPr>
              <w:t>.</w:t>
            </w:r>
          </w:p>
        </w:tc>
      </w:tr>
    </w:tbl>
    <w:p w:rsidR="00370165" w:rsidRDefault="00370165" w:rsidP="00322833">
      <w:pPr>
        <w:rPr>
          <w:b/>
          <w:sz w:val="20"/>
        </w:rPr>
        <w:sectPr w:rsidR="00370165">
          <w:pgSz w:w="16840" w:h="11900" w:orient="landscape"/>
          <w:pgMar w:top="1389" w:right="1440" w:bottom="1440" w:left="1440" w:header="709" w:footer="709" w:gutter="0"/>
          <w:pgNumType w:fmt="lowerRoman"/>
          <w:cols w:space="708"/>
        </w:sectPr>
      </w:pPr>
    </w:p>
    <w:p w:rsidR="00A53FF6" w:rsidRDefault="00A53FF6" w:rsidP="00533DCC">
      <w:pPr>
        <w:pStyle w:val="Heading1"/>
      </w:pPr>
      <w:bookmarkStart w:id="6" w:name="_Toc315694447"/>
      <w:r>
        <w:t>Background</w:t>
      </w:r>
      <w:bookmarkEnd w:id="6"/>
    </w:p>
    <w:p w:rsidR="00A53FF6" w:rsidRPr="00B6325B" w:rsidRDefault="00A53FF6" w:rsidP="00A53FF6">
      <w:pPr>
        <w:pStyle w:val="Heading2"/>
      </w:pPr>
      <w:bookmarkStart w:id="7" w:name="_Toc293842449"/>
      <w:bookmarkStart w:id="8" w:name="_Toc315694448"/>
      <w:r w:rsidRPr="00B6325B">
        <w:t>Purpose</w:t>
      </w:r>
      <w:bookmarkEnd w:id="7"/>
      <w:bookmarkEnd w:id="8"/>
    </w:p>
    <w:p w:rsidR="00A53FF6" w:rsidRPr="00B6325B" w:rsidRDefault="00A53FF6" w:rsidP="00A53FF6">
      <w:r>
        <w:t>This report presents the findings of an</w:t>
      </w:r>
      <w:r w:rsidRPr="00B6325B">
        <w:t xml:space="preserve"> independent evaluation of the Community</w:t>
      </w:r>
      <w:r w:rsidR="00EC65FC">
        <w:t>-b</w:t>
      </w:r>
      <w:r w:rsidRPr="00B6325B">
        <w:t>ased Climate Change Act</w:t>
      </w:r>
      <w:r>
        <w:t xml:space="preserve">ion Grants (CBCCAG) program. The evaluation was </w:t>
      </w:r>
      <w:r w:rsidRPr="00B6325B">
        <w:t xml:space="preserve">commissioned by </w:t>
      </w:r>
      <w:r w:rsidR="00533DCC">
        <w:t xml:space="preserve">the </w:t>
      </w:r>
      <w:r w:rsidRPr="00B6325B">
        <w:t>D</w:t>
      </w:r>
      <w:r w:rsidR="00533DCC">
        <w:t>epartment of Foreign Affairs and Trade (D</w:t>
      </w:r>
      <w:r w:rsidRPr="00B6325B">
        <w:t>FAT</w:t>
      </w:r>
      <w:r w:rsidR="00533DCC">
        <w:t>)</w:t>
      </w:r>
      <w:r w:rsidRPr="00B6325B">
        <w:t xml:space="preserve"> in May 2015 to assess whether the component projects have performed well and have resulted in the intended objectives of the </w:t>
      </w:r>
      <w:r w:rsidR="00EC65FC">
        <w:t>p</w:t>
      </w:r>
      <w:r w:rsidRPr="00B6325B">
        <w:t>rogram and the outcomes of the individual projects.</w:t>
      </w:r>
    </w:p>
    <w:p w:rsidR="00A53FF6" w:rsidRPr="00B6325B" w:rsidRDefault="00A53FF6" w:rsidP="00A53FF6">
      <w:r>
        <w:t>The evaluation was also intended to</w:t>
      </w:r>
      <w:r w:rsidRPr="00B6325B">
        <w:t xml:space="preserve"> draw out key lessons </w:t>
      </w:r>
      <w:r>
        <w:t>and</w:t>
      </w:r>
      <w:r w:rsidRPr="00B6325B">
        <w:t xml:space="preserve"> inform DFAT thinking regarding the scope and priorities of any future funding to the sector beyond the life of the current program.</w:t>
      </w:r>
    </w:p>
    <w:p w:rsidR="00A53FF6" w:rsidRPr="00B6325B" w:rsidRDefault="00A53FF6" w:rsidP="00A53FF6">
      <w:pPr>
        <w:pStyle w:val="Heading2"/>
      </w:pPr>
      <w:bookmarkStart w:id="9" w:name="_Toc315694449"/>
      <w:r>
        <w:t>CBCCAG program</w:t>
      </w:r>
      <w:bookmarkEnd w:id="9"/>
    </w:p>
    <w:p w:rsidR="00A53FF6" w:rsidRPr="00B6325B" w:rsidRDefault="00A53FF6" w:rsidP="00A53FF6">
      <w:pPr>
        <w:rPr>
          <w:lang w:val="en-US"/>
        </w:rPr>
      </w:pPr>
      <w:r w:rsidRPr="00B6325B">
        <w:rPr>
          <w:lang w:val="en-US"/>
        </w:rPr>
        <w:t>The CBCCAG</w:t>
      </w:r>
      <w:r w:rsidR="0089128C">
        <w:rPr>
          <w:lang w:val="en-US"/>
        </w:rPr>
        <w:t xml:space="preserve"> program</w:t>
      </w:r>
      <w:r w:rsidRPr="00B6325B">
        <w:rPr>
          <w:lang w:val="en-US"/>
        </w:rPr>
        <w:t xml:space="preserve"> ($16.9 million over three years from 2011</w:t>
      </w:r>
      <w:r w:rsidR="00EC65FC">
        <w:rPr>
          <w:lang w:val="en-US"/>
        </w:rPr>
        <w:t>–</w:t>
      </w:r>
      <w:r w:rsidRPr="00B6325B">
        <w:rPr>
          <w:lang w:val="en-US"/>
        </w:rPr>
        <w:t>12</w:t>
      </w:r>
      <w:r w:rsidR="00A70944">
        <w:rPr>
          <w:lang w:val="en-US"/>
        </w:rPr>
        <w:t>)</w:t>
      </w:r>
      <w:r w:rsidRPr="00B6325B">
        <w:rPr>
          <w:lang w:val="en-US"/>
        </w:rPr>
        <w:t xml:space="preserve"> co-invested with a range of non-government organi</w:t>
      </w:r>
      <w:r w:rsidR="00EC65FC">
        <w:rPr>
          <w:lang w:val="en-US"/>
        </w:rPr>
        <w:t>s</w:t>
      </w:r>
      <w:r w:rsidRPr="00B6325B">
        <w:rPr>
          <w:lang w:val="en-US"/>
        </w:rPr>
        <w:t>ations (NGOs) including Oxfam, CARE Australia</w:t>
      </w:r>
      <w:r w:rsidR="007F2B04">
        <w:rPr>
          <w:lang w:val="en-US"/>
        </w:rPr>
        <w:t xml:space="preserve"> (CARE)</w:t>
      </w:r>
      <w:r w:rsidRPr="00B6325B">
        <w:rPr>
          <w:lang w:val="en-US"/>
        </w:rPr>
        <w:t>, Act for Peace</w:t>
      </w:r>
      <w:r w:rsidR="007F2B04">
        <w:rPr>
          <w:lang w:val="en-US"/>
        </w:rPr>
        <w:t xml:space="preserve"> (AfP), Live &amp;</w:t>
      </w:r>
      <w:r w:rsidRPr="00B6325B">
        <w:rPr>
          <w:lang w:val="en-US"/>
        </w:rPr>
        <w:t xml:space="preserve"> Learn, The Nature Conservancy</w:t>
      </w:r>
      <w:r w:rsidR="007F2B04">
        <w:rPr>
          <w:lang w:val="en-US"/>
        </w:rPr>
        <w:t xml:space="preserve"> (TNC)</w:t>
      </w:r>
      <w:r w:rsidRPr="00B6325B">
        <w:rPr>
          <w:lang w:val="en-US"/>
        </w:rPr>
        <w:t xml:space="preserve"> and Plan International</w:t>
      </w:r>
      <w:r w:rsidR="007F2B04">
        <w:rPr>
          <w:lang w:val="en-US"/>
        </w:rPr>
        <w:t xml:space="preserve"> (Plan)</w:t>
      </w:r>
      <w:r w:rsidR="00537C5A">
        <w:rPr>
          <w:lang w:val="en-US"/>
        </w:rPr>
        <w:t xml:space="preserve"> and Save the Children International (SCI)</w:t>
      </w:r>
      <w:r w:rsidRPr="00B6325B">
        <w:rPr>
          <w:lang w:val="en-US"/>
        </w:rPr>
        <w:t xml:space="preserve"> to implement projects to:</w:t>
      </w:r>
    </w:p>
    <w:p w:rsidR="00A53FF6" w:rsidRPr="00D92D4D" w:rsidRDefault="00A53FF6" w:rsidP="00A53FF6">
      <w:pPr>
        <w:numPr>
          <w:ilvl w:val="0"/>
          <w:numId w:val="9"/>
        </w:numPr>
        <w:rPr>
          <w:sz w:val="20"/>
          <w:lang w:val="en-US"/>
        </w:rPr>
      </w:pPr>
      <w:r w:rsidRPr="00D92D4D">
        <w:rPr>
          <w:sz w:val="20"/>
          <w:lang w:val="en-US"/>
        </w:rPr>
        <w:t>Increase the resilience of communities in developing countries to the unavoidable impacts of climate change; and</w:t>
      </w:r>
    </w:p>
    <w:p w:rsidR="00A53FF6" w:rsidRPr="00D92D4D" w:rsidRDefault="00A53FF6" w:rsidP="00A53FF6">
      <w:pPr>
        <w:numPr>
          <w:ilvl w:val="0"/>
          <w:numId w:val="9"/>
        </w:numPr>
        <w:rPr>
          <w:sz w:val="20"/>
          <w:lang w:val="en-US"/>
        </w:rPr>
      </w:pPr>
      <w:r w:rsidRPr="00D92D4D">
        <w:rPr>
          <w:sz w:val="20"/>
          <w:lang w:val="en-US"/>
        </w:rPr>
        <w:t xml:space="preserve">Reduce or avoid greenhouse gas emissions while also contributing to development priorities in target communities. </w:t>
      </w:r>
    </w:p>
    <w:p w:rsidR="00A53FF6" w:rsidRPr="00B6325B" w:rsidRDefault="00A53FF6" w:rsidP="00A53FF6">
      <w:r w:rsidRPr="00B6325B">
        <w:rPr>
          <w:lang w:val="en-US"/>
        </w:rPr>
        <w:t>The program forms part of Australia’s international ‘fast-start’ commitment of $599 million (2010</w:t>
      </w:r>
      <w:r w:rsidR="00A86CAC">
        <w:rPr>
          <w:lang w:val="en-US"/>
        </w:rPr>
        <w:t>–</w:t>
      </w:r>
      <w:r w:rsidRPr="00B6325B">
        <w:rPr>
          <w:lang w:val="en-US"/>
        </w:rPr>
        <w:t>2013)</w:t>
      </w:r>
      <w:r w:rsidR="00A86CAC">
        <w:rPr>
          <w:lang w:val="en-US"/>
        </w:rPr>
        <w:t>.</w:t>
      </w:r>
      <w:r w:rsidR="00A86CAC">
        <w:t xml:space="preserve"> It</w:t>
      </w:r>
      <w:r w:rsidRPr="00B6325B">
        <w:t xml:space="preserve"> builds on Australia’s previous support for community-level adaptation activities in developing countries and complements Australia’s support for small-scale community-based work through the Global Environment Facility’s Small Grants Program.</w:t>
      </w:r>
    </w:p>
    <w:p w:rsidR="00A53FF6" w:rsidRPr="00B6325B" w:rsidRDefault="00A53FF6" w:rsidP="00A53FF6">
      <w:pPr>
        <w:pStyle w:val="Heading2"/>
      </w:pPr>
      <w:bookmarkStart w:id="10" w:name="_Toc293842451"/>
      <w:bookmarkStart w:id="11" w:name="_Toc315694450"/>
      <w:r w:rsidRPr="00B6325B">
        <w:t>Scope</w:t>
      </w:r>
      <w:bookmarkEnd w:id="10"/>
      <w:r w:rsidRPr="00B6325B">
        <w:t xml:space="preserve"> </w:t>
      </w:r>
      <w:r>
        <w:t>of the evaluation</w:t>
      </w:r>
      <w:bookmarkEnd w:id="11"/>
    </w:p>
    <w:p w:rsidR="00A53FF6" w:rsidRPr="00B6325B" w:rsidRDefault="00A53FF6" w:rsidP="00A53FF6">
      <w:r w:rsidRPr="00B6325B">
        <w:t xml:space="preserve">The evaluation </w:t>
      </w:r>
      <w:r>
        <w:t>encompassed</w:t>
      </w:r>
      <w:r w:rsidRPr="00B6325B">
        <w:t xml:space="preserve"> nine projects funded under </w:t>
      </w:r>
      <w:r w:rsidR="00377846">
        <w:t xml:space="preserve">the </w:t>
      </w:r>
      <w:r w:rsidRPr="00B6325B">
        <w:t>CBCCAG</w:t>
      </w:r>
      <w:r w:rsidR="00377846">
        <w:t xml:space="preserve"> program</w:t>
      </w:r>
      <w:r w:rsidRPr="00B6325B">
        <w:t>:</w:t>
      </w:r>
    </w:p>
    <w:p w:rsidR="00A53FF6" w:rsidRPr="00D92D4D" w:rsidRDefault="00A53FF6" w:rsidP="00004EF7">
      <w:pPr>
        <w:numPr>
          <w:ilvl w:val="0"/>
          <w:numId w:val="17"/>
        </w:numPr>
        <w:rPr>
          <w:sz w:val="20"/>
        </w:rPr>
      </w:pPr>
      <w:r w:rsidRPr="00D92D4D">
        <w:rPr>
          <w:i/>
          <w:sz w:val="20"/>
        </w:rPr>
        <w:t>Building Resilient and Adaptive Communities and Institutions in Mindanao</w:t>
      </w:r>
      <w:r w:rsidRPr="00D92D4D">
        <w:rPr>
          <w:sz w:val="20"/>
        </w:rPr>
        <w:t xml:space="preserve"> (Oxfam </w:t>
      </w:r>
      <w:r w:rsidR="00A86CAC">
        <w:rPr>
          <w:sz w:val="20"/>
        </w:rPr>
        <w:t>–</w:t>
      </w:r>
      <w:r w:rsidRPr="00D92D4D">
        <w:rPr>
          <w:sz w:val="20"/>
        </w:rPr>
        <w:t xml:space="preserve"> Philippines)</w:t>
      </w:r>
    </w:p>
    <w:p w:rsidR="00A53FF6" w:rsidRPr="00D92D4D" w:rsidRDefault="00A53FF6" w:rsidP="00004EF7">
      <w:pPr>
        <w:numPr>
          <w:ilvl w:val="0"/>
          <w:numId w:val="17"/>
        </w:numPr>
        <w:rPr>
          <w:sz w:val="20"/>
        </w:rPr>
      </w:pPr>
      <w:r w:rsidRPr="00D92D4D">
        <w:rPr>
          <w:i/>
          <w:sz w:val="20"/>
        </w:rPr>
        <w:t>Assisting Communities to Secure their Environment to Climate Change</w:t>
      </w:r>
      <w:r w:rsidRPr="00D92D4D">
        <w:rPr>
          <w:sz w:val="20"/>
        </w:rPr>
        <w:t xml:space="preserve"> (CARE </w:t>
      </w:r>
      <w:r w:rsidR="00A86CAC">
        <w:rPr>
          <w:sz w:val="20"/>
        </w:rPr>
        <w:t>–</w:t>
      </w:r>
      <w:r w:rsidRPr="00D92D4D">
        <w:rPr>
          <w:sz w:val="20"/>
        </w:rPr>
        <w:t xml:space="preserve"> Timor</w:t>
      </w:r>
      <w:r w:rsidR="00A86CAC">
        <w:rPr>
          <w:sz w:val="20"/>
        </w:rPr>
        <w:t>-Leste</w:t>
      </w:r>
      <w:r w:rsidRPr="00D92D4D">
        <w:rPr>
          <w:sz w:val="20"/>
        </w:rPr>
        <w:t>)</w:t>
      </w:r>
    </w:p>
    <w:p w:rsidR="00A53FF6" w:rsidRPr="00D92D4D" w:rsidRDefault="00A53FF6" w:rsidP="00004EF7">
      <w:pPr>
        <w:numPr>
          <w:ilvl w:val="0"/>
          <w:numId w:val="17"/>
        </w:numPr>
        <w:rPr>
          <w:sz w:val="20"/>
        </w:rPr>
      </w:pPr>
      <w:r w:rsidRPr="00D92D4D">
        <w:rPr>
          <w:i/>
          <w:sz w:val="20"/>
        </w:rPr>
        <w:t xml:space="preserve">Addressing Food Security through Improved Agricultural Practice in Green </w:t>
      </w:r>
      <w:r w:rsidR="00377846">
        <w:rPr>
          <w:i/>
          <w:sz w:val="20"/>
        </w:rPr>
        <w:t>I</w:t>
      </w:r>
      <w:r w:rsidRPr="00D92D4D">
        <w:rPr>
          <w:i/>
          <w:sz w:val="20"/>
        </w:rPr>
        <w:t>slands</w:t>
      </w:r>
      <w:r w:rsidRPr="00D92D4D">
        <w:rPr>
          <w:sz w:val="20"/>
        </w:rPr>
        <w:t xml:space="preserve"> (CARE </w:t>
      </w:r>
      <w:r w:rsidR="00A86CAC">
        <w:rPr>
          <w:sz w:val="20"/>
        </w:rPr>
        <w:t>–</w:t>
      </w:r>
      <w:r w:rsidRPr="00D92D4D">
        <w:rPr>
          <w:sz w:val="20"/>
        </w:rPr>
        <w:t xml:space="preserve"> Papua New Guinea)</w:t>
      </w:r>
    </w:p>
    <w:p w:rsidR="00A53FF6" w:rsidRPr="00D92D4D" w:rsidRDefault="00537C5A" w:rsidP="00004EF7">
      <w:pPr>
        <w:numPr>
          <w:ilvl w:val="0"/>
          <w:numId w:val="17"/>
        </w:numPr>
        <w:rPr>
          <w:sz w:val="20"/>
        </w:rPr>
      </w:pPr>
      <w:r>
        <w:rPr>
          <w:i/>
          <w:sz w:val="20"/>
        </w:rPr>
        <w:t>NGO</w:t>
      </w:r>
      <w:r w:rsidR="00A53FF6" w:rsidRPr="00D92D4D">
        <w:rPr>
          <w:i/>
          <w:sz w:val="20"/>
        </w:rPr>
        <w:t xml:space="preserve"> Climate Change Adaptation Program</w:t>
      </w:r>
      <w:r w:rsidR="00A53FF6" w:rsidRPr="00D92D4D">
        <w:rPr>
          <w:sz w:val="20"/>
        </w:rPr>
        <w:t xml:space="preserve"> (Oxfam </w:t>
      </w:r>
      <w:r w:rsidR="00A86CAC">
        <w:rPr>
          <w:sz w:val="20"/>
        </w:rPr>
        <w:t>–</w:t>
      </w:r>
      <w:r w:rsidR="00A53FF6" w:rsidRPr="00D92D4D">
        <w:rPr>
          <w:sz w:val="20"/>
        </w:rPr>
        <w:t xml:space="preserve"> Vanuatu)</w:t>
      </w:r>
    </w:p>
    <w:p w:rsidR="00A53FF6" w:rsidRPr="00D92D4D" w:rsidRDefault="00A53FF6" w:rsidP="00004EF7">
      <w:pPr>
        <w:numPr>
          <w:ilvl w:val="0"/>
          <w:numId w:val="17"/>
        </w:numPr>
        <w:rPr>
          <w:sz w:val="20"/>
        </w:rPr>
      </w:pPr>
      <w:r w:rsidRPr="00D92D4D">
        <w:rPr>
          <w:i/>
          <w:sz w:val="20"/>
        </w:rPr>
        <w:t>Pacific Island Communities Climate Risk Reduction</w:t>
      </w:r>
      <w:r w:rsidRPr="00D92D4D">
        <w:rPr>
          <w:sz w:val="20"/>
        </w:rPr>
        <w:t xml:space="preserve"> (Act for Peace </w:t>
      </w:r>
      <w:r w:rsidR="00A86CAC">
        <w:rPr>
          <w:sz w:val="20"/>
        </w:rPr>
        <w:t>–</w:t>
      </w:r>
      <w:r w:rsidRPr="00D92D4D">
        <w:rPr>
          <w:sz w:val="20"/>
        </w:rPr>
        <w:t xml:space="preserve"> Pacific Region)</w:t>
      </w:r>
    </w:p>
    <w:p w:rsidR="00A53FF6" w:rsidRPr="00D92D4D" w:rsidRDefault="00A53FF6" w:rsidP="00004EF7">
      <w:pPr>
        <w:numPr>
          <w:ilvl w:val="0"/>
          <w:numId w:val="17"/>
        </w:numPr>
        <w:rPr>
          <w:sz w:val="20"/>
        </w:rPr>
      </w:pPr>
      <w:r w:rsidRPr="00D92D4D">
        <w:rPr>
          <w:i/>
          <w:sz w:val="20"/>
        </w:rPr>
        <w:t>Child-centred Climate Change Adaptation</w:t>
      </w:r>
      <w:r w:rsidRPr="00D92D4D">
        <w:rPr>
          <w:sz w:val="20"/>
        </w:rPr>
        <w:t xml:space="preserve"> (Plan International </w:t>
      </w:r>
      <w:r w:rsidR="00A86CAC">
        <w:rPr>
          <w:sz w:val="20"/>
        </w:rPr>
        <w:t>–</w:t>
      </w:r>
      <w:r w:rsidRPr="00D92D4D">
        <w:rPr>
          <w:sz w:val="20"/>
        </w:rPr>
        <w:t xml:space="preserve"> Philippines)</w:t>
      </w:r>
    </w:p>
    <w:p w:rsidR="00A53FF6" w:rsidRPr="00D92D4D" w:rsidRDefault="00A53FF6" w:rsidP="00004EF7">
      <w:pPr>
        <w:numPr>
          <w:ilvl w:val="0"/>
          <w:numId w:val="17"/>
        </w:numPr>
        <w:rPr>
          <w:sz w:val="20"/>
        </w:rPr>
      </w:pPr>
      <w:r w:rsidRPr="00D92D4D">
        <w:rPr>
          <w:i/>
          <w:sz w:val="20"/>
        </w:rPr>
        <w:t xml:space="preserve">Building </w:t>
      </w:r>
      <w:r w:rsidR="00A86CAC">
        <w:rPr>
          <w:i/>
          <w:sz w:val="20"/>
        </w:rPr>
        <w:t>R</w:t>
      </w:r>
      <w:r w:rsidRPr="00D92D4D">
        <w:rPr>
          <w:i/>
          <w:sz w:val="20"/>
        </w:rPr>
        <w:t xml:space="preserve">esilience of </w:t>
      </w:r>
      <w:r w:rsidR="00A86CAC">
        <w:rPr>
          <w:i/>
          <w:sz w:val="20"/>
        </w:rPr>
        <w:t>C</w:t>
      </w:r>
      <w:r w:rsidRPr="00D92D4D">
        <w:rPr>
          <w:i/>
          <w:sz w:val="20"/>
        </w:rPr>
        <w:t xml:space="preserve">ommunities and their </w:t>
      </w:r>
      <w:r w:rsidR="00A86CAC">
        <w:rPr>
          <w:i/>
          <w:sz w:val="20"/>
        </w:rPr>
        <w:t>E</w:t>
      </w:r>
      <w:r w:rsidRPr="00D92D4D">
        <w:rPr>
          <w:i/>
          <w:sz w:val="20"/>
        </w:rPr>
        <w:t xml:space="preserve">cosystems to the </w:t>
      </w:r>
      <w:r w:rsidR="00A86CAC">
        <w:rPr>
          <w:i/>
          <w:sz w:val="20"/>
        </w:rPr>
        <w:t>I</w:t>
      </w:r>
      <w:r w:rsidRPr="00D92D4D">
        <w:rPr>
          <w:i/>
          <w:sz w:val="20"/>
        </w:rPr>
        <w:t xml:space="preserve">mpacts of </w:t>
      </w:r>
      <w:r w:rsidR="00A86CAC">
        <w:rPr>
          <w:i/>
          <w:sz w:val="20"/>
        </w:rPr>
        <w:t>C</w:t>
      </w:r>
      <w:r w:rsidRPr="00D92D4D">
        <w:rPr>
          <w:i/>
          <w:sz w:val="20"/>
        </w:rPr>
        <w:t xml:space="preserve">limate </w:t>
      </w:r>
      <w:r w:rsidR="00A86CAC">
        <w:rPr>
          <w:i/>
          <w:sz w:val="20"/>
        </w:rPr>
        <w:t>C</w:t>
      </w:r>
      <w:r w:rsidRPr="00D92D4D">
        <w:rPr>
          <w:i/>
          <w:sz w:val="20"/>
        </w:rPr>
        <w:t>hange</w:t>
      </w:r>
      <w:r w:rsidRPr="00D92D4D">
        <w:rPr>
          <w:sz w:val="20"/>
        </w:rPr>
        <w:t xml:space="preserve"> (The Nature Conservancy </w:t>
      </w:r>
      <w:r w:rsidR="00A86CAC">
        <w:rPr>
          <w:sz w:val="20"/>
        </w:rPr>
        <w:t>–</w:t>
      </w:r>
      <w:r w:rsidRPr="00D92D4D">
        <w:rPr>
          <w:sz w:val="20"/>
        </w:rPr>
        <w:t xml:space="preserve"> Pacific Region)</w:t>
      </w:r>
    </w:p>
    <w:p w:rsidR="00A53FF6" w:rsidRPr="00D92D4D" w:rsidRDefault="00A53FF6" w:rsidP="00004EF7">
      <w:pPr>
        <w:numPr>
          <w:ilvl w:val="0"/>
          <w:numId w:val="17"/>
        </w:numPr>
        <w:rPr>
          <w:sz w:val="20"/>
        </w:rPr>
      </w:pPr>
      <w:r w:rsidRPr="00D92D4D">
        <w:rPr>
          <w:i/>
          <w:sz w:val="20"/>
        </w:rPr>
        <w:t>Protection of Food Security through Adaptation to Climate Change</w:t>
      </w:r>
      <w:r w:rsidRPr="00D92D4D">
        <w:rPr>
          <w:sz w:val="20"/>
        </w:rPr>
        <w:t xml:space="preserve"> (Live </w:t>
      </w:r>
      <w:r w:rsidR="00D15C65">
        <w:rPr>
          <w:sz w:val="20"/>
        </w:rPr>
        <w:t>&amp;</w:t>
      </w:r>
      <w:r w:rsidRPr="00D92D4D">
        <w:rPr>
          <w:sz w:val="20"/>
        </w:rPr>
        <w:t xml:space="preserve"> Learn </w:t>
      </w:r>
      <w:r w:rsidR="00A86CAC">
        <w:rPr>
          <w:sz w:val="20"/>
        </w:rPr>
        <w:t>–</w:t>
      </w:r>
      <w:r w:rsidRPr="00D92D4D">
        <w:rPr>
          <w:sz w:val="20"/>
        </w:rPr>
        <w:t xml:space="preserve"> Pacific Region)</w:t>
      </w:r>
      <w:r w:rsidR="00391B1A">
        <w:rPr>
          <w:sz w:val="20"/>
        </w:rPr>
        <w:t>; and</w:t>
      </w:r>
    </w:p>
    <w:p w:rsidR="00A53FF6" w:rsidRPr="00D92D4D" w:rsidRDefault="00A53FF6" w:rsidP="00004EF7">
      <w:pPr>
        <w:numPr>
          <w:ilvl w:val="0"/>
          <w:numId w:val="17"/>
        </w:numPr>
        <w:rPr>
          <w:sz w:val="20"/>
        </w:rPr>
      </w:pPr>
      <w:r w:rsidRPr="00D92D4D">
        <w:rPr>
          <w:i/>
          <w:sz w:val="20"/>
        </w:rPr>
        <w:t xml:space="preserve">Improving </w:t>
      </w:r>
      <w:r w:rsidR="00D15C65">
        <w:rPr>
          <w:i/>
          <w:sz w:val="20"/>
        </w:rPr>
        <w:t>L</w:t>
      </w:r>
      <w:r w:rsidRPr="00D92D4D">
        <w:rPr>
          <w:i/>
          <w:sz w:val="20"/>
        </w:rPr>
        <w:t xml:space="preserve">and and </w:t>
      </w:r>
      <w:r w:rsidR="00D15C65">
        <w:rPr>
          <w:i/>
          <w:sz w:val="20"/>
        </w:rPr>
        <w:t>W</w:t>
      </w:r>
      <w:r w:rsidRPr="00D92D4D">
        <w:rPr>
          <w:i/>
          <w:sz w:val="20"/>
        </w:rPr>
        <w:t xml:space="preserve">ater </w:t>
      </w:r>
      <w:r w:rsidR="00D15C65">
        <w:rPr>
          <w:i/>
          <w:sz w:val="20"/>
        </w:rPr>
        <w:t>M</w:t>
      </w:r>
      <w:r w:rsidRPr="00D92D4D">
        <w:rPr>
          <w:i/>
          <w:sz w:val="20"/>
        </w:rPr>
        <w:t xml:space="preserve">anagement to </w:t>
      </w:r>
      <w:r w:rsidR="00D15C65">
        <w:rPr>
          <w:i/>
          <w:sz w:val="20"/>
        </w:rPr>
        <w:t>R</w:t>
      </w:r>
      <w:r w:rsidRPr="00D92D4D">
        <w:rPr>
          <w:i/>
          <w:sz w:val="20"/>
        </w:rPr>
        <w:t xml:space="preserve">educe </w:t>
      </w:r>
      <w:r w:rsidR="00D15C65">
        <w:rPr>
          <w:i/>
          <w:sz w:val="20"/>
        </w:rPr>
        <w:t>I</w:t>
      </w:r>
      <w:r w:rsidRPr="00D92D4D">
        <w:rPr>
          <w:i/>
          <w:sz w:val="20"/>
        </w:rPr>
        <w:t xml:space="preserve">mpacts of </w:t>
      </w:r>
      <w:r w:rsidR="00D15C65">
        <w:rPr>
          <w:i/>
          <w:sz w:val="20"/>
        </w:rPr>
        <w:t>C</w:t>
      </w:r>
      <w:r w:rsidRPr="00D92D4D">
        <w:rPr>
          <w:i/>
          <w:sz w:val="20"/>
        </w:rPr>
        <w:t xml:space="preserve">limate </w:t>
      </w:r>
      <w:r w:rsidR="00D15C65">
        <w:rPr>
          <w:i/>
          <w:sz w:val="20"/>
        </w:rPr>
        <w:t>C</w:t>
      </w:r>
      <w:r w:rsidRPr="00D92D4D">
        <w:rPr>
          <w:i/>
          <w:sz w:val="20"/>
        </w:rPr>
        <w:t xml:space="preserve">hange on </w:t>
      </w:r>
      <w:r w:rsidR="00D15C65">
        <w:rPr>
          <w:i/>
          <w:sz w:val="20"/>
        </w:rPr>
        <w:t>C</w:t>
      </w:r>
      <w:r w:rsidRPr="00D92D4D">
        <w:rPr>
          <w:i/>
          <w:sz w:val="20"/>
        </w:rPr>
        <w:t>ommunities</w:t>
      </w:r>
      <w:r w:rsidRPr="00D92D4D">
        <w:rPr>
          <w:sz w:val="20"/>
        </w:rPr>
        <w:t xml:space="preserve"> (Oxfam </w:t>
      </w:r>
      <w:r w:rsidR="00D15C65">
        <w:rPr>
          <w:sz w:val="20"/>
        </w:rPr>
        <w:t>–</w:t>
      </w:r>
      <w:r w:rsidRPr="00D92D4D">
        <w:rPr>
          <w:sz w:val="20"/>
        </w:rPr>
        <w:t xml:space="preserve"> Timor</w:t>
      </w:r>
      <w:r w:rsidR="00377846">
        <w:rPr>
          <w:sz w:val="20"/>
        </w:rPr>
        <w:t>-</w:t>
      </w:r>
      <w:r w:rsidR="00D15C65">
        <w:rPr>
          <w:sz w:val="20"/>
        </w:rPr>
        <w:t>Leste</w:t>
      </w:r>
      <w:r w:rsidRPr="00D92D4D">
        <w:rPr>
          <w:sz w:val="20"/>
        </w:rPr>
        <w:t>)</w:t>
      </w:r>
      <w:r w:rsidR="00391B1A">
        <w:rPr>
          <w:sz w:val="20"/>
        </w:rPr>
        <w:t>.</w:t>
      </w:r>
    </w:p>
    <w:p w:rsidR="00A53FF6" w:rsidRPr="00B6325B" w:rsidRDefault="00A53FF6" w:rsidP="00A53FF6">
      <w:r w:rsidRPr="00B6325B">
        <w:t>The terms of reference for the evaluation set out four key evaluation questions relating to effectiveness (the extent to which outcomes have been achieved), relevance to the project context and needs, impact and management:</w:t>
      </w:r>
    </w:p>
    <w:p w:rsidR="00A53FF6" w:rsidRPr="00D92D4D" w:rsidRDefault="00A53FF6" w:rsidP="00A53FF6">
      <w:pPr>
        <w:numPr>
          <w:ilvl w:val="0"/>
          <w:numId w:val="12"/>
        </w:numPr>
        <w:rPr>
          <w:sz w:val="20"/>
        </w:rPr>
      </w:pPr>
      <w:r w:rsidRPr="00D92D4D">
        <w:rPr>
          <w:b/>
          <w:sz w:val="20"/>
        </w:rPr>
        <w:t xml:space="preserve">To what extent have the CBCCAG </w:t>
      </w:r>
      <w:r w:rsidR="00BD118F">
        <w:rPr>
          <w:b/>
          <w:sz w:val="20"/>
        </w:rPr>
        <w:t xml:space="preserve">projects </w:t>
      </w:r>
      <w:r w:rsidRPr="00D92D4D">
        <w:rPr>
          <w:b/>
          <w:sz w:val="20"/>
        </w:rPr>
        <w:t>combined to contribute to building the resilience of communities to the impacts of climate change while also contributing to development priorities in the target communities?</w:t>
      </w:r>
      <w:r w:rsidRPr="00D92D4D">
        <w:rPr>
          <w:sz w:val="20"/>
        </w:rPr>
        <w:t xml:space="preserve"> Did the projects achieve their individual end</w:t>
      </w:r>
      <w:r w:rsidR="00D15C65">
        <w:rPr>
          <w:sz w:val="20"/>
        </w:rPr>
        <w:t>-</w:t>
      </w:r>
      <w:r w:rsidRPr="00D92D4D">
        <w:rPr>
          <w:sz w:val="20"/>
        </w:rPr>
        <w:t>of</w:t>
      </w:r>
      <w:r w:rsidR="00D15C65">
        <w:rPr>
          <w:sz w:val="20"/>
        </w:rPr>
        <w:t>-</w:t>
      </w:r>
      <w:r w:rsidRPr="00D92D4D">
        <w:rPr>
          <w:sz w:val="20"/>
        </w:rPr>
        <w:t>project outcomes?</w:t>
      </w:r>
    </w:p>
    <w:p w:rsidR="00A53FF6" w:rsidRPr="00D92D4D" w:rsidRDefault="00A53FF6" w:rsidP="00A53FF6">
      <w:pPr>
        <w:numPr>
          <w:ilvl w:val="0"/>
          <w:numId w:val="12"/>
        </w:numPr>
        <w:rPr>
          <w:sz w:val="20"/>
        </w:rPr>
      </w:pPr>
      <w:r w:rsidRPr="00D92D4D">
        <w:rPr>
          <w:b/>
          <w:sz w:val="20"/>
        </w:rPr>
        <w:t>Did the CBCCAG</w:t>
      </w:r>
      <w:r w:rsidR="00BD118F">
        <w:rPr>
          <w:b/>
          <w:sz w:val="20"/>
        </w:rPr>
        <w:t xml:space="preserve"> projects</w:t>
      </w:r>
      <w:r w:rsidRPr="00D92D4D">
        <w:rPr>
          <w:b/>
          <w:sz w:val="20"/>
        </w:rPr>
        <w:t xml:space="preserve"> take the right approach?</w:t>
      </w:r>
      <w:r w:rsidRPr="00D92D4D">
        <w:rPr>
          <w:sz w:val="20"/>
        </w:rPr>
        <w:t xml:space="preserve"> Did they meet the needs of our counterparts? Were they aligned with Australian Government priorities? Are community</w:t>
      </w:r>
      <w:r w:rsidR="00D15C65">
        <w:rPr>
          <w:sz w:val="20"/>
        </w:rPr>
        <w:t>-</w:t>
      </w:r>
      <w:r w:rsidRPr="00D92D4D">
        <w:rPr>
          <w:sz w:val="20"/>
        </w:rPr>
        <w:t>based adaptation</w:t>
      </w:r>
      <w:r w:rsidR="00377846">
        <w:rPr>
          <w:sz w:val="20"/>
        </w:rPr>
        <w:t xml:space="preserve"> (CBA)</w:t>
      </w:r>
      <w:r w:rsidRPr="00D92D4D">
        <w:rPr>
          <w:sz w:val="20"/>
        </w:rPr>
        <w:t xml:space="preserve"> programs an efficient use of funding?</w:t>
      </w:r>
    </w:p>
    <w:p w:rsidR="00A53FF6" w:rsidRPr="00D92D4D" w:rsidRDefault="00A53FF6" w:rsidP="00A53FF6">
      <w:pPr>
        <w:numPr>
          <w:ilvl w:val="0"/>
          <w:numId w:val="12"/>
        </w:numPr>
        <w:rPr>
          <w:sz w:val="20"/>
        </w:rPr>
      </w:pPr>
      <w:r w:rsidRPr="00D92D4D">
        <w:rPr>
          <w:b/>
          <w:sz w:val="20"/>
        </w:rPr>
        <w:t>What were the key instances of success</w:t>
      </w:r>
      <w:r w:rsidR="00C72C3B">
        <w:rPr>
          <w:b/>
          <w:sz w:val="20"/>
        </w:rPr>
        <w:t xml:space="preserve"> </w:t>
      </w:r>
      <w:r w:rsidRPr="00D92D4D">
        <w:rPr>
          <w:b/>
          <w:sz w:val="20"/>
        </w:rPr>
        <w:t xml:space="preserve">and sustainable change </w:t>
      </w:r>
      <w:r w:rsidR="00C72C3B">
        <w:rPr>
          <w:b/>
          <w:sz w:val="20"/>
        </w:rPr>
        <w:t xml:space="preserve">achieved under </w:t>
      </w:r>
      <w:r w:rsidR="00BD118F">
        <w:rPr>
          <w:b/>
          <w:sz w:val="20"/>
        </w:rPr>
        <w:t xml:space="preserve">the </w:t>
      </w:r>
      <w:r w:rsidR="00C72C3B">
        <w:rPr>
          <w:b/>
          <w:sz w:val="20"/>
        </w:rPr>
        <w:t>CBCCAG</w:t>
      </w:r>
      <w:r w:rsidR="00BD118F">
        <w:rPr>
          <w:b/>
          <w:sz w:val="20"/>
        </w:rPr>
        <w:t xml:space="preserve"> program</w:t>
      </w:r>
      <w:r w:rsidR="00C72C3B">
        <w:rPr>
          <w:b/>
          <w:sz w:val="20"/>
        </w:rPr>
        <w:t xml:space="preserve"> </w:t>
      </w:r>
      <w:r w:rsidRPr="00D92D4D">
        <w:rPr>
          <w:b/>
          <w:sz w:val="20"/>
        </w:rPr>
        <w:t>and what enabled th</w:t>
      </w:r>
      <w:r w:rsidR="00C72C3B">
        <w:rPr>
          <w:b/>
          <w:sz w:val="20"/>
        </w:rPr>
        <w:t>ese</w:t>
      </w:r>
      <w:r w:rsidRPr="00D92D4D">
        <w:rPr>
          <w:b/>
          <w:sz w:val="20"/>
        </w:rPr>
        <w:t xml:space="preserve"> to happen?</w:t>
      </w:r>
      <w:r w:rsidRPr="00D92D4D">
        <w:rPr>
          <w:sz w:val="20"/>
        </w:rPr>
        <w:t xml:space="preserve"> Examples of their key achievements and what enabled them to happen. Examples of evidence of changes influenced by the programs being embedded into policy and practice.</w:t>
      </w:r>
    </w:p>
    <w:p w:rsidR="00A53FF6" w:rsidRPr="00D92D4D" w:rsidRDefault="00A53FF6" w:rsidP="00A53FF6">
      <w:pPr>
        <w:numPr>
          <w:ilvl w:val="0"/>
          <w:numId w:val="12"/>
        </w:numPr>
        <w:rPr>
          <w:sz w:val="20"/>
        </w:rPr>
      </w:pPr>
      <w:r w:rsidRPr="00D92D4D">
        <w:rPr>
          <w:b/>
          <w:sz w:val="20"/>
        </w:rPr>
        <w:t>How well were t</w:t>
      </w:r>
      <w:r w:rsidR="00533DCC">
        <w:rPr>
          <w:b/>
          <w:sz w:val="20"/>
        </w:rPr>
        <w:t xml:space="preserve">he CBCCAG </w:t>
      </w:r>
      <w:r w:rsidR="00BD118F">
        <w:rPr>
          <w:b/>
          <w:sz w:val="20"/>
        </w:rPr>
        <w:t xml:space="preserve">projects </w:t>
      </w:r>
      <w:r w:rsidR="00533DCC">
        <w:rPr>
          <w:b/>
          <w:sz w:val="20"/>
        </w:rPr>
        <w:t>managed on a project-</w:t>
      </w:r>
      <w:r w:rsidRPr="00D92D4D">
        <w:rPr>
          <w:b/>
          <w:sz w:val="20"/>
        </w:rPr>
        <w:t>by</w:t>
      </w:r>
      <w:r w:rsidR="00533DCC">
        <w:rPr>
          <w:b/>
          <w:sz w:val="20"/>
        </w:rPr>
        <w:t>-</w:t>
      </w:r>
      <w:r w:rsidRPr="00D92D4D">
        <w:rPr>
          <w:b/>
          <w:sz w:val="20"/>
        </w:rPr>
        <w:t xml:space="preserve">project basis and at the program level? What key lessons </w:t>
      </w:r>
      <w:r w:rsidR="00C72C3B">
        <w:rPr>
          <w:b/>
          <w:sz w:val="20"/>
        </w:rPr>
        <w:t xml:space="preserve">were </w:t>
      </w:r>
      <w:r w:rsidRPr="00D92D4D">
        <w:rPr>
          <w:b/>
          <w:sz w:val="20"/>
        </w:rPr>
        <w:t>learned?</w:t>
      </w:r>
      <w:r w:rsidRPr="00D92D4D">
        <w:rPr>
          <w:sz w:val="20"/>
        </w:rPr>
        <w:t xml:space="preserve"> Was expenditure to budget? Was there sufficient flexibility in how systems and process were applied? Was risk monitored and managed effectively? Were relationships managed well? What key lessons were learned about the delivery approaches?</w:t>
      </w:r>
    </w:p>
    <w:p w:rsidR="00A53FF6" w:rsidRPr="00B6325B" w:rsidRDefault="00A53FF6" w:rsidP="00A53FF6">
      <w:r>
        <w:t xml:space="preserve">These questions </w:t>
      </w:r>
      <w:r w:rsidRPr="00B6325B">
        <w:t>form</w:t>
      </w:r>
      <w:r>
        <w:t>ed</w:t>
      </w:r>
      <w:r w:rsidRPr="00B6325B">
        <w:t xml:space="preserve"> the basis of program</w:t>
      </w:r>
      <w:r w:rsidR="00C72C3B">
        <w:t>-</w:t>
      </w:r>
      <w:r w:rsidRPr="00B6325B">
        <w:t xml:space="preserve">level reporting. They </w:t>
      </w:r>
      <w:r>
        <w:t>guided</w:t>
      </w:r>
      <w:r w:rsidRPr="00B6325B">
        <w:t xml:space="preserve"> development of a series of more specific project</w:t>
      </w:r>
      <w:r w:rsidR="00C72C3B">
        <w:t>-</w:t>
      </w:r>
      <w:r w:rsidRPr="00B6325B">
        <w:t>level questions, which provide</w:t>
      </w:r>
      <w:r>
        <w:t>d</w:t>
      </w:r>
      <w:r w:rsidRPr="00B6325B">
        <w:t xml:space="preserve"> data that c</w:t>
      </w:r>
      <w:r>
        <w:t>ould</w:t>
      </w:r>
      <w:r w:rsidRPr="00B6325B">
        <w:t xml:space="preserve"> be aggregated to program level.</w:t>
      </w:r>
    </w:p>
    <w:p w:rsidR="00A53FF6" w:rsidRPr="00B6325B" w:rsidRDefault="00A53FF6" w:rsidP="00A53FF6">
      <w:pPr>
        <w:pStyle w:val="Heading2"/>
      </w:pPr>
      <w:bookmarkStart w:id="12" w:name="_Toc293842452"/>
      <w:bookmarkStart w:id="13" w:name="_Toc315694451"/>
      <w:r w:rsidRPr="00B6325B">
        <w:t>Audience</w:t>
      </w:r>
      <w:bookmarkEnd w:id="12"/>
      <w:bookmarkEnd w:id="13"/>
    </w:p>
    <w:p w:rsidR="00A53FF6" w:rsidRPr="00B6325B" w:rsidRDefault="00A53FF6" w:rsidP="00A53FF6">
      <w:r w:rsidRPr="00B6325B">
        <w:t>The primary audience for the evaluation</w:t>
      </w:r>
      <w:r w:rsidR="00391B1A">
        <w:t>’s findings contained in this report are</w:t>
      </w:r>
      <w:r w:rsidRPr="00B6325B">
        <w:t xml:space="preserve"> staff of the DFAT Climate Change Branch, the program managers who commissioned the evaluation as part of their quality assurance process, and relevant DFAT Posts to inform future programming. </w:t>
      </w:r>
    </w:p>
    <w:p w:rsidR="00A53FF6" w:rsidRPr="00B6325B" w:rsidRDefault="00A53FF6" w:rsidP="00A53FF6">
      <w:r w:rsidRPr="00B6325B">
        <w:t xml:space="preserve">The NGOs managing the projects are an equally important audience, having an interest in the outcomes and lessons as they apply to the design and implementation of comparable future work. </w:t>
      </w:r>
    </w:p>
    <w:p w:rsidR="00A53FF6" w:rsidRPr="00B6325B" w:rsidRDefault="00A53FF6" w:rsidP="00A53FF6">
      <w:r w:rsidRPr="00B6325B">
        <w:t>Communities and other implementing partners also have a stake in the evaluation and its outcomes, and will be consulted where possible.</w:t>
      </w:r>
    </w:p>
    <w:p w:rsidR="00A53FF6" w:rsidRPr="00B6325B" w:rsidRDefault="00A53FF6" w:rsidP="00A53FF6">
      <w:pPr>
        <w:pStyle w:val="Heading2"/>
      </w:pPr>
      <w:bookmarkStart w:id="14" w:name="_Toc293842453"/>
      <w:bookmarkStart w:id="15" w:name="_Toc315694452"/>
      <w:r w:rsidRPr="00B6325B">
        <w:t>Team</w:t>
      </w:r>
      <w:bookmarkEnd w:id="14"/>
      <w:bookmarkEnd w:id="15"/>
    </w:p>
    <w:p w:rsidR="00A53FF6" w:rsidRPr="00B6325B" w:rsidRDefault="00A53FF6" w:rsidP="00A53FF6">
      <w:r>
        <w:t>The evaluation was</w:t>
      </w:r>
      <w:r w:rsidRPr="00B6325B">
        <w:t xml:space="preserve"> conducted by a specialist team from Griffin nrm Pty Ltd, comprising:</w:t>
      </w:r>
    </w:p>
    <w:p w:rsidR="00A53FF6" w:rsidRPr="00D92D4D" w:rsidRDefault="00A53FF6" w:rsidP="00A53FF6">
      <w:pPr>
        <w:numPr>
          <w:ilvl w:val="0"/>
          <w:numId w:val="11"/>
        </w:numPr>
        <w:rPr>
          <w:sz w:val="20"/>
        </w:rPr>
      </w:pPr>
      <w:r w:rsidRPr="00D92D4D">
        <w:rPr>
          <w:sz w:val="20"/>
        </w:rPr>
        <w:t>Dr Kate Duggan (climate change specialist)</w:t>
      </w:r>
      <w:r w:rsidR="00C73E41">
        <w:rPr>
          <w:sz w:val="20"/>
        </w:rPr>
        <w:t>; and</w:t>
      </w:r>
    </w:p>
    <w:p w:rsidR="00A53FF6" w:rsidRPr="00D92D4D" w:rsidRDefault="00A53FF6" w:rsidP="00A53FF6">
      <w:pPr>
        <w:numPr>
          <w:ilvl w:val="0"/>
          <w:numId w:val="11"/>
        </w:numPr>
        <w:rPr>
          <w:sz w:val="20"/>
        </w:rPr>
      </w:pPr>
      <w:r w:rsidRPr="00D92D4D">
        <w:rPr>
          <w:sz w:val="20"/>
        </w:rPr>
        <w:t>Bruce Bailey (monitoring and evaluation specialist)</w:t>
      </w:r>
      <w:r w:rsidR="00C73E41">
        <w:rPr>
          <w:sz w:val="20"/>
        </w:rPr>
        <w:t>.</w:t>
      </w:r>
    </w:p>
    <w:p w:rsidR="00B57B5B" w:rsidRPr="00B6325B" w:rsidRDefault="00A53FF6" w:rsidP="00A53FF6">
      <w:r w:rsidRPr="00B6325B">
        <w:t>The team adopt</w:t>
      </w:r>
      <w:r>
        <w:t>ed</w:t>
      </w:r>
      <w:r w:rsidRPr="00B6325B">
        <w:t xml:space="preserve"> a collaborative approach, working with program and project managers to develop and conduct a constructive evaluation process so that the outcomes are as useful as possible for these audiences.</w:t>
      </w:r>
    </w:p>
    <w:p w:rsidR="00931AC6" w:rsidRDefault="00931AC6" w:rsidP="00931AC6">
      <w:pPr>
        <w:pStyle w:val="Heading2"/>
      </w:pPr>
      <w:bookmarkStart w:id="16" w:name="_Toc315694453"/>
      <w:r>
        <w:t>Acknowledgements</w:t>
      </w:r>
      <w:bookmarkEnd w:id="16"/>
    </w:p>
    <w:p w:rsidR="00A53FF6" w:rsidRPr="00B6325B" w:rsidRDefault="00931AC6" w:rsidP="00A53FF6">
      <w:r>
        <w:t>The evaluation team thanks the project partners for their kind assistance in providing reports, case studies and interviews for this evaluation. In part</w:t>
      </w:r>
      <w:r w:rsidR="003D7A60">
        <w:t>icular, we acknowledge the Plan</w:t>
      </w:r>
      <w:r>
        <w:t xml:space="preserve">/Save the Children International </w:t>
      </w:r>
      <w:r w:rsidR="003D7A60">
        <w:t xml:space="preserve">(SCI) </w:t>
      </w:r>
      <w:r>
        <w:t>team in the Philippines</w:t>
      </w:r>
      <w:r w:rsidR="003D7A60">
        <w:t>,</w:t>
      </w:r>
      <w:r>
        <w:t xml:space="preserve"> and the Oxfam team in Timor</w:t>
      </w:r>
      <w:r w:rsidR="00C73E41">
        <w:t>-</w:t>
      </w:r>
      <w:r>
        <w:t>Leste for hosting extraordinary field visits.</w:t>
      </w:r>
    </w:p>
    <w:p w:rsidR="00A53FF6" w:rsidRDefault="00A53FF6" w:rsidP="00A53FF6">
      <w:pPr>
        <w:pStyle w:val="Heading1"/>
      </w:pPr>
      <w:bookmarkStart w:id="17" w:name="_Toc315694454"/>
      <w:r>
        <w:t>Evaluation methods</w:t>
      </w:r>
      <w:bookmarkEnd w:id="17"/>
    </w:p>
    <w:p w:rsidR="00A53FF6" w:rsidRPr="00B6325B" w:rsidRDefault="00A53FF6" w:rsidP="00A53FF6">
      <w:pPr>
        <w:pStyle w:val="Heading2"/>
      </w:pPr>
      <w:bookmarkStart w:id="18" w:name="_Toc293842455"/>
      <w:bookmarkStart w:id="19" w:name="_Toc315694455"/>
      <w:r w:rsidRPr="00B6325B">
        <w:t>Evaluation standards</w:t>
      </w:r>
      <w:bookmarkEnd w:id="18"/>
      <w:bookmarkEnd w:id="19"/>
    </w:p>
    <w:p w:rsidR="00A53FF6" w:rsidRPr="00B6325B" w:rsidRDefault="00A53FF6" w:rsidP="00A53FF6">
      <w:r w:rsidRPr="00B6325B">
        <w:t>Th</w:t>
      </w:r>
      <w:r>
        <w:t>e methods for the evaluation were</w:t>
      </w:r>
      <w:r w:rsidRPr="00B6325B">
        <w:t xml:space="preserve"> designed to meet current DFAT standards</w:t>
      </w:r>
      <w:r w:rsidRPr="00B6325B">
        <w:rPr>
          <w:vertAlign w:val="superscript"/>
        </w:rPr>
        <w:footnoteReference w:id="1"/>
      </w:r>
      <w:r w:rsidRPr="00B6325B">
        <w:t xml:space="preserve"> for:</w:t>
      </w:r>
    </w:p>
    <w:p w:rsidR="00A53FF6" w:rsidRPr="000868F1" w:rsidRDefault="00A53FF6" w:rsidP="00A53FF6">
      <w:pPr>
        <w:numPr>
          <w:ilvl w:val="0"/>
          <w:numId w:val="4"/>
        </w:numPr>
        <w:rPr>
          <w:sz w:val="20"/>
        </w:rPr>
      </w:pPr>
      <w:r w:rsidRPr="000868F1">
        <w:rPr>
          <w:sz w:val="20"/>
        </w:rPr>
        <w:t>Enabling a collaborative approach</w:t>
      </w:r>
    </w:p>
    <w:p w:rsidR="00A53FF6" w:rsidRPr="000868F1" w:rsidRDefault="00A53FF6" w:rsidP="00A53FF6">
      <w:pPr>
        <w:numPr>
          <w:ilvl w:val="0"/>
          <w:numId w:val="4"/>
        </w:numPr>
        <w:rPr>
          <w:sz w:val="20"/>
        </w:rPr>
      </w:pPr>
      <w:r w:rsidRPr="000868F1">
        <w:rPr>
          <w:sz w:val="20"/>
        </w:rPr>
        <w:t>Meeting the needs of the primary audience according to the terms of reference</w:t>
      </w:r>
    </w:p>
    <w:p w:rsidR="00A53FF6" w:rsidRPr="000868F1" w:rsidRDefault="00A53FF6" w:rsidP="00A53FF6">
      <w:pPr>
        <w:numPr>
          <w:ilvl w:val="0"/>
          <w:numId w:val="4"/>
        </w:numPr>
        <w:rPr>
          <w:sz w:val="20"/>
        </w:rPr>
      </w:pPr>
      <w:r w:rsidRPr="000868F1">
        <w:rPr>
          <w:sz w:val="20"/>
        </w:rPr>
        <w:t>Encompassing a range of data collection methods and triangulation across different methods to corroborate findings</w:t>
      </w:r>
    </w:p>
    <w:p w:rsidR="00A53FF6" w:rsidRPr="000868F1" w:rsidRDefault="00A53FF6" w:rsidP="00A53FF6">
      <w:pPr>
        <w:numPr>
          <w:ilvl w:val="0"/>
          <w:numId w:val="4"/>
        </w:numPr>
        <w:rPr>
          <w:sz w:val="20"/>
        </w:rPr>
      </w:pPr>
      <w:r w:rsidRPr="000868F1">
        <w:rPr>
          <w:sz w:val="20"/>
        </w:rPr>
        <w:t>Addressing privacy and ethical issues</w:t>
      </w:r>
    </w:p>
    <w:p w:rsidR="00A53FF6" w:rsidRPr="000868F1" w:rsidRDefault="00A53FF6" w:rsidP="00A53FF6">
      <w:pPr>
        <w:numPr>
          <w:ilvl w:val="0"/>
          <w:numId w:val="4"/>
        </w:numPr>
        <w:rPr>
          <w:sz w:val="20"/>
        </w:rPr>
      </w:pPr>
      <w:r w:rsidRPr="000868F1">
        <w:rPr>
          <w:sz w:val="20"/>
        </w:rPr>
        <w:t xml:space="preserve">Providing professional analysis and assessments; and </w:t>
      </w:r>
    </w:p>
    <w:p w:rsidR="00A53FF6" w:rsidRPr="000868F1" w:rsidRDefault="00A53FF6" w:rsidP="00A53FF6">
      <w:pPr>
        <w:numPr>
          <w:ilvl w:val="0"/>
          <w:numId w:val="4"/>
        </w:numPr>
        <w:rPr>
          <w:sz w:val="20"/>
        </w:rPr>
      </w:pPr>
      <w:r w:rsidRPr="000868F1">
        <w:rPr>
          <w:sz w:val="20"/>
        </w:rPr>
        <w:t>Offering independent advice and recommendations.</w:t>
      </w:r>
    </w:p>
    <w:p w:rsidR="00A53FF6" w:rsidRPr="00B6325B" w:rsidRDefault="00A53FF6" w:rsidP="00A53FF6">
      <w:pPr>
        <w:pStyle w:val="Heading2"/>
      </w:pPr>
      <w:bookmarkStart w:id="20" w:name="_Toc293842456"/>
      <w:bookmarkStart w:id="21" w:name="_Toc315694456"/>
      <w:r w:rsidRPr="00B6325B">
        <w:t>Methods of inquiry</w:t>
      </w:r>
      <w:bookmarkEnd w:id="20"/>
      <w:bookmarkEnd w:id="21"/>
    </w:p>
    <w:p w:rsidR="00D5125D" w:rsidRDefault="00D5125D" w:rsidP="00D5125D">
      <w:r>
        <w:t>A detailed evaluation plan is attached at Annex 1.</w:t>
      </w:r>
    </w:p>
    <w:p w:rsidR="00A53FF6" w:rsidRPr="00B6325B" w:rsidRDefault="00A53FF6" w:rsidP="00A53FF6">
      <w:r w:rsidRPr="00B6325B">
        <w:t>The evaluation employ</w:t>
      </w:r>
      <w:r>
        <w:t>ed</w:t>
      </w:r>
      <w:r w:rsidRPr="00B6325B">
        <w:t xml:space="preserve"> various methods of inquiry to examine:</w:t>
      </w:r>
    </w:p>
    <w:p w:rsidR="00A53FF6" w:rsidRPr="000868F1" w:rsidRDefault="00A53FF6" w:rsidP="00A53FF6">
      <w:pPr>
        <w:numPr>
          <w:ilvl w:val="0"/>
          <w:numId w:val="6"/>
        </w:numPr>
        <w:rPr>
          <w:sz w:val="20"/>
        </w:rPr>
      </w:pPr>
      <w:r w:rsidRPr="000868F1">
        <w:rPr>
          <w:b/>
          <w:sz w:val="20"/>
        </w:rPr>
        <w:t>Progress</w:t>
      </w:r>
      <w:r w:rsidRPr="000868F1">
        <w:rPr>
          <w:sz w:val="20"/>
        </w:rPr>
        <w:t xml:space="preserve"> against project objectives and contribution to program outcomes</w:t>
      </w:r>
    </w:p>
    <w:p w:rsidR="00A53FF6" w:rsidRPr="000868F1" w:rsidRDefault="00A53FF6" w:rsidP="00A53FF6">
      <w:pPr>
        <w:numPr>
          <w:ilvl w:val="0"/>
          <w:numId w:val="6"/>
        </w:numPr>
        <w:rPr>
          <w:sz w:val="20"/>
        </w:rPr>
      </w:pPr>
      <w:r w:rsidRPr="000868F1">
        <w:rPr>
          <w:sz w:val="20"/>
        </w:rPr>
        <w:t>The</w:t>
      </w:r>
      <w:r w:rsidRPr="000868F1">
        <w:rPr>
          <w:b/>
          <w:sz w:val="20"/>
        </w:rPr>
        <w:t xml:space="preserve"> relevance</w:t>
      </w:r>
      <w:r w:rsidRPr="000868F1">
        <w:rPr>
          <w:sz w:val="20"/>
        </w:rPr>
        <w:t xml:space="preserve"> of the investment locally and in the broader context</w:t>
      </w:r>
    </w:p>
    <w:p w:rsidR="00A53FF6" w:rsidRPr="000868F1" w:rsidRDefault="00A53FF6" w:rsidP="00A53FF6">
      <w:pPr>
        <w:numPr>
          <w:ilvl w:val="0"/>
          <w:numId w:val="6"/>
        </w:numPr>
        <w:rPr>
          <w:sz w:val="20"/>
        </w:rPr>
      </w:pPr>
      <w:r w:rsidRPr="000868F1">
        <w:rPr>
          <w:sz w:val="20"/>
        </w:rPr>
        <w:t xml:space="preserve">The </w:t>
      </w:r>
      <w:r w:rsidRPr="000868F1">
        <w:rPr>
          <w:b/>
          <w:sz w:val="20"/>
        </w:rPr>
        <w:t>effectiveness</w:t>
      </w:r>
      <w:r w:rsidRPr="000868F1">
        <w:rPr>
          <w:sz w:val="20"/>
        </w:rPr>
        <w:t xml:space="preserve"> of the development processes employed </w:t>
      </w:r>
      <w:r w:rsidR="0002546F">
        <w:rPr>
          <w:sz w:val="20"/>
        </w:rPr>
        <w:t>–</w:t>
      </w:r>
      <w:r w:rsidRPr="000868F1">
        <w:rPr>
          <w:sz w:val="20"/>
        </w:rPr>
        <w:t xml:space="preserve"> skills, knowledge and capacity building</w:t>
      </w:r>
      <w:r w:rsidR="0002546F">
        <w:rPr>
          <w:sz w:val="20"/>
        </w:rPr>
        <w:t>,</w:t>
      </w:r>
      <w:r w:rsidRPr="000868F1">
        <w:rPr>
          <w:sz w:val="20"/>
        </w:rPr>
        <w:t xml:space="preserve"> partnerships and collaborations</w:t>
      </w:r>
    </w:p>
    <w:p w:rsidR="00A53FF6" w:rsidRPr="000868F1" w:rsidRDefault="00A53FF6" w:rsidP="00A53FF6">
      <w:pPr>
        <w:numPr>
          <w:ilvl w:val="0"/>
          <w:numId w:val="6"/>
        </w:numPr>
        <w:rPr>
          <w:sz w:val="20"/>
        </w:rPr>
      </w:pPr>
      <w:r w:rsidRPr="000868F1">
        <w:rPr>
          <w:sz w:val="20"/>
        </w:rPr>
        <w:t xml:space="preserve">The </w:t>
      </w:r>
      <w:r w:rsidRPr="000868F1">
        <w:rPr>
          <w:b/>
          <w:sz w:val="20"/>
        </w:rPr>
        <w:t>efficiency</w:t>
      </w:r>
      <w:r w:rsidRPr="000868F1">
        <w:rPr>
          <w:sz w:val="20"/>
        </w:rPr>
        <w:t xml:space="preserve"> of the investment and management arrangements</w:t>
      </w:r>
    </w:p>
    <w:p w:rsidR="00A53FF6" w:rsidRPr="000868F1" w:rsidRDefault="00A53FF6" w:rsidP="00A53FF6">
      <w:pPr>
        <w:numPr>
          <w:ilvl w:val="0"/>
          <w:numId w:val="6"/>
        </w:numPr>
        <w:rPr>
          <w:sz w:val="20"/>
        </w:rPr>
      </w:pPr>
      <w:r w:rsidRPr="000868F1">
        <w:rPr>
          <w:sz w:val="20"/>
        </w:rPr>
        <w:t xml:space="preserve">The </w:t>
      </w:r>
      <w:r w:rsidRPr="000868F1">
        <w:rPr>
          <w:b/>
          <w:sz w:val="20"/>
        </w:rPr>
        <w:t>sustainability</w:t>
      </w:r>
      <w:r w:rsidRPr="000868F1">
        <w:rPr>
          <w:sz w:val="20"/>
        </w:rPr>
        <w:t xml:space="preserve"> of outcomes</w:t>
      </w:r>
      <w:r w:rsidR="0002546F">
        <w:rPr>
          <w:sz w:val="20"/>
        </w:rPr>
        <w:t>; and</w:t>
      </w:r>
    </w:p>
    <w:p w:rsidR="00A53FF6" w:rsidRPr="000868F1" w:rsidRDefault="00A53FF6" w:rsidP="00A53FF6">
      <w:pPr>
        <w:numPr>
          <w:ilvl w:val="0"/>
          <w:numId w:val="6"/>
        </w:numPr>
        <w:rPr>
          <w:sz w:val="20"/>
        </w:rPr>
      </w:pPr>
      <w:r w:rsidRPr="000868F1">
        <w:rPr>
          <w:b/>
          <w:sz w:val="20"/>
        </w:rPr>
        <w:t>Lessons</w:t>
      </w:r>
      <w:r w:rsidRPr="000868F1">
        <w:rPr>
          <w:sz w:val="20"/>
        </w:rPr>
        <w:t xml:space="preserve"> – what worked, what didn’t and why</w:t>
      </w:r>
      <w:r w:rsidR="0002546F">
        <w:rPr>
          <w:sz w:val="20"/>
        </w:rPr>
        <w:t>.</w:t>
      </w:r>
    </w:p>
    <w:p w:rsidR="00A53FF6" w:rsidRPr="00B6325B" w:rsidRDefault="00A53FF6" w:rsidP="00A53FF6">
      <w:r>
        <w:t xml:space="preserve">The evaluation </w:t>
      </w:r>
      <w:r w:rsidRPr="00B6325B">
        <w:t>also examine</w:t>
      </w:r>
      <w:r>
        <w:t>d</w:t>
      </w:r>
      <w:r w:rsidRPr="00B6325B">
        <w:t xml:space="preserve"> p</w:t>
      </w:r>
      <w:r>
        <w:t>rogress</w:t>
      </w:r>
      <w:r w:rsidRPr="00B6325B">
        <w:t xml:space="preserve"> and lessons in relation to:</w:t>
      </w:r>
    </w:p>
    <w:p w:rsidR="00A53FF6" w:rsidRPr="000868F1" w:rsidRDefault="00A53FF6" w:rsidP="00A53FF6">
      <w:pPr>
        <w:numPr>
          <w:ilvl w:val="0"/>
          <w:numId w:val="7"/>
        </w:numPr>
        <w:rPr>
          <w:b/>
          <w:sz w:val="20"/>
        </w:rPr>
      </w:pPr>
      <w:r w:rsidRPr="000868F1">
        <w:rPr>
          <w:b/>
          <w:sz w:val="20"/>
        </w:rPr>
        <w:t xml:space="preserve">Inclusive development </w:t>
      </w:r>
      <w:r w:rsidR="0002546F">
        <w:rPr>
          <w:b/>
          <w:sz w:val="20"/>
        </w:rPr>
        <w:t>–</w:t>
      </w:r>
      <w:r w:rsidRPr="000868F1">
        <w:rPr>
          <w:b/>
          <w:sz w:val="20"/>
        </w:rPr>
        <w:t xml:space="preserve"> </w:t>
      </w:r>
      <w:r w:rsidRPr="000868F1">
        <w:rPr>
          <w:sz w:val="20"/>
        </w:rPr>
        <w:t xml:space="preserve">were marginalised and vulnerable members of the community included, </w:t>
      </w:r>
      <w:r w:rsidR="0002546F">
        <w:rPr>
          <w:sz w:val="20"/>
        </w:rPr>
        <w:t xml:space="preserve">such as </w:t>
      </w:r>
      <w:r w:rsidRPr="000868F1">
        <w:rPr>
          <w:sz w:val="20"/>
        </w:rPr>
        <w:t xml:space="preserve">women and girls, and people with disabilities? </w:t>
      </w:r>
      <w:r w:rsidR="0002546F">
        <w:rPr>
          <w:sz w:val="20"/>
        </w:rPr>
        <w:t>W</w:t>
      </w:r>
      <w:r w:rsidRPr="000868F1">
        <w:rPr>
          <w:sz w:val="20"/>
        </w:rPr>
        <w:t xml:space="preserve">ere appropriate guidelines and standards for inclusive development met; and </w:t>
      </w:r>
    </w:p>
    <w:p w:rsidR="00A53FF6" w:rsidRPr="000868F1" w:rsidRDefault="00A53FF6" w:rsidP="00A53FF6">
      <w:pPr>
        <w:numPr>
          <w:ilvl w:val="0"/>
          <w:numId w:val="7"/>
        </w:numPr>
        <w:rPr>
          <w:b/>
          <w:sz w:val="20"/>
        </w:rPr>
      </w:pPr>
      <w:r w:rsidRPr="000868F1">
        <w:rPr>
          <w:b/>
          <w:sz w:val="20"/>
        </w:rPr>
        <w:t>Safeguards</w:t>
      </w:r>
      <w:r w:rsidRPr="000868F1">
        <w:rPr>
          <w:sz w:val="20"/>
        </w:rPr>
        <w:t xml:space="preserve"> </w:t>
      </w:r>
      <w:r w:rsidR="0002546F">
        <w:rPr>
          <w:sz w:val="20"/>
        </w:rPr>
        <w:t>–</w:t>
      </w:r>
      <w:r w:rsidRPr="000868F1">
        <w:rPr>
          <w:sz w:val="20"/>
        </w:rPr>
        <w:t xml:space="preserve"> were people’s natural and cultural assets and values protected? </w:t>
      </w:r>
      <w:r w:rsidR="0002546F">
        <w:rPr>
          <w:sz w:val="20"/>
        </w:rPr>
        <w:t>W</w:t>
      </w:r>
      <w:r w:rsidRPr="000868F1">
        <w:rPr>
          <w:sz w:val="20"/>
        </w:rPr>
        <w:t>ere relevant local and Australian safeguard standards met?</w:t>
      </w:r>
    </w:p>
    <w:p w:rsidR="00A53FF6" w:rsidRPr="00B6325B" w:rsidRDefault="00A53FF6" w:rsidP="00A53FF6">
      <w:r>
        <w:t xml:space="preserve">The methods of inquiry </w:t>
      </w:r>
      <w:r w:rsidRPr="00B6325B">
        <w:t>include</w:t>
      </w:r>
      <w:r>
        <w:t>d</w:t>
      </w:r>
      <w:r w:rsidRPr="00B6325B">
        <w:t>:</w:t>
      </w:r>
    </w:p>
    <w:p w:rsidR="00A53FF6" w:rsidRPr="000868F1" w:rsidRDefault="00A53FF6" w:rsidP="00A53FF6">
      <w:pPr>
        <w:numPr>
          <w:ilvl w:val="0"/>
          <w:numId w:val="5"/>
        </w:numPr>
        <w:rPr>
          <w:sz w:val="20"/>
        </w:rPr>
      </w:pPr>
      <w:r w:rsidRPr="000868F1">
        <w:rPr>
          <w:sz w:val="20"/>
        </w:rPr>
        <w:t>A review of program and project documents including program guidance to the NGOs, approved project designs and recent progress reports and evaluations (including the review of the related Vietnam</w:t>
      </w:r>
      <w:r w:rsidR="00B93596">
        <w:rPr>
          <w:sz w:val="20"/>
        </w:rPr>
        <w:t xml:space="preserve"> program mid-term evaluation)</w:t>
      </w:r>
      <w:r w:rsidRPr="000868F1">
        <w:rPr>
          <w:sz w:val="20"/>
        </w:rPr>
        <w:t xml:space="preserve"> </w:t>
      </w:r>
    </w:p>
    <w:p w:rsidR="00A53FF6" w:rsidRPr="000868F1" w:rsidRDefault="00B93596" w:rsidP="00A53FF6">
      <w:pPr>
        <w:numPr>
          <w:ilvl w:val="0"/>
          <w:numId w:val="5"/>
        </w:numPr>
        <w:rPr>
          <w:sz w:val="20"/>
        </w:rPr>
      </w:pPr>
      <w:r>
        <w:rPr>
          <w:sz w:val="20"/>
        </w:rPr>
        <w:t>I</w:t>
      </w:r>
      <w:r w:rsidR="00A53FF6" w:rsidRPr="000868F1">
        <w:rPr>
          <w:sz w:val="20"/>
        </w:rPr>
        <w:t>nterview</w:t>
      </w:r>
      <w:r>
        <w:rPr>
          <w:sz w:val="20"/>
        </w:rPr>
        <w:t>s</w:t>
      </w:r>
      <w:r w:rsidR="00A53FF6" w:rsidRPr="000868F1">
        <w:rPr>
          <w:sz w:val="20"/>
        </w:rPr>
        <w:t xml:space="preserve"> with the </w:t>
      </w:r>
      <w:r>
        <w:rPr>
          <w:sz w:val="20"/>
        </w:rPr>
        <w:t>DFAT program managers in Canberra and at Posts</w:t>
      </w:r>
    </w:p>
    <w:p w:rsidR="00A53FF6" w:rsidRPr="000868F1" w:rsidRDefault="00A53FF6" w:rsidP="00A53FF6">
      <w:pPr>
        <w:numPr>
          <w:ilvl w:val="0"/>
          <w:numId w:val="5"/>
        </w:numPr>
        <w:rPr>
          <w:sz w:val="20"/>
        </w:rPr>
      </w:pPr>
      <w:r w:rsidRPr="000868F1">
        <w:rPr>
          <w:sz w:val="20"/>
        </w:rPr>
        <w:t>Interviews with project managers and stakeholders for each project</w:t>
      </w:r>
    </w:p>
    <w:p w:rsidR="00A53FF6" w:rsidRPr="000868F1" w:rsidRDefault="00A53FF6" w:rsidP="00A53FF6">
      <w:pPr>
        <w:numPr>
          <w:ilvl w:val="0"/>
          <w:numId w:val="5"/>
        </w:numPr>
        <w:rPr>
          <w:sz w:val="20"/>
        </w:rPr>
      </w:pPr>
      <w:r w:rsidRPr="000868F1">
        <w:rPr>
          <w:sz w:val="20"/>
        </w:rPr>
        <w:t xml:space="preserve">Site visits to two selected projects and in-depth interviews with </w:t>
      </w:r>
      <w:r>
        <w:rPr>
          <w:sz w:val="20"/>
        </w:rPr>
        <w:t xml:space="preserve">Post program staff, </w:t>
      </w:r>
      <w:r w:rsidRPr="000868F1">
        <w:rPr>
          <w:sz w:val="20"/>
        </w:rPr>
        <w:t>implementation teams, partners and beneficiaries</w:t>
      </w:r>
      <w:r w:rsidR="00864AFF">
        <w:rPr>
          <w:sz w:val="20"/>
        </w:rPr>
        <w:t>; and</w:t>
      </w:r>
    </w:p>
    <w:p w:rsidR="00D5125D" w:rsidRDefault="00A53FF6" w:rsidP="00A53FF6">
      <w:pPr>
        <w:numPr>
          <w:ilvl w:val="0"/>
          <w:numId w:val="5"/>
        </w:numPr>
        <w:rPr>
          <w:sz w:val="20"/>
        </w:rPr>
      </w:pPr>
      <w:r w:rsidRPr="000868F1">
        <w:rPr>
          <w:sz w:val="20"/>
        </w:rPr>
        <w:t>A focus group discussion of preliminary findings</w:t>
      </w:r>
      <w:r w:rsidR="00864AFF">
        <w:rPr>
          <w:sz w:val="20"/>
        </w:rPr>
        <w:t>.</w:t>
      </w:r>
    </w:p>
    <w:p w:rsidR="00A53FF6" w:rsidRPr="00D5125D" w:rsidRDefault="00D5125D" w:rsidP="00D5125D">
      <w:r w:rsidRPr="00D5125D">
        <w:t>A list of people interviewed for the evaluation</w:t>
      </w:r>
      <w:r>
        <w:t xml:space="preserve"> and participants in focus group discussions</w:t>
      </w:r>
      <w:r w:rsidRPr="00D5125D">
        <w:t xml:space="preserve"> is attached at Annex 2.</w:t>
      </w:r>
    </w:p>
    <w:p w:rsidR="00A53FF6" w:rsidRDefault="00A53FF6" w:rsidP="00A53FF6">
      <w:pPr>
        <w:pStyle w:val="Heading2"/>
      </w:pPr>
      <w:bookmarkStart w:id="22" w:name="_Toc293842457"/>
      <w:bookmarkStart w:id="23" w:name="_Toc315694457"/>
      <w:bookmarkStart w:id="24" w:name="_Toc293842458"/>
      <w:r>
        <w:t>Community adaptation pathways</w:t>
      </w:r>
      <w:bookmarkEnd w:id="22"/>
      <w:bookmarkEnd w:id="23"/>
    </w:p>
    <w:p w:rsidR="005D64E7" w:rsidRDefault="00A53FF6" w:rsidP="005D64E7">
      <w:pPr>
        <w:spacing w:after="240"/>
      </w:pPr>
      <w:r>
        <w:t>The evaluation adopted a ‘pathways to community adaptation’ approach</w:t>
      </w:r>
      <w:r w:rsidR="003D7A60">
        <w:t xml:space="preserve"> to inquiry</w:t>
      </w:r>
      <w:r>
        <w:t>, acknowledging that the ultimate goal of the program is a long-term undertaking and that the projects are expected to contribute to its attainment in measureable but incremental ways. This approach views the development process in three phases:</w:t>
      </w:r>
    </w:p>
    <w:tbl>
      <w:tblPr>
        <w:tblStyle w:val="TableGrid"/>
        <w:tblW w:w="8897" w:type="dxa"/>
        <w:tblLook w:val="00A0" w:firstRow="1" w:lastRow="0" w:firstColumn="1" w:lastColumn="0" w:noHBand="0" w:noVBand="0"/>
      </w:tblPr>
      <w:tblGrid>
        <w:gridCol w:w="3227"/>
        <w:gridCol w:w="3260"/>
        <w:gridCol w:w="2410"/>
      </w:tblGrid>
      <w:tr w:rsidR="005D64E7">
        <w:tc>
          <w:tcPr>
            <w:tcW w:w="3227" w:type="dxa"/>
            <w:shd w:val="solid" w:color="B0C5E8" w:fill="auto"/>
            <w:vAlign w:val="center"/>
          </w:tcPr>
          <w:p w:rsidR="005D64E7" w:rsidRPr="005D64E7" w:rsidRDefault="005D64E7" w:rsidP="005D64E7">
            <w:pPr>
              <w:rPr>
                <w:sz w:val="20"/>
              </w:rPr>
            </w:pPr>
            <w:r w:rsidRPr="005D64E7">
              <w:rPr>
                <w:b/>
                <w:sz w:val="20"/>
              </w:rPr>
              <w:t>Skills, tools and capacity building</w:t>
            </w:r>
          </w:p>
        </w:tc>
        <w:tc>
          <w:tcPr>
            <w:tcW w:w="3260" w:type="dxa"/>
            <w:shd w:val="solid" w:color="C2DFE8" w:fill="auto"/>
            <w:vAlign w:val="center"/>
          </w:tcPr>
          <w:p w:rsidR="005D64E7" w:rsidRPr="005D64E7" w:rsidRDefault="005D64E7" w:rsidP="00A53FF6">
            <w:pPr>
              <w:rPr>
                <w:sz w:val="20"/>
              </w:rPr>
            </w:pPr>
            <w:r w:rsidRPr="005D64E7">
              <w:rPr>
                <w:b/>
                <w:sz w:val="20"/>
              </w:rPr>
              <w:t xml:space="preserve">Policy, planning and </w:t>
            </w:r>
            <w:r>
              <w:rPr>
                <w:b/>
                <w:sz w:val="20"/>
              </w:rPr>
              <w:t>enabling</w:t>
            </w:r>
          </w:p>
        </w:tc>
        <w:tc>
          <w:tcPr>
            <w:tcW w:w="2410" w:type="dxa"/>
            <w:shd w:val="solid" w:color="DFEDCF" w:fill="auto"/>
            <w:vAlign w:val="center"/>
          </w:tcPr>
          <w:p w:rsidR="005D64E7" w:rsidRPr="005D64E7" w:rsidRDefault="005D64E7" w:rsidP="00A53FF6">
            <w:pPr>
              <w:rPr>
                <w:b/>
                <w:sz w:val="20"/>
              </w:rPr>
            </w:pPr>
            <w:r w:rsidRPr="005D64E7">
              <w:rPr>
                <w:b/>
                <w:sz w:val="20"/>
              </w:rPr>
              <w:t xml:space="preserve">Adoption, implementation and scale out </w:t>
            </w:r>
          </w:p>
        </w:tc>
      </w:tr>
      <w:tr w:rsidR="005D64E7">
        <w:tc>
          <w:tcPr>
            <w:tcW w:w="3227" w:type="dxa"/>
            <w:shd w:val="solid" w:color="B0C5E8" w:fill="auto"/>
          </w:tcPr>
          <w:p w:rsidR="005D64E7" w:rsidRDefault="00864AFF" w:rsidP="00A70944">
            <w:r>
              <w:rPr>
                <w:sz w:val="20"/>
              </w:rPr>
              <w:t>This phase is f</w:t>
            </w:r>
            <w:r w:rsidR="005D64E7" w:rsidRPr="005D64E7">
              <w:rPr>
                <w:sz w:val="20"/>
              </w:rPr>
              <w:t>acilitated by the implementation team and</w:t>
            </w:r>
            <w:r>
              <w:rPr>
                <w:sz w:val="20"/>
              </w:rPr>
              <w:t xml:space="preserve"> is</w:t>
            </w:r>
            <w:r w:rsidR="005D64E7" w:rsidRPr="005D64E7">
              <w:rPr>
                <w:sz w:val="20"/>
              </w:rPr>
              <w:t xml:space="preserve"> expected to take up the bulk of available time and resources</w:t>
            </w:r>
            <w:r>
              <w:rPr>
                <w:sz w:val="20"/>
              </w:rPr>
              <w:t>.</w:t>
            </w:r>
            <w:r w:rsidR="005D64E7" w:rsidRPr="005D64E7">
              <w:rPr>
                <w:sz w:val="20"/>
              </w:rPr>
              <w:t xml:space="preserve"> </w:t>
            </w:r>
            <w:r>
              <w:rPr>
                <w:sz w:val="20"/>
              </w:rPr>
              <w:t xml:space="preserve">It </w:t>
            </w:r>
            <w:r w:rsidR="005D64E7" w:rsidRPr="005D64E7">
              <w:rPr>
                <w:sz w:val="20"/>
              </w:rPr>
              <w:t>engages and empowers communities with the attributes, knowledge, skills and tools they need to understand and manage the risks climate change poses to their lives and livelihoods</w:t>
            </w:r>
            <w:r w:rsidR="00A70944">
              <w:rPr>
                <w:sz w:val="20"/>
              </w:rPr>
              <w:t>,</w:t>
            </w:r>
            <w:r w:rsidR="005D64E7" w:rsidRPr="005D64E7">
              <w:rPr>
                <w:sz w:val="20"/>
              </w:rPr>
              <w:t xml:space="preserve"> in ways that benefit them directly in the short and long</w:t>
            </w:r>
            <w:r>
              <w:rPr>
                <w:sz w:val="20"/>
              </w:rPr>
              <w:t xml:space="preserve"> </w:t>
            </w:r>
            <w:r w:rsidR="005D64E7" w:rsidRPr="005D64E7">
              <w:rPr>
                <w:sz w:val="20"/>
              </w:rPr>
              <w:t>term. This phase enables communities to identify risks and vulnerabilities, solutions and strategies</w:t>
            </w:r>
            <w:r w:rsidR="00062EB2">
              <w:rPr>
                <w:sz w:val="20"/>
              </w:rPr>
              <w:t xml:space="preserve">, and </w:t>
            </w:r>
            <w:r w:rsidR="005D64E7" w:rsidRPr="005D64E7">
              <w:rPr>
                <w:sz w:val="20"/>
              </w:rPr>
              <w:t>test them out. It positions communities to take the next steps towards engaging with networks and politically, to influence policy, planning and resourcing for local implementation of strategic action</w:t>
            </w:r>
            <w:r w:rsidR="005D64E7">
              <w:rPr>
                <w:sz w:val="20"/>
              </w:rPr>
              <w:t>.</w:t>
            </w:r>
          </w:p>
        </w:tc>
        <w:tc>
          <w:tcPr>
            <w:tcW w:w="3260" w:type="dxa"/>
            <w:shd w:val="solid" w:color="C2DFE8" w:fill="auto"/>
          </w:tcPr>
          <w:p w:rsidR="005D64E7" w:rsidRDefault="00CF7158" w:rsidP="00062EB2">
            <w:r>
              <w:rPr>
                <w:sz w:val="20"/>
              </w:rPr>
              <w:t>This phase is f</w:t>
            </w:r>
            <w:r w:rsidR="005D64E7" w:rsidRPr="005D64E7">
              <w:rPr>
                <w:sz w:val="20"/>
              </w:rPr>
              <w:t>acilitated by the implementation team and their boundary partners (or change agents)</w:t>
            </w:r>
            <w:r w:rsidR="00BC1FCD">
              <w:rPr>
                <w:sz w:val="20"/>
              </w:rPr>
              <w:t>,</w:t>
            </w:r>
            <w:r>
              <w:rPr>
                <w:sz w:val="20"/>
              </w:rPr>
              <w:t xml:space="preserve"> to </w:t>
            </w:r>
            <w:r w:rsidR="005D64E7" w:rsidRPr="005D64E7">
              <w:rPr>
                <w:sz w:val="20"/>
              </w:rPr>
              <w:t xml:space="preserve">connect communities with government and civil society </w:t>
            </w:r>
            <w:r w:rsidR="00062EB2">
              <w:rPr>
                <w:sz w:val="20"/>
              </w:rPr>
              <w:t>organisations</w:t>
            </w:r>
            <w:r w:rsidR="00062EB2" w:rsidRPr="005D64E7">
              <w:rPr>
                <w:sz w:val="20"/>
              </w:rPr>
              <w:t xml:space="preserve"> </w:t>
            </w:r>
            <w:r w:rsidR="005D64E7" w:rsidRPr="005D64E7">
              <w:rPr>
                <w:sz w:val="20"/>
              </w:rPr>
              <w:t>to bring the voice of communities about climate change adaptation to policy, planning and programs at a more strategic level. There may be evidence of project activities and interventions influencing change in the way development planning is conducted at community and larger scales, for example in the information and strategies available to communities and in the networks and resources supporting community planning.</w:t>
            </w:r>
          </w:p>
        </w:tc>
        <w:tc>
          <w:tcPr>
            <w:tcW w:w="2410" w:type="dxa"/>
            <w:shd w:val="solid" w:color="DFEDCF" w:fill="auto"/>
          </w:tcPr>
          <w:p w:rsidR="005D64E7" w:rsidRDefault="00CF7158" w:rsidP="00A53FF6">
            <w:r>
              <w:rPr>
                <w:sz w:val="20"/>
              </w:rPr>
              <w:t>P</w:t>
            </w:r>
            <w:r w:rsidR="005D64E7" w:rsidRPr="005D64E7">
              <w:rPr>
                <w:sz w:val="20"/>
              </w:rPr>
              <w:t>roject outcomes may not yet be evident at scale but there may be evidence of this emerging, for example if networks are fostering and advocating their wider application, and mobilising resources for testing/implementation by other communities or agencies.</w:t>
            </w:r>
          </w:p>
        </w:tc>
      </w:tr>
    </w:tbl>
    <w:p w:rsidR="005D64E7" w:rsidRDefault="005D64E7" w:rsidP="00A53FF6"/>
    <w:p w:rsidR="00A53FF6" w:rsidRPr="00D5125D" w:rsidRDefault="00A53FF6" w:rsidP="00A53FF6">
      <w:r w:rsidRPr="00D5125D">
        <w:t>These phases map out a plausible pathway to impact for communities engaged in building adaptive capacities, reducing the risks of climate change and building resilience. The evaluators examined evidence of causal linkages between activities of the implementing team, the changes in behaviour of boundary partners or change agents, and the potential benefits for participating communities.</w:t>
      </w:r>
    </w:p>
    <w:p w:rsidR="00A53FF6" w:rsidRPr="00D5125D" w:rsidRDefault="00A53FF6" w:rsidP="00A53FF6">
      <w:r w:rsidRPr="00D5125D">
        <w:t>The approach enabled the evaluators to map out the expected pathway to impact and make informed judgements about where project</w:t>
      </w:r>
      <w:r w:rsidR="00CF7158">
        <w:t>s</w:t>
      </w:r>
      <w:r w:rsidRPr="00D5125D">
        <w:t xml:space="preserve"> ha</w:t>
      </w:r>
      <w:r w:rsidR="00CF7158">
        <w:t>d</w:t>
      </w:r>
      <w:r w:rsidRPr="00D5125D">
        <w:t xml:space="preserve"> got to and the likely future impacts on beneficiaries. It also establish</w:t>
      </w:r>
      <w:r w:rsidR="008A174B">
        <w:t>ed</w:t>
      </w:r>
      <w:r w:rsidRPr="00D5125D">
        <w:t xml:space="preserve"> the critical activities and changes that occurred along the pathway, what worked well and why</w:t>
      </w:r>
      <w:r w:rsidR="008A174B">
        <w:t>,</w:t>
      </w:r>
      <w:r w:rsidRPr="00D5125D">
        <w:t xml:space="preserve"> and what fell below expectations. This analysis will highlight valuable lessons for future programming.</w:t>
      </w:r>
    </w:p>
    <w:p w:rsidR="00D5125D" w:rsidRDefault="00A53FF6" w:rsidP="00A53FF6">
      <w:r w:rsidRPr="00D5125D">
        <w:t>The linkages between the three phases are critical. The evaluation examined the role of the projects in creating these, and looked for evidence of networks, partnerships and institutional mechanisms (policy and mandates) that could be expected to mobilise resources for wider application and impact of program outcomes in future.</w:t>
      </w:r>
      <w:r w:rsidR="00D5125D">
        <w:t xml:space="preserve"> </w:t>
      </w:r>
    </w:p>
    <w:p w:rsidR="00D5125D" w:rsidRDefault="00D5125D" w:rsidP="00D5125D">
      <w:pPr>
        <w:pStyle w:val="Heading2"/>
      </w:pPr>
      <w:bookmarkStart w:id="25" w:name="_Toc315694458"/>
      <w:r>
        <w:t>Indicators</w:t>
      </w:r>
      <w:bookmarkEnd w:id="25"/>
    </w:p>
    <w:p w:rsidR="008909CA" w:rsidRDefault="00521A55" w:rsidP="00D5125D">
      <w:pPr>
        <w:sectPr w:rsidR="008909CA">
          <w:pgSz w:w="11900" w:h="16840"/>
          <w:pgMar w:top="1440" w:right="1800" w:bottom="1440" w:left="1800" w:header="708" w:footer="708" w:gutter="0"/>
          <w:pgNumType w:start="1"/>
          <w:cols w:space="708"/>
        </w:sectPr>
      </w:pPr>
      <w:r>
        <w:t>Headline questions and i</w:t>
      </w:r>
      <w:r w:rsidR="00D5125D">
        <w:t xml:space="preserve">ndicators were </w:t>
      </w:r>
      <w:r w:rsidR="006B6899">
        <w:t>formulated</w:t>
      </w:r>
      <w:r w:rsidR="00D5125D">
        <w:t xml:space="preserve"> for each development phase</w:t>
      </w:r>
      <w:r w:rsidR="000A73C3">
        <w:t xml:space="preserve">, </w:t>
      </w:r>
      <w:r w:rsidR="006B6899">
        <w:t xml:space="preserve">creating </w:t>
      </w:r>
      <w:r w:rsidR="000A73C3">
        <w:t>the basis of the evaluation questions and reporting on progress against</w:t>
      </w:r>
      <w:r w:rsidR="008909CA">
        <w:t xml:space="preserve"> </w:t>
      </w:r>
      <w:r>
        <w:t>program objectives and outcomes (Table 1). Headline questions for the evaluation criteria</w:t>
      </w:r>
      <w:r w:rsidR="008A174B">
        <w:t xml:space="preserve"> –</w:t>
      </w:r>
      <w:r>
        <w:t xml:space="preserve"> </w:t>
      </w:r>
      <w:r w:rsidR="00DC6E9D">
        <w:t>relevance, effectiveness, efficiency, inclusive development, safeguards, management and governance, and sustainability</w:t>
      </w:r>
      <w:r w:rsidR="008A174B">
        <w:t xml:space="preserve"> –</w:t>
      </w:r>
      <w:r w:rsidR="00DC6E9D">
        <w:t xml:space="preserve"> are shown in Table 2.</w:t>
      </w:r>
    </w:p>
    <w:p w:rsidR="008909CA" w:rsidRPr="00DC6E9D" w:rsidRDefault="00DC6E9D" w:rsidP="00D5125D">
      <w:pPr>
        <w:rPr>
          <w:b/>
        </w:rPr>
      </w:pPr>
      <w:r>
        <w:rPr>
          <w:b/>
        </w:rPr>
        <w:t>Table 1: Headline questions and indicators for each development phase and associated program outcome</w:t>
      </w:r>
    </w:p>
    <w:tbl>
      <w:tblPr>
        <w:tblStyle w:val="TableGrid"/>
        <w:tblW w:w="0" w:type="auto"/>
        <w:tblLayout w:type="fixed"/>
        <w:tblLook w:val="00A0" w:firstRow="1" w:lastRow="0" w:firstColumn="1" w:lastColumn="0" w:noHBand="0" w:noVBand="0"/>
      </w:tblPr>
      <w:tblGrid>
        <w:gridCol w:w="2376"/>
        <w:gridCol w:w="2977"/>
        <w:gridCol w:w="3119"/>
        <w:gridCol w:w="5670"/>
      </w:tblGrid>
      <w:tr w:rsidR="008909CA" w:rsidRPr="00B87110">
        <w:tc>
          <w:tcPr>
            <w:tcW w:w="2376" w:type="dxa"/>
          </w:tcPr>
          <w:p w:rsidR="008909CA" w:rsidRPr="00B87110" w:rsidRDefault="008909CA" w:rsidP="00D5125D">
            <w:pPr>
              <w:rPr>
                <w:b/>
                <w:sz w:val="20"/>
              </w:rPr>
            </w:pPr>
            <w:r w:rsidRPr="00B87110">
              <w:rPr>
                <w:b/>
                <w:sz w:val="20"/>
              </w:rPr>
              <w:t>Development phase</w:t>
            </w:r>
          </w:p>
        </w:tc>
        <w:tc>
          <w:tcPr>
            <w:tcW w:w="2977" w:type="dxa"/>
          </w:tcPr>
          <w:p w:rsidR="008909CA" w:rsidRPr="00B87110" w:rsidRDefault="008909CA" w:rsidP="00D5125D">
            <w:pPr>
              <w:rPr>
                <w:b/>
                <w:sz w:val="20"/>
              </w:rPr>
            </w:pPr>
            <w:r w:rsidRPr="00B87110">
              <w:rPr>
                <w:b/>
                <w:sz w:val="20"/>
              </w:rPr>
              <w:t>Program outcome</w:t>
            </w:r>
          </w:p>
        </w:tc>
        <w:tc>
          <w:tcPr>
            <w:tcW w:w="3119" w:type="dxa"/>
          </w:tcPr>
          <w:p w:rsidR="008909CA" w:rsidRPr="00B87110" w:rsidRDefault="008909CA" w:rsidP="00D5125D">
            <w:pPr>
              <w:rPr>
                <w:b/>
                <w:sz w:val="20"/>
              </w:rPr>
            </w:pPr>
            <w:r w:rsidRPr="00B87110">
              <w:rPr>
                <w:b/>
                <w:sz w:val="20"/>
              </w:rPr>
              <w:t>Headline question</w:t>
            </w:r>
          </w:p>
        </w:tc>
        <w:tc>
          <w:tcPr>
            <w:tcW w:w="5670" w:type="dxa"/>
          </w:tcPr>
          <w:p w:rsidR="008909CA" w:rsidRPr="00B87110" w:rsidRDefault="008909CA" w:rsidP="00D5125D">
            <w:pPr>
              <w:rPr>
                <w:b/>
                <w:sz w:val="20"/>
              </w:rPr>
            </w:pPr>
            <w:r w:rsidRPr="00B87110">
              <w:rPr>
                <w:b/>
                <w:sz w:val="20"/>
              </w:rPr>
              <w:t>Indicators</w:t>
            </w:r>
          </w:p>
        </w:tc>
      </w:tr>
      <w:tr w:rsidR="00B87110" w:rsidRPr="00B87110">
        <w:tc>
          <w:tcPr>
            <w:tcW w:w="2376" w:type="dxa"/>
            <w:vMerge w:val="restart"/>
            <w:shd w:val="solid" w:color="BCD0ED" w:fill="auto"/>
          </w:tcPr>
          <w:p w:rsidR="00DC6E9D" w:rsidRDefault="00B87110" w:rsidP="00D5125D">
            <w:pPr>
              <w:rPr>
                <w:b/>
                <w:sz w:val="20"/>
              </w:rPr>
            </w:pPr>
            <w:r w:rsidRPr="00B87110">
              <w:rPr>
                <w:b/>
                <w:sz w:val="20"/>
              </w:rPr>
              <w:t>Skills, tools and capacity building</w:t>
            </w:r>
          </w:p>
          <w:p w:rsidR="00B87110" w:rsidRPr="00B87110" w:rsidRDefault="00B87110" w:rsidP="00D5125D">
            <w:pPr>
              <w:rPr>
                <w:sz w:val="20"/>
              </w:rPr>
            </w:pPr>
          </w:p>
        </w:tc>
        <w:tc>
          <w:tcPr>
            <w:tcW w:w="2977" w:type="dxa"/>
            <w:vMerge w:val="restart"/>
            <w:shd w:val="solid" w:color="BCD0ED" w:fill="auto"/>
          </w:tcPr>
          <w:p w:rsidR="00B87110" w:rsidRPr="00521A55" w:rsidRDefault="00B87110" w:rsidP="00D5125D">
            <w:pPr>
              <w:rPr>
                <w:sz w:val="20"/>
              </w:rPr>
            </w:pPr>
            <w:r w:rsidRPr="00521A55">
              <w:rPr>
                <w:sz w:val="20"/>
              </w:rPr>
              <w:t>Community self-organisation and capacity to anticipate and adapt to change and/or mitigate emissions locally are enhanced.</w:t>
            </w:r>
          </w:p>
        </w:tc>
        <w:tc>
          <w:tcPr>
            <w:tcW w:w="3119" w:type="dxa"/>
            <w:vMerge w:val="restart"/>
            <w:shd w:val="solid" w:color="BCD0ED" w:fill="auto"/>
          </w:tcPr>
          <w:p w:rsidR="00B87110" w:rsidRPr="00B87110" w:rsidRDefault="00B87110" w:rsidP="00D5125D">
            <w:pPr>
              <w:rPr>
                <w:i/>
                <w:sz w:val="20"/>
              </w:rPr>
            </w:pPr>
            <w:r w:rsidRPr="00B87110">
              <w:rPr>
                <w:i/>
                <w:sz w:val="20"/>
              </w:rPr>
              <w:t>To what extent did the projects build resilience in communities while contributing to development priorities in the target communities?</w:t>
            </w:r>
          </w:p>
        </w:tc>
        <w:tc>
          <w:tcPr>
            <w:tcW w:w="5670" w:type="dxa"/>
            <w:shd w:val="solid" w:color="BCD0ED" w:fill="auto"/>
          </w:tcPr>
          <w:p w:rsidR="00B87110" w:rsidRPr="00B87110" w:rsidRDefault="00B87110" w:rsidP="00D5125D">
            <w:pPr>
              <w:rPr>
                <w:sz w:val="20"/>
              </w:rPr>
            </w:pPr>
            <w:r w:rsidRPr="00B87110">
              <w:rPr>
                <w:b/>
                <w:i/>
                <w:sz w:val="20"/>
              </w:rPr>
              <w:t>Indicator 1:</w:t>
            </w:r>
            <w:r w:rsidRPr="00B87110">
              <w:rPr>
                <w:i/>
                <w:sz w:val="20"/>
              </w:rPr>
              <w:t xml:space="preserve"> Knowledge and skills are built and shared in participating communities</w:t>
            </w:r>
          </w:p>
        </w:tc>
      </w:tr>
      <w:tr w:rsidR="00B87110" w:rsidRPr="00B87110">
        <w:tc>
          <w:tcPr>
            <w:tcW w:w="2376" w:type="dxa"/>
            <w:vMerge/>
          </w:tcPr>
          <w:p w:rsidR="00B87110" w:rsidRPr="00B87110" w:rsidRDefault="00B87110" w:rsidP="00D5125D">
            <w:pPr>
              <w:rPr>
                <w:sz w:val="20"/>
              </w:rPr>
            </w:pPr>
          </w:p>
        </w:tc>
        <w:tc>
          <w:tcPr>
            <w:tcW w:w="2977" w:type="dxa"/>
            <w:vMerge/>
          </w:tcPr>
          <w:p w:rsidR="00B87110" w:rsidRPr="00B87110" w:rsidRDefault="00B87110" w:rsidP="00D5125D">
            <w:pPr>
              <w:rPr>
                <w:sz w:val="20"/>
              </w:rPr>
            </w:pPr>
          </w:p>
        </w:tc>
        <w:tc>
          <w:tcPr>
            <w:tcW w:w="3119" w:type="dxa"/>
            <w:vMerge/>
          </w:tcPr>
          <w:p w:rsidR="00B87110" w:rsidRPr="00B87110" w:rsidRDefault="00B87110" w:rsidP="00D5125D">
            <w:pPr>
              <w:rPr>
                <w:sz w:val="20"/>
              </w:rPr>
            </w:pPr>
          </w:p>
        </w:tc>
        <w:tc>
          <w:tcPr>
            <w:tcW w:w="5670" w:type="dxa"/>
            <w:shd w:val="solid" w:color="BCD0ED" w:fill="auto"/>
          </w:tcPr>
          <w:p w:rsidR="00B87110" w:rsidRPr="00B87110" w:rsidRDefault="00B87110" w:rsidP="00D5125D">
            <w:pPr>
              <w:rPr>
                <w:sz w:val="20"/>
              </w:rPr>
            </w:pPr>
            <w:r w:rsidRPr="00B87110">
              <w:rPr>
                <w:b/>
                <w:i/>
                <w:sz w:val="20"/>
              </w:rPr>
              <w:t xml:space="preserve">Indicator 2: </w:t>
            </w:r>
            <w:r w:rsidR="001D549F" w:rsidRPr="001D549F">
              <w:rPr>
                <w:i/>
                <w:sz w:val="20"/>
              </w:rPr>
              <w:t>Communities are empowered to take ownership of the problem, to lead, plan and develop their own solutions</w:t>
            </w:r>
          </w:p>
        </w:tc>
      </w:tr>
      <w:tr w:rsidR="00B87110" w:rsidRPr="00B87110">
        <w:tc>
          <w:tcPr>
            <w:tcW w:w="2376" w:type="dxa"/>
            <w:vMerge/>
          </w:tcPr>
          <w:p w:rsidR="00B87110" w:rsidRPr="00B87110" w:rsidRDefault="00B87110" w:rsidP="00D5125D">
            <w:pPr>
              <w:rPr>
                <w:sz w:val="20"/>
              </w:rPr>
            </w:pPr>
          </w:p>
        </w:tc>
        <w:tc>
          <w:tcPr>
            <w:tcW w:w="2977" w:type="dxa"/>
            <w:vMerge/>
          </w:tcPr>
          <w:p w:rsidR="00B87110" w:rsidRPr="00B87110" w:rsidRDefault="00B87110" w:rsidP="00D5125D">
            <w:pPr>
              <w:rPr>
                <w:sz w:val="20"/>
              </w:rPr>
            </w:pPr>
          </w:p>
        </w:tc>
        <w:tc>
          <w:tcPr>
            <w:tcW w:w="3119" w:type="dxa"/>
            <w:vMerge/>
          </w:tcPr>
          <w:p w:rsidR="00B87110" w:rsidRPr="00B87110" w:rsidRDefault="00B87110" w:rsidP="00D5125D">
            <w:pPr>
              <w:rPr>
                <w:sz w:val="20"/>
              </w:rPr>
            </w:pPr>
          </w:p>
        </w:tc>
        <w:tc>
          <w:tcPr>
            <w:tcW w:w="5670" w:type="dxa"/>
            <w:shd w:val="solid" w:color="BCD0ED" w:fill="auto"/>
          </w:tcPr>
          <w:p w:rsidR="00B87110" w:rsidRPr="00B87110" w:rsidRDefault="00B87110" w:rsidP="00D5125D">
            <w:pPr>
              <w:rPr>
                <w:sz w:val="20"/>
              </w:rPr>
            </w:pPr>
            <w:r w:rsidRPr="00B87110">
              <w:rPr>
                <w:b/>
                <w:i/>
                <w:sz w:val="20"/>
              </w:rPr>
              <w:t xml:space="preserve">Indicator 3: </w:t>
            </w:r>
            <w:r w:rsidRPr="00B87110">
              <w:rPr>
                <w:i/>
                <w:sz w:val="20"/>
              </w:rPr>
              <w:t>Communities are engaged with government and civil society to mobilise knowledge and resources</w:t>
            </w:r>
            <w:r w:rsidR="001D549F">
              <w:rPr>
                <w:i/>
                <w:sz w:val="20"/>
              </w:rPr>
              <w:t>, and advocate for change</w:t>
            </w:r>
          </w:p>
        </w:tc>
      </w:tr>
      <w:tr w:rsidR="00B87110" w:rsidRPr="00B87110">
        <w:tc>
          <w:tcPr>
            <w:tcW w:w="2376" w:type="dxa"/>
            <w:vMerge w:val="restart"/>
            <w:shd w:val="solid" w:color="CBE5ED" w:fill="auto"/>
          </w:tcPr>
          <w:p w:rsidR="00B87110" w:rsidRPr="00B87110" w:rsidRDefault="00B87110" w:rsidP="00D5125D">
            <w:pPr>
              <w:rPr>
                <w:sz w:val="20"/>
              </w:rPr>
            </w:pPr>
            <w:r w:rsidRPr="00B87110">
              <w:rPr>
                <w:b/>
                <w:sz w:val="20"/>
              </w:rPr>
              <w:t>Policy, planning and enabling</w:t>
            </w:r>
          </w:p>
        </w:tc>
        <w:tc>
          <w:tcPr>
            <w:tcW w:w="2977" w:type="dxa"/>
            <w:vMerge w:val="restart"/>
            <w:shd w:val="solid" w:color="CBE5ED" w:fill="auto"/>
          </w:tcPr>
          <w:p w:rsidR="00B87110" w:rsidRPr="00521A55" w:rsidRDefault="00B87110" w:rsidP="00D5125D">
            <w:pPr>
              <w:rPr>
                <w:sz w:val="20"/>
              </w:rPr>
            </w:pPr>
            <w:r w:rsidRPr="00521A55">
              <w:rPr>
                <w:sz w:val="20"/>
              </w:rPr>
              <w:t>Community, government and civil society development planning systems are modified to support adaptation/mitigation planning and strategies</w:t>
            </w:r>
          </w:p>
        </w:tc>
        <w:tc>
          <w:tcPr>
            <w:tcW w:w="3119" w:type="dxa"/>
            <w:vMerge w:val="restart"/>
            <w:shd w:val="solid" w:color="CBE5ED" w:fill="auto"/>
          </w:tcPr>
          <w:p w:rsidR="00B87110" w:rsidRPr="00281C36" w:rsidRDefault="00B87110" w:rsidP="00D5125D">
            <w:pPr>
              <w:rPr>
                <w:sz w:val="20"/>
              </w:rPr>
            </w:pPr>
            <w:r w:rsidRPr="00281C36">
              <w:rPr>
                <w:i/>
                <w:sz w:val="20"/>
              </w:rPr>
              <w:t>What are people doing differently as a result (e.g. planning and allocating resources)?</w:t>
            </w:r>
          </w:p>
        </w:tc>
        <w:tc>
          <w:tcPr>
            <w:tcW w:w="5670" w:type="dxa"/>
            <w:shd w:val="solid" w:color="CBE5ED" w:fill="auto"/>
          </w:tcPr>
          <w:p w:rsidR="00B87110" w:rsidRPr="00281C36" w:rsidRDefault="00B87110" w:rsidP="00D5125D">
            <w:pPr>
              <w:rPr>
                <w:sz w:val="20"/>
              </w:rPr>
            </w:pPr>
            <w:r w:rsidRPr="00281C36">
              <w:rPr>
                <w:b/>
                <w:i/>
                <w:sz w:val="20"/>
              </w:rPr>
              <w:t xml:space="preserve">Indicator 4: </w:t>
            </w:r>
            <w:r w:rsidRPr="00281C36">
              <w:rPr>
                <w:i/>
                <w:sz w:val="20"/>
              </w:rPr>
              <w:t>Local action plans and/or agreements are produced to reduce local climate risks and vulnerabilities</w:t>
            </w:r>
          </w:p>
        </w:tc>
      </w:tr>
      <w:tr w:rsidR="00B87110" w:rsidRPr="00B87110">
        <w:tc>
          <w:tcPr>
            <w:tcW w:w="2376" w:type="dxa"/>
            <w:vMerge/>
          </w:tcPr>
          <w:p w:rsidR="00B87110" w:rsidRPr="00B87110" w:rsidRDefault="00B87110" w:rsidP="00D5125D">
            <w:pPr>
              <w:rPr>
                <w:sz w:val="20"/>
              </w:rPr>
            </w:pPr>
          </w:p>
        </w:tc>
        <w:tc>
          <w:tcPr>
            <w:tcW w:w="2977" w:type="dxa"/>
            <w:vMerge/>
          </w:tcPr>
          <w:p w:rsidR="00B87110" w:rsidRPr="00B87110" w:rsidRDefault="00B87110" w:rsidP="00D5125D">
            <w:pPr>
              <w:rPr>
                <w:sz w:val="20"/>
              </w:rPr>
            </w:pPr>
          </w:p>
        </w:tc>
        <w:tc>
          <w:tcPr>
            <w:tcW w:w="3119" w:type="dxa"/>
            <w:vMerge/>
          </w:tcPr>
          <w:p w:rsidR="00B87110" w:rsidRPr="00281C36" w:rsidRDefault="00B87110" w:rsidP="00D5125D">
            <w:pPr>
              <w:rPr>
                <w:sz w:val="20"/>
              </w:rPr>
            </w:pPr>
          </w:p>
        </w:tc>
        <w:tc>
          <w:tcPr>
            <w:tcW w:w="5670" w:type="dxa"/>
            <w:shd w:val="solid" w:color="CBE5ED" w:fill="auto"/>
          </w:tcPr>
          <w:p w:rsidR="00B87110" w:rsidRPr="00281C36" w:rsidRDefault="00B87110" w:rsidP="00D5125D">
            <w:pPr>
              <w:rPr>
                <w:sz w:val="20"/>
              </w:rPr>
            </w:pPr>
            <w:r w:rsidRPr="00281C36">
              <w:rPr>
                <w:b/>
                <w:i/>
                <w:sz w:val="20"/>
              </w:rPr>
              <w:t xml:space="preserve">Indicator 5: </w:t>
            </w:r>
            <w:r w:rsidRPr="00281C36">
              <w:rPr>
                <w:i/>
                <w:sz w:val="20"/>
              </w:rPr>
              <w:t>Government and/or civil society policies, planning systems and mandates are modified to integrate new knowledge and solutions</w:t>
            </w:r>
          </w:p>
        </w:tc>
      </w:tr>
      <w:tr w:rsidR="005F5888" w:rsidRPr="00B87110">
        <w:trPr>
          <w:trHeight w:val="322"/>
        </w:trPr>
        <w:tc>
          <w:tcPr>
            <w:tcW w:w="2376" w:type="dxa"/>
            <w:vMerge/>
          </w:tcPr>
          <w:p w:rsidR="005F5888" w:rsidRPr="00B87110" w:rsidRDefault="005F5888" w:rsidP="00D5125D">
            <w:pPr>
              <w:rPr>
                <w:sz w:val="20"/>
              </w:rPr>
            </w:pPr>
          </w:p>
        </w:tc>
        <w:tc>
          <w:tcPr>
            <w:tcW w:w="2977" w:type="dxa"/>
            <w:vMerge/>
          </w:tcPr>
          <w:p w:rsidR="005F5888" w:rsidRPr="00B87110" w:rsidRDefault="005F5888" w:rsidP="00D5125D">
            <w:pPr>
              <w:rPr>
                <w:sz w:val="20"/>
              </w:rPr>
            </w:pPr>
          </w:p>
        </w:tc>
        <w:tc>
          <w:tcPr>
            <w:tcW w:w="3119" w:type="dxa"/>
            <w:vMerge/>
          </w:tcPr>
          <w:p w:rsidR="005F5888" w:rsidRPr="00281C36" w:rsidRDefault="005F5888" w:rsidP="00D5125D">
            <w:pPr>
              <w:rPr>
                <w:sz w:val="20"/>
              </w:rPr>
            </w:pPr>
          </w:p>
        </w:tc>
        <w:tc>
          <w:tcPr>
            <w:tcW w:w="5670" w:type="dxa"/>
            <w:shd w:val="solid" w:color="CBE5ED" w:fill="auto"/>
          </w:tcPr>
          <w:p w:rsidR="005F5888" w:rsidRPr="00281C36" w:rsidRDefault="005F5888" w:rsidP="00D5125D">
            <w:pPr>
              <w:rPr>
                <w:i/>
                <w:sz w:val="20"/>
              </w:rPr>
            </w:pPr>
            <w:r w:rsidRPr="00281C36">
              <w:rPr>
                <w:b/>
                <w:i/>
                <w:sz w:val="20"/>
              </w:rPr>
              <w:t>Indicator 6:</w:t>
            </w:r>
            <w:r w:rsidRPr="00281C36">
              <w:rPr>
                <w:i/>
                <w:sz w:val="20"/>
              </w:rPr>
              <w:t xml:space="preserve"> Resources are made available for implementation</w:t>
            </w:r>
          </w:p>
        </w:tc>
      </w:tr>
      <w:tr w:rsidR="005F5888" w:rsidRPr="00B87110">
        <w:tc>
          <w:tcPr>
            <w:tcW w:w="2376" w:type="dxa"/>
            <w:vMerge w:val="restart"/>
            <w:shd w:val="solid" w:color="E5EFD7" w:fill="auto"/>
          </w:tcPr>
          <w:p w:rsidR="005F5888" w:rsidRPr="00B87110" w:rsidRDefault="005F5888" w:rsidP="00D5125D">
            <w:pPr>
              <w:rPr>
                <w:sz w:val="20"/>
              </w:rPr>
            </w:pPr>
            <w:r w:rsidRPr="00B87110">
              <w:rPr>
                <w:b/>
                <w:sz w:val="20"/>
              </w:rPr>
              <w:t>Adoption, implementation and scale out</w:t>
            </w:r>
          </w:p>
        </w:tc>
        <w:tc>
          <w:tcPr>
            <w:tcW w:w="2977" w:type="dxa"/>
            <w:vMerge w:val="restart"/>
            <w:shd w:val="solid" w:color="E5EFD7" w:fill="auto"/>
          </w:tcPr>
          <w:p w:rsidR="005F5888" w:rsidRPr="00521A55" w:rsidRDefault="005F5888" w:rsidP="00D5125D">
            <w:pPr>
              <w:rPr>
                <w:sz w:val="20"/>
              </w:rPr>
            </w:pPr>
            <w:r w:rsidRPr="00521A55">
              <w:rPr>
                <w:sz w:val="20"/>
              </w:rPr>
              <w:t>Community</w:t>
            </w:r>
            <w:r w:rsidR="008A174B">
              <w:rPr>
                <w:sz w:val="20"/>
              </w:rPr>
              <w:t>-</w:t>
            </w:r>
            <w:r w:rsidRPr="00521A55">
              <w:rPr>
                <w:sz w:val="20"/>
              </w:rPr>
              <w:t>based strategies for adaptation/mitigation are adopted, adapted and implemented in other vulnerable communities</w:t>
            </w:r>
          </w:p>
        </w:tc>
        <w:tc>
          <w:tcPr>
            <w:tcW w:w="3119" w:type="dxa"/>
            <w:vMerge w:val="restart"/>
            <w:shd w:val="solid" w:color="E5EFD7" w:fill="auto"/>
          </w:tcPr>
          <w:p w:rsidR="005F5888" w:rsidRPr="00B87110" w:rsidRDefault="005F5888" w:rsidP="008909CA">
            <w:pPr>
              <w:rPr>
                <w:i/>
                <w:sz w:val="20"/>
              </w:rPr>
            </w:pPr>
            <w:r w:rsidRPr="00B87110">
              <w:rPr>
                <w:i/>
                <w:sz w:val="20"/>
              </w:rPr>
              <w:t>How have communities benefited (e.g. enhanced adaptive management)?</w:t>
            </w:r>
          </w:p>
          <w:p w:rsidR="005F5888" w:rsidRPr="00B87110" w:rsidRDefault="005F5888" w:rsidP="00D5125D">
            <w:pPr>
              <w:rPr>
                <w:sz w:val="20"/>
              </w:rPr>
            </w:pPr>
          </w:p>
        </w:tc>
        <w:tc>
          <w:tcPr>
            <w:tcW w:w="5670" w:type="dxa"/>
            <w:shd w:val="solid" w:color="E5EFD7" w:fill="auto"/>
          </w:tcPr>
          <w:p w:rsidR="005F5888" w:rsidRPr="00B87110" w:rsidRDefault="005F5888" w:rsidP="000A73C3">
            <w:pPr>
              <w:rPr>
                <w:i/>
                <w:sz w:val="20"/>
              </w:rPr>
            </w:pPr>
            <w:r>
              <w:rPr>
                <w:b/>
                <w:i/>
                <w:sz w:val="20"/>
              </w:rPr>
              <w:t>Indicator 7</w:t>
            </w:r>
            <w:r w:rsidRPr="00B87110">
              <w:rPr>
                <w:b/>
                <w:i/>
                <w:sz w:val="20"/>
              </w:rPr>
              <w:t xml:space="preserve">: </w:t>
            </w:r>
            <w:r w:rsidR="00281C36">
              <w:rPr>
                <w:i/>
                <w:sz w:val="20"/>
              </w:rPr>
              <w:t>Adaptation</w:t>
            </w:r>
            <w:r w:rsidRPr="00B87110">
              <w:rPr>
                <w:i/>
                <w:sz w:val="20"/>
              </w:rPr>
              <w:t xml:space="preserve"> strategies are tested and modified to reduce local climate risks and vulnerabilities</w:t>
            </w:r>
          </w:p>
        </w:tc>
      </w:tr>
      <w:tr w:rsidR="005F5888" w:rsidRPr="00B87110">
        <w:tc>
          <w:tcPr>
            <w:tcW w:w="2376" w:type="dxa"/>
            <w:vMerge/>
            <w:shd w:val="solid" w:color="E5EFD7" w:fill="auto"/>
          </w:tcPr>
          <w:p w:rsidR="005F5888" w:rsidRPr="00B87110" w:rsidRDefault="005F5888" w:rsidP="00D5125D">
            <w:pPr>
              <w:rPr>
                <w:b/>
                <w:sz w:val="20"/>
              </w:rPr>
            </w:pPr>
          </w:p>
        </w:tc>
        <w:tc>
          <w:tcPr>
            <w:tcW w:w="2977" w:type="dxa"/>
            <w:vMerge/>
            <w:shd w:val="solid" w:color="E5EFD7" w:fill="auto"/>
          </w:tcPr>
          <w:p w:rsidR="005F5888" w:rsidRPr="00B87110" w:rsidRDefault="005F5888" w:rsidP="00D5125D">
            <w:pPr>
              <w:rPr>
                <w:b/>
                <w:sz w:val="20"/>
              </w:rPr>
            </w:pPr>
          </w:p>
        </w:tc>
        <w:tc>
          <w:tcPr>
            <w:tcW w:w="3119" w:type="dxa"/>
            <w:vMerge/>
            <w:shd w:val="solid" w:color="E5EFD7" w:fill="auto"/>
          </w:tcPr>
          <w:p w:rsidR="005F5888" w:rsidRPr="00B87110" w:rsidRDefault="005F5888" w:rsidP="008909CA">
            <w:pPr>
              <w:rPr>
                <w:i/>
                <w:sz w:val="20"/>
              </w:rPr>
            </w:pPr>
          </w:p>
        </w:tc>
        <w:tc>
          <w:tcPr>
            <w:tcW w:w="5670" w:type="dxa"/>
            <w:shd w:val="solid" w:color="E5EFD7" w:fill="auto"/>
          </w:tcPr>
          <w:p w:rsidR="005F5888" w:rsidRPr="00B87110" w:rsidRDefault="005F5888" w:rsidP="00D5125D">
            <w:pPr>
              <w:rPr>
                <w:i/>
                <w:sz w:val="20"/>
              </w:rPr>
            </w:pPr>
            <w:r>
              <w:rPr>
                <w:b/>
                <w:i/>
                <w:sz w:val="20"/>
              </w:rPr>
              <w:t>Indicator 8</w:t>
            </w:r>
            <w:r w:rsidRPr="00B87110">
              <w:rPr>
                <w:b/>
                <w:i/>
                <w:sz w:val="20"/>
              </w:rPr>
              <w:t xml:space="preserve">: </w:t>
            </w:r>
            <w:r w:rsidRPr="00B87110">
              <w:rPr>
                <w:i/>
                <w:sz w:val="20"/>
              </w:rPr>
              <w:t>Adaptation strategies are adopted and scaled out by other members of the community and other communities</w:t>
            </w:r>
          </w:p>
        </w:tc>
      </w:tr>
      <w:tr w:rsidR="005F5888" w:rsidRPr="00B87110">
        <w:tc>
          <w:tcPr>
            <w:tcW w:w="2376" w:type="dxa"/>
            <w:vMerge/>
            <w:shd w:val="solid" w:color="E5EFD7" w:fill="auto"/>
          </w:tcPr>
          <w:p w:rsidR="005F5888" w:rsidRPr="00B87110" w:rsidRDefault="005F5888" w:rsidP="00D5125D">
            <w:pPr>
              <w:rPr>
                <w:b/>
                <w:sz w:val="20"/>
              </w:rPr>
            </w:pPr>
          </w:p>
        </w:tc>
        <w:tc>
          <w:tcPr>
            <w:tcW w:w="2977" w:type="dxa"/>
            <w:vMerge/>
            <w:shd w:val="solid" w:color="E5EFD7" w:fill="auto"/>
          </w:tcPr>
          <w:p w:rsidR="005F5888" w:rsidRPr="00B87110" w:rsidRDefault="005F5888" w:rsidP="00D5125D">
            <w:pPr>
              <w:rPr>
                <w:b/>
                <w:sz w:val="20"/>
              </w:rPr>
            </w:pPr>
          </w:p>
        </w:tc>
        <w:tc>
          <w:tcPr>
            <w:tcW w:w="3119" w:type="dxa"/>
            <w:vMerge/>
            <w:shd w:val="solid" w:color="E5EFD7" w:fill="auto"/>
          </w:tcPr>
          <w:p w:rsidR="005F5888" w:rsidRPr="00B87110" w:rsidRDefault="005F5888" w:rsidP="008909CA">
            <w:pPr>
              <w:rPr>
                <w:i/>
                <w:sz w:val="20"/>
              </w:rPr>
            </w:pPr>
          </w:p>
        </w:tc>
        <w:tc>
          <w:tcPr>
            <w:tcW w:w="5670" w:type="dxa"/>
            <w:shd w:val="solid" w:color="E5EFD7" w:fill="auto"/>
          </w:tcPr>
          <w:p w:rsidR="005F5888" w:rsidRPr="00B87110" w:rsidRDefault="005F5888" w:rsidP="00D5125D">
            <w:pPr>
              <w:rPr>
                <w:i/>
                <w:sz w:val="20"/>
              </w:rPr>
            </w:pPr>
            <w:r w:rsidRPr="00281C36">
              <w:rPr>
                <w:b/>
                <w:i/>
                <w:sz w:val="20"/>
              </w:rPr>
              <w:t>Indicator 9</w:t>
            </w:r>
            <w:r w:rsidRPr="00281C36">
              <w:rPr>
                <w:i/>
                <w:sz w:val="20"/>
              </w:rPr>
              <w:t>: Cross-scale networks are expanded to mobilise knowledge and resources</w:t>
            </w:r>
          </w:p>
        </w:tc>
      </w:tr>
      <w:tr w:rsidR="005F5888" w:rsidRPr="00B87110">
        <w:tc>
          <w:tcPr>
            <w:tcW w:w="2376" w:type="dxa"/>
            <w:vMerge/>
            <w:shd w:val="solid" w:color="E5EFD7" w:fill="auto"/>
          </w:tcPr>
          <w:p w:rsidR="005F5888" w:rsidRPr="00B87110" w:rsidRDefault="005F5888" w:rsidP="00D5125D">
            <w:pPr>
              <w:rPr>
                <w:b/>
                <w:sz w:val="20"/>
              </w:rPr>
            </w:pPr>
          </w:p>
        </w:tc>
        <w:tc>
          <w:tcPr>
            <w:tcW w:w="2977" w:type="dxa"/>
            <w:vMerge/>
            <w:shd w:val="solid" w:color="E5EFD7" w:fill="auto"/>
          </w:tcPr>
          <w:p w:rsidR="005F5888" w:rsidRPr="00B87110" w:rsidRDefault="005F5888" w:rsidP="00D5125D">
            <w:pPr>
              <w:rPr>
                <w:b/>
                <w:sz w:val="20"/>
              </w:rPr>
            </w:pPr>
          </w:p>
        </w:tc>
        <w:tc>
          <w:tcPr>
            <w:tcW w:w="3119" w:type="dxa"/>
            <w:vMerge/>
            <w:shd w:val="solid" w:color="E5EFD7" w:fill="auto"/>
          </w:tcPr>
          <w:p w:rsidR="005F5888" w:rsidRPr="00B87110" w:rsidRDefault="005F5888" w:rsidP="008909CA">
            <w:pPr>
              <w:rPr>
                <w:i/>
                <w:sz w:val="20"/>
              </w:rPr>
            </w:pPr>
          </w:p>
        </w:tc>
        <w:tc>
          <w:tcPr>
            <w:tcW w:w="5670" w:type="dxa"/>
            <w:shd w:val="solid" w:color="E5EFD7" w:fill="auto"/>
          </w:tcPr>
          <w:p w:rsidR="005F5888" w:rsidRPr="00B87110" w:rsidRDefault="005F5888" w:rsidP="00D5125D">
            <w:pPr>
              <w:rPr>
                <w:b/>
                <w:i/>
                <w:sz w:val="20"/>
              </w:rPr>
            </w:pPr>
            <w:r w:rsidRPr="00B87110">
              <w:rPr>
                <w:b/>
                <w:i/>
                <w:sz w:val="20"/>
              </w:rPr>
              <w:t xml:space="preserve">Indicator 10: </w:t>
            </w:r>
            <w:r w:rsidRPr="00B87110">
              <w:rPr>
                <w:i/>
                <w:sz w:val="20"/>
              </w:rPr>
              <w:t>Programs are coordinated across scales and jurisdictions to ensure compl</w:t>
            </w:r>
            <w:r w:rsidR="008A174B">
              <w:rPr>
                <w:i/>
                <w:sz w:val="20"/>
              </w:rPr>
              <w:t>e</w:t>
            </w:r>
            <w:r w:rsidRPr="00B87110">
              <w:rPr>
                <w:i/>
                <w:sz w:val="20"/>
              </w:rPr>
              <w:t>mentary action at different scales</w:t>
            </w:r>
          </w:p>
        </w:tc>
      </w:tr>
    </w:tbl>
    <w:p w:rsidR="00521A55" w:rsidRDefault="00521A55" w:rsidP="00D5125D"/>
    <w:p w:rsidR="005F3BD3" w:rsidRDefault="005F3BD3" w:rsidP="00D5125D">
      <w:pPr>
        <w:sectPr w:rsidR="005F3BD3">
          <w:pgSz w:w="16838" w:h="11899" w:orient="landscape"/>
          <w:pgMar w:top="1800" w:right="1440" w:bottom="1800" w:left="1440" w:header="708" w:footer="708" w:gutter="0"/>
          <w:cols w:space="708"/>
        </w:sectPr>
      </w:pPr>
    </w:p>
    <w:p w:rsidR="008909CA" w:rsidRPr="00DC6E9D" w:rsidRDefault="00DC6E9D" w:rsidP="00D5125D">
      <w:pPr>
        <w:rPr>
          <w:b/>
        </w:rPr>
      </w:pPr>
      <w:r>
        <w:rPr>
          <w:b/>
        </w:rPr>
        <w:t>Table 2: Headline questions for the evaluation criteria</w:t>
      </w:r>
    </w:p>
    <w:tbl>
      <w:tblPr>
        <w:tblStyle w:val="TableGrid"/>
        <w:tblW w:w="0" w:type="auto"/>
        <w:tblLook w:val="00A0" w:firstRow="1" w:lastRow="0" w:firstColumn="1" w:lastColumn="0" w:noHBand="0" w:noVBand="0"/>
      </w:tblPr>
      <w:tblGrid>
        <w:gridCol w:w="1930"/>
        <w:gridCol w:w="6586"/>
      </w:tblGrid>
      <w:tr w:rsidR="008909CA" w:rsidRPr="00521A55">
        <w:tc>
          <w:tcPr>
            <w:tcW w:w="2376" w:type="dxa"/>
            <w:shd w:val="solid" w:color="BCD0ED" w:fill="auto"/>
          </w:tcPr>
          <w:p w:rsidR="008909CA" w:rsidRPr="00521A55" w:rsidRDefault="00062EB2" w:rsidP="00D5125D">
            <w:pPr>
              <w:rPr>
                <w:b/>
                <w:sz w:val="20"/>
              </w:rPr>
            </w:pPr>
            <w:r>
              <w:rPr>
                <w:b/>
                <w:sz w:val="20"/>
              </w:rPr>
              <w:t xml:space="preserve">Evaluation </w:t>
            </w:r>
            <w:r w:rsidR="008909CA" w:rsidRPr="00521A55">
              <w:rPr>
                <w:b/>
                <w:sz w:val="20"/>
              </w:rPr>
              <w:t>criteria</w:t>
            </w:r>
          </w:p>
        </w:tc>
        <w:tc>
          <w:tcPr>
            <w:tcW w:w="11798" w:type="dxa"/>
            <w:shd w:val="solid" w:color="CBE5ED" w:fill="auto"/>
          </w:tcPr>
          <w:p w:rsidR="008909CA" w:rsidRPr="00521A55" w:rsidRDefault="008909CA" w:rsidP="00D5125D">
            <w:pPr>
              <w:rPr>
                <w:b/>
                <w:sz w:val="20"/>
              </w:rPr>
            </w:pPr>
            <w:r w:rsidRPr="00521A55">
              <w:rPr>
                <w:b/>
                <w:sz w:val="20"/>
              </w:rPr>
              <w:t>Headline question</w:t>
            </w:r>
          </w:p>
        </w:tc>
      </w:tr>
      <w:tr w:rsidR="008909CA" w:rsidRPr="00521A55">
        <w:tc>
          <w:tcPr>
            <w:tcW w:w="2376" w:type="dxa"/>
            <w:shd w:val="solid" w:color="BCD0ED" w:fill="auto"/>
          </w:tcPr>
          <w:p w:rsidR="008909CA" w:rsidRPr="00521A55" w:rsidRDefault="008909CA" w:rsidP="00D5125D">
            <w:pPr>
              <w:rPr>
                <w:b/>
                <w:sz w:val="20"/>
              </w:rPr>
            </w:pPr>
            <w:r w:rsidRPr="00521A55">
              <w:rPr>
                <w:b/>
                <w:sz w:val="20"/>
              </w:rPr>
              <w:t>Relevance</w:t>
            </w:r>
            <w:r w:rsidR="00AE43B0" w:rsidRPr="00521A55">
              <w:rPr>
                <w:b/>
                <w:sz w:val="20"/>
              </w:rPr>
              <w:t xml:space="preserve"> to partners and the Australian Government</w:t>
            </w:r>
          </w:p>
        </w:tc>
        <w:tc>
          <w:tcPr>
            <w:tcW w:w="11798" w:type="dxa"/>
            <w:shd w:val="solid" w:color="CBE5ED" w:fill="auto"/>
          </w:tcPr>
          <w:p w:rsidR="008909CA" w:rsidRPr="00521A55" w:rsidRDefault="008909CA" w:rsidP="008909CA">
            <w:pPr>
              <w:rPr>
                <w:sz w:val="20"/>
              </w:rPr>
            </w:pPr>
            <w:r w:rsidRPr="00521A55">
              <w:rPr>
                <w:i/>
                <w:sz w:val="20"/>
              </w:rPr>
              <w:t>Did they meet the needs of partners? Were they aligned with Australian Government priorities?</w:t>
            </w:r>
          </w:p>
          <w:p w:rsidR="008909CA" w:rsidRPr="00521A55" w:rsidRDefault="008909CA" w:rsidP="00D5125D">
            <w:pPr>
              <w:rPr>
                <w:sz w:val="20"/>
              </w:rPr>
            </w:pPr>
          </w:p>
        </w:tc>
      </w:tr>
      <w:tr w:rsidR="008909CA" w:rsidRPr="00521A55">
        <w:tc>
          <w:tcPr>
            <w:tcW w:w="2376" w:type="dxa"/>
            <w:shd w:val="solid" w:color="BCD0ED" w:fill="auto"/>
          </w:tcPr>
          <w:p w:rsidR="008909CA" w:rsidRPr="00521A55" w:rsidRDefault="00AE43B0" w:rsidP="00D5125D">
            <w:pPr>
              <w:rPr>
                <w:b/>
                <w:sz w:val="20"/>
              </w:rPr>
            </w:pPr>
            <w:r w:rsidRPr="00521A55">
              <w:rPr>
                <w:b/>
                <w:sz w:val="20"/>
              </w:rPr>
              <w:t>Effectiveness of approaches</w:t>
            </w:r>
          </w:p>
        </w:tc>
        <w:tc>
          <w:tcPr>
            <w:tcW w:w="11798" w:type="dxa"/>
            <w:shd w:val="solid" w:color="CBE5ED" w:fill="auto"/>
          </w:tcPr>
          <w:p w:rsidR="008909CA" w:rsidRPr="00521A55" w:rsidRDefault="00AE43B0" w:rsidP="00D5125D">
            <w:pPr>
              <w:rPr>
                <w:i/>
                <w:sz w:val="20"/>
              </w:rPr>
            </w:pPr>
            <w:r w:rsidRPr="00521A55">
              <w:rPr>
                <w:i/>
                <w:sz w:val="20"/>
              </w:rPr>
              <w:t>In terms of delivery approaches</w:t>
            </w:r>
            <w:r w:rsidR="008A174B">
              <w:rPr>
                <w:i/>
                <w:sz w:val="20"/>
              </w:rPr>
              <w:t xml:space="preserve">, </w:t>
            </w:r>
            <w:r w:rsidRPr="00521A55">
              <w:rPr>
                <w:i/>
                <w:sz w:val="20"/>
              </w:rPr>
              <w:t>what worked well and why; what didn’t work so well and why?</w:t>
            </w:r>
          </w:p>
        </w:tc>
      </w:tr>
      <w:tr w:rsidR="008909CA" w:rsidRPr="00521A55">
        <w:tc>
          <w:tcPr>
            <w:tcW w:w="2376" w:type="dxa"/>
            <w:shd w:val="solid" w:color="BCD0ED" w:fill="auto"/>
          </w:tcPr>
          <w:p w:rsidR="008909CA" w:rsidRPr="00521A55" w:rsidRDefault="00AE43B0" w:rsidP="00D5125D">
            <w:pPr>
              <w:rPr>
                <w:b/>
                <w:sz w:val="20"/>
              </w:rPr>
            </w:pPr>
            <w:r w:rsidRPr="00521A55">
              <w:rPr>
                <w:b/>
                <w:sz w:val="20"/>
              </w:rPr>
              <w:t>Efficiency of approaches</w:t>
            </w:r>
          </w:p>
        </w:tc>
        <w:tc>
          <w:tcPr>
            <w:tcW w:w="11798" w:type="dxa"/>
            <w:shd w:val="solid" w:color="CBE5ED" w:fill="auto"/>
          </w:tcPr>
          <w:p w:rsidR="008909CA" w:rsidRPr="00521A55" w:rsidRDefault="00AE43B0" w:rsidP="00F024B1">
            <w:pPr>
              <w:rPr>
                <w:sz w:val="20"/>
              </w:rPr>
            </w:pPr>
            <w:r w:rsidRPr="00521A55">
              <w:rPr>
                <w:i/>
                <w:sz w:val="20"/>
              </w:rPr>
              <w:t xml:space="preserve">Are </w:t>
            </w:r>
            <w:r w:rsidR="000B3AA3">
              <w:rPr>
                <w:i/>
                <w:sz w:val="20"/>
              </w:rPr>
              <w:t>CBA</w:t>
            </w:r>
            <w:r w:rsidRPr="00521A55">
              <w:rPr>
                <w:i/>
                <w:sz w:val="20"/>
              </w:rPr>
              <w:t xml:space="preserve"> programs an efficient use of funding?</w:t>
            </w:r>
            <w:r w:rsidRPr="00521A55">
              <w:rPr>
                <w:sz w:val="20"/>
              </w:rPr>
              <w:t xml:space="preserve"> </w:t>
            </w:r>
            <w:r w:rsidRPr="00521A55">
              <w:rPr>
                <w:i/>
                <w:sz w:val="20"/>
              </w:rPr>
              <w:t>Could the outcomes have been achieved with fewer resources</w:t>
            </w:r>
            <w:r w:rsidR="008A174B">
              <w:rPr>
                <w:i/>
                <w:sz w:val="20"/>
              </w:rPr>
              <w:t>? H</w:t>
            </w:r>
            <w:r w:rsidRPr="00521A55">
              <w:rPr>
                <w:i/>
                <w:sz w:val="20"/>
              </w:rPr>
              <w:t>ow?</w:t>
            </w:r>
          </w:p>
        </w:tc>
      </w:tr>
      <w:tr w:rsidR="008909CA" w:rsidRPr="00521A55">
        <w:tc>
          <w:tcPr>
            <w:tcW w:w="2376" w:type="dxa"/>
            <w:shd w:val="solid" w:color="BCD0ED" w:fill="auto"/>
          </w:tcPr>
          <w:p w:rsidR="008909CA" w:rsidRPr="00521A55" w:rsidRDefault="00AE43B0" w:rsidP="00D5125D">
            <w:pPr>
              <w:rPr>
                <w:b/>
                <w:sz w:val="20"/>
              </w:rPr>
            </w:pPr>
            <w:r w:rsidRPr="00521A55">
              <w:rPr>
                <w:b/>
                <w:sz w:val="20"/>
              </w:rPr>
              <w:t>Inclusive development</w:t>
            </w:r>
          </w:p>
        </w:tc>
        <w:tc>
          <w:tcPr>
            <w:tcW w:w="11798" w:type="dxa"/>
            <w:shd w:val="solid" w:color="CBE5ED" w:fill="auto"/>
          </w:tcPr>
          <w:p w:rsidR="008909CA" w:rsidRPr="00521A55" w:rsidRDefault="00AE43B0" w:rsidP="00D5125D">
            <w:pPr>
              <w:rPr>
                <w:sz w:val="20"/>
              </w:rPr>
            </w:pPr>
            <w:r w:rsidRPr="00521A55">
              <w:rPr>
                <w:i/>
                <w:sz w:val="20"/>
              </w:rPr>
              <w:t xml:space="preserve">What strategies were employed to ensure that marginalised members of the community, </w:t>
            </w:r>
            <w:r w:rsidR="00B93596">
              <w:rPr>
                <w:i/>
                <w:sz w:val="20"/>
              </w:rPr>
              <w:t xml:space="preserve">including </w:t>
            </w:r>
            <w:r w:rsidRPr="00521A55">
              <w:rPr>
                <w:i/>
                <w:sz w:val="20"/>
              </w:rPr>
              <w:t>women and girls, and people with disabilities were included in project activities and can benefit from the outcomes?</w:t>
            </w:r>
          </w:p>
        </w:tc>
      </w:tr>
      <w:tr w:rsidR="00AE43B0" w:rsidRPr="00521A55">
        <w:tc>
          <w:tcPr>
            <w:tcW w:w="2376" w:type="dxa"/>
            <w:shd w:val="solid" w:color="BCD0ED" w:fill="auto"/>
          </w:tcPr>
          <w:p w:rsidR="00AE43B0" w:rsidRPr="00521A55" w:rsidRDefault="00AE43B0" w:rsidP="00D5125D">
            <w:pPr>
              <w:rPr>
                <w:b/>
                <w:sz w:val="20"/>
              </w:rPr>
            </w:pPr>
            <w:r w:rsidRPr="00521A55">
              <w:rPr>
                <w:b/>
                <w:sz w:val="20"/>
              </w:rPr>
              <w:t>Safeguards</w:t>
            </w:r>
          </w:p>
        </w:tc>
        <w:tc>
          <w:tcPr>
            <w:tcW w:w="11798" w:type="dxa"/>
            <w:shd w:val="solid" w:color="CBE5ED" w:fill="auto"/>
          </w:tcPr>
          <w:p w:rsidR="00AE43B0" w:rsidRPr="00521A55" w:rsidRDefault="00AE43B0" w:rsidP="00D5125D">
            <w:pPr>
              <w:rPr>
                <w:i/>
                <w:sz w:val="20"/>
              </w:rPr>
            </w:pPr>
            <w:r w:rsidRPr="00521A55">
              <w:rPr>
                <w:i/>
                <w:sz w:val="20"/>
              </w:rPr>
              <w:t>Was the impact of project activities on people’s natural and cultural assets assessed? In the case of potential negative impacts, did the project managers comply with local and Australian environment protection law?</w:t>
            </w:r>
          </w:p>
          <w:p w:rsidR="00AE43B0" w:rsidRPr="00521A55" w:rsidRDefault="00AE43B0" w:rsidP="00D5125D">
            <w:pPr>
              <w:rPr>
                <w:sz w:val="20"/>
              </w:rPr>
            </w:pPr>
            <w:r w:rsidRPr="00521A55">
              <w:rPr>
                <w:i/>
                <w:sz w:val="20"/>
              </w:rPr>
              <w:t>Could the activities result in resettlement or social upheaval? If so, did the project managers comply with local and aid program standards to protect people and their assets?</w:t>
            </w:r>
          </w:p>
        </w:tc>
      </w:tr>
      <w:tr w:rsidR="00AE43B0" w:rsidRPr="00521A55">
        <w:tc>
          <w:tcPr>
            <w:tcW w:w="2376" w:type="dxa"/>
            <w:shd w:val="solid" w:color="BCD0ED" w:fill="auto"/>
          </w:tcPr>
          <w:p w:rsidR="00AE43B0" w:rsidRPr="00521A55" w:rsidRDefault="00AE43B0" w:rsidP="00D5125D">
            <w:pPr>
              <w:rPr>
                <w:b/>
                <w:sz w:val="20"/>
              </w:rPr>
            </w:pPr>
            <w:r w:rsidRPr="00521A55">
              <w:rPr>
                <w:b/>
                <w:sz w:val="20"/>
              </w:rPr>
              <w:t>Management and governance</w:t>
            </w:r>
          </w:p>
        </w:tc>
        <w:tc>
          <w:tcPr>
            <w:tcW w:w="11798" w:type="dxa"/>
            <w:shd w:val="solid" w:color="CBE5ED" w:fill="auto"/>
          </w:tcPr>
          <w:p w:rsidR="00AE43B0" w:rsidRPr="00521A55" w:rsidRDefault="002C356E" w:rsidP="00D5125D">
            <w:pPr>
              <w:rPr>
                <w:i/>
                <w:sz w:val="20"/>
              </w:rPr>
            </w:pPr>
            <w:r w:rsidRPr="002C356E">
              <w:rPr>
                <w:i/>
                <w:sz w:val="20"/>
              </w:rPr>
              <w:t>Were the management and governance arrangements appropriate for the activity designs; did they deliver the outcomes effectively?</w:t>
            </w:r>
          </w:p>
        </w:tc>
      </w:tr>
      <w:tr w:rsidR="00AE43B0" w:rsidRPr="00521A55">
        <w:tc>
          <w:tcPr>
            <w:tcW w:w="2376" w:type="dxa"/>
            <w:shd w:val="solid" w:color="BCD0ED" w:fill="auto"/>
          </w:tcPr>
          <w:p w:rsidR="00AE43B0" w:rsidRPr="00521A55" w:rsidRDefault="00AE43B0" w:rsidP="00D5125D">
            <w:pPr>
              <w:rPr>
                <w:b/>
                <w:sz w:val="20"/>
              </w:rPr>
            </w:pPr>
            <w:r w:rsidRPr="00521A55">
              <w:rPr>
                <w:b/>
                <w:sz w:val="20"/>
              </w:rPr>
              <w:t xml:space="preserve">Sustainability </w:t>
            </w:r>
          </w:p>
        </w:tc>
        <w:tc>
          <w:tcPr>
            <w:tcW w:w="11798" w:type="dxa"/>
            <w:shd w:val="solid" w:color="CBE5ED" w:fill="auto"/>
          </w:tcPr>
          <w:p w:rsidR="00AE43B0" w:rsidRPr="00521A55" w:rsidRDefault="00AE43B0" w:rsidP="00D5125D">
            <w:pPr>
              <w:rPr>
                <w:i/>
                <w:sz w:val="20"/>
              </w:rPr>
            </w:pPr>
            <w:r w:rsidRPr="00521A55">
              <w:rPr>
                <w:i/>
                <w:sz w:val="20"/>
              </w:rPr>
              <w:t>What evidence is there that the outcomes are sustainable beyond the life of the projects? What is enabling and hindering this?</w:t>
            </w:r>
          </w:p>
        </w:tc>
      </w:tr>
    </w:tbl>
    <w:p w:rsidR="00A53FF6" w:rsidRDefault="00A53FF6" w:rsidP="005F3BD3">
      <w:pPr>
        <w:pStyle w:val="Heading2"/>
        <w:spacing w:before="240"/>
      </w:pPr>
      <w:bookmarkStart w:id="26" w:name="_Toc315694459"/>
      <w:r>
        <w:t>Limitations</w:t>
      </w:r>
      <w:bookmarkEnd w:id="24"/>
      <w:bookmarkEnd w:id="26"/>
    </w:p>
    <w:p w:rsidR="00A53FF6" w:rsidRPr="0089744B" w:rsidRDefault="00A53FF6" w:rsidP="00A53FF6">
      <w:r>
        <w:t>The evaluation methodology was designed to provide the best possible information in the available timeframe and resources. However, there were limitations that could impact on the findings:</w:t>
      </w:r>
    </w:p>
    <w:p w:rsidR="00A53FF6" w:rsidRPr="00133073" w:rsidRDefault="00A53FF6" w:rsidP="00A53FF6">
      <w:pPr>
        <w:numPr>
          <w:ilvl w:val="0"/>
          <w:numId w:val="8"/>
        </w:numPr>
        <w:rPr>
          <w:sz w:val="20"/>
        </w:rPr>
      </w:pPr>
      <w:r w:rsidRPr="00133073">
        <w:rPr>
          <w:b/>
          <w:sz w:val="20"/>
        </w:rPr>
        <w:t>Time and resources:</w:t>
      </w:r>
      <w:r w:rsidRPr="00133073">
        <w:rPr>
          <w:sz w:val="20"/>
        </w:rPr>
        <w:t xml:space="preserve"> the rigour of the data gathering and analysis processes </w:t>
      </w:r>
      <w:r w:rsidR="00004EF7">
        <w:rPr>
          <w:sz w:val="20"/>
        </w:rPr>
        <w:t>was</w:t>
      </w:r>
      <w:r w:rsidRPr="00133073">
        <w:rPr>
          <w:sz w:val="20"/>
        </w:rPr>
        <w:t xml:space="preserve"> constrained by the time available.  </w:t>
      </w:r>
    </w:p>
    <w:p w:rsidR="00A53FF6" w:rsidRPr="00133073" w:rsidRDefault="00A53FF6" w:rsidP="00A53FF6">
      <w:pPr>
        <w:numPr>
          <w:ilvl w:val="0"/>
          <w:numId w:val="8"/>
        </w:numPr>
        <w:rPr>
          <w:sz w:val="20"/>
        </w:rPr>
      </w:pPr>
      <w:r w:rsidRPr="00133073">
        <w:rPr>
          <w:b/>
          <w:sz w:val="20"/>
        </w:rPr>
        <w:t>Judgements:</w:t>
      </w:r>
      <w:r w:rsidRPr="00133073">
        <w:rPr>
          <w:sz w:val="20"/>
        </w:rPr>
        <w:t xml:space="preserve"> the evaluation </w:t>
      </w:r>
      <w:r w:rsidR="00004EF7">
        <w:rPr>
          <w:sz w:val="20"/>
        </w:rPr>
        <w:t>was</w:t>
      </w:r>
      <w:r w:rsidRPr="00133073">
        <w:rPr>
          <w:sz w:val="20"/>
        </w:rPr>
        <w:t xml:space="preserve"> limited to rapid qualitative methods of inquiry, and rely on the professional judgement of the evaluators to interpret stakeholder perspectives.  </w:t>
      </w:r>
    </w:p>
    <w:p w:rsidR="00A53FF6" w:rsidRPr="00133073" w:rsidRDefault="00A53FF6" w:rsidP="00A53FF6">
      <w:pPr>
        <w:numPr>
          <w:ilvl w:val="0"/>
          <w:numId w:val="8"/>
        </w:numPr>
        <w:rPr>
          <w:sz w:val="20"/>
        </w:rPr>
      </w:pPr>
      <w:r w:rsidRPr="00133073">
        <w:rPr>
          <w:b/>
          <w:sz w:val="20"/>
        </w:rPr>
        <w:t>Access:</w:t>
      </w:r>
      <w:r w:rsidRPr="00133073">
        <w:rPr>
          <w:sz w:val="20"/>
        </w:rPr>
        <w:t xml:space="preserve"> the program covers a vast geographic area and the evaluation team c</w:t>
      </w:r>
      <w:r w:rsidR="00004EF7">
        <w:rPr>
          <w:sz w:val="20"/>
        </w:rPr>
        <w:t>ould</w:t>
      </w:r>
      <w:r w:rsidRPr="00133073">
        <w:rPr>
          <w:sz w:val="20"/>
        </w:rPr>
        <w:t xml:space="preserve"> only expect to gather indicative perspectives from a limited range of stakeholders/locations. </w:t>
      </w:r>
    </w:p>
    <w:p w:rsidR="00A53FF6" w:rsidRPr="00133073" w:rsidRDefault="00A53FF6" w:rsidP="00A53FF6">
      <w:pPr>
        <w:numPr>
          <w:ilvl w:val="0"/>
          <w:numId w:val="8"/>
        </w:numPr>
        <w:rPr>
          <w:sz w:val="20"/>
        </w:rPr>
      </w:pPr>
      <w:r w:rsidRPr="00133073">
        <w:rPr>
          <w:b/>
          <w:sz w:val="20"/>
        </w:rPr>
        <w:t>Measurement:</w:t>
      </w:r>
      <w:r w:rsidRPr="00133073">
        <w:rPr>
          <w:sz w:val="20"/>
        </w:rPr>
        <w:t xml:space="preserve"> the evaluators primarily rel</w:t>
      </w:r>
      <w:r w:rsidR="00004EF7">
        <w:rPr>
          <w:sz w:val="20"/>
        </w:rPr>
        <w:t>ied</w:t>
      </w:r>
      <w:r w:rsidRPr="00133073">
        <w:rPr>
          <w:sz w:val="20"/>
        </w:rPr>
        <w:t xml:space="preserve"> on evidence collected from project managers and stakeholders to assess compound indicators such as ‘capacity’, ‘knowledge and awareness</w:t>
      </w:r>
      <w:r w:rsidR="000A2E51">
        <w:rPr>
          <w:sz w:val="20"/>
        </w:rPr>
        <w:t xml:space="preserve">’ </w:t>
      </w:r>
      <w:r w:rsidRPr="00133073">
        <w:rPr>
          <w:sz w:val="20"/>
        </w:rPr>
        <w:t xml:space="preserve">and ‘empowerment’. </w:t>
      </w:r>
    </w:p>
    <w:p w:rsidR="00A53FF6" w:rsidRPr="00133073" w:rsidRDefault="00A53FF6" w:rsidP="00A53FF6">
      <w:pPr>
        <w:numPr>
          <w:ilvl w:val="0"/>
          <w:numId w:val="8"/>
        </w:numPr>
        <w:rPr>
          <w:sz w:val="20"/>
        </w:rPr>
      </w:pPr>
      <w:r w:rsidRPr="00133073">
        <w:rPr>
          <w:b/>
          <w:sz w:val="20"/>
        </w:rPr>
        <w:t>Attribution:</w:t>
      </w:r>
      <w:r w:rsidRPr="00133073">
        <w:rPr>
          <w:sz w:val="20"/>
        </w:rPr>
        <w:t xml:space="preserve"> the projects </w:t>
      </w:r>
      <w:r w:rsidR="00004EF7">
        <w:rPr>
          <w:sz w:val="20"/>
        </w:rPr>
        <w:t>were</w:t>
      </w:r>
      <w:r w:rsidRPr="00133073">
        <w:rPr>
          <w:sz w:val="20"/>
        </w:rPr>
        <w:t xml:space="preserve"> implemented in a complex context in which multiple factors contribute</w:t>
      </w:r>
      <w:r w:rsidR="00004EF7">
        <w:rPr>
          <w:sz w:val="20"/>
        </w:rPr>
        <w:t>d</w:t>
      </w:r>
      <w:r w:rsidRPr="00133073">
        <w:rPr>
          <w:sz w:val="20"/>
        </w:rPr>
        <w:t xml:space="preserve"> to and/or detract</w:t>
      </w:r>
      <w:r w:rsidR="00004EF7">
        <w:rPr>
          <w:sz w:val="20"/>
        </w:rPr>
        <w:t>ed</w:t>
      </w:r>
      <w:r w:rsidRPr="00133073">
        <w:rPr>
          <w:sz w:val="20"/>
        </w:rPr>
        <w:t xml:space="preserve"> from the anticipated changes, making definitive attribution of changes to particular interventions challenging.</w:t>
      </w:r>
    </w:p>
    <w:p w:rsidR="00A53FF6" w:rsidRDefault="00A53FF6" w:rsidP="00A53FF6">
      <w:r>
        <w:t>The ‘enhancing community pathways to adaptation/mitigation’ approach adopted in the evaluation lessen</w:t>
      </w:r>
      <w:r w:rsidR="00004EF7">
        <w:t>ed</w:t>
      </w:r>
      <w:r>
        <w:t xml:space="preserve"> many of these limitations by examining evidence and causal linkages between project activities/investment and likely outcomes in the immediate and longer</w:t>
      </w:r>
      <w:r w:rsidR="009B7254">
        <w:t xml:space="preserve"> </w:t>
      </w:r>
      <w:r>
        <w:t>term.</w:t>
      </w:r>
    </w:p>
    <w:p w:rsidR="00A53FF6" w:rsidRDefault="00A53FF6" w:rsidP="00A529D8">
      <w:pPr>
        <w:pStyle w:val="Heading1"/>
      </w:pPr>
      <w:bookmarkStart w:id="27" w:name="_Toc315694460"/>
      <w:r>
        <w:t>Program description</w:t>
      </w:r>
      <w:bookmarkEnd w:id="27"/>
    </w:p>
    <w:p w:rsidR="00A4046E" w:rsidRDefault="00A4046E" w:rsidP="00A4046E">
      <w:pPr>
        <w:pStyle w:val="Heading2"/>
      </w:pPr>
      <w:bookmarkStart w:id="28" w:name="_Toc315694461"/>
      <w:r>
        <w:t>Development priorities</w:t>
      </w:r>
      <w:bookmarkEnd w:id="28"/>
    </w:p>
    <w:p w:rsidR="00A4046E" w:rsidRPr="00015466" w:rsidRDefault="00A4046E" w:rsidP="00A4046E">
      <w:r>
        <w:t>In instructions to proponents, DFAT required that</w:t>
      </w:r>
      <w:r w:rsidRPr="00015466">
        <w:t xml:space="preserve"> </w:t>
      </w:r>
      <w:r>
        <w:t>activities developed under the CBCCAG</w:t>
      </w:r>
      <w:r w:rsidRPr="00015466">
        <w:t xml:space="preserve"> </w:t>
      </w:r>
      <w:r w:rsidR="006904B2">
        <w:t xml:space="preserve">program </w:t>
      </w:r>
      <w:r w:rsidRPr="00015466">
        <w:t>should:</w:t>
      </w:r>
    </w:p>
    <w:p w:rsidR="00A4046E" w:rsidRPr="0082686F" w:rsidRDefault="00A4046E" w:rsidP="00A4046E">
      <w:pPr>
        <w:numPr>
          <w:ilvl w:val="0"/>
          <w:numId w:val="1"/>
        </w:numPr>
        <w:rPr>
          <w:sz w:val="20"/>
        </w:rPr>
      </w:pPr>
      <w:r w:rsidRPr="0082686F">
        <w:rPr>
          <w:sz w:val="20"/>
        </w:rPr>
        <w:t>Promote local community ownership, improve coordination of responses, align with local and national development, adaptation and mitigation priorities, and harmonise with other international, regional and donor work in the country, community and/or sector.</w:t>
      </w:r>
    </w:p>
    <w:p w:rsidR="00A4046E" w:rsidRPr="0082686F" w:rsidRDefault="00A4046E" w:rsidP="00A4046E">
      <w:pPr>
        <w:numPr>
          <w:ilvl w:val="0"/>
          <w:numId w:val="1"/>
        </w:numPr>
        <w:rPr>
          <w:sz w:val="20"/>
        </w:rPr>
      </w:pPr>
      <w:r w:rsidRPr="0082686F">
        <w:rPr>
          <w:sz w:val="20"/>
        </w:rPr>
        <w:t xml:space="preserve">Use existing community structures, involve local organisations acceptable to national and local authorities and be consistent with local and national development policies, particularly relating to climate change and </w:t>
      </w:r>
      <w:r w:rsidR="006904B2">
        <w:rPr>
          <w:sz w:val="20"/>
        </w:rPr>
        <w:t>DRR</w:t>
      </w:r>
      <w:r w:rsidRPr="0082686F">
        <w:rPr>
          <w:sz w:val="20"/>
        </w:rPr>
        <w:t>.</w:t>
      </w:r>
    </w:p>
    <w:p w:rsidR="00A4046E" w:rsidRPr="0082686F" w:rsidRDefault="00A4046E" w:rsidP="00A4046E">
      <w:pPr>
        <w:numPr>
          <w:ilvl w:val="0"/>
          <w:numId w:val="1"/>
        </w:numPr>
        <w:rPr>
          <w:sz w:val="20"/>
        </w:rPr>
      </w:pPr>
      <w:r w:rsidRPr="0082686F">
        <w:rPr>
          <w:sz w:val="20"/>
        </w:rPr>
        <w:t>Ensure members of the community understand and support the purpose of the activity and actively contribute to its development and implementation.</w:t>
      </w:r>
    </w:p>
    <w:p w:rsidR="00A4046E" w:rsidRPr="0082686F" w:rsidRDefault="00A4046E" w:rsidP="00A4046E">
      <w:pPr>
        <w:numPr>
          <w:ilvl w:val="0"/>
          <w:numId w:val="1"/>
        </w:numPr>
        <w:rPr>
          <w:sz w:val="20"/>
        </w:rPr>
      </w:pPr>
      <w:r w:rsidRPr="0082686F">
        <w:rPr>
          <w:sz w:val="20"/>
        </w:rPr>
        <w:t>Encourage partnerships between a variety of stakeholders – including, where possible, sub-national governments – that strengthen and build on local/regional</w:t>
      </w:r>
      <w:r w:rsidR="00004EF7">
        <w:rPr>
          <w:sz w:val="20"/>
        </w:rPr>
        <w:t xml:space="preserve"> partnerships.</w:t>
      </w:r>
      <w:r w:rsidRPr="0082686F">
        <w:rPr>
          <w:sz w:val="20"/>
        </w:rPr>
        <w:t xml:space="preserve"> Ensure that the specific needs of men, women, children and people with a disability are addressed and that opportunities exist for women and people with a disability to participate as decision makers in determining objectives and types of activities.</w:t>
      </w:r>
    </w:p>
    <w:p w:rsidR="00A4046E" w:rsidRPr="0082686F" w:rsidRDefault="00A4046E" w:rsidP="00A4046E">
      <w:pPr>
        <w:numPr>
          <w:ilvl w:val="0"/>
          <w:numId w:val="1"/>
        </w:numPr>
        <w:rPr>
          <w:sz w:val="20"/>
        </w:rPr>
      </w:pPr>
      <w:r w:rsidRPr="0082686F">
        <w:rPr>
          <w:sz w:val="20"/>
        </w:rPr>
        <w:t>Aim to strengthen capacity within communities and community-based organisations and/or local NGOs to enhance sustainability of outcomes at the conclusion of the project.</w:t>
      </w:r>
    </w:p>
    <w:p w:rsidR="00A4046E" w:rsidRPr="0082686F" w:rsidRDefault="00A4046E" w:rsidP="00A4046E">
      <w:pPr>
        <w:numPr>
          <w:ilvl w:val="0"/>
          <w:numId w:val="1"/>
        </w:numPr>
        <w:rPr>
          <w:sz w:val="20"/>
        </w:rPr>
      </w:pPr>
      <w:r w:rsidRPr="0082686F">
        <w:rPr>
          <w:sz w:val="20"/>
        </w:rPr>
        <w:t>Ensure a rigorous approach to monitoring and evaluation, including capturing a broad range of outcomes and including mechanisms for continuous reflection, learning and adjustment.</w:t>
      </w:r>
    </w:p>
    <w:p w:rsidR="00A4046E" w:rsidRPr="0082686F" w:rsidRDefault="00A4046E" w:rsidP="00A4046E">
      <w:pPr>
        <w:numPr>
          <w:ilvl w:val="0"/>
          <w:numId w:val="1"/>
        </w:numPr>
        <w:rPr>
          <w:sz w:val="20"/>
        </w:rPr>
      </w:pPr>
      <w:r w:rsidRPr="0082686F">
        <w:rPr>
          <w:sz w:val="20"/>
        </w:rPr>
        <w:t>Have clear learning objectives and strategies for communicating the outcomes of the activities to stakeholders.</w:t>
      </w:r>
    </w:p>
    <w:p w:rsidR="00A4046E" w:rsidRPr="0082686F" w:rsidRDefault="00A4046E" w:rsidP="00A4046E">
      <w:pPr>
        <w:numPr>
          <w:ilvl w:val="0"/>
          <w:numId w:val="1"/>
        </w:numPr>
        <w:rPr>
          <w:sz w:val="20"/>
        </w:rPr>
      </w:pPr>
      <w:r w:rsidRPr="0082686F">
        <w:rPr>
          <w:sz w:val="20"/>
        </w:rPr>
        <w:t>Demonstrate a commitment to development effectiveness, sustainability, tangible outcomes, quality, applying lessons learned and sharing lessons with other stakeholders.</w:t>
      </w:r>
    </w:p>
    <w:p w:rsidR="00E41464" w:rsidRDefault="00E41464" w:rsidP="00A53FF6">
      <w:pPr>
        <w:pStyle w:val="Heading2"/>
      </w:pPr>
      <w:bookmarkStart w:id="29" w:name="_Toc315694462"/>
      <w:r>
        <w:t>Program theory of change</w:t>
      </w:r>
      <w:bookmarkEnd w:id="29"/>
    </w:p>
    <w:p w:rsidR="00E9187C" w:rsidRDefault="00B8757F" w:rsidP="00E41464">
      <w:r>
        <w:t xml:space="preserve">Although a </w:t>
      </w:r>
      <w:r w:rsidR="00A4046E">
        <w:t xml:space="preserve">CBCCAG </w:t>
      </w:r>
      <w:r>
        <w:t>theory of change</w:t>
      </w:r>
      <w:r w:rsidR="006904B2">
        <w:t xml:space="preserve"> was not clearly articulated</w:t>
      </w:r>
      <w:r>
        <w:t xml:space="preserve"> at the outset, most projects followed a broadly common development theory</w:t>
      </w:r>
      <w:r w:rsidR="00E9187C">
        <w:t xml:space="preserve">, </w:t>
      </w:r>
      <w:r w:rsidR="007D138A">
        <w:t xml:space="preserve">which </w:t>
      </w:r>
      <w:r w:rsidR="00E9187C">
        <w:t>align</w:t>
      </w:r>
      <w:r w:rsidR="007D138A">
        <w:t>s</w:t>
      </w:r>
      <w:r w:rsidR="00E9187C">
        <w:t xml:space="preserve"> closely with conventional </w:t>
      </w:r>
      <w:r w:rsidR="00D72CEA">
        <w:t>CBA</w:t>
      </w:r>
      <w:r w:rsidR="007D138A">
        <w:t xml:space="preserve"> theory</w:t>
      </w:r>
      <w:r w:rsidR="00E9187C">
        <w:t>:</w:t>
      </w:r>
    </w:p>
    <w:p w:rsidR="00921344" w:rsidRDefault="00921344" w:rsidP="00E41464">
      <w:r w:rsidRPr="00921344">
        <w:rPr>
          <w:noProof/>
          <w:szCs w:val="22"/>
          <w:lang w:eastAsia="en-AU"/>
        </w:rPr>
        <w:drawing>
          <wp:inline distT="0" distB="0" distL="0" distR="0">
            <wp:extent cx="4681855" cy="2943860"/>
            <wp:effectExtent l="0" t="0" r="42545" b="66040"/>
            <wp:docPr id="1" name="D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A6FF3" w:rsidRDefault="00BA6FF3" w:rsidP="00A529D8">
      <w:pPr>
        <w:pStyle w:val="Heading1"/>
      </w:pPr>
      <w:bookmarkStart w:id="30" w:name="_Toc315694463"/>
      <w:r>
        <w:t>Progress towards project</w:t>
      </w:r>
      <w:r w:rsidR="00490877">
        <w:t>-</w:t>
      </w:r>
      <w:r>
        <w:t>level objectives</w:t>
      </w:r>
      <w:bookmarkEnd w:id="30"/>
    </w:p>
    <w:p w:rsidR="00CD0662" w:rsidRDefault="00CD0662" w:rsidP="00CD0662">
      <w:r>
        <w:t xml:space="preserve">The CBCCAG projects were each designed to meet a set of objectives and outcomes. </w:t>
      </w:r>
      <w:r w:rsidR="00B8757F">
        <w:t>While there were many differences and unique approaches, at a program level these</w:t>
      </w:r>
      <w:r>
        <w:t xml:space="preserve"> fall roughly into five groupings (Table 3). Ratings of progress towards the objectives </w:t>
      </w:r>
      <w:r w:rsidR="00B8757F">
        <w:t>under the five groupings</w:t>
      </w:r>
      <w:r>
        <w:t xml:space="preserve"> were determined from review of project reporting, evaluations and interviews. </w:t>
      </w:r>
    </w:p>
    <w:p w:rsidR="00CD0662" w:rsidRDefault="00CD0662" w:rsidP="00CD0662">
      <w:r>
        <w:t>These broad ratings suggest that achievements at project level have been most significant in the knowledge and awareness raisin</w:t>
      </w:r>
      <w:r w:rsidR="003D7A60">
        <w:t>g, skills and capacity building</w:t>
      </w:r>
      <w:r w:rsidR="007D138A">
        <w:t>,</w:t>
      </w:r>
      <w:r>
        <w:t xml:space="preserve"> community</w:t>
      </w:r>
      <w:r w:rsidR="00490877">
        <w:t xml:space="preserve"> </w:t>
      </w:r>
      <w:r>
        <w:t xml:space="preserve">planning and testing out of options on the ground in participating communities. </w:t>
      </w:r>
      <w:r w:rsidR="00490877">
        <w:t>Good p</w:t>
      </w:r>
      <w:r>
        <w:t>rogress</w:t>
      </w:r>
      <w:r w:rsidR="00490877">
        <w:t xml:space="preserve"> has been made to a lesser extent</w:t>
      </w:r>
      <w:r>
        <w:t xml:space="preserve"> in the areas of engagement with government and outreach beyond the local areas.</w:t>
      </w:r>
    </w:p>
    <w:p w:rsidR="00BA6FF3" w:rsidRPr="00CD0662" w:rsidRDefault="00CD0662" w:rsidP="00CD0662">
      <w:pPr>
        <w:rPr>
          <w:b/>
        </w:rPr>
      </w:pPr>
      <w:r>
        <w:rPr>
          <w:b/>
        </w:rPr>
        <w:t xml:space="preserve">Table 3: Rough ratings </w:t>
      </w:r>
      <w:r w:rsidR="00B8757F">
        <w:rPr>
          <w:b/>
        </w:rPr>
        <w:t>of progress against project obje</w:t>
      </w:r>
      <w:r>
        <w:rPr>
          <w:b/>
        </w:rPr>
        <w:t>ctives</w:t>
      </w:r>
    </w:p>
    <w:tbl>
      <w:tblPr>
        <w:tblStyle w:val="TableGrid"/>
        <w:tblW w:w="0" w:type="auto"/>
        <w:tblLook w:val="00A0" w:firstRow="1" w:lastRow="0" w:firstColumn="1" w:lastColumn="0" w:noHBand="0" w:noVBand="0"/>
      </w:tblPr>
      <w:tblGrid>
        <w:gridCol w:w="5778"/>
        <w:gridCol w:w="2738"/>
      </w:tblGrid>
      <w:tr w:rsidR="00BA6FF3" w:rsidRPr="00E41464">
        <w:tc>
          <w:tcPr>
            <w:tcW w:w="5778" w:type="dxa"/>
            <w:shd w:val="solid" w:color="B0C5E8" w:fill="auto"/>
          </w:tcPr>
          <w:p w:rsidR="00BA6FF3" w:rsidRPr="00E41464" w:rsidRDefault="00BA6FF3" w:rsidP="00015466">
            <w:pPr>
              <w:spacing w:before="120"/>
              <w:rPr>
                <w:b/>
                <w:sz w:val="20"/>
              </w:rPr>
            </w:pPr>
            <w:r>
              <w:rPr>
                <w:b/>
                <w:sz w:val="20"/>
              </w:rPr>
              <w:t>Outcome area</w:t>
            </w:r>
          </w:p>
        </w:tc>
        <w:tc>
          <w:tcPr>
            <w:tcW w:w="2738" w:type="dxa"/>
            <w:shd w:val="solid" w:color="C2DFE8" w:fill="auto"/>
          </w:tcPr>
          <w:p w:rsidR="00BA6FF3" w:rsidRPr="00E41464" w:rsidRDefault="00BA6FF3" w:rsidP="00015466">
            <w:pPr>
              <w:spacing w:before="120"/>
              <w:rPr>
                <w:b/>
                <w:sz w:val="20"/>
              </w:rPr>
            </w:pPr>
            <w:r>
              <w:rPr>
                <w:b/>
                <w:sz w:val="20"/>
              </w:rPr>
              <w:t>Progress towards achieving</w:t>
            </w:r>
          </w:p>
        </w:tc>
      </w:tr>
      <w:tr w:rsidR="00BA6FF3">
        <w:tc>
          <w:tcPr>
            <w:tcW w:w="5778" w:type="dxa"/>
            <w:shd w:val="solid" w:color="B0C5E8" w:fill="auto"/>
          </w:tcPr>
          <w:p w:rsidR="00BA6FF3" w:rsidRPr="00015466" w:rsidRDefault="00BA6FF3" w:rsidP="00322833">
            <w:pPr>
              <w:spacing w:before="120"/>
              <w:rPr>
                <w:sz w:val="20"/>
              </w:rPr>
            </w:pPr>
            <w:r w:rsidRPr="00E41464">
              <w:rPr>
                <w:sz w:val="20"/>
              </w:rPr>
              <w:t xml:space="preserve">Awareness and capacity building, </w:t>
            </w:r>
            <w:r>
              <w:rPr>
                <w:sz w:val="20"/>
              </w:rPr>
              <w:t xml:space="preserve">advocacy, </w:t>
            </w:r>
            <w:r w:rsidRPr="00E41464">
              <w:rPr>
                <w:sz w:val="20"/>
              </w:rPr>
              <w:t xml:space="preserve">producing </w:t>
            </w:r>
            <w:r>
              <w:rPr>
                <w:sz w:val="20"/>
              </w:rPr>
              <w:t xml:space="preserve">knowledge, education and </w:t>
            </w:r>
            <w:r w:rsidRPr="00E41464">
              <w:rPr>
                <w:sz w:val="20"/>
              </w:rPr>
              <w:t>communi</w:t>
            </w:r>
            <w:r>
              <w:rPr>
                <w:sz w:val="20"/>
              </w:rPr>
              <w:t xml:space="preserve">cation products for wider use </w:t>
            </w:r>
          </w:p>
        </w:tc>
        <w:tc>
          <w:tcPr>
            <w:tcW w:w="2738" w:type="dxa"/>
            <w:shd w:val="solid" w:color="C2DFE8" w:fill="auto"/>
          </w:tcPr>
          <w:p w:rsidR="00BA6FF3" w:rsidRDefault="00BA6FF3" w:rsidP="00015466">
            <w:pPr>
              <w:spacing w:before="120"/>
              <w:rPr>
                <w:b/>
                <w:sz w:val="20"/>
              </w:rPr>
            </w:pPr>
            <w:r w:rsidRPr="00E41464">
              <w:rPr>
                <w:sz w:val="20"/>
              </w:rPr>
              <w:t>75</w:t>
            </w:r>
            <w:r w:rsidR="00490877">
              <w:rPr>
                <w:sz w:val="20"/>
              </w:rPr>
              <w:t>%–</w:t>
            </w:r>
            <w:r w:rsidRPr="00E41464">
              <w:rPr>
                <w:sz w:val="20"/>
              </w:rPr>
              <w:t>100%</w:t>
            </w:r>
          </w:p>
        </w:tc>
      </w:tr>
      <w:tr w:rsidR="00BA6FF3">
        <w:tc>
          <w:tcPr>
            <w:tcW w:w="5778" w:type="dxa"/>
            <w:shd w:val="solid" w:color="B0C5E8" w:fill="auto"/>
          </w:tcPr>
          <w:p w:rsidR="00BA6FF3" w:rsidRPr="00E41464" w:rsidRDefault="00BA6FF3" w:rsidP="00015466">
            <w:pPr>
              <w:spacing w:before="120"/>
              <w:rPr>
                <w:sz w:val="20"/>
              </w:rPr>
            </w:pPr>
            <w:r w:rsidRPr="00E41464">
              <w:rPr>
                <w:sz w:val="20"/>
              </w:rPr>
              <w:t xml:space="preserve">Integrating </w:t>
            </w:r>
            <w:r>
              <w:rPr>
                <w:sz w:val="20"/>
              </w:rPr>
              <w:t>climate change risk assessments and</w:t>
            </w:r>
            <w:r w:rsidRPr="00E41464">
              <w:rPr>
                <w:sz w:val="20"/>
              </w:rPr>
              <w:t xml:space="preserve"> resilience</w:t>
            </w:r>
            <w:r>
              <w:rPr>
                <w:sz w:val="20"/>
              </w:rPr>
              <w:t xml:space="preserve"> building</w:t>
            </w:r>
            <w:r w:rsidRPr="00E41464">
              <w:rPr>
                <w:sz w:val="20"/>
              </w:rPr>
              <w:t xml:space="preserve"> </w:t>
            </w:r>
            <w:r>
              <w:rPr>
                <w:sz w:val="20"/>
              </w:rPr>
              <w:t>in</w:t>
            </w:r>
            <w:r w:rsidRPr="00E41464">
              <w:rPr>
                <w:sz w:val="20"/>
              </w:rPr>
              <w:t>to community planning, engaging vulnerable groups, assessing vulnerabilities, identifying actions to reduce risks and increase adaptive capacity, producing integrated community planning models for wider applicati</w:t>
            </w:r>
            <w:r>
              <w:rPr>
                <w:sz w:val="20"/>
              </w:rPr>
              <w:t>on</w:t>
            </w:r>
          </w:p>
        </w:tc>
        <w:tc>
          <w:tcPr>
            <w:tcW w:w="2738" w:type="dxa"/>
            <w:shd w:val="solid" w:color="C2DFE8" w:fill="auto"/>
          </w:tcPr>
          <w:p w:rsidR="00BA6FF3" w:rsidRDefault="00BA6FF3" w:rsidP="00015466">
            <w:pPr>
              <w:spacing w:before="120"/>
              <w:rPr>
                <w:b/>
                <w:sz w:val="20"/>
              </w:rPr>
            </w:pPr>
            <w:r w:rsidRPr="00E41464">
              <w:rPr>
                <w:sz w:val="20"/>
              </w:rPr>
              <w:t>75</w:t>
            </w:r>
            <w:r w:rsidR="00490877">
              <w:rPr>
                <w:sz w:val="20"/>
              </w:rPr>
              <w:t>%–</w:t>
            </w:r>
            <w:r w:rsidRPr="00E41464">
              <w:rPr>
                <w:sz w:val="20"/>
              </w:rPr>
              <w:t>100%</w:t>
            </w:r>
          </w:p>
        </w:tc>
      </w:tr>
      <w:tr w:rsidR="00BA6FF3">
        <w:tc>
          <w:tcPr>
            <w:tcW w:w="5778" w:type="dxa"/>
            <w:shd w:val="solid" w:color="B0C5E8" w:fill="auto"/>
          </w:tcPr>
          <w:p w:rsidR="00BA6FF3" w:rsidRPr="00015466" w:rsidRDefault="00BA6FF3" w:rsidP="00015466">
            <w:pPr>
              <w:spacing w:before="120"/>
              <w:rPr>
                <w:sz w:val="20"/>
              </w:rPr>
            </w:pPr>
            <w:r w:rsidRPr="00015466">
              <w:rPr>
                <w:sz w:val="20"/>
              </w:rPr>
              <w:t>Testing out actions on the ground, monitoring and documenting outcomes for community resilience, demonstrating benefits within the community and to others</w:t>
            </w:r>
          </w:p>
        </w:tc>
        <w:tc>
          <w:tcPr>
            <w:tcW w:w="2738" w:type="dxa"/>
            <w:shd w:val="solid" w:color="C2DFE8" w:fill="auto"/>
          </w:tcPr>
          <w:p w:rsidR="00BA6FF3" w:rsidRDefault="00B8757F" w:rsidP="00015466">
            <w:pPr>
              <w:spacing w:before="120"/>
              <w:rPr>
                <w:b/>
                <w:sz w:val="20"/>
              </w:rPr>
            </w:pPr>
            <w:r>
              <w:rPr>
                <w:sz w:val="20"/>
              </w:rPr>
              <w:t>65</w:t>
            </w:r>
            <w:r w:rsidR="00490877">
              <w:rPr>
                <w:sz w:val="20"/>
              </w:rPr>
              <w:t>%–</w:t>
            </w:r>
            <w:r>
              <w:rPr>
                <w:sz w:val="20"/>
              </w:rPr>
              <w:t>80</w:t>
            </w:r>
            <w:r w:rsidR="00BA6FF3" w:rsidRPr="00015466">
              <w:rPr>
                <w:sz w:val="20"/>
              </w:rPr>
              <w:t>%</w:t>
            </w:r>
          </w:p>
        </w:tc>
      </w:tr>
      <w:tr w:rsidR="00BA6FF3">
        <w:tc>
          <w:tcPr>
            <w:tcW w:w="5778" w:type="dxa"/>
            <w:shd w:val="solid" w:color="B0C5E8" w:fill="auto"/>
          </w:tcPr>
          <w:p w:rsidR="00BA6FF3" w:rsidRPr="00015466" w:rsidRDefault="00BA6FF3" w:rsidP="00015466">
            <w:pPr>
              <w:spacing w:before="120"/>
              <w:rPr>
                <w:sz w:val="20"/>
              </w:rPr>
            </w:pPr>
            <w:r w:rsidRPr="00015466">
              <w:rPr>
                <w:sz w:val="20"/>
              </w:rPr>
              <w:t>Engaging and influencing local government/national government, integrating community priorities into local government development planning, accessing networks and funds for ongoing acti</w:t>
            </w:r>
            <w:r>
              <w:rPr>
                <w:sz w:val="20"/>
              </w:rPr>
              <w:t>on</w:t>
            </w:r>
          </w:p>
        </w:tc>
        <w:tc>
          <w:tcPr>
            <w:tcW w:w="2738" w:type="dxa"/>
            <w:shd w:val="solid" w:color="C2DFE8" w:fill="auto"/>
          </w:tcPr>
          <w:p w:rsidR="00BA6FF3" w:rsidRDefault="00BA6FF3" w:rsidP="00015466">
            <w:pPr>
              <w:spacing w:before="120"/>
              <w:rPr>
                <w:b/>
                <w:sz w:val="20"/>
              </w:rPr>
            </w:pPr>
            <w:r w:rsidRPr="00015466">
              <w:rPr>
                <w:sz w:val="20"/>
              </w:rPr>
              <w:t>50</w:t>
            </w:r>
            <w:r w:rsidR="00490877">
              <w:rPr>
                <w:sz w:val="20"/>
              </w:rPr>
              <w:t>%–</w:t>
            </w:r>
            <w:r w:rsidRPr="00015466">
              <w:rPr>
                <w:sz w:val="20"/>
              </w:rPr>
              <w:t>75%</w:t>
            </w:r>
          </w:p>
        </w:tc>
      </w:tr>
      <w:tr w:rsidR="00BA6FF3">
        <w:tc>
          <w:tcPr>
            <w:tcW w:w="5778" w:type="dxa"/>
            <w:shd w:val="solid" w:color="B0C5E8" w:fill="auto"/>
          </w:tcPr>
          <w:p w:rsidR="00BA6FF3" w:rsidRPr="00015466" w:rsidRDefault="00BA6FF3" w:rsidP="00015466">
            <w:pPr>
              <w:spacing w:before="120"/>
              <w:rPr>
                <w:sz w:val="20"/>
              </w:rPr>
            </w:pPr>
            <w:r w:rsidRPr="00015466">
              <w:rPr>
                <w:sz w:val="20"/>
              </w:rPr>
              <w:t>Outreach and communication o</w:t>
            </w:r>
            <w:r>
              <w:rPr>
                <w:sz w:val="20"/>
              </w:rPr>
              <w:t>f lessons and outcomes in the local area, regionally, nationally and internationally</w:t>
            </w:r>
          </w:p>
        </w:tc>
        <w:tc>
          <w:tcPr>
            <w:tcW w:w="2738" w:type="dxa"/>
            <w:shd w:val="solid" w:color="C2DFE8" w:fill="auto"/>
          </w:tcPr>
          <w:p w:rsidR="00BA6FF3" w:rsidRDefault="00BA6FF3" w:rsidP="00015466">
            <w:pPr>
              <w:spacing w:before="120"/>
              <w:rPr>
                <w:b/>
                <w:sz w:val="20"/>
              </w:rPr>
            </w:pPr>
            <w:r w:rsidRPr="00015466">
              <w:rPr>
                <w:sz w:val="20"/>
              </w:rPr>
              <w:t>50</w:t>
            </w:r>
            <w:r w:rsidR="00490877">
              <w:rPr>
                <w:sz w:val="20"/>
              </w:rPr>
              <w:t>%–</w:t>
            </w:r>
            <w:r w:rsidRPr="00015466">
              <w:rPr>
                <w:sz w:val="20"/>
              </w:rPr>
              <w:t>75%</w:t>
            </w:r>
          </w:p>
        </w:tc>
      </w:tr>
    </w:tbl>
    <w:p w:rsidR="00BA6FF3" w:rsidRPr="00BA6FF3" w:rsidRDefault="00BA6FF3" w:rsidP="00BA6FF3"/>
    <w:p w:rsidR="00A529D8" w:rsidRDefault="00A529D8" w:rsidP="00A529D8">
      <w:pPr>
        <w:pStyle w:val="Heading1"/>
      </w:pPr>
      <w:bookmarkStart w:id="31" w:name="_Toc315694464"/>
      <w:r>
        <w:t xml:space="preserve">Progress towards </w:t>
      </w:r>
      <w:r w:rsidR="00BA6FF3">
        <w:t xml:space="preserve">program </w:t>
      </w:r>
      <w:r>
        <w:t>outcomes</w:t>
      </w:r>
      <w:bookmarkEnd w:id="31"/>
    </w:p>
    <w:p w:rsidR="00A529D8" w:rsidRPr="001C1A39" w:rsidRDefault="006F2DF6" w:rsidP="001C1A39">
      <w:r>
        <w:t xml:space="preserve">Under the </w:t>
      </w:r>
      <w:r w:rsidR="00210845">
        <w:t xml:space="preserve">dual </w:t>
      </w:r>
      <w:r>
        <w:t>program objectives</w:t>
      </w:r>
      <w:r w:rsidR="00210845">
        <w:t xml:space="preserve"> for community-based climate change mitigation and adaptation</w:t>
      </w:r>
      <w:r>
        <w:t xml:space="preserve">, </w:t>
      </w:r>
      <w:r w:rsidR="001C1A39">
        <w:t xml:space="preserve">CBCCAG </w:t>
      </w:r>
      <w:r>
        <w:t xml:space="preserve">adaptation </w:t>
      </w:r>
      <w:r w:rsidR="001C1A39">
        <w:t>projects were designed to meet three program</w:t>
      </w:r>
      <w:r w:rsidR="00854836">
        <w:t>-</w:t>
      </w:r>
      <w:r w:rsidR="001C1A39">
        <w:t>level outcomes:</w:t>
      </w:r>
    </w:p>
    <w:p w:rsidR="00A529D8" w:rsidRPr="000D2AE1" w:rsidRDefault="00A529D8" w:rsidP="00004EF7">
      <w:pPr>
        <w:pStyle w:val="ListParagraph"/>
        <w:numPr>
          <w:ilvl w:val="0"/>
          <w:numId w:val="18"/>
        </w:numPr>
        <w:rPr>
          <w:b/>
        </w:rPr>
      </w:pPr>
      <w:r w:rsidRPr="000D2AE1">
        <w:rPr>
          <w:b/>
        </w:rPr>
        <w:t>Community self-organisation and capacity to anticipate and adapt to change locally are enhanced</w:t>
      </w:r>
      <w:r w:rsidR="00B62B56" w:rsidRPr="000D2AE1">
        <w:rPr>
          <w:b/>
        </w:rPr>
        <w:t>.</w:t>
      </w:r>
    </w:p>
    <w:p w:rsidR="00A529D8" w:rsidRPr="000D2AE1" w:rsidRDefault="00A529D8" w:rsidP="00004EF7">
      <w:pPr>
        <w:pStyle w:val="ListParagraph"/>
        <w:numPr>
          <w:ilvl w:val="0"/>
          <w:numId w:val="18"/>
        </w:numPr>
        <w:rPr>
          <w:b/>
        </w:rPr>
      </w:pPr>
      <w:r w:rsidRPr="000D2AE1">
        <w:rPr>
          <w:b/>
        </w:rPr>
        <w:t>Community, government and civil society development planning systems are modified to support adaptation planning and strategies</w:t>
      </w:r>
      <w:r w:rsidR="00B62B56" w:rsidRPr="000D2AE1">
        <w:rPr>
          <w:b/>
        </w:rPr>
        <w:t>.</w:t>
      </w:r>
    </w:p>
    <w:p w:rsidR="00A529D8" w:rsidRPr="000D2AE1" w:rsidRDefault="00A529D8" w:rsidP="00004EF7">
      <w:pPr>
        <w:pStyle w:val="ListParagraph"/>
        <w:numPr>
          <w:ilvl w:val="0"/>
          <w:numId w:val="18"/>
        </w:numPr>
        <w:rPr>
          <w:b/>
        </w:rPr>
      </w:pPr>
      <w:r w:rsidRPr="000D2AE1">
        <w:rPr>
          <w:b/>
        </w:rPr>
        <w:t>Community</w:t>
      </w:r>
      <w:r w:rsidR="00854836">
        <w:rPr>
          <w:b/>
        </w:rPr>
        <w:t>-</w:t>
      </w:r>
      <w:r w:rsidRPr="000D2AE1">
        <w:rPr>
          <w:b/>
        </w:rPr>
        <w:t>based strategies for adaptation are adopted, adapted and implemented in other vulnerable communities</w:t>
      </w:r>
      <w:r w:rsidR="00B62B56" w:rsidRPr="000D2AE1">
        <w:rPr>
          <w:b/>
        </w:rPr>
        <w:t>.</w:t>
      </w:r>
    </w:p>
    <w:p w:rsidR="001C1A39" w:rsidRDefault="001C1A39" w:rsidP="001C1A39">
      <w:pPr>
        <w:pStyle w:val="Heading2"/>
      </w:pPr>
      <w:bookmarkStart w:id="32" w:name="_Toc315694465"/>
      <w:r>
        <w:t>Skills, tools and capacity building</w:t>
      </w:r>
      <w:bookmarkEnd w:id="32"/>
    </w:p>
    <w:p w:rsidR="00210845" w:rsidRPr="00083851" w:rsidRDefault="001C1A39" w:rsidP="00965203">
      <w:pPr>
        <w:rPr>
          <w:b/>
          <w:color w:val="17365D" w:themeColor="text2" w:themeShade="BF"/>
        </w:rPr>
      </w:pPr>
      <w:r w:rsidRPr="00083851">
        <w:rPr>
          <w:b/>
          <w:color w:val="17365D" w:themeColor="text2" w:themeShade="BF"/>
        </w:rPr>
        <w:t>Program</w:t>
      </w:r>
      <w:r w:rsidR="009809C0">
        <w:rPr>
          <w:b/>
          <w:color w:val="17365D" w:themeColor="text2" w:themeShade="BF"/>
        </w:rPr>
        <w:t>-</w:t>
      </w:r>
      <w:r w:rsidRPr="00083851">
        <w:rPr>
          <w:b/>
          <w:color w:val="17365D" w:themeColor="text2" w:themeShade="BF"/>
        </w:rPr>
        <w:t>level outcome: Community self-organisation and capacity to anticipate and adapt to change and/or mitigate emissions locally are enhanced</w:t>
      </w:r>
      <w:r w:rsidR="00B62B56" w:rsidRPr="00083851">
        <w:rPr>
          <w:b/>
          <w:color w:val="17365D" w:themeColor="text2" w:themeShade="BF"/>
        </w:rPr>
        <w:t>.</w:t>
      </w:r>
    </w:p>
    <w:p w:rsidR="00210845" w:rsidRPr="00083851" w:rsidRDefault="00210845" w:rsidP="00D5331A">
      <w:pPr>
        <w:rPr>
          <w:i/>
          <w:color w:val="17365D" w:themeColor="text2" w:themeShade="BF"/>
        </w:rPr>
      </w:pPr>
      <w:r w:rsidRPr="00083851">
        <w:rPr>
          <w:b/>
          <w:i/>
          <w:color w:val="17365D" w:themeColor="text2" w:themeShade="BF"/>
        </w:rPr>
        <w:t xml:space="preserve">Headline question: </w:t>
      </w:r>
      <w:r w:rsidRPr="00083851">
        <w:rPr>
          <w:i/>
          <w:color w:val="17365D" w:themeColor="text2" w:themeShade="BF"/>
        </w:rPr>
        <w:t>To what extent did the projects build resilience in communities while contributing to development prior</w:t>
      </w:r>
      <w:r w:rsidR="00FB04F8" w:rsidRPr="00083851">
        <w:rPr>
          <w:i/>
          <w:color w:val="17365D" w:themeColor="text2" w:themeShade="BF"/>
        </w:rPr>
        <w:t>ities in the target communities</w:t>
      </w:r>
      <w:r w:rsidR="00D5331A" w:rsidRPr="00083851">
        <w:rPr>
          <w:i/>
          <w:color w:val="17365D" w:themeColor="text2" w:themeShade="BF"/>
        </w:rPr>
        <w:t>?</w:t>
      </w:r>
    </w:p>
    <w:p w:rsidR="00C50413" w:rsidRPr="00083851" w:rsidRDefault="00C50413" w:rsidP="00C50413">
      <w:pPr>
        <w:rPr>
          <w:i/>
          <w:color w:val="17365D" w:themeColor="text2" w:themeShade="BF"/>
        </w:rPr>
      </w:pPr>
      <w:r w:rsidRPr="00083851">
        <w:rPr>
          <w:b/>
          <w:i/>
          <w:color w:val="17365D" w:themeColor="text2" w:themeShade="BF"/>
        </w:rPr>
        <w:t>Indicator</w:t>
      </w:r>
      <w:r w:rsidR="00B62B56" w:rsidRPr="00083851">
        <w:rPr>
          <w:b/>
          <w:i/>
          <w:color w:val="17365D" w:themeColor="text2" w:themeShade="BF"/>
        </w:rPr>
        <w:t xml:space="preserve"> 1</w:t>
      </w:r>
      <w:r w:rsidRPr="00083851">
        <w:rPr>
          <w:b/>
          <w:i/>
          <w:color w:val="17365D" w:themeColor="text2" w:themeShade="BF"/>
        </w:rPr>
        <w:t>:</w:t>
      </w:r>
      <w:r w:rsidR="003C6F50" w:rsidRPr="00083851">
        <w:rPr>
          <w:i/>
          <w:color w:val="17365D" w:themeColor="text2" w:themeShade="BF"/>
        </w:rPr>
        <w:t xml:space="preserve"> K</w:t>
      </w:r>
      <w:r w:rsidRPr="00083851">
        <w:rPr>
          <w:i/>
          <w:color w:val="17365D" w:themeColor="text2" w:themeShade="BF"/>
        </w:rPr>
        <w:t>nowledge and skills are built and sha</w:t>
      </w:r>
      <w:r w:rsidR="003C6F50" w:rsidRPr="00083851">
        <w:rPr>
          <w:i/>
          <w:color w:val="17365D" w:themeColor="text2" w:themeShade="BF"/>
        </w:rPr>
        <w:t>re</w:t>
      </w:r>
      <w:r w:rsidR="000A73C3" w:rsidRPr="00083851">
        <w:rPr>
          <w:i/>
          <w:color w:val="17365D" w:themeColor="text2" w:themeShade="BF"/>
        </w:rPr>
        <w:t>d in participating communities</w:t>
      </w:r>
    </w:p>
    <w:p w:rsidR="00BE694A" w:rsidRPr="00082B4F" w:rsidRDefault="00BE694A" w:rsidP="00965203">
      <w:pPr>
        <w:rPr>
          <w:b/>
          <w:i/>
        </w:rPr>
      </w:pPr>
      <w:r w:rsidRPr="00082B4F">
        <w:rPr>
          <w:b/>
          <w:i/>
        </w:rPr>
        <w:t>Knowledge and skills were built</w:t>
      </w:r>
    </w:p>
    <w:p w:rsidR="00C50413" w:rsidRPr="00965203" w:rsidRDefault="00B62B56" w:rsidP="00965203">
      <w:r w:rsidRPr="00965203">
        <w:t xml:space="preserve">The projects were effective in raising awareness of the risks of climate change </w:t>
      </w:r>
      <w:r w:rsidR="00B15C44" w:rsidRPr="00965203">
        <w:t>throu</w:t>
      </w:r>
      <w:r w:rsidR="004B0241">
        <w:t xml:space="preserve">gh education, training, experiential learning and </w:t>
      </w:r>
      <w:r w:rsidR="00B15C44" w:rsidRPr="00965203">
        <w:t xml:space="preserve">mentoring, and by connecting communities with specialist knowledge. Baseline surveys conducted by some of the projects indicated that while many people in the target areas had noticed changes </w:t>
      </w:r>
      <w:r w:rsidR="00965203" w:rsidRPr="00965203">
        <w:t xml:space="preserve">in weather patterns, most had </w:t>
      </w:r>
      <w:r w:rsidR="00B15C44" w:rsidRPr="00965203">
        <w:t>limited understanding of</w:t>
      </w:r>
      <w:r w:rsidR="00107F9E">
        <w:t xml:space="preserve"> what climate change may mean to</w:t>
      </w:r>
      <w:r w:rsidR="00B15C44" w:rsidRPr="00965203">
        <w:t xml:space="preserve"> their lives and livelihoods in fut</w:t>
      </w:r>
      <w:r w:rsidR="00166D60">
        <w:t xml:space="preserve">ure, and how </w:t>
      </w:r>
      <w:r w:rsidR="004873B6">
        <w:t>to</w:t>
      </w:r>
      <w:r w:rsidR="00166D60">
        <w:t xml:space="preserve"> respond:</w:t>
      </w:r>
      <w:r w:rsidR="00B15C44" w:rsidRPr="00965203">
        <w:t xml:space="preserve"> </w:t>
      </w:r>
    </w:p>
    <w:p w:rsidR="00B15C44" w:rsidRPr="00894003" w:rsidRDefault="00B15C44" w:rsidP="00B15C44">
      <w:pPr>
        <w:ind w:left="720"/>
        <w:rPr>
          <w:sz w:val="20"/>
        </w:rPr>
      </w:pPr>
      <w:r w:rsidRPr="00894003">
        <w:rPr>
          <w:i/>
          <w:sz w:val="20"/>
        </w:rPr>
        <w:t>‘When I was first trained under the</w:t>
      </w:r>
      <w:r w:rsidR="00505833">
        <w:rPr>
          <w:i/>
          <w:sz w:val="20"/>
        </w:rPr>
        <w:t xml:space="preserve"> child-centred climate-based adaption</w:t>
      </w:r>
      <w:r w:rsidRPr="00894003">
        <w:rPr>
          <w:i/>
          <w:sz w:val="20"/>
        </w:rPr>
        <w:t xml:space="preserve"> project, I had no idea what climate change was. I was able to gain insight about the cause and effect of climate change, and what we </w:t>
      </w:r>
      <w:r w:rsidR="00965203" w:rsidRPr="00894003">
        <w:rPr>
          <w:i/>
          <w:sz w:val="20"/>
        </w:rPr>
        <w:t>c</w:t>
      </w:r>
      <w:r w:rsidRPr="00894003">
        <w:rPr>
          <w:i/>
          <w:sz w:val="20"/>
        </w:rPr>
        <w:t xml:space="preserve">an do to help lessen it.’ </w:t>
      </w:r>
      <w:r w:rsidR="00620E80">
        <w:rPr>
          <w:i/>
          <w:sz w:val="20"/>
        </w:rPr>
        <w:t>–</w:t>
      </w:r>
      <w:r w:rsidRPr="00894003">
        <w:rPr>
          <w:i/>
          <w:sz w:val="20"/>
        </w:rPr>
        <w:t xml:space="preserve"> </w:t>
      </w:r>
      <w:r w:rsidR="003E4913">
        <w:rPr>
          <w:sz w:val="20"/>
        </w:rPr>
        <w:t>y</w:t>
      </w:r>
      <w:r w:rsidRPr="00894003">
        <w:rPr>
          <w:sz w:val="20"/>
        </w:rPr>
        <w:t>outh participant</w:t>
      </w:r>
      <w:r w:rsidR="00620E80">
        <w:rPr>
          <w:sz w:val="20"/>
        </w:rPr>
        <w:t>,</w:t>
      </w:r>
      <w:r w:rsidR="006B19C5">
        <w:rPr>
          <w:sz w:val="20"/>
        </w:rPr>
        <w:t xml:space="preserve"> </w:t>
      </w:r>
      <w:r w:rsidR="00921F45" w:rsidRPr="00894003">
        <w:rPr>
          <w:sz w:val="20"/>
        </w:rPr>
        <w:t>Plan</w:t>
      </w:r>
      <w:r w:rsidRPr="00894003">
        <w:rPr>
          <w:sz w:val="20"/>
        </w:rPr>
        <w:t>/</w:t>
      </w:r>
      <w:r w:rsidR="00784A90" w:rsidRPr="00894003">
        <w:rPr>
          <w:sz w:val="20"/>
        </w:rPr>
        <w:t>SCI</w:t>
      </w:r>
      <w:r w:rsidRPr="00894003">
        <w:rPr>
          <w:sz w:val="20"/>
        </w:rPr>
        <w:t>, Eastern Visayas, Philippines</w:t>
      </w:r>
      <w:r w:rsidR="00E56FB2">
        <w:rPr>
          <w:sz w:val="20"/>
        </w:rPr>
        <w:t xml:space="preserve"> </w:t>
      </w:r>
      <w:r w:rsidR="003E4913">
        <w:rPr>
          <w:sz w:val="20"/>
        </w:rPr>
        <w:t>(</w:t>
      </w:r>
      <w:r w:rsidR="00E56FB2">
        <w:rPr>
          <w:sz w:val="20"/>
        </w:rPr>
        <w:t>case s</w:t>
      </w:r>
      <w:r w:rsidR="00921F45" w:rsidRPr="00894003">
        <w:rPr>
          <w:sz w:val="20"/>
        </w:rPr>
        <w:t>tudy</w:t>
      </w:r>
      <w:r w:rsidR="003E4913">
        <w:rPr>
          <w:sz w:val="20"/>
        </w:rPr>
        <w:t>)</w:t>
      </w:r>
    </w:p>
    <w:p w:rsidR="00E86246" w:rsidRDefault="001A58A0" w:rsidP="001A58A0">
      <w:r>
        <w:t>Respondents interviewed as the projects were coming to completion generally reported that they had gained knowledge about climate change</w:t>
      </w:r>
      <w:r w:rsidR="00CB0DA4">
        <w:t xml:space="preserve">, and </w:t>
      </w:r>
      <w:r>
        <w:t>an understanding that they will need to adapt</w:t>
      </w:r>
      <w:r w:rsidR="00671333">
        <w:t xml:space="preserve"> (e.g. 95% of respondents could identify at lease one aspect of climate change and reported that their understanding had increased – Oxfam</w:t>
      </w:r>
      <w:r w:rsidR="005E40AA">
        <w:t>,</w:t>
      </w:r>
      <w:r w:rsidR="00671333">
        <w:t xml:space="preserve"> Vanuatu)</w:t>
      </w:r>
      <w:r>
        <w:t xml:space="preserve">. </w:t>
      </w:r>
      <w:r w:rsidR="006B19C5">
        <w:t>Most</w:t>
      </w:r>
      <w:r w:rsidR="00F23DD6">
        <w:t xml:space="preserve"> also felt more </w:t>
      </w:r>
      <w:r w:rsidR="000B1F17">
        <w:t>prepared as a result of applying their new knowledge</w:t>
      </w:r>
      <w:r w:rsidR="00E86246">
        <w:t xml:space="preserve"> to </w:t>
      </w:r>
      <w:r w:rsidR="00E41200">
        <w:t xml:space="preserve">address the </w:t>
      </w:r>
      <w:r w:rsidR="00FB7317">
        <w:t xml:space="preserve">perceived </w:t>
      </w:r>
      <w:r w:rsidR="00B3563A">
        <w:t xml:space="preserve">problems, reduce the risks and recover (able to ‘bounce forward’ </w:t>
      </w:r>
      <w:r w:rsidR="006B19C5">
        <w:t xml:space="preserve">– </w:t>
      </w:r>
      <w:r w:rsidR="00B3563A">
        <w:t>Oxfam</w:t>
      </w:r>
      <w:r w:rsidR="005E40AA">
        <w:t>,</w:t>
      </w:r>
      <w:r w:rsidR="00B3563A">
        <w:t xml:space="preserve"> Philippines).</w:t>
      </w:r>
    </w:p>
    <w:p w:rsidR="004B0118" w:rsidRDefault="00E86246" w:rsidP="001A58A0">
      <w:r>
        <w:t>The projects have begun an important learning process and have built</w:t>
      </w:r>
      <w:r w:rsidR="00083851">
        <w:t xml:space="preserve"> demand in the communities. Evidence</w:t>
      </w:r>
      <w:r w:rsidR="00FB7317">
        <w:t xml:space="preserve"> f</w:t>
      </w:r>
      <w:r w:rsidR="000003E5">
        <w:t xml:space="preserve">rom evaluations, </w:t>
      </w:r>
      <w:r w:rsidR="00FB7317">
        <w:t>surveys</w:t>
      </w:r>
      <w:r w:rsidR="000003E5">
        <w:t xml:space="preserve"> and interviews</w:t>
      </w:r>
      <w:r w:rsidR="00FB7317">
        <w:t xml:space="preserve"> </w:t>
      </w:r>
      <w:r w:rsidR="004B0118">
        <w:t>indicates</w:t>
      </w:r>
      <w:r w:rsidR="00494492">
        <w:t xml:space="preserve"> that</w:t>
      </w:r>
      <w:r w:rsidR="000003E5">
        <w:t xml:space="preserve"> whenever asked,</w:t>
      </w:r>
      <w:r w:rsidR="00494492">
        <w:t xml:space="preserve"> </w:t>
      </w:r>
      <w:r>
        <w:t xml:space="preserve">people </w:t>
      </w:r>
      <w:r w:rsidR="000003E5">
        <w:t xml:space="preserve">overwhelmingly state that they </w:t>
      </w:r>
      <w:r>
        <w:t>want to know more</w:t>
      </w:r>
      <w:r w:rsidR="006B19C5">
        <w:t>. Specifically they want</w:t>
      </w:r>
      <w:r>
        <w:t xml:space="preserve"> </w:t>
      </w:r>
      <w:r w:rsidR="00DF5EC3">
        <w:t xml:space="preserve">to deepen their knowledge, </w:t>
      </w:r>
      <w:r>
        <w:t>particularly about how to anticipate the impacts, what to do locally to cope, and what additional su</w:t>
      </w:r>
      <w:r w:rsidR="00864240">
        <w:t xml:space="preserve">pport they may need to access. </w:t>
      </w:r>
    </w:p>
    <w:p w:rsidR="004B0241" w:rsidRPr="00082B4F" w:rsidRDefault="00FB7317" w:rsidP="004B0241">
      <w:pPr>
        <w:rPr>
          <w:b/>
          <w:i/>
        </w:rPr>
      </w:pPr>
      <w:r w:rsidRPr="00082B4F">
        <w:rPr>
          <w:b/>
          <w:i/>
        </w:rPr>
        <w:t>Education and awareness m</w:t>
      </w:r>
      <w:r w:rsidR="00CF066C" w:rsidRPr="00082B4F">
        <w:rPr>
          <w:b/>
          <w:i/>
        </w:rPr>
        <w:t xml:space="preserve">aterials and media </w:t>
      </w:r>
      <w:r w:rsidRPr="00082B4F">
        <w:rPr>
          <w:b/>
          <w:i/>
        </w:rPr>
        <w:t xml:space="preserve">were </w:t>
      </w:r>
      <w:r w:rsidR="00CF066C" w:rsidRPr="00082B4F">
        <w:rPr>
          <w:b/>
          <w:i/>
        </w:rPr>
        <w:t>tailored to audiences</w:t>
      </w:r>
    </w:p>
    <w:p w:rsidR="009B3190" w:rsidRDefault="009B3190" w:rsidP="009B3190">
      <w:r>
        <w:t>Pre-project knowledge and awareness varied across the suite of projects, with highest levels apparent where the impacts of climate change were already acute and donors were active in adaptation (including in Isabel and Choiseul Provinces of the Solomon Islands and in the Marshall Islands, where storm surges and high tides now wash over entire atolls). In other areas, such as Timor</w:t>
      </w:r>
      <w:r w:rsidR="00524BD8">
        <w:t>-</w:t>
      </w:r>
      <w:r>
        <w:t>Leste, people had noticed changes in wet season rainfall patterns and temperatures but had not necessarily connected these with a global climate trend.</w:t>
      </w:r>
    </w:p>
    <w:p w:rsidR="00357678" w:rsidRDefault="001A58A0" w:rsidP="00965203">
      <w:r>
        <w:t>Project teams generally tailored their education and awareness</w:t>
      </w:r>
      <w:r w:rsidR="00524BD8">
        <w:t>-</w:t>
      </w:r>
      <w:r>
        <w:t xml:space="preserve">raising activities to the </w:t>
      </w:r>
      <w:r w:rsidR="009B3190">
        <w:t xml:space="preserve">knowledge levels and </w:t>
      </w:r>
      <w:r>
        <w:t>specific needs of the</w:t>
      </w:r>
      <w:r w:rsidR="005E4353">
        <w:t>ir</w:t>
      </w:r>
      <w:r>
        <w:t xml:space="preserve"> communities, and </w:t>
      </w:r>
      <w:r w:rsidR="005F6EDB">
        <w:t>to</w:t>
      </w:r>
      <w:r>
        <w:t xml:space="preserve"> groups within communities (e.g. to children and youth in </w:t>
      </w:r>
      <w:r w:rsidR="00784A90">
        <w:t xml:space="preserve">the </w:t>
      </w:r>
      <w:r>
        <w:t>child-led and child-centred approaches</w:t>
      </w:r>
      <w:r w:rsidR="00784A90">
        <w:t xml:space="preserve"> employed by Plan and </w:t>
      </w:r>
      <w:r w:rsidR="0055196C">
        <w:t>SCI</w:t>
      </w:r>
      <w:r w:rsidR="00A541C9">
        <w:t>). Local language</w:t>
      </w:r>
      <w:r w:rsidR="00F655FF">
        <w:t xml:space="preserve"> was critical to success, while</w:t>
      </w:r>
      <w:r w:rsidR="00A541C9">
        <w:t xml:space="preserve"> visual formats,</w:t>
      </w:r>
      <w:r w:rsidR="00051062">
        <w:t xml:space="preserve"> creative media such as flip charts, posters</w:t>
      </w:r>
      <w:r w:rsidR="00166D60">
        <w:t>, music</w:t>
      </w:r>
      <w:r w:rsidR="00051062">
        <w:t xml:space="preserve"> and</w:t>
      </w:r>
      <w:r w:rsidR="005F6EDB">
        <w:t xml:space="preserve"> performance,</w:t>
      </w:r>
      <w:r w:rsidR="00A541C9">
        <w:t xml:space="preserve"> </w:t>
      </w:r>
      <w:r w:rsidR="00F655FF">
        <w:t xml:space="preserve">and </w:t>
      </w:r>
      <w:r w:rsidR="00A541C9">
        <w:t>mass media such as radio</w:t>
      </w:r>
      <w:r w:rsidR="00024228">
        <w:t>, video</w:t>
      </w:r>
      <w:r w:rsidR="00A541C9">
        <w:t xml:space="preserve"> and social </w:t>
      </w:r>
      <w:r w:rsidR="00F655FF">
        <w:t>media</w:t>
      </w:r>
      <w:r w:rsidR="00A541C9">
        <w:t>, were found to be effective in a range of contexts</w:t>
      </w:r>
      <w:r w:rsidR="00EC4312">
        <w:t xml:space="preserve">, including in </w:t>
      </w:r>
      <w:r w:rsidR="005E4353">
        <w:t xml:space="preserve">the </w:t>
      </w:r>
      <w:r w:rsidR="00EC4312">
        <w:t>many instances where people lack access to online information</w:t>
      </w:r>
      <w:r w:rsidR="00A541C9">
        <w:t xml:space="preserve">. </w:t>
      </w:r>
      <w:r w:rsidR="00194F3B">
        <w:t xml:space="preserve">The </w:t>
      </w:r>
      <w:r w:rsidR="00357678">
        <w:t xml:space="preserve">communication methods and </w:t>
      </w:r>
      <w:r w:rsidR="00194F3B">
        <w:t>materials were most effective where community members were actively involved in their production</w:t>
      </w:r>
      <w:r w:rsidR="00A1474E">
        <w:t xml:space="preserve"> and/or were able to adapt them to the local context.</w:t>
      </w:r>
    </w:p>
    <w:p w:rsidR="006E0557" w:rsidRDefault="00E5166D" w:rsidP="00965203">
      <w:r>
        <w:t xml:space="preserve">The projects produced </w:t>
      </w:r>
      <w:r w:rsidR="007343FE">
        <w:t>large amounts of</w:t>
      </w:r>
      <w:r w:rsidR="00024228">
        <w:t xml:space="preserve"> education and awareness materials for application in </w:t>
      </w:r>
      <w:r w:rsidR="001678E2">
        <w:t xml:space="preserve">participating </w:t>
      </w:r>
      <w:r w:rsidR="00024228">
        <w:t xml:space="preserve">communities and for wider distribution. Case studies, stories, </w:t>
      </w:r>
      <w:r w:rsidR="00971653">
        <w:t xml:space="preserve">videos, </w:t>
      </w:r>
      <w:r w:rsidR="00024228">
        <w:t>training manuals and materials are housed with the implementation teams and their partners</w:t>
      </w:r>
      <w:r w:rsidR="00732E1A">
        <w:t>. Much of this is</w:t>
      </w:r>
      <w:r w:rsidR="00024228">
        <w:t xml:space="preserve"> available online, along with useful accounts of what worked well and what was learned. </w:t>
      </w:r>
    </w:p>
    <w:p w:rsidR="00C50413" w:rsidRPr="00965203" w:rsidRDefault="00982831" w:rsidP="00965203">
      <w:r>
        <w:t>The</w:t>
      </w:r>
      <w:r w:rsidR="00971653">
        <w:t>se</w:t>
      </w:r>
      <w:r>
        <w:t xml:space="preserve"> material</w:t>
      </w:r>
      <w:r w:rsidR="00971653">
        <w:t>s</w:t>
      </w:r>
      <w:r>
        <w:t xml:space="preserve"> reflect </w:t>
      </w:r>
      <w:r w:rsidR="00F23DD6">
        <w:t>a</w:t>
      </w:r>
      <w:r>
        <w:t xml:space="preserve"> range of unique approaches but also many common themes and lessons across the projects. </w:t>
      </w:r>
      <w:r w:rsidR="00E12F4F">
        <w:t xml:space="preserve">At program level, consolidating </w:t>
      </w:r>
      <w:r>
        <w:t xml:space="preserve">all of </w:t>
      </w:r>
      <w:r w:rsidR="00E12F4F">
        <w:t>the public</w:t>
      </w:r>
      <w:r w:rsidR="00524BD8">
        <w:t>l</w:t>
      </w:r>
      <w:r w:rsidR="00E12F4F">
        <w:t xml:space="preserve">y available </w:t>
      </w:r>
      <w:r w:rsidR="00E87FEE">
        <w:t xml:space="preserve">educational </w:t>
      </w:r>
      <w:r w:rsidR="00E12F4F">
        <w:t>material</w:t>
      </w:r>
      <w:r>
        <w:t>, reviewing it</w:t>
      </w:r>
      <w:r w:rsidR="00E12F4F">
        <w:t xml:space="preserve"> and making it more accessible to a wider audience would be a significant value-add. </w:t>
      </w:r>
      <w:r w:rsidR="006E0557">
        <w:t>One example of this value-add in the program can be found in the L</w:t>
      </w:r>
      <w:r w:rsidR="004366B0">
        <w:t xml:space="preserve">ive </w:t>
      </w:r>
      <w:r w:rsidR="006E0557">
        <w:t>&amp; Learn project, which consolidated and distributed available information gathered from a range of sources to inform community choices about possible options and solutions</w:t>
      </w:r>
      <w:r w:rsidR="00591811">
        <w:t xml:space="preserve"> (</w:t>
      </w:r>
      <w:r w:rsidR="00D2308F">
        <w:t xml:space="preserve">comprising 50 </w:t>
      </w:r>
      <w:r w:rsidR="00591811">
        <w:t>climate</w:t>
      </w:r>
      <w:r w:rsidR="00524BD8">
        <w:t>-</w:t>
      </w:r>
      <w:r w:rsidR="00591811">
        <w:t>resilient crop technologies)</w:t>
      </w:r>
      <w:r w:rsidR="006E0557">
        <w:t xml:space="preserve">. </w:t>
      </w:r>
    </w:p>
    <w:p w:rsidR="00463FE3" w:rsidRPr="00082B4F" w:rsidRDefault="00463FE3" w:rsidP="0044348F">
      <w:pPr>
        <w:rPr>
          <w:i/>
        </w:rPr>
      </w:pPr>
      <w:r w:rsidRPr="00082B4F">
        <w:rPr>
          <w:b/>
          <w:i/>
        </w:rPr>
        <w:t>Scientific knowledge and technical expertise were accessed</w:t>
      </w:r>
    </w:p>
    <w:p w:rsidR="004667C8" w:rsidRDefault="00DC6FD5" w:rsidP="004667C8">
      <w:r>
        <w:t>The projects accessed technical climate change information from a range of sources (in-house specialists, government agencies, scientific and academic institutions</w:t>
      </w:r>
      <w:r w:rsidR="00524BD8">
        <w:t xml:space="preserve"> and</w:t>
      </w:r>
      <w:r>
        <w:t xml:space="preserve"> local specialists). </w:t>
      </w:r>
      <w:r w:rsidR="004667C8">
        <w:t xml:space="preserve">The consortium approach, employed by several of the projects, provided access to technical expertise for local partners from within the international NGOs. </w:t>
      </w:r>
    </w:p>
    <w:p w:rsidR="00F23DD6" w:rsidRDefault="00F23DD6" w:rsidP="0044348F">
      <w:r>
        <w:t>Teams</w:t>
      </w:r>
      <w:r w:rsidR="00243C35">
        <w:t xml:space="preserve"> found it difficult to connect communities with these sources to provide ongoing access, especially in remote areas. Science agencies tend to rely on formal forecasting media and government agency networ</w:t>
      </w:r>
      <w:r>
        <w:t>ks to get this information out. B</w:t>
      </w:r>
      <w:r w:rsidR="00243C35">
        <w:t>ut many remote communities lack facilities to access these networks.</w:t>
      </w:r>
      <w:r w:rsidR="006437FF">
        <w:t xml:space="preserve"> </w:t>
      </w:r>
    </w:p>
    <w:p w:rsidR="00FD257D" w:rsidRDefault="00243C35" w:rsidP="0044348F">
      <w:r>
        <w:t xml:space="preserve">There were also problems with the quality of information and </w:t>
      </w:r>
      <w:r w:rsidR="00FD257D">
        <w:t xml:space="preserve">in </w:t>
      </w:r>
      <w:r w:rsidR="009D3BC7">
        <w:t xml:space="preserve">accessing </w:t>
      </w:r>
      <w:r>
        <w:t>technical expertise needed to interpret</w:t>
      </w:r>
      <w:r w:rsidR="00A54AD8">
        <w:t xml:space="preserve"> tec</w:t>
      </w:r>
      <w:r w:rsidR="00591811">
        <w:t>h</w:t>
      </w:r>
      <w:r w:rsidR="00A54AD8">
        <w:t>nical</w:t>
      </w:r>
      <w:r>
        <w:t xml:space="preserve"> information locally. </w:t>
      </w:r>
      <w:r w:rsidR="00F23DD6">
        <w:t>Some projects found it useful to channel technical information through existing and purpose-built extension facilities (e.g. rural training centres and climate field schools), providing famers with access to weather forecasts and offering complementary technical skills and advice (e.g. Oxfam</w:t>
      </w:r>
      <w:r w:rsidR="005E40AA">
        <w:t>,</w:t>
      </w:r>
      <w:r w:rsidR="00F23DD6">
        <w:t xml:space="preserve"> Philippines). Others engaged local extension officers in project activities.</w:t>
      </w:r>
    </w:p>
    <w:p w:rsidR="00463FE3" w:rsidRPr="00463FE3" w:rsidRDefault="004667C8" w:rsidP="0044348F">
      <w:r>
        <w:t>In</w:t>
      </w:r>
      <w:r w:rsidR="009D3BC7">
        <w:t xml:space="preserve"> some cases, reliance on local technical officers was a weakness because of low capacities and skills, particularly in helping communities come up with effective livelihood strategies and options </w:t>
      </w:r>
      <w:r w:rsidR="00FD257D">
        <w:t>for dealing with impacts, including</w:t>
      </w:r>
      <w:r w:rsidR="009D3BC7">
        <w:t xml:space="preserve"> increas</w:t>
      </w:r>
      <w:r w:rsidR="00FD257D">
        <w:t>ingly variable weather patterns.</w:t>
      </w:r>
      <w:r w:rsidR="009D3BC7">
        <w:t xml:space="preserve"> </w:t>
      </w:r>
      <w:r w:rsidR="00FD257D">
        <w:t>This expertise was found to be critical to success.</w:t>
      </w:r>
    </w:p>
    <w:p w:rsidR="0044348F" w:rsidRPr="00082B4F" w:rsidRDefault="0044348F" w:rsidP="0044348F">
      <w:pPr>
        <w:rPr>
          <w:i/>
        </w:rPr>
      </w:pPr>
      <w:r w:rsidRPr="00082B4F">
        <w:rPr>
          <w:b/>
          <w:i/>
        </w:rPr>
        <w:t>Scientific knowledge was connected with traditional knowhow</w:t>
      </w:r>
    </w:p>
    <w:p w:rsidR="004667C8" w:rsidRDefault="00EB3536" w:rsidP="00EB3536">
      <w:r>
        <w:t xml:space="preserve">Communicating information about highly technical and complex issues like climate change presents significant challenges, both in interpreting the science </w:t>
      </w:r>
      <w:r w:rsidR="00BD325E">
        <w:t>for</w:t>
      </w:r>
      <w:r>
        <w:t xml:space="preserve"> local context</w:t>
      </w:r>
      <w:r w:rsidR="00BD325E">
        <w:t>s</w:t>
      </w:r>
      <w:r>
        <w:t xml:space="preserve"> and in reaching and engaging audiences. Building on the past experiences of the partners, projects employed innovative communication methods, including a canoe voyage in the Pacific (</w:t>
      </w:r>
      <w:r w:rsidR="004667C8">
        <w:t>TNC</w:t>
      </w:r>
      <w:r w:rsidR="00533DCC">
        <w:t xml:space="preserve"> p</w:t>
      </w:r>
      <w:r>
        <w:t>roject), which took messages about climate change to very remote communities</w:t>
      </w:r>
      <w:r w:rsidR="00BD325E">
        <w:t>. The project</w:t>
      </w:r>
      <w:r>
        <w:t xml:space="preserve"> reach</w:t>
      </w:r>
      <w:r w:rsidR="00BD325E">
        <w:t xml:space="preserve">ed more than </w:t>
      </w:r>
      <w:r>
        <w:t>3,000 people and w</w:t>
      </w:r>
      <w:r w:rsidR="00BD325E">
        <w:t>on</w:t>
      </w:r>
      <w:r>
        <w:t xml:space="preserve"> a </w:t>
      </w:r>
      <w:r w:rsidR="0077483F">
        <w:t>Secretariat of the Pacific Regional Environment Programme (</w:t>
      </w:r>
      <w:r>
        <w:t>SPREP</w:t>
      </w:r>
      <w:r w:rsidR="0077483F">
        <w:t>)</w:t>
      </w:r>
      <w:r>
        <w:t xml:space="preserve"> environmental achievement award. </w:t>
      </w:r>
    </w:p>
    <w:p w:rsidR="00EB3536" w:rsidRDefault="00815368" w:rsidP="00EB3536">
      <w:r>
        <w:t xml:space="preserve">Another example is the </w:t>
      </w:r>
      <w:r w:rsidR="007D1004">
        <w:t>three-dimensional</w:t>
      </w:r>
      <w:r>
        <w:t xml:space="preserve"> modelling employed by TNC in vulnerable communities in the Pacific</w:t>
      </w:r>
      <w:r w:rsidR="007D1004">
        <w:t xml:space="preserve"> Region</w:t>
      </w:r>
      <w:r w:rsidR="00BD325E">
        <w:t>. TNC</w:t>
      </w:r>
      <w:r>
        <w:t xml:space="preserve"> engage</w:t>
      </w:r>
      <w:r w:rsidR="00BD325E">
        <w:t>d</w:t>
      </w:r>
      <w:r>
        <w:t xml:space="preserve"> communities in construction of </w:t>
      </w:r>
      <w:r w:rsidR="004667C8">
        <w:t>a</w:t>
      </w:r>
      <w:r>
        <w:t xml:space="preserve"> scale model of their coast</w:t>
      </w:r>
      <w:r w:rsidR="00463FE3">
        <w:t>line</w:t>
      </w:r>
      <w:r>
        <w:t xml:space="preserve"> and landscape, enabling a discussion about the likely impacts of storm surges and sea level rise on their resources and assets.</w:t>
      </w:r>
      <w:r w:rsidR="004B0A5D">
        <w:t xml:space="preserve"> In these exercises, people took ownership and were able to add their </w:t>
      </w:r>
      <w:r w:rsidR="00463FE3">
        <w:t xml:space="preserve">local </w:t>
      </w:r>
      <w:r w:rsidR="004B0A5D">
        <w:t>knowledge to a basic elevation contour model.</w:t>
      </w:r>
    </w:p>
    <w:p w:rsidR="00F83F51" w:rsidRDefault="0044348F" w:rsidP="0044348F">
      <w:r>
        <w:t xml:space="preserve">The project teams employed various </w:t>
      </w:r>
      <w:r w:rsidR="00751BB2">
        <w:t xml:space="preserve">other </w:t>
      </w:r>
      <w:r>
        <w:t>approaches to connect technical climate change information (e.g. proj</w:t>
      </w:r>
      <w:r w:rsidR="00F053FE">
        <w:t>ections and scenarios) with people’s knowledge</w:t>
      </w:r>
      <w:r>
        <w:t xml:space="preserve"> about their resources, how they are managed and the likely impact of changing weather and climate on their prod</w:t>
      </w:r>
      <w:r w:rsidR="00751BB2">
        <w:t>uction and livelihood systems. These systems commonly have in</w:t>
      </w:r>
      <w:r w:rsidR="0066385A">
        <w:t>-</w:t>
      </w:r>
      <w:r w:rsidR="00751BB2">
        <w:t>built resilience and capacity to diversify (even if on a small scale). B</w:t>
      </w:r>
      <w:r>
        <w:t xml:space="preserve">oth sources of knowledge are needed to inform identification of </w:t>
      </w:r>
      <w:r w:rsidR="00DC6FD5">
        <w:t xml:space="preserve">effective </w:t>
      </w:r>
      <w:r w:rsidR="00751BB2">
        <w:t xml:space="preserve">local </w:t>
      </w:r>
      <w:r w:rsidR="00F83F51">
        <w:t>adaptive strategies:</w:t>
      </w:r>
    </w:p>
    <w:p w:rsidR="00F83F51" w:rsidRPr="00894003" w:rsidRDefault="00F83F51" w:rsidP="00894003">
      <w:pPr>
        <w:ind w:left="720"/>
        <w:rPr>
          <w:sz w:val="20"/>
        </w:rPr>
      </w:pPr>
      <w:r w:rsidRPr="00894003">
        <w:rPr>
          <w:i/>
          <w:sz w:val="20"/>
        </w:rPr>
        <w:t>‘We women spent most of our time working on our land to support out family. We know how to cultivate our crops and grow our food. However, over recent years, we observed changes in the weather and sometimes it affected our crop and we don’t know why this is happening</w:t>
      </w:r>
      <w:r w:rsidR="0031510D">
        <w:rPr>
          <w:i/>
          <w:sz w:val="20"/>
        </w:rPr>
        <w:t xml:space="preserve"> </w:t>
      </w:r>
      <w:r w:rsidRPr="00894003">
        <w:rPr>
          <w:i/>
          <w:sz w:val="20"/>
        </w:rPr>
        <w:t>… we can work together with you to address our problem with our food gardens.’</w:t>
      </w:r>
      <w:r w:rsidRPr="00894003">
        <w:rPr>
          <w:sz w:val="20"/>
        </w:rPr>
        <w:t xml:space="preserve"> </w:t>
      </w:r>
      <w:r w:rsidRPr="00894003">
        <w:rPr>
          <w:i/>
          <w:sz w:val="20"/>
        </w:rPr>
        <w:t xml:space="preserve">– </w:t>
      </w:r>
      <w:r w:rsidR="003E4913">
        <w:rPr>
          <w:sz w:val="20"/>
        </w:rPr>
        <w:t>c</w:t>
      </w:r>
      <w:r w:rsidR="003B1D34" w:rsidRPr="00894003">
        <w:rPr>
          <w:sz w:val="20"/>
        </w:rPr>
        <w:t xml:space="preserve">ommunity participant, </w:t>
      </w:r>
      <w:r w:rsidRPr="00894003">
        <w:rPr>
          <w:sz w:val="20"/>
        </w:rPr>
        <w:t>Pu</w:t>
      </w:r>
      <w:r w:rsidR="003B1D34" w:rsidRPr="00894003">
        <w:rPr>
          <w:sz w:val="20"/>
        </w:rPr>
        <w:t>nam Community, New Ireland, PNG,</w:t>
      </w:r>
      <w:r w:rsidRPr="00894003">
        <w:rPr>
          <w:sz w:val="20"/>
        </w:rPr>
        <w:t xml:space="preserve"> L</w:t>
      </w:r>
      <w:r w:rsidR="003B1D34" w:rsidRPr="00894003">
        <w:rPr>
          <w:sz w:val="20"/>
        </w:rPr>
        <w:t xml:space="preserve">ive </w:t>
      </w:r>
      <w:r w:rsidRPr="00894003">
        <w:rPr>
          <w:sz w:val="20"/>
        </w:rPr>
        <w:t>&amp;</w:t>
      </w:r>
      <w:r w:rsidR="003B1D34" w:rsidRPr="00894003">
        <w:rPr>
          <w:sz w:val="20"/>
        </w:rPr>
        <w:t xml:space="preserve"> </w:t>
      </w:r>
      <w:r w:rsidRPr="00894003">
        <w:rPr>
          <w:sz w:val="20"/>
        </w:rPr>
        <w:t>L</w:t>
      </w:r>
      <w:r w:rsidR="003B1D34" w:rsidRPr="00894003">
        <w:rPr>
          <w:sz w:val="20"/>
        </w:rPr>
        <w:t>earn</w:t>
      </w:r>
      <w:r w:rsidRPr="00894003">
        <w:rPr>
          <w:sz w:val="20"/>
        </w:rPr>
        <w:t xml:space="preserve"> </w:t>
      </w:r>
      <w:r w:rsidR="003E4913">
        <w:rPr>
          <w:sz w:val="20"/>
        </w:rPr>
        <w:t>(</w:t>
      </w:r>
      <w:r w:rsidRPr="00894003">
        <w:rPr>
          <w:sz w:val="20"/>
        </w:rPr>
        <w:t>case study</w:t>
      </w:r>
      <w:r w:rsidR="003E4913">
        <w:rPr>
          <w:sz w:val="20"/>
        </w:rPr>
        <w:t>)</w:t>
      </w:r>
      <w:r w:rsidRPr="00894003">
        <w:rPr>
          <w:sz w:val="20"/>
        </w:rPr>
        <w:t xml:space="preserve"> </w:t>
      </w:r>
    </w:p>
    <w:p w:rsidR="00751BB2" w:rsidRDefault="00751BB2" w:rsidP="0044348F">
      <w:r>
        <w:t>For example, the Knowledge Hubs developed by Live &amp; Learn in several Pacific communities reinvigorated local knowledge about food production in the context of a changing climate, leading to reintroduction of traditional crops that are less susceptible to some of the projected impacts:</w:t>
      </w:r>
    </w:p>
    <w:p w:rsidR="00463FE3" w:rsidRPr="00894003" w:rsidRDefault="00894003" w:rsidP="00894003">
      <w:pPr>
        <w:ind w:left="720"/>
        <w:rPr>
          <w:sz w:val="20"/>
        </w:rPr>
      </w:pPr>
      <w:r w:rsidRPr="00894003">
        <w:rPr>
          <w:i/>
          <w:sz w:val="20"/>
        </w:rPr>
        <w:t>‘</w:t>
      </w:r>
      <w:r w:rsidR="00751BB2" w:rsidRPr="00894003">
        <w:rPr>
          <w:i/>
          <w:sz w:val="20"/>
        </w:rPr>
        <w:t>Our grandparents lived mostly from food provided by our forest and our surrounding environment. Few of these species are still used a</w:t>
      </w:r>
      <w:r w:rsidR="00BD325E">
        <w:rPr>
          <w:i/>
          <w:sz w:val="20"/>
        </w:rPr>
        <w:t>s</w:t>
      </w:r>
      <w:r w:rsidR="00751BB2" w:rsidRPr="00894003">
        <w:rPr>
          <w:i/>
          <w:sz w:val="20"/>
        </w:rPr>
        <w:t xml:space="preserve"> food whereas most are no longer in use as food because we are relying on introduced foods. Through Live </w:t>
      </w:r>
      <w:r w:rsidR="00BD325E">
        <w:rPr>
          <w:i/>
          <w:sz w:val="20"/>
        </w:rPr>
        <w:t>&amp;</w:t>
      </w:r>
      <w:r w:rsidR="00751BB2" w:rsidRPr="00894003">
        <w:rPr>
          <w:i/>
          <w:sz w:val="20"/>
        </w:rPr>
        <w:t xml:space="preserve"> Learn trainings we have realised and even recalled these species and brought them back. These will be established and help us in extreme climate and disaster events when other introduced species can’t survive.’</w:t>
      </w:r>
      <w:r w:rsidR="00751BB2" w:rsidRPr="00894003">
        <w:rPr>
          <w:sz w:val="20"/>
        </w:rPr>
        <w:t xml:space="preserve"> – </w:t>
      </w:r>
      <w:r w:rsidR="003E4913">
        <w:rPr>
          <w:sz w:val="20"/>
        </w:rPr>
        <w:t>c</w:t>
      </w:r>
      <w:r w:rsidR="00751BB2" w:rsidRPr="00894003">
        <w:rPr>
          <w:sz w:val="20"/>
        </w:rPr>
        <w:t>ommunity partic</w:t>
      </w:r>
      <w:r w:rsidR="003B1D34" w:rsidRPr="00894003">
        <w:rPr>
          <w:sz w:val="20"/>
        </w:rPr>
        <w:t xml:space="preserve">ipant, Panachais, Kavieng, PNG, </w:t>
      </w:r>
      <w:r w:rsidR="00751BB2" w:rsidRPr="00894003">
        <w:rPr>
          <w:sz w:val="20"/>
        </w:rPr>
        <w:t>L</w:t>
      </w:r>
      <w:r w:rsidR="003B1D34" w:rsidRPr="00894003">
        <w:rPr>
          <w:sz w:val="20"/>
        </w:rPr>
        <w:t xml:space="preserve">ive </w:t>
      </w:r>
      <w:r w:rsidR="00751BB2" w:rsidRPr="00894003">
        <w:rPr>
          <w:sz w:val="20"/>
        </w:rPr>
        <w:t>&amp;</w:t>
      </w:r>
      <w:r w:rsidR="003B1D34" w:rsidRPr="00894003">
        <w:rPr>
          <w:sz w:val="20"/>
        </w:rPr>
        <w:t xml:space="preserve"> </w:t>
      </w:r>
      <w:r w:rsidR="00751BB2" w:rsidRPr="00894003">
        <w:rPr>
          <w:sz w:val="20"/>
        </w:rPr>
        <w:t>L</w:t>
      </w:r>
      <w:r w:rsidR="003B1D34" w:rsidRPr="00894003">
        <w:rPr>
          <w:sz w:val="20"/>
        </w:rPr>
        <w:t>earn</w:t>
      </w:r>
      <w:r w:rsidR="003E4913">
        <w:rPr>
          <w:sz w:val="20"/>
        </w:rPr>
        <w:t>, (</w:t>
      </w:r>
      <w:r w:rsidR="003B1D34" w:rsidRPr="00894003">
        <w:rPr>
          <w:sz w:val="20"/>
        </w:rPr>
        <w:t>case study</w:t>
      </w:r>
      <w:r w:rsidR="003E4913">
        <w:rPr>
          <w:sz w:val="20"/>
        </w:rPr>
        <w:t>)</w:t>
      </w:r>
    </w:p>
    <w:p w:rsidR="0044348F" w:rsidRPr="00E26FFF" w:rsidRDefault="004667C8" w:rsidP="0044348F">
      <w:r>
        <w:t>By</w:t>
      </w:r>
      <w:r w:rsidR="00463FE3">
        <w:t xml:space="preserve"> taking account of traditional knowledge, projects were in some cases able to harness local community traditions for managing resources in ways that could build resilience to the impacts of cl</w:t>
      </w:r>
      <w:r w:rsidR="00BE694A">
        <w:t>imate change. These include</w:t>
      </w:r>
      <w:r w:rsidR="00BD325E">
        <w:t>d</w:t>
      </w:r>
      <w:r w:rsidR="00BE694A">
        <w:t xml:space="preserve"> the use of </w:t>
      </w:r>
      <w:r w:rsidR="00062EB2">
        <w:t>traditional resource management regulations (</w:t>
      </w:r>
      <w:r w:rsidR="007D5E7B" w:rsidRPr="00004EF7">
        <w:rPr>
          <w:i/>
        </w:rPr>
        <w:t>Tara Ba</w:t>
      </w:r>
      <w:r w:rsidR="00BE694A" w:rsidRPr="00004EF7">
        <w:rPr>
          <w:i/>
        </w:rPr>
        <w:t>ndu</w:t>
      </w:r>
      <w:r w:rsidR="00062EB2">
        <w:rPr>
          <w:i/>
        </w:rPr>
        <w:t>)</w:t>
      </w:r>
      <w:r w:rsidR="00BE694A">
        <w:t xml:space="preserve"> in Timor</w:t>
      </w:r>
      <w:r w:rsidR="00BD325E">
        <w:t>-</w:t>
      </w:r>
      <w:r w:rsidR="00BE694A">
        <w:t>Leste (Oxfam)</w:t>
      </w:r>
      <w:r w:rsidR="00751BB2">
        <w:t xml:space="preserve"> to protect ecosystems, enabling them to remain healthy and productive (e.g. by declaring marine protected areas). </w:t>
      </w:r>
    </w:p>
    <w:p w:rsidR="00243D78" w:rsidRPr="00082B4F" w:rsidRDefault="00FB7317" w:rsidP="00CF066C">
      <w:pPr>
        <w:rPr>
          <w:b/>
          <w:i/>
        </w:rPr>
      </w:pPr>
      <w:r w:rsidRPr="00082B4F">
        <w:rPr>
          <w:b/>
          <w:i/>
        </w:rPr>
        <w:t>Climate change information was linked</w:t>
      </w:r>
      <w:r w:rsidR="00784A90" w:rsidRPr="00082B4F">
        <w:rPr>
          <w:b/>
          <w:i/>
        </w:rPr>
        <w:t xml:space="preserve"> to </w:t>
      </w:r>
      <w:r w:rsidR="00FC4D74" w:rsidRPr="00082B4F">
        <w:rPr>
          <w:b/>
          <w:i/>
        </w:rPr>
        <w:t xml:space="preserve">people’s lives and </w:t>
      </w:r>
      <w:r w:rsidR="00784A90" w:rsidRPr="00082B4F">
        <w:rPr>
          <w:b/>
          <w:i/>
        </w:rPr>
        <w:t>livelihoods</w:t>
      </w:r>
    </w:p>
    <w:p w:rsidR="00897526" w:rsidRPr="00243D78" w:rsidRDefault="00243D78" w:rsidP="00CF066C">
      <w:r>
        <w:t xml:space="preserve">The project teams found that </w:t>
      </w:r>
      <w:r w:rsidR="00453F59">
        <w:t>people understood climate change when it was</w:t>
      </w:r>
      <w:r w:rsidR="00166D60">
        <w:t xml:space="preserve"> talked about in relation to their context and livelihoods, rather than as an abstract construct</w:t>
      </w:r>
      <w:r w:rsidR="00BE694A">
        <w:t>. Otherwise, communities tend to view the impacts as either temporary or beyond their control</w:t>
      </w:r>
      <w:r w:rsidR="00166D60">
        <w:t xml:space="preserve">: </w:t>
      </w:r>
    </w:p>
    <w:p w:rsidR="00897526" w:rsidRPr="00894003" w:rsidRDefault="00897526" w:rsidP="00894003">
      <w:pPr>
        <w:ind w:left="720"/>
        <w:rPr>
          <w:sz w:val="20"/>
        </w:rPr>
      </w:pPr>
      <w:r w:rsidRPr="00894003">
        <w:rPr>
          <w:i/>
          <w:sz w:val="20"/>
        </w:rPr>
        <w:t>‘Adaptation is difficult for communities to understand – so we talk to them about food security</w:t>
      </w:r>
      <w:r w:rsidR="00E65B8D">
        <w:rPr>
          <w:i/>
          <w:sz w:val="20"/>
        </w:rPr>
        <w:t>.</w:t>
      </w:r>
      <w:r w:rsidRPr="00894003">
        <w:rPr>
          <w:i/>
          <w:sz w:val="20"/>
        </w:rPr>
        <w:t xml:space="preserve"> </w:t>
      </w:r>
      <w:r w:rsidR="00E65B8D">
        <w:rPr>
          <w:i/>
          <w:sz w:val="20"/>
        </w:rPr>
        <w:t>T</w:t>
      </w:r>
      <w:r w:rsidRPr="00894003">
        <w:rPr>
          <w:i/>
          <w:sz w:val="20"/>
        </w:rPr>
        <w:t xml:space="preserve">he Ministry of Agriculture gives seeds that are better in the changing climate – they understand this. And vegetables </w:t>
      </w:r>
      <w:r w:rsidR="00E65B8D">
        <w:rPr>
          <w:i/>
          <w:sz w:val="20"/>
        </w:rPr>
        <w:t>–</w:t>
      </w:r>
      <w:r w:rsidR="00F72B10" w:rsidRPr="00894003">
        <w:rPr>
          <w:i/>
          <w:sz w:val="20"/>
        </w:rPr>
        <w:t xml:space="preserve"> </w:t>
      </w:r>
      <w:r w:rsidRPr="00894003">
        <w:rPr>
          <w:i/>
          <w:sz w:val="20"/>
        </w:rPr>
        <w:t>they see benefit as they can be grown for several months. You need to show short-term benefit</w:t>
      </w:r>
      <w:r w:rsidR="00E65B8D">
        <w:rPr>
          <w:i/>
          <w:sz w:val="20"/>
        </w:rPr>
        <w:t>.</w:t>
      </w:r>
      <w:r w:rsidRPr="00894003">
        <w:rPr>
          <w:i/>
          <w:sz w:val="20"/>
        </w:rPr>
        <w:t>’</w:t>
      </w:r>
      <w:r w:rsidRPr="00894003">
        <w:rPr>
          <w:sz w:val="20"/>
        </w:rPr>
        <w:t xml:space="preserve"> – </w:t>
      </w:r>
      <w:r w:rsidR="003E4913">
        <w:rPr>
          <w:sz w:val="20"/>
        </w:rPr>
        <w:t>i</w:t>
      </w:r>
      <w:r w:rsidRPr="00894003">
        <w:rPr>
          <w:sz w:val="20"/>
        </w:rPr>
        <w:t>mplementation partner</w:t>
      </w:r>
      <w:r w:rsidR="00166D60" w:rsidRPr="00894003">
        <w:rPr>
          <w:sz w:val="20"/>
        </w:rPr>
        <w:t>,</w:t>
      </w:r>
      <w:r w:rsidRPr="00894003">
        <w:rPr>
          <w:i/>
          <w:sz w:val="20"/>
        </w:rPr>
        <w:t xml:space="preserve"> </w:t>
      </w:r>
      <w:r w:rsidRPr="00894003">
        <w:rPr>
          <w:sz w:val="20"/>
        </w:rPr>
        <w:t>Oxfam</w:t>
      </w:r>
      <w:r w:rsidR="0054483E" w:rsidRPr="00894003">
        <w:rPr>
          <w:sz w:val="20"/>
        </w:rPr>
        <w:t>,</w:t>
      </w:r>
      <w:r w:rsidRPr="00894003">
        <w:rPr>
          <w:sz w:val="20"/>
        </w:rPr>
        <w:t xml:space="preserve"> Timor</w:t>
      </w:r>
      <w:r w:rsidR="00E65B8D">
        <w:rPr>
          <w:sz w:val="20"/>
        </w:rPr>
        <w:t>-</w:t>
      </w:r>
      <w:r w:rsidRPr="00894003">
        <w:rPr>
          <w:sz w:val="20"/>
        </w:rPr>
        <w:t>Leste</w:t>
      </w:r>
      <w:r w:rsidR="003E4913">
        <w:rPr>
          <w:sz w:val="20"/>
        </w:rPr>
        <w:t xml:space="preserve"> (</w:t>
      </w:r>
      <w:r w:rsidR="003B1D34" w:rsidRPr="00894003">
        <w:rPr>
          <w:sz w:val="20"/>
        </w:rPr>
        <w:t>interview</w:t>
      </w:r>
      <w:r w:rsidR="003E4913">
        <w:rPr>
          <w:sz w:val="20"/>
        </w:rPr>
        <w:t>)</w:t>
      </w:r>
      <w:r w:rsidRPr="00894003">
        <w:rPr>
          <w:sz w:val="20"/>
        </w:rPr>
        <w:t xml:space="preserve"> </w:t>
      </w:r>
    </w:p>
    <w:p w:rsidR="001C7D6F" w:rsidRDefault="00A92B30" w:rsidP="00CF066C">
      <w:r>
        <w:t>People</w:t>
      </w:r>
      <w:r w:rsidR="0054483E">
        <w:t xml:space="preserve"> in general</w:t>
      </w:r>
      <w:r w:rsidR="005368D4">
        <w:t xml:space="preserve">, and </w:t>
      </w:r>
      <w:r>
        <w:t xml:space="preserve">particularly those in poor communities, </w:t>
      </w:r>
      <w:r w:rsidR="0061767C">
        <w:t>tend to focus</w:t>
      </w:r>
      <w:r w:rsidR="00166D60">
        <w:t xml:space="preserve"> on immediate concerns of food and water security,</w:t>
      </w:r>
      <w:r w:rsidR="005368D4">
        <w:t xml:space="preserve"> income, health and education for</w:t>
      </w:r>
      <w:r w:rsidR="00166D60">
        <w:t xml:space="preserve"> their families</w:t>
      </w:r>
      <w:r w:rsidR="00F72B10">
        <w:t>.</w:t>
      </w:r>
      <w:r>
        <w:t xml:space="preserve"> </w:t>
      </w:r>
      <w:r w:rsidR="00824F84">
        <w:t xml:space="preserve">For example, </w:t>
      </w:r>
      <w:r w:rsidR="00AC6F1C">
        <w:t xml:space="preserve">in areas </w:t>
      </w:r>
      <w:r w:rsidR="00B1039D">
        <w:t>that</w:t>
      </w:r>
      <w:r w:rsidR="00AC6F1C">
        <w:t xml:space="preserve"> had recently experienced super-destructive tropical storms</w:t>
      </w:r>
      <w:r w:rsidR="0061767C">
        <w:t xml:space="preserve"> (e.g. Vanuatu and southern Philippines)</w:t>
      </w:r>
      <w:r w:rsidR="009715E8">
        <w:t xml:space="preserve">, </w:t>
      </w:r>
      <w:r w:rsidR="0061767C">
        <w:t xml:space="preserve">project </w:t>
      </w:r>
      <w:r w:rsidR="009715E8">
        <w:t>communities were dealing with recovery and getting their lives back on track</w:t>
      </w:r>
      <w:r w:rsidR="00AC6F1C">
        <w:t xml:space="preserve"> over</w:t>
      </w:r>
      <w:r w:rsidR="000A5200">
        <w:t xml:space="preserve"> longer-</w:t>
      </w:r>
      <w:r w:rsidR="00824F84">
        <w:t xml:space="preserve">term preparedness, </w:t>
      </w:r>
      <w:r w:rsidR="000A5200">
        <w:t xml:space="preserve">risk reduction and adaptive action. </w:t>
      </w:r>
      <w:r w:rsidR="00824F84">
        <w:t xml:space="preserve">Communities in drought-affected areas </w:t>
      </w:r>
      <w:r w:rsidR="00AC6F1C">
        <w:t>(e.g. Timor</w:t>
      </w:r>
      <w:r w:rsidR="00E65B8D">
        <w:t>-</w:t>
      </w:r>
      <w:r w:rsidR="00AC6F1C">
        <w:t xml:space="preserve">Leste) </w:t>
      </w:r>
      <w:r w:rsidR="00824F84">
        <w:t xml:space="preserve">were concerned with accessing secure water supplies </w:t>
      </w:r>
      <w:r w:rsidR="001C7D6F">
        <w:t>and less so with investing in water</w:t>
      </w:r>
      <w:r w:rsidR="00E65B8D">
        <w:t>-</w:t>
      </w:r>
      <w:r w:rsidR="001C7D6F">
        <w:t>efficient technologies</w:t>
      </w:r>
      <w:r w:rsidR="00824F84">
        <w:t xml:space="preserve">. </w:t>
      </w:r>
      <w:r w:rsidR="001C7D6F">
        <w:t xml:space="preserve">People in very poor communities opted to invest in their children’s education in preference to technology to boost and diversify their livelihoods. </w:t>
      </w:r>
    </w:p>
    <w:p w:rsidR="00BE694A" w:rsidRDefault="009715E8" w:rsidP="00CF066C">
      <w:r>
        <w:t>The projects found that short-term benefits from climate change adaptation needed to be apparent</w:t>
      </w:r>
      <w:r w:rsidR="00824F84">
        <w:t xml:space="preserve"> in most contexts</w:t>
      </w:r>
      <w:r>
        <w:t xml:space="preserve">. </w:t>
      </w:r>
      <w:r w:rsidRPr="009715E8">
        <w:t>Community engagement tended to drop off or was difficult to sustain unless these benefits were clear</w:t>
      </w:r>
      <w:r>
        <w:t xml:space="preserve">. Therefore </w:t>
      </w:r>
      <w:r w:rsidR="00D620E2">
        <w:t xml:space="preserve">projects </w:t>
      </w:r>
      <w:r w:rsidR="005368D4">
        <w:t>found it effective to introduce</w:t>
      </w:r>
      <w:r w:rsidR="00D620E2">
        <w:t xml:space="preserve"> climate change knowledge through the lens of these concerns, </w:t>
      </w:r>
      <w:r w:rsidR="008B6578">
        <w:t xml:space="preserve">and did so </w:t>
      </w:r>
      <w:r w:rsidR="00D620E2">
        <w:t xml:space="preserve">generally in the context of ‘resilience’ – where strengthening the </w:t>
      </w:r>
      <w:r w:rsidR="005368D4">
        <w:t xml:space="preserve">health and </w:t>
      </w:r>
      <w:r w:rsidR="00D620E2">
        <w:t>productivity of communities</w:t>
      </w:r>
      <w:r w:rsidR="005368D4">
        <w:t xml:space="preserve"> and their natural and cultural assets</w:t>
      </w:r>
      <w:r w:rsidR="0054483E">
        <w:t>, while taking account of climate projections</w:t>
      </w:r>
      <w:r w:rsidR="00500F6D">
        <w:t>, forecasts</w:t>
      </w:r>
      <w:r w:rsidR="00494492">
        <w:t xml:space="preserve"> and other relevant information</w:t>
      </w:r>
      <w:r w:rsidR="0054483E">
        <w:t>,</w:t>
      </w:r>
      <w:r w:rsidR="005368D4">
        <w:t xml:space="preserve"> is assumed </w:t>
      </w:r>
      <w:r w:rsidR="0054483E">
        <w:t>to also build resilience to climate change impacts</w:t>
      </w:r>
      <w:r w:rsidR="00B2070A">
        <w:t>.</w:t>
      </w:r>
    </w:p>
    <w:p w:rsidR="00BE694A" w:rsidRDefault="00FB7317" w:rsidP="00CF066C">
      <w:r>
        <w:t xml:space="preserve">The program offers a wealth of experience and evidence about </w:t>
      </w:r>
      <w:r w:rsidR="00E26FFF">
        <w:t>how resilience is interpreted</w:t>
      </w:r>
      <w:r>
        <w:t xml:space="preserve"> in a range of communities and settings. </w:t>
      </w:r>
      <w:r w:rsidR="00E26FFF">
        <w:t>For example, some projects developed frameworks for defining community resilience (including Oxfam’s Resilience Framework)</w:t>
      </w:r>
      <w:r w:rsidR="00500F6D">
        <w:t xml:space="preserve"> and applied these in their work with communities</w:t>
      </w:r>
      <w:r w:rsidR="00AA17F3">
        <w:t>.</w:t>
      </w:r>
      <w:r w:rsidR="00E07AD4">
        <w:t xml:space="preserve"> Others sought to identify and test resilient livelihood options and technologies.</w:t>
      </w:r>
      <w:r w:rsidR="00E26FFF">
        <w:t xml:space="preserve"> </w:t>
      </w:r>
    </w:p>
    <w:p w:rsidR="00AB28AB" w:rsidRDefault="00FB7317" w:rsidP="00CF066C">
      <w:r>
        <w:t>This evidence base</w:t>
      </w:r>
      <w:r w:rsidR="001678E2">
        <w:t>,</w:t>
      </w:r>
      <w:r>
        <w:t xml:space="preserve"> </w:t>
      </w:r>
      <w:r w:rsidR="001678E2">
        <w:t>if</w:t>
      </w:r>
      <w:r>
        <w:t xml:space="preserve"> </w:t>
      </w:r>
      <w:r w:rsidR="001678E2">
        <w:t>collated and examined in some detail, could</w:t>
      </w:r>
      <w:r>
        <w:t xml:space="preserve"> inform the active ongoing </w:t>
      </w:r>
      <w:r w:rsidR="00AA17F3">
        <w:t xml:space="preserve">global </w:t>
      </w:r>
      <w:r>
        <w:t>discussion about what constitutes resilience to climate change impac</w:t>
      </w:r>
      <w:r w:rsidR="00AA17F3">
        <w:t xml:space="preserve">ts, </w:t>
      </w:r>
      <w:r w:rsidR="00E65B8D">
        <w:t xml:space="preserve">and </w:t>
      </w:r>
      <w:r w:rsidR="00AA17F3">
        <w:t>how this can be achieved as part of</w:t>
      </w:r>
      <w:r w:rsidR="009715E8">
        <w:t xml:space="preserve"> the ‘long game’</w:t>
      </w:r>
      <w:r w:rsidR="00E65B8D">
        <w:t>,</w:t>
      </w:r>
      <w:r w:rsidR="009715E8">
        <w:t xml:space="preserve"> while acknowledging people’s more immediate needs </w:t>
      </w:r>
      <w:r w:rsidR="001678E2">
        <w:t>and whether</w:t>
      </w:r>
      <w:r w:rsidR="009715E8">
        <w:t xml:space="preserve"> we </w:t>
      </w:r>
      <w:r w:rsidR="00E65B8D">
        <w:t xml:space="preserve">are </w:t>
      </w:r>
      <w:r w:rsidR="009715E8">
        <w:t>doing enough in th</w:t>
      </w:r>
      <w:r w:rsidR="00404099">
        <w:t>e short term to achieve it. These questions come</w:t>
      </w:r>
      <w:r w:rsidR="009715E8">
        <w:t xml:space="preserve"> sharply </w:t>
      </w:r>
      <w:r w:rsidR="00404099">
        <w:t>into focus</w:t>
      </w:r>
      <w:r w:rsidR="009715E8">
        <w:t xml:space="preserve"> in situations where, without substantial increases in targeted investment in adaptation</w:t>
      </w:r>
      <w:r w:rsidR="00705071">
        <w:t xml:space="preserve"> in the immediate future</w:t>
      </w:r>
      <w:r w:rsidR="009715E8">
        <w:t>, it will be difficult to avert mass migrations from areas that are already highly impacted.</w:t>
      </w:r>
    </w:p>
    <w:p w:rsidR="00E033AD" w:rsidRPr="00082B4F" w:rsidRDefault="00E033AD" w:rsidP="00E033AD">
      <w:pPr>
        <w:rPr>
          <w:b/>
          <w:i/>
        </w:rPr>
      </w:pPr>
      <w:r w:rsidRPr="00082B4F">
        <w:rPr>
          <w:b/>
          <w:i/>
        </w:rPr>
        <w:t>Knowledge was shared and communities connected to wider knowledge networks</w:t>
      </w:r>
    </w:p>
    <w:p w:rsidR="00B30FDA" w:rsidRDefault="00E033AD" w:rsidP="00E033AD">
      <w:r>
        <w:t xml:space="preserve">The projects employed a range of approaches to facilitate sharing of knowledge about climate change and community resilience within the communities, with other communities and to the general public. These included active advocacy and knowledge brokering, </w:t>
      </w:r>
      <w:r w:rsidR="00F04A33">
        <w:t xml:space="preserve">which were </w:t>
      </w:r>
      <w:r>
        <w:t>developed and promoted as core project objectives (Plan/SCI, Philippines); peer-to-peer exchanges between communities (e.g. farmer field exchanges); and demonstrations</w:t>
      </w:r>
      <w:r w:rsidR="00557689">
        <w:t xml:space="preserve"> (e.g. TNC connected communities </w:t>
      </w:r>
      <w:r w:rsidR="00B04C39">
        <w:t>that</w:t>
      </w:r>
      <w:r w:rsidR="00557689">
        <w:t xml:space="preserve"> successfully managed their fisheries through mechanisms such as marine protected areas with others)</w:t>
      </w:r>
      <w:r>
        <w:t xml:space="preserve">. </w:t>
      </w:r>
    </w:p>
    <w:p w:rsidR="00CA055A" w:rsidRDefault="00E033AD" w:rsidP="00E033AD">
      <w:r>
        <w:t>Some projects established formal centres for knowledge sharing and collaboration (Knowledge Hubs – Live &amp; Learn</w:t>
      </w:r>
      <w:r w:rsidR="00F04A33">
        <w:t>,</w:t>
      </w:r>
      <w:r>
        <w:t xml:space="preserve"> Climate Change Centres – Oxfam, Vanuatu</w:t>
      </w:r>
      <w:r w:rsidR="00F04A33">
        <w:t>, and</w:t>
      </w:r>
      <w:r>
        <w:t xml:space="preserve"> Climate Field Schools – Oxfam</w:t>
      </w:r>
      <w:r w:rsidR="005E40AA">
        <w:t>,</w:t>
      </w:r>
      <w:r>
        <w:t xml:space="preserve"> Philippines) and community committees</w:t>
      </w:r>
      <w:r w:rsidR="0052331E">
        <w:t xml:space="preserve"> and networks</w:t>
      </w:r>
      <w:r>
        <w:t xml:space="preserve"> (e.g. Disaster and Climate Chan</w:t>
      </w:r>
      <w:r w:rsidR="00EA02DE">
        <w:t>ge Committees – Oxfam</w:t>
      </w:r>
      <w:r w:rsidR="005E40AA">
        <w:t>,</w:t>
      </w:r>
      <w:r w:rsidR="00EA02DE">
        <w:t xml:space="preserve"> Vanuatu</w:t>
      </w:r>
      <w:r w:rsidR="005E40AA">
        <w:t>,</w:t>
      </w:r>
      <w:r w:rsidR="00B04C39">
        <w:t xml:space="preserve"> and</w:t>
      </w:r>
      <w:r w:rsidR="0052331E">
        <w:t xml:space="preserve"> Community Facilitators Network </w:t>
      </w:r>
      <w:r w:rsidR="00B04C39">
        <w:t>–</w:t>
      </w:r>
      <w:r w:rsidR="0052331E">
        <w:t xml:space="preserve"> TNC</w:t>
      </w:r>
      <w:r w:rsidR="00EA02DE">
        <w:t>):</w:t>
      </w:r>
    </w:p>
    <w:p w:rsidR="00CA055A" w:rsidRPr="00CA055A" w:rsidRDefault="00CA055A" w:rsidP="00CA055A">
      <w:pPr>
        <w:ind w:left="720"/>
        <w:rPr>
          <w:sz w:val="20"/>
        </w:rPr>
      </w:pPr>
      <w:r w:rsidRPr="00CA055A">
        <w:rPr>
          <w:i/>
          <w:sz w:val="20"/>
        </w:rPr>
        <w:t>‘I’m happy to show by variety of crops for time of disaster grown around my house and share information on how to grow them with other farmers and establishment of the Knowledge Hubs to promote sharing of information, planting materials between farmers is a good idea</w:t>
      </w:r>
      <w:r w:rsidR="00B04C39">
        <w:rPr>
          <w:i/>
          <w:sz w:val="20"/>
        </w:rPr>
        <w:t>.</w:t>
      </w:r>
      <w:r w:rsidRPr="00CA055A">
        <w:rPr>
          <w:i/>
          <w:sz w:val="20"/>
        </w:rPr>
        <w:t xml:space="preserve">’ </w:t>
      </w:r>
      <w:r w:rsidRPr="00CA055A">
        <w:rPr>
          <w:sz w:val="20"/>
        </w:rPr>
        <w:t xml:space="preserve">– </w:t>
      </w:r>
      <w:r w:rsidR="00C568C1">
        <w:rPr>
          <w:sz w:val="20"/>
        </w:rPr>
        <w:t>p</w:t>
      </w:r>
      <w:r w:rsidRPr="00CA055A">
        <w:rPr>
          <w:sz w:val="20"/>
        </w:rPr>
        <w:t>articipant</w:t>
      </w:r>
      <w:r>
        <w:rPr>
          <w:i/>
          <w:sz w:val="20"/>
        </w:rPr>
        <w:t xml:space="preserve">, </w:t>
      </w:r>
      <w:r>
        <w:rPr>
          <w:sz w:val="20"/>
        </w:rPr>
        <w:t>Temotu, Solomon Islands,</w:t>
      </w:r>
      <w:r w:rsidRPr="00CA055A">
        <w:rPr>
          <w:sz w:val="20"/>
        </w:rPr>
        <w:t xml:space="preserve"> L</w:t>
      </w:r>
      <w:r>
        <w:rPr>
          <w:sz w:val="20"/>
        </w:rPr>
        <w:t xml:space="preserve">ive </w:t>
      </w:r>
      <w:r w:rsidRPr="00CA055A">
        <w:rPr>
          <w:sz w:val="20"/>
        </w:rPr>
        <w:t>&amp;</w:t>
      </w:r>
      <w:r w:rsidR="00B04C39">
        <w:rPr>
          <w:sz w:val="20"/>
        </w:rPr>
        <w:t xml:space="preserve"> </w:t>
      </w:r>
      <w:r w:rsidRPr="00CA055A">
        <w:rPr>
          <w:sz w:val="20"/>
        </w:rPr>
        <w:t>L</w:t>
      </w:r>
      <w:r>
        <w:rPr>
          <w:sz w:val="20"/>
        </w:rPr>
        <w:t>earn</w:t>
      </w:r>
      <w:r w:rsidR="003E4913">
        <w:rPr>
          <w:sz w:val="20"/>
        </w:rPr>
        <w:t xml:space="preserve"> (</w:t>
      </w:r>
      <w:r w:rsidRPr="00CA055A">
        <w:rPr>
          <w:sz w:val="20"/>
        </w:rPr>
        <w:t>case study</w:t>
      </w:r>
      <w:r w:rsidR="003E4913">
        <w:rPr>
          <w:sz w:val="20"/>
        </w:rPr>
        <w:t>)</w:t>
      </w:r>
    </w:p>
    <w:p w:rsidR="00E033AD" w:rsidRPr="00FD257D" w:rsidRDefault="00E033AD" w:rsidP="00E033AD">
      <w:r>
        <w:t xml:space="preserve">All of these facilities played a role in knowledge sharing, as well as providing access to wider knowledge networks (e.g. through connections to formal knowledge networks, </w:t>
      </w:r>
      <w:r w:rsidR="00B04C39">
        <w:t xml:space="preserve">and </w:t>
      </w:r>
      <w:r>
        <w:t>technical, disaster management and weather agencies). They also provided facilities for early warning systems and community-based weather monitoring, and served as community meeting places and evacuation centres in the event of natural disasters (e.g. in Vanuatu during Cyclone Pam, 2015).</w:t>
      </w:r>
    </w:p>
    <w:p w:rsidR="00EF2411" w:rsidRPr="00082B4F" w:rsidRDefault="00E033AD" w:rsidP="00CF066C">
      <w:pPr>
        <w:rPr>
          <w:b/>
          <w:i/>
        </w:rPr>
      </w:pPr>
      <w:r w:rsidRPr="00082B4F">
        <w:rPr>
          <w:b/>
          <w:i/>
        </w:rPr>
        <w:t xml:space="preserve">Strategies </w:t>
      </w:r>
      <w:r w:rsidR="006B6405" w:rsidRPr="00082B4F">
        <w:rPr>
          <w:b/>
          <w:i/>
        </w:rPr>
        <w:t xml:space="preserve">were developed </w:t>
      </w:r>
      <w:r w:rsidRPr="00082B4F">
        <w:rPr>
          <w:b/>
          <w:i/>
        </w:rPr>
        <w:t xml:space="preserve">for </w:t>
      </w:r>
      <w:r w:rsidR="00EF2411" w:rsidRPr="00082B4F">
        <w:rPr>
          <w:b/>
          <w:i/>
        </w:rPr>
        <w:t>ongoing</w:t>
      </w:r>
      <w:r w:rsidRPr="00082B4F">
        <w:rPr>
          <w:b/>
          <w:i/>
        </w:rPr>
        <w:t xml:space="preserve"> knowledge and awareness</w:t>
      </w:r>
      <w:r w:rsidR="00A75A5A">
        <w:rPr>
          <w:b/>
          <w:i/>
        </w:rPr>
        <w:t xml:space="preserve"> </w:t>
      </w:r>
      <w:r w:rsidR="00EF2411" w:rsidRPr="00082B4F">
        <w:rPr>
          <w:b/>
          <w:i/>
        </w:rPr>
        <w:t>raising</w:t>
      </w:r>
    </w:p>
    <w:p w:rsidR="00EF2411" w:rsidRDefault="00E033AD" w:rsidP="00CF066C">
      <w:r>
        <w:t>The knowledge centres and networks in their various forms are expected to help sustain the ongoing development of climate change knowledge and expertise for adaptation in the participating communities. Other strategies developed by the projects include</w:t>
      </w:r>
      <w:r w:rsidR="003A685F">
        <w:t>d</w:t>
      </w:r>
      <w:r>
        <w:t xml:space="preserve"> building knowledge and skills of local partners (e.g. A</w:t>
      </w:r>
      <w:r w:rsidR="005E40AA">
        <w:t>f</w:t>
      </w:r>
      <w:r>
        <w:t>P, Oxfam, CARE and Plan) and their capacities to</w:t>
      </w:r>
      <w:r w:rsidR="00085DA6">
        <w:t xml:space="preserve"> continue the work post-project</w:t>
      </w:r>
      <w:r w:rsidR="00A75A5A">
        <w:t xml:space="preserve">, </w:t>
      </w:r>
      <w:r>
        <w:t xml:space="preserve">and working with the formal education system to incorporate climate change in school curriculum </w:t>
      </w:r>
      <w:r w:rsidR="00EF2411">
        <w:t>(Plan/SCI</w:t>
      </w:r>
      <w:r w:rsidR="00EB271A">
        <w:t>,</w:t>
      </w:r>
      <w:r w:rsidR="00EF2411">
        <w:t xml:space="preserve"> Philippines). </w:t>
      </w:r>
    </w:p>
    <w:p w:rsidR="00EF2411" w:rsidRDefault="00EF2411" w:rsidP="00CF066C">
      <w:r>
        <w:t>There is evidence that local partners are integrating knowledge about climate change and tools for engaging communities in adaptive management in their local community development processes. Some are actively seeking and attracting other sources of funding to continue the wor</w:t>
      </w:r>
      <w:r w:rsidR="00A75A5A">
        <w:t>k</w:t>
      </w:r>
      <w:r>
        <w:t xml:space="preserve"> begun under </w:t>
      </w:r>
      <w:r w:rsidR="00A75A5A">
        <w:t xml:space="preserve">the </w:t>
      </w:r>
      <w:r>
        <w:t>CBCCAG</w:t>
      </w:r>
      <w:r w:rsidR="00A75A5A">
        <w:t xml:space="preserve"> program</w:t>
      </w:r>
      <w:r>
        <w:t>.</w:t>
      </w:r>
    </w:p>
    <w:p w:rsidR="00EF2411" w:rsidRDefault="00EF2411" w:rsidP="00CF066C">
      <w:r>
        <w:t xml:space="preserve">There is less certainty </w:t>
      </w:r>
      <w:r w:rsidR="00A75A5A">
        <w:t>for</w:t>
      </w:r>
      <w:r>
        <w:t xml:space="preserve"> the ongoing role of </w:t>
      </w:r>
      <w:r w:rsidR="004667C8">
        <w:t>purpose-built climate change knowledge</w:t>
      </w:r>
      <w:r>
        <w:t xml:space="preserve"> centres</w:t>
      </w:r>
      <w:r w:rsidR="00A75A5A">
        <w:t>. W</w:t>
      </w:r>
      <w:r>
        <w:t xml:space="preserve">hile </w:t>
      </w:r>
      <w:r w:rsidR="00A75A5A">
        <w:t xml:space="preserve">the centres </w:t>
      </w:r>
      <w:r w:rsidR="004667C8">
        <w:t>enjoy</w:t>
      </w:r>
      <w:r>
        <w:t xml:space="preserve"> a large measure of local support</w:t>
      </w:r>
      <w:r w:rsidR="00A75A5A">
        <w:t>, they</w:t>
      </w:r>
      <w:r>
        <w:t xml:space="preserve"> require resources</w:t>
      </w:r>
      <w:r w:rsidR="00A75A5A">
        <w:t xml:space="preserve"> that </w:t>
      </w:r>
      <w:r>
        <w:t xml:space="preserve">may be </w:t>
      </w:r>
      <w:r w:rsidR="004F675C">
        <w:t xml:space="preserve">beyond </w:t>
      </w:r>
      <w:r>
        <w:t xml:space="preserve">the capacity of communities and need to be connected to local government funding streams. </w:t>
      </w:r>
    </w:p>
    <w:p w:rsidR="00420362" w:rsidRDefault="00445AF7" w:rsidP="00CF066C">
      <w:r>
        <w:t>There is potential for c</w:t>
      </w:r>
      <w:r w:rsidR="004F675C">
        <w:t xml:space="preserve">limate change knowledge </w:t>
      </w:r>
      <w:r>
        <w:t>to</w:t>
      </w:r>
      <w:r w:rsidR="004F675C">
        <w:t xml:space="preserve"> be i</w:t>
      </w:r>
      <w:r w:rsidR="00EF2411">
        <w:t>nteg</w:t>
      </w:r>
      <w:r w:rsidR="00761595">
        <w:t>r</w:t>
      </w:r>
      <w:r w:rsidR="004F675C">
        <w:t>ated</w:t>
      </w:r>
      <w:r w:rsidR="00EF2411">
        <w:t xml:space="preserve"> in the formal education system</w:t>
      </w:r>
      <w:r w:rsidR="004F675C">
        <w:t xml:space="preserve"> in the Philippines</w:t>
      </w:r>
      <w:r w:rsidR="00EF2411">
        <w:t xml:space="preserve">, </w:t>
      </w:r>
      <w:r>
        <w:t xml:space="preserve">as </w:t>
      </w:r>
      <w:r w:rsidR="00B2070A">
        <w:t>materials</w:t>
      </w:r>
      <w:r>
        <w:t xml:space="preserve"> are</w:t>
      </w:r>
      <w:r w:rsidR="00B2070A">
        <w:t xml:space="preserve"> </w:t>
      </w:r>
      <w:r w:rsidR="00EF2411">
        <w:t>rolled out provincially or nationally</w:t>
      </w:r>
      <w:r w:rsidR="004F675C">
        <w:t xml:space="preserve"> through </w:t>
      </w:r>
      <w:r w:rsidR="00B2070A">
        <w:t>the Plan/SCI project</w:t>
      </w:r>
      <w:r w:rsidR="004F675C">
        <w:t>. This</w:t>
      </w:r>
      <w:r w:rsidR="00B2070A">
        <w:t xml:space="preserve"> </w:t>
      </w:r>
      <w:r w:rsidR="00EF2411">
        <w:t>offers considerable promise for develop</w:t>
      </w:r>
      <w:r w:rsidR="004F675C">
        <w:t xml:space="preserve">ing </w:t>
      </w:r>
      <w:r w:rsidR="00EF2411">
        <w:t>climate change</w:t>
      </w:r>
      <w:r w:rsidR="00D45008">
        <w:t xml:space="preserve"> knowledge </w:t>
      </w:r>
      <w:r w:rsidR="00761595">
        <w:t>in communities</w:t>
      </w:r>
      <w:r w:rsidR="00C40DBF">
        <w:t xml:space="preserve"> </w:t>
      </w:r>
      <w:r w:rsidR="00D45008">
        <w:t>over the long term.</w:t>
      </w:r>
      <w:r w:rsidR="00B2070A">
        <w:t xml:space="preserve"> One example developed for Grade 8 (‘</w:t>
      </w:r>
      <w:r w:rsidR="00B2070A" w:rsidRPr="00296BB2">
        <w:rPr>
          <w:i/>
        </w:rPr>
        <w:t>Soaring High Above the Storm</w:t>
      </w:r>
      <w:r w:rsidR="00B2070A">
        <w:t>’) was reviewed for this evaluation. It is contextual (focused on typhoons using local examples) with quality, accurate</w:t>
      </w:r>
      <w:r>
        <w:t xml:space="preserve">, age-appropriate </w:t>
      </w:r>
      <w:r w:rsidR="00B2070A">
        <w:t>content. It could have application nationally (if mandated in the national curriculum) and be adapted for use internationally. As such, the kit could be a transformative achievement of the project and its impact should be monitored and documented to inform similar efforts in</w:t>
      </w:r>
      <w:r w:rsidR="00C40DBF">
        <w:t xml:space="preserve"> the Pacific and</w:t>
      </w:r>
      <w:r w:rsidR="00B2070A">
        <w:t xml:space="preserve"> other regions.</w:t>
      </w:r>
    </w:p>
    <w:p w:rsidR="00420362" w:rsidRPr="004667C8" w:rsidRDefault="00420362" w:rsidP="00CF066C">
      <w:pPr>
        <w:rPr>
          <w:color w:val="17365D" w:themeColor="text2" w:themeShade="BF"/>
        </w:rPr>
      </w:pPr>
      <w:r w:rsidRPr="004667C8">
        <w:rPr>
          <w:b/>
          <w:i/>
          <w:color w:val="17365D" w:themeColor="text2" w:themeShade="BF"/>
        </w:rPr>
        <w:t xml:space="preserve">Indicator 2: </w:t>
      </w:r>
      <w:r w:rsidRPr="004667C8">
        <w:rPr>
          <w:i/>
          <w:color w:val="17365D" w:themeColor="text2" w:themeShade="BF"/>
        </w:rPr>
        <w:t>Communities are empowered to take ownership of the problem, to</w:t>
      </w:r>
      <w:r w:rsidR="00E033AD" w:rsidRPr="004667C8">
        <w:rPr>
          <w:i/>
          <w:color w:val="17365D" w:themeColor="text2" w:themeShade="BF"/>
        </w:rPr>
        <w:t xml:space="preserve"> lead, </w:t>
      </w:r>
      <w:r w:rsidR="001D549F" w:rsidRPr="004667C8">
        <w:rPr>
          <w:i/>
          <w:color w:val="17365D" w:themeColor="text2" w:themeShade="BF"/>
        </w:rPr>
        <w:t>plan and</w:t>
      </w:r>
      <w:r w:rsidRPr="004667C8">
        <w:rPr>
          <w:i/>
          <w:color w:val="17365D" w:themeColor="text2" w:themeShade="BF"/>
        </w:rPr>
        <w:t xml:space="preserve"> develop their own solutions</w:t>
      </w:r>
      <w:r w:rsidR="001D549F" w:rsidRPr="004667C8">
        <w:rPr>
          <w:i/>
          <w:color w:val="17365D" w:themeColor="text2" w:themeShade="BF"/>
        </w:rPr>
        <w:t xml:space="preserve"> </w:t>
      </w:r>
    </w:p>
    <w:p w:rsidR="00FE051B" w:rsidRPr="00082B4F" w:rsidRDefault="00FE051B" w:rsidP="00FE051B">
      <w:pPr>
        <w:rPr>
          <w:i/>
        </w:rPr>
      </w:pPr>
      <w:r w:rsidRPr="00082B4F">
        <w:rPr>
          <w:b/>
          <w:i/>
        </w:rPr>
        <w:t>Leadership was built and champions emerged</w:t>
      </w:r>
    </w:p>
    <w:p w:rsidR="00FE051B" w:rsidRDefault="00FE051B" w:rsidP="00FE051B">
      <w:r>
        <w:t>Across the program, there are examples of empowerment and leadership emerging as a result of people acquiring and applying new knowledge about climate change. In some cases, leaders emerged from traditional community governance structures</w:t>
      </w:r>
      <w:r w:rsidR="00C37805">
        <w:t xml:space="preserve">. For example, </w:t>
      </w:r>
      <w:r>
        <w:t>village chiefs were engaged and encouraged participation in project activities of the Live &amp; Learn project in the Pacific</w:t>
      </w:r>
      <w:r w:rsidR="00C37805">
        <w:t xml:space="preserve"> Region</w:t>
      </w:r>
      <w:r w:rsidR="003A685F">
        <w:t>.</w:t>
      </w:r>
      <w:r>
        <w:t xml:space="preserve"> </w:t>
      </w:r>
      <w:r w:rsidR="003A685F">
        <w:t>I</w:t>
      </w:r>
      <w:r>
        <w:t>n other</w:t>
      </w:r>
      <w:r w:rsidR="003A685F">
        <w:t xml:space="preserve"> cases</w:t>
      </w:r>
      <w:r w:rsidR="00962914">
        <w:t>,</w:t>
      </w:r>
      <w:r>
        <w:t xml:space="preserve"> </w:t>
      </w:r>
      <w:r w:rsidR="00962914">
        <w:t>leaders</w:t>
      </w:r>
      <w:r w:rsidR="000022A3">
        <w:t xml:space="preserve"> – </w:t>
      </w:r>
      <w:r w:rsidR="00962914">
        <w:t>among them youth and women –</w:t>
      </w:r>
      <w:r>
        <w:t xml:space="preserve"> </w:t>
      </w:r>
      <w:r w:rsidR="00962914">
        <w:t>emerged</w:t>
      </w:r>
      <w:r>
        <w:t xml:space="preserve"> from new structures</w:t>
      </w:r>
      <w:r w:rsidR="00962914">
        <w:t xml:space="preserve">, including </w:t>
      </w:r>
      <w:r>
        <w:t>youth advocacy groups through the Plan/SCI project in the Philippines; community Disaster Committees in Vanuatu through the CARE project</w:t>
      </w:r>
      <w:r w:rsidR="003A685F">
        <w:t>;</w:t>
      </w:r>
      <w:r>
        <w:t xml:space="preserve"> </w:t>
      </w:r>
      <w:r w:rsidR="00962914">
        <w:t xml:space="preserve">TNC’s </w:t>
      </w:r>
      <w:r>
        <w:t>Community Facilitators Network</w:t>
      </w:r>
      <w:r w:rsidR="00C40DBF">
        <w:t xml:space="preserve"> in the Pacific Region</w:t>
      </w:r>
      <w:r w:rsidR="003A685F">
        <w:t>;</w:t>
      </w:r>
      <w:r>
        <w:t xml:space="preserve"> and savings and loans groups through Oxfam</w:t>
      </w:r>
      <w:r w:rsidR="00C40DBF">
        <w:t>’s</w:t>
      </w:r>
      <w:r>
        <w:t xml:space="preserve"> project in Timor</w:t>
      </w:r>
      <w:r w:rsidR="00962914">
        <w:t>-</w:t>
      </w:r>
      <w:r>
        <w:t>Leste.</w:t>
      </w:r>
    </w:p>
    <w:p w:rsidR="00FE051B" w:rsidRDefault="00FE051B" w:rsidP="00FE051B">
      <w:r>
        <w:t>In some cases, objectives relating to community leadership in climate change were found to be overly ambitious (e.g. Live &amp; Learn), needing longer timeframes to achieve</w:t>
      </w:r>
      <w:r w:rsidR="00C37805">
        <w:t xml:space="preserve"> them</w:t>
      </w:r>
      <w:r>
        <w:t>.</w:t>
      </w:r>
    </w:p>
    <w:p w:rsidR="00FE051B" w:rsidRPr="00565CCE" w:rsidRDefault="00FE051B" w:rsidP="00FE051B">
      <w:r>
        <w:t xml:space="preserve">Communities became better organised to deal with the issues of climate change in their local areas as evidenced in the formation of community climate change centres and groups (e.g. CARE’s Core Groups in </w:t>
      </w:r>
      <w:r w:rsidR="00047CE9">
        <w:t>PNG</w:t>
      </w:r>
      <w:r>
        <w:t xml:space="preserve"> and water management groups in Timor</w:t>
      </w:r>
      <w:r w:rsidR="000022A3">
        <w:t>-</w:t>
      </w:r>
      <w:r>
        <w:t>Leste)</w:t>
      </w:r>
      <w:r w:rsidR="000022A3">
        <w:t>.</w:t>
      </w:r>
      <w:r>
        <w:t xml:space="preserve"> </w:t>
      </w:r>
      <w:r w:rsidR="000022A3">
        <w:t>M</w:t>
      </w:r>
      <w:r>
        <w:t xml:space="preserve">any of </w:t>
      </w:r>
      <w:r w:rsidR="004A6F29">
        <w:t xml:space="preserve">these </w:t>
      </w:r>
      <w:r>
        <w:t xml:space="preserve">were connected with </w:t>
      </w:r>
      <w:r w:rsidR="00C37805">
        <w:t>DRR</w:t>
      </w:r>
      <w:r>
        <w:t xml:space="preserve"> groups, reflecting the synergies in approaches for addressing climate and disaster risks and reinforcing community capacities in both, and other community development groups. These connections will help to sustain climate-related groups and activities.</w:t>
      </w:r>
    </w:p>
    <w:p w:rsidR="00EA02DE" w:rsidRPr="00082B4F" w:rsidRDefault="00FE051B" w:rsidP="00420362">
      <w:pPr>
        <w:rPr>
          <w:b/>
          <w:i/>
        </w:rPr>
      </w:pPr>
      <w:r w:rsidRPr="00082B4F">
        <w:rPr>
          <w:b/>
          <w:i/>
        </w:rPr>
        <w:t>Climate-sensitive</w:t>
      </w:r>
      <w:r w:rsidR="00EA02DE" w:rsidRPr="00082B4F">
        <w:rPr>
          <w:b/>
          <w:i/>
        </w:rPr>
        <w:t xml:space="preserve"> planning methods were introduced</w:t>
      </w:r>
    </w:p>
    <w:p w:rsidR="00EA02DE" w:rsidRDefault="00420362" w:rsidP="00420362">
      <w:r>
        <w:t>The projects introduced a range of tools and methods to enhance learning in the communities</w:t>
      </w:r>
      <w:r w:rsidR="004A6F29">
        <w:t>. These</w:t>
      </w:r>
      <w:r>
        <w:t xml:space="preserve"> empower</w:t>
      </w:r>
      <w:r w:rsidR="004A6F29">
        <w:t>ed</w:t>
      </w:r>
      <w:r>
        <w:t xml:space="preserve"> and encourage</w:t>
      </w:r>
      <w:r w:rsidR="004A6F29">
        <w:t>d</w:t>
      </w:r>
      <w:r>
        <w:t xml:space="preserve"> people to think about activities and strategies that could help them understand and adapt to the impacts of climate change in their local context.</w:t>
      </w:r>
    </w:p>
    <w:p w:rsidR="00420362" w:rsidRDefault="004A6F29" w:rsidP="00420362">
      <w:r>
        <w:t>For example,</w:t>
      </w:r>
      <w:r w:rsidR="00420362">
        <w:t xml:space="preserve"> methods</w:t>
      </w:r>
      <w:r>
        <w:t xml:space="preserve"> were introduced</w:t>
      </w:r>
      <w:r w:rsidR="00420362">
        <w:t xml:space="preserve"> for assessing vulnerability and adaptive capacity</w:t>
      </w:r>
      <w:r w:rsidR="00C37805">
        <w:t xml:space="preserve">, such as </w:t>
      </w:r>
      <w:r w:rsidR="00420362">
        <w:t xml:space="preserve">CARE’s Climate Vulnerability and Capacity Analysis </w:t>
      </w:r>
      <w:r w:rsidR="00C37805">
        <w:t>(</w:t>
      </w:r>
      <w:r w:rsidR="00420362">
        <w:t>CVCA</w:t>
      </w:r>
      <w:r w:rsidR="00C37805">
        <w:t>),</w:t>
      </w:r>
      <w:r w:rsidR="00420362">
        <w:t xml:space="preserve"> Plan’s Participatory Capacity and Vulnerability Assessment</w:t>
      </w:r>
      <w:r w:rsidR="00C37805">
        <w:t xml:space="preserve"> (</w:t>
      </w:r>
      <w:r w:rsidR="00420362">
        <w:t>PCVA</w:t>
      </w:r>
      <w:r w:rsidR="00C37805">
        <w:t>)</w:t>
      </w:r>
      <w:r w:rsidR="00306969">
        <w:t xml:space="preserve"> </w:t>
      </w:r>
      <w:r>
        <w:t xml:space="preserve">and </w:t>
      </w:r>
      <w:r w:rsidR="00474361">
        <w:t xml:space="preserve">the </w:t>
      </w:r>
      <w:r w:rsidR="00306969">
        <w:t>Live &amp; Learn Food Security Assessments</w:t>
      </w:r>
      <w:r w:rsidR="00474361">
        <w:t>. Methods were also introduced to i</w:t>
      </w:r>
      <w:r w:rsidR="00420362">
        <w:t>ntegrat</w:t>
      </w:r>
      <w:r w:rsidR="00474361">
        <w:t>e</w:t>
      </w:r>
      <w:r w:rsidR="00420362">
        <w:t xml:space="preserve"> climate change risk assessments in community planning</w:t>
      </w:r>
      <w:r w:rsidR="00474361">
        <w:t xml:space="preserve">, such as </w:t>
      </w:r>
      <w:r w:rsidR="00420362">
        <w:t>Oxfam’s Community Action Planning</w:t>
      </w:r>
      <w:r w:rsidR="00474361">
        <w:t xml:space="preserve"> (</w:t>
      </w:r>
      <w:r w:rsidR="00420362">
        <w:t>CAP</w:t>
      </w:r>
      <w:r w:rsidR="00474361">
        <w:t>)</w:t>
      </w:r>
      <w:r w:rsidR="009E77BF">
        <w:t xml:space="preserve"> </w:t>
      </w:r>
      <w:r w:rsidR="003D02E5">
        <w:t xml:space="preserve">and </w:t>
      </w:r>
      <w:r w:rsidR="009E77BF">
        <w:t xml:space="preserve">AfP’s </w:t>
      </w:r>
      <w:r w:rsidR="00062EB2">
        <w:t>climate change adaptation (</w:t>
      </w:r>
      <w:r w:rsidR="009E77BF">
        <w:t>CCA</w:t>
      </w:r>
      <w:r w:rsidR="00062EB2">
        <w:t>)</w:t>
      </w:r>
      <w:r w:rsidR="009E77BF">
        <w:t>/DRRM model</w:t>
      </w:r>
      <w:r w:rsidR="00BD4C29">
        <w:t>.</w:t>
      </w:r>
    </w:p>
    <w:p w:rsidR="000B1F17" w:rsidRDefault="00EA02DE" w:rsidP="00420362">
      <w:r>
        <w:t>The</w:t>
      </w:r>
      <w:r w:rsidR="00420362">
        <w:t xml:space="preserve"> </w:t>
      </w:r>
      <w:r w:rsidR="004245F0">
        <w:t xml:space="preserve">planning </w:t>
      </w:r>
      <w:r w:rsidR="00420362">
        <w:t xml:space="preserve">methods were applied in a large number of communities to identify and prioritise actions for </w:t>
      </w:r>
      <w:r>
        <w:t>building resilience to climate change impacts</w:t>
      </w:r>
      <w:r w:rsidR="00420362">
        <w:t>. As a result, people report</w:t>
      </w:r>
      <w:r>
        <w:t>ed</w:t>
      </w:r>
      <w:r w:rsidR="00846FE6">
        <w:t xml:space="preserve"> that they felt</w:t>
      </w:r>
      <w:r w:rsidR="00B352A9">
        <w:t xml:space="preserve"> better </w:t>
      </w:r>
      <w:r>
        <w:t>prepared</w:t>
      </w:r>
      <w:r w:rsidR="00B352A9">
        <w:t xml:space="preserve"> and </w:t>
      </w:r>
      <w:r w:rsidR="00846FE6">
        <w:t>able to develop solutions.</w:t>
      </w:r>
      <w:r w:rsidR="00995AA1">
        <w:t xml:space="preserve"> </w:t>
      </w:r>
    </w:p>
    <w:p w:rsidR="00AF579B" w:rsidRPr="00082B4F" w:rsidRDefault="00AF579B" w:rsidP="00CF066C">
      <w:pPr>
        <w:rPr>
          <w:b/>
          <w:i/>
        </w:rPr>
      </w:pPr>
      <w:r w:rsidRPr="00082B4F">
        <w:rPr>
          <w:b/>
          <w:i/>
        </w:rPr>
        <w:t>Participation and inclusive representation were facilitated</w:t>
      </w:r>
    </w:p>
    <w:p w:rsidR="009E77BF" w:rsidRDefault="00B352A9" w:rsidP="00CF066C">
      <w:r>
        <w:t>The planning methods</w:t>
      </w:r>
      <w:r w:rsidR="009E77BF">
        <w:t xml:space="preserve"> were </w:t>
      </w:r>
      <w:r w:rsidR="003D02E5">
        <w:t xml:space="preserve">generally </w:t>
      </w:r>
      <w:r w:rsidR="009E77BF">
        <w:t>participatory, encouraging engagement and representation of different groups in the community (e.g. women, children/youth</w:t>
      </w:r>
      <w:r w:rsidR="009869BB">
        <w:t xml:space="preserve"> and</w:t>
      </w:r>
      <w:r w:rsidR="009E77BF">
        <w:t xml:space="preserve"> disadvantaged and minority gro</w:t>
      </w:r>
      <w:r w:rsidR="004245F0">
        <w:t>u</w:t>
      </w:r>
      <w:r w:rsidR="007A62A1">
        <w:t>ps). Often these approaches are</w:t>
      </w:r>
      <w:r w:rsidR="009E77BF">
        <w:t xml:space="preserve"> new to communities and </w:t>
      </w:r>
      <w:r w:rsidR="004245F0">
        <w:t>could</w:t>
      </w:r>
      <w:r w:rsidR="009E77BF">
        <w:t xml:space="preserve"> challenge traditional power and governance stru</w:t>
      </w:r>
      <w:r w:rsidR="004245F0">
        <w:t>ctures. Skilled facilitators were</w:t>
      </w:r>
      <w:r w:rsidR="009E77BF">
        <w:t xml:space="preserve"> needed to overcome potential conflict and secure active engagement.</w:t>
      </w:r>
      <w:r w:rsidR="00461A29">
        <w:t xml:space="preserve"> </w:t>
      </w:r>
    </w:p>
    <w:p w:rsidR="00FE051B" w:rsidRDefault="002765C8" w:rsidP="00CF066C">
      <w:r>
        <w:t>The projects report</w:t>
      </w:r>
      <w:r w:rsidR="00461A29">
        <w:t>ed</w:t>
      </w:r>
      <w:r>
        <w:t xml:space="preserve"> that good engagement and participation were achieved in most cases, drawing on the local knowledge, networks and language skills of local partners</w:t>
      </w:r>
      <w:r w:rsidR="009869BB">
        <w:t>. This outcome was</w:t>
      </w:r>
      <w:r>
        <w:t xml:space="preserve"> enhanced through training in facilitation and participatory planning methods.</w:t>
      </w:r>
      <w:r w:rsidR="00BD4C29">
        <w:t xml:space="preserve"> Challenges included disruptions caused by disasters (e.g. Cyclone Pam</w:t>
      </w:r>
      <w:r w:rsidR="00B510EA">
        <w:t>, Van</w:t>
      </w:r>
      <w:r w:rsidR="00BD4C29">
        <w:t>uatu, 2015</w:t>
      </w:r>
      <w:r w:rsidR="00474361">
        <w:t>,</w:t>
      </w:r>
      <w:r w:rsidR="00BD4C29">
        <w:t xml:space="preserve"> and Typhoon Haiyan, Philippines, 2013)</w:t>
      </w:r>
      <w:r w:rsidR="00B510EA">
        <w:t xml:space="preserve"> and competition with other local planning and development activities</w:t>
      </w:r>
      <w:r w:rsidR="00474361">
        <w:t>.</w:t>
      </w:r>
      <w:r w:rsidR="00B510EA">
        <w:t xml:space="preserve"> </w:t>
      </w:r>
      <w:r w:rsidR="00474361">
        <w:t>(F</w:t>
      </w:r>
      <w:r w:rsidR="00B510EA">
        <w:t>or many people, paid employment in government-funded local construction projects took precedence over participation in community planning exercises</w:t>
      </w:r>
      <w:r w:rsidR="00474361">
        <w:t>.</w:t>
      </w:r>
      <w:r w:rsidR="00B510EA">
        <w:t>)</w:t>
      </w:r>
      <w:r w:rsidR="00474361">
        <w:t xml:space="preserve"> </w:t>
      </w:r>
      <w:r w:rsidR="00461A29">
        <w:t>Project strategies to address these challenges included working within traditional governance structures to secure commitment</w:t>
      </w:r>
      <w:r w:rsidR="004245F0">
        <w:t>, being responsive to community timetables, and scheduling activities to accommodate other priorities</w:t>
      </w:r>
      <w:r w:rsidR="00461A29">
        <w:t>.</w:t>
      </w:r>
    </w:p>
    <w:p w:rsidR="00CD43D1" w:rsidRPr="00082B4F" w:rsidRDefault="00FE051B" w:rsidP="00CF066C">
      <w:pPr>
        <w:rPr>
          <w:b/>
          <w:i/>
        </w:rPr>
      </w:pPr>
      <w:r w:rsidRPr="00082B4F">
        <w:rPr>
          <w:b/>
          <w:i/>
        </w:rPr>
        <w:t>Integrated planning was enabled</w:t>
      </w:r>
    </w:p>
    <w:p w:rsidR="002765C8" w:rsidRDefault="00846FE6" w:rsidP="00CF066C">
      <w:r>
        <w:t xml:space="preserve">Integrating </w:t>
      </w:r>
      <w:r w:rsidR="00B114F1">
        <w:t>adaptation</w:t>
      </w:r>
      <w:r w:rsidR="00182E8F">
        <w:t xml:space="preserve"> planning </w:t>
      </w:r>
      <w:r>
        <w:t xml:space="preserve">with </w:t>
      </w:r>
      <w:r w:rsidR="00CD43D1">
        <w:t>mainstream community planning systems was critical to success. Planning that operates outside these systems risks becoming marginalised and discon</w:t>
      </w:r>
      <w:r w:rsidR="00182E8F">
        <w:t xml:space="preserve">nected from community </w:t>
      </w:r>
      <w:r w:rsidR="00B114F1">
        <w:t xml:space="preserve">networks, </w:t>
      </w:r>
      <w:r w:rsidR="00182E8F">
        <w:t xml:space="preserve">resources </w:t>
      </w:r>
      <w:r w:rsidR="00CD43D1">
        <w:t>and sources of funding beyond the life of the projects. Without these incentives, participation and engagement tends to be short-lived. Proje</w:t>
      </w:r>
      <w:r w:rsidR="00182E8F">
        <w:t xml:space="preserve">cts that </w:t>
      </w:r>
      <w:r w:rsidR="00CD43D1">
        <w:t>buil</w:t>
      </w:r>
      <w:r w:rsidR="004F377D">
        <w:t>t</w:t>
      </w:r>
      <w:r w:rsidR="00CD43D1">
        <w:t xml:space="preserve"> on their existing community development planning experience i</w:t>
      </w:r>
      <w:r w:rsidR="00B114F1">
        <w:t xml:space="preserve">n the target areas, bringing </w:t>
      </w:r>
      <w:r w:rsidR="00CD43D1">
        <w:t xml:space="preserve">tools for climate change risk and vulnerability assessments </w:t>
      </w:r>
      <w:r w:rsidR="00B114F1">
        <w:t>in</w:t>
      </w:r>
      <w:r w:rsidR="00CD43D1">
        <w:t>to mainstream planning systems</w:t>
      </w:r>
      <w:r w:rsidR="00182E8F">
        <w:t>,</w:t>
      </w:r>
      <w:r w:rsidR="00CD43D1">
        <w:t xml:space="preserve"> </w:t>
      </w:r>
      <w:r w:rsidR="00182E8F">
        <w:t>were able</w:t>
      </w:r>
      <w:r w:rsidR="00CD43D1">
        <w:t xml:space="preserve"> to </w:t>
      </w:r>
      <w:r w:rsidR="00CD43D1" w:rsidRPr="00493E7B">
        <w:rPr>
          <w:i/>
        </w:rPr>
        <w:t>integrate</w:t>
      </w:r>
      <w:r w:rsidR="00CD43D1">
        <w:t xml:space="preserve"> ra</w:t>
      </w:r>
      <w:r w:rsidR="00611F63">
        <w:t xml:space="preserve">ther then </w:t>
      </w:r>
      <w:r w:rsidR="00611F63" w:rsidRPr="00493E7B">
        <w:rPr>
          <w:i/>
        </w:rPr>
        <w:t>add on</w:t>
      </w:r>
      <w:r w:rsidR="00611F63">
        <w:t xml:space="preserve"> climate change at community level.</w:t>
      </w:r>
    </w:p>
    <w:p w:rsidR="00894003" w:rsidRDefault="00BD4C29" w:rsidP="00BD4C29">
      <w:r>
        <w:t>The planning methods used by the projects, whil</w:t>
      </w:r>
      <w:r w:rsidR="007A62A1">
        <w:t xml:space="preserve">e individually different, shared </w:t>
      </w:r>
      <w:r>
        <w:t>many common features. In addition to their participatory framework, these features include</w:t>
      </w:r>
      <w:r w:rsidR="007A62A1">
        <w:t>d</w:t>
      </w:r>
      <w:r>
        <w:t xml:space="preserve"> tools to enable communities to assess their vulnerabilities based on available information about the likely impacts of climate change locally, </w:t>
      </w:r>
      <w:r w:rsidR="004F377D">
        <w:t xml:space="preserve">and </w:t>
      </w:r>
      <w:r>
        <w:t xml:space="preserve">tools for analysing different management options in terms of livelihood and other local </w:t>
      </w:r>
      <w:r w:rsidR="00846FE6">
        <w:t xml:space="preserve">development </w:t>
      </w:r>
      <w:r>
        <w:t>benefits.</w:t>
      </w:r>
      <w:r w:rsidR="00846FE6">
        <w:t xml:space="preserve"> </w:t>
      </w:r>
    </w:p>
    <w:p w:rsidR="00846FE6" w:rsidRPr="00082B4F" w:rsidRDefault="00894003" w:rsidP="00BD4C29">
      <w:pPr>
        <w:rPr>
          <w:b/>
          <w:i/>
        </w:rPr>
      </w:pPr>
      <w:r w:rsidRPr="00082B4F">
        <w:rPr>
          <w:b/>
          <w:i/>
        </w:rPr>
        <w:t>Community planning models were developed</w:t>
      </w:r>
    </w:p>
    <w:p w:rsidR="00306969" w:rsidRDefault="00846FE6" w:rsidP="009A5901">
      <w:r>
        <w:t>Lead partners</w:t>
      </w:r>
      <w:r w:rsidR="00493E7B">
        <w:t>, using</w:t>
      </w:r>
      <w:r>
        <w:t xml:space="preserve"> the evidence base developed through the widespread application of the</w:t>
      </w:r>
      <w:r w:rsidR="00BC6721">
        <w:t>ir participatory</w:t>
      </w:r>
      <w:r>
        <w:t xml:space="preserve"> planning methods</w:t>
      </w:r>
      <w:r w:rsidR="00493E7B">
        <w:t>,</w:t>
      </w:r>
      <w:r>
        <w:t xml:space="preserve"> </w:t>
      </w:r>
      <w:r w:rsidR="00493E7B">
        <w:t xml:space="preserve">began </w:t>
      </w:r>
      <w:r>
        <w:t xml:space="preserve">to </w:t>
      </w:r>
      <w:r w:rsidR="00493E7B">
        <w:t>define</w:t>
      </w:r>
      <w:r w:rsidR="00182E8F">
        <w:t xml:space="preserve"> models for integrated </w:t>
      </w:r>
      <w:r w:rsidR="00D72CEA">
        <w:t>CBA</w:t>
      </w:r>
      <w:r w:rsidR="00182E8F">
        <w:t xml:space="preserve"> planning</w:t>
      </w:r>
      <w:r w:rsidR="00306969">
        <w:t xml:space="preserve"> in a development context</w:t>
      </w:r>
      <w:r w:rsidR="00182E8F">
        <w:t xml:space="preserve"> for wider application. </w:t>
      </w:r>
      <w:r w:rsidR="00BC6721">
        <w:t>These include</w:t>
      </w:r>
      <w:r w:rsidR="004F377D">
        <w:t>d</w:t>
      </w:r>
      <w:r w:rsidR="00BC6721">
        <w:t xml:space="preserve"> CARE’s model of </w:t>
      </w:r>
      <w:r w:rsidR="00384EA9">
        <w:t>climate change adaptation</w:t>
      </w:r>
      <w:r w:rsidR="00BC6721">
        <w:t xml:space="preserve"> on small atolls developed in PNG; Oxfam’s Road Map </w:t>
      </w:r>
      <w:r w:rsidR="00384EA9">
        <w:t xml:space="preserve">(Knowledge and awareness; Local governance; Livelihoods) </w:t>
      </w:r>
      <w:r w:rsidR="00BC6721">
        <w:t>developed in the Philippines; Oxfam’s Resilience Framework</w:t>
      </w:r>
      <w:r w:rsidR="00384EA9">
        <w:t xml:space="preserve"> developed in Vanuatu</w:t>
      </w:r>
      <w:r w:rsidR="00BC6721">
        <w:t xml:space="preserve">; </w:t>
      </w:r>
      <w:r w:rsidR="00C12777">
        <w:t>Oxfam’s</w:t>
      </w:r>
      <w:r w:rsidR="00063523">
        <w:t xml:space="preserve"> CAP</w:t>
      </w:r>
      <w:r w:rsidR="00C12777">
        <w:t xml:space="preserve"> developed in Timor</w:t>
      </w:r>
      <w:r w:rsidR="004F377D">
        <w:t>-</w:t>
      </w:r>
      <w:r w:rsidR="00C12777">
        <w:t xml:space="preserve">Leste; </w:t>
      </w:r>
      <w:r w:rsidR="00BC6721">
        <w:t xml:space="preserve">and Afp’s CCA/DRRM model. </w:t>
      </w:r>
    </w:p>
    <w:p w:rsidR="00D00677" w:rsidRDefault="00BC6721" w:rsidP="009A5901">
      <w:r>
        <w:t xml:space="preserve">At a program level, </w:t>
      </w:r>
      <w:r w:rsidR="00306969">
        <w:t xml:space="preserve">an </w:t>
      </w:r>
      <w:r>
        <w:t xml:space="preserve">in-depth review of the planning methods and these models is warranted </w:t>
      </w:r>
      <w:r w:rsidR="00384EA9">
        <w:t xml:space="preserve">to capitalise on the evidence base built across </w:t>
      </w:r>
      <w:r w:rsidR="00063523">
        <w:t xml:space="preserve">the </w:t>
      </w:r>
      <w:r w:rsidR="00384EA9">
        <w:t>CBCCAG</w:t>
      </w:r>
      <w:r w:rsidR="00063523">
        <w:t xml:space="preserve"> program</w:t>
      </w:r>
      <w:r w:rsidR="004F377D">
        <w:t xml:space="preserve">; </w:t>
      </w:r>
      <w:r w:rsidR="00384EA9">
        <w:t>contribute to ongoing methodological development in</w:t>
      </w:r>
      <w:r w:rsidR="0024755E">
        <w:t xml:space="preserve"> </w:t>
      </w:r>
      <w:r w:rsidR="00D72CEA">
        <w:t>CBA</w:t>
      </w:r>
      <w:r w:rsidR="004F377D">
        <w:t>;</w:t>
      </w:r>
      <w:r w:rsidR="0024755E">
        <w:t xml:space="preserve"> and inform future program designs.</w:t>
      </w:r>
    </w:p>
    <w:p w:rsidR="00BC1FCD" w:rsidRDefault="00BC1FCD">
      <w:pPr>
        <w:spacing w:after="0"/>
        <w:rPr>
          <w:b/>
          <w:i/>
          <w:color w:val="17365D" w:themeColor="text2" w:themeShade="BF"/>
        </w:rPr>
      </w:pPr>
      <w:r>
        <w:rPr>
          <w:b/>
          <w:i/>
          <w:color w:val="17365D" w:themeColor="text2" w:themeShade="BF"/>
        </w:rPr>
        <w:br w:type="page"/>
      </w:r>
    </w:p>
    <w:p w:rsidR="00FC2577" w:rsidRPr="00493E7B" w:rsidRDefault="00FC2577" w:rsidP="00FC2577">
      <w:pPr>
        <w:rPr>
          <w:i/>
          <w:color w:val="17365D" w:themeColor="text2" w:themeShade="BF"/>
        </w:rPr>
      </w:pPr>
      <w:r w:rsidRPr="00493E7B">
        <w:rPr>
          <w:b/>
          <w:i/>
          <w:color w:val="17365D" w:themeColor="text2" w:themeShade="BF"/>
        </w:rPr>
        <w:t xml:space="preserve">Indicator 3: </w:t>
      </w:r>
      <w:r w:rsidRPr="00493E7B">
        <w:rPr>
          <w:i/>
          <w:color w:val="17365D" w:themeColor="text2" w:themeShade="BF"/>
        </w:rPr>
        <w:t>Communities are engaged with government and civil society to mobilise knowledge and resources</w:t>
      </w:r>
      <w:r w:rsidR="001D549F" w:rsidRPr="00493E7B">
        <w:rPr>
          <w:i/>
          <w:color w:val="17365D" w:themeColor="text2" w:themeShade="BF"/>
        </w:rPr>
        <w:t>, and advocate for change</w:t>
      </w:r>
    </w:p>
    <w:p w:rsidR="005D083E" w:rsidRDefault="00F80FC7" w:rsidP="009A5901">
      <w:r>
        <w:t xml:space="preserve">While much can be done </w:t>
      </w:r>
      <w:r w:rsidR="00C73333">
        <w:t>with</w:t>
      </w:r>
      <w:r>
        <w:t xml:space="preserve">in communities to reduce vulnerabilities and build resilience, many, especially poor and highly vulnerable communities, will require external support. The projects all worked to establish connections with government to </w:t>
      </w:r>
      <w:r w:rsidR="00C73333">
        <w:t xml:space="preserve">enable the voice of </w:t>
      </w:r>
      <w:r>
        <w:t>communities to be heard by development planners and policy makers</w:t>
      </w:r>
      <w:r w:rsidR="004F377D">
        <w:t>. They also</w:t>
      </w:r>
      <w:r>
        <w:t xml:space="preserve"> </w:t>
      </w:r>
      <w:r w:rsidR="00133296">
        <w:t>sought</w:t>
      </w:r>
      <w:r>
        <w:t xml:space="preserve"> to </w:t>
      </w:r>
      <w:r w:rsidR="0026435C">
        <w:t xml:space="preserve">facilitate </w:t>
      </w:r>
      <w:r>
        <w:t xml:space="preserve">access to </w:t>
      </w:r>
      <w:r w:rsidR="007A62A1">
        <w:t xml:space="preserve">knowledge networks and </w:t>
      </w:r>
      <w:r>
        <w:t>resources for further planning and implementati</w:t>
      </w:r>
      <w:r w:rsidR="005D083E">
        <w:t>on of adaptation actions</w:t>
      </w:r>
      <w:r w:rsidR="00C73333">
        <w:t xml:space="preserve"> in participating communities and beyond</w:t>
      </w:r>
      <w:r w:rsidR="005D083E">
        <w:t>:</w:t>
      </w:r>
    </w:p>
    <w:p w:rsidR="00520250" w:rsidRPr="005D083E" w:rsidRDefault="005D083E" w:rsidP="005D083E">
      <w:pPr>
        <w:ind w:left="720"/>
        <w:rPr>
          <w:sz w:val="20"/>
        </w:rPr>
      </w:pPr>
      <w:r>
        <w:rPr>
          <w:i/>
          <w:sz w:val="20"/>
        </w:rPr>
        <w:t>‘We have a lot of lessons from Vanuatu that can influence change, but unless these lessons are echoed at higher levels, transformative change will never happen.’</w:t>
      </w:r>
      <w:r>
        <w:rPr>
          <w:sz w:val="20"/>
        </w:rPr>
        <w:t xml:space="preserve"> –</w:t>
      </w:r>
      <w:r w:rsidR="00004EF7">
        <w:rPr>
          <w:sz w:val="20"/>
        </w:rPr>
        <w:t xml:space="preserve"> </w:t>
      </w:r>
      <w:r>
        <w:rPr>
          <w:sz w:val="20"/>
        </w:rPr>
        <w:t>Vanuatu Climate Action Network Coordinator</w:t>
      </w:r>
      <w:r w:rsidR="00004EF7">
        <w:rPr>
          <w:sz w:val="20"/>
        </w:rPr>
        <w:t xml:space="preserve"> (case study)</w:t>
      </w:r>
    </w:p>
    <w:p w:rsidR="001D549F" w:rsidRPr="00082B4F" w:rsidRDefault="001D549F" w:rsidP="001D549F">
      <w:pPr>
        <w:rPr>
          <w:i/>
        </w:rPr>
      </w:pPr>
      <w:r w:rsidRPr="00082B4F">
        <w:rPr>
          <w:b/>
          <w:i/>
        </w:rPr>
        <w:t>Community advocacy skills were built</w:t>
      </w:r>
    </w:p>
    <w:p w:rsidR="001D549F" w:rsidRDefault="001D549F" w:rsidP="001D549F">
      <w:r>
        <w:t xml:space="preserve">Knowledge brokers and advocates emerged in communities, </w:t>
      </w:r>
      <w:r w:rsidR="00493E7B">
        <w:t>notably</w:t>
      </w:r>
      <w:r>
        <w:t xml:space="preserve"> in the case of the Plan/SCI project in the Philippines, for which child advocacy was a core objective. The project employed child-led and child-centred approaches, focusing on developing skills and capacities of children and youth to advocate for climate change action and to participate in local planning and action. The children have become skilled climate change advocates, effective in communicating their ideas and thoughts about local action through a range of media (radio, performance, posters) in their schools, communities and other communities</w:t>
      </w:r>
      <w:r w:rsidR="00063523">
        <w:t>,</w:t>
      </w:r>
      <w:r w:rsidR="00C73333">
        <w:t xml:space="preserve"> and especially to their peers</w:t>
      </w:r>
      <w:r>
        <w:t>:</w:t>
      </w:r>
    </w:p>
    <w:p w:rsidR="001D549F" w:rsidRDefault="001D549F" w:rsidP="001D549F">
      <w:pPr>
        <w:ind w:left="720"/>
        <w:rPr>
          <w:sz w:val="20"/>
        </w:rPr>
      </w:pPr>
      <w:r w:rsidRPr="00894003">
        <w:rPr>
          <w:sz w:val="20"/>
        </w:rPr>
        <w:t>‘</w:t>
      </w:r>
      <w:r w:rsidRPr="00894003">
        <w:rPr>
          <w:i/>
          <w:sz w:val="20"/>
        </w:rPr>
        <w:t xml:space="preserve">Learning about climate change, I can see and understand how it will affect our lives. Climate change will bring stronger typhoons and other extreme weather events. It will cause flooding and destruction of rice crops, which means loss of income and food shortage not only to my family but to others who depend on agriculture too. This message is what I want other children and adults to understand.’ </w:t>
      </w:r>
      <w:r w:rsidRPr="00894003">
        <w:rPr>
          <w:sz w:val="20"/>
        </w:rPr>
        <w:t>– Aurora National High School participant, Plan/SCI</w:t>
      </w:r>
      <w:r w:rsidR="00C568C1">
        <w:rPr>
          <w:sz w:val="20"/>
        </w:rPr>
        <w:t xml:space="preserve">, </w:t>
      </w:r>
      <w:r w:rsidRPr="00894003">
        <w:rPr>
          <w:sz w:val="20"/>
        </w:rPr>
        <w:t>Philippines</w:t>
      </w:r>
      <w:r w:rsidR="002F180F">
        <w:rPr>
          <w:sz w:val="20"/>
        </w:rPr>
        <w:t xml:space="preserve"> (</w:t>
      </w:r>
      <w:r w:rsidRPr="00894003">
        <w:rPr>
          <w:sz w:val="20"/>
        </w:rPr>
        <w:t>case study</w:t>
      </w:r>
      <w:r w:rsidR="002F180F">
        <w:rPr>
          <w:sz w:val="20"/>
        </w:rPr>
        <w:t>)</w:t>
      </w:r>
    </w:p>
    <w:p w:rsidR="001D549F" w:rsidRPr="00894003" w:rsidRDefault="00C73333" w:rsidP="001D549F">
      <w:pPr>
        <w:rPr>
          <w:sz w:val="20"/>
        </w:rPr>
      </w:pPr>
      <w:r>
        <w:t>The messages of the children were</w:t>
      </w:r>
      <w:r w:rsidR="001D549F">
        <w:t xml:space="preserve"> being heard by their parents, other children and communities</w:t>
      </w:r>
      <w:r w:rsidR="00930015">
        <w:t xml:space="preserve"> – </w:t>
      </w:r>
      <w:r w:rsidR="001D549F">
        <w:t>they complement</w:t>
      </w:r>
      <w:r>
        <w:t>ed</w:t>
      </w:r>
      <w:r w:rsidR="001D549F">
        <w:t xml:space="preserve"> and reinforce</w:t>
      </w:r>
      <w:r>
        <w:t>d</w:t>
      </w:r>
      <w:r w:rsidR="001D549F">
        <w:t xml:space="preserve"> the information from other sources including local government and NGOs. However, the children tend</w:t>
      </w:r>
      <w:r>
        <w:t>ed</w:t>
      </w:r>
      <w:r w:rsidR="001D549F">
        <w:t xml:space="preserve"> to advocate for local action and long-te</w:t>
      </w:r>
      <w:r>
        <w:t>rm mitigation, which adults found</w:t>
      </w:r>
      <w:r w:rsidR="001D549F">
        <w:t xml:space="preserve"> difficult to relate </w:t>
      </w:r>
      <w:r>
        <w:t>to</w:t>
      </w:r>
      <w:r w:rsidR="001D549F">
        <w:t>, especially since many are still dealing with immediate issues of recovery and reconstruction of their lives and livelihoods post Typhoon Haiyan (2013)</w:t>
      </w:r>
      <w:r w:rsidR="00CB7A24">
        <w:t>:</w:t>
      </w:r>
    </w:p>
    <w:p w:rsidR="001D549F" w:rsidRPr="00E56FB2" w:rsidRDefault="001D549F" w:rsidP="001D549F">
      <w:pPr>
        <w:ind w:left="720"/>
        <w:rPr>
          <w:sz w:val="20"/>
        </w:rPr>
      </w:pPr>
      <w:r w:rsidRPr="00E56FB2">
        <w:rPr>
          <w:i/>
          <w:sz w:val="20"/>
        </w:rPr>
        <w:t>‘I know we still have a long way to go to inspire change</w:t>
      </w:r>
      <w:r w:rsidR="00063523">
        <w:rPr>
          <w:i/>
          <w:sz w:val="20"/>
        </w:rPr>
        <w:t xml:space="preserve"> </w:t>
      </w:r>
      <w:r w:rsidRPr="00E56FB2">
        <w:rPr>
          <w:sz w:val="20"/>
        </w:rPr>
        <w:t xml:space="preserve">… </w:t>
      </w:r>
      <w:r w:rsidRPr="00E56FB2">
        <w:rPr>
          <w:i/>
          <w:sz w:val="20"/>
        </w:rPr>
        <w:t>this is just the start of my journey to inspire change.</w:t>
      </w:r>
      <w:r w:rsidRPr="00E56FB2">
        <w:rPr>
          <w:sz w:val="20"/>
        </w:rPr>
        <w:t xml:space="preserve">’ – </w:t>
      </w:r>
      <w:r w:rsidR="00C568C1">
        <w:rPr>
          <w:sz w:val="20"/>
        </w:rPr>
        <w:t>y</w:t>
      </w:r>
      <w:r w:rsidRPr="00E56FB2">
        <w:rPr>
          <w:sz w:val="20"/>
        </w:rPr>
        <w:t>outh participant, b</w:t>
      </w:r>
      <w:r>
        <w:rPr>
          <w:sz w:val="20"/>
        </w:rPr>
        <w:t>and member and budding composer</w:t>
      </w:r>
      <w:r w:rsidRPr="00E56FB2">
        <w:rPr>
          <w:sz w:val="20"/>
        </w:rPr>
        <w:t>, Plan/SCI</w:t>
      </w:r>
      <w:r w:rsidR="00C568C1">
        <w:rPr>
          <w:sz w:val="20"/>
        </w:rPr>
        <w:t>,</w:t>
      </w:r>
      <w:r w:rsidRPr="00E56FB2">
        <w:rPr>
          <w:sz w:val="20"/>
        </w:rPr>
        <w:t xml:space="preserve"> Philippines</w:t>
      </w:r>
      <w:r w:rsidR="002F180F">
        <w:rPr>
          <w:sz w:val="20"/>
        </w:rPr>
        <w:t xml:space="preserve"> (</w:t>
      </w:r>
      <w:r w:rsidRPr="00E56FB2">
        <w:rPr>
          <w:sz w:val="20"/>
        </w:rPr>
        <w:t>case study</w:t>
      </w:r>
      <w:r w:rsidR="002F180F">
        <w:rPr>
          <w:sz w:val="20"/>
        </w:rPr>
        <w:t>)</w:t>
      </w:r>
    </w:p>
    <w:p w:rsidR="001D549F" w:rsidRDefault="001D549F" w:rsidP="001D549F">
      <w:r>
        <w:t>In other examples, groups formed and trained in communities (e.g. CARE Core Groups in PNG</w:t>
      </w:r>
      <w:r w:rsidR="00930015">
        <w:t xml:space="preserve"> and</w:t>
      </w:r>
      <w:r w:rsidR="0052331E">
        <w:t xml:space="preserve"> Community Facilitators Network </w:t>
      </w:r>
      <w:r w:rsidR="00930015">
        <w:t>–</w:t>
      </w:r>
      <w:r w:rsidR="0052331E">
        <w:t xml:space="preserve"> TNC</w:t>
      </w:r>
      <w:r>
        <w:t xml:space="preserve">) </w:t>
      </w:r>
      <w:r w:rsidR="00930015">
        <w:t xml:space="preserve">and </w:t>
      </w:r>
      <w:r>
        <w:t>became extension workers, taking the training to other communities</w:t>
      </w:r>
      <w:r w:rsidR="00930015">
        <w:t xml:space="preserve"> and </w:t>
      </w:r>
      <w:r>
        <w:t xml:space="preserve">working with church groups and schools, including to integrate the knowledge in school curriculum. </w:t>
      </w:r>
      <w:r w:rsidR="0076526E">
        <w:t>Other groups (e.g. CARE Timor</w:t>
      </w:r>
      <w:r w:rsidR="00930015">
        <w:t>-</w:t>
      </w:r>
      <w:r w:rsidR="0076526E">
        <w:t>Leste Water Management Groups and AfP Disaster Management Committees) were linked with counterpart groups in local government aligned with local government community development programs and mechanisms.</w:t>
      </w:r>
      <w:r w:rsidR="001F57A0">
        <w:t xml:space="preserve"> The Knowledge Hubs developed by Live </w:t>
      </w:r>
      <w:r w:rsidR="00930015">
        <w:t>&amp;</w:t>
      </w:r>
      <w:r w:rsidR="001F57A0">
        <w:t xml:space="preserve"> Learn in the Pacific</w:t>
      </w:r>
      <w:r w:rsidR="00D0320E">
        <w:t xml:space="preserve"> Region</w:t>
      </w:r>
      <w:r w:rsidR="001F57A0">
        <w:t xml:space="preserve"> </w:t>
      </w:r>
      <w:r w:rsidR="00207C4A">
        <w:t>fostered</w:t>
      </w:r>
      <w:r w:rsidR="001F57A0">
        <w:t xml:space="preserve"> collaboration and knowledge sharing</w:t>
      </w:r>
      <w:r w:rsidR="007D66D7">
        <w:t xml:space="preserve"> within and between communities</w:t>
      </w:r>
      <w:r w:rsidR="001F57A0">
        <w:t>.</w:t>
      </w:r>
    </w:p>
    <w:p w:rsidR="0076526E" w:rsidRPr="00082B4F" w:rsidRDefault="0076526E" w:rsidP="009A5901">
      <w:pPr>
        <w:rPr>
          <w:b/>
          <w:i/>
        </w:rPr>
      </w:pPr>
      <w:r w:rsidRPr="00082B4F">
        <w:rPr>
          <w:b/>
          <w:i/>
        </w:rPr>
        <w:t xml:space="preserve">Networks and linkages </w:t>
      </w:r>
      <w:r w:rsidR="002525C9" w:rsidRPr="00082B4F">
        <w:rPr>
          <w:b/>
          <w:i/>
        </w:rPr>
        <w:t xml:space="preserve">with government </w:t>
      </w:r>
      <w:r w:rsidR="005D083E" w:rsidRPr="00082B4F">
        <w:rPr>
          <w:b/>
          <w:i/>
        </w:rPr>
        <w:t>were formed</w:t>
      </w:r>
    </w:p>
    <w:p w:rsidR="006E0557" w:rsidRDefault="001D549F" w:rsidP="009A5901">
      <w:r>
        <w:t xml:space="preserve">Through these linkages and networks, most projects provided mechanisms </w:t>
      </w:r>
      <w:r w:rsidR="00930015">
        <w:t xml:space="preserve">that </w:t>
      </w:r>
      <w:r>
        <w:t>enabl</w:t>
      </w:r>
      <w:r w:rsidR="00930015">
        <w:t>ed</w:t>
      </w:r>
      <w:r>
        <w:t xml:space="preserve"> community representatives to advocate to local</w:t>
      </w:r>
      <w:r w:rsidR="0076526E">
        <w:t xml:space="preserve"> and national</w:t>
      </w:r>
      <w:r>
        <w:t xml:space="preserve"> government, including </w:t>
      </w:r>
      <w:r w:rsidR="00930015">
        <w:t xml:space="preserve">through </w:t>
      </w:r>
      <w:r>
        <w:t xml:space="preserve">forums </w:t>
      </w:r>
      <w:r w:rsidR="007D66D7">
        <w:t>for discussion of local</w:t>
      </w:r>
      <w:r>
        <w:t xml:space="preserve"> concerns and priorities</w:t>
      </w:r>
      <w:r w:rsidR="00D0320E">
        <w:t>. Examples include</w:t>
      </w:r>
      <w:r>
        <w:t xml:space="preserve"> the national Climate Resilience Conference, </w:t>
      </w:r>
      <w:r w:rsidR="00930015">
        <w:t xml:space="preserve">which </w:t>
      </w:r>
      <w:r>
        <w:t>br</w:t>
      </w:r>
      <w:r w:rsidR="00930015">
        <w:t>ought</w:t>
      </w:r>
      <w:r>
        <w:t xml:space="preserve"> together local governments in the target areas with child/youth advocacy groups</w:t>
      </w:r>
      <w:r w:rsidR="00930015">
        <w:t>,</w:t>
      </w:r>
      <w:r w:rsidR="0076526E">
        <w:t xml:space="preserve"> and the CARE Timor</w:t>
      </w:r>
      <w:r w:rsidR="00930015">
        <w:t>-</w:t>
      </w:r>
      <w:r w:rsidR="0076526E">
        <w:t xml:space="preserve">Leste National Conference on Adaptation, </w:t>
      </w:r>
      <w:r w:rsidR="00930015">
        <w:t xml:space="preserve">which </w:t>
      </w:r>
      <w:r w:rsidR="0076526E">
        <w:t xml:space="preserve">led to the Dili declaration on Adaptation, </w:t>
      </w:r>
      <w:r w:rsidR="00BC0E84">
        <w:t>which may</w:t>
      </w:r>
      <w:r w:rsidR="0076526E">
        <w:t xml:space="preserve"> be funded annually by government</w:t>
      </w:r>
      <w:r>
        <w:t xml:space="preserve">. </w:t>
      </w:r>
    </w:p>
    <w:p w:rsidR="001D549F" w:rsidRDefault="001D549F" w:rsidP="009A5901">
      <w:r>
        <w:t>Often, im</w:t>
      </w:r>
      <w:r w:rsidR="0076526E">
        <w:t xml:space="preserve">plementation partners acted as ‘brokers’, channelling views from the communities to government at local and national levels. This occurred through </w:t>
      </w:r>
      <w:r w:rsidR="00FB7868">
        <w:t>new</w:t>
      </w:r>
      <w:r w:rsidR="0076526E">
        <w:t xml:space="preserve"> structures</w:t>
      </w:r>
      <w:r w:rsidR="00BC0E84">
        <w:t xml:space="preserve"> </w:t>
      </w:r>
      <w:r w:rsidR="0076526E">
        <w:t xml:space="preserve">such as the </w:t>
      </w:r>
      <w:r w:rsidR="0077483F">
        <w:t>Vanuatu Climate Action Network</w:t>
      </w:r>
      <w:r w:rsidR="00BC0E84">
        <w:t xml:space="preserve"> (</w:t>
      </w:r>
      <w:r w:rsidR="0077483F">
        <w:t>VCAN</w:t>
      </w:r>
      <w:r w:rsidR="00BC0E84">
        <w:t>),</w:t>
      </w:r>
      <w:r w:rsidR="0077483F">
        <w:t xml:space="preserve"> </w:t>
      </w:r>
      <w:r w:rsidR="0076526E">
        <w:t>coordinated by Oxfam, w</w:t>
      </w:r>
      <w:r w:rsidR="00BC0E84">
        <w:t>hich was</w:t>
      </w:r>
      <w:r w:rsidR="0076526E">
        <w:t xml:space="preserve"> success</w:t>
      </w:r>
      <w:r w:rsidR="00BC0E84">
        <w:t>ful</w:t>
      </w:r>
      <w:r w:rsidR="0076526E">
        <w:t xml:space="preserve"> in influencing national government policy</w:t>
      </w:r>
      <w:r w:rsidR="00925141">
        <w:t>,</w:t>
      </w:r>
      <w:r w:rsidR="006E0557">
        <w:t xml:space="preserve"> and the CARE Timor</w:t>
      </w:r>
      <w:r w:rsidR="00BC0E84">
        <w:t>-</w:t>
      </w:r>
      <w:r w:rsidR="006E0557">
        <w:t>Leste National Working Group on Adaptation</w:t>
      </w:r>
      <w:r w:rsidR="00925141">
        <w:t xml:space="preserve">, </w:t>
      </w:r>
      <w:r w:rsidR="006E0557">
        <w:t xml:space="preserve">which emerged from the project Steering </w:t>
      </w:r>
      <w:r w:rsidR="00155D64">
        <w:t>Committee. Existing</w:t>
      </w:r>
      <w:r w:rsidR="00FB7868">
        <w:t xml:space="preserve"> networks</w:t>
      </w:r>
      <w:r w:rsidR="00925141">
        <w:t xml:space="preserve"> were also used and strengthened </w:t>
      </w:r>
      <w:r w:rsidR="0012276B">
        <w:t>(e.g.</w:t>
      </w:r>
      <w:r w:rsidR="00FB7868">
        <w:t xml:space="preserve"> the DRR network from community to national level in Vanuatu – AfP). </w:t>
      </w:r>
    </w:p>
    <w:p w:rsidR="001A4618" w:rsidRDefault="00520250" w:rsidP="009A5901">
      <w:r>
        <w:t>Links were formed between community climate change groups and local disaster risk reduction officers, technical extension workers and planners. Projects engaged these people in training, knowledge and awareness</w:t>
      </w:r>
      <w:r w:rsidR="00D0320E">
        <w:t>-</w:t>
      </w:r>
      <w:r>
        <w:t>raising activities, and as technical support in community</w:t>
      </w:r>
      <w:r w:rsidR="00925141">
        <w:t>-</w:t>
      </w:r>
      <w:r w:rsidR="0026435C">
        <w:t>based a</w:t>
      </w:r>
      <w:r w:rsidR="00D77AD4">
        <w:t>ssessments and planning (e.g. in</w:t>
      </w:r>
      <w:r w:rsidR="0026435C">
        <w:t xml:space="preserve"> Technical Advisory Groups). </w:t>
      </w:r>
      <w:r w:rsidR="00CA7243">
        <w:t>In general, it was more productive to work with sub-national than national government</w:t>
      </w:r>
      <w:r w:rsidR="00D0320E">
        <w:t xml:space="preserve"> </w:t>
      </w:r>
      <w:r w:rsidR="00CA7243">
        <w:t xml:space="preserve">as </w:t>
      </w:r>
      <w:r w:rsidR="00D0320E">
        <w:t>it is</w:t>
      </w:r>
      <w:r w:rsidR="00CA7243">
        <w:t xml:space="preserve"> more connected, largely decentralised and </w:t>
      </w:r>
      <w:r w:rsidR="00F63DFB">
        <w:t>ha</w:t>
      </w:r>
      <w:r w:rsidR="00D0320E">
        <w:t>s</w:t>
      </w:r>
      <w:r w:rsidR="00F63DFB">
        <w:t xml:space="preserve"> the mandates</w:t>
      </w:r>
      <w:r w:rsidR="00CA7243">
        <w:t xml:space="preserve"> to support community efforts through local development planning and financing systems.</w:t>
      </w:r>
    </w:p>
    <w:p w:rsidR="00F12435" w:rsidRDefault="0026435C" w:rsidP="009A5901">
      <w:r>
        <w:t xml:space="preserve">Evidence from reports, evaluations and interviews indicates that </w:t>
      </w:r>
      <w:r w:rsidR="00F3357D">
        <w:t xml:space="preserve">the projects have built </w:t>
      </w:r>
      <w:r>
        <w:t xml:space="preserve">confidence and </w:t>
      </w:r>
      <w:r w:rsidR="00D77AD4">
        <w:t>skills</w:t>
      </w:r>
      <w:r>
        <w:t xml:space="preserve"> </w:t>
      </w:r>
      <w:r w:rsidR="00F3357D">
        <w:t xml:space="preserve">by engaging local government </w:t>
      </w:r>
      <w:r w:rsidR="009D5A0A">
        <w:t>in project activities</w:t>
      </w:r>
      <w:r w:rsidR="00333DD6">
        <w:t xml:space="preserve"> in communities. However, </w:t>
      </w:r>
      <w:r w:rsidR="009D5A0A">
        <w:t xml:space="preserve">significant challenges remain relating to technical capacities and accessing limited resources. </w:t>
      </w:r>
      <w:r w:rsidR="00614EB9">
        <w:t>Integration with local development planning systems has proven difficult, with many elements of climate change planning st</w:t>
      </w:r>
      <w:r w:rsidR="00F12435">
        <w:t xml:space="preserve">ill sitting outside </w:t>
      </w:r>
      <w:r w:rsidR="00D77AD4">
        <w:t xml:space="preserve">mainstream government processes (e.g. </w:t>
      </w:r>
      <w:r w:rsidR="003E53C2">
        <w:t xml:space="preserve">the National Program for Village Development, </w:t>
      </w:r>
      <w:r w:rsidR="00D77AD4">
        <w:t>PNDS</w:t>
      </w:r>
      <w:r w:rsidR="003E53C2">
        <w:t>,</w:t>
      </w:r>
      <w:r w:rsidR="00D77AD4">
        <w:t xml:space="preserve"> in Timor</w:t>
      </w:r>
      <w:r w:rsidR="00925141">
        <w:t>-</w:t>
      </w:r>
      <w:r w:rsidR="00D77AD4">
        <w:t>Leste).</w:t>
      </w:r>
      <w:r w:rsidR="00940934">
        <w:t xml:space="preserve"> </w:t>
      </w:r>
    </w:p>
    <w:p w:rsidR="00F265AB" w:rsidRDefault="00B70A9F" w:rsidP="009A5901">
      <w:r>
        <w:t xml:space="preserve">Some projects </w:t>
      </w:r>
      <w:r w:rsidR="004031BF">
        <w:t xml:space="preserve">(e.g. AfP in Vanuatu and Tonga) </w:t>
      </w:r>
      <w:r>
        <w:t xml:space="preserve">provided training and mentoring to </w:t>
      </w:r>
      <w:r w:rsidR="004031BF">
        <w:t xml:space="preserve">local partners and </w:t>
      </w:r>
      <w:r>
        <w:t xml:space="preserve">communities </w:t>
      </w:r>
      <w:r w:rsidR="004031BF">
        <w:t>in preparing grant proposals</w:t>
      </w:r>
      <w:r>
        <w:t xml:space="preserve"> and project management, enhancing their capacity to access other sources of external funds (e.g. from other civil society groups and private sector). A small number of communities have gone on to apply for and achieve funding for climate</w:t>
      </w:r>
      <w:r w:rsidR="00925141">
        <w:t xml:space="preserve"> </w:t>
      </w:r>
      <w:r>
        <w:t>change</w:t>
      </w:r>
      <w:r w:rsidR="00925141">
        <w:t>-</w:t>
      </w:r>
      <w:r>
        <w:t>related activity. Such skills will become increasingly valuable as sources of climate finance for adaptation expand through multilateral, private and philanthropic sources.</w:t>
      </w:r>
    </w:p>
    <w:p w:rsidR="006952BD" w:rsidRDefault="00F265AB" w:rsidP="009A5901">
      <w:r>
        <w:t xml:space="preserve">There are some good examples of champions emerging in local government </w:t>
      </w:r>
      <w:r w:rsidR="00D0320E">
        <w:t>who are</w:t>
      </w:r>
      <w:r>
        <w:t xml:space="preserve"> actively supporting the projects and advocating for their continuation.</w:t>
      </w:r>
      <w:r w:rsidR="0012276B">
        <w:t xml:space="preserve"> </w:t>
      </w:r>
      <w:r w:rsidR="00D47A46">
        <w:t>Local government officials have become strong advocates for the Plan/SCI project in the Philippines. I</w:t>
      </w:r>
      <w:r w:rsidR="0012276B">
        <w:t>n Isabel Province</w:t>
      </w:r>
      <w:r w:rsidR="009B4D46">
        <w:t>, Solomon Islands</w:t>
      </w:r>
      <w:r w:rsidR="0012276B">
        <w:t xml:space="preserve">, </w:t>
      </w:r>
      <w:r w:rsidR="00D47A46">
        <w:t>TNC’s project –</w:t>
      </w:r>
      <w:r w:rsidR="00E97C74">
        <w:t xml:space="preserve"> </w:t>
      </w:r>
      <w:r w:rsidR="009B4D46">
        <w:t>facing low local government capacities</w:t>
      </w:r>
      <w:r w:rsidR="00D47A46">
        <w:t xml:space="preserve"> – </w:t>
      </w:r>
      <w:r w:rsidR="009B4D46">
        <w:t xml:space="preserve">engaged an environment officer who </w:t>
      </w:r>
      <w:r w:rsidR="007D66D7">
        <w:t>has</w:t>
      </w:r>
      <w:r w:rsidR="009B4D46">
        <w:t xml:space="preserve"> transitioned to local government</w:t>
      </w:r>
      <w:r w:rsidR="002A4C32">
        <w:t xml:space="preserve"> (with funding)</w:t>
      </w:r>
      <w:r w:rsidR="00D47A46">
        <w:t xml:space="preserve"> </w:t>
      </w:r>
      <w:r w:rsidR="009B4D46">
        <w:t xml:space="preserve">and is now leading community awareness across the province. </w:t>
      </w:r>
    </w:p>
    <w:p w:rsidR="00F12435" w:rsidRDefault="00D47A46" w:rsidP="00F12435">
      <w:r>
        <w:t>However, i</w:t>
      </w:r>
      <w:r w:rsidR="00614BBD">
        <w:t>n most cases</w:t>
      </w:r>
      <w:r>
        <w:t xml:space="preserve"> </w:t>
      </w:r>
      <w:r w:rsidR="00614BBD">
        <w:t xml:space="preserve">projects </w:t>
      </w:r>
      <w:r w:rsidR="00FB7868">
        <w:t>were</w:t>
      </w:r>
      <w:r w:rsidR="00614BBD">
        <w:t xml:space="preserve"> forced to work with </w:t>
      </w:r>
      <w:r w:rsidR="00707F1A">
        <w:t xml:space="preserve">government </w:t>
      </w:r>
      <w:r w:rsidR="00927960">
        <w:t xml:space="preserve">capacity issues, </w:t>
      </w:r>
      <w:r w:rsidR="00614BBD">
        <w:t>the limited sharing of knowledge between communities and government</w:t>
      </w:r>
      <w:r w:rsidR="00927960">
        <w:t>, and limited access to skills and resources for climate change adaptation (and community development generally)</w:t>
      </w:r>
      <w:r w:rsidR="00614BBD">
        <w:t xml:space="preserve"> in the project locations.</w:t>
      </w:r>
      <w:r w:rsidR="00CA00EC">
        <w:t xml:space="preserve"> </w:t>
      </w:r>
      <w:r w:rsidR="00F12435">
        <w:t>In many cases, expectations of engagement with government had to be scaled back. More time is needed to fully develop these relationships and networks, taking account of the pace of development in local government capacities:</w:t>
      </w:r>
    </w:p>
    <w:p w:rsidR="00F12435" w:rsidRPr="0078294B" w:rsidRDefault="00F12435" w:rsidP="00F12435">
      <w:pPr>
        <w:ind w:left="720"/>
      </w:pPr>
      <w:r>
        <w:rPr>
          <w:i/>
          <w:sz w:val="20"/>
        </w:rPr>
        <w:t xml:space="preserve">‘The Nissan Islands have nothing – power for one hour per day, no internet or transport etc.’ </w:t>
      </w:r>
      <w:r w:rsidR="00E97C74">
        <w:rPr>
          <w:sz w:val="20"/>
        </w:rPr>
        <w:t>–</w:t>
      </w:r>
      <w:r w:rsidR="00737B98">
        <w:rPr>
          <w:sz w:val="20"/>
        </w:rPr>
        <w:t xml:space="preserve"> </w:t>
      </w:r>
      <w:r w:rsidR="00C568C1">
        <w:rPr>
          <w:sz w:val="20"/>
        </w:rPr>
        <w:t>i</w:t>
      </w:r>
      <w:r>
        <w:rPr>
          <w:sz w:val="20"/>
        </w:rPr>
        <w:t>mplementing partner</w:t>
      </w:r>
      <w:r w:rsidR="00062EB2">
        <w:rPr>
          <w:sz w:val="20"/>
        </w:rPr>
        <w:t xml:space="preserve">, </w:t>
      </w:r>
      <w:r w:rsidR="000E5C56">
        <w:rPr>
          <w:sz w:val="20"/>
        </w:rPr>
        <w:t>Care</w:t>
      </w:r>
      <w:r w:rsidR="00062EB2">
        <w:rPr>
          <w:sz w:val="20"/>
        </w:rPr>
        <w:t xml:space="preserve">, PNG </w:t>
      </w:r>
      <w:r w:rsidR="002F180F">
        <w:rPr>
          <w:sz w:val="20"/>
        </w:rPr>
        <w:t>(</w:t>
      </w:r>
      <w:r>
        <w:rPr>
          <w:sz w:val="20"/>
        </w:rPr>
        <w:t>interview</w:t>
      </w:r>
      <w:r w:rsidR="002F180F">
        <w:rPr>
          <w:sz w:val="20"/>
        </w:rPr>
        <w:t>)</w:t>
      </w:r>
    </w:p>
    <w:p w:rsidR="00CA00EC" w:rsidRDefault="00CA00EC" w:rsidP="00026FB0">
      <w:r>
        <w:t>Success factors included:</w:t>
      </w:r>
    </w:p>
    <w:p w:rsidR="006952BD" w:rsidRPr="007F42D3" w:rsidRDefault="006952BD" w:rsidP="00026FB0">
      <w:pPr>
        <w:pStyle w:val="ListParagraph"/>
        <w:numPr>
          <w:ilvl w:val="0"/>
          <w:numId w:val="13"/>
        </w:numPr>
        <w:rPr>
          <w:sz w:val="20"/>
          <w:szCs w:val="20"/>
        </w:rPr>
      </w:pPr>
      <w:r w:rsidRPr="007F42D3">
        <w:rPr>
          <w:sz w:val="20"/>
          <w:szCs w:val="20"/>
        </w:rPr>
        <w:t>Engag</w:t>
      </w:r>
      <w:r w:rsidR="00612E4C">
        <w:rPr>
          <w:sz w:val="20"/>
          <w:szCs w:val="20"/>
        </w:rPr>
        <w:t>ing</w:t>
      </w:r>
      <w:r w:rsidR="00CA00EC" w:rsidRPr="007F42D3">
        <w:rPr>
          <w:sz w:val="20"/>
          <w:szCs w:val="20"/>
        </w:rPr>
        <w:t xml:space="preserve"> with local government early in the process</w:t>
      </w:r>
    </w:p>
    <w:p w:rsidR="006952BD" w:rsidRPr="007F42D3" w:rsidRDefault="00612E4C" w:rsidP="00026FB0">
      <w:pPr>
        <w:pStyle w:val="ListParagraph"/>
        <w:numPr>
          <w:ilvl w:val="0"/>
          <w:numId w:val="13"/>
        </w:numPr>
        <w:rPr>
          <w:sz w:val="20"/>
          <w:szCs w:val="20"/>
        </w:rPr>
      </w:pPr>
      <w:r>
        <w:rPr>
          <w:sz w:val="20"/>
          <w:szCs w:val="20"/>
        </w:rPr>
        <w:t>Ensuring</w:t>
      </w:r>
      <w:r w:rsidR="006952BD" w:rsidRPr="007F42D3">
        <w:rPr>
          <w:sz w:val="20"/>
          <w:szCs w:val="20"/>
        </w:rPr>
        <w:t xml:space="preserve"> local government partners</w:t>
      </w:r>
      <w:r>
        <w:rPr>
          <w:sz w:val="20"/>
          <w:szCs w:val="20"/>
        </w:rPr>
        <w:t xml:space="preserve"> took part</w:t>
      </w:r>
      <w:r w:rsidR="006952BD" w:rsidRPr="007F42D3">
        <w:rPr>
          <w:sz w:val="20"/>
          <w:szCs w:val="20"/>
        </w:rPr>
        <w:t xml:space="preserve"> in capacity</w:t>
      </w:r>
      <w:r w:rsidR="000400D9">
        <w:rPr>
          <w:sz w:val="20"/>
          <w:szCs w:val="20"/>
        </w:rPr>
        <w:t>-</w:t>
      </w:r>
      <w:r w:rsidR="006952BD" w:rsidRPr="007F42D3">
        <w:rPr>
          <w:sz w:val="20"/>
          <w:szCs w:val="20"/>
        </w:rPr>
        <w:t>building activities with communities</w:t>
      </w:r>
    </w:p>
    <w:p w:rsidR="00737B98" w:rsidRPr="007F42D3" w:rsidRDefault="00227A59" w:rsidP="00026FB0">
      <w:pPr>
        <w:pStyle w:val="ListParagraph"/>
        <w:numPr>
          <w:ilvl w:val="0"/>
          <w:numId w:val="13"/>
        </w:numPr>
        <w:rPr>
          <w:sz w:val="20"/>
          <w:szCs w:val="20"/>
        </w:rPr>
      </w:pPr>
      <w:r>
        <w:rPr>
          <w:sz w:val="20"/>
          <w:szCs w:val="20"/>
        </w:rPr>
        <w:t>E</w:t>
      </w:r>
      <w:r w:rsidR="00CA00EC" w:rsidRPr="007F42D3">
        <w:rPr>
          <w:sz w:val="20"/>
          <w:szCs w:val="20"/>
        </w:rPr>
        <w:t>ngag</w:t>
      </w:r>
      <w:r>
        <w:rPr>
          <w:sz w:val="20"/>
          <w:szCs w:val="20"/>
        </w:rPr>
        <w:t>ing with national government</w:t>
      </w:r>
      <w:r w:rsidR="00CA00EC" w:rsidRPr="007F42D3">
        <w:rPr>
          <w:sz w:val="20"/>
          <w:szCs w:val="20"/>
        </w:rPr>
        <w:t xml:space="preserve"> formally and early in the project</w:t>
      </w:r>
      <w:r>
        <w:rPr>
          <w:sz w:val="20"/>
          <w:szCs w:val="20"/>
        </w:rPr>
        <w:t>; and</w:t>
      </w:r>
    </w:p>
    <w:p w:rsidR="00F265AB" w:rsidRPr="007F42D3" w:rsidRDefault="00737B98" w:rsidP="00737B98">
      <w:pPr>
        <w:pStyle w:val="ListParagraph"/>
        <w:numPr>
          <w:ilvl w:val="0"/>
          <w:numId w:val="13"/>
        </w:numPr>
        <w:rPr>
          <w:sz w:val="20"/>
          <w:szCs w:val="20"/>
        </w:rPr>
      </w:pPr>
      <w:r w:rsidRPr="007F42D3">
        <w:rPr>
          <w:sz w:val="20"/>
          <w:szCs w:val="20"/>
        </w:rPr>
        <w:t>Work</w:t>
      </w:r>
      <w:r w:rsidR="00227A59">
        <w:rPr>
          <w:sz w:val="20"/>
          <w:szCs w:val="20"/>
        </w:rPr>
        <w:t>ing</w:t>
      </w:r>
      <w:r w:rsidRPr="007F42D3">
        <w:rPr>
          <w:sz w:val="20"/>
          <w:szCs w:val="20"/>
        </w:rPr>
        <w:t xml:space="preserve"> with existing local government development planning and mechanisms, not separately</w:t>
      </w:r>
      <w:r w:rsidR="00227A59">
        <w:rPr>
          <w:sz w:val="20"/>
          <w:szCs w:val="20"/>
        </w:rPr>
        <w:t>.</w:t>
      </w:r>
    </w:p>
    <w:p w:rsidR="00210845" w:rsidRDefault="00210845" w:rsidP="00210845">
      <w:pPr>
        <w:pStyle w:val="Heading2"/>
      </w:pPr>
      <w:bookmarkStart w:id="33" w:name="_Toc315694466"/>
      <w:r>
        <w:t>Policy planning and enabling</w:t>
      </w:r>
      <w:bookmarkEnd w:id="33"/>
    </w:p>
    <w:p w:rsidR="00210845" w:rsidRPr="00F63DFB" w:rsidRDefault="00210845" w:rsidP="00210845">
      <w:pPr>
        <w:rPr>
          <w:b/>
          <w:color w:val="17365D" w:themeColor="text2" w:themeShade="BF"/>
        </w:rPr>
      </w:pPr>
      <w:r w:rsidRPr="00F63DFB">
        <w:rPr>
          <w:b/>
          <w:color w:val="17365D" w:themeColor="text2" w:themeShade="BF"/>
        </w:rPr>
        <w:t>Program</w:t>
      </w:r>
      <w:r w:rsidR="000400D9">
        <w:rPr>
          <w:b/>
          <w:color w:val="17365D" w:themeColor="text2" w:themeShade="BF"/>
        </w:rPr>
        <w:t>-</w:t>
      </w:r>
      <w:r w:rsidRPr="00F63DFB">
        <w:rPr>
          <w:b/>
          <w:color w:val="17365D" w:themeColor="text2" w:themeShade="BF"/>
        </w:rPr>
        <w:t>level outcome: Community, government and civil society development planning systems are modified to support adaptation planning and strategies</w:t>
      </w:r>
      <w:r w:rsidR="009809C0">
        <w:rPr>
          <w:b/>
          <w:color w:val="17365D" w:themeColor="text2" w:themeShade="BF"/>
        </w:rPr>
        <w:t>.</w:t>
      </w:r>
    </w:p>
    <w:p w:rsidR="009C005B" w:rsidRPr="00F63DFB" w:rsidRDefault="00210845" w:rsidP="00210845">
      <w:pPr>
        <w:rPr>
          <w:color w:val="17365D" w:themeColor="text2" w:themeShade="BF"/>
        </w:rPr>
      </w:pPr>
      <w:r w:rsidRPr="00F63DFB">
        <w:rPr>
          <w:b/>
          <w:i/>
          <w:color w:val="17365D" w:themeColor="text2" w:themeShade="BF"/>
        </w:rPr>
        <w:t xml:space="preserve">Headline question: </w:t>
      </w:r>
      <w:r w:rsidRPr="00F63DFB">
        <w:rPr>
          <w:i/>
          <w:color w:val="17365D" w:themeColor="text2" w:themeShade="BF"/>
        </w:rPr>
        <w:t>What are people doing differently as a result (e.g. planning and allocating resources)?</w:t>
      </w:r>
    </w:p>
    <w:p w:rsidR="00FC2577" w:rsidRPr="00F63DFB" w:rsidRDefault="00FC2577" w:rsidP="00FC2577">
      <w:pPr>
        <w:rPr>
          <w:color w:val="17365D" w:themeColor="text2" w:themeShade="BF"/>
        </w:rPr>
      </w:pPr>
      <w:r w:rsidRPr="00F63DFB">
        <w:rPr>
          <w:b/>
          <w:i/>
          <w:color w:val="17365D" w:themeColor="text2" w:themeShade="BF"/>
        </w:rPr>
        <w:t xml:space="preserve">Indicator 4: </w:t>
      </w:r>
      <w:r w:rsidRPr="00F63DFB">
        <w:rPr>
          <w:i/>
          <w:color w:val="17365D" w:themeColor="text2" w:themeShade="BF"/>
        </w:rPr>
        <w:t>Local action plans and/or agreements are produced to reduce local cli</w:t>
      </w:r>
      <w:r w:rsidR="00595DB8" w:rsidRPr="00F63DFB">
        <w:rPr>
          <w:i/>
          <w:color w:val="17365D" w:themeColor="text2" w:themeShade="BF"/>
        </w:rPr>
        <w:t>mate risks and vulnerabilities</w:t>
      </w:r>
    </w:p>
    <w:p w:rsidR="00507880" w:rsidRDefault="00510704" w:rsidP="00507880">
      <w:r>
        <w:t xml:space="preserve">The projects facilitated development of community </w:t>
      </w:r>
      <w:r w:rsidR="00FD1B59">
        <w:t>adaptation</w:t>
      </w:r>
      <w:r>
        <w:t xml:space="preserve"> plans </w:t>
      </w:r>
      <w:r w:rsidR="0010247D">
        <w:t xml:space="preserve">to </w:t>
      </w:r>
      <w:r>
        <w:t xml:space="preserve">address </w:t>
      </w:r>
      <w:r w:rsidR="00FD1B59">
        <w:t xml:space="preserve">climate </w:t>
      </w:r>
      <w:r>
        <w:t xml:space="preserve">risks and vulnerabilities, </w:t>
      </w:r>
      <w:r w:rsidR="00B22135">
        <w:t xml:space="preserve">which were </w:t>
      </w:r>
      <w:r>
        <w:t xml:space="preserve">identified through participatory assessment processes. </w:t>
      </w:r>
      <w:r w:rsidR="00FD1B59">
        <w:t>These</w:t>
      </w:r>
      <w:r w:rsidR="00B22135">
        <w:t xml:space="preserve"> plans</w:t>
      </w:r>
      <w:r w:rsidR="00FD1B59">
        <w:t xml:space="preserve"> were informed by technical an</w:t>
      </w:r>
      <w:r w:rsidR="006E77E3">
        <w:t>d local knowledge</w:t>
      </w:r>
      <w:r w:rsidR="00A1325E">
        <w:t xml:space="preserve"> gathered from within the communit</w:t>
      </w:r>
      <w:r w:rsidR="00B22135">
        <w:t>ies</w:t>
      </w:r>
      <w:r w:rsidR="00A1325E">
        <w:t xml:space="preserve"> and </w:t>
      </w:r>
      <w:r w:rsidR="00F63DFB">
        <w:t>by</w:t>
      </w:r>
      <w:r w:rsidR="00A1325E">
        <w:t xml:space="preserve"> accessing</w:t>
      </w:r>
      <w:r w:rsidR="003C13BE">
        <w:t xml:space="preserve"> partners’</w:t>
      </w:r>
      <w:r w:rsidR="00A1325E">
        <w:t xml:space="preserve"> technical expertise</w:t>
      </w:r>
      <w:r w:rsidR="006E77E3">
        <w:t xml:space="preserve">. </w:t>
      </w:r>
      <w:r w:rsidR="00507880" w:rsidRPr="00595DB8">
        <w:t xml:space="preserve">The project teams developed a range of methods </w:t>
      </w:r>
      <w:r w:rsidR="00614D82">
        <w:t>for dealing with climate change risks in a livelihood context</w:t>
      </w:r>
      <w:r w:rsidR="00507880" w:rsidRPr="00595DB8">
        <w:t xml:space="preserve"> and share</w:t>
      </w:r>
      <w:r w:rsidR="00B22135">
        <w:t>d</w:t>
      </w:r>
      <w:r w:rsidR="00507880" w:rsidRPr="00595DB8">
        <w:t xml:space="preserve"> many common experiences. These include</w:t>
      </w:r>
      <w:r w:rsidR="00507880">
        <w:t>d</w:t>
      </w:r>
      <w:r w:rsidR="00507880" w:rsidRPr="00595DB8">
        <w:t xml:space="preserve"> natural resource management, ecosystems a</w:t>
      </w:r>
      <w:r w:rsidR="00507880">
        <w:t>nd watershed approaches</w:t>
      </w:r>
      <w:r w:rsidR="00B22135">
        <w:t>.</w:t>
      </w:r>
      <w:r w:rsidR="00507880">
        <w:t xml:space="preserve"> </w:t>
      </w:r>
      <w:r w:rsidR="00B22135">
        <w:t>A</w:t>
      </w:r>
      <w:r w:rsidR="00614D82">
        <w:t xml:space="preserve">ll of </w:t>
      </w:r>
      <w:r w:rsidR="00B22135">
        <w:t xml:space="preserve">these methods </w:t>
      </w:r>
      <w:r w:rsidR="00614D82">
        <w:t xml:space="preserve">offer, at least in theory, ways to </w:t>
      </w:r>
      <w:r w:rsidR="006318D1">
        <w:t>reduce risks</w:t>
      </w:r>
      <w:r w:rsidR="003C13BE">
        <w:t>. For example,</w:t>
      </w:r>
      <w:r w:rsidR="006318D1">
        <w:t xml:space="preserve"> healthy ecosystems are known to be more resilient to weather shocks</w:t>
      </w:r>
      <w:r w:rsidR="003C13BE">
        <w:t xml:space="preserve"> and</w:t>
      </w:r>
      <w:r w:rsidR="006318D1">
        <w:t xml:space="preserve"> more efficient water use reduces the risks </w:t>
      </w:r>
      <w:r w:rsidR="003C13BE">
        <w:t>associated with</w:t>
      </w:r>
      <w:r w:rsidR="006318D1">
        <w:t xml:space="preserve"> drought.</w:t>
      </w:r>
    </w:p>
    <w:p w:rsidR="00595DB8" w:rsidRDefault="00AF5A2A" w:rsidP="00210845">
      <w:r>
        <w:t xml:space="preserve">Some </w:t>
      </w:r>
      <w:r w:rsidR="006318D1">
        <w:t xml:space="preserve">action </w:t>
      </w:r>
      <w:r w:rsidR="00F63DFB">
        <w:t xml:space="preserve">plans </w:t>
      </w:r>
      <w:r>
        <w:t xml:space="preserve">resulted from a </w:t>
      </w:r>
      <w:r w:rsidR="006318D1">
        <w:t>systematic</w:t>
      </w:r>
      <w:r>
        <w:t xml:space="preserve"> </w:t>
      </w:r>
      <w:r w:rsidR="008001F4">
        <w:t xml:space="preserve">CBA </w:t>
      </w:r>
      <w:r>
        <w:t>planning process (e.g. Oxfam projects); others emerged from less structured community collaborations and discussions of options.</w:t>
      </w:r>
      <w:r w:rsidR="00507880">
        <w:t xml:space="preserve"> </w:t>
      </w:r>
      <w:r w:rsidR="008B0801">
        <w:t xml:space="preserve">In some cases, communities simply prioritised actions to address specific risks and vulnerabilities. </w:t>
      </w:r>
      <w:r>
        <w:t>The outputs</w:t>
      </w:r>
      <w:r w:rsidR="006E77E3">
        <w:t xml:space="preserve"> included</w:t>
      </w:r>
      <w:r w:rsidR="00FD1B59">
        <w:t xml:space="preserve"> formal</w:t>
      </w:r>
      <w:r w:rsidR="00A1325E">
        <w:t xml:space="preserve"> documented</w:t>
      </w:r>
      <w:r w:rsidR="00FD1B59">
        <w:t xml:space="preserve"> plans (e.g. TNC project Marine Protected Areas including a 50,000 ha area on Manus Island, PNG), traditional plans</w:t>
      </w:r>
      <w:r w:rsidR="00595DB8">
        <w:t xml:space="preserve"> and agreements</w:t>
      </w:r>
      <w:r w:rsidR="00FD1B59">
        <w:t xml:space="preserve"> (e.g. for controlling resource use through mechanisms such as </w:t>
      </w:r>
      <w:r w:rsidR="00FD1B59" w:rsidRPr="00004EF7">
        <w:rPr>
          <w:i/>
        </w:rPr>
        <w:t xml:space="preserve">Tara </w:t>
      </w:r>
      <w:r w:rsidR="007D5E7B" w:rsidRPr="00004EF7">
        <w:rPr>
          <w:i/>
        </w:rPr>
        <w:t>Ba</w:t>
      </w:r>
      <w:r w:rsidR="00FD1B59" w:rsidRPr="00004EF7">
        <w:rPr>
          <w:i/>
        </w:rPr>
        <w:t>ndu</w:t>
      </w:r>
      <w:r w:rsidR="00FD1B59">
        <w:t xml:space="preserve"> in Timor</w:t>
      </w:r>
      <w:r w:rsidR="001524BD">
        <w:t>-</w:t>
      </w:r>
      <w:r w:rsidR="00FD1B59">
        <w:t>Leste) and community action plans</w:t>
      </w:r>
      <w:r w:rsidR="00A1325E">
        <w:t>.</w:t>
      </w:r>
      <w:r w:rsidR="001034B2">
        <w:t xml:space="preserve"> They included activities that could be implemented by the communities and other actions that would require access to support and resources from the projects, government or other sources.</w:t>
      </w:r>
    </w:p>
    <w:p w:rsidR="00FC2577" w:rsidRDefault="00595DB8" w:rsidP="00210845">
      <w:r>
        <w:t>Generally, the plans were produced with connections to existing community development structures (e.g. through chiefs, village councils</w:t>
      </w:r>
      <w:r w:rsidR="001524BD">
        <w:t xml:space="preserve"> and</w:t>
      </w:r>
      <w:r>
        <w:t xml:space="preserve"> groups such as water and farmer groups) and therefore had some level of integration with mainstream community</w:t>
      </w:r>
      <w:r w:rsidR="00680338">
        <w:t xml:space="preserve"> planning</w:t>
      </w:r>
      <w:r>
        <w:t xml:space="preserve">. </w:t>
      </w:r>
      <w:r w:rsidR="00DA09F2">
        <w:t>Some plans were linked to closely</w:t>
      </w:r>
      <w:r w:rsidR="001524BD">
        <w:t xml:space="preserve"> </w:t>
      </w:r>
      <w:r w:rsidR="00DA09F2">
        <w:t>related local government planning (e.g. disaster preparedness and response plans</w:t>
      </w:r>
      <w:r w:rsidR="001524BD">
        <w:t>,</w:t>
      </w:r>
      <w:r w:rsidR="00DA09F2">
        <w:t xml:space="preserve"> and water</w:t>
      </w:r>
      <w:r w:rsidR="008001F4">
        <w:t>,</w:t>
      </w:r>
      <w:r w:rsidR="00DA09F2">
        <w:t xml:space="preserve"> sanitation and hygiene</w:t>
      </w:r>
      <w:r w:rsidR="00BA6438">
        <w:t xml:space="preserve"> (WASH)</w:t>
      </w:r>
      <w:r w:rsidR="00DA09F2">
        <w:t xml:space="preserve"> plans). </w:t>
      </w:r>
      <w:r w:rsidR="00DD2324">
        <w:t>However</w:t>
      </w:r>
      <w:r>
        <w:t xml:space="preserve">, there was also a degree of disconnection </w:t>
      </w:r>
      <w:r w:rsidR="00507880">
        <w:t>from</w:t>
      </w:r>
      <w:r>
        <w:t xml:space="preserve"> these processes</w:t>
      </w:r>
      <w:r w:rsidR="00680338">
        <w:t>, and a risk tha</w:t>
      </w:r>
      <w:r w:rsidR="006318D1">
        <w:t>t the new knowledge and skills c</w:t>
      </w:r>
      <w:r w:rsidR="00680338">
        <w:t>ould not influence community development plans or planning processes beyond the life of the projects.</w:t>
      </w:r>
      <w:r>
        <w:t xml:space="preserve"> </w:t>
      </w:r>
      <w:r w:rsidR="002046FA">
        <w:t>While t</w:t>
      </w:r>
      <w:r w:rsidR="00A1325E">
        <w:t>he quality of the plans was not assessed in detail as part</w:t>
      </w:r>
      <w:r w:rsidR="002046FA">
        <w:t xml:space="preserve"> of this evaluation, it</w:t>
      </w:r>
      <w:r w:rsidR="00A1325E">
        <w:t xml:space="preserve"> </w:t>
      </w:r>
      <w:r w:rsidR="00232FD0">
        <w:t>is clear that they were strongly influenced by</w:t>
      </w:r>
      <w:r>
        <w:t>,</w:t>
      </w:r>
      <w:r w:rsidR="00232FD0">
        <w:t xml:space="preserve"> and built on</w:t>
      </w:r>
      <w:r>
        <w:t>,</w:t>
      </w:r>
      <w:r w:rsidR="00232FD0">
        <w:t xml:space="preserve"> previous work in the communities (e.g. </w:t>
      </w:r>
      <w:r w:rsidR="00507880">
        <w:t xml:space="preserve">in </w:t>
      </w:r>
      <w:r w:rsidR="00232FD0">
        <w:t xml:space="preserve">water and food security). </w:t>
      </w:r>
    </w:p>
    <w:p w:rsidR="00FC2577" w:rsidRDefault="00507880" w:rsidP="00210845">
      <w:r>
        <w:t>The</w:t>
      </w:r>
      <w:r w:rsidR="00DD2324">
        <w:t xml:space="preserve"> projects built the </w:t>
      </w:r>
      <w:r w:rsidR="00F81AA5">
        <w:t xml:space="preserve">knowledge base, </w:t>
      </w:r>
      <w:r w:rsidR="00C67F24">
        <w:t>facilitated essential connections and networks</w:t>
      </w:r>
      <w:r w:rsidR="00DD2324">
        <w:t>,</w:t>
      </w:r>
      <w:r w:rsidR="00F81AA5">
        <w:t xml:space="preserve"> and built capacities </w:t>
      </w:r>
      <w:r>
        <w:t>in risk assessment and planning. However,</w:t>
      </w:r>
      <w:r w:rsidR="00DD2324">
        <w:t xml:space="preserve"> in these early days, it is fair to say that </w:t>
      </w:r>
      <w:r w:rsidR="007F42D3">
        <w:t>they</w:t>
      </w:r>
      <w:r w:rsidR="00DD2324">
        <w:t xml:space="preserve"> continue to struggle with the complexity of climate change, to understand the risks and vulnerabilities</w:t>
      </w:r>
      <w:r w:rsidR="00F81AA5">
        <w:t xml:space="preserve"> and how they are linked </w:t>
      </w:r>
      <w:r w:rsidR="002046FA">
        <w:t>to</w:t>
      </w:r>
      <w:r w:rsidR="00F81AA5">
        <w:t xml:space="preserve"> other drivers of vulnerability</w:t>
      </w:r>
      <w:r w:rsidR="007F723E">
        <w:t xml:space="preserve">, </w:t>
      </w:r>
      <w:r w:rsidR="00F81AA5">
        <w:t xml:space="preserve">to </w:t>
      </w:r>
      <w:r w:rsidR="007F723E">
        <w:t>identify realistic and effective measures to reduce these, and prioritise between different options</w:t>
      </w:r>
      <w:r w:rsidR="00DD2324">
        <w:t>.</w:t>
      </w:r>
      <w:r w:rsidR="007F723E">
        <w:t xml:space="preserve"> </w:t>
      </w:r>
      <w:r>
        <w:t>Greater depth of knowledge and experience, and a suite of options supported by a sound evidence base</w:t>
      </w:r>
      <w:r w:rsidR="007A3808">
        <w:t>,</w:t>
      </w:r>
      <w:r>
        <w:t xml:space="preserve"> are needed to inform </w:t>
      </w:r>
      <w:r w:rsidR="002046FA">
        <w:t xml:space="preserve">their </w:t>
      </w:r>
      <w:r>
        <w:t>decisions</w:t>
      </w:r>
      <w:r w:rsidR="002046FA">
        <w:t>.</w:t>
      </w:r>
    </w:p>
    <w:p w:rsidR="00FC2577" w:rsidRPr="002046FA" w:rsidRDefault="00FC2577" w:rsidP="00FC2577">
      <w:pPr>
        <w:rPr>
          <w:i/>
          <w:color w:val="17365D" w:themeColor="text2" w:themeShade="BF"/>
        </w:rPr>
      </w:pPr>
      <w:r w:rsidRPr="002046FA">
        <w:rPr>
          <w:b/>
          <w:i/>
          <w:color w:val="17365D" w:themeColor="text2" w:themeShade="BF"/>
        </w:rPr>
        <w:t xml:space="preserve">Indicator 5: </w:t>
      </w:r>
      <w:r w:rsidRPr="002046FA">
        <w:rPr>
          <w:i/>
          <w:color w:val="17365D" w:themeColor="text2" w:themeShade="BF"/>
        </w:rPr>
        <w:t>Government and/or civil society policies, planning systems and mandates are modified to integrate new knowledge and solutions</w:t>
      </w:r>
    </w:p>
    <w:p w:rsidR="002F7E48" w:rsidRDefault="00935706" w:rsidP="00FC2577">
      <w:r>
        <w:t xml:space="preserve">Despite the many challenges around capacity and engagement, the projects </w:t>
      </w:r>
      <w:r w:rsidR="00737B98">
        <w:t>had some success</w:t>
      </w:r>
      <w:r w:rsidR="007F42D3">
        <w:t>es</w:t>
      </w:r>
      <w:r>
        <w:t xml:space="preserve"> in influencing government planning processes </w:t>
      </w:r>
      <w:r w:rsidR="00305EDB">
        <w:t>and development plans</w:t>
      </w:r>
      <w:r w:rsidR="002F7E48">
        <w:t>, especially at local level</w:t>
      </w:r>
      <w:r w:rsidR="00305EDB">
        <w:t>.</w:t>
      </w:r>
      <w:r w:rsidR="00E04A1C">
        <w:t xml:space="preserve"> </w:t>
      </w:r>
      <w:r w:rsidR="007F42D3">
        <w:t>Local</w:t>
      </w:r>
      <w:r w:rsidR="002F7E48">
        <w:t xml:space="preserve"> governments have </w:t>
      </w:r>
      <w:r w:rsidR="007F42D3">
        <w:t>begun to alter</w:t>
      </w:r>
      <w:r w:rsidR="002F7E48">
        <w:t xml:space="preserve"> their </w:t>
      </w:r>
      <w:r w:rsidR="007F42D3">
        <w:t>processes to take account of</w:t>
      </w:r>
      <w:r w:rsidR="002F7E48">
        <w:t xml:space="preserve"> community-identified actions to address climate change risks and vulnerabilities.</w:t>
      </w:r>
    </w:p>
    <w:p w:rsidR="00563278" w:rsidRDefault="002F7E48" w:rsidP="00FC2577">
      <w:r>
        <w:t xml:space="preserve">Local governments have formalised </w:t>
      </w:r>
      <w:r w:rsidR="00563278">
        <w:t xml:space="preserve">some </w:t>
      </w:r>
      <w:r>
        <w:t xml:space="preserve">project mechanisms for engaging with communities </w:t>
      </w:r>
      <w:r w:rsidR="00B71564">
        <w:t xml:space="preserve">in </w:t>
      </w:r>
      <w:r w:rsidR="00004EF7">
        <w:t xml:space="preserve">CBA </w:t>
      </w:r>
      <w:r w:rsidR="00B71564">
        <w:t>planning</w:t>
      </w:r>
      <w:r w:rsidR="007A3808">
        <w:t xml:space="preserve">, for example </w:t>
      </w:r>
      <w:r>
        <w:t>through ongoing support</w:t>
      </w:r>
      <w:r w:rsidR="00DD0ECB">
        <w:t xml:space="preserve"> for Technical Working Groups </w:t>
      </w:r>
      <w:r w:rsidR="007A3808">
        <w:t>(</w:t>
      </w:r>
      <w:r>
        <w:t>Plan/SCI</w:t>
      </w:r>
      <w:r w:rsidR="00EB271A">
        <w:t>,</w:t>
      </w:r>
      <w:r>
        <w:t xml:space="preserve"> Philippines</w:t>
      </w:r>
      <w:r w:rsidR="007A3808">
        <w:t>) and</w:t>
      </w:r>
      <w:r w:rsidR="00DD0ECB">
        <w:t xml:space="preserve"> incorporating Core Groups in local governance structures in PNG </w:t>
      </w:r>
      <w:r w:rsidR="007A3808">
        <w:t>(</w:t>
      </w:r>
      <w:r w:rsidR="00DD0ECB">
        <w:t>CARE</w:t>
      </w:r>
      <w:r>
        <w:t>)</w:t>
      </w:r>
      <w:r w:rsidR="007A3808">
        <w:t xml:space="preserve">. </w:t>
      </w:r>
      <w:r w:rsidR="0063305D">
        <w:t>C</w:t>
      </w:r>
      <w:r>
        <w:t>ommunity groups</w:t>
      </w:r>
      <w:r w:rsidR="0063305D">
        <w:t xml:space="preserve"> are </w:t>
      </w:r>
      <w:r w:rsidR="00CB7A24">
        <w:t xml:space="preserve">also </w:t>
      </w:r>
      <w:r w:rsidR="0063305D">
        <w:t>represented</w:t>
      </w:r>
      <w:r>
        <w:t xml:space="preserve"> in government planning processes (e.g. ordinances for enabling participation of children and youth in </w:t>
      </w:r>
      <w:r w:rsidR="002A4C32">
        <w:t>DRR</w:t>
      </w:r>
      <w:r>
        <w:t xml:space="preserve"> planning</w:t>
      </w:r>
      <w:r w:rsidR="0063305D">
        <w:t xml:space="preserve"> and </w:t>
      </w:r>
      <w:r w:rsidR="00E074F5">
        <w:t xml:space="preserve">formal partnership agreements on community adaptation signed between the Vanuatu Christian Council and three provincial governments </w:t>
      </w:r>
      <w:r w:rsidR="0063305D">
        <w:t>–</w:t>
      </w:r>
      <w:r w:rsidR="00E074F5">
        <w:t xml:space="preserve"> AfP</w:t>
      </w:r>
      <w:r w:rsidR="00B71564">
        <w:t>)</w:t>
      </w:r>
      <w:r w:rsidR="00BC2075">
        <w:t xml:space="preserve">. </w:t>
      </w:r>
      <w:r w:rsidR="00563278">
        <w:t>There is evidence that local government officials value these representations:</w:t>
      </w:r>
    </w:p>
    <w:p w:rsidR="00563278" w:rsidRPr="00AA3F68" w:rsidRDefault="00563278" w:rsidP="00563278">
      <w:pPr>
        <w:ind w:left="720"/>
        <w:rPr>
          <w:sz w:val="20"/>
        </w:rPr>
      </w:pPr>
      <w:r w:rsidRPr="00AA3F68">
        <w:rPr>
          <w:i/>
          <w:sz w:val="20"/>
        </w:rPr>
        <w:t>‘Children are more active in identifying hazards with drawings and mapping – they can identify the hazards. They are more informed than us.’</w:t>
      </w:r>
      <w:r w:rsidRPr="00AA3F68">
        <w:rPr>
          <w:sz w:val="20"/>
        </w:rPr>
        <w:t xml:space="preserve"> – Vice-Mayor of participating local government, </w:t>
      </w:r>
      <w:r w:rsidR="008001F4">
        <w:rPr>
          <w:sz w:val="20"/>
        </w:rPr>
        <w:t xml:space="preserve">Plan, </w:t>
      </w:r>
      <w:r w:rsidRPr="00AA3F68">
        <w:rPr>
          <w:sz w:val="20"/>
        </w:rPr>
        <w:t>Philippines</w:t>
      </w:r>
      <w:r w:rsidR="008001F4">
        <w:rPr>
          <w:sz w:val="20"/>
        </w:rPr>
        <w:t xml:space="preserve"> (interview)</w:t>
      </w:r>
    </w:p>
    <w:p w:rsidR="00050263" w:rsidRDefault="00563278" w:rsidP="00FC2577">
      <w:r>
        <w:t>As a result, l</w:t>
      </w:r>
      <w:r w:rsidR="00BC2075">
        <w:t xml:space="preserve">ocal plans </w:t>
      </w:r>
      <w:r w:rsidR="00DD0ECB">
        <w:t>have been</w:t>
      </w:r>
      <w:r w:rsidR="00BC2075">
        <w:t xml:space="preserve"> revised to reflect the views and priorities of communities/community groups (e.g. uptake of </w:t>
      </w:r>
      <w:r w:rsidR="002A4C32">
        <w:t>CAP</w:t>
      </w:r>
      <w:r w:rsidR="00BC2075">
        <w:t xml:space="preserve"> activities in Timor</w:t>
      </w:r>
      <w:r w:rsidR="00CB7A24">
        <w:t>-</w:t>
      </w:r>
      <w:r w:rsidR="00BC2075">
        <w:t>Leste – Oxfam</w:t>
      </w:r>
      <w:r w:rsidR="00CB7A24">
        <w:t>, and</w:t>
      </w:r>
      <w:r w:rsidR="00F514AD">
        <w:t xml:space="preserve"> integration of climate change in Ward planning </w:t>
      </w:r>
      <w:r>
        <w:t>–</w:t>
      </w:r>
      <w:r w:rsidR="00F514AD">
        <w:t xml:space="preserve"> TNC</w:t>
      </w:r>
      <w:r w:rsidR="00BC2075">
        <w:t xml:space="preserve">). Resources have been allocated to further </w:t>
      </w:r>
      <w:r w:rsidR="00BB4E0B">
        <w:t xml:space="preserve">integrate </w:t>
      </w:r>
      <w:r w:rsidR="00BC2075">
        <w:t xml:space="preserve">project activities </w:t>
      </w:r>
      <w:r w:rsidR="002046FA">
        <w:t>(e.g. through the funding of an</w:t>
      </w:r>
      <w:r w:rsidR="00BC2075">
        <w:t xml:space="preserve"> environment officer to work with communities and draft an environmental policy in Isabel Province, Solomon Islands – TNC).</w:t>
      </w:r>
    </w:p>
    <w:p w:rsidR="00050263" w:rsidRDefault="00050263" w:rsidP="00FC2577">
      <w:r>
        <w:t xml:space="preserve">However, significant </w:t>
      </w:r>
      <w:r w:rsidR="007F42D3">
        <w:t>barriers</w:t>
      </w:r>
      <w:r>
        <w:t xml:space="preserve"> remain in integrating </w:t>
      </w:r>
      <w:r w:rsidR="00563278">
        <w:t xml:space="preserve">community planning </w:t>
      </w:r>
      <w:r>
        <w:t>with local/sub-national government planning</w:t>
      </w:r>
      <w:r w:rsidR="008D5FFA">
        <w:t>. These</w:t>
      </w:r>
      <w:r>
        <w:t xml:space="preserve"> includ</w:t>
      </w:r>
      <w:r w:rsidR="008D5FFA">
        <w:t>e</w:t>
      </w:r>
      <w:r>
        <w:t xml:space="preserve"> defining the roles and mandates of government and civil society and coordinating the activity of many donors and NGOs active in climate change adaptation in some local government areas:</w:t>
      </w:r>
    </w:p>
    <w:p w:rsidR="00050263" w:rsidRPr="00050263" w:rsidRDefault="00050263" w:rsidP="00050263">
      <w:pPr>
        <w:ind w:left="720"/>
        <w:rPr>
          <w:i/>
          <w:sz w:val="20"/>
        </w:rPr>
      </w:pPr>
      <w:r w:rsidRPr="00050263">
        <w:rPr>
          <w:i/>
          <w:sz w:val="20"/>
        </w:rPr>
        <w:t>‘Responsibilities are not clear</w:t>
      </w:r>
      <w:r w:rsidR="00CB7A24">
        <w:rPr>
          <w:i/>
          <w:sz w:val="20"/>
        </w:rPr>
        <w:t xml:space="preserve"> –</w:t>
      </w:r>
      <w:r w:rsidRPr="00050263">
        <w:rPr>
          <w:i/>
          <w:sz w:val="20"/>
        </w:rPr>
        <w:t xml:space="preserve"> we need to set up a plan together and identify what activity will be done by whom. We have set up consultations with communities – this will involve everyone including CSOs. The next meeting will be for each member to define activities.’ </w:t>
      </w:r>
      <w:r w:rsidR="00CB7A24">
        <w:rPr>
          <w:sz w:val="20"/>
        </w:rPr>
        <w:t>–</w:t>
      </w:r>
      <w:r w:rsidR="0077483F">
        <w:rPr>
          <w:sz w:val="20"/>
        </w:rPr>
        <w:t xml:space="preserve"> </w:t>
      </w:r>
      <w:r w:rsidRPr="00050263">
        <w:rPr>
          <w:sz w:val="20"/>
        </w:rPr>
        <w:t>Department of Environment official</w:t>
      </w:r>
      <w:r>
        <w:rPr>
          <w:sz w:val="20"/>
        </w:rPr>
        <w:t xml:space="preserve"> in a project area</w:t>
      </w:r>
      <w:r w:rsidR="008001F4">
        <w:rPr>
          <w:sz w:val="20"/>
        </w:rPr>
        <w:t>, Oxfam, Timor Leste (interview)</w:t>
      </w:r>
    </w:p>
    <w:p w:rsidR="00FC2577" w:rsidRPr="00935706" w:rsidRDefault="00050263" w:rsidP="00FC2577">
      <w:r>
        <w:t xml:space="preserve">In the project areas, </w:t>
      </w:r>
      <w:r w:rsidR="008001F4">
        <w:t xml:space="preserve">donor </w:t>
      </w:r>
      <w:r>
        <w:t xml:space="preserve">activity ranges from near saturation (e.g. Marshall Islands), leading to ‘project fatigue’ in communities and stretching local government capacity, to </w:t>
      </w:r>
      <w:r w:rsidR="00FA0F5D">
        <w:t xml:space="preserve">relatively </w:t>
      </w:r>
      <w:r w:rsidR="000948A1">
        <w:t>low levels.</w:t>
      </w:r>
    </w:p>
    <w:p w:rsidR="006B430F" w:rsidRPr="002046FA" w:rsidRDefault="00AC4B63" w:rsidP="00FC2577">
      <w:pPr>
        <w:rPr>
          <w:i/>
          <w:color w:val="17365D" w:themeColor="text2" w:themeShade="BF"/>
        </w:rPr>
      </w:pPr>
      <w:r w:rsidRPr="002046FA">
        <w:rPr>
          <w:b/>
          <w:i/>
          <w:color w:val="17365D" w:themeColor="text2" w:themeShade="BF"/>
        </w:rPr>
        <w:t>Indicator 6</w:t>
      </w:r>
      <w:r w:rsidR="00F34E14" w:rsidRPr="002046FA">
        <w:rPr>
          <w:b/>
          <w:i/>
          <w:color w:val="17365D" w:themeColor="text2" w:themeShade="BF"/>
        </w:rPr>
        <w:t xml:space="preserve">: </w:t>
      </w:r>
      <w:r w:rsidR="00F34E14" w:rsidRPr="002046FA">
        <w:rPr>
          <w:i/>
          <w:color w:val="17365D" w:themeColor="text2" w:themeShade="BF"/>
        </w:rPr>
        <w:t>Resources are made available for implementation</w:t>
      </w:r>
    </w:p>
    <w:p w:rsidR="00BC1FCD" w:rsidRDefault="008F17FD" w:rsidP="00811A3C">
      <w:r>
        <w:t>A</w:t>
      </w:r>
      <w:r w:rsidR="00811A3C">
        <w:t>ccessing resources through government development planning for climate change action</w:t>
      </w:r>
      <w:r>
        <w:t xml:space="preserve"> </w:t>
      </w:r>
      <w:r w:rsidR="002046FA">
        <w:t xml:space="preserve">also </w:t>
      </w:r>
      <w:r>
        <w:t>remains challenging</w:t>
      </w:r>
      <w:r w:rsidR="00811A3C">
        <w:t>. At local govern</w:t>
      </w:r>
      <w:r w:rsidR="005E733F">
        <w:t>ment levels in particular, the</w:t>
      </w:r>
      <w:r w:rsidR="00811A3C">
        <w:t xml:space="preserve"> planning processes tend to sit outside main</w:t>
      </w:r>
      <w:r w:rsidR="002046FA">
        <w:t xml:space="preserve">stream development planning, </w:t>
      </w:r>
      <w:r w:rsidR="00811A3C">
        <w:t xml:space="preserve">disconnected from local development budgets and other resource allocation mechanisms. Even in cases where climate change adaptation is integrated with other processes such as </w:t>
      </w:r>
      <w:r w:rsidR="000C62F6">
        <w:t xml:space="preserve">DRR </w:t>
      </w:r>
      <w:r w:rsidR="00811A3C">
        <w:t>planning, mainstream budg</w:t>
      </w:r>
      <w:r w:rsidR="007F42D3">
        <w:t>ets are not easily accessed.</w:t>
      </w:r>
      <w:r w:rsidR="00BC1FCD">
        <w:t xml:space="preserve"> </w:t>
      </w:r>
    </w:p>
    <w:p w:rsidR="00BC1FCD" w:rsidRDefault="00811A3C" w:rsidP="00811A3C">
      <w:r>
        <w:t xml:space="preserve">To overcome this, governments in some countries have allocated specific local budgets to fund DRR and climate change action at local levels </w:t>
      </w:r>
      <w:r w:rsidR="008F17FD">
        <w:t>(e.g. the People’s Survival Fund in the Philippines)</w:t>
      </w:r>
      <w:r>
        <w:t xml:space="preserve">. </w:t>
      </w:r>
      <w:r w:rsidR="005E733F">
        <w:t>However, such funds tend to be relativ</w:t>
      </w:r>
      <w:r w:rsidR="005D083E">
        <w:t>ely minor and lack transparency.</w:t>
      </w:r>
    </w:p>
    <w:p w:rsidR="005D083E" w:rsidRDefault="002046FA" w:rsidP="00811A3C">
      <w:r>
        <w:t>Despite the barriers</w:t>
      </w:r>
      <w:r w:rsidR="005E733F">
        <w:t xml:space="preserve">, </w:t>
      </w:r>
      <w:r w:rsidR="005D083E">
        <w:t xml:space="preserve">in some cases, </w:t>
      </w:r>
      <w:r w:rsidR="005E733F">
        <w:t>projects were able to link communities to local government funding streams, enabling access to resources for impleme</w:t>
      </w:r>
      <w:r w:rsidR="005D083E">
        <w:t>n</w:t>
      </w:r>
      <w:r w:rsidR="005E733F">
        <w:t>tation.</w:t>
      </w:r>
      <w:r w:rsidR="005D083E">
        <w:t xml:space="preserve"> Examples include:</w:t>
      </w:r>
    </w:p>
    <w:p w:rsidR="00FC2577" w:rsidRPr="00A80A55" w:rsidRDefault="00046000" w:rsidP="008001F4">
      <w:pPr>
        <w:pStyle w:val="ListParagraph"/>
        <w:numPr>
          <w:ilvl w:val="0"/>
          <w:numId w:val="14"/>
        </w:numPr>
        <w:rPr>
          <w:sz w:val="20"/>
        </w:rPr>
      </w:pPr>
      <w:r>
        <w:rPr>
          <w:sz w:val="20"/>
        </w:rPr>
        <w:t xml:space="preserve">The </w:t>
      </w:r>
      <w:r w:rsidR="005D083E" w:rsidRPr="002C356E">
        <w:rPr>
          <w:sz w:val="20"/>
        </w:rPr>
        <w:t>Oxfam Philippines project</w:t>
      </w:r>
      <w:r w:rsidR="008001F4">
        <w:rPr>
          <w:sz w:val="20"/>
        </w:rPr>
        <w:t xml:space="preserve"> </w:t>
      </w:r>
      <w:r w:rsidR="005D083E" w:rsidRPr="002C356E">
        <w:rPr>
          <w:sz w:val="20"/>
        </w:rPr>
        <w:t xml:space="preserve">secured </w:t>
      </w:r>
      <w:r w:rsidR="008001F4">
        <w:rPr>
          <w:sz w:val="20"/>
        </w:rPr>
        <w:t>funds</w:t>
      </w:r>
      <w:r w:rsidR="005D083E" w:rsidRPr="002C356E">
        <w:rPr>
          <w:sz w:val="20"/>
        </w:rPr>
        <w:t xml:space="preserve"> from local governments to implement a range of adaptation measures</w:t>
      </w:r>
      <w:r w:rsidR="008001F4">
        <w:rPr>
          <w:sz w:val="20"/>
        </w:rPr>
        <w:t xml:space="preserve">, including </w:t>
      </w:r>
      <w:r w:rsidR="008001F4" w:rsidRPr="002C356E">
        <w:rPr>
          <w:sz w:val="20"/>
        </w:rPr>
        <w:t>early warning systems (automated weather stations), resulting in improved response and evacuatio</w:t>
      </w:r>
      <w:r w:rsidR="008001F4">
        <w:rPr>
          <w:sz w:val="20"/>
        </w:rPr>
        <w:t>ns.</w:t>
      </w:r>
    </w:p>
    <w:p w:rsidR="00210845" w:rsidRDefault="00210845" w:rsidP="00210845">
      <w:pPr>
        <w:pStyle w:val="Heading2"/>
      </w:pPr>
      <w:bookmarkStart w:id="34" w:name="_Toc315694467"/>
      <w:r>
        <w:t>Adoption, implementation and scale out</w:t>
      </w:r>
      <w:bookmarkEnd w:id="34"/>
    </w:p>
    <w:p w:rsidR="00210845" w:rsidRPr="002046FA" w:rsidRDefault="00210845" w:rsidP="00210845">
      <w:pPr>
        <w:rPr>
          <w:color w:val="17365D" w:themeColor="text2" w:themeShade="BF"/>
        </w:rPr>
      </w:pPr>
      <w:r w:rsidRPr="002046FA">
        <w:rPr>
          <w:b/>
          <w:color w:val="17365D" w:themeColor="text2" w:themeShade="BF"/>
        </w:rPr>
        <w:t>Program</w:t>
      </w:r>
      <w:r w:rsidR="009809C0">
        <w:rPr>
          <w:b/>
          <w:color w:val="17365D" w:themeColor="text2" w:themeShade="BF"/>
        </w:rPr>
        <w:t>-</w:t>
      </w:r>
      <w:r w:rsidRPr="002046FA">
        <w:rPr>
          <w:b/>
          <w:color w:val="17365D" w:themeColor="text2" w:themeShade="BF"/>
        </w:rPr>
        <w:t>level outcome: Community</w:t>
      </w:r>
      <w:r w:rsidR="009809C0">
        <w:rPr>
          <w:b/>
          <w:color w:val="17365D" w:themeColor="text2" w:themeShade="BF"/>
        </w:rPr>
        <w:t>-</w:t>
      </w:r>
      <w:r w:rsidRPr="002046FA">
        <w:rPr>
          <w:b/>
          <w:color w:val="17365D" w:themeColor="text2" w:themeShade="BF"/>
        </w:rPr>
        <w:t>based stra</w:t>
      </w:r>
      <w:r w:rsidR="006E77E3" w:rsidRPr="002046FA">
        <w:rPr>
          <w:b/>
          <w:color w:val="17365D" w:themeColor="text2" w:themeShade="BF"/>
        </w:rPr>
        <w:t>tegies for adaptation strategies</w:t>
      </w:r>
      <w:r w:rsidRPr="002046FA">
        <w:rPr>
          <w:b/>
          <w:color w:val="17365D" w:themeColor="text2" w:themeShade="BF"/>
        </w:rPr>
        <w:t xml:space="preserve"> are adopted, adapted and implemented in other vulnerable communities</w:t>
      </w:r>
      <w:r w:rsidR="009809C0">
        <w:rPr>
          <w:b/>
          <w:color w:val="17365D" w:themeColor="text2" w:themeShade="BF"/>
        </w:rPr>
        <w:t>.</w:t>
      </w:r>
    </w:p>
    <w:p w:rsidR="00737B98" w:rsidRPr="002046FA" w:rsidRDefault="00210845" w:rsidP="00210845">
      <w:pPr>
        <w:rPr>
          <w:i/>
          <w:color w:val="17365D" w:themeColor="text2" w:themeShade="BF"/>
        </w:rPr>
      </w:pPr>
      <w:r w:rsidRPr="002046FA">
        <w:rPr>
          <w:b/>
          <w:i/>
          <w:color w:val="17365D" w:themeColor="text2" w:themeShade="BF"/>
        </w:rPr>
        <w:t>Headline question:</w:t>
      </w:r>
      <w:r w:rsidRPr="002046FA">
        <w:rPr>
          <w:i/>
          <w:color w:val="17365D" w:themeColor="text2" w:themeShade="BF"/>
        </w:rPr>
        <w:t xml:space="preserve"> How have communities benefited (e.g. enhanced adaptive management)?</w:t>
      </w:r>
    </w:p>
    <w:p w:rsidR="004659AB" w:rsidRDefault="004659AB" w:rsidP="00210845">
      <w:r>
        <w:t xml:space="preserve">International investment in adaptation in developing and emerging economies increased dramatically </w:t>
      </w:r>
      <w:r w:rsidR="00175A18">
        <w:t>following</w:t>
      </w:r>
      <w:r>
        <w:t xml:space="preserve"> the </w:t>
      </w:r>
      <w:r w:rsidR="00AD6DA8" w:rsidRPr="00EB7A5E">
        <w:t>United Nations Framework</w:t>
      </w:r>
      <w:r w:rsidR="00AD6DA8">
        <w:t xml:space="preserve"> Commission on Climate Change (</w:t>
      </w:r>
      <w:r>
        <w:t>UNFCCC</w:t>
      </w:r>
      <w:r w:rsidR="00AD6DA8">
        <w:t>)</w:t>
      </w:r>
      <w:r>
        <w:t xml:space="preserve"> </w:t>
      </w:r>
      <w:r w:rsidR="00AD6DA8">
        <w:t>Copenhagen Conference of the parties (</w:t>
      </w:r>
      <w:r>
        <w:t>COP</w:t>
      </w:r>
      <w:r w:rsidR="00AD6DA8">
        <w:t>)</w:t>
      </w:r>
      <w:r w:rsidR="000A2E51">
        <w:t xml:space="preserve"> </w:t>
      </w:r>
      <w:r w:rsidR="00175A18">
        <w:t>in</w:t>
      </w:r>
      <w:r w:rsidR="00AD6DA8">
        <w:t xml:space="preserve"> 2010</w:t>
      </w:r>
      <w:r>
        <w:t xml:space="preserve">, </w:t>
      </w:r>
      <w:r w:rsidR="00175A18">
        <w:t xml:space="preserve">which resulted in </w:t>
      </w:r>
      <w:r>
        <w:t xml:space="preserve">agreements by developed nations to provide finance to vulnerable countries. In our region, there was a particular focus on small island Pacific </w:t>
      </w:r>
      <w:r w:rsidR="008001F4">
        <w:t>countries</w:t>
      </w:r>
      <w:r>
        <w:t xml:space="preserve"> judged to be among the most vulnerable and having the least capacity to invest internally. </w:t>
      </w:r>
    </w:p>
    <w:p w:rsidR="00737B98" w:rsidRPr="004659AB" w:rsidRDefault="004659AB" w:rsidP="00210845">
      <w:r>
        <w:t>Numerous programs were rolled out in the Pacific</w:t>
      </w:r>
      <w:r w:rsidR="00D32907">
        <w:t xml:space="preserve"> Region</w:t>
      </w:r>
      <w:r>
        <w:t xml:space="preserve"> to establish the science, monitor impacts, develop regional climate models, develop national </w:t>
      </w:r>
      <w:r w:rsidR="00ED2570">
        <w:t xml:space="preserve">policy and </w:t>
      </w:r>
      <w:r>
        <w:t xml:space="preserve">adaptation investment plans, support local governments and communities to develop sub-national and community plans, and test out adaptation strategies on the ground. National governments have made </w:t>
      </w:r>
      <w:r w:rsidR="00ED2570">
        <w:t xml:space="preserve">some </w:t>
      </w:r>
      <w:r>
        <w:t xml:space="preserve">progress in integrating adaptation in development planning processes and providing access to finances, often through linkages with DRR </w:t>
      </w:r>
      <w:r w:rsidR="00ED2570">
        <w:t>architecture</w:t>
      </w:r>
      <w:r>
        <w:t>. To date, while there have been many plans developed and technologies tested, activity on the ground has been limited, and benefits to communities largely unknown.</w:t>
      </w:r>
      <w:r w:rsidR="002046FA">
        <w:t xml:space="preserve"> </w:t>
      </w:r>
      <w:r w:rsidR="003D4B1F">
        <w:t xml:space="preserve">The </w:t>
      </w:r>
      <w:r w:rsidR="002046FA">
        <w:t>CBCCAG</w:t>
      </w:r>
      <w:r w:rsidR="003D4B1F">
        <w:t xml:space="preserve"> program</w:t>
      </w:r>
      <w:r w:rsidR="002046FA">
        <w:t xml:space="preserve"> provided an opportunity for testing a suite of options </w:t>
      </w:r>
      <w:r w:rsidR="003D4B1F">
        <w:t>in participating communities</w:t>
      </w:r>
      <w:r w:rsidR="002046FA">
        <w:t xml:space="preserve"> and for building an evidence base for further action.</w:t>
      </w:r>
    </w:p>
    <w:p w:rsidR="00D166CA" w:rsidRPr="002046FA" w:rsidRDefault="00D166CA" w:rsidP="00FC2577">
      <w:pPr>
        <w:rPr>
          <w:color w:val="17365D" w:themeColor="text2" w:themeShade="BF"/>
        </w:rPr>
      </w:pPr>
      <w:r w:rsidRPr="002046FA">
        <w:rPr>
          <w:b/>
          <w:i/>
          <w:color w:val="17365D" w:themeColor="text2" w:themeShade="BF"/>
        </w:rPr>
        <w:t xml:space="preserve">Indicator 7: </w:t>
      </w:r>
      <w:r w:rsidR="006E77E3" w:rsidRPr="002046FA">
        <w:rPr>
          <w:i/>
          <w:color w:val="17365D" w:themeColor="text2" w:themeShade="BF"/>
        </w:rPr>
        <w:t>Adaptation</w:t>
      </w:r>
      <w:r w:rsidR="00FC2577" w:rsidRPr="002046FA">
        <w:rPr>
          <w:i/>
          <w:color w:val="17365D" w:themeColor="text2" w:themeShade="BF"/>
        </w:rPr>
        <w:t xml:space="preserve"> strategies are tested and modified to reduce local climate risks and</w:t>
      </w:r>
      <w:r w:rsidR="006E77E3" w:rsidRPr="002046FA">
        <w:rPr>
          <w:i/>
          <w:color w:val="17365D" w:themeColor="text2" w:themeShade="BF"/>
        </w:rPr>
        <w:t xml:space="preserve"> vulnerabilitie</w:t>
      </w:r>
      <w:r w:rsidR="00FC2577" w:rsidRPr="002046FA">
        <w:rPr>
          <w:i/>
          <w:color w:val="17365D" w:themeColor="text2" w:themeShade="BF"/>
        </w:rPr>
        <w:t>s</w:t>
      </w:r>
    </w:p>
    <w:p w:rsidR="005153B6" w:rsidRPr="00082B4F" w:rsidRDefault="0033742A" w:rsidP="00E2746C">
      <w:pPr>
        <w:rPr>
          <w:b/>
          <w:i/>
        </w:rPr>
      </w:pPr>
      <w:r>
        <w:rPr>
          <w:b/>
          <w:i/>
        </w:rPr>
        <w:t>D</w:t>
      </w:r>
      <w:r w:rsidR="005153B6" w:rsidRPr="00082B4F">
        <w:rPr>
          <w:b/>
          <w:i/>
        </w:rPr>
        <w:t>ifferent activities were tested in a variety of settings</w:t>
      </w:r>
    </w:p>
    <w:p w:rsidR="00E2746C" w:rsidRDefault="00D166CA" w:rsidP="00E2746C">
      <w:r>
        <w:t xml:space="preserve">The projects made resources available for </w:t>
      </w:r>
      <w:r w:rsidR="00E2746C">
        <w:t xml:space="preserve">testing </w:t>
      </w:r>
      <w:r>
        <w:t>various adaptation strategies and activities in participating communities</w:t>
      </w:r>
      <w:r w:rsidR="00E2746C">
        <w:t xml:space="preserve"> through community-based grants and direct funding support</w:t>
      </w:r>
      <w:r>
        <w:t xml:space="preserve">. </w:t>
      </w:r>
      <w:r w:rsidR="00E2746C">
        <w:t xml:space="preserve">Primarily, the </w:t>
      </w:r>
      <w:r w:rsidR="00E01B27">
        <w:t xml:space="preserve">adaptation </w:t>
      </w:r>
      <w:r w:rsidR="00E2746C">
        <w:t>strategies were about building community resilience through improved management of natural resources and productive ecosystems, taking account of climate trends and projections. However, there were also savings and loans activities, providing insurance against crop failures and natural disasters</w:t>
      </w:r>
      <w:r w:rsidR="003D4B1F">
        <w:t>,</w:t>
      </w:r>
      <w:r w:rsidR="00151F9C">
        <w:t xml:space="preserve"> and governance activities, strengthening capacities of communities to access </w:t>
      </w:r>
      <w:r w:rsidR="00ED2570">
        <w:t xml:space="preserve">resources and </w:t>
      </w:r>
      <w:r w:rsidR="00151F9C">
        <w:t>finance for implementation</w:t>
      </w:r>
      <w:r w:rsidR="00E2746C">
        <w:t xml:space="preserve">. </w:t>
      </w:r>
      <w:r w:rsidR="00E01B27">
        <w:t>Activities were identified through the participatory vulnerability assessments and adaptation planning exercises conducted in the communities.</w:t>
      </w:r>
    </w:p>
    <w:p w:rsidR="00684C62" w:rsidRDefault="00E2746C" w:rsidP="00E2746C">
      <w:r>
        <w:t xml:space="preserve">Most </w:t>
      </w:r>
      <w:r w:rsidR="00151F9C">
        <w:t xml:space="preserve">projects </w:t>
      </w:r>
      <w:r>
        <w:t xml:space="preserve">focused on livelihoods, introducing ideas and technologies to improve productivity, </w:t>
      </w:r>
      <w:r w:rsidR="00ED2570">
        <w:t>increase</w:t>
      </w:r>
      <w:r>
        <w:t xml:space="preserve"> diversity and reduce the sensitivity of production systems to changing weather conditions. Some packaged </w:t>
      </w:r>
      <w:r w:rsidR="00151F9C">
        <w:t>a suite of related activities</w:t>
      </w:r>
      <w:r>
        <w:t xml:space="preserve"> (e.g. Oxfam’s climate resilient agriculture</w:t>
      </w:r>
      <w:r w:rsidR="00A36F38">
        <w:t xml:space="preserve">, </w:t>
      </w:r>
      <w:r>
        <w:t>comprising soil improvement, organic pest control, water conservation and diversified food crops</w:t>
      </w:r>
      <w:r w:rsidR="00A36F38">
        <w:t>,</w:t>
      </w:r>
      <w:r>
        <w:t xml:space="preserve"> and CARE’s climate-smart agriculture)</w:t>
      </w:r>
      <w:r w:rsidR="00151F9C">
        <w:t>; others focused on management of specific resources (e.g. water</w:t>
      </w:r>
      <w:r w:rsidR="00D042CF">
        <w:t xml:space="preserve"> – AfP and WaterAid</w:t>
      </w:r>
      <w:r w:rsidR="00A36F38">
        <w:t>, and</w:t>
      </w:r>
      <w:r w:rsidR="00151F9C">
        <w:t xml:space="preserve"> fisheries</w:t>
      </w:r>
      <w:r w:rsidR="00D042CF">
        <w:t xml:space="preserve"> </w:t>
      </w:r>
      <w:r w:rsidR="00A36F38">
        <w:t>–</w:t>
      </w:r>
      <w:r w:rsidR="00D042CF">
        <w:t xml:space="preserve"> TNC</w:t>
      </w:r>
      <w:r w:rsidR="00151F9C">
        <w:t>).</w:t>
      </w:r>
      <w:r w:rsidR="00684C62">
        <w:t xml:space="preserve"> </w:t>
      </w:r>
    </w:p>
    <w:p w:rsidR="00684C62" w:rsidRDefault="00E2746C" w:rsidP="00E2746C">
      <w:r>
        <w:t>New technol</w:t>
      </w:r>
      <w:r w:rsidR="00D042CF">
        <w:t>ogies were introduced (e.g.</w:t>
      </w:r>
      <w:r>
        <w:t xml:space="preserve"> the Sloping</w:t>
      </w:r>
      <w:r w:rsidR="00151F9C">
        <w:t xml:space="preserve"> Agri</w:t>
      </w:r>
      <w:r w:rsidR="00D042CF">
        <w:t xml:space="preserve">cultural Land Technology, </w:t>
      </w:r>
      <w:r>
        <w:t>SALT, applied by CARE in Timor</w:t>
      </w:r>
      <w:r w:rsidR="00990295">
        <w:t>-</w:t>
      </w:r>
      <w:r>
        <w:t xml:space="preserve">Leste) and tools </w:t>
      </w:r>
      <w:r w:rsidR="00D042CF">
        <w:t xml:space="preserve">were </w:t>
      </w:r>
      <w:r>
        <w:t xml:space="preserve">developed for monitoring impacts (e.g. </w:t>
      </w:r>
      <w:r w:rsidR="00990295">
        <w:t xml:space="preserve">the </w:t>
      </w:r>
      <w:r>
        <w:t>low</w:t>
      </w:r>
      <w:r w:rsidR="00990295">
        <w:t>-</w:t>
      </w:r>
      <w:r>
        <w:t>cost sea level rise monitoring tool developed for TNC</w:t>
      </w:r>
      <w:r w:rsidR="00990295">
        <w:t xml:space="preserve"> </w:t>
      </w:r>
      <w:r>
        <w:t>project).</w:t>
      </w:r>
      <w:r w:rsidR="00151F9C">
        <w:t xml:space="preserve"> New livelihood options were tested (e.g. bee keeping, pig farming</w:t>
      </w:r>
      <w:r w:rsidR="00990295">
        <w:t xml:space="preserve"> and </w:t>
      </w:r>
      <w:r w:rsidR="00151F9C">
        <w:t xml:space="preserve">fish farming – Oxfam, Vanuatu) and technology </w:t>
      </w:r>
      <w:r w:rsidR="00ED2570">
        <w:t>brought in</w:t>
      </w:r>
      <w:r w:rsidR="00151F9C">
        <w:t xml:space="preserve"> for food preservation and for improving post</w:t>
      </w:r>
      <w:r w:rsidR="00990295">
        <w:t>-</w:t>
      </w:r>
      <w:r w:rsidR="00151F9C">
        <w:t>harvest management and storage of grains and</w:t>
      </w:r>
      <w:r w:rsidR="00145981">
        <w:t xml:space="preserve"> other produce (e.g. Oxfam, Van</w:t>
      </w:r>
      <w:r w:rsidR="00151F9C">
        <w:t xml:space="preserve">uatu). </w:t>
      </w:r>
    </w:p>
    <w:p w:rsidR="00CC1252" w:rsidRDefault="00684C62" w:rsidP="00684C62">
      <w:r>
        <w:t xml:space="preserve">There was a strong emphasis on technology and methods to improve efficiency of water use in locations where drought and water scarcity are increasing. These included organic composting, micro-water management, drip irrigation, </w:t>
      </w:r>
      <w:r w:rsidR="00CC1252">
        <w:t xml:space="preserve">house tanks </w:t>
      </w:r>
      <w:r w:rsidR="00D042CF">
        <w:t xml:space="preserve">and keyhole gardening. </w:t>
      </w:r>
      <w:r w:rsidR="00CC1252">
        <w:t>Th</w:t>
      </w:r>
      <w:r w:rsidR="00D042CF">
        <w:t xml:space="preserve">ere </w:t>
      </w:r>
      <w:r w:rsidR="00CC1252">
        <w:t>was also a focus</w:t>
      </w:r>
      <w:r w:rsidR="00D042CF">
        <w:t xml:space="preserve"> on house gardens, targeting women farmers, and increasing and diversifying the availability of vegetables. </w:t>
      </w:r>
    </w:p>
    <w:p w:rsidR="00684C62" w:rsidRDefault="00CC1252" w:rsidP="00684C62">
      <w:r>
        <w:t>Techniques were introduced to mitigate impacts of climate-related events, including bioengineering to stabilise slopes susceptible to landslides, and mangrove plantings to protect shorelines from coastal erosion and storm surges.</w:t>
      </w:r>
      <w:r w:rsidR="00F54BD1">
        <w:t xml:space="preserve"> Nurseries were establish</w:t>
      </w:r>
      <w:r w:rsidR="00E01B27">
        <w:t>ed to sustain forestry and agro</w:t>
      </w:r>
      <w:r w:rsidR="00F54BD1">
        <w:t xml:space="preserve">forestry activities. </w:t>
      </w:r>
    </w:p>
    <w:p w:rsidR="00557689" w:rsidRDefault="00145981" w:rsidP="00E2746C">
      <w:r>
        <w:t>By connecting new with traditional knowledge, sources of in</w:t>
      </w:r>
      <w:r w:rsidR="0066385A">
        <w:t>-</w:t>
      </w:r>
      <w:r>
        <w:t>built resilience were discovered and fostered (e.g</w:t>
      </w:r>
      <w:r w:rsidR="00D042CF">
        <w:t>. traditional taro</w:t>
      </w:r>
      <w:r>
        <w:t xml:space="preserve"> crops in the Pacific</w:t>
      </w:r>
      <w:r w:rsidR="007C4562">
        <w:t xml:space="preserve"> Region</w:t>
      </w:r>
      <w:r>
        <w:t xml:space="preserve"> –</w:t>
      </w:r>
      <w:r w:rsidR="00E01B27">
        <w:t xml:space="preserve"> Live &amp; Learn). </w:t>
      </w:r>
      <w:r>
        <w:t>Targeted research was conducted to investigate some of the livelihood options, including agroforestry, crop diversification and composting</w:t>
      </w:r>
      <w:r w:rsidR="00E01B27">
        <w:t xml:space="preserve"> (Oxfam, Philippines)</w:t>
      </w:r>
      <w:r w:rsidR="00462C2F">
        <w:t xml:space="preserve">, and traditional natural resource management mechanisms (e.g. </w:t>
      </w:r>
      <w:r w:rsidR="00462C2F" w:rsidRPr="00004EF7">
        <w:rPr>
          <w:i/>
        </w:rPr>
        <w:t>Tara</w:t>
      </w:r>
      <w:r w:rsidR="007D5E7B" w:rsidRPr="00004EF7">
        <w:rPr>
          <w:i/>
        </w:rPr>
        <w:t xml:space="preserve"> Ba</w:t>
      </w:r>
      <w:r w:rsidR="00462C2F" w:rsidRPr="00004EF7">
        <w:rPr>
          <w:i/>
        </w:rPr>
        <w:t>ndu</w:t>
      </w:r>
      <w:r w:rsidR="00462C2F">
        <w:t xml:space="preserve"> – Oxfam, Timor</w:t>
      </w:r>
      <w:r w:rsidR="00EB271A">
        <w:t>-</w:t>
      </w:r>
      <w:r w:rsidR="00462C2F">
        <w:t xml:space="preserve"> Leste)</w:t>
      </w:r>
      <w:r w:rsidR="00557689">
        <w:t>.</w:t>
      </w:r>
    </w:p>
    <w:p w:rsidR="00557689" w:rsidRDefault="00557689" w:rsidP="00557689">
      <w:r>
        <w:t xml:space="preserve">Although timeframes were challenging (only allowing for one to two seasons), communities were given opportunities to monitor results and outcomes. Some of the techniques were more successful than others. </w:t>
      </w:r>
      <w:r w:rsidR="007C4562">
        <w:t xml:space="preserve">In vulnerable drying climates and challenging landscapes, simple technologies proved effective. These included </w:t>
      </w:r>
      <w:r>
        <w:t>composting (producing organic fertiliser) to improve productivity</w:t>
      </w:r>
      <w:r w:rsidR="007C4562">
        <w:t xml:space="preserve">; </w:t>
      </w:r>
      <w:r>
        <w:t>terracing/agroforestry on sloping land to control erosion</w:t>
      </w:r>
      <w:r w:rsidR="007C4562">
        <w:t>;</w:t>
      </w:r>
      <w:r>
        <w:t xml:space="preserve"> </w:t>
      </w:r>
      <w:r w:rsidR="007C4562">
        <w:t xml:space="preserve">and </w:t>
      </w:r>
      <w:r>
        <w:t>permanent gardens and house vegetable gardens to increase food diversity and improve nutrition for longer</w:t>
      </w:r>
      <w:r w:rsidR="007C4562">
        <w:t xml:space="preserve"> periods</w:t>
      </w:r>
      <w:r>
        <w:t xml:space="preserve"> in the year:</w:t>
      </w:r>
    </w:p>
    <w:p w:rsidR="00557689" w:rsidRPr="00557689" w:rsidRDefault="00557689" w:rsidP="00557689">
      <w:pPr>
        <w:pStyle w:val="ListParagraph"/>
        <w:rPr>
          <w:sz w:val="20"/>
        </w:rPr>
      </w:pPr>
      <w:r>
        <w:rPr>
          <w:i/>
          <w:sz w:val="20"/>
        </w:rPr>
        <w:t xml:space="preserve">‘I was becoming discouraged spending so much money on farming inputs such as fertiliser and pesticides. </w:t>
      </w:r>
      <w:r w:rsidR="00582EBA">
        <w:rPr>
          <w:i/>
          <w:sz w:val="20"/>
        </w:rPr>
        <w:t>[</w:t>
      </w:r>
      <w:r>
        <w:rPr>
          <w:i/>
          <w:sz w:val="20"/>
        </w:rPr>
        <w:t>At</w:t>
      </w:r>
      <w:r w:rsidR="00582EBA">
        <w:rPr>
          <w:i/>
          <w:sz w:val="20"/>
        </w:rPr>
        <w:t>]</w:t>
      </w:r>
      <w:r>
        <w:rPr>
          <w:i/>
          <w:sz w:val="20"/>
        </w:rPr>
        <w:t xml:space="preserve"> the field school</w:t>
      </w:r>
      <w:r w:rsidR="00582EBA">
        <w:rPr>
          <w:i/>
          <w:sz w:val="20"/>
        </w:rPr>
        <w:t xml:space="preserve"> </w:t>
      </w:r>
      <w:r>
        <w:rPr>
          <w:i/>
          <w:sz w:val="20"/>
        </w:rPr>
        <w:t>… I was totally amazed. I couldn’t believe you could make fertiliser for free</w:t>
      </w:r>
      <w:r w:rsidR="00582EBA">
        <w:rPr>
          <w:i/>
          <w:sz w:val="20"/>
        </w:rPr>
        <w:t>.</w:t>
      </w:r>
      <w:r>
        <w:rPr>
          <w:i/>
          <w:sz w:val="20"/>
        </w:rPr>
        <w:t>’</w:t>
      </w:r>
      <w:r>
        <w:rPr>
          <w:sz w:val="20"/>
        </w:rPr>
        <w:t xml:space="preserve"> – resident of Bagumbayan Sultan Kudaret, Mindanao, Oxfam</w:t>
      </w:r>
      <w:r w:rsidR="00582EBA">
        <w:rPr>
          <w:sz w:val="20"/>
        </w:rPr>
        <w:t>,</w:t>
      </w:r>
      <w:r>
        <w:rPr>
          <w:sz w:val="20"/>
        </w:rPr>
        <w:t xml:space="preserve"> Philippines</w:t>
      </w:r>
      <w:r w:rsidR="008001F4">
        <w:rPr>
          <w:sz w:val="20"/>
        </w:rPr>
        <w:t xml:space="preserve"> (case study)</w:t>
      </w:r>
    </w:p>
    <w:p w:rsidR="00AC454E" w:rsidRDefault="00557689" w:rsidP="00557689">
      <w:r>
        <w:t xml:space="preserve">Technology that could be supported and maintained locally, such as rainwater tanks, were more effective than options for which local knowledge was limited and/or required importation of equipment (e.g. drip irrigation). Some techniques were found to be less suited to particular locations (e.g. water harvesting dams in areas lacking clay for sealing). </w:t>
      </w:r>
    </w:p>
    <w:p w:rsidR="00557689" w:rsidRDefault="00AC454E" w:rsidP="00557689">
      <w:r w:rsidRPr="00AC454E">
        <w:t>There is some evidence across the program that taken out of the local context, discussions about climate change tend</w:t>
      </w:r>
      <w:r w:rsidR="00ED2570">
        <w:t>ed</w:t>
      </w:r>
      <w:r w:rsidRPr="00AC454E">
        <w:t xml:space="preserve"> to centre it as an environmental issue, and addressing it bec</w:t>
      </w:r>
      <w:r w:rsidR="00ED2570">
        <w:t>ame</w:t>
      </w:r>
      <w:r w:rsidRPr="00AC454E">
        <w:t xml:space="preserve"> part of a broader ‘green agenda’. While the links between environment and climate change are strong, both in terms of the inherent causes (greenhouse gas pollution) and the impacts (which can be exacerbated by environmental degradation), they are complex. This </w:t>
      </w:r>
      <w:r w:rsidR="00ED2570">
        <w:t>conflation can</w:t>
      </w:r>
      <w:r w:rsidRPr="00AC454E">
        <w:t xml:space="preserve"> lead to misunderstanding and strategies that may have limited local benefit</w:t>
      </w:r>
      <w:r w:rsidR="00F35630">
        <w:t xml:space="preserve"> in the larger context of climate change</w:t>
      </w:r>
      <w:r w:rsidRPr="00AC454E">
        <w:t xml:space="preserve"> (e.g. isolated small</w:t>
      </w:r>
      <w:r w:rsidR="00582EBA">
        <w:t>-</w:t>
      </w:r>
      <w:r w:rsidRPr="00AC454E">
        <w:t>scale tree planting</w:t>
      </w:r>
      <w:r w:rsidR="00582EBA">
        <w:t xml:space="preserve"> or </w:t>
      </w:r>
      <w:r w:rsidRPr="00AC454E">
        <w:t xml:space="preserve">clearing of drains). </w:t>
      </w:r>
    </w:p>
    <w:p w:rsidR="00E2746C" w:rsidRDefault="00557689" w:rsidP="00FC2577">
      <w:r>
        <w:t>The opportunity to test a range of practices in a variety of locations and settings has been invaluable in building the evidence base for community-based resilience building and adaptation. It is important that across the program, these experiences are consolidat</w:t>
      </w:r>
      <w:r w:rsidR="00582EBA">
        <w:t>ed</w:t>
      </w:r>
      <w:r>
        <w:t>, analyse</w:t>
      </w:r>
      <w:r w:rsidR="00582EBA">
        <w:t>d</w:t>
      </w:r>
      <w:r>
        <w:t xml:space="preserve"> and documented to inform future programming.</w:t>
      </w:r>
    </w:p>
    <w:p w:rsidR="00EC0C15" w:rsidRPr="00BA4F8C" w:rsidRDefault="00EC0C15" w:rsidP="00FC2577">
      <w:pPr>
        <w:rPr>
          <w:color w:val="17365D" w:themeColor="text2" w:themeShade="BF"/>
        </w:rPr>
      </w:pPr>
      <w:r w:rsidRPr="00BA4F8C">
        <w:rPr>
          <w:b/>
          <w:i/>
          <w:color w:val="17365D" w:themeColor="text2" w:themeShade="BF"/>
        </w:rPr>
        <w:t xml:space="preserve">Indicator 8: </w:t>
      </w:r>
      <w:r w:rsidR="006E77E3" w:rsidRPr="00BA4F8C">
        <w:rPr>
          <w:i/>
          <w:color w:val="17365D" w:themeColor="text2" w:themeShade="BF"/>
        </w:rPr>
        <w:t>Adaptation</w:t>
      </w:r>
      <w:r w:rsidR="00FC2577" w:rsidRPr="00BA4F8C">
        <w:rPr>
          <w:i/>
          <w:color w:val="17365D" w:themeColor="text2" w:themeShade="BF"/>
        </w:rPr>
        <w:t xml:space="preserve"> strategies are adopted and scaled out by other members of the community and other communities</w:t>
      </w:r>
    </w:p>
    <w:p w:rsidR="00EC0C15" w:rsidRPr="00082B4F" w:rsidRDefault="000A2E51" w:rsidP="00EC0C15">
      <w:pPr>
        <w:rPr>
          <w:b/>
          <w:i/>
        </w:rPr>
      </w:pPr>
      <w:r>
        <w:rPr>
          <w:b/>
          <w:i/>
        </w:rPr>
        <w:t>Communities adopted t</w:t>
      </w:r>
      <w:r w:rsidR="00EC0C15" w:rsidRPr="00082B4F">
        <w:rPr>
          <w:b/>
          <w:i/>
        </w:rPr>
        <w:t>echniques</w:t>
      </w:r>
      <w:r>
        <w:rPr>
          <w:b/>
          <w:i/>
        </w:rPr>
        <w:t xml:space="preserve"> resulting in</w:t>
      </w:r>
      <w:r w:rsidR="00EC0C15" w:rsidRPr="00082B4F">
        <w:rPr>
          <w:b/>
          <w:i/>
        </w:rPr>
        <w:t xml:space="preserve"> measureable benefits</w:t>
      </w:r>
    </w:p>
    <w:p w:rsidR="00EC0C15" w:rsidRDefault="00EC0C15" w:rsidP="00EC0C15">
      <w:r>
        <w:t xml:space="preserve">The projects reported high levels of adoption of the adaptation strategies and activities by the participating communities. Independent evaluations and post project surveys confirmed that rates of adoption range from around 50% to </w:t>
      </w:r>
      <w:r w:rsidR="00582EBA">
        <w:t>more than</w:t>
      </w:r>
      <w:r>
        <w:t xml:space="preserve"> 90% (e.g. Oxfam</w:t>
      </w:r>
      <w:r w:rsidR="00582EBA">
        <w:t>,</w:t>
      </w:r>
      <w:r>
        <w:t xml:space="preserve"> Timor</w:t>
      </w:r>
      <w:r w:rsidR="00582EBA">
        <w:t>-</w:t>
      </w:r>
      <w:r>
        <w:t>Leste). Benefits to communities were measureable:</w:t>
      </w:r>
    </w:p>
    <w:p w:rsidR="00EC0C15" w:rsidRPr="007D5E7B" w:rsidRDefault="00EC0C15" w:rsidP="00EC0C15">
      <w:pPr>
        <w:pStyle w:val="ListParagraph"/>
        <w:numPr>
          <w:ilvl w:val="0"/>
          <w:numId w:val="15"/>
        </w:numPr>
        <w:rPr>
          <w:sz w:val="20"/>
        </w:rPr>
      </w:pPr>
      <w:r w:rsidRPr="007D5E7B">
        <w:rPr>
          <w:sz w:val="20"/>
        </w:rPr>
        <w:t xml:space="preserve">Food and water security improved in many participating communities (e.g. households experiencing hunger months dropped from 97% to 55% </w:t>
      </w:r>
      <w:r w:rsidR="00582EBA">
        <w:rPr>
          <w:sz w:val="20"/>
        </w:rPr>
        <w:t>–</w:t>
      </w:r>
      <w:r w:rsidRPr="007D5E7B">
        <w:rPr>
          <w:sz w:val="20"/>
        </w:rPr>
        <w:t xml:space="preserve"> Oxfam</w:t>
      </w:r>
      <w:r w:rsidR="00582EBA">
        <w:rPr>
          <w:sz w:val="20"/>
        </w:rPr>
        <w:t>,</w:t>
      </w:r>
      <w:r w:rsidRPr="007D5E7B">
        <w:rPr>
          <w:sz w:val="20"/>
        </w:rPr>
        <w:t xml:space="preserve"> Timor</w:t>
      </w:r>
      <w:r w:rsidR="00582EBA">
        <w:rPr>
          <w:sz w:val="20"/>
        </w:rPr>
        <w:t>-</w:t>
      </w:r>
      <w:r w:rsidRPr="007D5E7B">
        <w:rPr>
          <w:sz w:val="20"/>
        </w:rPr>
        <w:t>Leste</w:t>
      </w:r>
      <w:r w:rsidR="00582EBA">
        <w:rPr>
          <w:sz w:val="20"/>
        </w:rPr>
        <w:t>, and</w:t>
      </w:r>
      <w:r w:rsidR="00FD1F1A" w:rsidRPr="007D5E7B">
        <w:rPr>
          <w:sz w:val="20"/>
        </w:rPr>
        <w:t xml:space="preserve"> hunger months </w:t>
      </w:r>
      <w:r w:rsidR="00A92EA5">
        <w:rPr>
          <w:sz w:val="20"/>
        </w:rPr>
        <w:t xml:space="preserve">were </w:t>
      </w:r>
      <w:r w:rsidR="00FD1F1A" w:rsidRPr="007D5E7B">
        <w:rPr>
          <w:sz w:val="20"/>
        </w:rPr>
        <w:t xml:space="preserve">reduced and 75% </w:t>
      </w:r>
      <w:r w:rsidR="00A92EA5">
        <w:rPr>
          <w:sz w:val="20"/>
        </w:rPr>
        <w:t xml:space="preserve">of </w:t>
      </w:r>
      <w:r w:rsidR="00FD1F1A" w:rsidRPr="007D5E7B">
        <w:rPr>
          <w:sz w:val="20"/>
        </w:rPr>
        <w:t>farmer group members</w:t>
      </w:r>
      <w:r w:rsidR="00A92EA5">
        <w:rPr>
          <w:sz w:val="20"/>
        </w:rPr>
        <w:t xml:space="preserve"> were</w:t>
      </w:r>
      <w:r w:rsidR="00FD1F1A" w:rsidRPr="007D5E7B">
        <w:rPr>
          <w:sz w:val="20"/>
        </w:rPr>
        <w:t xml:space="preserve"> better off in terms of food security </w:t>
      </w:r>
      <w:r w:rsidR="00A92EA5">
        <w:rPr>
          <w:sz w:val="20"/>
        </w:rPr>
        <w:t>–</w:t>
      </w:r>
      <w:r w:rsidR="00FD1F1A" w:rsidRPr="007D5E7B">
        <w:rPr>
          <w:sz w:val="20"/>
        </w:rPr>
        <w:t xml:space="preserve"> CARE</w:t>
      </w:r>
      <w:r w:rsidR="00A92EA5">
        <w:rPr>
          <w:sz w:val="20"/>
        </w:rPr>
        <w:t>,</w:t>
      </w:r>
      <w:r w:rsidR="00FD1F1A" w:rsidRPr="007D5E7B">
        <w:rPr>
          <w:sz w:val="20"/>
        </w:rPr>
        <w:t xml:space="preserve"> PNG</w:t>
      </w:r>
      <w:r w:rsidRPr="007D5E7B">
        <w:rPr>
          <w:sz w:val="20"/>
        </w:rPr>
        <w:t>):</w:t>
      </w:r>
    </w:p>
    <w:p w:rsidR="00EC0C15" w:rsidRPr="007D5E7B" w:rsidRDefault="00A92EA5" w:rsidP="00EC0C15">
      <w:pPr>
        <w:ind w:left="720"/>
        <w:rPr>
          <w:sz w:val="20"/>
        </w:rPr>
      </w:pPr>
      <w:r>
        <w:rPr>
          <w:i/>
          <w:sz w:val="20"/>
        </w:rPr>
        <w:t>‘</w:t>
      </w:r>
      <w:r w:rsidR="00EC0C15" w:rsidRPr="007D5E7B">
        <w:rPr>
          <w:i/>
          <w:sz w:val="20"/>
        </w:rPr>
        <w:t>The communities have access to food at times they might not normally, for example through the keyhole technology in drought</w:t>
      </w:r>
      <w:r>
        <w:rPr>
          <w:i/>
          <w:sz w:val="20"/>
        </w:rPr>
        <w:t>-</w:t>
      </w:r>
      <w:r w:rsidR="00EC0C15" w:rsidRPr="007D5E7B">
        <w:rPr>
          <w:i/>
          <w:sz w:val="20"/>
        </w:rPr>
        <w:t>prone areas – they are able sometime</w:t>
      </w:r>
      <w:r>
        <w:rPr>
          <w:i/>
          <w:sz w:val="20"/>
        </w:rPr>
        <w:t>s</w:t>
      </w:r>
      <w:r w:rsidR="00EC0C15" w:rsidRPr="007D5E7B">
        <w:rPr>
          <w:i/>
          <w:sz w:val="20"/>
        </w:rPr>
        <w:t xml:space="preserve"> to sell those vegetables to get money. It’s like insurance against external shocks.’</w:t>
      </w:r>
      <w:r w:rsidR="00EC0C15" w:rsidRPr="007D5E7B">
        <w:rPr>
          <w:sz w:val="20"/>
        </w:rPr>
        <w:t xml:space="preserve"> – </w:t>
      </w:r>
      <w:r>
        <w:rPr>
          <w:sz w:val="20"/>
        </w:rPr>
        <w:t>i</w:t>
      </w:r>
      <w:r w:rsidRPr="007D5E7B">
        <w:rPr>
          <w:sz w:val="20"/>
        </w:rPr>
        <w:t>mplementation partner</w:t>
      </w:r>
      <w:r>
        <w:rPr>
          <w:sz w:val="20"/>
        </w:rPr>
        <w:t xml:space="preserve">, </w:t>
      </w:r>
      <w:r w:rsidR="00EC0C15" w:rsidRPr="007D5E7B">
        <w:rPr>
          <w:sz w:val="20"/>
        </w:rPr>
        <w:t>Oxfam</w:t>
      </w:r>
      <w:r>
        <w:rPr>
          <w:sz w:val="20"/>
        </w:rPr>
        <w:t>,</w:t>
      </w:r>
      <w:r w:rsidR="00EC0C15" w:rsidRPr="007D5E7B">
        <w:rPr>
          <w:sz w:val="20"/>
        </w:rPr>
        <w:t xml:space="preserve"> T</w:t>
      </w:r>
      <w:r>
        <w:rPr>
          <w:sz w:val="20"/>
        </w:rPr>
        <w:t>imor-</w:t>
      </w:r>
      <w:r w:rsidR="008001F4" w:rsidRPr="007D5E7B">
        <w:rPr>
          <w:sz w:val="20"/>
        </w:rPr>
        <w:t>L</w:t>
      </w:r>
      <w:r w:rsidR="008001F4">
        <w:rPr>
          <w:sz w:val="20"/>
        </w:rPr>
        <w:t>este (interview)</w:t>
      </w:r>
    </w:p>
    <w:p w:rsidR="00EC0C15" w:rsidRPr="007D5E7B" w:rsidRDefault="00ED2570" w:rsidP="00EC0C15">
      <w:pPr>
        <w:pStyle w:val="ListParagraph"/>
        <w:numPr>
          <w:ilvl w:val="0"/>
          <w:numId w:val="15"/>
        </w:numPr>
        <w:rPr>
          <w:sz w:val="20"/>
        </w:rPr>
      </w:pPr>
      <w:r>
        <w:rPr>
          <w:sz w:val="20"/>
        </w:rPr>
        <w:t>Home</w:t>
      </w:r>
      <w:r w:rsidR="00EC0C15" w:rsidRPr="007D5E7B">
        <w:rPr>
          <w:sz w:val="20"/>
        </w:rPr>
        <w:t xml:space="preserve"> vegetable gardens provided additional nutrition for families and income from sale of surplus produce</w:t>
      </w:r>
      <w:r w:rsidR="00FD1F1A" w:rsidRPr="007D5E7B">
        <w:rPr>
          <w:sz w:val="20"/>
        </w:rPr>
        <w:t xml:space="preserve">, </w:t>
      </w:r>
      <w:r>
        <w:rPr>
          <w:sz w:val="20"/>
        </w:rPr>
        <w:t xml:space="preserve">delivering </w:t>
      </w:r>
      <w:r w:rsidR="00FD1F1A" w:rsidRPr="007D5E7B">
        <w:rPr>
          <w:sz w:val="20"/>
        </w:rPr>
        <w:t>benefits for women who manage the gardens</w:t>
      </w:r>
      <w:r w:rsidR="00EC0C15" w:rsidRPr="007D5E7B">
        <w:rPr>
          <w:sz w:val="20"/>
        </w:rPr>
        <w:t>:</w:t>
      </w:r>
    </w:p>
    <w:p w:rsidR="00EC0C15" w:rsidRPr="007D5E7B" w:rsidRDefault="00EC0C15" w:rsidP="00EC0C15">
      <w:pPr>
        <w:pStyle w:val="ListParagraph"/>
        <w:rPr>
          <w:sz w:val="20"/>
        </w:rPr>
      </w:pPr>
      <w:r w:rsidRPr="007D5E7B">
        <w:rPr>
          <w:i/>
          <w:sz w:val="20"/>
        </w:rPr>
        <w:t xml:space="preserve">‘Through the home gardens we are able to produce enough vegetables for our families to eat but also to sell at the local market.’ </w:t>
      </w:r>
      <w:r w:rsidRPr="007D5E7B">
        <w:rPr>
          <w:sz w:val="20"/>
        </w:rPr>
        <w:t>–</w:t>
      </w:r>
      <w:r w:rsidR="00C568C1">
        <w:rPr>
          <w:sz w:val="20"/>
        </w:rPr>
        <w:t xml:space="preserve"> </w:t>
      </w:r>
      <w:r w:rsidRPr="007D5E7B">
        <w:rPr>
          <w:sz w:val="20"/>
        </w:rPr>
        <w:t>Aldeia Kamalelara Suco Dato</w:t>
      </w:r>
      <w:r w:rsidR="00A92EA5">
        <w:rPr>
          <w:sz w:val="20"/>
        </w:rPr>
        <w:t xml:space="preserve">, </w:t>
      </w:r>
      <w:r w:rsidR="00C568C1">
        <w:rPr>
          <w:sz w:val="20"/>
        </w:rPr>
        <w:t>c</w:t>
      </w:r>
      <w:r w:rsidR="002F180F">
        <w:rPr>
          <w:sz w:val="20"/>
        </w:rPr>
        <w:t>ommunity member</w:t>
      </w:r>
      <w:r w:rsidR="008001F4">
        <w:rPr>
          <w:sz w:val="20"/>
        </w:rPr>
        <w:t>, Plan International, Philippines</w:t>
      </w:r>
      <w:r w:rsidR="002F180F">
        <w:rPr>
          <w:sz w:val="20"/>
        </w:rPr>
        <w:t xml:space="preserve"> (</w:t>
      </w:r>
      <w:r w:rsidRPr="007D5E7B">
        <w:rPr>
          <w:sz w:val="20"/>
        </w:rPr>
        <w:t>case study</w:t>
      </w:r>
      <w:r w:rsidR="002F180F">
        <w:rPr>
          <w:sz w:val="20"/>
        </w:rPr>
        <w:t>)</w:t>
      </w:r>
      <w:r w:rsidRPr="007D5E7B">
        <w:rPr>
          <w:sz w:val="20"/>
        </w:rPr>
        <w:t xml:space="preserve"> </w:t>
      </w:r>
    </w:p>
    <w:p w:rsidR="00BA4F8C" w:rsidRDefault="00FD1F1A" w:rsidP="00EC0C15">
      <w:pPr>
        <w:pStyle w:val="ListParagraph"/>
        <w:numPr>
          <w:ilvl w:val="0"/>
          <w:numId w:val="15"/>
        </w:numPr>
        <w:rPr>
          <w:sz w:val="20"/>
        </w:rPr>
      </w:pPr>
      <w:r w:rsidRPr="007D5E7B">
        <w:rPr>
          <w:sz w:val="20"/>
        </w:rPr>
        <w:t>Greater varieties and quantities of food were available for longer in the year, including drought</w:t>
      </w:r>
      <w:r w:rsidR="00C24339">
        <w:rPr>
          <w:sz w:val="20"/>
        </w:rPr>
        <w:t>-</w:t>
      </w:r>
      <w:r w:rsidRPr="007D5E7B">
        <w:rPr>
          <w:sz w:val="20"/>
        </w:rPr>
        <w:t>tolerant varieties and traditional food sources (e.g. Live &amp; Learn reintroduced 12 endemic species of taro to communities in the Pacific</w:t>
      </w:r>
      <w:r w:rsidR="005115DD">
        <w:rPr>
          <w:sz w:val="20"/>
        </w:rPr>
        <w:t xml:space="preserve"> Region</w:t>
      </w:r>
      <w:r w:rsidRPr="007D5E7B">
        <w:rPr>
          <w:sz w:val="20"/>
        </w:rPr>
        <w:t>)</w:t>
      </w:r>
      <w:r w:rsidR="00BA4F8C">
        <w:rPr>
          <w:sz w:val="20"/>
        </w:rPr>
        <w:t xml:space="preserve">. </w:t>
      </w:r>
    </w:p>
    <w:p w:rsidR="0048316F" w:rsidRPr="00BA4F8C" w:rsidRDefault="00BA4F8C" w:rsidP="00BA4F8C">
      <w:pPr>
        <w:pStyle w:val="ListParagraph"/>
        <w:numPr>
          <w:ilvl w:val="0"/>
          <w:numId w:val="15"/>
        </w:numPr>
        <w:rPr>
          <w:sz w:val="20"/>
        </w:rPr>
      </w:pPr>
      <w:r w:rsidRPr="00BA4F8C">
        <w:rPr>
          <w:sz w:val="20"/>
        </w:rPr>
        <w:t xml:space="preserve">Seed storage reduced loses post harvest, improving food security overall. </w:t>
      </w:r>
    </w:p>
    <w:p w:rsidR="00FD1F1A" w:rsidRPr="007D5E7B" w:rsidRDefault="0048316F" w:rsidP="00EC0C15">
      <w:pPr>
        <w:pStyle w:val="ListParagraph"/>
        <w:numPr>
          <w:ilvl w:val="0"/>
          <w:numId w:val="15"/>
        </w:numPr>
        <w:rPr>
          <w:sz w:val="20"/>
        </w:rPr>
      </w:pPr>
      <w:r w:rsidRPr="007D5E7B">
        <w:rPr>
          <w:sz w:val="20"/>
        </w:rPr>
        <w:t>I</w:t>
      </w:r>
      <w:r w:rsidR="00C24339">
        <w:rPr>
          <w:sz w:val="20"/>
        </w:rPr>
        <w:t>n</w:t>
      </w:r>
      <w:r w:rsidR="00ED2570">
        <w:rPr>
          <w:sz w:val="20"/>
        </w:rPr>
        <w:t>creased</w:t>
      </w:r>
      <w:r w:rsidRPr="007D5E7B">
        <w:rPr>
          <w:sz w:val="20"/>
        </w:rPr>
        <w:t xml:space="preserve"> water efficiency and fuel</w:t>
      </w:r>
      <w:r w:rsidR="00CD585D">
        <w:rPr>
          <w:sz w:val="20"/>
        </w:rPr>
        <w:t>-</w:t>
      </w:r>
      <w:r w:rsidRPr="007D5E7B">
        <w:rPr>
          <w:sz w:val="20"/>
        </w:rPr>
        <w:t xml:space="preserve">efficient stoves reduced </w:t>
      </w:r>
      <w:r w:rsidR="00ED2570">
        <w:rPr>
          <w:sz w:val="20"/>
        </w:rPr>
        <w:t xml:space="preserve">local </w:t>
      </w:r>
      <w:r w:rsidRPr="007D5E7B">
        <w:rPr>
          <w:sz w:val="20"/>
        </w:rPr>
        <w:t>pressure on resources in some communities (e.g. very high adoption rates of low</w:t>
      </w:r>
      <w:r w:rsidR="00CD585D">
        <w:rPr>
          <w:sz w:val="20"/>
        </w:rPr>
        <w:t>-</w:t>
      </w:r>
      <w:r w:rsidRPr="007D5E7B">
        <w:rPr>
          <w:sz w:val="20"/>
        </w:rPr>
        <w:t>cost, fuel-efficient stoves – CARE</w:t>
      </w:r>
      <w:r w:rsidR="00CD585D">
        <w:rPr>
          <w:sz w:val="20"/>
        </w:rPr>
        <w:t>,</w:t>
      </w:r>
      <w:r w:rsidRPr="007D5E7B">
        <w:rPr>
          <w:sz w:val="20"/>
        </w:rPr>
        <w:t xml:space="preserve"> PNG)</w:t>
      </w:r>
      <w:r w:rsidR="00CD585D">
        <w:rPr>
          <w:sz w:val="20"/>
        </w:rPr>
        <w:t>.</w:t>
      </w:r>
    </w:p>
    <w:p w:rsidR="00FD1F1A" w:rsidRPr="007D5E7B" w:rsidRDefault="00FD1F1A" w:rsidP="00EC0C15">
      <w:pPr>
        <w:pStyle w:val="ListParagraph"/>
        <w:numPr>
          <w:ilvl w:val="0"/>
          <w:numId w:val="15"/>
        </w:numPr>
        <w:rPr>
          <w:sz w:val="20"/>
        </w:rPr>
      </w:pPr>
      <w:r w:rsidRPr="007D5E7B">
        <w:rPr>
          <w:sz w:val="20"/>
        </w:rPr>
        <w:t>Access to safe water</w:t>
      </w:r>
      <w:r w:rsidR="00CD585D">
        <w:rPr>
          <w:sz w:val="20"/>
        </w:rPr>
        <w:t xml:space="preserve"> </w:t>
      </w:r>
      <w:r w:rsidRPr="007D5E7B">
        <w:rPr>
          <w:sz w:val="20"/>
        </w:rPr>
        <w:t xml:space="preserve">improved in some communities (65% </w:t>
      </w:r>
      <w:r w:rsidR="005115DD">
        <w:rPr>
          <w:sz w:val="20"/>
        </w:rPr>
        <w:t xml:space="preserve">of </w:t>
      </w:r>
      <w:r w:rsidRPr="007D5E7B">
        <w:rPr>
          <w:sz w:val="20"/>
        </w:rPr>
        <w:t>respondents report</w:t>
      </w:r>
      <w:r w:rsidR="005115DD">
        <w:rPr>
          <w:sz w:val="20"/>
        </w:rPr>
        <w:t>ed</w:t>
      </w:r>
      <w:r w:rsidRPr="007D5E7B">
        <w:rPr>
          <w:sz w:val="20"/>
        </w:rPr>
        <w:t xml:space="preserve"> improved access – CARE</w:t>
      </w:r>
      <w:r w:rsidR="00CD585D">
        <w:rPr>
          <w:sz w:val="20"/>
        </w:rPr>
        <w:t>,</w:t>
      </w:r>
      <w:r w:rsidRPr="007D5E7B">
        <w:rPr>
          <w:sz w:val="20"/>
        </w:rPr>
        <w:t xml:space="preserve"> Timor</w:t>
      </w:r>
      <w:r w:rsidR="00CD585D">
        <w:rPr>
          <w:sz w:val="20"/>
        </w:rPr>
        <w:t>-</w:t>
      </w:r>
      <w:r w:rsidRPr="007D5E7B">
        <w:rPr>
          <w:sz w:val="20"/>
        </w:rPr>
        <w:t>Leste</w:t>
      </w:r>
      <w:r w:rsidR="005115DD">
        <w:rPr>
          <w:sz w:val="20"/>
        </w:rPr>
        <w:t xml:space="preserve"> and </w:t>
      </w:r>
      <w:r w:rsidR="00CD608B" w:rsidRPr="007D5E7B">
        <w:rPr>
          <w:sz w:val="20"/>
        </w:rPr>
        <w:t>increased access</w:t>
      </w:r>
      <w:r w:rsidR="005115DD">
        <w:rPr>
          <w:sz w:val="20"/>
        </w:rPr>
        <w:t xml:space="preserve"> was reported in</w:t>
      </w:r>
      <w:r w:rsidR="00CD608B" w:rsidRPr="007D5E7B">
        <w:rPr>
          <w:sz w:val="20"/>
        </w:rPr>
        <w:t xml:space="preserve"> Vanuatu and Tonga</w:t>
      </w:r>
      <w:r w:rsidR="005115DD">
        <w:rPr>
          <w:sz w:val="20"/>
        </w:rPr>
        <w:t xml:space="preserve"> – AfP</w:t>
      </w:r>
      <w:r w:rsidRPr="007D5E7B">
        <w:rPr>
          <w:sz w:val="20"/>
        </w:rPr>
        <w:t xml:space="preserve">), with reduction in waterborne disease attributed to </w:t>
      </w:r>
      <w:r w:rsidR="00ED2570">
        <w:rPr>
          <w:sz w:val="20"/>
        </w:rPr>
        <w:t xml:space="preserve">better </w:t>
      </w:r>
      <w:r w:rsidRPr="007D5E7B">
        <w:rPr>
          <w:sz w:val="20"/>
        </w:rPr>
        <w:t xml:space="preserve">sanitation (14 of 20 participating communities </w:t>
      </w:r>
      <w:r w:rsidR="00CD418C">
        <w:rPr>
          <w:sz w:val="20"/>
        </w:rPr>
        <w:t xml:space="preserve">were </w:t>
      </w:r>
      <w:r w:rsidRPr="007D5E7B">
        <w:rPr>
          <w:sz w:val="20"/>
        </w:rPr>
        <w:t>declared ‘open defecation free</w:t>
      </w:r>
      <w:r w:rsidR="00ED2570">
        <w:rPr>
          <w:sz w:val="20"/>
        </w:rPr>
        <w:t>’</w:t>
      </w:r>
      <w:r w:rsidRPr="007D5E7B">
        <w:rPr>
          <w:sz w:val="20"/>
        </w:rPr>
        <w:t xml:space="preserve"> – CARE</w:t>
      </w:r>
      <w:r w:rsidR="00CD585D">
        <w:rPr>
          <w:sz w:val="20"/>
        </w:rPr>
        <w:t xml:space="preserve">, </w:t>
      </w:r>
      <w:r w:rsidRPr="007D5E7B">
        <w:rPr>
          <w:sz w:val="20"/>
        </w:rPr>
        <w:t>Timor</w:t>
      </w:r>
      <w:r w:rsidR="00CD585D">
        <w:rPr>
          <w:sz w:val="20"/>
        </w:rPr>
        <w:t>-</w:t>
      </w:r>
      <w:r w:rsidRPr="007D5E7B">
        <w:rPr>
          <w:sz w:val="20"/>
        </w:rPr>
        <w:t>Leste)</w:t>
      </w:r>
      <w:r w:rsidR="00CD585D">
        <w:rPr>
          <w:sz w:val="20"/>
        </w:rPr>
        <w:t>.</w:t>
      </w:r>
    </w:p>
    <w:p w:rsidR="00EC0C15" w:rsidRPr="007D5E7B" w:rsidRDefault="00FD1F1A" w:rsidP="00EC0C15">
      <w:pPr>
        <w:pStyle w:val="ListParagraph"/>
        <w:numPr>
          <w:ilvl w:val="0"/>
          <w:numId w:val="15"/>
        </w:numPr>
        <w:rPr>
          <w:sz w:val="20"/>
        </w:rPr>
      </w:pPr>
      <w:r w:rsidRPr="007D5E7B">
        <w:rPr>
          <w:sz w:val="20"/>
        </w:rPr>
        <w:t>With 20 new marine protected areas declared, fisheries were recovered and made more productive</w:t>
      </w:r>
      <w:r w:rsidR="00CD585D">
        <w:rPr>
          <w:sz w:val="20"/>
        </w:rPr>
        <w:t xml:space="preserve">, </w:t>
      </w:r>
      <w:r w:rsidR="00EC0C15" w:rsidRPr="007D5E7B">
        <w:rPr>
          <w:sz w:val="20"/>
        </w:rPr>
        <w:t>including a recorded increase in economically important species by five-fold</w:t>
      </w:r>
      <w:r w:rsidR="00CD585D">
        <w:rPr>
          <w:sz w:val="20"/>
        </w:rPr>
        <w:t xml:space="preserve"> (</w:t>
      </w:r>
      <w:r w:rsidR="00ED2570">
        <w:rPr>
          <w:sz w:val="20"/>
        </w:rPr>
        <w:t>TNC</w:t>
      </w:r>
      <w:r w:rsidR="00EC0C15" w:rsidRPr="007D5E7B">
        <w:rPr>
          <w:sz w:val="20"/>
        </w:rPr>
        <w:t>)</w:t>
      </w:r>
      <w:r w:rsidR="00CD585D">
        <w:rPr>
          <w:sz w:val="20"/>
        </w:rPr>
        <w:t>.</w:t>
      </w:r>
    </w:p>
    <w:p w:rsidR="00EC0C15" w:rsidRPr="007D5E7B" w:rsidRDefault="00EC0C15" w:rsidP="00EC0C15">
      <w:pPr>
        <w:pStyle w:val="ListParagraph"/>
        <w:numPr>
          <w:ilvl w:val="0"/>
          <w:numId w:val="15"/>
        </w:numPr>
        <w:rPr>
          <w:sz w:val="20"/>
        </w:rPr>
      </w:pPr>
      <w:r w:rsidRPr="007D5E7B">
        <w:rPr>
          <w:sz w:val="20"/>
        </w:rPr>
        <w:t>Assets were retained that may normally have been sold to buy food in poor seasons</w:t>
      </w:r>
      <w:r w:rsidR="00FD1F1A" w:rsidRPr="007D5E7B">
        <w:rPr>
          <w:sz w:val="20"/>
        </w:rPr>
        <w:t xml:space="preserve"> (e.g. reduction in the sale of livestock in Timor</w:t>
      </w:r>
      <w:r w:rsidR="00C24339">
        <w:rPr>
          <w:sz w:val="20"/>
        </w:rPr>
        <w:t>-</w:t>
      </w:r>
      <w:r w:rsidR="00FD1F1A" w:rsidRPr="007D5E7B">
        <w:rPr>
          <w:sz w:val="20"/>
        </w:rPr>
        <w:t>Leste from 93% to 55%</w:t>
      </w:r>
      <w:r w:rsidR="00BC1FCD">
        <w:rPr>
          <w:sz w:val="20"/>
        </w:rPr>
        <w:t>, Oxfam</w:t>
      </w:r>
      <w:r w:rsidR="00FD1F1A" w:rsidRPr="007D5E7B">
        <w:rPr>
          <w:sz w:val="20"/>
        </w:rPr>
        <w:t>)</w:t>
      </w:r>
      <w:r w:rsidR="00CD585D">
        <w:rPr>
          <w:sz w:val="20"/>
        </w:rPr>
        <w:t>.</w:t>
      </w:r>
    </w:p>
    <w:p w:rsidR="00A479EA" w:rsidRPr="007D5E7B" w:rsidRDefault="006C62FC" w:rsidP="00EC0C15">
      <w:pPr>
        <w:pStyle w:val="ListParagraph"/>
        <w:numPr>
          <w:ilvl w:val="0"/>
          <w:numId w:val="15"/>
        </w:numPr>
        <w:rPr>
          <w:sz w:val="20"/>
        </w:rPr>
      </w:pPr>
      <w:r w:rsidRPr="007D5E7B">
        <w:rPr>
          <w:sz w:val="20"/>
        </w:rPr>
        <w:t>Agricultural systems and productivity</w:t>
      </w:r>
      <w:r w:rsidR="00E07DBF">
        <w:rPr>
          <w:sz w:val="20"/>
        </w:rPr>
        <w:t xml:space="preserve"> </w:t>
      </w:r>
      <w:r w:rsidRPr="007D5E7B">
        <w:rPr>
          <w:sz w:val="20"/>
        </w:rPr>
        <w:t>improved in challenging, erosion-prone areas through technologies including terracing, bioengineering, agrofor</w:t>
      </w:r>
      <w:r w:rsidR="00A479EA" w:rsidRPr="007D5E7B">
        <w:rPr>
          <w:sz w:val="20"/>
        </w:rPr>
        <w:t>estry and permanent gardens and reintroduction of traditional resource management regulation</w:t>
      </w:r>
      <w:r w:rsidR="00CD418C">
        <w:rPr>
          <w:sz w:val="20"/>
        </w:rPr>
        <w:t>. For example,</w:t>
      </w:r>
      <w:r w:rsidRPr="007D5E7B">
        <w:rPr>
          <w:sz w:val="20"/>
        </w:rPr>
        <w:t xml:space="preserve"> t</w:t>
      </w:r>
      <w:r w:rsidR="00FD1F1A" w:rsidRPr="007D5E7B">
        <w:rPr>
          <w:sz w:val="20"/>
        </w:rPr>
        <w:t xml:space="preserve">here was a </w:t>
      </w:r>
      <w:r w:rsidR="00ED2570">
        <w:rPr>
          <w:sz w:val="20"/>
        </w:rPr>
        <w:t>shift from</w:t>
      </w:r>
      <w:r w:rsidR="00FD1F1A" w:rsidRPr="007D5E7B">
        <w:rPr>
          <w:sz w:val="20"/>
        </w:rPr>
        <w:t xml:space="preserve"> slash and burn dryland farming to permanent gardens in Timor</w:t>
      </w:r>
      <w:r w:rsidR="00E07DBF">
        <w:rPr>
          <w:sz w:val="20"/>
        </w:rPr>
        <w:t>-</w:t>
      </w:r>
      <w:r w:rsidR="00FD1F1A" w:rsidRPr="007D5E7B">
        <w:rPr>
          <w:sz w:val="20"/>
        </w:rPr>
        <w:t>Leste</w:t>
      </w:r>
      <w:r w:rsidR="005142C1">
        <w:rPr>
          <w:sz w:val="20"/>
        </w:rPr>
        <w:t xml:space="preserve">, regulated by </w:t>
      </w:r>
      <w:r w:rsidR="005142C1" w:rsidRPr="00004EF7">
        <w:rPr>
          <w:i/>
          <w:sz w:val="20"/>
        </w:rPr>
        <w:t>Tara Bandu</w:t>
      </w:r>
      <w:r w:rsidRPr="007D5E7B">
        <w:rPr>
          <w:sz w:val="20"/>
        </w:rPr>
        <w:t xml:space="preserve"> </w:t>
      </w:r>
      <w:r w:rsidR="00CD418C">
        <w:rPr>
          <w:sz w:val="20"/>
        </w:rPr>
        <w:t>(</w:t>
      </w:r>
      <w:r w:rsidRPr="007D5E7B">
        <w:rPr>
          <w:sz w:val="20"/>
        </w:rPr>
        <w:t>Oxfam</w:t>
      </w:r>
      <w:r w:rsidR="00E07DBF">
        <w:rPr>
          <w:sz w:val="20"/>
        </w:rPr>
        <w:t>,</w:t>
      </w:r>
      <w:r w:rsidRPr="007D5E7B">
        <w:rPr>
          <w:sz w:val="20"/>
        </w:rPr>
        <w:t xml:space="preserve"> Timor</w:t>
      </w:r>
      <w:r w:rsidR="00E07DBF">
        <w:rPr>
          <w:sz w:val="20"/>
        </w:rPr>
        <w:t>-</w:t>
      </w:r>
      <w:r w:rsidRPr="007D5E7B">
        <w:rPr>
          <w:sz w:val="20"/>
        </w:rPr>
        <w:t>Leste)</w:t>
      </w:r>
      <w:r w:rsidR="00A479EA" w:rsidRPr="007D5E7B">
        <w:rPr>
          <w:sz w:val="20"/>
        </w:rPr>
        <w:t>:</w:t>
      </w:r>
    </w:p>
    <w:p w:rsidR="00FD1F1A" w:rsidRPr="007D5E7B" w:rsidRDefault="00A479EA" w:rsidP="00A479EA">
      <w:pPr>
        <w:ind w:left="720"/>
        <w:rPr>
          <w:sz w:val="20"/>
        </w:rPr>
      </w:pPr>
      <w:r w:rsidRPr="007D5E7B">
        <w:rPr>
          <w:i/>
          <w:sz w:val="20"/>
        </w:rPr>
        <w:t xml:space="preserve">‘Sacred places are protected and the community no longer light forest fires and are prohibited to cut trees. They must consult the Kablehan before digging holes and changing the earth, thus preventing deforestation and erosion.’ </w:t>
      </w:r>
      <w:r w:rsidRPr="007D5E7B">
        <w:rPr>
          <w:sz w:val="20"/>
        </w:rPr>
        <w:t xml:space="preserve">– </w:t>
      </w:r>
      <w:r w:rsidR="002F180F">
        <w:rPr>
          <w:sz w:val="20"/>
        </w:rPr>
        <w:t>c</w:t>
      </w:r>
      <w:r w:rsidRPr="007D5E7B">
        <w:rPr>
          <w:sz w:val="20"/>
        </w:rPr>
        <w:t xml:space="preserve">ommunity member, suco Bobometo, Oecussi </w:t>
      </w:r>
      <w:r w:rsidR="00E07DBF">
        <w:rPr>
          <w:sz w:val="20"/>
        </w:rPr>
        <w:t>D</w:t>
      </w:r>
      <w:r w:rsidRPr="007D5E7B">
        <w:rPr>
          <w:sz w:val="20"/>
        </w:rPr>
        <w:t>istrict</w:t>
      </w:r>
      <w:r w:rsidR="00E07DBF">
        <w:rPr>
          <w:sz w:val="20"/>
        </w:rPr>
        <w:t xml:space="preserve">, </w:t>
      </w:r>
      <w:r w:rsidR="00CD418C">
        <w:rPr>
          <w:sz w:val="20"/>
        </w:rPr>
        <w:t>Oxfam</w:t>
      </w:r>
      <w:r w:rsidR="008001F4">
        <w:rPr>
          <w:sz w:val="20"/>
        </w:rPr>
        <w:t>,</w:t>
      </w:r>
      <w:r w:rsidR="00CD418C">
        <w:rPr>
          <w:sz w:val="20"/>
        </w:rPr>
        <w:t xml:space="preserve"> </w:t>
      </w:r>
      <w:r w:rsidR="00E07DBF">
        <w:rPr>
          <w:sz w:val="20"/>
        </w:rPr>
        <w:t>Timor-Leste</w:t>
      </w:r>
      <w:r w:rsidR="008001F4">
        <w:rPr>
          <w:sz w:val="20"/>
        </w:rPr>
        <w:t xml:space="preserve"> (case study)</w:t>
      </w:r>
    </w:p>
    <w:p w:rsidR="00FD1F1A" w:rsidRPr="007D5E7B" w:rsidRDefault="00FD1F1A" w:rsidP="00EC0C15">
      <w:pPr>
        <w:pStyle w:val="ListParagraph"/>
        <w:numPr>
          <w:ilvl w:val="0"/>
          <w:numId w:val="15"/>
        </w:numPr>
        <w:rPr>
          <w:sz w:val="20"/>
        </w:rPr>
      </w:pPr>
      <w:r w:rsidRPr="007D5E7B">
        <w:rPr>
          <w:sz w:val="20"/>
        </w:rPr>
        <w:t>Savings and loans schemes managed by communities</w:t>
      </w:r>
      <w:r w:rsidR="00F1705D">
        <w:rPr>
          <w:sz w:val="20"/>
        </w:rPr>
        <w:t xml:space="preserve"> </w:t>
      </w:r>
      <w:r w:rsidRPr="007D5E7B">
        <w:rPr>
          <w:sz w:val="20"/>
        </w:rPr>
        <w:t>provided insurance against hunger in poor seasons and enabled poor families to educate their children</w:t>
      </w:r>
      <w:r w:rsidR="00E07DBF">
        <w:rPr>
          <w:sz w:val="20"/>
        </w:rPr>
        <w:t>.</w:t>
      </w:r>
    </w:p>
    <w:p w:rsidR="007D5E7B" w:rsidRDefault="00FD1F1A" w:rsidP="006C62FC">
      <w:pPr>
        <w:pStyle w:val="ListParagraph"/>
        <w:numPr>
          <w:ilvl w:val="0"/>
          <w:numId w:val="15"/>
        </w:numPr>
        <w:rPr>
          <w:sz w:val="20"/>
        </w:rPr>
      </w:pPr>
      <w:r w:rsidRPr="007D5E7B">
        <w:rPr>
          <w:sz w:val="20"/>
        </w:rPr>
        <w:t xml:space="preserve">Stronger community governance and management structures led to greater cohesion and systematic management of resources (e.g. </w:t>
      </w:r>
      <w:r w:rsidR="00F1705D">
        <w:rPr>
          <w:sz w:val="20"/>
        </w:rPr>
        <w:t xml:space="preserve">communities were </w:t>
      </w:r>
      <w:r w:rsidRPr="007D5E7B">
        <w:rPr>
          <w:sz w:val="20"/>
        </w:rPr>
        <w:t>better able to cope with drought through more cohesive water management – CARE</w:t>
      </w:r>
      <w:r w:rsidR="00E07DBF">
        <w:rPr>
          <w:sz w:val="20"/>
        </w:rPr>
        <w:t>,</w:t>
      </w:r>
      <w:r w:rsidRPr="007D5E7B">
        <w:rPr>
          <w:sz w:val="20"/>
        </w:rPr>
        <w:t xml:space="preserve"> PNG)</w:t>
      </w:r>
      <w:r w:rsidR="00E07DBF">
        <w:rPr>
          <w:sz w:val="20"/>
        </w:rPr>
        <w:t>.</w:t>
      </w:r>
    </w:p>
    <w:p w:rsidR="007D5E7B" w:rsidRPr="007D5E7B" w:rsidRDefault="007D5E7B" w:rsidP="007D5E7B">
      <w:pPr>
        <w:pStyle w:val="ListParagraph"/>
        <w:numPr>
          <w:ilvl w:val="0"/>
          <w:numId w:val="15"/>
        </w:numPr>
        <w:rPr>
          <w:sz w:val="20"/>
        </w:rPr>
      </w:pPr>
      <w:r>
        <w:rPr>
          <w:sz w:val="20"/>
        </w:rPr>
        <w:t>Advocacy brought</w:t>
      </w:r>
      <w:r w:rsidRPr="007D5E7B">
        <w:rPr>
          <w:sz w:val="20"/>
        </w:rPr>
        <w:t xml:space="preserve"> positive results</w:t>
      </w:r>
      <w:r>
        <w:rPr>
          <w:sz w:val="20"/>
        </w:rPr>
        <w:t xml:space="preserve"> from government (e.g. supply of seeds for diversifying agriculture and gardens </w:t>
      </w:r>
      <w:r w:rsidR="00E07DBF">
        <w:rPr>
          <w:sz w:val="20"/>
        </w:rPr>
        <w:t>–</w:t>
      </w:r>
      <w:r>
        <w:rPr>
          <w:sz w:val="20"/>
        </w:rPr>
        <w:t xml:space="preserve"> Oxfam</w:t>
      </w:r>
      <w:r w:rsidR="00E07DBF">
        <w:rPr>
          <w:sz w:val="20"/>
        </w:rPr>
        <w:t>,</w:t>
      </w:r>
      <w:r>
        <w:rPr>
          <w:sz w:val="20"/>
        </w:rPr>
        <w:t xml:space="preserve"> Timor</w:t>
      </w:r>
      <w:r w:rsidR="00E07DBF">
        <w:rPr>
          <w:sz w:val="20"/>
        </w:rPr>
        <w:t>-</w:t>
      </w:r>
      <w:r>
        <w:rPr>
          <w:sz w:val="20"/>
        </w:rPr>
        <w:t>Leste</w:t>
      </w:r>
      <w:r w:rsidRPr="007D5E7B">
        <w:rPr>
          <w:sz w:val="20"/>
        </w:rPr>
        <w:t>):</w:t>
      </w:r>
    </w:p>
    <w:p w:rsidR="00FD1F1A" w:rsidRPr="007D5E7B" w:rsidRDefault="007D5E7B" w:rsidP="007D5E7B">
      <w:pPr>
        <w:ind w:left="720"/>
        <w:rPr>
          <w:sz w:val="20"/>
        </w:rPr>
      </w:pPr>
      <w:r w:rsidRPr="007D5E7B">
        <w:rPr>
          <w:sz w:val="20"/>
        </w:rPr>
        <w:t>‘</w:t>
      </w:r>
      <w:r w:rsidRPr="007D5E7B">
        <w:rPr>
          <w:i/>
          <w:sz w:val="20"/>
        </w:rPr>
        <w:t>Advocacy par</w:t>
      </w:r>
      <w:r>
        <w:rPr>
          <w:i/>
          <w:sz w:val="20"/>
        </w:rPr>
        <w:t>tners have brought the issue (climate change</w:t>
      </w:r>
      <w:r w:rsidRPr="007D5E7B">
        <w:rPr>
          <w:i/>
          <w:sz w:val="20"/>
        </w:rPr>
        <w:t>) to the government and agriculture department which has extended and encouraged technical support to farmers</w:t>
      </w:r>
      <w:r w:rsidR="00E07DBF">
        <w:rPr>
          <w:i/>
          <w:sz w:val="20"/>
        </w:rPr>
        <w:t>.</w:t>
      </w:r>
      <w:r w:rsidRPr="007D5E7B">
        <w:rPr>
          <w:i/>
          <w:sz w:val="20"/>
        </w:rPr>
        <w:t xml:space="preserve">’ </w:t>
      </w:r>
      <w:r w:rsidRPr="007D5E7B">
        <w:rPr>
          <w:sz w:val="20"/>
        </w:rPr>
        <w:t>– Oxfam partner, Oecussi</w:t>
      </w:r>
      <w:r w:rsidR="00E07DBF">
        <w:rPr>
          <w:sz w:val="20"/>
        </w:rPr>
        <w:t xml:space="preserve"> District, Timor-Leste</w:t>
      </w:r>
      <w:r w:rsidR="001D77A6">
        <w:rPr>
          <w:sz w:val="20"/>
        </w:rPr>
        <w:t xml:space="preserve"> (case study)</w:t>
      </w:r>
    </w:p>
    <w:p w:rsidR="00382559" w:rsidRDefault="006C62FC" w:rsidP="00FC2577">
      <w:r>
        <w:t xml:space="preserve">While these results are positive, it is difficult to get an overall sense of the quantum of benefits accruing to communities </w:t>
      </w:r>
      <w:r w:rsidR="005142C1">
        <w:t>at this time</w:t>
      </w:r>
      <w:r>
        <w:t>, or to judge whether the options implemented will secure longer</w:t>
      </w:r>
      <w:r w:rsidR="00E07DBF">
        <w:t>-</w:t>
      </w:r>
      <w:r>
        <w:t>term resilience to the impacts of climate change in addition to the clear short</w:t>
      </w:r>
      <w:r w:rsidR="00E07DBF">
        <w:t>-</w:t>
      </w:r>
      <w:r>
        <w:t xml:space="preserve">term development benefits. </w:t>
      </w:r>
      <w:r w:rsidR="00BA4F8C">
        <w:t>But t</w:t>
      </w:r>
      <w:r>
        <w:t>he fact that many of the technologies are designed to reduce vulnerabilities to climate and weather-related risks</w:t>
      </w:r>
      <w:r w:rsidR="00BA4F8C">
        <w:t>,</w:t>
      </w:r>
      <w:r>
        <w:t xml:space="preserve"> including water scarcity and drought, </w:t>
      </w:r>
      <w:r w:rsidR="00BA4F8C">
        <w:t xml:space="preserve">and aim to improve the resilience of the resource base and ecosystems that support livelihoods, </w:t>
      </w:r>
      <w:r>
        <w:t>is encouraging. The projects need more time to test and monito</w:t>
      </w:r>
      <w:r w:rsidR="00CC5A6C">
        <w:t xml:space="preserve">r activities </w:t>
      </w:r>
      <w:r>
        <w:t>to build a</w:t>
      </w:r>
      <w:r w:rsidR="00BA4F8C">
        <w:t>nd document the evidence base across</w:t>
      </w:r>
      <w:r>
        <w:t xml:space="preserve"> the</w:t>
      </w:r>
      <w:r w:rsidR="00BA4F8C">
        <w:t>ir</w:t>
      </w:r>
      <w:r>
        <w:t xml:space="preserve"> range of contexts and settings, </w:t>
      </w:r>
      <w:r w:rsidR="00CC5A6C">
        <w:t xml:space="preserve">and </w:t>
      </w:r>
      <w:r>
        <w:t>to fully establish ‘resilience building’ as an understood and practical concept for vulnerable communities.</w:t>
      </w:r>
    </w:p>
    <w:p w:rsidR="000D2AE1" w:rsidRPr="006C62FC" w:rsidRDefault="00382559" w:rsidP="00FC2577">
      <w:r>
        <w:t>It is not clear how far</w:t>
      </w:r>
      <w:r w:rsidR="00BA4F8C">
        <w:t xml:space="preserve"> adoption has occurred and</w:t>
      </w:r>
      <w:r>
        <w:t xml:space="preserve"> benefits </w:t>
      </w:r>
      <w:r w:rsidR="00CC5A6C">
        <w:t xml:space="preserve">have </w:t>
      </w:r>
      <w:r>
        <w:t>extended beyond the participating communities. The outreach and knowledge</w:t>
      </w:r>
      <w:r w:rsidR="00E07DBF">
        <w:t>-</w:t>
      </w:r>
      <w:r>
        <w:t>sharing mechanisms developed with communities by the projects (e.g. demonstrations, advocacy, peer-to-peer exchanges, Knowledge Hubs, Climate Change Centres and Field Schools)</w:t>
      </w:r>
      <w:r w:rsidR="00EB7A5E">
        <w:t xml:space="preserve"> are likely to have had impact in other communities. Some (e.g. integrating climate change and child-led/child-centred approaches in school curriculum) could be transformative over time. But</w:t>
      </w:r>
      <w:r w:rsidR="00CC5A6C">
        <w:t xml:space="preserve"> projects need longer timeframes</w:t>
      </w:r>
      <w:r w:rsidR="00F41683">
        <w:t xml:space="preserve"> </w:t>
      </w:r>
      <w:r w:rsidR="00EB7A5E">
        <w:t>to fully establish these mechanisms</w:t>
      </w:r>
      <w:r w:rsidR="00F41683">
        <w:t xml:space="preserve"> in order</w:t>
      </w:r>
      <w:r w:rsidR="00EB7A5E">
        <w:t xml:space="preserve"> to monitor and record their impacts over time.</w:t>
      </w:r>
    </w:p>
    <w:p w:rsidR="00EB7A5E" w:rsidRPr="00004EF7" w:rsidRDefault="00AC4B63" w:rsidP="00AC4B63">
      <w:pPr>
        <w:rPr>
          <w:i/>
          <w:color w:val="365F91" w:themeColor="accent1" w:themeShade="BF"/>
        </w:rPr>
      </w:pPr>
      <w:r w:rsidRPr="00004EF7">
        <w:rPr>
          <w:b/>
          <w:i/>
          <w:color w:val="365F91" w:themeColor="accent1" w:themeShade="BF"/>
        </w:rPr>
        <w:t xml:space="preserve">Indicator 9: </w:t>
      </w:r>
      <w:r w:rsidRPr="00004EF7">
        <w:rPr>
          <w:i/>
          <w:color w:val="365F91" w:themeColor="accent1" w:themeShade="BF"/>
        </w:rPr>
        <w:t>Cross-scale networks are expanded to mobilise knowledge and resource</w:t>
      </w:r>
      <w:r w:rsidR="00EB7A5E" w:rsidRPr="00004EF7">
        <w:rPr>
          <w:i/>
          <w:color w:val="365F91" w:themeColor="accent1" w:themeShade="BF"/>
        </w:rPr>
        <w:t>s</w:t>
      </w:r>
    </w:p>
    <w:p w:rsidR="00AC4B63" w:rsidRPr="00EB7A5E" w:rsidRDefault="00AC4B63" w:rsidP="00AC4B63">
      <w:r w:rsidRPr="00EB7A5E">
        <w:t xml:space="preserve">Some projects included objectives for widening existing networks for </w:t>
      </w:r>
      <w:r w:rsidR="001D77A6">
        <w:t xml:space="preserve">CBA </w:t>
      </w:r>
      <w:r w:rsidRPr="00EB7A5E">
        <w:t xml:space="preserve">in target areas from local to national, regional and international levels. Standout successes include VCAN, coordinated by Oxfam in Vanuatu, representing </w:t>
      </w:r>
      <w:r w:rsidR="00F41683">
        <w:t>more than</w:t>
      </w:r>
      <w:r w:rsidRPr="00EB7A5E">
        <w:t xml:space="preserve"> 20 </w:t>
      </w:r>
      <w:r w:rsidR="003E6F3E">
        <w:t>CSOs</w:t>
      </w:r>
      <w:r w:rsidRPr="00EB7A5E">
        <w:t xml:space="preserve"> and bringing together local and international experts to share information and engaging government and civil society. VCAN influenced national policy and enabled advocacy from communities nationally and internationally, including community representation in Vanuatu’s international climate negotiations regionally (through SPREP) and globally (through</w:t>
      </w:r>
      <w:r w:rsidR="00AD6DA8">
        <w:t xml:space="preserve"> </w:t>
      </w:r>
      <w:r w:rsidRPr="00EB7A5E">
        <w:t>UNFCCC</w:t>
      </w:r>
      <w:r w:rsidR="00F41683">
        <w:t xml:space="preserve"> </w:t>
      </w:r>
      <w:r w:rsidRPr="00EB7A5E">
        <w:t>processes). VCAN has secured funding for a further three years from another source (Oxfam America).</w:t>
      </w:r>
    </w:p>
    <w:p w:rsidR="00AC4B63" w:rsidRPr="00EB7A5E" w:rsidRDefault="00AC4B63" w:rsidP="00AC4B63">
      <w:r w:rsidRPr="00EB7A5E">
        <w:t>Some projects found it useful to link with and strengthen existing national networks, supporting them to integrate climate change, including DRR networks</w:t>
      </w:r>
      <w:r w:rsidR="00F41683">
        <w:t>. For example,</w:t>
      </w:r>
      <w:r w:rsidRPr="00EB7A5E">
        <w:t xml:space="preserve"> through the AfP project, the Tonga National Council of Churches is working with the National Emergency Office to develop a national </w:t>
      </w:r>
      <w:r w:rsidR="00FC0003">
        <w:t>c</w:t>
      </w:r>
      <w:r w:rsidRPr="00EB7A5E">
        <w:t>ommunity</w:t>
      </w:r>
      <w:r w:rsidR="00FC0003">
        <w:t>-b</w:t>
      </w:r>
      <w:r w:rsidRPr="00EB7A5E">
        <w:t xml:space="preserve">ased </w:t>
      </w:r>
      <w:r w:rsidR="00FC0003">
        <w:t>DRR</w:t>
      </w:r>
      <w:r w:rsidR="009273AB">
        <w:t xml:space="preserve"> </w:t>
      </w:r>
      <w:r w:rsidRPr="00EB7A5E">
        <w:t>Framework.</w:t>
      </w:r>
    </w:p>
    <w:p w:rsidR="00AC4B63" w:rsidRPr="00EB7A5E" w:rsidRDefault="00AC4B63" w:rsidP="00AC4B63">
      <w:r w:rsidRPr="00EB7A5E">
        <w:t xml:space="preserve">Other projects were more focused on working locally, building an evidence base that can be used in future </w:t>
      </w:r>
      <w:r w:rsidR="005142C1">
        <w:t>advocacy work</w:t>
      </w:r>
      <w:r w:rsidRPr="00EB7A5E">
        <w:t xml:space="preserve"> with national governments. In some cases, the connections between national and local planning were </w:t>
      </w:r>
      <w:r w:rsidR="009273AB">
        <w:t xml:space="preserve">not </w:t>
      </w:r>
      <w:r w:rsidRPr="00EB7A5E">
        <w:t xml:space="preserve">yet clear or established. National processes are sometimes disconnected from mainstream national institutional architecture for development, and from line agencies and local governments. </w:t>
      </w:r>
      <w:r w:rsidR="009273AB">
        <w:t xml:space="preserve">An example of this is </w:t>
      </w:r>
      <w:r w:rsidR="009273AB" w:rsidRPr="00EB7A5E">
        <w:t>the UNFCCC National Adaptation Programs for Action (NAPA), dev</w:t>
      </w:r>
      <w:r w:rsidR="009273AB">
        <w:t xml:space="preserve">eloped by national governments and </w:t>
      </w:r>
      <w:r w:rsidR="009273AB" w:rsidRPr="00EB7A5E">
        <w:t>supported by agencies including the Un</w:t>
      </w:r>
      <w:r w:rsidR="009273AB">
        <w:t>ited Nations Development Programme.</w:t>
      </w:r>
      <w:r w:rsidR="009273AB" w:rsidRPr="00EB7A5E">
        <w:t xml:space="preserve"> </w:t>
      </w:r>
      <w:r w:rsidR="009273AB">
        <w:t>Processes such as these</w:t>
      </w:r>
      <w:r w:rsidRPr="00EB7A5E">
        <w:t xml:space="preserve"> have proven difficult to engage with meaningfully in terms of representing community views and establishing wider networks.</w:t>
      </w:r>
    </w:p>
    <w:p w:rsidR="00AC4B63" w:rsidRDefault="00AC4B63" w:rsidP="00AC4B63">
      <w:r w:rsidRPr="00EB7A5E">
        <w:t>Other examples of outreach beyond the target locations and countries include ‘Think Pieces’ developed by Oxfam</w:t>
      </w:r>
      <w:r w:rsidR="00BE1C7F">
        <w:t xml:space="preserve"> in the </w:t>
      </w:r>
      <w:r w:rsidRPr="00EB7A5E">
        <w:t>Philippines,</w:t>
      </w:r>
      <w:r w:rsidR="00BE1C7F">
        <w:t xml:space="preserve"> which </w:t>
      </w:r>
      <w:r w:rsidRPr="00EB7A5E">
        <w:t>inform</w:t>
      </w:r>
      <w:r w:rsidR="00BE1C7F">
        <w:t>ed</w:t>
      </w:r>
      <w:r w:rsidRPr="00EB7A5E">
        <w:t xml:space="preserve"> national and international discourse on what adaptation looks like on the ground and the financing options (e.g. at Bonn UNFCCC COP</w:t>
      </w:r>
      <w:r w:rsidR="001A3FDF">
        <w:t>, 2015</w:t>
      </w:r>
      <w:r w:rsidRPr="00EB7A5E">
        <w:t xml:space="preserve">). At a program level, more could be done to analyse experiences across the projects and contribute to international thinking on the meaning of </w:t>
      </w:r>
      <w:r w:rsidR="00FC0003">
        <w:t>CBA</w:t>
      </w:r>
      <w:r w:rsidRPr="00EB7A5E">
        <w:t>.</w:t>
      </w:r>
      <w:r>
        <w:t xml:space="preserve"> </w:t>
      </w:r>
    </w:p>
    <w:p w:rsidR="00AC4B63" w:rsidRPr="00004EF7" w:rsidRDefault="00EB7A5E" w:rsidP="00AC4B63">
      <w:pPr>
        <w:rPr>
          <w:i/>
          <w:color w:val="365F91" w:themeColor="accent1" w:themeShade="BF"/>
        </w:rPr>
      </w:pPr>
      <w:r w:rsidRPr="00004EF7">
        <w:rPr>
          <w:b/>
          <w:i/>
          <w:color w:val="365F91" w:themeColor="accent1" w:themeShade="BF"/>
        </w:rPr>
        <w:t xml:space="preserve">Indicator 10: </w:t>
      </w:r>
      <w:r w:rsidR="00AC4B63" w:rsidRPr="00004EF7">
        <w:rPr>
          <w:i/>
          <w:color w:val="365F91" w:themeColor="accent1" w:themeShade="BF"/>
        </w:rPr>
        <w:t>Programs are coordinated across scales and jurisdictions to ensure compl</w:t>
      </w:r>
      <w:r w:rsidR="00FC0003">
        <w:rPr>
          <w:i/>
          <w:color w:val="365F91" w:themeColor="accent1" w:themeShade="BF"/>
        </w:rPr>
        <w:t>e</w:t>
      </w:r>
      <w:r w:rsidR="00AC4B63" w:rsidRPr="00004EF7">
        <w:rPr>
          <w:i/>
          <w:color w:val="365F91" w:themeColor="accent1" w:themeShade="BF"/>
        </w:rPr>
        <w:t>mentary action at different scales</w:t>
      </w:r>
    </w:p>
    <w:p w:rsidR="001F6E70" w:rsidRDefault="006F2854" w:rsidP="00FC2577">
      <w:r>
        <w:t>CBA</w:t>
      </w:r>
      <w:r w:rsidR="00EB7A5E">
        <w:t xml:space="preserve"> and resilience building </w:t>
      </w:r>
      <w:r w:rsidR="006B0FEC">
        <w:t>has proven effective in</w:t>
      </w:r>
      <w:r w:rsidR="00EB7A5E">
        <w:t xml:space="preserve"> reducing the risks of climate change and people’s vulnerabilities to the impacts</w:t>
      </w:r>
      <w:r w:rsidR="006B0FEC">
        <w:t xml:space="preserve"> locally</w:t>
      </w:r>
      <w:r w:rsidR="00EB7A5E">
        <w:t>. However,</w:t>
      </w:r>
      <w:r w:rsidR="006B0FEC">
        <w:t xml:space="preserve"> because of the nature</w:t>
      </w:r>
      <w:r w:rsidR="005142C1">
        <w:t xml:space="preserve"> and scale</w:t>
      </w:r>
      <w:r w:rsidR="006B0FEC">
        <w:t xml:space="preserve"> of climate change impacts,</w:t>
      </w:r>
      <w:r w:rsidR="00EB7A5E">
        <w:t xml:space="preserve"> resilience building requires coordinated action at larger scales (e.g. </w:t>
      </w:r>
      <w:r w:rsidR="006B0FEC">
        <w:t>whole</w:t>
      </w:r>
      <w:r w:rsidR="00EB7A5E">
        <w:t xml:space="preserve"> watersheds</w:t>
      </w:r>
      <w:r w:rsidR="00BE1C7F">
        <w:t>,</w:t>
      </w:r>
      <w:r w:rsidR="006B0FEC">
        <w:t xml:space="preserve"> coastlines</w:t>
      </w:r>
      <w:r w:rsidR="00BE1C7F">
        <w:t xml:space="preserve"> and</w:t>
      </w:r>
      <w:r w:rsidR="006B0FEC">
        <w:t xml:space="preserve"> ecosystems</w:t>
      </w:r>
      <w:r w:rsidR="00EB7A5E">
        <w:t xml:space="preserve">) and </w:t>
      </w:r>
      <w:r w:rsidR="006B0FEC">
        <w:t xml:space="preserve">across </w:t>
      </w:r>
      <w:r w:rsidR="00EB7A5E">
        <w:t xml:space="preserve">jurisdictions. </w:t>
      </w:r>
    </w:p>
    <w:p w:rsidR="0061788E" w:rsidRDefault="006F2854" w:rsidP="00FC2577">
      <w:r>
        <w:t>For example, t</w:t>
      </w:r>
      <w:r w:rsidR="00EB7A5E">
        <w:t>here are many cases</w:t>
      </w:r>
      <w:r>
        <w:t xml:space="preserve"> </w:t>
      </w:r>
      <w:r w:rsidR="00EB7A5E">
        <w:t xml:space="preserve">where productivity and diversity in agriculture can be lifted </w:t>
      </w:r>
      <w:r w:rsidR="0061788E">
        <w:t xml:space="preserve">locally, </w:t>
      </w:r>
      <w:r w:rsidR="00EB7A5E">
        <w:t>but without a reliable water supply and road and transport network, productivity cannot be maintained and surplus produce is difficult to get to market. In many instances, communities are able to carry</w:t>
      </w:r>
      <w:r w:rsidR="00BE1C7F">
        <w:t xml:space="preserve"> </w:t>
      </w:r>
      <w:r w:rsidR="00EB7A5E">
        <w:t>out small-scale flood protection and prevention activities</w:t>
      </w:r>
      <w:r>
        <w:t xml:space="preserve">, such as </w:t>
      </w:r>
      <w:r w:rsidR="00EB7A5E">
        <w:t xml:space="preserve">de-clogging drains, </w:t>
      </w:r>
      <w:r>
        <w:t xml:space="preserve">disposing of </w:t>
      </w:r>
      <w:r w:rsidR="00EB7A5E">
        <w:t>solid waste and establishing local levee systems</w:t>
      </w:r>
      <w:r>
        <w:t>. However,</w:t>
      </w:r>
      <w:r w:rsidR="00EB7A5E">
        <w:t xml:space="preserve"> these can be </w:t>
      </w:r>
      <w:r w:rsidR="005142C1">
        <w:t>undermined</w:t>
      </w:r>
      <w:r w:rsidR="00EB7A5E">
        <w:t xml:space="preserve"> if upstream drainage systems such as dams and spillways fail in a large flooding event</w:t>
      </w:r>
      <w:r w:rsidR="0061788E">
        <w:t xml:space="preserve">, and in </w:t>
      </w:r>
      <w:r w:rsidR="00B553A7">
        <w:t>cases where deforestation is ac</w:t>
      </w:r>
      <w:r w:rsidR="0061788E">
        <w:t>ute</w:t>
      </w:r>
      <w:r w:rsidR="00EB7A5E">
        <w:t>. Similarly, communities implementing conservation farming on sloping land or developing water supply systems require the cooperation of upstream communities and of government across the jurisdiction.</w:t>
      </w:r>
      <w:r w:rsidR="001F6E70">
        <w:t xml:space="preserve"> </w:t>
      </w:r>
    </w:p>
    <w:p w:rsidR="00CA14E7" w:rsidRDefault="001B4159" w:rsidP="00FC2577">
      <w:r>
        <w:t>There</w:t>
      </w:r>
      <w:r w:rsidR="006B0FEC">
        <w:t xml:space="preserve"> is some evidence of cross-scale networks emerging</w:t>
      </w:r>
      <w:r>
        <w:t xml:space="preserve"> in the CBCCAG program</w:t>
      </w:r>
      <w:r w:rsidR="006B0FEC">
        <w:t xml:space="preserve"> (e.g. national adaptation networks, working groups,</w:t>
      </w:r>
      <w:r w:rsidR="00BE1C7F">
        <w:t xml:space="preserve"> and </w:t>
      </w:r>
      <w:r w:rsidR="006B0FEC">
        <w:t>conferences</w:t>
      </w:r>
      <w:r w:rsidR="0061788E">
        <w:t>). However challenging, c</w:t>
      </w:r>
      <w:r w:rsidR="006B0FEC">
        <w:t>loser collaboration and coordination of effort from communities, civil socie</w:t>
      </w:r>
      <w:r>
        <w:t>ty and government at all levels</w:t>
      </w:r>
      <w:r w:rsidR="006B0FEC">
        <w:t xml:space="preserve"> is required to fully support and complement th</w:t>
      </w:r>
      <w:r w:rsidR="0061788E">
        <w:t>e work of communities in reducing risks and building adaptive capacities.</w:t>
      </w:r>
      <w:r w:rsidR="00B553A7">
        <w:t xml:space="preserve"> </w:t>
      </w:r>
    </w:p>
    <w:p w:rsidR="0061788E" w:rsidRDefault="00B553A7" w:rsidP="00FC2577">
      <w:r>
        <w:t xml:space="preserve">These networks and collaborations take time to establish and require active political commitment from government. </w:t>
      </w:r>
      <w:r w:rsidR="00BE1C7F">
        <w:t xml:space="preserve">The </w:t>
      </w:r>
      <w:r>
        <w:t>CBCCAG</w:t>
      </w:r>
      <w:r w:rsidR="00BE1C7F">
        <w:t xml:space="preserve"> program</w:t>
      </w:r>
      <w:r>
        <w:t xml:space="preserve"> is well positioned to play an important role in providing an evidence base, demonstrating the development and economic benefits of resilience building</w:t>
      </w:r>
      <w:r w:rsidR="00CA14E7">
        <w:t xml:space="preserve"> at community level, and the potential transformative impact if these efforts are complemented in development planning across scales</w:t>
      </w:r>
      <w:r>
        <w:t>.</w:t>
      </w:r>
    </w:p>
    <w:p w:rsidR="00A53FF6" w:rsidRDefault="00A53FF6" w:rsidP="00A53FF6">
      <w:pPr>
        <w:pStyle w:val="Heading1"/>
      </w:pPr>
      <w:bookmarkStart w:id="35" w:name="_Toc315694468"/>
      <w:r>
        <w:t xml:space="preserve">Relevance to partners and Australian </w:t>
      </w:r>
      <w:r w:rsidR="00BE1C7F">
        <w:t>G</w:t>
      </w:r>
      <w:r>
        <w:t>overnment priorities</w:t>
      </w:r>
      <w:bookmarkEnd w:id="35"/>
    </w:p>
    <w:p w:rsidR="00A53FF6" w:rsidRPr="009A44C4" w:rsidRDefault="00A53FF6" w:rsidP="00A53FF6">
      <w:r>
        <w:rPr>
          <w:b/>
          <w:i/>
        </w:rPr>
        <w:t xml:space="preserve">Headline question: </w:t>
      </w:r>
      <w:r w:rsidRPr="009A44C4">
        <w:rPr>
          <w:i/>
        </w:rPr>
        <w:t>Did they meet the needs of partners? Were they aligned with Australian Government priorities</w:t>
      </w:r>
      <w:r>
        <w:rPr>
          <w:i/>
        </w:rPr>
        <w:t>?</w:t>
      </w:r>
    </w:p>
    <w:p w:rsidR="00A84E38" w:rsidRDefault="00B77A19" w:rsidP="00A53FF6">
      <w:r>
        <w:t xml:space="preserve">Communities participating in the CBCCAG program regard climate change in general, and adaptation in particular, as a priority. This priority ranges from extreme for communities living in areas experiencing acute impacts (e.g. the Marshall Islands and Isabel and Choiseul </w:t>
      </w:r>
      <w:r w:rsidR="001D77A6">
        <w:t xml:space="preserve">Provinces </w:t>
      </w:r>
      <w:r>
        <w:t xml:space="preserve">in the Solomon Islands) to very high in communities experiencing a drying trend, less reliable seasons, large storms or floods (e.g. Timor-Leste, Vanuatu, Philippines and PNG). </w:t>
      </w:r>
      <w:r w:rsidR="00E115A9">
        <w:t>In many communities, climate change is understood in terms of food and water security, and vulnerability to extreme weather, rather than as a global climate trend. But there is little doubt about the importance of these issues</w:t>
      </w:r>
      <w:r w:rsidR="0018791D">
        <w:t xml:space="preserve"> or of the fact that climate change is emerging as a higher priority as awareness buil</w:t>
      </w:r>
      <w:r>
        <w:t>ds</w:t>
      </w:r>
      <w:r w:rsidR="0018791D">
        <w:t>.</w:t>
      </w:r>
      <w:r w:rsidR="00E115A9">
        <w:t xml:space="preserve"> </w:t>
      </w:r>
    </w:p>
    <w:p w:rsidR="00F03F0A" w:rsidRDefault="00E115A9" w:rsidP="00A53FF6">
      <w:r>
        <w:t>In some areas of the Pacific</w:t>
      </w:r>
      <w:r w:rsidR="00DC04C2">
        <w:t xml:space="preserve"> Region</w:t>
      </w:r>
      <w:r>
        <w:t>, adaptation is occurring at the extreme end, with communities needing to migrate from their homes to higher ground. In other low-lying areas, there is a window of opportunity to avert this outcome, and in many less vulnerable settings there are substantial opportunities to build resilience through managemen</w:t>
      </w:r>
      <w:r w:rsidR="006E568F">
        <w:t>t of resources and productivity over</w:t>
      </w:r>
      <w:r w:rsidR="00B77A19">
        <w:t xml:space="preserve"> </w:t>
      </w:r>
      <w:r w:rsidR="006E568F">
        <w:t>time.</w:t>
      </w:r>
      <w:r w:rsidR="001B4159">
        <w:t xml:space="preserve"> Relevance</w:t>
      </w:r>
      <w:r w:rsidR="00A253A1">
        <w:t xml:space="preserve"> and the need for investment</w:t>
      </w:r>
      <w:r w:rsidR="001B4159">
        <w:t xml:space="preserve"> </w:t>
      </w:r>
      <w:r w:rsidR="00A253A1">
        <w:t>are clear</w:t>
      </w:r>
      <w:r w:rsidR="001B4159">
        <w:t>.</w:t>
      </w:r>
    </w:p>
    <w:p w:rsidR="00E115A9" w:rsidRDefault="0031172A" w:rsidP="00A53FF6">
      <w:r>
        <w:t xml:space="preserve">The program played an important role in raising the profile of climate change in dialogue with government, particularly the issues faced by communities, and in facilitating the voice of communities at local and national levels. At </w:t>
      </w:r>
      <w:r w:rsidR="00F03F0A">
        <w:t>activity level, CBCCAG investments are likely to meet the needs of communities because of the participatory nature of planning and a high level of responsiveness to identified vulnerabilities (e.g. food and water security).</w:t>
      </w:r>
      <w:r w:rsidR="006E568F">
        <w:t xml:space="preserve"> The activities are</w:t>
      </w:r>
      <w:r w:rsidR="00F03F0A">
        <w:t xml:space="preserve"> also geared to deliver development benefits in the short term</w:t>
      </w:r>
      <w:r w:rsidR="006E568F">
        <w:t xml:space="preserve"> to meet immediate needs</w:t>
      </w:r>
      <w:r w:rsidR="00F03F0A">
        <w:t>.</w:t>
      </w:r>
      <w:r w:rsidR="006E568F">
        <w:t xml:space="preserve"> Projects have been flexible </w:t>
      </w:r>
      <w:r>
        <w:t>in responding to community priorities</w:t>
      </w:r>
      <w:r w:rsidR="006E568F">
        <w:t>, including in situations where a large influx of donor investment over a short period has led to ‘project fatigue’</w:t>
      </w:r>
      <w:r w:rsidR="00DC04C2">
        <w:t>. (This has been</w:t>
      </w:r>
      <w:r w:rsidR="00B77A19">
        <w:t xml:space="preserve"> experienced in </w:t>
      </w:r>
      <w:r w:rsidR="006E568F">
        <w:t>some highly vulnerable areas of the Pacific</w:t>
      </w:r>
      <w:r w:rsidR="00DC04C2">
        <w:t xml:space="preserve"> Region</w:t>
      </w:r>
      <w:r w:rsidR="006E568F">
        <w:t xml:space="preserve"> such as Choiseul in the Solomon Islands.</w:t>
      </w:r>
      <w:r w:rsidR="00DC04C2">
        <w:t>)</w:t>
      </w:r>
    </w:p>
    <w:p w:rsidR="00F03F0A" w:rsidRDefault="00A84E38" w:rsidP="00A53FF6">
      <w:r>
        <w:t>The priority of climate change for</w:t>
      </w:r>
      <w:r w:rsidR="00E115A9">
        <w:t xml:space="preserve"> local government</w:t>
      </w:r>
      <w:r>
        <w:t>s</w:t>
      </w:r>
      <w:r w:rsidR="00E115A9">
        <w:t xml:space="preserve"> in the </w:t>
      </w:r>
      <w:r>
        <w:t xml:space="preserve">CBCCAG locations varies. In </w:t>
      </w:r>
      <w:r w:rsidR="00E115A9">
        <w:t xml:space="preserve">many areas </w:t>
      </w:r>
      <w:r>
        <w:t xml:space="preserve">it is </w:t>
      </w:r>
      <w:r w:rsidR="00E115A9">
        <w:t>low</w:t>
      </w:r>
      <w:r>
        <w:t xml:space="preserve"> or emerging,</w:t>
      </w:r>
      <w:r w:rsidR="00E115A9">
        <w:t xml:space="preserve"> because of limited capacities to engage and finance adaptation planning and </w:t>
      </w:r>
      <w:r w:rsidR="009E15A3">
        <w:t xml:space="preserve">local </w:t>
      </w:r>
      <w:r w:rsidR="00E115A9">
        <w:t xml:space="preserve">action. National </w:t>
      </w:r>
      <w:r>
        <w:t xml:space="preserve">partner </w:t>
      </w:r>
      <w:r w:rsidR="00E115A9">
        <w:t xml:space="preserve">governments </w:t>
      </w:r>
      <w:r w:rsidR="00A253A1">
        <w:t>also differ</w:t>
      </w:r>
      <w:r>
        <w:t xml:space="preserve"> in the priority and commitment they give to climate change</w:t>
      </w:r>
      <w:r w:rsidR="00F03F0A">
        <w:t xml:space="preserve"> at community level, despite affording the issues high political priority internationally</w:t>
      </w:r>
      <w:r>
        <w:t>. However, the CBCCAG</w:t>
      </w:r>
      <w:r w:rsidR="009E15A3">
        <w:t xml:space="preserve"> program</w:t>
      </w:r>
      <w:r>
        <w:t xml:space="preserve"> is aligned closely to national policies generally and supportive of the directions and in</w:t>
      </w:r>
      <w:r w:rsidR="00F03F0A">
        <w:t>tent of partner government policies and plans</w:t>
      </w:r>
      <w:r w:rsidR="006E568F">
        <w:t xml:space="preserve"> (e.g. </w:t>
      </w:r>
      <w:r w:rsidR="00A253A1">
        <w:t xml:space="preserve">aligned with NAPA priorities of </w:t>
      </w:r>
      <w:r w:rsidR="006E568F">
        <w:t>food and water security priorities)</w:t>
      </w:r>
      <w:r w:rsidR="00F03F0A">
        <w:t>:</w:t>
      </w:r>
    </w:p>
    <w:p w:rsidR="00F03F0A" w:rsidRPr="00E97AB5" w:rsidRDefault="00F03F0A" w:rsidP="00F03F0A">
      <w:pPr>
        <w:ind w:left="720"/>
      </w:pPr>
      <w:r>
        <w:rPr>
          <w:i/>
        </w:rPr>
        <w:t>‘While</w:t>
      </w:r>
      <w:r w:rsidR="009E15A3">
        <w:rPr>
          <w:i/>
        </w:rPr>
        <w:t xml:space="preserve"> </w:t>
      </w:r>
      <w:r>
        <w:rPr>
          <w:i/>
        </w:rPr>
        <w:t>… we are one of the smallest carbon dioxide emitters in the world and we make only a time contribution to climate change, our nation is particularly vulnerable</w:t>
      </w:r>
      <w:r w:rsidR="009E15A3">
        <w:rPr>
          <w:i/>
        </w:rPr>
        <w:t xml:space="preserve"> </w:t>
      </w:r>
      <w:r>
        <w:rPr>
          <w:i/>
        </w:rPr>
        <w:t xml:space="preserve">… </w:t>
      </w:r>
      <w:r w:rsidR="009E15A3">
        <w:rPr>
          <w:i/>
        </w:rPr>
        <w:t xml:space="preserve">[Climate change] </w:t>
      </w:r>
      <w:r>
        <w:rPr>
          <w:i/>
        </w:rPr>
        <w:t xml:space="preserve">will also have profound consequences for agricultural production, food security, the tourism industry, the incidence of natural disasters and the well-being of our people.’ </w:t>
      </w:r>
      <w:r>
        <w:t>– H.E. Kay Rala Xanana Gusm</w:t>
      </w:r>
      <w:r w:rsidR="009E15A3">
        <w:rPr>
          <w:rFonts w:ascii="Cambria" w:hAnsi="Cambria"/>
        </w:rPr>
        <w:t>ã</w:t>
      </w:r>
      <w:r>
        <w:t>o, Prime Minister of Timor</w:t>
      </w:r>
      <w:r w:rsidR="009E15A3">
        <w:t>-</w:t>
      </w:r>
      <w:r>
        <w:t>Leste</w:t>
      </w:r>
    </w:p>
    <w:p w:rsidR="009C7593" w:rsidRDefault="00F7759A" w:rsidP="00A53FF6">
      <w:r>
        <w:t xml:space="preserve">The </w:t>
      </w:r>
      <w:r w:rsidR="00BB1D2D">
        <w:t>CBCCAG</w:t>
      </w:r>
      <w:r>
        <w:t xml:space="preserve"> program</w:t>
      </w:r>
      <w:r w:rsidR="00BB1D2D">
        <w:t xml:space="preserve"> was a high priority </w:t>
      </w:r>
      <w:r w:rsidR="00CA7A94">
        <w:t>for the Australian Government under</w:t>
      </w:r>
      <w:r w:rsidR="00BB1D2D">
        <w:t xml:space="preserve"> the aid program when it began (201</w:t>
      </w:r>
      <w:r w:rsidR="001D77A6">
        <w:t>1-12)</w:t>
      </w:r>
      <w:r>
        <w:t>,</w:t>
      </w:r>
      <w:r w:rsidR="00BB1D2D">
        <w:t xml:space="preserve"> as part of Australia’s commitment and investment in global international adaptation through UNFCCC processes (</w:t>
      </w:r>
      <w:r>
        <w:t>f</w:t>
      </w:r>
      <w:r w:rsidR="00BB1D2D">
        <w:t>ast</w:t>
      </w:r>
      <w:r>
        <w:t>-s</w:t>
      </w:r>
      <w:r w:rsidR="00BB1D2D">
        <w:t>tart financing)</w:t>
      </w:r>
      <w:r w:rsidR="00CA7A94">
        <w:t>. It remains relevant today in the new aid program framework.</w:t>
      </w:r>
      <w:r w:rsidR="00BB1D2D">
        <w:t xml:space="preserve"> </w:t>
      </w:r>
    </w:p>
    <w:p w:rsidR="00A53FF6" w:rsidRDefault="009C7593" w:rsidP="00A53FF6">
      <w:r w:rsidRPr="009C7593">
        <w:rPr>
          <w:lang w:val="en-US"/>
        </w:rPr>
        <w:t>Australia’s aid policy</w:t>
      </w:r>
      <w:r w:rsidR="00F7759A">
        <w:rPr>
          <w:lang w:val="en-US"/>
        </w:rPr>
        <w:t xml:space="preserve">, </w:t>
      </w:r>
      <w:r w:rsidRPr="009C7593">
        <w:rPr>
          <w:i/>
          <w:iCs/>
          <w:lang w:val="en-US"/>
        </w:rPr>
        <w:t>Australian aid: Promoting prosperity, reducing poverty, enhancing stability</w:t>
      </w:r>
      <w:r w:rsidR="00F7759A">
        <w:rPr>
          <w:lang w:val="en-US"/>
        </w:rPr>
        <w:t xml:space="preserve">, </w:t>
      </w:r>
      <w:r w:rsidRPr="009C7593">
        <w:rPr>
          <w:lang w:val="en-US"/>
        </w:rPr>
        <w:t>recognises climate change as part of the priority of ‘</w:t>
      </w:r>
      <w:r w:rsidR="00F7759A">
        <w:rPr>
          <w:lang w:val="en-US"/>
        </w:rPr>
        <w:t>b</w:t>
      </w:r>
      <w:r w:rsidRPr="009C7593">
        <w:rPr>
          <w:lang w:val="en-US"/>
        </w:rPr>
        <w:t xml:space="preserve">uilding </w:t>
      </w:r>
      <w:r w:rsidR="00F7759A">
        <w:rPr>
          <w:lang w:val="en-US"/>
        </w:rPr>
        <w:t>r</w:t>
      </w:r>
      <w:r w:rsidRPr="009C7593">
        <w:rPr>
          <w:lang w:val="en-US"/>
        </w:rPr>
        <w:t>esilience’. The policy affirms that Australia will work with countries and the private sector to promote effective DRR, build resilience to climate</w:t>
      </w:r>
      <w:r w:rsidR="00F7759A">
        <w:rPr>
          <w:lang w:val="en-US"/>
        </w:rPr>
        <w:t>-</w:t>
      </w:r>
      <w:r w:rsidRPr="009C7593">
        <w:rPr>
          <w:lang w:val="en-US"/>
        </w:rPr>
        <w:t xml:space="preserve"> and seismic-related shocks and manage the impacts </w:t>
      </w:r>
      <w:r w:rsidR="00CA7A94">
        <w:rPr>
          <w:lang w:val="en-US"/>
        </w:rPr>
        <w:t>of climate change on economies.</w:t>
      </w:r>
    </w:p>
    <w:p w:rsidR="00A53FF6" w:rsidRDefault="00A53FF6" w:rsidP="00A53FF6">
      <w:pPr>
        <w:pStyle w:val="Heading1"/>
      </w:pPr>
      <w:bookmarkStart w:id="36" w:name="_Toc315694469"/>
      <w:r>
        <w:t>Effectiveness of approaches</w:t>
      </w:r>
      <w:bookmarkEnd w:id="36"/>
    </w:p>
    <w:p w:rsidR="00A53FF6" w:rsidRPr="00A53FF6" w:rsidRDefault="00A53FF6" w:rsidP="00A53FF6">
      <w:pPr>
        <w:rPr>
          <w:i/>
        </w:rPr>
      </w:pPr>
      <w:r>
        <w:rPr>
          <w:b/>
          <w:i/>
        </w:rPr>
        <w:t xml:space="preserve">Headline question: </w:t>
      </w:r>
      <w:r w:rsidRPr="00A53FF6">
        <w:rPr>
          <w:i/>
        </w:rPr>
        <w:t>In terms of delivery approaches</w:t>
      </w:r>
      <w:r w:rsidR="005A0DA8">
        <w:rPr>
          <w:i/>
        </w:rPr>
        <w:t xml:space="preserve">, </w:t>
      </w:r>
      <w:r w:rsidRPr="00A53FF6">
        <w:rPr>
          <w:i/>
        </w:rPr>
        <w:t>what worked well and why; what didn’t work so well and why?</w:t>
      </w:r>
    </w:p>
    <w:p w:rsidR="00F542B3" w:rsidRDefault="00F542B3" w:rsidP="00A53FF6">
      <w:r>
        <w:t xml:space="preserve">The CBCCAG projects employed a range of approaches to deliver </w:t>
      </w:r>
      <w:r w:rsidR="005A0DA8">
        <w:t>CBA</w:t>
      </w:r>
      <w:r>
        <w:t xml:space="preserve"> and resilience building. There were many unique features but also a great deal of commonality, </w:t>
      </w:r>
      <w:r w:rsidR="0031172A">
        <w:t>partly</w:t>
      </w:r>
      <w:r>
        <w:t xml:space="preserve"> in response to guidance and direction provided by program managers at the </w:t>
      </w:r>
      <w:r w:rsidR="0031172A">
        <w:t>design phase. Collectively, the projects</w:t>
      </w:r>
      <w:r>
        <w:t xml:space="preserve"> provide</w:t>
      </w:r>
      <w:r w:rsidR="0031172A">
        <w:t>d</w:t>
      </w:r>
      <w:r>
        <w:t xml:space="preserve"> a solid body of evidence </w:t>
      </w:r>
      <w:r w:rsidR="0031172A">
        <w:t>for community</w:t>
      </w:r>
      <w:r w:rsidR="00F7759A">
        <w:t>-</w:t>
      </w:r>
      <w:r w:rsidR="0031172A">
        <w:t xml:space="preserve">based </w:t>
      </w:r>
      <w:r w:rsidR="006E2484">
        <w:t xml:space="preserve">climate change adaption </w:t>
      </w:r>
      <w:r w:rsidR="0031172A">
        <w:t xml:space="preserve">best practice </w:t>
      </w:r>
      <w:r>
        <w:t xml:space="preserve">and opportunities for consolidation in terms of what </w:t>
      </w:r>
      <w:r w:rsidR="00F7759A">
        <w:t xml:space="preserve">did and didn’t </w:t>
      </w:r>
      <w:r>
        <w:t>work well and why</w:t>
      </w:r>
      <w:r w:rsidR="00F7759A">
        <w:t>.</w:t>
      </w:r>
    </w:p>
    <w:p w:rsidR="00F542B3" w:rsidRDefault="001D77A6" w:rsidP="00A53FF6">
      <w:r>
        <w:rPr>
          <w:b/>
          <w:i/>
        </w:rPr>
        <w:t>Existing programs and relationships were developed</w:t>
      </w:r>
    </w:p>
    <w:p w:rsidR="00B018FC" w:rsidRDefault="00F542B3" w:rsidP="00A53FF6">
      <w:r>
        <w:t>The lead partners in CBCCAG</w:t>
      </w:r>
      <w:r w:rsidR="00431509">
        <w:t xml:space="preserve"> projects</w:t>
      </w:r>
      <w:r>
        <w:t xml:space="preserve"> took opportunities to build on long</w:t>
      </w:r>
      <w:r w:rsidR="00431509">
        <w:t>-</w:t>
      </w:r>
      <w:r>
        <w:t xml:space="preserve">established relationships </w:t>
      </w:r>
      <w:r w:rsidR="00866520">
        <w:t xml:space="preserve">with local partners </w:t>
      </w:r>
      <w:r>
        <w:t>and previous phases of related work</w:t>
      </w:r>
      <w:r w:rsidR="00866520">
        <w:t xml:space="preserve"> in the target areas</w:t>
      </w:r>
      <w:r>
        <w:t>. In some cases, they advanced to new locations, taking lessons and experiences to apply in other settings. In others, they built on previous planning exercise</w:t>
      </w:r>
      <w:r w:rsidR="00431509">
        <w:t>s</w:t>
      </w:r>
      <w:r>
        <w:t xml:space="preserve"> and vulnerability assessments to deepen the experience of </w:t>
      </w:r>
      <w:r w:rsidR="00866520">
        <w:t xml:space="preserve">partner </w:t>
      </w:r>
      <w:r>
        <w:t>communities and their engagement in resilience build</w:t>
      </w:r>
      <w:r w:rsidR="00866520">
        <w:t xml:space="preserve">ing. </w:t>
      </w:r>
    </w:p>
    <w:p w:rsidR="00866520" w:rsidRDefault="00866520" w:rsidP="00A53FF6">
      <w:r>
        <w:t>At a practical level, this</w:t>
      </w:r>
      <w:r w:rsidR="00F542B3">
        <w:t xml:space="preserve"> allowed key staff to be retained</w:t>
      </w:r>
      <w:r>
        <w:t>, lessons consolidated and methods refined. On the ground, it meant that there was continuity of effort and a greater depth of knowledge built, with positive outcomes for local partners and communities.</w:t>
      </w:r>
    </w:p>
    <w:p w:rsidR="00866520" w:rsidRDefault="001D77A6" w:rsidP="00A53FF6">
      <w:r>
        <w:rPr>
          <w:b/>
          <w:i/>
        </w:rPr>
        <w:t>Climate change was introduced</w:t>
      </w:r>
      <w:r w:rsidR="00866520">
        <w:rPr>
          <w:b/>
          <w:i/>
        </w:rPr>
        <w:t xml:space="preserve"> through a community development lens</w:t>
      </w:r>
    </w:p>
    <w:p w:rsidR="00493A69" w:rsidRDefault="00866520" w:rsidP="00A53FF6">
      <w:r>
        <w:t>Lead partners</w:t>
      </w:r>
      <w:r w:rsidR="00431509">
        <w:t>’</w:t>
      </w:r>
      <w:r>
        <w:t xml:space="preserve"> previous experience in all cases indicated that it is more effective to talk about climate change in the context of people’s lives and livelihoods than as a separate concept. The project designs strongly reflected this, focusing on issues such as water and food security, </w:t>
      </w:r>
      <w:r w:rsidR="00431509">
        <w:t xml:space="preserve">and </w:t>
      </w:r>
      <w:r>
        <w:t>WASH</w:t>
      </w:r>
      <w:r w:rsidR="00431509">
        <w:t xml:space="preserve">. They also </w:t>
      </w:r>
      <w:r>
        <w:t>introduc</w:t>
      </w:r>
      <w:r w:rsidR="00431509">
        <w:t>ed</w:t>
      </w:r>
      <w:r>
        <w:t xml:space="preserve"> technology and methods for more efficient</w:t>
      </w:r>
      <w:r w:rsidR="0046244D">
        <w:t>, diverse</w:t>
      </w:r>
      <w:r>
        <w:t xml:space="preserve"> and productive natural resource and ecosystems management that could reduce the sensitivity of livelihoods to weather and climate</w:t>
      </w:r>
      <w:r w:rsidR="004A3164">
        <w:t>. The solutions/options were</w:t>
      </w:r>
      <w:r w:rsidR="00D36723">
        <w:t xml:space="preserve"> to be </w:t>
      </w:r>
      <w:r>
        <w:t xml:space="preserve">based on planning that took </w:t>
      </w:r>
      <w:r w:rsidR="00F150D0">
        <w:t xml:space="preserve">account of projected trends, risks and vulnerabilities. </w:t>
      </w:r>
      <w:r w:rsidR="004A3164">
        <w:t>The projects</w:t>
      </w:r>
      <w:r w:rsidR="0046244D">
        <w:t xml:space="preserve"> also fostered traditional practices and in-buil</w:t>
      </w:r>
      <w:r w:rsidR="00493A69">
        <w:t>t sources of resilience:</w:t>
      </w:r>
    </w:p>
    <w:p w:rsidR="00BC54D0" w:rsidRDefault="00493A69" w:rsidP="00493A69">
      <w:pPr>
        <w:ind w:left="360"/>
      </w:pPr>
      <w:r>
        <w:rPr>
          <w:i/>
        </w:rPr>
        <w:t xml:space="preserve">‘Adaptation solutions are likely to be far more sustainable if they are grounded in a community’s own strengths and values.’ </w:t>
      </w:r>
      <w:r>
        <w:t>– Oxfam</w:t>
      </w:r>
      <w:r w:rsidR="00D91946">
        <w:t>, Vanuatu (case study)</w:t>
      </w:r>
      <w:r>
        <w:t xml:space="preserve"> </w:t>
      </w:r>
    </w:p>
    <w:p w:rsidR="00CA090D" w:rsidRDefault="00BC54D0" w:rsidP="00A53FF6">
      <w:r>
        <w:t xml:space="preserve">This approach was effective in getting people engaged and </w:t>
      </w:r>
      <w:r w:rsidR="004A3164">
        <w:t xml:space="preserve">it was </w:t>
      </w:r>
      <w:r>
        <w:t>responsive to local needs and priorities</w:t>
      </w:r>
      <w:r w:rsidR="00BD64B2">
        <w:t xml:space="preserve"> (</w:t>
      </w:r>
      <w:r w:rsidR="00BD64B2">
        <w:rPr>
          <w:i/>
        </w:rPr>
        <w:t>‘Everyone is interested in food</w:t>
      </w:r>
      <w:r w:rsidR="00E129A5">
        <w:rPr>
          <w:i/>
        </w:rPr>
        <w:t>.</w:t>
      </w:r>
      <w:r w:rsidR="00BD64B2">
        <w:rPr>
          <w:i/>
        </w:rPr>
        <w:t xml:space="preserve">’ </w:t>
      </w:r>
      <w:r w:rsidR="00BD64B2">
        <w:t xml:space="preserve">– </w:t>
      </w:r>
      <w:r w:rsidR="00D91946">
        <w:t>p</w:t>
      </w:r>
      <w:r w:rsidR="00BD64B2">
        <w:t>rogram partner). I</w:t>
      </w:r>
      <w:r w:rsidR="004A3164">
        <w:t xml:space="preserve">n come cases, it </w:t>
      </w:r>
      <w:r w:rsidR="00BD64B2">
        <w:t xml:space="preserve">proved more </w:t>
      </w:r>
      <w:r w:rsidR="004A3164">
        <w:t>effective</w:t>
      </w:r>
      <w:r w:rsidR="00BD64B2">
        <w:t xml:space="preserve"> than integration through a DRR lens (</w:t>
      </w:r>
      <w:r w:rsidR="00BD64B2">
        <w:rPr>
          <w:i/>
        </w:rPr>
        <w:t>‘DRR activities such as mangrove p</w:t>
      </w:r>
      <w:r w:rsidR="00AC454E">
        <w:rPr>
          <w:i/>
        </w:rPr>
        <w:t>lanting to secure shorelines were</w:t>
      </w:r>
      <w:r w:rsidR="00BD64B2">
        <w:rPr>
          <w:i/>
        </w:rPr>
        <w:t xml:space="preserve"> less relevant to people than improving food security</w:t>
      </w:r>
      <w:r w:rsidR="00D91946">
        <w:rPr>
          <w:i/>
        </w:rPr>
        <w:t>.</w:t>
      </w:r>
      <w:r w:rsidR="00BD64B2">
        <w:rPr>
          <w:i/>
        </w:rPr>
        <w:t xml:space="preserve">’ </w:t>
      </w:r>
      <w:r w:rsidR="00BD64B2">
        <w:t xml:space="preserve">– </w:t>
      </w:r>
      <w:r w:rsidR="00D91946">
        <w:t>p</w:t>
      </w:r>
      <w:r w:rsidR="00BD64B2">
        <w:t>rogram partner)</w:t>
      </w:r>
      <w:r w:rsidR="00357F3E">
        <w:t>. However, a</w:t>
      </w:r>
      <w:r w:rsidR="00BD64B2">
        <w:t xml:space="preserve"> DRR lens can provide a more direct link to funding streams for implementation</w:t>
      </w:r>
      <w:r w:rsidR="00D91946">
        <w:t xml:space="preserve">, for example </w:t>
      </w:r>
      <w:r w:rsidR="00BD64B2">
        <w:t xml:space="preserve">through </w:t>
      </w:r>
      <w:r w:rsidR="00357F3E">
        <w:t>DRR</w:t>
      </w:r>
      <w:r w:rsidR="00BD64B2">
        <w:t xml:space="preserve"> funds for local governments. </w:t>
      </w:r>
    </w:p>
    <w:p w:rsidR="00F542B3" w:rsidRPr="00BD64B2" w:rsidRDefault="00CA090D" w:rsidP="00A53FF6">
      <w:r>
        <w:t>The community development lens also allowed the science to be introduced in ways and forms that made sense to people</w:t>
      </w:r>
      <w:r w:rsidR="00357F3E">
        <w:t xml:space="preserve">, such as through </w:t>
      </w:r>
      <w:r>
        <w:t>seasonal forecasts for cropping</w:t>
      </w:r>
      <w:r w:rsidR="00357F3E">
        <w:t xml:space="preserve"> and</w:t>
      </w:r>
      <w:r>
        <w:t xml:space="preserve"> flood monitoring. This enabled communities to apply the new knowledge more effectively in activity to reduce risks</w:t>
      </w:r>
      <w:r w:rsidR="00357F3E">
        <w:t xml:space="preserve">, for example through </w:t>
      </w:r>
      <w:r>
        <w:t>drought</w:t>
      </w:r>
      <w:r w:rsidR="00357F3E">
        <w:t>-</w:t>
      </w:r>
      <w:r>
        <w:t>tolerant crops and water</w:t>
      </w:r>
      <w:r w:rsidR="00357F3E">
        <w:t>-</w:t>
      </w:r>
      <w:r>
        <w:t>efficient production systems</w:t>
      </w:r>
      <w:r w:rsidR="00357F3E">
        <w:t xml:space="preserve">, and </w:t>
      </w:r>
      <w:r>
        <w:t>ecosystem and natural resource management to sustain production</w:t>
      </w:r>
      <w:r w:rsidR="00357F3E">
        <w:t xml:space="preserve">. </w:t>
      </w:r>
    </w:p>
    <w:p w:rsidR="00AC454E" w:rsidRPr="00AC454E" w:rsidRDefault="00AC454E" w:rsidP="00AC454E">
      <w:r w:rsidRPr="00AC454E">
        <w:t xml:space="preserve">Evidence from across the program suggests that the value-add of bringing in climate change through </w:t>
      </w:r>
      <w:r>
        <w:t xml:space="preserve">a </w:t>
      </w:r>
      <w:r w:rsidRPr="00AC454E">
        <w:t>community development</w:t>
      </w:r>
      <w:r>
        <w:t xml:space="preserve"> lens</w:t>
      </w:r>
      <w:r w:rsidRPr="00AC454E">
        <w:t>, relative to business as usual, comes from a more informed community discussion a</w:t>
      </w:r>
      <w:r>
        <w:t>bout short</w:t>
      </w:r>
      <w:r w:rsidR="00357F3E">
        <w:t>-</w:t>
      </w:r>
      <w:r>
        <w:t xml:space="preserve"> and long</w:t>
      </w:r>
      <w:r w:rsidR="00357F3E">
        <w:t>-</w:t>
      </w:r>
      <w:r>
        <w:t>term</w:t>
      </w:r>
      <w:r w:rsidR="00357F3E">
        <w:t xml:space="preserve"> risks. </w:t>
      </w:r>
      <w:r w:rsidR="00E129A5">
        <w:t>I</w:t>
      </w:r>
      <w:r w:rsidR="00C81B41">
        <w:t>t strengthens</w:t>
      </w:r>
      <w:r>
        <w:t xml:space="preserve"> </w:t>
      </w:r>
      <w:r w:rsidRPr="00AC454E">
        <w:t xml:space="preserve">capacity to </w:t>
      </w:r>
      <w:r w:rsidR="004A3164">
        <w:t>identify</w:t>
      </w:r>
      <w:r w:rsidRPr="00AC454E">
        <w:t xml:space="preserve"> adaptive measures that increase resilience to climate change impacts and deliver short</w:t>
      </w:r>
      <w:r w:rsidR="00357F3E">
        <w:t>-</w:t>
      </w:r>
      <w:r w:rsidRPr="00AC454E">
        <w:t>term development benefits.</w:t>
      </w:r>
      <w:r w:rsidR="00C81B41">
        <w:t xml:space="preserve"> I</w:t>
      </w:r>
      <w:r w:rsidR="004A3164">
        <w:t xml:space="preserve">t </w:t>
      </w:r>
      <w:r w:rsidR="00C81B41">
        <w:t xml:space="preserve">also </w:t>
      </w:r>
      <w:r w:rsidR="004A3164">
        <w:t>contribute</w:t>
      </w:r>
      <w:r w:rsidR="00C81B41">
        <w:t>s</w:t>
      </w:r>
      <w:r w:rsidR="001C5AAE">
        <w:t xml:space="preserve"> to sustainable models of rural development.</w:t>
      </w:r>
    </w:p>
    <w:p w:rsidR="00F35630" w:rsidRDefault="001D77A6" w:rsidP="00A53FF6">
      <w:r>
        <w:rPr>
          <w:b/>
          <w:i/>
        </w:rPr>
        <w:t>The consortia approach added value</w:t>
      </w:r>
    </w:p>
    <w:p w:rsidR="00F35630" w:rsidRDefault="00F35630" w:rsidP="00A53FF6">
      <w:r>
        <w:t>The consortium approach built on established partnerships, adding value by providing access to a greater range of skills and resources, and providing geographic reach that would not otherwise have been possible. Although there were problems in coordinati</w:t>
      </w:r>
      <w:r w:rsidR="001226D1">
        <w:t>ng</w:t>
      </w:r>
      <w:r>
        <w:t xml:space="preserve"> a large number of partners</w:t>
      </w:r>
      <w:r w:rsidR="007D7584">
        <w:t xml:space="preserve"> and achieving equal partnerships</w:t>
      </w:r>
      <w:r>
        <w:t>, the benefits of the collaborations and sharing of common approaches were widely appreciated. The geographic reach enabled approaches</w:t>
      </w:r>
      <w:r w:rsidR="00E129A5">
        <w:t xml:space="preserve"> to be tested</w:t>
      </w:r>
      <w:r>
        <w:t xml:space="preserve"> in a range of settings, providing a rich evidence base from which a set of development models for community</w:t>
      </w:r>
      <w:r w:rsidR="00594A6F">
        <w:t>-</w:t>
      </w:r>
      <w:r>
        <w:t>based adaptation have begun to emerge:</w:t>
      </w:r>
    </w:p>
    <w:p w:rsidR="00F35630" w:rsidRDefault="00F35630" w:rsidP="00F35630">
      <w:pPr>
        <w:ind w:left="720"/>
      </w:pPr>
      <w:r>
        <w:rPr>
          <w:i/>
        </w:rPr>
        <w:t>‘The consortium was good for us to learn soil conservation and how to terrace, to discuss CCA and resilience, and also in cross-learning. It had its disadvantages as well – we need very good channels of communication to make sure everything is well coordinated across the different partners</w:t>
      </w:r>
      <w:r w:rsidR="00594A6F">
        <w:rPr>
          <w:i/>
        </w:rPr>
        <w:t xml:space="preserve"> –</w:t>
      </w:r>
      <w:r>
        <w:rPr>
          <w:i/>
        </w:rPr>
        <w:t xml:space="preserve"> that we’re all on the same page and using the same systems. </w:t>
      </w:r>
      <w:r w:rsidR="00594A6F">
        <w:rPr>
          <w:i/>
        </w:rPr>
        <w:t>[We] n</w:t>
      </w:r>
      <w:r>
        <w:rPr>
          <w:i/>
        </w:rPr>
        <w:t>eed access to information (e.g. technical) other than on leader website as in many areas there is no internet.’</w:t>
      </w:r>
      <w:r>
        <w:t xml:space="preserve"> </w:t>
      </w:r>
      <w:r w:rsidR="00594A6F">
        <w:t>–</w:t>
      </w:r>
      <w:r>
        <w:t xml:space="preserve"> </w:t>
      </w:r>
      <w:r w:rsidR="00594A6F">
        <w:t xml:space="preserve">implementation partner, </w:t>
      </w:r>
      <w:r>
        <w:t>Oxfam</w:t>
      </w:r>
      <w:r w:rsidR="00594A6F">
        <w:t>,</w:t>
      </w:r>
      <w:r>
        <w:t xml:space="preserve"> Timor</w:t>
      </w:r>
      <w:r w:rsidR="00594A6F">
        <w:t>–</w:t>
      </w:r>
      <w:r>
        <w:t>Leste</w:t>
      </w:r>
      <w:r w:rsidR="001D77A6">
        <w:t xml:space="preserve"> (interview)</w:t>
      </w:r>
      <w:r>
        <w:t xml:space="preserve"> </w:t>
      </w:r>
    </w:p>
    <w:p w:rsidR="00593E82" w:rsidRDefault="007D7584" w:rsidP="00A53FF6">
      <w:r>
        <w:t>The consortia</w:t>
      </w:r>
      <w:r w:rsidR="00F35630">
        <w:t xml:space="preserve"> </w:t>
      </w:r>
      <w:r>
        <w:t xml:space="preserve">also </w:t>
      </w:r>
      <w:r w:rsidR="00F35630">
        <w:t>enabled access to a range of technical expertise needed for introducing the climate change lens from within the lead agencies, partner governments and by engaging specialist experts. This expertise proved critical</w:t>
      </w:r>
      <w:r w:rsidR="008736BB">
        <w:t xml:space="preserve"> to informing choices about adaptive strategies and activities that are proportionate to the local risks</w:t>
      </w:r>
      <w:r w:rsidR="001226D1">
        <w:t>,</w:t>
      </w:r>
      <w:r w:rsidR="008736BB">
        <w:t xml:space="preserve"> effective in building resilience to climate change impacts</w:t>
      </w:r>
      <w:r w:rsidR="0091049B">
        <w:t xml:space="preserve"> </w:t>
      </w:r>
      <w:r w:rsidR="001226D1">
        <w:t>and</w:t>
      </w:r>
      <w:r w:rsidR="0091049B">
        <w:t xml:space="preserve"> deliver short-</w:t>
      </w:r>
      <w:r w:rsidR="008736BB">
        <w:t>term development benefits.</w:t>
      </w:r>
      <w:r w:rsidR="0091049B">
        <w:t xml:space="preserve"> </w:t>
      </w:r>
      <w:r w:rsidR="00593E82">
        <w:t xml:space="preserve">Lead partners added value by taking a role in advocacy through </w:t>
      </w:r>
      <w:r>
        <w:t>their</w:t>
      </w:r>
      <w:r w:rsidR="00593E82">
        <w:t xml:space="preserve"> connections with national networks and governments and international agencies.</w:t>
      </w:r>
    </w:p>
    <w:p w:rsidR="00F35630" w:rsidRPr="00F35630" w:rsidRDefault="0091049B" w:rsidP="00A53FF6">
      <w:r>
        <w:t>Once established, it is important that the consorti</w:t>
      </w:r>
      <w:r w:rsidR="007D7584">
        <w:t>um approach is</w:t>
      </w:r>
      <w:r>
        <w:t xml:space="preserve"> maintained to build on achievements across the partnerships, </w:t>
      </w:r>
      <w:r w:rsidR="00593E82">
        <w:t>increasingly</w:t>
      </w:r>
      <w:r>
        <w:t xml:space="preserve"> sh</w:t>
      </w:r>
      <w:r w:rsidR="00593E82">
        <w:t>are</w:t>
      </w:r>
      <w:r>
        <w:t xml:space="preserve"> knowledge and methods and gradually improve the governance model.</w:t>
      </w:r>
      <w:r w:rsidR="009C2293">
        <w:t xml:space="preserve"> Areas for strengthening include cross-partnership MEL</w:t>
      </w:r>
      <w:r w:rsidR="00B33B99">
        <w:t xml:space="preserve"> – </w:t>
      </w:r>
      <w:r w:rsidR="0045496A">
        <w:t>including mentoring, hosting and peer-to-peer</w:t>
      </w:r>
      <w:r w:rsidR="00B33B99">
        <w:t xml:space="preserve"> </w:t>
      </w:r>
      <w:r w:rsidR="0045496A">
        <w:t>exchanges</w:t>
      </w:r>
      <w:r w:rsidR="00B33B99">
        <w:t xml:space="preserve"> –</w:t>
      </w:r>
      <w:r w:rsidR="009C2293">
        <w:t xml:space="preserve"> and coordination of activities.</w:t>
      </w:r>
    </w:p>
    <w:p w:rsidR="00F35630" w:rsidRDefault="001D77A6" w:rsidP="00A53FF6">
      <w:pPr>
        <w:rPr>
          <w:b/>
          <w:i/>
        </w:rPr>
      </w:pPr>
      <w:r>
        <w:rPr>
          <w:b/>
          <w:i/>
        </w:rPr>
        <w:t>Local partner capacities were built but needs are ongoing</w:t>
      </w:r>
    </w:p>
    <w:p w:rsidR="00F35630" w:rsidRPr="00F35630" w:rsidRDefault="00A610A6" w:rsidP="00A53FF6">
      <w:r>
        <w:t>Building local partner capacities was a major strategy in most CBCCAG projects</w:t>
      </w:r>
      <w:r w:rsidR="00B33B99">
        <w:t>. This strategy sought</w:t>
      </w:r>
      <w:r>
        <w:t xml:space="preserve"> to help ensure ongoing engagement </w:t>
      </w:r>
      <w:r w:rsidR="00A978FF">
        <w:t xml:space="preserve">in resilience building, </w:t>
      </w:r>
      <w:r w:rsidR="00DC77FC">
        <w:t xml:space="preserve">secure </w:t>
      </w:r>
      <w:r w:rsidR="00A978FF">
        <w:t xml:space="preserve">the </w:t>
      </w:r>
      <w:r w:rsidR="00DC77FC">
        <w:t xml:space="preserve">sustainability of </w:t>
      </w:r>
      <w:r>
        <w:t>interventions and investment</w:t>
      </w:r>
      <w:r w:rsidR="00DC77FC">
        <w:t>,</w:t>
      </w:r>
      <w:r>
        <w:t xml:space="preserve"> </w:t>
      </w:r>
      <w:r w:rsidR="00A978FF">
        <w:t>strengthen local civil society and support local governance and ownership.</w:t>
      </w:r>
      <w:r w:rsidR="00593E82">
        <w:t xml:space="preserve"> </w:t>
      </w:r>
    </w:p>
    <w:p w:rsidR="00C81000" w:rsidRDefault="00D84317" w:rsidP="00A53FF6">
      <w:r>
        <w:t xml:space="preserve">It is clear that knowledge and skills </w:t>
      </w:r>
      <w:r w:rsidR="001D77A6">
        <w:t>were</w:t>
      </w:r>
      <w:r>
        <w:t xml:space="preserve"> built in local partner agencies, including in awareness of climate change, participatory/inclusive planning methods</w:t>
      </w:r>
      <w:r w:rsidR="00B33B99">
        <w:t>,</w:t>
      </w:r>
      <w:r>
        <w:t xml:space="preserve"> resilience building strategies and project and financial management. However, it is likely that the capacity</w:t>
      </w:r>
      <w:r w:rsidR="00B33B99">
        <w:t>-</w:t>
      </w:r>
      <w:r>
        <w:t>building needs of many local partners will be ongoing for some time to come. In the meantime, they are likely to continue to benefit at some level from the networks and connections established with CBCCAG partners.</w:t>
      </w:r>
    </w:p>
    <w:p w:rsidR="00C81000" w:rsidRDefault="001D77A6" w:rsidP="00A53FF6">
      <w:r>
        <w:rPr>
          <w:b/>
          <w:i/>
        </w:rPr>
        <w:t>More work is needed to engage government</w:t>
      </w:r>
    </w:p>
    <w:p w:rsidR="00C81000" w:rsidRDefault="00C81000" w:rsidP="00A53FF6">
      <w:r>
        <w:t>All lead partners recognised the need to engage with government, especially locally, to connect local partners and communities with ongoing technical expertise and support for planning and implementation of resilience</w:t>
      </w:r>
      <w:r w:rsidR="00B33B99">
        <w:t>-</w:t>
      </w:r>
      <w:r>
        <w:t>building activities. Various mechanisms were employed to engage government in project activities, including through formal working groups and committees. Success has been varied, with many instances of local government officials being supportive but not able to offer resources</w:t>
      </w:r>
      <w:r w:rsidR="00B33B99">
        <w:t>. This was</w:t>
      </w:r>
      <w:r>
        <w:t xml:space="preserve"> largely due to the low </w:t>
      </w:r>
      <w:r w:rsidR="000D751C">
        <w:t>capacitie</w:t>
      </w:r>
      <w:r>
        <w:t>s in many project locations and the lack of access to technical skills and resources for community development and climate change.</w:t>
      </w:r>
    </w:p>
    <w:p w:rsidR="00227DAB" w:rsidRDefault="00C81000" w:rsidP="00A53FF6">
      <w:r>
        <w:t>For some</w:t>
      </w:r>
      <w:r w:rsidR="00227DAB">
        <w:t xml:space="preserve"> project teams</w:t>
      </w:r>
      <w:r>
        <w:t xml:space="preserve">, opportunities arose to engage with mainstream </w:t>
      </w:r>
      <w:r w:rsidR="00DF4F43">
        <w:t xml:space="preserve">local government </w:t>
      </w:r>
      <w:r>
        <w:t>community development processes</w:t>
      </w:r>
      <w:r w:rsidR="005A7819">
        <w:t>. This</w:t>
      </w:r>
      <w:r>
        <w:t xml:space="preserve"> beg</w:t>
      </w:r>
      <w:r w:rsidR="005A7819">
        <w:t>an</w:t>
      </w:r>
      <w:r>
        <w:t xml:space="preserve"> the task of bringing community concerns about the risks of climate change to government planners. However, the climate change adaptation planning mechanisms at local government level generally are dis</w:t>
      </w:r>
      <w:r w:rsidR="00DF4F43">
        <w:t xml:space="preserve">connected from mainstream </w:t>
      </w:r>
      <w:r>
        <w:t xml:space="preserve">budgets, making it difficult for the project partners to link with funding streams for implementation. Even accessing dedicated funds (such as </w:t>
      </w:r>
      <w:r w:rsidR="000E0EF6">
        <w:t>DRR</w:t>
      </w:r>
      <w:r>
        <w:t xml:space="preserve"> funds) proved difficult.</w:t>
      </w:r>
    </w:p>
    <w:p w:rsidR="00A53FF6" w:rsidRPr="00C81000" w:rsidRDefault="00227DAB" w:rsidP="00A53FF6">
      <w:r>
        <w:t xml:space="preserve">Overall, there is much work to be done to build engagement between </w:t>
      </w:r>
      <w:r w:rsidR="000E0EF6">
        <w:t xml:space="preserve">local </w:t>
      </w:r>
      <w:r>
        <w:t>civil society groups working in climate change adaptation and resilience building and local governments</w:t>
      </w:r>
      <w:r w:rsidR="000E0EF6">
        <w:t xml:space="preserve"> in order</w:t>
      </w:r>
      <w:r>
        <w:t xml:space="preserve"> to access resources and ongoing support for communities. </w:t>
      </w:r>
      <w:r w:rsidR="000E0EF6">
        <w:t>I</w:t>
      </w:r>
      <w:r>
        <w:t>n the meantime, there is a</w:t>
      </w:r>
      <w:r w:rsidR="005A7819">
        <w:t>n</w:t>
      </w:r>
      <w:r>
        <w:t xml:space="preserve"> important brokering role for civil society groups to play </w:t>
      </w:r>
      <w:r w:rsidR="005A7819">
        <w:t>in</w:t>
      </w:r>
      <w:r>
        <w:t xml:space="preserve"> </w:t>
      </w:r>
      <w:r w:rsidR="00805068">
        <w:t>facilitat</w:t>
      </w:r>
      <w:r w:rsidR="005A7819">
        <w:t>ing</w:t>
      </w:r>
      <w:r>
        <w:t xml:space="preserve"> the voice</w:t>
      </w:r>
      <w:r w:rsidR="005A7819">
        <w:t>s</w:t>
      </w:r>
      <w:r>
        <w:t xml:space="preserve"> of communities </w:t>
      </w:r>
      <w:r w:rsidR="00805068">
        <w:t>and advocat</w:t>
      </w:r>
      <w:r w:rsidR="005A7819">
        <w:t>ing</w:t>
      </w:r>
      <w:r w:rsidR="00805068">
        <w:t xml:space="preserve"> for their needs and priorities</w:t>
      </w:r>
      <w:r>
        <w:t>.</w:t>
      </w:r>
    </w:p>
    <w:p w:rsidR="00A53FF6" w:rsidRDefault="00A53FF6" w:rsidP="00A53FF6">
      <w:pPr>
        <w:pStyle w:val="Heading1"/>
      </w:pPr>
      <w:bookmarkStart w:id="37" w:name="_Toc315694470"/>
      <w:r>
        <w:t>Efficiency of approaches</w:t>
      </w:r>
      <w:bookmarkEnd w:id="37"/>
    </w:p>
    <w:p w:rsidR="00CF19DF" w:rsidRDefault="00A53FF6" w:rsidP="00A53FF6">
      <w:r>
        <w:rPr>
          <w:b/>
          <w:i/>
        </w:rPr>
        <w:t xml:space="preserve">Headline question: </w:t>
      </w:r>
      <w:r w:rsidRPr="00700B71">
        <w:rPr>
          <w:i/>
        </w:rPr>
        <w:t xml:space="preserve">Are </w:t>
      </w:r>
      <w:r w:rsidR="000B3AA3">
        <w:rPr>
          <w:i/>
        </w:rPr>
        <w:t>CBA</w:t>
      </w:r>
      <w:r w:rsidRPr="00700B71">
        <w:rPr>
          <w:i/>
        </w:rPr>
        <w:t xml:space="preserve"> programs an efficient use of funding?</w:t>
      </w:r>
      <w:r>
        <w:t xml:space="preserve"> </w:t>
      </w:r>
      <w:r w:rsidRPr="00700B71">
        <w:rPr>
          <w:i/>
        </w:rPr>
        <w:t>Could the outcomes have been achieved with fewer resources</w:t>
      </w:r>
      <w:r w:rsidR="00F41DFA">
        <w:rPr>
          <w:i/>
        </w:rPr>
        <w:t>? H</w:t>
      </w:r>
      <w:r w:rsidRPr="00700B71">
        <w:rPr>
          <w:i/>
        </w:rPr>
        <w:t>ow?</w:t>
      </w:r>
    </w:p>
    <w:p w:rsidR="00155A0D" w:rsidRDefault="00155A0D" w:rsidP="00A53FF6">
      <w:r>
        <w:t>Project reports and evaluations indicate that</w:t>
      </w:r>
      <w:r w:rsidR="00505833">
        <w:t>,</w:t>
      </w:r>
      <w:r>
        <w:t xml:space="preserve"> </w:t>
      </w:r>
      <w:r w:rsidR="00B018FC">
        <w:t>in general</w:t>
      </w:r>
      <w:r>
        <w:t xml:space="preserve">, the approaches employed by the lead partners were efficient in delivering the outcomes, acknowledging that </w:t>
      </w:r>
      <w:r w:rsidR="00505833">
        <w:t>CBA</w:t>
      </w:r>
      <w:r>
        <w:t xml:space="preserve"> is by its nature costl</w:t>
      </w:r>
      <w:r w:rsidR="00505833">
        <w:t xml:space="preserve">y given the </w:t>
      </w:r>
      <w:r w:rsidR="002E2ADD">
        <w:t>remote, vulnerable communities</w:t>
      </w:r>
      <w:r w:rsidR="00505833">
        <w:t xml:space="preserve"> involved</w:t>
      </w:r>
      <w:r w:rsidR="002E2ADD">
        <w:t>, transport and logistics challenges and low capacities and resources</w:t>
      </w:r>
      <w:r>
        <w:t>.</w:t>
      </w:r>
      <w:r w:rsidR="003020F5">
        <w:t xml:space="preserve"> </w:t>
      </w:r>
      <w:r w:rsidR="00301CB9">
        <w:t xml:space="preserve">Budgets were for the most part expended according to annual plans. </w:t>
      </w:r>
      <w:r w:rsidR="0030400E">
        <w:t>Implementing partners appreciated t</w:t>
      </w:r>
      <w:r w:rsidR="00301CB9">
        <w:t>he flexibility of program managers</w:t>
      </w:r>
      <w:r w:rsidR="0030400E">
        <w:t xml:space="preserve"> who</w:t>
      </w:r>
      <w:r w:rsidR="00301CB9">
        <w:t xml:space="preserve"> allow</w:t>
      </w:r>
      <w:r w:rsidR="0030400E">
        <w:t>ed</w:t>
      </w:r>
      <w:r w:rsidR="00301CB9">
        <w:t xml:space="preserve"> no-cost extensions </w:t>
      </w:r>
      <w:r w:rsidR="00E62D38">
        <w:t>when</w:t>
      </w:r>
      <w:r w:rsidR="00301CB9">
        <w:t xml:space="preserve"> unforseen events such as natural disasters significantly delayed project schedules, a</w:t>
      </w:r>
      <w:r w:rsidR="00CF19DF">
        <w:t>s well as</w:t>
      </w:r>
      <w:r w:rsidR="00301CB9">
        <w:t xml:space="preserve"> the responsiveness of project teams in these situations.</w:t>
      </w:r>
    </w:p>
    <w:p w:rsidR="008B3FC5" w:rsidRDefault="00155A0D" w:rsidP="00A53FF6">
      <w:r>
        <w:t>The consortium approach provided an efficient governance structure</w:t>
      </w:r>
      <w:r w:rsidR="0030400E">
        <w:t>.</w:t>
      </w:r>
      <w:r>
        <w:t xml:space="preserve"> </w:t>
      </w:r>
      <w:r w:rsidR="0030400E">
        <w:t>E</w:t>
      </w:r>
      <w:r>
        <w:t>xperience</w:t>
      </w:r>
      <w:r w:rsidR="0030400E">
        <w:t>d</w:t>
      </w:r>
      <w:r>
        <w:t>, high</w:t>
      </w:r>
      <w:r w:rsidR="0030400E">
        <w:t>-</w:t>
      </w:r>
      <w:r>
        <w:t>capacity lead partners provid</w:t>
      </w:r>
      <w:r w:rsidR="0030400E">
        <w:t>ed</w:t>
      </w:r>
      <w:r>
        <w:t xml:space="preserve"> project management and administrative support and liaison with </w:t>
      </w:r>
      <w:r w:rsidR="0030400E">
        <w:t xml:space="preserve">DFAT </w:t>
      </w:r>
      <w:r>
        <w:t xml:space="preserve">program managers, enabling local partners to get on with capacity building, planning and </w:t>
      </w:r>
      <w:r w:rsidR="00BD118F">
        <w:t xml:space="preserve">local </w:t>
      </w:r>
      <w:r>
        <w:t xml:space="preserve">activities. </w:t>
      </w:r>
      <w:r w:rsidR="00C74D48">
        <w:t>Some</w:t>
      </w:r>
      <w:r>
        <w:t xml:space="preserve"> lead partners also built capacities of local partners to prepare project proposals and manage projects and finances to enable them to access other sources of funds.</w:t>
      </w:r>
      <w:r w:rsidR="001C5AAE">
        <w:t xml:space="preserve"> </w:t>
      </w:r>
      <w:r w:rsidR="003020F5">
        <w:t>Building capacities in project management locally will also help over</w:t>
      </w:r>
      <w:r w:rsidR="00ED64A9">
        <w:t xml:space="preserve"> </w:t>
      </w:r>
      <w:r w:rsidR="003020F5">
        <w:t>time to resolve minor issues of fraud.</w:t>
      </w:r>
      <w:r w:rsidR="008B3FC5">
        <w:t xml:space="preserve"> Investment in local capacities overall</w:t>
      </w:r>
      <w:r w:rsidR="00BD118F">
        <w:t xml:space="preserve"> </w:t>
      </w:r>
      <w:r w:rsidR="008B3FC5">
        <w:t>is judged by the project teams to be paying off despite the upfront costs.</w:t>
      </w:r>
    </w:p>
    <w:p w:rsidR="00A53FF6" w:rsidRDefault="008B3FC5" w:rsidP="00A53FF6">
      <w:r>
        <w:t>The partnerships enabled efficie</w:t>
      </w:r>
      <w:r w:rsidR="00BD118F">
        <w:t xml:space="preserve">nt </w:t>
      </w:r>
      <w:r>
        <w:t xml:space="preserve">sharing of resources, skills and approaches, and the networks helped to avoid duplication of effort </w:t>
      </w:r>
      <w:r w:rsidR="00BD118F">
        <w:t>in-country</w:t>
      </w:r>
      <w:r>
        <w:t>. One downside is that it took time to get the partnerships up and running in the early stages of the projects. This was not such an issue in projects that built on existing, long</w:t>
      </w:r>
      <w:r w:rsidR="00BD118F">
        <w:t>-</w:t>
      </w:r>
      <w:r>
        <w:t xml:space="preserve">established and like-minded partnerships. </w:t>
      </w:r>
    </w:p>
    <w:p w:rsidR="00A53FF6" w:rsidRDefault="00A53FF6" w:rsidP="00A53FF6">
      <w:pPr>
        <w:pStyle w:val="Heading1"/>
      </w:pPr>
      <w:bookmarkStart w:id="38" w:name="_Toc315694471"/>
      <w:r>
        <w:t>Inclusive development</w:t>
      </w:r>
      <w:bookmarkEnd w:id="38"/>
    </w:p>
    <w:p w:rsidR="009075A2" w:rsidRDefault="00A53FF6" w:rsidP="00A53FF6">
      <w:r>
        <w:rPr>
          <w:b/>
          <w:i/>
        </w:rPr>
        <w:t xml:space="preserve">Headline question: </w:t>
      </w:r>
      <w:r w:rsidRPr="00890818">
        <w:rPr>
          <w:i/>
        </w:rPr>
        <w:t xml:space="preserve">What strategies </w:t>
      </w:r>
      <w:r>
        <w:rPr>
          <w:i/>
        </w:rPr>
        <w:t>were</w:t>
      </w:r>
      <w:r w:rsidRPr="00890818">
        <w:rPr>
          <w:i/>
        </w:rPr>
        <w:t xml:space="preserve"> empl</w:t>
      </w:r>
      <w:r>
        <w:rPr>
          <w:i/>
        </w:rPr>
        <w:t>oyed</w:t>
      </w:r>
      <w:r w:rsidRPr="00890818">
        <w:rPr>
          <w:i/>
        </w:rPr>
        <w:t xml:space="preserve"> to ensure that marginalised members of the community, </w:t>
      </w:r>
      <w:r w:rsidR="00A80A55">
        <w:rPr>
          <w:i/>
        </w:rPr>
        <w:t xml:space="preserve">including </w:t>
      </w:r>
      <w:r w:rsidRPr="00890818">
        <w:rPr>
          <w:i/>
        </w:rPr>
        <w:t>women and girls, and people with disabilities were included in project activities and can benefit from the outcomes?</w:t>
      </w:r>
    </w:p>
    <w:p w:rsidR="007401E6" w:rsidRDefault="009075A2" w:rsidP="00A53FF6">
      <w:r>
        <w:t xml:space="preserve">The project partners drew on past experience in the project locations to enable an inclusive approach and equality of access to the benefits of project activities. All projects employed participatory planning models, providing the foundation for wide community engagement. </w:t>
      </w:r>
      <w:r w:rsidR="007401E6">
        <w:t>These approaches offered benefits over working through traditional structures</w:t>
      </w:r>
      <w:r w:rsidR="00983DD3">
        <w:t xml:space="preserve">, </w:t>
      </w:r>
      <w:r w:rsidR="007401E6">
        <w:t>such as working through chiefs to encourage participation.</w:t>
      </w:r>
    </w:p>
    <w:p w:rsidR="009075A2" w:rsidRPr="00A75906" w:rsidRDefault="009075A2" w:rsidP="00A53FF6">
      <w:pPr>
        <w:rPr>
          <w:lang w:val="en-US"/>
        </w:rPr>
      </w:pPr>
      <w:r>
        <w:t xml:space="preserve">Some </w:t>
      </w:r>
      <w:r w:rsidR="007401E6">
        <w:t xml:space="preserve">projects </w:t>
      </w:r>
      <w:r>
        <w:t>facilitated separate discussions for different groups (women, men and youth)</w:t>
      </w:r>
      <w:r w:rsidR="00A75906">
        <w:t xml:space="preserve">, allowing </w:t>
      </w:r>
      <w:r w:rsidR="00A75906">
        <w:rPr>
          <w:lang w:val="en-US"/>
        </w:rPr>
        <w:t xml:space="preserve">the </w:t>
      </w:r>
      <w:r w:rsidR="00C74D48">
        <w:rPr>
          <w:lang w:val="en-US"/>
        </w:rPr>
        <w:t>range of</w:t>
      </w:r>
      <w:r w:rsidR="00A75906">
        <w:rPr>
          <w:lang w:val="en-US"/>
        </w:rPr>
        <w:t xml:space="preserve"> perspectives of women and men to emerge</w:t>
      </w:r>
      <w:r w:rsidR="00983DD3">
        <w:rPr>
          <w:lang w:val="en-US"/>
        </w:rPr>
        <w:t xml:space="preserve">. For example, </w:t>
      </w:r>
      <w:r w:rsidR="00A75906">
        <w:rPr>
          <w:lang w:val="en-US"/>
        </w:rPr>
        <w:t>to reduce slash and burn, women favo</w:t>
      </w:r>
      <w:r w:rsidR="00983DD3">
        <w:rPr>
          <w:lang w:val="en-US"/>
        </w:rPr>
        <w:t>u</w:t>
      </w:r>
      <w:r w:rsidR="00A75906">
        <w:rPr>
          <w:lang w:val="en-US"/>
        </w:rPr>
        <w:t xml:space="preserve">red formal regulation while men opted for education and awareness and local jurisdiction </w:t>
      </w:r>
      <w:r w:rsidR="00983DD3">
        <w:rPr>
          <w:lang w:val="en-US"/>
        </w:rPr>
        <w:t>(</w:t>
      </w:r>
      <w:r w:rsidR="00A75906">
        <w:rPr>
          <w:lang w:val="en-US"/>
        </w:rPr>
        <w:t>CARE</w:t>
      </w:r>
      <w:r w:rsidR="00983DD3">
        <w:rPr>
          <w:lang w:val="en-US"/>
        </w:rPr>
        <w:t xml:space="preserve">, </w:t>
      </w:r>
      <w:r w:rsidR="00A75906">
        <w:rPr>
          <w:lang w:val="en-US"/>
        </w:rPr>
        <w:t>Timor</w:t>
      </w:r>
      <w:r w:rsidR="00983DD3">
        <w:rPr>
          <w:lang w:val="en-US"/>
        </w:rPr>
        <w:t>-</w:t>
      </w:r>
      <w:r w:rsidR="00A75906">
        <w:rPr>
          <w:lang w:val="en-US"/>
        </w:rPr>
        <w:t xml:space="preserve">Leste). </w:t>
      </w:r>
      <w:r>
        <w:t>Others provided specific meeting facilities away from traditional meeting places, where women could feel more comfortable. As a result, the projects mostly reported strong participation of women in project activities (</w:t>
      </w:r>
      <w:r>
        <w:rPr>
          <w:i/>
        </w:rPr>
        <w:t>‘There are at least as many women and girls in high</w:t>
      </w:r>
      <w:r w:rsidR="00983DD3">
        <w:rPr>
          <w:i/>
        </w:rPr>
        <w:t>-</w:t>
      </w:r>
      <w:r>
        <w:rPr>
          <w:i/>
        </w:rPr>
        <w:t xml:space="preserve">profile project roles as men and boys.’ </w:t>
      </w:r>
      <w:r>
        <w:t xml:space="preserve">– </w:t>
      </w:r>
      <w:r w:rsidR="000B3AA3">
        <w:t>p</w:t>
      </w:r>
      <w:r>
        <w:t>rogram partner, Plan/SCI</w:t>
      </w:r>
      <w:r w:rsidR="000B3AA3">
        <w:t>,</w:t>
      </w:r>
      <w:r>
        <w:t xml:space="preserve"> Philippines).</w:t>
      </w:r>
    </w:p>
    <w:p w:rsidR="0064543F" w:rsidRDefault="009075A2" w:rsidP="009075A2">
      <w:r>
        <w:t>In some projects, activities were designed around women’s roles to ensure their inclusion as beneficiaries</w:t>
      </w:r>
      <w:r w:rsidR="00C74D48">
        <w:t xml:space="preserve">. For example, kitchen gardens </w:t>
      </w:r>
      <w:r>
        <w:t>benefited women who are the primary managers of family nutrition and manage the finances from sale of surplus vegetables. Household water supplies and sanitation facilities reduced the demands on women for water collection, and provid</w:t>
      </w:r>
      <w:r w:rsidR="0064543F">
        <w:t>ed health benefits for families.</w:t>
      </w:r>
    </w:p>
    <w:p w:rsidR="009075A2" w:rsidRDefault="009075A2" w:rsidP="00A53FF6">
      <w:r>
        <w:t>Women’s economic leadership was a focus from the beginning of some projects. Their engagement as leaders in savings and loans groups</w:t>
      </w:r>
      <w:r w:rsidR="00983DD3">
        <w:t>,</w:t>
      </w:r>
      <w:r>
        <w:t xml:space="preserve"> for example, gave them access to resources and finance to mange during crises but also for profit in good times:</w:t>
      </w:r>
    </w:p>
    <w:p w:rsidR="009075A2" w:rsidRDefault="009075A2" w:rsidP="009075A2">
      <w:pPr>
        <w:ind w:left="720"/>
        <w:rPr>
          <w:lang w:val="en-US"/>
        </w:rPr>
      </w:pPr>
      <w:r w:rsidRPr="00B10D24">
        <w:rPr>
          <w:lang w:val="en-US"/>
        </w:rPr>
        <w:t>‘</w:t>
      </w:r>
      <w:r w:rsidRPr="00B10D24">
        <w:rPr>
          <w:i/>
          <w:lang w:val="en-US"/>
        </w:rPr>
        <w:t>It has helped members through thick and thin, particularly during hardship such as disasters</w:t>
      </w:r>
      <w:r w:rsidR="00983DD3">
        <w:rPr>
          <w:i/>
          <w:lang w:val="en-US"/>
        </w:rPr>
        <w:t>.</w:t>
      </w:r>
      <w:r w:rsidRPr="00B10D24">
        <w:rPr>
          <w:i/>
          <w:lang w:val="en-US"/>
        </w:rPr>
        <w:t>’</w:t>
      </w:r>
      <w:r w:rsidRPr="00B10D24">
        <w:rPr>
          <w:lang w:val="en-US"/>
        </w:rPr>
        <w:t xml:space="preserve"> – </w:t>
      </w:r>
      <w:r w:rsidR="000B3AA3">
        <w:rPr>
          <w:lang w:val="en-US"/>
        </w:rPr>
        <w:t>i</w:t>
      </w:r>
      <w:r>
        <w:rPr>
          <w:lang w:val="en-US"/>
        </w:rPr>
        <w:t>nitiator</w:t>
      </w:r>
      <w:r w:rsidRPr="00B10D24">
        <w:rPr>
          <w:lang w:val="en-US"/>
        </w:rPr>
        <w:t xml:space="preserve"> of </w:t>
      </w:r>
      <w:r>
        <w:rPr>
          <w:lang w:val="en-US"/>
        </w:rPr>
        <w:t xml:space="preserve">savings </w:t>
      </w:r>
      <w:r w:rsidRPr="00B10D24">
        <w:rPr>
          <w:lang w:val="en-US"/>
        </w:rPr>
        <w:t xml:space="preserve">project in Barangay Hangi, </w:t>
      </w:r>
      <w:r w:rsidRPr="00555982">
        <w:rPr>
          <w:lang w:val="en-US"/>
        </w:rPr>
        <w:t xml:space="preserve">Las Navas, </w:t>
      </w:r>
      <w:r w:rsidRPr="00B10D24">
        <w:rPr>
          <w:lang w:val="en-US"/>
        </w:rPr>
        <w:t>Northern Samar</w:t>
      </w:r>
      <w:r w:rsidR="00983DD3">
        <w:rPr>
          <w:lang w:val="en-US"/>
        </w:rPr>
        <w:t xml:space="preserve"> </w:t>
      </w:r>
      <w:r>
        <w:rPr>
          <w:lang w:val="en-US"/>
        </w:rPr>
        <w:t>– Plan/SCI</w:t>
      </w:r>
      <w:r w:rsidR="000B3AA3">
        <w:rPr>
          <w:lang w:val="en-US"/>
        </w:rPr>
        <w:t>, Philippines (</w:t>
      </w:r>
      <w:r>
        <w:rPr>
          <w:lang w:val="en-US"/>
        </w:rPr>
        <w:t>case study</w:t>
      </w:r>
      <w:r w:rsidR="000B3AA3">
        <w:rPr>
          <w:lang w:val="en-US"/>
        </w:rPr>
        <w:t>)</w:t>
      </w:r>
    </w:p>
    <w:p w:rsidR="0064543F" w:rsidRDefault="00A75906" w:rsidP="009075A2">
      <w:pPr>
        <w:rPr>
          <w:lang w:val="en-US"/>
        </w:rPr>
      </w:pPr>
      <w:r>
        <w:rPr>
          <w:lang w:val="en-US"/>
        </w:rPr>
        <w:t>Women were also represented in leadership roles on groups and committees</w:t>
      </w:r>
      <w:r w:rsidR="00983DD3">
        <w:rPr>
          <w:lang w:val="en-US"/>
        </w:rPr>
        <w:t>. Examples includ</w:t>
      </w:r>
      <w:r w:rsidR="009E12EF">
        <w:rPr>
          <w:lang w:val="en-US"/>
        </w:rPr>
        <w:t>e</w:t>
      </w:r>
      <w:r>
        <w:rPr>
          <w:lang w:val="en-US"/>
        </w:rPr>
        <w:t xml:space="preserve"> Community Disaster Committees</w:t>
      </w:r>
      <w:r w:rsidR="00983DD3">
        <w:rPr>
          <w:lang w:val="en-US"/>
        </w:rPr>
        <w:t xml:space="preserve"> (</w:t>
      </w:r>
      <w:r>
        <w:rPr>
          <w:lang w:val="en-US"/>
        </w:rPr>
        <w:t>Oxfam</w:t>
      </w:r>
      <w:r w:rsidR="00983DD3">
        <w:rPr>
          <w:lang w:val="en-US"/>
        </w:rPr>
        <w:t>,</w:t>
      </w:r>
      <w:r>
        <w:rPr>
          <w:lang w:val="en-US"/>
        </w:rPr>
        <w:t xml:space="preserve"> Vanuatu</w:t>
      </w:r>
      <w:r w:rsidR="00983DD3">
        <w:rPr>
          <w:lang w:val="en-US"/>
        </w:rPr>
        <w:t>),</w:t>
      </w:r>
      <w:r>
        <w:rPr>
          <w:lang w:val="en-US"/>
        </w:rPr>
        <w:t xml:space="preserve"> Community Facilitators Network </w:t>
      </w:r>
      <w:r w:rsidR="00983DD3">
        <w:rPr>
          <w:lang w:val="en-US"/>
        </w:rPr>
        <w:t>(</w:t>
      </w:r>
      <w:r>
        <w:rPr>
          <w:lang w:val="en-US"/>
        </w:rPr>
        <w:t>TNC</w:t>
      </w:r>
      <w:r w:rsidR="00983DD3">
        <w:rPr>
          <w:lang w:val="en-US"/>
        </w:rPr>
        <w:t>),</w:t>
      </w:r>
      <w:r>
        <w:rPr>
          <w:lang w:val="en-US"/>
        </w:rPr>
        <w:t xml:space="preserve"> Core Groups</w:t>
      </w:r>
      <w:r w:rsidR="00983DD3">
        <w:rPr>
          <w:lang w:val="en-US"/>
        </w:rPr>
        <w:t xml:space="preserve"> (</w:t>
      </w:r>
      <w:r>
        <w:rPr>
          <w:lang w:val="en-US"/>
        </w:rPr>
        <w:t>CARE</w:t>
      </w:r>
      <w:r w:rsidR="00983DD3">
        <w:rPr>
          <w:lang w:val="en-US"/>
        </w:rPr>
        <w:t>,</w:t>
      </w:r>
      <w:r>
        <w:rPr>
          <w:lang w:val="en-US"/>
        </w:rPr>
        <w:t xml:space="preserve"> PNG</w:t>
      </w:r>
      <w:r w:rsidR="00983DD3">
        <w:rPr>
          <w:lang w:val="en-US"/>
        </w:rPr>
        <w:t>) and</w:t>
      </w:r>
      <w:r>
        <w:rPr>
          <w:lang w:val="en-US"/>
        </w:rPr>
        <w:t xml:space="preserve"> water management and farmer groups</w:t>
      </w:r>
      <w:r w:rsidR="00983DD3">
        <w:rPr>
          <w:lang w:val="en-US"/>
        </w:rPr>
        <w:t xml:space="preserve"> (</w:t>
      </w:r>
      <w:r>
        <w:rPr>
          <w:lang w:val="en-US"/>
        </w:rPr>
        <w:t>CARE</w:t>
      </w:r>
      <w:r w:rsidR="000B3AA3">
        <w:rPr>
          <w:lang w:val="en-US"/>
        </w:rPr>
        <w:t xml:space="preserve">, </w:t>
      </w:r>
      <w:r>
        <w:rPr>
          <w:lang w:val="en-US"/>
        </w:rPr>
        <w:t>Timor</w:t>
      </w:r>
      <w:r w:rsidR="000B3AA3">
        <w:rPr>
          <w:lang w:val="en-US"/>
        </w:rPr>
        <w:t>-</w:t>
      </w:r>
      <w:r>
        <w:rPr>
          <w:lang w:val="en-US"/>
        </w:rPr>
        <w:t xml:space="preserve">Leste). Their participation and leadership were reported to </w:t>
      </w:r>
      <w:r w:rsidR="00C74D48">
        <w:rPr>
          <w:lang w:val="en-US"/>
        </w:rPr>
        <w:t>engender</w:t>
      </w:r>
      <w:r>
        <w:rPr>
          <w:lang w:val="en-US"/>
        </w:rPr>
        <w:t xml:space="preserve"> respect within communities for their knowledge and </w:t>
      </w:r>
      <w:r w:rsidR="00C74D48">
        <w:rPr>
          <w:lang w:val="en-US"/>
        </w:rPr>
        <w:t>skills</w:t>
      </w:r>
      <w:r>
        <w:rPr>
          <w:lang w:val="en-US"/>
        </w:rPr>
        <w:t>, which was empowering. Some projects reported that decision-making power had shifted in communities as a result</w:t>
      </w:r>
      <w:r w:rsidR="009E12EF">
        <w:rPr>
          <w:lang w:val="en-US"/>
        </w:rPr>
        <w:t xml:space="preserve">. For example, </w:t>
      </w:r>
      <w:r w:rsidR="00FA5F58">
        <w:rPr>
          <w:lang w:val="en-US"/>
        </w:rPr>
        <w:t>nine out of 81 farmer</w:t>
      </w:r>
      <w:r w:rsidR="009E12EF">
        <w:rPr>
          <w:lang w:val="en-US"/>
        </w:rPr>
        <w:t xml:space="preserve"> groups compr</w:t>
      </w:r>
      <w:r w:rsidR="007D44DE">
        <w:rPr>
          <w:lang w:val="en-US"/>
        </w:rPr>
        <w:t>ise all female membership</w:t>
      </w:r>
      <w:r w:rsidR="00A80A55">
        <w:rPr>
          <w:lang w:val="en-US"/>
        </w:rPr>
        <w:t xml:space="preserve"> and</w:t>
      </w:r>
      <w:r w:rsidR="007D44DE">
        <w:rPr>
          <w:lang w:val="en-US"/>
        </w:rPr>
        <w:t xml:space="preserve"> women</w:t>
      </w:r>
      <w:r w:rsidR="00831675">
        <w:rPr>
          <w:lang w:val="en-US"/>
        </w:rPr>
        <w:t xml:space="preserve"> lead 25 of the groups</w:t>
      </w:r>
      <w:r>
        <w:rPr>
          <w:lang w:val="en-US"/>
        </w:rPr>
        <w:t xml:space="preserve"> </w:t>
      </w:r>
      <w:r w:rsidR="009E12EF">
        <w:rPr>
          <w:lang w:val="en-US"/>
        </w:rPr>
        <w:t>(</w:t>
      </w:r>
      <w:r w:rsidR="0064543F">
        <w:rPr>
          <w:lang w:val="en-US"/>
        </w:rPr>
        <w:t>CARE</w:t>
      </w:r>
      <w:r w:rsidR="000B3AA3">
        <w:rPr>
          <w:lang w:val="en-US"/>
        </w:rPr>
        <w:t>,</w:t>
      </w:r>
      <w:r w:rsidR="0064543F">
        <w:rPr>
          <w:lang w:val="en-US"/>
        </w:rPr>
        <w:t xml:space="preserve"> Timor</w:t>
      </w:r>
      <w:r w:rsidR="000B3AA3">
        <w:rPr>
          <w:lang w:val="en-US"/>
        </w:rPr>
        <w:t>-</w:t>
      </w:r>
      <w:r w:rsidR="0064543F">
        <w:rPr>
          <w:lang w:val="en-US"/>
        </w:rPr>
        <w:t>Leste):</w:t>
      </w:r>
    </w:p>
    <w:p w:rsidR="0064543F" w:rsidRDefault="0064543F" w:rsidP="0064543F">
      <w:pPr>
        <w:ind w:left="720"/>
      </w:pPr>
      <w:r>
        <w:rPr>
          <w:i/>
        </w:rPr>
        <w:t xml:space="preserve">‘You look at climate change decision-making and you see men play the dominant role. But in this program, participation of women is strong – they are getting involved in leadership, technical farming issues and microfinance. Women are controlling their own capital.’ </w:t>
      </w:r>
      <w:r>
        <w:t xml:space="preserve">– </w:t>
      </w:r>
      <w:r w:rsidR="000B3AA3">
        <w:t>p</w:t>
      </w:r>
      <w:r>
        <w:t>rogram partner, Oxfam</w:t>
      </w:r>
      <w:r w:rsidR="000B3AA3">
        <w:t>,</w:t>
      </w:r>
      <w:r>
        <w:t xml:space="preserve"> Timor</w:t>
      </w:r>
      <w:r w:rsidR="000B3AA3">
        <w:t>-</w:t>
      </w:r>
      <w:r>
        <w:t>Leste</w:t>
      </w:r>
      <w:r w:rsidR="00A80A55">
        <w:t xml:space="preserve"> (interview)</w:t>
      </w:r>
      <w:r>
        <w:t xml:space="preserve"> </w:t>
      </w:r>
    </w:p>
    <w:p w:rsidR="009075A2" w:rsidRDefault="007D44DE" w:rsidP="009075A2">
      <w:pPr>
        <w:rPr>
          <w:lang w:val="en-US"/>
        </w:rPr>
      </w:pPr>
      <w:r>
        <w:rPr>
          <w:lang w:val="en-US"/>
        </w:rPr>
        <w:t>Plan and SCI’s</w:t>
      </w:r>
      <w:r w:rsidR="00482E19">
        <w:rPr>
          <w:lang w:val="en-US"/>
        </w:rPr>
        <w:t xml:space="preserve"> child-led/child-centred approaches engaged children and youth to an exceptional level. Children learned about climate change risks, conducted their own vulnerability assessments, became active skilled messengers and advocates, and were encouraged by local government to continue their participation (and leadership) in government planning for climate change and </w:t>
      </w:r>
      <w:r>
        <w:rPr>
          <w:lang w:val="en-US"/>
        </w:rPr>
        <w:t>DRR</w:t>
      </w:r>
      <w:r w:rsidR="00482E19">
        <w:rPr>
          <w:lang w:val="en-US"/>
        </w:rPr>
        <w:t>. These unique approaches demonstrated the power and place of children and youth in climate change, bringing valued perspectives as the generation currently most at risk on the planet.</w:t>
      </w:r>
      <w:r w:rsidR="00AB3385">
        <w:rPr>
          <w:lang w:val="en-US"/>
        </w:rPr>
        <w:t xml:space="preserve"> Their role in interpreting complex technical concepts</w:t>
      </w:r>
      <w:r>
        <w:rPr>
          <w:lang w:val="en-US"/>
        </w:rPr>
        <w:t xml:space="preserve"> such as </w:t>
      </w:r>
      <w:r w:rsidR="00AB3385">
        <w:rPr>
          <w:lang w:val="en-US"/>
        </w:rPr>
        <w:t>forecasts and models</w:t>
      </w:r>
      <w:r>
        <w:rPr>
          <w:lang w:val="en-US"/>
        </w:rPr>
        <w:t xml:space="preserve"> </w:t>
      </w:r>
      <w:r w:rsidR="00AB3385">
        <w:rPr>
          <w:lang w:val="en-US"/>
        </w:rPr>
        <w:t>and</w:t>
      </w:r>
      <w:r w:rsidR="00464208">
        <w:rPr>
          <w:lang w:val="en-US"/>
        </w:rPr>
        <w:t xml:space="preserve"> difficult</w:t>
      </w:r>
      <w:r w:rsidR="00AB3385">
        <w:rPr>
          <w:lang w:val="en-US"/>
        </w:rPr>
        <w:t xml:space="preserve"> terms</w:t>
      </w:r>
      <w:r w:rsidR="00464208">
        <w:rPr>
          <w:lang w:val="en-US"/>
        </w:rPr>
        <w:t xml:space="preserve"> such as ‘</w:t>
      </w:r>
      <w:r w:rsidR="00AB3385">
        <w:rPr>
          <w:lang w:val="en-US"/>
        </w:rPr>
        <w:t>storm surge</w:t>
      </w:r>
      <w:r w:rsidR="00464208">
        <w:rPr>
          <w:lang w:val="en-US"/>
        </w:rPr>
        <w:t>’</w:t>
      </w:r>
      <w:r w:rsidR="00AB3385">
        <w:rPr>
          <w:lang w:val="en-US"/>
        </w:rPr>
        <w:t xml:space="preserve"> to adults was an asset in times of natural disasters.</w:t>
      </w:r>
    </w:p>
    <w:p w:rsidR="00E267E5" w:rsidRDefault="00AB3385" w:rsidP="009075A2">
      <w:r>
        <w:t>In addressing inclusive development overall, most project</w:t>
      </w:r>
      <w:r w:rsidR="00C74D48">
        <w:t>s</w:t>
      </w:r>
      <w:r>
        <w:t xml:space="preserve"> report</w:t>
      </w:r>
      <w:r w:rsidR="00C74D48">
        <w:t>ed</w:t>
      </w:r>
      <w:r>
        <w:t xml:space="preserve"> that they have more work to do in enga</w:t>
      </w:r>
      <w:r w:rsidR="00C74D48">
        <w:t>ging people with disabilities. While s</w:t>
      </w:r>
      <w:r>
        <w:t>ome project</w:t>
      </w:r>
      <w:r w:rsidR="00C74D48">
        <w:t>s</w:t>
      </w:r>
      <w:r>
        <w:t xml:space="preserve"> targeted support through activities that facilitated disabled access (e.g. raised kitchen gardens), this is an area in need of further work.</w:t>
      </w:r>
    </w:p>
    <w:p w:rsidR="00A53FF6" w:rsidRPr="009075A2" w:rsidRDefault="00E267E5" w:rsidP="009075A2">
      <w:r>
        <w:t>Across the program, the experiences and lessons from strategies designed to foster and promote inclusive development provide a valuable evidence base that should be consolidated and analysed to inform future programs.</w:t>
      </w:r>
    </w:p>
    <w:p w:rsidR="00FB04F8" w:rsidRDefault="00FB04F8" w:rsidP="00FB04F8">
      <w:pPr>
        <w:pStyle w:val="Heading1"/>
      </w:pPr>
      <w:bookmarkStart w:id="39" w:name="_Toc315694472"/>
      <w:r>
        <w:t>Safeguards</w:t>
      </w:r>
      <w:bookmarkEnd w:id="39"/>
    </w:p>
    <w:p w:rsidR="00FB04F8" w:rsidRPr="00FB04F8" w:rsidRDefault="00FB04F8" w:rsidP="00FB04F8">
      <w:pPr>
        <w:pStyle w:val="Heading2"/>
      </w:pPr>
      <w:bookmarkStart w:id="40" w:name="_Toc315694473"/>
      <w:r>
        <w:t>Environment</w:t>
      </w:r>
      <w:bookmarkEnd w:id="40"/>
    </w:p>
    <w:p w:rsidR="00FB04F8" w:rsidRDefault="00FB04F8" w:rsidP="00FB04F8">
      <w:r>
        <w:rPr>
          <w:b/>
          <w:i/>
        </w:rPr>
        <w:t xml:space="preserve">Headline question: </w:t>
      </w:r>
      <w:r w:rsidRPr="00F138CF">
        <w:rPr>
          <w:i/>
        </w:rPr>
        <w:t>Was the impact of project activities on people’s natural and cultural assets assessed? In the case of potential negative impacts, did the project managers comply with local and Australian environment protection law?</w:t>
      </w:r>
    </w:p>
    <w:p w:rsidR="00BA64E4" w:rsidRDefault="00BA64E4" w:rsidP="00FB04F8">
      <w:r>
        <w:t>Given the focus on resilience building through natural resource management and ecosystems management, the projects were not anticipating serious negative environmental impacts. In most cases it was assumed that the impacts on natural assets and ecosystems would be positive overall. However, some environment assessments were undertaken and risks were identified (e.g. CARE</w:t>
      </w:r>
      <w:r w:rsidR="000B3AA3">
        <w:t>,</w:t>
      </w:r>
      <w:r>
        <w:t xml:space="preserve"> Timor</w:t>
      </w:r>
      <w:r w:rsidR="000B3AA3">
        <w:t>-</w:t>
      </w:r>
      <w:r>
        <w:t>Leste</w:t>
      </w:r>
      <w:r w:rsidR="00900EA5">
        <w:t xml:space="preserve">, and </w:t>
      </w:r>
      <w:r>
        <w:t>AfP</w:t>
      </w:r>
      <w:r w:rsidR="000B3AA3">
        <w:t>,</w:t>
      </w:r>
      <w:r>
        <w:t xml:space="preserve"> Vanuatu and Tonga). </w:t>
      </w:r>
    </w:p>
    <w:p w:rsidR="00BA64E4" w:rsidRDefault="00BA64E4" w:rsidP="00FB04F8">
      <w:r>
        <w:t xml:space="preserve">Many of the project activities dealt with the resource base, intensifying agricultural and productivity, with possible risks to long-term fertility. </w:t>
      </w:r>
      <w:r w:rsidR="000D2BD6">
        <w:t>Some activities</w:t>
      </w:r>
      <w:r>
        <w:t xml:space="preserve"> involved extraction of water from natural sources that could have consequen</w:t>
      </w:r>
      <w:r w:rsidR="00C74D48">
        <w:t xml:space="preserve">ces for aquatic ecosystems. Others involved </w:t>
      </w:r>
      <w:r>
        <w:t>small-scale construction</w:t>
      </w:r>
      <w:r w:rsidR="00C74D48">
        <w:t>, with minor but important risks to local environments</w:t>
      </w:r>
      <w:r>
        <w:t xml:space="preserve"> (e.g. sea walls).</w:t>
      </w:r>
    </w:p>
    <w:p w:rsidR="00FB04F8" w:rsidRDefault="00BA64E4" w:rsidP="00FB04F8">
      <w:r>
        <w:t>While negative impacts were unlikely, experiences across the program highlight the need for streamlined, targeted environment assessment and management tools, drawing on the substantial global knowledge base, for community</w:t>
      </w:r>
      <w:r w:rsidR="00900EA5">
        <w:t>-</w:t>
      </w:r>
      <w:r>
        <w:t>based development work. These need to be tailored to the types of activities and sectors (e.g. community-based agriculture, WASH and small</w:t>
      </w:r>
      <w:r w:rsidR="000D2BD6">
        <w:t>-</w:t>
      </w:r>
      <w:r>
        <w:t>scale construction), and offer guidance for local partners so that they can work with communities to confidently assess, monitor and manage impacts.</w:t>
      </w:r>
    </w:p>
    <w:p w:rsidR="00FB04F8" w:rsidRDefault="00FB04F8" w:rsidP="00FB04F8">
      <w:pPr>
        <w:pStyle w:val="Heading2"/>
      </w:pPr>
      <w:bookmarkStart w:id="41" w:name="_Toc315694474"/>
      <w:r>
        <w:t>Social</w:t>
      </w:r>
      <w:bookmarkEnd w:id="41"/>
    </w:p>
    <w:p w:rsidR="00FB04F8" w:rsidRDefault="00FB04F8" w:rsidP="00FB04F8">
      <w:r>
        <w:rPr>
          <w:b/>
          <w:i/>
        </w:rPr>
        <w:t xml:space="preserve">Headline question: </w:t>
      </w:r>
      <w:r w:rsidRPr="00392260">
        <w:rPr>
          <w:i/>
        </w:rPr>
        <w:t>Could the activities result in resettlement or social upheaval? If so, did the project managers comply with local and aid program standards to protect people and their assets?</w:t>
      </w:r>
    </w:p>
    <w:p w:rsidR="00FB04F8" w:rsidRDefault="00082B4F" w:rsidP="00FB04F8">
      <w:r>
        <w:t>Social impacts were considered to be positive across the program.</w:t>
      </w:r>
    </w:p>
    <w:p w:rsidR="00FB04F8" w:rsidRDefault="00FB04F8" w:rsidP="00FB04F8">
      <w:pPr>
        <w:pStyle w:val="Heading1"/>
      </w:pPr>
      <w:bookmarkStart w:id="42" w:name="_Toc315694475"/>
      <w:r>
        <w:t>Management and governance</w:t>
      </w:r>
      <w:bookmarkEnd w:id="42"/>
    </w:p>
    <w:p w:rsidR="00FB04F8" w:rsidRPr="00082B4F" w:rsidRDefault="00082B4F" w:rsidP="00FB04F8">
      <w:pPr>
        <w:rPr>
          <w:i/>
        </w:rPr>
      </w:pPr>
      <w:r w:rsidRPr="00082B4F">
        <w:rPr>
          <w:b/>
          <w:i/>
        </w:rPr>
        <w:t>Headline question:</w:t>
      </w:r>
      <w:r>
        <w:rPr>
          <w:i/>
        </w:rPr>
        <w:t xml:space="preserve"> Were the management and governance arrangements appropriate for the activity designs; did they deliver the outcomes effectively?</w:t>
      </w:r>
    </w:p>
    <w:p w:rsidR="00A80A55" w:rsidRDefault="00A80A55" w:rsidP="00FB04F8">
      <w:pPr>
        <w:rPr>
          <w:b/>
          <w:i/>
        </w:rPr>
      </w:pPr>
      <w:r w:rsidRPr="00C778A0">
        <w:rPr>
          <w:b/>
          <w:i/>
        </w:rPr>
        <w:t>Program management was flexible and responsive</w:t>
      </w:r>
      <w:r w:rsidRPr="00082B4F" w:rsidDel="00A80A55">
        <w:rPr>
          <w:b/>
          <w:i/>
        </w:rPr>
        <w:t xml:space="preserve"> </w:t>
      </w:r>
    </w:p>
    <w:p w:rsidR="005D5178" w:rsidRDefault="00D01F0F" w:rsidP="00FB04F8">
      <w:r>
        <w:t xml:space="preserve">DFAT’s </w:t>
      </w:r>
      <w:r w:rsidR="00082B4F">
        <w:t>responsiveness and flexibility, especially in the early stages of the program, were highly valued and a</w:t>
      </w:r>
      <w:r w:rsidR="005D5178">
        <w:t>ppreciated by project partners:</w:t>
      </w:r>
    </w:p>
    <w:p w:rsidR="005D5178" w:rsidRDefault="005D5178" w:rsidP="005D5178">
      <w:pPr>
        <w:ind w:left="720"/>
      </w:pPr>
      <w:r>
        <w:t>‘</w:t>
      </w:r>
      <w:r>
        <w:rPr>
          <w:i/>
        </w:rPr>
        <w:t>It was great to have supportive and flexible responsive management rather than restrictive micro-managing</w:t>
      </w:r>
      <w:r w:rsidR="00D01F0F">
        <w:rPr>
          <w:i/>
        </w:rPr>
        <w:t>.</w:t>
      </w:r>
      <w:r>
        <w:rPr>
          <w:i/>
        </w:rPr>
        <w:t>’</w:t>
      </w:r>
      <w:r>
        <w:t xml:space="preserve"> – </w:t>
      </w:r>
      <w:r w:rsidR="000B3AA3">
        <w:t>p</w:t>
      </w:r>
      <w:r>
        <w:t>roject partner</w:t>
      </w:r>
      <w:r w:rsidR="00A80A55">
        <w:t xml:space="preserve"> (interview)</w:t>
      </w:r>
    </w:p>
    <w:p w:rsidR="00C74D48" w:rsidRDefault="00D01F0F" w:rsidP="00FB04F8">
      <w:r>
        <w:t>However, s</w:t>
      </w:r>
      <w:r w:rsidR="00082B4F">
        <w:t xml:space="preserve">taff </w:t>
      </w:r>
      <w:r w:rsidR="004152E9">
        <w:t>turnover</w:t>
      </w:r>
      <w:r w:rsidR="00082B4F">
        <w:t xml:space="preserve"> as the program progressed</w:t>
      </w:r>
      <w:r>
        <w:t xml:space="preserve"> </w:t>
      </w:r>
      <w:r w:rsidR="00082B4F">
        <w:t xml:space="preserve">led to a loss of corporate knowledge. </w:t>
      </w:r>
    </w:p>
    <w:p w:rsidR="009D792E" w:rsidRDefault="00D01F0F" w:rsidP="00FB04F8">
      <w:r>
        <w:t>Post e</w:t>
      </w:r>
      <w:r w:rsidR="00082B4F">
        <w:t>ngagement varied. Where it was active, it was valued.</w:t>
      </w:r>
      <w:r w:rsidR="005D5178">
        <w:t xml:space="preserve"> The role of DFAT as a broker between NGOs, government and the private sector in the partner countries could have been more deeply explored/engaged.</w:t>
      </w:r>
      <w:r w:rsidR="009D792E">
        <w:t xml:space="preserve"> </w:t>
      </w:r>
    </w:p>
    <w:p w:rsidR="00F05CFB" w:rsidRDefault="00F05CFB" w:rsidP="00FB04F8">
      <w:r>
        <w:t>Partners found the design workshop in Hanoi at the beginning of the program useful</w:t>
      </w:r>
      <w:r w:rsidR="00D01F0F">
        <w:t xml:space="preserve"> as it </w:t>
      </w:r>
      <w:r>
        <w:t>ma</w:t>
      </w:r>
      <w:r w:rsidR="00D01F0F">
        <w:t>de</w:t>
      </w:r>
      <w:r>
        <w:t xml:space="preserve"> </w:t>
      </w:r>
      <w:r w:rsidR="00D01F0F">
        <w:t xml:space="preserve">DFAT’s </w:t>
      </w:r>
      <w:r>
        <w:t xml:space="preserve">requirements </w:t>
      </w:r>
      <w:r w:rsidR="00D01F0F">
        <w:t>clear</w:t>
      </w:r>
      <w:r>
        <w:t xml:space="preserve">. Allowing a rolling design (design as you go) was also found to be effective and adaptive to changing conditions in the target locations. The guidance provided in relation to safeguards was appreciated </w:t>
      </w:r>
      <w:r w:rsidR="00D01F0F">
        <w:t>as</w:t>
      </w:r>
      <w:r>
        <w:t xml:space="preserve"> it was tailored well to the needs of the NGOs and easily incorporated across the program.</w:t>
      </w:r>
      <w:r w:rsidR="009D792E">
        <w:t xml:space="preserve"> Greater engagement of DFAT sector specialists, bringing their perspectives on </w:t>
      </w:r>
      <w:r w:rsidR="00D01F0F">
        <w:t xml:space="preserve">issues such as </w:t>
      </w:r>
      <w:r w:rsidR="009D792E">
        <w:t>gender, agriculture</w:t>
      </w:r>
      <w:r w:rsidR="00D01F0F">
        <w:t xml:space="preserve"> and </w:t>
      </w:r>
      <w:r w:rsidR="009D792E">
        <w:t>climate change, could have enriched this information.</w:t>
      </w:r>
    </w:p>
    <w:p w:rsidR="00914263" w:rsidRDefault="00F05CFB" w:rsidP="00A53FF6">
      <w:r>
        <w:t>The workshop in Nepal was widely valued but more cross-learning opportunities would have been appreciated.</w:t>
      </w:r>
    </w:p>
    <w:p w:rsidR="005D5178" w:rsidRDefault="00914263" w:rsidP="00A53FF6">
      <w:r>
        <w:t xml:space="preserve">Partners noted that Australian Government withdrawal from the program puts at risk many of the important gains and potential impacts </w:t>
      </w:r>
      <w:r w:rsidR="00AA5117">
        <w:t>likely to be seen over a longer period of engagement</w:t>
      </w:r>
      <w:r>
        <w:t>.</w:t>
      </w:r>
    </w:p>
    <w:p w:rsidR="00A80A55" w:rsidRDefault="00A80A55" w:rsidP="00A53FF6">
      <w:pPr>
        <w:rPr>
          <w:b/>
          <w:i/>
        </w:rPr>
      </w:pPr>
      <w:r w:rsidRPr="00C778A0">
        <w:rPr>
          <w:b/>
          <w:i/>
        </w:rPr>
        <w:t>Project management was delivered to a reasonably high standard</w:t>
      </w:r>
      <w:r w:rsidRPr="005D5178" w:rsidDel="00A80A55">
        <w:rPr>
          <w:b/>
          <w:i/>
        </w:rPr>
        <w:t xml:space="preserve"> </w:t>
      </w:r>
    </w:p>
    <w:p w:rsidR="00914263" w:rsidRDefault="005D5178" w:rsidP="00A53FF6">
      <w:r>
        <w:t xml:space="preserve">Despite some delays in start-up and initial staffing and resourcing issues, project management was delivered to a reasonably high standard, with good quality reporting and efficient use of budgets. As accredited </w:t>
      </w:r>
      <w:r w:rsidR="00C74D48">
        <w:t>agencies</w:t>
      </w:r>
      <w:r>
        <w:t xml:space="preserve">, the lead partners were afforded </w:t>
      </w:r>
      <w:r w:rsidR="00914263">
        <w:t>a high level of autonomy in day-to-</w:t>
      </w:r>
      <w:r>
        <w:t>day management</w:t>
      </w:r>
      <w:r w:rsidR="008856E2">
        <w:t>. A</w:t>
      </w:r>
      <w:r w:rsidR="00914263">
        <w:t>s experienced project managers, they were able to navigate the issues without serious delay or difficulty.</w:t>
      </w:r>
    </w:p>
    <w:p w:rsidR="00671333" w:rsidRDefault="00914263" w:rsidP="00A53FF6">
      <w:r>
        <w:t>All of the project managers were faced with challenging timeframes, some requiring no-cost extensions to implement activities as d</w:t>
      </w:r>
      <w:r w:rsidR="004E6EA0">
        <w:t>esigned. In some cases, designs</w:t>
      </w:r>
      <w:r>
        <w:t xml:space="preserve"> were highly ambitious in terms of scope and impact and had to be scaled back. This particularly related to expectations of engagement with government and the possible outcomes and impact that could be achieved in less than three years.</w:t>
      </w:r>
    </w:p>
    <w:p w:rsidR="00A80A55" w:rsidRPr="00A80A55" w:rsidRDefault="00A80A55" w:rsidP="00A80A55">
      <w:pPr>
        <w:rPr>
          <w:b/>
          <w:i/>
        </w:rPr>
      </w:pPr>
      <w:r w:rsidRPr="00A80A55">
        <w:rPr>
          <w:b/>
          <w:i/>
        </w:rPr>
        <w:t>Monitoring, evaluation and learning needs to be strengthened</w:t>
      </w:r>
    </w:p>
    <w:p w:rsidR="00032B97" w:rsidRDefault="00ED577B" w:rsidP="00A53FF6">
      <w:r>
        <w:t xml:space="preserve">MEL emerged as a weakness overall in the program. </w:t>
      </w:r>
      <w:r w:rsidR="001A2C0E">
        <w:t>Some</w:t>
      </w:r>
      <w:r>
        <w:t xml:space="preserve"> projects conducted baseline </w:t>
      </w:r>
      <w:r w:rsidR="001A2C0E">
        <w:t>and</w:t>
      </w:r>
      <w:r>
        <w:t xml:space="preserve"> ex-post surveys, and most have commissioned external evaluations, </w:t>
      </w:r>
      <w:r w:rsidR="001A2C0E">
        <w:t xml:space="preserve">both </w:t>
      </w:r>
      <w:r>
        <w:t>providing valuable qualitative, and in some cases, quantitative information</w:t>
      </w:r>
      <w:r w:rsidR="001A2C0E">
        <w:t>. However</w:t>
      </w:r>
      <w:r>
        <w:t xml:space="preserve">, there is little evidence of </w:t>
      </w:r>
      <w:r w:rsidR="001A2C0E">
        <w:t xml:space="preserve">systematic, </w:t>
      </w:r>
      <w:r>
        <w:t>regular monitoring of progress against objectives or the effectiveness of delivery approaches</w:t>
      </w:r>
      <w:r w:rsidR="00577359">
        <w:t xml:space="preserve"> (beyond the quarterly reports to DFAT)</w:t>
      </w:r>
      <w:r>
        <w:t>.</w:t>
      </w:r>
      <w:r w:rsidR="00032B97">
        <w:t xml:space="preserve"> Project team leaders concede that this needed to be stronger and</w:t>
      </w:r>
      <w:r w:rsidR="003F1F74">
        <w:t xml:space="preserve"> better coordinated at consortium</w:t>
      </w:r>
      <w:r w:rsidR="00032B97">
        <w:t xml:space="preserve"> level.</w:t>
      </w:r>
    </w:p>
    <w:p w:rsidR="00ED577B" w:rsidRDefault="00032B97" w:rsidP="00A53FF6">
      <w:r>
        <w:t>Some project teams provided training for local partners in MEL and shared lessons through cross-country and peer-to-peer exchanges. But most consider that more opportunities could have been made available for cross-learning both within and between projects.</w:t>
      </w:r>
    </w:p>
    <w:p w:rsidR="00A53FF6" w:rsidRPr="00671333" w:rsidRDefault="00ED577B" w:rsidP="00A53FF6">
      <w:r>
        <w:t>Efforts to assess impact were hampered by the short timeframes</w:t>
      </w:r>
      <w:r w:rsidR="008856E2">
        <w:t xml:space="preserve"> </w:t>
      </w:r>
      <w:r w:rsidR="00A80A55">
        <w:t>and the fact that many of the anticipated impacts will only become evident over time.</w:t>
      </w:r>
      <w:r w:rsidR="008856E2">
        <w:t>.</w:t>
      </w:r>
    </w:p>
    <w:p w:rsidR="00FB04F8" w:rsidRDefault="00FB04F8" w:rsidP="00FB04F8">
      <w:pPr>
        <w:pStyle w:val="Heading1"/>
      </w:pPr>
      <w:bookmarkStart w:id="43" w:name="_Toc315694476"/>
      <w:r>
        <w:t>Sustainability</w:t>
      </w:r>
      <w:bookmarkEnd w:id="43"/>
    </w:p>
    <w:p w:rsidR="00FB04F8" w:rsidRDefault="00FB04F8" w:rsidP="00FB04F8">
      <w:r>
        <w:rPr>
          <w:b/>
          <w:i/>
        </w:rPr>
        <w:t xml:space="preserve">Headline question: </w:t>
      </w:r>
      <w:r w:rsidRPr="00E1357D">
        <w:rPr>
          <w:i/>
        </w:rPr>
        <w:t xml:space="preserve">What evidence </w:t>
      </w:r>
      <w:r>
        <w:rPr>
          <w:i/>
        </w:rPr>
        <w:t>is there</w:t>
      </w:r>
      <w:r w:rsidRPr="00E1357D">
        <w:rPr>
          <w:i/>
        </w:rPr>
        <w:t xml:space="preserve"> that the outcomes are sustainable beyond the life of the project</w:t>
      </w:r>
      <w:r>
        <w:rPr>
          <w:i/>
        </w:rPr>
        <w:t>s</w:t>
      </w:r>
      <w:r w:rsidRPr="00E1357D">
        <w:rPr>
          <w:i/>
        </w:rPr>
        <w:t>? What is enabling and hindering this?</w:t>
      </w:r>
    </w:p>
    <w:p w:rsidR="00F766F4" w:rsidRDefault="004832B9" w:rsidP="00A53FF6">
      <w:r>
        <w:t>M</w:t>
      </w:r>
      <w:r w:rsidR="00F766F4">
        <w:t>any a</w:t>
      </w:r>
      <w:r w:rsidR="00256965">
        <w:t>chievements</w:t>
      </w:r>
      <w:r w:rsidR="00F766F4">
        <w:t xml:space="preserve"> of the CBCCAG projects appear to be sustainable, or have </w:t>
      </w:r>
      <w:r>
        <w:t xml:space="preserve">the </w:t>
      </w:r>
      <w:r w:rsidR="00F766F4">
        <w:t xml:space="preserve">potential to be sustainable for a period beyond the life of the </w:t>
      </w:r>
      <w:r>
        <w:t xml:space="preserve">CBCCAG </w:t>
      </w:r>
      <w:r w:rsidR="00F766F4">
        <w:t>pro</w:t>
      </w:r>
      <w:r>
        <w:t>gram</w:t>
      </w:r>
      <w:r w:rsidR="00F766F4">
        <w:t xml:space="preserve">. However, there are also </w:t>
      </w:r>
      <w:r>
        <w:t>several</w:t>
      </w:r>
      <w:r w:rsidR="00F766F4">
        <w:t xml:space="preserve"> risks associated with low capacities and difficulties in accessing resources for </w:t>
      </w:r>
      <w:r>
        <w:t>CBA</w:t>
      </w:r>
      <w:r w:rsidR="00F766F4">
        <w:t xml:space="preserve"> (and community development generally) in many of the target project locations. Positive factors include:</w:t>
      </w:r>
    </w:p>
    <w:p w:rsidR="00256965" w:rsidRPr="00283CC8" w:rsidRDefault="00256965" w:rsidP="00F766F4">
      <w:pPr>
        <w:pStyle w:val="ListParagraph"/>
        <w:numPr>
          <w:ilvl w:val="0"/>
          <w:numId w:val="16"/>
        </w:numPr>
        <w:rPr>
          <w:sz w:val="20"/>
          <w:szCs w:val="20"/>
        </w:rPr>
      </w:pPr>
      <w:r w:rsidRPr="00283CC8">
        <w:rPr>
          <w:sz w:val="20"/>
          <w:szCs w:val="20"/>
        </w:rPr>
        <w:t xml:space="preserve">The program built a strong evidence base for </w:t>
      </w:r>
      <w:r w:rsidR="004832B9">
        <w:rPr>
          <w:sz w:val="20"/>
          <w:szCs w:val="20"/>
        </w:rPr>
        <w:t>CBA</w:t>
      </w:r>
      <w:r w:rsidRPr="00283CC8">
        <w:rPr>
          <w:sz w:val="20"/>
          <w:szCs w:val="20"/>
        </w:rPr>
        <w:t xml:space="preserve"> across a range of setting</w:t>
      </w:r>
      <w:r w:rsidR="004832B9">
        <w:rPr>
          <w:sz w:val="20"/>
          <w:szCs w:val="20"/>
        </w:rPr>
        <w:t>s.</w:t>
      </w:r>
      <w:r w:rsidRPr="00283CC8">
        <w:rPr>
          <w:sz w:val="20"/>
          <w:szCs w:val="20"/>
        </w:rPr>
        <w:t xml:space="preserve"> </w:t>
      </w:r>
      <w:r w:rsidR="004832B9">
        <w:rPr>
          <w:sz w:val="20"/>
          <w:szCs w:val="20"/>
        </w:rPr>
        <w:t>I</w:t>
      </w:r>
      <w:r w:rsidRPr="00283CC8">
        <w:rPr>
          <w:sz w:val="20"/>
          <w:szCs w:val="20"/>
        </w:rPr>
        <w:t>t needs to be consolidated and could provide the basis for models that have wider application and contribute to the ongoing international discussion on adaptation and resilience building</w:t>
      </w:r>
      <w:r w:rsidR="004832B9">
        <w:rPr>
          <w:sz w:val="20"/>
          <w:szCs w:val="20"/>
        </w:rPr>
        <w:t>.</w:t>
      </w:r>
    </w:p>
    <w:p w:rsidR="00D74B48" w:rsidRPr="00283CC8" w:rsidRDefault="00256965" w:rsidP="00F766F4">
      <w:pPr>
        <w:pStyle w:val="ListParagraph"/>
        <w:numPr>
          <w:ilvl w:val="0"/>
          <w:numId w:val="16"/>
        </w:numPr>
        <w:rPr>
          <w:sz w:val="20"/>
          <w:szCs w:val="20"/>
        </w:rPr>
      </w:pPr>
      <w:r w:rsidRPr="00283CC8">
        <w:rPr>
          <w:sz w:val="20"/>
          <w:szCs w:val="20"/>
        </w:rPr>
        <w:t>Further funding has been secured for some significant project outcomes</w:t>
      </w:r>
      <w:r w:rsidR="004832B9">
        <w:rPr>
          <w:sz w:val="20"/>
          <w:szCs w:val="20"/>
        </w:rPr>
        <w:t>. For example,</w:t>
      </w:r>
      <w:r w:rsidRPr="00283CC8">
        <w:rPr>
          <w:sz w:val="20"/>
          <w:szCs w:val="20"/>
        </w:rPr>
        <w:t xml:space="preserve"> funding for VCAN</w:t>
      </w:r>
      <w:r w:rsidR="006027B8" w:rsidRPr="00283CC8">
        <w:rPr>
          <w:sz w:val="20"/>
          <w:szCs w:val="20"/>
        </w:rPr>
        <w:t xml:space="preserve"> (coordinated by Oxfam</w:t>
      </w:r>
      <w:r w:rsidR="004832B9">
        <w:rPr>
          <w:sz w:val="20"/>
          <w:szCs w:val="20"/>
        </w:rPr>
        <w:t xml:space="preserve"> in</w:t>
      </w:r>
      <w:r w:rsidR="006027B8" w:rsidRPr="00283CC8">
        <w:rPr>
          <w:sz w:val="20"/>
          <w:szCs w:val="20"/>
        </w:rPr>
        <w:t xml:space="preserve"> Vanuatu)</w:t>
      </w:r>
      <w:r w:rsidRPr="00283CC8">
        <w:rPr>
          <w:sz w:val="20"/>
          <w:szCs w:val="20"/>
        </w:rPr>
        <w:t xml:space="preserve"> </w:t>
      </w:r>
      <w:r w:rsidR="00E238F6">
        <w:rPr>
          <w:sz w:val="20"/>
          <w:szCs w:val="20"/>
        </w:rPr>
        <w:t>has been granted</w:t>
      </w:r>
      <w:r w:rsidR="004832B9">
        <w:rPr>
          <w:sz w:val="20"/>
          <w:szCs w:val="20"/>
        </w:rPr>
        <w:t xml:space="preserve"> </w:t>
      </w:r>
      <w:r w:rsidRPr="00283CC8">
        <w:rPr>
          <w:sz w:val="20"/>
          <w:szCs w:val="20"/>
        </w:rPr>
        <w:t>for a further three years</w:t>
      </w:r>
      <w:r w:rsidR="004832B9">
        <w:rPr>
          <w:sz w:val="20"/>
          <w:szCs w:val="20"/>
        </w:rPr>
        <w:t xml:space="preserve">, </w:t>
      </w:r>
      <w:r w:rsidR="00D74B48" w:rsidRPr="00283CC8">
        <w:rPr>
          <w:sz w:val="20"/>
          <w:szCs w:val="20"/>
        </w:rPr>
        <w:t>TNC Manus Way Forward</w:t>
      </w:r>
      <w:r w:rsidR="004832B9">
        <w:rPr>
          <w:sz w:val="20"/>
          <w:szCs w:val="20"/>
        </w:rPr>
        <w:t xml:space="preserve"> has follow-on funding, </w:t>
      </w:r>
      <w:r w:rsidR="00293D7E" w:rsidRPr="00283CC8">
        <w:rPr>
          <w:sz w:val="20"/>
          <w:szCs w:val="20"/>
        </w:rPr>
        <w:t>Live &amp; Learn Knowledge Hubs have been picked up in the DFAT/UNDP Resilience Program for three years</w:t>
      </w:r>
      <w:r w:rsidR="00E238F6">
        <w:rPr>
          <w:sz w:val="20"/>
          <w:szCs w:val="20"/>
        </w:rPr>
        <w:t xml:space="preserve">, and </w:t>
      </w:r>
      <w:r w:rsidR="00C7029A">
        <w:rPr>
          <w:sz w:val="20"/>
          <w:szCs w:val="20"/>
        </w:rPr>
        <w:t>T</w:t>
      </w:r>
      <w:r w:rsidR="00E238F6">
        <w:rPr>
          <w:sz w:val="20"/>
          <w:szCs w:val="20"/>
        </w:rPr>
        <w:t>NC has received a</w:t>
      </w:r>
      <w:r w:rsidR="00493A69" w:rsidRPr="00283CC8">
        <w:rPr>
          <w:sz w:val="20"/>
          <w:szCs w:val="20"/>
        </w:rPr>
        <w:t xml:space="preserve"> guard</w:t>
      </w:r>
      <w:r w:rsidR="00E238F6">
        <w:rPr>
          <w:sz w:val="20"/>
          <w:szCs w:val="20"/>
        </w:rPr>
        <w:t xml:space="preserve"> </w:t>
      </w:r>
      <w:r w:rsidR="00493A69" w:rsidRPr="00283CC8">
        <w:rPr>
          <w:sz w:val="20"/>
          <w:szCs w:val="20"/>
        </w:rPr>
        <w:t>for a marine protected area</w:t>
      </w:r>
      <w:r w:rsidR="00E238F6">
        <w:rPr>
          <w:sz w:val="20"/>
          <w:szCs w:val="20"/>
        </w:rPr>
        <w:t xml:space="preserve">. </w:t>
      </w:r>
    </w:p>
    <w:p w:rsidR="00D74B48" w:rsidRPr="00283CC8" w:rsidRDefault="00D74B48" w:rsidP="00F766F4">
      <w:pPr>
        <w:pStyle w:val="ListParagraph"/>
        <w:numPr>
          <w:ilvl w:val="0"/>
          <w:numId w:val="16"/>
        </w:numPr>
        <w:rPr>
          <w:sz w:val="20"/>
          <w:szCs w:val="20"/>
        </w:rPr>
      </w:pPr>
      <w:r w:rsidRPr="00283CC8">
        <w:rPr>
          <w:sz w:val="20"/>
          <w:szCs w:val="20"/>
        </w:rPr>
        <w:t>Local project partners have successfully applied for grants for adaptation work (e.g. TNC groups in the Solomon Islands secured small grant funding from European Union Green Grants)</w:t>
      </w:r>
      <w:r w:rsidR="00E238F6">
        <w:rPr>
          <w:sz w:val="20"/>
          <w:szCs w:val="20"/>
        </w:rPr>
        <w:t>.</w:t>
      </w:r>
    </w:p>
    <w:p w:rsidR="007640B0" w:rsidRPr="00283CC8" w:rsidRDefault="00232037" w:rsidP="007640B0">
      <w:pPr>
        <w:pStyle w:val="ListParagraph"/>
        <w:numPr>
          <w:ilvl w:val="0"/>
          <w:numId w:val="16"/>
        </w:numPr>
        <w:rPr>
          <w:sz w:val="20"/>
          <w:szCs w:val="20"/>
        </w:rPr>
      </w:pPr>
      <w:r w:rsidRPr="00283CC8">
        <w:rPr>
          <w:sz w:val="20"/>
          <w:szCs w:val="20"/>
        </w:rPr>
        <w:t>There is a level of integration of community adaptation planning in local government plans and some l</w:t>
      </w:r>
      <w:r w:rsidR="00D74B48" w:rsidRPr="00283CC8">
        <w:rPr>
          <w:sz w:val="20"/>
          <w:szCs w:val="20"/>
        </w:rPr>
        <w:t xml:space="preserve">ocal governments have </w:t>
      </w:r>
      <w:r w:rsidRPr="00283CC8">
        <w:rPr>
          <w:sz w:val="20"/>
          <w:szCs w:val="20"/>
        </w:rPr>
        <w:t xml:space="preserve">committed </w:t>
      </w:r>
      <w:r w:rsidR="00D74B48" w:rsidRPr="00283CC8">
        <w:rPr>
          <w:sz w:val="20"/>
          <w:szCs w:val="20"/>
        </w:rPr>
        <w:t>funding to maintain project activities</w:t>
      </w:r>
      <w:r w:rsidR="00E238F6">
        <w:rPr>
          <w:sz w:val="20"/>
          <w:szCs w:val="20"/>
        </w:rPr>
        <w:t>. For example,</w:t>
      </w:r>
      <w:r w:rsidR="00D74B48" w:rsidRPr="00283CC8">
        <w:rPr>
          <w:sz w:val="20"/>
          <w:szCs w:val="20"/>
        </w:rPr>
        <w:t xml:space="preserve"> </w:t>
      </w:r>
      <w:r w:rsidR="00E238F6">
        <w:rPr>
          <w:sz w:val="20"/>
          <w:szCs w:val="20"/>
        </w:rPr>
        <w:t xml:space="preserve">local governments have committed </w:t>
      </w:r>
      <w:r w:rsidR="00D74B48" w:rsidRPr="00283CC8">
        <w:rPr>
          <w:sz w:val="20"/>
          <w:szCs w:val="20"/>
        </w:rPr>
        <w:t>$73,000</w:t>
      </w:r>
      <w:r w:rsidR="00E238F6">
        <w:rPr>
          <w:sz w:val="20"/>
          <w:szCs w:val="20"/>
        </w:rPr>
        <w:t xml:space="preserve"> to</w:t>
      </w:r>
      <w:r w:rsidR="00D74B48" w:rsidRPr="00283CC8">
        <w:rPr>
          <w:sz w:val="20"/>
          <w:szCs w:val="20"/>
        </w:rPr>
        <w:t xml:space="preserve"> implement adaptation measures and</w:t>
      </w:r>
      <w:r w:rsidR="00E238F6">
        <w:rPr>
          <w:sz w:val="20"/>
          <w:szCs w:val="20"/>
        </w:rPr>
        <w:t xml:space="preserve"> allocated</w:t>
      </w:r>
      <w:r w:rsidR="00D74B48" w:rsidRPr="00283CC8">
        <w:rPr>
          <w:sz w:val="20"/>
          <w:szCs w:val="20"/>
        </w:rPr>
        <w:t xml:space="preserve"> $18,000 for early warning systems </w:t>
      </w:r>
      <w:r w:rsidR="00E238F6">
        <w:rPr>
          <w:sz w:val="20"/>
          <w:szCs w:val="20"/>
        </w:rPr>
        <w:t>(</w:t>
      </w:r>
      <w:r w:rsidR="00D74B48" w:rsidRPr="00283CC8">
        <w:rPr>
          <w:sz w:val="20"/>
          <w:szCs w:val="20"/>
        </w:rPr>
        <w:t>Oxfam</w:t>
      </w:r>
      <w:r w:rsidR="00E238F6">
        <w:rPr>
          <w:sz w:val="20"/>
          <w:szCs w:val="20"/>
        </w:rPr>
        <w:t>,</w:t>
      </w:r>
      <w:r w:rsidR="00D74B48" w:rsidRPr="00283CC8">
        <w:rPr>
          <w:sz w:val="20"/>
          <w:szCs w:val="20"/>
        </w:rPr>
        <w:t xml:space="preserve"> Philippines</w:t>
      </w:r>
      <w:r w:rsidR="00E238F6">
        <w:rPr>
          <w:sz w:val="20"/>
          <w:szCs w:val="20"/>
        </w:rPr>
        <w:t xml:space="preserve">) and </w:t>
      </w:r>
      <w:r w:rsidR="00493A69" w:rsidRPr="00283CC8">
        <w:rPr>
          <w:sz w:val="20"/>
          <w:szCs w:val="20"/>
        </w:rPr>
        <w:t>co-funding</w:t>
      </w:r>
      <w:r w:rsidR="00E238F6">
        <w:rPr>
          <w:sz w:val="20"/>
          <w:szCs w:val="20"/>
        </w:rPr>
        <w:t xml:space="preserve"> has been secured</w:t>
      </w:r>
      <w:r w:rsidR="00493A69" w:rsidRPr="00283CC8">
        <w:rPr>
          <w:sz w:val="20"/>
          <w:szCs w:val="20"/>
        </w:rPr>
        <w:t xml:space="preserve"> for an annual youth camp </w:t>
      </w:r>
      <w:r w:rsidR="00E238F6">
        <w:rPr>
          <w:sz w:val="20"/>
          <w:szCs w:val="20"/>
        </w:rPr>
        <w:t>(</w:t>
      </w:r>
      <w:r w:rsidR="00493A69" w:rsidRPr="00283CC8">
        <w:rPr>
          <w:sz w:val="20"/>
          <w:szCs w:val="20"/>
        </w:rPr>
        <w:t>Plan/SCI</w:t>
      </w:r>
      <w:r w:rsidR="00E238F6">
        <w:rPr>
          <w:sz w:val="20"/>
          <w:szCs w:val="20"/>
        </w:rPr>
        <w:t>,</w:t>
      </w:r>
      <w:r w:rsidR="00493A69" w:rsidRPr="00283CC8">
        <w:rPr>
          <w:sz w:val="20"/>
          <w:szCs w:val="20"/>
        </w:rPr>
        <w:t xml:space="preserve"> Philippines</w:t>
      </w:r>
      <w:r w:rsidR="00D74B48" w:rsidRPr="00283CC8">
        <w:rPr>
          <w:sz w:val="20"/>
          <w:szCs w:val="20"/>
        </w:rPr>
        <w:t>)</w:t>
      </w:r>
      <w:r w:rsidR="00E238F6">
        <w:rPr>
          <w:sz w:val="20"/>
          <w:szCs w:val="20"/>
        </w:rPr>
        <w:t>.</w:t>
      </w:r>
    </w:p>
    <w:p w:rsidR="00D74B48" w:rsidRPr="00283CC8" w:rsidRDefault="00611D3F" w:rsidP="007640B0">
      <w:pPr>
        <w:pStyle w:val="ListParagraph"/>
        <w:numPr>
          <w:ilvl w:val="0"/>
          <w:numId w:val="16"/>
        </w:numPr>
        <w:rPr>
          <w:sz w:val="20"/>
          <w:szCs w:val="20"/>
        </w:rPr>
      </w:pPr>
      <w:r>
        <w:rPr>
          <w:sz w:val="20"/>
          <w:szCs w:val="20"/>
        </w:rPr>
        <w:t>Local governments have developed a</w:t>
      </w:r>
      <w:r w:rsidR="007640B0" w:rsidRPr="00283CC8">
        <w:rPr>
          <w:sz w:val="20"/>
          <w:szCs w:val="20"/>
        </w:rPr>
        <w:t>greements and institutional arrangements to continue project activities</w:t>
      </w:r>
      <w:r>
        <w:rPr>
          <w:sz w:val="20"/>
          <w:szCs w:val="20"/>
        </w:rPr>
        <w:t>. These include</w:t>
      </w:r>
      <w:r w:rsidR="007640B0" w:rsidRPr="00283CC8">
        <w:rPr>
          <w:sz w:val="20"/>
          <w:szCs w:val="20"/>
        </w:rPr>
        <w:t xml:space="preserve"> ordinances for child/youth participation in planning </w:t>
      </w:r>
      <w:r>
        <w:rPr>
          <w:sz w:val="20"/>
          <w:szCs w:val="20"/>
        </w:rPr>
        <w:t>(</w:t>
      </w:r>
      <w:r w:rsidR="007640B0" w:rsidRPr="00283CC8">
        <w:rPr>
          <w:sz w:val="20"/>
          <w:szCs w:val="20"/>
        </w:rPr>
        <w:t>Plan/SCI</w:t>
      </w:r>
      <w:r w:rsidR="00E238F6">
        <w:rPr>
          <w:sz w:val="20"/>
          <w:szCs w:val="20"/>
        </w:rPr>
        <w:t>,</w:t>
      </w:r>
      <w:r w:rsidR="007640B0" w:rsidRPr="00283CC8">
        <w:rPr>
          <w:sz w:val="20"/>
          <w:szCs w:val="20"/>
        </w:rPr>
        <w:t xml:space="preserve"> Philippine</w:t>
      </w:r>
      <w:r>
        <w:rPr>
          <w:sz w:val="20"/>
          <w:szCs w:val="20"/>
        </w:rPr>
        <w:t xml:space="preserve">s), </w:t>
      </w:r>
      <w:r w:rsidR="007640B0" w:rsidRPr="00283CC8">
        <w:rPr>
          <w:sz w:val="20"/>
          <w:szCs w:val="20"/>
        </w:rPr>
        <w:t xml:space="preserve">agreements between provincial governments and local partners </w:t>
      </w:r>
      <w:r>
        <w:rPr>
          <w:sz w:val="20"/>
          <w:szCs w:val="20"/>
        </w:rPr>
        <w:t>(</w:t>
      </w:r>
      <w:r w:rsidR="007640B0" w:rsidRPr="00283CC8">
        <w:rPr>
          <w:sz w:val="20"/>
          <w:szCs w:val="20"/>
        </w:rPr>
        <w:t>AfP</w:t>
      </w:r>
      <w:r>
        <w:rPr>
          <w:sz w:val="20"/>
          <w:szCs w:val="20"/>
        </w:rPr>
        <w:t>,</w:t>
      </w:r>
      <w:r w:rsidR="007640B0" w:rsidRPr="00283CC8">
        <w:rPr>
          <w:sz w:val="20"/>
          <w:szCs w:val="20"/>
        </w:rPr>
        <w:t xml:space="preserve"> Vanuatu and Tonga</w:t>
      </w:r>
      <w:r>
        <w:rPr>
          <w:sz w:val="20"/>
          <w:szCs w:val="20"/>
        </w:rPr>
        <w:t>) and t</w:t>
      </w:r>
      <w:r w:rsidR="00915482" w:rsidRPr="00283CC8">
        <w:rPr>
          <w:sz w:val="20"/>
          <w:szCs w:val="20"/>
        </w:rPr>
        <w:t>he Department of Education</w:t>
      </w:r>
      <w:r>
        <w:rPr>
          <w:sz w:val="20"/>
          <w:szCs w:val="20"/>
        </w:rPr>
        <w:t>’s</w:t>
      </w:r>
      <w:r w:rsidR="00915482" w:rsidRPr="00283CC8">
        <w:rPr>
          <w:sz w:val="20"/>
          <w:szCs w:val="20"/>
        </w:rPr>
        <w:t xml:space="preserve"> integrat</w:t>
      </w:r>
      <w:r>
        <w:rPr>
          <w:sz w:val="20"/>
          <w:szCs w:val="20"/>
        </w:rPr>
        <w:t>ion of</w:t>
      </w:r>
      <w:r w:rsidR="00915482" w:rsidRPr="00283CC8">
        <w:rPr>
          <w:sz w:val="20"/>
          <w:szCs w:val="20"/>
        </w:rPr>
        <w:t xml:space="preserve"> climate change in all key areas of school curriculum </w:t>
      </w:r>
      <w:r>
        <w:rPr>
          <w:sz w:val="20"/>
          <w:szCs w:val="20"/>
        </w:rPr>
        <w:t>(</w:t>
      </w:r>
      <w:r w:rsidR="00915482" w:rsidRPr="00283CC8">
        <w:rPr>
          <w:sz w:val="20"/>
          <w:szCs w:val="20"/>
        </w:rPr>
        <w:t>Plan/SCI</w:t>
      </w:r>
      <w:r>
        <w:rPr>
          <w:sz w:val="20"/>
          <w:szCs w:val="20"/>
        </w:rPr>
        <w:t>,</w:t>
      </w:r>
      <w:r w:rsidR="00915482" w:rsidRPr="00283CC8">
        <w:rPr>
          <w:sz w:val="20"/>
          <w:szCs w:val="20"/>
        </w:rPr>
        <w:t xml:space="preserve"> Philippines</w:t>
      </w:r>
      <w:r w:rsidR="007640B0" w:rsidRPr="00283CC8">
        <w:rPr>
          <w:sz w:val="20"/>
          <w:szCs w:val="20"/>
        </w:rPr>
        <w:t>)</w:t>
      </w:r>
      <w:r>
        <w:rPr>
          <w:sz w:val="20"/>
          <w:szCs w:val="20"/>
        </w:rPr>
        <w:t>.</w:t>
      </w:r>
    </w:p>
    <w:p w:rsidR="00D74B48" w:rsidRPr="00283CC8" w:rsidRDefault="00232037" w:rsidP="00F766F4">
      <w:pPr>
        <w:pStyle w:val="ListParagraph"/>
        <w:numPr>
          <w:ilvl w:val="0"/>
          <w:numId w:val="16"/>
        </w:numPr>
        <w:rPr>
          <w:sz w:val="20"/>
          <w:szCs w:val="20"/>
        </w:rPr>
      </w:pPr>
      <w:r w:rsidRPr="00283CC8">
        <w:rPr>
          <w:sz w:val="20"/>
          <w:szCs w:val="20"/>
        </w:rPr>
        <w:t>Demand is strong and c</w:t>
      </w:r>
      <w:r w:rsidR="00D74B48" w:rsidRPr="00283CC8">
        <w:rPr>
          <w:sz w:val="20"/>
          <w:szCs w:val="20"/>
        </w:rPr>
        <w:t>ommunities have adopted and to some extent scaled out some resilience</w:t>
      </w:r>
      <w:r w:rsidR="00611D3F">
        <w:rPr>
          <w:sz w:val="20"/>
          <w:szCs w:val="20"/>
        </w:rPr>
        <w:t>-</w:t>
      </w:r>
      <w:r w:rsidR="00D74B48" w:rsidRPr="00283CC8">
        <w:rPr>
          <w:sz w:val="20"/>
          <w:szCs w:val="20"/>
        </w:rPr>
        <w:t>building activities (e.g. conservation farming, vegetable gardens, savings and loans</w:t>
      </w:r>
      <w:r w:rsidR="00611D3F">
        <w:rPr>
          <w:sz w:val="20"/>
          <w:szCs w:val="20"/>
        </w:rPr>
        <w:t xml:space="preserve">, and </w:t>
      </w:r>
      <w:r w:rsidR="00D74B48" w:rsidRPr="00283CC8">
        <w:rPr>
          <w:sz w:val="20"/>
          <w:szCs w:val="20"/>
        </w:rPr>
        <w:t>marine protected areas)</w:t>
      </w:r>
      <w:r w:rsidR="00611D3F">
        <w:rPr>
          <w:sz w:val="20"/>
          <w:szCs w:val="20"/>
        </w:rPr>
        <w:t>.</w:t>
      </w:r>
    </w:p>
    <w:p w:rsidR="00D74B48" w:rsidRPr="00283CC8" w:rsidRDefault="00D74B48" w:rsidP="00F766F4">
      <w:pPr>
        <w:pStyle w:val="ListParagraph"/>
        <w:numPr>
          <w:ilvl w:val="0"/>
          <w:numId w:val="16"/>
        </w:numPr>
        <w:rPr>
          <w:sz w:val="20"/>
          <w:szCs w:val="20"/>
        </w:rPr>
      </w:pPr>
      <w:r w:rsidRPr="00283CC8">
        <w:rPr>
          <w:sz w:val="20"/>
          <w:szCs w:val="20"/>
        </w:rPr>
        <w:t>Many of the technologies are ‘built to last’ (e.g. water tanks</w:t>
      </w:r>
      <w:r w:rsidR="00611D3F">
        <w:rPr>
          <w:sz w:val="20"/>
          <w:szCs w:val="20"/>
        </w:rPr>
        <w:t xml:space="preserve"> and </w:t>
      </w:r>
      <w:r w:rsidRPr="00283CC8">
        <w:rPr>
          <w:sz w:val="20"/>
          <w:szCs w:val="20"/>
        </w:rPr>
        <w:t>stoves have a long life) and can be maintained by existing community groups</w:t>
      </w:r>
      <w:r w:rsidR="00611D3F">
        <w:rPr>
          <w:sz w:val="20"/>
          <w:szCs w:val="20"/>
        </w:rPr>
        <w:t>.</w:t>
      </w:r>
    </w:p>
    <w:p w:rsidR="00232037" w:rsidRPr="00283CC8" w:rsidRDefault="0076328D" w:rsidP="00F766F4">
      <w:pPr>
        <w:pStyle w:val="ListParagraph"/>
        <w:numPr>
          <w:ilvl w:val="0"/>
          <w:numId w:val="16"/>
        </w:numPr>
        <w:rPr>
          <w:sz w:val="20"/>
          <w:szCs w:val="20"/>
        </w:rPr>
      </w:pPr>
      <w:r w:rsidRPr="00283CC8">
        <w:rPr>
          <w:sz w:val="20"/>
          <w:szCs w:val="20"/>
        </w:rPr>
        <w:t>Some of the groups formed to discuss and plan for climate change adaptation overlap with other community groups (e.g. farmer and water groups) and can integrate the climate change knowledge into these activities</w:t>
      </w:r>
      <w:r w:rsidR="00611D3F">
        <w:rPr>
          <w:sz w:val="20"/>
          <w:szCs w:val="20"/>
        </w:rPr>
        <w:t>.</w:t>
      </w:r>
    </w:p>
    <w:p w:rsidR="00C623A1" w:rsidRPr="00283CC8" w:rsidRDefault="00232037" w:rsidP="00F766F4">
      <w:pPr>
        <w:pStyle w:val="ListParagraph"/>
        <w:numPr>
          <w:ilvl w:val="0"/>
          <w:numId w:val="16"/>
        </w:numPr>
        <w:rPr>
          <w:sz w:val="20"/>
          <w:szCs w:val="20"/>
        </w:rPr>
      </w:pPr>
      <w:r w:rsidRPr="00283CC8">
        <w:rPr>
          <w:sz w:val="20"/>
          <w:szCs w:val="20"/>
        </w:rPr>
        <w:t>New structures such as Climate Field Schools are in demand but their sustainability is contingent on funding</w:t>
      </w:r>
      <w:r w:rsidR="00611D3F">
        <w:rPr>
          <w:sz w:val="20"/>
          <w:szCs w:val="20"/>
        </w:rPr>
        <w:t>.</w:t>
      </w:r>
    </w:p>
    <w:p w:rsidR="00C623A1" w:rsidRDefault="00C623A1" w:rsidP="00C623A1">
      <w:r>
        <w:t xml:space="preserve">CBCCAG partners </w:t>
      </w:r>
      <w:r w:rsidR="00E73567">
        <w:t xml:space="preserve">became </w:t>
      </w:r>
      <w:r>
        <w:t>engaged with the expectation of a future phase. While this was never guaranteed, there is general agreement that further work is needed to secure sustainability of project approaches and lasting impact for beneficiaries</w:t>
      </w:r>
      <w:r w:rsidR="00E73567">
        <w:t xml:space="preserve">. Strong foundations of knowledge, skills and capacities have been established but less than three years in </w:t>
      </w:r>
      <w:r w:rsidR="00C7029A">
        <w:t xml:space="preserve">they have </w:t>
      </w:r>
      <w:r w:rsidR="00E73567">
        <w:t>not</w:t>
      </w:r>
      <w:r w:rsidR="00C7029A">
        <w:t xml:space="preserve"> been in place</w:t>
      </w:r>
      <w:r w:rsidR="00E73567">
        <w:t xml:space="preserve"> enough to see the outcomes and impacts of these achievements</w:t>
      </w:r>
      <w:r>
        <w:t>. The least useful action at a program level would be to stop now while there is so much opportunity to consolidate, continue and build on successes and established partnerships, goodwill and networks.</w:t>
      </w:r>
    </w:p>
    <w:p w:rsidR="00495773" w:rsidRDefault="00495773" w:rsidP="00495773">
      <w:pPr>
        <w:pStyle w:val="Heading1"/>
      </w:pPr>
      <w:bookmarkStart w:id="44" w:name="_Toc315694477"/>
      <w:r>
        <w:t>Lessons</w:t>
      </w:r>
      <w:r w:rsidR="004106A4">
        <w:t xml:space="preserve"> for future programs</w:t>
      </w:r>
      <w:bookmarkEnd w:id="44"/>
    </w:p>
    <w:p w:rsidR="00495773" w:rsidRDefault="00495773" w:rsidP="00495773">
      <w:r>
        <w:t xml:space="preserve">During interviews and focus group discussions, the evaluation team took the opportunity to ask program partners to reflect on what was learned during their experiences with CBCCAG, and what they would do differently next time. Their responses, </w:t>
      </w:r>
      <w:r w:rsidR="0009606E">
        <w:t>augmented by a review of project reports, evaluations and case studies</w:t>
      </w:r>
      <w:r>
        <w:t>, represent a strong endorsement of the main approaches as well as valuable lessons for future programming:</w:t>
      </w:r>
    </w:p>
    <w:p w:rsidR="00495773" w:rsidRDefault="0058096E" w:rsidP="00495773">
      <w:r>
        <w:rPr>
          <w:b/>
          <w:i/>
        </w:rPr>
        <w:t xml:space="preserve">Extend </w:t>
      </w:r>
      <w:r w:rsidR="00495773">
        <w:rPr>
          <w:b/>
          <w:i/>
        </w:rPr>
        <w:t>timeframes</w:t>
      </w:r>
    </w:p>
    <w:p w:rsidR="00541E37" w:rsidRDefault="00541E37" w:rsidP="00495773">
      <w:r>
        <w:t>The p</w:t>
      </w:r>
      <w:r w:rsidR="00495773">
        <w:t xml:space="preserve">rojects progressively built on the work, experiences and networks of partners in the target locations. They didn’t start from scratch. </w:t>
      </w:r>
      <w:r w:rsidR="00D72314">
        <w:t xml:space="preserve">In the timeframe available for implementation (less than three years), they were able to engage communities and build knowledge and skills about climate change risks and vulnerabilities. They facilitated participatory planning and community-led identification of options to build resilience and deliver short-term development benefits. They tested priority options and lay important institutional foundations for continued community engagement in adaptation planning and action. They also built advocacy skills and connections between communities and government. </w:t>
      </w:r>
    </w:p>
    <w:p w:rsidR="001D03F0" w:rsidRDefault="00541E37" w:rsidP="00495773">
      <w:r>
        <w:t xml:space="preserve">However, the timeframe was not sufficient </w:t>
      </w:r>
      <w:r w:rsidR="007E407A">
        <w:t>to fully test, monitor and document</w:t>
      </w:r>
      <w:r w:rsidR="00D90A54">
        <w:t xml:space="preserve"> the options</w:t>
      </w:r>
      <w:r w:rsidR="00D72314">
        <w:t>,</w:t>
      </w:r>
      <w:r>
        <w:t xml:space="preserve"> </w:t>
      </w:r>
      <w:r w:rsidR="004F300C">
        <w:t xml:space="preserve">allow </w:t>
      </w:r>
      <w:r>
        <w:t>successful activities</w:t>
      </w:r>
      <w:r w:rsidR="00D72314">
        <w:t xml:space="preserve"> to be widely adopted</w:t>
      </w:r>
      <w:r>
        <w:t xml:space="preserve"> or achieve</w:t>
      </w:r>
      <w:r w:rsidR="007E407A">
        <w:t xml:space="preserve"> change and</w:t>
      </w:r>
      <w:r>
        <w:t xml:space="preserve"> impact at scale. In livelihoods work, the timeframe only allowed for two seasons and </w:t>
      </w:r>
      <w:r w:rsidR="00D90A54">
        <w:t xml:space="preserve">coherent </w:t>
      </w:r>
      <w:r>
        <w:t xml:space="preserve">results were only emerging as the projects came to a close. </w:t>
      </w:r>
    </w:p>
    <w:p w:rsidR="00906A1E" w:rsidRDefault="00541E37" w:rsidP="00495773">
      <w:r>
        <w:t xml:space="preserve">Longer timeframes are needed in </w:t>
      </w:r>
      <w:r w:rsidR="004F300C">
        <w:t xml:space="preserve">CBA </w:t>
      </w:r>
      <w:r>
        <w:t>to establish firm relationships with government and other partners, to influence local development planning, and to access fun</w:t>
      </w:r>
      <w:r w:rsidR="00906A1E">
        <w:t>ding streams for implementation:</w:t>
      </w:r>
    </w:p>
    <w:p w:rsidR="00983817" w:rsidRPr="001D03F0" w:rsidRDefault="00906A1E" w:rsidP="001D03F0">
      <w:pPr>
        <w:ind w:left="720"/>
        <w:rPr>
          <w:i/>
        </w:rPr>
      </w:pPr>
      <w:r>
        <w:rPr>
          <w:i/>
        </w:rPr>
        <w:t xml:space="preserve">‘There are a lot of challenges happening, different parties and different views. We are only 1.5 years into the project – it’s not long enough </w:t>
      </w:r>
      <w:r w:rsidR="00972FC8">
        <w:rPr>
          <w:i/>
        </w:rPr>
        <w:t>to bring about lasting change.’</w:t>
      </w:r>
      <w:r>
        <w:rPr>
          <w:i/>
        </w:rPr>
        <w:t xml:space="preserve"> </w:t>
      </w:r>
      <w:r w:rsidR="00972FC8">
        <w:rPr>
          <w:i/>
        </w:rPr>
        <w:t>–</w:t>
      </w:r>
      <w:r>
        <w:rPr>
          <w:i/>
        </w:rPr>
        <w:t xml:space="preserve"> </w:t>
      </w:r>
      <w:r w:rsidR="004F300C">
        <w:t>p</w:t>
      </w:r>
      <w:r w:rsidR="00972FC8">
        <w:t>rogram partner</w:t>
      </w:r>
      <w:r w:rsidR="0058096E">
        <w:t xml:space="preserve">, </w:t>
      </w:r>
      <w:r w:rsidRPr="00906A1E">
        <w:t>Oxfam</w:t>
      </w:r>
      <w:r w:rsidR="004F300C">
        <w:t>,</w:t>
      </w:r>
      <w:r w:rsidRPr="00906A1E">
        <w:t xml:space="preserve"> T</w:t>
      </w:r>
      <w:r>
        <w:t>imor</w:t>
      </w:r>
      <w:r w:rsidR="005248F8">
        <w:t>-</w:t>
      </w:r>
      <w:r w:rsidRPr="00906A1E">
        <w:t>L</w:t>
      </w:r>
      <w:r>
        <w:t>este</w:t>
      </w:r>
    </w:p>
    <w:p w:rsidR="00D919D9" w:rsidRDefault="00A80A55" w:rsidP="00997251">
      <w:r>
        <w:rPr>
          <w:b/>
          <w:i/>
        </w:rPr>
        <w:t>Deepen knowledge and experiences</w:t>
      </w:r>
    </w:p>
    <w:p w:rsidR="00D90A54" w:rsidRDefault="00D919D9" w:rsidP="00997251">
      <w:r>
        <w:t>Through collaborations with a range of partners, projects were able to achieve an extensive geographic reach and test approaches in several contexts. For example, the Oxfam Philippines project operated in 18 municipalities across eight provinces of Mindanao, where 12,000 households participated in risk assessments and training and 8,000 people were involved in livelihoods work. The Oxfam Timor-Leste project targeted 132 communities in four districts. This strategy enabled the projects to build a substantial evidence base within the target localities and for possible wider application</w:t>
      </w:r>
      <w:r w:rsidR="00A80A55">
        <w:t>, but also presented challenges of achieving depth in each location.</w:t>
      </w:r>
    </w:p>
    <w:p w:rsidR="00EF0D5A" w:rsidRDefault="00EF0D5A" w:rsidP="00EF0D5A">
      <w:r>
        <w:t xml:space="preserve">For future work, the priority should be to build on these foundations of knowledge, awareness and skills, and emerging partnerships and networks with government. This will deepen people’s knowledge and experiences, continue to develop capacities of partners and communities, and enable results, outcomes and impacts to be monitored and documented over time. </w:t>
      </w:r>
    </w:p>
    <w:p w:rsidR="00742F91" w:rsidRDefault="00742F91" w:rsidP="00742F91">
      <w:r w:rsidRPr="00EF2529">
        <w:rPr>
          <w:b/>
          <w:i/>
        </w:rPr>
        <w:t>Consolidate the evidence base</w:t>
      </w:r>
    </w:p>
    <w:p w:rsidR="00742F91" w:rsidRDefault="00742F91" w:rsidP="00742F91">
      <w:r>
        <w:t>The projects have individually and collectively produced a large volume of material</w:t>
      </w:r>
      <w:r w:rsidR="00B35D21">
        <w:t xml:space="preserve"> such as </w:t>
      </w:r>
      <w:r>
        <w:t>case studies, evaluation reports, project reports, think pieces, videos, training materials and manuals</w:t>
      </w:r>
      <w:r w:rsidR="00B35D21">
        <w:t>. These are</w:t>
      </w:r>
      <w:r>
        <w:t xml:space="preserve"> currently housed in different locations. Some have begun to consolidate their approaches and experiences into ‘models’ for wider use. </w:t>
      </w:r>
    </w:p>
    <w:p w:rsidR="00742F91" w:rsidRDefault="00742F91" w:rsidP="00997251">
      <w:r>
        <w:t>All of this material is useful, but it must be consolidated, analysed and made available to really achieve the value-add offered by</w:t>
      </w:r>
      <w:r w:rsidR="005E2AC1">
        <w:t xml:space="preserve"> the program-level investment. </w:t>
      </w:r>
      <w:r>
        <w:t>This value lies in informing future programs and to contributing to the global discussion and methodol</w:t>
      </w:r>
      <w:r w:rsidR="001D03F0">
        <w:t xml:space="preserve">ogical development in </w:t>
      </w:r>
      <w:r w:rsidR="00F024B1">
        <w:t>CBA</w:t>
      </w:r>
      <w:r>
        <w:t>. With many projects operating around the world, and with a particular focus of global activity in the Pacific</w:t>
      </w:r>
      <w:r w:rsidR="00983388">
        <w:t xml:space="preserve"> Region</w:t>
      </w:r>
      <w:r>
        <w:t xml:space="preserve">, it is important that </w:t>
      </w:r>
      <w:r w:rsidR="00707849">
        <w:t xml:space="preserve">the </w:t>
      </w:r>
      <w:r>
        <w:t>knowledge is shared and duplication and overlap are avoided.</w:t>
      </w:r>
    </w:p>
    <w:p w:rsidR="0012711B" w:rsidRDefault="0012711B" w:rsidP="00997251">
      <w:r>
        <w:rPr>
          <w:b/>
          <w:i/>
        </w:rPr>
        <w:t>Continue the community development lens</w:t>
      </w:r>
    </w:p>
    <w:p w:rsidR="00F65464" w:rsidRDefault="005C752E" w:rsidP="00997251">
      <w:r>
        <w:t xml:space="preserve">Projects provided access to scientific knowledge and technical expertise relevant to climate change via a range of connections (through the lead partners, local government extension workers, partner country technical agencies and external experts). </w:t>
      </w:r>
      <w:r w:rsidR="00000FCA">
        <w:t>The community development</w:t>
      </w:r>
      <w:r>
        <w:t xml:space="preserve"> lens adopted by the project teams</w:t>
      </w:r>
      <w:r w:rsidR="00000FCA">
        <w:t xml:space="preserve"> enabled the knowledge and skills to be introduced in the context of development issues that are important to communities (e.g. food and wate</w:t>
      </w:r>
      <w:r>
        <w:t xml:space="preserve">r security, health and income). </w:t>
      </w:r>
    </w:p>
    <w:p w:rsidR="0012711B" w:rsidRDefault="00000FCA" w:rsidP="00997251">
      <w:r>
        <w:t xml:space="preserve">This approach was appropriate and successful. </w:t>
      </w:r>
      <w:r w:rsidR="005C752E">
        <w:t>The natural resource management, resource use efficiency and ecosystems services technologies/mechanisms introduced by the projects provided options that were complementary to achieving resilience in existing livelihood systems.</w:t>
      </w:r>
    </w:p>
    <w:p w:rsidR="00100698" w:rsidRDefault="00000FCA" w:rsidP="00997251">
      <w:r>
        <w:t xml:space="preserve">Communities took ownership and consolidated new knowledge </w:t>
      </w:r>
      <w:r w:rsidR="00C15C7F">
        <w:t>with their extensive local know</w:t>
      </w:r>
      <w:r>
        <w:t xml:space="preserve">how to discuss their vulnerabilities and identify priority options for reducing the risks </w:t>
      </w:r>
      <w:r w:rsidR="00DB4263">
        <w:t xml:space="preserve">and building resilience in </w:t>
      </w:r>
      <w:r>
        <w:t xml:space="preserve">their lives and livelihoods. They tested options and </w:t>
      </w:r>
      <w:r w:rsidR="00F65464">
        <w:t xml:space="preserve">adopted </w:t>
      </w:r>
      <w:r>
        <w:t>new technologies</w:t>
      </w:r>
      <w:r w:rsidR="00DB4263">
        <w:t xml:space="preserve"> to improve productivity, </w:t>
      </w:r>
      <w:r w:rsidR="00100698">
        <w:t>use resources more efficiently</w:t>
      </w:r>
      <w:r w:rsidR="00B476A6">
        <w:t xml:space="preserve"> </w:t>
      </w:r>
      <w:r w:rsidR="00F024B1">
        <w:t xml:space="preserve">and </w:t>
      </w:r>
      <w:r w:rsidR="00DB4263">
        <w:t xml:space="preserve">diversify and </w:t>
      </w:r>
      <w:r w:rsidR="00100698">
        <w:t xml:space="preserve">insure their livelihoods in a changing climate. </w:t>
      </w:r>
    </w:p>
    <w:p w:rsidR="0012711B" w:rsidRDefault="0012711B" w:rsidP="00997251">
      <w:r>
        <w:rPr>
          <w:b/>
          <w:i/>
        </w:rPr>
        <w:t>Deepen technical knowledge and skills</w:t>
      </w:r>
    </w:p>
    <w:p w:rsidR="00100698" w:rsidRDefault="00000FCA" w:rsidP="00997251">
      <w:r>
        <w:t xml:space="preserve">Technical expertise was often essential in this process to ensure </w:t>
      </w:r>
      <w:r w:rsidR="00100698">
        <w:t>that communities had good information on which to base their decisions, especially in relation to new technologies. Without adequate expertise, activities invested in by communities may not be proportionate to the risks, deliver the best benefits in the short term or</w:t>
      </w:r>
      <w:r w:rsidR="00D42761">
        <w:t xml:space="preserve"> </w:t>
      </w:r>
      <w:r w:rsidR="00100698">
        <w:t>impact longer-term resilience.</w:t>
      </w:r>
      <w:r w:rsidR="00B5127C">
        <w:t xml:space="preserve"> This risk will reduce as communities learn more about climate change and gain knowledge from testing a range of options.</w:t>
      </w:r>
    </w:p>
    <w:p w:rsidR="00F41631" w:rsidRDefault="00100698" w:rsidP="00997251">
      <w:r>
        <w:t xml:space="preserve">Reliance on local technical expertise is often not enough to meet the needs of communities for good information and advice. Local extension workers should be engaged so that they can benefit from knowledge and capacity building, but additional specific expertise is commonly needed. </w:t>
      </w:r>
      <w:r w:rsidR="00CD4E8F">
        <w:t>Consortia such as those in the CBCCAG</w:t>
      </w:r>
      <w:r w:rsidR="00483DA2">
        <w:t xml:space="preserve"> program</w:t>
      </w:r>
      <w:r w:rsidR="00CD4E8F">
        <w:t xml:space="preserve"> are well placed to access specialist expertise from within their organisations and through their networks</w:t>
      </w:r>
      <w:r>
        <w:t xml:space="preserve">. </w:t>
      </w:r>
    </w:p>
    <w:p w:rsidR="00B8752E" w:rsidRDefault="00135607" w:rsidP="00997251">
      <w:r>
        <w:t xml:space="preserve">Knowledge alone will not create change. </w:t>
      </w:r>
      <w:r w:rsidR="00F41631">
        <w:t xml:space="preserve">Care is needed </w:t>
      </w:r>
      <w:r>
        <w:t>in introducing it</w:t>
      </w:r>
      <w:r w:rsidR="00F41631">
        <w:t>. Knowledge tends to be sought after, can confer social status</w:t>
      </w:r>
      <w:r w:rsidR="00DF3D9A">
        <w:t>,</w:t>
      </w:r>
      <w:r w:rsidR="00F41631">
        <w:t xml:space="preserve"> and can impact on the dynamics of communities. In some cases, this can be positive, for example in engendering respect and bringing women to leadership roles, and in creating local champions. However, it is not until a critical </w:t>
      </w:r>
      <w:r w:rsidR="00483DA2">
        <w:t>level of</w:t>
      </w:r>
      <w:r w:rsidR="00F41631">
        <w:t xml:space="preserve"> knowledge and awareness is achieved that </w:t>
      </w:r>
      <w:r w:rsidR="00A43387">
        <w:t>change will occur</w:t>
      </w:r>
      <w:r w:rsidR="00DC71F8">
        <w:t>: the knowledge becomes imbedded, individuals invest and</w:t>
      </w:r>
      <w:r w:rsidR="00A43387">
        <w:t xml:space="preserve"> new approaches </w:t>
      </w:r>
      <w:r w:rsidR="00DC71F8">
        <w:t>are adopted</w:t>
      </w:r>
      <w:r w:rsidR="00A43387">
        <w:t>.</w:t>
      </w:r>
      <w:r w:rsidR="008F1FC0">
        <w:t xml:space="preserve"> This process takes time – </w:t>
      </w:r>
      <w:r w:rsidR="00DF3D9A">
        <w:t>often many years</w:t>
      </w:r>
      <w:r w:rsidR="008F1FC0">
        <w:t>.</w:t>
      </w:r>
    </w:p>
    <w:p w:rsidR="00904013" w:rsidRPr="00904013" w:rsidRDefault="00904013" w:rsidP="00997251">
      <w:pPr>
        <w:rPr>
          <w:b/>
          <w:i/>
        </w:rPr>
      </w:pPr>
      <w:r>
        <w:rPr>
          <w:b/>
          <w:i/>
        </w:rPr>
        <w:t>Find/build knowledge brokers</w:t>
      </w:r>
    </w:p>
    <w:p w:rsidR="009A115D" w:rsidRDefault="009A115D" w:rsidP="00997251">
      <w:r>
        <w:t xml:space="preserve">Getting access to </w:t>
      </w:r>
      <w:r w:rsidR="00482B3D">
        <w:t>climate change</w:t>
      </w:r>
      <w:r>
        <w:t xml:space="preserve"> information for communities is difficult. Information is commonly housed with different agencies </w:t>
      </w:r>
      <w:r w:rsidR="00D86C0C">
        <w:t>and information management systems are disjointed</w:t>
      </w:r>
      <w:r w:rsidR="00FC29B0">
        <w:t xml:space="preserve"> between national and local levels</w:t>
      </w:r>
      <w:r w:rsidR="00D86C0C">
        <w:t xml:space="preserve">. </w:t>
      </w:r>
      <w:r w:rsidR="00FC29B0">
        <w:t>Language</w:t>
      </w:r>
      <w:r w:rsidR="00453247">
        <w:t xml:space="preserve"> and literacy barriers</w:t>
      </w:r>
      <w:r w:rsidR="00FC29B0">
        <w:t>,</w:t>
      </w:r>
      <w:r w:rsidR="00453247">
        <w:t xml:space="preserve"> and </w:t>
      </w:r>
      <w:r w:rsidR="00FC29B0">
        <w:t xml:space="preserve">poor communication technology, limit </w:t>
      </w:r>
      <w:r w:rsidR="00482B3D">
        <w:t xml:space="preserve">its </w:t>
      </w:r>
      <w:r w:rsidR="00FC29B0">
        <w:t xml:space="preserve">accessibility. </w:t>
      </w:r>
      <w:r w:rsidR="00494D7A">
        <w:t>Where climate change information is available, it is often in scientific forms and highly technical.</w:t>
      </w:r>
      <w:r w:rsidR="0053024E">
        <w:t xml:space="preserve"> Technical agencies lack capacities to tailor it to audiences</w:t>
      </w:r>
      <w:r w:rsidR="00FC29B0">
        <w:t>, particularly at local levels</w:t>
      </w:r>
      <w:r w:rsidR="0053024E">
        <w:t>.</w:t>
      </w:r>
    </w:p>
    <w:p w:rsidR="006B4F85" w:rsidRDefault="00B8752E" w:rsidP="00997251">
      <w:r>
        <w:t>Finding effective ways to translate complex technical information into forms that make sense in the local context is essential in the ongoing development of community a</w:t>
      </w:r>
      <w:r w:rsidR="006B4F85">
        <w:t xml:space="preserve">wareness and adaptation skills. </w:t>
      </w:r>
      <w:r>
        <w:t>The projects played an important role in brokering knowledge across the technical divide, making it available in forms that coul</w:t>
      </w:r>
      <w:r w:rsidR="00904013">
        <w:t xml:space="preserve">d be applied in local planning. </w:t>
      </w:r>
    </w:p>
    <w:p w:rsidR="003007D1" w:rsidRDefault="002A7B87" w:rsidP="00997251">
      <w:r>
        <w:t>The role that info</w:t>
      </w:r>
      <w:r w:rsidR="00F30990">
        <w:t>r</w:t>
      </w:r>
      <w:r>
        <w:t>med</w:t>
      </w:r>
      <w:r w:rsidR="00B8752E">
        <w:t xml:space="preserve"> children and youth can play as climate change messengers in their communities was demonstrated, and is likely to become increasingly effective as climate change </w:t>
      </w:r>
      <w:r w:rsidR="006B4F85">
        <w:t>is gradually integrated in school curricula and across the formal education system</w:t>
      </w:r>
      <w:r w:rsidR="00B8752E">
        <w:t>.</w:t>
      </w:r>
      <w:r w:rsidR="006C29AD">
        <w:t xml:space="preserve"> In the meantime, the role of knowledge broker needs to be filled. Local civil society groups are well placed for this role but need a greater depth of knowledge and skills to fully functi</w:t>
      </w:r>
      <w:r w:rsidR="002B5A64">
        <w:t>on as brokers to and from communities.</w:t>
      </w:r>
    </w:p>
    <w:p w:rsidR="003007D1" w:rsidRDefault="003007D1" w:rsidP="003007D1">
      <w:r>
        <w:rPr>
          <w:b/>
          <w:i/>
        </w:rPr>
        <w:t>Foster in</w:t>
      </w:r>
      <w:r w:rsidR="0066385A">
        <w:rPr>
          <w:b/>
          <w:i/>
        </w:rPr>
        <w:t>-</w:t>
      </w:r>
      <w:r>
        <w:rPr>
          <w:b/>
          <w:i/>
        </w:rPr>
        <w:t>built resilience</w:t>
      </w:r>
    </w:p>
    <w:p w:rsidR="00B5127C" w:rsidRDefault="00B8752E" w:rsidP="003007D1">
      <w:r>
        <w:t>Communities have extensive, deep knowledge about their resources and how best to manage them to sustain their livelihoods. In the target locations, communities have witnessed recent weather-related changes and have taken steps to adjust. They are best placed to identify livel</w:t>
      </w:r>
      <w:r w:rsidR="00EF2529">
        <w:t>ihood options and ways to adapt</w:t>
      </w:r>
      <w:r>
        <w:t xml:space="preserve"> and can do this when </w:t>
      </w:r>
      <w:r w:rsidR="00E9617D">
        <w:t>provided with suffi</w:t>
      </w:r>
      <w:r w:rsidR="00B5127C">
        <w:t>cient knowledge about the risks and technical advice about options.</w:t>
      </w:r>
      <w:r w:rsidR="00F9723A">
        <w:t xml:space="preserve"> The approaches employed by the projects enabled communities to take on board new knowledge in the context of their </w:t>
      </w:r>
      <w:r w:rsidR="00904013">
        <w:t xml:space="preserve">local knowledge and </w:t>
      </w:r>
      <w:r w:rsidR="00F9723A">
        <w:t>traditional knowhow.</w:t>
      </w:r>
    </w:p>
    <w:p w:rsidR="00F9723A" w:rsidRDefault="00B5127C" w:rsidP="003007D1">
      <w:r>
        <w:t>In many cases, the livelihoods of communities are already diverse and contain in-built res</w:t>
      </w:r>
      <w:r w:rsidR="00F9723A">
        <w:t xml:space="preserve">ilience to unreliable rainfall </w:t>
      </w:r>
      <w:r>
        <w:t>and extremes in weather, having evolved through the collective wisdom of famers dealing with droughts and floods, poor seasons</w:t>
      </w:r>
      <w:r w:rsidR="00483DA2">
        <w:t xml:space="preserve"> or</w:t>
      </w:r>
      <w:r>
        <w:t xml:space="preserve"> late wet seasons for many centuries. Climate change brings greater i</w:t>
      </w:r>
      <w:r w:rsidR="00F9723A">
        <w:t>ntensity and less reliability to</w:t>
      </w:r>
      <w:r>
        <w:t xml:space="preserve"> these events that farmers need to factor in to their planning. </w:t>
      </w:r>
      <w:r w:rsidR="00F9723A">
        <w:t xml:space="preserve">Communities </w:t>
      </w:r>
      <w:r>
        <w:t>need timely access to good information (short</w:t>
      </w:r>
      <w:r w:rsidR="00483DA2">
        <w:t>-</w:t>
      </w:r>
      <w:r>
        <w:t>ter</w:t>
      </w:r>
      <w:r w:rsidR="00F9723A">
        <w:t>m forecasts etc.) and an understanding of likely future trends so that they can adjust. This in</w:t>
      </w:r>
      <w:r w:rsidR="00217843">
        <w:t>-</w:t>
      </w:r>
      <w:r w:rsidR="00F9723A">
        <w:t xml:space="preserve">built resilience is fundamental to adaptation. Within it, there are substantial opportunities for improving efficiencies of resource use (e.g. water) and productivity and diversity of production systems to boost livelihoods and resilience. </w:t>
      </w:r>
    </w:p>
    <w:p w:rsidR="00997251" w:rsidRDefault="00F9723A" w:rsidP="00997251">
      <w:r>
        <w:t>Over</w:t>
      </w:r>
      <w:r w:rsidR="00483DA2">
        <w:t xml:space="preserve"> </w:t>
      </w:r>
      <w:r>
        <w:t xml:space="preserve">time (sooner rather than later </w:t>
      </w:r>
      <w:r w:rsidR="003A77C1">
        <w:t>in</w:t>
      </w:r>
      <w:r>
        <w:t xml:space="preserve"> some locations), the impacts of climate change will challenge livelihoods that are resilient today. Extreme floods and droughts already do</w:t>
      </w:r>
      <w:r w:rsidR="00904013">
        <w:t>, for a</w:t>
      </w:r>
      <w:r w:rsidR="00483DA2">
        <w:t>t</w:t>
      </w:r>
      <w:r w:rsidR="00904013">
        <w:t xml:space="preserve"> least a period of recovery. Adaptation in some contexts means or will mean migration to less vulnerable areas. Community</w:t>
      </w:r>
      <w:r w:rsidR="00483DA2">
        <w:t>-</w:t>
      </w:r>
      <w:r w:rsidR="00904013">
        <w:t>based approaches need to be adapt</w:t>
      </w:r>
      <w:r w:rsidR="003A77C1">
        <w:t>ive to these different contexts, acknowledging that communities will need external investment and support to</w:t>
      </w:r>
      <w:r w:rsidR="00483DA2">
        <w:t xml:space="preserve"> </w:t>
      </w:r>
      <w:r w:rsidR="003A77C1">
        <w:t>avoid the worst impacts and manage extreme risks.</w:t>
      </w:r>
    </w:p>
    <w:p w:rsidR="00F41631" w:rsidRDefault="00F41631" w:rsidP="00C877B6">
      <w:pPr>
        <w:rPr>
          <w:b/>
          <w:i/>
        </w:rPr>
      </w:pPr>
      <w:r>
        <w:rPr>
          <w:b/>
          <w:i/>
        </w:rPr>
        <w:t>Work within local governance structures</w:t>
      </w:r>
    </w:p>
    <w:p w:rsidR="006512DF" w:rsidRDefault="00F41631" w:rsidP="00C877B6">
      <w:r>
        <w:t>Communities tend to be organised around the issues that are of concern to them (e.g. farmer groups, water groups</w:t>
      </w:r>
      <w:r w:rsidR="00FE04A9">
        <w:t xml:space="preserve"> and </w:t>
      </w:r>
      <w:r>
        <w:t xml:space="preserve">church groups). Working within these structures is an effective way of engaging, although it is often necessary to also create new </w:t>
      </w:r>
      <w:r w:rsidR="00FE5049">
        <w:t>spaces</w:t>
      </w:r>
      <w:r>
        <w:t xml:space="preserve"> for engaging groups such as women</w:t>
      </w:r>
      <w:r w:rsidR="007D0EAB">
        <w:t xml:space="preserve">, </w:t>
      </w:r>
      <w:r>
        <w:t>children/youth</w:t>
      </w:r>
      <w:r w:rsidR="007D0EAB">
        <w:t xml:space="preserve"> </w:t>
      </w:r>
      <w:r>
        <w:t>and people with disabilities in forums where they feel more comfortable</w:t>
      </w:r>
      <w:r w:rsidR="00FE04A9">
        <w:t xml:space="preserve"> and</w:t>
      </w:r>
      <w:r>
        <w:t xml:space="preserve"> able to contribute. </w:t>
      </w:r>
      <w:r w:rsidR="006512DF">
        <w:t xml:space="preserve">These forums must be </w:t>
      </w:r>
      <w:r w:rsidR="00FE5049">
        <w:t xml:space="preserve">connected </w:t>
      </w:r>
      <w:r w:rsidR="006512DF">
        <w:t>to mainstream community</w:t>
      </w:r>
      <w:r w:rsidR="00641C18">
        <w:t xml:space="preserve"> decision-</w:t>
      </w:r>
      <w:r w:rsidR="006512DF">
        <w:t xml:space="preserve">making </w:t>
      </w:r>
      <w:r w:rsidR="00641C18">
        <w:t xml:space="preserve">and development mechanisms </w:t>
      </w:r>
      <w:r w:rsidR="006512DF">
        <w:t>to be effective.</w:t>
      </w:r>
    </w:p>
    <w:p w:rsidR="00FE04A9" w:rsidRPr="00F41631" w:rsidRDefault="00FE04A9" w:rsidP="00FE04A9">
      <w:r>
        <w:t>Community organisations are commonly linked into local government development planning systems (e.g. through dedicated community development programs) and can access funds. While many local governments prioritise income-generating activities such as small-scale construction, roads and water supply through these links, they have an additional opportunity to integrate community priorities to build resilience to climate change. Moreover, they would benefit overall from taking account of weather and climate risks in the activities they fund.</w:t>
      </w:r>
    </w:p>
    <w:p w:rsidR="004E300F" w:rsidRDefault="004E300F" w:rsidP="004E300F">
      <w:r>
        <w:rPr>
          <w:b/>
          <w:i/>
        </w:rPr>
        <w:t>Engage inclusively</w:t>
      </w:r>
    </w:p>
    <w:p w:rsidR="001148E8" w:rsidRDefault="004E300F" w:rsidP="004E300F">
      <w:r>
        <w:t xml:space="preserve">Within community governance structures, there are opportunities to engage inclusively. </w:t>
      </w:r>
      <w:r w:rsidR="001148E8">
        <w:t>This is important because different groups in the community have different vulnerabilities and skills</w:t>
      </w:r>
      <w:r w:rsidR="00C1679A">
        <w:t>,</w:t>
      </w:r>
      <w:r w:rsidR="001148E8">
        <w:t xml:space="preserve"> which all need to be represented and taken into account in community resilience building</w:t>
      </w:r>
      <w:r w:rsidR="00C1679A">
        <w:t>. Ot</w:t>
      </w:r>
      <w:r w:rsidR="001148E8">
        <w:t xml:space="preserve">herwise some major risks and opportunities will be missed. </w:t>
      </w:r>
    </w:p>
    <w:p w:rsidR="00FE04A9" w:rsidRDefault="00FE04A9" w:rsidP="00FE04A9">
      <w:r>
        <w:t>Working with traditional mandates can be effective (e.g. engaging village chiefs and convincing them to encourage participation) but may not generate the demand or space for ongoing participation. Targeting activities to the specific roles of groups that find it difficult to engage through traditional decision-m</w:t>
      </w:r>
      <w:r w:rsidR="00535B10">
        <w:t xml:space="preserve">aking platforms seems to be effective. </w:t>
      </w:r>
      <w:r>
        <w:t>For example, working with women to develop and diversify kitchen gardens, strengthening their marketing and financial skills to generate and manage income from surplus produce, directly benefits women. It also benefits the wider community through women’s roles in family nutrition and health, and in providing funds for children’s education, arguably one of the most effective adaptation options currently available to many communities.</w:t>
      </w:r>
    </w:p>
    <w:p w:rsidR="004E300F" w:rsidRDefault="0006415D" w:rsidP="004E300F">
      <w:r>
        <w:t xml:space="preserve">Applying similar approaches should be tested for engaging people with disabilities and other disadvantaged groups. All have roles in the community that will be important in developing resilience, and require specific support to reduce their vulnerabilities and risks. </w:t>
      </w:r>
    </w:p>
    <w:p w:rsidR="00C877B6" w:rsidRDefault="00C877B6" w:rsidP="00C877B6">
      <w:r>
        <w:rPr>
          <w:b/>
          <w:i/>
        </w:rPr>
        <w:t>Be realistic about partnerships with government</w:t>
      </w:r>
    </w:p>
    <w:p w:rsidR="00526ACB" w:rsidRDefault="00C877B6" w:rsidP="00C877B6">
      <w:r>
        <w:t xml:space="preserve">Partnerships with government took longer than expected to establish and yield results. Getting engagement in project activities can be achieved through mechanisms such as working groups and committees, but maintaining connections with communities and ensuring that these partnerships offer benefits both ways is challenging. In many target locations, local government is the most appropriate level to partner with, having the mandates for community development. However, </w:t>
      </w:r>
      <w:r w:rsidR="00AE4883">
        <w:t xml:space="preserve">it </w:t>
      </w:r>
      <w:r>
        <w:t>commonly lack</w:t>
      </w:r>
      <w:r w:rsidR="00AE4883">
        <w:t>s</w:t>
      </w:r>
      <w:r>
        <w:t xml:space="preserve"> skills and resources to support </w:t>
      </w:r>
      <w:r w:rsidR="00AE3C9A">
        <w:t>CBA</w:t>
      </w:r>
      <w:r>
        <w:t xml:space="preserve">. </w:t>
      </w:r>
      <w:r w:rsidR="00AE4883">
        <w:t>It is</w:t>
      </w:r>
      <w:r>
        <w:t xml:space="preserve"> more concerned with </w:t>
      </w:r>
      <w:r w:rsidR="00526ACB">
        <w:t xml:space="preserve">short-term </w:t>
      </w:r>
      <w:r>
        <w:t>local development issues</w:t>
      </w:r>
      <w:r w:rsidR="00526ACB">
        <w:t>, often dictated by political administrations. Longer-term issues tend to be given lower priority. Climate change is rarely integrated in local development planning and accessing budgets for implementation is difficult.</w:t>
      </w:r>
    </w:p>
    <w:p w:rsidR="009F78CB" w:rsidRDefault="00526ACB" w:rsidP="00C877B6">
      <w:r>
        <w:t>Wherever possible, it is important to work with existing community development planning systems, facilitating adaptation planning as part of these processes and not as separate exercises. In some locations, this approach has enabled access to mainstream community development funding programs for implementation of resilience-building activities. Working outside these systems can achieve success if local government champions emerge and support project activities, but this is unlikely to be sustainable.</w:t>
      </w:r>
    </w:p>
    <w:p w:rsidR="009F78CB" w:rsidRDefault="009F78CB" w:rsidP="00C877B6">
      <w:r>
        <w:rPr>
          <w:b/>
          <w:i/>
        </w:rPr>
        <w:t>Engage at complementary scales</w:t>
      </w:r>
    </w:p>
    <w:p w:rsidR="001A1E1E" w:rsidRDefault="009F78CB" w:rsidP="00C877B6">
      <w:r>
        <w:t xml:space="preserve">Community development work is by its nature small scale and local. </w:t>
      </w:r>
      <w:r w:rsidR="001A1E1E">
        <w:t xml:space="preserve">Engagement with government provides mechanisms for scaling out successful approaches to other communities and areas. </w:t>
      </w:r>
      <w:r w:rsidR="004D2702">
        <w:t>The private sector also offers potential for supporting scaling out.</w:t>
      </w:r>
    </w:p>
    <w:p w:rsidR="004D2702" w:rsidRDefault="009F78CB" w:rsidP="00C877B6">
      <w:r>
        <w:t>In engaging with government</w:t>
      </w:r>
      <w:r w:rsidR="004D2702">
        <w:t xml:space="preserve"> and the private sector</w:t>
      </w:r>
      <w:r w:rsidR="001A1E1E">
        <w:t>, as well as looking for wider adoption,</w:t>
      </w:r>
      <w:r>
        <w:t xml:space="preserve"> it is important to seek out opportunities</w:t>
      </w:r>
      <w:r w:rsidR="001A1E1E">
        <w:t xml:space="preserve"> </w:t>
      </w:r>
      <w:r>
        <w:t>to build climate change int</w:t>
      </w:r>
      <w:r w:rsidR="001A1E1E">
        <w:t xml:space="preserve">o planning </w:t>
      </w:r>
      <w:r w:rsidR="004D2702">
        <w:t xml:space="preserve">and development </w:t>
      </w:r>
      <w:r w:rsidR="001A1E1E">
        <w:t xml:space="preserve">systems at different scales. Otherwise, the work at community level can be undermined by failures to address larger systemic issues (such as flood control infrastructure) and development that works against community resilience. </w:t>
      </w:r>
    </w:p>
    <w:p w:rsidR="004D2702" w:rsidRDefault="001A1E1E" w:rsidP="004D2702">
      <w:r>
        <w:t>Complementary development at community, local and landscape scales can reinforce resilience building in communities, for example by providing communities with infrastructure (e.g. roads, flood control</w:t>
      </w:r>
      <w:r w:rsidR="00AE3C9A">
        <w:t xml:space="preserve"> and</w:t>
      </w:r>
      <w:r>
        <w:t xml:space="preserve"> water supply) that they need to secure their livelihoods, and ongoing access to weather and climate information and skills. </w:t>
      </w:r>
      <w:r w:rsidR="004D2702">
        <w:t>With the private sector, there are opportunities to collaborate on supply chain development to support community resilience (e.g. in supply of organic pesticides and fertiliser, seeds for drought</w:t>
      </w:r>
      <w:r w:rsidR="00AE3C9A">
        <w:t>-</w:t>
      </w:r>
      <w:r w:rsidR="004D2702">
        <w:t>tolerant plants, and equipment for conservation farming) and opening up markets for diversified cropping systems and new enterprises.</w:t>
      </w:r>
    </w:p>
    <w:p w:rsidR="00C877B6" w:rsidRDefault="001A1E1E" w:rsidP="00C877B6">
      <w:r>
        <w:t>While many target locations are a long distance from these outcomes, advocacy, demonstrations and facilitating representation from communities are all helpful towards achieving them.</w:t>
      </w:r>
    </w:p>
    <w:p w:rsidR="00135607" w:rsidRPr="00135607" w:rsidRDefault="006F1F64" w:rsidP="006F1F64">
      <w:pPr>
        <w:rPr>
          <w:b/>
          <w:i/>
        </w:rPr>
      </w:pPr>
      <w:r>
        <w:rPr>
          <w:b/>
          <w:i/>
        </w:rPr>
        <w:t>Continue the consortium model</w:t>
      </w:r>
    </w:p>
    <w:p w:rsidR="006F1F64" w:rsidRDefault="006F1F64" w:rsidP="006F1F64">
      <w:r>
        <w:t xml:space="preserve">Partners engaged through consortia found the model to be efficient (with lead agencies providing administrative functions, leaving </w:t>
      </w:r>
      <w:r w:rsidR="00EF2529">
        <w:t xml:space="preserve">local </w:t>
      </w:r>
      <w:r>
        <w:t xml:space="preserve">partners to get on with implementation) and effective (enabling sharing of tools and skills, and capacity building for local partners). Constructive upfront discussions between partners at design stage would help to coordinate and make the best of their different roles and skill sets. </w:t>
      </w:r>
    </w:p>
    <w:p w:rsidR="006F1F64" w:rsidRDefault="006F1F64" w:rsidP="006F1F64">
      <w:r>
        <w:rPr>
          <w:b/>
          <w:i/>
        </w:rPr>
        <w:t>Build local capacities</w:t>
      </w:r>
    </w:p>
    <w:p w:rsidR="006F1F64" w:rsidRDefault="006F1F64" w:rsidP="006F1F64">
      <w:r>
        <w:t xml:space="preserve">The consortium model will be even more efficient and effective as more and more responsibility can be handed to local partners. Building their capacity will help to ensure that the work continues and is responsive and relevant to local needs. It pays off in the long run even if costly to start with. </w:t>
      </w:r>
    </w:p>
    <w:p w:rsidR="006F1F64" w:rsidRDefault="006F1F64" w:rsidP="006F1F64">
      <w:r>
        <w:t>Supporting local partners through good coordination, sharing of new methods and technologies</w:t>
      </w:r>
      <w:r w:rsidR="00B35152">
        <w:t xml:space="preserve"> </w:t>
      </w:r>
      <w:r>
        <w:t>and providing access to wider networks</w:t>
      </w:r>
      <w:r w:rsidR="00B35152">
        <w:t xml:space="preserve"> </w:t>
      </w:r>
      <w:r>
        <w:t>is a</w:t>
      </w:r>
      <w:r w:rsidR="00B35152">
        <w:t>n</w:t>
      </w:r>
      <w:r>
        <w:t xml:space="preserve"> effective ongoing role for international NGOs to play.</w:t>
      </w:r>
    </w:p>
    <w:p w:rsidR="00DB5D07" w:rsidRDefault="000F5D17" w:rsidP="00495773">
      <w:r>
        <w:rPr>
          <w:b/>
          <w:i/>
        </w:rPr>
        <w:t>Coordinate</w:t>
      </w:r>
      <w:r w:rsidR="00DB5D07">
        <w:rPr>
          <w:b/>
          <w:i/>
        </w:rPr>
        <w:t xml:space="preserve"> </w:t>
      </w:r>
      <w:r w:rsidR="0058096E">
        <w:rPr>
          <w:b/>
          <w:i/>
        </w:rPr>
        <w:t>monitoring, evaluation and learning (MEL)</w:t>
      </w:r>
    </w:p>
    <w:p w:rsidR="00EF2529" w:rsidRDefault="00EF2529" w:rsidP="00EF2529">
      <w:r>
        <w:t xml:space="preserve">Monitoring and reporting of results for each project was conducted to meet reporting requirements. End-of-project evaluations were also carried out, which assessed progress against outcomes and objectives. Some projects built MEL capacities in local partners. </w:t>
      </w:r>
    </w:p>
    <w:p w:rsidR="00BE044C" w:rsidRDefault="005A594C" w:rsidP="00495773">
      <w:r>
        <w:t xml:space="preserve">However, at </w:t>
      </w:r>
      <w:r w:rsidR="000F5D17">
        <w:t xml:space="preserve">both consortia and </w:t>
      </w:r>
      <w:r>
        <w:t>program level</w:t>
      </w:r>
      <w:r w:rsidR="000F5D17">
        <w:t>s</w:t>
      </w:r>
      <w:r>
        <w:t>, MEL needs to be coordinated to ensure consistency and coherence of reporting across the projects and to provide data that can be aggregated under program</w:t>
      </w:r>
      <w:r w:rsidR="00EF2529">
        <w:t>-</w:t>
      </w:r>
      <w:r>
        <w:t xml:space="preserve">level outcomes. </w:t>
      </w:r>
      <w:r w:rsidR="000F5D17">
        <w:t xml:space="preserve">A </w:t>
      </w:r>
      <w:r>
        <w:t>program MEL framework developed under a clearly articulated theory of change</w:t>
      </w:r>
      <w:r w:rsidR="00EF2529">
        <w:t xml:space="preserve"> </w:t>
      </w:r>
      <w:r w:rsidR="000F5D17">
        <w:t>would be useful in guiding the development of project MEL systems</w:t>
      </w:r>
      <w:r>
        <w:t>.</w:t>
      </w:r>
      <w:r w:rsidR="000F5D17">
        <w:t xml:space="preserve"> At project level, it is important that all implementation partners are across the system and have access to specialist MEL expertise if needed. </w:t>
      </w:r>
      <w:r w:rsidR="006E29CA">
        <w:t>Baselines are essential, in addition to regular systematic monitoring. A balance of stories, case studies and anecdotal evidence with data on productivity</w:t>
      </w:r>
      <w:r w:rsidR="00EF2529">
        <w:t xml:space="preserve"> and</w:t>
      </w:r>
      <w:r w:rsidR="006E29CA">
        <w:t xml:space="preserve"> adoption rates</w:t>
      </w:r>
      <w:r w:rsidR="00EF2529">
        <w:t>, for example,</w:t>
      </w:r>
      <w:r w:rsidR="006E29CA">
        <w:t xml:space="preserve"> is needed</w:t>
      </w:r>
      <w:r w:rsidR="00212A5E">
        <w:t xml:space="preserve"> to inform evidence</w:t>
      </w:r>
      <w:r w:rsidR="00D43A5B">
        <w:t>-</w:t>
      </w:r>
      <w:r w:rsidR="00212A5E">
        <w:t>based reporting</w:t>
      </w:r>
      <w:r w:rsidR="006E29CA">
        <w:t>.</w:t>
      </w:r>
    </w:p>
    <w:p w:rsidR="00BE044C" w:rsidRDefault="000F5D17" w:rsidP="00495773">
      <w:r>
        <w:t>Someone in the consortium/partnership should have responsibility for coordinating monitoring, collating results and providing reports to managers</w:t>
      </w:r>
      <w:r w:rsidR="00212A5E">
        <w:t>. These should</w:t>
      </w:r>
      <w:r>
        <w:t xml:space="preserve"> inform project and progr</w:t>
      </w:r>
      <w:r w:rsidR="00BE044C">
        <w:t>am</w:t>
      </w:r>
      <w:r w:rsidR="00D43A5B">
        <w:t>-</w:t>
      </w:r>
      <w:r w:rsidR="00BE044C">
        <w:t xml:space="preserve">level reporting of progress against objectives </w:t>
      </w:r>
      <w:r w:rsidR="00212A5E">
        <w:t>and, where feasible, document</w:t>
      </w:r>
      <w:r w:rsidR="00BE044C">
        <w:t xml:space="preserve"> development impacts and benefits to people. Dedicated resources are needed for this role.</w:t>
      </w:r>
    </w:p>
    <w:p w:rsidR="00A529D8" w:rsidRDefault="00BE044C" w:rsidP="00495773">
      <w:r>
        <w:t xml:space="preserve">Project partners appreciated opportunities provided for reflection and learning. These included peer-to-peer and cross-country exchanges within projects, and the Nepal workshop, bringing </w:t>
      </w:r>
      <w:r w:rsidR="00A80A55">
        <w:t xml:space="preserve">partners </w:t>
      </w:r>
      <w:r>
        <w:t>together. There is widespread agreement that, given the remarkable synergies and possibilities for value-adding between projects, there should be more of these opportunities in future programs, both within projects and across the program. They should be properly resourced, facilitated and structured as learning activities to share experiences, lessons and approaches.</w:t>
      </w:r>
    </w:p>
    <w:p w:rsidR="00BE7858" w:rsidRDefault="00BE7858">
      <w:pPr>
        <w:spacing w:after="0"/>
        <w:sectPr w:rsidR="00BE7858">
          <w:headerReference w:type="even" r:id="rId24"/>
          <w:headerReference w:type="default" r:id="rId25"/>
          <w:footerReference w:type="even" r:id="rId26"/>
          <w:footerReference w:type="default" r:id="rId27"/>
          <w:headerReference w:type="first" r:id="rId28"/>
          <w:footerReference w:type="first" r:id="rId29"/>
          <w:pgSz w:w="11900" w:h="16840"/>
          <w:pgMar w:top="1440" w:right="1800" w:bottom="1440" w:left="1800" w:header="708" w:footer="708" w:gutter="0"/>
          <w:cols w:space="708"/>
        </w:sectPr>
      </w:pPr>
    </w:p>
    <w:p w:rsidR="007D7ADE" w:rsidRDefault="00D702B1" w:rsidP="00A80A55">
      <w:pPr>
        <w:pStyle w:val="Heading1"/>
      </w:pPr>
      <w:bookmarkStart w:id="45" w:name="_Toc315694478"/>
      <w:r>
        <w:t>Annex 1 Detailed evaluation plan</w:t>
      </w:r>
      <w:bookmarkEnd w:id="45"/>
    </w:p>
    <w:p w:rsidR="00D702B1" w:rsidRPr="007D7ADE" w:rsidRDefault="00D702B1" w:rsidP="007D7ADE"/>
    <w:p w:rsidR="00BE7858" w:rsidRDefault="00BE7858" w:rsidP="00BE7858">
      <w:pPr>
        <w:rPr>
          <w:b/>
          <w:sz w:val="36"/>
        </w:rPr>
      </w:pPr>
    </w:p>
    <w:p w:rsidR="00BE7858" w:rsidRPr="006070ED" w:rsidRDefault="00BE7858" w:rsidP="00BE7858">
      <w:pPr>
        <w:rPr>
          <w:b/>
          <w:sz w:val="36"/>
        </w:rPr>
      </w:pPr>
      <w:r>
        <w:rPr>
          <w:b/>
          <w:sz w:val="36"/>
        </w:rPr>
        <w:t>Evaluation plan</w:t>
      </w:r>
      <w:r w:rsidRPr="006070ED">
        <w:rPr>
          <w:b/>
          <w:sz w:val="36"/>
        </w:rPr>
        <w:t xml:space="preserve"> for an independent evaluation of the Community Based Climate Change Action Grants Program</w:t>
      </w:r>
    </w:p>
    <w:p w:rsidR="00BE7858" w:rsidRDefault="00BE7858" w:rsidP="00BE7858"/>
    <w:p w:rsidR="00BE7858" w:rsidRDefault="00BE7858" w:rsidP="00BE7858"/>
    <w:p w:rsidR="00BE7858" w:rsidRPr="006070ED" w:rsidRDefault="00BE7858" w:rsidP="00BE7858">
      <w:pPr>
        <w:rPr>
          <w:b/>
          <w:sz w:val="32"/>
        </w:rPr>
      </w:pPr>
      <w:r w:rsidRPr="006070ED">
        <w:rPr>
          <w:b/>
          <w:sz w:val="32"/>
        </w:rPr>
        <w:t>For the Department of Foreign Affairs and Trade</w:t>
      </w:r>
    </w:p>
    <w:p w:rsidR="00BE7858" w:rsidRDefault="00BE7858" w:rsidP="00BE7858">
      <w:pPr>
        <w:rPr>
          <w:b/>
          <w:sz w:val="28"/>
        </w:rPr>
      </w:pPr>
    </w:p>
    <w:p w:rsidR="00BE7858" w:rsidRDefault="00BE7858" w:rsidP="00BE7858">
      <w:pPr>
        <w:rPr>
          <w:b/>
          <w:sz w:val="28"/>
        </w:rPr>
      </w:pPr>
    </w:p>
    <w:p w:rsidR="00BE7858" w:rsidRDefault="00BE7858" w:rsidP="00BE7858">
      <w:pPr>
        <w:rPr>
          <w:sz w:val="28"/>
        </w:rPr>
      </w:pPr>
      <w:r w:rsidRPr="006070ED">
        <w:rPr>
          <w:sz w:val="28"/>
        </w:rPr>
        <w:t>May 2015</w:t>
      </w:r>
    </w:p>
    <w:p w:rsidR="00BE7858" w:rsidRDefault="00BE7858" w:rsidP="00BE7858">
      <w:pPr>
        <w:rPr>
          <w:sz w:val="28"/>
        </w:rPr>
      </w:pPr>
    </w:p>
    <w:p w:rsidR="00BE7858" w:rsidRDefault="00BE7858" w:rsidP="00BE7858">
      <w:pPr>
        <w:rPr>
          <w:sz w:val="28"/>
        </w:rPr>
      </w:pPr>
    </w:p>
    <w:p w:rsidR="00BE7858" w:rsidRPr="006070ED" w:rsidRDefault="00BE7858" w:rsidP="00BE7858">
      <w:pPr>
        <w:rPr>
          <w:sz w:val="28"/>
        </w:rPr>
      </w:pPr>
    </w:p>
    <w:p w:rsidR="00BE7858" w:rsidRDefault="00BE7858" w:rsidP="00BE7858">
      <w:pPr>
        <w:rPr>
          <w:b/>
          <w:sz w:val="28"/>
        </w:rPr>
      </w:pPr>
    </w:p>
    <w:p w:rsidR="00BE7858" w:rsidRDefault="00BE7858" w:rsidP="00BE7858">
      <w:pPr>
        <w:rPr>
          <w:b/>
          <w:sz w:val="28"/>
        </w:rPr>
      </w:pPr>
    </w:p>
    <w:p w:rsidR="00BE7858" w:rsidRDefault="00BE7858" w:rsidP="00BE7858">
      <w:pPr>
        <w:rPr>
          <w:b/>
          <w:sz w:val="28"/>
        </w:rPr>
      </w:pPr>
    </w:p>
    <w:p w:rsidR="00BE7858" w:rsidRPr="006070ED" w:rsidRDefault="00BE7858" w:rsidP="00BE7858">
      <w:pPr>
        <w:rPr>
          <w:b/>
          <w:sz w:val="28"/>
        </w:rPr>
      </w:pPr>
    </w:p>
    <w:p w:rsidR="00BE7858" w:rsidRPr="006070ED" w:rsidRDefault="00BE7858" w:rsidP="00BE7858"/>
    <w:p w:rsidR="00BE7858" w:rsidRDefault="00BE7858" w:rsidP="00BE7858">
      <w:pPr>
        <w:pStyle w:val="Heading1"/>
        <w:sectPr w:rsidR="00BE7858">
          <w:pgSz w:w="11900" w:h="16840"/>
          <w:pgMar w:top="1440" w:right="1800" w:bottom="1440" w:left="1800" w:header="708" w:footer="708" w:gutter="0"/>
          <w:cols w:space="708"/>
        </w:sectPr>
      </w:pPr>
    </w:p>
    <w:p w:rsidR="00BE7858" w:rsidRDefault="00BE7858" w:rsidP="00BE7858">
      <w:pPr>
        <w:rPr>
          <w:b/>
          <w:sz w:val="28"/>
        </w:rPr>
      </w:pPr>
      <w:r>
        <w:rPr>
          <w:b/>
          <w:sz w:val="28"/>
        </w:rPr>
        <w:t>Contents</w:t>
      </w:r>
    </w:p>
    <w:p w:rsidR="00BE7858" w:rsidRDefault="00BE7858" w:rsidP="00BE7858">
      <w:pPr>
        <w:pStyle w:val="TOC1"/>
        <w:tabs>
          <w:tab w:val="right" w:leader="dot" w:pos="8290"/>
        </w:tabs>
        <w:rPr>
          <w:rFonts w:eastAsiaTheme="minorEastAsia"/>
          <w:noProof/>
          <w:sz w:val="24"/>
          <w:lang w:val="en-US"/>
        </w:rPr>
      </w:pPr>
      <w:r>
        <w:rPr>
          <w:b/>
          <w:sz w:val="28"/>
        </w:rPr>
        <w:fldChar w:fldCharType="begin"/>
      </w:r>
      <w:r>
        <w:rPr>
          <w:b/>
          <w:sz w:val="28"/>
        </w:rPr>
        <w:instrText xml:space="preserve"> TOC \o "1-3" </w:instrText>
      </w:r>
      <w:r>
        <w:rPr>
          <w:b/>
          <w:sz w:val="28"/>
        </w:rPr>
        <w:fldChar w:fldCharType="separate"/>
      </w:r>
      <w:r>
        <w:rPr>
          <w:noProof/>
        </w:rPr>
        <w:t>Purpose</w:t>
      </w:r>
      <w:r>
        <w:rPr>
          <w:noProof/>
        </w:rPr>
        <w:tab/>
      </w:r>
      <w:r>
        <w:rPr>
          <w:noProof/>
        </w:rPr>
        <w:fldChar w:fldCharType="begin"/>
      </w:r>
      <w:r>
        <w:rPr>
          <w:noProof/>
        </w:rPr>
        <w:instrText xml:space="preserve"> PAGEREF _Toc293842449 \h </w:instrText>
      </w:r>
      <w:r>
        <w:rPr>
          <w:noProof/>
        </w:rPr>
      </w:r>
      <w:r>
        <w:rPr>
          <w:noProof/>
        </w:rPr>
        <w:fldChar w:fldCharType="separate"/>
      </w:r>
      <w:r>
        <w:rPr>
          <w:noProof/>
        </w:rPr>
        <w:t>1</w:t>
      </w:r>
      <w:r>
        <w:rPr>
          <w:noProof/>
        </w:rPr>
        <w:fldChar w:fldCharType="end"/>
      </w:r>
    </w:p>
    <w:p w:rsidR="00BE7858" w:rsidRDefault="00BE7858" w:rsidP="00BE7858">
      <w:pPr>
        <w:pStyle w:val="TOC1"/>
        <w:tabs>
          <w:tab w:val="right" w:leader="dot" w:pos="8290"/>
        </w:tabs>
        <w:rPr>
          <w:rFonts w:eastAsiaTheme="minorEastAsia"/>
          <w:noProof/>
          <w:sz w:val="24"/>
          <w:lang w:val="en-US"/>
        </w:rPr>
      </w:pPr>
      <w:r>
        <w:rPr>
          <w:noProof/>
        </w:rPr>
        <w:t>Background</w:t>
      </w:r>
      <w:r>
        <w:rPr>
          <w:noProof/>
        </w:rPr>
        <w:tab/>
      </w:r>
      <w:r>
        <w:rPr>
          <w:noProof/>
        </w:rPr>
        <w:fldChar w:fldCharType="begin"/>
      </w:r>
      <w:r>
        <w:rPr>
          <w:noProof/>
        </w:rPr>
        <w:instrText xml:space="preserve"> PAGEREF _Toc293842450 \h </w:instrText>
      </w:r>
      <w:r>
        <w:rPr>
          <w:noProof/>
        </w:rPr>
      </w:r>
      <w:r>
        <w:rPr>
          <w:noProof/>
        </w:rPr>
        <w:fldChar w:fldCharType="separate"/>
      </w:r>
      <w:r>
        <w:rPr>
          <w:noProof/>
        </w:rPr>
        <w:t>1</w:t>
      </w:r>
      <w:r>
        <w:rPr>
          <w:noProof/>
        </w:rPr>
        <w:fldChar w:fldCharType="end"/>
      </w:r>
    </w:p>
    <w:p w:rsidR="00BE7858" w:rsidRDefault="00BE7858" w:rsidP="00BE7858">
      <w:pPr>
        <w:pStyle w:val="TOC1"/>
        <w:tabs>
          <w:tab w:val="right" w:leader="dot" w:pos="8290"/>
        </w:tabs>
        <w:rPr>
          <w:rFonts w:eastAsiaTheme="minorEastAsia"/>
          <w:noProof/>
          <w:sz w:val="24"/>
          <w:lang w:val="en-US"/>
        </w:rPr>
      </w:pPr>
      <w:r>
        <w:rPr>
          <w:noProof/>
        </w:rPr>
        <w:t>Scope</w:t>
      </w:r>
      <w:r>
        <w:rPr>
          <w:noProof/>
        </w:rPr>
        <w:tab/>
      </w:r>
      <w:r>
        <w:rPr>
          <w:noProof/>
        </w:rPr>
        <w:fldChar w:fldCharType="begin"/>
      </w:r>
      <w:r>
        <w:rPr>
          <w:noProof/>
        </w:rPr>
        <w:instrText xml:space="preserve"> PAGEREF _Toc293842451 \h </w:instrText>
      </w:r>
      <w:r>
        <w:rPr>
          <w:noProof/>
        </w:rPr>
      </w:r>
      <w:r>
        <w:rPr>
          <w:noProof/>
        </w:rPr>
        <w:fldChar w:fldCharType="separate"/>
      </w:r>
      <w:r>
        <w:rPr>
          <w:noProof/>
        </w:rPr>
        <w:t>1</w:t>
      </w:r>
      <w:r>
        <w:rPr>
          <w:noProof/>
        </w:rPr>
        <w:fldChar w:fldCharType="end"/>
      </w:r>
    </w:p>
    <w:p w:rsidR="00BE7858" w:rsidRDefault="00BE7858" w:rsidP="00BE7858">
      <w:pPr>
        <w:pStyle w:val="TOC1"/>
        <w:tabs>
          <w:tab w:val="right" w:leader="dot" w:pos="8290"/>
        </w:tabs>
        <w:rPr>
          <w:rFonts w:eastAsiaTheme="minorEastAsia"/>
          <w:noProof/>
          <w:sz w:val="24"/>
          <w:lang w:val="en-US"/>
        </w:rPr>
      </w:pPr>
      <w:r>
        <w:rPr>
          <w:noProof/>
        </w:rPr>
        <w:t>Audience</w:t>
      </w:r>
      <w:r>
        <w:rPr>
          <w:noProof/>
        </w:rPr>
        <w:tab/>
      </w:r>
      <w:r>
        <w:rPr>
          <w:noProof/>
        </w:rPr>
        <w:fldChar w:fldCharType="begin"/>
      </w:r>
      <w:r>
        <w:rPr>
          <w:noProof/>
        </w:rPr>
        <w:instrText xml:space="preserve"> PAGEREF _Toc293842452 \h </w:instrText>
      </w:r>
      <w:r>
        <w:rPr>
          <w:noProof/>
        </w:rPr>
      </w:r>
      <w:r>
        <w:rPr>
          <w:noProof/>
        </w:rPr>
        <w:fldChar w:fldCharType="separate"/>
      </w:r>
      <w:r>
        <w:rPr>
          <w:noProof/>
        </w:rPr>
        <w:t>2</w:t>
      </w:r>
      <w:r>
        <w:rPr>
          <w:noProof/>
        </w:rPr>
        <w:fldChar w:fldCharType="end"/>
      </w:r>
    </w:p>
    <w:p w:rsidR="00BE7858" w:rsidRDefault="00BE7858" w:rsidP="00BE7858">
      <w:pPr>
        <w:pStyle w:val="TOC1"/>
        <w:tabs>
          <w:tab w:val="right" w:leader="dot" w:pos="8290"/>
        </w:tabs>
        <w:rPr>
          <w:rFonts w:eastAsiaTheme="minorEastAsia"/>
          <w:noProof/>
          <w:sz w:val="24"/>
          <w:lang w:val="en-US"/>
        </w:rPr>
      </w:pPr>
      <w:r>
        <w:rPr>
          <w:noProof/>
        </w:rPr>
        <w:t>Team</w:t>
      </w:r>
      <w:r>
        <w:rPr>
          <w:noProof/>
        </w:rPr>
        <w:tab/>
      </w:r>
      <w:r>
        <w:rPr>
          <w:noProof/>
        </w:rPr>
        <w:fldChar w:fldCharType="begin"/>
      </w:r>
      <w:r>
        <w:rPr>
          <w:noProof/>
        </w:rPr>
        <w:instrText xml:space="preserve"> PAGEREF _Toc293842453 \h </w:instrText>
      </w:r>
      <w:r>
        <w:rPr>
          <w:noProof/>
        </w:rPr>
      </w:r>
      <w:r>
        <w:rPr>
          <w:noProof/>
        </w:rPr>
        <w:fldChar w:fldCharType="separate"/>
      </w:r>
      <w:r>
        <w:rPr>
          <w:noProof/>
        </w:rPr>
        <w:t>2</w:t>
      </w:r>
      <w:r>
        <w:rPr>
          <w:noProof/>
        </w:rPr>
        <w:fldChar w:fldCharType="end"/>
      </w:r>
    </w:p>
    <w:p w:rsidR="00BE7858" w:rsidRDefault="00BE7858" w:rsidP="00BE7858">
      <w:pPr>
        <w:pStyle w:val="TOC1"/>
        <w:tabs>
          <w:tab w:val="right" w:leader="dot" w:pos="8290"/>
        </w:tabs>
        <w:rPr>
          <w:rFonts w:eastAsiaTheme="minorEastAsia"/>
          <w:noProof/>
          <w:sz w:val="24"/>
          <w:lang w:val="en-US"/>
        </w:rPr>
      </w:pPr>
      <w:r>
        <w:rPr>
          <w:noProof/>
        </w:rPr>
        <w:t>Methods</w:t>
      </w:r>
      <w:r>
        <w:rPr>
          <w:noProof/>
        </w:rPr>
        <w:tab/>
      </w:r>
      <w:r>
        <w:rPr>
          <w:noProof/>
        </w:rPr>
        <w:fldChar w:fldCharType="begin"/>
      </w:r>
      <w:r>
        <w:rPr>
          <w:noProof/>
        </w:rPr>
        <w:instrText xml:space="preserve"> PAGEREF _Toc293842454 \h </w:instrText>
      </w:r>
      <w:r>
        <w:rPr>
          <w:noProof/>
        </w:rPr>
      </w:r>
      <w:r>
        <w:rPr>
          <w:noProof/>
        </w:rPr>
        <w:fldChar w:fldCharType="separate"/>
      </w:r>
      <w:r>
        <w:rPr>
          <w:noProof/>
        </w:rPr>
        <w:t>3</w:t>
      </w:r>
      <w:r>
        <w:rPr>
          <w:noProof/>
        </w:rPr>
        <w:fldChar w:fldCharType="end"/>
      </w:r>
    </w:p>
    <w:p w:rsidR="00BE7858" w:rsidRDefault="00BE7858" w:rsidP="00BE7858">
      <w:pPr>
        <w:pStyle w:val="TOC2"/>
        <w:tabs>
          <w:tab w:val="right" w:leader="dot" w:pos="8290"/>
        </w:tabs>
        <w:rPr>
          <w:rFonts w:eastAsiaTheme="minorEastAsia"/>
          <w:noProof/>
          <w:sz w:val="24"/>
          <w:lang w:val="en-US"/>
        </w:rPr>
      </w:pPr>
      <w:r>
        <w:rPr>
          <w:noProof/>
        </w:rPr>
        <w:t>Evaluation standards</w:t>
      </w:r>
      <w:r>
        <w:rPr>
          <w:noProof/>
        </w:rPr>
        <w:tab/>
      </w:r>
      <w:r>
        <w:rPr>
          <w:noProof/>
        </w:rPr>
        <w:fldChar w:fldCharType="begin"/>
      </w:r>
      <w:r>
        <w:rPr>
          <w:noProof/>
        </w:rPr>
        <w:instrText xml:space="preserve"> PAGEREF _Toc293842455 \h </w:instrText>
      </w:r>
      <w:r>
        <w:rPr>
          <w:noProof/>
        </w:rPr>
      </w:r>
      <w:r>
        <w:rPr>
          <w:noProof/>
        </w:rPr>
        <w:fldChar w:fldCharType="separate"/>
      </w:r>
      <w:r>
        <w:rPr>
          <w:noProof/>
        </w:rPr>
        <w:t>3</w:t>
      </w:r>
      <w:r>
        <w:rPr>
          <w:noProof/>
        </w:rPr>
        <w:fldChar w:fldCharType="end"/>
      </w:r>
    </w:p>
    <w:p w:rsidR="00BE7858" w:rsidRDefault="00BE7858" w:rsidP="00BE7858">
      <w:pPr>
        <w:pStyle w:val="TOC2"/>
        <w:tabs>
          <w:tab w:val="right" w:leader="dot" w:pos="8290"/>
        </w:tabs>
        <w:rPr>
          <w:rFonts w:eastAsiaTheme="minorEastAsia"/>
          <w:noProof/>
          <w:sz w:val="24"/>
          <w:lang w:val="en-US"/>
        </w:rPr>
      </w:pPr>
      <w:r>
        <w:rPr>
          <w:noProof/>
        </w:rPr>
        <w:t>Methods of inquiry</w:t>
      </w:r>
      <w:r>
        <w:rPr>
          <w:noProof/>
        </w:rPr>
        <w:tab/>
      </w:r>
      <w:r>
        <w:rPr>
          <w:noProof/>
        </w:rPr>
        <w:fldChar w:fldCharType="begin"/>
      </w:r>
      <w:r>
        <w:rPr>
          <w:noProof/>
        </w:rPr>
        <w:instrText xml:space="preserve"> PAGEREF _Toc293842456 \h </w:instrText>
      </w:r>
      <w:r>
        <w:rPr>
          <w:noProof/>
        </w:rPr>
      </w:r>
      <w:r>
        <w:rPr>
          <w:noProof/>
        </w:rPr>
        <w:fldChar w:fldCharType="separate"/>
      </w:r>
      <w:r>
        <w:rPr>
          <w:noProof/>
        </w:rPr>
        <w:t>3</w:t>
      </w:r>
      <w:r>
        <w:rPr>
          <w:noProof/>
        </w:rPr>
        <w:fldChar w:fldCharType="end"/>
      </w:r>
    </w:p>
    <w:p w:rsidR="00BE7858" w:rsidRDefault="00BE7858" w:rsidP="00BE7858">
      <w:pPr>
        <w:pStyle w:val="TOC2"/>
        <w:tabs>
          <w:tab w:val="right" w:leader="dot" w:pos="8290"/>
        </w:tabs>
        <w:rPr>
          <w:rFonts w:eastAsiaTheme="minorEastAsia"/>
          <w:noProof/>
          <w:sz w:val="24"/>
          <w:lang w:val="en-US"/>
        </w:rPr>
      </w:pPr>
      <w:r>
        <w:rPr>
          <w:noProof/>
        </w:rPr>
        <w:t>Community adaptation/mitigation pathways</w:t>
      </w:r>
      <w:r>
        <w:rPr>
          <w:noProof/>
        </w:rPr>
        <w:tab/>
      </w:r>
      <w:r>
        <w:rPr>
          <w:noProof/>
        </w:rPr>
        <w:fldChar w:fldCharType="begin"/>
      </w:r>
      <w:r>
        <w:rPr>
          <w:noProof/>
        </w:rPr>
        <w:instrText xml:space="preserve"> PAGEREF _Toc293842457 \h </w:instrText>
      </w:r>
      <w:r>
        <w:rPr>
          <w:noProof/>
        </w:rPr>
      </w:r>
      <w:r>
        <w:rPr>
          <w:noProof/>
        </w:rPr>
        <w:fldChar w:fldCharType="separate"/>
      </w:r>
      <w:r>
        <w:rPr>
          <w:noProof/>
        </w:rPr>
        <w:t>4</w:t>
      </w:r>
      <w:r>
        <w:rPr>
          <w:noProof/>
        </w:rPr>
        <w:fldChar w:fldCharType="end"/>
      </w:r>
    </w:p>
    <w:p w:rsidR="00BE7858" w:rsidRDefault="00BE7858" w:rsidP="00BE7858">
      <w:pPr>
        <w:pStyle w:val="TOC1"/>
        <w:tabs>
          <w:tab w:val="right" w:leader="dot" w:pos="8290"/>
        </w:tabs>
        <w:rPr>
          <w:rFonts w:eastAsiaTheme="minorEastAsia"/>
          <w:noProof/>
          <w:sz w:val="24"/>
          <w:lang w:val="en-US"/>
        </w:rPr>
      </w:pPr>
      <w:r>
        <w:rPr>
          <w:noProof/>
        </w:rPr>
        <w:t>Limitations</w:t>
      </w:r>
      <w:r>
        <w:rPr>
          <w:noProof/>
        </w:rPr>
        <w:tab/>
      </w:r>
      <w:r>
        <w:rPr>
          <w:noProof/>
        </w:rPr>
        <w:fldChar w:fldCharType="begin"/>
      </w:r>
      <w:r>
        <w:rPr>
          <w:noProof/>
        </w:rPr>
        <w:instrText xml:space="preserve"> PAGEREF _Toc293842458 \h </w:instrText>
      </w:r>
      <w:r>
        <w:rPr>
          <w:noProof/>
        </w:rPr>
      </w:r>
      <w:r>
        <w:rPr>
          <w:noProof/>
        </w:rPr>
        <w:fldChar w:fldCharType="separate"/>
      </w:r>
      <w:r>
        <w:rPr>
          <w:noProof/>
        </w:rPr>
        <w:t>5</w:t>
      </w:r>
      <w:r>
        <w:rPr>
          <w:noProof/>
        </w:rPr>
        <w:fldChar w:fldCharType="end"/>
      </w:r>
    </w:p>
    <w:p w:rsidR="00BE7858" w:rsidRDefault="00BE7858" w:rsidP="00BE7858">
      <w:pPr>
        <w:pStyle w:val="TOC1"/>
        <w:tabs>
          <w:tab w:val="right" w:leader="dot" w:pos="8290"/>
        </w:tabs>
        <w:rPr>
          <w:rFonts w:eastAsiaTheme="minorEastAsia"/>
          <w:noProof/>
          <w:sz w:val="24"/>
          <w:lang w:val="en-US"/>
        </w:rPr>
      </w:pPr>
      <w:r>
        <w:rPr>
          <w:noProof/>
        </w:rPr>
        <w:t>Reporting</w:t>
      </w:r>
      <w:r>
        <w:rPr>
          <w:noProof/>
        </w:rPr>
        <w:tab/>
      </w:r>
      <w:r>
        <w:rPr>
          <w:noProof/>
        </w:rPr>
        <w:fldChar w:fldCharType="begin"/>
      </w:r>
      <w:r>
        <w:rPr>
          <w:noProof/>
        </w:rPr>
        <w:instrText xml:space="preserve"> PAGEREF _Toc293842459 \h </w:instrText>
      </w:r>
      <w:r>
        <w:rPr>
          <w:noProof/>
        </w:rPr>
      </w:r>
      <w:r>
        <w:rPr>
          <w:noProof/>
        </w:rPr>
        <w:fldChar w:fldCharType="separate"/>
      </w:r>
      <w:r>
        <w:rPr>
          <w:noProof/>
        </w:rPr>
        <w:t>5</w:t>
      </w:r>
      <w:r>
        <w:rPr>
          <w:noProof/>
        </w:rPr>
        <w:fldChar w:fldCharType="end"/>
      </w:r>
    </w:p>
    <w:p w:rsidR="00BE7858" w:rsidRDefault="00BE7858" w:rsidP="00BE7858">
      <w:pPr>
        <w:pStyle w:val="TOC1"/>
        <w:tabs>
          <w:tab w:val="right" w:leader="dot" w:pos="8290"/>
        </w:tabs>
        <w:rPr>
          <w:rFonts w:eastAsiaTheme="minorEastAsia"/>
          <w:noProof/>
          <w:sz w:val="24"/>
          <w:lang w:val="en-US"/>
        </w:rPr>
      </w:pPr>
      <w:r>
        <w:rPr>
          <w:noProof/>
        </w:rPr>
        <w:t>Evaluation framework and questions</w:t>
      </w:r>
      <w:r>
        <w:rPr>
          <w:noProof/>
        </w:rPr>
        <w:tab/>
      </w:r>
      <w:r>
        <w:rPr>
          <w:noProof/>
        </w:rPr>
        <w:fldChar w:fldCharType="begin"/>
      </w:r>
      <w:r>
        <w:rPr>
          <w:noProof/>
        </w:rPr>
        <w:instrText xml:space="preserve"> PAGEREF _Toc293842460 \h </w:instrText>
      </w:r>
      <w:r>
        <w:rPr>
          <w:noProof/>
        </w:rPr>
      </w:r>
      <w:r>
        <w:rPr>
          <w:noProof/>
        </w:rPr>
        <w:fldChar w:fldCharType="separate"/>
      </w:r>
      <w:r>
        <w:rPr>
          <w:noProof/>
        </w:rPr>
        <w:t>5</w:t>
      </w:r>
      <w:r>
        <w:rPr>
          <w:noProof/>
        </w:rPr>
        <w:fldChar w:fldCharType="end"/>
      </w:r>
    </w:p>
    <w:p w:rsidR="00BE7858" w:rsidRDefault="00BE7858" w:rsidP="00BE7858">
      <w:pPr>
        <w:pStyle w:val="TOC2"/>
        <w:tabs>
          <w:tab w:val="right" w:leader="dot" w:pos="8290"/>
        </w:tabs>
        <w:rPr>
          <w:rFonts w:eastAsiaTheme="minorEastAsia"/>
          <w:noProof/>
          <w:sz w:val="24"/>
          <w:lang w:val="en-US"/>
        </w:rPr>
      </w:pPr>
      <w:r>
        <w:rPr>
          <w:noProof/>
        </w:rPr>
        <w:t>Evaluation framework</w:t>
      </w:r>
      <w:r>
        <w:rPr>
          <w:noProof/>
        </w:rPr>
        <w:tab/>
      </w:r>
      <w:r>
        <w:rPr>
          <w:noProof/>
        </w:rPr>
        <w:fldChar w:fldCharType="begin"/>
      </w:r>
      <w:r>
        <w:rPr>
          <w:noProof/>
        </w:rPr>
        <w:instrText xml:space="preserve"> PAGEREF _Toc293842461 \h </w:instrText>
      </w:r>
      <w:r>
        <w:rPr>
          <w:noProof/>
        </w:rPr>
      </w:r>
      <w:r>
        <w:rPr>
          <w:noProof/>
        </w:rPr>
        <w:fldChar w:fldCharType="separate"/>
      </w:r>
      <w:r>
        <w:rPr>
          <w:noProof/>
        </w:rPr>
        <w:t>6</w:t>
      </w:r>
      <w:r>
        <w:rPr>
          <w:noProof/>
        </w:rPr>
        <w:fldChar w:fldCharType="end"/>
      </w:r>
    </w:p>
    <w:p w:rsidR="00BE7858" w:rsidRDefault="00BE7858" w:rsidP="00BE7858">
      <w:pPr>
        <w:pStyle w:val="TOC2"/>
        <w:tabs>
          <w:tab w:val="right" w:leader="dot" w:pos="8290"/>
        </w:tabs>
        <w:rPr>
          <w:rFonts w:eastAsiaTheme="minorEastAsia"/>
          <w:noProof/>
          <w:sz w:val="24"/>
          <w:lang w:val="en-US"/>
        </w:rPr>
      </w:pPr>
      <w:r>
        <w:rPr>
          <w:noProof/>
        </w:rPr>
        <w:t>Interview questions</w:t>
      </w:r>
      <w:r>
        <w:rPr>
          <w:noProof/>
        </w:rPr>
        <w:tab/>
      </w:r>
      <w:r>
        <w:rPr>
          <w:noProof/>
        </w:rPr>
        <w:fldChar w:fldCharType="begin"/>
      </w:r>
      <w:r>
        <w:rPr>
          <w:noProof/>
        </w:rPr>
        <w:instrText xml:space="preserve"> PAGEREF _Toc293842462 \h </w:instrText>
      </w:r>
      <w:r>
        <w:rPr>
          <w:noProof/>
        </w:rPr>
      </w:r>
      <w:r>
        <w:rPr>
          <w:noProof/>
        </w:rPr>
        <w:fldChar w:fldCharType="separate"/>
      </w:r>
      <w:r>
        <w:rPr>
          <w:noProof/>
        </w:rPr>
        <w:t>7</w:t>
      </w:r>
      <w:r>
        <w:rPr>
          <w:noProof/>
        </w:rPr>
        <w:fldChar w:fldCharType="end"/>
      </w:r>
    </w:p>
    <w:p w:rsidR="00BE7858" w:rsidRDefault="00BE7858" w:rsidP="00BE7858">
      <w:pPr>
        <w:rPr>
          <w:b/>
          <w:sz w:val="28"/>
        </w:rPr>
      </w:pPr>
      <w:r>
        <w:rPr>
          <w:b/>
          <w:sz w:val="28"/>
        </w:rPr>
        <w:fldChar w:fldCharType="end"/>
      </w:r>
    </w:p>
    <w:p w:rsidR="00BE7858" w:rsidRDefault="00BE7858" w:rsidP="00BE7858">
      <w:pPr>
        <w:rPr>
          <w:b/>
          <w:sz w:val="28"/>
        </w:rPr>
      </w:pPr>
    </w:p>
    <w:p w:rsidR="00BE7858" w:rsidRDefault="00BE7858" w:rsidP="00BE7858">
      <w:pPr>
        <w:rPr>
          <w:b/>
          <w:sz w:val="28"/>
        </w:rPr>
      </w:pPr>
    </w:p>
    <w:p w:rsidR="00BE7858" w:rsidRPr="006070ED" w:rsidRDefault="00BE7858" w:rsidP="00BE7858">
      <w:pPr>
        <w:rPr>
          <w:b/>
          <w:sz w:val="28"/>
        </w:rPr>
        <w:sectPr w:rsidR="00BE7858" w:rsidRPr="006070ED" w:rsidSect="00BE7858">
          <w:pgSz w:w="11900" w:h="16840"/>
          <w:pgMar w:top="1440" w:right="1800" w:bottom="1440" w:left="1800" w:header="708" w:footer="708" w:gutter="0"/>
          <w:cols w:space="708"/>
          <w:titlePg/>
        </w:sectPr>
      </w:pPr>
    </w:p>
    <w:p w:rsidR="00BE7858" w:rsidRDefault="00BE7858" w:rsidP="00BE7858">
      <w:pPr>
        <w:pStyle w:val="Heading1"/>
      </w:pPr>
      <w:bookmarkStart w:id="46" w:name="_Toc315694479"/>
      <w:r>
        <w:t>Purpose</w:t>
      </w:r>
      <w:bookmarkEnd w:id="46"/>
    </w:p>
    <w:p w:rsidR="00BE7858" w:rsidRDefault="00BE7858" w:rsidP="00BE7858">
      <w:r>
        <w:t>An independent evaluation of the Community Based Climate Change Action Grants (CBCCAG) program was commissioned by DFAT in May 2015 to assess whether the component projects have performed well and have resulted in the intended objectives of the Program and the outcomes of the individual projects.</w:t>
      </w:r>
    </w:p>
    <w:p w:rsidR="00BE7858" w:rsidRDefault="00BE7858" w:rsidP="00BE7858">
      <w:r>
        <w:t>The evaluation will also d</w:t>
      </w:r>
      <w:r w:rsidRPr="00B31965">
        <w:t>raw out key lessons</w:t>
      </w:r>
      <w:r>
        <w:t xml:space="preserve"> to</w:t>
      </w:r>
      <w:r w:rsidRPr="00B31965">
        <w:t xml:space="preserve"> inform DFAT thinking regarding the scope and priorities of any future funding to the sector beyond the life of the current program</w:t>
      </w:r>
      <w:r>
        <w:t>.</w:t>
      </w:r>
    </w:p>
    <w:p w:rsidR="00BE7858" w:rsidRDefault="00BE7858" w:rsidP="00BE7858">
      <w:pPr>
        <w:pStyle w:val="Heading1"/>
      </w:pPr>
      <w:bookmarkStart w:id="47" w:name="_Toc293842450"/>
      <w:bookmarkStart w:id="48" w:name="_Toc315694480"/>
      <w:r>
        <w:t>Background</w:t>
      </w:r>
      <w:bookmarkEnd w:id="47"/>
      <w:bookmarkEnd w:id="48"/>
    </w:p>
    <w:p w:rsidR="00BE7858" w:rsidRPr="00A341DD" w:rsidRDefault="00BE7858" w:rsidP="00BE7858">
      <w:pPr>
        <w:rPr>
          <w:lang w:val="en-US"/>
        </w:rPr>
      </w:pPr>
      <w:r w:rsidRPr="00A341DD">
        <w:rPr>
          <w:lang w:val="en-US"/>
        </w:rPr>
        <w:t>The CBCCAG (AU$16.9 million over three years from 2011-12</w:t>
      </w:r>
      <w:r>
        <w:rPr>
          <w:lang w:val="en-US"/>
        </w:rPr>
        <w:t xml:space="preserve"> to 2015-16</w:t>
      </w:r>
      <w:r w:rsidRPr="00A341DD">
        <w:rPr>
          <w:lang w:val="en-US"/>
        </w:rPr>
        <w:t xml:space="preserve">) co-invested with a range of non-government organizations (NGOs), including Oxfam, CARE Australia, </w:t>
      </w:r>
      <w:r>
        <w:rPr>
          <w:lang w:val="en-US"/>
        </w:rPr>
        <w:t>Act for Peace, Live and Learn, T</w:t>
      </w:r>
      <w:r w:rsidRPr="00A341DD">
        <w:rPr>
          <w:lang w:val="en-US"/>
        </w:rPr>
        <w:t xml:space="preserve">he Nature Conservancy and Plan International, </w:t>
      </w:r>
      <w:r>
        <w:rPr>
          <w:lang w:val="en-US"/>
        </w:rPr>
        <w:t>to implement projects to</w:t>
      </w:r>
      <w:r w:rsidRPr="00A341DD">
        <w:rPr>
          <w:lang w:val="en-US"/>
        </w:rPr>
        <w:t>:</w:t>
      </w:r>
    </w:p>
    <w:p w:rsidR="00BE7858" w:rsidRPr="00A341DD" w:rsidRDefault="00BE7858" w:rsidP="00BE7858">
      <w:pPr>
        <w:numPr>
          <w:ilvl w:val="0"/>
          <w:numId w:val="9"/>
        </w:numPr>
        <w:rPr>
          <w:lang w:val="en-US"/>
        </w:rPr>
      </w:pPr>
      <w:r w:rsidRPr="00A341DD">
        <w:rPr>
          <w:lang w:val="en-US"/>
        </w:rPr>
        <w:t>Increase the resilience of communities in developing countries to the unavoidable impacts of climate change; and</w:t>
      </w:r>
    </w:p>
    <w:p w:rsidR="00BE7858" w:rsidRPr="00A341DD" w:rsidRDefault="00BE7858" w:rsidP="00BE7858">
      <w:pPr>
        <w:numPr>
          <w:ilvl w:val="0"/>
          <w:numId w:val="9"/>
        </w:numPr>
        <w:rPr>
          <w:lang w:val="en-US"/>
        </w:rPr>
      </w:pPr>
      <w:r w:rsidRPr="00A341DD">
        <w:rPr>
          <w:lang w:val="en-US"/>
        </w:rPr>
        <w:t xml:space="preserve">Reduce or avoid greenhouse gas emissions while also contributing to development priorities in target communities. </w:t>
      </w:r>
    </w:p>
    <w:p w:rsidR="00BE7858" w:rsidRDefault="00BE7858" w:rsidP="00BE7858">
      <w:r w:rsidRPr="00A341DD">
        <w:rPr>
          <w:lang w:val="en-US"/>
        </w:rPr>
        <w:t>The program forms part of Australia’s international ‘fast-start’ commitment of $599 million (2010-2013), building on the outcomes and achievements of previous support for community-based adaptation activities</w:t>
      </w:r>
      <w:r>
        <w:rPr>
          <w:lang w:val="en-US"/>
        </w:rPr>
        <w:t>.</w:t>
      </w:r>
    </w:p>
    <w:p w:rsidR="00BE7858" w:rsidRDefault="00BE7858" w:rsidP="00BE7858">
      <w:pPr>
        <w:spacing w:before="120"/>
      </w:pPr>
      <w:r>
        <w:t>The program builds on Australia’s previous support for community-level adaptation activities in developing countries and complements Australia’s support for small-scale community-based work through the Global Environment Facility’s Small Grants Program.</w:t>
      </w:r>
    </w:p>
    <w:p w:rsidR="00BE7858" w:rsidRDefault="00BE7858" w:rsidP="00BE7858">
      <w:pPr>
        <w:pStyle w:val="Heading1"/>
      </w:pPr>
      <w:bookmarkStart w:id="49" w:name="_Toc315694481"/>
      <w:r>
        <w:t>Scope</w:t>
      </w:r>
      <w:bookmarkEnd w:id="49"/>
      <w:r>
        <w:t xml:space="preserve"> </w:t>
      </w:r>
    </w:p>
    <w:p w:rsidR="00BE7858" w:rsidRPr="00A341DD" w:rsidRDefault="00BE7858" w:rsidP="00BE7858">
      <w:r>
        <w:t>The evaluation will encompass a suite of nine projects funded under CBCCAG:</w:t>
      </w:r>
    </w:p>
    <w:p w:rsidR="00BE7858" w:rsidRPr="00A341DD" w:rsidRDefault="00BE7858" w:rsidP="00BE7858">
      <w:pPr>
        <w:numPr>
          <w:ilvl w:val="0"/>
          <w:numId w:val="10"/>
        </w:numPr>
      </w:pPr>
      <w:r w:rsidRPr="00091D00">
        <w:rPr>
          <w:i/>
        </w:rPr>
        <w:t>Building Resilient and Adaptive Communities and Institutions in Mindanao</w:t>
      </w:r>
      <w:r w:rsidRPr="00A341DD">
        <w:t xml:space="preserve"> (Oxfam - Philippines)</w:t>
      </w:r>
    </w:p>
    <w:p w:rsidR="00BE7858" w:rsidRPr="00A341DD" w:rsidRDefault="00BE7858" w:rsidP="00BE7858">
      <w:pPr>
        <w:numPr>
          <w:ilvl w:val="0"/>
          <w:numId w:val="10"/>
        </w:numPr>
      </w:pPr>
      <w:r w:rsidRPr="00091D00">
        <w:rPr>
          <w:i/>
        </w:rPr>
        <w:t>Assisting Communities to Secure their Environment to Climate Change</w:t>
      </w:r>
      <w:r w:rsidRPr="00A341DD">
        <w:t xml:space="preserve"> (CARE - East Timor)</w:t>
      </w:r>
    </w:p>
    <w:p w:rsidR="00BE7858" w:rsidRPr="00A341DD" w:rsidRDefault="00BE7858" w:rsidP="00BE7858">
      <w:pPr>
        <w:numPr>
          <w:ilvl w:val="0"/>
          <w:numId w:val="10"/>
        </w:numPr>
      </w:pPr>
      <w:r w:rsidRPr="00091D00">
        <w:rPr>
          <w:i/>
        </w:rPr>
        <w:t>Addressing Food Security through Improved Agricultural Practice in Green islands</w:t>
      </w:r>
      <w:r w:rsidRPr="00A341DD">
        <w:t xml:space="preserve"> (CARE - Papua New Guinea)</w:t>
      </w:r>
    </w:p>
    <w:p w:rsidR="00BE7858" w:rsidRPr="00A341DD" w:rsidRDefault="00BE7858" w:rsidP="00BE7858">
      <w:pPr>
        <w:numPr>
          <w:ilvl w:val="0"/>
          <w:numId w:val="10"/>
        </w:numPr>
      </w:pPr>
      <w:r w:rsidRPr="00091D00">
        <w:rPr>
          <w:i/>
        </w:rPr>
        <w:t>Non Government Organisation Climate Change Adaptation Program</w:t>
      </w:r>
      <w:r w:rsidRPr="00A341DD">
        <w:t xml:space="preserve"> (Oxfam - Vanuatu)</w:t>
      </w:r>
    </w:p>
    <w:p w:rsidR="00BE7858" w:rsidRPr="00A341DD" w:rsidRDefault="00BE7858" w:rsidP="00BE7858">
      <w:pPr>
        <w:numPr>
          <w:ilvl w:val="0"/>
          <w:numId w:val="10"/>
        </w:numPr>
      </w:pPr>
      <w:r w:rsidRPr="00091D00">
        <w:rPr>
          <w:i/>
        </w:rPr>
        <w:t>Pacific Island Communities Climate Risk Reduction</w:t>
      </w:r>
      <w:r w:rsidRPr="00A341DD">
        <w:t xml:space="preserve"> (Act for Peace - Pacific Region)</w:t>
      </w:r>
    </w:p>
    <w:p w:rsidR="00BE7858" w:rsidRPr="00A341DD" w:rsidRDefault="00BE7858" w:rsidP="00BE7858">
      <w:pPr>
        <w:numPr>
          <w:ilvl w:val="0"/>
          <w:numId w:val="10"/>
        </w:numPr>
      </w:pPr>
      <w:r w:rsidRPr="00091D00">
        <w:rPr>
          <w:i/>
        </w:rPr>
        <w:t>Child-centred Climate Change Adaptation</w:t>
      </w:r>
      <w:r w:rsidRPr="00A341DD">
        <w:t xml:space="preserve"> (Plan International - Philippines)</w:t>
      </w:r>
    </w:p>
    <w:p w:rsidR="00BE7858" w:rsidRPr="00A341DD" w:rsidRDefault="00BE7858" w:rsidP="00BE7858">
      <w:pPr>
        <w:numPr>
          <w:ilvl w:val="0"/>
          <w:numId w:val="10"/>
        </w:numPr>
      </w:pPr>
      <w:r w:rsidRPr="00091D00">
        <w:rPr>
          <w:i/>
        </w:rPr>
        <w:t>Building resilience of communities and their ecosystems to the impacts of climate change</w:t>
      </w:r>
      <w:r w:rsidRPr="00A341DD">
        <w:t xml:space="preserve"> (The Nature Conservancy - Pacific Region)</w:t>
      </w:r>
    </w:p>
    <w:p w:rsidR="00BE7858" w:rsidRPr="00A341DD" w:rsidRDefault="00BE7858" w:rsidP="00BE7858">
      <w:pPr>
        <w:numPr>
          <w:ilvl w:val="0"/>
          <w:numId w:val="10"/>
        </w:numPr>
      </w:pPr>
      <w:r w:rsidRPr="00091D00">
        <w:rPr>
          <w:i/>
        </w:rPr>
        <w:t>Protection of Food Security through Adaptation to Climate Change</w:t>
      </w:r>
      <w:r w:rsidRPr="00A341DD">
        <w:t xml:space="preserve"> (Live and Learn - Pacific Region)</w:t>
      </w:r>
    </w:p>
    <w:p w:rsidR="00BE7858" w:rsidRDefault="00BE7858" w:rsidP="00BE7858">
      <w:pPr>
        <w:numPr>
          <w:ilvl w:val="0"/>
          <w:numId w:val="10"/>
        </w:numPr>
      </w:pPr>
      <w:r w:rsidRPr="00091D00">
        <w:rPr>
          <w:i/>
        </w:rPr>
        <w:t>Improving land and water management to reduce impacts of climate change on communities</w:t>
      </w:r>
      <w:r w:rsidRPr="00A341DD">
        <w:t xml:space="preserve"> (Oxfam - East Timor)</w:t>
      </w:r>
    </w:p>
    <w:p w:rsidR="00BE7858" w:rsidRDefault="00BE7858" w:rsidP="00BE7858">
      <w:r>
        <w:t>The terms of reference for the evaluation sets out four key evaluation questions relating to effectiveness (the extent to which outcomes have been achieved), relevance to the project context and needs, impact and management:</w:t>
      </w:r>
    </w:p>
    <w:p w:rsidR="00BE7858" w:rsidRDefault="00BE7858" w:rsidP="00BE7858">
      <w:pPr>
        <w:pStyle w:val="ListParagraph"/>
        <w:numPr>
          <w:ilvl w:val="0"/>
          <w:numId w:val="12"/>
        </w:numPr>
      </w:pPr>
      <w:r w:rsidRPr="00091D00">
        <w:rPr>
          <w:b/>
        </w:rPr>
        <w:t>To what extent have the CBCCAGs combined to contribute to building the resilience of communities to the impacts of climate change and to reducing or avoiding greenhouse gas emissions while also contributing to development priorities in the target communities?</w:t>
      </w:r>
      <w:r>
        <w:t xml:space="preserve"> Did the projects achieve their individual end of project outcomes?</w:t>
      </w:r>
    </w:p>
    <w:p w:rsidR="00BE7858" w:rsidRDefault="00BE7858" w:rsidP="00BE7858">
      <w:pPr>
        <w:pStyle w:val="ListParagraph"/>
        <w:numPr>
          <w:ilvl w:val="0"/>
          <w:numId w:val="12"/>
        </w:numPr>
      </w:pPr>
      <w:r w:rsidRPr="00091D00">
        <w:rPr>
          <w:b/>
        </w:rPr>
        <w:t>Did the CBCCAGs take the right approach?</w:t>
      </w:r>
      <w:r>
        <w:t xml:space="preserve"> Did they meet the needs of our counterparts? Were they aligned with Australian Government priorities? Are community based adaptation programs an efficient use of funding?</w:t>
      </w:r>
    </w:p>
    <w:p w:rsidR="00BE7858" w:rsidRDefault="00BE7858" w:rsidP="00BE7858">
      <w:pPr>
        <w:pStyle w:val="ListParagraph"/>
        <w:numPr>
          <w:ilvl w:val="0"/>
          <w:numId w:val="12"/>
        </w:numPr>
      </w:pPr>
      <w:r w:rsidRPr="00091D00">
        <w:rPr>
          <w:b/>
        </w:rPr>
        <w:t>What were the key instances of the CBCCAGs’ successes and sustainable change and what enabled this to happen?</w:t>
      </w:r>
      <w:r>
        <w:t xml:space="preserve"> Examples of their key achievements and what enabled them to happen. Examples of evidence of changes influenced by the programs being embedded into policy and practice.</w:t>
      </w:r>
    </w:p>
    <w:p w:rsidR="00BE7858" w:rsidRPr="00587DE6" w:rsidRDefault="00BE7858" w:rsidP="00BE7858">
      <w:pPr>
        <w:pStyle w:val="ListParagraph"/>
        <w:numPr>
          <w:ilvl w:val="0"/>
          <w:numId w:val="12"/>
        </w:numPr>
      </w:pPr>
      <w:r w:rsidRPr="00091D00">
        <w:rPr>
          <w:b/>
        </w:rPr>
        <w:t>How well were the CBCCAGs managed on a project by project basis and at the program level? What were the key lessons learned?</w:t>
      </w:r>
      <w:r>
        <w:t xml:space="preserve"> Was expenditure to budget? Was there sufficient flexibility in how systems and process were applied? Was risk monitored and managed effectively? Were relationships managed well? What key lessons were learned about the delivery approaches?</w:t>
      </w:r>
    </w:p>
    <w:p w:rsidR="00BE7858" w:rsidRDefault="00BE7858" w:rsidP="00BE7858">
      <w:r>
        <w:t>These questions will form the basis of program level reporting. They will also guide development of a series of more specific project level questions, which will provide data that can be aggregated to program level.</w:t>
      </w:r>
    </w:p>
    <w:p w:rsidR="00BE7858" w:rsidRDefault="00BE7858" w:rsidP="00BE7858">
      <w:pPr>
        <w:pStyle w:val="Heading1"/>
      </w:pPr>
      <w:bookmarkStart w:id="50" w:name="_Toc315694482"/>
      <w:r>
        <w:t>Audience</w:t>
      </w:r>
      <w:bookmarkEnd w:id="50"/>
    </w:p>
    <w:p w:rsidR="00BE7858" w:rsidRDefault="00BE7858" w:rsidP="00BE7858">
      <w:r>
        <w:t xml:space="preserve">The primary audience for the evaluation is staff of the DFAT Climate Change Branch, the program managers, who have commissioned the evaluation as part of their quality assurance process, and relevant DFAT Posts to inform future programming. </w:t>
      </w:r>
    </w:p>
    <w:p w:rsidR="00BE7858" w:rsidRDefault="00BE7858" w:rsidP="00BE7858">
      <w:r>
        <w:t xml:space="preserve">The NGOs managing the projects are an equally important audience, having an interest in the outcomes and lessons as they apply to the design and implementation of comparable future work. </w:t>
      </w:r>
    </w:p>
    <w:p w:rsidR="00BE7858" w:rsidRDefault="00BE7858" w:rsidP="00BE7858">
      <w:r>
        <w:t>Communities and other implementing partners also have a stake in the evaluation and it’s outcomes, and will be consulted where possible.</w:t>
      </w:r>
    </w:p>
    <w:p w:rsidR="00BE7858" w:rsidRDefault="00BE7858" w:rsidP="00BE7858">
      <w:pPr>
        <w:pStyle w:val="Heading1"/>
      </w:pPr>
      <w:bookmarkStart w:id="51" w:name="_Toc315694483"/>
      <w:r>
        <w:t>Team</w:t>
      </w:r>
      <w:bookmarkEnd w:id="51"/>
    </w:p>
    <w:p w:rsidR="00BE7858" w:rsidRDefault="00BE7858" w:rsidP="00BE7858">
      <w:r>
        <w:t>The evaluation will be conducted by a specialist team from Griffin nrm Pty Ltd, comprising:</w:t>
      </w:r>
    </w:p>
    <w:p w:rsidR="00BE7858" w:rsidRDefault="00BE7858" w:rsidP="00BE7858">
      <w:pPr>
        <w:pStyle w:val="ListParagraph"/>
        <w:numPr>
          <w:ilvl w:val="0"/>
          <w:numId w:val="11"/>
        </w:numPr>
      </w:pPr>
      <w:r>
        <w:t>Dr Kate Duggan (climate change specialist)</w:t>
      </w:r>
    </w:p>
    <w:p w:rsidR="00BE7858" w:rsidRDefault="00BE7858" w:rsidP="00BE7858">
      <w:pPr>
        <w:pStyle w:val="ListParagraph"/>
        <w:numPr>
          <w:ilvl w:val="0"/>
          <w:numId w:val="11"/>
        </w:numPr>
      </w:pPr>
      <w:r>
        <w:t>Bruce Bailey (monitoring and evaluation specialist)</w:t>
      </w:r>
    </w:p>
    <w:p w:rsidR="00BE7858" w:rsidRDefault="00BE7858" w:rsidP="00BE7858">
      <w:r>
        <w:t>The team will adopt a collaborative approach, working with program and project managers to develop and conduct a constructive evaluation process so that the outcomes are as useful as possible for these audiences.</w:t>
      </w:r>
    </w:p>
    <w:p w:rsidR="00BE7858" w:rsidRDefault="00BE7858" w:rsidP="00BE7858">
      <w:pPr>
        <w:pStyle w:val="Heading1"/>
      </w:pPr>
      <w:bookmarkStart w:id="52" w:name="_Toc293842454"/>
      <w:bookmarkStart w:id="53" w:name="_Toc315694484"/>
      <w:r>
        <w:t>Methods</w:t>
      </w:r>
      <w:bookmarkEnd w:id="52"/>
      <w:bookmarkEnd w:id="53"/>
    </w:p>
    <w:p w:rsidR="00BE7858" w:rsidRDefault="00BE7858" w:rsidP="00BE7858">
      <w:pPr>
        <w:pStyle w:val="Heading2"/>
      </w:pPr>
      <w:bookmarkStart w:id="54" w:name="_Toc315694485"/>
      <w:r>
        <w:t>Evaluation standards</w:t>
      </w:r>
      <w:bookmarkEnd w:id="54"/>
    </w:p>
    <w:p w:rsidR="00BE7858" w:rsidRDefault="00BE7858" w:rsidP="00BE7858">
      <w:r>
        <w:t>The methods for the evaluation are designed to meet current DFAT standards</w:t>
      </w:r>
      <w:r>
        <w:rPr>
          <w:rStyle w:val="FootnoteReference"/>
        </w:rPr>
        <w:footnoteReference w:id="2"/>
      </w:r>
      <w:r>
        <w:t>, for:</w:t>
      </w:r>
    </w:p>
    <w:p w:rsidR="00BE7858" w:rsidRDefault="00BE7858" w:rsidP="00BE7858">
      <w:pPr>
        <w:pStyle w:val="ListParagraph"/>
        <w:numPr>
          <w:ilvl w:val="0"/>
          <w:numId w:val="4"/>
        </w:numPr>
      </w:pPr>
      <w:r>
        <w:t>Enabling a collaborative approach;</w:t>
      </w:r>
    </w:p>
    <w:p w:rsidR="00BE7858" w:rsidRDefault="00BE7858" w:rsidP="00BE7858">
      <w:pPr>
        <w:pStyle w:val="ListParagraph"/>
        <w:numPr>
          <w:ilvl w:val="0"/>
          <w:numId w:val="4"/>
        </w:numPr>
      </w:pPr>
      <w:r>
        <w:t>Meeting the needs of the primary audience according to the terms of reference;</w:t>
      </w:r>
    </w:p>
    <w:p w:rsidR="00BE7858" w:rsidRDefault="00BE7858" w:rsidP="00BE7858">
      <w:pPr>
        <w:pStyle w:val="ListParagraph"/>
        <w:numPr>
          <w:ilvl w:val="0"/>
          <w:numId w:val="4"/>
        </w:numPr>
      </w:pPr>
      <w:r>
        <w:t>Encompassing a range of data collection methods and triangulation across different methods to corroborate findings;</w:t>
      </w:r>
    </w:p>
    <w:p w:rsidR="00BE7858" w:rsidRDefault="00BE7858" w:rsidP="00BE7858">
      <w:pPr>
        <w:pStyle w:val="ListParagraph"/>
        <w:numPr>
          <w:ilvl w:val="0"/>
          <w:numId w:val="4"/>
        </w:numPr>
      </w:pPr>
      <w:r>
        <w:t>Addressing privacy and ethical issues;</w:t>
      </w:r>
    </w:p>
    <w:p w:rsidR="00BE7858" w:rsidRDefault="00BE7858" w:rsidP="00BE7858">
      <w:pPr>
        <w:pStyle w:val="ListParagraph"/>
        <w:numPr>
          <w:ilvl w:val="0"/>
          <w:numId w:val="4"/>
        </w:numPr>
      </w:pPr>
      <w:r>
        <w:t xml:space="preserve">Providing professional analysis and assessments; and </w:t>
      </w:r>
    </w:p>
    <w:p w:rsidR="00BE7858" w:rsidRDefault="00BE7858" w:rsidP="00BE7858">
      <w:pPr>
        <w:pStyle w:val="ListParagraph"/>
        <w:numPr>
          <w:ilvl w:val="0"/>
          <w:numId w:val="4"/>
        </w:numPr>
      </w:pPr>
      <w:r>
        <w:t>Offering independent advice and recommendations.</w:t>
      </w:r>
    </w:p>
    <w:p w:rsidR="00BE7858" w:rsidRDefault="00BE7858" w:rsidP="00BE7858">
      <w:pPr>
        <w:pStyle w:val="Heading2"/>
      </w:pPr>
      <w:bookmarkStart w:id="55" w:name="_Toc315694486"/>
      <w:r>
        <w:t>Methods of inquiry</w:t>
      </w:r>
      <w:bookmarkEnd w:id="55"/>
    </w:p>
    <w:p w:rsidR="00BE7858" w:rsidRDefault="00BE7858" w:rsidP="00BE7858">
      <w:r>
        <w:t>The evaluation will employ various methods of inquiry to examine:</w:t>
      </w:r>
    </w:p>
    <w:p w:rsidR="00BE7858" w:rsidRDefault="00BE7858" w:rsidP="00BE7858">
      <w:pPr>
        <w:pStyle w:val="ListParagraph"/>
        <w:numPr>
          <w:ilvl w:val="0"/>
          <w:numId w:val="6"/>
        </w:numPr>
      </w:pPr>
      <w:r w:rsidRPr="001D656F">
        <w:rPr>
          <w:b/>
        </w:rPr>
        <w:t>Progress</w:t>
      </w:r>
      <w:r>
        <w:t xml:space="preserve"> against project objectives and contribution to program outcomes</w:t>
      </w:r>
    </w:p>
    <w:p w:rsidR="00BE7858" w:rsidRDefault="00BE7858" w:rsidP="00BE7858">
      <w:pPr>
        <w:pStyle w:val="ListParagraph"/>
        <w:numPr>
          <w:ilvl w:val="0"/>
          <w:numId w:val="6"/>
        </w:numPr>
      </w:pPr>
      <w:r>
        <w:t>The</w:t>
      </w:r>
      <w:r w:rsidRPr="001D656F">
        <w:rPr>
          <w:b/>
        </w:rPr>
        <w:t xml:space="preserve"> relevance</w:t>
      </w:r>
      <w:r>
        <w:t xml:space="preserve"> of the investment locally and in the broader context</w:t>
      </w:r>
    </w:p>
    <w:p w:rsidR="00BE7858" w:rsidRDefault="00BE7858" w:rsidP="00BE7858">
      <w:pPr>
        <w:pStyle w:val="ListParagraph"/>
        <w:numPr>
          <w:ilvl w:val="0"/>
          <w:numId w:val="6"/>
        </w:numPr>
      </w:pPr>
      <w:r>
        <w:t xml:space="preserve">The </w:t>
      </w:r>
      <w:r w:rsidRPr="001D656F">
        <w:rPr>
          <w:b/>
        </w:rPr>
        <w:t>effectiveness</w:t>
      </w:r>
      <w:r>
        <w:t xml:space="preserve"> of the development processes employed - skills, knowledge and capacity building; partnerships and collaborations</w:t>
      </w:r>
    </w:p>
    <w:p w:rsidR="00BE7858" w:rsidRDefault="00BE7858" w:rsidP="00BE7858">
      <w:pPr>
        <w:pStyle w:val="ListParagraph"/>
        <w:numPr>
          <w:ilvl w:val="0"/>
          <w:numId w:val="6"/>
        </w:numPr>
      </w:pPr>
      <w:r>
        <w:t xml:space="preserve">The </w:t>
      </w:r>
      <w:r w:rsidRPr="001D656F">
        <w:rPr>
          <w:b/>
        </w:rPr>
        <w:t>efficiency</w:t>
      </w:r>
      <w:r>
        <w:t xml:space="preserve"> of the investment and management arrangements</w:t>
      </w:r>
    </w:p>
    <w:p w:rsidR="00BE7858" w:rsidRDefault="00BE7858" w:rsidP="00BE7858">
      <w:pPr>
        <w:pStyle w:val="ListParagraph"/>
        <w:numPr>
          <w:ilvl w:val="0"/>
          <w:numId w:val="6"/>
        </w:numPr>
      </w:pPr>
      <w:r>
        <w:t xml:space="preserve">The </w:t>
      </w:r>
      <w:r w:rsidRPr="001D656F">
        <w:rPr>
          <w:b/>
        </w:rPr>
        <w:t>sustainability</w:t>
      </w:r>
      <w:r>
        <w:t xml:space="preserve"> of outcomes</w:t>
      </w:r>
    </w:p>
    <w:p w:rsidR="00BE7858" w:rsidRDefault="00BE7858" w:rsidP="00BE7858">
      <w:pPr>
        <w:pStyle w:val="ListParagraph"/>
        <w:numPr>
          <w:ilvl w:val="0"/>
          <w:numId w:val="6"/>
        </w:numPr>
      </w:pPr>
      <w:r w:rsidRPr="001D656F">
        <w:rPr>
          <w:b/>
        </w:rPr>
        <w:t>Lessons</w:t>
      </w:r>
      <w:r>
        <w:t xml:space="preserve"> – what worked, what didn’t and why</w:t>
      </w:r>
    </w:p>
    <w:p w:rsidR="00BE7858" w:rsidRDefault="00BE7858" w:rsidP="00BE7858">
      <w:r>
        <w:t>The evaluation will also examine performance and lessons in relation to:</w:t>
      </w:r>
    </w:p>
    <w:p w:rsidR="00BE7858" w:rsidRPr="0031502E" w:rsidRDefault="00BE7858" w:rsidP="00BE7858">
      <w:pPr>
        <w:pStyle w:val="ListParagraph"/>
        <w:numPr>
          <w:ilvl w:val="0"/>
          <w:numId w:val="7"/>
        </w:numPr>
        <w:rPr>
          <w:b/>
        </w:rPr>
      </w:pPr>
      <w:r w:rsidRPr="0031502E">
        <w:rPr>
          <w:b/>
        </w:rPr>
        <w:t>inclusive development</w:t>
      </w:r>
      <w:r>
        <w:rPr>
          <w:b/>
        </w:rPr>
        <w:t xml:space="preserve"> - </w:t>
      </w:r>
      <w:r>
        <w:t xml:space="preserve">were marginalised and vulnerable members of the community included, including women and girls, and people with disabilities?; were appropriate guidelines and standards for inclusive development met?; and </w:t>
      </w:r>
    </w:p>
    <w:p w:rsidR="00BE7858" w:rsidRPr="0031502E" w:rsidRDefault="00BE7858" w:rsidP="00BE7858">
      <w:pPr>
        <w:pStyle w:val="ListParagraph"/>
        <w:numPr>
          <w:ilvl w:val="0"/>
          <w:numId w:val="7"/>
        </w:numPr>
        <w:rPr>
          <w:b/>
        </w:rPr>
      </w:pPr>
      <w:r>
        <w:rPr>
          <w:b/>
        </w:rPr>
        <w:t>S</w:t>
      </w:r>
      <w:r w:rsidRPr="0031502E">
        <w:rPr>
          <w:b/>
        </w:rPr>
        <w:t>afeguards</w:t>
      </w:r>
      <w:r>
        <w:t xml:space="preserve"> - were people’s natural and cultural assets and values protected?; were relevant local and Australian safeguard standards met?</w:t>
      </w:r>
    </w:p>
    <w:p w:rsidR="00BE7858" w:rsidRDefault="00BE7858" w:rsidP="00BE7858">
      <w:r>
        <w:t>The methods of inquiry will include:</w:t>
      </w:r>
    </w:p>
    <w:p w:rsidR="00BE7858" w:rsidRDefault="00BE7858" w:rsidP="00BE7858">
      <w:pPr>
        <w:pStyle w:val="ListParagraph"/>
        <w:numPr>
          <w:ilvl w:val="0"/>
          <w:numId w:val="5"/>
        </w:numPr>
      </w:pPr>
      <w:r>
        <w:t xml:space="preserve">A review of program and project documents including program guidance to the NGOs, approved project designs and recent progress reports and evaluations (including the review of the related Vietnam </w:t>
      </w:r>
    </w:p>
    <w:p w:rsidR="00BE7858" w:rsidRDefault="00BE7858" w:rsidP="00BE7858">
      <w:pPr>
        <w:pStyle w:val="ListParagraph"/>
        <w:numPr>
          <w:ilvl w:val="0"/>
          <w:numId w:val="5"/>
        </w:numPr>
      </w:pPr>
      <w:r>
        <w:t>An interview with the primary audience; the program managers</w:t>
      </w:r>
    </w:p>
    <w:p w:rsidR="00BE7858" w:rsidRDefault="00BE7858" w:rsidP="00BE7858">
      <w:pPr>
        <w:pStyle w:val="ListParagraph"/>
        <w:numPr>
          <w:ilvl w:val="0"/>
          <w:numId w:val="5"/>
        </w:numPr>
      </w:pPr>
      <w:r>
        <w:t>Interviews with project managers and stakeholders for each project</w:t>
      </w:r>
    </w:p>
    <w:p w:rsidR="00BE7858" w:rsidRDefault="00BE7858" w:rsidP="00BE7858">
      <w:pPr>
        <w:pStyle w:val="ListParagraph"/>
        <w:numPr>
          <w:ilvl w:val="0"/>
          <w:numId w:val="5"/>
        </w:numPr>
      </w:pPr>
      <w:r>
        <w:t>Site visits to two selected projects and in-depth interviews with implementation teams, partners and beneficiaries</w:t>
      </w:r>
    </w:p>
    <w:p w:rsidR="00BE7858" w:rsidRDefault="00BE7858" w:rsidP="00BE7858">
      <w:pPr>
        <w:pStyle w:val="ListParagraph"/>
        <w:numPr>
          <w:ilvl w:val="0"/>
          <w:numId w:val="5"/>
        </w:numPr>
      </w:pPr>
      <w:r>
        <w:t>A focus group discussion of preliminary findings</w:t>
      </w:r>
    </w:p>
    <w:p w:rsidR="00BE7858" w:rsidRDefault="00BE7858" w:rsidP="00BE7858">
      <w:r>
        <w:t>This range of methods will provide a program level assessment of progress, enabling and constraining factors, challenges, issues and lessons, built up collaboratively from evidence collated across the projects.</w:t>
      </w:r>
    </w:p>
    <w:p w:rsidR="00BE7858" w:rsidRDefault="00BE7858" w:rsidP="00BE7858">
      <w:pPr>
        <w:pStyle w:val="Heading2"/>
      </w:pPr>
      <w:bookmarkStart w:id="56" w:name="_Toc315694487"/>
      <w:r>
        <w:t>Community adaptation/mitigation pathways</w:t>
      </w:r>
      <w:bookmarkEnd w:id="56"/>
    </w:p>
    <w:p w:rsidR="00BE7858" w:rsidRDefault="00BE7858" w:rsidP="00BE7858">
      <w:r>
        <w:t>The evaluation will adopt a ‘pathways to community adaptation/mitigation’ approach, acknowledging that the ultimate goal of the program is a long-term undertaking, and that the projects are expected to contribute to its attainment in measureable but incremental ways. This approach views the development process in three phases:</w:t>
      </w:r>
    </w:p>
    <w:p w:rsidR="00BE7858" w:rsidRDefault="00BE7858" w:rsidP="00BE7858">
      <w:pPr>
        <w:pStyle w:val="ListParagraph"/>
        <w:numPr>
          <w:ilvl w:val="0"/>
          <w:numId w:val="3"/>
        </w:numPr>
      </w:pPr>
      <w:r w:rsidRPr="007C012C">
        <w:rPr>
          <w:b/>
        </w:rPr>
        <w:t>Skills, tools and capacity building</w:t>
      </w:r>
      <w:r>
        <w:t xml:space="preserve"> – facilitated by the implementation team and expected to take up the bulk of available time and resources, this phase engages and empowers communities with the attributes, skills and tools they need to begin to understand and manage the risks that climate change poses to their lives and livelihoods locally, and/or mitigate their emissions in ways that also benefit them directly in the short and long-term. This phase enables communities to identify solutions and strategies, and test them out. It positions communities to take the next steps towards engaging with networks and politically, to influence policy, planning and resourcing for local implementation of strategic action.</w:t>
      </w:r>
    </w:p>
    <w:p w:rsidR="00BE7858" w:rsidRDefault="00BE7858" w:rsidP="00BE7858">
      <w:pPr>
        <w:pStyle w:val="ListParagraph"/>
        <w:numPr>
          <w:ilvl w:val="0"/>
          <w:numId w:val="3"/>
        </w:numPr>
      </w:pPr>
      <w:r>
        <w:rPr>
          <w:b/>
        </w:rPr>
        <w:t xml:space="preserve">Policy, planning and enabling </w:t>
      </w:r>
      <w:r>
        <w:t>– facilitated by the implementation team through engagement of communities with government and civil society services and networks, to influence adaptation/mitigation policy and planning systems in community practice and at a more strategic level. There may be evidence of project activities and interventions influencing change in the way development planning is conducted at community and larger scales, for example in the information and strategies available to communities and in the networks and resources supporting community planning.</w:t>
      </w:r>
    </w:p>
    <w:p w:rsidR="00BE7858" w:rsidRPr="004D1B24" w:rsidRDefault="00BE7858" w:rsidP="00BE7858">
      <w:pPr>
        <w:pStyle w:val="ListParagraph"/>
        <w:numPr>
          <w:ilvl w:val="0"/>
          <w:numId w:val="3"/>
        </w:numPr>
        <w:rPr>
          <w:b/>
        </w:rPr>
      </w:pPr>
      <w:r w:rsidRPr="006D3886">
        <w:rPr>
          <w:b/>
        </w:rPr>
        <w:t xml:space="preserve">Adoption, </w:t>
      </w:r>
      <w:r>
        <w:rPr>
          <w:b/>
        </w:rPr>
        <w:t xml:space="preserve">implementation and scale out – </w:t>
      </w:r>
      <w:r>
        <w:t>of project outcomes may not yet be evident at scale but there may be evidence of this emerging, for example if networks are fostering and advocating their wider application, and mobilising resources for testing/implementation by other communities or agencies.</w:t>
      </w:r>
    </w:p>
    <w:p w:rsidR="00BE7858" w:rsidRDefault="00BE7858" w:rsidP="00BE7858">
      <w:r>
        <w:t>These phases map out a plausible pathway to impact, for communities engaged in building adaptive capacities, reducing the risks of climate change and mitigating emissions. It enables the evaluators to identify causal linkages between activities of the implementing team, the changes in behaviour of boundary partners or change agents, and the potential benefits for participating communities.</w:t>
      </w:r>
    </w:p>
    <w:p w:rsidR="00BE7858" w:rsidRDefault="00BE7858" w:rsidP="00BE7858">
      <w:r>
        <w:t>The approach enables the evaluators to map out the expected pathway to impact and make informed judgements about where the project has got to and the likely future impacts on beneficiaries. It can also establish the critical activities and changes that occurred along the pathway, what worked well and why and what fell below expectations. This analysis will highlight valuable lessons for future programming.</w:t>
      </w:r>
    </w:p>
    <w:p w:rsidR="00BE7858" w:rsidRPr="004D1B24" w:rsidRDefault="00BE7858" w:rsidP="00BE7858">
      <w:r w:rsidRPr="004D1B24">
        <w:t xml:space="preserve">The linkages </w:t>
      </w:r>
      <w:r>
        <w:t>between the three phases are critical. The evaluation will look at the role of the projects in creating these, and for evidence of networks, partnerships, and institutional mechanisms (policy and mandates) that could be expected to mobilise resources for wider application and impact of program outcomes in future.</w:t>
      </w:r>
    </w:p>
    <w:p w:rsidR="00BE7858" w:rsidRDefault="00BE7858" w:rsidP="00BE7858">
      <w:pPr>
        <w:pStyle w:val="Heading1"/>
      </w:pPr>
      <w:bookmarkStart w:id="57" w:name="_Toc315694488"/>
      <w:r>
        <w:t>Limitations</w:t>
      </w:r>
      <w:bookmarkEnd w:id="57"/>
    </w:p>
    <w:p w:rsidR="00BE7858" w:rsidRPr="0089744B" w:rsidRDefault="00BE7858" w:rsidP="00BE7858">
      <w:r>
        <w:t>The evaluation methodology is designed to provide the best possible information in the available timeframe and resources. However, there are limitations that could impact on the findings:</w:t>
      </w:r>
    </w:p>
    <w:p w:rsidR="00BE7858" w:rsidRPr="00911894" w:rsidRDefault="00BE7858" w:rsidP="00BE7858">
      <w:pPr>
        <w:numPr>
          <w:ilvl w:val="0"/>
          <w:numId w:val="8"/>
        </w:numPr>
      </w:pPr>
      <w:r w:rsidRPr="00911894">
        <w:rPr>
          <w:b/>
        </w:rPr>
        <w:t>Time and resources:</w:t>
      </w:r>
      <w:r w:rsidRPr="00911894">
        <w:t xml:space="preserve"> the rigour of the data gathering and analysis processes will be constrained by the time available.  </w:t>
      </w:r>
    </w:p>
    <w:p w:rsidR="00BE7858" w:rsidRPr="00911894" w:rsidRDefault="00BE7858" w:rsidP="00BE7858">
      <w:pPr>
        <w:numPr>
          <w:ilvl w:val="0"/>
          <w:numId w:val="8"/>
        </w:numPr>
      </w:pPr>
      <w:r w:rsidRPr="00911894">
        <w:rPr>
          <w:b/>
        </w:rPr>
        <w:t>Judgements:</w:t>
      </w:r>
      <w:r w:rsidRPr="00911894">
        <w:t xml:space="preserve"> </w:t>
      </w:r>
      <w:r>
        <w:t xml:space="preserve">the evaluation will be limited to </w:t>
      </w:r>
      <w:r w:rsidRPr="00911894">
        <w:t xml:space="preserve">rapid qualitative methods of inquiry, and </w:t>
      </w:r>
      <w:r>
        <w:t xml:space="preserve">rely </w:t>
      </w:r>
      <w:r w:rsidRPr="00911894">
        <w:t xml:space="preserve">on the professional judgement of the evaluators to interpret stakeholder perspectives.  </w:t>
      </w:r>
    </w:p>
    <w:p w:rsidR="00BE7858" w:rsidRPr="00911894" w:rsidRDefault="00BE7858" w:rsidP="00BE7858">
      <w:pPr>
        <w:numPr>
          <w:ilvl w:val="0"/>
          <w:numId w:val="8"/>
        </w:numPr>
      </w:pPr>
      <w:r w:rsidRPr="00911894">
        <w:rPr>
          <w:b/>
        </w:rPr>
        <w:t>Access:</w:t>
      </w:r>
      <w:r w:rsidRPr="00911894">
        <w:t xml:space="preserve"> the program covers a vast geographic area</w:t>
      </w:r>
      <w:r>
        <w:t xml:space="preserve"> and</w:t>
      </w:r>
      <w:r w:rsidRPr="00911894">
        <w:t xml:space="preserve"> the evaluation team can only expect to gather indicative perspectives from a limited range of stakeholders/locat</w:t>
      </w:r>
      <w:r>
        <w:t xml:space="preserve">ions. </w:t>
      </w:r>
    </w:p>
    <w:p w:rsidR="00BE7858" w:rsidRPr="00911894" w:rsidRDefault="00BE7858" w:rsidP="00BE7858">
      <w:pPr>
        <w:numPr>
          <w:ilvl w:val="0"/>
          <w:numId w:val="8"/>
        </w:numPr>
      </w:pPr>
      <w:r w:rsidRPr="00911894">
        <w:rPr>
          <w:b/>
        </w:rPr>
        <w:t>Measurement:</w:t>
      </w:r>
      <w:r w:rsidRPr="00911894">
        <w:t xml:space="preserve"> </w:t>
      </w:r>
      <w:r>
        <w:t xml:space="preserve">the evaluators will primarily rely on evidence collected from project managers and stakeholders to assess compound indicators such as ‘capacity’, ‘knowledge and awareness’, and ‘empowerment’. </w:t>
      </w:r>
    </w:p>
    <w:p w:rsidR="00BE7858" w:rsidRDefault="00BE7858" w:rsidP="00BE7858">
      <w:pPr>
        <w:numPr>
          <w:ilvl w:val="0"/>
          <w:numId w:val="8"/>
        </w:numPr>
      </w:pPr>
      <w:r w:rsidRPr="00911894">
        <w:rPr>
          <w:b/>
        </w:rPr>
        <w:t>Attribution:</w:t>
      </w:r>
      <w:r w:rsidRPr="00911894">
        <w:t xml:space="preserve"> </w:t>
      </w:r>
      <w:r>
        <w:t>the projects are</w:t>
      </w:r>
      <w:r w:rsidRPr="00911894">
        <w:t xml:space="preserve"> implemented </w:t>
      </w:r>
      <w:r>
        <w:t xml:space="preserve">in a complex context in which </w:t>
      </w:r>
      <w:r w:rsidRPr="00911894">
        <w:t>multiple factors contribute to and/or detract from the anticipated changes</w:t>
      </w:r>
      <w:r>
        <w:t>, making definitive attribution of changes to particular interventions challenging.</w:t>
      </w:r>
    </w:p>
    <w:p w:rsidR="00BE7858" w:rsidRDefault="00BE7858" w:rsidP="00BE7858">
      <w:r>
        <w:t>The ‘enhancing community pathways to adaptation/mitigation’ approach adopted in the evaluation is expected to lessen many of these limitations by examining evidence and causal linkages between project activities/investment and likely outcomes in the immediate and longer-term.</w:t>
      </w:r>
    </w:p>
    <w:p w:rsidR="00BE7858" w:rsidRDefault="00BE7858" w:rsidP="00BE7858">
      <w:pPr>
        <w:pStyle w:val="Heading1"/>
      </w:pPr>
      <w:bookmarkStart w:id="58" w:name="_Toc293842459"/>
      <w:bookmarkStart w:id="59" w:name="_Toc315694489"/>
      <w:r>
        <w:t>Reporting</w:t>
      </w:r>
      <w:bookmarkEnd w:id="58"/>
      <w:bookmarkEnd w:id="59"/>
    </w:p>
    <w:p w:rsidR="00BE7858" w:rsidRDefault="00BE7858" w:rsidP="00BE7858">
      <w:r>
        <w:t>The evaluation will produce the following reports, according the DFAT evaluation reporting standards</w:t>
      </w:r>
      <w:r>
        <w:rPr>
          <w:rStyle w:val="FootnoteReference"/>
        </w:rPr>
        <w:footnoteReference w:id="3"/>
      </w:r>
      <w:r>
        <w:t>:</w:t>
      </w:r>
    </w:p>
    <w:p w:rsidR="00BE7858" w:rsidRDefault="00BE7858" w:rsidP="00BE7858">
      <w:pPr>
        <w:pStyle w:val="ListParagraph"/>
        <w:numPr>
          <w:ilvl w:val="0"/>
          <w:numId w:val="26"/>
        </w:numPr>
      </w:pPr>
      <w:r>
        <w:t>An agreed evaluation plan</w:t>
      </w:r>
    </w:p>
    <w:p w:rsidR="00BE7858" w:rsidRDefault="00BE7858" w:rsidP="00BE7858">
      <w:pPr>
        <w:pStyle w:val="ListParagraph"/>
        <w:numPr>
          <w:ilvl w:val="0"/>
          <w:numId w:val="26"/>
        </w:numPr>
      </w:pPr>
      <w:r>
        <w:t>An Aide Memoire for the field missions</w:t>
      </w:r>
    </w:p>
    <w:p w:rsidR="00BE7858" w:rsidRDefault="00BE7858" w:rsidP="00BE7858">
      <w:pPr>
        <w:pStyle w:val="ListParagraph"/>
        <w:numPr>
          <w:ilvl w:val="0"/>
          <w:numId w:val="26"/>
        </w:numPr>
      </w:pPr>
      <w:r>
        <w:t>A draft evaluation report</w:t>
      </w:r>
    </w:p>
    <w:p w:rsidR="00BE7858" w:rsidRDefault="00BE7858" w:rsidP="00BE7858">
      <w:pPr>
        <w:pStyle w:val="ListParagraph"/>
        <w:numPr>
          <w:ilvl w:val="0"/>
          <w:numId w:val="26"/>
        </w:numPr>
      </w:pPr>
      <w:r>
        <w:t>A final report reflecting feedback and discussions</w:t>
      </w:r>
    </w:p>
    <w:p w:rsidR="00BE7858" w:rsidRDefault="00BE7858" w:rsidP="00BE7858">
      <w:pPr>
        <w:pStyle w:val="Heading1"/>
      </w:pPr>
      <w:bookmarkStart w:id="60" w:name="_Toc293842460"/>
      <w:bookmarkStart w:id="61" w:name="_Toc315694490"/>
      <w:r>
        <w:t>Evaluation framework and questions</w:t>
      </w:r>
      <w:bookmarkEnd w:id="60"/>
      <w:bookmarkEnd w:id="61"/>
    </w:p>
    <w:p w:rsidR="00BE7858" w:rsidRDefault="00BE7858" w:rsidP="00BE7858">
      <w:r>
        <w:t>The</w:t>
      </w:r>
      <w:r w:rsidRPr="006C7544">
        <w:t xml:space="preserve"> </w:t>
      </w:r>
      <w:r>
        <w:t>evaluation framework</w:t>
      </w:r>
      <w:r w:rsidRPr="006C7544">
        <w:t xml:space="preserve"> </w:t>
      </w:r>
      <w:r>
        <w:t>below summarises</w:t>
      </w:r>
      <w:r w:rsidRPr="006C7544">
        <w:t xml:space="preserve"> the</w:t>
      </w:r>
      <w:r>
        <w:t xml:space="preserve"> headline evaluation questions and indicators of success for each development phase in </w:t>
      </w:r>
      <w:r>
        <w:rPr>
          <w:b/>
        </w:rPr>
        <w:t>enhancing community pathways to climate change adaptation and mitigation</w:t>
      </w:r>
      <w:r>
        <w:t>. This framework will guide data collection for all of the inquiry methods.</w:t>
      </w:r>
    </w:p>
    <w:p w:rsidR="00BE7858" w:rsidRDefault="00BE7858" w:rsidP="00BE7858">
      <w:pPr>
        <w:spacing w:after="240"/>
      </w:pPr>
      <w:r>
        <w:t>Project level evaluation questions (below) will guide a structured discussion during interviews with project teams. These will be developed iteratively with the program managers and may be added to or adjusted to accommodate specific questions raised in the upfront review of program and project documents.</w:t>
      </w:r>
    </w:p>
    <w:p w:rsidR="00BE7858" w:rsidRDefault="00BE7858" w:rsidP="00BE7858">
      <w:pPr>
        <w:spacing w:after="240"/>
        <w:sectPr w:rsidR="00BE7858" w:rsidSect="00BE7858">
          <w:headerReference w:type="even" r:id="rId30"/>
          <w:headerReference w:type="default" r:id="rId31"/>
          <w:footerReference w:type="default" r:id="rId32"/>
          <w:headerReference w:type="first" r:id="rId33"/>
          <w:pgSz w:w="11899" w:h="16838"/>
          <w:pgMar w:top="1440" w:right="1797" w:bottom="1440" w:left="1797" w:header="709" w:footer="709" w:gutter="0"/>
          <w:pgNumType w:start="1"/>
          <w:cols w:space="708"/>
        </w:sectPr>
      </w:pPr>
      <w:r>
        <w:t>A Focus Group Discussion may be held to provide feedback on findings and discuss lessons for future programming.</w:t>
      </w:r>
    </w:p>
    <w:p w:rsidR="00BE7858" w:rsidRDefault="00BE7858" w:rsidP="00BE7858">
      <w:pPr>
        <w:pStyle w:val="Heading2"/>
      </w:pPr>
      <w:bookmarkStart w:id="62" w:name="_Toc293842461"/>
      <w:bookmarkStart w:id="63" w:name="_Toc315694491"/>
      <w:r>
        <w:t>Evaluation framework</w:t>
      </w:r>
      <w:bookmarkEnd w:id="62"/>
      <w:bookmarkEnd w:id="63"/>
    </w:p>
    <w:tbl>
      <w:tblPr>
        <w:tblStyle w:val="TableGrid"/>
        <w:tblW w:w="0" w:type="auto"/>
        <w:tblLook w:val="00A0" w:firstRow="1" w:lastRow="0" w:firstColumn="1" w:lastColumn="0" w:noHBand="0" w:noVBand="0"/>
      </w:tblPr>
      <w:tblGrid>
        <w:gridCol w:w="2489"/>
        <w:gridCol w:w="1685"/>
        <w:gridCol w:w="2171"/>
        <w:gridCol w:w="2171"/>
      </w:tblGrid>
      <w:tr w:rsidR="00BE7858" w:rsidRPr="008768C0">
        <w:tc>
          <w:tcPr>
            <w:tcW w:w="3543" w:type="dxa"/>
            <w:tcBorders>
              <w:top w:val="nil"/>
              <w:left w:val="nil"/>
              <w:bottom w:val="nil"/>
            </w:tcBorders>
          </w:tcPr>
          <w:p w:rsidR="00BE7858" w:rsidRPr="008768C0" w:rsidRDefault="00BE7858" w:rsidP="00BE7858">
            <w:pPr>
              <w:rPr>
                <w:b/>
                <w:sz w:val="18"/>
              </w:rPr>
            </w:pPr>
          </w:p>
        </w:tc>
        <w:tc>
          <w:tcPr>
            <w:tcW w:w="10631" w:type="dxa"/>
            <w:gridSpan w:val="3"/>
          </w:tcPr>
          <w:p w:rsidR="00BE7858" w:rsidRPr="008768C0" w:rsidRDefault="00BE7858" w:rsidP="00BE7858">
            <w:pPr>
              <w:rPr>
                <w:b/>
                <w:sz w:val="18"/>
              </w:rPr>
            </w:pPr>
            <w:r w:rsidRPr="008768C0">
              <w:rPr>
                <w:b/>
                <w:sz w:val="18"/>
              </w:rPr>
              <w:t>Development phase:</w:t>
            </w:r>
          </w:p>
        </w:tc>
      </w:tr>
      <w:tr w:rsidR="00BE7858" w:rsidRPr="008768C0">
        <w:tc>
          <w:tcPr>
            <w:tcW w:w="3543" w:type="dxa"/>
            <w:tcBorders>
              <w:top w:val="nil"/>
              <w:left w:val="nil"/>
              <w:bottom w:val="single" w:sz="4" w:space="0" w:color="000000" w:themeColor="text1"/>
            </w:tcBorders>
          </w:tcPr>
          <w:p w:rsidR="00BE7858" w:rsidRPr="008768C0" w:rsidRDefault="00BE7858" w:rsidP="00BE7858">
            <w:pPr>
              <w:rPr>
                <w:b/>
                <w:sz w:val="18"/>
              </w:rPr>
            </w:pPr>
          </w:p>
        </w:tc>
        <w:tc>
          <w:tcPr>
            <w:tcW w:w="3543" w:type="dxa"/>
            <w:shd w:val="clear" w:color="auto" w:fill="C6D9F1" w:themeFill="text2" w:themeFillTint="33"/>
          </w:tcPr>
          <w:p w:rsidR="00BE7858" w:rsidRPr="008768C0" w:rsidRDefault="00BE7858" w:rsidP="00BE7858">
            <w:pPr>
              <w:rPr>
                <w:b/>
                <w:sz w:val="18"/>
              </w:rPr>
            </w:pPr>
            <w:r w:rsidRPr="008768C0">
              <w:rPr>
                <w:b/>
                <w:sz w:val="18"/>
              </w:rPr>
              <w:t>Skills, tools and capacity building</w:t>
            </w:r>
          </w:p>
        </w:tc>
        <w:tc>
          <w:tcPr>
            <w:tcW w:w="3544" w:type="dxa"/>
            <w:shd w:val="clear" w:color="auto" w:fill="DAEEF3" w:themeFill="accent5" w:themeFillTint="33"/>
          </w:tcPr>
          <w:p w:rsidR="00BE7858" w:rsidRPr="008768C0" w:rsidRDefault="00BE7858" w:rsidP="00BE7858">
            <w:pPr>
              <w:rPr>
                <w:b/>
                <w:sz w:val="18"/>
              </w:rPr>
            </w:pPr>
            <w:r w:rsidRPr="008768C0">
              <w:rPr>
                <w:b/>
                <w:sz w:val="18"/>
              </w:rPr>
              <w:t>Policy and program enabling</w:t>
            </w:r>
          </w:p>
        </w:tc>
        <w:tc>
          <w:tcPr>
            <w:tcW w:w="3544" w:type="dxa"/>
            <w:shd w:val="clear" w:color="auto" w:fill="EAF1DD" w:themeFill="accent3" w:themeFillTint="33"/>
          </w:tcPr>
          <w:p w:rsidR="00BE7858" w:rsidRPr="008768C0" w:rsidRDefault="00BE7858" w:rsidP="00BE7858">
            <w:pPr>
              <w:rPr>
                <w:b/>
                <w:sz w:val="18"/>
              </w:rPr>
            </w:pPr>
            <w:r w:rsidRPr="008768C0">
              <w:rPr>
                <w:b/>
                <w:sz w:val="18"/>
              </w:rPr>
              <w:t>Adoption, implementation and scale out</w:t>
            </w:r>
          </w:p>
        </w:tc>
      </w:tr>
      <w:tr w:rsidR="00BE7858" w:rsidRPr="008768C0">
        <w:tc>
          <w:tcPr>
            <w:tcW w:w="3543" w:type="dxa"/>
            <w:tcBorders>
              <w:top w:val="single" w:sz="4" w:space="0" w:color="000000" w:themeColor="text1"/>
              <w:left w:val="single" w:sz="4" w:space="0" w:color="000000" w:themeColor="text1"/>
            </w:tcBorders>
          </w:tcPr>
          <w:p w:rsidR="00BE7858" w:rsidRPr="008768C0" w:rsidRDefault="00BE7858" w:rsidP="00BE7858">
            <w:pPr>
              <w:rPr>
                <w:b/>
                <w:sz w:val="18"/>
              </w:rPr>
            </w:pPr>
            <w:r w:rsidRPr="008768C0">
              <w:rPr>
                <w:b/>
                <w:sz w:val="18"/>
              </w:rPr>
              <w:t>Evaluation questions:</w:t>
            </w:r>
          </w:p>
        </w:tc>
        <w:tc>
          <w:tcPr>
            <w:tcW w:w="3543" w:type="dxa"/>
            <w:shd w:val="clear" w:color="auto" w:fill="C6D9F1" w:themeFill="text2" w:themeFillTint="33"/>
          </w:tcPr>
          <w:p w:rsidR="00BE7858" w:rsidRPr="008768C0" w:rsidRDefault="00BE7858" w:rsidP="00BE7858">
            <w:pPr>
              <w:rPr>
                <w:sz w:val="18"/>
              </w:rPr>
            </w:pPr>
            <w:r w:rsidRPr="008768C0">
              <w:rPr>
                <w:sz w:val="18"/>
              </w:rPr>
              <w:t xml:space="preserve">Who are the </w:t>
            </w:r>
            <w:r w:rsidRPr="008768C0">
              <w:rPr>
                <w:b/>
                <w:sz w:val="18"/>
              </w:rPr>
              <w:t>implementation team</w:t>
            </w:r>
            <w:r w:rsidRPr="008768C0">
              <w:rPr>
                <w:sz w:val="18"/>
              </w:rPr>
              <w:t xml:space="preserve">? </w:t>
            </w:r>
          </w:p>
        </w:tc>
        <w:tc>
          <w:tcPr>
            <w:tcW w:w="3544" w:type="dxa"/>
            <w:shd w:val="clear" w:color="auto" w:fill="DAEEF3" w:themeFill="accent5" w:themeFillTint="33"/>
          </w:tcPr>
          <w:p w:rsidR="00BE7858" w:rsidRPr="008768C0" w:rsidRDefault="00BE7858" w:rsidP="00BE7858">
            <w:pPr>
              <w:rPr>
                <w:sz w:val="18"/>
              </w:rPr>
            </w:pPr>
            <w:r w:rsidRPr="008768C0">
              <w:rPr>
                <w:sz w:val="18"/>
              </w:rPr>
              <w:t xml:space="preserve">Who are the </w:t>
            </w:r>
            <w:r w:rsidRPr="008768C0">
              <w:rPr>
                <w:b/>
                <w:sz w:val="18"/>
              </w:rPr>
              <w:t>change agents</w:t>
            </w:r>
            <w:r w:rsidRPr="008768C0">
              <w:rPr>
                <w:sz w:val="18"/>
              </w:rPr>
              <w:t xml:space="preserve">? </w:t>
            </w:r>
          </w:p>
        </w:tc>
        <w:tc>
          <w:tcPr>
            <w:tcW w:w="3544" w:type="dxa"/>
            <w:shd w:val="clear" w:color="auto" w:fill="EAF1DD" w:themeFill="accent3" w:themeFillTint="33"/>
          </w:tcPr>
          <w:p w:rsidR="00BE7858" w:rsidRPr="008768C0" w:rsidRDefault="00BE7858" w:rsidP="00BE7858">
            <w:pPr>
              <w:rPr>
                <w:sz w:val="18"/>
              </w:rPr>
            </w:pPr>
            <w:r w:rsidRPr="008768C0">
              <w:rPr>
                <w:sz w:val="18"/>
              </w:rPr>
              <w:t xml:space="preserve">Who are the </w:t>
            </w:r>
            <w:r w:rsidRPr="008768C0">
              <w:rPr>
                <w:b/>
                <w:sz w:val="18"/>
              </w:rPr>
              <w:t>beneficiaries</w:t>
            </w:r>
            <w:r w:rsidRPr="008768C0">
              <w:rPr>
                <w:sz w:val="18"/>
              </w:rPr>
              <w:t xml:space="preserve">? </w:t>
            </w:r>
          </w:p>
        </w:tc>
      </w:tr>
      <w:tr w:rsidR="00BE7858" w:rsidRPr="008768C0">
        <w:tc>
          <w:tcPr>
            <w:tcW w:w="3543" w:type="dxa"/>
          </w:tcPr>
          <w:p w:rsidR="00BE7858" w:rsidRPr="008768C0" w:rsidRDefault="00BE7858" w:rsidP="00BE7858">
            <w:pPr>
              <w:rPr>
                <w:b/>
                <w:sz w:val="18"/>
              </w:rPr>
            </w:pPr>
            <w:r w:rsidRPr="008768C0">
              <w:rPr>
                <w:b/>
                <w:sz w:val="18"/>
              </w:rPr>
              <w:t>What evidence is there that the interventions produced the planned outputs and outcomes? What was unexpected?</w:t>
            </w:r>
          </w:p>
        </w:tc>
        <w:tc>
          <w:tcPr>
            <w:tcW w:w="3543" w:type="dxa"/>
            <w:shd w:val="clear" w:color="auto" w:fill="C6D9F1" w:themeFill="text2" w:themeFillTint="33"/>
          </w:tcPr>
          <w:p w:rsidR="00BE7858" w:rsidRPr="008768C0" w:rsidRDefault="00BE7858" w:rsidP="00BE7858">
            <w:pPr>
              <w:rPr>
                <w:sz w:val="18"/>
              </w:rPr>
            </w:pPr>
            <w:r w:rsidRPr="008768C0">
              <w:rPr>
                <w:sz w:val="18"/>
              </w:rPr>
              <w:t>What did the implementation team produce (e.g. goods and services)?</w:t>
            </w:r>
          </w:p>
        </w:tc>
        <w:tc>
          <w:tcPr>
            <w:tcW w:w="3544" w:type="dxa"/>
            <w:shd w:val="clear" w:color="auto" w:fill="DAEEF3" w:themeFill="accent5" w:themeFillTint="33"/>
          </w:tcPr>
          <w:p w:rsidR="00BE7858" w:rsidRPr="008768C0" w:rsidRDefault="00BE7858" w:rsidP="00BE7858">
            <w:pPr>
              <w:rPr>
                <w:sz w:val="18"/>
              </w:rPr>
            </w:pPr>
            <w:r w:rsidRPr="008768C0">
              <w:rPr>
                <w:sz w:val="18"/>
              </w:rPr>
              <w:t>What are people doing differently as a result (e.g. planning and allocating resources)?</w:t>
            </w:r>
          </w:p>
        </w:tc>
        <w:tc>
          <w:tcPr>
            <w:tcW w:w="3544" w:type="dxa"/>
            <w:shd w:val="clear" w:color="auto" w:fill="EAF1DD" w:themeFill="accent3" w:themeFillTint="33"/>
          </w:tcPr>
          <w:p w:rsidR="00BE7858" w:rsidRPr="008768C0" w:rsidRDefault="00BE7858" w:rsidP="00BE7858">
            <w:pPr>
              <w:rPr>
                <w:sz w:val="18"/>
              </w:rPr>
            </w:pPr>
            <w:r w:rsidRPr="008768C0">
              <w:rPr>
                <w:sz w:val="18"/>
              </w:rPr>
              <w:t>How have communities benefited (e.g. enhanced adaptive management)?</w:t>
            </w:r>
          </w:p>
        </w:tc>
      </w:tr>
      <w:tr w:rsidR="00BE7858" w:rsidRPr="008768C0">
        <w:tc>
          <w:tcPr>
            <w:tcW w:w="3543" w:type="dxa"/>
          </w:tcPr>
          <w:p w:rsidR="00BE7858" w:rsidRPr="008768C0" w:rsidRDefault="00BE7858" w:rsidP="00BE7858">
            <w:pPr>
              <w:rPr>
                <w:b/>
                <w:sz w:val="18"/>
              </w:rPr>
            </w:pPr>
            <w:r w:rsidRPr="008768C0">
              <w:rPr>
                <w:b/>
                <w:sz w:val="18"/>
              </w:rPr>
              <w:t>How did the project improve awareness/understanding of the risks and drivers of vulnerability to climate change? What factors are enabling or hindering this development?</w:t>
            </w:r>
          </w:p>
        </w:tc>
        <w:tc>
          <w:tcPr>
            <w:tcW w:w="3543" w:type="dxa"/>
            <w:shd w:val="clear" w:color="auto" w:fill="C6D9F1" w:themeFill="text2" w:themeFillTint="33"/>
          </w:tcPr>
          <w:p w:rsidR="00BE7858" w:rsidRPr="008768C0" w:rsidRDefault="00BE7858" w:rsidP="00BE7858">
            <w:pPr>
              <w:rPr>
                <w:i/>
                <w:sz w:val="18"/>
              </w:rPr>
            </w:pPr>
            <w:r w:rsidRPr="008768C0">
              <w:rPr>
                <w:i/>
                <w:sz w:val="18"/>
              </w:rPr>
              <w:t>The team has leadership, trust, and a shared vision and plan for an alternative pathway; knowledge and skills are built and shared in participating communities</w:t>
            </w:r>
          </w:p>
        </w:tc>
        <w:tc>
          <w:tcPr>
            <w:tcW w:w="3544" w:type="dxa"/>
            <w:shd w:val="clear" w:color="auto" w:fill="DAEEF3" w:themeFill="accent5" w:themeFillTint="33"/>
          </w:tcPr>
          <w:p w:rsidR="00BE7858" w:rsidRPr="008768C0" w:rsidRDefault="00BE7858" w:rsidP="00BE7858">
            <w:pPr>
              <w:rPr>
                <w:i/>
                <w:sz w:val="18"/>
              </w:rPr>
            </w:pPr>
            <w:r w:rsidRPr="008768C0">
              <w:rPr>
                <w:i/>
                <w:sz w:val="18"/>
              </w:rPr>
              <w:t>Local action plans and/or agreements are produced to reduce local climate risks and vulnerabilities and/or emissions</w:t>
            </w:r>
          </w:p>
        </w:tc>
        <w:tc>
          <w:tcPr>
            <w:tcW w:w="3544" w:type="dxa"/>
            <w:shd w:val="clear" w:color="auto" w:fill="EAF1DD" w:themeFill="accent3" w:themeFillTint="33"/>
          </w:tcPr>
          <w:p w:rsidR="00BE7858" w:rsidRPr="008768C0" w:rsidRDefault="00BE7858" w:rsidP="00BE7858">
            <w:pPr>
              <w:rPr>
                <w:i/>
                <w:sz w:val="18"/>
              </w:rPr>
            </w:pPr>
            <w:r w:rsidRPr="008768C0">
              <w:rPr>
                <w:i/>
                <w:sz w:val="18"/>
              </w:rPr>
              <w:t>Adaptation/mitigation strategies are tested and modified to reduce local climate risks and vulnerabilities and/or emissions</w:t>
            </w:r>
          </w:p>
        </w:tc>
      </w:tr>
      <w:tr w:rsidR="00BE7858" w:rsidRPr="008768C0">
        <w:tc>
          <w:tcPr>
            <w:tcW w:w="3543" w:type="dxa"/>
          </w:tcPr>
          <w:p w:rsidR="00BE7858" w:rsidRPr="008768C0" w:rsidRDefault="00BE7858" w:rsidP="00BE7858">
            <w:pPr>
              <w:rPr>
                <w:b/>
                <w:sz w:val="18"/>
              </w:rPr>
            </w:pPr>
            <w:r w:rsidRPr="008768C0">
              <w:rPr>
                <w:b/>
                <w:sz w:val="18"/>
              </w:rPr>
              <w:t>How did the project empower/strengthen community capacities to take the lead, anticipate and adapt to, and/or mitigate, the impacts of climate change? What factors are enabling or hindering this development? How were marginalised members of the community included?</w:t>
            </w:r>
          </w:p>
        </w:tc>
        <w:tc>
          <w:tcPr>
            <w:tcW w:w="3543" w:type="dxa"/>
            <w:shd w:val="clear" w:color="auto" w:fill="C6D9F1" w:themeFill="text2" w:themeFillTint="33"/>
          </w:tcPr>
          <w:p w:rsidR="00BE7858" w:rsidRPr="008768C0" w:rsidRDefault="00BE7858" w:rsidP="00BE7858">
            <w:pPr>
              <w:rPr>
                <w:i/>
                <w:sz w:val="18"/>
              </w:rPr>
            </w:pPr>
            <w:r w:rsidRPr="008768C0">
              <w:rPr>
                <w:i/>
                <w:sz w:val="18"/>
              </w:rPr>
              <w:t>Communities are empowered to take ownership of the problem, to develop their own solutions and advocate for change</w:t>
            </w:r>
          </w:p>
        </w:tc>
        <w:tc>
          <w:tcPr>
            <w:tcW w:w="3544" w:type="dxa"/>
            <w:shd w:val="clear" w:color="auto" w:fill="DAEEF3" w:themeFill="accent5" w:themeFillTint="33"/>
          </w:tcPr>
          <w:p w:rsidR="00BE7858" w:rsidRPr="008768C0" w:rsidRDefault="00BE7858" w:rsidP="00BE7858">
            <w:pPr>
              <w:rPr>
                <w:i/>
                <w:sz w:val="18"/>
              </w:rPr>
            </w:pPr>
            <w:r w:rsidRPr="008768C0">
              <w:rPr>
                <w:i/>
                <w:sz w:val="18"/>
              </w:rPr>
              <w:t>Government and/or civil society policies, planning systems and mandates are modified to integrate new knowledge and solutions</w:t>
            </w:r>
          </w:p>
        </w:tc>
        <w:tc>
          <w:tcPr>
            <w:tcW w:w="3544" w:type="dxa"/>
            <w:shd w:val="clear" w:color="auto" w:fill="EAF1DD" w:themeFill="accent3" w:themeFillTint="33"/>
          </w:tcPr>
          <w:p w:rsidR="00BE7858" w:rsidRPr="008768C0" w:rsidRDefault="00BE7858" w:rsidP="00BE7858">
            <w:pPr>
              <w:rPr>
                <w:i/>
                <w:sz w:val="18"/>
              </w:rPr>
            </w:pPr>
            <w:r w:rsidRPr="008768C0">
              <w:rPr>
                <w:i/>
                <w:sz w:val="18"/>
              </w:rPr>
              <w:t>Adaptation/mitigation strategies are adopted and scaled out by other members of the community and other communities</w:t>
            </w:r>
          </w:p>
        </w:tc>
      </w:tr>
      <w:tr w:rsidR="00BE7858" w:rsidRPr="008768C0">
        <w:tc>
          <w:tcPr>
            <w:tcW w:w="3543" w:type="dxa"/>
            <w:vMerge w:val="restart"/>
          </w:tcPr>
          <w:p w:rsidR="00BE7858" w:rsidRPr="008768C0" w:rsidRDefault="00BE7858" w:rsidP="00BE7858">
            <w:pPr>
              <w:rPr>
                <w:b/>
                <w:sz w:val="18"/>
              </w:rPr>
            </w:pPr>
            <w:r w:rsidRPr="008768C0">
              <w:rPr>
                <w:b/>
                <w:sz w:val="18"/>
              </w:rPr>
              <w:t>How did the project facilitate partnerships to mobilise knowledge and resources and engage politically?</w:t>
            </w:r>
          </w:p>
        </w:tc>
        <w:tc>
          <w:tcPr>
            <w:tcW w:w="3543" w:type="dxa"/>
            <w:vMerge w:val="restart"/>
            <w:shd w:val="clear" w:color="auto" w:fill="C6D9F1" w:themeFill="text2" w:themeFillTint="33"/>
          </w:tcPr>
          <w:p w:rsidR="00BE7858" w:rsidRPr="008768C0" w:rsidRDefault="00BE7858" w:rsidP="00BE7858">
            <w:pPr>
              <w:rPr>
                <w:i/>
                <w:sz w:val="18"/>
              </w:rPr>
            </w:pPr>
            <w:r w:rsidRPr="008768C0">
              <w:rPr>
                <w:i/>
                <w:sz w:val="18"/>
              </w:rPr>
              <w:t>Communities are engaged with government and civil society to mobilise knowledge and resources</w:t>
            </w:r>
          </w:p>
        </w:tc>
        <w:tc>
          <w:tcPr>
            <w:tcW w:w="3544" w:type="dxa"/>
            <w:shd w:val="clear" w:color="auto" w:fill="DAEEF3" w:themeFill="accent5" w:themeFillTint="33"/>
          </w:tcPr>
          <w:p w:rsidR="00BE7858" w:rsidRPr="008768C0" w:rsidRDefault="00BE7858" w:rsidP="00BE7858">
            <w:pPr>
              <w:rPr>
                <w:i/>
                <w:sz w:val="18"/>
              </w:rPr>
            </w:pPr>
            <w:r w:rsidRPr="008768C0">
              <w:rPr>
                <w:i/>
                <w:sz w:val="18"/>
              </w:rPr>
              <w:t>Cross-scale networks are expanded to mobilise knowledge and resources</w:t>
            </w:r>
          </w:p>
        </w:tc>
        <w:tc>
          <w:tcPr>
            <w:tcW w:w="3544" w:type="dxa"/>
            <w:shd w:val="clear" w:color="auto" w:fill="EAF1DD" w:themeFill="accent3" w:themeFillTint="33"/>
          </w:tcPr>
          <w:p w:rsidR="00BE7858" w:rsidRPr="008768C0" w:rsidRDefault="00BE7858" w:rsidP="00BE7858">
            <w:pPr>
              <w:rPr>
                <w:i/>
                <w:sz w:val="18"/>
              </w:rPr>
            </w:pPr>
            <w:r w:rsidRPr="008768C0">
              <w:rPr>
                <w:i/>
                <w:sz w:val="18"/>
              </w:rPr>
              <w:t>Programs are coordinated across jurisdictions to ensure complimentary action at different scales</w:t>
            </w:r>
          </w:p>
        </w:tc>
      </w:tr>
      <w:tr w:rsidR="00BE7858" w:rsidRPr="008768C0">
        <w:tc>
          <w:tcPr>
            <w:tcW w:w="3543" w:type="dxa"/>
            <w:vMerge/>
          </w:tcPr>
          <w:p w:rsidR="00BE7858" w:rsidRPr="008768C0" w:rsidRDefault="00BE7858" w:rsidP="00BE7858">
            <w:pPr>
              <w:rPr>
                <w:sz w:val="18"/>
              </w:rPr>
            </w:pPr>
          </w:p>
        </w:tc>
        <w:tc>
          <w:tcPr>
            <w:tcW w:w="3543" w:type="dxa"/>
            <w:vMerge/>
            <w:shd w:val="clear" w:color="auto" w:fill="C6D9F1" w:themeFill="text2" w:themeFillTint="33"/>
          </w:tcPr>
          <w:p w:rsidR="00BE7858" w:rsidRPr="008768C0" w:rsidRDefault="00BE7858" w:rsidP="00BE7858">
            <w:pPr>
              <w:rPr>
                <w:sz w:val="18"/>
              </w:rPr>
            </w:pPr>
          </w:p>
        </w:tc>
        <w:tc>
          <w:tcPr>
            <w:tcW w:w="3544" w:type="dxa"/>
            <w:shd w:val="clear" w:color="auto" w:fill="DAEEF3" w:themeFill="accent5" w:themeFillTint="33"/>
          </w:tcPr>
          <w:p w:rsidR="00BE7858" w:rsidRPr="008768C0" w:rsidRDefault="00BE7858" w:rsidP="00BE7858">
            <w:pPr>
              <w:rPr>
                <w:i/>
                <w:sz w:val="18"/>
              </w:rPr>
            </w:pPr>
            <w:r w:rsidRPr="008768C0">
              <w:rPr>
                <w:i/>
                <w:sz w:val="18"/>
              </w:rPr>
              <w:t>Resources are made available for implementation</w:t>
            </w:r>
          </w:p>
        </w:tc>
        <w:tc>
          <w:tcPr>
            <w:tcW w:w="3544" w:type="dxa"/>
            <w:shd w:val="clear" w:color="auto" w:fill="EAF1DD" w:themeFill="accent3" w:themeFillTint="33"/>
          </w:tcPr>
          <w:p w:rsidR="00BE7858" w:rsidRPr="008768C0" w:rsidRDefault="00BE7858" w:rsidP="00BE7858">
            <w:pPr>
              <w:rPr>
                <w:b/>
                <w:sz w:val="18"/>
              </w:rPr>
            </w:pPr>
          </w:p>
        </w:tc>
      </w:tr>
      <w:tr w:rsidR="00BE7858" w:rsidRPr="008768C0">
        <w:tc>
          <w:tcPr>
            <w:tcW w:w="3543" w:type="dxa"/>
          </w:tcPr>
          <w:p w:rsidR="00BE7858" w:rsidRPr="008768C0" w:rsidRDefault="00BE7858" w:rsidP="00BE7858">
            <w:pPr>
              <w:rPr>
                <w:b/>
                <w:sz w:val="18"/>
              </w:rPr>
            </w:pPr>
            <w:r w:rsidRPr="008768C0">
              <w:rPr>
                <w:b/>
                <w:sz w:val="18"/>
              </w:rPr>
              <w:t>Outcomes:</w:t>
            </w:r>
          </w:p>
        </w:tc>
        <w:tc>
          <w:tcPr>
            <w:tcW w:w="3543" w:type="dxa"/>
            <w:shd w:val="clear" w:color="auto" w:fill="C6D9F1" w:themeFill="text2" w:themeFillTint="33"/>
          </w:tcPr>
          <w:p w:rsidR="00BE7858" w:rsidRPr="008768C0" w:rsidRDefault="00BE7858" w:rsidP="00BE7858">
            <w:pPr>
              <w:rPr>
                <w:sz w:val="18"/>
              </w:rPr>
            </w:pPr>
            <w:r w:rsidRPr="008768C0">
              <w:rPr>
                <w:b/>
                <w:sz w:val="18"/>
              </w:rPr>
              <w:t>Community self-organisation and capacity to anticipate and adapt to change and/or mitigate emissions locally are enhanced</w:t>
            </w:r>
          </w:p>
        </w:tc>
        <w:tc>
          <w:tcPr>
            <w:tcW w:w="3544" w:type="dxa"/>
            <w:shd w:val="clear" w:color="auto" w:fill="DAEEF3" w:themeFill="accent5" w:themeFillTint="33"/>
          </w:tcPr>
          <w:p w:rsidR="00BE7858" w:rsidRPr="008768C0" w:rsidRDefault="00BE7858" w:rsidP="00BE7858">
            <w:pPr>
              <w:rPr>
                <w:b/>
                <w:sz w:val="18"/>
              </w:rPr>
            </w:pPr>
            <w:r w:rsidRPr="008768C0">
              <w:rPr>
                <w:b/>
                <w:sz w:val="18"/>
              </w:rPr>
              <w:t>Community, government and civil society development planning systems are modified to support adaptation/mitigation planning and strategies</w:t>
            </w:r>
          </w:p>
        </w:tc>
        <w:tc>
          <w:tcPr>
            <w:tcW w:w="3544" w:type="dxa"/>
            <w:shd w:val="clear" w:color="auto" w:fill="EAF1DD" w:themeFill="accent3" w:themeFillTint="33"/>
          </w:tcPr>
          <w:p w:rsidR="00BE7858" w:rsidRPr="008768C0" w:rsidRDefault="00BE7858" w:rsidP="00BE7858">
            <w:pPr>
              <w:rPr>
                <w:b/>
                <w:sz w:val="18"/>
              </w:rPr>
            </w:pPr>
            <w:r w:rsidRPr="008768C0">
              <w:rPr>
                <w:b/>
                <w:sz w:val="18"/>
              </w:rPr>
              <w:t xml:space="preserve">Community based strategies for adaptation/mitigation are adopted, adapted and implemented in other vulnerable communities </w:t>
            </w:r>
          </w:p>
        </w:tc>
      </w:tr>
    </w:tbl>
    <w:p w:rsidR="00BE7858" w:rsidRDefault="00BE7858" w:rsidP="00BE7858"/>
    <w:p w:rsidR="00BE7858" w:rsidRPr="008768C0" w:rsidRDefault="008768C0" w:rsidP="008768C0">
      <w:pPr>
        <w:pStyle w:val="Heading1"/>
        <w:rPr>
          <w:rFonts w:asciiTheme="majorHAnsi" w:eastAsiaTheme="majorEastAsia" w:hAnsiTheme="majorHAnsi" w:cstheme="majorBidi"/>
          <w:bCs/>
          <w:color w:val="17365D" w:themeColor="text2" w:themeShade="BF"/>
          <w:szCs w:val="26"/>
        </w:rPr>
      </w:pPr>
      <w:bookmarkStart w:id="64" w:name="_Toc293842462"/>
      <w:r>
        <w:br w:type="page"/>
      </w:r>
      <w:bookmarkStart w:id="65" w:name="_Toc315694492"/>
      <w:r w:rsidR="00BE7858">
        <w:t>Interview questions</w:t>
      </w:r>
      <w:bookmarkEnd w:id="64"/>
      <w:bookmarkEnd w:id="65"/>
    </w:p>
    <w:p w:rsidR="00BE7858" w:rsidRPr="00D95524" w:rsidRDefault="00BE7858" w:rsidP="00BE7858">
      <w:pPr>
        <w:rPr>
          <w:b/>
        </w:rPr>
      </w:pPr>
      <w:r>
        <w:rPr>
          <w:b/>
        </w:rPr>
        <w:t>Progress towards outcomes and objectives:</w:t>
      </w:r>
    </w:p>
    <w:p w:rsidR="00BE7858" w:rsidRDefault="00BE7858" w:rsidP="00BE7858">
      <w:pPr>
        <w:pStyle w:val="ListParagraph"/>
        <w:numPr>
          <w:ilvl w:val="0"/>
          <w:numId w:val="22"/>
        </w:numPr>
      </w:pPr>
      <w:r>
        <w:t>Can you summarise your project’s achievements? What were the standout successes? Were these in line with expectations? What was unexpected and why?</w:t>
      </w:r>
    </w:p>
    <w:p w:rsidR="00BE7858" w:rsidRDefault="00BE7858" w:rsidP="00BE7858">
      <w:pPr>
        <w:pStyle w:val="ListParagraph"/>
        <w:numPr>
          <w:ilvl w:val="0"/>
          <w:numId w:val="22"/>
        </w:numPr>
      </w:pPr>
      <w:r>
        <w:t xml:space="preserve">In percentage terms, how would you rate the achievement of the project objectives (you can either do this for each objective or overall)? </w:t>
      </w:r>
    </w:p>
    <w:p w:rsidR="00BE7858" w:rsidRDefault="00BE7858" w:rsidP="00BE7858">
      <w:pPr>
        <w:pStyle w:val="ListParagraph"/>
        <w:numPr>
          <w:ilvl w:val="1"/>
          <w:numId w:val="22"/>
        </w:numPr>
      </w:pPr>
      <w:r>
        <w:t>100%</w:t>
      </w:r>
    </w:p>
    <w:p w:rsidR="00BE7858" w:rsidRDefault="00BE7858" w:rsidP="00BE7858">
      <w:pPr>
        <w:pStyle w:val="ListParagraph"/>
        <w:numPr>
          <w:ilvl w:val="1"/>
          <w:numId w:val="22"/>
        </w:numPr>
      </w:pPr>
      <w:r>
        <w:t>75-100%</w:t>
      </w:r>
    </w:p>
    <w:p w:rsidR="00BE7858" w:rsidRDefault="00BE7858" w:rsidP="00BE7858">
      <w:pPr>
        <w:pStyle w:val="ListParagraph"/>
        <w:numPr>
          <w:ilvl w:val="1"/>
          <w:numId w:val="22"/>
        </w:numPr>
      </w:pPr>
      <w:r>
        <w:t>50-75%</w:t>
      </w:r>
    </w:p>
    <w:p w:rsidR="00BE7858" w:rsidRDefault="00BE7858" w:rsidP="00BE7858">
      <w:pPr>
        <w:pStyle w:val="ListParagraph"/>
        <w:numPr>
          <w:ilvl w:val="1"/>
          <w:numId w:val="22"/>
        </w:numPr>
      </w:pPr>
      <w:r>
        <w:t>25-50%</w:t>
      </w:r>
    </w:p>
    <w:p w:rsidR="00BE7858" w:rsidRDefault="00BE7858" w:rsidP="00BE7858">
      <w:pPr>
        <w:pStyle w:val="ListParagraph"/>
        <w:numPr>
          <w:ilvl w:val="1"/>
          <w:numId w:val="22"/>
        </w:numPr>
      </w:pPr>
      <w:r>
        <w:t>0-25%</w:t>
      </w:r>
    </w:p>
    <w:p w:rsidR="00BE7858" w:rsidRDefault="00BE7858" w:rsidP="00BE7858">
      <w:pPr>
        <w:pStyle w:val="ListParagraph"/>
        <w:numPr>
          <w:ilvl w:val="0"/>
          <w:numId w:val="22"/>
        </w:numPr>
      </w:pPr>
      <w:r>
        <w:t xml:space="preserve">What are people doing differently as a result of these achievements? How are people benefiting? </w:t>
      </w:r>
    </w:p>
    <w:p w:rsidR="00BE7858" w:rsidRDefault="00BE7858" w:rsidP="00BE7858">
      <w:pPr>
        <w:pStyle w:val="ListParagraph"/>
        <w:numPr>
          <w:ilvl w:val="0"/>
          <w:numId w:val="22"/>
        </w:numPr>
      </w:pPr>
      <w:r>
        <w:t>What evidence do you have that your project has built community resilience and/or reduced emissions while benefiting the community? Is there evidence of leadership emerging, greater organisation and preparedness, mandates and responsibilities, capacity to anticipate and plan for impacts and/or mitigate emissions to gain benefits?</w:t>
      </w:r>
    </w:p>
    <w:p w:rsidR="00BE7858" w:rsidRDefault="00BE7858" w:rsidP="00BE7858">
      <w:pPr>
        <w:pStyle w:val="ListParagraph"/>
        <w:numPr>
          <w:ilvl w:val="0"/>
          <w:numId w:val="22"/>
        </w:numPr>
      </w:pPr>
      <w:r>
        <w:t>Is there evidence of wider networks and partnerships emerging between communities and government/civil society, influencing planning and mobilising resources on a more strategic scale?</w:t>
      </w:r>
    </w:p>
    <w:p w:rsidR="00BE7858" w:rsidRPr="00D95524" w:rsidRDefault="00BE7858" w:rsidP="00BE7858">
      <w:pPr>
        <w:rPr>
          <w:b/>
        </w:rPr>
      </w:pPr>
      <w:r>
        <w:rPr>
          <w:b/>
        </w:rPr>
        <w:t>Relevance:</w:t>
      </w:r>
    </w:p>
    <w:p w:rsidR="00BE7858" w:rsidRDefault="00BE7858" w:rsidP="00BE7858">
      <w:pPr>
        <w:pStyle w:val="ListParagraph"/>
        <w:numPr>
          <w:ilvl w:val="0"/>
          <w:numId w:val="19"/>
        </w:numPr>
      </w:pPr>
      <w:r>
        <w:t>Is climate change adaptation/mitigation a priority for your target communities? How do you know this?</w:t>
      </w:r>
    </w:p>
    <w:p w:rsidR="00BE7858" w:rsidRDefault="00BE7858" w:rsidP="00BE7858">
      <w:pPr>
        <w:pStyle w:val="ListParagraph"/>
        <w:numPr>
          <w:ilvl w:val="0"/>
          <w:numId w:val="19"/>
        </w:numPr>
      </w:pPr>
      <w:r>
        <w:t>Are they priorities for the partner government? Is this changing? In what direction?</w:t>
      </w:r>
    </w:p>
    <w:p w:rsidR="00BE7858" w:rsidRDefault="00BE7858" w:rsidP="00BE7858">
      <w:pPr>
        <w:pStyle w:val="ListParagraph"/>
        <w:numPr>
          <w:ilvl w:val="0"/>
          <w:numId w:val="19"/>
        </w:numPr>
      </w:pPr>
      <w:r>
        <w:t xml:space="preserve">How/why would you rate the local demand for this type of work:     High      Medium       Low  </w:t>
      </w:r>
    </w:p>
    <w:p w:rsidR="00BE7858" w:rsidRPr="00702167" w:rsidRDefault="00BE7858" w:rsidP="00BE7858">
      <w:pPr>
        <w:rPr>
          <w:b/>
        </w:rPr>
      </w:pPr>
      <w:r w:rsidRPr="00702167">
        <w:rPr>
          <w:b/>
        </w:rPr>
        <w:t>Efficiency:</w:t>
      </w:r>
    </w:p>
    <w:p w:rsidR="00BE7858" w:rsidRDefault="00BE7858" w:rsidP="00BE7858">
      <w:pPr>
        <w:pStyle w:val="ListParagraph"/>
        <w:numPr>
          <w:ilvl w:val="0"/>
          <w:numId w:val="20"/>
        </w:numPr>
      </w:pPr>
      <w:r>
        <w:t xml:space="preserve">How much of the budget did you spend? </w:t>
      </w:r>
    </w:p>
    <w:p w:rsidR="00BE7858" w:rsidRDefault="00BE7858" w:rsidP="00BE7858">
      <w:pPr>
        <w:pStyle w:val="ListParagraph"/>
        <w:numPr>
          <w:ilvl w:val="0"/>
          <w:numId w:val="20"/>
        </w:numPr>
      </w:pPr>
      <w:r>
        <w:t>Could the outcomes have been achieved with fewer resources/how?</w:t>
      </w:r>
    </w:p>
    <w:p w:rsidR="00BE7858" w:rsidRDefault="00BE7858" w:rsidP="00BE7858">
      <w:pPr>
        <w:pStyle w:val="ListParagraph"/>
        <w:numPr>
          <w:ilvl w:val="0"/>
          <w:numId w:val="20"/>
        </w:numPr>
      </w:pPr>
      <w:r>
        <w:t>Can you describe the major challenges and issues in project management? How did you manage them? Was this effective?</w:t>
      </w:r>
    </w:p>
    <w:p w:rsidR="00BE7858" w:rsidRDefault="00BE7858" w:rsidP="00BE7858">
      <w:pPr>
        <w:rPr>
          <w:b/>
        </w:rPr>
      </w:pPr>
      <w:r>
        <w:rPr>
          <w:b/>
        </w:rPr>
        <w:t>Effectiveness:</w:t>
      </w:r>
    </w:p>
    <w:p w:rsidR="00BE7858" w:rsidRDefault="00BE7858" w:rsidP="00BE7858">
      <w:pPr>
        <w:pStyle w:val="ListParagraph"/>
        <w:numPr>
          <w:ilvl w:val="0"/>
          <w:numId w:val="21"/>
        </w:numPr>
      </w:pPr>
      <w:r>
        <w:t>In terms of your delivery approaches – what worked well and why; what didn’t work so well and why?</w:t>
      </w:r>
    </w:p>
    <w:p w:rsidR="00BE7858" w:rsidRDefault="00BE7858" w:rsidP="00BE7858">
      <w:pPr>
        <w:pStyle w:val="ListParagraph"/>
        <w:numPr>
          <w:ilvl w:val="0"/>
          <w:numId w:val="21"/>
        </w:numPr>
      </w:pPr>
      <w:r>
        <w:t>What capacity building approaches did you employ? What evidence do you have that communities have been empowered, are more aware, and have new knowledge and skills to reduce climate risks and/or mitigate emissions?</w:t>
      </w:r>
    </w:p>
    <w:p w:rsidR="00BE7858" w:rsidRPr="00274DBE" w:rsidRDefault="00BE7858" w:rsidP="00BE7858">
      <w:pPr>
        <w:pStyle w:val="ListParagraph"/>
        <w:numPr>
          <w:ilvl w:val="0"/>
          <w:numId w:val="21"/>
        </w:numPr>
      </w:pPr>
      <w:r>
        <w:t>What did the project partnerships do to connect communities with knowledge and resources they need for adaptation/mitigation? Are these partnerships working? What is enabling and hindering them?</w:t>
      </w:r>
    </w:p>
    <w:p w:rsidR="00BE7858" w:rsidRPr="00D63FCA" w:rsidRDefault="00BE7858" w:rsidP="00BE7858">
      <w:pPr>
        <w:rPr>
          <w:b/>
        </w:rPr>
      </w:pPr>
      <w:r w:rsidRPr="00D63FCA">
        <w:rPr>
          <w:b/>
        </w:rPr>
        <w:t>Sustainability:</w:t>
      </w:r>
    </w:p>
    <w:p w:rsidR="00BE7858" w:rsidRDefault="00BE7858" w:rsidP="00BE7858">
      <w:pPr>
        <w:pStyle w:val="ListParagraph"/>
        <w:numPr>
          <w:ilvl w:val="0"/>
          <w:numId w:val="23"/>
        </w:numPr>
      </w:pPr>
      <w:r>
        <w:t>What evidence do you have that the project outcomes are sustainable beyond the life of the project? What is enabling and hindering this?</w:t>
      </w:r>
    </w:p>
    <w:p w:rsidR="00BE7858" w:rsidRPr="00D63FCA" w:rsidRDefault="00BE7858" w:rsidP="00BE7858">
      <w:pPr>
        <w:rPr>
          <w:b/>
        </w:rPr>
      </w:pPr>
      <w:r w:rsidRPr="00D63FCA">
        <w:rPr>
          <w:b/>
        </w:rPr>
        <w:t>Inclusive development:</w:t>
      </w:r>
    </w:p>
    <w:p w:rsidR="00BE7858" w:rsidRDefault="00BE7858" w:rsidP="00BE7858">
      <w:pPr>
        <w:pStyle w:val="ListParagraph"/>
        <w:numPr>
          <w:ilvl w:val="0"/>
          <w:numId w:val="23"/>
        </w:numPr>
      </w:pPr>
      <w:r>
        <w:t>What strategies did you employ to ensure that marginalised members of the community, women and girls, and people with disabilities were included in project activities and can benefit from the outcomes? What else could be done to ensure inclusive development?</w:t>
      </w:r>
    </w:p>
    <w:p w:rsidR="00BE7858" w:rsidRDefault="00BE7858" w:rsidP="00BE7858">
      <w:r>
        <w:rPr>
          <w:b/>
        </w:rPr>
        <w:t>Safeguards:</w:t>
      </w:r>
    </w:p>
    <w:p w:rsidR="00BE7858" w:rsidRDefault="00BE7858" w:rsidP="00BE7858">
      <w:pPr>
        <w:pStyle w:val="ListParagraph"/>
        <w:numPr>
          <w:ilvl w:val="0"/>
          <w:numId w:val="24"/>
        </w:numPr>
      </w:pPr>
      <w:r>
        <w:t>Was the impact of project activities on people’s natural and cultural assets assessed? In the case of potential negative impacts, did the project managers comply with local and Australian environment protection law?</w:t>
      </w:r>
    </w:p>
    <w:p w:rsidR="00BE7858" w:rsidRPr="001355C5" w:rsidRDefault="00BE7858" w:rsidP="00BE7858">
      <w:pPr>
        <w:pStyle w:val="ListParagraph"/>
        <w:numPr>
          <w:ilvl w:val="0"/>
          <w:numId w:val="24"/>
        </w:numPr>
      </w:pPr>
      <w:r>
        <w:t>Could the activities result in resettlement or social upheaval? If so, did the project managers comply with local and aid program standards to protect people and their assets?</w:t>
      </w:r>
    </w:p>
    <w:p w:rsidR="00BE7858" w:rsidRDefault="00BE7858" w:rsidP="00BE7858">
      <w:pPr>
        <w:rPr>
          <w:b/>
        </w:rPr>
      </w:pPr>
      <w:r>
        <w:rPr>
          <w:b/>
        </w:rPr>
        <w:t>Lessons:</w:t>
      </w:r>
    </w:p>
    <w:p w:rsidR="00BE7858" w:rsidRDefault="00BE7858" w:rsidP="00BE7858">
      <w:pPr>
        <w:pStyle w:val="ListParagraph"/>
        <w:numPr>
          <w:ilvl w:val="0"/>
          <w:numId w:val="25"/>
        </w:numPr>
      </w:pPr>
      <w:r>
        <w:t>What would you do differently next time knowing what you know today?</w:t>
      </w:r>
    </w:p>
    <w:p w:rsidR="00BE7858" w:rsidRDefault="00BE7858" w:rsidP="00BE7858">
      <w:pPr>
        <w:rPr>
          <w:b/>
        </w:rPr>
      </w:pPr>
      <w:r>
        <w:rPr>
          <w:b/>
        </w:rPr>
        <w:t>What next:</w:t>
      </w:r>
    </w:p>
    <w:p w:rsidR="00BE7858" w:rsidRDefault="00BE7858" w:rsidP="00BE7858">
      <w:pPr>
        <w:pStyle w:val="ListParagraph"/>
        <w:numPr>
          <w:ilvl w:val="0"/>
          <w:numId w:val="25"/>
        </w:numPr>
      </w:pPr>
      <w:r>
        <w:t>What else is needed to achieve the project objectives and contribute to the program outcomes?</w:t>
      </w:r>
    </w:p>
    <w:p w:rsidR="00BE7858" w:rsidRDefault="00BE7858" w:rsidP="00BE7858">
      <w:pPr>
        <w:rPr>
          <w:b/>
        </w:rPr>
      </w:pPr>
      <w:r>
        <w:rPr>
          <w:b/>
        </w:rPr>
        <w:t>Story time:</w:t>
      </w:r>
    </w:p>
    <w:p w:rsidR="00BE7858" w:rsidRPr="006F3FF7" w:rsidRDefault="00BE7858" w:rsidP="00BE7858">
      <w:r>
        <w:t xml:space="preserve">Can you briefly tell us about one of the rewarding/inspiring/insightful experiences you have had working on this project? What is significant about this experience? Do you agree to this story being cited in our evaluation report?     Yes       No    </w:t>
      </w:r>
    </w:p>
    <w:p w:rsidR="00BE7858" w:rsidRDefault="00BE7858" w:rsidP="00BE7858"/>
    <w:p w:rsidR="00BE7858" w:rsidRDefault="00BE7858" w:rsidP="00BE7858">
      <w:pPr>
        <w:sectPr w:rsidR="00BE7858">
          <w:pgSz w:w="11900" w:h="16840"/>
          <w:pgMar w:top="1440" w:right="1800" w:bottom="1440" w:left="1800" w:header="708" w:footer="708" w:gutter="0"/>
          <w:cols w:space="708"/>
        </w:sectPr>
      </w:pPr>
    </w:p>
    <w:p w:rsidR="00D702B1" w:rsidRDefault="00D702B1" w:rsidP="00A80A55">
      <w:pPr>
        <w:pStyle w:val="Heading1"/>
      </w:pPr>
      <w:bookmarkStart w:id="66" w:name="_Toc315694493"/>
      <w:r>
        <w:t>Annex 2 Partners and people interviewed</w:t>
      </w:r>
      <w:bookmarkEnd w:id="66"/>
    </w:p>
    <w:p w:rsidR="00BE7858" w:rsidRDefault="000B79A7" w:rsidP="00D702B1">
      <w:pPr>
        <w:rPr>
          <w:b/>
        </w:rPr>
      </w:pPr>
      <w:r>
        <w:rPr>
          <w:b/>
        </w:rPr>
        <w:t>In Australia interviews</w:t>
      </w:r>
    </w:p>
    <w:tbl>
      <w:tblPr>
        <w:tblW w:w="90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000" w:firstRow="0" w:lastRow="0" w:firstColumn="0" w:lastColumn="0" w:noHBand="0" w:noVBand="0"/>
      </w:tblPr>
      <w:tblGrid>
        <w:gridCol w:w="2268"/>
        <w:gridCol w:w="6801"/>
      </w:tblGrid>
      <w:tr w:rsidR="00BE7858" w:rsidRPr="007D7ADE" w:rsidTr="007D7ADE">
        <w:trPr>
          <w:tblHeader/>
        </w:trPr>
        <w:tc>
          <w:tcPr>
            <w:tcW w:w="2268" w:type="dxa"/>
            <w:tcBorders>
              <w:bottom w:val="single" w:sz="4" w:space="0" w:color="auto"/>
            </w:tcBorders>
            <w:shd w:val="clear" w:color="auto" w:fill="D9E1E2"/>
          </w:tcPr>
          <w:p w:rsidR="00BE7858" w:rsidRPr="007D7ADE" w:rsidRDefault="00BE7858" w:rsidP="00BE7858">
            <w:pPr>
              <w:pStyle w:val="Heading6"/>
              <w:spacing w:before="0"/>
              <w:rPr>
                <w:color w:val="auto"/>
              </w:rPr>
            </w:pPr>
            <w:r w:rsidRPr="007D7ADE">
              <w:rPr>
                <w:color w:val="auto"/>
              </w:rPr>
              <w:t>Agency</w:t>
            </w:r>
          </w:p>
        </w:tc>
        <w:tc>
          <w:tcPr>
            <w:tcW w:w="6801" w:type="dxa"/>
            <w:tcBorders>
              <w:bottom w:val="single" w:sz="4" w:space="0" w:color="auto"/>
            </w:tcBorders>
            <w:shd w:val="clear" w:color="auto" w:fill="D9E1E2"/>
          </w:tcPr>
          <w:p w:rsidR="00BE7858" w:rsidRPr="007D7ADE" w:rsidRDefault="00BE7858" w:rsidP="00BE7858">
            <w:pPr>
              <w:pStyle w:val="Heading6"/>
              <w:spacing w:before="0"/>
              <w:rPr>
                <w:color w:val="auto"/>
              </w:rPr>
            </w:pPr>
            <w:r w:rsidRPr="007D7ADE">
              <w:rPr>
                <w:color w:val="auto"/>
              </w:rPr>
              <w:t>Contact</w:t>
            </w:r>
          </w:p>
        </w:tc>
      </w:tr>
      <w:tr w:rsidR="00BE7858" w:rsidRPr="007D7ADE" w:rsidTr="007D7ADE">
        <w:tc>
          <w:tcPr>
            <w:tcW w:w="2268" w:type="dxa"/>
            <w:tcBorders>
              <w:bottom w:val="single" w:sz="4" w:space="0" w:color="auto"/>
            </w:tcBorders>
            <w:shd w:val="clear" w:color="auto" w:fill="auto"/>
          </w:tcPr>
          <w:p w:rsidR="00BE7858" w:rsidRPr="007D7ADE" w:rsidRDefault="00BE7858" w:rsidP="00BE7858">
            <w:pPr>
              <w:pStyle w:val="Tablebody"/>
              <w:spacing w:after="0" w:line="240" w:lineRule="auto"/>
              <w:rPr>
                <w:rFonts w:asciiTheme="majorHAnsi" w:hAnsiTheme="majorHAnsi"/>
                <w:color w:val="auto"/>
                <w:sz w:val="20"/>
              </w:rPr>
            </w:pPr>
            <w:r w:rsidRPr="007D7ADE">
              <w:rPr>
                <w:rFonts w:asciiTheme="majorHAnsi" w:hAnsiTheme="majorHAnsi"/>
                <w:color w:val="auto"/>
                <w:sz w:val="20"/>
              </w:rPr>
              <w:t>DFAT</w:t>
            </w:r>
          </w:p>
        </w:tc>
        <w:tc>
          <w:tcPr>
            <w:tcW w:w="6801" w:type="dxa"/>
            <w:tcBorders>
              <w:bottom w:val="single" w:sz="4" w:space="0" w:color="auto"/>
            </w:tcBorders>
            <w:shd w:val="clear" w:color="auto" w:fill="auto"/>
          </w:tcPr>
          <w:p w:rsidR="00BE7858" w:rsidRPr="007D7ADE" w:rsidRDefault="00BE7858" w:rsidP="00BE7858">
            <w:pPr>
              <w:pStyle w:val="Tablebody"/>
              <w:spacing w:after="0" w:line="240" w:lineRule="auto"/>
              <w:rPr>
                <w:rFonts w:asciiTheme="majorHAnsi" w:hAnsiTheme="majorHAnsi"/>
                <w:color w:val="auto"/>
                <w:sz w:val="20"/>
              </w:rPr>
            </w:pPr>
            <w:r w:rsidRPr="007D7ADE">
              <w:rPr>
                <w:rFonts w:asciiTheme="majorHAnsi" w:hAnsiTheme="majorHAnsi"/>
                <w:color w:val="auto"/>
                <w:sz w:val="20"/>
              </w:rPr>
              <w:t>Discussion with DFAT officers in Canberra</w:t>
            </w:r>
          </w:p>
        </w:tc>
      </w:tr>
      <w:tr w:rsidR="00BE7858" w:rsidRPr="007D7ADE" w:rsidTr="007D7ADE">
        <w:tc>
          <w:tcPr>
            <w:tcW w:w="2268" w:type="dxa"/>
            <w:tcBorders>
              <w:bottom w:val="single" w:sz="4" w:space="0" w:color="auto"/>
            </w:tcBorders>
            <w:shd w:val="clear" w:color="auto" w:fill="auto"/>
          </w:tcPr>
          <w:p w:rsidR="00BE7858" w:rsidRPr="007D7ADE" w:rsidRDefault="00BE7858" w:rsidP="00BE7858">
            <w:pPr>
              <w:pStyle w:val="Tablebody"/>
              <w:spacing w:after="0" w:line="240" w:lineRule="auto"/>
              <w:rPr>
                <w:rFonts w:asciiTheme="majorHAnsi" w:hAnsiTheme="majorHAnsi"/>
                <w:color w:val="auto"/>
                <w:sz w:val="20"/>
              </w:rPr>
            </w:pPr>
            <w:r w:rsidRPr="007D7ADE">
              <w:rPr>
                <w:rFonts w:asciiTheme="majorHAnsi" w:hAnsiTheme="majorHAnsi"/>
                <w:color w:val="auto"/>
                <w:sz w:val="20"/>
              </w:rPr>
              <w:t>Act for Peace</w:t>
            </w:r>
          </w:p>
        </w:tc>
        <w:tc>
          <w:tcPr>
            <w:tcW w:w="6801" w:type="dxa"/>
            <w:tcBorders>
              <w:bottom w:val="single" w:sz="4" w:space="0" w:color="auto"/>
            </w:tcBorders>
            <w:shd w:val="clear" w:color="auto" w:fill="auto"/>
          </w:tcPr>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Tracey Robinson</w:t>
            </w:r>
          </w:p>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Geoff Robinson Disaster Risk Resilience Manager</w:t>
            </w:r>
          </w:p>
        </w:tc>
      </w:tr>
      <w:tr w:rsidR="00BE7858" w:rsidRPr="007D7ADE" w:rsidTr="007D7ADE">
        <w:tc>
          <w:tcPr>
            <w:tcW w:w="2268" w:type="dxa"/>
            <w:tcBorders>
              <w:bottom w:val="single" w:sz="4" w:space="0" w:color="auto"/>
            </w:tcBorders>
            <w:shd w:val="clear" w:color="auto" w:fill="auto"/>
          </w:tcPr>
          <w:p w:rsidR="00BE7858" w:rsidRPr="007D7ADE" w:rsidRDefault="00BE7858" w:rsidP="00BE7858">
            <w:pPr>
              <w:pStyle w:val="Tablebody"/>
              <w:spacing w:after="0" w:line="240" w:lineRule="auto"/>
              <w:rPr>
                <w:rFonts w:asciiTheme="majorHAnsi" w:hAnsiTheme="majorHAnsi"/>
                <w:color w:val="auto"/>
                <w:sz w:val="20"/>
              </w:rPr>
            </w:pPr>
            <w:r w:rsidRPr="007D7ADE">
              <w:rPr>
                <w:rFonts w:asciiTheme="majorHAnsi" w:hAnsiTheme="majorHAnsi" w:cs="Calibri"/>
                <w:color w:val="auto"/>
                <w:sz w:val="22"/>
                <w:szCs w:val="22"/>
              </w:rPr>
              <w:t>CARE Timor Leste</w:t>
            </w:r>
          </w:p>
        </w:tc>
        <w:tc>
          <w:tcPr>
            <w:tcW w:w="6801" w:type="dxa"/>
            <w:tcBorders>
              <w:bottom w:val="single" w:sz="4" w:space="0" w:color="auto"/>
            </w:tcBorders>
            <w:shd w:val="clear" w:color="auto" w:fill="auto"/>
          </w:tcPr>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Takara Morgan</w:t>
            </w:r>
          </w:p>
        </w:tc>
      </w:tr>
      <w:tr w:rsidR="00BE7858" w:rsidRPr="007D7ADE" w:rsidTr="007D7ADE">
        <w:tc>
          <w:tcPr>
            <w:tcW w:w="2268" w:type="dxa"/>
            <w:tcBorders>
              <w:bottom w:val="single" w:sz="4" w:space="0" w:color="auto"/>
            </w:tcBorders>
            <w:shd w:val="clear" w:color="auto" w:fill="auto"/>
          </w:tcPr>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CARE PNG</w:t>
            </w:r>
          </w:p>
          <w:p w:rsidR="00BE7858" w:rsidRPr="007D7ADE" w:rsidRDefault="00BE7858" w:rsidP="00BE7858">
            <w:pPr>
              <w:pStyle w:val="Tablebody"/>
              <w:spacing w:after="0" w:line="240" w:lineRule="auto"/>
              <w:rPr>
                <w:rFonts w:asciiTheme="majorHAnsi" w:hAnsiTheme="majorHAnsi"/>
                <w:color w:val="auto"/>
                <w:sz w:val="20"/>
              </w:rPr>
            </w:pPr>
          </w:p>
        </w:tc>
        <w:tc>
          <w:tcPr>
            <w:tcW w:w="6801" w:type="dxa"/>
            <w:tcBorders>
              <w:bottom w:val="single" w:sz="4" w:space="0" w:color="auto"/>
            </w:tcBorders>
            <w:shd w:val="clear" w:color="auto" w:fill="auto"/>
          </w:tcPr>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Rebecca McLaren</w:t>
            </w:r>
          </w:p>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Andrea Dekrout</w:t>
            </w:r>
          </w:p>
        </w:tc>
      </w:tr>
      <w:tr w:rsidR="00BE7858" w:rsidRPr="007D7ADE" w:rsidTr="007D7ADE">
        <w:tc>
          <w:tcPr>
            <w:tcW w:w="2268" w:type="dxa"/>
            <w:tcBorders>
              <w:bottom w:val="single" w:sz="4" w:space="0" w:color="auto"/>
            </w:tcBorders>
            <w:shd w:val="clear" w:color="auto" w:fill="auto"/>
          </w:tcPr>
          <w:p w:rsidR="00BE7858" w:rsidRPr="007D7ADE" w:rsidRDefault="00BE7858" w:rsidP="00BE7858">
            <w:pPr>
              <w:pStyle w:val="Tablebody"/>
              <w:spacing w:after="0" w:line="240" w:lineRule="auto"/>
              <w:rPr>
                <w:rFonts w:asciiTheme="majorHAnsi" w:hAnsiTheme="majorHAnsi"/>
                <w:color w:val="auto"/>
                <w:sz w:val="20"/>
              </w:rPr>
            </w:pPr>
            <w:r w:rsidRPr="007D7ADE">
              <w:rPr>
                <w:rFonts w:asciiTheme="majorHAnsi" w:hAnsiTheme="majorHAnsi"/>
                <w:color w:val="auto"/>
                <w:sz w:val="20"/>
              </w:rPr>
              <w:t>Oxfam Vanuatu</w:t>
            </w:r>
          </w:p>
        </w:tc>
        <w:tc>
          <w:tcPr>
            <w:tcW w:w="6801" w:type="dxa"/>
            <w:tcBorders>
              <w:bottom w:val="single" w:sz="4" w:space="0" w:color="auto"/>
            </w:tcBorders>
            <w:shd w:val="clear" w:color="auto" w:fill="auto"/>
          </w:tcPr>
          <w:p w:rsidR="00BE7858" w:rsidRPr="007D7ADE" w:rsidRDefault="00BE7858" w:rsidP="00BE7858">
            <w:pPr>
              <w:rPr>
                <w:rFonts w:asciiTheme="majorHAnsi" w:hAnsiTheme="majorHAnsi" w:cs="Calibri"/>
                <w:szCs w:val="22"/>
              </w:rPr>
            </w:pPr>
            <w:r w:rsidRPr="007D7ADE">
              <w:rPr>
                <w:rFonts w:asciiTheme="majorHAnsi" w:hAnsiTheme="majorHAnsi" w:cs="Calibri"/>
                <w:szCs w:val="22"/>
              </w:rPr>
              <w:t xml:space="preserve">Shirley Laban </w:t>
            </w:r>
          </w:p>
        </w:tc>
      </w:tr>
      <w:tr w:rsidR="00BE7858" w:rsidRPr="007D7ADE" w:rsidTr="007D7ADE">
        <w:tc>
          <w:tcPr>
            <w:tcW w:w="2268" w:type="dxa"/>
            <w:tcBorders>
              <w:bottom w:val="single" w:sz="4" w:space="0" w:color="auto"/>
            </w:tcBorders>
            <w:shd w:val="clear" w:color="auto" w:fill="auto"/>
          </w:tcPr>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Oxfam Timor Leste</w:t>
            </w:r>
          </w:p>
          <w:p w:rsidR="00BE7858" w:rsidRPr="007D7ADE" w:rsidRDefault="00BE7858" w:rsidP="00BE7858">
            <w:pPr>
              <w:pStyle w:val="Tablebody"/>
              <w:spacing w:after="0" w:line="240" w:lineRule="auto"/>
              <w:rPr>
                <w:rFonts w:asciiTheme="majorHAnsi" w:hAnsiTheme="majorHAnsi"/>
                <w:color w:val="auto"/>
                <w:sz w:val="20"/>
              </w:rPr>
            </w:pPr>
          </w:p>
        </w:tc>
        <w:tc>
          <w:tcPr>
            <w:tcW w:w="6801" w:type="dxa"/>
            <w:tcBorders>
              <w:bottom w:val="single" w:sz="4" w:space="0" w:color="auto"/>
            </w:tcBorders>
            <w:shd w:val="clear" w:color="auto" w:fill="auto"/>
          </w:tcPr>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Sharon Alder</w:t>
            </w:r>
          </w:p>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Annette Salkeld</w:t>
            </w:r>
          </w:p>
        </w:tc>
      </w:tr>
      <w:tr w:rsidR="00BE7858" w:rsidRPr="007D7ADE" w:rsidTr="007D7ADE">
        <w:tc>
          <w:tcPr>
            <w:tcW w:w="2268" w:type="dxa"/>
            <w:tcBorders>
              <w:bottom w:val="single" w:sz="4" w:space="0" w:color="auto"/>
            </w:tcBorders>
            <w:shd w:val="clear" w:color="auto" w:fill="auto"/>
          </w:tcPr>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Plan International</w:t>
            </w:r>
          </w:p>
        </w:tc>
        <w:tc>
          <w:tcPr>
            <w:tcW w:w="6801" w:type="dxa"/>
            <w:tcBorders>
              <w:bottom w:val="single" w:sz="4" w:space="0" w:color="auto"/>
            </w:tcBorders>
            <w:shd w:val="clear" w:color="auto" w:fill="auto"/>
          </w:tcPr>
          <w:p w:rsidR="00BE7858" w:rsidRPr="007D7ADE" w:rsidRDefault="00BE7858" w:rsidP="00BE7858">
            <w:pPr>
              <w:spacing w:after="0"/>
              <w:rPr>
                <w:rFonts w:asciiTheme="majorHAnsi" w:hAnsiTheme="majorHAnsi" w:cs="Calibri"/>
                <w:szCs w:val="22"/>
              </w:rPr>
            </w:pPr>
            <w:r w:rsidRPr="007D7ADE">
              <w:rPr>
                <w:rFonts w:asciiTheme="majorHAnsi" w:hAnsiTheme="majorHAnsi" w:cs="Calibri"/>
                <w:szCs w:val="22"/>
              </w:rPr>
              <w:t xml:space="preserve">Pia Treichel </w:t>
            </w:r>
          </w:p>
        </w:tc>
      </w:tr>
      <w:tr w:rsidR="00BE7858" w:rsidRPr="007D7ADE" w:rsidTr="007D7ADE">
        <w:tc>
          <w:tcPr>
            <w:tcW w:w="2268" w:type="dxa"/>
            <w:tcBorders>
              <w:bottom w:val="single" w:sz="4" w:space="0" w:color="auto"/>
            </w:tcBorders>
            <w:shd w:val="clear" w:color="auto" w:fill="auto"/>
          </w:tcPr>
          <w:p w:rsidR="00BE7858" w:rsidRPr="007D7ADE" w:rsidRDefault="00BE7858" w:rsidP="000B79A7">
            <w:pPr>
              <w:spacing w:after="0"/>
              <w:rPr>
                <w:rFonts w:asciiTheme="majorHAnsi" w:hAnsiTheme="majorHAnsi" w:cs="Calibri"/>
                <w:szCs w:val="22"/>
              </w:rPr>
            </w:pPr>
            <w:r w:rsidRPr="007D7ADE">
              <w:rPr>
                <w:rFonts w:asciiTheme="majorHAnsi" w:hAnsiTheme="majorHAnsi" w:cs="Calibri"/>
                <w:szCs w:val="22"/>
              </w:rPr>
              <w:t>Oxfam Australia</w:t>
            </w:r>
          </w:p>
        </w:tc>
        <w:tc>
          <w:tcPr>
            <w:tcW w:w="6801" w:type="dxa"/>
            <w:tcBorders>
              <w:bottom w:val="single" w:sz="4" w:space="0" w:color="auto"/>
            </w:tcBorders>
            <w:shd w:val="clear" w:color="auto" w:fill="auto"/>
          </w:tcPr>
          <w:p w:rsidR="00BE7858" w:rsidRPr="007D7ADE" w:rsidRDefault="00BE7858" w:rsidP="00BE7858">
            <w:pPr>
              <w:spacing w:after="0"/>
              <w:rPr>
                <w:rFonts w:asciiTheme="majorHAnsi" w:hAnsiTheme="majorHAnsi"/>
              </w:rPr>
            </w:pPr>
            <w:r w:rsidRPr="007D7ADE">
              <w:rPr>
                <w:rFonts w:asciiTheme="majorHAnsi" w:hAnsiTheme="majorHAnsi" w:cs="Calibri"/>
                <w:szCs w:val="22"/>
              </w:rPr>
              <w:t>Peter Ikin</w:t>
            </w:r>
          </w:p>
        </w:tc>
      </w:tr>
      <w:tr w:rsidR="00BE7858" w:rsidRPr="007D7ADE" w:rsidTr="007D7ADE">
        <w:tc>
          <w:tcPr>
            <w:tcW w:w="2268" w:type="dxa"/>
            <w:tcBorders>
              <w:bottom w:val="single" w:sz="4" w:space="0" w:color="auto"/>
            </w:tcBorders>
            <w:shd w:val="clear" w:color="auto" w:fill="auto"/>
          </w:tcPr>
          <w:p w:rsidR="00BE7858" w:rsidRPr="007D7ADE" w:rsidRDefault="000B79A7" w:rsidP="000B79A7">
            <w:pPr>
              <w:spacing w:after="0"/>
              <w:rPr>
                <w:rFonts w:asciiTheme="majorHAnsi" w:hAnsiTheme="majorHAnsi" w:cs="Calibri"/>
                <w:szCs w:val="22"/>
              </w:rPr>
            </w:pPr>
            <w:r w:rsidRPr="007D7ADE">
              <w:rPr>
                <w:rFonts w:asciiTheme="majorHAnsi" w:hAnsiTheme="majorHAnsi" w:cs="Calibri"/>
                <w:szCs w:val="22"/>
              </w:rPr>
              <w:t>Live &amp; Learn</w:t>
            </w:r>
          </w:p>
        </w:tc>
        <w:tc>
          <w:tcPr>
            <w:tcW w:w="6801" w:type="dxa"/>
            <w:tcBorders>
              <w:bottom w:val="single" w:sz="4" w:space="0" w:color="auto"/>
            </w:tcBorders>
            <w:shd w:val="clear" w:color="auto" w:fill="auto"/>
          </w:tcPr>
          <w:p w:rsidR="00BE7858" w:rsidRPr="007D7ADE" w:rsidRDefault="000B79A7" w:rsidP="000B79A7">
            <w:pPr>
              <w:spacing w:after="0"/>
              <w:rPr>
                <w:rFonts w:asciiTheme="majorHAnsi" w:hAnsiTheme="majorHAnsi" w:cs="Calibri"/>
                <w:szCs w:val="22"/>
              </w:rPr>
            </w:pPr>
            <w:r w:rsidRPr="007D7ADE">
              <w:rPr>
                <w:rFonts w:asciiTheme="majorHAnsi" w:hAnsiTheme="majorHAnsi"/>
                <w:szCs w:val="22"/>
              </w:rPr>
              <w:t>Christian Nielsen</w:t>
            </w:r>
          </w:p>
        </w:tc>
      </w:tr>
    </w:tbl>
    <w:p w:rsidR="000B79A7" w:rsidRDefault="000B79A7" w:rsidP="00D702B1">
      <w:pPr>
        <w:rPr>
          <w:b/>
        </w:rPr>
      </w:pPr>
    </w:p>
    <w:p w:rsidR="00292DF2" w:rsidRDefault="00292DF2" w:rsidP="00D702B1">
      <w:pPr>
        <w:rPr>
          <w:b/>
        </w:rPr>
        <w:sectPr w:rsidR="00292DF2">
          <w:pgSz w:w="11900" w:h="16840"/>
          <w:pgMar w:top="1440" w:right="1800" w:bottom="1440" w:left="1800" w:header="708" w:footer="708" w:gutter="0"/>
          <w:pgNumType w:start="38"/>
          <w:cols w:space="708"/>
        </w:sectPr>
      </w:pPr>
    </w:p>
    <w:p w:rsidR="008768C0" w:rsidRDefault="00292DF2" w:rsidP="008768C0">
      <w:pPr>
        <w:spacing w:before="60" w:after="0"/>
        <w:rPr>
          <w:b/>
        </w:rPr>
      </w:pPr>
      <w:r w:rsidRPr="008768C0">
        <w:rPr>
          <w:b/>
        </w:rPr>
        <w:t>Participants and interviewees – Plan Internationa</w:t>
      </w:r>
      <w:r w:rsidR="008768C0">
        <w:rPr>
          <w:b/>
        </w:rPr>
        <w:t>l Save the Children Philippines:</w:t>
      </w:r>
    </w:p>
    <w:p w:rsidR="00292DF2" w:rsidRPr="008768C0" w:rsidRDefault="00292DF2" w:rsidP="008768C0">
      <w:pPr>
        <w:spacing w:before="60" w:after="0"/>
        <w:rPr>
          <w:b/>
        </w:rPr>
      </w:pPr>
    </w:p>
    <w:p w:rsidR="00292DF2" w:rsidRPr="008768C0" w:rsidRDefault="00292DF2" w:rsidP="008768C0">
      <w:pPr>
        <w:widowControl w:val="0"/>
        <w:tabs>
          <w:tab w:val="left" w:pos="2291"/>
          <w:tab w:val="left" w:pos="5482"/>
          <w:tab w:val="left" w:pos="6340"/>
          <w:tab w:val="left" w:pos="8448"/>
          <w:tab w:val="left" w:pos="11839"/>
          <w:tab w:val="left" w:pos="14730"/>
        </w:tabs>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b/>
          <w:bCs/>
          <w:color w:val="000000"/>
          <w:sz w:val="20"/>
          <w:szCs w:val="22"/>
        </w:rPr>
        <w:t xml:space="preserve">Barangay Garawon Water User's Association (BAGAWASA) </w:t>
      </w:r>
      <w:r w:rsidRPr="008768C0">
        <w:rPr>
          <w:rFonts w:ascii="Calibri" w:eastAsia="Times New Roman" w:hAnsi="Calibri" w:cs="Calibri"/>
          <w:b/>
          <w:bCs/>
          <w:color w:val="000000"/>
          <w:sz w:val="20"/>
          <w:szCs w:val="22"/>
        </w:rPr>
        <w:tab/>
      </w:r>
      <w:r w:rsidRPr="008768C0">
        <w:rPr>
          <w:rFonts w:ascii="Calibri" w:eastAsia="Times New Roman" w:hAnsi="Calibri" w:cs="Calibri"/>
          <w:color w:val="000000"/>
          <w:sz w:val="20"/>
          <w:szCs w:val="22"/>
        </w:rPr>
        <w:tab/>
      </w:r>
      <w:r w:rsidRPr="008768C0">
        <w:rPr>
          <w:rFonts w:ascii="Calibri" w:eastAsia="Times New Roman" w:hAnsi="Calibri" w:cs="Calibri"/>
          <w:b/>
          <w:bCs/>
          <w:color w:val="000000"/>
          <w:sz w:val="20"/>
          <w:szCs w:val="22"/>
        </w:rPr>
        <w:t xml:space="preserve">Children's Coalition for Adaptation and Resilience (CARE) </w:t>
      </w:r>
      <w:r w:rsidRPr="008768C0">
        <w:rPr>
          <w:rFonts w:ascii="Calibri" w:eastAsia="Times New Roman" w:hAnsi="Calibri" w:cs="Calibri"/>
          <w:b/>
          <w:bCs/>
          <w:color w:val="000000"/>
          <w:sz w:val="20"/>
          <w:szCs w:val="22"/>
        </w:rPr>
        <w:tab/>
      </w:r>
      <w:r w:rsidRPr="008768C0">
        <w:rPr>
          <w:rFonts w:ascii="Calibri" w:eastAsia="Times New Roman" w:hAnsi="Calibri" w:cs="Calibri"/>
          <w:color w:val="000000"/>
          <w:sz w:val="20"/>
          <w:szCs w:val="22"/>
        </w:rPr>
        <w:tab/>
      </w:r>
    </w:p>
    <w:p w:rsidR="00292DF2" w:rsidRPr="008768C0" w:rsidRDefault="00292DF2" w:rsidP="008768C0">
      <w:pPr>
        <w:widowControl w:val="0"/>
        <w:tabs>
          <w:tab w:val="left" w:pos="2291"/>
          <w:tab w:val="left" w:pos="5482"/>
          <w:tab w:val="left" w:pos="6340"/>
          <w:tab w:val="left" w:pos="8448"/>
          <w:tab w:val="left" w:pos="11839"/>
          <w:tab w:val="left" w:pos="14730"/>
        </w:tabs>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b/>
          <w:bCs/>
          <w:color w:val="000000"/>
          <w:sz w:val="20"/>
          <w:szCs w:val="22"/>
        </w:rPr>
        <w:t>Officers and Members</w:t>
      </w:r>
      <w:r w:rsidRPr="008768C0">
        <w:rPr>
          <w:rFonts w:ascii="Calibri" w:eastAsia="Times New Roman" w:hAnsi="Calibri" w:cs="Calibri"/>
          <w:b/>
          <w:bCs/>
          <w:color w:val="000000"/>
          <w:sz w:val="20"/>
          <w:szCs w:val="22"/>
        </w:rPr>
        <w:tab/>
      </w:r>
      <w:r w:rsidRPr="008768C0">
        <w:rPr>
          <w:rFonts w:ascii="Calibri" w:eastAsia="Times New Roman" w:hAnsi="Calibri" w:cs="Calibri"/>
          <w:color w:val="000000"/>
          <w:sz w:val="20"/>
          <w:szCs w:val="22"/>
        </w:rPr>
        <w:tab/>
      </w:r>
      <w:r w:rsidRPr="008768C0">
        <w:rPr>
          <w:rFonts w:ascii="Calibri" w:eastAsia="Times New Roman" w:hAnsi="Calibri" w:cs="Calibri"/>
          <w:color w:val="000000"/>
          <w:sz w:val="20"/>
          <w:szCs w:val="22"/>
        </w:rPr>
        <w:tab/>
      </w:r>
      <w:r w:rsidRPr="008768C0">
        <w:rPr>
          <w:rFonts w:ascii="Calibri" w:eastAsia="Times New Roman" w:hAnsi="Calibri" w:cs="Calibri"/>
          <w:b/>
          <w:bCs/>
          <w:color w:val="000000"/>
          <w:sz w:val="20"/>
          <w:szCs w:val="22"/>
        </w:rPr>
        <w:t>Supreme Student Government (SSG) of PECMNHS</w:t>
      </w:r>
      <w:r w:rsidRPr="008768C0">
        <w:rPr>
          <w:rFonts w:ascii="Calibri" w:eastAsia="Times New Roman" w:hAnsi="Calibri" w:cs="Calibri"/>
          <w:b/>
          <w:bCs/>
          <w:color w:val="000000"/>
          <w:sz w:val="20"/>
          <w:szCs w:val="22"/>
        </w:rPr>
        <w:tab/>
      </w:r>
      <w:r w:rsidRPr="008768C0">
        <w:rPr>
          <w:rFonts w:ascii="Calibri" w:eastAsia="Times New Roman" w:hAnsi="Calibri" w:cs="Calibri"/>
          <w:color w:val="000000"/>
          <w:sz w:val="20"/>
          <w:szCs w:val="22"/>
        </w:rPr>
        <w:tab/>
      </w:r>
    </w:p>
    <w:p w:rsidR="00292DF2" w:rsidRPr="008768C0" w:rsidRDefault="00292DF2" w:rsidP="008768C0">
      <w:pPr>
        <w:widowControl w:val="0"/>
        <w:tabs>
          <w:tab w:val="left" w:pos="2291"/>
          <w:tab w:val="left" w:pos="5482"/>
          <w:tab w:val="left" w:pos="6340"/>
          <w:tab w:val="left" w:pos="8448"/>
          <w:tab w:val="left" w:pos="11839"/>
          <w:tab w:val="left" w:pos="14730"/>
        </w:tabs>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Brgy. Garawon, Hernani, Eastern Samar</w:t>
      </w:r>
      <w:r w:rsidRPr="008768C0">
        <w:rPr>
          <w:rFonts w:ascii="Calibri" w:eastAsia="Times New Roman" w:hAnsi="Calibri" w:cs="Calibri"/>
          <w:color w:val="000000"/>
          <w:sz w:val="20"/>
          <w:szCs w:val="22"/>
        </w:rPr>
        <w:tab/>
      </w:r>
      <w:r w:rsidRPr="008768C0">
        <w:rPr>
          <w:rFonts w:ascii="Calibri" w:eastAsia="Times New Roman" w:hAnsi="Calibri" w:cs="Calibri"/>
          <w:color w:val="000000"/>
          <w:sz w:val="20"/>
          <w:szCs w:val="22"/>
        </w:rPr>
        <w:tab/>
      </w:r>
      <w:r w:rsidRPr="008768C0">
        <w:rPr>
          <w:rFonts w:ascii="Calibri" w:eastAsia="Times New Roman" w:hAnsi="Calibri" w:cs="Calibri"/>
          <w:b/>
          <w:bCs/>
          <w:color w:val="000000"/>
          <w:sz w:val="20"/>
          <w:szCs w:val="22"/>
        </w:rPr>
        <w:t xml:space="preserve">Teatro HUTABU and the Children Broadcasters </w:t>
      </w:r>
      <w:r w:rsidRPr="008768C0">
        <w:rPr>
          <w:rFonts w:ascii="Calibri" w:eastAsia="Times New Roman" w:hAnsi="Calibri" w:cs="Calibri"/>
          <w:b/>
          <w:bCs/>
          <w:color w:val="000000"/>
          <w:sz w:val="20"/>
          <w:szCs w:val="22"/>
        </w:rPr>
        <w:tab/>
      </w:r>
      <w:r w:rsidRPr="008768C0">
        <w:rPr>
          <w:rFonts w:ascii="Calibri" w:eastAsia="Times New Roman" w:hAnsi="Calibri" w:cs="Calibri"/>
          <w:color w:val="000000"/>
          <w:sz w:val="20"/>
          <w:szCs w:val="22"/>
        </w:rPr>
        <w:tab/>
      </w:r>
    </w:p>
    <w:tbl>
      <w:tblPr>
        <w:tblW w:w="0" w:type="auto"/>
        <w:tblLayout w:type="fixed"/>
        <w:tblCellMar>
          <w:left w:w="54" w:type="dxa"/>
          <w:right w:w="54" w:type="dxa"/>
        </w:tblCellMar>
        <w:tblLook w:val="0000" w:firstRow="0" w:lastRow="0" w:firstColumn="0" w:lastColumn="0" w:noHBand="0" w:noVBand="0"/>
      </w:tblPr>
      <w:tblGrid>
        <w:gridCol w:w="2291"/>
        <w:gridCol w:w="3191"/>
        <w:gridCol w:w="858"/>
        <w:gridCol w:w="2108"/>
        <w:gridCol w:w="3391"/>
        <w:gridCol w:w="1540"/>
      </w:tblGrid>
      <w:tr w:rsidR="00292DF2" w:rsidRPr="008768C0">
        <w:trPr>
          <w:trHeight w:val="30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300"/>
        </w:trPr>
        <w:tc>
          <w:tcPr>
            <w:tcW w:w="2291" w:type="dxa"/>
            <w:tcBorders>
              <w:top w:val="single" w:sz="12" w:space="0" w:color="auto"/>
              <w:left w:val="single" w:sz="12" w:space="0" w:color="auto"/>
              <w:bottom w:val="single" w:sz="12" w:space="0" w:color="auto"/>
              <w:right w:val="nil"/>
            </w:tcBorders>
            <w:shd w:val="solid" w:color="auto" w:fill="auto"/>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FFFFFF"/>
                <w:sz w:val="20"/>
                <w:szCs w:val="22"/>
              </w:rPr>
            </w:pPr>
            <w:r w:rsidRPr="008768C0">
              <w:rPr>
                <w:rFonts w:ascii="Calibri" w:eastAsia="Times New Roman" w:hAnsi="Calibri" w:cs="Calibri"/>
                <w:b/>
                <w:bCs/>
                <w:color w:val="FFFFFF"/>
                <w:sz w:val="20"/>
                <w:szCs w:val="22"/>
              </w:rPr>
              <w:t>Officers/Designation</w:t>
            </w:r>
          </w:p>
        </w:tc>
        <w:tc>
          <w:tcPr>
            <w:tcW w:w="3191" w:type="dxa"/>
            <w:tcBorders>
              <w:top w:val="single" w:sz="12" w:space="0" w:color="auto"/>
              <w:left w:val="nil"/>
              <w:bottom w:val="single" w:sz="12" w:space="0" w:color="auto"/>
              <w:right w:val="nil"/>
            </w:tcBorders>
            <w:shd w:val="solid" w:color="auto" w:fill="auto"/>
          </w:tcPr>
          <w:p w:rsidR="00292DF2" w:rsidRPr="008768C0" w:rsidRDefault="00292DF2" w:rsidP="008768C0">
            <w:pPr>
              <w:widowControl w:val="0"/>
              <w:autoSpaceDE w:val="0"/>
              <w:autoSpaceDN w:val="0"/>
              <w:adjustRightInd w:val="0"/>
              <w:spacing w:before="60" w:after="0"/>
              <w:jc w:val="center"/>
              <w:rPr>
                <w:rFonts w:ascii="Calibri" w:eastAsia="Times New Roman" w:hAnsi="Calibri" w:cs="Calibri"/>
                <w:b/>
                <w:bCs/>
                <w:color w:val="FFFFFF"/>
                <w:sz w:val="20"/>
                <w:szCs w:val="22"/>
              </w:rPr>
            </w:pPr>
            <w:r w:rsidRPr="008768C0">
              <w:rPr>
                <w:rFonts w:ascii="Calibri" w:eastAsia="Times New Roman" w:hAnsi="Calibri" w:cs="Calibri"/>
                <w:b/>
                <w:bCs/>
                <w:color w:val="FFFFFF"/>
                <w:sz w:val="20"/>
                <w:szCs w:val="22"/>
              </w:rPr>
              <w:t>Names</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single" w:sz="12" w:space="0" w:color="auto"/>
              <w:left w:val="single" w:sz="12" w:space="0" w:color="auto"/>
              <w:bottom w:val="single" w:sz="12" w:space="0" w:color="auto"/>
              <w:right w:val="nil"/>
            </w:tcBorders>
            <w:shd w:val="solid" w:color="auto" w:fill="auto"/>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FFFFFF"/>
                <w:sz w:val="20"/>
                <w:szCs w:val="22"/>
              </w:rPr>
            </w:pPr>
            <w:r w:rsidRPr="008768C0">
              <w:rPr>
                <w:rFonts w:ascii="Calibri" w:eastAsia="Times New Roman" w:hAnsi="Calibri" w:cs="Calibri"/>
                <w:b/>
                <w:bCs/>
                <w:color w:val="FFFFFF"/>
                <w:sz w:val="20"/>
                <w:szCs w:val="22"/>
              </w:rPr>
              <w:t>Officers/Designation</w:t>
            </w:r>
          </w:p>
        </w:tc>
        <w:tc>
          <w:tcPr>
            <w:tcW w:w="3391" w:type="dxa"/>
            <w:tcBorders>
              <w:top w:val="single" w:sz="12" w:space="0" w:color="auto"/>
              <w:left w:val="nil"/>
              <w:bottom w:val="single" w:sz="12" w:space="0" w:color="auto"/>
              <w:right w:val="nil"/>
            </w:tcBorders>
            <w:shd w:val="solid" w:color="auto" w:fill="auto"/>
          </w:tcPr>
          <w:p w:rsidR="00292DF2" w:rsidRPr="008768C0" w:rsidRDefault="00292DF2" w:rsidP="008768C0">
            <w:pPr>
              <w:widowControl w:val="0"/>
              <w:autoSpaceDE w:val="0"/>
              <w:autoSpaceDN w:val="0"/>
              <w:adjustRightInd w:val="0"/>
              <w:spacing w:before="60" w:after="0"/>
              <w:jc w:val="center"/>
              <w:rPr>
                <w:rFonts w:ascii="Calibri" w:eastAsia="Times New Roman" w:hAnsi="Calibri" w:cs="Calibri"/>
                <w:b/>
                <w:bCs/>
                <w:color w:val="FFFFFF"/>
                <w:sz w:val="20"/>
                <w:szCs w:val="22"/>
              </w:rPr>
            </w:pPr>
            <w:r w:rsidRPr="008768C0">
              <w:rPr>
                <w:rFonts w:ascii="Calibri" w:eastAsia="Times New Roman" w:hAnsi="Calibri" w:cs="Calibri"/>
                <w:b/>
                <w:bCs/>
                <w:color w:val="FFFFFF"/>
                <w:sz w:val="20"/>
                <w:szCs w:val="22"/>
              </w:rPr>
              <w:t>Names</w:t>
            </w:r>
          </w:p>
        </w:tc>
        <w:tc>
          <w:tcPr>
            <w:tcW w:w="1540" w:type="dxa"/>
            <w:tcBorders>
              <w:top w:val="single" w:sz="6" w:space="0" w:color="auto"/>
              <w:left w:val="single" w:sz="6" w:space="0" w:color="auto"/>
              <w:bottom w:val="single" w:sz="6" w:space="0" w:color="auto"/>
              <w:right w:val="single" w:sz="6" w:space="0" w:color="auto"/>
            </w:tcBorders>
            <w:shd w:val="solid" w:color="auto" w:fill="auto"/>
          </w:tcPr>
          <w:p w:rsidR="00292DF2" w:rsidRPr="008768C0" w:rsidRDefault="00292DF2" w:rsidP="008768C0">
            <w:pPr>
              <w:widowControl w:val="0"/>
              <w:autoSpaceDE w:val="0"/>
              <w:autoSpaceDN w:val="0"/>
              <w:adjustRightInd w:val="0"/>
              <w:spacing w:before="60" w:after="0"/>
              <w:jc w:val="center"/>
              <w:rPr>
                <w:rFonts w:ascii="Calibri" w:eastAsia="Times New Roman" w:hAnsi="Calibri" w:cs="Calibri"/>
                <w:b/>
                <w:bCs/>
                <w:color w:val="FFFFFF"/>
                <w:sz w:val="20"/>
                <w:szCs w:val="22"/>
              </w:rPr>
            </w:pPr>
            <w:r w:rsidRPr="008768C0">
              <w:rPr>
                <w:rFonts w:ascii="Calibri" w:eastAsia="Times New Roman" w:hAnsi="Calibri" w:cs="Calibri"/>
                <w:b/>
                <w:bCs/>
                <w:color w:val="FFFFFF"/>
                <w:sz w:val="20"/>
                <w:szCs w:val="22"/>
              </w:rPr>
              <w:t>Group or Affiliation</w:t>
            </w:r>
          </w:p>
        </w:tc>
      </w:tr>
      <w:tr w:rsidR="00292DF2" w:rsidRPr="008768C0">
        <w:trPr>
          <w:trHeight w:val="280"/>
        </w:trPr>
        <w:tc>
          <w:tcPr>
            <w:tcW w:w="2291" w:type="dxa"/>
            <w:tcBorders>
              <w:top w:val="nil"/>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President: </w:t>
            </w:r>
          </w:p>
        </w:tc>
        <w:tc>
          <w:tcPr>
            <w:tcW w:w="3191" w:type="dxa"/>
            <w:tcBorders>
              <w:top w:val="nil"/>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Noli Bantang</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President: </w:t>
            </w:r>
          </w:p>
        </w:tc>
        <w:tc>
          <w:tcPr>
            <w:tcW w:w="3391" w:type="dxa"/>
            <w:tcBorders>
              <w:top w:val="nil"/>
              <w:left w:val="single" w:sz="6" w:space="0" w:color="auto"/>
              <w:bottom w:val="single" w:sz="6" w:space="0" w:color="auto"/>
              <w:right w:val="nil"/>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Maria Clair Calvadores</w:t>
            </w:r>
          </w:p>
        </w:tc>
        <w:tc>
          <w:tcPr>
            <w:tcW w:w="1540"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CARE</w:t>
            </w:r>
          </w:p>
        </w:tc>
      </w:tr>
      <w:tr w:rsidR="00292DF2" w:rsidRPr="008768C0">
        <w:trPr>
          <w:trHeight w:val="280"/>
        </w:trPr>
        <w:tc>
          <w:tcPr>
            <w:tcW w:w="22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Vice-President: </w:t>
            </w:r>
          </w:p>
        </w:tc>
        <w:tc>
          <w:tcPr>
            <w:tcW w:w="31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Oscar Calvadores</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Vice-President: </w:t>
            </w:r>
          </w:p>
        </w:tc>
        <w:tc>
          <w:tcPr>
            <w:tcW w:w="3391" w:type="dxa"/>
            <w:tcBorders>
              <w:top w:val="single" w:sz="6" w:space="0" w:color="auto"/>
              <w:left w:val="single" w:sz="6" w:space="0" w:color="auto"/>
              <w:bottom w:val="single" w:sz="6" w:space="0" w:color="auto"/>
              <w:right w:val="nil"/>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 xml:space="preserve">Mario Calites Jr. </w:t>
            </w:r>
          </w:p>
        </w:tc>
        <w:tc>
          <w:tcPr>
            <w:tcW w:w="1540"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CARE</w:t>
            </w:r>
          </w:p>
        </w:tc>
      </w:tr>
      <w:tr w:rsidR="00292DF2" w:rsidRPr="008768C0">
        <w:trPr>
          <w:trHeight w:val="280"/>
        </w:trPr>
        <w:tc>
          <w:tcPr>
            <w:tcW w:w="22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Secretary: </w:t>
            </w:r>
          </w:p>
        </w:tc>
        <w:tc>
          <w:tcPr>
            <w:tcW w:w="31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Purita Catayong</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Secretary: </w:t>
            </w:r>
          </w:p>
        </w:tc>
        <w:tc>
          <w:tcPr>
            <w:tcW w:w="3391" w:type="dxa"/>
            <w:tcBorders>
              <w:top w:val="single" w:sz="6" w:space="0" w:color="auto"/>
              <w:left w:val="single" w:sz="6" w:space="0" w:color="auto"/>
              <w:bottom w:val="single" w:sz="6" w:space="0" w:color="auto"/>
              <w:right w:val="nil"/>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Christaniel Langer</w:t>
            </w:r>
          </w:p>
        </w:tc>
        <w:tc>
          <w:tcPr>
            <w:tcW w:w="1540"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CARE</w:t>
            </w:r>
          </w:p>
        </w:tc>
      </w:tr>
      <w:tr w:rsidR="00292DF2" w:rsidRPr="008768C0">
        <w:trPr>
          <w:trHeight w:val="280"/>
        </w:trPr>
        <w:tc>
          <w:tcPr>
            <w:tcW w:w="22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Treasurer: </w:t>
            </w:r>
          </w:p>
        </w:tc>
        <w:tc>
          <w:tcPr>
            <w:tcW w:w="31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Florentina Cuna</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Treasurer: </w:t>
            </w:r>
          </w:p>
        </w:tc>
        <w:tc>
          <w:tcPr>
            <w:tcW w:w="3391" w:type="dxa"/>
            <w:tcBorders>
              <w:top w:val="single" w:sz="6" w:space="0" w:color="auto"/>
              <w:left w:val="single" w:sz="6" w:space="0" w:color="auto"/>
              <w:bottom w:val="single" w:sz="6" w:space="0" w:color="auto"/>
              <w:right w:val="nil"/>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Krisel Camarillo</w:t>
            </w:r>
          </w:p>
        </w:tc>
        <w:tc>
          <w:tcPr>
            <w:tcW w:w="1540"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CARE</w:t>
            </w:r>
          </w:p>
        </w:tc>
      </w:tr>
      <w:tr w:rsidR="00292DF2" w:rsidRPr="008768C0">
        <w:trPr>
          <w:trHeight w:val="280"/>
        </w:trPr>
        <w:tc>
          <w:tcPr>
            <w:tcW w:w="22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Auditor: </w:t>
            </w:r>
          </w:p>
        </w:tc>
        <w:tc>
          <w:tcPr>
            <w:tcW w:w="31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 xml:space="preserve">Nida Calvadores </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Auditor: </w:t>
            </w:r>
          </w:p>
        </w:tc>
        <w:tc>
          <w:tcPr>
            <w:tcW w:w="3391" w:type="dxa"/>
            <w:tcBorders>
              <w:top w:val="single" w:sz="6" w:space="0" w:color="auto"/>
              <w:left w:val="single" w:sz="6" w:space="0" w:color="auto"/>
              <w:bottom w:val="single" w:sz="6" w:space="0" w:color="auto"/>
              <w:right w:val="nil"/>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Ralph Santos</w:t>
            </w:r>
          </w:p>
        </w:tc>
        <w:tc>
          <w:tcPr>
            <w:tcW w:w="1540"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CARE</w:t>
            </w:r>
          </w:p>
        </w:tc>
      </w:tr>
      <w:tr w:rsidR="00292DF2" w:rsidRPr="008768C0">
        <w:trPr>
          <w:trHeight w:val="280"/>
        </w:trPr>
        <w:tc>
          <w:tcPr>
            <w:tcW w:w="22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p>
        </w:tc>
        <w:tc>
          <w:tcPr>
            <w:tcW w:w="31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p>
        </w:tc>
        <w:tc>
          <w:tcPr>
            <w:tcW w:w="3391" w:type="dxa"/>
            <w:tcBorders>
              <w:top w:val="single" w:sz="6" w:space="0" w:color="auto"/>
              <w:left w:val="single" w:sz="6" w:space="0" w:color="auto"/>
              <w:bottom w:val="single" w:sz="6" w:space="0" w:color="auto"/>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1540"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PIO: </w:t>
            </w:r>
          </w:p>
        </w:tc>
        <w:tc>
          <w:tcPr>
            <w:tcW w:w="31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 xml:space="preserve">Rudy Albesa </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PIO: </w:t>
            </w:r>
          </w:p>
        </w:tc>
        <w:tc>
          <w:tcPr>
            <w:tcW w:w="3391" w:type="dxa"/>
            <w:tcBorders>
              <w:top w:val="single" w:sz="6" w:space="0" w:color="auto"/>
              <w:left w:val="single" w:sz="6" w:space="0" w:color="auto"/>
              <w:bottom w:val="single" w:sz="6" w:space="0" w:color="auto"/>
              <w:right w:val="nil"/>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John Paul Consultado</w:t>
            </w:r>
          </w:p>
        </w:tc>
        <w:tc>
          <w:tcPr>
            <w:tcW w:w="1540"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CARE</w:t>
            </w:r>
          </w:p>
        </w:tc>
      </w:tr>
      <w:tr w:rsidR="00292DF2" w:rsidRPr="008768C0">
        <w:trPr>
          <w:trHeight w:val="280"/>
        </w:trPr>
        <w:tc>
          <w:tcPr>
            <w:tcW w:w="22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Business Manager: </w:t>
            </w:r>
          </w:p>
        </w:tc>
        <w:tc>
          <w:tcPr>
            <w:tcW w:w="31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Ramil Cabillo</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Business Manager: </w:t>
            </w:r>
          </w:p>
        </w:tc>
        <w:tc>
          <w:tcPr>
            <w:tcW w:w="3391" w:type="dxa"/>
            <w:tcBorders>
              <w:top w:val="nil"/>
              <w:left w:val="single" w:sz="6" w:space="0" w:color="auto"/>
              <w:bottom w:val="nil"/>
              <w:right w:val="nil"/>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Dodgie Bagarino</w:t>
            </w:r>
          </w:p>
        </w:tc>
        <w:tc>
          <w:tcPr>
            <w:tcW w:w="1540"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CARE</w:t>
            </w:r>
          </w:p>
        </w:tc>
      </w:tr>
      <w:tr w:rsidR="00292DF2" w:rsidRPr="008768C0">
        <w:trPr>
          <w:trHeight w:val="280"/>
        </w:trPr>
        <w:tc>
          <w:tcPr>
            <w:tcW w:w="22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Sgt. At Arms</w:t>
            </w:r>
          </w:p>
        </w:tc>
        <w:tc>
          <w:tcPr>
            <w:tcW w:w="31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Richard Tolen</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Sgt. At Arms</w:t>
            </w:r>
          </w:p>
        </w:tc>
        <w:tc>
          <w:tcPr>
            <w:tcW w:w="3391" w:type="dxa"/>
            <w:tcBorders>
              <w:top w:val="single" w:sz="6" w:space="0" w:color="auto"/>
              <w:left w:val="single" w:sz="6" w:space="0" w:color="auto"/>
              <w:bottom w:val="single" w:sz="6" w:space="0" w:color="auto"/>
              <w:right w:val="nil"/>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John Patrick Orocay</w:t>
            </w:r>
          </w:p>
        </w:tc>
        <w:tc>
          <w:tcPr>
            <w:tcW w:w="1540"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CARE</w:t>
            </w: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CARE Adviser: </w:t>
            </w:r>
          </w:p>
        </w:tc>
        <w:tc>
          <w:tcPr>
            <w:tcW w:w="3391"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jc w:val="right"/>
              <w:rPr>
                <w:rFonts w:ascii="Calibri" w:eastAsia="Times New Roman" w:hAnsi="Calibri" w:cs="Calibri"/>
                <w:color w:val="000000"/>
                <w:sz w:val="20"/>
                <w:szCs w:val="22"/>
              </w:rPr>
            </w:pPr>
            <w:r w:rsidRPr="008768C0">
              <w:rPr>
                <w:rFonts w:ascii="Calibri" w:eastAsia="Times New Roman" w:hAnsi="Calibri" w:cs="Calibri"/>
                <w:color w:val="000000"/>
                <w:sz w:val="20"/>
                <w:szCs w:val="22"/>
              </w:rPr>
              <w:t>Mrs. Lurlyn Bonga, Teacher</w:t>
            </w:r>
          </w:p>
        </w:tc>
        <w:tc>
          <w:tcPr>
            <w:tcW w:w="1540" w:type="dxa"/>
            <w:tcBorders>
              <w:top w:val="single" w:sz="6" w:space="0" w:color="auto"/>
              <w:left w:val="single" w:sz="6" w:space="0" w:color="auto"/>
              <w:bottom w:val="single" w:sz="6" w:space="0" w:color="auto"/>
              <w:right w:val="single" w:sz="6" w:space="0" w:color="auto"/>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shd w:val="solid" w:color="auto" w:fill="auto"/>
          </w:tcPr>
          <w:p w:rsidR="00292DF2" w:rsidRPr="008768C0" w:rsidRDefault="00292DF2" w:rsidP="008768C0">
            <w:pPr>
              <w:widowControl w:val="0"/>
              <w:autoSpaceDE w:val="0"/>
              <w:autoSpaceDN w:val="0"/>
              <w:adjustRightInd w:val="0"/>
              <w:spacing w:before="60" w:after="0"/>
              <w:jc w:val="center"/>
              <w:rPr>
                <w:rFonts w:ascii="Calibri" w:eastAsia="Times New Roman" w:hAnsi="Calibri" w:cs="Calibri"/>
                <w:b/>
                <w:bCs/>
                <w:color w:val="FFFFFF"/>
                <w:sz w:val="20"/>
                <w:szCs w:val="20"/>
              </w:rPr>
            </w:pPr>
            <w:r w:rsidRPr="008768C0">
              <w:rPr>
                <w:rFonts w:ascii="Calibri" w:eastAsia="Times New Roman" w:hAnsi="Calibri" w:cs="Calibri"/>
                <w:b/>
                <w:bCs/>
                <w:color w:val="FFFFFF"/>
                <w:sz w:val="20"/>
                <w:szCs w:val="20"/>
              </w:rPr>
              <w:t>Department of Education (DepEd)</w:t>
            </w:r>
          </w:p>
        </w:tc>
        <w:tc>
          <w:tcPr>
            <w:tcW w:w="3191" w:type="dxa"/>
            <w:tcBorders>
              <w:top w:val="nil"/>
              <w:left w:val="nil"/>
              <w:bottom w:val="nil"/>
              <w:right w:val="nil"/>
            </w:tcBorders>
            <w:shd w:val="solid" w:color="auto" w:fill="auto"/>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FFFFFF"/>
                <w:sz w:val="20"/>
                <w:szCs w:val="20"/>
              </w:rPr>
            </w:pP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shd w:val="solid" w:color="auto" w:fill="auto"/>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FFFFFF"/>
                <w:sz w:val="20"/>
                <w:szCs w:val="20"/>
              </w:rPr>
            </w:pPr>
            <w:r w:rsidRPr="008768C0">
              <w:rPr>
                <w:rFonts w:ascii="Calibri" w:eastAsia="Times New Roman" w:hAnsi="Calibri" w:cs="Calibri"/>
                <w:b/>
                <w:bCs/>
                <w:color w:val="FFFFFF"/>
                <w:sz w:val="20"/>
                <w:szCs w:val="20"/>
              </w:rPr>
              <w:t>Supreme Student Government of PECMNHS</w:t>
            </w:r>
          </w:p>
        </w:tc>
        <w:tc>
          <w:tcPr>
            <w:tcW w:w="3391" w:type="dxa"/>
            <w:tcBorders>
              <w:top w:val="nil"/>
              <w:left w:val="nil"/>
              <w:bottom w:val="nil"/>
              <w:right w:val="nil"/>
            </w:tcBorders>
            <w:shd w:val="solid" w:color="auto" w:fill="auto"/>
          </w:tcPr>
          <w:p w:rsidR="00292DF2" w:rsidRPr="008768C0" w:rsidRDefault="00292DF2" w:rsidP="008768C0">
            <w:pPr>
              <w:widowControl w:val="0"/>
              <w:autoSpaceDE w:val="0"/>
              <w:autoSpaceDN w:val="0"/>
              <w:adjustRightInd w:val="0"/>
              <w:spacing w:before="60" w:after="0"/>
              <w:rPr>
                <w:rFonts w:ascii="Calibri" w:eastAsia="Times New Roman" w:hAnsi="Calibri" w:cs="Calibri"/>
                <w:color w:val="FFFFFF"/>
                <w:sz w:val="20"/>
                <w:szCs w:val="22"/>
              </w:rPr>
            </w:pP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Names</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Position</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President: </w:t>
            </w: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Pearl Jade Oprin</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Mr. Alejandrito L. Yman</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Chief, Curriculum and Learning Dev't Division</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 xml:space="preserve">Vice-President: </w:t>
            </w: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Yzarrah Monique Apelado</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Ms. Rosemarie Guino</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Education Program Supervisor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Ms Annie Villaruz</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Education Program Supervisor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shd w:val="solid" w:color="auto" w:fill="auto"/>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FFFFFF"/>
                <w:sz w:val="20"/>
                <w:szCs w:val="20"/>
              </w:rPr>
            </w:pPr>
            <w:r w:rsidRPr="008768C0">
              <w:rPr>
                <w:rFonts w:ascii="Calibri" w:eastAsia="Times New Roman" w:hAnsi="Calibri" w:cs="Calibri"/>
                <w:b/>
                <w:bCs/>
                <w:color w:val="FFFFFF"/>
                <w:sz w:val="20"/>
                <w:szCs w:val="20"/>
              </w:rPr>
              <w:t>Teatro HUTABO Members</w:t>
            </w:r>
          </w:p>
        </w:tc>
        <w:tc>
          <w:tcPr>
            <w:tcW w:w="3391" w:type="dxa"/>
            <w:tcBorders>
              <w:top w:val="nil"/>
              <w:left w:val="nil"/>
              <w:bottom w:val="nil"/>
              <w:right w:val="nil"/>
            </w:tcBorders>
            <w:shd w:val="solid" w:color="auto" w:fill="auto"/>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Ms Gertrudes Mabutin</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Education Program Supervisor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Hazel Anne Obedientes</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Ms Sarah S. Cabaluna</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Education Program Supervisor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Von Raphael Salas</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Mr Joy B. Bihag</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Education Program Supervisor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Bethena Diangzon</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Ms Victoria Briones</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Education Program Supervisor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Israel Ofanda</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0"/>
              </w:rPr>
            </w:pPr>
            <w:r w:rsidRPr="008768C0">
              <w:rPr>
                <w:rFonts w:ascii="Calibri" w:eastAsia="Times New Roman" w:hAnsi="Calibri" w:cs="Calibri"/>
                <w:b/>
                <w:bCs/>
                <w:color w:val="000000"/>
                <w:sz w:val="20"/>
                <w:szCs w:val="20"/>
              </w:rPr>
              <w:t>Mr. Ramon Daje</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Education Program Supervisor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Ronnel Gunda</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Mary Joy Magno</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i/>
                <w:iCs/>
                <w:color w:val="000000"/>
                <w:sz w:val="20"/>
                <w:szCs w:val="22"/>
              </w:rPr>
            </w:pPr>
            <w:r w:rsidRPr="008768C0">
              <w:rPr>
                <w:rFonts w:ascii="Calibri" w:eastAsia="Times New Roman" w:hAnsi="Calibri" w:cs="Calibri"/>
                <w:b/>
                <w:bCs/>
                <w:i/>
                <w:iCs/>
                <w:color w:val="000000"/>
                <w:sz w:val="20"/>
                <w:szCs w:val="22"/>
              </w:rPr>
              <w:t xml:space="preserve">Theater Adviser: </w:t>
            </w: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Mrs. Annie A. Apelado, Teacher</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shd w:val="solid" w:color="auto" w:fill="auto"/>
          </w:tcPr>
          <w:p w:rsidR="00292DF2" w:rsidRPr="008768C0" w:rsidRDefault="008768C0" w:rsidP="008768C0">
            <w:pPr>
              <w:widowControl w:val="0"/>
              <w:autoSpaceDE w:val="0"/>
              <w:autoSpaceDN w:val="0"/>
              <w:adjustRightInd w:val="0"/>
              <w:spacing w:before="60" w:after="0"/>
              <w:rPr>
                <w:rFonts w:ascii="Calibri" w:eastAsia="Times New Roman" w:hAnsi="Calibri" w:cs="Calibri"/>
                <w:b/>
                <w:bCs/>
                <w:color w:val="FFFFFF"/>
                <w:sz w:val="20"/>
                <w:szCs w:val="20"/>
              </w:rPr>
            </w:pPr>
            <w:r>
              <w:rPr>
                <w:rFonts w:ascii="Calibri" w:eastAsia="Times New Roman" w:hAnsi="Calibri" w:cs="Calibri"/>
                <w:b/>
                <w:bCs/>
                <w:color w:val="FFFFFF"/>
                <w:sz w:val="20"/>
                <w:szCs w:val="20"/>
              </w:rPr>
              <w:t>Plan Staff</w:t>
            </w:r>
            <w:r w:rsidR="00292DF2" w:rsidRPr="008768C0">
              <w:rPr>
                <w:rFonts w:ascii="Calibri" w:eastAsia="Times New Roman" w:hAnsi="Calibri" w:cs="Calibri"/>
                <w:b/>
                <w:bCs/>
                <w:color w:val="FFFFFF"/>
                <w:sz w:val="20"/>
                <w:szCs w:val="20"/>
              </w:rPr>
              <w:t xml:space="preserve">: </w:t>
            </w:r>
          </w:p>
        </w:tc>
        <w:tc>
          <w:tcPr>
            <w:tcW w:w="3191" w:type="dxa"/>
            <w:tcBorders>
              <w:top w:val="nil"/>
              <w:left w:val="nil"/>
              <w:bottom w:val="nil"/>
              <w:right w:val="nil"/>
            </w:tcBorders>
            <w:shd w:val="solid" w:color="auto" w:fill="auto"/>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FFFFFF"/>
                <w:sz w:val="20"/>
                <w:szCs w:val="20"/>
              </w:rPr>
            </w:pP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shd w:val="solid" w:color="auto" w:fill="auto"/>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FFFFFF"/>
                <w:sz w:val="20"/>
                <w:szCs w:val="22"/>
              </w:rPr>
            </w:pPr>
            <w:r w:rsidRPr="008768C0">
              <w:rPr>
                <w:rFonts w:ascii="Calibri" w:eastAsia="Times New Roman" w:hAnsi="Calibri" w:cs="Calibri"/>
                <w:b/>
                <w:bCs/>
                <w:color w:val="FFFFFF"/>
                <w:sz w:val="20"/>
                <w:szCs w:val="22"/>
              </w:rPr>
              <w:t xml:space="preserve">Children Broadcasters of PECMNHS </w:t>
            </w:r>
          </w:p>
        </w:tc>
        <w:tc>
          <w:tcPr>
            <w:tcW w:w="3391" w:type="dxa"/>
            <w:tcBorders>
              <w:top w:val="nil"/>
              <w:left w:val="nil"/>
              <w:bottom w:val="nil"/>
              <w:right w:val="nil"/>
            </w:tcBorders>
            <w:shd w:val="solid" w:color="auto" w:fill="auto"/>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2"/>
              </w:rPr>
            </w:pPr>
            <w:r w:rsidRPr="008768C0">
              <w:rPr>
                <w:rFonts w:ascii="Calibri" w:eastAsia="Times New Roman" w:hAnsi="Calibri" w:cs="Calibri"/>
                <w:b/>
                <w:bCs/>
                <w:color w:val="000000"/>
                <w:sz w:val="20"/>
                <w:szCs w:val="22"/>
              </w:rPr>
              <w:t>Names</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b/>
                <w:bCs/>
                <w:color w:val="000000"/>
                <w:sz w:val="20"/>
                <w:szCs w:val="22"/>
              </w:rPr>
            </w:pPr>
            <w:r w:rsidRPr="008768C0">
              <w:rPr>
                <w:rFonts w:ascii="Calibri" w:eastAsia="Times New Roman" w:hAnsi="Calibri" w:cs="Calibri"/>
                <w:b/>
                <w:bCs/>
                <w:color w:val="000000"/>
                <w:sz w:val="20"/>
                <w:szCs w:val="22"/>
              </w:rPr>
              <w:t>Position</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 xml:space="preserve">Gellie Rose Candido </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Rachelle Nuestro</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Consortium Manager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Wena Mae Adrales</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Joseph L. McDonough</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Project Manager (Visayas Area)</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Precious Joy Cinco</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William Azucena</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Project Manager (Aurora Area)</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 xml:space="preserve">Edmar Escala </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Joan Abes</w:t>
            </w:r>
          </w:p>
        </w:tc>
        <w:tc>
          <w:tcPr>
            <w:tcW w:w="31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Consortium M&amp;E Officer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r w:rsidRPr="008768C0">
              <w:rPr>
                <w:rFonts w:ascii="Calibri" w:eastAsia="Times New Roman" w:hAnsi="Calibri" w:cs="Calibri"/>
                <w:color w:val="000000"/>
                <w:sz w:val="20"/>
                <w:szCs w:val="22"/>
              </w:rPr>
              <w:t>Jeric Tisado</w:t>
            </w: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Arnold D. Peca</w:t>
            </w:r>
          </w:p>
        </w:tc>
        <w:tc>
          <w:tcPr>
            <w:tcW w:w="3191" w:type="dxa"/>
            <w:tcBorders>
              <w:top w:val="nil"/>
              <w:left w:val="nil"/>
              <w:bottom w:val="nil"/>
              <w:right w:val="nil"/>
            </w:tcBorders>
          </w:tcPr>
          <w:p w:rsidR="00292DF2" w:rsidRPr="008768C0" w:rsidRDefault="008768C0"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 xml:space="preserve">Community </w:t>
            </w:r>
            <w:r w:rsidR="00292DF2" w:rsidRPr="008768C0">
              <w:rPr>
                <w:rFonts w:ascii="Calibri" w:eastAsia="Times New Roman" w:hAnsi="Calibri" w:cs="Calibri"/>
                <w:color w:val="000000"/>
                <w:sz w:val="20"/>
                <w:szCs w:val="20"/>
              </w:rPr>
              <w:t>Development Facilitator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r w:rsidR="00292DF2" w:rsidRPr="008768C0">
        <w:trPr>
          <w:trHeight w:val="280"/>
        </w:trPr>
        <w:tc>
          <w:tcPr>
            <w:tcW w:w="22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Rey O. Caño</w:t>
            </w:r>
          </w:p>
        </w:tc>
        <w:tc>
          <w:tcPr>
            <w:tcW w:w="3191" w:type="dxa"/>
            <w:tcBorders>
              <w:top w:val="nil"/>
              <w:left w:val="nil"/>
              <w:bottom w:val="nil"/>
              <w:right w:val="nil"/>
            </w:tcBorders>
          </w:tcPr>
          <w:p w:rsidR="00292DF2" w:rsidRPr="008768C0" w:rsidRDefault="008768C0" w:rsidP="008768C0">
            <w:pPr>
              <w:widowControl w:val="0"/>
              <w:autoSpaceDE w:val="0"/>
              <w:autoSpaceDN w:val="0"/>
              <w:adjustRightInd w:val="0"/>
              <w:spacing w:before="60" w:after="0"/>
              <w:rPr>
                <w:rFonts w:ascii="Calibri" w:eastAsia="Times New Roman" w:hAnsi="Calibri" w:cs="Calibri"/>
                <w:color w:val="000000"/>
                <w:sz w:val="20"/>
                <w:szCs w:val="20"/>
              </w:rPr>
            </w:pPr>
            <w:r w:rsidRPr="008768C0">
              <w:rPr>
                <w:rFonts w:ascii="Calibri" w:eastAsia="Times New Roman" w:hAnsi="Calibri" w:cs="Calibri"/>
                <w:color w:val="000000"/>
                <w:sz w:val="20"/>
                <w:szCs w:val="20"/>
              </w:rPr>
              <w:t xml:space="preserve">Community </w:t>
            </w:r>
            <w:r w:rsidR="00292DF2" w:rsidRPr="008768C0">
              <w:rPr>
                <w:rFonts w:ascii="Calibri" w:eastAsia="Times New Roman" w:hAnsi="Calibri" w:cs="Calibri"/>
                <w:color w:val="000000"/>
                <w:sz w:val="20"/>
                <w:szCs w:val="20"/>
              </w:rPr>
              <w:t>Development Facilitator</w:t>
            </w:r>
          </w:p>
        </w:tc>
        <w:tc>
          <w:tcPr>
            <w:tcW w:w="85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2108"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3391"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c>
          <w:tcPr>
            <w:tcW w:w="1540" w:type="dxa"/>
            <w:tcBorders>
              <w:top w:val="nil"/>
              <w:left w:val="nil"/>
              <w:bottom w:val="nil"/>
              <w:right w:val="nil"/>
            </w:tcBorders>
          </w:tcPr>
          <w:p w:rsidR="00292DF2" w:rsidRPr="008768C0" w:rsidRDefault="00292DF2" w:rsidP="008768C0">
            <w:pPr>
              <w:widowControl w:val="0"/>
              <w:autoSpaceDE w:val="0"/>
              <w:autoSpaceDN w:val="0"/>
              <w:adjustRightInd w:val="0"/>
              <w:spacing w:before="60" w:after="0"/>
              <w:rPr>
                <w:rFonts w:ascii="Calibri" w:eastAsia="Times New Roman" w:hAnsi="Calibri" w:cs="Calibri"/>
                <w:color w:val="000000"/>
                <w:sz w:val="20"/>
                <w:szCs w:val="22"/>
              </w:rPr>
            </w:pPr>
          </w:p>
        </w:tc>
      </w:tr>
    </w:tbl>
    <w:p w:rsidR="00292DF2" w:rsidRDefault="00292DF2" w:rsidP="00292DF2"/>
    <w:p w:rsidR="008768C0" w:rsidRDefault="008768C0" w:rsidP="00D702B1">
      <w:pPr>
        <w:sectPr w:rsidR="008768C0" w:rsidSect="007D7ADE">
          <w:pgSz w:w="16838" w:h="11899" w:orient="landscape"/>
          <w:pgMar w:top="1134" w:right="1134" w:bottom="1134" w:left="1134" w:header="709" w:footer="709" w:gutter="0"/>
          <w:cols w:space="708"/>
        </w:sectPr>
      </w:pPr>
    </w:p>
    <w:p w:rsidR="008768C0" w:rsidRPr="008768C0" w:rsidRDefault="008768C0" w:rsidP="008768C0">
      <w:pPr>
        <w:spacing w:before="60" w:after="0"/>
        <w:rPr>
          <w:b/>
        </w:rPr>
      </w:pPr>
      <w:r w:rsidRPr="008768C0">
        <w:rPr>
          <w:b/>
        </w:rPr>
        <w:t xml:space="preserve">Participants and interviewees – </w:t>
      </w:r>
      <w:r>
        <w:rPr>
          <w:b/>
        </w:rPr>
        <w:t>Oxfam Timor Leste</w:t>
      </w:r>
      <w:r w:rsidRPr="008768C0">
        <w:rPr>
          <w:b/>
        </w:rPr>
        <w:t xml:space="preserve"> </w:t>
      </w:r>
    </w:p>
    <w:p w:rsidR="008768C0" w:rsidRDefault="008768C0" w:rsidP="008768C0">
      <w:pPr>
        <w:spacing w:after="0"/>
      </w:pPr>
    </w:p>
    <w:p w:rsidR="008768C0" w:rsidRPr="007D7ADE" w:rsidRDefault="008768C0" w:rsidP="008768C0">
      <w:pPr>
        <w:spacing w:after="0"/>
      </w:pPr>
      <w:r w:rsidRPr="007D7ADE">
        <w:t>Hosted by Oxfam in Timor-Leste and supported by:</w:t>
      </w:r>
    </w:p>
    <w:p w:rsidR="008768C0" w:rsidRPr="007D7ADE" w:rsidRDefault="008768C0" w:rsidP="008768C0">
      <w:pPr>
        <w:spacing w:after="0"/>
      </w:pPr>
      <w:r w:rsidRPr="007D7ADE">
        <w:t>Sharon Alder, Program Director</w:t>
      </w:r>
    </w:p>
    <w:p w:rsidR="008768C0" w:rsidRPr="007D7ADE" w:rsidRDefault="008768C0" w:rsidP="008768C0">
      <w:pPr>
        <w:spacing w:after="0"/>
      </w:pPr>
      <w:r w:rsidRPr="007D7ADE">
        <w:t>Glenda Lasslett, Country Director</w:t>
      </w:r>
    </w:p>
    <w:p w:rsidR="008768C0" w:rsidRPr="007D7ADE" w:rsidRDefault="008768C0" w:rsidP="008768C0">
      <w:pPr>
        <w:tabs>
          <w:tab w:val="left" w:pos="3783"/>
        </w:tabs>
        <w:spacing w:after="0"/>
        <w:rPr>
          <w:rFonts w:eastAsia="Times New Roman" w:cs="Arial"/>
          <w:lang w:eastAsia="en-AU"/>
        </w:rPr>
      </w:pPr>
      <w:r w:rsidRPr="007D7ADE">
        <w:rPr>
          <w:rFonts w:eastAsia="Times New Roman" w:cs="Arial"/>
          <w:lang w:eastAsia="en-AU"/>
        </w:rPr>
        <w:t xml:space="preserve">Armindo dos Reis, Oecusse Program Team Manager </w:t>
      </w:r>
    </w:p>
    <w:p w:rsidR="008768C0" w:rsidRPr="007D7ADE" w:rsidRDefault="008768C0" w:rsidP="008768C0">
      <w:pPr>
        <w:spacing w:after="0"/>
        <w:rPr>
          <w:rFonts w:eastAsia="Times New Roman" w:cs="Arial"/>
          <w:color w:val="000000"/>
          <w:lang w:eastAsia="en-AU"/>
        </w:rPr>
      </w:pPr>
      <w:r w:rsidRPr="007D7ADE">
        <w:rPr>
          <w:rFonts w:eastAsia="Times New Roman" w:cs="Arial"/>
          <w:color w:val="000000"/>
          <w:lang w:eastAsia="en-AU"/>
        </w:rPr>
        <w:t>Joao Corbafo, CCA program officer</w:t>
      </w:r>
    </w:p>
    <w:p w:rsidR="008768C0" w:rsidRDefault="008768C0" w:rsidP="008768C0">
      <w:pPr>
        <w:spacing w:after="0"/>
        <w:rPr>
          <w:rFonts w:eastAsia="Times New Roman" w:cs="Arial"/>
          <w:color w:val="000000"/>
          <w:lang w:eastAsia="en-AU"/>
        </w:rPr>
      </w:pPr>
    </w:p>
    <w:tbl>
      <w:tblPr>
        <w:tblpPr w:leftFromText="180" w:rightFromText="180" w:vertAnchor="text" w:tblpX="10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6"/>
        <w:gridCol w:w="3267"/>
        <w:gridCol w:w="3402"/>
      </w:tblGrid>
      <w:tr w:rsidR="008768C0" w:rsidRPr="00C542C1" w:rsidTr="00867B41">
        <w:trPr>
          <w:trHeight w:val="1692"/>
        </w:trPr>
        <w:tc>
          <w:tcPr>
            <w:tcW w:w="2086" w:type="dxa"/>
            <w:tcMar>
              <w:top w:w="0" w:type="dxa"/>
              <w:left w:w="108" w:type="dxa"/>
              <w:bottom w:w="0" w:type="dxa"/>
              <w:right w:w="108" w:type="dxa"/>
            </w:tcMar>
          </w:tcPr>
          <w:p w:rsidR="008768C0" w:rsidRPr="008768C0" w:rsidRDefault="008768C0" w:rsidP="00867B41">
            <w:pPr>
              <w:rPr>
                <w:rFonts w:ascii="Calibri" w:hAnsi="Calibri"/>
                <w:b/>
                <w:sz w:val="20"/>
                <w:szCs w:val="20"/>
              </w:rPr>
            </w:pPr>
            <w:r w:rsidRPr="008768C0">
              <w:rPr>
                <w:rFonts w:ascii="Calibri" w:hAnsi="Calibri"/>
                <w:b/>
                <w:sz w:val="20"/>
                <w:szCs w:val="20"/>
              </w:rPr>
              <w:t>Maunaben Aldeia,  Na’u bairo</w:t>
            </w:r>
          </w:p>
          <w:p w:rsidR="008768C0" w:rsidRPr="008768C0" w:rsidRDefault="008768C0" w:rsidP="00867B41">
            <w:pPr>
              <w:rPr>
                <w:rFonts w:ascii="Calibri" w:hAnsi="Calibri"/>
                <w:b/>
                <w:sz w:val="20"/>
                <w:szCs w:val="20"/>
              </w:rPr>
            </w:pPr>
            <w:r w:rsidRPr="008768C0">
              <w:rPr>
                <w:b/>
                <w:sz w:val="20"/>
                <w:szCs w:val="20"/>
              </w:rPr>
              <w:t>Cunha Suco, sub-district Pantemakassar</w:t>
            </w:r>
          </w:p>
        </w:tc>
        <w:tc>
          <w:tcPr>
            <w:tcW w:w="3267" w:type="dxa"/>
            <w:tcMar>
              <w:top w:w="0" w:type="dxa"/>
              <w:left w:w="108" w:type="dxa"/>
              <w:bottom w:w="0" w:type="dxa"/>
              <w:right w:w="108" w:type="dxa"/>
            </w:tcMar>
          </w:tcPr>
          <w:p w:rsidR="008768C0" w:rsidRPr="00C542C1" w:rsidRDefault="008768C0" w:rsidP="00867B41">
            <w:pPr>
              <w:rPr>
                <w:rFonts w:ascii="Calibri" w:hAnsi="Calibri"/>
                <w:sz w:val="20"/>
                <w:szCs w:val="20"/>
              </w:rPr>
            </w:pPr>
            <w:r w:rsidRPr="00C542C1">
              <w:rPr>
                <w:rFonts w:ascii="Calibri" w:hAnsi="Calibri"/>
                <w:sz w:val="20"/>
                <w:szCs w:val="20"/>
              </w:rPr>
              <w:t>Discussion with Group members from four local CCA groups (Tasek Sule, Nekaf Mese, Moris Foun, Fitun Foin Sae)</w:t>
            </w:r>
            <w:r>
              <w:rPr>
                <w:rFonts w:ascii="Calibri" w:hAnsi="Calibri"/>
                <w:sz w:val="20"/>
                <w:szCs w:val="20"/>
              </w:rPr>
              <w:t xml:space="preserve"> and Y </w:t>
            </w:r>
            <w:r w:rsidRPr="00C542C1">
              <w:rPr>
                <w:rFonts w:ascii="Calibri" w:hAnsi="Calibri"/>
                <w:sz w:val="20"/>
                <w:szCs w:val="20"/>
              </w:rPr>
              <w:t>-ACTS</w:t>
            </w:r>
            <w:r>
              <w:rPr>
                <w:rFonts w:ascii="Calibri" w:hAnsi="Calibri"/>
                <w:sz w:val="20"/>
                <w:szCs w:val="20"/>
              </w:rPr>
              <w:t xml:space="preserve"> Director Jose Eta</w:t>
            </w:r>
          </w:p>
        </w:tc>
        <w:tc>
          <w:tcPr>
            <w:tcW w:w="3402" w:type="dxa"/>
            <w:tcMar>
              <w:top w:w="0" w:type="dxa"/>
              <w:left w:w="108" w:type="dxa"/>
              <w:bottom w:w="0" w:type="dxa"/>
              <w:right w:w="108" w:type="dxa"/>
            </w:tcMar>
          </w:tcPr>
          <w:p w:rsidR="008768C0" w:rsidRPr="00C542C1" w:rsidRDefault="008768C0" w:rsidP="00867B41">
            <w:pPr>
              <w:rPr>
                <w:rFonts w:ascii="Calibri" w:hAnsi="Calibri"/>
                <w:sz w:val="20"/>
                <w:szCs w:val="20"/>
              </w:rPr>
            </w:pPr>
            <w:r w:rsidRPr="00C542C1">
              <w:rPr>
                <w:rFonts w:ascii="Calibri" w:hAnsi="Calibri"/>
                <w:sz w:val="20"/>
                <w:szCs w:val="20"/>
              </w:rPr>
              <w:t>Supported by Y-ACTS</w:t>
            </w:r>
            <w:r>
              <w:rPr>
                <w:rFonts w:ascii="Calibri" w:hAnsi="Calibri"/>
                <w:sz w:val="20"/>
                <w:szCs w:val="20"/>
              </w:rPr>
              <w:t xml:space="preserve"> Director Jose Eta</w:t>
            </w:r>
            <w:r w:rsidRPr="00C542C1">
              <w:rPr>
                <w:rFonts w:ascii="Calibri" w:hAnsi="Calibri"/>
                <w:sz w:val="20"/>
                <w:szCs w:val="20"/>
              </w:rPr>
              <w:t xml:space="preserve"> (Oxfam Partner)</w:t>
            </w:r>
          </w:p>
        </w:tc>
      </w:tr>
      <w:tr w:rsidR="008768C0" w:rsidRPr="00C542C1" w:rsidTr="00867B41">
        <w:trPr>
          <w:trHeight w:val="971"/>
        </w:trPr>
        <w:tc>
          <w:tcPr>
            <w:tcW w:w="2086" w:type="dxa"/>
            <w:tcMar>
              <w:top w:w="0" w:type="dxa"/>
              <w:left w:w="108" w:type="dxa"/>
              <w:bottom w:w="0" w:type="dxa"/>
              <w:right w:w="108" w:type="dxa"/>
            </w:tcMar>
          </w:tcPr>
          <w:p w:rsidR="008768C0" w:rsidRPr="008768C0" w:rsidRDefault="008768C0" w:rsidP="00867B41">
            <w:pPr>
              <w:rPr>
                <w:rFonts w:ascii="Calibri" w:hAnsi="Calibri"/>
                <w:b/>
                <w:sz w:val="20"/>
                <w:szCs w:val="20"/>
              </w:rPr>
            </w:pPr>
            <w:r w:rsidRPr="008768C0">
              <w:rPr>
                <w:rFonts w:ascii="Calibri" w:hAnsi="Calibri"/>
                <w:b/>
                <w:sz w:val="20"/>
                <w:szCs w:val="20"/>
              </w:rPr>
              <w:t>Nefobai  Aldeia,  Katu’i Bairo</w:t>
            </w:r>
          </w:p>
        </w:tc>
        <w:tc>
          <w:tcPr>
            <w:tcW w:w="3267" w:type="dxa"/>
            <w:tcMar>
              <w:top w:w="0" w:type="dxa"/>
              <w:left w:w="108" w:type="dxa"/>
              <w:bottom w:w="0" w:type="dxa"/>
              <w:right w:w="108" w:type="dxa"/>
            </w:tcMar>
          </w:tcPr>
          <w:p w:rsidR="008768C0" w:rsidRPr="00C542C1" w:rsidRDefault="008768C0" w:rsidP="00867B41">
            <w:pPr>
              <w:rPr>
                <w:rFonts w:ascii="Calibri" w:hAnsi="Calibri"/>
                <w:sz w:val="20"/>
                <w:szCs w:val="20"/>
              </w:rPr>
            </w:pPr>
            <w:r w:rsidRPr="00C542C1">
              <w:rPr>
                <w:rFonts w:ascii="Calibri" w:hAnsi="Calibri"/>
                <w:sz w:val="20"/>
                <w:szCs w:val="20"/>
              </w:rPr>
              <w:t xml:space="preserve">Discussion with group members from </w:t>
            </w:r>
            <w:r w:rsidRPr="008768C0">
              <w:rPr>
                <w:rFonts w:ascii="Calibri" w:hAnsi="Calibri"/>
                <w:color w:val="17365D" w:themeColor="text2" w:themeShade="BF"/>
                <w:sz w:val="20"/>
                <w:szCs w:val="20"/>
              </w:rPr>
              <w:t>Eno Naek Lifau</w:t>
            </w:r>
            <w:r w:rsidRPr="00C542C1">
              <w:rPr>
                <w:rFonts w:ascii="Calibri" w:hAnsi="Calibri"/>
                <w:sz w:val="20"/>
                <w:szCs w:val="20"/>
              </w:rPr>
              <w:t xml:space="preserve"> </w:t>
            </w:r>
          </w:p>
        </w:tc>
        <w:tc>
          <w:tcPr>
            <w:tcW w:w="3402" w:type="dxa"/>
            <w:tcMar>
              <w:top w:w="0" w:type="dxa"/>
              <w:left w:w="108" w:type="dxa"/>
              <w:bottom w:w="0" w:type="dxa"/>
              <w:right w:w="108" w:type="dxa"/>
            </w:tcMar>
          </w:tcPr>
          <w:p w:rsidR="008768C0" w:rsidRPr="00C542C1" w:rsidRDefault="008768C0" w:rsidP="00867B41">
            <w:pPr>
              <w:rPr>
                <w:rFonts w:ascii="Calibri" w:hAnsi="Calibri"/>
                <w:sz w:val="20"/>
                <w:szCs w:val="20"/>
              </w:rPr>
            </w:pPr>
            <w:r w:rsidRPr="00C542C1">
              <w:rPr>
                <w:rFonts w:ascii="Calibri" w:hAnsi="Calibri"/>
                <w:sz w:val="20"/>
                <w:szCs w:val="20"/>
              </w:rPr>
              <w:t>CBO  supported by Caritas Australia</w:t>
            </w:r>
          </w:p>
        </w:tc>
      </w:tr>
      <w:tr w:rsidR="008768C0" w:rsidRPr="00C542C1" w:rsidTr="00867B41">
        <w:trPr>
          <w:trHeight w:val="1618"/>
        </w:trPr>
        <w:tc>
          <w:tcPr>
            <w:tcW w:w="2086" w:type="dxa"/>
            <w:tcMar>
              <w:top w:w="0" w:type="dxa"/>
              <w:left w:w="108" w:type="dxa"/>
              <w:bottom w:w="0" w:type="dxa"/>
              <w:right w:w="108" w:type="dxa"/>
            </w:tcMar>
          </w:tcPr>
          <w:p w:rsidR="008768C0" w:rsidRPr="008768C0" w:rsidRDefault="008768C0" w:rsidP="00867B41">
            <w:pPr>
              <w:rPr>
                <w:rFonts w:ascii="Calibri" w:hAnsi="Calibri"/>
                <w:b/>
                <w:sz w:val="20"/>
                <w:szCs w:val="20"/>
              </w:rPr>
            </w:pPr>
            <w:r w:rsidRPr="008768C0">
              <w:rPr>
                <w:rFonts w:ascii="Calibri" w:hAnsi="Calibri"/>
                <w:b/>
                <w:sz w:val="20"/>
                <w:szCs w:val="20"/>
              </w:rPr>
              <w:t>Caritas Australia office -</w:t>
            </w:r>
            <w:r w:rsidRPr="008768C0">
              <w:rPr>
                <w:b/>
                <w:sz w:val="20"/>
                <w:szCs w:val="20"/>
              </w:rPr>
              <w:t>Pantemakassar</w:t>
            </w:r>
            <w:r w:rsidRPr="008768C0">
              <w:rPr>
                <w:rFonts w:ascii="Calibri" w:hAnsi="Calibri"/>
                <w:b/>
                <w:sz w:val="20"/>
                <w:szCs w:val="20"/>
              </w:rPr>
              <w:t xml:space="preserve"> </w:t>
            </w:r>
          </w:p>
          <w:p w:rsidR="008768C0" w:rsidRPr="008768C0" w:rsidRDefault="008768C0" w:rsidP="00867B41">
            <w:pPr>
              <w:rPr>
                <w:rFonts w:ascii="Calibri" w:hAnsi="Calibri"/>
                <w:b/>
                <w:sz w:val="20"/>
                <w:szCs w:val="20"/>
              </w:rPr>
            </w:pPr>
          </w:p>
        </w:tc>
        <w:tc>
          <w:tcPr>
            <w:tcW w:w="3267" w:type="dxa"/>
            <w:tcMar>
              <w:top w:w="0" w:type="dxa"/>
              <w:left w:w="108" w:type="dxa"/>
              <w:bottom w:w="0" w:type="dxa"/>
              <w:right w:w="108" w:type="dxa"/>
            </w:tcMar>
          </w:tcPr>
          <w:p w:rsidR="008768C0" w:rsidRDefault="008768C0" w:rsidP="00867B41">
            <w:pPr>
              <w:rPr>
                <w:rFonts w:cs="Arial"/>
                <w:color w:val="000000"/>
                <w:sz w:val="20"/>
                <w:szCs w:val="20"/>
              </w:rPr>
            </w:pPr>
            <w:r w:rsidRPr="009556E4">
              <w:rPr>
                <w:sz w:val="20"/>
                <w:szCs w:val="20"/>
              </w:rPr>
              <w:t>Discussion with local NGO partners for Caritas and Oxfam</w:t>
            </w:r>
            <w:r w:rsidRPr="009556E4">
              <w:rPr>
                <w:rFonts w:cs="Arial"/>
                <w:color w:val="000000"/>
                <w:sz w:val="20"/>
                <w:szCs w:val="20"/>
              </w:rPr>
              <w:t xml:space="preserve"> </w:t>
            </w:r>
          </w:p>
          <w:p w:rsidR="008768C0" w:rsidRPr="009556E4" w:rsidRDefault="008768C0" w:rsidP="00867B41">
            <w:pPr>
              <w:rPr>
                <w:rFonts w:cs="Arial"/>
                <w:color w:val="000000"/>
                <w:sz w:val="20"/>
                <w:szCs w:val="20"/>
              </w:rPr>
            </w:pPr>
            <w:r w:rsidRPr="009556E4">
              <w:rPr>
                <w:rFonts w:cs="Arial"/>
                <w:color w:val="000000"/>
                <w:sz w:val="20"/>
                <w:szCs w:val="20"/>
              </w:rPr>
              <w:t xml:space="preserve">Cornelio Ase, </w:t>
            </w:r>
            <w:r>
              <w:rPr>
                <w:rFonts w:cs="Arial"/>
                <w:color w:val="000000"/>
                <w:sz w:val="20"/>
                <w:szCs w:val="20"/>
              </w:rPr>
              <w:t>Program Coordinator Oecusse</w:t>
            </w:r>
            <w:r w:rsidRPr="009556E4">
              <w:rPr>
                <w:rFonts w:cs="Arial"/>
                <w:color w:val="000000"/>
                <w:sz w:val="20"/>
                <w:szCs w:val="20"/>
              </w:rPr>
              <w:t>,</w:t>
            </w:r>
            <w:r>
              <w:rPr>
                <w:rFonts w:cs="Arial"/>
                <w:color w:val="000000"/>
                <w:sz w:val="20"/>
                <w:szCs w:val="20"/>
              </w:rPr>
              <w:t>Caritas Australia</w:t>
            </w:r>
            <w:r w:rsidRPr="009556E4">
              <w:rPr>
                <w:rFonts w:cs="Arial"/>
                <w:color w:val="000000"/>
                <w:sz w:val="20"/>
                <w:szCs w:val="20"/>
              </w:rPr>
              <w:t xml:space="preserve"> </w:t>
            </w:r>
          </w:p>
          <w:p w:rsidR="008768C0" w:rsidRDefault="008768C0" w:rsidP="00867B41">
            <w:pPr>
              <w:pStyle w:val="Default"/>
              <w:rPr>
                <w:rFonts w:asciiTheme="minorHAnsi" w:hAnsiTheme="minorHAnsi"/>
                <w:sz w:val="20"/>
                <w:szCs w:val="20"/>
              </w:rPr>
            </w:pPr>
            <w:r>
              <w:rPr>
                <w:rFonts w:asciiTheme="minorHAnsi" w:hAnsiTheme="minorHAnsi"/>
                <w:sz w:val="20"/>
                <w:szCs w:val="20"/>
              </w:rPr>
              <w:t xml:space="preserve">Domingos Ati </w:t>
            </w:r>
            <w:r w:rsidRPr="009556E4">
              <w:rPr>
                <w:rFonts w:asciiTheme="minorHAnsi" w:hAnsiTheme="minorHAnsi"/>
                <w:sz w:val="20"/>
                <w:szCs w:val="20"/>
              </w:rPr>
              <w:t xml:space="preserve"> (AHCAE),  </w:t>
            </w:r>
          </w:p>
          <w:p w:rsidR="008768C0" w:rsidRPr="009556E4" w:rsidRDefault="008768C0" w:rsidP="00867B41">
            <w:pPr>
              <w:rPr>
                <w:sz w:val="20"/>
                <w:szCs w:val="20"/>
              </w:rPr>
            </w:pPr>
            <w:r>
              <w:rPr>
                <w:sz w:val="20"/>
                <w:szCs w:val="20"/>
              </w:rPr>
              <w:t>Jose Eta ( Y</w:t>
            </w:r>
            <w:r w:rsidRPr="009556E4">
              <w:rPr>
                <w:sz w:val="20"/>
                <w:szCs w:val="20"/>
              </w:rPr>
              <w:t>–ACTS)</w:t>
            </w:r>
            <w:r>
              <w:rPr>
                <w:sz w:val="20"/>
                <w:szCs w:val="20"/>
              </w:rPr>
              <w:t xml:space="preserve">, </w:t>
            </w:r>
            <w:r w:rsidRPr="009556E4">
              <w:rPr>
                <w:sz w:val="20"/>
                <w:szCs w:val="20"/>
              </w:rPr>
              <w:t>Juv</w:t>
            </w:r>
            <w:r>
              <w:rPr>
                <w:sz w:val="20"/>
                <w:szCs w:val="20"/>
              </w:rPr>
              <w:t>i</w:t>
            </w:r>
            <w:r w:rsidRPr="009556E4">
              <w:rPr>
                <w:sz w:val="20"/>
                <w:szCs w:val="20"/>
              </w:rPr>
              <w:t>nal Faria(CECEO)</w:t>
            </w:r>
          </w:p>
        </w:tc>
        <w:tc>
          <w:tcPr>
            <w:tcW w:w="3402" w:type="dxa"/>
            <w:tcMar>
              <w:top w:w="0" w:type="dxa"/>
              <w:left w:w="108" w:type="dxa"/>
              <w:bottom w:w="0" w:type="dxa"/>
              <w:right w:w="108" w:type="dxa"/>
            </w:tcMar>
          </w:tcPr>
          <w:p w:rsidR="008768C0" w:rsidRPr="00C542C1" w:rsidRDefault="008768C0" w:rsidP="00867B41">
            <w:pPr>
              <w:tabs>
                <w:tab w:val="left" w:pos="7740"/>
              </w:tabs>
              <w:rPr>
                <w:rFonts w:cs="Tahoma"/>
                <w:sz w:val="20"/>
                <w:szCs w:val="20"/>
                <w:lang w:val="id-ID"/>
              </w:rPr>
            </w:pPr>
            <w:r w:rsidRPr="00C542C1">
              <w:rPr>
                <w:rFonts w:cs="Tahoma"/>
                <w:sz w:val="20"/>
                <w:szCs w:val="20"/>
                <w:lang w:val="id-ID"/>
              </w:rPr>
              <w:t>Assoçiaçâo Haburas Capasidade Atoni Enclave</w:t>
            </w:r>
            <w:r w:rsidRPr="00C542C1">
              <w:rPr>
                <w:rFonts w:cs="Tahoma"/>
                <w:sz w:val="20"/>
                <w:szCs w:val="20"/>
              </w:rPr>
              <w:t xml:space="preserve"> </w:t>
            </w:r>
            <w:r w:rsidRPr="00C542C1">
              <w:rPr>
                <w:rFonts w:cs="Tahoma"/>
                <w:sz w:val="20"/>
                <w:szCs w:val="20"/>
                <w:lang w:val="id-ID"/>
              </w:rPr>
              <w:t>(AHCAE)</w:t>
            </w:r>
            <w:r>
              <w:rPr>
                <w:rFonts w:cs="Tahoma"/>
                <w:sz w:val="20"/>
                <w:szCs w:val="20"/>
              </w:rPr>
              <w:t xml:space="preserve">, </w:t>
            </w:r>
            <w:r w:rsidRPr="004D4998">
              <w:rPr>
                <w:rFonts w:ascii="Calibri" w:eastAsia="Times New Roman" w:hAnsi="Calibri" w:cs="Times New Roman"/>
                <w:sz w:val="20"/>
                <w:szCs w:val="20"/>
                <w:lang w:eastAsia="en-AU"/>
              </w:rPr>
              <w:t xml:space="preserve">Youth </w:t>
            </w:r>
            <w:r w:rsidRPr="00C542C1">
              <w:rPr>
                <w:rFonts w:ascii="Calibri" w:eastAsia="Times New Roman" w:hAnsi="Calibri" w:cs="Times New Roman"/>
                <w:sz w:val="20"/>
                <w:szCs w:val="20"/>
                <w:lang w:eastAsia="en-AU"/>
              </w:rPr>
              <w:t xml:space="preserve">In </w:t>
            </w:r>
            <w:r w:rsidRPr="004D4998">
              <w:rPr>
                <w:rFonts w:ascii="Calibri" w:eastAsia="Times New Roman" w:hAnsi="Calibri" w:cs="Times New Roman"/>
                <w:sz w:val="20"/>
                <w:szCs w:val="20"/>
                <w:lang w:eastAsia="en-AU"/>
              </w:rPr>
              <w:t xml:space="preserve">Action Towards Sustainability </w:t>
            </w:r>
            <w:r w:rsidRPr="00C542C1">
              <w:rPr>
                <w:rFonts w:ascii="Calibri" w:eastAsia="Times New Roman" w:hAnsi="Calibri" w:cs="Times New Roman"/>
                <w:sz w:val="20"/>
                <w:szCs w:val="20"/>
                <w:lang w:eastAsia="en-AU"/>
              </w:rPr>
              <w:t>(</w:t>
            </w:r>
            <w:r w:rsidRPr="004D4998">
              <w:rPr>
                <w:rFonts w:ascii="Calibri" w:eastAsia="Times New Roman" w:hAnsi="Calibri" w:cs="Times New Roman"/>
                <w:sz w:val="20"/>
                <w:szCs w:val="20"/>
                <w:lang w:eastAsia="en-AU"/>
              </w:rPr>
              <w:t>Y</w:t>
            </w:r>
            <w:r w:rsidRPr="00C542C1">
              <w:rPr>
                <w:rFonts w:ascii="Calibri" w:eastAsia="Times New Roman" w:hAnsi="Calibri" w:cs="Times New Roman"/>
                <w:sz w:val="20"/>
                <w:szCs w:val="20"/>
                <w:lang w:eastAsia="en-AU"/>
              </w:rPr>
              <w:t>-</w:t>
            </w:r>
            <w:r w:rsidRPr="004D4998">
              <w:rPr>
                <w:rFonts w:ascii="Calibri" w:eastAsia="Times New Roman" w:hAnsi="Calibri" w:cs="Times New Roman"/>
                <w:sz w:val="20"/>
                <w:szCs w:val="20"/>
                <w:lang w:eastAsia="en-AU"/>
              </w:rPr>
              <w:t>ACTS</w:t>
            </w:r>
            <w:r w:rsidRPr="00C542C1">
              <w:rPr>
                <w:rFonts w:ascii="Calibri" w:eastAsia="Times New Roman" w:hAnsi="Calibri" w:cs="Times New Roman"/>
                <w:sz w:val="20"/>
                <w:szCs w:val="20"/>
                <w:lang w:eastAsia="en-AU"/>
              </w:rPr>
              <w:t xml:space="preserve">) </w:t>
            </w:r>
            <w:r w:rsidRPr="00C542C1">
              <w:rPr>
                <w:rFonts w:ascii="Calibri" w:hAnsi="Calibri"/>
                <w:sz w:val="20"/>
                <w:szCs w:val="20"/>
              </w:rPr>
              <w:t>(Oxfam Partners)</w:t>
            </w:r>
          </w:p>
          <w:p w:rsidR="008768C0" w:rsidRPr="00C542C1" w:rsidRDefault="008768C0" w:rsidP="00867B41">
            <w:pPr>
              <w:pStyle w:val="NoSpacing"/>
              <w:rPr>
                <w:sz w:val="20"/>
                <w:szCs w:val="20"/>
                <w:lang w:val="pt-PT"/>
              </w:rPr>
            </w:pPr>
            <w:r w:rsidRPr="00C542C1">
              <w:rPr>
                <w:sz w:val="20"/>
                <w:szCs w:val="20"/>
                <w:lang w:val="pt-PT"/>
              </w:rPr>
              <w:t xml:space="preserve">Centro Educacao Civica Enclave Oe-Cusse (CECEO), </w:t>
            </w:r>
            <w:r w:rsidRPr="00C542C1">
              <w:rPr>
                <w:rFonts w:ascii="Calibri" w:hAnsi="Calibri"/>
                <w:sz w:val="20"/>
                <w:szCs w:val="20"/>
              </w:rPr>
              <w:t>TOPOHONIS, FUNIBER (Caritas Partners)</w:t>
            </w:r>
          </w:p>
        </w:tc>
      </w:tr>
      <w:tr w:rsidR="008768C0" w:rsidRPr="00C542C1" w:rsidTr="00867B41">
        <w:trPr>
          <w:trHeight w:val="1618"/>
        </w:trPr>
        <w:tc>
          <w:tcPr>
            <w:tcW w:w="2086" w:type="dxa"/>
            <w:tcMar>
              <w:top w:w="0" w:type="dxa"/>
              <w:left w:w="108" w:type="dxa"/>
              <w:bottom w:w="0" w:type="dxa"/>
              <w:right w:w="108" w:type="dxa"/>
            </w:tcMar>
          </w:tcPr>
          <w:p w:rsidR="008768C0" w:rsidRPr="008768C0" w:rsidRDefault="008768C0" w:rsidP="00867B41">
            <w:pPr>
              <w:rPr>
                <w:rFonts w:ascii="Calibri" w:hAnsi="Calibri"/>
                <w:b/>
                <w:sz w:val="20"/>
                <w:szCs w:val="20"/>
              </w:rPr>
            </w:pPr>
            <w:r w:rsidRPr="008768C0">
              <w:rPr>
                <w:rFonts w:ascii="Calibri" w:hAnsi="Calibri"/>
                <w:b/>
                <w:sz w:val="20"/>
                <w:szCs w:val="20"/>
              </w:rPr>
              <w:t>Agriculture and Rural Development Department, Oecusse Regional Authority</w:t>
            </w:r>
          </w:p>
        </w:tc>
        <w:tc>
          <w:tcPr>
            <w:tcW w:w="3267" w:type="dxa"/>
            <w:tcMar>
              <w:top w:w="0" w:type="dxa"/>
              <w:left w:w="108" w:type="dxa"/>
              <w:bottom w:w="0" w:type="dxa"/>
              <w:right w:w="108" w:type="dxa"/>
            </w:tcMar>
          </w:tcPr>
          <w:p w:rsidR="008768C0" w:rsidRPr="00C542C1" w:rsidRDefault="008768C0" w:rsidP="00867B41">
            <w:pPr>
              <w:tabs>
                <w:tab w:val="left" w:pos="2035"/>
                <w:tab w:val="left" w:pos="4955"/>
              </w:tabs>
              <w:spacing w:after="0"/>
              <w:ind w:left="95"/>
              <w:rPr>
                <w:rFonts w:ascii="Calibri" w:eastAsia="Times New Roman" w:hAnsi="Calibri" w:cs="Times New Roman"/>
                <w:sz w:val="20"/>
                <w:szCs w:val="20"/>
                <w:lang w:eastAsia="en-AU"/>
              </w:rPr>
            </w:pPr>
            <w:r w:rsidRPr="00C542C1">
              <w:rPr>
                <w:rFonts w:ascii="Calibri" w:eastAsia="Times New Roman" w:hAnsi="Calibri" w:cs="Times New Roman"/>
                <w:sz w:val="20"/>
                <w:szCs w:val="20"/>
                <w:lang w:eastAsia="en-AU"/>
              </w:rPr>
              <w:t xml:space="preserve">Sr. </w:t>
            </w:r>
            <w:r w:rsidRPr="004D4998">
              <w:rPr>
                <w:rFonts w:ascii="Calibri" w:eastAsia="Times New Roman" w:hAnsi="Calibri" w:cs="Times New Roman"/>
                <w:sz w:val="20"/>
                <w:szCs w:val="20"/>
                <w:lang w:eastAsia="en-AU"/>
              </w:rPr>
              <w:t>Régio Servantes Romeia da Cruz Salu</w:t>
            </w:r>
            <w:r w:rsidRPr="00C542C1">
              <w:rPr>
                <w:rFonts w:ascii="Calibri" w:eastAsia="Times New Roman" w:hAnsi="Calibri" w:cs="Times New Roman"/>
                <w:sz w:val="20"/>
                <w:szCs w:val="20"/>
                <w:lang w:eastAsia="en-AU"/>
              </w:rPr>
              <w:t xml:space="preserve">, </w:t>
            </w:r>
            <w:r w:rsidRPr="004D4998">
              <w:rPr>
                <w:rFonts w:ascii="Calibri" w:eastAsia="Times New Roman" w:hAnsi="Calibri" w:cs="Times New Roman"/>
                <w:sz w:val="20"/>
                <w:szCs w:val="20"/>
                <w:lang w:eastAsia="en-AU"/>
              </w:rPr>
              <w:t>Regional Secretary for Agriculture and Rural Development</w:t>
            </w:r>
          </w:p>
        </w:tc>
        <w:tc>
          <w:tcPr>
            <w:tcW w:w="3402" w:type="dxa"/>
            <w:tcMar>
              <w:top w:w="0" w:type="dxa"/>
              <w:left w:w="108" w:type="dxa"/>
              <w:bottom w:w="0" w:type="dxa"/>
              <w:right w:w="108" w:type="dxa"/>
            </w:tcMar>
          </w:tcPr>
          <w:p w:rsidR="008768C0" w:rsidRPr="00C542C1" w:rsidRDefault="008768C0" w:rsidP="00867B41">
            <w:pPr>
              <w:tabs>
                <w:tab w:val="left" w:pos="2035"/>
                <w:tab w:val="left" w:pos="4955"/>
              </w:tabs>
              <w:spacing w:after="0"/>
              <w:ind w:left="95"/>
              <w:rPr>
                <w:rFonts w:ascii="Calibri" w:eastAsia="Times New Roman" w:hAnsi="Calibri" w:cs="Times New Roman"/>
                <w:sz w:val="20"/>
                <w:szCs w:val="20"/>
                <w:lang w:eastAsia="en-AU"/>
              </w:rPr>
            </w:pPr>
            <w:r w:rsidRPr="00C542C1">
              <w:rPr>
                <w:rFonts w:ascii="Calibri" w:eastAsia="Times New Roman" w:hAnsi="Calibri" w:cs="Times New Roman"/>
                <w:sz w:val="20"/>
                <w:szCs w:val="20"/>
                <w:lang w:eastAsia="en-AU"/>
              </w:rPr>
              <w:t>Regional Secretariat</w:t>
            </w:r>
            <w:r w:rsidRPr="004D4998">
              <w:rPr>
                <w:rFonts w:ascii="Calibri" w:eastAsia="Times New Roman" w:hAnsi="Calibri" w:cs="Times New Roman"/>
                <w:sz w:val="20"/>
                <w:szCs w:val="20"/>
                <w:lang w:eastAsia="en-AU"/>
              </w:rPr>
              <w:t xml:space="preserve"> for Agriculture and Rural Development</w:t>
            </w:r>
            <w:r>
              <w:rPr>
                <w:rFonts w:ascii="Calibri" w:eastAsia="Times New Roman" w:hAnsi="Calibri" w:cs="Times New Roman"/>
                <w:sz w:val="20"/>
                <w:szCs w:val="20"/>
                <w:lang w:eastAsia="en-AU"/>
              </w:rPr>
              <w:t xml:space="preserve"> (</w:t>
            </w:r>
            <w:r w:rsidRPr="00C542C1">
              <w:rPr>
                <w:rFonts w:ascii="Calibri" w:eastAsia="Times New Roman" w:hAnsi="Calibri" w:cs="Times New Roman"/>
                <w:sz w:val="20"/>
                <w:szCs w:val="20"/>
                <w:lang w:eastAsia="en-AU"/>
              </w:rPr>
              <w:t>Authority of the Special Administrative Region of Oe-Cusse Ambeno</w:t>
            </w:r>
            <w:r>
              <w:rPr>
                <w:rFonts w:ascii="Calibri" w:eastAsia="Times New Roman" w:hAnsi="Calibri" w:cs="Times New Roman"/>
                <w:sz w:val="20"/>
                <w:szCs w:val="20"/>
                <w:lang w:eastAsia="en-AU"/>
              </w:rPr>
              <w:t xml:space="preserve">) </w:t>
            </w:r>
          </w:p>
        </w:tc>
      </w:tr>
    </w:tbl>
    <w:p w:rsidR="008768C0" w:rsidRDefault="008768C0" w:rsidP="008768C0">
      <w:pPr>
        <w:spacing w:after="0"/>
        <w:rPr>
          <w:rFonts w:eastAsia="Times New Roman" w:cs="Arial"/>
          <w:color w:val="000000"/>
          <w:lang w:eastAsia="en-AU"/>
        </w:rPr>
      </w:pPr>
    </w:p>
    <w:p w:rsidR="008768C0" w:rsidRPr="009556E4" w:rsidRDefault="008768C0" w:rsidP="008768C0">
      <w:pPr>
        <w:spacing w:after="0"/>
        <w:rPr>
          <w:rFonts w:eastAsia="Times New Roman" w:cs="Arial"/>
          <w:color w:val="000000"/>
          <w:lang w:eastAsia="en-AU"/>
        </w:rPr>
      </w:pPr>
    </w:p>
    <w:p w:rsidR="008768C0" w:rsidRDefault="008768C0" w:rsidP="008768C0">
      <w:pPr>
        <w:jc w:val="center"/>
      </w:pPr>
    </w:p>
    <w:p w:rsidR="008768C0" w:rsidRDefault="008768C0" w:rsidP="008768C0"/>
    <w:p w:rsidR="00EF2529" w:rsidRPr="003007D1" w:rsidRDefault="00EF2529" w:rsidP="00495773"/>
    <w:sectPr w:rsidR="00EF2529" w:rsidRPr="003007D1" w:rsidSect="007D7ADE">
      <w:pgSz w:w="11899" w:h="16838"/>
      <w:pgMar w:top="1440" w:right="1797" w:bottom="1440" w:left="1797" w:header="709" w:footer="709" w:gutter="0"/>
      <w:pgNumType w:start="4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C0" w:rsidRDefault="008768C0">
      <w:pPr>
        <w:spacing w:after="0"/>
      </w:pPr>
      <w:r>
        <w:separator/>
      </w:r>
    </w:p>
  </w:endnote>
  <w:endnote w:type="continuationSeparator" w:id="0">
    <w:p w:rsidR="008768C0" w:rsidRDefault="00876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Default="008768C0" w:rsidP="00A75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68C0" w:rsidRDefault="008768C0" w:rsidP="00A75C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BB" w:rsidRDefault="003043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BB" w:rsidRDefault="003043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Default="008768C0" w:rsidP="00A75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43BB">
      <w:rPr>
        <w:rStyle w:val="PageNumber"/>
        <w:noProof/>
      </w:rPr>
      <w:t>5</w:t>
    </w:r>
    <w:r>
      <w:rPr>
        <w:rStyle w:val="PageNumber"/>
      </w:rPr>
      <w:fldChar w:fldCharType="end"/>
    </w:r>
  </w:p>
  <w:p w:rsidR="008768C0" w:rsidRDefault="008768C0" w:rsidP="00A75CC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Default="008768C0" w:rsidP="00BE78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68C0" w:rsidRDefault="008768C0" w:rsidP="00BE785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Pr="00BE7858" w:rsidRDefault="008768C0" w:rsidP="00BE7858">
    <w:pPr>
      <w:pStyle w:val="Footer"/>
      <w:framePr w:wrap="around" w:vAnchor="text" w:hAnchor="margin" w:xAlign="right" w:y="1"/>
      <w:rPr>
        <w:rStyle w:val="PageNumber"/>
        <w:sz w:val="20"/>
      </w:rPr>
    </w:pPr>
    <w:r w:rsidRPr="00BE7858">
      <w:rPr>
        <w:rStyle w:val="PageNumber"/>
        <w:sz w:val="20"/>
      </w:rPr>
      <w:fldChar w:fldCharType="begin"/>
    </w:r>
    <w:r w:rsidRPr="00BE7858">
      <w:rPr>
        <w:rStyle w:val="PageNumber"/>
        <w:sz w:val="20"/>
      </w:rPr>
      <w:instrText xml:space="preserve">PAGE  </w:instrText>
    </w:r>
    <w:r w:rsidRPr="00BE7858">
      <w:rPr>
        <w:rStyle w:val="PageNumber"/>
        <w:sz w:val="20"/>
      </w:rPr>
      <w:fldChar w:fldCharType="separate"/>
    </w:r>
    <w:r w:rsidR="003043BB">
      <w:rPr>
        <w:rStyle w:val="PageNumber"/>
        <w:noProof/>
        <w:sz w:val="20"/>
      </w:rPr>
      <w:t>37</w:t>
    </w:r>
    <w:r w:rsidRPr="00BE7858">
      <w:rPr>
        <w:rStyle w:val="PageNumber"/>
        <w:sz w:val="20"/>
      </w:rPr>
      <w:fldChar w:fldCharType="end"/>
    </w:r>
  </w:p>
  <w:p w:rsidR="008768C0" w:rsidRDefault="008768C0" w:rsidP="00BE7858">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Default="008768C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Pr="00BE7858" w:rsidRDefault="008768C0" w:rsidP="00BE7858">
    <w:pPr>
      <w:pStyle w:val="Footer"/>
      <w:framePr w:wrap="around" w:vAnchor="text" w:hAnchor="margin" w:xAlign="right" w:y="1"/>
      <w:rPr>
        <w:rStyle w:val="PageNumber"/>
        <w:sz w:val="20"/>
      </w:rPr>
    </w:pPr>
    <w:r w:rsidRPr="00BE7858">
      <w:rPr>
        <w:rStyle w:val="PageNumber"/>
        <w:sz w:val="20"/>
      </w:rPr>
      <w:fldChar w:fldCharType="begin"/>
    </w:r>
    <w:r w:rsidRPr="00BE7858">
      <w:rPr>
        <w:rStyle w:val="PageNumber"/>
        <w:sz w:val="20"/>
      </w:rPr>
      <w:instrText xml:space="preserve">PAGE  </w:instrText>
    </w:r>
    <w:r w:rsidRPr="00BE7858">
      <w:rPr>
        <w:rStyle w:val="PageNumber"/>
        <w:sz w:val="20"/>
      </w:rPr>
      <w:fldChar w:fldCharType="separate"/>
    </w:r>
    <w:r w:rsidR="003043BB">
      <w:rPr>
        <w:rStyle w:val="PageNumber"/>
        <w:noProof/>
        <w:sz w:val="20"/>
      </w:rPr>
      <w:t>41</w:t>
    </w:r>
    <w:r w:rsidRPr="00BE7858">
      <w:rPr>
        <w:rStyle w:val="PageNumber"/>
        <w:sz w:val="20"/>
      </w:rPr>
      <w:fldChar w:fldCharType="end"/>
    </w:r>
  </w:p>
  <w:p w:rsidR="008768C0" w:rsidRDefault="008768C0" w:rsidP="00BE78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C0" w:rsidRDefault="008768C0">
      <w:pPr>
        <w:spacing w:after="0"/>
      </w:pPr>
      <w:r>
        <w:separator/>
      </w:r>
    </w:p>
  </w:footnote>
  <w:footnote w:type="continuationSeparator" w:id="0">
    <w:p w:rsidR="008768C0" w:rsidRDefault="008768C0">
      <w:pPr>
        <w:spacing w:after="0"/>
      </w:pPr>
      <w:r>
        <w:continuationSeparator/>
      </w:r>
    </w:p>
  </w:footnote>
  <w:footnote w:id="1">
    <w:p w:rsidR="008768C0" w:rsidRDefault="008768C0" w:rsidP="00A53FF6">
      <w:pPr>
        <w:pStyle w:val="FootnoteText"/>
      </w:pPr>
      <w:r>
        <w:rPr>
          <w:rStyle w:val="FootnoteReference"/>
        </w:rPr>
        <w:footnoteRef/>
      </w:r>
      <w:r>
        <w:t xml:space="preserve"> Department of Foreign Affairs and Trade 2014, </w:t>
      </w:r>
      <w:r w:rsidRPr="007C3D42">
        <w:rPr>
          <w:i/>
        </w:rPr>
        <w:t>Detailed Description of Standards for Evaluation Plans</w:t>
      </w:r>
      <w:r>
        <w:rPr>
          <w:i/>
        </w:rPr>
        <w:t>.</w:t>
      </w:r>
    </w:p>
  </w:footnote>
  <w:footnote w:id="2">
    <w:p w:rsidR="008768C0" w:rsidRDefault="008768C0" w:rsidP="00BE7858">
      <w:pPr>
        <w:pStyle w:val="FootnoteText"/>
      </w:pPr>
      <w:r>
        <w:rPr>
          <w:rStyle w:val="FootnoteReference"/>
        </w:rPr>
        <w:footnoteRef/>
      </w:r>
      <w:r>
        <w:t xml:space="preserve"> Department of Foreign Affairs and Trade 2014, </w:t>
      </w:r>
      <w:r w:rsidRPr="007C3D42">
        <w:rPr>
          <w:i/>
        </w:rPr>
        <w:t>Detailed Description of Standards for Evaluation Plans</w:t>
      </w:r>
    </w:p>
  </w:footnote>
  <w:footnote w:id="3">
    <w:p w:rsidR="008768C0" w:rsidRDefault="008768C0" w:rsidP="00BE7858">
      <w:pPr>
        <w:pStyle w:val="FootnoteText"/>
      </w:pPr>
      <w:r>
        <w:rPr>
          <w:rStyle w:val="FootnoteReference"/>
        </w:rPr>
        <w:footnoteRef/>
      </w:r>
      <w:r>
        <w:t xml:space="preserve"> Department of Foreign Affairs and Trade 2014, </w:t>
      </w:r>
      <w:r w:rsidRPr="007C3D42">
        <w:rPr>
          <w:i/>
        </w:rPr>
        <w:t>Detailed Description o</w:t>
      </w:r>
      <w:r>
        <w:rPr>
          <w:i/>
        </w:rPr>
        <w:t>f Standards for Evaluation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BB" w:rsidRDefault="003043B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Default="00876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BB" w:rsidRDefault="00304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BB" w:rsidRDefault="003043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Pr="00BA55C0" w:rsidRDefault="008768C0">
    <w:pPr>
      <w:pStyle w:val="Header"/>
      <w:rPr>
        <w:i/>
        <w:sz w:val="24"/>
      </w:rPr>
    </w:pPr>
    <w:r w:rsidRPr="00BA55C0">
      <w:rPr>
        <w:i/>
        <w:sz w:val="24"/>
      </w:rPr>
      <w:t>Main Evaluation Report -DRAFT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Default="008768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Default="008768C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Default="008768C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Default="008768C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C0" w:rsidRDefault="00876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140"/>
    <w:multiLevelType w:val="hybridMultilevel"/>
    <w:tmpl w:val="F5CA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01BD9"/>
    <w:multiLevelType w:val="hybridMultilevel"/>
    <w:tmpl w:val="09160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90567C"/>
    <w:multiLevelType w:val="hybridMultilevel"/>
    <w:tmpl w:val="53A42112"/>
    <w:lvl w:ilvl="0" w:tplc="04090001">
      <w:start w:val="1"/>
      <w:numFmt w:val="bullet"/>
      <w:lvlText w:val=""/>
      <w:lvlJc w:val="left"/>
      <w:pPr>
        <w:ind w:left="720" w:hanging="360"/>
      </w:pPr>
      <w:rPr>
        <w:rFonts w:ascii="Symbol" w:hAnsi="Symbol" w:hint="default"/>
        <w:b/>
      </w:rPr>
    </w:lvl>
    <w:lvl w:ilvl="1" w:tplc="04090019">
      <w:start w:val="1"/>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17C13"/>
    <w:multiLevelType w:val="hybridMultilevel"/>
    <w:tmpl w:val="6EE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46D2F"/>
    <w:multiLevelType w:val="hybridMultilevel"/>
    <w:tmpl w:val="C9DA437E"/>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84123C0"/>
    <w:multiLevelType w:val="hybridMultilevel"/>
    <w:tmpl w:val="762A9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B06CC0"/>
    <w:multiLevelType w:val="hybridMultilevel"/>
    <w:tmpl w:val="763C4216"/>
    <w:lvl w:ilvl="0" w:tplc="0409000F">
      <w:start w:val="17"/>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5519CA"/>
    <w:multiLevelType w:val="hybridMultilevel"/>
    <w:tmpl w:val="86E0CD66"/>
    <w:lvl w:ilvl="0" w:tplc="0409000F">
      <w:start w:val="6"/>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0F30BF"/>
    <w:multiLevelType w:val="hybridMultilevel"/>
    <w:tmpl w:val="99E46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22B82"/>
    <w:multiLevelType w:val="hybridMultilevel"/>
    <w:tmpl w:val="8F5E9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5D13AD"/>
    <w:multiLevelType w:val="hybridMultilevel"/>
    <w:tmpl w:val="E972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B43DC"/>
    <w:multiLevelType w:val="hybridMultilevel"/>
    <w:tmpl w:val="35D0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A5468"/>
    <w:multiLevelType w:val="hybridMultilevel"/>
    <w:tmpl w:val="ADC4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F30B3"/>
    <w:multiLevelType w:val="hybridMultilevel"/>
    <w:tmpl w:val="F788B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12955"/>
    <w:multiLevelType w:val="hybridMultilevel"/>
    <w:tmpl w:val="FE746CC4"/>
    <w:lvl w:ilvl="0" w:tplc="0409000F">
      <w:start w:val="19"/>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C24FD3"/>
    <w:multiLevelType w:val="hybridMultilevel"/>
    <w:tmpl w:val="20D4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00220B"/>
    <w:multiLevelType w:val="hybridMultilevel"/>
    <w:tmpl w:val="6340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709D3"/>
    <w:multiLevelType w:val="hybridMultilevel"/>
    <w:tmpl w:val="1FFA1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13239C"/>
    <w:multiLevelType w:val="hybridMultilevel"/>
    <w:tmpl w:val="B4DE2A2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nsid w:val="6A1F63F0"/>
    <w:multiLevelType w:val="hybridMultilevel"/>
    <w:tmpl w:val="763C4216"/>
    <w:lvl w:ilvl="0" w:tplc="0409000F">
      <w:start w:val="15"/>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D256D2"/>
    <w:multiLevelType w:val="hybridMultilevel"/>
    <w:tmpl w:val="E1C60F00"/>
    <w:lvl w:ilvl="0" w:tplc="0409000F">
      <w:start w:val="9"/>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8465E0"/>
    <w:multiLevelType w:val="hybridMultilevel"/>
    <w:tmpl w:val="26AE33E4"/>
    <w:lvl w:ilvl="0" w:tplc="04090001">
      <w:start w:val="1"/>
      <w:numFmt w:val="bullet"/>
      <w:lvlText w:val=""/>
      <w:lvlJc w:val="left"/>
      <w:pPr>
        <w:ind w:left="720" w:hanging="360"/>
      </w:pPr>
      <w:rPr>
        <w:rFonts w:ascii="Symbol" w:hAnsi="Symbol" w:hint="default"/>
        <w:b w:val="0"/>
        <w:i w:val="0"/>
        <w:sz w:val="22"/>
        <w:szCs w:val="22"/>
      </w:rPr>
    </w:lvl>
    <w:lvl w:ilvl="1" w:tplc="04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C1062B"/>
    <w:multiLevelType w:val="hybridMultilevel"/>
    <w:tmpl w:val="B16608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EF0E59"/>
    <w:multiLevelType w:val="hybridMultilevel"/>
    <w:tmpl w:val="49A0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9934ED"/>
    <w:multiLevelType w:val="hybridMultilevel"/>
    <w:tmpl w:val="65A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8E1406"/>
    <w:multiLevelType w:val="hybridMultilevel"/>
    <w:tmpl w:val="B380AA0C"/>
    <w:lvl w:ilvl="0" w:tplc="0409000F">
      <w:start w:val="12"/>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0"/>
  </w:num>
  <w:num w:numId="4">
    <w:abstractNumId w:val="12"/>
  </w:num>
  <w:num w:numId="5">
    <w:abstractNumId w:val="3"/>
  </w:num>
  <w:num w:numId="6">
    <w:abstractNumId w:val="2"/>
  </w:num>
  <w:num w:numId="7">
    <w:abstractNumId w:val="15"/>
  </w:num>
  <w:num w:numId="8">
    <w:abstractNumId w:val="9"/>
  </w:num>
  <w:num w:numId="9">
    <w:abstractNumId w:val="8"/>
  </w:num>
  <w:num w:numId="10">
    <w:abstractNumId w:val="21"/>
  </w:num>
  <w:num w:numId="11">
    <w:abstractNumId w:val="0"/>
  </w:num>
  <w:num w:numId="12">
    <w:abstractNumId w:val="1"/>
  </w:num>
  <w:num w:numId="13">
    <w:abstractNumId w:val="24"/>
  </w:num>
  <w:num w:numId="14">
    <w:abstractNumId w:val="16"/>
  </w:num>
  <w:num w:numId="15">
    <w:abstractNumId w:val="11"/>
  </w:num>
  <w:num w:numId="16">
    <w:abstractNumId w:val="18"/>
  </w:num>
  <w:num w:numId="17">
    <w:abstractNumId w:val="13"/>
  </w:num>
  <w:num w:numId="18">
    <w:abstractNumId w:val="17"/>
  </w:num>
  <w:num w:numId="19">
    <w:abstractNumId w:val="7"/>
  </w:num>
  <w:num w:numId="20">
    <w:abstractNumId w:val="20"/>
  </w:num>
  <w:num w:numId="21">
    <w:abstractNumId w:val="25"/>
  </w:num>
  <w:num w:numId="22">
    <w:abstractNumId w:val="22"/>
  </w:num>
  <w:num w:numId="23">
    <w:abstractNumId w:val="19"/>
  </w:num>
  <w:num w:numId="24">
    <w:abstractNumId w:val="6"/>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D8"/>
    <w:rsid w:val="000003E5"/>
    <w:rsid w:val="00000FCA"/>
    <w:rsid w:val="000022A3"/>
    <w:rsid w:val="00004EF7"/>
    <w:rsid w:val="0000689E"/>
    <w:rsid w:val="00015466"/>
    <w:rsid w:val="000215BC"/>
    <w:rsid w:val="0002187E"/>
    <w:rsid w:val="00023D1A"/>
    <w:rsid w:val="00024228"/>
    <w:rsid w:val="0002546F"/>
    <w:rsid w:val="00026FB0"/>
    <w:rsid w:val="000317D3"/>
    <w:rsid w:val="00032B97"/>
    <w:rsid w:val="000400D9"/>
    <w:rsid w:val="00041C69"/>
    <w:rsid w:val="00044D1D"/>
    <w:rsid w:val="00046000"/>
    <w:rsid w:val="00046B43"/>
    <w:rsid w:val="00046C4D"/>
    <w:rsid w:val="00046CE4"/>
    <w:rsid w:val="00047CE9"/>
    <w:rsid w:val="00050263"/>
    <w:rsid w:val="00051062"/>
    <w:rsid w:val="00051A09"/>
    <w:rsid w:val="00051C98"/>
    <w:rsid w:val="00052A84"/>
    <w:rsid w:val="00061872"/>
    <w:rsid w:val="00062EB2"/>
    <w:rsid w:val="00063523"/>
    <w:rsid w:val="0006415D"/>
    <w:rsid w:val="00082B4F"/>
    <w:rsid w:val="00083851"/>
    <w:rsid w:val="00085DA6"/>
    <w:rsid w:val="00087AF6"/>
    <w:rsid w:val="000909B0"/>
    <w:rsid w:val="000948A1"/>
    <w:rsid w:val="0009606E"/>
    <w:rsid w:val="000A2E51"/>
    <w:rsid w:val="000A5200"/>
    <w:rsid w:val="000A73C3"/>
    <w:rsid w:val="000B0B35"/>
    <w:rsid w:val="000B1F17"/>
    <w:rsid w:val="000B2653"/>
    <w:rsid w:val="000B3AA3"/>
    <w:rsid w:val="000B5BAA"/>
    <w:rsid w:val="000B79A7"/>
    <w:rsid w:val="000C4643"/>
    <w:rsid w:val="000C62F6"/>
    <w:rsid w:val="000C6500"/>
    <w:rsid w:val="000D0E7F"/>
    <w:rsid w:val="000D2AE1"/>
    <w:rsid w:val="000D2BD6"/>
    <w:rsid w:val="000D751C"/>
    <w:rsid w:val="000D7FD3"/>
    <w:rsid w:val="000E0EF6"/>
    <w:rsid w:val="000E45FC"/>
    <w:rsid w:val="000E5C56"/>
    <w:rsid w:val="000F5D17"/>
    <w:rsid w:val="00100698"/>
    <w:rsid w:val="0010213C"/>
    <w:rsid w:val="0010247D"/>
    <w:rsid w:val="001034B2"/>
    <w:rsid w:val="00107F9E"/>
    <w:rsid w:val="0011203C"/>
    <w:rsid w:val="001148E8"/>
    <w:rsid w:val="00120A15"/>
    <w:rsid w:val="001226D1"/>
    <w:rsid w:val="0012276B"/>
    <w:rsid w:val="0012711B"/>
    <w:rsid w:val="00132818"/>
    <w:rsid w:val="00133296"/>
    <w:rsid w:val="00133D2D"/>
    <w:rsid w:val="00135607"/>
    <w:rsid w:val="00136E29"/>
    <w:rsid w:val="00141D48"/>
    <w:rsid w:val="00145981"/>
    <w:rsid w:val="00146A67"/>
    <w:rsid w:val="00146F6D"/>
    <w:rsid w:val="00151F9C"/>
    <w:rsid w:val="001524BD"/>
    <w:rsid w:val="00155A0D"/>
    <w:rsid w:val="00155D64"/>
    <w:rsid w:val="00161D1E"/>
    <w:rsid w:val="0016317C"/>
    <w:rsid w:val="00166D60"/>
    <w:rsid w:val="001678E2"/>
    <w:rsid w:val="00175A18"/>
    <w:rsid w:val="00182E8F"/>
    <w:rsid w:val="001838E2"/>
    <w:rsid w:val="00186A03"/>
    <w:rsid w:val="001876B0"/>
    <w:rsid w:val="0018791D"/>
    <w:rsid w:val="00191AC7"/>
    <w:rsid w:val="00194F3B"/>
    <w:rsid w:val="001A1E1E"/>
    <w:rsid w:val="001A2C0E"/>
    <w:rsid w:val="001A3FDF"/>
    <w:rsid w:val="001A4618"/>
    <w:rsid w:val="001A58A0"/>
    <w:rsid w:val="001B4159"/>
    <w:rsid w:val="001B4D9F"/>
    <w:rsid w:val="001B5448"/>
    <w:rsid w:val="001C09BC"/>
    <w:rsid w:val="001C1A39"/>
    <w:rsid w:val="001C2CF7"/>
    <w:rsid w:val="001C3E3F"/>
    <w:rsid w:val="001C4016"/>
    <w:rsid w:val="001C5AAE"/>
    <w:rsid w:val="001C7D6F"/>
    <w:rsid w:val="001D03F0"/>
    <w:rsid w:val="001D549F"/>
    <w:rsid w:val="001D7652"/>
    <w:rsid w:val="001D77A6"/>
    <w:rsid w:val="001E39E5"/>
    <w:rsid w:val="001E487D"/>
    <w:rsid w:val="001E7A39"/>
    <w:rsid w:val="001F2841"/>
    <w:rsid w:val="001F3011"/>
    <w:rsid w:val="001F57A0"/>
    <w:rsid w:val="001F6E70"/>
    <w:rsid w:val="002046FA"/>
    <w:rsid w:val="0020519F"/>
    <w:rsid w:val="00207C4A"/>
    <w:rsid w:val="00210845"/>
    <w:rsid w:val="00212A5E"/>
    <w:rsid w:val="00213E33"/>
    <w:rsid w:val="00217843"/>
    <w:rsid w:val="002213A4"/>
    <w:rsid w:val="00223101"/>
    <w:rsid w:val="00227A59"/>
    <w:rsid w:val="00227DAB"/>
    <w:rsid w:val="00232037"/>
    <w:rsid w:val="00232A67"/>
    <w:rsid w:val="00232FD0"/>
    <w:rsid w:val="00243C35"/>
    <w:rsid w:val="00243D78"/>
    <w:rsid w:val="0024755E"/>
    <w:rsid w:val="002525C9"/>
    <w:rsid w:val="00256965"/>
    <w:rsid w:val="00256DD5"/>
    <w:rsid w:val="00257A66"/>
    <w:rsid w:val="002629F6"/>
    <w:rsid w:val="0026435C"/>
    <w:rsid w:val="0027081F"/>
    <w:rsid w:val="00270AA9"/>
    <w:rsid w:val="002765C8"/>
    <w:rsid w:val="00281C36"/>
    <w:rsid w:val="00282F12"/>
    <w:rsid w:val="00283CC8"/>
    <w:rsid w:val="00284C21"/>
    <w:rsid w:val="002923E3"/>
    <w:rsid w:val="00292DF2"/>
    <w:rsid w:val="00293D7E"/>
    <w:rsid w:val="002A49EA"/>
    <w:rsid w:val="002A4C32"/>
    <w:rsid w:val="002A66EC"/>
    <w:rsid w:val="002A7B87"/>
    <w:rsid w:val="002B5A64"/>
    <w:rsid w:val="002B6CE7"/>
    <w:rsid w:val="002B7B06"/>
    <w:rsid w:val="002C2404"/>
    <w:rsid w:val="002C27F3"/>
    <w:rsid w:val="002C356E"/>
    <w:rsid w:val="002C3B31"/>
    <w:rsid w:val="002C3F97"/>
    <w:rsid w:val="002D46FF"/>
    <w:rsid w:val="002E2ADD"/>
    <w:rsid w:val="002E3D86"/>
    <w:rsid w:val="002F120C"/>
    <w:rsid w:val="002F180F"/>
    <w:rsid w:val="002F7E48"/>
    <w:rsid w:val="003006A5"/>
    <w:rsid w:val="003007D1"/>
    <w:rsid w:val="00301CB9"/>
    <w:rsid w:val="003020F5"/>
    <w:rsid w:val="00302D2B"/>
    <w:rsid w:val="0030400E"/>
    <w:rsid w:val="003043BB"/>
    <w:rsid w:val="00305EDB"/>
    <w:rsid w:val="003066F0"/>
    <w:rsid w:val="00306969"/>
    <w:rsid w:val="0031172A"/>
    <w:rsid w:val="00312D17"/>
    <w:rsid w:val="0031510D"/>
    <w:rsid w:val="003159AE"/>
    <w:rsid w:val="003174E9"/>
    <w:rsid w:val="00320EF4"/>
    <w:rsid w:val="00322833"/>
    <w:rsid w:val="00333DD6"/>
    <w:rsid w:val="0033742A"/>
    <w:rsid w:val="003416D1"/>
    <w:rsid w:val="00347905"/>
    <w:rsid w:val="00352314"/>
    <w:rsid w:val="00353044"/>
    <w:rsid w:val="00357678"/>
    <w:rsid w:val="00357F3E"/>
    <w:rsid w:val="003624F1"/>
    <w:rsid w:val="00367CBC"/>
    <w:rsid w:val="00370165"/>
    <w:rsid w:val="00377846"/>
    <w:rsid w:val="00381631"/>
    <w:rsid w:val="00382559"/>
    <w:rsid w:val="00384EA9"/>
    <w:rsid w:val="00391B1A"/>
    <w:rsid w:val="00394300"/>
    <w:rsid w:val="003A145F"/>
    <w:rsid w:val="003A1A55"/>
    <w:rsid w:val="003A37AC"/>
    <w:rsid w:val="003A685F"/>
    <w:rsid w:val="003A77C1"/>
    <w:rsid w:val="003B1D34"/>
    <w:rsid w:val="003B55CC"/>
    <w:rsid w:val="003C13BE"/>
    <w:rsid w:val="003C3C65"/>
    <w:rsid w:val="003C6F50"/>
    <w:rsid w:val="003D02E5"/>
    <w:rsid w:val="003D4B1F"/>
    <w:rsid w:val="003D73BD"/>
    <w:rsid w:val="003D7A60"/>
    <w:rsid w:val="003E12F8"/>
    <w:rsid w:val="003E4913"/>
    <w:rsid w:val="003E53C2"/>
    <w:rsid w:val="003E6F3E"/>
    <w:rsid w:val="003F1E44"/>
    <w:rsid w:val="003F1F74"/>
    <w:rsid w:val="003F213B"/>
    <w:rsid w:val="003F367D"/>
    <w:rsid w:val="00401933"/>
    <w:rsid w:val="004031BF"/>
    <w:rsid w:val="004039DE"/>
    <w:rsid w:val="00404099"/>
    <w:rsid w:val="004106A4"/>
    <w:rsid w:val="004152E9"/>
    <w:rsid w:val="00420362"/>
    <w:rsid w:val="004245F0"/>
    <w:rsid w:val="0042597F"/>
    <w:rsid w:val="00431509"/>
    <w:rsid w:val="00431F1A"/>
    <w:rsid w:val="004366B0"/>
    <w:rsid w:val="0044348F"/>
    <w:rsid w:val="004440BA"/>
    <w:rsid w:val="00445AF7"/>
    <w:rsid w:val="00453247"/>
    <w:rsid w:val="00453EB6"/>
    <w:rsid w:val="00453F59"/>
    <w:rsid w:val="0045496A"/>
    <w:rsid w:val="004552DD"/>
    <w:rsid w:val="004603DE"/>
    <w:rsid w:val="00461A29"/>
    <w:rsid w:val="0046244D"/>
    <w:rsid w:val="00462C2F"/>
    <w:rsid w:val="00463FE3"/>
    <w:rsid w:val="00464208"/>
    <w:rsid w:val="004659AB"/>
    <w:rsid w:val="004667C8"/>
    <w:rsid w:val="00474361"/>
    <w:rsid w:val="00482B3D"/>
    <w:rsid w:val="00482E19"/>
    <w:rsid w:val="0048316F"/>
    <w:rsid w:val="004832B9"/>
    <w:rsid w:val="00483DA2"/>
    <w:rsid w:val="004873B6"/>
    <w:rsid w:val="00490877"/>
    <w:rsid w:val="00490AA9"/>
    <w:rsid w:val="00490D59"/>
    <w:rsid w:val="00493A69"/>
    <w:rsid w:val="00493E7B"/>
    <w:rsid w:val="00494492"/>
    <w:rsid w:val="00494D7A"/>
    <w:rsid w:val="00495773"/>
    <w:rsid w:val="004A3164"/>
    <w:rsid w:val="004A4349"/>
    <w:rsid w:val="004A5DA6"/>
    <w:rsid w:val="004A6F29"/>
    <w:rsid w:val="004B0118"/>
    <w:rsid w:val="004B0241"/>
    <w:rsid w:val="004B0A5D"/>
    <w:rsid w:val="004C60EB"/>
    <w:rsid w:val="004D0787"/>
    <w:rsid w:val="004D2702"/>
    <w:rsid w:val="004D3A5C"/>
    <w:rsid w:val="004E2057"/>
    <w:rsid w:val="004E300F"/>
    <w:rsid w:val="004E6EA0"/>
    <w:rsid w:val="004F300C"/>
    <w:rsid w:val="004F3499"/>
    <w:rsid w:val="004F377D"/>
    <w:rsid w:val="004F675C"/>
    <w:rsid w:val="00500F6D"/>
    <w:rsid w:val="0050169B"/>
    <w:rsid w:val="005021AF"/>
    <w:rsid w:val="00505833"/>
    <w:rsid w:val="00507880"/>
    <w:rsid w:val="00510704"/>
    <w:rsid w:val="005115DD"/>
    <w:rsid w:val="00512EB3"/>
    <w:rsid w:val="005142C1"/>
    <w:rsid w:val="005153B6"/>
    <w:rsid w:val="00515AEB"/>
    <w:rsid w:val="00520250"/>
    <w:rsid w:val="00521A55"/>
    <w:rsid w:val="005226F5"/>
    <w:rsid w:val="0052331E"/>
    <w:rsid w:val="00524156"/>
    <w:rsid w:val="005248F8"/>
    <w:rsid w:val="00524BD8"/>
    <w:rsid w:val="00526952"/>
    <w:rsid w:val="00526ACB"/>
    <w:rsid w:val="00526CA6"/>
    <w:rsid w:val="0052778A"/>
    <w:rsid w:val="00530097"/>
    <w:rsid w:val="0053024E"/>
    <w:rsid w:val="0053329F"/>
    <w:rsid w:val="00533DCC"/>
    <w:rsid w:val="00535B10"/>
    <w:rsid w:val="005368D4"/>
    <w:rsid w:val="005373CF"/>
    <w:rsid w:val="00537C5A"/>
    <w:rsid w:val="00541E37"/>
    <w:rsid w:val="005420D9"/>
    <w:rsid w:val="005426E7"/>
    <w:rsid w:val="005443F1"/>
    <w:rsid w:val="0054483E"/>
    <w:rsid w:val="00544A58"/>
    <w:rsid w:val="0055196C"/>
    <w:rsid w:val="005531D2"/>
    <w:rsid w:val="00557689"/>
    <w:rsid w:val="005607BC"/>
    <w:rsid w:val="00563278"/>
    <w:rsid w:val="00565CCE"/>
    <w:rsid w:val="005672C0"/>
    <w:rsid w:val="005672E1"/>
    <w:rsid w:val="00570029"/>
    <w:rsid w:val="005755F7"/>
    <w:rsid w:val="00577359"/>
    <w:rsid w:val="0058096E"/>
    <w:rsid w:val="0058231E"/>
    <w:rsid w:val="00582E36"/>
    <w:rsid w:val="00582EBA"/>
    <w:rsid w:val="005877FF"/>
    <w:rsid w:val="00591811"/>
    <w:rsid w:val="00593E82"/>
    <w:rsid w:val="00594024"/>
    <w:rsid w:val="00594A6F"/>
    <w:rsid w:val="00595A69"/>
    <w:rsid w:val="00595DB8"/>
    <w:rsid w:val="005A0DA8"/>
    <w:rsid w:val="005A594C"/>
    <w:rsid w:val="005A767C"/>
    <w:rsid w:val="005A7819"/>
    <w:rsid w:val="005B0130"/>
    <w:rsid w:val="005C1BE3"/>
    <w:rsid w:val="005C4E7D"/>
    <w:rsid w:val="005C5BBA"/>
    <w:rsid w:val="005C752E"/>
    <w:rsid w:val="005C77D4"/>
    <w:rsid w:val="005D083E"/>
    <w:rsid w:val="005D5178"/>
    <w:rsid w:val="005D64E7"/>
    <w:rsid w:val="005E261C"/>
    <w:rsid w:val="005E2AC1"/>
    <w:rsid w:val="005E40AA"/>
    <w:rsid w:val="005E4353"/>
    <w:rsid w:val="005E733F"/>
    <w:rsid w:val="005E7408"/>
    <w:rsid w:val="005E78E3"/>
    <w:rsid w:val="005F153F"/>
    <w:rsid w:val="005F3BD3"/>
    <w:rsid w:val="005F5888"/>
    <w:rsid w:val="005F6EDB"/>
    <w:rsid w:val="00601595"/>
    <w:rsid w:val="006027B8"/>
    <w:rsid w:val="00611D3F"/>
    <w:rsid w:val="00611F63"/>
    <w:rsid w:val="006121F3"/>
    <w:rsid w:val="00612E4C"/>
    <w:rsid w:val="00614819"/>
    <w:rsid w:val="00614BBD"/>
    <w:rsid w:val="00614D82"/>
    <w:rsid w:val="00614EB9"/>
    <w:rsid w:val="006173E0"/>
    <w:rsid w:val="0061767C"/>
    <w:rsid w:val="0061788E"/>
    <w:rsid w:val="00617BD3"/>
    <w:rsid w:val="00620242"/>
    <w:rsid w:val="00620E80"/>
    <w:rsid w:val="006318D1"/>
    <w:rsid w:val="0063305D"/>
    <w:rsid w:val="00634318"/>
    <w:rsid w:val="006356F4"/>
    <w:rsid w:val="00636275"/>
    <w:rsid w:val="0063653D"/>
    <w:rsid w:val="00636E78"/>
    <w:rsid w:val="006401B2"/>
    <w:rsid w:val="00641C18"/>
    <w:rsid w:val="006437FF"/>
    <w:rsid w:val="0064543F"/>
    <w:rsid w:val="00650AB0"/>
    <w:rsid w:val="006512DF"/>
    <w:rsid w:val="006522DA"/>
    <w:rsid w:val="0066385A"/>
    <w:rsid w:val="00663DEA"/>
    <w:rsid w:val="0066776B"/>
    <w:rsid w:val="00670874"/>
    <w:rsid w:val="00671333"/>
    <w:rsid w:val="00673D60"/>
    <w:rsid w:val="00677FB4"/>
    <w:rsid w:val="00680338"/>
    <w:rsid w:val="00684C62"/>
    <w:rsid w:val="006904B2"/>
    <w:rsid w:val="006952BD"/>
    <w:rsid w:val="006A0D1D"/>
    <w:rsid w:val="006A57ED"/>
    <w:rsid w:val="006B0FEC"/>
    <w:rsid w:val="006B19C5"/>
    <w:rsid w:val="006B430F"/>
    <w:rsid w:val="006B4726"/>
    <w:rsid w:val="006B4F85"/>
    <w:rsid w:val="006B5482"/>
    <w:rsid w:val="006B6213"/>
    <w:rsid w:val="006B6405"/>
    <w:rsid w:val="006B6899"/>
    <w:rsid w:val="006C29AD"/>
    <w:rsid w:val="006C62FC"/>
    <w:rsid w:val="006D05F9"/>
    <w:rsid w:val="006D6C5F"/>
    <w:rsid w:val="006E0557"/>
    <w:rsid w:val="006E2484"/>
    <w:rsid w:val="006E29CA"/>
    <w:rsid w:val="006E568F"/>
    <w:rsid w:val="006E77E3"/>
    <w:rsid w:val="006F1F64"/>
    <w:rsid w:val="006F2854"/>
    <w:rsid w:val="006F2DF6"/>
    <w:rsid w:val="006F3EE6"/>
    <w:rsid w:val="006F47D0"/>
    <w:rsid w:val="00703861"/>
    <w:rsid w:val="00705071"/>
    <w:rsid w:val="00707849"/>
    <w:rsid w:val="00707F1A"/>
    <w:rsid w:val="00722239"/>
    <w:rsid w:val="00725517"/>
    <w:rsid w:val="00732E1A"/>
    <w:rsid w:val="007343FE"/>
    <w:rsid w:val="00737B98"/>
    <w:rsid w:val="007401E6"/>
    <w:rsid w:val="00742F91"/>
    <w:rsid w:val="007465FE"/>
    <w:rsid w:val="00750AEB"/>
    <w:rsid w:val="00751BB2"/>
    <w:rsid w:val="00756F84"/>
    <w:rsid w:val="00757A1D"/>
    <w:rsid w:val="00761595"/>
    <w:rsid w:val="00762447"/>
    <w:rsid w:val="0076328D"/>
    <w:rsid w:val="007640B0"/>
    <w:rsid w:val="0076526E"/>
    <w:rsid w:val="0077483F"/>
    <w:rsid w:val="00776442"/>
    <w:rsid w:val="0078294B"/>
    <w:rsid w:val="00784A90"/>
    <w:rsid w:val="007A3808"/>
    <w:rsid w:val="007A3A1D"/>
    <w:rsid w:val="007A62A1"/>
    <w:rsid w:val="007A6B23"/>
    <w:rsid w:val="007B0575"/>
    <w:rsid w:val="007B6D8C"/>
    <w:rsid w:val="007C1057"/>
    <w:rsid w:val="007C4178"/>
    <w:rsid w:val="007C4562"/>
    <w:rsid w:val="007D0EAB"/>
    <w:rsid w:val="007D1004"/>
    <w:rsid w:val="007D138A"/>
    <w:rsid w:val="007D15EE"/>
    <w:rsid w:val="007D25A4"/>
    <w:rsid w:val="007D44DE"/>
    <w:rsid w:val="007D5E7B"/>
    <w:rsid w:val="007D66D7"/>
    <w:rsid w:val="007D7584"/>
    <w:rsid w:val="007D7ADE"/>
    <w:rsid w:val="007E407A"/>
    <w:rsid w:val="007E4883"/>
    <w:rsid w:val="007F2B04"/>
    <w:rsid w:val="007F409F"/>
    <w:rsid w:val="007F42D3"/>
    <w:rsid w:val="007F6E55"/>
    <w:rsid w:val="007F723E"/>
    <w:rsid w:val="008001F4"/>
    <w:rsid w:val="00803863"/>
    <w:rsid w:val="00805068"/>
    <w:rsid w:val="00811A3C"/>
    <w:rsid w:val="00815368"/>
    <w:rsid w:val="00824F84"/>
    <w:rsid w:val="0082686F"/>
    <w:rsid w:val="00831675"/>
    <w:rsid w:val="008318F7"/>
    <w:rsid w:val="00833FA7"/>
    <w:rsid w:val="00836849"/>
    <w:rsid w:val="00846FE6"/>
    <w:rsid w:val="00850052"/>
    <w:rsid w:val="0085099D"/>
    <w:rsid w:val="00854836"/>
    <w:rsid w:val="008555B0"/>
    <w:rsid w:val="00860F8C"/>
    <w:rsid w:val="00861582"/>
    <w:rsid w:val="00864240"/>
    <w:rsid w:val="00864AFF"/>
    <w:rsid w:val="00866520"/>
    <w:rsid w:val="00867B41"/>
    <w:rsid w:val="008736BB"/>
    <w:rsid w:val="00875016"/>
    <w:rsid w:val="0087544C"/>
    <w:rsid w:val="008768C0"/>
    <w:rsid w:val="0088461F"/>
    <w:rsid w:val="008856E2"/>
    <w:rsid w:val="00885C62"/>
    <w:rsid w:val="008866EB"/>
    <w:rsid w:val="008909CA"/>
    <w:rsid w:val="0089128C"/>
    <w:rsid w:val="0089234C"/>
    <w:rsid w:val="00894003"/>
    <w:rsid w:val="00897526"/>
    <w:rsid w:val="008A174B"/>
    <w:rsid w:val="008B0801"/>
    <w:rsid w:val="008B3FC5"/>
    <w:rsid w:val="008B5597"/>
    <w:rsid w:val="008B652F"/>
    <w:rsid w:val="008B6578"/>
    <w:rsid w:val="008D403E"/>
    <w:rsid w:val="008D5FFA"/>
    <w:rsid w:val="008E4793"/>
    <w:rsid w:val="008F0580"/>
    <w:rsid w:val="008F17FD"/>
    <w:rsid w:val="008F1FC0"/>
    <w:rsid w:val="008F6E16"/>
    <w:rsid w:val="008F7AFC"/>
    <w:rsid w:val="00900EA5"/>
    <w:rsid w:val="00903AFC"/>
    <w:rsid w:val="00904013"/>
    <w:rsid w:val="00906A1E"/>
    <w:rsid w:val="00907175"/>
    <w:rsid w:val="009075A2"/>
    <w:rsid w:val="0091049B"/>
    <w:rsid w:val="00914263"/>
    <w:rsid w:val="00915482"/>
    <w:rsid w:val="00916E71"/>
    <w:rsid w:val="00921344"/>
    <w:rsid w:val="00921F45"/>
    <w:rsid w:val="00925141"/>
    <w:rsid w:val="009273AB"/>
    <w:rsid w:val="00927960"/>
    <w:rsid w:val="00930015"/>
    <w:rsid w:val="00931AC6"/>
    <w:rsid w:val="00932DA3"/>
    <w:rsid w:val="00935706"/>
    <w:rsid w:val="00936B87"/>
    <w:rsid w:val="00940934"/>
    <w:rsid w:val="009419F0"/>
    <w:rsid w:val="00946EC6"/>
    <w:rsid w:val="00953F30"/>
    <w:rsid w:val="00962914"/>
    <w:rsid w:val="00965203"/>
    <w:rsid w:val="009715E8"/>
    <w:rsid w:val="00971653"/>
    <w:rsid w:val="00972FC8"/>
    <w:rsid w:val="009809C0"/>
    <w:rsid w:val="00982831"/>
    <w:rsid w:val="00983388"/>
    <w:rsid w:val="00983817"/>
    <w:rsid w:val="00983AF5"/>
    <w:rsid w:val="00983DD3"/>
    <w:rsid w:val="00984594"/>
    <w:rsid w:val="00984F9D"/>
    <w:rsid w:val="0098586F"/>
    <w:rsid w:val="009869BB"/>
    <w:rsid w:val="00990295"/>
    <w:rsid w:val="00991746"/>
    <w:rsid w:val="00992D1D"/>
    <w:rsid w:val="00992E56"/>
    <w:rsid w:val="0099393D"/>
    <w:rsid w:val="00995AA1"/>
    <w:rsid w:val="00997251"/>
    <w:rsid w:val="009A115D"/>
    <w:rsid w:val="009A3DF7"/>
    <w:rsid w:val="009A40F8"/>
    <w:rsid w:val="009A5901"/>
    <w:rsid w:val="009A7F9E"/>
    <w:rsid w:val="009B3190"/>
    <w:rsid w:val="009B4D46"/>
    <w:rsid w:val="009B6651"/>
    <w:rsid w:val="009B7254"/>
    <w:rsid w:val="009C005B"/>
    <w:rsid w:val="009C061F"/>
    <w:rsid w:val="009C11CC"/>
    <w:rsid w:val="009C2293"/>
    <w:rsid w:val="009C3EAD"/>
    <w:rsid w:val="009C7593"/>
    <w:rsid w:val="009D3BC7"/>
    <w:rsid w:val="009D5A0A"/>
    <w:rsid w:val="009D6BC6"/>
    <w:rsid w:val="009D792E"/>
    <w:rsid w:val="009E05E3"/>
    <w:rsid w:val="009E12EF"/>
    <w:rsid w:val="009E15A3"/>
    <w:rsid w:val="009E19F2"/>
    <w:rsid w:val="009E6EC8"/>
    <w:rsid w:val="009E77BF"/>
    <w:rsid w:val="009E79DD"/>
    <w:rsid w:val="009F0219"/>
    <w:rsid w:val="009F78CB"/>
    <w:rsid w:val="00A01D2C"/>
    <w:rsid w:val="00A04945"/>
    <w:rsid w:val="00A04ADF"/>
    <w:rsid w:val="00A12040"/>
    <w:rsid w:val="00A1325E"/>
    <w:rsid w:val="00A1474E"/>
    <w:rsid w:val="00A231B9"/>
    <w:rsid w:val="00A23436"/>
    <w:rsid w:val="00A253A1"/>
    <w:rsid w:val="00A34AA2"/>
    <w:rsid w:val="00A36F38"/>
    <w:rsid w:val="00A4046E"/>
    <w:rsid w:val="00A43387"/>
    <w:rsid w:val="00A46BF7"/>
    <w:rsid w:val="00A479EA"/>
    <w:rsid w:val="00A529D8"/>
    <w:rsid w:val="00A53FF6"/>
    <w:rsid w:val="00A541C9"/>
    <w:rsid w:val="00A54AD8"/>
    <w:rsid w:val="00A610A6"/>
    <w:rsid w:val="00A70944"/>
    <w:rsid w:val="00A738CF"/>
    <w:rsid w:val="00A74F20"/>
    <w:rsid w:val="00A75906"/>
    <w:rsid w:val="00A75A5A"/>
    <w:rsid w:val="00A75CC3"/>
    <w:rsid w:val="00A80A55"/>
    <w:rsid w:val="00A84E38"/>
    <w:rsid w:val="00A86CAC"/>
    <w:rsid w:val="00A871C0"/>
    <w:rsid w:val="00A92B30"/>
    <w:rsid w:val="00A92EA5"/>
    <w:rsid w:val="00A949D7"/>
    <w:rsid w:val="00A978FF"/>
    <w:rsid w:val="00AA0973"/>
    <w:rsid w:val="00AA17F3"/>
    <w:rsid w:val="00AA2087"/>
    <w:rsid w:val="00AA22AA"/>
    <w:rsid w:val="00AA3F68"/>
    <w:rsid w:val="00AA5117"/>
    <w:rsid w:val="00AB2110"/>
    <w:rsid w:val="00AB28AB"/>
    <w:rsid w:val="00AB3385"/>
    <w:rsid w:val="00AB7AC7"/>
    <w:rsid w:val="00AC34EE"/>
    <w:rsid w:val="00AC454E"/>
    <w:rsid w:val="00AC4B63"/>
    <w:rsid w:val="00AC6F1C"/>
    <w:rsid w:val="00AD4EBC"/>
    <w:rsid w:val="00AD6DA8"/>
    <w:rsid w:val="00AE3C9A"/>
    <w:rsid w:val="00AE43B0"/>
    <w:rsid w:val="00AE4883"/>
    <w:rsid w:val="00AE5C34"/>
    <w:rsid w:val="00AF579B"/>
    <w:rsid w:val="00AF5A2A"/>
    <w:rsid w:val="00AF60FF"/>
    <w:rsid w:val="00B00CFB"/>
    <w:rsid w:val="00B018FC"/>
    <w:rsid w:val="00B04299"/>
    <w:rsid w:val="00B04C39"/>
    <w:rsid w:val="00B07FF3"/>
    <w:rsid w:val="00B1039D"/>
    <w:rsid w:val="00B114F1"/>
    <w:rsid w:val="00B15C44"/>
    <w:rsid w:val="00B2070A"/>
    <w:rsid w:val="00B22135"/>
    <w:rsid w:val="00B2377F"/>
    <w:rsid w:val="00B30FDA"/>
    <w:rsid w:val="00B33B99"/>
    <w:rsid w:val="00B35152"/>
    <w:rsid w:val="00B352A9"/>
    <w:rsid w:val="00B3563A"/>
    <w:rsid w:val="00B35D21"/>
    <w:rsid w:val="00B3663D"/>
    <w:rsid w:val="00B476A6"/>
    <w:rsid w:val="00B510EA"/>
    <w:rsid w:val="00B5127C"/>
    <w:rsid w:val="00B553A7"/>
    <w:rsid w:val="00B567AC"/>
    <w:rsid w:val="00B57B5B"/>
    <w:rsid w:val="00B62B56"/>
    <w:rsid w:val="00B63F10"/>
    <w:rsid w:val="00B679FE"/>
    <w:rsid w:val="00B70A9F"/>
    <w:rsid w:val="00B71564"/>
    <w:rsid w:val="00B77A19"/>
    <w:rsid w:val="00B8437B"/>
    <w:rsid w:val="00B84E11"/>
    <w:rsid w:val="00B84E6D"/>
    <w:rsid w:val="00B87110"/>
    <w:rsid w:val="00B8752E"/>
    <w:rsid w:val="00B8757F"/>
    <w:rsid w:val="00B924A4"/>
    <w:rsid w:val="00B93105"/>
    <w:rsid w:val="00B93596"/>
    <w:rsid w:val="00B97D67"/>
    <w:rsid w:val="00BA4F8C"/>
    <w:rsid w:val="00BA55C0"/>
    <w:rsid w:val="00BA6438"/>
    <w:rsid w:val="00BA64E4"/>
    <w:rsid w:val="00BA6FF3"/>
    <w:rsid w:val="00BB1D2D"/>
    <w:rsid w:val="00BB4E0B"/>
    <w:rsid w:val="00BC0E84"/>
    <w:rsid w:val="00BC1FCD"/>
    <w:rsid w:val="00BC2075"/>
    <w:rsid w:val="00BC3511"/>
    <w:rsid w:val="00BC54D0"/>
    <w:rsid w:val="00BC6721"/>
    <w:rsid w:val="00BD118F"/>
    <w:rsid w:val="00BD325E"/>
    <w:rsid w:val="00BD3CCF"/>
    <w:rsid w:val="00BD4C29"/>
    <w:rsid w:val="00BD64B2"/>
    <w:rsid w:val="00BE044C"/>
    <w:rsid w:val="00BE1C7F"/>
    <w:rsid w:val="00BE694A"/>
    <w:rsid w:val="00BE7858"/>
    <w:rsid w:val="00BF289C"/>
    <w:rsid w:val="00C0625C"/>
    <w:rsid w:val="00C12777"/>
    <w:rsid w:val="00C15C7F"/>
    <w:rsid w:val="00C1679A"/>
    <w:rsid w:val="00C16A7E"/>
    <w:rsid w:val="00C24339"/>
    <w:rsid w:val="00C30F7A"/>
    <w:rsid w:val="00C35AC3"/>
    <w:rsid w:val="00C37216"/>
    <w:rsid w:val="00C37805"/>
    <w:rsid w:val="00C40DBF"/>
    <w:rsid w:val="00C470DF"/>
    <w:rsid w:val="00C50413"/>
    <w:rsid w:val="00C507C5"/>
    <w:rsid w:val="00C525A7"/>
    <w:rsid w:val="00C54E23"/>
    <w:rsid w:val="00C568C1"/>
    <w:rsid w:val="00C6051C"/>
    <w:rsid w:val="00C609A2"/>
    <w:rsid w:val="00C60EAE"/>
    <w:rsid w:val="00C623A1"/>
    <w:rsid w:val="00C67993"/>
    <w:rsid w:val="00C67F24"/>
    <w:rsid w:val="00C7029A"/>
    <w:rsid w:val="00C72C3B"/>
    <w:rsid w:val="00C73333"/>
    <w:rsid w:val="00C73E41"/>
    <w:rsid w:val="00C740AB"/>
    <w:rsid w:val="00C74D17"/>
    <w:rsid w:val="00C74D48"/>
    <w:rsid w:val="00C778A0"/>
    <w:rsid w:val="00C81000"/>
    <w:rsid w:val="00C813FC"/>
    <w:rsid w:val="00C81B41"/>
    <w:rsid w:val="00C837F0"/>
    <w:rsid w:val="00C877B6"/>
    <w:rsid w:val="00CA00EC"/>
    <w:rsid w:val="00CA055A"/>
    <w:rsid w:val="00CA090D"/>
    <w:rsid w:val="00CA14E7"/>
    <w:rsid w:val="00CA7243"/>
    <w:rsid w:val="00CA7A94"/>
    <w:rsid w:val="00CB07B6"/>
    <w:rsid w:val="00CB0DA4"/>
    <w:rsid w:val="00CB4A10"/>
    <w:rsid w:val="00CB7A24"/>
    <w:rsid w:val="00CB7B2D"/>
    <w:rsid w:val="00CC1252"/>
    <w:rsid w:val="00CC5A6C"/>
    <w:rsid w:val="00CD0662"/>
    <w:rsid w:val="00CD0AC3"/>
    <w:rsid w:val="00CD1732"/>
    <w:rsid w:val="00CD33BE"/>
    <w:rsid w:val="00CD418C"/>
    <w:rsid w:val="00CD43D1"/>
    <w:rsid w:val="00CD4E8F"/>
    <w:rsid w:val="00CD5642"/>
    <w:rsid w:val="00CD585D"/>
    <w:rsid w:val="00CD608B"/>
    <w:rsid w:val="00CE14A2"/>
    <w:rsid w:val="00CE28A6"/>
    <w:rsid w:val="00CE2964"/>
    <w:rsid w:val="00CE3B61"/>
    <w:rsid w:val="00CF066C"/>
    <w:rsid w:val="00CF12D6"/>
    <w:rsid w:val="00CF19DF"/>
    <w:rsid w:val="00CF7158"/>
    <w:rsid w:val="00D00677"/>
    <w:rsid w:val="00D01F0F"/>
    <w:rsid w:val="00D0320E"/>
    <w:rsid w:val="00D042CF"/>
    <w:rsid w:val="00D0607A"/>
    <w:rsid w:val="00D14692"/>
    <w:rsid w:val="00D15C65"/>
    <w:rsid w:val="00D166CA"/>
    <w:rsid w:val="00D217E2"/>
    <w:rsid w:val="00D2308F"/>
    <w:rsid w:val="00D26489"/>
    <w:rsid w:val="00D32907"/>
    <w:rsid w:val="00D3562A"/>
    <w:rsid w:val="00D35767"/>
    <w:rsid w:val="00D36723"/>
    <w:rsid w:val="00D36AFF"/>
    <w:rsid w:val="00D3791B"/>
    <w:rsid w:val="00D42761"/>
    <w:rsid w:val="00D43A5B"/>
    <w:rsid w:val="00D45008"/>
    <w:rsid w:val="00D47A46"/>
    <w:rsid w:val="00D504F1"/>
    <w:rsid w:val="00D5125D"/>
    <w:rsid w:val="00D52008"/>
    <w:rsid w:val="00D5331A"/>
    <w:rsid w:val="00D560B5"/>
    <w:rsid w:val="00D612FC"/>
    <w:rsid w:val="00D620E2"/>
    <w:rsid w:val="00D66E22"/>
    <w:rsid w:val="00D702B1"/>
    <w:rsid w:val="00D7109A"/>
    <w:rsid w:val="00D72314"/>
    <w:rsid w:val="00D72CEA"/>
    <w:rsid w:val="00D74B48"/>
    <w:rsid w:val="00D77AD4"/>
    <w:rsid w:val="00D84317"/>
    <w:rsid w:val="00D86C0C"/>
    <w:rsid w:val="00D879A0"/>
    <w:rsid w:val="00D87B58"/>
    <w:rsid w:val="00D90A54"/>
    <w:rsid w:val="00D91946"/>
    <w:rsid w:val="00D919D9"/>
    <w:rsid w:val="00D92BB7"/>
    <w:rsid w:val="00D93FE2"/>
    <w:rsid w:val="00DA09F2"/>
    <w:rsid w:val="00DB3ADA"/>
    <w:rsid w:val="00DB4140"/>
    <w:rsid w:val="00DB4263"/>
    <w:rsid w:val="00DB5D07"/>
    <w:rsid w:val="00DC04C2"/>
    <w:rsid w:val="00DC6E9D"/>
    <w:rsid w:val="00DC6FD5"/>
    <w:rsid w:val="00DC71F8"/>
    <w:rsid w:val="00DC77FC"/>
    <w:rsid w:val="00DD0ECB"/>
    <w:rsid w:val="00DD130E"/>
    <w:rsid w:val="00DD2324"/>
    <w:rsid w:val="00DD4145"/>
    <w:rsid w:val="00DD57D3"/>
    <w:rsid w:val="00DE227A"/>
    <w:rsid w:val="00DE2443"/>
    <w:rsid w:val="00DF3D9A"/>
    <w:rsid w:val="00DF4F43"/>
    <w:rsid w:val="00DF5EC3"/>
    <w:rsid w:val="00E01B27"/>
    <w:rsid w:val="00E033AD"/>
    <w:rsid w:val="00E04A1C"/>
    <w:rsid w:val="00E074F5"/>
    <w:rsid w:val="00E07AD4"/>
    <w:rsid w:val="00E07DBF"/>
    <w:rsid w:val="00E115A9"/>
    <w:rsid w:val="00E117D7"/>
    <w:rsid w:val="00E129A5"/>
    <w:rsid w:val="00E12F4F"/>
    <w:rsid w:val="00E15508"/>
    <w:rsid w:val="00E17997"/>
    <w:rsid w:val="00E219FC"/>
    <w:rsid w:val="00E238F6"/>
    <w:rsid w:val="00E2547C"/>
    <w:rsid w:val="00E267E5"/>
    <w:rsid w:val="00E26FFF"/>
    <w:rsid w:val="00E2746C"/>
    <w:rsid w:val="00E333AC"/>
    <w:rsid w:val="00E33F49"/>
    <w:rsid w:val="00E41200"/>
    <w:rsid w:val="00E41464"/>
    <w:rsid w:val="00E42715"/>
    <w:rsid w:val="00E5166D"/>
    <w:rsid w:val="00E56FB2"/>
    <w:rsid w:val="00E62D38"/>
    <w:rsid w:val="00E63D8E"/>
    <w:rsid w:val="00E65B8D"/>
    <w:rsid w:val="00E724C7"/>
    <w:rsid w:val="00E73567"/>
    <w:rsid w:val="00E803C4"/>
    <w:rsid w:val="00E86246"/>
    <w:rsid w:val="00E87FEE"/>
    <w:rsid w:val="00E9187C"/>
    <w:rsid w:val="00E96142"/>
    <w:rsid w:val="00E9617D"/>
    <w:rsid w:val="00E97C74"/>
    <w:rsid w:val="00EA02DE"/>
    <w:rsid w:val="00EA3CB7"/>
    <w:rsid w:val="00EA4661"/>
    <w:rsid w:val="00EA7D5D"/>
    <w:rsid w:val="00EB0FAA"/>
    <w:rsid w:val="00EB271A"/>
    <w:rsid w:val="00EB3536"/>
    <w:rsid w:val="00EB7A5E"/>
    <w:rsid w:val="00EC0C15"/>
    <w:rsid w:val="00EC1F72"/>
    <w:rsid w:val="00EC335B"/>
    <w:rsid w:val="00EC4312"/>
    <w:rsid w:val="00EC65FC"/>
    <w:rsid w:val="00ED2570"/>
    <w:rsid w:val="00ED577B"/>
    <w:rsid w:val="00ED64A9"/>
    <w:rsid w:val="00ED75EB"/>
    <w:rsid w:val="00EE7859"/>
    <w:rsid w:val="00EF0590"/>
    <w:rsid w:val="00EF0D5A"/>
    <w:rsid w:val="00EF2411"/>
    <w:rsid w:val="00EF2529"/>
    <w:rsid w:val="00EF409C"/>
    <w:rsid w:val="00F00024"/>
    <w:rsid w:val="00F024B1"/>
    <w:rsid w:val="00F03F0A"/>
    <w:rsid w:val="00F04A33"/>
    <w:rsid w:val="00F053FE"/>
    <w:rsid w:val="00F05CFB"/>
    <w:rsid w:val="00F07AB1"/>
    <w:rsid w:val="00F112B0"/>
    <w:rsid w:val="00F12435"/>
    <w:rsid w:val="00F150D0"/>
    <w:rsid w:val="00F15396"/>
    <w:rsid w:val="00F1705D"/>
    <w:rsid w:val="00F23DD6"/>
    <w:rsid w:val="00F265AB"/>
    <w:rsid w:val="00F26976"/>
    <w:rsid w:val="00F30990"/>
    <w:rsid w:val="00F3357D"/>
    <w:rsid w:val="00F34E14"/>
    <w:rsid w:val="00F35630"/>
    <w:rsid w:val="00F41631"/>
    <w:rsid w:val="00F41683"/>
    <w:rsid w:val="00F41DFA"/>
    <w:rsid w:val="00F510B8"/>
    <w:rsid w:val="00F514AD"/>
    <w:rsid w:val="00F52B24"/>
    <w:rsid w:val="00F542B3"/>
    <w:rsid w:val="00F54BD1"/>
    <w:rsid w:val="00F63DFB"/>
    <w:rsid w:val="00F65464"/>
    <w:rsid w:val="00F655FF"/>
    <w:rsid w:val="00F72B10"/>
    <w:rsid w:val="00F766F4"/>
    <w:rsid w:val="00F76778"/>
    <w:rsid w:val="00F7759A"/>
    <w:rsid w:val="00F80CBA"/>
    <w:rsid w:val="00F80FC7"/>
    <w:rsid w:val="00F81AA5"/>
    <w:rsid w:val="00F83F51"/>
    <w:rsid w:val="00F96F8E"/>
    <w:rsid w:val="00F9723A"/>
    <w:rsid w:val="00FA0F5D"/>
    <w:rsid w:val="00FA2557"/>
    <w:rsid w:val="00FA5F58"/>
    <w:rsid w:val="00FB04F8"/>
    <w:rsid w:val="00FB190C"/>
    <w:rsid w:val="00FB7317"/>
    <w:rsid w:val="00FB7868"/>
    <w:rsid w:val="00FB7915"/>
    <w:rsid w:val="00FC0003"/>
    <w:rsid w:val="00FC2577"/>
    <w:rsid w:val="00FC29B0"/>
    <w:rsid w:val="00FC4D74"/>
    <w:rsid w:val="00FC583F"/>
    <w:rsid w:val="00FC6C88"/>
    <w:rsid w:val="00FD1B59"/>
    <w:rsid w:val="00FD1F1A"/>
    <w:rsid w:val="00FD257D"/>
    <w:rsid w:val="00FD6EDE"/>
    <w:rsid w:val="00FE00C2"/>
    <w:rsid w:val="00FE04A9"/>
    <w:rsid w:val="00FE051B"/>
    <w:rsid w:val="00FE5049"/>
    <w:rsid w:val="00FF5A95"/>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67">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sdException w:name="No Spacing" w:uiPriority="1" w:qFormat="1"/>
    <w:lsdException w:name="List Paragraph" w:uiPriority="34" w:qFormat="1"/>
  </w:latentStyles>
  <w:style w:type="paragraph" w:default="1" w:styleId="Normal">
    <w:name w:val="Normal"/>
    <w:qFormat/>
    <w:rsid w:val="001C1A39"/>
    <w:pPr>
      <w:spacing w:after="120"/>
    </w:pPr>
    <w:rPr>
      <w:sz w:val="22"/>
    </w:rPr>
  </w:style>
  <w:style w:type="paragraph" w:styleId="Heading1">
    <w:name w:val="heading 1"/>
    <w:basedOn w:val="Normal"/>
    <w:next w:val="Normal"/>
    <w:qFormat/>
    <w:rsid w:val="00B9295B"/>
    <w:pPr>
      <w:keepNext/>
      <w:spacing w:before="240"/>
      <w:outlineLvl w:val="0"/>
    </w:pPr>
    <w:rPr>
      <w:rFonts w:ascii="Helvetica" w:hAnsi="Helvetica"/>
      <w:b/>
      <w:kern w:val="32"/>
      <w:sz w:val="28"/>
      <w:szCs w:val="32"/>
    </w:rPr>
  </w:style>
  <w:style w:type="paragraph" w:styleId="Heading2">
    <w:name w:val="heading 2"/>
    <w:basedOn w:val="Normal"/>
    <w:next w:val="Normal"/>
    <w:link w:val="Heading2Char"/>
    <w:uiPriority w:val="9"/>
    <w:unhideWhenUsed/>
    <w:qFormat/>
    <w:rsid w:val="00D12062"/>
    <w:pPr>
      <w:keepNext/>
      <w:keepLines/>
      <w:spacing w:before="200"/>
      <w:outlineLvl w:val="1"/>
    </w:pPr>
    <w:rPr>
      <w:rFonts w:asciiTheme="majorHAnsi" w:eastAsiaTheme="majorEastAsia" w:hAnsiTheme="majorHAnsi" w:cstheme="majorBidi"/>
      <w:b/>
      <w:bCs/>
      <w:color w:val="17365D" w:themeColor="text2" w:themeShade="BF"/>
      <w:sz w:val="28"/>
      <w:szCs w:val="26"/>
    </w:rPr>
  </w:style>
  <w:style w:type="paragraph" w:styleId="Heading3">
    <w:name w:val="heading 3"/>
    <w:basedOn w:val="Normal"/>
    <w:next w:val="Normal"/>
    <w:qFormat/>
    <w:rsid w:val="00B9295B"/>
    <w:pPr>
      <w:keepNext/>
      <w:spacing w:before="240"/>
      <w:outlineLvl w:val="2"/>
    </w:pPr>
    <w:rPr>
      <w:rFonts w:ascii="Helvetica" w:hAnsi="Helvetica"/>
      <w:b/>
      <w:szCs w:val="26"/>
    </w:rPr>
  </w:style>
  <w:style w:type="paragraph" w:styleId="Heading4">
    <w:name w:val="heading 4"/>
    <w:basedOn w:val="Normal"/>
    <w:next w:val="Normal"/>
    <w:link w:val="Heading4Char"/>
    <w:qFormat/>
    <w:rsid w:val="00BE78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BE7858"/>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F169A"/>
    <w:rPr>
      <w:rFonts w:ascii="Lucida Grande" w:hAnsi="Lucida Grande" w:cs="Lucida Grande"/>
      <w:sz w:val="18"/>
      <w:szCs w:val="18"/>
    </w:rPr>
  </w:style>
  <w:style w:type="character" w:customStyle="1" w:styleId="BalloonTextChar">
    <w:name w:val="Balloon Text Char"/>
    <w:basedOn w:val="DefaultParagraphFont"/>
    <w:uiPriority w:val="99"/>
    <w:semiHidden/>
    <w:rsid w:val="008200B6"/>
    <w:rPr>
      <w:rFonts w:ascii="Lucida Grande" w:hAnsi="Lucida Grande" w:cs="Lucida Grande"/>
      <w:sz w:val="18"/>
      <w:szCs w:val="18"/>
    </w:rPr>
  </w:style>
  <w:style w:type="character" w:customStyle="1" w:styleId="BalloonTextChar0">
    <w:name w:val="Balloon Text Char"/>
    <w:basedOn w:val="DefaultParagraphFont"/>
    <w:uiPriority w:val="99"/>
    <w:semiHidden/>
    <w:rsid w:val="008200B6"/>
    <w:rPr>
      <w:rFonts w:ascii="Lucida Grande" w:hAnsi="Lucida Grande" w:cs="Lucida Grande"/>
      <w:sz w:val="18"/>
      <w:szCs w:val="18"/>
    </w:rPr>
  </w:style>
  <w:style w:type="character" w:customStyle="1" w:styleId="BalloonTextChar2">
    <w:name w:val="Balloon Text Char"/>
    <w:basedOn w:val="DefaultParagraphFont"/>
    <w:uiPriority w:val="99"/>
    <w:semiHidden/>
    <w:rsid w:val="008200B6"/>
    <w:rPr>
      <w:rFonts w:ascii="Lucida Grande" w:hAnsi="Lucida Grande" w:cs="Lucida Grande"/>
      <w:sz w:val="18"/>
      <w:szCs w:val="18"/>
    </w:rPr>
  </w:style>
  <w:style w:type="character" w:customStyle="1" w:styleId="BalloonTextChar3">
    <w:name w:val="Balloon Text Char"/>
    <w:basedOn w:val="DefaultParagraphFont"/>
    <w:uiPriority w:val="99"/>
    <w:semiHidden/>
    <w:rsid w:val="001F169A"/>
    <w:rPr>
      <w:rFonts w:ascii="Lucida Grande" w:hAnsi="Lucida Grande" w:cs="Lucida Grande"/>
      <w:sz w:val="18"/>
      <w:szCs w:val="18"/>
    </w:rPr>
  </w:style>
  <w:style w:type="character" w:customStyle="1" w:styleId="BalloonTextChar4">
    <w:name w:val="Balloon Text Char"/>
    <w:basedOn w:val="DefaultParagraphFont"/>
    <w:uiPriority w:val="99"/>
    <w:semiHidden/>
    <w:rsid w:val="001F169A"/>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1F169A"/>
    <w:rPr>
      <w:rFonts w:ascii="Lucida Grande" w:hAnsi="Lucida Grande" w:cs="Lucida Grande"/>
      <w:sz w:val="18"/>
      <w:szCs w:val="18"/>
    </w:rPr>
  </w:style>
  <w:style w:type="paragraph" w:styleId="ListParagraph">
    <w:name w:val="List Paragraph"/>
    <w:basedOn w:val="Normal"/>
    <w:uiPriority w:val="34"/>
    <w:qFormat/>
    <w:rsid w:val="00854E43"/>
    <w:pPr>
      <w:ind w:left="720"/>
    </w:pPr>
  </w:style>
  <w:style w:type="character" w:customStyle="1" w:styleId="Heading2Char">
    <w:name w:val="Heading 2 Char"/>
    <w:basedOn w:val="DefaultParagraphFont"/>
    <w:link w:val="Heading2"/>
    <w:uiPriority w:val="9"/>
    <w:rsid w:val="00D12062"/>
    <w:rPr>
      <w:rFonts w:asciiTheme="majorHAnsi" w:eastAsiaTheme="majorEastAsia" w:hAnsiTheme="majorHAnsi" w:cstheme="majorBidi"/>
      <w:b/>
      <w:bCs/>
      <w:color w:val="17365D" w:themeColor="text2" w:themeShade="BF"/>
      <w:sz w:val="28"/>
      <w:szCs w:val="26"/>
    </w:rPr>
  </w:style>
  <w:style w:type="table" w:styleId="TableGrid">
    <w:name w:val="Table Grid"/>
    <w:basedOn w:val="TableNormal"/>
    <w:uiPriority w:val="59"/>
    <w:rsid w:val="00E414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rsid w:val="008866EB"/>
    <w:pPr>
      <w:spacing w:after="0"/>
    </w:pPr>
    <w:rPr>
      <w:sz w:val="18"/>
    </w:rPr>
  </w:style>
  <w:style w:type="character" w:customStyle="1" w:styleId="FootnoteTextChar">
    <w:name w:val="Footnote Text Char"/>
    <w:basedOn w:val="DefaultParagraphFont"/>
    <w:link w:val="FootnoteText"/>
    <w:uiPriority w:val="99"/>
    <w:rsid w:val="008866EB"/>
    <w:rPr>
      <w:sz w:val="18"/>
    </w:rPr>
  </w:style>
  <w:style w:type="character" w:styleId="FootnoteReference">
    <w:name w:val="footnote reference"/>
    <w:basedOn w:val="DefaultParagraphFont"/>
    <w:uiPriority w:val="99"/>
    <w:unhideWhenUsed/>
    <w:rsid w:val="00A53FF6"/>
    <w:rPr>
      <w:vertAlign w:val="superscript"/>
    </w:rPr>
  </w:style>
  <w:style w:type="character" w:styleId="CommentReference">
    <w:name w:val="annotation reference"/>
    <w:basedOn w:val="DefaultParagraphFont"/>
    <w:unhideWhenUsed/>
    <w:rsid w:val="00E56FB2"/>
    <w:rPr>
      <w:sz w:val="16"/>
      <w:szCs w:val="16"/>
    </w:rPr>
  </w:style>
  <w:style w:type="paragraph" w:styleId="CommentText">
    <w:name w:val="annotation text"/>
    <w:basedOn w:val="Normal"/>
    <w:link w:val="CommentTextChar"/>
    <w:unhideWhenUsed/>
    <w:rsid w:val="00E56FB2"/>
    <w:pPr>
      <w:spacing w:before="120"/>
    </w:pPr>
    <w:rPr>
      <w:rFonts w:ascii="Calibri" w:eastAsia="MS Minngs" w:hAnsi="Calibri" w:cs="Times New Roman"/>
      <w:sz w:val="20"/>
      <w:szCs w:val="20"/>
      <w:lang w:eastAsia="ja-JP"/>
    </w:rPr>
  </w:style>
  <w:style w:type="character" w:customStyle="1" w:styleId="CommentTextChar">
    <w:name w:val="Comment Text Char"/>
    <w:basedOn w:val="DefaultParagraphFont"/>
    <w:link w:val="CommentText"/>
    <w:rsid w:val="00E56FB2"/>
    <w:rPr>
      <w:rFonts w:ascii="Calibri" w:eastAsia="MS Minngs" w:hAnsi="Calibri" w:cs="Times New Roman"/>
      <w:sz w:val="20"/>
      <w:szCs w:val="20"/>
      <w:lang w:eastAsia="ja-JP"/>
    </w:rPr>
  </w:style>
  <w:style w:type="paragraph" w:styleId="TOC1">
    <w:name w:val="toc 1"/>
    <w:basedOn w:val="Normal"/>
    <w:next w:val="Normal"/>
    <w:autoRedefine/>
    <w:uiPriority w:val="39"/>
    <w:rsid w:val="00A75CC3"/>
  </w:style>
  <w:style w:type="paragraph" w:styleId="TOC2">
    <w:name w:val="toc 2"/>
    <w:basedOn w:val="Normal"/>
    <w:next w:val="Normal"/>
    <w:autoRedefine/>
    <w:uiPriority w:val="39"/>
    <w:rsid w:val="00A75CC3"/>
    <w:pPr>
      <w:ind w:left="220"/>
    </w:pPr>
  </w:style>
  <w:style w:type="paragraph" w:styleId="TOC3">
    <w:name w:val="toc 3"/>
    <w:basedOn w:val="Normal"/>
    <w:next w:val="Normal"/>
    <w:autoRedefine/>
    <w:uiPriority w:val="39"/>
    <w:rsid w:val="00A75CC3"/>
    <w:pPr>
      <w:ind w:left="440"/>
    </w:pPr>
  </w:style>
  <w:style w:type="paragraph" w:styleId="TOC4">
    <w:name w:val="toc 4"/>
    <w:basedOn w:val="Normal"/>
    <w:next w:val="Normal"/>
    <w:autoRedefine/>
    <w:uiPriority w:val="39"/>
    <w:rsid w:val="00A75CC3"/>
    <w:pPr>
      <w:ind w:left="660"/>
    </w:pPr>
  </w:style>
  <w:style w:type="paragraph" w:styleId="TOC5">
    <w:name w:val="toc 5"/>
    <w:basedOn w:val="Normal"/>
    <w:next w:val="Normal"/>
    <w:autoRedefine/>
    <w:uiPriority w:val="39"/>
    <w:rsid w:val="00A75CC3"/>
    <w:pPr>
      <w:ind w:left="880"/>
    </w:pPr>
  </w:style>
  <w:style w:type="paragraph" w:styleId="TOC6">
    <w:name w:val="toc 6"/>
    <w:basedOn w:val="Normal"/>
    <w:next w:val="Normal"/>
    <w:autoRedefine/>
    <w:uiPriority w:val="39"/>
    <w:rsid w:val="00A75CC3"/>
    <w:pPr>
      <w:ind w:left="1100"/>
    </w:pPr>
  </w:style>
  <w:style w:type="paragraph" w:styleId="TOC7">
    <w:name w:val="toc 7"/>
    <w:basedOn w:val="Normal"/>
    <w:next w:val="Normal"/>
    <w:autoRedefine/>
    <w:uiPriority w:val="39"/>
    <w:rsid w:val="00A75CC3"/>
    <w:pPr>
      <w:ind w:left="1320"/>
    </w:pPr>
  </w:style>
  <w:style w:type="paragraph" w:styleId="TOC8">
    <w:name w:val="toc 8"/>
    <w:basedOn w:val="Normal"/>
    <w:next w:val="Normal"/>
    <w:autoRedefine/>
    <w:uiPriority w:val="39"/>
    <w:rsid w:val="00A75CC3"/>
    <w:pPr>
      <w:ind w:left="1540"/>
    </w:pPr>
  </w:style>
  <w:style w:type="paragraph" w:styleId="TOC9">
    <w:name w:val="toc 9"/>
    <w:basedOn w:val="Normal"/>
    <w:next w:val="Normal"/>
    <w:autoRedefine/>
    <w:uiPriority w:val="39"/>
    <w:rsid w:val="00A75CC3"/>
    <w:pPr>
      <w:ind w:left="1760"/>
    </w:pPr>
  </w:style>
  <w:style w:type="paragraph" w:styleId="Header">
    <w:name w:val="header"/>
    <w:basedOn w:val="Normal"/>
    <w:link w:val="HeaderChar"/>
    <w:rsid w:val="00A75CC3"/>
    <w:pPr>
      <w:tabs>
        <w:tab w:val="center" w:pos="4320"/>
        <w:tab w:val="right" w:pos="8640"/>
      </w:tabs>
      <w:spacing w:after="0"/>
    </w:pPr>
  </w:style>
  <w:style w:type="character" w:customStyle="1" w:styleId="HeaderChar">
    <w:name w:val="Header Char"/>
    <w:basedOn w:val="DefaultParagraphFont"/>
    <w:link w:val="Header"/>
    <w:rsid w:val="00A75CC3"/>
    <w:rPr>
      <w:sz w:val="22"/>
    </w:rPr>
  </w:style>
  <w:style w:type="paragraph" w:styleId="Footer">
    <w:name w:val="footer"/>
    <w:basedOn w:val="Normal"/>
    <w:link w:val="FooterChar"/>
    <w:rsid w:val="00A75CC3"/>
    <w:pPr>
      <w:tabs>
        <w:tab w:val="center" w:pos="4320"/>
        <w:tab w:val="right" w:pos="8640"/>
      </w:tabs>
      <w:spacing w:after="0"/>
    </w:pPr>
  </w:style>
  <w:style w:type="character" w:customStyle="1" w:styleId="FooterChar">
    <w:name w:val="Footer Char"/>
    <w:basedOn w:val="DefaultParagraphFont"/>
    <w:link w:val="Footer"/>
    <w:rsid w:val="00A75CC3"/>
    <w:rPr>
      <w:sz w:val="22"/>
    </w:rPr>
  </w:style>
  <w:style w:type="character" w:styleId="PageNumber">
    <w:name w:val="page number"/>
    <w:basedOn w:val="DefaultParagraphFont"/>
    <w:rsid w:val="00A75CC3"/>
  </w:style>
  <w:style w:type="paragraph" w:styleId="CommentSubject">
    <w:name w:val="annotation subject"/>
    <w:basedOn w:val="CommentText"/>
    <w:next w:val="CommentText"/>
    <w:link w:val="CommentSubjectChar"/>
    <w:rsid w:val="00133D2D"/>
    <w:pPr>
      <w:spacing w:before="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133D2D"/>
    <w:rPr>
      <w:rFonts w:ascii="Calibri" w:eastAsia="MS Minngs" w:hAnsi="Calibri" w:cs="Times New Roman"/>
      <w:b/>
      <w:bCs/>
      <w:sz w:val="20"/>
      <w:szCs w:val="20"/>
      <w:lang w:eastAsia="ja-JP"/>
    </w:rPr>
  </w:style>
  <w:style w:type="paragraph" w:styleId="Revision">
    <w:name w:val="Revision"/>
    <w:hidden/>
    <w:rsid w:val="00B84E11"/>
    <w:rPr>
      <w:sz w:val="22"/>
    </w:rPr>
  </w:style>
  <w:style w:type="character" w:customStyle="1" w:styleId="Heading4Char">
    <w:name w:val="Heading 4 Char"/>
    <w:basedOn w:val="DefaultParagraphFont"/>
    <w:link w:val="Heading4"/>
    <w:rsid w:val="00BE7858"/>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rsid w:val="00BE7858"/>
    <w:rPr>
      <w:rFonts w:asciiTheme="majorHAnsi" w:eastAsiaTheme="majorEastAsia" w:hAnsiTheme="majorHAnsi" w:cstheme="majorBidi"/>
      <w:i/>
      <w:iCs/>
      <w:color w:val="244061" w:themeColor="accent1" w:themeShade="80"/>
      <w:sz w:val="22"/>
    </w:rPr>
  </w:style>
  <w:style w:type="paragraph" w:customStyle="1" w:styleId="Tablebody">
    <w:name w:val="Table body"/>
    <w:basedOn w:val="Normal"/>
    <w:link w:val="TablebodyChar"/>
    <w:qFormat/>
    <w:rsid w:val="00BE7858"/>
    <w:pPr>
      <w:adjustRightInd w:val="0"/>
      <w:snapToGrid w:val="0"/>
      <w:spacing w:line="280" w:lineRule="atLeast"/>
    </w:pPr>
    <w:rPr>
      <w:rFonts w:ascii="Arial" w:eastAsia="MS Mincho" w:hAnsi="Arial" w:cs="Arial"/>
      <w:color w:val="1F497D" w:themeColor="text2"/>
      <w:sz w:val="16"/>
      <w:szCs w:val="16"/>
      <w:lang w:eastAsia="ja-JP"/>
    </w:rPr>
  </w:style>
  <w:style w:type="character" w:customStyle="1" w:styleId="TablebodyChar">
    <w:name w:val="Table body Char"/>
    <w:basedOn w:val="DefaultParagraphFont"/>
    <w:link w:val="Tablebody"/>
    <w:rsid w:val="00BE7858"/>
    <w:rPr>
      <w:rFonts w:ascii="Arial" w:eastAsia="MS Mincho" w:hAnsi="Arial" w:cs="Arial"/>
      <w:color w:val="1F497D" w:themeColor="text2"/>
      <w:sz w:val="16"/>
      <w:szCs w:val="16"/>
      <w:lang w:eastAsia="ja-JP"/>
    </w:rPr>
  </w:style>
  <w:style w:type="character" w:styleId="Hyperlink">
    <w:name w:val="Hyperlink"/>
    <w:basedOn w:val="DefaultParagraphFont"/>
    <w:rsid w:val="00BE7858"/>
    <w:rPr>
      <w:color w:val="0000FF" w:themeColor="hyperlink"/>
      <w:u w:val="single"/>
    </w:rPr>
  </w:style>
  <w:style w:type="character" w:customStyle="1" w:styleId="apple-style-span">
    <w:name w:val="apple-style-span"/>
    <w:basedOn w:val="DefaultParagraphFont"/>
    <w:rsid w:val="00BE7858"/>
  </w:style>
  <w:style w:type="paragraph" w:styleId="NoSpacing">
    <w:name w:val="No Spacing"/>
    <w:uiPriority w:val="1"/>
    <w:qFormat/>
    <w:rsid w:val="008768C0"/>
    <w:rPr>
      <w:sz w:val="22"/>
      <w:szCs w:val="22"/>
      <w:lang w:val="en-US"/>
    </w:rPr>
  </w:style>
  <w:style w:type="paragraph" w:customStyle="1" w:styleId="Default">
    <w:name w:val="Default"/>
    <w:rsid w:val="008768C0"/>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67">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sdException w:name="No Spacing" w:uiPriority="1" w:qFormat="1"/>
    <w:lsdException w:name="List Paragraph" w:uiPriority="34" w:qFormat="1"/>
  </w:latentStyles>
  <w:style w:type="paragraph" w:default="1" w:styleId="Normal">
    <w:name w:val="Normal"/>
    <w:qFormat/>
    <w:rsid w:val="001C1A39"/>
    <w:pPr>
      <w:spacing w:after="120"/>
    </w:pPr>
    <w:rPr>
      <w:sz w:val="22"/>
    </w:rPr>
  </w:style>
  <w:style w:type="paragraph" w:styleId="Heading1">
    <w:name w:val="heading 1"/>
    <w:basedOn w:val="Normal"/>
    <w:next w:val="Normal"/>
    <w:qFormat/>
    <w:rsid w:val="00B9295B"/>
    <w:pPr>
      <w:keepNext/>
      <w:spacing w:before="240"/>
      <w:outlineLvl w:val="0"/>
    </w:pPr>
    <w:rPr>
      <w:rFonts w:ascii="Helvetica" w:hAnsi="Helvetica"/>
      <w:b/>
      <w:kern w:val="32"/>
      <w:sz w:val="28"/>
      <w:szCs w:val="32"/>
    </w:rPr>
  </w:style>
  <w:style w:type="paragraph" w:styleId="Heading2">
    <w:name w:val="heading 2"/>
    <w:basedOn w:val="Normal"/>
    <w:next w:val="Normal"/>
    <w:link w:val="Heading2Char"/>
    <w:uiPriority w:val="9"/>
    <w:unhideWhenUsed/>
    <w:qFormat/>
    <w:rsid w:val="00D12062"/>
    <w:pPr>
      <w:keepNext/>
      <w:keepLines/>
      <w:spacing w:before="200"/>
      <w:outlineLvl w:val="1"/>
    </w:pPr>
    <w:rPr>
      <w:rFonts w:asciiTheme="majorHAnsi" w:eastAsiaTheme="majorEastAsia" w:hAnsiTheme="majorHAnsi" w:cstheme="majorBidi"/>
      <w:b/>
      <w:bCs/>
      <w:color w:val="17365D" w:themeColor="text2" w:themeShade="BF"/>
      <w:sz w:val="28"/>
      <w:szCs w:val="26"/>
    </w:rPr>
  </w:style>
  <w:style w:type="paragraph" w:styleId="Heading3">
    <w:name w:val="heading 3"/>
    <w:basedOn w:val="Normal"/>
    <w:next w:val="Normal"/>
    <w:qFormat/>
    <w:rsid w:val="00B9295B"/>
    <w:pPr>
      <w:keepNext/>
      <w:spacing w:before="240"/>
      <w:outlineLvl w:val="2"/>
    </w:pPr>
    <w:rPr>
      <w:rFonts w:ascii="Helvetica" w:hAnsi="Helvetica"/>
      <w:b/>
      <w:szCs w:val="26"/>
    </w:rPr>
  </w:style>
  <w:style w:type="paragraph" w:styleId="Heading4">
    <w:name w:val="heading 4"/>
    <w:basedOn w:val="Normal"/>
    <w:next w:val="Normal"/>
    <w:link w:val="Heading4Char"/>
    <w:qFormat/>
    <w:rsid w:val="00BE78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BE7858"/>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F169A"/>
    <w:rPr>
      <w:rFonts w:ascii="Lucida Grande" w:hAnsi="Lucida Grande" w:cs="Lucida Grande"/>
      <w:sz w:val="18"/>
      <w:szCs w:val="18"/>
    </w:rPr>
  </w:style>
  <w:style w:type="character" w:customStyle="1" w:styleId="BalloonTextChar">
    <w:name w:val="Balloon Text Char"/>
    <w:basedOn w:val="DefaultParagraphFont"/>
    <w:uiPriority w:val="99"/>
    <w:semiHidden/>
    <w:rsid w:val="008200B6"/>
    <w:rPr>
      <w:rFonts w:ascii="Lucida Grande" w:hAnsi="Lucida Grande" w:cs="Lucida Grande"/>
      <w:sz w:val="18"/>
      <w:szCs w:val="18"/>
    </w:rPr>
  </w:style>
  <w:style w:type="character" w:customStyle="1" w:styleId="BalloonTextChar0">
    <w:name w:val="Balloon Text Char"/>
    <w:basedOn w:val="DefaultParagraphFont"/>
    <w:uiPriority w:val="99"/>
    <w:semiHidden/>
    <w:rsid w:val="008200B6"/>
    <w:rPr>
      <w:rFonts w:ascii="Lucida Grande" w:hAnsi="Lucida Grande" w:cs="Lucida Grande"/>
      <w:sz w:val="18"/>
      <w:szCs w:val="18"/>
    </w:rPr>
  </w:style>
  <w:style w:type="character" w:customStyle="1" w:styleId="BalloonTextChar2">
    <w:name w:val="Balloon Text Char"/>
    <w:basedOn w:val="DefaultParagraphFont"/>
    <w:uiPriority w:val="99"/>
    <w:semiHidden/>
    <w:rsid w:val="008200B6"/>
    <w:rPr>
      <w:rFonts w:ascii="Lucida Grande" w:hAnsi="Lucida Grande" w:cs="Lucida Grande"/>
      <w:sz w:val="18"/>
      <w:szCs w:val="18"/>
    </w:rPr>
  </w:style>
  <w:style w:type="character" w:customStyle="1" w:styleId="BalloonTextChar3">
    <w:name w:val="Balloon Text Char"/>
    <w:basedOn w:val="DefaultParagraphFont"/>
    <w:uiPriority w:val="99"/>
    <w:semiHidden/>
    <w:rsid w:val="001F169A"/>
    <w:rPr>
      <w:rFonts w:ascii="Lucida Grande" w:hAnsi="Lucida Grande" w:cs="Lucida Grande"/>
      <w:sz w:val="18"/>
      <w:szCs w:val="18"/>
    </w:rPr>
  </w:style>
  <w:style w:type="character" w:customStyle="1" w:styleId="BalloonTextChar4">
    <w:name w:val="Balloon Text Char"/>
    <w:basedOn w:val="DefaultParagraphFont"/>
    <w:uiPriority w:val="99"/>
    <w:semiHidden/>
    <w:rsid w:val="001F169A"/>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1F169A"/>
    <w:rPr>
      <w:rFonts w:ascii="Lucida Grande" w:hAnsi="Lucida Grande" w:cs="Lucida Grande"/>
      <w:sz w:val="18"/>
      <w:szCs w:val="18"/>
    </w:rPr>
  </w:style>
  <w:style w:type="paragraph" w:styleId="ListParagraph">
    <w:name w:val="List Paragraph"/>
    <w:basedOn w:val="Normal"/>
    <w:uiPriority w:val="34"/>
    <w:qFormat/>
    <w:rsid w:val="00854E43"/>
    <w:pPr>
      <w:ind w:left="720"/>
    </w:pPr>
  </w:style>
  <w:style w:type="character" w:customStyle="1" w:styleId="Heading2Char">
    <w:name w:val="Heading 2 Char"/>
    <w:basedOn w:val="DefaultParagraphFont"/>
    <w:link w:val="Heading2"/>
    <w:uiPriority w:val="9"/>
    <w:rsid w:val="00D12062"/>
    <w:rPr>
      <w:rFonts w:asciiTheme="majorHAnsi" w:eastAsiaTheme="majorEastAsia" w:hAnsiTheme="majorHAnsi" w:cstheme="majorBidi"/>
      <w:b/>
      <w:bCs/>
      <w:color w:val="17365D" w:themeColor="text2" w:themeShade="BF"/>
      <w:sz w:val="28"/>
      <w:szCs w:val="26"/>
    </w:rPr>
  </w:style>
  <w:style w:type="table" w:styleId="TableGrid">
    <w:name w:val="Table Grid"/>
    <w:basedOn w:val="TableNormal"/>
    <w:uiPriority w:val="59"/>
    <w:rsid w:val="00E414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rsid w:val="008866EB"/>
    <w:pPr>
      <w:spacing w:after="0"/>
    </w:pPr>
    <w:rPr>
      <w:sz w:val="18"/>
    </w:rPr>
  </w:style>
  <w:style w:type="character" w:customStyle="1" w:styleId="FootnoteTextChar">
    <w:name w:val="Footnote Text Char"/>
    <w:basedOn w:val="DefaultParagraphFont"/>
    <w:link w:val="FootnoteText"/>
    <w:uiPriority w:val="99"/>
    <w:rsid w:val="008866EB"/>
    <w:rPr>
      <w:sz w:val="18"/>
    </w:rPr>
  </w:style>
  <w:style w:type="character" w:styleId="FootnoteReference">
    <w:name w:val="footnote reference"/>
    <w:basedOn w:val="DefaultParagraphFont"/>
    <w:uiPriority w:val="99"/>
    <w:unhideWhenUsed/>
    <w:rsid w:val="00A53FF6"/>
    <w:rPr>
      <w:vertAlign w:val="superscript"/>
    </w:rPr>
  </w:style>
  <w:style w:type="character" w:styleId="CommentReference">
    <w:name w:val="annotation reference"/>
    <w:basedOn w:val="DefaultParagraphFont"/>
    <w:unhideWhenUsed/>
    <w:rsid w:val="00E56FB2"/>
    <w:rPr>
      <w:sz w:val="16"/>
      <w:szCs w:val="16"/>
    </w:rPr>
  </w:style>
  <w:style w:type="paragraph" w:styleId="CommentText">
    <w:name w:val="annotation text"/>
    <w:basedOn w:val="Normal"/>
    <w:link w:val="CommentTextChar"/>
    <w:unhideWhenUsed/>
    <w:rsid w:val="00E56FB2"/>
    <w:pPr>
      <w:spacing w:before="120"/>
    </w:pPr>
    <w:rPr>
      <w:rFonts w:ascii="Calibri" w:eastAsia="MS Minngs" w:hAnsi="Calibri" w:cs="Times New Roman"/>
      <w:sz w:val="20"/>
      <w:szCs w:val="20"/>
      <w:lang w:eastAsia="ja-JP"/>
    </w:rPr>
  </w:style>
  <w:style w:type="character" w:customStyle="1" w:styleId="CommentTextChar">
    <w:name w:val="Comment Text Char"/>
    <w:basedOn w:val="DefaultParagraphFont"/>
    <w:link w:val="CommentText"/>
    <w:rsid w:val="00E56FB2"/>
    <w:rPr>
      <w:rFonts w:ascii="Calibri" w:eastAsia="MS Minngs" w:hAnsi="Calibri" w:cs="Times New Roman"/>
      <w:sz w:val="20"/>
      <w:szCs w:val="20"/>
      <w:lang w:eastAsia="ja-JP"/>
    </w:rPr>
  </w:style>
  <w:style w:type="paragraph" w:styleId="TOC1">
    <w:name w:val="toc 1"/>
    <w:basedOn w:val="Normal"/>
    <w:next w:val="Normal"/>
    <w:autoRedefine/>
    <w:uiPriority w:val="39"/>
    <w:rsid w:val="00A75CC3"/>
  </w:style>
  <w:style w:type="paragraph" w:styleId="TOC2">
    <w:name w:val="toc 2"/>
    <w:basedOn w:val="Normal"/>
    <w:next w:val="Normal"/>
    <w:autoRedefine/>
    <w:uiPriority w:val="39"/>
    <w:rsid w:val="00A75CC3"/>
    <w:pPr>
      <w:ind w:left="220"/>
    </w:pPr>
  </w:style>
  <w:style w:type="paragraph" w:styleId="TOC3">
    <w:name w:val="toc 3"/>
    <w:basedOn w:val="Normal"/>
    <w:next w:val="Normal"/>
    <w:autoRedefine/>
    <w:uiPriority w:val="39"/>
    <w:rsid w:val="00A75CC3"/>
    <w:pPr>
      <w:ind w:left="440"/>
    </w:pPr>
  </w:style>
  <w:style w:type="paragraph" w:styleId="TOC4">
    <w:name w:val="toc 4"/>
    <w:basedOn w:val="Normal"/>
    <w:next w:val="Normal"/>
    <w:autoRedefine/>
    <w:uiPriority w:val="39"/>
    <w:rsid w:val="00A75CC3"/>
    <w:pPr>
      <w:ind w:left="660"/>
    </w:pPr>
  </w:style>
  <w:style w:type="paragraph" w:styleId="TOC5">
    <w:name w:val="toc 5"/>
    <w:basedOn w:val="Normal"/>
    <w:next w:val="Normal"/>
    <w:autoRedefine/>
    <w:uiPriority w:val="39"/>
    <w:rsid w:val="00A75CC3"/>
    <w:pPr>
      <w:ind w:left="880"/>
    </w:pPr>
  </w:style>
  <w:style w:type="paragraph" w:styleId="TOC6">
    <w:name w:val="toc 6"/>
    <w:basedOn w:val="Normal"/>
    <w:next w:val="Normal"/>
    <w:autoRedefine/>
    <w:uiPriority w:val="39"/>
    <w:rsid w:val="00A75CC3"/>
    <w:pPr>
      <w:ind w:left="1100"/>
    </w:pPr>
  </w:style>
  <w:style w:type="paragraph" w:styleId="TOC7">
    <w:name w:val="toc 7"/>
    <w:basedOn w:val="Normal"/>
    <w:next w:val="Normal"/>
    <w:autoRedefine/>
    <w:uiPriority w:val="39"/>
    <w:rsid w:val="00A75CC3"/>
    <w:pPr>
      <w:ind w:left="1320"/>
    </w:pPr>
  </w:style>
  <w:style w:type="paragraph" w:styleId="TOC8">
    <w:name w:val="toc 8"/>
    <w:basedOn w:val="Normal"/>
    <w:next w:val="Normal"/>
    <w:autoRedefine/>
    <w:uiPriority w:val="39"/>
    <w:rsid w:val="00A75CC3"/>
    <w:pPr>
      <w:ind w:left="1540"/>
    </w:pPr>
  </w:style>
  <w:style w:type="paragraph" w:styleId="TOC9">
    <w:name w:val="toc 9"/>
    <w:basedOn w:val="Normal"/>
    <w:next w:val="Normal"/>
    <w:autoRedefine/>
    <w:uiPriority w:val="39"/>
    <w:rsid w:val="00A75CC3"/>
    <w:pPr>
      <w:ind w:left="1760"/>
    </w:pPr>
  </w:style>
  <w:style w:type="paragraph" w:styleId="Header">
    <w:name w:val="header"/>
    <w:basedOn w:val="Normal"/>
    <w:link w:val="HeaderChar"/>
    <w:rsid w:val="00A75CC3"/>
    <w:pPr>
      <w:tabs>
        <w:tab w:val="center" w:pos="4320"/>
        <w:tab w:val="right" w:pos="8640"/>
      </w:tabs>
      <w:spacing w:after="0"/>
    </w:pPr>
  </w:style>
  <w:style w:type="character" w:customStyle="1" w:styleId="HeaderChar">
    <w:name w:val="Header Char"/>
    <w:basedOn w:val="DefaultParagraphFont"/>
    <w:link w:val="Header"/>
    <w:rsid w:val="00A75CC3"/>
    <w:rPr>
      <w:sz w:val="22"/>
    </w:rPr>
  </w:style>
  <w:style w:type="paragraph" w:styleId="Footer">
    <w:name w:val="footer"/>
    <w:basedOn w:val="Normal"/>
    <w:link w:val="FooterChar"/>
    <w:rsid w:val="00A75CC3"/>
    <w:pPr>
      <w:tabs>
        <w:tab w:val="center" w:pos="4320"/>
        <w:tab w:val="right" w:pos="8640"/>
      </w:tabs>
      <w:spacing w:after="0"/>
    </w:pPr>
  </w:style>
  <w:style w:type="character" w:customStyle="1" w:styleId="FooterChar">
    <w:name w:val="Footer Char"/>
    <w:basedOn w:val="DefaultParagraphFont"/>
    <w:link w:val="Footer"/>
    <w:rsid w:val="00A75CC3"/>
    <w:rPr>
      <w:sz w:val="22"/>
    </w:rPr>
  </w:style>
  <w:style w:type="character" w:styleId="PageNumber">
    <w:name w:val="page number"/>
    <w:basedOn w:val="DefaultParagraphFont"/>
    <w:rsid w:val="00A75CC3"/>
  </w:style>
  <w:style w:type="paragraph" w:styleId="CommentSubject">
    <w:name w:val="annotation subject"/>
    <w:basedOn w:val="CommentText"/>
    <w:next w:val="CommentText"/>
    <w:link w:val="CommentSubjectChar"/>
    <w:rsid w:val="00133D2D"/>
    <w:pPr>
      <w:spacing w:before="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133D2D"/>
    <w:rPr>
      <w:rFonts w:ascii="Calibri" w:eastAsia="MS Minngs" w:hAnsi="Calibri" w:cs="Times New Roman"/>
      <w:b/>
      <w:bCs/>
      <w:sz w:val="20"/>
      <w:szCs w:val="20"/>
      <w:lang w:eastAsia="ja-JP"/>
    </w:rPr>
  </w:style>
  <w:style w:type="paragraph" w:styleId="Revision">
    <w:name w:val="Revision"/>
    <w:hidden/>
    <w:rsid w:val="00B84E11"/>
    <w:rPr>
      <w:sz w:val="22"/>
    </w:rPr>
  </w:style>
  <w:style w:type="character" w:customStyle="1" w:styleId="Heading4Char">
    <w:name w:val="Heading 4 Char"/>
    <w:basedOn w:val="DefaultParagraphFont"/>
    <w:link w:val="Heading4"/>
    <w:rsid w:val="00BE7858"/>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rsid w:val="00BE7858"/>
    <w:rPr>
      <w:rFonts w:asciiTheme="majorHAnsi" w:eastAsiaTheme="majorEastAsia" w:hAnsiTheme="majorHAnsi" w:cstheme="majorBidi"/>
      <w:i/>
      <w:iCs/>
      <w:color w:val="244061" w:themeColor="accent1" w:themeShade="80"/>
      <w:sz w:val="22"/>
    </w:rPr>
  </w:style>
  <w:style w:type="paragraph" w:customStyle="1" w:styleId="Tablebody">
    <w:name w:val="Table body"/>
    <w:basedOn w:val="Normal"/>
    <w:link w:val="TablebodyChar"/>
    <w:qFormat/>
    <w:rsid w:val="00BE7858"/>
    <w:pPr>
      <w:adjustRightInd w:val="0"/>
      <w:snapToGrid w:val="0"/>
      <w:spacing w:line="280" w:lineRule="atLeast"/>
    </w:pPr>
    <w:rPr>
      <w:rFonts w:ascii="Arial" w:eastAsia="MS Mincho" w:hAnsi="Arial" w:cs="Arial"/>
      <w:color w:val="1F497D" w:themeColor="text2"/>
      <w:sz w:val="16"/>
      <w:szCs w:val="16"/>
      <w:lang w:eastAsia="ja-JP"/>
    </w:rPr>
  </w:style>
  <w:style w:type="character" w:customStyle="1" w:styleId="TablebodyChar">
    <w:name w:val="Table body Char"/>
    <w:basedOn w:val="DefaultParagraphFont"/>
    <w:link w:val="Tablebody"/>
    <w:rsid w:val="00BE7858"/>
    <w:rPr>
      <w:rFonts w:ascii="Arial" w:eastAsia="MS Mincho" w:hAnsi="Arial" w:cs="Arial"/>
      <w:color w:val="1F497D" w:themeColor="text2"/>
      <w:sz w:val="16"/>
      <w:szCs w:val="16"/>
      <w:lang w:eastAsia="ja-JP"/>
    </w:rPr>
  </w:style>
  <w:style w:type="character" w:styleId="Hyperlink">
    <w:name w:val="Hyperlink"/>
    <w:basedOn w:val="DefaultParagraphFont"/>
    <w:rsid w:val="00BE7858"/>
    <w:rPr>
      <w:color w:val="0000FF" w:themeColor="hyperlink"/>
      <w:u w:val="single"/>
    </w:rPr>
  </w:style>
  <w:style w:type="character" w:customStyle="1" w:styleId="apple-style-span">
    <w:name w:val="apple-style-span"/>
    <w:basedOn w:val="DefaultParagraphFont"/>
    <w:rsid w:val="00BE7858"/>
  </w:style>
  <w:style w:type="paragraph" w:styleId="NoSpacing">
    <w:name w:val="No Spacing"/>
    <w:uiPriority w:val="1"/>
    <w:qFormat/>
    <w:rsid w:val="008768C0"/>
    <w:rPr>
      <w:sz w:val="22"/>
      <w:szCs w:val="22"/>
      <w:lang w:val="en-US"/>
    </w:rPr>
  </w:style>
  <w:style w:type="paragraph" w:customStyle="1" w:styleId="Default">
    <w:name w:val="Default"/>
    <w:rsid w:val="008768C0"/>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microsoft.com/office/2007/relationships/diagramDrawing" Target="diagrams/drawing1.xml"/><Relationship Id="rId28" Type="http://schemas.openxmlformats.org/officeDocument/2006/relationships/header" Target="header7.xml"/><Relationship Id="rId36"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diagramData" Target="diagrams/data1.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59D923-5837-F441-844F-A3C456C2AFC5}" type="doc">
      <dgm:prSet loTypeId="urn:microsoft.com/office/officeart/2005/8/layout/arrow2" loCatId="process" qsTypeId="urn:microsoft.com/office/officeart/2005/8/quickstyle/simple2" qsCatId="simple" csTypeId="urn:microsoft.com/office/officeart/2005/8/colors/accent1_2" csCatId="accent1" phldr="1"/>
      <dgm:spPr/>
    </dgm:pt>
    <dgm:pt modelId="{94D6CE21-0F57-F049-9C1B-92FA5F295AE1}">
      <dgm:prSet phldrT="[Text]" custT="1"/>
      <dgm:spPr/>
      <dgm:t>
        <a:bodyPr/>
        <a:lstStyle/>
        <a:p>
          <a:r>
            <a:rPr lang="en-US" sz="900" b="0" dirty="0" smtClean="0"/>
            <a:t>Build knowledge and skills in the context of local priorities</a:t>
          </a:r>
          <a:endParaRPr lang="en-US" sz="900" b="0" dirty="0"/>
        </a:p>
      </dgm:t>
    </dgm:pt>
    <dgm:pt modelId="{25B3FDE1-0AF7-414B-9478-9DA8D4417C60}" type="parTrans" cxnId="{E0494592-670D-4143-8D8B-30DB1B8AAEDA}">
      <dgm:prSet/>
      <dgm:spPr/>
      <dgm:t>
        <a:bodyPr/>
        <a:lstStyle/>
        <a:p>
          <a:endParaRPr lang="en-US"/>
        </a:p>
      </dgm:t>
    </dgm:pt>
    <dgm:pt modelId="{FC00B1B6-3390-104C-A309-52445ECDE515}" type="sibTrans" cxnId="{E0494592-670D-4143-8D8B-30DB1B8AAEDA}">
      <dgm:prSet/>
      <dgm:spPr/>
      <dgm:t>
        <a:bodyPr/>
        <a:lstStyle/>
        <a:p>
          <a:endParaRPr lang="en-US"/>
        </a:p>
      </dgm:t>
    </dgm:pt>
    <dgm:pt modelId="{383A0198-70CB-FE45-B6B2-0602E718C899}">
      <dgm:prSet phldrT="[Text]" custT="1"/>
      <dgm:spPr/>
      <dgm:t>
        <a:bodyPr/>
        <a:lstStyle/>
        <a:p>
          <a:r>
            <a:rPr lang="en-US" sz="900" b="0" dirty="0" smtClean="0"/>
            <a:t>Facilitate participatory planning in communities to identify priority adaptation options</a:t>
          </a:r>
          <a:endParaRPr lang="en-US" sz="900" b="0" dirty="0"/>
        </a:p>
      </dgm:t>
    </dgm:pt>
    <dgm:pt modelId="{F8B227F4-D8C6-C74A-9836-A24A24638694}" type="parTrans" cxnId="{4C97626D-4ACB-294D-8B16-DF38F1C14C96}">
      <dgm:prSet/>
      <dgm:spPr/>
      <dgm:t>
        <a:bodyPr/>
        <a:lstStyle/>
        <a:p>
          <a:endParaRPr lang="en-US"/>
        </a:p>
      </dgm:t>
    </dgm:pt>
    <dgm:pt modelId="{2918DA54-5796-2149-BC1E-F7A87B707E88}" type="sibTrans" cxnId="{4C97626D-4ACB-294D-8B16-DF38F1C14C96}">
      <dgm:prSet/>
      <dgm:spPr/>
      <dgm:t>
        <a:bodyPr/>
        <a:lstStyle/>
        <a:p>
          <a:endParaRPr lang="en-US"/>
        </a:p>
      </dgm:t>
    </dgm:pt>
    <dgm:pt modelId="{4FF7900C-A6F3-B246-9CB0-0A4874B8136F}">
      <dgm:prSet phldrT="[Text]" custT="1"/>
      <dgm:spPr/>
      <dgm:t>
        <a:bodyPr/>
        <a:lstStyle/>
        <a:p>
          <a:r>
            <a:rPr lang="en-US" sz="900" b="0" dirty="0" smtClean="0"/>
            <a:t>Partner with local government to influence local development planning and secure resources for ongoing community resilience building</a:t>
          </a:r>
          <a:endParaRPr lang="en-US" sz="900" b="0" dirty="0"/>
        </a:p>
      </dgm:t>
    </dgm:pt>
    <dgm:pt modelId="{691EF075-6152-A74E-8C85-1F98FE462E19}" type="parTrans" cxnId="{CA758BAC-CE33-624D-91AC-DA43B504CCD6}">
      <dgm:prSet/>
      <dgm:spPr/>
      <dgm:t>
        <a:bodyPr/>
        <a:lstStyle/>
        <a:p>
          <a:endParaRPr lang="en-US"/>
        </a:p>
      </dgm:t>
    </dgm:pt>
    <dgm:pt modelId="{3BCEF9F5-B614-2B4A-A74E-FF4F6D7A4B19}" type="sibTrans" cxnId="{CA758BAC-CE33-624D-91AC-DA43B504CCD6}">
      <dgm:prSet/>
      <dgm:spPr/>
      <dgm:t>
        <a:bodyPr/>
        <a:lstStyle/>
        <a:p>
          <a:endParaRPr lang="en-US"/>
        </a:p>
      </dgm:t>
    </dgm:pt>
    <dgm:pt modelId="{E7376F3D-2273-3642-B5AA-22B721F50CD7}">
      <dgm:prSet phldrT="[Text]" custT="1"/>
      <dgm:spPr/>
      <dgm:t>
        <a:bodyPr/>
        <a:lstStyle/>
        <a:p>
          <a:r>
            <a:rPr lang="en-US" sz="900" b="0" dirty="0" smtClean="0"/>
            <a:t>Facilitate testing, monitoring, adoption and replication of the options to build community resilience</a:t>
          </a:r>
          <a:endParaRPr lang="en-US" sz="900" b="0" dirty="0"/>
        </a:p>
      </dgm:t>
    </dgm:pt>
    <dgm:pt modelId="{F907198D-80B7-D449-843A-4A8C3F2DA816}" type="parTrans" cxnId="{C1D156D7-C375-FE49-8243-19969BB141DA}">
      <dgm:prSet/>
      <dgm:spPr/>
      <dgm:t>
        <a:bodyPr/>
        <a:lstStyle/>
        <a:p>
          <a:endParaRPr lang="en-US"/>
        </a:p>
      </dgm:t>
    </dgm:pt>
    <dgm:pt modelId="{30EA6A01-47F0-1347-8854-9301D019D315}" type="sibTrans" cxnId="{C1D156D7-C375-FE49-8243-19969BB141DA}">
      <dgm:prSet/>
      <dgm:spPr/>
      <dgm:t>
        <a:bodyPr/>
        <a:lstStyle/>
        <a:p>
          <a:endParaRPr lang="en-US"/>
        </a:p>
      </dgm:t>
    </dgm:pt>
    <dgm:pt modelId="{2D192F84-029C-E143-A14A-D6184CA37B97}">
      <dgm:prSet phldrT="[Text]" custT="1"/>
      <dgm:spPr/>
      <dgm:t>
        <a:bodyPr/>
        <a:lstStyle/>
        <a:p>
          <a:r>
            <a:rPr lang="en-US" sz="900" b="0" dirty="0" smtClean="0"/>
            <a:t>Develop networks and outreach to extend the methods and models further</a:t>
          </a:r>
          <a:endParaRPr lang="en-US" sz="900" b="0" dirty="0"/>
        </a:p>
      </dgm:t>
    </dgm:pt>
    <dgm:pt modelId="{4284897F-8118-C94D-81D5-CC97E743754C}" type="parTrans" cxnId="{5C89AB27-BF1E-B246-9DD6-9B5DD7EFC245}">
      <dgm:prSet/>
      <dgm:spPr/>
      <dgm:t>
        <a:bodyPr/>
        <a:lstStyle/>
        <a:p>
          <a:endParaRPr lang="en-US"/>
        </a:p>
      </dgm:t>
    </dgm:pt>
    <dgm:pt modelId="{85ADA8B9-579C-CA4E-B6F0-12CEC8F9E0E3}" type="sibTrans" cxnId="{5C89AB27-BF1E-B246-9DD6-9B5DD7EFC245}">
      <dgm:prSet/>
      <dgm:spPr/>
      <dgm:t>
        <a:bodyPr/>
        <a:lstStyle/>
        <a:p>
          <a:endParaRPr lang="en-US"/>
        </a:p>
      </dgm:t>
    </dgm:pt>
    <dgm:pt modelId="{AD268BFB-C4B7-6E4D-9099-E28EB34051A8}" type="pres">
      <dgm:prSet presAssocID="{5C59D923-5837-F441-844F-A3C456C2AFC5}" presName="arrowDiagram" presStyleCnt="0">
        <dgm:presLayoutVars>
          <dgm:chMax val="5"/>
          <dgm:dir/>
          <dgm:resizeHandles val="exact"/>
        </dgm:presLayoutVars>
      </dgm:prSet>
      <dgm:spPr/>
    </dgm:pt>
    <dgm:pt modelId="{2E5D2ACA-8C05-F949-AD88-D72C53E0654B}" type="pres">
      <dgm:prSet presAssocID="{5C59D923-5837-F441-844F-A3C456C2AFC5}" presName="arrow" presStyleLbl="bgShp" presStyleIdx="0" presStyleCnt="1"/>
      <dgm:spPr/>
    </dgm:pt>
    <dgm:pt modelId="{A8401B24-DE21-BC40-B692-5865198C4E91}" type="pres">
      <dgm:prSet presAssocID="{5C59D923-5837-F441-844F-A3C456C2AFC5}" presName="arrowDiagram5" presStyleCnt="0"/>
      <dgm:spPr/>
    </dgm:pt>
    <dgm:pt modelId="{01E988C3-C52C-1248-A111-EDD531636468}" type="pres">
      <dgm:prSet presAssocID="{94D6CE21-0F57-F049-9C1B-92FA5F295AE1}" presName="bullet5a" presStyleLbl="node1" presStyleIdx="0" presStyleCnt="5"/>
      <dgm:spPr/>
    </dgm:pt>
    <dgm:pt modelId="{E9F7155F-3631-9D4D-BAD5-95E800BE7AD9}" type="pres">
      <dgm:prSet presAssocID="{94D6CE21-0F57-F049-9C1B-92FA5F295AE1}" presName="textBox5a" presStyleLbl="revTx" presStyleIdx="0" presStyleCnt="5" custScaleX="110084">
        <dgm:presLayoutVars>
          <dgm:bulletEnabled val="1"/>
        </dgm:presLayoutVars>
      </dgm:prSet>
      <dgm:spPr/>
      <dgm:t>
        <a:bodyPr/>
        <a:lstStyle/>
        <a:p>
          <a:endParaRPr lang="en-US"/>
        </a:p>
      </dgm:t>
    </dgm:pt>
    <dgm:pt modelId="{B2FB5F7A-360B-8F48-92FA-5F6102B61E8E}" type="pres">
      <dgm:prSet presAssocID="{383A0198-70CB-FE45-B6B2-0602E718C899}" presName="bullet5b" presStyleLbl="node1" presStyleIdx="1" presStyleCnt="5"/>
      <dgm:spPr/>
    </dgm:pt>
    <dgm:pt modelId="{0D9C75CA-BC63-3542-9DED-17CA2EEF3218}" type="pres">
      <dgm:prSet presAssocID="{383A0198-70CB-FE45-B6B2-0602E718C899}" presName="textBox5b" presStyleLbl="revTx" presStyleIdx="1" presStyleCnt="5">
        <dgm:presLayoutVars>
          <dgm:bulletEnabled val="1"/>
        </dgm:presLayoutVars>
      </dgm:prSet>
      <dgm:spPr/>
      <dgm:t>
        <a:bodyPr/>
        <a:lstStyle/>
        <a:p>
          <a:endParaRPr lang="en-US"/>
        </a:p>
      </dgm:t>
    </dgm:pt>
    <dgm:pt modelId="{FACEECF6-0935-014E-A7E5-4F863BFBB515}" type="pres">
      <dgm:prSet presAssocID="{E7376F3D-2273-3642-B5AA-22B721F50CD7}" presName="bullet5c" presStyleLbl="node1" presStyleIdx="2" presStyleCnt="5"/>
      <dgm:spPr/>
    </dgm:pt>
    <dgm:pt modelId="{9CF8581B-2FB4-6549-AE12-01DC6E735964}" type="pres">
      <dgm:prSet presAssocID="{E7376F3D-2273-3642-B5AA-22B721F50CD7}" presName="textBox5c" presStyleLbl="revTx" presStyleIdx="2" presStyleCnt="5">
        <dgm:presLayoutVars>
          <dgm:bulletEnabled val="1"/>
        </dgm:presLayoutVars>
      </dgm:prSet>
      <dgm:spPr/>
      <dgm:t>
        <a:bodyPr/>
        <a:lstStyle/>
        <a:p>
          <a:endParaRPr lang="en-US"/>
        </a:p>
      </dgm:t>
    </dgm:pt>
    <dgm:pt modelId="{979BE5D1-EE35-FA43-AB26-86747925FCB8}" type="pres">
      <dgm:prSet presAssocID="{4FF7900C-A6F3-B246-9CB0-0A4874B8136F}" presName="bullet5d" presStyleLbl="node1" presStyleIdx="3" presStyleCnt="5"/>
      <dgm:spPr/>
    </dgm:pt>
    <dgm:pt modelId="{8359217E-6B85-DF4B-98D8-48F2237325F9}" type="pres">
      <dgm:prSet presAssocID="{4FF7900C-A6F3-B246-9CB0-0A4874B8136F}" presName="textBox5d" presStyleLbl="revTx" presStyleIdx="3" presStyleCnt="5">
        <dgm:presLayoutVars>
          <dgm:bulletEnabled val="1"/>
        </dgm:presLayoutVars>
      </dgm:prSet>
      <dgm:spPr/>
      <dgm:t>
        <a:bodyPr/>
        <a:lstStyle/>
        <a:p>
          <a:endParaRPr lang="en-US"/>
        </a:p>
      </dgm:t>
    </dgm:pt>
    <dgm:pt modelId="{4E5640CF-4304-C540-B5F8-BD13D7B5CAC4}" type="pres">
      <dgm:prSet presAssocID="{2D192F84-029C-E143-A14A-D6184CA37B97}" presName="bullet5e" presStyleLbl="node1" presStyleIdx="4" presStyleCnt="5"/>
      <dgm:spPr/>
    </dgm:pt>
    <dgm:pt modelId="{C63A72E2-8A72-A445-BAD6-B2735BE84F86}" type="pres">
      <dgm:prSet presAssocID="{2D192F84-029C-E143-A14A-D6184CA37B97}" presName="textBox5e" presStyleLbl="revTx" presStyleIdx="4" presStyleCnt="5">
        <dgm:presLayoutVars>
          <dgm:bulletEnabled val="1"/>
        </dgm:presLayoutVars>
      </dgm:prSet>
      <dgm:spPr/>
      <dgm:t>
        <a:bodyPr/>
        <a:lstStyle/>
        <a:p>
          <a:endParaRPr lang="en-US"/>
        </a:p>
      </dgm:t>
    </dgm:pt>
  </dgm:ptLst>
  <dgm:cxnLst>
    <dgm:cxn modelId="{7EE2E860-3C8E-754F-B477-778610B064DE}" type="presOf" srcId="{383A0198-70CB-FE45-B6B2-0602E718C899}" destId="{0D9C75CA-BC63-3542-9DED-17CA2EEF3218}" srcOrd="0" destOrd="0" presId="urn:microsoft.com/office/officeart/2005/8/layout/arrow2"/>
    <dgm:cxn modelId="{2DAD227F-A9E2-4648-889D-A3BE7EA715D0}" type="presOf" srcId="{E7376F3D-2273-3642-B5AA-22B721F50CD7}" destId="{9CF8581B-2FB4-6549-AE12-01DC6E735964}" srcOrd="0" destOrd="0" presId="urn:microsoft.com/office/officeart/2005/8/layout/arrow2"/>
    <dgm:cxn modelId="{E0494592-670D-4143-8D8B-30DB1B8AAEDA}" srcId="{5C59D923-5837-F441-844F-A3C456C2AFC5}" destId="{94D6CE21-0F57-F049-9C1B-92FA5F295AE1}" srcOrd="0" destOrd="0" parTransId="{25B3FDE1-0AF7-414B-9478-9DA8D4417C60}" sibTransId="{FC00B1B6-3390-104C-A309-52445ECDE515}"/>
    <dgm:cxn modelId="{A2B55471-14DE-734F-8B5B-E02D117D0500}" type="presOf" srcId="{94D6CE21-0F57-F049-9C1B-92FA5F295AE1}" destId="{E9F7155F-3631-9D4D-BAD5-95E800BE7AD9}" srcOrd="0" destOrd="0" presId="urn:microsoft.com/office/officeart/2005/8/layout/arrow2"/>
    <dgm:cxn modelId="{36DE7C9E-11E4-4B44-B12E-1180A682BD26}" type="presOf" srcId="{4FF7900C-A6F3-B246-9CB0-0A4874B8136F}" destId="{8359217E-6B85-DF4B-98D8-48F2237325F9}" srcOrd="0" destOrd="0" presId="urn:microsoft.com/office/officeart/2005/8/layout/arrow2"/>
    <dgm:cxn modelId="{C1D156D7-C375-FE49-8243-19969BB141DA}" srcId="{5C59D923-5837-F441-844F-A3C456C2AFC5}" destId="{E7376F3D-2273-3642-B5AA-22B721F50CD7}" srcOrd="2" destOrd="0" parTransId="{F907198D-80B7-D449-843A-4A8C3F2DA816}" sibTransId="{30EA6A01-47F0-1347-8854-9301D019D315}"/>
    <dgm:cxn modelId="{5C89AB27-BF1E-B246-9DD6-9B5DD7EFC245}" srcId="{5C59D923-5837-F441-844F-A3C456C2AFC5}" destId="{2D192F84-029C-E143-A14A-D6184CA37B97}" srcOrd="4" destOrd="0" parTransId="{4284897F-8118-C94D-81D5-CC97E743754C}" sibTransId="{85ADA8B9-579C-CA4E-B6F0-12CEC8F9E0E3}"/>
    <dgm:cxn modelId="{04BD7D44-3056-3C4B-9BC5-160D2A92EBCD}" type="presOf" srcId="{5C59D923-5837-F441-844F-A3C456C2AFC5}" destId="{AD268BFB-C4B7-6E4D-9099-E28EB34051A8}" srcOrd="0" destOrd="0" presId="urn:microsoft.com/office/officeart/2005/8/layout/arrow2"/>
    <dgm:cxn modelId="{A997B3EB-C281-0F4C-BEF2-9590C8C2549C}" type="presOf" srcId="{2D192F84-029C-E143-A14A-D6184CA37B97}" destId="{C63A72E2-8A72-A445-BAD6-B2735BE84F86}" srcOrd="0" destOrd="0" presId="urn:microsoft.com/office/officeart/2005/8/layout/arrow2"/>
    <dgm:cxn modelId="{CA758BAC-CE33-624D-91AC-DA43B504CCD6}" srcId="{5C59D923-5837-F441-844F-A3C456C2AFC5}" destId="{4FF7900C-A6F3-B246-9CB0-0A4874B8136F}" srcOrd="3" destOrd="0" parTransId="{691EF075-6152-A74E-8C85-1F98FE462E19}" sibTransId="{3BCEF9F5-B614-2B4A-A74E-FF4F6D7A4B19}"/>
    <dgm:cxn modelId="{4C97626D-4ACB-294D-8B16-DF38F1C14C96}" srcId="{5C59D923-5837-F441-844F-A3C456C2AFC5}" destId="{383A0198-70CB-FE45-B6B2-0602E718C899}" srcOrd="1" destOrd="0" parTransId="{F8B227F4-D8C6-C74A-9836-A24A24638694}" sibTransId="{2918DA54-5796-2149-BC1E-F7A87B707E88}"/>
    <dgm:cxn modelId="{62F9A2A9-82E8-B94C-B0CB-71234D30866C}" type="presParOf" srcId="{AD268BFB-C4B7-6E4D-9099-E28EB34051A8}" destId="{2E5D2ACA-8C05-F949-AD88-D72C53E0654B}" srcOrd="0" destOrd="0" presId="urn:microsoft.com/office/officeart/2005/8/layout/arrow2"/>
    <dgm:cxn modelId="{1AEE1487-8385-D840-A4C8-79EA1281A4FC}" type="presParOf" srcId="{AD268BFB-C4B7-6E4D-9099-E28EB34051A8}" destId="{A8401B24-DE21-BC40-B692-5865198C4E91}" srcOrd="1" destOrd="0" presId="urn:microsoft.com/office/officeart/2005/8/layout/arrow2"/>
    <dgm:cxn modelId="{851C6DA6-6588-9640-B4AF-77B2F0930486}" type="presParOf" srcId="{A8401B24-DE21-BC40-B692-5865198C4E91}" destId="{01E988C3-C52C-1248-A111-EDD531636468}" srcOrd="0" destOrd="0" presId="urn:microsoft.com/office/officeart/2005/8/layout/arrow2"/>
    <dgm:cxn modelId="{B04294EF-1D8F-FB45-83AD-857E3EAD2C77}" type="presParOf" srcId="{A8401B24-DE21-BC40-B692-5865198C4E91}" destId="{E9F7155F-3631-9D4D-BAD5-95E800BE7AD9}" srcOrd="1" destOrd="0" presId="urn:microsoft.com/office/officeart/2005/8/layout/arrow2"/>
    <dgm:cxn modelId="{C1554302-1F53-3D47-BD64-01432C58F59A}" type="presParOf" srcId="{A8401B24-DE21-BC40-B692-5865198C4E91}" destId="{B2FB5F7A-360B-8F48-92FA-5F6102B61E8E}" srcOrd="2" destOrd="0" presId="urn:microsoft.com/office/officeart/2005/8/layout/arrow2"/>
    <dgm:cxn modelId="{61F9F7D1-F0A3-CE4E-8374-B022FFDCA8DC}" type="presParOf" srcId="{A8401B24-DE21-BC40-B692-5865198C4E91}" destId="{0D9C75CA-BC63-3542-9DED-17CA2EEF3218}" srcOrd="3" destOrd="0" presId="urn:microsoft.com/office/officeart/2005/8/layout/arrow2"/>
    <dgm:cxn modelId="{057CFC5F-DCA4-6A4B-BF58-611EBB790853}" type="presParOf" srcId="{A8401B24-DE21-BC40-B692-5865198C4E91}" destId="{FACEECF6-0935-014E-A7E5-4F863BFBB515}" srcOrd="4" destOrd="0" presId="urn:microsoft.com/office/officeart/2005/8/layout/arrow2"/>
    <dgm:cxn modelId="{5E8FF91E-B89E-F44B-AFB1-8CC9F7675E5C}" type="presParOf" srcId="{A8401B24-DE21-BC40-B692-5865198C4E91}" destId="{9CF8581B-2FB4-6549-AE12-01DC6E735964}" srcOrd="5" destOrd="0" presId="urn:microsoft.com/office/officeart/2005/8/layout/arrow2"/>
    <dgm:cxn modelId="{04891B5E-C237-D146-8863-48DEBBDA8818}" type="presParOf" srcId="{A8401B24-DE21-BC40-B692-5865198C4E91}" destId="{979BE5D1-EE35-FA43-AB26-86747925FCB8}" srcOrd="6" destOrd="0" presId="urn:microsoft.com/office/officeart/2005/8/layout/arrow2"/>
    <dgm:cxn modelId="{1C230FE2-D5D0-AD45-A62B-E89810EFC29C}" type="presParOf" srcId="{A8401B24-DE21-BC40-B692-5865198C4E91}" destId="{8359217E-6B85-DF4B-98D8-48F2237325F9}" srcOrd="7" destOrd="0" presId="urn:microsoft.com/office/officeart/2005/8/layout/arrow2"/>
    <dgm:cxn modelId="{09BD2AC5-6B5B-F142-9953-65586E6A698C}" type="presParOf" srcId="{A8401B24-DE21-BC40-B692-5865198C4E91}" destId="{4E5640CF-4304-C540-B5F8-BD13D7B5CAC4}" srcOrd="8" destOrd="0" presId="urn:microsoft.com/office/officeart/2005/8/layout/arrow2"/>
    <dgm:cxn modelId="{D454A787-3DF5-0A40-853C-746F5D0ACF61}" type="presParOf" srcId="{A8401B24-DE21-BC40-B692-5865198C4E91}" destId="{C63A72E2-8A72-A445-BAD6-B2735BE84F86}" srcOrd="9" destOrd="0" presId="urn:microsoft.com/office/officeart/2005/8/layout/arrow2"/>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5D2ACA-8C05-F949-AD88-D72C53E0654B}">
      <dsp:nvSpPr>
        <dsp:cNvPr id="0" name=""/>
        <dsp:cNvSpPr/>
      </dsp:nvSpPr>
      <dsp:spPr>
        <a:xfrm>
          <a:off x="0" y="8850"/>
          <a:ext cx="4681855" cy="2926159"/>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1E988C3-C52C-1248-A111-EDD531636468}">
      <dsp:nvSpPr>
        <dsp:cNvPr id="0" name=""/>
        <dsp:cNvSpPr/>
      </dsp:nvSpPr>
      <dsp:spPr>
        <a:xfrm>
          <a:off x="461162" y="2184742"/>
          <a:ext cx="107682" cy="107682"/>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9F7155F-3631-9D4D-BAD5-95E800BE7AD9}">
      <dsp:nvSpPr>
        <dsp:cNvPr id="0" name=""/>
        <dsp:cNvSpPr/>
      </dsp:nvSpPr>
      <dsp:spPr>
        <a:xfrm>
          <a:off x="484080" y="2238583"/>
          <a:ext cx="675170" cy="6964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059" tIns="0" rIns="0" bIns="0" numCol="1" spcCol="1270" anchor="t" anchorCtr="0">
          <a:noAutofit/>
        </a:bodyPr>
        <a:lstStyle/>
        <a:p>
          <a:pPr lvl="0" algn="l" defTabSz="400050">
            <a:lnSpc>
              <a:spcPct val="90000"/>
            </a:lnSpc>
            <a:spcBef>
              <a:spcPct val="0"/>
            </a:spcBef>
            <a:spcAft>
              <a:spcPct val="35000"/>
            </a:spcAft>
          </a:pPr>
          <a:r>
            <a:rPr lang="en-US" sz="900" b="0" kern="1200" dirty="0" smtClean="0"/>
            <a:t>Build knowledge and skills in the context of local priorities</a:t>
          </a:r>
          <a:endParaRPr lang="en-US" sz="900" b="0" kern="1200" dirty="0"/>
        </a:p>
      </dsp:txBody>
      <dsp:txXfrm>
        <a:off x="484080" y="2238583"/>
        <a:ext cx="675170" cy="696425"/>
      </dsp:txXfrm>
    </dsp:sp>
    <dsp:sp modelId="{B2FB5F7A-360B-8F48-92FA-5F6102B61E8E}">
      <dsp:nvSpPr>
        <dsp:cNvPr id="0" name=""/>
        <dsp:cNvSpPr/>
      </dsp:nvSpPr>
      <dsp:spPr>
        <a:xfrm>
          <a:off x="1044053" y="1624675"/>
          <a:ext cx="168546" cy="168546"/>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0D9C75CA-BC63-3542-9DED-17CA2EEF3218}">
      <dsp:nvSpPr>
        <dsp:cNvPr id="0" name=""/>
        <dsp:cNvSpPr/>
      </dsp:nvSpPr>
      <dsp:spPr>
        <a:xfrm>
          <a:off x="1128327" y="1708948"/>
          <a:ext cx="777187" cy="12260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9309" tIns="0" rIns="0" bIns="0" numCol="1" spcCol="1270" anchor="t" anchorCtr="0">
          <a:noAutofit/>
        </a:bodyPr>
        <a:lstStyle/>
        <a:p>
          <a:pPr lvl="0" algn="l" defTabSz="400050">
            <a:lnSpc>
              <a:spcPct val="90000"/>
            </a:lnSpc>
            <a:spcBef>
              <a:spcPct val="0"/>
            </a:spcBef>
            <a:spcAft>
              <a:spcPct val="35000"/>
            </a:spcAft>
          </a:pPr>
          <a:r>
            <a:rPr lang="en-US" sz="900" b="0" kern="1200" dirty="0" smtClean="0"/>
            <a:t>Facilitate participatory planning in communities to identify priority adaptation options</a:t>
          </a:r>
          <a:endParaRPr lang="en-US" sz="900" b="0" kern="1200" dirty="0"/>
        </a:p>
      </dsp:txBody>
      <dsp:txXfrm>
        <a:off x="1128327" y="1708948"/>
        <a:ext cx="777187" cy="1226060"/>
      </dsp:txXfrm>
    </dsp:sp>
    <dsp:sp modelId="{FACEECF6-0935-014E-A7E5-4F863BFBB515}">
      <dsp:nvSpPr>
        <dsp:cNvPr id="0" name=""/>
        <dsp:cNvSpPr/>
      </dsp:nvSpPr>
      <dsp:spPr>
        <a:xfrm>
          <a:off x="1793150" y="1178143"/>
          <a:ext cx="224729" cy="224729"/>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9CF8581B-2FB4-6549-AE12-01DC6E735964}">
      <dsp:nvSpPr>
        <dsp:cNvPr id="0" name=""/>
        <dsp:cNvSpPr/>
      </dsp:nvSpPr>
      <dsp:spPr>
        <a:xfrm>
          <a:off x="1905514" y="1290508"/>
          <a:ext cx="903598" cy="16445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9079" tIns="0" rIns="0" bIns="0" numCol="1" spcCol="1270" anchor="t" anchorCtr="0">
          <a:noAutofit/>
        </a:bodyPr>
        <a:lstStyle/>
        <a:p>
          <a:pPr lvl="0" algn="l" defTabSz="400050">
            <a:lnSpc>
              <a:spcPct val="90000"/>
            </a:lnSpc>
            <a:spcBef>
              <a:spcPct val="0"/>
            </a:spcBef>
            <a:spcAft>
              <a:spcPct val="35000"/>
            </a:spcAft>
          </a:pPr>
          <a:r>
            <a:rPr lang="en-US" sz="900" b="0" kern="1200" dirty="0" smtClean="0"/>
            <a:t>Facilitate testing, monitoring, adoption and replication of the options to build community resilience</a:t>
          </a:r>
          <a:endParaRPr lang="en-US" sz="900" b="0" kern="1200" dirty="0"/>
        </a:p>
      </dsp:txBody>
      <dsp:txXfrm>
        <a:off x="1905514" y="1290508"/>
        <a:ext cx="903598" cy="1644501"/>
      </dsp:txXfrm>
    </dsp:sp>
    <dsp:sp modelId="{979BE5D1-EE35-FA43-AB26-86747925FCB8}">
      <dsp:nvSpPr>
        <dsp:cNvPr id="0" name=""/>
        <dsp:cNvSpPr/>
      </dsp:nvSpPr>
      <dsp:spPr>
        <a:xfrm>
          <a:off x="2663975" y="829345"/>
          <a:ext cx="290275" cy="290275"/>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8359217E-6B85-DF4B-98D8-48F2237325F9}">
      <dsp:nvSpPr>
        <dsp:cNvPr id="0" name=""/>
        <dsp:cNvSpPr/>
      </dsp:nvSpPr>
      <dsp:spPr>
        <a:xfrm>
          <a:off x="2809113" y="974482"/>
          <a:ext cx="936371" cy="19605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3811" tIns="0" rIns="0" bIns="0" numCol="1" spcCol="1270" anchor="t" anchorCtr="0">
          <a:noAutofit/>
        </a:bodyPr>
        <a:lstStyle/>
        <a:p>
          <a:pPr lvl="0" algn="l" defTabSz="400050">
            <a:lnSpc>
              <a:spcPct val="90000"/>
            </a:lnSpc>
            <a:spcBef>
              <a:spcPct val="0"/>
            </a:spcBef>
            <a:spcAft>
              <a:spcPct val="35000"/>
            </a:spcAft>
          </a:pPr>
          <a:r>
            <a:rPr lang="en-US" sz="900" b="0" kern="1200" dirty="0" smtClean="0"/>
            <a:t>Partner with local government to influence local development planning and secure resources for ongoing community resilience building</a:t>
          </a:r>
          <a:endParaRPr lang="en-US" sz="900" b="0" kern="1200" dirty="0"/>
        </a:p>
      </dsp:txBody>
      <dsp:txXfrm>
        <a:off x="2809113" y="974482"/>
        <a:ext cx="936371" cy="1960526"/>
      </dsp:txXfrm>
    </dsp:sp>
    <dsp:sp modelId="{4E5640CF-4304-C540-B5F8-BD13D7B5CAC4}">
      <dsp:nvSpPr>
        <dsp:cNvPr id="0" name=""/>
        <dsp:cNvSpPr/>
      </dsp:nvSpPr>
      <dsp:spPr>
        <a:xfrm>
          <a:off x="3560550" y="596423"/>
          <a:ext cx="369866" cy="369866"/>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C63A72E2-8A72-A445-BAD6-B2735BE84F86}">
      <dsp:nvSpPr>
        <dsp:cNvPr id="0" name=""/>
        <dsp:cNvSpPr/>
      </dsp:nvSpPr>
      <dsp:spPr>
        <a:xfrm>
          <a:off x="3745484" y="781356"/>
          <a:ext cx="936371" cy="21536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5985" tIns="0" rIns="0" bIns="0" numCol="1" spcCol="1270" anchor="t" anchorCtr="0">
          <a:noAutofit/>
        </a:bodyPr>
        <a:lstStyle/>
        <a:p>
          <a:pPr lvl="0" algn="l" defTabSz="400050">
            <a:lnSpc>
              <a:spcPct val="90000"/>
            </a:lnSpc>
            <a:spcBef>
              <a:spcPct val="0"/>
            </a:spcBef>
            <a:spcAft>
              <a:spcPct val="35000"/>
            </a:spcAft>
          </a:pPr>
          <a:r>
            <a:rPr lang="en-US" sz="900" b="0" kern="1200" dirty="0" smtClean="0"/>
            <a:t>Develop networks and outreach to extend the methods and models further</a:t>
          </a:r>
          <a:endParaRPr lang="en-US" sz="900" b="0" kern="1200" dirty="0"/>
        </a:p>
      </dsp:txBody>
      <dsp:txXfrm>
        <a:off x="3745484" y="781356"/>
        <a:ext cx="936371" cy="2153653"/>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53E5C7-787A-493B-8DB0-471BF45D85DF}"/>
</file>

<file path=customXml/itemProps2.xml><?xml version="1.0" encoding="utf-8"?>
<ds:datastoreItem xmlns:ds="http://schemas.openxmlformats.org/officeDocument/2006/customXml" ds:itemID="{71C3BAED-1A53-4AD4-AA91-23869D1B8616}"/>
</file>

<file path=customXml/itemProps3.xml><?xml version="1.0" encoding="utf-8"?>
<ds:datastoreItem xmlns:ds="http://schemas.openxmlformats.org/officeDocument/2006/customXml" ds:itemID="{BD9E909F-FB47-4591-8E08-0F735489B17B}"/>
</file>

<file path=customXml/itemProps4.xml><?xml version="1.0" encoding="utf-8"?>
<ds:datastoreItem xmlns:ds="http://schemas.openxmlformats.org/officeDocument/2006/customXml" ds:itemID="{FE024207-4AFC-4204-A499-2E5D1B04EFCF}"/>
</file>

<file path=docProps/app.xml><?xml version="1.0" encoding="utf-8"?>
<Properties xmlns="http://schemas.openxmlformats.org/officeDocument/2006/extended-properties" xmlns:vt="http://schemas.openxmlformats.org/officeDocument/2006/docPropsVTypes">
  <Template>CF45FBD6</Template>
  <TotalTime>0</TotalTime>
  <Pages>66</Pages>
  <Words>28960</Words>
  <Characters>165077</Characters>
  <Application>Microsoft Office Word</Application>
  <DocSecurity>0</DocSecurity>
  <Lines>1375</Lines>
  <Paragraphs>387</Paragraphs>
  <ScaleCrop>false</ScaleCrop>
  <Company/>
  <LinksUpToDate>false</LinksUpToDate>
  <CharactersWithSpaces>193650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2016-04-22T04:36:00Z</dcterms:created>
  <dcterms:modified xsi:type="dcterms:W3CDTF">2016-04-22T04:36:00Z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0ed495f9-b78c-4dd1-926d-d403ce6d14e1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1033300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