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charts/chart1.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8A" w:rsidRPr="00A85E64" w:rsidRDefault="00DE568A" w:rsidP="00DE568A">
      <w:pPr>
        <w:pStyle w:val="Heading2"/>
        <w:numPr>
          <w:ilvl w:val="0"/>
          <w:numId w:val="0"/>
        </w:numPr>
        <w:ind w:left="576" w:hanging="576"/>
        <w:jc w:val="center"/>
        <w:rPr>
          <w:rStyle w:val="Lead-inEmphasis"/>
        </w:rPr>
      </w:pPr>
      <w:bookmarkStart w:id="0" w:name="_GoBack"/>
      <w:bookmarkEnd w:id="0"/>
      <w:r>
        <w:rPr>
          <w:noProof/>
        </w:rPr>
        <w:drawing>
          <wp:anchor distT="36576" distB="36576" distL="36576" distR="36576" simplePos="0" relativeHeight="251683328" behindDoc="0" locked="0" layoutInCell="1" allowOverlap="1">
            <wp:simplePos x="0" y="0"/>
            <wp:positionH relativeFrom="column">
              <wp:posOffset>4821555</wp:posOffset>
            </wp:positionH>
            <wp:positionV relativeFrom="paragraph">
              <wp:posOffset>-704850</wp:posOffset>
            </wp:positionV>
            <wp:extent cx="981075" cy="638175"/>
            <wp:effectExtent l="19050" t="0" r="952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81075" cy="638175"/>
                    </a:xfrm>
                    <a:prstGeom prst="rect">
                      <a:avLst/>
                    </a:prstGeom>
                    <a:noFill/>
                    <a:ln w="9525" algn="in">
                      <a:noFill/>
                      <a:miter lim="800000"/>
                      <a:headEnd/>
                      <a:tailEnd/>
                    </a:ln>
                    <a:effectLst/>
                  </pic:spPr>
                </pic:pic>
              </a:graphicData>
            </a:graphic>
          </wp:anchor>
        </w:drawing>
      </w:r>
      <w:r>
        <w:rPr>
          <w:noProof/>
        </w:rPr>
        <w:drawing>
          <wp:anchor distT="0" distB="0" distL="114300" distR="114300" simplePos="0" relativeHeight="251684352" behindDoc="0" locked="0" layoutInCell="1" allowOverlap="1">
            <wp:simplePos x="0" y="0"/>
            <wp:positionH relativeFrom="column">
              <wp:posOffset>2259330</wp:posOffset>
            </wp:positionH>
            <wp:positionV relativeFrom="paragraph">
              <wp:posOffset>-790575</wp:posOffset>
            </wp:positionV>
            <wp:extent cx="990600" cy="723900"/>
            <wp:effectExtent l="1905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990600" cy="723900"/>
                    </a:xfrm>
                    <a:prstGeom prst="rect">
                      <a:avLst/>
                    </a:prstGeom>
                    <a:noFill/>
                  </pic:spPr>
                </pic:pic>
              </a:graphicData>
            </a:graphic>
          </wp:anchor>
        </w:drawing>
      </w:r>
      <w:r>
        <w:rPr>
          <w:noProof/>
        </w:rPr>
        <w:drawing>
          <wp:anchor distT="36576" distB="36576" distL="36576" distR="36576" simplePos="0" relativeHeight="251685376" behindDoc="0" locked="0" layoutInCell="1" allowOverlap="1">
            <wp:simplePos x="0" y="0"/>
            <wp:positionH relativeFrom="column">
              <wp:posOffset>-560070</wp:posOffset>
            </wp:positionH>
            <wp:positionV relativeFrom="paragraph">
              <wp:posOffset>-638175</wp:posOffset>
            </wp:positionV>
            <wp:extent cx="1362075" cy="676275"/>
            <wp:effectExtent l="19050" t="0" r="9525"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62075" cy="676275"/>
                    </a:xfrm>
                    <a:prstGeom prst="rect">
                      <a:avLst/>
                    </a:prstGeom>
                    <a:noFill/>
                    <a:ln w="9525" algn="in">
                      <a:noFill/>
                      <a:miter lim="800000"/>
                      <a:headEnd/>
                      <a:tailEnd/>
                    </a:ln>
                    <a:effectLst/>
                  </pic:spPr>
                </pic:pic>
              </a:graphicData>
            </a:graphic>
          </wp:anchor>
        </w:drawing>
      </w:r>
      <w:r w:rsidRPr="00B37554">
        <w:t>CIVIL SOCIETY SUPPORT PROGRAMME (CSSP)</w:t>
      </w:r>
    </w:p>
    <w:p w:rsidR="000D6AB7" w:rsidRPr="00EA7065" w:rsidRDefault="00EA7065" w:rsidP="00EA7065">
      <w:pPr>
        <w:pStyle w:val="Heading2"/>
        <w:numPr>
          <w:ilvl w:val="0"/>
          <w:numId w:val="0"/>
        </w:numPr>
        <w:rPr>
          <w:sz w:val="36"/>
          <w:szCs w:val="36"/>
        </w:rPr>
      </w:pPr>
      <w:r>
        <w:rPr>
          <w:noProof/>
        </w:rPr>
        <w:drawing>
          <wp:anchor distT="0" distB="0" distL="114300" distR="114300" simplePos="0" relativeHeight="251682304" behindDoc="0" locked="0" layoutInCell="1" allowOverlap="1">
            <wp:simplePos x="0" y="0"/>
            <wp:positionH relativeFrom="column">
              <wp:posOffset>9504045</wp:posOffset>
            </wp:positionH>
            <wp:positionV relativeFrom="paragraph">
              <wp:posOffset>467995</wp:posOffset>
            </wp:positionV>
            <wp:extent cx="756285" cy="585470"/>
            <wp:effectExtent l="19050" t="0" r="5715"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56285" cy="585470"/>
                    </a:xfrm>
                    <a:prstGeom prst="rect">
                      <a:avLst/>
                    </a:prstGeom>
                    <a:noFill/>
                  </pic:spPr>
                </pic:pic>
              </a:graphicData>
            </a:graphic>
          </wp:anchor>
        </w:drawing>
      </w:r>
      <w:r>
        <w:rPr>
          <w:noProof/>
        </w:rPr>
        <w:drawing>
          <wp:anchor distT="0" distB="0" distL="114300" distR="114300" simplePos="0" relativeHeight="251681280" behindDoc="0" locked="0" layoutInCell="1" allowOverlap="1">
            <wp:simplePos x="0" y="0"/>
            <wp:positionH relativeFrom="column">
              <wp:posOffset>9504045</wp:posOffset>
            </wp:positionH>
            <wp:positionV relativeFrom="paragraph">
              <wp:posOffset>467995</wp:posOffset>
            </wp:positionV>
            <wp:extent cx="756285" cy="585470"/>
            <wp:effectExtent l="19050" t="0" r="5715"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756285" cy="585470"/>
                    </a:xfrm>
                    <a:prstGeom prst="rect">
                      <a:avLst/>
                    </a:prstGeom>
                    <a:noFill/>
                  </pic:spPr>
                </pic:pic>
              </a:graphicData>
            </a:graphic>
          </wp:anchor>
        </w:drawing>
      </w:r>
      <w:r>
        <w:rPr>
          <w:noProof/>
        </w:rPr>
        <w:drawing>
          <wp:anchor distT="36576" distB="36576" distL="36576" distR="36576" simplePos="0" relativeHeight="251680256" behindDoc="0" locked="0" layoutInCell="1" allowOverlap="1">
            <wp:simplePos x="0" y="0"/>
            <wp:positionH relativeFrom="column">
              <wp:posOffset>7451725</wp:posOffset>
            </wp:positionH>
            <wp:positionV relativeFrom="paragraph">
              <wp:posOffset>440055</wp:posOffset>
            </wp:positionV>
            <wp:extent cx="647700" cy="572770"/>
            <wp:effectExtent l="19050" t="0" r="0" b="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7700" cy="57277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79232" behindDoc="0" locked="0" layoutInCell="1" allowOverlap="1">
            <wp:simplePos x="0" y="0"/>
            <wp:positionH relativeFrom="column">
              <wp:posOffset>7451725</wp:posOffset>
            </wp:positionH>
            <wp:positionV relativeFrom="paragraph">
              <wp:posOffset>440055</wp:posOffset>
            </wp:positionV>
            <wp:extent cx="647700" cy="572770"/>
            <wp:effectExtent l="1905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47700" cy="572770"/>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78208" behindDoc="0" locked="0" layoutInCell="1" allowOverlap="1">
            <wp:simplePos x="0" y="0"/>
            <wp:positionH relativeFrom="column">
              <wp:posOffset>7451725</wp:posOffset>
            </wp:positionH>
            <wp:positionV relativeFrom="paragraph">
              <wp:posOffset>440055</wp:posOffset>
            </wp:positionV>
            <wp:extent cx="647700" cy="572770"/>
            <wp:effectExtent l="1905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7700" cy="572770"/>
                    </a:xfrm>
                    <a:prstGeom prst="rect">
                      <a:avLst/>
                    </a:prstGeom>
                    <a:noFill/>
                    <a:ln w="9525" algn="in">
                      <a:noFill/>
                      <a:miter lim="800000"/>
                      <a:headEnd/>
                      <a:tailEnd/>
                    </a:ln>
                    <a:effectLst/>
                  </pic:spPr>
                </pic:pic>
              </a:graphicData>
            </a:graphic>
          </wp:anchor>
        </w:drawing>
      </w:r>
    </w:p>
    <w:p w:rsidR="000D6AB7" w:rsidRPr="004A63C7" w:rsidRDefault="000D6AB7" w:rsidP="005918A0">
      <w:pPr>
        <w:rPr>
          <w:rFonts w:cstheme="minorHAnsi"/>
          <w:sz w:val="36"/>
          <w:szCs w:val="36"/>
        </w:rPr>
      </w:pPr>
    </w:p>
    <w:p w:rsidR="005918A0" w:rsidRPr="004A63C7" w:rsidRDefault="00D47977" w:rsidP="00D47977">
      <w:pPr>
        <w:ind w:left="360"/>
        <w:jc w:val="center"/>
        <w:rPr>
          <w:rFonts w:cstheme="minorHAnsi"/>
          <w:b/>
          <w:sz w:val="36"/>
          <w:szCs w:val="36"/>
        </w:rPr>
      </w:pPr>
      <w:r w:rsidRPr="004A63C7">
        <w:rPr>
          <w:rFonts w:cstheme="minorHAnsi"/>
          <w:b/>
          <w:sz w:val="36"/>
          <w:szCs w:val="36"/>
        </w:rPr>
        <w:t>ANNUAL REPORT</w:t>
      </w:r>
    </w:p>
    <w:p w:rsidR="005918A0" w:rsidRPr="004A63C7" w:rsidRDefault="00D47977" w:rsidP="00D47977">
      <w:pPr>
        <w:ind w:left="360"/>
        <w:jc w:val="center"/>
        <w:rPr>
          <w:rFonts w:cstheme="minorHAnsi"/>
          <w:b/>
          <w:sz w:val="36"/>
          <w:szCs w:val="36"/>
        </w:rPr>
      </w:pPr>
      <w:r w:rsidRPr="004A63C7">
        <w:rPr>
          <w:rFonts w:cstheme="minorHAnsi"/>
          <w:b/>
          <w:sz w:val="36"/>
          <w:szCs w:val="36"/>
        </w:rPr>
        <w:t>2011-2012</w:t>
      </w:r>
    </w:p>
    <w:p w:rsidR="000D6AB7" w:rsidRDefault="00543DF1" w:rsidP="005918A0">
      <w:pPr>
        <w:ind w:left="720" w:hanging="720"/>
        <w:jc w:val="center"/>
        <w:rPr>
          <w:rFonts w:cstheme="minorHAnsi"/>
          <w:b/>
          <w:sz w:val="32"/>
          <w:szCs w:val="32"/>
        </w:rPr>
      </w:pPr>
      <w:r>
        <w:rPr>
          <w:noProof/>
        </w:rPr>
        <mc:AlternateContent>
          <mc:Choice Requires="wps">
            <w:drawing>
              <wp:anchor distT="0" distB="0" distL="114300" distR="114300" simplePos="0" relativeHeight="251676160" behindDoc="0" locked="0" layoutInCell="1" allowOverlap="1">
                <wp:simplePos x="0" y="0"/>
                <wp:positionH relativeFrom="column">
                  <wp:posOffset>-302895</wp:posOffset>
                </wp:positionH>
                <wp:positionV relativeFrom="paragraph">
                  <wp:posOffset>3632200</wp:posOffset>
                </wp:positionV>
                <wp:extent cx="6010275" cy="266700"/>
                <wp:effectExtent l="0" t="0" r="0" b="1905"/>
                <wp:wrapNone/>
                <wp:docPr id="2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1B67" w:rsidRPr="00CA7FDB" w:rsidRDefault="00671B67" w:rsidP="00CA7FDB">
                            <w:pPr>
                              <w:pStyle w:val="Caption"/>
                              <w:jc w:val="center"/>
                              <w:rPr>
                                <w:rFonts w:cstheme="minorHAnsi"/>
                                <w:b w:val="0"/>
                                <w:noProof/>
                                <w:color w:val="000000" w:themeColor="text1"/>
                                <w:sz w:val="32"/>
                                <w:szCs w:val="32"/>
                              </w:rPr>
                            </w:pPr>
                            <w:r w:rsidRPr="00CA7FDB">
                              <w:rPr>
                                <w:b w:val="0"/>
                                <w:color w:val="000000" w:themeColor="text1"/>
                              </w:rPr>
                              <w:t>Forty four approved applicants for water harvesting, April 27</w:t>
                            </w:r>
                            <w:r w:rsidRPr="00CA7FDB">
                              <w:rPr>
                                <w:b w:val="0"/>
                                <w:color w:val="000000" w:themeColor="text1"/>
                                <w:vertAlign w:val="superscript"/>
                              </w:rPr>
                              <w:t>th</w:t>
                            </w:r>
                            <w:r w:rsidRPr="00CA7FDB">
                              <w:rPr>
                                <w:b w:val="0"/>
                                <w:color w:val="000000" w:themeColor="text1"/>
                              </w:rPr>
                              <w:t xml:space="preserve"> 2010.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23.85pt;margin-top:286pt;width:473.2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" stroked="f">
                <v:textbox style="mso-fit-shape-to-text:t" inset="0,0,0,0">
                  <w:txbxContent>
                    <w:p w:rsidR="00671B67" w:rsidRPr="00CA7FDB" w:rsidRDefault="00671B67" w:rsidP="00CA7FDB">
                      <w:pPr>
                        <w:pStyle w:val="Caption"/>
                        <w:jc w:val="center"/>
                        <w:rPr>
                          <w:rFonts w:cstheme="minorHAnsi"/>
                          <w:b w:val="0"/>
                          <w:noProof/>
                          <w:color w:val="000000" w:themeColor="text1"/>
                          <w:sz w:val="32"/>
                          <w:szCs w:val="32"/>
                        </w:rPr>
                      </w:pPr>
                      <w:r w:rsidRPr="00CA7FDB">
                        <w:rPr>
                          <w:b w:val="0"/>
                          <w:color w:val="000000" w:themeColor="text1"/>
                        </w:rPr>
                        <w:t>Forty four approved applicants for water harvesting, April 27</w:t>
                      </w:r>
                      <w:r w:rsidRPr="00CA7FDB">
                        <w:rPr>
                          <w:b w:val="0"/>
                          <w:color w:val="000000" w:themeColor="text1"/>
                          <w:vertAlign w:val="superscript"/>
                        </w:rPr>
                        <w:t>th</w:t>
                      </w:r>
                      <w:r w:rsidRPr="00CA7FDB">
                        <w:rPr>
                          <w:b w:val="0"/>
                          <w:color w:val="000000" w:themeColor="text1"/>
                        </w:rPr>
                        <w:t xml:space="preserve"> 2010.</w:t>
                      </w:r>
                    </w:p>
                  </w:txbxContent>
                </v:textbox>
              </v:shape>
            </w:pict>
          </mc:Fallback>
        </mc:AlternateContent>
      </w:r>
      <w:r w:rsidR="000D6AB7">
        <w:rPr>
          <w:rFonts w:cstheme="minorHAnsi"/>
          <w:b/>
          <w:noProof/>
          <w:sz w:val="32"/>
          <w:szCs w:val="32"/>
        </w:rPr>
        <w:drawing>
          <wp:anchor distT="0" distB="0" distL="114300" distR="114300" simplePos="0" relativeHeight="251674112" behindDoc="0" locked="0" layoutInCell="1" allowOverlap="1">
            <wp:simplePos x="0" y="0"/>
            <wp:positionH relativeFrom="column">
              <wp:posOffset>-302895</wp:posOffset>
            </wp:positionH>
            <wp:positionV relativeFrom="paragraph">
              <wp:posOffset>365125</wp:posOffset>
            </wp:positionV>
            <wp:extent cx="6010275" cy="3209925"/>
            <wp:effectExtent l="19050" t="0" r="9525" b="0"/>
            <wp:wrapNone/>
            <wp:docPr id="1" name="Picture 0" descr="with Australian 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 Australian HC.JPG"/>
                    <pic:cNvPicPr/>
                  </pic:nvPicPr>
                  <pic:blipFill>
                    <a:blip r:embed="rId13" cstate="print">
                      <a:lum bright="9000" contrast="7000"/>
                    </a:blip>
                    <a:srcRect t="30769" r="2708"/>
                    <a:stretch>
                      <a:fillRect/>
                    </a:stretch>
                  </pic:blipFill>
                  <pic:spPr>
                    <a:xfrm>
                      <a:off x="0" y="0"/>
                      <a:ext cx="6010275" cy="3209925"/>
                    </a:xfrm>
                    <a:prstGeom prst="rect">
                      <a:avLst/>
                    </a:prstGeom>
                    <a:ln>
                      <a:noFill/>
                    </a:ln>
                    <a:effectLst>
                      <a:softEdge rad="112500"/>
                    </a:effectLst>
                  </pic:spPr>
                </pic:pic>
              </a:graphicData>
            </a:graphic>
          </wp:anchor>
        </w:drawing>
      </w:r>
    </w:p>
    <w:p w:rsidR="000D6AB7" w:rsidRPr="004017EA" w:rsidRDefault="000D6AB7" w:rsidP="005918A0">
      <w:pPr>
        <w:ind w:left="720" w:hanging="720"/>
        <w:jc w:val="center"/>
        <w:rPr>
          <w:rFonts w:cstheme="minorHAnsi"/>
          <w:b/>
          <w:sz w:val="32"/>
          <w:szCs w:val="32"/>
        </w:rPr>
      </w:pPr>
    </w:p>
    <w:p w:rsidR="005918A0" w:rsidRPr="004017EA" w:rsidRDefault="005918A0" w:rsidP="005918A0">
      <w:pPr>
        <w:ind w:left="360"/>
        <w:jc w:val="center"/>
        <w:rPr>
          <w:rFonts w:cstheme="minorHAnsi"/>
          <w:b/>
          <w:sz w:val="32"/>
          <w:szCs w:val="32"/>
        </w:rPr>
      </w:pPr>
    </w:p>
    <w:p w:rsidR="005918A0" w:rsidRPr="004017EA" w:rsidRDefault="005918A0" w:rsidP="005918A0">
      <w:pPr>
        <w:ind w:left="360"/>
        <w:jc w:val="center"/>
        <w:rPr>
          <w:rFonts w:cstheme="minorHAnsi"/>
          <w:b/>
          <w:sz w:val="32"/>
          <w:szCs w:val="32"/>
        </w:rPr>
      </w:pPr>
    </w:p>
    <w:p w:rsidR="005918A0" w:rsidRPr="004017EA" w:rsidRDefault="005918A0" w:rsidP="005918A0">
      <w:pPr>
        <w:ind w:left="360"/>
        <w:jc w:val="center"/>
        <w:rPr>
          <w:rFonts w:cstheme="minorHAnsi"/>
          <w:b/>
          <w:sz w:val="32"/>
          <w:szCs w:val="32"/>
        </w:rPr>
      </w:pPr>
    </w:p>
    <w:p w:rsidR="005918A0" w:rsidRPr="004017EA" w:rsidRDefault="005918A0" w:rsidP="005918A0">
      <w:pPr>
        <w:ind w:left="360"/>
        <w:jc w:val="center"/>
        <w:rPr>
          <w:rFonts w:cstheme="minorHAnsi"/>
          <w:b/>
          <w:sz w:val="32"/>
          <w:szCs w:val="32"/>
        </w:rPr>
      </w:pPr>
    </w:p>
    <w:p w:rsidR="005918A0" w:rsidRPr="004017EA" w:rsidRDefault="005918A0" w:rsidP="005918A0">
      <w:pPr>
        <w:ind w:left="360"/>
        <w:jc w:val="center"/>
        <w:rPr>
          <w:rFonts w:cstheme="minorHAnsi"/>
          <w:b/>
          <w:sz w:val="32"/>
          <w:szCs w:val="32"/>
        </w:rPr>
      </w:pPr>
    </w:p>
    <w:p w:rsidR="005918A0" w:rsidRDefault="005918A0" w:rsidP="005918A0">
      <w:pPr>
        <w:rPr>
          <w:rFonts w:cstheme="minorHAnsi"/>
          <w:b/>
          <w:sz w:val="28"/>
          <w:szCs w:val="28"/>
        </w:rPr>
      </w:pPr>
    </w:p>
    <w:p w:rsidR="004A63C7" w:rsidRDefault="004A63C7" w:rsidP="005918A0">
      <w:pPr>
        <w:rPr>
          <w:rFonts w:cstheme="minorHAnsi"/>
          <w:b/>
          <w:sz w:val="28"/>
          <w:szCs w:val="28"/>
        </w:rPr>
      </w:pPr>
    </w:p>
    <w:p w:rsidR="004A63C7" w:rsidRDefault="004A63C7" w:rsidP="005918A0">
      <w:pPr>
        <w:rPr>
          <w:rFonts w:cstheme="minorHAnsi"/>
          <w:b/>
          <w:sz w:val="28"/>
          <w:szCs w:val="28"/>
        </w:rPr>
      </w:pPr>
    </w:p>
    <w:p w:rsidR="004A63C7" w:rsidRDefault="004A63C7" w:rsidP="005918A0">
      <w:pPr>
        <w:rPr>
          <w:rFonts w:cstheme="minorHAnsi"/>
          <w:b/>
          <w:sz w:val="28"/>
          <w:szCs w:val="28"/>
        </w:rPr>
      </w:pPr>
    </w:p>
    <w:p w:rsidR="004A63C7" w:rsidRPr="004017EA" w:rsidRDefault="004A63C7" w:rsidP="005918A0">
      <w:pPr>
        <w:rPr>
          <w:rFonts w:cstheme="minorHAnsi"/>
          <w:b/>
          <w:sz w:val="28"/>
          <w:szCs w:val="28"/>
        </w:rPr>
      </w:pPr>
    </w:p>
    <w:p w:rsidR="00D47977" w:rsidRDefault="005918A0" w:rsidP="00D47977">
      <w:pPr>
        <w:ind w:left="360"/>
        <w:jc w:val="center"/>
        <w:rPr>
          <w:rFonts w:cstheme="minorHAnsi"/>
          <w:b/>
          <w:sz w:val="28"/>
          <w:szCs w:val="28"/>
        </w:rPr>
      </w:pPr>
      <w:r w:rsidRPr="004017EA">
        <w:rPr>
          <w:rFonts w:cstheme="minorHAnsi"/>
          <w:b/>
          <w:sz w:val="28"/>
          <w:szCs w:val="28"/>
        </w:rPr>
        <w:t>Submitted 1 September 2012</w:t>
      </w:r>
      <w:r w:rsidR="00D47977">
        <w:rPr>
          <w:rFonts w:cstheme="minorHAnsi"/>
          <w:b/>
          <w:sz w:val="28"/>
          <w:szCs w:val="28"/>
        </w:rPr>
        <w:t xml:space="preserve"> </w:t>
      </w:r>
    </w:p>
    <w:p w:rsidR="005918A0" w:rsidRPr="00E86929" w:rsidRDefault="00EA7065" w:rsidP="00E86929">
      <w:pPr>
        <w:ind w:left="360"/>
        <w:jc w:val="center"/>
        <w:rPr>
          <w:rFonts w:cstheme="minorHAnsi"/>
          <w:b/>
          <w:sz w:val="28"/>
          <w:szCs w:val="28"/>
        </w:rPr>
      </w:pPr>
      <w:proofErr w:type="spellStart"/>
      <w:r>
        <w:rPr>
          <w:rFonts w:cstheme="minorHAnsi"/>
          <w:b/>
          <w:sz w:val="28"/>
          <w:szCs w:val="28"/>
        </w:rPr>
        <w:t>Leiataua</w:t>
      </w:r>
      <w:proofErr w:type="spellEnd"/>
      <w:r>
        <w:rPr>
          <w:rFonts w:cstheme="minorHAnsi"/>
          <w:b/>
          <w:sz w:val="28"/>
          <w:szCs w:val="28"/>
        </w:rPr>
        <w:t xml:space="preserve"> </w:t>
      </w:r>
      <w:proofErr w:type="spellStart"/>
      <w:r>
        <w:rPr>
          <w:rFonts w:cstheme="minorHAnsi"/>
          <w:b/>
          <w:sz w:val="28"/>
          <w:szCs w:val="28"/>
        </w:rPr>
        <w:t>Lesa</w:t>
      </w:r>
      <w:proofErr w:type="spellEnd"/>
      <w:r>
        <w:rPr>
          <w:rFonts w:cstheme="minorHAnsi"/>
          <w:b/>
          <w:sz w:val="28"/>
          <w:szCs w:val="28"/>
        </w:rPr>
        <w:t xml:space="preserve"> Gladys (</w:t>
      </w:r>
      <w:proofErr w:type="spellStart"/>
      <w:r>
        <w:rPr>
          <w:rFonts w:cstheme="minorHAnsi"/>
          <w:b/>
          <w:sz w:val="28"/>
          <w:szCs w:val="28"/>
        </w:rPr>
        <w:t>Kilali</w:t>
      </w:r>
      <w:proofErr w:type="spellEnd"/>
      <w:r>
        <w:rPr>
          <w:rFonts w:cstheme="minorHAnsi"/>
          <w:b/>
          <w:sz w:val="28"/>
          <w:szCs w:val="28"/>
        </w:rPr>
        <w:t xml:space="preserve">) </w:t>
      </w:r>
      <w:proofErr w:type="spellStart"/>
      <w:r>
        <w:rPr>
          <w:rFonts w:cstheme="minorHAnsi"/>
          <w:b/>
          <w:sz w:val="28"/>
          <w:szCs w:val="28"/>
        </w:rPr>
        <w:t>Alailima</w:t>
      </w:r>
      <w:proofErr w:type="spellEnd"/>
      <w:r>
        <w:rPr>
          <w:rFonts w:cstheme="minorHAnsi"/>
          <w:b/>
          <w:sz w:val="28"/>
          <w:szCs w:val="28"/>
        </w:rPr>
        <w:t>, Programme Manager</w:t>
      </w:r>
    </w:p>
    <w:p w:rsidR="005918A0" w:rsidRPr="004017EA" w:rsidRDefault="005918A0" w:rsidP="005918A0">
      <w:pPr>
        <w:keepNext/>
        <w:pageBreakBefore/>
        <w:spacing w:after="480"/>
        <w:rPr>
          <w:rFonts w:cstheme="minorHAnsi"/>
        </w:rPr>
        <w:sectPr w:rsidR="005918A0" w:rsidRPr="004017EA" w:rsidSect="00D823C9">
          <w:footerReference w:type="default" r:id="rId14"/>
          <w:footerReference w:type="first" r:id="rId15"/>
          <w:pgSz w:w="11906" w:h="16838" w:code="9"/>
          <w:pgMar w:top="1440" w:right="1797" w:bottom="1440" w:left="1797" w:header="567" w:footer="431" w:gutter="0"/>
          <w:pgNumType w:fmt="lowerRoman" w:start="1"/>
          <w:cols w:space="708"/>
          <w:titlePg/>
          <w:docGrid w:linePitch="360"/>
        </w:sectPr>
      </w:pPr>
    </w:p>
    <w:p w:rsidR="005918A0" w:rsidRPr="004017EA" w:rsidRDefault="005918A0" w:rsidP="005918A0">
      <w:pPr>
        <w:pStyle w:val="Heading1"/>
        <w:spacing w:before="0"/>
        <w:rPr>
          <w:rFonts w:asciiTheme="minorHAnsi" w:hAnsiTheme="minorHAnsi" w:cstheme="minorHAnsi"/>
          <w:b w:val="0"/>
          <w:i/>
          <w:sz w:val="24"/>
        </w:rPr>
      </w:pPr>
      <w:bookmarkStart w:id="1" w:name="_Toc331085538"/>
      <w:r w:rsidRPr="004017EA">
        <w:rPr>
          <w:rFonts w:asciiTheme="minorHAnsi" w:hAnsiTheme="minorHAnsi" w:cstheme="minorHAnsi"/>
        </w:rPr>
        <w:lastRenderedPageBreak/>
        <w:t xml:space="preserve">Background </w:t>
      </w:r>
      <w:bookmarkEnd w:id="1"/>
    </w:p>
    <w:p w:rsidR="005918A0" w:rsidRDefault="005918A0" w:rsidP="004017EA">
      <w:pPr>
        <w:ind w:left="270"/>
        <w:jc w:val="both"/>
        <w:rPr>
          <w:rFonts w:cstheme="minorHAnsi"/>
          <w:lang w:val="en-US"/>
        </w:rPr>
      </w:pPr>
      <w:r w:rsidRPr="004017EA">
        <w:rPr>
          <w:rFonts w:cstheme="minorHAnsi"/>
          <w:lang w:val="en-US"/>
        </w:rPr>
        <w:t xml:space="preserve">CSSP’s overall purpose is to deliver sustainable social and economic benefits to the people of Samoa through strengthened CSOs. It seeks to achieve measurable social and economic benefits from well managed projects, where CSOs play a more active role in national and community affairs.  To facilitate support to CSOs, CSSP provides a single point of contact and a common application and reporting requirement.   It also provides for CSO capacity building in project and </w:t>
      </w:r>
      <w:proofErr w:type="spellStart"/>
      <w:r w:rsidRPr="004017EA">
        <w:rPr>
          <w:rFonts w:cstheme="minorHAnsi"/>
          <w:lang w:val="en-US"/>
        </w:rPr>
        <w:t>organi</w:t>
      </w:r>
      <w:r w:rsidR="004017EA" w:rsidRPr="004017EA">
        <w:rPr>
          <w:rFonts w:cstheme="minorHAnsi"/>
          <w:lang w:val="en-US"/>
        </w:rPr>
        <w:t>s</w:t>
      </w:r>
      <w:r w:rsidRPr="004017EA">
        <w:rPr>
          <w:rFonts w:cstheme="minorHAnsi"/>
          <w:lang w:val="en-US"/>
        </w:rPr>
        <w:t>ational</w:t>
      </w:r>
      <w:proofErr w:type="spellEnd"/>
      <w:r w:rsidRPr="004017EA">
        <w:rPr>
          <w:rFonts w:cstheme="minorHAnsi"/>
          <w:lang w:val="en-US"/>
        </w:rPr>
        <w:t xml:space="preserve"> management and in proposal writing. Technical assistance is provided grantees to improve the implementation of their projects and to help make their impact more lasting and sustainable.  CSSP also supports opportunities for information exchange among community </w:t>
      </w:r>
      <w:proofErr w:type="spellStart"/>
      <w:r w:rsidRPr="004017EA">
        <w:rPr>
          <w:rFonts w:cstheme="minorHAnsi"/>
          <w:lang w:val="en-US"/>
        </w:rPr>
        <w:t>organisations</w:t>
      </w:r>
      <w:proofErr w:type="spellEnd"/>
      <w:r w:rsidRPr="004017EA">
        <w:rPr>
          <w:rFonts w:cstheme="minorHAnsi"/>
          <w:lang w:val="en-US"/>
        </w:rPr>
        <w:t xml:space="preserve"> on their projects and best practices. </w:t>
      </w:r>
    </w:p>
    <w:p w:rsidR="00293198" w:rsidRDefault="00293198" w:rsidP="004017EA">
      <w:pPr>
        <w:ind w:left="270"/>
        <w:jc w:val="both"/>
        <w:rPr>
          <w:rFonts w:cstheme="minorHAnsi"/>
          <w:lang w:val="en-US"/>
        </w:rPr>
      </w:pPr>
      <w:r>
        <w:rPr>
          <w:rFonts w:cstheme="minorHAnsi"/>
          <w:lang w:val="en-US"/>
        </w:rPr>
        <w:t xml:space="preserve">Communities that apply are required to provide a financial contribution to the total cost of the project activity and only when they meet </w:t>
      </w:r>
      <w:proofErr w:type="gramStart"/>
      <w:r>
        <w:rPr>
          <w:rFonts w:cstheme="minorHAnsi"/>
          <w:lang w:val="en-US"/>
        </w:rPr>
        <w:t>this financial commitments</w:t>
      </w:r>
      <w:proofErr w:type="gramEnd"/>
      <w:r>
        <w:rPr>
          <w:rFonts w:cstheme="minorHAnsi"/>
          <w:lang w:val="en-US"/>
        </w:rPr>
        <w:t xml:space="preserve"> will funds begin to be disbursed.</w:t>
      </w:r>
    </w:p>
    <w:p w:rsidR="00DA7B2E" w:rsidRDefault="00DA7B2E" w:rsidP="004017EA">
      <w:pPr>
        <w:ind w:left="270"/>
        <w:jc w:val="both"/>
        <w:rPr>
          <w:rFonts w:cstheme="minorHAnsi"/>
          <w:lang w:val="en-US"/>
        </w:rPr>
      </w:pPr>
      <w:proofErr w:type="spellStart"/>
      <w:r>
        <w:rPr>
          <w:rFonts w:cstheme="minorHAnsi"/>
          <w:lang w:val="en-US"/>
        </w:rPr>
        <w:t>AusAID</w:t>
      </w:r>
      <w:proofErr w:type="spellEnd"/>
      <w:r>
        <w:rPr>
          <w:rFonts w:cstheme="minorHAnsi"/>
          <w:lang w:val="en-US"/>
        </w:rPr>
        <w:t xml:space="preserve"> and the European Union in collaboration with the </w:t>
      </w:r>
      <w:proofErr w:type="spellStart"/>
      <w:r>
        <w:rPr>
          <w:rFonts w:cstheme="minorHAnsi"/>
          <w:lang w:val="en-US"/>
        </w:rPr>
        <w:t>GoS</w:t>
      </w:r>
      <w:proofErr w:type="spellEnd"/>
      <w:r>
        <w:rPr>
          <w:rFonts w:cstheme="minorHAnsi"/>
          <w:lang w:val="en-US"/>
        </w:rPr>
        <w:t xml:space="preserve"> provide the funding for the program but are yet to be engaged in a pooled funding arrangement.</w:t>
      </w:r>
    </w:p>
    <w:p w:rsidR="0017084E" w:rsidRDefault="000A2923" w:rsidP="001548F9">
      <w:pPr>
        <w:ind w:left="270"/>
        <w:jc w:val="both"/>
        <w:rPr>
          <w:rFonts w:cstheme="minorHAnsi"/>
        </w:rPr>
      </w:pPr>
      <w:r>
        <w:rPr>
          <w:rFonts w:cstheme="minorHAnsi"/>
          <w:i/>
        </w:rPr>
        <w:t xml:space="preserve">Activity </w:t>
      </w:r>
      <w:r w:rsidR="001548F9">
        <w:rPr>
          <w:rFonts w:cstheme="minorHAnsi"/>
          <w:i/>
        </w:rPr>
        <w:t>Expenditures</w:t>
      </w:r>
      <w:r w:rsidR="0083283F">
        <w:rPr>
          <w:rFonts w:cstheme="minorHAnsi"/>
          <w:i/>
        </w:rPr>
        <w:t xml:space="preserve"> in Samoa </w:t>
      </w:r>
      <w:proofErr w:type="spellStart"/>
      <w:r w:rsidR="0083283F">
        <w:rPr>
          <w:rFonts w:cstheme="minorHAnsi"/>
          <w:i/>
        </w:rPr>
        <w:t>tala</w:t>
      </w:r>
      <w:proofErr w:type="spellEnd"/>
      <w:r w:rsidR="0083283F">
        <w:rPr>
          <w:rFonts w:cstheme="minorHAnsi"/>
          <w:i/>
        </w:rPr>
        <w:t xml:space="preserve"> ($)</w:t>
      </w:r>
      <w:r w:rsidR="001548F9" w:rsidRPr="001548F9">
        <w:rPr>
          <w:rFonts w:cstheme="minorHAnsi"/>
        </w:rPr>
        <w:t xml:space="preserve">:  </w:t>
      </w:r>
      <w:r w:rsidR="00734B5A">
        <w:rPr>
          <w:rFonts w:cstheme="minorHAnsi"/>
        </w:rPr>
        <w:t xml:space="preserve">The CSSP budget for 2011-12 was $4.7 million (EU contributed $2.7 million and </w:t>
      </w:r>
      <w:proofErr w:type="spellStart"/>
      <w:r w:rsidR="00734B5A">
        <w:rPr>
          <w:rFonts w:cstheme="minorHAnsi"/>
        </w:rPr>
        <w:t>AusAID</w:t>
      </w:r>
      <w:proofErr w:type="spellEnd"/>
      <w:r w:rsidR="00734B5A">
        <w:rPr>
          <w:rFonts w:cstheme="minorHAnsi"/>
        </w:rPr>
        <w:t xml:space="preserve"> $2.0 million).  </w:t>
      </w:r>
      <w:proofErr w:type="spellStart"/>
      <w:r w:rsidR="00734B5A">
        <w:rPr>
          <w:rFonts w:cstheme="minorHAnsi"/>
        </w:rPr>
        <w:t>AusAID</w:t>
      </w:r>
      <w:proofErr w:type="spellEnd"/>
      <w:r w:rsidR="00734B5A">
        <w:rPr>
          <w:rFonts w:cstheme="minorHAnsi"/>
        </w:rPr>
        <w:t xml:space="preserve"> transferred an additional $1 million in March 2012 for ICCAI projects in response to</w:t>
      </w:r>
      <w:r w:rsidR="005908E0">
        <w:rPr>
          <w:rFonts w:cstheme="minorHAnsi"/>
        </w:rPr>
        <w:t xml:space="preserve"> a request to </w:t>
      </w:r>
      <w:proofErr w:type="gramStart"/>
      <w:r w:rsidR="005908E0">
        <w:rPr>
          <w:rFonts w:cstheme="minorHAnsi"/>
        </w:rPr>
        <w:t>assist</w:t>
      </w:r>
      <w:r w:rsidR="00734B5A">
        <w:rPr>
          <w:rFonts w:cstheme="minorHAnsi"/>
        </w:rPr>
        <w:t xml:space="preserve"> </w:t>
      </w:r>
      <w:r w:rsidR="005908E0">
        <w:rPr>
          <w:rFonts w:cstheme="minorHAnsi"/>
        </w:rPr>
        <w:t xml:space="preserve"> </w:t>
      </w:r>
      <w:proofErr w:type="spellStart"/>
      <w:r w:rsidR="005908E0">
        <w:rPr>
          <w:rFonts w:cstheme="minorHAnsi"/>
        </w:rPr>
        <w:t>communities</w:t>
      </w:r>
      <w:r w:rsidR="00734B5A">
        <w:rPr>
          <w:rFonts w:cstheme="minorHAnsi"/>
        </w:rPr>
        <w:t>s</w:t>
      </w:r>
      <w:proofErr w:type="spellEnd"/>
      <w:proofErr w:type="gramEnd"/>
      <w:r w:rsidR="00734B5A">
        <w:rPr>
          <w:rFonts w:cstheme="minorHAnsi"/>
        </w:rPr>
        <w:t xml:space="preserve"> affected by the 2011 drought.  </w:t>
      </w:r>
      <w:r w:rsidR="004E502B">
        <w:rPr>
          <w:rFonts w:cstheme="minorHAnsi"/>
        </w:rPr>
        <w:t>Fund</w:t>
      </w:r>
      <w:r w:rsidR="005908E0">
        <w:rPr>
          <w:rFonts w:cstheme="minorHAnsi"/>
        </w:rPr>
        <w:t>s</w:t>
      </w:r>
      <w:r w:rsidR="004E502B">
        <w:rPr>
          <w:rFonts w:cstheme="minorHAnsi"/>
        </w:rPr>
        <w:t xml:space="preserve"> b</w:t>
      </w:r>
      <w:r w:rsidR="00734B5A">
        <w:rPr>
          <w:rFonts w:cstheme="minorHAnsi"/>
        </w:rPr>
        <w:t>reakdown by CSSP objec</w:t>
      </w:r>
      <w:r w:rsidR="004E502B">
        <w:rPr>
          <w:rFonts w:cstheme="minorHAnsi"/>
        </w:rPr>
        <w:t>tive and activity</w:t>
      </w:r>
      <w:r w:rsidR="0029328A">
        <w:rPr>
          <w:rFonts w:cstheme="minorHAnsi"/>
        </w:rPr>
        <w:t xml:space="preserve"> </w:t>
      </w:r>
      <w:r w:rsidR="000E1138">
        <w:rPr>
          <w:rFonts w:cstheme="minorHAnsi"/>
        </w:rPr>
        <w:t xml:space="preserve">is presented </w:t>
      </w:r>
      <w:r w:rsidR="0029328A">
        <w:rPr>
          <w:rFonts w:cstheme="minorHAnsi"/>
        </w:rPr>
        <w:t>below</w:t>
      </w:r>
      <w:r w:rsidR="004E502B">
        <w:rPr>
          <w:rFonts w:cstheme="minorHAnsi"/>
        </w:rPr>
        <w:t>:</w:t>
      </w:r>
    </w:p>
    <w:p w:rsidR="005908E0" w:rsidRDefault="000A2923" w:rsidP="0029328A">
      <w:pPr>
        <w:ind w:left="426"/>
        <w:jc w:val="both"/>
        <w:rPr>
          <w:rFonts w:cstheme="minorHAnsi"/>
        </w:rPr>
      </w:pPr>
      <w:r w:rsidRPr="0017084E">
        <w:rPr>
          <w:rFonts w:cstheme="minorHAnsi"/>
          <w:b/>
          <w:u w:val="single"/>
        </w:rPr>
        <w:t xml:space="preserve">0BJECTIVE 1 </w:t>
      </w:r>
      <w:r w:rsidR="00734B5A">
        <w:rPr>
          <w:rFonts w:cstheme="minorHAnsi"/>
          <w:b/>
          <w:u w:val="single"/>
        </w:rPr>
        <w:t xml:space="preserve">- </w:t>
      </w:r>
      <w:r w:rsidRPr="0017084E">
        <w:rPr>
          <w:rFonts w:cstheme="minorHAnsi"/>
          <w:b/>
          <w:u w:val="single"/>
        </w:rPr>
        <w:t>C</w:t>
      </w:r>
      <w:r w:rsidR="00BF50E2">
        <w:rPr>
          <w:rFonts w:cstheme="minorHAnsi"/>
          <w:b/>
          <w:u w:val="single"/>
        </w:rPr>
        <w:t>SO</w:t>
      </w:r>
      <w:r w:rsidRPr="0017084E">
        <w:rPr>
          <w:rFonts w:cstheme="minorHAnsi"/>
          <w:b/>
          <w:u w:val="single"/>
        </w:rPr>
        <w:t xml:space="preserve"> project requests</w:t>
      </w:r>
      <w:r>
        <w:rPr>
          <w:rFonts w:cstheme="minorHAnsi"/>
        </w:rPr>
        <w:t xml:space="preserve">:  </w:t>
      </w:r>
    </w:p>
    <w:tbl>
      <w:tblPr>
        <w:tblStyle w:val="TableGrid"/>
        <w:tblW w:w="0" w:type="auto"/>
        <w:tblInd w:w="426" w:type="dxa"/>
        <w:tblLook w:val="04A0" w:firstRow="1" w:lastRow="0" w:firstColumn="1" w:lastColumn="0" w:noHBand="0" w:noVBand="1"/>
      </w:tblPr>
      <w:tblGrid>
        <w:gridCol w:w="3420"/>
        <w:gridCol w:w="3422"/>
        <w:gridCol w:w="3414"/>
      </w:tblGrid>
      <w:tr w:rsidR="005908E0" w:rsidTr="005908E0">
        <w:tc>
          <w:tcPr>
            <w:tcW w:w="3420" w:type="dxa"/>
          </w:tcPr>
          <w:p w:rsidR="005908E0" w:rsidRDefault="005908E0" w:rsidP="0029328A">
            <w:pPr>
              <w:jc w:val="both"/>
              <w:rPr>
                <w:rFonts w:cstheme="minorHAnsi"/>
                <w:b/>
                <w:u w:val="single"/>
              </w:rPr>
            </w:pPr>
            <w:r>
              <w:rPr>
                <w:rFonts w:cstheme="minorHAnsi"/>
                <w:b/>
                <w:u w:val="single"/>
              </w:rPr>
              <w:t>Project category</w:t>
            </w:r>
          </w:p>
        </w:tc>
        <w:tc>
          <w:tcPr>
            <w:tcW w:w="3422" w:type="dxa"/>
          </w:tcPr>
          <w:p w:rsidR="005908E0" w:rsidRDefault="005908E0" w:rsidP="0029328A">
            <w:pPr>
              <w:jc w:val="both"/>
              <w:rPr>
                <w:rFonts w:cstheme="minorHAnsi"/>
                <w:b/>
                <w:u w:val="single"/>
              </w:rPr>
            </w:pPr>
            <w:r>
              <w:rPr>
                <w:rFonts w:cstheme="minorHAnsi"/>
                <w:b/>
                <w:u w:val="single"/>
              </w:rPr>
              <w:t>Funded by:</w:t>
            </w:r>
          </w:p>
        </w:tc>
        <w:tc>
          <w:tcPr>
            <w:tcW w:w="3414" w:type="dxa"/>
          </w:tcPr>
          <w:p w:rsidR="005908E0" w:rsidRDefault="005908E0" w:rsidP="0029328A">
            <w:pPr>
              <w:jc w:val="both"/>
              <w:rPr>
                <w:rFonts w:cstheme="minorHAnsi"/>
                <w:b/>
                <w:u w:val="single"/>
              </w:rPr>
            </w:pPr>
            <w:r>
              <w:rPr>
                <w:rFonts w:cstheme="minorHAnsi"/>
                <w:b/>
                <w:u w:val="single"/>
              </w:rPr>
              <w:t>Amount</w:t>
            </w:r>
          </w:p>
        </w:tc>
      </w:tr>
      <w:tr w:rsidR="005908E0" w:rsidTr="005908E0">
        <w:tc>
          <w:tcPr>
            <w:tcW w:w="3420" w:type="dxa"/>
          </w:tcPr>
          <w:p w:rsidR="005908E0" w:rsidRDefault="005908E0" w:rsidP="0029328A">
            <w:pPr>
              <w:jc w:val="both"/>
              <w:rPr>
                <w:rFonts w:cstheme="minorHAnsi"/>
                <w:b/>
                <w:u w:val="single"/>
              </w:rPr>
            </w:pPr>
            <w:r>
              <w:rPr>
                <w:rFonts w:cstheme="minorHAnsi"/>
                <w:b/>
                <w:u w:val="single"/>
              </w:rPr>
              <w:t>Category 1 (5,000-30,000)</w:t>
            </w:r>
          </w:p>
        </w:tc>
        <w:tc>
          <w:tcPr>
            <w:tcW w:w="3422" w:type="dxa"/>
          </w:tcPr>
          <w:p w:rsidR="005908E0" w:rsidRDefault="005908E0" w:rsidP="0029328A">
            <w:pPr>
              <w:jc w:val="both"/>
              <w:rPr>
                <w:rFonts w:cstheme="minorHAnsi"/>
                <w:b/>
                <w:u w:val="single"/>
              </w:rPr>
            </w:pPr>
            <w:r>
              <w:rPr>
                <w:rFonts w:cstheme="minorHAnsi"/>
                <w:b/>
                <w:u w:val="single"/>
              </w:rPr>
              <w:t>European Union</w:t>
            </w:r>
          </w:p>
        </w:tc>
        <w:tc>
          <w:tcPr>
            <w:tcW w:w="3414" w:type="dxa"/>
            <w:vMerge w:val="restart"/>
          </w:tcPr>
          <w:p w:rsidR="005908E0" w:rsidRDefault="005908E0" w:rsidP="0029328A">
            <w:pPr>
              <w:jc w:val="both"/>
              <w:rPr>
                <w:rFonts w:cstheme="minorHAnsi"/>
                <w:b/>
                <w:u w:val="single"/>
              </w:rPr>
            </w:pPr>
            <w:r>
              <w:rPr>
                <w:rFonts w:cstheme="minorHAnsi"/>
                <w:b/>
                <w:u w:val="single"/>
              </w:rPr>
              <w:t>SAT1,875,000</w:t>
            </w:r>
          </w:p>
          <w:p w:rsidR="005908E0" w:rsidRDefault="005908E0" w:rsidP="0029328A">
            <w:pPr>
              <w:jc w:val="both"/>
              <w:rPr>
                <w:rFonts w:cstheme="minorHAnsi"/>
                <w:b/>
                <w:u w:val="single"/>
              </w:rPr>
            </w:pPr>
          </w:p>
        </w:tc>
      </w:tr>
      <w:tr w:rsidR="005908E0" w:rsidTr="005908E0">
        <w:tc>
          <w:tcPr>
            <w:tcW w:w="3420" w:type="dxa"/>
          </w:tcPr>
          <w:p w:rsidR="005908E0" w:rsidRDefault="005908E0" w:rsidP="0029328A">
            <w:pPr>
              <w:jc w:val="both"/>
              <w:rPr>
                <w:rFonts w:cstheme="minorHAnsi"/>
                <w:b/>
                <w:u w:val="single"/>
              </w:rPr>
            </w:pPr>
            <w:r>
              <w:rPr>
                <w:rFonts w:cstheme="minorHAnsi"/>
                <w:b/>
                <w:u w:val="single"/>
              </w:rPr>
              <w:t>Category 3 (150,000-300,000)</w:t>
            </w:r>
          </w:p>
        </w:tc>
        <w:tc>
          <w:tcPr>
            <w:tcW w:w="3422" w:type="dxa"/>
          </w:tcPr>
          <w:p w:rsidR="005908E0" w:rsidRDefault="005908E0" w:rsidP="0029328A">
            <w:pPr>
              <w:jc w:val="both"/>
              <w:rPr>
                <w:rFonts w:cstheme="minorHAnsi"/>
                <w:b/>
                <w:u w:val="single"/>
              </w:rPr>
            </w:pPr>
            <w:r>
              <w:rPr>
                <w:rFonts w:cstheme="minorHAnsi"/>
                <w:b/>
                <w:u w:val="single"/>
              </w:rPr>
              <w:t>European Union</w:t>
            </w:r>
          </w:p>
        </w:tc>
        <w:tc>
          <w:tcPr>
            <w:tcW w:w="3414" w:type="dxa"/>
            <w:vMerge/>
          </w:tcPr>
          <w:p w:rsidR="005908E0" w:rsidRDefault="005908E0" w:rsidP="0029328A">
            <w:pPr>
              <w:jc w:val="both"/>
              <w:rPr>
                <w:rFonts w:cstheme="minorHAnsi"/>
                <w:b/>
                <w:u w:val="single"/>
              </w:rPr>
            </w:pPr>
          </w:p>
        </w:tc>
      </w:tr>
      <w:tr w:rsidR="005908E0" w:rsidTr="005908E0">
        <w:tc>
          <w:tcPr>
            <w:tcW w:w="3420" w:type="dxa"/>
          </w:tcPr>
          <w:p w:rsidR="005908E0" w:rsidRDefault="005908E0" w:rsidP="0029328A">
            <w:pPr>
              <w:jc w:val="both"/>
              <w:rPr>
                <w:rFonts w:cstheme="minorHAnsi"/>
                <w:b/>
                <w:u w:val="single"/>
              </w:rPr>
            </w:pPr>
            <w:r>
              <w:rPr>
                <w:rFonts w:cstheme="minorHAnsi"/>
                <w:b/>
                <w:u w:val="single"/>
              </w:rPr>
              <w:t>Category 2 (30,000-150,000)</w:t>
            </w:r>
          </w:p>
        </w:tc>
        <w:tc>
          <w:tcPr>
            <w:tcW w:w="3422" w:type="dxa"/>
          </w:tcPr>
          <w:p w:rsidR="005908E0" w:rsidRDefault="005908E0" w:rsidP="0029328A">
            <w:pPr>
              <w:jc w:val="both"/>
              <w:rPr>
                <w:rFonts w:cstheme="minorHAnsi"/>
                <w:b/>
                <w:u w:val="single"/>
              </w:rPr>
            </w:pPr>
            <w:proofErr w:type="spellStart"/>
            <w:r>
              <w:rPr>
                <w:rFonts w:cstheme="minorHAnsi"/>
                <w:b/>
                <w:u w:val="single"/>
              </w:rPr>
              <w:t>AusAID</w:t>
            </w:r>
            <w:proofErr w:type="spellEnd"/>
          </w:p>
        </w:tc>
        <w:tc>
          <w:tcPr>
            <w:tcW w:w="3414" w:type="dxa"/>
          </w:tcPr>
          <w:p w:rsidR="005908E0" w:rsidRDefault="005908E0" w:rsidP="0029328A">
            <w:pPr>
              <w:jc w:val="both"/>
              <w:rPr>
                <w:rFonts w:cstheme="minorHAnsi"/>
                <w:b/>
                <w:u w:val="single"/>
              </w:rPr>
            </w:pPr>
            <w:r>
              <w:rPr>
                <w:rFonts w:cstheme="minorHAnsi"/>
                <w:b/>
                <w:u w:val="single"/>
              </w:rPr>
              <w:t>SAT1,400,000</w:t>
            </w:r>
          </w:p>
        </w:tc>
      </w:tr>
      <w:tr w:rsidR="005908E0" w:rsidTr="005908E0">
        <w:tc>
          <w:tcPr>
            <w:tcW w:w="3420" w:type="dxa"/>
          </w:tcPr>
          <w:p w:rsidR="005908E0" w:rsidRDefault="005908E0" w:rsidP="0029328A">
            <w:pPr>
              <w:jc w:val="both"/>
              <w:rPr>
                <w:rFonts w:cstheme="minorHAnsi"/>
                <w:b/>
                <w:u w:val="single"/>
              </w:rPr>
            </w:pPr>
            <w:r>
              <w:rPr>
                <w:rFonts w:cstheme="minorHAnsi"/>
                <w:b/>
                <w:u w:val="single"/>
              </w:rPr>
              <w:t>Water security activities</w:t>
            </w:r>
            <w:r w:rsidR="00DA7B2E">
              <w:rPr>
                <w:rFonts w:cstheme="minorHAnsi"/>
                <w:b/>
                <w:u w:val="single"/>
              </w:rPr>
              <w:t xml:space="preserve"> (44)</w:t>
            </w:r>
          </w:p>
        </w:tc>
        <w:tc>
          <w:tcPr>
            <w:tcW w:w="3422" w:type="dxa"/>
          </w:tcPr>
          <w:p w:rsidR="005908E0" w:rsidRDefault="005908E0" w:rsidP="0029328A">
            <w:pPr>
              <w:jc w:val="both"/>
              <w:rPr>
                <w:rFonts w:cstheme="minorHAnsi"/>
                <w:b/>
                <w:u w:val="single"/>
              </w:rPr>
            </w:pPr>
            <w:proofErr w:type="spellStart"/>
            <w:r>
              <w:rPr>
                <w:rFonts w:cstheme="minorHAnsi"/>
                <w:b/>
                <w:u w:val="single"/>
              </w:rPr>
              <w:t>AusAID</w:t>
            </w:r>
            <w:proofErr w:type="spellEnd"/>
          </w:p>
        </w:tc>
        <w:tc>
          <w:tcPr>
            <w:tcW w:w="3414" w:type="dxa"/>
          </w:tcPr>
          <w:p w:rsidR="005908E0" w:rsidRDefault="005908E0" w:rsidP="0029328A">
            <w:pPr>
              <w:jc w:val="both"/>
              <w:rPr>
                <w:rFonts w:cstheme="minorHAnsi"/>
                <w:b/>
                <w:u w:val="single"/>
              </w:rPr>
            </w:pPr>
            <w:r>
              <w:rPr>
                <w:rFonts w:cstheme="minorHAnsi"/>
                <w:b/>
                <w:u w:val="single"/>
              </w:rPr>
              <w:t>SAT1,000,000</w:t>
            </w:r>
          </w:p>
        </w:tc>
      </w:tr>
    </w:tbl>
    <w:p w:rsidR="005908E0" w:rsidRDefault="005908E0" w:rsidP="0029328A">
      <w:pPr>
        <w:ind w:left="426"/>
        <w:jc w:val="both"/>
        <w:rPr>
          <w:rFonts w:cstheme="minorHAnsi"/>
          <w:b/>
          <w:u w:val="single"/>
        </w:rPr>
      </w:pPr>
    </w:p>
    <w:p w:rsidR="00DA7B2E" w:rsidRDefault="000A2923" w:rsidP="0029328A">
      <w:pPr>
        <w:ind w:left="426"/>
        <w:jc w:val="both"/>
        <w:rPr>
          <w:rFonts w:cstheme="minorHAnsi"/>
          <w:u w:val="single"/>
        </w:rPr>
      </w:pPr>
      <w:r w:rsidRPr="00A8192B">
        <w:rPr>
          <w:rFonts w:cstheme="minorHAnsi"/>
          <w:b/>
          <w:u w:val="single"/>
        </w:rPr>
        <w:t>OBJECTIVE 2</w:t>
      </w:r>
      <w:r w:rsidR="00263E23">
        <w:rPr>
          <w:rFonts w:cstheme="minorHAnsi"/>
          <w:b/>
          <w:u w:val="single"/>
        </w:rPr>
        <w:t xml:space="preserve"> and OBJECTIVE 3-</w:t>
      </w:r>
      <w:r w:rsidRPr="00A8192B">
        <w:rPr>
          <w:rFonts w:cstheme="minorHAnsi"/>
          <w:b/>
          <w:u w:val="single"/>
        </w:rPr>
        <w:t xml:space="preserve"> </w:t>
      </w:r>
      <w:r w:rsidR="00BF50E2">
        <w:rPr>
          <w:rFonts w:cstheme="minorHAnsi"/>
          <w:b/>
          <w:u w:val="single"/>
        </w:rPr>
        <w:t>CSO c</w:t>
      </w:r>
      <w:r w:rsidRPr="00A8192B">
        <w:rPr>
          <w:rFonts w:cstheme="minorHAnsi"/>
          <w:b/>
          <w:u w:val="single"/>
        </w:rPr>
        <w:t xml:space="preserve">apacity building </w:t>
      </w:r>
      <w:r w:rsidR="00BF50E2">
        <w:rPr>
          <w:rFonts w:cstheme="minorHAnsi"/>
          <w:b/>
          <w:u w:val="single"/>
        </w:rPr>
        <w:t>in governance, management and advocacy</w:t>
      </w:r>
      <w:r w:rsidRPr="00A8192B">
        <w:rPr>
          <w:rFonts w:cstheme="minorHAnsi"/>
          <w:b/>
          <w:u w:val="single"/>
        </w:rPr>
        <w:t>:</w:t>
      </w:r>
      <w:r w:rsidRPr="00A8192B">
        <w:rPr>
          <w:rFonts w:cstheme="minorHAnsi"/>
          <w:u w:val="single"/>
        </w:rPr>
        <w:t xml:space="preserve"> </w:t>
      </w:r>
    </w:p>
    <w:tbl>
      <w:tblPr>
        <w:tblStyle w:val="TableGrid"/>
        <w:tblW w:w="0" w:type="auto"/>
        <w:tblInd w:w="426" w:type="dxa"/>
        <w:tblLook w:val="04A0" w:firstRow="1" w:lastRow="0" w:firstColumn="1" w:lastColumn="0" w:noHBand="0" w:noVBand="1"/>
      </w:tblPr>
      <w:tblGrid>
        <w:gridCol w:w="3430"/>
        <w:gridCol w:w="3404"/>
        <w:gridCol w:w="3422"/>
      </w:tblGrid>
      <w:tr w:rsidR="00DA7B2E" w:rsidTr="00DA7B2E">
        <w:tc>
          <w:tcPr>
            <w:tcW w:w="3560" w:type="dxa"/>
          </w:tcPr>
          <w:p w:rsidR="00DA7B2E" w:rsidRDefault="00DA7B2E" w:rsidP="0029328A">
            <w:pPr>
              <w:jc w:val="both"/>
              <w:rPr>
                <w:rFonts w:cstheme="minorHAnsi"/>
                <w:u w:val="single"/>
              </w:rPr>
            </w:pPr>
            <w:r>
              <w:rPr>
                <w:rFonts w:cstheme="minorHAnsi"/>
                <w:u w:val="single"/>
              </w:rPr>
              <w:t>Activity Type</w:t>
            </w:r>
          </w:p>
        </w:tc>
        <w:tc>
          <w:tcPr>
            <w:tcW w:w="3561" w:type="dxa"/>
          </w:tcPr>
          <w:p w:rsidR="00DA7B2E" w:rsidRDefault="00DA7B2E" w:rsidP="0029328A">
            <w:pPr>
              <w:jc w:val="both"/>
              <w:rPr>
                <w:rFonts w:cstheme="minorHAnsi"/>
                <w:u w:val="single"/>
              </w:rPr>
            </w:pPr>
            <w:r>
              <w:rPr>
                <w:rFonts w:cstheme="minorHAnsi"/>
                <w:u w:val="single"/>
              </w:rPr>
              <w:t>TA provider</w:t>
            </w:r>
          </w:p>
        </w:tc>
        <w:tc>
          <w:tcPr>
            <w:tcW w:w="3561" w:type="dxa"/>
          </w:tcPr>
          <w:p w:rsidR="00DA7B2E" w:rsidRDefault="00DA7B2E" w:rsidP="0029328A">
            <w:pPr>
              <w:jc w:val="both"/>
              <w:rPr>
                <w:rFonts w:cstheme="minorHAnsi"/>
                <w:u w:val="single"/>
              </w:rPr>
            </w:pPr>
            <w:r>
              <w:rPr>
                <w:rFonts w:cstheme="minorHAnsi"/>
                <w:u w:val="single"/>
              </w:rPr>
              <w:t>Amount</w:t>
            </w:r>
          </w:p>
        </w:tc>
      </w:tr>
      <w:tr w:rsidR="00DA7B2E" w:rsidTr="00DA7B2E">
        <w:tc>
          <w:tcPr>
            <w:tcW w:w="3560" w:type="dxa"/>
          </w:tcPr>
          <w:p w:rsidR="00DA7B2E" w:rsidRDefault="00DA7B2E" w:rsidP="0029328A">
            <w:pPr>
              <w:jc w:val="both"/>
              <w:rPr>
                <w:rFonts w:cstheme="minorHAnsi"/>
                <w:u w:val="single"/>
              </w:rPr>
            </w:pPr>
            <w:r>
              <w:rPr>
                <w:rFonts w:cstheme="minorHAnsi"/>
                <w:u w:val="single"/>
              </w:rPr>
              <w:t>TA Capacity building to strengthen governance, project management capacities and promote advocacy roles</w:t>
            </w:r>
          </w:p>
        </w:tc>
        <w:tc>
          <w:tcPr>
            <w:tcW w:w="3561" w:type="dxa"/>
          </w:tcPr>
          <w:p w:rsidR="00DA7B2E" w:rsidRDefault="00DA7B2E" w:rsidP="0029328A">
            <w:pPr>
              <w:jc w:val="both"/>
              <w:rPr>
                <w:rFonts w:cstheme="minorHAnsi"/>
                <w:u w:val="single"/>
              </w:rPr>
            </w:pPr>
            <w:r>
              <w:rPr>
                <w:rFonts w:cstheme="minorHAnsi"/>
                <w:u w:val="single"/>
              </w:rPr>
              <w:t>SUNGO</w:t>
            </w:r>
          </w:p>
        </w:tc>
        <w:tc>
          <w:tcPr>
            <w:tcW w:w="3561" w:type="dxa"/>
          </w:tcPr>
          <w:p w:rsidR="00DA7B2E" w:rsidRDefault="00DA7B2E" w:rsidP="0029328A">
            <w:pPr>
              <w:jc w:val="both"/>
              <w:rPr>
                <w:rFonts w:cstheme="minorHAnsi"/>
                <w:u w:val="single"/>
              </w:rPr>
            </w:pPr>
            <w:r>
              <w:rPr>
                <w:rFonts w:cstheme="minorHAnsi"/>
                <w:u w:val="single"/>
              </w:rPr>
              <w:t>SAT300,000</w:t>
            </w:r>
          </w:p>
        </w:tc>
      </w:tr>
      <w:tr w:rsidR="00DA7B2E" w:rsidTr="00DA7B2E">
        <w:tc>
          <w:tcPr>
            <w:tcW w:w="3560" w:type="dxa"/>
          </w:tcPr>
          <w:p w:rsidR="00DA7B2E" w:rsidRDefault="00DA7B2E" w:rsidP="0029328A">
            <w:pPr>
              <w:jc w:val="both"/>
              <w:rPr>
                <w:rFonts w:cstheme="minorHAnsi"/>
                <w:u w:val="single"/>
              </w:rPr>
            </w:pPr>
            <w:r>
              <w:rPr>
                <w:rFonts w:cstheme="minorHAnsi"/>
                <w:u w:val="single"/>
              </w:rPr>
              <w:t>TA in installation and maintenance water harvesting projects</w:t>
            </w:r>
          </w:p>
        </w:tc>
        <w:tc>
          <w:tcPr>
            <w:tcW w:w="3561" w:type="dxa"/>
          </w:tcPr>
          <w:p w:rsidR="00DA7B2E" w:rsidRDefault="00DA7B2E" w:rsidP="0029328A">
            <w:pPr>
              <w:jc w:val="both"/>
              <w:rPr>
                <w:rFonts w:cstheme="minorHAnsi"/>
                <w:u w:val="single"/>
              </w:rPr>
            </w:pPr>
            <w:r>
              <w:rPr>
                <w:rFonts w:cstheme="minorHAnsi"/>
                <w:u w:val="single"/>
              </w:rPr>
              <w:t>Samoa Red Cross</w:t>
            </w:r>
          </w:p>
        </w:tc>
        <w:tc>
          <w:tcPr>
            <w:tcW w:w="3561" w:type="dxa"/>
          </w:tcPr>
          <w:p w:rsidR="00DA7B2E" w:rsidRDefault="00DA7B2E" w:rsidP="0029328A">
            <w:pPr>
              <w:jc w:val="both"/>
              <w:rPr>
                <w:rFonts w:cstheme="minorHAnsi"/>
                <w:u w:val="single"/>
              </w:rPr>
            </w:pPr>
            <w:r>
              <w:rPr>
                <w:rFonts w:cstheme="minorHAnsi"/>
                <w:u w:val="single"/>
              </w:rPr>
              <w:t>SAT10,000</w:t>
            </w:r>
          </w:p>
        </w:tc>
      </w:tr>
    </w:tbl>
    <w:p w:rsidR="00DA7B2E" w:rsidRDefault="00DA7B2E" w:rsidP="0029328A">
      <w:pPr>
        <w:ind w:left="426"/>
        <w:jc w:val="both"/>
        <w:rPr>
          <w:rFonts w:cstheme="minorHAnsi"/>
          <w:u w:val="single"/>
        </w:rPr>
      </w:pPr>
    </w:p>
    <w:p w:rsidR="001548F9" w:rsidRPr="00263E23" w:rsidRDefault="00263E23" w:rsidP="0029328A">
      <w:pPr>
        <w:ind w:left="426"/>
        <w:jc w:val="both"/>
        <w:rPr>
          <w:rFonts w:cstheme="minorHAnsi"/>
        </w:rPr>
      </w:pPr>
      <w:r>
        <w:rPr>
          <w:rFonts w:cstheme="minorHAnsi"/>
          <w:b/>
          <w:u w:val="single"/>
        </w:rPr>
        <w:t xml:space="preserve">OBJECTIVE 4 </w:t>
      </w:r>
      <w:r w:rsidR="00D753AF">
        <w:rPr>
          <w:rFonts w:cstheme="minorHAnsi"/>
          <w:b/>
          <w:u w:val="single"/>
        </w:rPr>
        <w:t xml:space="preserve"> </w:t>
      </w:r>
      <w:r>
        <w:rPr>
          <w:rFonts w:cstheme="minorHAnsi"/>
          <w:b/>
          <w:u w:val="single"/>
        </w:rPr>
        <w:t xml:space="preserve">Programme Operations:  </w:t>
      </w:r>
      <w:r>
        <w:rPr>
          <w:rFonts w:cstheme="minorHAnsi"/>
        </w:rPr>
        <w:t>The CSSP Programme Management Unit was budgeted $ 545,000 for operations including renovating and opening a new office at Ah Mau Mall, Apia, installing office equipment, IT communications, hiring additional staff, and technical assistance to install new</w:t>
      </w:r>
      <w:r w:rsidR="00734B5A">
        <w:rPr>
          <w:rFonts w:cstheme="minorHAnsi"/>
        </w:rPr>
        <w:t xml:space="preserve"> financial and database</w:t>
      </w:r>
      <w:r>
        <w:rPr>
          <w:rFonts w:cstheme="minorHAnsi"/>
        </w:rPr>
        <w:t xml:space="preserve"> systems</w:t>
      </w:r>
      <w:r w:rsidR="00734B5A">
        <w:rPr>
          <w:rFonts w:cstheme="minorHAnsi"/>
        </w:rPr>
        <w:t>, and the CSSP Monitoring and Evaluation framework</w:t>
      </w:r>
      <w:r>
        <w:rPr>
          <w:rFonts w:cstheme="minorHAnsi"/>
        </w:rPr>
        <w:t xml:space="preserve">.  </w:t>
      </w:r>
      <w:r w:rsidR="000E1138">
        <w:rPr>
          <w:rFonts w:cstheme="minorHAnsi"/>
        </w:rPr>
        <w:t>Programme operations also covered</w:t>
      </w:r>
      <w:r>
        <w:rPr>
          <w:rFonts w:cstheme="minorHAnsi"/>
        </w:rPr>
        <w:t xml:space="preserve"> all activities to secure, select and monitor applicants on all islands, programme visibility and promotion.</w:t>
      </w:r>
    </w:p>
    <w:p w:rsidR="005918A0" w:rsidRDefault="005918A0" w:rsidP="005E0501">
      <w:pPr>
        <w:ind w:left="426"/>
        <w:rPr>
          <w:rFonts w:cstheme="minorHAnsi"/>
        </w:rPr>
      </w:pPr>
      <w:r w:rsidRPr="004017EA">
        <w:rPr>
          <w:rFonts w:cstheme="minorHAnsi"/>
          <w:b/>
          <w:sz w:val="28"/>
          <w:szCs w:val="28"/>
        </w:rPr>
        <w:t>Key Achievements</w:t>
      </w:r>
      <w:r w:rsidRPr="004017EA">
        <w:rPr>
          <w:rFonts w:cstheme="minorHAnsi"/>
        </w:rPr>
        <w:t xml:space="preserve"> </w:t>
      </w:r>
    </w:p>
    <w:p w:rsidR="005252F5" w:rsidRPr="005252F5" w:rsidRDefault="005252F5" w:rsidP="005E0501">
      <w:pPr>
        <w:ind w:left="426"/>
        <w:rPr>
          <w:rFonts w:cstheme="minorHAnsi"/>
          <w:u w:val="single"/>
        </w:rPr>
      </w:pPr>
      <w:r w:rsidRPr="005252F5">
        <w:rPr>
          <w:rFonts w:cstheme="minorHAnsi"/>
          <w:u w:val="single"/>
        </w:rPr>
        <w:t>O</w:t>
      </w:r>
      <w:r>
        <w:rPr>
          <w:rFonts w:cstheme="minorHAnsi"/>
          <w:u w:val="single"/>
        </w:rPr>
        <w:t>BJECTIVE 1</w:t>
      </w:r>
      <w:r w:rsidRPr="005252F5">
        <w:rPr>
          <w:rFonts w:cstheme="minorHAnsi"/>
          <w:u w:val="single"/>
        </w:rPr>
        <w:t>:</w:t>
      </w:r>
      <w:r w:rsidR="00E645D2">
        <w:rPr>
          <w:rFonts w:cstheme="minorHAnsi"/>
          <w:u w:val="single"/>
        </w:rPr>
        <w:t xml:space="preserve">  Tangible and sustainable CSO projects</w:t>
      </w:r>
    </w:p>
    <w:p w:rsidR="007F5DB5" w:rsidRDefault="00293198" w:rsidP="00B66171">
      <w:pPr>
        <w:ind w:left="426"/>
        <w:jc w:val="both"/>
        <w:rPr>
          <w:rFonts w:cstheme="minorHAnsi"/>
        </w:rPr>
      </w:pPr>
      <w:r>
        <w:rPr>
          <w:rFonts w:cstheme="minorHAnsi"/>
        </w:rPr>
        <w:lastRenderedPageBreak/>
        <w:t xml:space="preserve">Following 3 Calls for proposals </w:t>
      </w:r>
      <w:proofErr w:type="gramStart"/>
      <w:r>
        <w:rPr>
          <w:rFonts w:cstheme="minorHAnsi"/>
        </w:rPr>
        <w:t>in</w:t>
      </w:r>
      <w:r w:rsidR="001548F9" w:rsidRPr="004017EA">
        <w:rPr>
          <w:rFonts w:cstheme="minorHAnsi"/>
        </w:rPr>
        <w:t xml:space="preserve">  October</w:t>
      </w:r>
      <w:proofErr w:type="gramEnd"/>
      <w:r w:rsidR="001548F9" w:rsidRPr="004017EA">
        <w:rPr>
          <w:rFonts w:cstheme="minorHAnsi"/>
        </w:rPr>
        <w:t xml:space="preserve"> 7, 2011 (Category 1), February 24, 2012 (Category 2) and March 13, 2012 (Category 3). 424 applications </w:t>
      </w:r>
      <w:r>
        <w:rPr>
          <w:rFonts w:cstheme="minorHAnsi"/>
        </w:rPr>
        <w:t xml:space="preserve">were </w:t>
      </w:r>
      <w:proofErr w:type="gramStart"/>
      <w:r>
        <w:rPr>
          <w:rFonts w:cstheme="minorHAnsi"/>
        </w:rPr>
        <w:t xml:space="preserve">received </w:t>
      </w:r>
      <w:r w:rsidRPr="004017EA">
        <w:rPr>
          <w:rFonts w:cstheme="minorHAnsi"/>
        </w:rPr>
        <w:t xml:space="preserve"> </w:t>
      </w:r>
      <w:r>
        <w:rPr>
          <w:rFonts w:cstheme="minorHAnsi"/>
        </w:rPr>
        <w:t>however</w:t>
      </w:r>
      <w:proofErr w:type="gramEnd"/>
      <w:r>
        <w:rPr>
          <w:rFonts w:cstheme="minorHAnsi"/>
        </w:rPr>
        <w:t xml:space="preserve"> only</w:t>
      </w:r>
      <w:r w:rsidR="001548F9" w:rsidRPr="004017EA">
        <w:rPr>
          <w:rFonts w:cstheme="minorHAnsi"/>
        </w:rPr>
        <w:t xml:space="preserve">  106 </w:t>
      </w:r>
      <w:r w:rsidR="001D5791">
        <w:rPr>
          <w:rFonts w:cstheme="minorHAnsi"/>
        </w:rPr>
        <w:t>applications approved (see Table 1, Appendix</w:t>
      </w:r>
      <w:r w:rsidR="001548F9" w:rsidRPr="004017EA">
        <w:rPr>
          <w:rFonts w:cstheme="minorHAnsi"/>
        </w:rPr>
        <w:t xml:space="preserve"> 1</w:t>
      </w:r>
      <w:r w:rsidR="00B66171">
        <w:rPr>
          <w:rFonts w:cstheme="minorHAnsi"/>
        </w:rPr>
        <w:t>Applicants are given 12</w:t>
      </w:r>
      <w:r w:rsidR="00B5027B">
        <w:rPr>
          <w:rFonts w:cstheme="minorHAnsi"/>
        </w:rPr>
        <w:t xml:space="preserve"> months from the date of a signed contract</w:t>
      </w:r>
      <w:r w:rsidR="00B66171">
        <w:rPr>
          <w:rFonts w:cstheme="minorHAnsi"/>
        </w:rPr>
        <w:t xml:space="preserve"> to implement their projects.  </w:t>
      </w:r>
    </w:p>
    <w:p w:rsidR="009A4174" w:rsidRPr="009A4174" w:rsidRDefault="009A4174" w:rsidP="009A4174">
      <w:pPr>
        <w:ind w:left="426"/>
        <w:jc w:val="both"/>
        <w:rPr>
          <w:rFonts w:cstheme="minorHAnsi"/>
        </w:rPr>
      </w:pPr>
      <w:r>
        <w:rPr>
          <w:rFonts w:cstheme="minorHAnsi"/>
        </w:rPr>
        <w:t xml:space="preserve">As of 30 June 2012, </w:t>
      </w:r>
      <w:r w:rsidR="00515540">
        <w:rPr>
          <w:rFonts w:cstheme="minorHAnsi"/>
        </w:rPr>
        <w:t>most projects had signed contracts and were in various stages of implementation with the exception of the following:</w:t>
      </w:r>
    </w:p>
    <w:p w:rsidR="001548F9" w:rsidRPr="009A4174" w:rsidRDefault="007F5DB5" w:rsidP="00A54F50">
      <w:pPr>
        <w:pStyle w:val="ListParagraph"/>
        <w:numPr>
          <w:ilvl w:val="0"/>
          <w:numId w:val="32"/>
        </w:numPr>
        <w:rPr>
          <w:rFonts w:cstheme="minorHAnsi"/>
        </w:rPr>
      </w:pPr>
      <w:r w:rsidRPr="009A4174">
        <w:rPr>
          <w:rFonts w:cstheme="minorHAnsi"/>
        </w:rPr>
        <w:t>Category 1 ($5,000 - $30,000)</w:t>
      </w:r>
      <w:r w:rsidR="005D6ECE" w:rsidRPr="009A4174">
        <w:rPr>
          <w:rFonts w:cstheme="minorHAnsi"/>
        </w:rPr>
        <w:t xml:space="preserve"> – multi-sector projects</w:t>
      </w:r>
      <w:r w:rsidR="00BB7863">
        <w:rPr>
          <w:rFonts w:cstheme="minorHAnsi"/>
        </w:rPr>
        <w:t xml:space="preserve">:  </w:t>
      </w:r>
      <w:r w:rsidRPr="009A4174">
        <w:rPr>
          <w:rFonts w:cstheme="minorHAnsi"/>
        </w:rPr>
        <w:t xml:space="preserve">41 projects approved </w:t>
      </w:r>
      <w:r w:rsidR="00BB7863">
        <w:rPr>
          <w:rFonts w:cstheme="minorHAnsi"/>
        </w:rPr>
        <w:t xml:space="preserve">but 2 </w:t>
      </w:r>
      <w:r w:rsidRPr="009A4174">
        <w:rPr>
          <w:rFonts w:cstheme="minorHAnsi"/>
        </w:rPr>
        <w:t>declined due to insufficien</w:t>
      </w:r>
      <w:r w:rsidR="005D6ECE" w:rsidRPr="009A4174">
        <w:rPr>
          <w:rFonts w:cstheme="minorHAnsi"/>
        </w:rPr>
        <w:t xml:space="preserve">t applicant contribution to implement the </w:t>
      </w:r>
      <w:r w:rsidRPr="009A4174">
        <w:rPr>
          <w:rFonts w:cstheme="minorHAnsi"/>
        </w:rPr>
        <w:t>project.</w:t>
      </w:r>
    </w:p>
    <w:p w:rsidR="005D6ECE" w:rsidRPr="009A4174" w:rsidRDefault="005D6ECE" w:rsidP="00A54F50">
      <w:pPr>
        <w:pStyle w:val="ListParagraph"/>
        <w:numPr>
          <w:ilvl w:val="0"/>
          <w:numId w:val="32"/>
        </w:numPr>
        <w:rPr>
          <w:rFonts w:cstheme="minorHAnsi"/>
        </w:rPr>
      </w:pPr>
      <w:r w:rsidRPr="009A4174">
        <w:rPr>
          <w:rFonts w:cstheme="minorHAnsi"/>
        </w:rPr>
        <w:t>Category 1 ($5,000 - $30,000) – ICCAI-WSCCA water harves</w:t>
      </w:r>
      <w:r w:rsidR="00BB7863">
        <w:rPr>
          <w:rFonts w:cstheme="minorHAnsi"/>
        </w:rPr>
        <w:t xml:space="preserve">ting projects only:  </w:t>
      </w:r>
      <w:r w:rsidRPr="009A4174">
        <w:rPr>
          <w:rFonts w:cstheme="minorHAnsi"/>
        </w:rPr>
        <w:t xml:space="preserve">44 projects approved </w:t>
      </w:r>
      <w:r w:rsidR="00BB7863">
        <w:rPr>
          <w:rFonts w:cstheme="minorHAnsi"/>
        </w:rPr>
        <w:t xml:space="preserve">but 1 </w:t>
      </w:r>
      <w:r w:rsidRPr="009A4174">
        <w:rPr>
          <w:rFonts w:cstheme="minorHAnsi"/>
        </w:rPr>
        <w:t>declined due to insufficient applicant contribution to implement the project.</w:t>
      </w:r>
    </w:p>
    <w:p w:rsidR="007F5DB5" w:rsidRPr="009A4174" w:rsidRDefault="007F5DB5" w:rsidP="00A54F50">
      <w:pPr>
        <w:pStyle w:val="ListParagraph"/>
        <w:numPr>
          <w:ilvl w:val="0"/>
          <w:numId w:val="32"/>
        </w:numPr>
        <w:rPr>
          <w:rFonts w:cstheme="minorHAnsi"/>
        </w:rPr>
      </w:pPr>
      <w:r w:rsidRPr="009A4174">
        <w:rPr>
          <w:rFonts w:cstheme="minorHAnsi"/>
        </w:rPr>
        <w:t>Category 2 ($30,000-$150,000</w:t>
      </w:r>
      <w:proofErr w:type="gramStart"/>
      <w:r w:rsidRPr="009A4174">
        <w:rPr>
          <w:rFonts w:cstheme="minorHAnsi"/>
        </w:rPr>
        <w:t>)</w:t>
      </w:r>
      <w:r w:rsidR="009A4174">
        <w:rPr>
          <w:rFonts w:cstheme="minorHAnsi"/>
        </w:rPr>
        <w:t>-</w:t>
      </w:r>
      <w:proofErr w:type="gramEnd"/>
      <w:r w:rsidR="009A4174">
        <w:rPr>
          <w:rFonts w:cstheme="minorHAnsi"/>
        </w:rPr>
        <w:t xml:space="preserve"> multi-sector projects</w:t>
      </w:r>
      <w:r w:rsidRPr="009A4174">
        <w:rPr>
          <w:rFonts w:cstheme="minorHAnsi"/>
        </w:rPr>
        <w:t>:</w:t>
      </w:r>
      <w:r w:rsidR="00BB7863">
        <w:rPr>
          <w:rFonts w:cstheme="minorHAnsi"/>
        </w:rPr>
        <w:t xml:space="preserve">  </w:t>
      </w:r>
      <w:r w:rsidR="005D6ECE" w:rsidRPr="009A4174">
        <w:rPr>
          <w:rFonts w:cstheme="minorHAnsi"/>
        </w:rPr>
        <w:t xml:space="preserve">15 projects approved </w:t>
      </w:r>
      <w:r w:rsidR="00BB7863">
        <w:rPr>
          <w:rFonts w:cstheme="minorHAnsi"/>
        </w:rPr>
        <w:t xml:space="preserve">but one </w:t>
      </w:r>
      <w:r w:rsidR="005D6ECE" w:rsidRPr="009A4174">
        <w:rPr>
          <w:rFonts w:cstheme="minorHAnsi"/>
        </w:rPr>
        <w:t>declined due to other priority commitments of the organisation and the community.</w:t>
      </w:r>
    </w:p>
    <w:p w:rsidR="005D6ECE" w:rsidRDefault="005D6ECE" w:rsidP="00A54F50">
      <w:pPr>
        <w:pStyle w:val="ListParagraph"/>
        <w:numPr>
          <w:ilvl w:val="0"/>
          <w:numId w:val="32"/>
        </w:numPr>
        <w:rPr>
          <w:rFonts w:cstheme="minorHAnsi"/>
        </w:rPr>
      </w:pPr>
      <w:r w:rsidRPr="009A4174">
        <w:rPr>
          <w:rFonts w:cstheme="minorHAnsi"/>
        </w:rPr>
        <w:t>Category 3 ($150,000 - $300,000)</w:t>
      </w:r>
      <w:r w:rsidR="009A4174" w:rsidRPr="009A4174">
        <w:rPr>
          <w:rFonts w:cstheme="minorHAnsi"/>
        </w:rPr>
        <w:t xml:space="preserve"> NGOs only:  </w:t>
      </w:r>
      <w:r w:rsidR="00293198">
        <w:rPr>
          <w:rFonts w:cstheme="minorHAnsi"/>
        </w:rPr>
        <w:t>Two have been approved</w:t>
      </w:r>
      <w:r w:rsidR="009A4174" w:rsidRPr="009A4174">
        <w:rPr>
          <w:rFonts w:cstheme="minorHAnsi"/>
        </w:rPr>
        <w:t>.</w:t>
      </w:r>
    </w:p>
    <w:p w:rsidR="007D4274" w:rsidRDefault="007D4274" w:rsidP="007D4274">
      <w:pPr>
        <w:pStyle w:val="ListParagraph"/>
        <w:ind w:left="1080"/>
        <w:rPr>
          <w:rFonts w:cstheme="minorHAnsi"/>
        </w:rPr>
      </w:pPr>
    </w:p>
    <w:p w:rsidR="007D4274" w:rsidRPr="009A4174" w:rsidRDefault="00B5027B" w:rsidP="0092400A">
      <w:pPr>
        <w:pStyle w:val="ListParagraph"/>
        <w:rPr>
          <w:rFonts w:cstheme="minorHAnsi"/>
        </w:rPr>
      </w:pPr>
      <w:r>
        <w:rPr>
          <w:rFonts w:cstheme="minorHAnsi"/>
          <w:u w:val="single"/>
        </w:rPr>
        <w:t xml:space="preserve">Update on </w:t>
      </w:r>
      <w:r w:rsidRPr="00B5027B">
        <w:rPr>
          <w:rFonts w:cstheme="minorHAnsi"/>
          <w:u w:val="single"/>
        </w:rPr>
        <w:t>Projects</w:t>
      </w:r>
      <w:r>
        <w:rPr>
          <w:rFonts w:cstheme="minorHAnsi"/>
          <w:u w:val="single"/>
        </w:rPr>
        <w:t xml:space="preserve"> approved</w:t>
      </w:r>
      <w:r w:rsidRPr="00B5027B">
        <w:rPr>
          <w:rFonts w:cstheme="minorHAnsi"/>
          <w:u w:val="single"/>
        </w:rPr>
        <w:t xml:space="preserve"> in 2010/2011</w:t>
      </w:r>
    </w:p>
    <w:p w:rsidR="001D001E" w:rsidRDefault="00B46EE6" w:rsidP="0092400A">
      <w:pPr>
        <w:ind w:left="720"/>
        <w:jc w:val="both"/>
        <w:rPr>
          <w:rFonts w:cstheme="minorHAnsi"/>
        </w:rPr>
      </w:pPr>
      <w:r>
        <w:rPr>
          <w:rFonts w:cstheme="minorHAnsi"/>
        </w:rPr>
        <w:t>Annex IV</w:t>
      </w:r>
      <w:r w:rsidR="001D001E" w:rsidRPr="004017EA">
        <w:rPr>
          <w:rFonts w:cstheme="minorHAnsi"/>
        </w:rPr>
        <w:t xml:space="preserve"> </w:t>
      </w:r>
      <w:r w:rsidR="00B5027B">
        <w:rPr>
          <w:rFonts w:cstheme="minorHAnsi"/>
        </w:rPr>
        <w:t>provides a compilation</w:t>
      </w:r>
      <w:r w:rsidR="001D001E" w:rsidRPr="004017EA">
        <w:rPr>
          <w:rFonts w:cstheme="minorHAnsi"/>
        </w:rPr>
        <w:t xml:space="preserve"> of all approved Category 1 and Category 2 projects.  It includes graphs and charts of approved applicants by: </w:t>
      </w:r>
      <w:r w:rsidR="000325E9">
        <w:rPr>
          <w:rFonts w:cstheme="minorHAnsi"/>
        </w:rPr>
        <w:t xml:space="preserve">1. </w:t>
      </w:r>
      <w:r w:rsidR="001D001E" w:rsidRPr="004017EA">
        <w:rPr>
          <w:rFonts w:cstheme="minorHAnsi"/>
        </w:rPr>
        <w:t>Civil Society Organisation Type (NGO, CBO)</w:t>
      </w:r>
      <w:proofErr w:type="gramStart"/>
      <w:r w:rsidR="001D001E" w:rsidRPr="004017EA">
        <w:rPr>
          <w:rFonts w:cstheme="minorHAnsi"/>
        </w:rPr>
        <w:t xml:space="preserve">;  </w:t>
      </w:r>
      <w:r w:rsidR="000325E9">
        <w:rPr>
          <w:rFonts w:cstheme="minorHAnsi"/>
        </w:rPr>
        <w:t>2</w:t>
      </w:r>
      <w:proofErr w:type="gramEnd"/>
      <w:r w:rsidR="000325E9">
        <w:rPr>
          <w:rFonts w:cstheme="minorHAnsi"/>
        </w:rPr>
        <w:t>.</w:t>
      </w:r>
      <w:r w:rsidR="001D001E" w:rsidRPr="004017EA">
        <w:rPr>
          <w:rFonts w:cstheme="minorHAnsi"/>
        </w:rPr>
        <w:t xml:space="preserve"> Main </w:t>
      </w:r>
      <w:r w:rsidR="00B2494E">
        <w:rPr>
          <w:rFonts w:cstheme="minorHAnsi"/>
        </w:rPr>
        <w:t xml:space="preserve">Project </w:t>
      </w:r>
      <w:r w:rsidR="001D001E" w:rsidRPr="004017EA">
        <w:rPr>
          <w:rFonts w:cstheme="minorHAnsi"/>
        </w:rPr>
        <w:t>Activity</w:t>
      </w:r>
      <w:proofErr w:type="gramStart"/>
      <w:r w:rsidR="001D001E" w:rsidRPr="004017EA">
        <w:rPr>
          <w:rFonts w:cstheme="minorHAnsi"/>
        </w:rPr>
        <w:t xml:space="preserve">; </w:t>
      </w:r>
      <w:r w:rsidR="000325E9">
        <w:rPr>
          <w:rFonts w:cstheme="minorHAnsi"/>
        </w:rPr>
        <w:t xml:space="preserve"> 3</w:t>
      </w:r>
      <w:proofErr w:type="gramEnd"/>
      <w:r w:rsidR="000325E9">
        <w:rPr>
          <w:rFonts w:cstheme="minorHAnsi"/>
        </w:rPr>
        <w:t xml:space="preserve">. </w:t>
      </w:r>
      <w:r w:rsidR="001D001E" w:rsidRPr="001866C2">
        <w:rPr>
          <w:rFonts w:cstheme="minorHAnsi"/>
        </w:rPr>
        <w:t xml:space="preserve">Sector (Number, Funding Amount); and </w:t>
      </w:r>
      <w:r w:rsidR="000325E9">
        <w:rPr>
          <w:rFonts w:cstheme="minorHAnsi"/>
        </w:rPr>
        <w:t xml:space="preserve">4. </w:t>
      </w:r>
      <w:proofErr w:type="gramStart"/>
      <w:r w:rsidR="001D001E" w:rsidRPr="001866C2">
        <w:rPr>
          <w:rFonts w:cstheme="minorHAnsi"/>
        </w:rPr>
        <w:t>Region (Number, Funding Amount).</w:t>
      </w:r>
      <w:proofErr w:type="gramEnd"/>
      <w:r w:rsidR="001D001E" w:rsidRPr="001866C2">
        <w:rPr>
          <w:rFonts w:cstheme="minorHAnsi"/>
        </w:rPr>
        <w:t xml:space="preserve">  </w:t>
      </w:r>
    </w:p>
    <w:p w:rsidR="000325E9" w:rsidRDefault="000325E9" w:rsidP="0092400A">
      <w:pPr>
        <w:spacing w:after="0"/>
        <w:ind w:left="720"/>
        <w:jc w:val="both"/>
        <w:rPr>
          <w:rFonts w:cstheme="minorHAnsi"/>
          <w:i/>
        </w:rPr>
      </w:pPr>
      <w:r w:rsidRPr="000325E9">
        <w:rPr>
          <w:rFonts w:cstheme="minorHAnsi"/>
          <w:i/>
        </w:rPr>
        <w:t>Note:  CSSP has recently revised its application form to capture information on numbers of direct beneficiaries including numbers of families involved, number of males, females, youth, and people with disabilities.  This data will be reflected in its 2012/2013 reports.</w:t>
      </w:r>
    </w:p>
    <w:p w:rsidR="000325E9" w:rsidRPr="000325E9" w:rsidRDefault="000325E9" w:rsidP="000325E9">
      <w:pPr>
        <w:spacing w:after="0"/>
        <w:jc w:val="both"/>
        <w:rPr>
          <w:rFonts w:cstheme="minorHAnsi"/>
          <w:u w:val="single"/>
        </w:rPr>
      </w:pPr>
    </w:p>
    <w:p w:rsidR="005536C9" w:rsidRPr="00293198" w:rsidRDefault="001D001E" w:rsidP="00A54F50">
      <w:pPr>
        <w:pStyle w:val="ListParagraph"/>
        <w:numPr>
          <w:ilvl w:val="0"/>
          <w:numId w:val="10"/>
        </w:numPr>
        <w:spacing w:after="0"/>
        <w:ind w:left="1134" w:hanging="283"/>
        <w:jc w:val="both"/>
        <w:rPr>
          <w:rFonts w:cstheme="minorHAnsi"/>
        </w:rPr>
      </w:pPr>
      <w:r w:rsidRPr="004F79C6">
        <w:rPr>
          <w:rFonts w:cstheme="minorHAnsi"/>
        </w:rPr>
        <w:t>Community based organisations received the bulk of CSSP funds:  CBO (82%, 145 projects</w:t>
      </w:r>
      <w:proofErr w:type="gramStart"/>
      <w:r w:rsidRPr="004F79C6">
        <w:rPr>
          <w:rFonts w:cstheme="minorHAnsi"/>
        </w:rPr>
        <w:t>) ,</w:t>
      </w:r>
      <w:proofErr w:type="gramEnd"/>
      <w:r w:rsidRPr="004F79C6">
        <w:rPr>
          <w:rFonts w:cstheme="minorHAnsi"/>
        </w:rPr>
        <w:t xml:space="preserve">  NGOs (18%, 14 projects).  </w:t>
      </w:r>
      <w:r w:rsidRPr="00293198">
        <w:rPr>
          <w:rFonts w:cstheme="minorHAnsi"/>
        </w:rPr>
        <w:t xml:space="preserve">By Sector, more projects were approved in the </w:t>
      </w:r>
      <w:r w:rsidRPr="00A7294B">
        <w:rPr>
          <w:rFonts w:cstheme="minorHAnsi"/>
          <w:u w:val="single"/>
        </w:rPr>
        <w:t>Water and Sanitation Sector</w:t>
      </w:r>
      <w:r w:rsidRPr="00293198">
        <w:rPr>
          <w:rFonts w:cstheme="minorHAnsi"/>
        </w:rPr>
        <w:t xml:space="preserve"> (35%, 55), followed by Education (24%, 39), Community </w:t>
      </w:r>
      <w:proofErr w:type="gramStart"/>
      <w:r w:rsidRPr="00293198">
        <w:rPr>
          <w:rFonts w:cstheme="minorHAnsi"/>
        </w:rPr>
        <w:t>Development(</w:t>
      </w:r>
      <w:proofErr w:type="gramEnd"/>
      <w:r w:rsidRPr="00293198">
        <w:rPr>
          <w:rFonts w:cstheme="minorHAnsi"/>
        </w:rPr>
        <w:t xml:space="preserve">21%, 34),  Agriculture, Health, and Justice.  However, by funding amounts, the Education Sector dominated, followed by the Water and Sanitation Sector, Community Development, Health, Agriculture and Justice.   </w:t>
      </w:r>
      <w:r w:rsidR="005536C9" w:rsidRPr="00293198">
        <w:rPr>
          <w:rFonts w:cstheme="minorHAnsi"/>
        </w:rPr>
        <w:t>Education projects were mostly for infr</w:t>
      </w:r>
      <w:r w:rsidR="005013C6" w:rsidRPr="00293198">
        <w:rPr>
          <w:rFonts w:cstheme="minorHAnsi"/>
        </w:rPr>
        <w:t>astructure (buildings</w:t>
      </w:r>
      <w:r w:rsidR="005536C9" w:rsidRPr="00293198">
        <w:rPr>
          <w:rFonts w:cstheme="minorHAnsi"/>
        </w:rPr>
        <w:t>) which costs more per project.</w:t>
      </w:r>
    </w:p>
    <w:p w:rsidR="005536C9" w:rsidRDefault="001D001E" w:rsidP="00A54F50">
      <w:pPr>
        <w:pStyle w:val="ListParagraph"/>
        <w:numPr>
          <w:ilvl w:val="0"/>
          <w:numId w:val="10"/>
        </w:numPr>
        <w:spacing w:after="0"/>
        <w:ind w:left="1134" w:hanging="283"/>
        <w:jc w:val="both"/>
        <w:rPr>
          <w:rFonts w:cstheme="minorHAnsi"/>
        </w:rPr>
      </w:pPr>
      <w:proofErr w:type="gramStart"/>
      <w:r w:rsidRPr="00293198">
        <w:rPr>
          <w:rFonts w:cstheme="minorHAnsi"/>
        </w:rPr>
        <w:t>Demands for water harvesting was</w:t>
      </w:r>
      <w:proofErr w:type="gramEnd"/>
      <w:r w:rsidRPr="00293198">
        <w:rPr>
          <w:rFonts w:cstheme="minorHAnsi"/>
        </w:rPr>
        <w:t xml:space="preserve"> especially high during the drought period in 2011 resulting in the majority of these</w:t>
      </w:r>
      <w:r w:rsidRPr="005536C9">
        <w:rPr>
          <w:rFonts w:cstheme="minorHAnsi"/>
        </w:rPr>
        <w:t xml:space="preserve"> applicants being scored high for vulnerability following site visits.  </w:t>
      </w:r>
      <w:r w:rsidR="00421C18">
        <w:rPr>
          <w:rFonts w:cstheme="minorHAnsi"/>
        </w:rPr>
        <w:t xml:space="preserve">The number of water tanks approved for the 44 water harvesting applicants totalled </w:t>
      </w:r>
      <w:r w:rsidR="0062781A" w:rsidRPr="0062781A">
        <w:rPr>
          <w:rFonts w:cstheme="minorHAnsi"/>
        </w:rPr>
        <w:t xml:space="preserve">476 </w:t>
      </w:r>
      <w:r w:rsidR="00D57209" w:rsidRPr="0062781A">
        <w:rPr>
          <w:rFonts w:cstheme="minorHAnsi"/>
        </w:rPr>
        <w:t>(</w:t>
      </w:r>
      <w:r w:rsidR="0062781A" w:rsidRPr="0062781A">
        <w:rPr>
          <w:rFonts w:cstheme="minorHAnsi"/>
        </w:rPr>
        <w:t>1</w:t>
      </w:r>
      <w:r w:rsidR="001D5791" w:rsidRPr="0062781A">
        <w:rPr>
          <w:rFonts w:cstheme="minorHAnsi"/>
        </w:rPr>
        <w:t xml:space="preserve"> million litres</w:t>
      </w:r>
      <w:r w:rsidR="00D57209" w:rsidRPr="0062781A">
        <w:rPr>
          <w:rFonts w:cstheme="minorHAnsi"/>
        </w:rPr>
        <w:t>)</w:t>
      </w:r>
      <w:r w:rsidR="00D57209">
        <w:rPr>
          <w:rFonts w:cstheme="minorHAnsi"/>
        </w:rPr>
        <w:t xml:space="preserve"> storage capacity. T</w:t>
      </w:r>
      <w:r w:rsidR="001D5791">
        <w:rPr>
          <w:rFonts w:cstheme="minorHAnsi"/>
        </w:rPr>
        <w:t xml:space="preserve">he numbers of actual </w:t>
      </w:r>
      <w:r w:rsidR="0062781A">
        <w:rPr>
          <w:rFonts w:cstheme="minorHAnsi"/>
        </w:rPr>
        <w:t>families benefiting from the 476</w:t>
      </w:r>
      <w:r w:rsidR="001D5791">
        <w:rPr>
          <w:rFonts w:cstheme="minorHAnsi"/>
        </w:rPr>
        <w:t xml:space="preserve"> water tanks will exceed </w:t>
      </w:r>
      <w:r w:rsidR="0062781A">
        <w:rPr>
          <w:rFonts w:cstheme="minorHAnsi"/>
        </w:rPr>
        <w:t>476</w:t>
      </w:r>
      <w:r w:rsidR="00D57209">
        <w:rPr>
          <w:rFonts w:cstheme="minorHAnsi"/>
        </w:rPr>
        <w:t xml:space="preserve"> </w:t>
      </w:r>
      <w:r w:rsidR="001D5791">
        <w:rPr>
          <w:rFonts w:cstheme="minorHAnsi"/>
        </w:rPr>
        <w:t>because some applicants have requested larger tanks</w:t>
      </w:r>
      <w:r w:rsidR="000D6BC5">
        <w:rPr>
          <w:rFonts w:cstheme="minorHAnsi"/>
        </w:rPr>
        <w:t>, strategically located,</w:t>
      </w:r>
      <w:r w:rsidR="001D5791">
        <w:rPr>
          <w:rFonts w:cstheme="minorHAnsi"/>
        </w:rPr>
        <w:t xml:space="preserve"> to be shared among several families.</w:t>
      </w:r>
    </w:p>
    <w:p w:rsidR="00E645D2" w:rsidRDefault="001D001E" w:rsidP="00A54F50">
      <w:pPr>
        <w:pStyle w:val="ListParagraph"/>
        <w:numPr>
          <w:ilvl w:val="0"/>
          <w:numId w:val="10"/>
        </w:numPr>
        <w:spacing w:after="0"/>
        <w:ind w:left="1134" w:hanging="283"/>
        <w:jc w:val="both"/>
        <w:rPr>
          <w:rFonts w:cstheme="minorHAnsi"/>
        </w:rPr>
      </w:pPr>
      <w:r w:rsidRPr="005536C9">
        <w:rPr>
          <w:rFonts w:cstheme="minorHAnsi"/>
        </w:rPr>
        <w:t xml:space="preserve">By region, Northwest Upolu had the highest relative share of projects by number and funding amounts.  This is not surprising since it is the fastest growing region in the country with the largest share of the population.  People in this region seemed much more aware of CSSP services.  By number of projects and funding amounts, Northwest Upolu was followed by Savaii, Rest of Upolu, Apia, and Samoa (National NGOs).  </w:t>
      </w:r>
    </w:p>
    <w:p w:rsidR="00244DE2" w:rsidRDefault="00244DE2" w:rsidP="00244DE2">
      <w:pPr>
        <w:pStyle w:val="ListParagraph"/>
        <w:spacing w:after="0"/>
        <w:ind w:left="1134"/>
        <w:jc w:val="both"/>
        <w:rPr>
          <w:rFonts w:cstheme="minorHAnsi"/>
        </w:rPr>
      </w:pPr>
    </w:p>
    <w:p w:rsidR="000D2A0C" w:rsidRDefault="000D2A0C" w:rsidP="00244DE2">
      <w:pPr>
        <w:pStyle w:val="ListParagraph"/>
        <w:spacing w:after="0"/>
        <w:ind w:left="1134"/>
        <w:jc w:val="both"/>
        <w:rPr>
          <w:rFonts w:cstheme="minorHAnsi"/>
        </w:rPr>
      </w:pPr>
    </w:p>
    <w:p w:rsidR="000D2A0C" w:rsidRPr="00244DE2" w:rsidRDefault="000D2A0C" w:rsidP="00244DE2">
      <w:pPr>
        <w:pStyle w:val="ListParagraph"/>
        <w:spacing w:after="0"/>
        <w:ind w:left="1134"/>
        <w:jc w:val="both"/>
        <w:rPr>
          <w:rFonts w:cstheme="minorHAnsi"/>
        </w:rPr>
      </w:pPr>
    </w:p>
    <w:p w:rsidR="00E645D2" w:rsidRPr="005252F5" w:rsidRDefault="00E645D2" w:rsidP="000D2A0C">
      <w:pPr>
        <w:spacing w:after="0"/>
        <w:ind w:left="720"/>
        <w:rPr>
          <w:rFonts w:cstheme="minorHAnsi"/>
          <w:iCs/>
          <w:u w:val="single"/>
          <w:lang w:val="en-GB"/>
        </w:rPr>
      </w:pPr>
      <w:r>
        <w:rPr>
          <w:rFonts w:cstheme="minorHAnsi"/>
          <w:iCs/>
          <w:u w:val="single"/>
          <w:lang w:val="en-GB"/>
        </w:rPr>
        <w:t>OBJECTIVE 2 and OBJECTIVE</w:t>
      </w:r>
      <w:r w:rsidR="00C4454F">
        <w:rPr>
          <w:rFonts w:cstheme="minorHAnsi"/>
          <w:iCs/>
          <w:u w:val="single"/>
          <w:lang w:val="en-GB"/>
        </w:rPr>
        <w:t xml:space="preserve"> 3:  CSO capacity building (governance, management, advocacy</w:t>
      </w:r>
      <w:r w:rsidR="00E0054D">
        <w:rPr>
          <w:rFonts w:cstheme="minorHAnsi"/>
          <w:iCs/>
          <w:u w:val="single"/>
          <w:lang w:val="en-GB"/>
        </w:rPr>
        <w:t>)</w:t>
      </w:r>
    </w:p>
    <w:p w:rsidR="00E645D2" w:rsidRPr="00263943" w:rsidRDefault="000D2A0C" w:rsidP="00A54F50">
      <w:pPr>
        <w:pStyle w:val="ListParagraph"/>
        <w:numPr>
          <w:ilvl w:val="0"/>
          <w:numId w:val="35"/>
        </w:numPr>
        <w:spacing w:after="0"/>
        <w:rPr>
          <w:rFonts w:cstheme="minorHAnsi"/>
          <w:iCs/>
          <w:lang w:val="en-GB"/>
        </w:rPr>
      </w:pPr>
      <w:r w:rsidRPr="00263943">
        <w:rPr>
          <w:rFonts w:cstheme="minorHAnsi"/>
          <w:iCs/>
          <w:lang w:val="en-GB"/>
        </w:rPr>
        <w:t xml:space="preserve">.  </w:t>
      </w:r>
      <w:r w:rsidR="00263943" w:rsidRPr="00263943">
        <w:rPr>
          <w:rFonts w:cstheme="minorHAnsi"/>
          <w:iCs/>
          <w:lang w:val="en-GB"/>
        </w:rPr>
        <w:t>SUNGO</w:t>
      </w:r>
      <w:r w:rsidRPr="00263943">
        <w:rPr>
          <w:rFonts w:cstheme="minorHAnsi"/>
          <w:iCs/>
          <w:lang w:val="en-GB"/>
        </w:rPr>
        <w:t xml:space="preserve"> achievements against their</w:t>
      </w:r>
      <w:r w:rsidR="00263943" w:rsidRPr="00263943">
        <w:rPr>
          <w:rFonts w:cstheme="minorHAnsi"/>
          <w:iCs/>
          <w:lang w:val="en-GB"/>
        </w:rPr>
        <w:t xml:space="preserve"> contract </w:t>
      </w:r>
      <w:r w:rsidRPr="00263943">
        <w:rPr>
          <w:rFonts w:cstheme="minorHAnsi"/>
          <w:iCs/>
          <w:lang w:val="en-GB"/>
        </w:rPr>
        <w:t xml:space="preserve"> deliverables included the following:</w:t>
      </w:r>
    </w:p>
    <w:p w:rsidR="000D2A0C" w:rsidRPr="000D2A0C" w:rsidRDefault="000D2A0C" w:rsidP="00A54F50">
      <w:pPr>
        <w:pStyle w:val="ListParagraph"/>
        <w:numPr>
          <w:ilvl w:val="0"/>
          <w:numId w:val="36"/>
        </w:numPr>
        <w:spacing w:after="0"/>
        <w:rPr>
          <w:rFonts w:cstheme="minorHAnsi"/>
          <w:iCs/>
          <w:lang w:val="en-GB"/>
        </w:rPr>
      </w:pPr>
      <w:r w:rsidRPr="00DB1509">
        <w:rPr>
          <w:rFonts w:cstheme="minorHAnsi"/>
          <w:iCs/>
          <w:u w:val="single"/>
          <w:lang w:val="en-GB"/>
        </w:rPr>
        <w:t>Development of a NGO Assessment Tool</w:t>
      </w:r>
      <w:r>
        <w:rPr>
          <w:rFonts w:cstheme="minorHAnsi"/>
          <w:iCs/>
          <w:lang w:val="en-GB"/>
        </w:rPr>
        <w:t xml:space="preserve"> – This is a </w:t>
      </w:r>
      <w:proofErr w:type="spellStart"/>
      <w:r>
        <w:rPr>
          <w:rFonts w:cstheme="minorHAnsi"/>
          <w:iCs/>
          <w:lang w:val="en-GB"/>
        </w:rPr>
        <w:t>self assessment</w:t>
      </w:r>
      <w:proofErr w:type="spellEnd"/>
      <w:r>
        <w:rPr>
          <w:rFonts w:cstheme="minorHAnsi"/>
          <w:iCs/>
          <w:lang w:val="en-GB"/>
        </w:rPr>
        <w:t xml:space="preserve"> diagnostic tool to assist the NGOs to identify areas of strengths and areas needing further improvement.  The tool was designed with input from </w:t>
      </w:r>
      <w:r w:rsidR="00293198">
        <w:rPr>
          <w:rFonts w:cstheme="minorHAnsi"/>
          <w:iCs/>
          <w:lang w:val="en-GB"/>
        </w:rPr>
        <w:t xml:space="preserve">six pilot </w:t>
      </w:r>
      <w:proofErr w:type="gramStart"/>
      <w:r>
        <w:rPr>
          <w:rFonts w:cstheme="minorHAnsi"/>
          <w:iCs/>
          <w:lang w:val="en-GB"/>
        </w:rPr>
        <w:t>NGOs .</w:t>
      </w:r>
      <w:proofErr w:type="gramEnd"/>
      <w:r>
        <w:rPr>
          <w:rFonts w:cstheme="minorHAnsi"/>
          <w:iCs/>
          <w:lang w:val="en-GB"/>
        </w:rPr>
        <w:t xml:space="preserve">  SUNGO trainers are trained to implement the tool with the </w:t>
      </w:r>
      <w:r>
        <w:rPr>
          <w:rFonts w:cstheme="minorHAnsi"/>
          <w:iCs/>
          <w:lang w:val="en-GB"/>
        </w:rPr>
        <w:lastRenderedPageBreak/>
        <w:t>assistance of a technical advisor.  Feedback from the NGOs piloted has been positive although there has been a strong caution to use the tool for diagnostic purposes primarily and not as a basis for approving an NGO for funding.</w:t>
      </w:r>
    </w:p>
    <w:p w:rsidR="00263943" w:rsidRPr="00263943" w:rsidRDefault="00194B11" w:rsidP="00A54F50">
      <w:pPr>
        <w:pStyle w:val="ListParagraph"/>
        <w:numPr>
          <w:ilvl w:val="0"/>
          <w:numId w:val="36"/>
        </w:numPr>
        <w:spacing w:after="0"/>
        <w:rPr>
          <w:rFonts w:cstheme="minorHAnsi"/>
          <w:iCs/>
          <w:lang w:val="en-GB"/>
        </w:rPr>
      </w:pPr>
      <w:r w:rsidRPr="00DB1509">
        <w:rPr>
          <w:rFonts w:cstheme="minorHAnsi"/>
          <w:iCs/>
          <w:u w:val="single"/>
          <w:lang w:val="en-GB"/>
        </w:rPr>
        <w:t>Information and Liaison for CSOs</w:t>
      </w:r>
      <w:r w:rsidR="004940E1">
        <w:rPr>
          <w:rFonts w:cstheme="minorHAnsi"/>
          <w:iCs/>
          <w:lang w:val="en-GB"/>
        </w:rPr>
        <w:t xml:space="preserve"> </w:t>
      </w:r>
      <w:r>
        <w:rPr>
          <w:rFonts w:cstheme="minorHAnsi"/>
          <w:iCs/>
          <w:lang w:val="en-GB"/>
        </w:rPr>
        <w:t xml:space="preserve">– SUNGO employs five modes of communications to contact its 139 </w:t>
      </w:r>
      <w:r w:rsidR="00D97425">
        <w:rPr>
          <w:rFonts w:cstheme="minorHAnsi"/>
          <w:iCs/>
          <w:lang w:val="en-GB"/>
        </w:rPr>
        <w:t xml:space="preserve">affiliated </w:t>
      </w:r>
      <w:r>
        <w:rPr>
          <w:rFonts w:cstheme="minorHAnsi"/>
          <w:iCs/>
          <w:lang w:val="en-GB"/>
        </w:rPr>
        <w:t xml:space="preserve">member organisations (phone, e-mail, internet, site visits, walk-ins).  </w:t>
      </w:r>
      <w:r w:rsidR="005107BD">
        <w:rPr>
          <w:rFonts w:cstheme="minorHAnsi"/>
          <w:iCs/>
          <w:lang w:val="en-GB"/>
        </w:rPr>
        <w:t xml:space="preserve">  </w:t>
      </w:r>
      <w:r w:rsidR="00D02BFB">
        <w:rPr>
          <w:rFonts w:cstheme="minorHAnsi"/>
          <w:iCs/>
          <w:lang w:val="en-GB"/>
        </w:rPr>
        <w:t>SUNGO CSO membership has increased by 10 in 2011/12.</w:t>
      </w:r>
      <w:r w:rsidR="00263943">
        <w:rPr>
          <w:rFonts w:cstheme="minorHAnsi"/>
          <w:iCs/>
          <w:lang w:val="en-GB"/>
        </w:rPr>
        <w:t xml:space="preserve">  CSO member satisfaction with SUNGO (23% surveyed) showed a </w:t>
      </w:r>
      <w:proofErr w:type="gramStart"/>
      <w:r w:rsidR="00263943">
        <w:rPr>
          <w:rFonts w:cstheme="minorHAnsi"/>
          <w:iCs/>
          <w:lang w:val="en-GB"/>
        </w:rPr>
        <w:t>high  level</w:t>
      </w:r>
      <w:proofErr w:type="gramEnd"/>
      <w:r w:rsidR="00263943">
        <w:rPr>
          <w:rFonts w:cstheme="minorHAnsi"/>
          <w:iCs/>
          <w:lang w:val="en-GB"/>
        </w:rPr>
        <w:t xml:space="preserve"> of satisfaction.  Only one CSO member was dissatisfied.  Management satisfaction rating was 75% and viewed as improving.</w:t>
      </w:r>
    </w:p>
    <w:p w:rsidR="00DB1509" w:rsidRPr="00DB1509" w:rsidRDefault="004940E1" w:rsidP="00A54F50">
      <w:pPr>
        <w:pStyle w:val="ListParagraph"/>
        <w:numPr>
          <w:ilvl w:val="0"/>
          <w:numId w:val="36"/>
        </w:numPr>
        <w:spacing w:after="0"/>
        <w:rPr>
          <w:rFonts w:cstheme="minorHAnsi"/>
          <w:iCs/>
          <w:u w:val="single"/>
          <w:lang w:val="en-GB"/>
        </w:rPr>
      </w:pPr>
      <w:r w:rsidRPr="00DB1509">
        <w:rPr>
          <w:rFonts w:cstheme="minorHAnsi"/>
          <w:iCs/>
          <w:u w:val="single"/>
          <w:lang w:val="en-GB"/>
        </w:rPr>
        <w:t>Mentoring Support for Civil Society Organisations</w:t>
      </w:r>
      <w:r w:rsidRPr="00DB1509">
        <w:rPr>
          <w:rFonts w:cstheme="minorHAnsi"/>
          <w:iCs/>
          <w:lang w:val="en-GB"/>
        </w:rPr>
        <w:t xml:space="preserve"> – CSSP contracted SUNGO to provide mentorin</w:t>
      </w:r>
      <w:r w:rsidR="00DB1509">
        <w:rPr>
          <w:rFonts w:cstheme="minorHAnsi"/>
          <w:iCs/>
          <w:lang w:val="en-GB"/>
        </w:rPr>
        <w:t>g assistance on CSSP applications</w:t>
      </w:r>
      <w:r w:rsidRPr="00DB1509">
        <w:rPr>
          <w:rFonts w:cstheme="minorHAnsi"/>
          <w:iCs/>
          <w:lang w:val="en-GB"/>
        </w:rPr>
        <w:t xml:space="preserve"> on Savaii and Upolu.  </w:t>
      </w:r>
      <w:r w:rsidR="00DB1509">
        <w:rPr>
          <w:rFonts w:cstheme="minorHAnsi"/>
          <w:iCs/>
          <w:lang w:val="en-GB"/>
        </w:rPr>
        <w:t xml:space="preserve"> A total of 70 mentoring sessions </w:t>
      </w:r>
      <w:r w:rsidR="00D97425">
        <w:rPr>
          <w:rFonts w:cstheme="minorHAnsi"/>
          <w:iCs/>
          <w:lang w:val="en-GB"/>
        </w:rPr>
        <w:t xml:space="preserve"> were </w:t>
      </w:r>
      <w:r w:rsidR="00DB1509">
        <w:rPr>
          <w:rFonts w:cstheme="minorHAnsi"/>
          <w:iCs/>
          <w:lang w:val="en-GB"/>
        </w:rPr>
        <w:t>delivered (34 Savaii; 36 Upolu)</w:t>
      </w:r>
      <w:r w:rsidR="00D97425">
        <w:rPr>
          <w:rFonts w:cstheme="minorHAnsi"/>
          <w:iCs/>
          <w:lang w:val="en-GB"/>
        </w:rPr>
        <w:t xml:space="preserve"> to a </w:t>
      </w:r>
      <w:r w:rsidR="00DB1509">
        <w:rPr>
          <w:rFonts w:cstheme="minorHAnsi"/>
          <w:iCs/>
          <w:lang w:val="en-GB"/>
        </w:rPr>
        <w:t xml:space="preserve"> total of 241 organisations attended (122 Cat 1; 119 Cat 2Participants rated the course at 73%</w:t>
      </w:r>
      <w:r w:rsidR="00D97425">
        <w:rPr>
          <w:rFonts w:cstheme="minorHAnsi"/>
          <w:iCs/>
          <w:lang w:val="en-GB"/>
        </w:rPr>
        <w:t xml:space="preserve"> in terms of satisfaction with course content </w:t>
      </w:r>
      <w:r w:rsidR="00DB1509">
        <w:rPr>
          <w:rFonts w:cstheme="minorHAnsi"/>
          <w:iCs/>
          <w:lang w:val="en-GB"/>
        </w:rPr>
        <w:t xml:space="preserve"> and trainers 9</w:t>
      </w:r>
      <w:r w:rsidR="00DB1509" w:rsidRPr="00DB1509">
        <w:rPr>
          <w:rFonts w:cstheme="minorHAnsi"/>
          <w:iCs/>
          <w:lang w:val="en-GB"/>
        </w:rPr>
        <w:t>0%.</w:t>
      </w:r>
      <w:r w:rsidR="003C556F">
        <w:rPr>
          <w:rFonts w:cstheme="minorHAnsi"/>
          <w:iCs/>
          <w:lang w:val="en-GB"/>
        </w:rPr>
        <w:t xml:space="preserve">  Due to the low 73% rating of the</w:t>
      </w:r>
      <w:r w:rsidR="00DB1509">
        <w:rPr>
          <w:rFonts w:cstheme="minorHAnsi"/>
          <w:iCs/>
          <w:lang w:val="en-GB"/>
        </w:rPr>
        <w:t xml:space="preserve"> mentoring course and recommendations from SUNGO, mentoring</w:t>
      </w:r>
      <w:r w:rsidR="00BF7B34">
        <w:rPr>
          <w:rFonts w:cstheme="minorHAnsi"/>
          <w:iCs/>
          <w:lang w:val="en-GB"/>
        </w:rPr>
        <w:t xml:space="preserve"> on applications</w:t>
      </w:r>
      <w:r w:rsidR="00DB1509">
        <w:rPr>
          <w:rFonts w:cstheme="minorHAnsi"/>
          <w:iCs/>
          <w:lang w:val="en-GB"/>
        </w:rPr>
        <w:t xml:space="preserve"> will be handled differen</w:t>
      </w:r>
      <w:r w:rsidR="00BF7B34">
        <w:rPr>
          <w:rFonts w:cstheme="minorHAnsi"/>
          <w:iCs/>
          <w:lang w:val="en-GB"/>
        </w:rPr>
        <w:t xml:space="preserve">tly in </w:t>
      </w:r>
      <w:r w:rsidR="000E3A74">
        <w:rPr>
          <w:rFonts w:cstheme="minorHAnsi"/>
          <w:iCs/>
          <w:lang w:val="en-GB"/>
        </w:rPr>
        <w:t xml:space="preserve">2012/2013.  It will be provided to </w:t>
      </w:r>
      <w:r w:rsidR="00C02549">
        <w:rPr>
          <w:rFonts w:cstheme="minorHAnsi"/>
          <w:iCs/>
          <w:lang w:val="en-GB"/>
        </w:rPr>
        <w:t xml:space="preserve">participants that have </w:t>
      </w:r>
      <w:proofErr w:type="gramStart"/>
      <w:r w:rsidR="00C02549">
        <w:rPr>
          <w:rFonts w:cstheme="minorHAnsi"/>
          <w:iCs/>
          <w:lang w:val="en-GB"/>
        </w:rPr>
        <w:t>completed  CSSP</w:t>
      </w:r>
      <w:proofErr w:type="gramEnd"/>
      <w:r w:rsidR="00C02549">
        <w:rPr>
          <w:rFonts w:cstheme="minorHAnsi"/>
          <w:iCs/>
          <w:lang w:val="en-GB"/>
        </w:rPr>
        <w:t xml:space="preserve"> sponsored</w:t>
      </w:r>
      <w:r w:rsidR="00E010DD">
        <w:rPr>
          <w:rFonts w:cstheme="minorHAnsi"/>
          <w:iCs/>
          <w:lang w:val="en-GB"/>
        </w:rPr>
        <w:t xml:space="preserve"> </w:t>
      </w:r>
      <w:r w:rsidR="00BF7B34">
        <w:rPr>
          <w:rFonts w:cstheme="minorHAnsi"/>
          <w:iCs/>
          <w:lang w:val="en-GB"/>
        </w:rPr>
        <w:t>Project Design and Management workshop</w:t>
      </w:r>
      <w:r w:rsidR="000E3A74">
        <w:rPr>
          <w:rFonts w:cstheme="minorHAnsi"/>
          <w:iCs/>
          <w:lang w:val="en-GB"/>
        </w:rPr>
        <w:t>s</w:t>
      </w:r>
      <w:r w:rsidR="00BF7B34">
        <w:rPr>
          <w:rFonts w:cstheme="minorHAnsi"/>
          <w:iCs/>
          <w:lang w:val="en-GB"/>
        </w:rPr>
        <w:t>.</w:t>
      </w:r>
      <w:r w:rsidR="00C02549">
        <w:rPr>
          <w:rFonts w:cstheme="minorHAnsi"/>
          <w:iCs/>
          <w:lang w:val="en-GB"/>
        </w:rPr>
        <w:t xml:space="preserve">  </w:t>
      </w:r>
    </w:p>
    <w:p w:rsidR="00DB1509" w:rsidRPr="00A7294B" w:rsidRDefault="005107BD" w:rsidP="00A54F50">
      <w:pPr>
        <w:pStyle w:val="ListParagraph"/>
        <w:numPr>
          <w:ilvl w:val="0"/>
          <w:numId w:val="36"/>
        </w:numPr>
        <w:spacing w:after="0"/>
        <w:rPr>
          <w:rFonts w:cstheme="minorHAnsi"/>
          <w:iCs/>
          <w:u w:val="single"/>
          <w:lang w:val="en-GB"/>
        </w:rPr>
      </w:pPr>
      <w:r>
        <w:rPr>
          <w:rFonts w:cstheme="minorHAnsi"/>
          <w:iCs/>
          <w:u w:val="single"/>
          <w:lang w:val="en-GB"/>
        </w:rPr>
        <w:t xml:space="preserve">Advocacy development for civil </w:t>
      </w:r>
      <w:proofErr w:type="gramStart"/>
      <w:r>
        <w:rPr>
          <w:rFonts w:cstheme="minorHAnsi"/>
          <w:iCs/>
          <w:u w:val="single"/>
          <w:lang w:val="en-GB"/>
        </w:rPr>
        <w:t xml:space="preserve">society </w:t>
      </w:r>
      <w:r w:rsidRPr="005107BD">
        <w:rPr>
          <w:rFonts w:cstheme="minorHAnsi"/>
          <w:b/>
          <w:iCs/>
          <w:u w:val="single"/>
          <w:lang w:val="en-GB"/>
        </w:rPr>
        <w:t xml:space="preserve"> </w:t>
      </w:r>
      <w:r>
        <w:rPr>
          <w:rFonts w:cstheme="minorHAnsi"/>
          <w:iCs/>
          <w:lang w:val="en-GB"/>
        </w:rPr>
        <w:t>–</w:t>
      </w:r>
      <w:proofErr w:type="gramEnd"/>
      <w:r>
        <w:rPr>
          <w:rFonts w:cstheme="minorHAnsi"/>
          <w:iCs/>
          <w:lang w:val="en-GB"/>
        </w:rPr>
        <w:t xml:space="preserve"> SUNGO advocacy is </w:t>
      </w:r>
      <w:r w:rsidR="00D97425">
        <w:rPr>
          <w:rFonts w:cstheme="minorHAnsi"/>
          <w:iCs/>
          <w:lang w:val="en-GB"/>
        </w:rPr>
        <w:t xml:space="preserve">promoted </w:t>
      </w:r>
      <w:r>
        <w:rPr>
          <w:rFonts w:cstheme="minorHAnsi"/>
          <w:iCs/>
          <w:lang w:val="en-GB"/>
        </w:rPr>
        <w:t>through its National Civil Society Forums, as a representative on Line Ministry Sector Committees</w:t>
      </w:r>
      <w:r w:rsidR="00D97425">
        <w:rPr>
          <w:rFonts w:cstheme="minorHAnsi"/>
          <w:iCs/>
          <w:lang w:val="en-GB"/>
        </w:rPr>
        <w:t>, the Cabinet Development Committee</w:t>
      </w:r>
      <w:r>
        <w:rPr>
          <w:rFonts w:cstheme="minorHAnsi"/>
          <w:iCs/>
          <w:lang w:val="en-GB"/>
        </w:rPr>
        <w:t xml:space="preserve"> and  media</w:t>
      </w:r>
      <w:r w:rsidR="00D97425">
        <w:rPr>
          <w:rFonts w:cstheme="minorHAnsi"/>
          <w:iCs/>
          <w:lang w:val="en-GB"/>
        </w:rPr>
        <w:t xml:space="preserve"> interface.</w:t>
      </w:r>
      <w:r>
        <w:rPr>
          <w:rFonts w:cstheme="minorHAnsi"/>
          <w:iCs/>
          <w:lang w:val="en-GB"/>
        </w:rPr>
        <w:t>. Three civil society forums were held and resulted in achieving improved dialogue between the Minister for NGOs and NGOs on the</w:t>
      </w:r>
      <w:r w:rsidR="00690739">
        <w:rPr>
          <w:rFonts w:cstheme="minorHAnsi"/>
          <w:iCs/>
          <w:lang w:val="en-GB"/>
        </w:rPr>
        <w:t>ir issues and concerns and two s</w:t>
      </w:r>
      <w:r>
        <w:rPr>
          <w:rFonts w:cstheme="minorHAnsi"/>
          <w:iCs/>
          <w:lang w:val="en-GB"/>
        </w:rPr>
        <w:t>ubmissions to the Pa</w:t>
      </w:r>
      <w:r w:rsidR="00690739">
        <w:rPr>
          <w:rFonts w:cstheme="minorHAnsi"/>
          <w:iCs/>
          <w:lang w:val="en-GB"/>
        </w:rPr>
        <w:t>rliament Bills committee (Incorporated Society Amendment Bill 2011; the 10% Women in Parliament Bill).</w:t>
      </w:r>
      <w:r w:rsidR="00F70DC2">
        <w:rPr>
          <w:rFonts w:cstheme="minorHAnsi"/>
          <w:iCs/>
          <w:lang w:val="en-GB"/>
        </w:rPr>
        <w:t xml:space="preserve"> SUNGO advocated internationally on the NGO Shadow Report on the CEDAW convention.</w:t>
      </w:r>
    </w:p>
    <w:p w:rsidR="00D97425" w:rsidRPr="0005195E" w:rsidRDefault="00D97425" w:rsidP="00A7294B">
      <w:pPr>
        <w:pStyle w:val="ListParagraph"/>
        <w:spacing w:after="0"/>
        <w:ind w:left="1440"/>
        <w:rPr>
          <w:rFonts w:cstheme="minorHAnsi"/>
          <w:iCs/>
          <w:u w:val="single"/>
          <w:lang w:val="en-GB"/>
        </w:rPr>
      </w:pPr>
    </w:p>
    <w:p w:rsidR="0005195E" w:rsidRDefault="0005195E" w:rsidP="00A54F50">
      <w:pPr>
        <w:pStyle w:val="ListParagraph"/>
        <w:numPr>
          <w:ilvl w:val="0"/>
          <w:numId w:val="35"/>
        </w:numPr>
        <w:spacing w:after="0"/>
        <w:rPr>
          <w:rFonts w:cstheme="minorHAnsi"/>
          <w:iCs/>
          <w:lang w:val="en-GB"/>
        </w:rPr>
      </w:pPr>
      <w:r w:rsidRPr="009702C8">
        <w:rPr>
          <w:rFonts w:cstheme="minorHAnsi"/>
          <w:iCs/>
          <w:u w:val="single"/>
          <w:lang w:val="en-GB"/>
        </w:rPr>
        <w:t>Red Cross Water Harvesting Capacity Building</w:t>
      </w:r>
      <w:r>
        <w:rPr>
          <w:rFonts w:cstheme="minorHAnsi"/>
          <w:iCs/>
          <w:lang w:val="en-GB"/>
        </w:rPr>
        <w:t xml:space="preserve"> – 41 CSSP water tank applicants received a half day capacity building training to install water tanks correctly</w:t>
      </w:r>
      <w:r w:rsidR="00034568">
        <w:rPr>
          <w:rFonts w:cstheme="minorHAnsi"/>
          <w:iCs/>
          <w:lang w:val="en-GB"/>
        </w:rPr>
        <w:t xml:space="preserve"> from Red Cross</w:t>
      </w:r>
      <w:r>
        <w:rPr>
          <w:rFonts w:cstheme="minorHAnsi"/>
          <w:iCs/>
          <w:lang w:val="en-GB"/>
        </w:rPr>
        <w:t>.  Training was also give</w:t>
      </w:r>
      <w:r w:rsidR="00C931EA">
        <w:rPr>
          <w:rFonts w:cstheme="minorHAnsi"/>
          <w:iCs/>
          <w:lang w:val="en-GB"/>
        </w:rPr>
        <w:t>n on installing a simple filter</w:t>
      </w:r>
      <w:r>
        <w:rPr>
          <w:rFonts w:cstheme="minorHAnsi"/>
          <w:iCs/>
          <w:lang w:val="en-GB"/>
        </w:rPr>
        <w:t>ing device called “First Flush” to ensure only clean water enters the tank after it rains.</w:t>
      </w:r>
      <w:r w:rsidR="00034568">
        <w:rPr>
          <w:rFonts w:cstheme="minorHAnsi"/>
          <w:iCs/>
          <w:lang w:val="en-GB"/>
        </w:rPr>
        <w:t xml:space="preserve">  Although it was not a mandatory requirement, a number of projects have installed the filter on their water tanks.  In the future, water harvesting projects will require a filter such as the “First Flush”.</w:t>
      </w:r>
    </w:p>
    <w:p w:rsidR="00671B67" w:rsidRDefault="00671B67" w:rsidP="00A7294B">
      <w:pPr>
        <w:pStyle w:val="ListParagraph"/>
        <w:spacing w:after="0"/>
        <w:ind w:left="1080"/>
        <w:rPr>
          <w:rFonts w:cstheme="minorHAnsi"/>
          <w:iCs/>
          <w:lang w:val="en-GB"/>
        </w:rPr>
      </w:pPr>
    </w:p>
    <w:p w:rsidR="00A15544" w:rsidRPr="00A15544" w:rsidRDefault="00A15544" w:rsidP="00A54F50">
      <w:pPr>
        <w:pStyle w:val="ListParagraph"/>
        <w:numPr>
          <w:ilvl w:val="0"/>
          <w:numId w:val="35"/>
        </w:numPr>
        <w:spacing w:after="0"/>
        <w:rPr>
          <w:rFonts w:cstheme="minorHAnsi"/>
          <w:iCs/>
          <w:lang w:val="en-GB"/>
        </w:rPr>
      </w:pPr>
      <w:r>
        <w:rPr>
          <w:rFonts w:cstheme="minorHAnsi"/>
          <w:iCs/>
          <w:lang w:val="en-GB"/>
        </w:rPr>
        <w:t>Two projects:  Gender awareness;  Youth research</w:t>
      </w:r>
    </w:p>
    <w:p w:rsidR="001079C9" w:rsidRPr="001079C9" w:rsidRDefault="001079C9" w:rsidP="00A54F50">
      <w:pPr>
        <w:pStyle w:val="ListParagraph"/>
        <w:numPr>
          <w:ilvl w:val="0"/>
          <w:numId w:val="39"/>
        </w:numPr>
        <w:spacing w:after="0"/>
        <w:rPr>
          <w:rFonts w:cstheme="minorHAnsi"/>
          <w:iCs/>
          <w:lang w:val="en-GB"/>
        </w:rPr>
      </w:pPr>
      <w:r w:rsidRPr="009702C8">
        <w:rPr>
          <w:rFonts w:cstheme="minorHAnsi"/>
          <w:iCs/>
          <w:u w:val="single"/>
          <w:lang w:val="en-GB"/>
        </w:rPr>
        <w:t>Gender Advocacy Project</w:t>
      </w:r>
      <w:r w:rsidRPr="001079C9">
        <w:rPr>
          <w:rFonts w:cstheme="minorHAnsi"/>
          <w:iCs/>
          <w:lang w:val="en-GB"/>
        </w:rPr>
        <w:t xml:space="preserve">: </w:t>
      </w:r>
      <w:r w:rsidRPr="001079C9">
        <w:rPr>
          <w:rFonts w:cstheme="minorHAnsi"/>
          <w:lang w:eastAsia="en-NZ"/>
        </w:rPr>
        <w:t>Pan Pacific and South East Asia Women’s Association of Samoa (PPSEAWA Samoa Inc. was approved funding for SAT$65,718 to produce a record on film by women of the role of women in the social, cultural and economic development of Samoa since Independence.  The working title of the film is « Facing the Future-Women of Samoa ». The aim of the film is to address the lack of documentation in media of the contribution of women in development.  PPSEAWA plans to use the film to educate and inspire young women in particular an</w:t>
      </w:r>
      <w:r w:rsidR="00034568">
        <w:rPr>
          <w:rFonts w:cstheme="minorHAnsi"/>
          <w:lang w:eastAsia="en-NZ"/>
        </w:rPr>
        <w:t xml:space="preserve">d the general public of the critical </w:t>
      </w:r>
      <w:r w:rsidRPr="001079C9">
        <w:rPr>
          <w:rFonts w:cstheme="minorHAnsi"/>
          <w:lang w:eastAsia="en-NZ"/>
        </w:rPr>
        <w:t>role of women in Samoa’s development over the last 50 years. Planned completion and airing date is July 2013.</w:t>
      </w:r>
    </w:p>
    <w:p w:rsidR="00CE13C7" w:rsidRPr="006103E9" w:rsidRDefault="00CE13C7" w:rsidP="00A54F50">
      <w:pPr>
        <w:pStyle w:val="ListParagraph"/>
        <w:numPr>
          <w:ilvl w:val="0"/>
          <w:numId w:val="39"/>
        </w:numPr>
        <w:spacing w:after="0"/>
        <w:rPr>
          <w:rFonts w:cstheme="minorHAnsi"/>
          <w:iCs/>
          <w:lang w:val="en-GB"/>
        </w:rPr>
      </w:pPr>
      <w:r w:rsidRPr="00CE13C7">
        <w:rPr>
          <w:rFonts w:cstheme="minorHAnsi"/>
          <w:iCs/>
          <w:u w:val="single"/>
          <w:lang w:val="en-GB"/>
        </w:rPr>
        <w:t>Street Youth Research Project:</w:t>
      </w:r>
      <w:r>
        <w:rPr>
          <w:rFonts w:cstheme="minorHAnsi"/>
          <w:iCs/>
          <w:u w:val="single"/>
          <w:lang w:val="en-GB"/>
        </w:rPr>
        <w:t xml:space="preserve">  </w:t>
      </w:r>
      <w:r w:rsidR="00220610" w:rsidRPr="00CE13C7">
        <w:rPr>
          <w:rFonts w:cstheme="minorHAnsi"/>
          <w:iCs/>
          <w:lang w:val="en-GB"/>
        </w:rPr>
        <w:t xml:space="preserve">CSSP provided </w:t>
      </w:r>
      <w:proofErr w:type="spellStart"/>
      <w:r w:rsidR="00220610" w:rsidRPr="00CE13C7">
        <w:rPr>
          <w:rFonts w:cstheme="minorHAnsi"/>
          <w:iCs/>
          <w:lang w:val="en-GB"/>
        </w:rPr>
        <w:t>Pasefi</w:t>
      </w:r>
      <w:r w:rsidR="001079C9" w:rsidRPr="00CE13C7">
        <w:rPr>
          <w:rFonts w:cstheme="minorHAnsi"/>
          <w:iCs/>
          <w:lang w:val="en-GB"/>
        </w:rPr>
        <w:t>ka</w:t>
      </w:r>
      <w:proofErr w:type="spellEnd"/>
      <w:r w:rsidR="001079C9" w:rsidRPr="00CE13C7">
        <w:rPr>
          <w:rFonts w:cstheme="minorHAnsi"/>
          <w:iCs/>
          <w:lang w:val="en-GB"/>
        </w:rPr>
        <w:t xml:space="preserve"> </w:t>
      </w:r>
      <w:proofErr w:type="spellStart"/>
      <w:r w:rsidR="001079C9" w:rsidRPr="00CE13C7">
        <w:rPr>
          <w:rFonts w:cstheme="minorHAnsi"/>
          <w:iCs/>
          <w:lang w:val="en-GB"/>
        </w:rPr>
        <w:t>Mana</w:t>
      </w:r>
      <w:proofErr w:type="spellEnd"/>
      <w:r w:rsidRPr="00CE13C7">
        <w:rPr>
          <w:rFonts w:cstheme="minorHAnsi"/>
          <w:iCs/>
          <w:lang w:val="en-GB"/>
        </w:rPr>
        <w:t>, a local NGO</w:t>
      </w:r>
      <w:proofErr w:type="gramStart"/>
      <w:r w:rsidRPr="00CE13C7">
        <w:rPr>
          <w:rFonts w:cstheme="minorHAnsi"/>
          <w:iCs/>
          <w:lang w:val="en-GB"/>
        </w:rPr>
        <w:t xml:space="preserve">, </w:t>
      </w:r>
      <w:r>
        <w:rPr>
          <w:rFonts w:cstheme="minorHAnsi"/>
          <w:iCs/>
          <w:lang w:val="en-GB"/>
        </w:rPr>
        <w:t xml:space="preserve"> with</w:t>
      </w:r>
      <w:proofErr w:type="gramEnd"/>
      <w:r>
        <w:rPr>
          <w:rFonts w:cstheme="minorHAnsi"/>
          <w:iCs/>
          <w:lang w:val="en-GB"/>
        </w:rPr>
        <w:t xml:space="preserve"> </w:t>
      </w:r>
      <w:r w:rsidR="00220610" w:rsidRPr="00CE13C7">
        <w:rPr>
          <w:rFonts w:cstheme="minorHAnsi"/>
          <w:iCs/>
          <w:lang w:val="en-GB"/>
        </w:rPr>
        <w:t xml:space="preserve"> funds</w:t>
      </w:r>
      <w:r w:rsidR="00220610" w:rsidRPr="00CE13C7">
        <w:rPr>
          <w:rFonts w:cstheme="minorHAnsi"/>
        </w:rPr>
        <w:t xml:space="preserve"> </w:t>
      </w:r>
      <w:r w:rsidRPr="00CE13C7">
        <w:rPr>
          <w:rFonts w:cstheme="minorHAnsi"/>
        </w:rPr>
        <w:t xml:space="preserve"> (SAT 41,200) to conduct a survey and study to profile child street vendors.  The study was</w:t>
      </w:r>
      <w:r w:rsidR="00220610" w:rsidRPr="00CE13C7">
        <w:rPr>
          <w:rFonts w:cstheme="minorHAnsi"/>
        </w:rPr>
        <w:t xml:space="preserve"> conducted in Samoa in March 2011-2012</w:t>
      </w:r>
      <w:r w:rsidRPr="00CE13C7">
        <w:rPr>
          <w:rFonts w:cstheme="minorHAnsi"/>
        </w:rPr>
        <w:t xml:space="preserve"> </w:t>
      </w:r>
      <w:proofErr w:type="gramStart"/>
      <w:r w:rsidRPr="00CE13C7">
        <w:rPr>
          <w:rFonts w:cstheme="minorHAnsi"/>
        </w:rPr>
        <w:t xml:space="preserve">and </w:t>
      </w:r>
      <w:r>
        <w:rPr>
          <w:rFonts w:cstheme="minorHAnsi"/>
        </w:rPr>
        <w:t xml:space="preserve"> the</w:t>
      </w:r>
      <w:proofErr w:type="gramEnd"/>
      <w:r>
        <w:rPr>
          <w:rFonts w:cstheme="minorHAnsi"/>
        </w:rPr>
        <w:t xml:space="preserve"> findings presented to stakeholders in August 2012</w:t>
      </w:r>
      <w:r w:rsidR="006103E9">
        <w:rPr>
          <w:rFonts w:cstheme="minorHAnsi"/>
        </w:rPr>
        <w:t xml:space="preserve"> at CSSP</w:t>
      </w:r>
      <w:r>
        <w:rPr>
          <w:rFonts w:cstheme="minorHAnsi"/>
        </w:rPr>
        <w:t>.</w:t>
      </w:r>
      <w:r w:rsidR="006103E9">
        <w:rPr>
          <w:rFonts w:cstheme="minorHAnsi"/>
        </w:rPr>
        <w:t xml:space="preserve">  Numbers of youth surveyed were 142 boys (15 average age), 52 girls (15 average </w:t>
      </w:r>
      <w:proofErr w:type="gramStart"/>
      <w:r w:rsidR="006103E9">
        <w:rPr>
          <w:rFonts w:cstheme="minorHAnsi"/>
        </w:rPr>
        <w:t>age</w:t>
      </w:r>
      <w:proofErr w:type="gramEnd"/>
      <w:r w:rsidR="006103E9">
        <w:rPr>
          <w:rFonts w:cstheme="minorHAnsi"/>
        </w:rPr>
        <w:t xml:space="preserve">).  Mostly from </w:t>
      </w:r>
      <w:proofErr w:type="spellStart"/>
      <w:r w:rsidR="006103E9">
        <w:rPr>
          <w:rFonts w:cstheme="minorHAnsi"/>
        </w:rPr>
        <w:t>Vaimauga</w:t>
      </w:r>
      <w:proofErr w:type="spellEnd"/>
      <w:r w:rsidR="006103E9">
        <w:rPr>
          <w:rFonts w:cstheme="minorHAnsi"/>
        </w:rPr>
        <w:t xml:space="preserve"> / </w:t>
      </w:r>
      <w:proofErr w:type="spellStart"/>
      <w:r w:rsidR="006103E9">
        <w:rPr>
          <w:rFonts w:cstheme="minorHAnsi"/>
        </w:rPr>
        <w:t>Faleata</w:t>
      </w:r>
      <w:proofErr w:type="spellEnd"/>
      <w:r w:rsidR="006103E9">
        <w:rPr>
          <w:rFonts w:cstheme="minorHAnsi"/>
        </w:rPr>
        <w:t xml:space="preserve"> area. </w:t>
      </w:r>
    </w:p>
    <w:p w:rsidR="006103E9" w:rsidRPr="006103E9" w:rsidRDefault="00543DF1" w:rsidP="006103E9">
      <w:pPr>
        <w:pStyle w:val="ListParagraph"/>
        <w:spacing w:after="0"/>
        <w:ind w:left="1800"/>
        <w:rPr>
          <w:rFonts w:cstheme="minorHAnsi"/>
          <w:iCs/>
          <w:lang w:val="en-GB"/>
        </w:rPr>
      </w:pPr>
      <w:r>
        <w:rPr>
          <w:rFonts w:cstheme="minorHAnsi"/>
          <w:iCs/>
          <w:noProof/>
        </w:rPr>
        <mc:AlternateContent>
          <mc:Choice Requires="wps">
            <w:drawing>
              <wp:anchor distT="0" distB="0" distL="114300" distR="114300" simplePos="0" relativeHeight="251672575" behindDoc="1" locked="0" layoutInCell="1" allowOverlap="1" wp14:anchorId="2392C08F" wp14:editId="4FF20611">
                <wp:simplePos x="0" y="0"/>
                <wp:positionH relativeFrom="column">
                  <wp:posOffset>1104900</wp:posOffset>
                </wp:positionH>
                <wp:positionV relativeFrom="paragraph">
                  <wp:posOffset>133985</wp:posOffset>
                </wp:positionV>
                <wp:extent cx="5734050" cy="1047750"/>
                <wp:effectExtent l="9525" t="11430" r="9525" b="7620"/>
                <wp:wrapNone/>
                <wp:docPr id="2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047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87pt;margin-top:10.55pt;width:451.5pt;height:82.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"/>
            </w:pict>
          </mc:Fallback>
        </mc:AlternateContent>
      </w:r>
    </w:p>
    <w:p w:rsidR="00CE13C7" w:rsidRDefault="00CE13C7" w:rsidP="006103E9">
      <w:pPr>
        <w:pStyle w:val="ListParagraph"/>
        <w:autoSpaceDE w:val="0"/>
        <w:autoSpaceDN w:val="0"/>
        <w:adjustRightInd w:val="0"/>
        <w:ind w:left="1800"/>
        <w:jc w:val="both"/>
        <w:rPr>
          <w:rFonts w:cstheme="minorHAnsi"/>
          <w:sz w:val="21"/>
          <w:szCs w:val="21"/>
        </w:rPr>
      </w:pPr>
      <w:r w:rsidRPr="006103E9">
        <w:rPr>
          <w:rFonts w:cstheme="minorHAnsi"/>
          <w:i/>
          <w:sz w:val="21"/>
          <w:szCs w:val="21"/>
        </w:rPr>
        <w:t xml:space="preserve">“Overall findings highlight the complexities of family and community influences on the child </w:t>
      </w:r>
      <w:proofErr w:type="spellStart"/>
      <w:r w:rsidRPr="006103E9">
        <w:rPr>
          <w:rFonts w:cstheme="minorHAnsi"/>
          <w:i/>
          <w:sz w:val="21"/>
          <w:szCs w:val="21"/>
        </w:rPr>
        <w:t>vendoring</w:t>
      </w:r>
      <w:proofErr w:type="spellEnd"/>
      <w:r w:rsidRPr="006103E9">
        <w:rPr>
          <w:rFonts w:cstheme="minorHAnsi"/>
          <w:i/>
          <w:sz w:val="21"/>
          <w:szCs w:val="21"/>
        </w:rPr>
        <w:t xml:space="preserve"> in Samoa. These involve family attributes, family processes, community factors and community/family-school partnerships. All of which is informed by poverty of opportunity. Evidently </w:t>
      </w:r>
      <w:r w:rsidRPr="006103E9">
        <w:rPr>
          <w:rFonts w:cstheme="minorHAnsi"/>
          <w:i/>
          <w:sz w:val="21"/>
          <w:szCs w:val="21"/>
        </w:rPr>
        <w:lastRenderedPageBreak/>
        <w:t xml:space="preserve">the majority of respondents in this survey said that child </w:t>
      </w:r>
      <w:proofErr w:type="spellStart"/>
      <w:r w:rsidRPr="006103E9">
        <w:rPr>
          <w:rFonts w:cstheme="minorHAnsi"/>
          <w:i/>
          <w:sz w:val="21"/>
          <w:szCs w:val="21"/>
        </w:rPr>
        <w:t>vendoring</w:t>
      </w:r>
      <w:proofErr w:type="spellEnd"/>
      <w:r w:rsidRPr="006103E9">
        <w:rPr>
          <w:rFonts w:cstheme="minorHAnsi"/>
          <w:i/>
          <w:sz w:val="21"/>
          <w:szCs w:val="21"/>
        </w:rPr>
        <w:t xml:space="preserve"> is a result of poverty in its many forms like poverty of opportunity. </w:t>
      </w:r>
      <w:proofErr w:type="gramStart"/>
      <w:r w:rsidRPr="006103E9">
        <w:rPr>
          <w:rFonts w:cstheme="minorHAnsi"/>
          <w:i/>
          <w:sz w:val="21"/>
          <w:szCs w:val="21"/>
        </w:rPr>
        <w:t xml:space="preserve">“ </w:t>
      </w:r>
      <w:r w:rsidR="006103E9" w:rsidRPr="006103E9">
        <w:rPr>
          <w:rFonts w:cstheme="minorHAnsi"/>
          <w:i/>
          <w:sz w:val="21"/>
          <w:szCs w:val="21"/>
        </w:rPr>
        <w:t xml:space="preserve"> </w:t>
      </w:r>
      <w:r w:rsidR="006103E9" w:rsidRPr="006103E9">
        <w:rPr>
          <w:rFonts w:cstheme="minorHAnsi"/>
          <w:sz w:val="21"/>
          <w:szCs w:val="21"/>
        </w:rPr>
        <w:t>Profiling</w:t>
      </w:r>
      <w:proofErr w:type="gramEnd"/>
      <w:r w:rsidR="006103E9" w:rsidRPr="006103E9">
        <w:rPr>
          <w:rFonts w:cstheme="minorHAnsi"/>
          <w:sz w:val="21"/>
          <w:szCs w:val="21"/>
        </w:rPr>
        <w:t xml:space="preserve"> Child Vender Survey</w:t>
      </w:r>
      <w:r w:rsidR="006103E9">
        <w:rPr>
          <w:rFonts w:cstheme="minorHAnsi"/>
          <w:sz w:val="21"/>
          <w:szCs w:val="21"/>
        </w:rPr>
        <w:t xml:space="preserve"> Phase I</w:t>
      </w:r>
      <w:r w:rsidR="006103E9" w:rsidRPr="006103E9">
        <w:rPr>
          <w:rFonts w:cstheme="minorHAnsi"/>
          <w:sz w:val="21"/>
          <w:szCs w:val="21"/>
        </w:rPr>
        <w:t xml:space="preserve">, </w:t>
      </w:r>
      <w:proofErr w:type="spellStart"/>
      <w:r w:rsidR="006103E9" w:rsidRPr="006103E9">
        <w:rPr>
          <w:rFonts w:cstheme="minorHAnsi"/>
          <w:sz w:val="21"/>
          <w:szCs w:val="21"/>
        </w:rPr>
        <w:t>Pasefika</w:t>
      </w:r>
      <w:proofErr w:type="spellEnd"/>
      <w:r w:rsidR="006103E9" w:rsidRPr="006103E9">
        <w:rPr>
          <w:rFonts w:cstheme="minorHAnsi"/>
          <w:sz w:val="21"/>
          <w:szCs w:val="21"/>
        </w:rPr>
        <w:t xml:space="preserve"> Mana</w:t>
      </w:r>
      <w:r w:rsidR="006103E9">
        <w:rPr>
          <w:rFonts w:cstheme="minorHAnsi"/>
          <w:sz w:val="21"/>
          <w:szCs w:val="21"/>
        </w:rPr>
        <w:t>, 2011/2012</w:t>
      </w:r>
    </w:p>
    <w:p w:rsidR="006103E9" w:rsidRDefault="006103E9" w:rsidP="006103E9">
      <w:pPr>
        <w:pStyle w:val="ListParagraph"/>
        <w:autoSpaceDE w:val="0"/>
        <w:autoSpaceDN w:val="0"/>
        <w:adjustRightInd w:val="0"/>
        <w:ind w:left="1800"/>
        <w:jc w:val="both"/>
        <w:rPr>
          <w:rFonts w:cstheme="minorHAnsi"/>
          <w:sz w:val="21"/>
          <w:szCs w:val="21"/>
        </w:rPr>
      </w:pPr>
    </w:p>
    <w:p w:rsidR="00671B67" w:rsidRDefault="00671B67" w:rsidP="00671B67">
      <w:pPr>
        <w:pStyle w:val="ListParagraph"/>
        <w:autoSpaceDE w:val="0"/>
        <w:autoSpaceDN w:val="0"/>
        <w:adjustRightInd w:val="0"/>
        <w:ind w:left="1800"/>
        <w:jc w:val="both"/>
        <w:rPr>
          <w:rFonts w:cstheme="minorHAnsi"/>
          <w:sz w:val="21"/>
          <w:szCs w:val="21"/>
        </w:rPr>
      </w:pPr>
      <w:r>
        <w:rPr>
          <w:rFonts w:cstheme="minorHAnsi"/>
          <w:sz w:val="21"/>
          <w:szCs w:val="21"/>
        </w:rPr>
        <w:t>CSSP ought to ask who the recommendations of the study are targeting and how these can be taken forward so that there is value in funds being spent on doing such studies</w:t>
      </w:r>
    </w:p>
    <w:p w:rsidR="00671B67" w:rsidRPr="00A7294B" w:rsidRDefault="00671B67" w:rsidP="00671B67">
      <w:pPr>
        <w:pStyle w:val="ListParagraph"/>
        <w:autoSpaceDE w:val="0"/>
        <w:autoSpaceDN w:val="0"/>
        <w:adjustRightInd w:val="0"/>
        <w:ind w:left="1800"/>
        <w:jc w:val="both"/>
        <w:rPr>
          <w:rFonts w:cstheme="minorHAnsi"/>
          <w:sz w:val="21"/>
          <w:szCs w:val="21"/>
        </w:rPr>
      </w:pPr>
    </w:p>
    <w:p w:rsidR="005252F5" w:rsidRPr="00CE13C7" w:rsidRDefault="005252F5" w:rsidP="00A54F50">
      <w:pPr>
        <w:pStyle w:val="ListParagraph"/>
        <w:numPr>
          <w:ilvl w:val="0"/>
          <w:numId w:val="34"/>
        </w:numPr>
        <w:spacing w:after="0"/>
        <w:ind w:left="720"/>
        <w:rPr>
          <w:rFonts w:cstheme="minorHAnsi"/>
          <w:iCs/>
          <w:u w:val="single"/>
          <w:lang w:val="en-GB"/>
        </w:rPr>
      </w:pPr>
      <w:r w:rsidRPr="00CE13C7">
        <w:rPr>
          <w:rFonts w:cstheme="minorHAnsi"/>
          <w:iCs/>
          <w:u w:val="single"/>
          <w:lang w:val="en-GB"/>
        </w:rPr>
        <w:t>OBJECTIVE 4</w:t>
      </w:r>
      <w:r w:rsidR="00244DE2" w:rsidRPr="00CE13C7">
        <w:rPr>
          <w:rFonts w:cstheme="minorHAnsi"/>
          <w:iCs/>
          <w:u w:val="single"/>
          <w:lang w:val="en-GB"/>
        </w:rPr>
        <w:t>:  Programme Operations</w:t>
      </w:r>
    </w:p>
    <w:p w:rsidR="005252F5" w:rsidRPr="00945762" w:rsidRDefault="005252F5" w:rsidP="00494F40">
      <w:pPr>
        <w:pStyle w:val="ListParagraph"/>
        <w:jc w:val="both"/>
        <w:rPr>
          <w:rFonts w:cstheme="minorHAnsi"/>
          <w:b/>
          <w:iCs/>
          <w:lang w:val="en-GB"/>
        </w:rPr>
      </w:pPr>
      <w:r w:rsidRPr="00945762">
        <w:rPr>
          <w:rFonts w:cstheme="minorHAnsi"/>
          <w:b/>
          <w:iCs/>
          <w:lang w:val="en-GB"/>
        </w:rPr>
        <w:t>Office</w:t>
      </w:r>
    </w:p>
    <w:p w:rsidR="005252F5" w:rsidRPr="00244DE2" w:rsidRDefault="005252F5" w:rsidP="00A54F50">
      <w:pPr>
        <w:pStyle w:val="ListParagraph"/>
        <w:numPr>
          <w:ilvl w:val="0"/>
          <w:numId w:val="11"/>
        </w:numPr>
        <w:ind w:left="1080"/>
        <w:jc w:val="both"/>
        <w:rPr>
          <w:rFonts w:cstheme="minorHAnsi"/>
        </w:rPr>
      </w:pPr>
      <w:r w:rsidRPr="004017EA">
        <w:rPr>
          <w:rFonts w:cstheme="minorHAnsi"/>
        </w:rPr>
        <w:t xml:space="preserve">Office renovations and relocation from the Ministry of Finance to Ah Mau Mall, </w:t>
      </w:r>
      <w:proofErr w:type="spellStart"/>
      <w:r w:rsidRPr="004017EA">
        <w:rPr>
          <w:rFonts w:cstheme="minorHAnsi"/>
        </w:rPr>
        <w:t>Saleufi</w:t>
      </w:r>
      <w:proofErr w:type="spellEnd"/>
      <w:r w:rsidRPr="004017EA">
        <w:rPr>
          <w:rFonts w:cstheme="minorHAnsi"/>
        </w:rPr>
        <w:t xml:space="preserve"> Office with an Opening on </w:t>
      </w:r>
      <w:proofErr w:type="gramStart"/>
      <w:r w:rsidRPr="004017EA">
        <w:rPr>
          <w:rFonts w:cstheme="minorHAnsi"/>
        </w:rPr>
        <w:t>9  September</w:t>
      </w:r>
      <w:proofErr w:type="gramEnd"/>
      <w:r w:rsidRPr="004017EA">
        <w:rPr>
          <w:rFonts w:cstheme="minorHAnsi"/>
        </w:rPr>
        <w:t xml:space="preserve"> 2011.  The office includes a main office for seven staff, a reception area and training room.</w:t>
      </w:r>
      <w:r w:rsidR="00244DE2">
        <w:rPr>
          <w:rFonts w:cstheme="minorHAnsi"/>
        </w:rPr>
        <w:t xml:space="preserve"> </w:t>
      </w:r>
      <w:r w:rsidR="00244DE2" w:rsidRPr="004017EA">
        <w:rPr>
          <w:rFonts w:cstheme="minorHAnsi"/>
        </w:rPr>
        <w:t>All IT and communication systems in place including networked computers and a server, a domain name, telephone, fax, and a printer.</w:t>
      </w:r>
      <w:r w:rsidR="00244DE2">
        <w:rPr>
          <w:rFonts w:cstheme="minorHAnsi"/>
        </w:rPr>
        <w:t xml:space="preserve"> </w:t>
      </w:r>
      <w:r w:rsidRPr="00244DE2">
        <w:rPr>
          <w:rFonts w:cstheme="minorHAnsi"/>
        </w:rPr>
        <w:t>A new vehicle was purchased in September for administrative and programme activities.</w:t>
      </w:r>
      <w:r w:rsidR="00244DE2">
        <w:rPr>
          <w:rFonts w:cstheme="minorHAnsi"/>
        </w:rPr>
        <w:t xml:space="preserve">  CSSP dbase, filing system and a Monitoring and evaluation framework is now in place.</w:t>
      </w:r>
    </w:p>
    <w:p w:rsidR="005252F5" w:rsidRPr="00945762" w:rsidRDefault="005252F5" w:rsidP="00494F40">
      <w:pPr>
        <w:pStyle w:val="ListParagraph"/>
        <w:jc w:val="both"/>
        <w:rPr>
          <w:rFonts w:cstheme="minorHAnsi"/>
          <w:b/>
          <w:iCs/>
          <w:lang w:val="en-GB"/>
        </w:rPr>
      </w:pPr>
      <w:r w:rsidRPr="00945762">
        <w:rPr>
          <w:rFonts w:cstheme="minorHAnsi"/>
          <w:b/>
          <w:iCs/>
          <w:lang w:val="en-GB"/>
        </w:rPr>
        <w:t>Staff Activities</w:t>
      </w:r>
    </w:p>
    <w:p w:rsidR="005252F5" w:rsidRPr="00CD6623" w:rsidRDefault="005252F5" w:rsidP="00A54F50">
      <w:pPr>
        <w:pStyle w:val="ListParagraph"/>
        <w:numPr>
          <w:ilvl w:val="0"/>
          <w:numId w:val="11"/>
        </w:numPr>
        <w:ind w:left="1080"/>
        <w:jc w:val="both"/>
        <w:rPr>
          <w:rFonts w:cstheme="minorHAnsi"/>
          <w:iCs/>
          <w:u w:val="single"/>
          <w:lang w:val="en-GB"/>
        </w:rPr>
      </w:pPr>
      <w:r w:rsidRPr="004017EA">
        <w:rPr>
          <w:rFonts w:cstheme="minorHAnsi"/>
          <w:iCs/>
          <w:lang w:val="en-GB"/>
        </w:rPr>
        <w:t xml:space="preserve">CSSP is now fully staffed with a programme manager, financial manager, administrative officer, administrative assistant and three project officers.  </w:t>
      </w:r>
      <w:proofErr w:type="gramStart"/>
      <w:r w:rsidR="00CD6623">
        <w:rPr>
          <w:rFonts w:cstheme="minorHAnsi"/>
          <w:iCs/>
          <w:lang w:val="en-GB"/>
        </w:rPr>
        <w:t>Staff have</w:t>
      </w:r>
      <w:proofErr w:type="gramEnd"/>
      <w:r w:rsidR="00CD6623">
        <w:rPr>
          <w:rFonts w:cstheme="minorHAnsi"/>
          <w:iCs/>
          <w:lang w:val="en-GB"/>
        </w:rPr>
        <w:t xml:space="preserve"> received in house training in Access and Excel database management, filing management, Monitoring and Evaluation, MYOB financial database management.  The Financial Manager and the Administration Officer </w:t>
      </w:r>
      <w:r w:rsidRPr="00CD6623">
        <w:rPr>
          <w:rFonts w:cstheme="minorHAnsi"/>
          <w:iCs/>
          <w:lang w:val="en-GB"/>
        </w:rPr>
        <w:t xml:space="preserve">have undertaken a MANGO managing </w:t>
      </w:r>
      <w:proofErr w:type="spellStart"/>
      <w:r w:rsidRPr="00CD6623">
        <w:rPr>
          <w:rFonts w:cstheme="minorHAnsi"/>
          <w:iCs/>
          <w:lang w:val="en-GB"/>
        </w:rPr>
        <w:t>doner</w:t>
      </w:r>
      <w:proofErr w:type="spellEnd"/>
      <w:r w:rsidRPr="00CD6623">
        <w:rPr>
          <w:rFonts w:cstheme="minorHAnsi"/>
          <w:iCs/>
          <w:lang w:val="en-GB"/>
        </w:rPr>
        <w:t xml:space="preserve"> funds training offered through the Chamber of Commerce and SUNGO.</w:t>
      </w:r>
    </w:p>
    <w:p w:rsidR="005252F5" w:rsidRPr="004017EA" w:rsidRDefault="005252F5" w:rsidP="00494F40">
      <w:pPr>
        <w:pStyle w:val="ListParagraph"/>
        <w:spacing w:after="0" w:line="240" w:lineRule="auto"/>
        <w:ind w:left="870"/>
        <w:contextualSpacing w:val="0"/>
        <w:jc w:val="both"/>
        <w:rPr>
          <w:rFonts w:cstheme="minorHAnsi"/>
          <w:iCs/>
          <w:u w:val="single"/>
          <w:lang w:val="en-GB"/>
        </w:rPr>
      </w:pPr>
    </w:p>
    <w:p w:rsidR="005252F5" w:rsidRPr="00CC5CC2" w:rsidRDefault="005252F5" w:rsidP="00494F40">
      <w:pPr>
        <w:pStyle w:val="ListParagraph"/>
        <w:ind w:left="834"/>
        <w:jc w:val="both"/>
        <w:rPr>
          <w:rFonts w:cstheme="minorHAnsi"/>
          <w:b/>
        </w:rPr>
      </w:pPr>
      <w:r w:rsidRPr="00CC5CC2">
        <w:rPr>
          <w:rFonts w:cstheme="minorHAnsi"/>
          <w:b/>
        </w:rPr>
        <w:t xml:space="preserve">Results:  </w:t>
      </w:r>
    </w:p>
    <w:p w:rsidR="000325E9" w:rsidRPr="00CD6623" w:rsidRDefault="005252F5" w:rsidP="00CD6623">
      <w:pPr>
        <w:pStyle w:val="ListParagraph"/>
        <w:ind w:left="834"/>
        <w:jc w:val="both"/>
        <w:rPr>
          <w:rFonts w:cstheme="minorHAnsi"/>
        </w:rPr>
      </w:pPr>
      <w:r w:rsidRPr="004017EA">
        <w:rPr>
          <w:rFonts w:cstheme="minorHAnsi"/>
        </w:rPr>
        <w:t xml:space="preserve">OFFICE: CSSP now has a very pleasant working environment in a central location within walking distance from the Ministry of Finance, major suppliers, applicants (main bus terminal).  </w:t>
      </w:r>
      <w:proofErr w:type="gramStart"/>
      <w:r w:rsidRPr="004017EA">
        <w:rPr>
          <w:rFonts w:cstheme="minorHAnsi"/>
        </w:rPr>
        <w:t>Staff  have</w:t>
      </w:r>
      <w:proofErr w:type="gramEnd"/>
      <w:r w:rsidRPr="004017EA">
        <w:rPr>
          <w:rFonts w:cstheme="minorHAnsi"/>
        </w:rPr>
        <w:t xml:space="preserve"> comfortable and clean working space.  The training room is being intensively used during Call for Proposal workshops and during assessment of applications.  With all the media exposure provided during the launching of the office and the Call for Proposals as well as the distribution of 1000 CSSP brochures (&amp; map) there does not seem to be a problem with locating the office.  Furthermore, several hundred applicants have received SUNGO applications training at the CSSP training room.  </w:t>
      </w:r>
    </w:p>
    <w:p w:rsidR="002632E6" w:rsidRPr="009047E1" w:rsidRDefault="009047E1" w:rsidP="0092400A">
      <w:pPr>
        <w:ind w:left="720"/>
        <w:jc w:val="both"/>
        <w:rPr>
          <w:rFonts w:cs="Arial"/>
          <w:b/>
        </w:rPr>
      </w:pPr>
      <w:r>
        <w:rPr>
          <w:rFonts w:cs="Arial"/>
          <w:b/>
        </w:rPr>
        <w:t>K</w:t>
      </w:r>
      <w:r w:rsidR="002632E6" w:rsidRPr="009047E1">
        <w:rPr>
          <w:rFonts w:cs="Arial"/>
          <w:b/>
        </w:rPr>
        <w:t>ey targets</w:t>
      </w:r>
      <w:r w:rsidR="0060218D">
        <w:rPr>
          <w:rFonts w:cs="Arial"/>
          <w:b/>
        </w:rPr>
        <w:t xml:space="preserve"> - </w:t>
      </w:r>
      <w:r w:rsidR="0092400A" w:rsidRPr="009047E1">
        <w:rPr>
          <w:rFonts w:cs="Arial"/>
          <w:b/>
        </w:rPr>
        <w:t>Monitoring and Evaluation Framework</w:t>
      </w:r>
      <w:r w:rsidR="0060218D">
        <w:rPr>
          <w:rFonts w:cs="Arial"/>
          <w:b/>
        </w:rPr>
        <w:t xml:space="preserve"> </w:t>
      </w:r>
      <w:r>
        <w:rPr>
          <w:rFonts w:cs="Arial"/>
          <w:b/>
        </w:rPr>
        <w:t xml:space="preserve">to Achieve the </w:t>
      </w:r>
      <w:r w:rsidR="0060218D">
        <w:rPr>
          <w:rFonts w:cs="Arial"/>
          <w:b/>
        </w:rPr>
        <w:t>Overall CSSP Objective</w:t>
      </w:r>
    </w:p>
    <w:p w:rsidR="002632E6" w:rsidRPr="009047E1" w:rsidRDefault="002632E6" w:rsidP="00A54F50">
      <w:pPr>
        <w:pStyle w:val="ListParagraph"/>
        <w:numPr>
          <w:ilvl w:val="0"/>
          <w:numId w:val="33"/>
        </w:numPr>
        <w:ind w:left="1440"/>
        <w:jc w:val="both"/>
        <w:rPr>
          <w:rFonts w:cs="Arial"/>
        </w:rPr>
      </w:pPr>
      <w:r w:rsidRPr="009047E1">
        <w:rPr>
          <w:rFonts w:cs="Arial"/>
          <w:b/>
        </w:rPr>
        <w:t>75% of funded projects score 70%+ in end of project review</w:t>
      </w:r>
      <w:r w:rsidR="0042615E">
        <w:rPr>
          <w:rFonts w:cs="Arial"/>
          <w:b/>
        </w:rPr>
        <w:t xml:space="preserve"> (Achieved)</w:t>
      </w:r>
      <w:r w:rsidR="004860E1">
        <w:rPr>
          <w:rFonts w:cs="Arial"/>
        </w:rPr>
        <w:t xml:space="preserve"> </w:t>
      </w:r>
      <w:r w:rsidR="009047E1">
        <w:rPr>
          <w:rFonts w:cs="Arial"/>
        </w:rPr>
        <w:t>–</w:t>
      </w:r>
      <w:r w:rsidR="004860E1">
        <w:rPr>
          <w:rFonts w:cs="Arial"/>
        </w:rPr>
        <w:t xml:space="preserve"> </w:t>
      </w:r>
      <w:r w:rsidR="009047E1">
        <w:rPr>
          <w:rFonts w:cs="Arial"/>
        </w:rPr>
        <w:t xml:space="preserve">30 EOPRs were completed for Category 1 and Category 2 community based projects approved in 2010/2011.  </w:t>
      </w:r>
      <w:r w:rsidR="009047E1" w:rsidRPr="004017EA">
        <w:rPr>
          <w:rFonts w:cstheme="minorHAnsi"/>
        </w:rPr>
        <w:t xml:space="preserve">EOPRs are a joint assessment (face to face discussion) between CSSP and the project implementing committee after the project has been implemented and all CSSP funding expended.  It is the last step before closing out a CSSP project.  </w:t>
      </w:r>
      <w:r w:rsidR="0087515A">
        <w:rPr>
          <w:rFonts w:cstheme="minorHAnsi"/>
        </w:rPr>
        <w:t>A compilation of the 3</w:t>
      </w:r>
      <w:r w:rsidR="00C47719">
        <w:rPr>
          <w:rFonts w:cstheme="minorHAnsi"/>
        </w:rPr>
        <w:t>0 EOPRs is found in Annex V</w:t>
      </w:r>
      <w:r w:rsidR="0087515A">
        <w:rPr>
          <w:rFonts w:cstheme="minorHAnsi"/>
        </w:rPr>
        <w:t>.</w:t>
      </w:r>
    </w:p>
    <w:p w:rsidR="009047E1" w:rsidRPr="0087515A" w:rsidRDefault="009047E1" w:rsidP="0087515A">
      <w:pPr>
        <w:pStyle w:val="ListParagraph"/>
        <w:spacing w:after="0"/>
        <w:ind w:left="1440"/>
        <w:jc w:val="both"/>
        <w:rPr>
          <w:rFonts w:cstheme="minorHAnsi"/>
        </w:rPr>
      </w:pPr>
      <w:r w:rsidRPr="004017EA">
        <w:rPr>
          <w:rFonts w:cstheme="minorHAnsi"/>
        </w:rPr>
        <w:t>The 30 EOPRs indicate a high degree of organisations (90%) practicing good governance and project management best practices.  Only three (10%) of the 30 projects had issues in project governance and management</w:t>
      </w:r>
      <w:r w:rsidR="0087515A">
        <w:rPr>
          <w:rFonts w:cstheme="minorHAnsi"/>
        </w:rPr>
        <w:t xml:space="preserve"> (lack of good project supervision and monitoring).  </w:t>
      </w:r>
      <w:r w:rsidRPr="004017EA">
        <w:rPr>
          <w:rFonts w:cstheme="minorHAnsi"/>
        </w:rPr>
        <w:t xml:space="preserve">All 30 (100%) applicants were satisfied with CSSP communications and all (100%) found the CSSP and SUNGO trainings useful.  One applicant used their own form which was easier for them.  Several project committees were having problems with delays with their suppliers and </w:t>
      </w:r>
      <w:proofErr w:type="gramStart"/>
      <w:r w:rsidRPr="004017EA">
        <w:rPr>
          <w:rFonts w:cstheme="minorHAnsi"/>
        </w:rPr>
        <w:t>this negatively impacted building projects</w:t>
      </w:r>
      <w:proofErr w:type="gramEnd"/>
      <w:r w:rsidRPr="004017EA">
        <w:rPr>
          <w:rFonts w:cstheme="minorHAnsi"/>
        </w:rPr>
        <w:t xml:space="preserve"> in particular and the availability of the carpenter.</w:t>
      </w:r>
    </w:p>
    <w:p w:rsidR="002632E6" w:rsidRPr="0092400A" w:rsidRDefault="002632E6" w:rsidP="00A54F50">
      <w:pPr>
        <w:pStyle w:val="ListParagraph"/>
        <w:numPr>
          <w:ilvl w:val="0"/>
          <w:numId w:val="33"/>
        </w:numPr>
        <w:ind w:left="1440"/>
        <w:jc w:val="both"/>
        <w:rPr>
          <w:rFonts w:cs="Arial"/>
          <w:iCs/>
        </w:rPr>
      </w:pPr>
      <w:r w:rsidRPr="0042615E">
        <w:rPr>
          <w:rFonts w:cs="Arial"/>
          <w:b/>
        </w:rPr>
        <w:t>75% of projects achieve (or are on track to achieve) expected result</w:t>
      </w:r>
      <w:r w:rsidR="0042615E" w:rsidRPr="0042615E">
        <w:rPr>
          <w:rFonts w:cs="Arial"/>
          <w:b/>
        </w:rPr>
        <w:t>s</w:t>
      </w:r>
      <w:r w:rsidR="0042615E">
        <w:rPr>
          <w:rFonts w:cs="Arial"/>
          <w:b/>
        </w:rPr>
        <w:t xml:space="preserve"> (Achieved</w:t>
      </w:r>
      <w:proofErr w:type="gramStart"/>
      <w:r w:rsidR="0042615E">
        <w:rPr>
          <w:rFonts w:cs="Arial"/>
          <w:b/>
        </w:rPr>
        <w:t>)</w:t>
      </w:r>
      <w:r w:rsidR="0087515A" w:rsidRPr="0042615E">
        <w:rPr>
          <w:rFonts w:cs="Arial"/>
          <w:b/>
        </w:rPr>
        <w:t>-</w:t>
      </w:r>
      <w:proofErr w:type="gramEnd"/>
      <w:r w:rsidR="0042615E">
        <w:rPr>
          <w:rFonts w:cs="Arial"/>
        </w:rPr>
        <w:t xml:space="preserve">  Total of 162 (100%) projects approved including the 2 approved Category 3 projects.  Of this number, 10 (6%) are unable to complete their projects for various reasons (declined funds, unable to provide 10%, discontinued funding due to lack of response).  Of the 152 (96%) remaining projects, a total of 85 are still on track to complete their projects and 67 have completed their projects.</w:t>
      </w:r>
    </w:p>
    <w:p w:rsidR="002632E6" w:rsidRPr="0092400A" w:rsidRDefault="002632E6" w:rsidP="00A54F50">
      <w:pPr>
        <w:pStyle w:val="CommentText"/>
        <w:numPr>
          <w:ilvl w:val="0"/>
          <w:numId w:val="33"/>
        </w:numPr>
        <w:overflowPunct w:val="0"/>
        <w:autoSpaceDE w:val="0"/>
        <w:autoSpaceDN w:val="0"/>
        <w:adjustRightInd w:val="0"/>
        <w:ind w:left="1440"/>
        <w:jc w:val="both"/>
        <w:textAlignment w:val="baseline"/>
        <w:rPr>
          <w:rFonts w:asciiTheme="minorHAnsi" w:hAnsiTheme="minorHAnsi" w:cs="Arial"/>
          <w:sz w:val="22"/>
          <w:szCs w:val="22"/>
        </w:rPr>
      </w:pPr>
      <w:r w:rsidRPr="0042615E">
        <w:rPr>
          <w:rFonts w:asciiTheme="minorHAnsi" w:hAnsiTheme="minorHAnsi" w:cs="Arial"/>
          <w:b/>
          <w:sz w:val="22"/>
          <w:szCs w:val="22"/>
        </w:rPr>
        <w:lastRenderedPageBreak/>
        <w:t xml:space="preserve">30% of </w:t>
      </w:r>
      <w:proofErr w:type="spellStart"/>
      <w:r w:rsidRPr="0042615E">
        <w:rPr>
          <w:rFonts w:asciiTheme="minorHAnsi" w:hAnsiTheme="minorHAnsi" w:cs="Arial"/>
          <w:b/>
          <w:sz w:val="22"/>
          <w:szCs w:val="22"/>
        </w:rPr>
        <w:t>funded</w:t>
      </w:r>
      <w:proofErr w:type="spellEnd"/>
      <w:r w:rsidRPr="0042615E">
        <w:rPr>
          <w:rFonts w:asciiTheme="minorHAnsi" w:hAnsiTheme="minorHAnsi" w:cs="Arial"/>
          <w:b/>
          <w:sz w:val="22"/>
          <w:szCs w:val="22"/>
        </w:rPr>
        <w:t xml:space="preserve"> </w:t>
      </w:r>
      <w:proofErr w:type="spellStart"/>
      <w:r w:rsidRPr="0042615E">
        <w:rPr>
          <w:rFonts w:asciiTheme="minorHAnsi" w:hAnsiTheme="minorHAnsi" w:cs="Arial"/>
          <w:b/>
          <w:sz w:val="22"/>
          <w:szCs w:val="22"/>
        </w:rPr>
        <w:t>NGOs</w:t>
      </w:r>
      <w:proofErr w:type="spellEnd"/>
      <w:r w:rsidRPr="0042615E">
        <w:rPr>
          <w:rFonts w:asciiTheme="minorHAnsi" w:hAnsiTheme="minorHAnsi" w:cs="Arial"/>
          <w:b/>
          <w:sz w:val="22"/>
          <w:szCs w:val="22"/>
        </w:rPr>
        <w:t xml:space="preserve"> </w:t>
      </w:r>
      <w:proofErr w:type="spellStart"/>
      <w:r w:rsidRPr="0042615E">
        <w:rPr>
          <w:rFonts w:asciiTheme="minorHAnsi" w:hAnsiTheme="minorHAnsi" w:cs="Arial"/>
          <w:b/>
          <w:sz w:val="22"/>
          <w:szCs w:val="22"/>
        </w:rPr>
        <w:t>meet</w:t>
      </w:r>
      <w:proofErr w:type="spellEnd"/>
      <w:r w:rsidRPr="0042615E">
        <w:rPr>
          <w:rFonts w:asciiTheme="minorHAnsi" w:hAnsiTheme="minorHAnsi" w:cs="Arial"/>
          <w:b/>
          <w:sz w:val="22"/>
          <w:szCs w:val="22"/>
        </w:rPr>
        <w:t xml:space="preserve"> </w:t>
      </w:r>
      <w:proofErr w:type="spellStart"/>
      <w:r w:rsidRPr="0042615E">
        <w:rPr>
          <w:rFonts w:asciiTheme="minorHAnsi" w:hAnsiTheme="minorHAnsi" w:cs="Arial"/>
          <w:b/>
          <w:sz w:val="22"/>
          <w:szCs w:val="22"/>
        </w:rPr>
        <w:t>agreed</w:t>
      </w:r>
      <w:proofErr w:type="spellEnd"/>
      <w:r w:rsidRPr="0042615E">
        <w:rPr>
          <w:rFonts w:asciiTheme="minorHAnsi" w:hAnsiTheme="minorHAnsi" w:cs="Arial"/>
          <w:b/>
          <w:sz w:val="22"/>
          <w:szCs w:val="22"/>
        </w:rPr>
        <w:t xml:space="preserve"> Good Practice Standards</w:t>
      </w:r>
      <w:r w:rsidRPr="0092400A">
        <w:rPr>
          <w:rFonts w:asciiTheme="minorHAnsi" w:hAnsiTheme="minorHAnsi" w:cs="Arial"/>
          <w:sz w:val="22"/>
          <w:szCs w:val="22"/>
        </w:rPr>
        <w:t xml:space="preserve"> </w:t>
      </w:r>
      <w:r w:rsidR="0042615E">
        <w:rPr>
          <w:rFonts w:asciiTheme="minorHAnsi" w:hAnsiTheme="minorHAnsi" w:cs="Arial"/>
          <w:b/>
          <w:sz w:val="22"/>
          <w:szCs w:val="22"/>
        </w:rPr>
        <w:t>(Not A</w:t>
      </w:r>
      <w:r w:rsidR="0042615E" w:rsidRPr="0042615E">
        <w:rPr>
          <w:rFonts w:asciiTheme="minorHAnsi" w:hAnsiTheme="minorHAnsi" w:cs="Arial"/>
          <w:b/>
          <w:sz w:val="22"/>
          <w:szCs w:val="22"/>
        </w:rPr>
        <w:t>pplicable for 2011/2012)</w:t>
      </w:r>
      <w:r w:rsidR="0042615E">
        <w:rPr>
          <w:rFonts w:asciiTheme="minorHAnsi" w:hAnsiTheme="minorHAnsi" w:cs="Arial"/>
          <w:sz w:val="22"/>
          <w:szCs w:val="22"/>
        </w:rPr>
        <w:t xml:space="preserve"> – CSSP and SUNGO have </w:t>
      </w:r>
      <w:proofErr w:type="spellStart"/>
      <w:r w:rsidR="0042615E">
        <w:rPr>
          <w:rFonts w:asciiTheme="minorHAnsi" w:hAnsiTheme="minorHAnsi" w:cs="Arial"/>
          <w:sz w:val="22"/>
          <w:szCs w:val="22"/>
        </w:rPr>
        <w:t>only</w:t>
      </w:r>
      <w:proofErr w:type="spellEnd"/>
      <w:r w:rsidR="0042615E">
        <w:rPr>
          <w:rFonts w:asciiTheme="minorHAnsi" w:hAnsiTheme="minorHAnsi" w:cs="Arial"/>
          <w:sz w:val="22"/>
          <w:szCs w:val="22"/>
        </w:rPr>
        <w:t xml:space="preserve"> </w:t>
      </w:r>
      <w:proofErr w:type="spellStart"/>
      <w:r w:rsidR="0042615E">
        <w:rPr>
          <w:rFonts w:asciiTheme="minorHAnsi" w:hAnsiTheme="minorHAnsi" w:cs="Arial"/>
          <w:sz w:val="22"/>
          <w:szCs w:val="22"/>
        </w:rPr>
        <w:t>begun</w:t>
      </w:r>
      <w:proofErr w:type="spellEnd"/>
      <w:r w:rsidR="0042615E">
        <w:rPr>
          <w:rFonts w:asciiTheme="minorHAnsi" w:hAnsiTheme="minorHAnsi" w:cs="Arial"/>
          <w:sz w:val="22"/>
          <w:szCs w:val="22"/>
        </w:rPr>
        <w:t xml:space="preserve"> to </w:t>
      </w:r>
      <w:proofErr w:type="spellStart"/>
      <w:r w:rsidR="0042615E">
        <w:rPr>
          <w:rFonts w:asciiTheme="minorHAnsi" w:hAnsiTheme="minorHAnsi" w:cs="Arial"/>
          <w:sz w:val="22"/>
          <w:szCs w:val="22"/>
        </w:rPr>
        <w:t>ass</w:t>
      </w:r>
      <w:r w:rsidR="00297909">
        <w:rPr>
          <w:rFonts w:asciiTheme="minorHAnsi" w:hAnsiTheme="minorHAnsi" w:cs="Arial"/>
          <w:sz w:val="22"/>
          <w:szCs w:val="22"/>
        </w:rPr>
        <w:t>ess</w:t>
      </w:r>
      <w:proofErr w:type="spellEnd"/>
      <w:r w:rsidR="00297909">
        <w:rPr>
          <w:rFonts w:asciiTheme="minorHAnsi" w:hAnsiTheme="minorHAnsi" w:cs="Arial"/>
          <w:sz w:val="22"/>
          <w:szCs w:val="22"/>
        </w:rPr>
        <w:t xml:space="preserve"> </w:t>
      </w:r>
      <w:proofErr w:type="spellStart"/>
      <w:r w:rsidR="00297909">
        <w:rPr>
          <w:rFonts w:asciiTheme="minorHAnsi" w:hAnsiTheme="minorHAnsi" w:cs="Arial"/>
          <w:sz w:val="22"/>
          <w:szCs w:val="22"/>
        </w:rPr>
        <w:t>NGOs</w:t>
      </w:r>
      <w:proofErr w:type="spellEnd"/>
      <w:r w:rsidR="00297909">
        <w:rPr>
          <w:rFonts w:asciiTheme="minorHAnsi" w:hAnsiTheme="minorHAnsi" w:cs="Arial"/>
          <w:sz w:val="22"/>
          <w:szCs w:val="22"/>
        </w:rPr>
        <w:t xml:space="preserve"> </w:t>
      </w:r>
      <w:proofErr w:type="spellStart"/>
      <w:r w:rsidR="00297909">
        <w:rPr>
          <w:rFonts w:asciiTheme="minorHAnsi" w:hAnsiTheme="minorHAnsi" w:cs="Arial"/>
          <w:sz w:val="22"/>
          <w:szCs w:val="22"/>
        </w:rPr>
        <w:t>in</w:t>
      </w:r>
      <w:proofErr w:type="spellEnd"/>
      <w:r w:rsidR="00297909">
        <w:rPr>
          <w:rFonts w:asciiTheme="minorHAnsi" w:hAnsiTheme="minorHAnsi" w:cs="Arial"/>
          <w:sz w:val="22"/>
          <w:szCs w:val="22"/>
        </w:rPr>
        <w:t xml:space="preserve"> 2012/2013.  The initial focus on</w:t>
      </w:r>
      <w:r w:rsidR="0042615E">
        <w:rPr>
          <w:rFonts w:asciiTheme="minorHAnsi" w:hAnsiTheme="minorHAnsi" w:cs="Arial"/>
          <w:sz w:val="22"/>
          <w:szCs w:val="22"/>
        </w:rPr>
        <w:t xml:space="preserve"> Good Practice Standards has been </w:t>
      </w:r>
      <w:proofErr w:type="spellStart"/>
      <w:r w:rsidR="0042615E">
        <w:rPr>
          <w:rFonts w:asciiTheme="minorHAnsi" w:hAnsiTheme="minorHAnsi" w:cs="Arial"/>
          <w:sz w:val="22"/>
          <w:szCs w:val="22"/>
        </w:rPr>
        <w:t>changed</w:t>
      </w:r>
      <w:proofErr w:type="spellEnd"/>
      <w:r w:rsidR="0042615E">
        <w:rPr>
          <w:rFonts w:asciiTheme="minorHAnsi" w:hAnsiTheme="minorHAnsi" w:cs="Arial"/>
          <w:sz w:val="22"/>
          <w:szCs w:val="22"/>
        </w:rPr>
        <w:t xml:space="preserve"> to NGO </w:t>
      </w:r>
      <w:proofErr w:type="spellStart"/>
      <w:r w:rsidR="0042615E">
        <w:rPr>
          <w:rFonts w:asciiTheme="minorHAnsi" w:hAnsiTheme="minorHAnsi" w:cs="Arial"/>
          <w:sz w:val="22"/>
          <w:szCs w:val="22"/>
        </w:rPr>
        <w:t>Assessment</w:t>
      </w:r>
      <w:proofErr w:type="spellEnd"/>
      <w:r w:rsidR="0042615E">
        <w:rPr>
          <w:rFonts w:asciiTheme="minorHAnsi" w:hAnsiTheme="minorHAnsi" w:cs="Arial"/>
          <w:sz w:val="22"/>
          <w:szCs w:val="22"/>
        </w:rPr>
        <w:t xml:space="preserve">.  CSSP/SUNGO have </w:t>
      </w:r>
      <w:proofErr w:type="spellStart"/>
      <w:r w:rsidR="0042615E">
        <w:rPr>
          <w:rFonts w:asciiTheme="minorHAnsi" w:hAnsiTheme="minorHAnsi" w:cs="Arial"/>
          <w:sz w:val="22"/>
          <w:szCs w:val="22"/>
        </w:rPr>
        <w:t>developed</w:t>
      </w:r>
      <w:proofErr w:type="spellEnd"/>
      <w:r w:rsidR="0042615E">
        <w:rPr>
          <w:rFonts w:asciiTheme="minorHAnsi" w:hAnsiTheme="minorHAnsi" w:cs="Arial"/>
          <w:sz w:val="22"/>
          <w:szCs w:val="22"/>
        </w:rPr>
        <w:t xml:space="preserve"> a </w:t>
      </w:r>
      <w:proofErr w:type="spellStart"/>
      <w:r w:rsidR="0042615E">
        <w:rPr>
          <w:rFonts w:asciiTheme="minorHAnsi" w:hAnsiTheme="minorHAnsi" w:cs="Arial"/>
          <w:sz w:val="22"/>
          <w:szCs w:val="22"/>
        </w:rPr>
        <w:t>tool</w:t>
      </w:r>
      <w:proofErr w:type="spellEnd"/>
      <w:r w:rsidR="0042615E">
        <w:rPr>
          <w:rFonts w:asciiTheme="minorHAnsi" w:hAnsiTheme="minorHAnsi" w:cs="Arial"/>
          <w:sz w:val="22"/>
          <w:szCs w:val="22"/>
        </w:rPr>
        <w:t xml:space="preserve"> for </w:t>
      </w:r>
      <w:proofErr w:type="spellStart"/>
      <w:r w:rsidR="0042615E">
        <w:rPr>
          <w:rFonts w:asciiTheme="minorHAnsi" w:hAnsiTheme="minorHAnsi" w:cs="Arial"/>
          <w:sz w:val="22"/>
          <w:szCs w:val="22"/>
        </w:rPr>
        <w:t>assessing</w:t>
      </w:r>
      <w:proofErr w:type="spellEnd"/>
      <w:r w:rsidR="0042615E">
        <w:rPr>
          <w:rFonts w:asciiTheme="minorHAnsi" w:hAnsiTheme="minorHAnsi" w:cs="Arial"/>
          <w:sz w:val="22"/>
          <w:szCs w:val="22"/>
        </w:rPr>
        <w:t xml:space="preserve"> </w:t>
      </w:r>
      <w:proofErr w:type="spellStart"/>
      <w:r w:rsidR="0042615E">
        <w:rPr>
          <w:rFonts w:asciiTheme="minorHAnsi" w:hAnsiTheme="minorHAnsi" w:cs="Arial"/>
          <w:sz w:val="22"/>
          <w:szCs w:val="22"/>
        </w:rPr>
        <w:t>NGOs</w:t>
      </w:r>
      <w:proofErr w:type="spellEnd"/>
      <w:r w:rsidR="0042615E">
        <w:rPr>
          <w:rFonts w:asciiTheme="minorHAnsi" w:hAnsiTheme="minorHAnsi" w:cs="Arial"/>
          <w:sz w:val="22"/>
          <w:szCs w:val="22"/>
        </w:rPr>
        <w:t xml:space="preserve"> in </w:t>
      </w:r>
      <w:proofErr w:type="spellStart"/>
      <w:r w:rsidR="0042615E">
        <w:rPr>
          <w:rFonts w:asciiTheme="minorHAnsi" w:hAnsiTheme="minorHAnsi" w:cs="Arial"/>
          <w:sz w:val="22"/>
          <w:szCs w:val="22"/>
        </w:rPr>
        <w:t>governance</w:t>
      </w:r>
      <w:proofErr w:type="spellEnd"/>
      <w:r w:rsidR="0042615E">
        <w:rPr>
          <w:rFonts w:asciiTheme="minorHAnsi" w:hAnsiTheme="minorHAnsi" w:cs="Arial"/>
          <w:sz w:val="22"/>
          <w:szCs w:val="22"/>
        </w:rPr>
        <w:t xml:space="preserve">, management and </w:t>
      </w:r>
      <w:proofErr w:type="spellStart"/>
      <w:r w:rsidR="0042615E">
        <w:rPr>
          <w:rFonts w:asciiTheme="minorHAnsi" w:hAnsiTheme="minorHAnsi" w:cs="Arial"/>
          <w:sz w:val="22"/>
          <w:szCs w:val="22"/>
        </w:rPr>
        <w:t>external</w:t>
      </w:r>
      <w:proofErr w:type="spellEnd"/>
      <w:r w:rsidR="0042615E">
        <w:rPr>
          <w:rFonts w:asciiTheme="minorHAnsi" w:hAnsiTheme="minorHAnsi" w:cs="Arial"/>
          <w:sz w:val="22"/>
          <w:szCs w:val="22"/>
        </w:rPr>
        <w:t xml:space="preserve"> relations.</w:t>
      </w:r>
      <w:r w:rsidR="00C47719">
        <w:rPr>
          <w:rFonts w:asciiTheme="minorHAnsi" w:hAnsiTheme="minorHAnsi" w:cs="Arial"/>
          <w:sz w:val="22"/>
          <w:szCs w:val="22"/>
        </w:rPr>
        <w:t xml:space="preserve">  </w:t>
      </w:r>
      <w:proofErr w:type="spellStart"/>
      <w:r w:rsidR="00C47719">
        <w:rPr>
          <w:rFonts w:asciiTheme="minorHAnsi" w:hAnsiTheme="minorHAnsi" w:cs="Arial"/>
          <w:sz w:val="22"/>
          <w:szCs w:val="22"/>
        </w:rPr>
        <w:t>See</w:t>
      </w:r>
      <w:proofErr w:type="spellEnd"/>
      <w:r w:rsidR="00C47719">
        <w:rPr>
          <w:rFonts w:asciiTheme="minorHAnsi" w:hAnsiTheme="minorHAnsi" w:cs="Arial"/>
          <w:sz w:val="22"/>
          <w:szCs w:val="22"/>
        </w:rPr>
        <w:t xml:space="preserve"> </w:t>
      </w:r>
      <w:proofErr w:type="spellStart"/>
      <w:r w:rsidR="00C47719">
        <w:rPr>
          <w:rFonts w:asciiTheme="minorHAnsi" w:hAnsiTheme="minorHAnsi" w:cs="Arial"/>
          <w:sz w:val="22"/>
          <w:szCs w:val="22"/>
        </w:rPr>
        <w:t>Annex</w:t>
      </w:r>
      <w:proofErr w:type="spellEnd"/>
      <w:r w:rsidR="00C47719">
        <w:rPr>
          <w:rFonts w:asciiTheme="minorHAnsi" w:hAnsiTheme="minorHAnsi" w:cs="Arial"/>
          <w:sz w:val="22"/>
          <w:szCs w:val="22"/>
        </w:rPr>
        <w:t xml:space="preserve"> VII NGO </w:t>
      </w:r>
      <w:proofErr w:type="spellStart"/>
      <w:r w:rsidR="00C47719">
        <w:rPr>
          <w:rFonts w:asciiTheme="minorHAnsi" w:hAnsiTheme="minorHAnsi" w:cs="Arial"/>
          <w:sz w:val="22"/>
          <w:szCs w:val="22"/>
        </w:rPr>
        <w:t>Assessment</w:t>
      </w:r>
      <w:proofErr w:type="spellEnd"/>
      <w:r w:rsidR="00C47719">
        <w:rPr>
          <w:rFonts w:asciiTheme="minorHAnsi" w:hAnsiTheme="minorHAnsi" w:cs="Arial"/>
          <w:sz w:val="22"/>
          <w:szCs w:val="22"/>
        </w:rPr>
        <w:t>.</w:t>
      </w:r>
    </w:p>
    <w:p w:rsidR="002632E6" w:rsidRPr="0092400A" w:rsidRDefault="002632E6" w:rsidP="0092400A">
      <w:pPr>
        <w:pStyle w:val="CommentText"/>
        <w:overflowPunct w:val="0"/>
        <w:autoSpaceDE w:val="0"/>
        <w:autoSpaceDN w:val="0"/>
        <w:adjustRightInd w:val="0"/>
        <w:ind w:left="720"/>
        <w:jc w:val="both"/>
        <w:textAlignment w:val="baseline"/>
        <w:rPr>
          <w:rFonts w:asciiTheme="minorHAnsi" w:hAnsiTheme="minorHAnsi" w:cs="Arial"/>
          <w:sz w:val="22"/>
          <w:szCs w:val="22"/>
        </w:rPr>
      </w:pPr>
    </w:p>
    <w:p w:rsidR="002632E6" w:rsidRPr="0042615E" w:rsidRDefault="002632E6" w:rsidP="00A54F50">
      <w:pPr>
        <w:pStyle w:val="CommentText"/>
        <w:numPr>
          <w:ilvl w:val="0"/>
          <w:numId w:val="33"/>
        </w:numPr>
        <w:overflowPunct w:val="0"/>
        <w:autoSpaceDE w:val="0"/>
        <w:autoSpaceDN w:val="0"/>
        <w:adjustRightInd w:val="0"/>
        <w:ind w:left="1440"/>
        <w:jc w:val="both"/>
        <w:textAlignment w:val="baseline"/>
        <w:rPr>
          <w:rFonts w:asciiTheme="minorHAnsi" w:hAnsiTheme="minorHAnsi" w:cs="Arial"/>
          <w:b/>
          <w:sz w:val="22"/>
          <w:szCs w:val="22"/>
        </w:rPr>
      </w:pPr>
      <w:proofErr w:type="spellStart"/>
      <w:r w:rsidRPr="0042615E">
        <w:rPr>
          <w:rFonts w:asciiTheme="minorHAnsi" w:hAnsiTheme="minorHAnsi" w:cs="Arial"/>
          <w:b/>
          <w:sz w:val="22"/>
          <w:szCs w:val="22"/>
        </w:rPr>
        <w:t>At</w:t>
      </w:r>
      <w:proofErr w:type="spellEnd"/>
      <w:r w:rsidRPr="0042615E">
        <w:rPr>
          <w:rFonts w:asciiTheme="minorHAnsi" w:hAnsiTheme="minorHAnsi" w:cs="Arial"/>
          <w:b/>
          <w:sz w:val="22"/>
          <w:szCs w:val="22"/>
        </w:rPr>
        <w:t xml:space="preserve"> least 80% of </w:t>
      </w:r>
      <w:proofErr w:type="spellStart"/>
      <w:r w:rsidRPr="0042615E">
        <w:rPr>
          <w:rFonts w:asciiTheme="minorHAnsi" w:hAnsiTheme="minorHAnsi" w:cs="Arial"/>
          <w:b/>
          <w:sz w:val="22"/>
          <w:szCs w:val="22"/>
        </w:rPr>
        <w:t>funded</w:t>
      </w:r>
      <w:proofErr w:type="spellEnd"/>
      <w:r w:rsidRPr="0042615E">
        <w:rPr>
          <w:rFonts w:asciiTheme="minorHAnsi" w:hAnsiTheme="minorHAnsi" w:cs="Arial"/>
          <w:b/>
          <w:sz w:val="22"/>
          <w:szCs w:val="22"/>
        </w:rPr>
        <w:t xml:space="preserve"> </w:t>
      </w:r>
      <w:proofErr w:type="spellStart"/>
      <w:r w:rsidRPr="0042615E">
        <w:rPr>
          <w:rFonts w:asciiTheme="minorHAnsi" w:hAnsiTheme="minorHAnsi" w:cs="Arial"/>
          <w:b/>
          <w:sz w:val="22"/>
          <w:szCs w:val="22"/>
        </w:rPr>
        <w:t>NGOs</w:t>
      </w:r>
      <w:proofErr w:type="spellEnd"/>
      <w:r w:rsidRPr="0042615E">
        <w:rPr>
          <w:rFonts w:asciiTheme="minorHAnsi" w:hAnsiTheme="minorHAnsi" w:cs="Arial"/>
          <w:b/>
          <w:sz w:val="22"/>
          <w:szCs w:val="22"/>
        </w:rPr>
        <w:t xml:space="preserve">  </w:t>
      </w:r>
      <w:proofErr w:type="spellStart"/>
      <w:r w:rsidRPr="0042615E">
        <w:rPr>
          <w:rFonts w:asciiTheme="minorHAnsi" w:hAnsiTheme="minorHAnsi" w:cs="Arial"/>
          <w:b/>
          <w:sz w:val="22"/>
          <w:szCs w:val="22"/>
        </w:rPr>
        <w:t>meet</w:t>
      </w:r>
      <w:proofErr w:type="spellEnd"/>
      <w:r w:rsidRPr="0042615E">
        <w:rPr>
          <w:rFonts w:asciiTheme="minorHAnsi" w:hAnsiTheme="minorHAnsi" w:cs="Arial"/>
          <w:b/>
          <w:sz w:val="22"/>
          <w:szCs w:val="22"/>
        </w:rPr>
        <w:t xml:space="preserve">  </w:t>
      </w:r>
      <w:proofErr w:type="spellStart"/>
      <w:r w:rsidRPr="0042615E">
        <w:rPr>
          <w:rFonts w:asciiTheme="minorHAnsi" w:hAnsiTheme="minorHAnsi" w:cs="Arial"/>
          <w:b/>
          <w:sz w:val="22"/>
          <w:szCs w:val="22"/>
        </w:rPr>
        <w:t>criteria</w:t>
      </w:r>
      <w:proofErr w:type="spellEnd"/>
      <w:r w:rsidRPr="0042615E">
        <w:rPr>
          <w:rFonts w:asciiTheme="minorHAnsi" w:hAnsiTheme="minorHAnsi" w:cs="Arial"/>
          <w:b/>
          <w:sz w:val="22"/>
          <w:szCs w:val="22"/>
        </w:rPr>
        <w:t xml:space="preserve">  in </w:t>
      </w:r>
      <w:proofErr w:type="spellStart"/>
      <w:r w:rsidRPr="0042615E">
        <w:rPr>
          <w:rFonts w:asciiTheme="minorHAnsi" w:hAnsiTheme="minorHAnsi" w:cs="Arial"/>
          <w:b/>
          <w:sz w:val="22"/>
          <w:szCs w:val="22"/>
        </w:rPr>
        <w:t>funding</w:t>
      </w:r>
      <w:proofErr w:type="spellEnd"/>
      <w:r w:rsidRPr="0042615E">
        <w:rPr>
          <w:rFonts w:asciiTheme="minorHAnsi" w:hAnsiTheme="minorHAnsi" w:cs="Arial"/>
          <w:b/>
          <w:sz w:val="22"/>
          <w:szCs w:val="22"/>
        </w:rPr>
        <w:t xml:space="preserve"> </w:t>
      </w:r>
      <w:proofErr w:type="spellStart"/>
      <w:r w:rsidRPr="0042615E">
        <w:rPr>
          <w:rFonts w:asciiTheme="minorHAnsi" w:hAnsiTheme="minorHAnsi" w:cs="Arial"/>
          <w:b/>
          <w:sz w:val="22"/>
          <w:szCs w:val="22"/>
        </w:rPr>
        <w:t>con</w:t>
      </w:r>
      <w:r w:rsidR="00AD7D6F">
        <w:rPr>
          <w:rFonts w:asciiTheme="minorHAnsi" w:hAnsiTheme="minorHAnsi" w:cs="Arial"/>
          <w:b/>
          <w:sz w:val="22"/>
          <w:szCs w:val="22"/>
        </w:rPr>
        <w:t>tract</w:t>
      </w:r>
      <w:proofErr w:type="spellEnd"/>
      <w:r w:rsidR="00AD7D6F">
        <w:rPr>
          <w:rFonts w:asciiTheme="minorHAnsi" w:hAnsiTheme="minorHAnsi" w:cs="Arial"/>
          <w:b/>
          <w:sz w:val="22"/>
          <w:szCs w:val="22"/>
        </w:rPr>
        <w:t xml:space="preserve"> (Not Applicable for 2011/2012) </w:t>
      </w:r>
      <w:r w:rsidR="00AD7D6F">
        <w:rPr>
          <w:rFonts w:asciiTheme="minorHAnsi" w:hAnsiTheme="minorHAnsi" w:cs="Arial"/>
          <w:sz w:val="22"/>
          <w:szCs w:val="22"/>
        </w:rPr>
        <w:t xml:space="preserve">NGO final reports for 2011/2012 are </w:t>
      </w:r>
      <w:proofErr w:type="spellStart"/>
      <w:r w:rsidR="00AD7D6F">
        <w:rPr>
          <w:rFonts w:asciiTheme="minorHAnsi" w:hAnsiTheme="minorHAnsi" w:cs="Arial"/>
          <w:sz w:val="22"/>
          <w:szCs w:val="22"/>
        </w:rPr>
        <w:t>still</w:t>
      </w:r>
      <w:proofErr w:type="spellEnd"/>
      <w:r w:rsidR="00AD7D6F">
        <w:rPr>
          <w:rFonts w:asciiTheme="minorHAnsi" w:hAnsiTheme="minorHAnsi" w:cs="Arial"/>
          <w:sz w:val="22"/>
          <w:szCs w:val="22"/>
        </w:rPr>
        <w:t xml:space="preserve"> </w:t>
      </w:r>
      <w:proofErr w:type="spellStart"/>
      <w:r w:rsidR="00AD7D6F">
        <w:rPr>
          <w:rFonts w:asciiTheme="minorHAnsi" w:hAnsiTheme="minorHAnsi" w:cs="Arial"/>
          <w:sz w:val="22"/>
          <w:szCs w:val="22"/>
        </w:rPr>
        <w:t>being</w:t>
      </w:r>
      <w:proofErr w:type="spellEnd"/>
      <w:r w:rsidR="00AD7D6F">
        <w:rPr>
          <w:rFonts w:asciiTheme="minorHAnsi" w:hAnsiTheme="minorHAnsi" w:cs="Arial"/>
          <w:sz w:val="22"/>
          <w:szCs w:val="22"/>
        </w:rPr>
        <w:t xml:space="preserve"> </w:t>
      </w:r>
      <w:proofErr w:type="spellStart"/>
      <w:r w:rsidR="00AD7D6F">
        <w:rPr>
          <w:rFonts w:asciiTheme="minorHAnsi" w:hAnsiTheme="minorHAnsi" w:cs="Arial"/>
          <w:sz w:val="22"/>
          <w:szCs w:val="22"/>
        </w:rPr>
        <w:t>processed</w:t>
      </w:r>
      <w:proofErr w:type="spellEnd"/>
      <w:r w:rsidR="00AD7D6F">
        <w:rPr>
          <w:rFonts w:asciiTheme="minorHAnsi" w:hAnsiTheme="minorHAnsi" w:cs="Arial"/>
          <w:sz w:val="22"/>
          <w:szCs w:val="22"/>
        </w:rPr>
        <w:t xml:space="preserve"> (Deadline 31 July 2012).  CSSP </w:t>
      </w:r>
      <w:proofErr w:type="spellStart"/>
      <w:r w:rsidR="00AD7D6F">
        <w:rPr>
          <w:rFonts w:asciiTheme="minorHAnsi" w:hAnsiTheme="minorHAnsi" w:cs="Arial"/>
          <w:sz w:val="22"/>
          <w:szCs w:val="22"/>
        </w:rPr>
        <w:t>will</w:t>
      </w:r>
      <w:proofErr w:type="spellEnd"/>
      <w:r w:rsidR="00AD7D6F">
        <w:rPr>
          <w:rFonts w:asciiTheme="minorHAnsi" w:hAnsiTheme="minorHAnsi" w:cs="Arial"/>
          <w:sz w:val="22"/>
          <w:szCs w:val="22"/>
        </w:rPr>
        <w:t xml:space="preserve"> report on NGO performance </w:t>
      </w:r>
      <w:proofErr w:type="spellStart"/>
      <w:r w:rsidR="00AD7D6F">
        <w:rPr>
          <w:rFonts w:asciiTheme="minorHAnsi" w:hAnsiTheme="minorHAnsi" w:cs="Arial"/>
          <w:sz w:val="22"/>
          <w:szCs w:val="22"/>
        </w:rPr>
        <w:t>in</w:t>
      </w:r>
      <w:proofErr w:type="spellEnd"/>
      <w:r w:rsidR="00AD7D6F">
        <w:rPr>
          <w:rFonts w:asciiTheme="minorHAnsi" w:hAnsiTheme="minorHAnsi" w:cs="Arial"/>
          <w:sz w:val="22"/>
          <w:szCs w:val="22"/>
        </w:rPr>
        <w:t xml:space="preserve"> 2012/2013.  The NGO six </w:t>
      </w:r>
      <w:proofErr w:type="spellStart"/>
      <w:r w:rsidR="00AD7D6F">
        <w:rPr>
          <w:rFonts w:asciiTheme="minorHAnsi" w:hAnsiTheme="minorHAnsi" w:cs="Arial"/>
          <w:sz w:val="22"/>
          <w:szCs w:val="22"/>
        </w:rPr>
        <w:t>monthly</w:t>
      </w:r>
      <w:proofErr w:type="spellEnd"/>
      <w:r w:rsidR="00AD7D6F">
        <w:rPr>
          <w:rFonts w:asciiTheme="minorHAnsi" w:hAnsiTheme="minorHAnsi" w:cs="Arial"/>
          <w:sz w:val="22"/>
          <w:szCs w:val="22"/>
        </w:rPr>
        <w:t xml:space="preserve"> </w:t>
      </w:r>
      <w:proofErr w:type="spellStart"/>
      <w:r w:rsidR="00AD7D6F">
        <w:rPr>
          <w:rFonts w:asciiTheme="minorHAnsi" w:hAnsiTheme="minorHAnsi" w:cs="Arial"/>
          <w:sz w:val="22"/>
          <w:szCs w:val="22"/>
        </w:rPr>
        <w:t>progress</w:t>
      </w:r>
      <w:proofErr w:type="spellEnd"/>
      <w:r w:rsidR="00AD7D6F">
        <w:rPr>
          <w:rFonts w:asciiTheme="minorHAnsi" w:hAnsiTheme="minorHAnsi" w:cs="Arial"/>
          <w:sz w:val="22"/>
          <w:szCs w:val="22"/>
        </w:rPr>
        <w:t xml:space="preserve"> reports show </w:t>
      </w:r>
      <w:proofErr w:type="spellStart"/>
      <w:r w:rsidR="00AD7D6F">
        <w:rPr>
          <w:rFonts w:asciiTheme="minorHAnsi" w:hAnsiTheme="minorHAnsi" w:cs="Arial"/>
          <w:sz w:val="22"/>
          <w:szCs w:val="22"/>
        </w:rPr>
        <w:t>that</w:t>
      </w:r>
      <w:proofErr w:type="spellEnd"/>
      <w:r w:rsidR="00AD7D6F">
        <w:rPr>
          <w:rFonts w:asciiTheme="minorHAnsi" w:hAnsiTheme="minorHAnsi" w:cs="Arial"/>
          <w:sz w:val="22"/>
          <w:szCs w:val="22"/>
        </w:rPr>
        <w:t xml:space="preserve"> all </w:t>
      </w:r>
      <w:proofErr w:type="spellStart"/>
      <w:r w:rsidR="00AD7D6F">
        <w:rPr>
          <w:rFonts w:asciiTheme="minorHAnsi" w:hAnsiTheme="minorHAnsi" w:cs="Arial"/>
          <w:sz w:val="22"/>
          <w:szCs w:val="22"/>
        </w:rPr>
        <w:t>NGOs</w:t>
      </w:r>
      <w:proofErr w:type="spellEnd"/>
      <w:r w:rsidR="00AD7D6F">
        <w:rPr>
          <w:rFonts w:asciiTheme="minorHAnsi" w:hAnsiTheme="minorHAnsi" w:cs="Arial"/>
          <w:sz w:val="22"/>
          <w:szCs w:val="22"/>
        </w:rPr>
        <w:t xml:space="preserve"> </w:t>
      </w:r>
      <w:proofErr w:type="spellStart"/>
      <w:r w:rsidR="00AD7D6F">
        <w:rPr>
          <w:rFonts w:asciiTheme="minorHAnsi" w:hAnsiTheme="minorHAnsi" w:cs="Arial"/>
          <w:sz w:val="22"/>
          <w:szCs w:val="22"/>
        </w:rPr>
        <w:t>except</w:t>
      </w:r>
      <w:proofErr w:type="spellEnd"/>
      <w:r w:rsidR="00AD7D6F">
        <w:rPr>
          <w:rFonts w:asciiTheme="minorHAnsi" w:hAnsiTheme="minorHAnsi" w:cs="Arial"/>
          <w:sz w:val="22"/>
          <w:szCs w:val="22"/>
        </w:rPr>
        <w:t xml:space="preserve"> one </w:t>
      </w:r>
      <w:proofErr w:type="spellStart"/>
      <w:r w:rsidR="00AD7D6F">
        <w:rPr>
          <w:rFonts w:asciiTheme="minorHAnsi" w:hAnsiTheme="minorHAnsi" w:cs="Arial"/>
          <w:sz w:val="22"/>
          <w:szCs w:val="22"/>
        </w:rPr>
        <w:t>were</w:t>
      </w:r>
      <w:proofErr w:type="spellEnd"/>
      <w:r w:rsidR="00AD7D6F">
        <w:rPr>
          <w:rFonts w:asciiTheme="minorHAnsi" w:hAnsiTheme="minorHAnsi" w:cs="Arial"/>
          <w:sz w:val="22"/>
          <w:szCs w:val="22"/>
        </w:rPr>
        <w:t xml:space="preserve"> on </w:t>
      </w:r>
      <w:proofErr w:type="spellStart"/>
      <w:r w:rsidR="00AD7D6F">
        <w:rPr>
          <w:rFonts w:asciiTheme="minorHAnsi" w:hAnsiTheme="minorHAnsi" w:cs="Arial"/>
          <w:sz w:val="22"/>
          <w:szCs w:val="22"/>
        </w:rPr>
        <w:t>track</w:t>
      </w:r>
      <w:proofErr w:type="spellEnd"/>
      <w:r w:rsidR="00AD7D6F">
        <w:rPr>
          <w:rFonts w:asciiTheme="minorHAnsi" w:hAnsiTheme="minorHAnsi" w:cs="Arial"/>
          <w:sz w:val="22"/>
          <w:szCs w:val="22"/>
        </w:rPr>
        <w:t xml:space="preserve"> to </w:t>
      </w:r>
      <w:proofErr w:type="spellStart"/>
      <w:r w:rsidR="00AD7D6F">
        <w:rPr>
          <w:rFonts w:asciiTheme="minorHAnsi" w:hAnsiTheme="minorHAnsi" w:cs="Arial"/>
          <w:sz w:val="22"/>
          <w:szCs w:val="22"/>
        </w:rPr>
        <w:t>complete</w:t>
      </w:r>
      <w:proofErr w:type="spellEnd"/>
      <w:r w:rsidR="00AD7D6F">
        <w:rPr>
          <w:rFonts w:asciiTheme="minorHAnsi" w:hAnsiTheme="minorHAnsi" w:cs="Arial"/>
          <w:sz w:val="22"/>
          <w:szCs w:val="22"/>
        </w:rPr>
        <w:t xml:space="preserve"> </w:t>
      </w:r>
      <w:proofErr w:type="spellStart"/>
      <w:r w:rsidR="00AD7D6F">
        <w:rPr>
          <w:rFonts w:asciiTheme="minorHAnsi" w:hAnsiTheme="minorHAnsi" w:cs="Arial"/>
          <w:sz w:val="22"/>
          <w:szCs w:val="22"/>
        </w:rPr>
        <w:t>their</w:t>
      </w:r>
      <w:proofErr w:type="spellEnd"/>
      <w:r w:rsidR="00AD7D6F">
        <w:rPr>
          <w:rFonts w:asciiTheme="minorHAnsi" w:hAnsiTheme="minorHAnsi" w:cs="Arial"/>
          <w:sz w:val="22"/>
          <w:szCs w:val="22"/>
        </w:rPr>
        <w:t xml:space="preserve"> </w:t>
      </w:r>
      <w:proofErr w:type="spellStart"/>
      <w:r w:rsidR="00AD7D6F">
        <w:rPr>
          <w:rFonts w:asciiTheme="minorHAnsi" w:hAnsiTheme="minorHAnsi" w:cs="Arial"/>
          <w:sz w:val="22"/>
          <w:szCs w:val="22"/>
        </w:rPr>
        <w:t>contracts</w:t>
      </w:r>
      <w:proofErr w:type="spellEnd"/>
      <w:r w:rsidR="00AD7D6F">
        <w:rPr>
          <w:rFonts w:asciiTheme="minorHAnsi" w:hAnsiTheme="minorHAnsi" w:cs="Arial"/>
          <w:sz w:val="22"/>
          <w:szCs w:val="22"/>
        </w:rPr>
        <w:t xml:space="preserve"> as </w:t>
      </w:r>
      <w:proofErr w:type="spellStart"/>
      <w:r w:rsidR="00AD7D6F">
        <w:rPr>
          <w:rFonts w:asciiTheme="minorHAnsi" w:hAnsiTheme="minorHAnsi" w:cs="Arial"/>
          <w:sz w:val="22"/>
          <w:szCs w:val="22"/>
        </w:rPr>
        <w:t>planned</w:t>
      </w:r>
      <w:proofErr w:type="spellEnd"/>
      <w:r w:rsidR="00AD7D6F">
        <w:rPr>
          <w:rFonts w:asciiTheme="minorHAnsi" w:hAnsiTheme="minorHAnsi" w:cs="Arial"/>
          <w:sz w:val="22"/>
          <w:szCs w:val="22"/>
        </w:rPr>
        <w:t xml:space="preserve">.  One NGO </w:t>
      </w:r>
      <w:proofErr w:type="spellStart"/>
      <w:r w:rsidR="00AD7D6F">
        <w:rPr>
          <w:rFonts w:asciiTheme="minorHAnsi" w:hAnsiTheme="minorHAnsi" w:cs="Arial"/>
          <w:sz w:val="22"/>
          <w:szCs w:val="22"/>
        </w:rPr>
        <w:t>was</w:t>
      </w:r>
      <w:proofErr w:type="spellEnd"/>
      <w:r w:rsidR="00AD7D6F">
        <w:rPr>
          <w:rFonts w:asciiTheme="minorHAnsi" w:hAnsiTheme="minorHAnsi" w:cs="Arial"/>
          <w:sz w:val="22"/>
          <w:szCs w:val="22"/>
        </w:rPr>
        <w:t xml:space="preserve"> </w:t>
      </w:r>
      <w:proofErr w:type="spellStart"/>
      <w:r w:rsidR="00AD7D6F">
        <w:rPr>
          <w:rFonts w:asciiTheme="minorHAnsi" w:hAnsiTheme="minorHAnsi" w:cs="Arial"/>
          <w:sz w:val="22"/>
          <w:szCs w:val="22"/>
        </w:rPr>
        <w:t>discontinued</w:t>
      </w:r>
      <w:proofErr w:type="spellEnd"/>
      <w:r w:rsidR="00AD7D6F">
        <w:rPr>
          <w:rFonts w:asciiTheme="minorHAnsi" w:hAnsiTheme="minorHAnsi" w:cs="Arial"/>
          <w:sz w:val="22"/>
          <w:szCs w:val="22"/>
        </w:rPr>
        <w:t xml:space="preserve"> for non performance.</w:t>
      </w:r>
    </w:p>
    <w:p w:rsidR="002632E6" w:rsidRPr="0092400A" w:rsidRDefault="002632E6" w:rsidP="0092400A">
      <w:pPr>
        <w:pStyle w:val="CommentText"/>
        <w:overflowPunct w:val="0"/>
        <w:autoSpaceDE w:val="0"/>
        <w:autoSpaceDN w:val="0"/>
        <w:adjustRightInd w:val="0"/>
        <w:ind w:left="720"/>
        <w:jc w:val="both"/>
        <w:textAlignment w:val="baseline"/>
        <w:rPr>
          <w:rFonts w:asciiTheme="minorHAnsi" w:hAnsiTheme="minorHAnsi" w:cs="Arial"/>
          <w:sz w:val="22"/>
          <w:szCs w:val="22"/>
        </w:rPr>
      </w:pPr>
    </w:p>
    <w:p w:rsidR="002632E6" w:rsidRPr="0092400A" w:rsidRDefault="0060218D" w:rsidP="00A54F50">
      <w:pPr>
        <w:pStyle w:val="CommentText"/>
        <w:numPr>
          <w:ilvl w:val="0"/>
          <w:numId w:val="33"/>
        </w:numPr>
        <w:overflowPunct w:val="0"/>
        <w:autoSpaceDE w:val="0"/>
        <w:autoSpaceDN w:val="0"/>
        <w:adjustRightInd w:val="0"/>
        <w:ind w:left="1440"/>
        <w:jc w:val="both"/>
        <w:textAlignment w:val="baseline"/>
        <w:rPr>
          <w:rFonts w:asciiTheme="minorHAnsi" w:hAnsiTheme="minorHAnsi" w:cs="Arial"/>
          <w:sz w:val="22"/>
          <w:szCs w:val="22"/>
        </w:rPr>
      </w:pPr>
      <w:proofErr w:type="spellStart"/>
      <w:r>
        <w:rPr>
          <w:rFonts w:asciiTheme="minorHAnsi" w:hAnsiTheme="minorHAnsi" w:cs="Arial"/>
          <w:b/>
          <w:sz w:val="22"/>
          <w:szCs w:val="22"/>
        </w:rPr>
        <w:t>Increase</w:t>
      </w:r>
      <w:proofErr w:type="spellEnd"/>
      <w:r>
        <w:rPr>
          <w:rFonts w:asciiTheme="minorHAnsi" w:hAnsiTheme="minorHAnsi" w:cs="Arial"/>
          <w:b/>
          <w:sz w:val="22"/>
          <w:szCs w:val="22"/>
        </w:rPr>
        <w:t xml:space="preserve"> in the </w:t>
      </w:r>
      <w:proofErr w:type="spellStart"/>
      <w:r>
        <w:rPr>
          <w:rFonts w:asciiTheme="minorHAnsi" w:hAnsiTheme="minorHAnsi" w:cs="Arial"/>
          <w:b/>
          <w:sz w:val="22"/>
          <w:szCs w:val="22"/>
        </w:rPr>
        <w:t>number</w:t>
      </w:r>
      <w:proofErr w:type="spellEnd"/>
      <w:r w:rsidR="00AD7D6F" w:rsidRPr="0060218D">
        <w:rPr>
          <w:rFonts w:asciiTheme="minorHAnsi" w:hAnsiTheme="minorHAnsi" w:cs="Arial"/>
          <w:b/>
          <w:sz w:val="22"/>
          <w:szCs w:val="22"/>
        </w:rPr>
        <w:t xml:space="preserve"> of </w:t>
      </w:r>
      <w:proofErr w:type="spellStart"/>
      <w:r w:rsidR="00AD7D6F" w:rsidRPr="0060218D">
        <w:rPr>
          <w:rFonts w:asciiTheme="minorHAnsi" w:hAnsiTheme="minorHAnsi" w:cs="Arial"/>
          <w:b/>
          <w:sz w:val="22"/>
          <w:szCs w:val="22"/>
        </w:rPr>
        <w:t>Govt</w:t>
      </w:r>
      <w:proofErr w:type="spellEnd"/>
      <w:r w:rsidR="00AD7D6F" w:rsidRPr="0060218D">
        <w:rPr>
          <w:rFonts w:asciiTheme="minorHAnsi" w:hAnsiTheme="minorHAnsi" w:cs="Arial"/>
          <w:b/>
          <w:sz w:val="22"/>
          <w:szCs w:val="22"/>
        </w:rPr>
        <w:t xml:space="preserve"> </w:t>
      </w:r>
      <w:proofErr w:type="spellStart"/>
      <w:r w:rsidR="00AD7D6F" w:rsidRPr="0060218D">
        <w:rPr>
          <w:rFonts w:asciiTheme="minorHAnsi" w:hAnsiTheme="minorHAnsi" w:cs="Arial"/>
          <w:b/>
          <w:sz w:val="22"/>
          <w:szCs w:val="22"/>
        </w:rPr>
        <w:t>c</w:t>
      </w:r>
      <w:r w:rsidR="002632E6" w:rsidRPr="0060218D">
        <w:rPr>
          <w:rFonts w:asciiTheme="minorHAnsi" w:hAnsiTheme="minorHAnsi" w:cs="Arial"/>
          <w:b/>
          <w:sz w:val="22"/>
          <w:szCs w:val="22"/>
        </w:rPr>
        <w:t>ommittees</w:t>
      </w:r>
      <w:proofErr w:type="spellEnd"/>
      <w:r w:rsidR="002632E6" w:rsidRPr="0060218D">
        <w:rPr>
          <w:rFonts w:asciiTheme="minorHAnsi" w:hAnsiTheme="minorHAnsi" w:cs="Arial"/>
          <w:b/>
          <w:sz w:val="22"/>
          <w:szCs w:val="22"/>
        </w:rPr>
        <w:t xml:space="preserve"> </w:t>
      </w:r>
      <w:proofErr w:type="spellStart"/>
      <w:r w:rsidR="002632E6" w:rsidRPr="0060218D">
        <w:rPr>
          <w:rFonts w:asciiTheme="minorHAnsi" w:hAnsiTheme="minorHAnsi" w:cs="Arial"/>
          <w:b/>
          <w:sz w:val="22"/>
          <w:szCs w:val="22"/>
        </w:rPr>
        <w:t>with</w:t>
      </w:r>
      <w:proofErr w:type="spellEnd"/>
      <w:r w:rsidR="002632E6" w:rsidRPr="0060218D">
        <w:rPr>
          <w:rFonts w:asciiTheme="minorHAnsi" w:hAnsiTheme="minorHAnsi" w:cs="Arial"/>
          <w:b/>
          <w:sz w:val="22"/>
          <w:szCs w:val="22"/>
        </w:rPr>
        <w:t xml:space="preserve"> NGO </w:t>
      </w:r>
      <w:proofErr w:type="spellStart"/>
      <w:r w:rsidR="002632E6" w:rsidRPr="0060218D">
        <w:rPr>
          <w:rFonts w:asciiTheme="minorHAnsi" w:hAnsiTheme="minorHAnsi" w:cs="Arial"/>
          <w:b/>
          <w:sz w:val="22"/>
          <w:szCs w:val="22"/>
        </w:rPr>
        <w:t>representation</w:t>
      </w:r>
      <w:proofErr w:type="spellEnd"/>
      <w:r w:rsidR="002632E6" w:rsidRPr="0092400A">
        <w:rPr>
          <w:rFonts w:asciiTheme="minorHAnsi" w:hAnsiTheme="minorHAnsi" w:cs="Arial"/>
          <w:sz w:val="22"/>
          <w:szCs w:val="22"/>
        </w:rPr>
        <w:t xml:space="preserve"> </w:t>
      </w:r>
      <w:r w:rsidR="00AD7D6F" w:rsidRPr="0060218D">
        <w:rPr>
          <w:rFonts w:asciiTheme="minorHAnsi" w:hAnsiTheme="minorHAnsi" w:cs="Arial"/>
          <w:b/>
          <w:sz w:val="22"/>
          <w:szCs w:val="22"/>
        </w:rPr>
        <w:t>(Not Applicable for 2011/2012</w:t>
      </w:r>
      <w:r w:rsidR="00AD7D6F">
        <w:rPr>
          <w:rFonts w:asciiTheme="minorHAnsi" w:hAnsiTheme="minorHAnsi" w:cs="Arial"/>
          <w:sz w:val="22"/>
          <w:szCs w:val="22"/>
        </w:rPr>
        <w:t xml:space="preserve">) – Baseline </w:t>
      </w:r>
      <w:proofErr w:type="spellStart"/>
      <w:r w:rsidR="00AD7D6F">
        <w:rPr>
          <w:rFonts w:asciiTheme="minorHAnsi" w:hAnsiTheme="minorHAnsi" w:cs="Arial"/>
          <w:sz w:val="22"/>
          <w:szCs w:val="22"/>
        </w:rPr>
        <w:t>will</w:t>
      </w:r>
      <w:proofErr w:type="spellEnd"/>
      <w:r w:rsidR="00AD7D6F">
        <w:rPr>
          <w:rFonts w:asciiTheme="minorHAnsi" w:hAnsiTheme="minorHAnsi" w:cs="Arial"/>
          <w:sz w:val="22"/>
          <w:szCs w:val="22"/>
        </w:rPr>
        <w:t xml:space="preserve"> </w:t>
      </w:r>
      <w:proofErr w:type="spellStart"/>
      <w:r w:rsidR="00AD7D6F">
        <w:rPr>
          <w:rFonts w:asciiTheme="minorHAnsi" w:hAnsiTheme="minorHAnsi" w:cs="Arial"/>
          <w:sz w:val="22"/>
          <w:szCs w:val="22"/>
        </w:rPr>
        <w:t>be</w:t>
      </w:r>
      <w:proofErr w:type="spellEnd"/>
      <w:r w:rsidR="00AD7D6F">
        <w:rPr>
          <w:rFonts w:asciiTheme="minorHAnsi" w:hAnsiTheme="minorHAnsi" w:cs="Arial"/>
          <w:sz w:val="22"/>
          <w:szCs w:val="22"/>
        </w:rPr>
        <w:t xml:space="preserve"> </w:t>
      </w:r>
      <w:proofErr w:type="spellStart"/>
      <w:r w:rsidR="00AD7D6F">
        <w:rPr>
          <w:rFonts w:asciiTheme="minorHAnsi" w:hAnsiTheme="minorHAnsi" w:cs="Arial"/>
          <w:sz w:val="22"/>
          <w:szCs w:val="22"/>
        </w:rPr>
        <w:t>established</w:t>
      </w:r>
      <w:proofErr w:type="spellEnd"/>
      <w:r w:rsidR="00AD7D6F">
        <w:rPr>
          <w:rFonts w:asciiTheme="minorHAnsi" w:hAnsiTheme="minorHAnsi" w:cs="Arial"/>
          <w:sz w:val="22"/>
          <w:szCs w:val="22"/>
        </w:rPr>
        <w:t xml:space="preserve"> </w:t>
      </w:r>
      <w:proofErr w:type="spellStart"/>
      <w:r w:rsidR="00AD7D6F">
        <w:rPr>
          <w:rFonts w:asciiTheme="minorHAnsi" w:hAnsiTheme="minorHAnsi" w:cs="Arial"/>
          <w:sz w:val="22"/>
          <w:szCs w:val="22"/>
        </w:rPr>
        <w:t>in</w:t>
      </w:r>
      <w:proofErr w:type="spellEnd"/>
      <w:r w:rsidR="00AD7D6F">
        <w:rPr>
          <w:rFonts w:asciiTheme="minorHAnsi" w:hAnsiTheme="minorHAnsi" w:cs="Arial"/>
          <w:sz w:val="22"/>
          <w:szCs w:val="22"/>
        </w:rPr>
        <w:t xml:space="preserve"> 2012/2013 </w:t>
      </w:r>
      <w:proofErr w:type="spellStart"/>
      <w:r w:rsidR="00AD7D6F">
        <w:rPr>
          <w:rFonts w:asciiTheme="minorHAnsi" w:hAnsiTheme="minorHAnsi" w:cs="Arial"/>
          <w:sz w:val="22"/>
          <w:szCs w:val="22"/>
        </w:rPr>
        <w:t>through</w:t>
      </w:r>
      <w:proofErr w:type="spellEnd"/>
      <w:r w:rsidR="00AD7D6F">
        <w:rPr>
          <w:rFonts w:asciiTheme="minorHAnsi" w:hAnsiTheme="minorHAnsi" w:cs="Arial"/>
          <w:sz w:val="22"/>
          <w:szCs w:val="22"/>
        </w:rPr>
        <w:t xml:space="preserve"> an NGO Survey in </w:t>
      </w:r>
      <w:proofErr w:type="spellStart"/>
      <w:r w:rsidR="00AD7D6F">
        <w:rPr>
          <w:rFonts w:asciiTheme="minorHAnsi" w:hAnsiTheme="minorHAnsi" w:cs="Arial"/>
          <w:sz w:val="22"/>
          <w:szCs w:val="22"/>
        </w:rPr>
        <w:t>September</w:t>
      </w:r>
      <w:proofErr w:type="spellEnd"/>
      <w:r w:rsidR="00AD7D6F">
        <w:rPr>
          <w:rFonts w:asciiTheme="minorHAnsi" w:hAnsiTheme="minorHAnsi" w:cs="Arial"/>
          <w:sz w:val="22"/>
          <w:szCs w:val="22"/>
        </w:rPr>
        <w:t xml:space="preserve"> 2012.</w:t>
      </w:r>
    </w:p>
    <w:p w:rsidR="002632E6" w:rsidRPr="0092400A" w:rsidRDefault="002632E6" w:rsidP="0092400A">
      <w:pPr>
        <w:pStyle w:val="CommentText"/>
        <w:overflowPunct w:val="0"/>
        <w:autoSpaceDE w:val="0"/>
        <w:autoSpaceDN w:val="0"/>
        <w:adjustRightInd w:val="0"/>
        <w:ind w:left="720"/>
        <w:jc w:val="both"/>
        <w:textAlignment w:val="baseline"/>
        <w:rPr>
          <w:rFonts w:asciiTheme="minorHAnsi" w:hAnsiTheme="minorHAnsi" w:cs="Arial"/>
          <w:sz w:val="22"/>
          <w:szCs w:val="22"/>
        </w:rPr>
      </w:pPr>
    </w:p>
    <w:p w:rsidR="002632E6" w:rsidRPr="0092400A" w:rsidRDefault="002632E6" w:rsidP="00A54F50">
      <w:pPr>
        <w:pStyle w:val="CommentText"/>
        <w:numPr>
          <w:ilvl w:val="0"/>
          <w:numId w:val="33"/>
        </w:numPr>
        <w:overflowPunct w:val="0"/>
        <w:autoSpaceDE w:val="0"/>
        <w:autoSpaceDN w:val="0"/>
        <w:adjustRightInd w:val="0"/>
        <w:ind w:left="1440"/>
        <w:jc w:val="both"/>
        <w:textAlignment w:val="baseline"/>
        <w:rPr>
          <w:rFonts w:asciiTheme="minorHAnsi" w:hAnsiTheme="minorHAnsi" w:cs="Arial"/>
          <w:sz w:val="22"/>
          <w:szCs w:val="22"/>
        </w:rPr>
      </w:pPr>
      <w:r w:rsidRPr="0060218D">
        <w:rPr>
          <w:rFonts w:asciiTheme="minorHAnsi" w:hAnsiTheme="minorHAnsi" w:cs="Arial"/>
          <w:b/>
          <w:sz w:val="22"/>
          <w:szCs w:val="22"/>
        </w:rPr>
        <w:t xml:space="preserve">90% of </w:t>
      </w:r>
      <w:proofErr w:type="spellStart"/>
      <w:r w:rsidRPr="0060218D">
        <w:rPr>
          <w:rFonts w:asciiTheme="minorHAnsi" w:hAnsiTheme="minorHAnsi" w:cs="Arial"/>
          <w:b/>
          <w:sz w:val="22"/>
          <w:szCs w:val="22"/>
        </w:rPr>
        <w:t>stakeholders</w:t>
      </w:r>
      <w:proofErr w:type="spellEnd"/>
      <w:r w:rsidRPr="0060218D">
        <w:rPr>
          <w:rFonts w:asciiTheme="minorHAnsi" w:hAnsiTheme="minorHAnsi" w:cs="Arial"/>
          <w:b/>
          <w:sz w:val="22"/>
          <w:szCs w:val="22"/>
        </w:rPr>
        <w:t xml:space="preserve"> </w:t>
      </w:r>
      <w:proofErr w:type="spellStart"/>
      <w:r w:rsidRPr="0060218D">
        <w:rPr>
          <w:rFonts w:asciiTheme="minorHAnsi" w:hAnsiTheme="minorHAnsi" w:cs="Arial"/>
          <w:b/>
          <w:sz w:val="22"/>
          <w:szCs w:val="22"/>
        </w:rPr>
        <w:t>satisfied</w:t>
      </w:r>
      <w:proofErr w:type="spellEnd"/>
      <w:r w:rsidRPr="0060218D">
        <w:rPr>
          <w:rFonts w:asciiTheme="minorHAnsi" w:hAnsiTheme="minorHAnsi" w:cs="Arial"/>
          <w:b/>
          <w:sz w:val="22"/>
          <w:szCs w:val="22"/>
        </w:rPr>
        <w:t xml:space="preserve"> </w:t>
      </w:r>
      <w:proofErr w:type="spellStart"/>
      <w:r w:rsidRPr="0060218D">
        <w:rPr>
          <w:rFonts w:asciiTheme="minorHAnsi" w:hAnsiTheme="minorHAnsi" w:cs="Arial"/>
          <w:b/>
          <w:sz w:val="22"/>
          <w:szCs w:val="22"/>
        </w:rPr>
        <w:t>with</w:t>
      </w:r>
      <w:proofErr w:type="spellEnd"/>
      <w:r w:rsidRPr="0060218D">
        <w:rPr>
          <w:rFonts w:asciiTheme="minorHAnsi" w:hAnsiTheme="minorHAnsi" w:cs="Arial"/>
          <w:b/>
          <w:sz w:val="22"/>
          <w:szCs w:val="22"/>
        </w:rPr>
        <w:t xml:space="preserve"> PMU performance </w:t>
      </w:r>
      <w:proofErr w:type="spellStart"/>
      <w:r w:rsidRPr="0060218D">
        <w:rPr>
          <w:rFonts w:asciiTheme="minorHAnsi" w:hAnsiTheme="minorHAnsi" w:cs="Arial"/>
          <w:b/>
          <w:sz w:val="22"/>
          <w:szCs w:val="22"/>
        </w:rPr>
        <w:t>overall</w:t>
      </w:r>
      <w:proofErr w:type="spellEnd"/>
      <w:r w:rsidR="00AD7D6F">
        <w:rPr>
          <w:rFonts w:asciiTheme="minorHAnsi" w:hAnsiTheme="minorHAnsi" w:cs="Arial"/>
          <w:sz w:val="22"/>
          <w:szCs w:val="22"/>
        </w:rPr>
        <w:t xml:space="preserve"> </w:t>
      </w:r>
      <w:r w:rsidR="00AD7D6F" w:rsidRPr="0060218D">
        <w:rPr>
          <w:rFonts w:asciiTheme="minorHAnsi" w:hAnsiTheme="minorHAnsi" w:cs="Arial"/>
          <w:b/>
          <w:sz w:val="22"/>
          <w:szCs w:val="22"/>
        </w:rPr>
        <w:t>(Not</w:t>
      </w:r>
      <w:r w:rsidR="0060218D" w:rsidRPr="0060218D">
        <w:rPr>
          <w:rFonts w:asciiTheme="minorHAnsi" w:hAnsiTheme="minorHAnsi" w:cs="Arial"/>
          <w:b/>
          <w:sz w:val="22"/>
          <w:szCs w:val="22"/>
        </w:rPr>
        <w:t xml:space="preserve"> Applicable for 2011/2012)</w:t>
      </w:r>
      <w:r w:rsidR="0060218D">
        <w:rPr>
          <w:rFonts w:asciiTheme="minorHAnsi" w:hAnsiTheme="minorHAnsi" w:cs="Arial"/>
          <w:sz w:val="22"/>
          <w:szCs w:val="22"/>
        </w:rPr>
        <w:t xml:space="preserve"> – CSSP </w:t>
      </w:r>
      <w:proofErr w:type="spellStart"/>
      <w:r w:rsidR="0060218D">
        <w:rPr>
          <w:rFonts w:asciiTheme="minorHAnsi" w:hAnsiTheme="minorHAnsi" w:cs="Arial"/>
          <w:sz w:val="22"/>
          <w:szCs w:val="22"/>
        </w:rPr>
        <w:t>conducted</w:t>
      </w:r>
      <w:proofErr w:type="spellEnd"/>
      <w:r w:rsidR="0060218D">
        <w:rPr>
          <w:rFonts w:asciiTheme="minorHAnsi" w:hAnsiTheme="minorHAnsi" w:cs="Arial"/>
          <w:sz w:val="22"/>
          <w:szCs w:val="22"/>
        </w:rPr>
        <w:t xml:space="preserve"> a public </w:t>
      </w:r>
      <w:proofErr w:type="spellStart"/>
      <w:r w:rsidR="0060218D">
        <w:rPr>
          <w:rFonts w:asciiTheme="minorHAnsi" w:hAnsiTheme="minorHAnsi" w:cs="Arial"/>
          <w:sz w:val="22"/>
          <w:szCs w:val="22"/>
        </w:rPr>
        <w:t>survey</w:t>
      </w:r>
      <w:proofErr w:type="spellEnd"/>
      <w:r w:rsidR="0060218D">
        <w:rPr>
          <w:rFonts w:asciiTheme="minorHAnsi" w:hAnsiTheme="minorHAnsi" w:cs="Arial"/>
          <w:sz w:val="22"/>
          <w:szCs w:val="22"/>
        </w:rPr>
        <w:t xml:space="preserve"> of satisfaction </w:t>
      </w:r>
      <w:proofErr w:type="spellStart"/>
      <w:r w:rsidR="0060218D">
        <w:rPr>
          <w:rFonts w:asciiTheme="minorHAnsi" w:hAnsiTheme="minorHAnsi" w:cs="Arial"/>
          <w:sz w:val="22"/>
          <w:szCs w:val="22"/>
        </w:rPr>
        <w:t>with</w:t>
      </w:r>
      <w:proofErr w:type="spellEnd"/>
      <w:r w:rsidR="0060218D">
        <w:rPr>
          <w:rFonts w:asciiTheme="minorHAnsi" w:hAnsiTheme="minorHAnsi" w:cs="Arial"/>
          <w:sz w:val="22"/>
          <w:szCs w:val="22"/>
        </w:rPr>
        <w:t xml:space="preserve"> the PMU performance </w:t>
      </w:r>
      <w:proofErr w:type="spellStart"/>
      <w:r w:rsidR="0060218D">
        <w:rPr>
          <w:rFonts w:asciiTheme="minorHAnsi" w:hAnsiTheme="minorHAnsi" w:cs="Arial"/>
          <w:sz w:val="22"/>
          <w:szCs w:val="22"/>
        </w:rPr>
        <w:t>in</w:t>
      </w:r>
      <w:proofErr w:type="spellEnd"/>
      <w:r w:rsidR="0060218D">
        <w:rPr>
          <w:rFonts w:asciiTheme="minorHAnsi" w:hAnsiTheme="minorHAnsi" w:cs="Arial"/>
          <w:sz w:val="22"/>
          <w:szCs w:val="22"/>
        </w:rPr>
        <w:t xml:space="preserve"> 23-24 August 2012.  The </w:t>
      </w:r>
      <w:proofErr w:type="spellStart"/>
      <w:r w:rsidR="0060218D">
        <w:rPr>
          <w:rFonts w:asciiTheme="minorHAnsi" w:hAnsiTheme="minorHAnsi" w:cs="Arial"/>
          <w:sz w:val="22"/>
          <w:szCs w:val="22"/>
        </w:rPr>
        <w:t>survey</w:t>
      </w:r>
      <w:proofErr w:type="spellEnd"/>
      <w:r w:rsidR="0060218D">
        <w:rPr>
          <w:rFonts w:asciiTheme="minorHAnsi" w:hAnsiTheme="minorHAnsi" w:cs="Arial"/>
          <w:sz w:val="22"/>
          <w:szCs w:val="22"/>
        </w:rPr>
        <w:t xml:space="preserve"> </w:t>
      </w:r>
      <w:proofErr w:type="spellStart"/>
      <w:r w:rsidR="0060218D">
        <w:rPr>
          <w:rFonts w:asciiTheme="minorHAnsi" w:hAnsiTheme="minorHAnsi" w:cs="Arial"/>
          <w:sz w:val="22"/>
          <w:szCs w:val="22"/>
        </w:rPr>
        <w:t>forms</w:t>
      </w:r>
      <w:proofErr w:type="spellEnd"/>
      <w:r w:rsidR="0060218D">
        <w:rPr>
          <w:rFonts w:asciiTheme="minorHAnsi" w:hAnsiTheme="minorHAnsi" w:cs="Arial"/>
          <w:sz w:val="22"/>
          <w:szCs w:val="22"/>
        </w:rPr>
        <w:t xml:space="preserve"> are </w:t>
      </w:r>
      <w:proofErr w:type="spellStart"/>
      <w:r w:rsidR="0060218D">
        <w:rPr>
          <w:rFonts w:asciiTheme="minorHAnsi" w:hAnsiTheme="minorHAnsi" w:cs="Arial"/>
          <w:sz w:val="22"/>
          <w:szCs w:val="22"/>
        </w:rPr>
        <w:t>still</w:t>
      </w:r>
      <w:proofErr w:type="spellEnd"/>
      <w:r w:rsidR="0060218D">
        <w:rPr>
          <w:rFonts w:asciiTheme="minorHAnsi" w:hAnsiTheme="minorHAnsi" w:cs="Arial"/>
          <w:sz w:val="22"/>
          <w:szCs w:val="22"/>
        </w:rPr>
        <w:t xml:space="preserve"> </w:t>
      </w:r>
      <w:proofErr w:type="spellStart"/>
      <w:r w:rsidR="0060218D">
        <w:rPr>
          <w:rFonts w:asciiTheme="minorHAnsi" w:hAnsiTheme="minorHAnsi" w:cs="Arial"/>
          <w:sz w:val="22"/>
          <w:szCs w:val="22"/>
        </w:rPr>
        <w:t>being</w:t>
      </w:r>
      <w:proofErr w:type="spellEnd"/>
      <w:r w:rsidR="0060218D">
        <w:rPr>
          <w:rFonts w:asciiTheme="minorHAnsi" w:hAnsiTheme="minorHAnsi" w:cs="Arial"/>
          <w:sz w:val="22"/>
          <w:szCs w:val="22"/>
        </w:rPr>
        <w:t xml:space="preserve"> </w:t>
      </w:r>
      <w:proofErr w:type="spellStart"/>
      <w:r w:rsidR="0060218D">
        <w:rPr>
          <w:rFonts w:asciiTheme="minorHAnsi" w:hAnsiTheme="minorHAnsi" w:cs="Arial"/>
          <w:sz w:val="22"/>
          <w:szCs w:val="22"/>
        </w:rPr>
        <w:t>processed</w:t>
      </w:r>
      <w:proofErr w:type="spellEnd"/>
      <w:r w:rsidR="0060218D">
        <w:rPr>
          <w:rFonts w:asciiTheme="minorHAnsi" w:hAnsiTheme="minorHAnsi" w:cs="Arial"/>
          <w:sz w:val="22"/>
          <w:szCs w:val="22"/>
        </w:rPr>
        <w:t>.</w:t>
      </w:r>
    </w:p>
    <w:p w:rsidR="002632E6" w:rsidRPr="0092400A" w:rsidRDefault="002632E6" w:rsidP="0092400A">
      <w:pPr>
        <w:pStyle w:val="CommentText"/>
        <w:overflowPunct w:val="0"/>
        <w:autoSpaceDE w:val="0"/>
        <w:autoSpaceDN w:val="0"/>
        <w:adjustRightInd w:val="0"/>
        <w:ind w:left="720"/>
        <w:jc w:val="both"/>
        <w:textAlignment w:val="baseline"/>
        <w:rPr>
          <w:rFonts w:asciiTheme="minorHAnsi" w:hAnsiTheme="minorHAnsi" w:cs="Arial"/>
          <w:sz w:val="22"/>
          <w:szCs w:val="22"/>
        </w:rPr>
      </w:pPr>
    </w:p>
    <w:p w:rsidR="009047E1" w:rsidRPr="0060218D" w:rsidRDefault="002632E6" w:rsidP="00A54F50">
      <w:pPr>
        <w:pStyle w:val="ListParagraph"/>
        <w:numPr>
          <w:ilvl w:val="0"/>
          <w:numId w:val="33"/>
        </w:numPr>
        <w:ind w:left="1440"/>
        <w:rPr>
          <w:rFonts w:eastAsia="Times New Roman" w:cstheme="minorHAnsi"/>
          <w:bCs/>
          <w:lang w:eastAsia="en-NZ"/>
        </w:rPr>
      </w:pPr>
      <w:r w:rsidRPr="0060218D">
        <w:rPr>
          <w:rFonts w:cs="Arial"/>
          <w:b/>
        </w:rPr>
        <w:t>Awareness</w:t>
      </w:r>
      <w:r w:rsidR="00AD7D6F" w:rsidRPr="0060218D">
        <w:rPr>
          <w:rFonts w:cs="Arial"/>
          <w:b/>
        </w:rPr>
        <w:t xml:space="preserve"> of CSSP increases by 30% </w:t>
      </w:r>
      <w:r w:rsidR="0060218D" w:rsidRPr="0060218D">
        <w:rPr>
          <w:rFonts w:cs="Arial"/>
          <w:b/>
        </w:rPr>
        <w:t>(Achieved</w:t>
      </w:r>
      <w:proofErr w:type="gramStart"/>
      <w:r w:rsidR="0060218D" w:rsidRPr="0060218D">
        <w:rPr>
          <w:rFonts w:cs="Arial"/>
          <w:b/>
        </w:rPr>
        <w:t>)</w:t>
      </w:r>
      <w:r w:rsidR="0060218D">
        <w:rPr>
          <w:rFonts w:cs="Arial"/>
          <w:b/>
        </w:rPr>
        <w:t xml:space="preserve">  </w:t>
      </w:r>
      <w:r w:rsidR="0060218D" w:rsidRPr="0060218D">
        <w:rPr>
          <w:rFonts w:cs="Arial"/>
        </w:rPr>
        <w:t>A</w:t>
      </w:r>
      <w:proofErr w:type="gramEnd"/>
      <w:r w:rsidR="0060218D" w:rsidRPr="0060218D">
        <w:rPr>
          <w:rFonts w:cs="Arial"/>
        </w:rPr>
        <w:t xml:space="preserve"> total of 154 applicants attended public awareness workshops for Category 1 and Category 2</w:t>
      </w:r>
      <w:r w:rsidR="0060218D">
        <w:rPr>
          <w:rFonts w:cs="Arial"/>
        </w:rPr>
        <w:t xml:space="preserve"> in 2010/2011</w:t>
      </w:r>
      <w:r w:rsidR="0060218D" w:rsidRPr="0060218D">
        <w:rPr>
          <w:rFonts w:cs="Arial"/>
        </w:rPr>
        <w:t xml:space="preserve">.  This number increased to </w:t>
      </w:r>
      <w:r w:rsidR="0060218D">
        <w:rPr>
          <w:rFonts w:cs="Arial"/>
        </w:rPr>
        <w:t>414 in 2011/2012 and represented a 45% increase in numbers of organisations attending the public workshops.</w:t>
      </w:r>
    </w:p>
    <w:p w:rsidR="005918A0" w:rsidRPr="004017EA" w:rsidRDefault="005918A0" w:rsidP="005918A0">
      <w:pPr>
        <w:pStyle w:val="Heading2"/>
        <w:rPr>
          <w:rFonts w:asciiTheme="minorHAnsi" w:hAnsiTheme="minorHAnsi" w:cstheme="minorHAnsi"/>
          <w:sz w:val="28"/>
        </w:rPr>
      </w:pPr>
      <w:r w:rsidRPr="004017EA">
        <w:rPr>
          <w:rFonts w:asciiTheme="minorHAnsi" w:hAnsiTheme="minorHAnsi" w:cstheme="minorHAnsi"/>
          <w:sz w:val="28"/>
          <w:szCs w:val="28"/>
        </w:rPr>
        <w:t>Issues and Challenges</w:t>
      </w:r>
      <w:r w:rsidRPr="004017EA">
        <w:rPr>
          <w:rFonts w:asciiTheme="minorHAnsi" w:hAnsiTheme="minorHAnsi" w:cstheme="minorHAnsi"/>
        </w:rPr>
        <w:t xml:space="preserve"> </w:t>
      </w:r>
    </w:p>
    <w:p w:rsidR="005918A0" w:rsidRPr="0074374B" w:rsidRDefault="005918A0" w:rsidP="00A54F50">
      <w:pPr>
        <w:numPr>
          <w:ilvl w:val="0"/>
          <w:numId w:val="31"/>
        </w:numPr>
        <w:spacing w:before="120" w:after="120" w:line="240" w:lineRule="auto"/>
        <w:rPr>
          <w:rFonts w:cstheme="minorHAnsi"/>
          <w:i/>
        </w:rPr>
      </w:pPr>
      <w:r w:rsidRPr="0074374B">
        <w:rPr>
          <w:rFonts w:cstheme="minorHAnsi"/>
          <w:i/>
        </w:rPr>
        <w:t>Governance</w:t>
      </w:r>
    </w:p>
    <w:p w:rsidR="008243A6" w:rsidRDefault="008243A6" w:rsidP="00A54F50">
      <w:pPr>
        <w:numPr>
          <w:ilvl w:val="1"/>
          <w:numId w:val="31"/>
        </w:numPr>
        <w:spacing w:before="120" w:after="120" w:line="240" w:lineRule="auto"/>
        <w:rPr>
          <w:rFonts w:cstheme="minorHAnsi"/>
        </w:rPr>
      </w:pPr>
      <w:r>
        <w:rPr>
          <w:rFonts w:cstheme="minorHAnsi"/>
        </w:rPr>
        <w:t>CSSP Steering Committee – Meetings are frequent and lengthy particularly around the selection of projects to approve.  The challenge is to seek ways to reduce the length and frequency of these meetings without compromising quality of decision-making.  The PMU has recently changed the approach and format to presenting recommended applicants</w:t>
      </w:r>
      <w:r w:rsidR="0078686C">
        <w:rPr>
          <w:rFonts w:cstheme="minorHAnsi"/>
        </w:rPr>
        <w:t xml:space="preserve"> (</w:t>
      </w:r>
      <w:proofErr w:type="spellStart"/>
      <w:r w:rsidR="0078686C">
        <w:rPr>
          <w:rFonts w:cstheme="minorHAnsi"/>
        </w:rPr>
        <w:t>i.e.visual</w:t>
      </w:r>
      <w:proofErr w:type="spellEnd"/>
      <w:r w:rsidR="0078686C">
        <w:rPr>
          <w:rFonts w:cstheme="minorHAnsi"/>
        </w:rPr>
        <w:t xml:space="preserve"> presentation and more thorough input from sector partners </w:t>
      </w:r>
      <w:r w:rsidR="00B3009F">
        <w:rPr>
          <w:rFonts w:cstheme="minorHAnsi"/>
        </w:rPr>
        <w:t xml:space="preserve">on priorities </w:t>
      </w:r>
      <w:r w:rsidR="0078686C">
        <w:rPr>
          <w:rFonts w:cstheme="minorHAnsi"/>
        </w:rPr>
        <w:t>prior to steering committee meetings</w:t>
      </w:r>
      <w:r w:rsidR="00B3009F">
        <w:rPr>
          <w:rFonts w:cstheme="minorHAnsi"/>
        </w:rPr>
        <w:t>)</w:t>
      </w:r>
      <w:r w:rsidR="0078686C">
        <w:rPr>
          <w:rFonts w:cstheme="minorHAnsi"/>
        </w:rPr>
        <w:t>.</w:t>
      </w:r>
      <w:r w:rsidR="00C27AF5">
        <w:rPr>
          <w:rFonts w:cstheme="minorHAnsi"/>
        </w:rPr>
        <w:t xml:space="preserve">  </w:t>
      </w:r>
      <w:r w:rsidR="00671B67">
        <w:rPr>
          <w:rFonts w:cstheme="minorHAnsi"/>
        </w:rPr>
        <w:t xml:space="preserve">Staff ought to consider ways to improve </w:t>
      </w:r>
      <w:proofErr w:type="spellStart"/>
      <w:r w:rsidR="00671B67">
        <w:rPr>
          <w:rFonts w:cstheme="minorHAnsi"/>
        </w:rPr>
        <w:t>analystical</w:t>
      </w:r>
      <w:proofErr w:type="spellEnd"/>
      <w:r w:rsidR="00671B67">
        <w:rPr>
          <w:rFonts w:cstheme="minorHAnsi"/>
        </w:rPr>
        <w:t xml:space="preserve"> skills of project staff so that they can provide recommendations that would facilitate informed decision making by the Committee. This would save the Committee from an appraisal role.</w:t>
      </w:r>
    </w:p>
    <w:p w:rsidR="0078686C" w:rsidRDefault="0078686C" w:rsidP="00A54F50">
      <w:pPr>
        <w:numPr>
          <w:ilvl w:val="1"/>
          <w:numId w:val="31"/>
        </w:numPr>
        <w:spacing w:before="120" w:after="120" w:line="240" w:lineRule="auto"/>
        <w:rPr>
          <w:rFonts w:cstheme="minorHAnsi"/>
        </w:rPr>
      </w:pPr>
      <w:r>
        <w:rPr>
          <w:rFonts w:cstheme="minorHAnsi"/>
        </w:rPr>
        <w:t>PMU Reporting – The two funding partners require different reporting formats.  The challenge is to better harmonize reporting formats particularly programme formatting to avoid duplication of effort, time and cost.</w:t>
      </w:r>
    </w:p>
    <w:p w:rsidR="00AA27AD" w:rsidRPr="00AA27AD" w:rsidRDefault="00D36B72" w:rsidP="00A54F50">
      <w:pPr>
        <w:numPr>
          <w:ilvl w:val="1"/>
          <w:numId w:val="31"/>
        </w:numPr>
        <w:spacing w:before="120" w:after="120" w:line="240" w:lineRule="auto"/>
        <w:rPr>
          <w:rFonts w:cstheme="minorHAnsi"/>
        </w:rPr>
      </w:pPr>
      <w:r>
        <w:rPr>
          <w:rFonts w:cstheme="minorHAnsi"/>
        </w:rPr>
        <w:t xml:space="preserve">Updated information on other funding schemes is critical in making decisions on which projects to fund and which to refer to other sources.  This is especially challenging because there are an increasing number of </w:t>
      </w:r>
      <w:r w:rsidR="00B2289C">
        <w:rPr>
          <w:rFonts w:cstheme="minorHAnsi"/>
        </w:rPr>
        <w:t>new funding schemes in Samoa that are</w:t>
      </w:r>
      <w:r>
        <w:rPr>
          <w:rFonts w:cstheme="minorHAnsi"/>
        </w:rPr>
        <w:t xml:space="preserve"> not well known.</w:t>
      </w:r>
      <w:r w:rsidR="00B2289C">
        <w:rPr>
          <w:rFonts w:cstheme="minorHAnsi"/>
        </w:rPr>
        <w:t xml:space="preserve">  The challenge is </w:t>
      </w:r>
      <w:proofErr w:type="gramStart"/>
      <w:r w:rsidR="00B2289C">
        <w:rPr>
          <w:rFonts w:cstheme="minorHAnsi"/>
        </w:rPr>
        <w:t xml:space="preserve">also </w:t>
      </w:r>
      <w:r w:rsidR="00D973E9">
        <w:rPr>
          <w:rFonts w:cstheme="minorHAnsi"/>
        </w:rPr>
        <w:t xml:space="preserve"> to</w:t>
      </w:r>
      <w:proofErr w:type="gramEnd"/>
      <w:r w:rsidR="00D973E9">
        <w:rPr>
          <w:rFonts w:cstheme="minorHAnsi"/>
        </w:rPr>
        <w:t xml:space="preserve"> work with the different schemes in a coordinated way that will benefit and not frustrate applicants.</w:t>
      </w:r>
      <w:r w:rsidR="00221C02">
        <w:rPr>
          <w:rFonts w:cstheme="minorHAnsi"/>
        </w:rPr>
        <w:t xml:space="preserve"> There is only one other small grants scheme funding mechanism that is outside CSSP and the government is </w:t>
      </w:r>
      <w:proofErr w:type="spellStart"/>
      <w:r w:rsidR="00221C02">
        <w:rPr>
          <w:rFonts w:cstheme="minorHAnsi"/>
        </w:rPr>
        <w:t>enoucraging</w:t>
      </w:r>
      <w:proofErr w:type="spellEnd"/>
      <w:r w:rsidR="00221C02">
        <w:rPr>
          <w:rFonts w:cstheme="minorHAnsi"/>
        </w:rPr>
        <w:t xml:space="preserve"> its integration into the CSSP.</w:t>
      </w:r>
    </w:p>
    <w:p w:rsidR="005918A0" w:rsidRPr="0074374B" w:rsidRDefault="005918A0" w:rsidP="00A54F50">
      <w:pPr>
        <w:numPr>
          <w:ilvl w:val="0"/>
          <w:numId w:val="31"/>
        </w:numPr>
        <w:spacing w:before="120" w:after="120" w:line="240" w:lineRule="auto"/>
        <w:rPr>
          <w:rFonts w:cstheme="minorHAnsi"/>
          <w:i/>
        </w:rPr>
      </w:pPr>
      <w:r w:rsidRPr="0074374B">
        <w:rPr>
          <w:rFonts w:cstheme="minorHAnsi"/>
          <w:i/>
        </w:rPr>
        <w:t>Finances</w:t>
      </w:r>
      <w:r w:rsidR="008243A6" w:rsidRPr="0074374B">
        <w:rPr>
          <w:rFonts w:cstheme="minorHAnsi"/>
          <w:i/>
        </w:rPr>
        <w:t>:</w:t>
      </w:r>
    </w:p>
    <w:p w:rsidR="008243A6" w:rsidRDefault="00A11058" w:rsidP="00A54F50">
      <w:pPr>
        <w:numPr>
          <w:ilvl w:val="1"/>
          <w:numId w:val="31"/>
        </w:numPr>
        <w:spacing w:before="120" w:after="120" w:line="240" w:lineRule="auto"/>
        <w:rPr>
          <w:rFonts w:cstheme="minorHAnsi"/>
        </w:rPr>
      </w:pPr>
      <w:r>
        <w:rPr>
          <w:rFonts w:cstheme="minorHAnsi"/>
        </w:rPr>
        <w:t xml:space="preserve">The steep learning curve </w:t>
      </w:r>
      <w:r w:rsidR="0008197E">
        <w:rPr>
          <w:rFonts w:cstheme="minorHAnsi"/>
        </w:rPr>
        <w:t xml:space="preserve">is levelling off around understanding the donors expectations, financial </w:t>
      </w:r>
      <w:proofErr w:type="gramStart"/>
      <w:r w:rsidR="0008197E">
        <w:rPr>
          <w:rFonts w:cstheme="minorHAnsi"/>
        </w:rPr>
        <w:t>processes ,</w:t>
      </w:r>
      <w:proofErr w:type="gramEnd"/>
      <w:r w:rsidR="0008197E">
        <w:rPr>
          <w:rFonts w:cstheme="minorHAnsi"/>
        </w:rPr>
        <w:t xml:space="preserve"> </w:t>
      </w:r>
      <w:r>
        <w:rPr>
          <w:rFonts w:cstheme="minorHAnsi"/>
        </w:rPr>
        <w:t>procedures</w:t>
      </w:r>
      <w:r w:rsidR="0008197E">
        <w:rPr>
          <w:rFonts w:cstheme="minorHAnsi"/>
        </w:rPr>
        <w:t xml:space="preserve"> and time period for approvals </w:t>
      </w:r>
      <w:r>
        <w:rPr>
          <w:rFonts w:cstheme="minorHAnsi"/>
        </w:rPr>
        <w:t xml:space="preserve">.  The challenge for </w:t>
      </w:r>
      <w:r w:rsidR="0008197E">
        <w:rPr>
          <w:rFonts w:cstheme="minorHAnsi"/>
        </w:rPr>
        <w:t>CSSP now is producing timely reports and seeking approvals for budget revisions well in advance of expenditures.</w:t>
      </w:r>
      <w:r w:rsidR="00221C02">
        <w:rPr>
          <w:rFonts w:cstheme="minorHAnsi"/>
        </w:rPr>
        <w:t xml:space="preserve"> This is a project management </w:t>
      </w:r>
      <w:proofErr w:type="gramStart"/>
      <w:r w:rsidR="00221C02">
        <w:rPr>
          <w:rFonts w:cstheme="minorHAnsi"/>
        </w:rPr>
        <w:t>skill  which</w:t>
      </w:r>
      <w:proofErr w:type="gramEnd"/>
      <w:r w:rsidR="00221C02">
        <w:rPr>
          <w:rFonts w:cstheme="minorHAnsi"/>
        </w:rPr>
        <w:t xml:space="preserve"> needs to be learnt if not already inherent in staff’s skills pool.</w:t>
      </w:r>
    </w:p>
    <w:p w:rsidR="008243A6" w:rsidRPr="00221C02" w:rsidRDefault="0008197E" w:rsidP="00A54F50">
      <w:pPr>
        <w:numPr>
          <w:ilvl w:val="1"/>
          <w:numId w:val="31"/>
        </w:numPr>
        <w:spacing w:before="120" w:after="120" w:line="240" w:lineRule="auto"/>
        <w:rPr>
          <w:rFonts w:cstheme="minorHAnsi"/>
        </w:rPr>
      </w:pPr>
      <w:r>
        <w:rPr>
          <w:rFonts w:cstheme="minorHAnsi"/>
        </w:rPr>
        <w:t xml:space="preserve">Delays in the audit can be </w:t>
      </w:r>
      <w:r w:rsidR="00221C02">
        <w:rPr>
          <w:rFonts w:cstheme="minorHAnsi"/>
        </w:rPr>
        <w:t xml:space="preserve">avoided </w:t>
      </w:r>
      <w:proofErr w:type="spellStart"/>
      <w:r w:rsidR="00221C02">
        <w:rPr>
          <w:rFonts w:cstheme="minorHAnsi"/>
        </w:rPr>
        <w:t>thrugh</w:t>
      </w:r>
      <w:proofErr w:type="spellEnd"/>
      <w:r w:rsidR="00221C02">
        <w:rPr>
          <w:rFonts w:cstheme="minorHAnsi"/>
        </w:rPr>
        <w:t xml:space="preserve"> the submission of an audit schedule to </w:t>
      </w:r>
      <w:proofErr w:type="spellStart"/>
      <w:r w:rsidR="00221C02">
        <w:rPr>
          <w:rFonts w:cstheme="minorHAnsi"/>
        </w:rPr>
        <w:t>MoF</w:t>
      </w:r>
      <w:proofErr w:type="spellEnd"/>
      <w:r w:rsidR="00221C02">
        <w:rPr>
          <w:rFonts w:cstheme="minorHAnsi"/>
        </w:rPr>
        <w:t xml:space="preserve"> at the start of each financial year.  </w:t>
      </w:r>
      <w:r w:rsidRPr="00221C02">
        <w:rPr>
          <w:rFonts w:cstheme="minorHAnsi"/>
        </w:rPr>
        <w:t xml:space="preserve">Delays in applicant expenditures on a project may delay the transfer of funds to CSSP for other CSSP CSO initiatives.  The PMU is encouraging approved applicants to </w:t>
      </w:r>
      <w:r w:rsidR="00221C02">
        <w:rPr>
          <w:rFonts w:cstheme="minorHAnsi"/>
        </w:rPr>
        <w:t xml:space="preserve">adhere to their </w:t>
      </w:r>
      <w:r w:rsidR="00221C02">
        <w:rPr>
          <w:rFonts w:cstheme="minorHAnsi"/>
        </w:rPr>
        <w:lastRenderedPageBreak/>
        <w:t>work program schedules</w:t>
      </w:r>
      <w:r w:rsidR="0074374B" w:rsidRPr="00221C02">
        <w:rPr>
          <w:rFonts w:cstheme="minorHAnsi"/>
        </w:rPr>
        <w:t xml:space="preserve">.  Delayed progress reports from applicants can further </w:t>
      </w:r>
      <w:proofErr w:type="gramStart"/>
      <w:r w:rsidR="0074374B" w:rsidRPr="00221C02">
        <w:rPr>
          <w:rFonts w:cstheme="minorHAnsi"/>
        </w:rPr>
        <w:t>delay  their</w:t>
      </w:r>
      <w:proofErr w:type="gramEnd"/>
      <w:r w:rsidR="0074374B" w:rsidRPr="00221C02">
        <w:rPr>
          <w:rFonts w:cstheme="minorHAnsi"/>
        </w:rPr>
        <w:t xml:space="preserve"> final 20% payment.  </w:t>
      </w:r>
    </w:p>
    <w:p w:rsidR="0074374B" w:rsidRPr="00221C02" w:rsidRDefault="005918A0" w:rsidP="00A54F50">
      <w:pPr>
        <w:numPr>
          <w:ilvl w:val="0"/>
          <w:numId w:val="31"/>
        </w:numPr>
        <w:spacing w:before="120" w:after="120" w:line="240" w:lineRule="auto"/>
        <w:rPr>
          <w:rFonts w:cstheme="minorHAnsi"/>
          <w:i/>
        </w:rPr>
      </w:pPr>
      <w:r w:rsidRPr="00221C02">
        <w:rPr>
          <w:rFonts w:cstheme="minorHAnsi"/>
          <w:i/>
        </w:rPr>
        <w:t>Sustainability</w:t>
      </w:r>
    </w:p>
    <w:p w:rsidR="00A11058" w:rsidRDefault="00A11058" w:rsidP="00A54F50">
      <w:pPr>
        <w:numPr>
          <w:ilvl w:val="1"/>
          <w:numId w:val="31"/>
        </w:numPr>
        <w:spacing w:before="120" w:after="120" w:line="240" w:lineRule="auto"/>
        <w:rPr>
          <w:rFonts w:cstheme="minorHAnsi"/>
        </w:rPr>
      </w:pPr>
      <w:r w:rsidRPr="00221C02">
        <w:rPr>
          <w:rFonts w:cstheme="minorHAnsi"/>
        </w:rPr>
        <w:t>Monitoring and Evaluation (M&amp;E) – CSSP has begun to report against its targets in its revised Monitoring and Evaluation framework.  However, because most CSSP funded ci</w:t>
      </w:r>
      <w:r>
        <w:rPr>
          <w:rFonts w:cstheme="minorHAnsi"/>
        </w:rPr>
        <w:t xml:space="preserve">vil society projects are still in various stages of implementation it is not able yet to assess the impact or outcomes of its programme.  The End of Project Reviews and the </w:t>
      </w:r>
      <w:r w:rsidR="00B3009F">
        <w:rPr>
          <w:rFonts w:cstheme="minorHAnsi"/>
        </w:rPr>
        <w:t xml:space="preserve">resulting </w:t>
      </w:r>
      <w:r>
        <w:rPr>
          <w:rFonts w:cstheme="minorHAnsi"/>
        </w:rPr>
        <w:t>applicant score is the best tool</w:t>
      </w:r>
      <w:r w:rsidR="00B3009F">
        <w:rPr>
          <w:rFonts w:cstheme="minorHAnsi"/>
        </w:rPr>
        <w:t xml:space="preserve"> to date</w:t>
      </w:r>
      <w:r>
        <w:rPr>
          <w:rFonts w:cstheme="minorHAnsi"/>
        </w:rPr>
        <w:t xml:space="preserve"> to assess how successful a project has been implemented and its likelihood for </w:t>
      </w:r>
      <w:r w:rsidR="0074374B">
        <w:rPr>
          <w:rFonts w:cstheme="minorHAnsi"/>
        </w:rPr>
        <w:t xml:space="preserve">on-going </w:t>
      </w:r>
      <w:r>
        <w:rPr>
          <w:rFonts w:cstheme="minorHAnsi"/>
        </w:rPr>
        <w:t>sustainability.  An external CSSP review will be done in the latter part of the year which will provide additional information.</w:t>
      </w:r>
    </w:p>
    <w:p w:rsidR="00FE6415" w:rsidRDefault="00FE6415" w:rsidP="00A54F50">
      <w:pPr>
        <w:numPr>
          <w:ilvl w:val="1"/>
          <w:numId w:val="31"/>
        </w:numPr>
        <w:spacing w:before="120" w:after="120" w:line="240" w:lineRule="auto"/>
        <w:rPr>
          <w:rFonts w:cstheme="minorHAnsi"/>
        </w:rPr>
      </w:pPr>
      <w:r>
        <w:rPr>
          <w:rFonts w:cstheme="minorHAnsi"/>
        </w:rPr>
        <w:t xml:space="preserve">NGO sustainability – Support has been provided NGOs for programmes and operations.  The issue for NGOs is the inability to hold on good staff </w:t>
      </w:r>
      <w:r w:rsidR="00221C02">
        <w:rPr>
          <w:rFonts w:cstheme="minorHAnsi"/>
        </w:rPr>
        <w:t xml:space="preserve">in the absence </w:t>
      </w:r>
      <w:proofErr w:type="gramStart"/>
      <w:r w:rsidR="00221C02">
        <w:rPr>
          <w:rFonts w:cstheme="minorHAnsi"/>
        </w:rPr>
        <w:t xml:space="preserve">of  </w:t>
      </w:r>
      <w:r>
        <w:rPr>
          <w:rFonts w:cstheme="minorHAnsi"/>
        </w:rPr>
        <w:t>a</w:t>
      </w:r>
      <w:proofErr w:type="gramEnd"/>
      <w:r>
        <w:rPr>
          <w:rFonts w:cstheme="minorHAnsi"/>
        </w:rPr>
        <w:t xml:space="preserve"> guarantee of funding beyond one year. </w:t>
      </w:r>
      <w:r w:rsidR="00B604B9">
        <w:rPr>
          <w:rFonts w:cstheme="minorHAnsi"/>
        </w:rPr>
        <w:t xml:space="preserve">The challenge for NGOs, SUNGO and CSSP is to build on-going sustainability with NGOs through a </w:t>
      </w:r>
      <w:proofErr w:type="spellStart"/>
      <w:r w:rsidR="00B604B9">
        <w:rPr>
          <w:rFonts w:cstheme="minorHAnsi"/>
        </w:rPr>
        <w:t>well considered</w:t>
      </w:r>
      <w:proofErr w:type="spellEnd"/>
      <w:r w:rsidR="00B604B9">
        <w:rPr>
          <w:rFonts w:cstheme="minorHAnsi"/>
        </w:rPr>
        <w:t xml:space="preserve"> strategy of diversified funding base, multi-year contracts and strengthened organisations. </w:t>
      </w:r>
    </w:p>
    <w:p w:rsidR="00B604B9" w:rsidRPr="00FE6415" w:rsidRDefault="00B604B9" w:rsidP="00A54F50">
      <w:pPr>
        <w:numPr>
          <w:ilvl w:val="1"/>
          <w:numId w:val="31"/>
        </w:numPr>
        <w:spacing w:before="120" w:after="120" w:line="240" w:lineRule="auto"/>
        <w:rPr>
          <w:rFonts w:cstheme="minorHAnsi"/>
        </w:rPr>
      </w:pPr>
      <w:r>
        <w:rPr>
          <w:rFonts w:cstheme="minorHAnsi"/>
        </w:rPr>
        <w:t xml:space="preserve">SUNGO capacity building – SUNGO’s role in advocacy and CSO capacity building is critical to CSSP especially in the area of CSO governance and management.  The challenge will be </w:t>
      </w:r>
      <w:r w:rsidR="007C7CB3">
        <w:rPr>
          <w:rFonts w:cstheme="minorHAnsi"/>
        </w:rPr>
        <w:t>to provide SUNGO with a multi-year contract to enable it to plan its activities more than a few months (or weeks) in advance.</w:t>
      </w:r>
    </w:p>
    <w:p w:rsidR="008F5A5C" w:rsidRDefault="005918A0" w:rsidP="00A54F50">
      <w:pPr>
        <w:numPr>
          <w:ilvl w:val="0"/>
          <w:numId w:val="31"/>
        </w:numPr>
        <w:spacing w:before="120" w:after="120" w:line="240" w:lineRule="auto"/>
        <w:rPr>
          <w:rFonts w:cstheme="minorHAnsi"/>
        </w:rPr>
      </w:pPr>
      <w:r w:rsidRPr="004017EA">
        <w:rPr>
          <w:rFonts w:cstheme="minorHAnsi"/>
          <w:i/>
        </w:rPr>
        <w:t>Gender Equality</w:t>
      </w:r>
      <w:r w:rsidR="007C7CB3">
        <w:rPr>
          <w:rFonts w:cstheme="minorHAnsi"/>
          <w:i/>
        </w:rPr>
        <w:t>-</w:t>
      </w:r>
      <w:r w:rsidR="008F5A5C" w:rsidRPr="00C04ED7">
        <w:rPr>
          <w:rFonts w:cstheme="minorHAnsi"/>
        </w:rPr>
        <w:t xml:space="preserve">Almost one third of all CSSP projects </w:t>
      </w:r>
      <w:proofErr w:type="gramStart"/>
      <w:r w:rsidR="008F5A5C" w:rsidRPr="00C04ED7">
        <w:rPr>
          <w:rFonts w:cstheme="minorHAnsi"/>
        </w:rPr>
        <w:t>were</w:t>
      </w:r>
      <w:proofErr w:type="gramEnd"/>
      <w:r w:rsidR="008F5A5C" w:rsidRPr="00C04ED7">
        <w:rPr>
          <w:rFonts w:cstheme="minorHAnsi"/>
        </w:rPr>
        <w:t xml:space="preserve"> from applicant women</w:t>
      </w:r>
      <w:r w:rsidR="00F53C56">
        <w:rPr>
          <w:rFonts w:cstheme="minorHAnsi"/>
        </w:rPr>
        <w:t>’s</w:t>
      </w:r>
      <w:r w:rsidR="008F5A5C" w:rsidRPr="00C04ED7">
        <w:rPr>
          <w:rFonts w:cstheme="minorHAnsi"/>
        </w:rPr>
        <w:t xml:space="preserve"> organisations</w:t>
      </w:r>
      <w:r w:rsidR="00F53C56">
        <w:rPr>
          <w:rFonts w:cstheme="minorHAnsi"/>
        </w:rPr>
        <w:t>.</w:t>
      </w:r>
      <w:r w:rsidR="008F5A5C" w:rsidRPr="00C04ED7">
        <w:rPr>
          <w:rFonts w:cstheme="minorHAnsi"/>
        </w:rPr>
        <w:t xml:space="preserve">).  </w:t>
      </w:r>
      <w:r w:rsidR="00F53C56">
        <w:rPr>
          <w:rFonts w:cstheme="minorHAnsi"/>
        </w:rPr>
        <w:t>Nearly 58%</w:t>
      </w:r>
      <w:r w:rsidR="008F5A5C" w:rsidRPr="00C04ED7">
        <w:rPr>
          <w:rFonts w:cstheme="minorHAnsi"/>
        </w:rPr>
        <w:t>) had a mix of males and females in their membership a</w:t>
      </w:r>
      <w:r w:rsidR="005870F0">
        <w:rPr>
          <w:rFonts w:cstheme="minorHAnsi"/>
        </w:rPr>
        <w:t xml:space="preserve">nd executive </w:t>
      </w:r>
      <w:proofErr w:type="gramStart"/>
      <w:r w:rsidR="005870F0">
        <w:rPr>
          <w:rFonts w:cstheme="minorHAnsi"/>
        </w:rPr>
        <w:t xml:space="preserve">committees </w:t>
      </w:r>
      <w:r w:rsidR="008F5A5C" w:rsidRPr="00C04ED7">
        <w:rPr>
          <w:rFonts w:cstheme="minorHAnsi"/>
        </w:rPr>
        <w:t>.</w:t>
      </w:r>
      <w:proofErr w:type="gramEnd"/>
      <w:r w:rsidR="008F5A5C" w:rsidRPr="00C04ED7">
        <w:rPr>
          <w:rFonts w:cstheme="minorHAnsi"/>
        </w:rPr>
        <w:t xml:space="preserve"> </w:t>
      </w:r>
      <w:r w:rsidR="00F53C56">
        <w:rPr>
          <w:rFonts w:cstheme="minorHAnsi"/>
        </w:rPr>
        <w:t>Less than 10</w:t>
      </w:r>
      <w:proofErr w:type="gramStart"/>
      <w:r w:rsidR="00F53C56">
        <w:rPr>
          <w:rFonts w:cstheme="minorHAnsi"/>
        </w:rPr>
        <w:t>%</w:t>
      </w:r>
      <w:r w:rsidR="008F5A5C" w:rsidRPr="00C04ED7">
        <w:rPr>
          <w:rFonts w:cstheme="minorHAnsi"/>
        </w:rPr>
        <w:t xml:space="preserve"> </w:t>
      </w:r>
      <w:r w:rsidR="00F53C56">
        <w:rPr>
          <w:rFonts w:cstheme="minorHAnsi"/>
        </w:rPr>
        <w:t xml:space="preserve"> had</w:t>
      </w:r>
      <w:proofErr w:type="gramEnd"/>
      <w:r w:rsidR="00F53C56">
        <w:rPr>
          <w:rFonts w:cstheme="minorHAnsi"/>
        </w:rPr>
        <w:t xml:space="preserve"> a males only membership. </w:t>
      </w:r>
      <w:r w:rsidR="008F5A5C" w:rsidRPr="00C04ED7">
        <w:rPr>
          <w:rFonts w:cstheme="minorHAnsi"/>
        </w:rPr>
        <w:t xml:space="preserve">Women and girls are well represented as beneficiaries and in </w:t>
      </w:r>
      <w:proofErr w:type="gramStart"/>
      <w:r w:rsidR="008F5A5C" w:rsidRPr="00C04ED7">
        <w:rPr>
          <w:rFonts w:cstheme="minorHAnsi"/>
        </w:rPr>
        <w:t>a governance</w:t>
      </w:r>
      <w:proofErr w:type="gramEnd"/>
      <w:r w:rsidR="008F5A5C" w:rsidRPr="00C04ED7">
        <w:rPr>
          <w:rFonts w:cstheme="minorHAnsi"/>
        </w:rPr>
        <w:t xml:space="preserve"> capacity in CSSP approved projects.</w:t>
      </w:r>
      <w:r w:rsidR="00C04ED7">
        <w:rPr>
          <w:rFonts w:cstheme="minorHAnsi"/>
        </w:rPr>
        <w:t xml:space="preserve">  </w:t>
      </w:r>
    </w:p>
    <w:p w:rsidR="009568A3" w:rsidRDefault="009568A3" w:rsidP="009568A3">
      <w:pPr>
        <w:spacing w:before="120" w:after="120" w:line="240" w:lineRule="auto"/>
        <w:ind w:left="720"/>
        <w:rPr>
          <w:rFonts w:cstheme="minorHAnsi"/>
        </w:rPr>
      </w:pPr>
      <w:r>
        <w:rPr>
          <w:rFonts w:cstheme="minorHAnsi"/>
        </w:rPr>
        <w:t xml:space="preserve">Issues of gender equity have to do with ensuring more youth groups apply (both males and females).  A Samoa National Youth Council has recently been established with support from the Ministry of Women and the Pacific Leadership Development Programme. </w:t>
      </w:r>
      <w:r w:rsidR="00B3009F">
        <w:rPr>
          <w:rFonts w:cstheme="minorHAnsi"/>
        </w:rPr>
        <w:t xml:space="preserve"> CSSP has provided the SNYC some</w:t>
      </w:r>
      <w:r>
        <w:rPr>
          <w:rFonts w:cstheme="minorHAnsi"/>
        </w:rPr>
        <w:t xml:space="preserve"> awarene</w:t>
      </w:r>
      <w:r w:rsidR="00B3009F">
        <w:rPr>
          <w:rFonts w:cstheme="minorHAnsi"/>
        </w:rPr>
        <w:t>ss of CSSP funding and it is expected</w:t>
      </w:r>
      <w:r>
        <w:rPr>
          <w:rFonts w:cstheme="minorHAnsi"/>
        </w:rPr>
        <w:t xml:space="preserve"> that through SNYC, more projects will be forthcoming from youth in the </w:t>
      </w:r>
      <w:proofErr w:type="gramStart"/>
      <w:r>
        <w:rPr>
          <w:rFonts w:cstheme="minorHAnsi"/>
        </w:rPr>
        <w:t>future .</w:t>
      </w:r>
      <w:proofErr w:type="gramEnd"/>
      <w:r>
        <w:rPr>
          <w:rFonts w:cstheme="minorHAnsi"/>
        </w:rPr>
        <w:t xml:space="preserve">  </w:t>
      </w:r>
    </w:p>
    <w:p w:rsidR="008F5A5C" w:rsidRDefault="009568A3" w:rsidP="00D12A72">
      <w:pPr>
        <w:spacing w:before="120" w:after="120" w:line="240" w:lineRule="auto"/>
        <w:ind w:left="720"/>
        <w:rPr>
          <w:rFonts w:cstheme="minorHAnsi"/>
        </w:rPr>
      </w:pPr>
      <w:r>
        <w:rPr>
          <w:rFonts w:cstheme="minorHAnsi"/>
        </w:rPr>
        <w:t xml:space="preserve">The challenge for CSSP will be to encourage applicants to </w:t>
      </w:r>
      <w:r w:rsidR="00D12A72">
        <w:rPr>
          <w:rFonts w:cstheme="minorHAnsi"/>
        </w:rPr>
        <w:t xml:space="preserve">complete the beneficiary </w:t>
      </w:r>
      <w:r>
        <w:rPr>
          <w:rFonts w:cstheme="minorHAnsi"/>
        </w:rPr>
        <w:t>checklist</w:t>
      </w:r>
      <w:r w:rsidR="00D12A72">
        <w:rPr>
          <w:rFonts w:cstheme="minorHAnsi"/>
        </w:rPr>
        <w:t xml:space="preserve"> (gender disaggregated)</w:t>
      </w:r>
      <w:r>
        <w:rPr>
          <w:rFonts w:cstheme="minorHAnsi"/>
        </w:rPr>
        <w:t xml:space="preserve"> in the application form to facilitate tracking and monitoring projects by gender.</w:t>
      </w:r>
    </w:p>
    <w:p w:rsidR="00853164" w:rsidRPr="00A7294B" w:rsidRDefault="00853164" w:rsidP="009568A3">
      <w:pPr>
        <w:spacing w:before="120" w:after="120" w:line="240" w:lineRule="auto"/>
        <w:ind w:left="720"/>
        <w:rPr>
          <w:rFonts w:cstheme="minorHAnsi"/>
          <w:b/>
        </w:rPr>
      </w:pPr>
      <w:r w:rsidRPr="00A7294B">
        <w:rPr>
          <w:rFonts w:cstheme="minorHAnsi"/>
          <w:b/>
        </w:rPr>
        <w:t>RISK MANAGEMENT FRAMEWORK</w:t>
      </w:r>
    </w:p>
    <w:p w:rsidR="008243A6" w:rsidRPr="00853164" w:rsidRDefault="009568A3" w:rsidP="008243A6">
      <w:pPr>
        <w:ind w:left="720"/>
        <w:contextualSpacing/>
        <w:jc w:val="both"/>
        <w:rPr>
          <w:rFonts w:cstheme="minorHAnsi"/>
          <w:i/>
        </w:rPr>
      </w:pPr>
      <w:r w:rsidRPr="00853164">
        <w:rPr>
          <w:rFonts w:cstheme="minorHAnsi"/>
          <w:i/>
        </w:rPr>
        <w:t>The CSSP Steering Committee</w:t>
      </w:r>
      <w:r w:rsidR="00340364" w:rsidRPr="00853164">
        <w:rPr>
          <w:rFonts w:cstheme="minorHAnsi"/>
          <w:i/>
        </w:rPr>
        <w:t xml:space="preserve"> (SC)</w:t>
      </w:r>
      <w:r w:rsidRPr="00853164">
        <w:rPr>
          <w:rFonts w:cstheme="minorHAnsi"/>
          <w:i/>
        </w:rPr>
        <w:t xml:space="preserve"> met 14 and 15 of August 2012 to review and approve the </w:t>
      </w:r>
      <w:r w:rsidR="008243A6" w:rsidRPr="00853164">
        <w:rPr>
          <w:rFonts w:cstheme="minorHAnsi"/>
          <w:i/>
        </w:rPr>
        <w:t>Risk Management Framework</w:t>
      </w:r>
      <w:r w:rsidR="00340364" w:rsidRPr="00853164">
        <w:rPr>
          <w:rFonts w:cstheme="minorHAnsi"/>
          <w:i/>
        </w:rPr>
        <w:t>.  The key changes to the Framework were.</w:t>
      </w:r>
    </w:p>
    <w:p w:rsidR="008243A6" w:rsidRPr="00853164" w:rsidRDefault="00340364" w:rsidP="00A54F50">
      <w:pPr>
        <w:pStyle w:val="ListParagraph"/>
        <w:numPr>
          <w:ilvl w:val="0"/>
          <w:numId w:val="37"/>
        </w:numPr>
        <w:jc w:val="both"/>
        <w:rPr>
          <w:rFonts w:cstheme="minorHAnsi"/>
          <w:b/>
        </w:rPr>
      </w:pPr>
      <w:r w:rsidRPr="00853164">
        <w:rPr>
          <w:rFonts w:cstheme="minorHAnsi"/>
        </w:rPr>
        <w:t>High staff turnover – Recommendation to engage</w:t>
      </w:r>
      <w:r w:rsidR="008243A6" w:rsidRPr="00853164">
        <w:rPr>
          <w:rFonts w:cstheme="minorHAnsi"/>
        </w:rPr>
        <w:t xml:space="preserve"> a workforce consultant to review the situation </w:t>
      </w:r>
      <w:r w:rsidRPr="00853164">
        <w:rPr>
          <w:rFonts w:cstheme="minorHAnsi"/>
        </w:rPr>
        <w:t xml:space="preserve">of a high staff turnover </w:t>
      </w:r>
      <w:r w:rsidR="00292504">
        <w:rPr>
          <w:rFonts w:cstheme="minorHAnsi"/>
        </w:rPr>
        <w:t>and assist in putting in place</w:t>
      </w:r>
      <w:r w:rsidR="008243A6" w:rsidRPr="00853164">
        <w:rPr>
          <w:rFonts w:cstheme="minorHAnsi"/>
        </w:rPr>
        <w:t xml:space="preserve"> strategies to improve retention.  </w:t>
      </w:r>
    </w:p>
    <w:p w:rsidR="008243A6" w:rsidRPr="00853164" w:rsidRDefault="008243A6" w:rsidP="00A54F50">
      <w:pPr>
        <w:pStyle w:val="ListParagraph"/>
        <w:numPr>
          <w:ilvl w:val="0"/>
          <w:numId w:val="37"/>
        </w:numPr>
        <w:jc w:val="both"/>
        <w:rPr>
          <w:rFonts w:cstheme="minorHAnsi"/>
          <w:b/>
        </w:rPr>
      </w:pPr>
      <w:r w:rsidRPr="00853164">
        <w:rPr>
          <w:rFonts w:cstheme="minorHAnsi"/>
        </w:rPr>
        <w:t xml:space="preserve">Recommendation to take out Risk 13.2 </w:t>
      </w:r>
      <w:r w:rsidR="009568A3" w:rsidRPr="00853164">
        <w:rPr>
          <w:rFonts w:cstheme="minorHAnsi"/>
        </w:rPr>
        <w:t xml:space="preserve">(Risk of funding diversion due to Disasters) </w:t>
      </w:r>
      <w:r w:rsidRPr="00853164">
        <w:rPr>
          <w:rFonts w:cstheme="minorHAnsi"/>
        </w:rPr>
        <w:t>as it was not seen as a real risk by the SC.</w:t>
      </w:r>
    </w:p>
    <w:p w:rsidR="008243A6" w:rsidRPr="00853164" w:rsidRDefault="008243A6" w:rsidP="00A54F50">
      <w:pPr>
        <w:pStyle w:val="ListParagraph"/>
        <w:numPr>
          <w:ilvl w:val="0"/>
          <w:numId w:val="37"/>
        </w:numPr>
        <w:jc w:val="both"/>
        <w:rPr>
          <w:rFonts w:cstheme="minorHAnsi"/>
          <w:b/>
        </w:rPr>
      </w:pPr>
      <w:r w:rsidRPr="00853164">
        <w:rPr>
          <w:rFonts w:cstheme="minorHAnsi"/>
        </w:rPr>
        <w:t>Recommend to add one mo</w:t>
      </w:r>
      <w:r w:rsidR="00340364" w:rsidRPr="00853164">
        <w:rPr>
          <w:rFonts w:cstheme="minorHAnsi"/>
        </w:rPr>
        <w:t xml:space="preserve">re risk with respect to high </w:t>
      </w:r>
      <w:proofErr w:type="gramStart"/>
      <w:r w:rsidR="00F53C56">
        <w:rPr>
          <w:rFonts w:cstheme="minorHAnsi"/>
        </w:rPr>
        <w:t>NGO</w:t>
      </w:r>
      <w:r w:rsidRPr="00853164">
        <w:rPr>
          <w:rFonts w:cstheme="minorHAnsi"/>
        </w:rPr>
        <w:t xml:space="preserve">  Board</w:t>
      </w:r>
      <w:proofErr w:type="gramEnd"/>
      <w:r w:rsidRPr="00853164">
        <w:rPr>
          <w:rFonts w:cstheme="minorHAnsi"/>
        </w:rPr>
        <w:t xml:space="preserve"> turnover:  That </w:t>
      </w:r>
      <w:r w:rsidR="00F53C56">
        <w:rPr>
          <w:rFonts w:cstheme="minorHAnsi"/>
        </w:rPr>
        <w:t>NGO</w:t>
      </w:r>
      <w:r w:rsidR="00F53C56" w:rsidRPr="00853164">
        <w:rPr>
          <w:rFonts w:cstheme="minorHAnsi"/>
        </w:rPr>
        <w:t xml:space="preserve"> </w:t>
      </w:r>
      <w:r w:rsidRPr="00853164">
        <w:rPr>
          <w:rFonts w:cstheme="minorHAnsi"/>
        </w:rPr>
        <w:t>training be centred around Governance and Management and rolled out on a regular basis as a strategy to address risk.</w:t>
      </w:r>
    </w:p>
    <w:p w:rsidR="008E6F83" w:rsidRPr="00F51AB9" w:rsidRDefault="00340364" w:rsidP="00A54F50">
      <w:pPr>
        <w:pStyle w:val="ListParagraph"/>
        <w:numPr>
          <w:ilvl w:val="0"/>
          <w:numId w:val="37"/>
        </w:numPr>
        <w:jc w:val="both"/>
        <w:rPr>
          <w:rFonts w:cstheme="minorHAnsi"/>
          <w:b/>
        </w:rPr>
      </w:pPr>
      <w:r w:rsidRPr="00853164">
        <w:rPr>
          <w:rFonts w:cstheme="minorHAnsi"/>
        </w:rPr>
        <w:t xml:space="preserve">Visibility:  </w:t>
      </w:r>
      <w:r w:rsidR="008243A6" w:rsidRPr="00853164">
        <w:rPr>
          <w:rFonts w:cstheme="minorHAnsi"/>
        </w:rPr>
        <w:t>CSSP to draft a visibility strategy for review and approval by the SC.</w:t>
      </w:r>
      <w:r w:rsidRPr="00853164">
        <w:rPr>
          <w:rFonts w:cstheme="minorHAnsi"/>
        </w:rPr>
        <w:t xml:space="preserve"> It should i</w:t>
      </w:r>
      <w:r w:rsidR="008243A6" w:rsidRPr="00853164">
        <w:rPr>
          <w:rFonts w:cstheme="minorHAnsi"/>
        </w:rPr>
        <w:t>nclude a brief report on visibility in the six monthly reports to</w:t>
      </w:r>
      <w:r w:rsidRPr="00853164">
        <w:rPr>
          <w:rFonts w:cstheme="minorHAnsi"/>
        </w:rPr>
        <w:t xml:space="preserve"> the funding partners.</w:t>
      </w:r>
    </w:p>
    <w:p w:rsidR="000B656B" w:rsidRPr="00C91ADE" w:rsidRDefault="008E6F83" w:rsidP="00C91ADE">
      <w:pPr>
        <w:pStyle w:val="Heading2"/>
        <w:rPr>
          <w:rFonts w:asciiTheme="minorHAnsi" w:hAnsiTheme="minorHAnsi" w:cstheme="minorHAnsi"/>
          <w:sz w:val="28"/>
        </w:rPr>
      </w:pPr>
      <w:r>
        <w:rPr>
          <w:rFonts w:asciiTheme="minorHAnsi" w:hAnsiTheme="minorHAnsi" w:cstheme="minorHAnsi"/>
          <w:sz w:val="28"/>
          <w:szCs w:val="28"/>
        </w:rPr>
        <w:t>WORKPLAN (Next six months)</w:t>
      </w:r>
      <w:r w:rsidRPr="004017EA">
        <w:rPr>
          <w:rFonts w:asciiTheme="minorHAnsi" w:hAnsiTheme="minorHAnsi" w:cstheme="minorHAnsi"/>
        </w:rPr>
        <w:t xml:space="preserve"> </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
        <w:gridCol w:w="2813"/>
        <w:gridCol w:w="661"/>
        <w:gridCol w:w="632"/>
        <w:gridCol w:w="392"/>
        <w:gridCol w:w="462"/>
        <w:gridCol w:w="661"/>
        <w:gridCol w:w="433"/>
        <w:gridCol w:w="4177"/>
      </w:tblGrid>
      <w:tr w:rsidR="006C400C" w:rsidRPr="004017EA" w:rsidTr="006628F1">
        <w:trPr>
          <w:trHeight w:val="567"/>
        </w:trPr>
        <w:tc>
          <w:tcPr>
            <w:tcW w:w="0" w:type="auto"/>
            <w:shd w:val="clear" w:color="auto" w:fill="BFBFBF" w:themeFill="background1" w:themeFillShade="BF"/>
          </w:tcPr>
          <w:p w:rsidR="008E6F83" w:rsidRPr="004017EA" w:rsidRDefault="008E6F83" w:rsidP="008E6F83">
            <w:pPr>
              <w:rPr>
                <w:rFonts w:cstheme="minorHAnsi"/>
                <w:b/>
                <w:bCs/>
                <w:sz w:val="16"/>
                <w:szCs w:val="16"/>
              </w:rPr>
            </w:pPr>
            <w:r w:rsidRPr="004017EA">
              <w:rPr>
                <w:rFonts w:cstheme="minorHAnsi"/>
                <w:b/>
                <w:bCs/>
                <w:sz w:val="16"/>
                <w:szCs w:val="16"/>
              </w:rPr>
              <w:t>No.</w:t>
            </w:r>
          </w:p>
          <w:p w:rsidR="008E6F83" w:rsidRPr="004017EA" w:rsidRDefault="008E6F83" w:rsidP="008E6F83">
            <w:pPr>
              <w:rPr>
                <w:rFonts w:cstheme="minorHAnsi"/>
                <w:b/>
                <w:bCs/>
                <w:sz w:val="16"/>
                <w:szCs w:val="16"/>
              </w:rPr>
            </w:pPr>
          </w:p>
        </w:tc>
        <w:tc>
          <w:tcPr>
            <w:tcW w:w="0" w:type="auto"/>
            <w:shd w:val="clear" w:color="auto" w:fill="BFBFBF" w:themeFill="background1" w:themeFillShade="BF"/>
          </w:tcPr>
          <w:p w:rsidR="008E6F83" w:rsidRPr="004017EA" w:rsidRDefault="008E6F83" w:rsidP="008E6F83">
            <w:pPr>
              <w:rPr>
                <w:rFonts w:cstheme="minorHAnsi"/>
                <w:b/>
                <w:bCs/>
                <w:sz w:val="16"/>
                <w:szCs w:val="16"/>
                <w:lang w:val="en-US"/>
              </w:rPr>
            </w:pPr>
            <w:r w:rsidRPr="004017EA">
              <w:rPr>
                <w:rFonts w:cstheme="minorHAnsi"/>
                <w:b/>
                <w:bCs/>
                <w:sz w:val="16"/>
                <w:szCs w:val="16"/>
                <w:lang w:val="en-US"/>
              </w:rPr>
              <w:t>Activity Description</w:t>
            </w:r>
          </w:p>
          <w:p w:rsidR="008E6F83" w:rsidRPr="004017EA" w:rsidRDefault="008E6F83" w:rsidP="008E6F83">
            <w:pPr>
              <w:rPr>
                <w:rFonts w:cstheme="minorHAnsi"/>
                <w:b/>
                <w:bCs/>
                <w:sz w:val="16"/>
                <w:szCs w:val="16"/>
                <w:lang w:val="en-US"/>
              </w:rPr>
            </w:pPr>
            <w:r w:rsidRPr="004017EA">
              <w:rPr>
                <w:rFonts w:cstheme="minorHAnsi"/>
                <w:bCs/>
                <w:sz w:val="16"/>
                <w:szCs w:val="16"/>
                <w:lang w:val="en-US"/>
              </w:rPr>
              <w:t xml:space="preserve">[x -workshop; </w:t>
            </w:r>
            <w:proofErr w:type="spellStart"/>
            <w:r w:rsidRPr="004017EA">
              <w:rPr>
                <w:rFonts w:cstheme="minorHAnsi"/>
                <w:bCs/>
                <w:sz w:val="16"/>
                <w:szCs w:val="16"/>
                <w:lang w:val="en-US"/>
              </w:rPr>
              <w:t>CfP</w:t>
            </w:r>
            <w:proofErr w:type="spellEnd"/>
            <w:r w:rsidRPr="004017EA">
              <w:rPr>
                <w:rFonts w:cstheme="minorHAnsi"/>
                <w:bCs/>
                <w:sz w:val="16"/>
                <w:szCs w:val="16"/>
                <w:lang w:val="en-US"/>
              </w:rPr>
              <w:t>-Call for Proposals;  DL- deadline; Dec- decision; R-Reports</w:t>
            </w:r>
            <w:r w:rsidRPr="004017EA">
              <w:rPr>
                <w:rFonts w:cstheme="minorHAnsi"/>
                <w:b/>
                <w:bCs/>
                <w:sz w:val="16"/>
                <w:szCs w:val="16"/>
                <w:lang w:val="en-US"/>
              </w:rPr>
              <w:t>]</w:t>
            </w:r>
          </w:p>
        </w:tc>
        <w:tc>
          <w:tcPr>
            <w:tcW w:w="0" w:type="auto"/>
            <w:shd w:val="clear" w:color="auto" w:fill="BFBFBF" w:themeFill="background1" w:themeFillShade="BF"/>
          </w:tcPr>
          <w:p w:rsidR="008E6F83" w:rsidRPr="004017EA" w:rsidRDefault="008E6F83" w:rsidP="008E6F83">
            <w:pPr>
              <w:jc w:val="both"/>
              <w:rPr>
                <w:rFonts w:cstheme="minorHAnsi"/>
                <w:b/>
                <w:bCs/>
                <w:sz w:val="16"/>
                <w:szCs w:val="16"/>
              </w:rPr>
            </w:pPr>
            <w:r w:rsidRPr="004017EA">
              <w:rPr>
                <w:rFonts w:cstheme="minorHAnsi"/>
                <w:b/>
                <w:bCs/>
                <w:sz w:val="16"/>
                <w:szCs w:val="16"/>
              </w:rPr>
              <w:t>2</w:t>
            </w:r>
          </w:p>
          <w:p w:rsidR="008E6F83" w:rsidRPr="004017EA" w:rsidRDefault="008E6F83" w:rsidP="008E6F83">
            <w:pPr>
              <w:jc w:val="both"/>
              <w:rPr>
                <w:rFonts w:cstheme="minorHAnsi"/>
                <w:b/>
                <w:bCs/>
                <w:sz w:val="16"/>
                <w:szCs w:val="16"/>
              </w:rPr>
            </w:pPr>
            <w:r w:rsidRPr="004017EA">
              <w:rPr>
                <w:rFonts w:cstheme="minorHAnsi"/>
                <w:b/>
                <w:bCs/>
                <w:sz w:val="16"/>
                <w:szCs w:val="16"/>
              </w:rPr>
              <w:t>Aug</w:t>
            </w:r>
          </w:p>
        </w:tc>
        <w:tc>
          <w:tcPr>
            <w:tcW w:w="0" w:type="auto"/>
            <w:shd w:val="clear" w:color="auto" w:fill="BFBFBF" w:themeFill="background1" w:themeFillShade="BF"/>
          </w:tcPr>
          <w:p w:rsidR="008E6F83" w:rsidRPr="004017EA" w:rsidRDefault="008E6F83" w:rsidP="008E6F83">
            <w:pPr>
              <w:jc w:val="both"/>
              <w:rPr>
                <w:rFonts w:cstheme="minorHAnsi"/>
                <w:b/>
                <w:bCs/>
                <w:sz w:val="16"/>
                <w:szCs w:val="16"/>
              </w:rPr>
            </w:pPr>
            <w:r w:rsidRPr="004017EA">
              <w:rPr>
                <w:rFonts w:cstheme="minorHAnsi"/>
                <w:b/>
                <w:bCs/>
                <w:sz w:val="16"/>
                <w:szCs w:val="16"/>
              </w:rPr>
              <w:t>3</w:t>
            </w:r>
          </w:p>
          <w:p w:rsidR="008E6F83" w:rsidRPr="004017EA" w:rsidRDefault="008E6F83" w:rsidP="008E6F83">
            <w:pPr>
              <w:jc w:val="both"/>
              <w:rPr>
                <w:rFonts w:cstheme="minorHAnsi"/>
                <w:b/>
                <w:bCs/>
                <w:sz w:val="16"/>
                <w:szCs w:val="16"/>
              </w:rPr>
            </w:pPr>
            <w:r w:rsidRPr="004017EA">
              <w:rPr>
                <w:rFonts w:cstheme="minorHAnsi"/>
                <w:b/>
                <w:bCs/>
                <w:sz w:val="16"/>
                <w:szCs w:val="16"/>
              </w:rPr>
              <w:t>Sep</w:t>
            </w:r>
          </w:p>
        </w:tc>
        <w:tc>
          <w:tcPr>
            <w:tcW w:w="0" w:type="auto"/>
            <w:shd w:val="clear" w:color="auto" w:fill="BFBFBF" w:themeFill="background1" w:themeFillShade="BF"/>
          </w:tcPr>
          <w:p w:rsidR="008E6F83" w:rsidRPr="004017EA" w:rsidRDefault="008E6F83" w:rsidP="008E6F83">
            <w:pPr>
              <w:jc w:val="both"/>
              <w:rPr>
                <w:rFonts w:cstheme="minorHAnsi"/>
                <w:b/>
                <w:bCs/>
                <w:sz w:val="16"/>
                <w:szCs w:val="16"/>
              </w:rPr>
            </w:pPr>
            <w:r w:rsidRPr="004017EA">
              <w:rPr>
                <w:rFonts w:cstheme="minorHAnsi"/>
                <w:b/>
                <w:bCs/>
                <w:sz w:val="16"/>
                <w:szCs w:val="16"/>
              </w:rPr>
              <w:t>4</w:t>
            </w:r>
          </w:p>
          <w:p w:rsidR="008E6F83" w:rsidRPr="004017EA" w:rsidRDefault="008E6F83" w:rsidP="008E6F83">
            <w:pPr>
              <w:jc w:val="both"/>
              <w:rPr>
                <w:rFonts w:cstheme="minorHAnsi"/>
                <w:b/>
                <w:bCs/>
                <w:sz w:val="16"/>
                <w:szCs w:val="16"/>
              </w:rPr>
            </w:pPr>
            <w:proofErr w:type="spellStart"/>
            <w:r w:rsidRPr="004017EA">
              <w:rPr>
                <w:rFonts w:cstheme="minorHAnsi"/>
                <w:b/>
                <w:bCs/>
                <w:sz w:val="16"/>
                <w:szCs w:val="16"/>
              </w:rPr>
              <w:t>Oc</w:t>
            </w:r>
            <w:proofErr w:type="spellEnd"/>
          </w:p>
        </w:tc>
        <w:tc>
          <w:tcPr>
            <w:tcW w:w="0" w:type="auto"/>
            <w:shd w:val="clear" w:color="auto" w:fill="BFBFBF" w:themeFill="background1" w:themeFillShade="BF"/>
          </w:tcPr>
          <w:p w:rsidR="008E6F83" w:rsidRPr="004017EA" w:rsidRDefault="008E6F83" w:rsidP="008E6F83">
            <w:pPr>
              <w:jc w:val="both"/>
              <w:rPr>
                <w:rFonts w:cstheme="minorHAnsi"/>
                <w:b/>
                <w:bCs/>
                <w:sz w:val="16"/>
                <w:szCs w:val="16"/>
              </w:rPr>
            </w:pPr>
            <w:r w:rsidRPr="004017EA">
              <w:rPr>
                <w:rFonts w:cstheme="minorHAnsi"/>
                <w:b/>
                <w:bCs/>
                <w:sz w:val="16"/>
                <w:szCs w:val="16"/>
              </w:rPr>
              <w:t>5</w:t>
            </w:r>
          </w:p>
          <w:p w:rsidR="008E6F83" w:rsidRPr="004017EA" w:rsidRDefault="008E6F83" w:rsidP="008E6F83">
            <w:pPr>
              <w:jc w:val="both"/>
              <w:rPr>
                <w:rFonts w:cstheme="minorHAnsi"/>
                <w:b/>
                <w:bCs/>
                <w:sz w:val="16"/>
                <w:szCs w:val="16"/>
              </w:rPr>
            </w:pPr>
            <w:r w:rsidRPr="004017EA">
              <w:rPr>
                <w:rFonts w:cstheme="minorHAnsi"/>
                <w:b/>
                <w:bCs/>
                <w:sz w:val="16"/>
                <w:szCs w:val="16"/>
              </w:rPr>
              <w:t>No</w:t>
            </w:r>
          </w:p>
        </w:tc>
        <w:tc>
          <w:tcPr>
            <w:tcW w:w="0" w:type="auto"/>
            <w:shd w:val="clear" w:color="auto" w:fill="BFBFBF" w:themeFill="background1" w:themeFillShade="BF"/>
          </w:tcPr>
          <w:p w:rsidR="008E6F83" w:rsidRPr="004017EA" w:rsidRDefault="008E6F83" w:rsidP="008E6F83">
            <w:pPr>
              <w:jc w:val="both"/>
              <w:rPr>
                <w:rFonts w:cstheme="minorHAnsi"/>
                <w:b/>
                <w:bCs/>
                <w:sz w:val="16"/>
                <w:szCs w:val="16"/>
                <w:lang w:val="en-US"/>
              </w:rPr>
            </w:pPr>
            <w:r w:rsidRPr="004017EA">
              <w:rPr>
                <w:rFonts w:cstheme="minorHAnsi"/>
                <w:b/>
                <w:bCs/>
                <w:sz w:val="16"/>
                <w:szCs w:val="16"/>
                <w:lang w:val="en-US"/>
              </w:rPr>
              <w:t>6</w:t>
            </w:r>
          </w:p>
          <w:p w:rsidR="008E6F83" w:rsidRPr="004017EA" w:rsidRDefault="008E6F83" w:rsidP="008E6F83">
            <w:pPr>
              <w:jc w:val="both"/>
              <w:rPr>
                <w:rFonts w:cstheme="minorHAnsi"/>
                <w:b/>
                <w:bCs/>
                <w:sz w:val="16"/>
                <w:szCs w:val="16"/>
              </w:rPr>
            </w:pPr>
            <w:r w:rsidRPr="004017EA">
              <w:rPr>
                <w:rFonts w:cstheme="minorHAnsi"/>
                <w:b/>
                <w:bCs/>
                <w:sz w:val="16"/>
                <w:szCs w:val="16"/>
                <w:lang w:val="en-US"/>
              </w:rPr>
              <w:t>De</w:t>
            </w:r>
          </w:p>
        </w:tc>
        <w:tc>
          <w:tcPr>
            <w:tcW w:w="0" w:type="auto"/>
            <w:shd w:val="clear" w:color="auto" w:fill="BFBFBF" w:themeFill="background1" w:themeFillShade="BF"/>
          </w:tcPr>
          <w:p w:rsidR="008E6F83" w:rsidRPr="004017EA" w:rsidRDefault="008E6F83" w:rsidP="008E6F83">
            <w:pPr>
              <w:jc w:val="both"/>
              <w:rPr>
                <w:rFonts w:cstheme="minorHAnsi"/>
                <w:b/>
                <w:bCs/>
                <w:sz w:val="16"/>
                <w:szCs w:val="16"/>
                <w:lang w:val="en-US"/>
              </w:rPr>
            </w:pPr>
            <w:r w:rsidRPr="004017EA">
              <w:rPr>
                <w:rFonts w:cstheme="minorHAnsi"/>
                <w:b/>
                <w:bCs/>
                <w:sz w:val="16"/>
                <w:szCs w:val="16"/>
                <w:lang w:val="en-US"/>
              </w:rPr>
              <w:t>7</w:t>
            </w:r>
          </w:p>
          <w:p w:rsidR="008E6F83" w:rsidRPr="004017EA" w:rsidRDefault="008E6F83" w:rsidP="008E6F83">
            <w:pPr>
              <w:jc w:val="both"/>
              <w:rPr>
                <w:rFonts w:cstheme="minorHAnsi"/>
                <w:b/>
                <w:bCs/>
                <w:sz w:val="16"/>
                <w:szCs w:val="16"/>
                <w:lang w:val="en-US"/>
              </w:rPr>
            </w:pPr>
            <w:proofErr w:type="spellStart"/>
            <w:r w:rsidRPr="004017EA">
              <w:rPr>
                <w:rFonts w:cstheme="minorHAnsi"/>
                <w:b/>
                <w:bCs/>
                <w:sz w:val="16"/>
                <w:szCs w:val="16"/>
                <w:lang w:val="en-US"/>
              </w:rPr>
              <w:t>Ja</w:t>
            </w:r>
            <w:proofErr w:type="spellEnd"/>
          </w:p>
        </w:tc>
        <w:tc>
          <w:tcPr>
            <w:tcW w:w="0" w:type="auto"/>
            <w:shd w:val="clear" w:color="auto" w:fill="BFBFBF" w:themeFill="background1" w:themeFillShade="BF"/>
          </w:tcPr>
          <w:p w:rsidR="008E6F83" w:rsidRPr="004017EA" w:rsidRDefault="008E6F83" w:rsidP="008E6F83">
            <w:pPr>
              <w:tabs>
                <w:tab w:val="left" w:pos="1812"/>
              </w:tabs>
              <w:jc w:val="both"/>
              <w:rPr>
                <w:rFonts w:cstheme="minorHAnsi"/>
                <w:b/>
                <w:bCs/>
                <w:sz w:val="16"/>
                <w:szCs w:val="16"/>
                <w:lang w:val="en-US"/>
              </w:rPr>
            </w:pPr>
            <w:r w:rsidRPr="004017EA">
              <w:rPr>
                <w:rFonts w:cstheme="minorHAnsi"/>
                <w:b/>
                <w:bCs/>
                <w:sz w:val="16"/>
                <w:szCs w:val="16"/>
                <w:lang w:val="en-US"/>
              </w:rPr>
              <w:t>Comments</w:t>
            </w:r>
          </w:p>
          <w:p w:rsidR="008E6F83" w:rsidRPr="004017EA" w:rsidRDefault="008E6F83" w:rsidP="008E6F83">
            <w:pPr>
              <w:tabs>
                <w:tab w:val="left" w:pos="1812"/>
              </w:tabs>
              <w:jc w:val="both"/>
              <w:rPr>
                <w:rFonts w:cstheme="minorHAnsi"/>
                <w:b/>
                <w:bCs/>
                <w:sz w:val="16"/>
                <w:szCs w:val="16"/>
                <w:lang w:val="en-US"/>
              </w:rPr>
            </w:pPr>
          </w:p>
        </w:tc>
      </w:tr>
      <w:tr w:rsidR="008E6F83" w:rsidRPr="004017EA" w:rsidTr="006628F1">
        <w:trPr>
          <w:trHeight w:val="521"/>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lastRenderedPageBreak/>
              <w:t>1</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 xml:space="preserve">Cat 1 Call for Proposals x 1 each year </w:t>
            </w:r>
          </w:p>
        </w:tc>
        <w:tc>
          <w:tcPr>
            <w:tcW w:w="0" w:type="auto"/>
            <w:shd w:val="clear" w:color="auto" w:fill="C6D9F1" w:themeFill="text2" w:themeFillTint="33"/>
          </w:tcPr>
          <w:p w:rsidR="008E6F83" w:rsidRPr="004017EA" w:rsidRDefault="008E6F83" w:rsidP="008E6F83">
            <w:pPr>
              <w:rPr>
                <w:rFonts w:cstheme="minorHAnsi"/>
                <w:sz w:val="16"/>
                <w:szCs w:val="16"/>
              </w:rPr>
            </w:pPr>
            <w:proofErr w:type="spellStart"/>
            <w:r w:rsidRPr="004017EA">
              <w:rPr>
                <w:rFonts w:cstheme="minorHAnsi"/>
                <w:sz w:val="16"/>
                <w:szCs w:val="16"/>
              </w:rPr>
              <w:t>CfP</w:t>
            </w:r>
            <w:proofErr w:type="spellEnd"/>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r w:rsidRPr="004017EA">
              <w:rPr>
                <w:rFonts w:cstheme="minorHAnsi"/>
                <w:sz w:val="16"/>
                <w:szCs w:val="16"/>
              </w:rPr>
              <w:t>DL</w:t>
            </w:r>
          </w:p>
        </w:tc>
        <w:tc>
          <w:tcPr>
            <w:tcW w:w="0" w:type="auto"/>
            <w:shd w:val="clear" w:color="auto" w:fill="C6D9F1" w:themeFill="text2" w:themeFillTint="33"/>
          </w:tcPr>
          <w:p w:rsidR="008E6F83" w:rsidRPr="004017EA" w:rsidRDefault="008E6F83" w:rsidP="008E6F83">
            <w:pPr>
              <w:rPr>
                <w:rFonts w:cstheme="minorHAnsi"/>
                <w:sz w:val="16"/>
                <w:szCs w:val="16"/>
              </w:rPr>
            </w:pPr>
            <w:r w:rsidRPr="004017EA">
              <w:rPr>
                <w:rFonts w:cstheme="minorHAnsi"/>
                <w:sz w:val="16"/>
                <w:szCs w:val="16"/>
              </w:rPr>
              <w:t>Dec</w:t>
            </w: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auto"/>
          </w:tcPr>
          <w:p w:rsidR="008E6F83" w:rsidRPr="004017EA" w:rsidRDefault="008E6F83" w:rsidP="008E6F83">
            <w:pPr>
              <w:rPr>
                <w:rFonts w:cstheme="minorHAnsi"/>
                <w:sz w:val="16"/>
                <w:szCs w:val="16"/>
              </w:rPr>
            </w:pPr>
          </w:p>
        </w:tc>
        <w:tc>
          <w:tcPr>
            <w:tcW w:w="0" w:type="auto"/>
          </w:tcPr>
          <w:p w:rsidR="008E6F83" w:rsidRPr="004017EA" w:rsidRDefault="008E6F83" w:rsidP="008E6F83">
            <w:pPr>
              <w:jc w:val="both"/>
              <w:rPr>
                <w:rFonts w:cstheme="minorHAnsi"/>
                <w:sz w:val="16"/>
                <w:szCs w:val="16"/>
                <w:lang w:val="en-US"/>
              </w:rPr>
            </w:pPr>
            <w:r w:rsidRPr="004017EA">
              <w:rPr>
                <w:rFonts w:cstheme="minorHAnsi"/>
                <w:sz w:val="16"/>
                <w:szCs w:val="16"/>
                <w:lang w:val="en-US"/>
              </w:rPr>
              <w:t xml:space="preserve">Applicants complete General Application Form. Decision (Dec) w/in 8 </w:t>
            </w:r>
            <w:proofErr w:type="spellStart"/>
            <w:r w:rsidRPr="004017EA">
              <w:rPr>
                <w:rFonts w:cstheme="minorHAnsi"/>
                <w:sz w:val="16"/>
                <w:szCs w:val="16"/>
                <w:lang w:val="en-US"/>
              </w:rPr>
              <w:t>wks</w:t>
            </w:r>
            <w:proofErr w:type="spellEnd"/>
            <w:r w:rsidRPr="004017EA">
              <w:rPr>
                <w:rFonts w:cstheme="minorHAnsi"/>
                <w:sz w:val="16"/>
                <w:szCs w:val="16"/>
                <w:lang w:val="en-US"/>
              </w:rPr>
              <w:t xml:space="preserve"> (end of November 2012)</w:t>
            </w:r>
          </w:p>
        </w:tc>
      </w:tr>
      <w:tr w:rsidR="008E6F83" w:rsidRPr="004017EA" w:rsidTr="006628F1">
        <w:tblPrEx>
          <w:tblLook w:val="01E0" w:firstRow="1" w:lastRow="1" w:firstColumn="1" w:lastColumn="1" w:noHBand="0" w:noVBand="0"/>
        </w:tblPrEx>
        <w:trPr>
          <w:trHeight w:val="715"/>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2</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Cat 2 Call for Proposals x 1 each year</w:t>
            </w:r>
          </w:p>
        </w:tc>
        <w:tc>
          <w:tcPr>
            <w:tcW w:w="0" w:type="auto"/>
            <w:shd w:val="clear" w:color="auto" w:fill="auto"/>
          </w:tcPr>
          <w:p w:rsidR="008E6F83" w:rsidRPr="004017EA" w:rsidRDefault="008E6F83" w:rsidP="008E6F83">
            <w:pPr>
              <w:rPr>
                <w:rFonts w:cstheme="minorHAnsi"/>
                <w:sz w:val="16"/>
                <w:szCs w:val="16"/>
              </w:rPr>
            </w:pPr>
          </w:p>
        </w:tc>
        <w:tc>
          <w:tcPr>
            <w:tcW w:w="0" w:type="auto"/>
            <w:shd w:val="clear" w:color="auto" w:fill="auto"/>
          </w:tcPr>
          <w:p w:rsidR="008E6F83" w:rsidRPr="004017EA" w:rsidRDefault="008E6F83" w:rsidP="008E6F83">
            <w:pPr>
              <w:rPr>
                <w:rFonts w:cstheme="minorHAnsi"/>
                <w:sz w:val="16"/>
                <w:szCs w:val="16"/>
              </w:rPr>
            </w:pPr>
          </w:p>
        </w:tc>
        <w:tc>
          <w:tcPr>
            <w:tcW w:w="0" w:type="auto"/>
            <w:shd w:val="clear" w:color="auto" w:fill="auto"/>
          </w:tcPr>
          <w:p w:rsidR="008E6F83" w:rsidRPr="004017EA" w:rsidRDefault="008E6F83" w:rsidP="008E6F83">
            <w:pPr>
              <w:rPr>
                <w:rFonts w:cstheme="minorHAnsi"/>
                <w:sz w:val="16"/>
                <w:szCs w:val="16"/>
              </w:rPr>
            </w:pPr>
          </w:p>
        </w:tc>
        <w:tc>
          <w:tcPr>
            <w:tcW w:w="0" w:type="auto"/>
          </w:tcPr>
          <w:p w:rsidR="008E6F83" w:rsidRPr="004017EA" w:rsidRDefault="008E6F83" w:rsidP="008E6F83">
            <w:pPr>
              <w:rPr>
                <w:rFonts w:cstheme="minorHAnsi"/>
                <w:sz w:val="16"/>
                <w:szCs w:val="16"/>
              </w:rPr>
            </w:pPr>
          </w:p>
        </w:tc>
        <w:tc>
          <w:tcPr>
            <w:tcW w:w="0" w:type="auto"/>
            <w:shd w:val="clear" w:color="auto" w:fill="auto"/>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roofErr w:type="spellStart"/>
            <w:r w:rsidRPr="004017EA">
              <w:rPr>
                <w:rFonts w:cstheme="minorHAnsi"/>
                <w:sz w:val="16"/>
                <w:szCs w:val="16"/>
              </w:rPr>
              <w:t>CfP</w:t>
            </w:r>
            <w:proofErr w:type="spellEnd"/>
          </w:p>
        </w:tc>
        <w:tc>
          <w:tcPr>
            <w:tcW w:w="0" w:type="auto"/>
          </w:tcPr>
          <w:p w:rsidR="008E6F83" w:rsidRPr="004017EA" w:rsidRDefault="008E6F83" w:rsidP="008E6F83">
            <w:pPr>
              <w:jc w:val="both"/>
              <w:rPr>
                <w:rFonts w:cstheme="minorHAnsi"/>
                <w:sz w:val="16"/>
                <w:szCs w:val="16"/>
                <w:lang w:val="en-US"/>
              </w:rPr>
            </w:pPr>
            <w:r w:rsidRPr="004017EA">
              <w:rPr>
                <w:rFonts w:cstheme="minorHAnsi"/>
                <w:sz w:val="16"/>
                <w:szCs w:val="16"/>
                <w:lang w:val="en-US"/>
              </w:rPr>
              <w:t>Applicants complete General Application Form. Decision (Dec) w/in 8 wks. Only NGOs selected are invited to submit a 2</w:t>
            </w:r>
            <w:r w:rsidRPr="004017EA">
              <w:rPr>
                <w:rFonts w:cstheme="minorHAnsi"/>
                <w:sz w:val="16"/>
                <w:szCs w:val="16"/>
                <w:vertAlign w:val="superscript"/>
                <w:lang w:val="en-US"/>
              </w:rPr>
              <w:t>nd</w:t>
            </w:r>
            <w:r w:rsidRPr="004017EA">
              <w:rPr>
                <w:rFonts w:cstheme="minorHAnsi"/>
                <w:sz w:val="16"/>
                <w:szCs w:val="16"/>
                <w:lang w:val="en-US"/>
              </w:rPr>
              <w:t xml:space="preserve"> Form.</w:t>
            </w:r>
          </w:p>
        </w:tc>
      </w:tr>
      <w:tr w:rsidR="008E6F83" w:rsidRPr="004017EA" w:rsidTr="006628F1">
        <w:tblPrEx>
          <w:tblLook w:val="01E0" w:firstRow="1" w:lastRow="1" w:firstColumn="1" w:lastColumn="1" w:noHBand="0" w:noVBand="0"/>
        </w:tblPrEx>
        <w:trPr>
          <w:trHeight w:val="968"/>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3</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Cat 1 , 2 Applications workshops (Upolu/Savaii Islands) – Secure &amp; Select applicants</w:t>
            </w:r>
          </w:p>
        </w:tc>
        <w:tc>
          <w:tcPr>
            <w:tcW w:w="0" w:type="auto"/>
            <w:shd w:val="clear" w:color="auto" w:fill="C6D9F1" w:themeFill="text2" w:themeFillTint="33"/>
          </w:tcPr>
          <w:p w:rsidR="008E6F83" w:rsidRPr="004017EA" w:rsidRDefault="008E6F83" w:rsidP="008E6F83">
            <w:pPr>
              <w:rPr>
                <w:rFonts w:cstheme="minorHAnsi"/>
                <w:sz w:val="16"/>
                <w:szCs w:val="16"/>
              </w:rPr>
            </w:pPr>
            <w:r w:rsidRPr="004017EA">
              <w:rPr>
                <w:rFonts w:cstheme="minorHAnsi"/>
                <w:sz w:val="16"/>
                <w:szCs w:val="16"/>
              </w:rPr>
              <w:t>xx</w:t>
            </w:r>
          </w:p>
        </w:tc>
        <w:tc>
          <w:tcPr>
            <w:tcW w:w="0" w:type="auto"/>
            <w:shd w:val="clear" w:color="auto" w:fill="auto"/>
          </w:tcPr>
          <w:p w:rsidR="008E6F83" w:rsidRPr="004017EA" w:rsidRDefault="008E6F83" w:rsidP="008E6F83">
            <w:pPr>
              <w:rPr>
                <w:rFonts w:cstheme="minorHAnsi"/>
                <w:sz w:val="16"/>
                <w:szCs w:val="16"/>
              </w:rPr>
            </w:pPr>
          </w:p>
        </w:tc>
        <w:tc>
          <w:tcPr>
            <w:tcW w:w="0" w:type="auto"/>
            <w:shd w:val="clear" w:color="auto" w:fill="auto"/>
          </w:tcPr>
          <w:p w:rsidR="008E6F83" w:rsidRPr="004017EA" w:rsidRDefault="008E6F83" w:rsidP="008E6F83">
            <w:pPr>
              <w:rPr>
                <w:rFonts w:cstheme="minorHAnsi"/>
                <w:sz w:val="16"/>
                <w:szCs w:val="16"/>
              </w:rPr>
            </w:pPr>
          </w:p>
        </w:tc>
        <w:tc>
          <w:tcPr>
            <w:tcW w:w="0" w:type="auto"/>
          </w:tcPr>
          <w:p w:rsidR="008E6F83" w:rsidRPr="004017EA" w:rsidRDefault="008E6F83" w:rsidP="008E6F83">
            <w:pPr>
              <w:rPr>
                <w:rFonts w:cstheme="minorHAnsi"/>
                <w:sz w:val="16"/>
                <w:szCs w:val="16"/>
              </w:rPr>
            </w:pPr>
          </w:p>
        </w:tc>
        <w:tc>
          <w:tcPr>
            <w:tcW w:w="0" w:type="auto"/>
            <w:shd w:val="clear" w:color="auto" w:fill="auto"/>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tcPr>
          <w:p w:rsidR="008E6F83" w:rsidRPr="004017EA" w:rsidRDefault="008E6F83" w:rsidP="008E6F83">
            <w:pPr>
              <w:jc w:val="both"/>
              <w:rPr>
                <w:rFonts w:cstheme="minorHAnsi"/>
                <w:sz w:val="16"/>
                <w:szCs w:val="16"/>
                <w:lang w:val="en-US"/>
              </w:rPr>
            </w:pPr>
            <w:r w:rsidRPr="004017EA">
              <w:rPr>
                <w:rFonts w:cstheme="minorHAnsi"/>
                <w:sz w:val="16"/>
                <w:szCs w:val="16"/>
                <w:lang w:val="en-US"/>
              </w:rPr>
              <w:t xml:space="preserve">Project Officers conduct 4 public awareness for 400  people (150 </w:t>
            </w:r>
            <w:proofErr w:type="spellStart"/>
            <w:r w:rsidRPr="004017EA">
              <w:rPr>
                <w:rFonts w:cstheme="minorHAnsi"/>
                <w:sz w:val="16"/>
                <w:szCs w:val="16"/>
                <w:lang w:val="en-US"/>
              </w:rPr>
              <w:t>organisations</w:t>
            </w:r>
            <w:proofErr w:type="spellEnd"/>
            <w:r w:rsidRPr="004017EA">
              <w:rPr>
                <w:rFonts w:cstheme="minorHAnsi"/>
                <w:sz w:val="16"/>
                <w:szCs w:val="16"/>
                <w:lang w:val="en-US"/>
              </w:rPr>
              <w:t>/groups) and respond to « walk-in » individuals or groups or by e-mail (100  people)</w:t>
            </w:r>
          </w:p>
        </w:tc>
      </w:tr>
      <w:tr w:rsidR="008E6F83" w:rsidRPr="004017EA" w:rsidTr="006628F1">
        <w:tblPrEx>
          <w:tblLook w:val="01E0" w:firstRow="1" w:lastRow="1" w:firstColumn="1" w:lastColumn="1" w:noHBand="0" w:noVBand="0"/>
        </w:tblPrEx>
        <w:trPr>
          <w:trHeight w:val="45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4</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 xml:space="preserve">Cat 3 Call for Proposals 1x each year </w:t>
            </w:r>
          </w:p>
        </w:tc>
        <w:tc>
          <w:tcPr>
            <w:tcW w:w="0" w:type="auto"/>
            <w:shd w:val="clear" w:color="auto" w:fill="auto"/>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roofErr w:type="spellStart"/>
            <w:r w:rsidRPr="004017EA">
              <w:rPr>
                <w:rFonts w:cstheme="minorHAnsi"/>
                <w:sz w:val="16"/>
                <w:szCs w:val="16"/>
              </w:rPr>
              <w:t>CfP</w:t>
            </w:r>
            <w:proofErr w:type="spellEnd"/>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tcPr>
          <w:p w:rsidR="008E6F83" w:rsidRPr="004017EA" w:rsidRDefault="008E6F83" w:rsidP="008E6F83">
            <w:pPr>
              <w:jc w:val="both"/>
              <w:rPr>
                <w:rFonts w:cstheme="minorHAnsi"/>
                <w:sz w:val="16"/>
                <w:szCs w:val="16"/>
                <w:lang w:val="en-US"/>
              </w:rPr>
            </w:pPr>
            <w:r w:rsidRPr="004017EA">
              <w:rPr>
                <w:rFonts w:cstheme="minorHAnsi"/>
                <w:sz w:val="16"/>
                <w:szCs w:val="16"/>
                <w:lang w:val="en-US"/>
              </w:rPr>
              <w:t xml:space="preserve">Targeting NGOs with the capacity to complete EU application forms under EU Contracts and rules.  </w:t>
            </w:r>
          </w:p>
        </w:tc>
      </w:tr>
      <w:tr w:rsidR="008E6F83" w:rsidRPr="004017EA" w:rsidTr="006628F1">
        <w:tblPrEx>
          <w:tblLook w:val="01E0" w:firstRow="1" w:lastRow="1" w:firstColumn="1" w:lastColumn="1" w:noHBand="0" w:noVBand="0"/>
        </w:tblPrEx>
        <w:trPr>
          <w:trHeight w:val="45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5</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Cat 3 Applications workshops/mentoring</w:t>
            </w:r>
          </w:p>
        </w:tc>
        <w:tc>
          <w:tcPr>
            <w:tcW w:w="0" w:type="auto"/>
            <w:shd w:val="clear" w:color="auto" w:fill="auto"/>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r>
              <w:rPr>
                <w:rFonts w:cstheme="minorHAnsi"/>
                <w:sz w:val="16"/>
                <w:szCs w:val="16"/>
              </w:rPr>
              <w:t>xx</w:t>
            </w:r>
          </w:p>
        </w:tc>
        <w:tc>
          <w:tcPr>
            <w:tcW w:w="0" w:type="auto"/>
            <w:shd w:val="clear" w:color="auto" w:fill="C6D9F1" w:themeFill="text2" w:themeFillTint="33"/>
          </w:tcPr>
          <w:p w:rsidR="008E6F83" w:rsidRPr="004017EA" w:rsidRDefault="008E6F83" w:rsidP="008E6F83">
            <w:pPr>
              <w:rPr>
                <w:rFonts w:cstheme="minorHAnsi"/>
                <w:b/>
                <w:color w:val="7F7F7F"/>
                <w:sz w:val="16"/>
                <w:szCs w:val="16"/>
              </w:rPr>
            </w:pPr>
          </w:p>
        </w:tc>
        <w:tc>
          <w:tcPr>
            <w:tcW w:w="0" w:type="auto"/>
            <w:shd w:val="clear" w:color="auto" w:fill="C6D9F1" w:themeFill="text2" w:themeFillTint="33"/>
          </w:tcPr>
          <w:p w:rsidR="008E6F83" w:rsidRPr="004017EA" w:rsidRDefault="008E6F83" w:rsidP="008E6F83">
            <w:pPr>
              <w:rPr>
                <w:rFonts w:cstheme="minorHAnsi"/>
                <w:b/>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tcPr>
          <w:p w:rsidR="008E6F83" w:rsidRPr="004017EA" w:rsidRDefault="008E6F83" w:rsidP="008E6F83">
            <w:pPr>
              <w:jc w:val="both"/>
              <w:rPr>
                <w:rFonts w:cstheme="minorHAnsi"/>
                <w:sz w:val="16"/>
                <w:szCs w:val="16"/>
              </w:rPr>
            </w:pPr>
            <w:r w:rsidRPr="004017EA">
              <w:rPr>
                <w:rFonts w:cstheme="minorHAnsi"/>
                <w:sz w:val="16"/>
                <w:szCs w:val="16"/>
              </w:rPr>
              <w:t>Estimated 15 organisations applying for Category 3</w:t>
            </w:r>
          </w:p>
        </w:tc>
      </w:tr>
      <w:tr w:rsidR="008E6F83" w:rsidRPr="004017EA" w:rsidTr="006628F1">
        <w:tblPrEx>
          <w:tblLook w:val="01E0" w:firstRow="1" w:lastRow="1" w:firstColumn="1" w:lastColumn="1" w:noHBand="0" w:noVBand="0"/>
        </w:tblPrEx>
        <w:trPr>
          <w:trHeight w:val="45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6</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Assessment, Selection &amp; Funding Agreements for applicants (x</w:t>
            </w:r>
            <w:proofErr w:type="gramStart"/>
            <w:r w:rsidRPr="004017EA">
              <w:rPr>
                <w:rFonts w:cstheme="minorHAnsi"/>
                <w:sz w:val="16"/>
                <w:szCs w:val="16"/>
                <w:lang w:val="en-US"/>
              </w:rPr>
              <w:t>)  Payments</w:t>
            </w:r>
            <w:proofErr w:type="gramEnd"/>
            <w:r w:rsidRPr="004017EA">
              <w:rPr>
                <w:rFonts w:cstheme="minorHAnsi"/>
                <w:sz w:val="16"/>
                <w:szCs w:val="16"/>
                <w:lang w:val="en-US"/>
              </w:rPr>
              <w:t xml:space="preserve"> and  reports (on-going).</w:t>
            </w:r>
          </w:p>
        </w:tc>
        <w:tc>
          <w:tcPr>
            <w:tcW w:w="0" w:type="auto"/>
            <w:shd w:val="clear" w:color="auto" w:fill="auto"/>
          </w:tcPr>
          <w:p w:rsidR="008E6F83" w:rsidRPr="004017EA" w:rsidRDefault="008E6F83" w:rsidP="008E6F83">
            <w:pPr>
              <w:rPr>
                <w:rFonts w:cstheme="minorHAnsi"/>
                <w:sz w:val="16"/>
                <w:szCs w:val="16"/>
              </w:rPr>
            </w:pPr>
          </w:p>
        </w:tc>
        <w:tc>
          <w:tcPr>
            <w:tcW w:w="0" w:type="auto"/>
            <w:shd w:val="clear" w:color="auto" w:fill="auto"/>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tcPr>
          <w:p w:rsidR="008E6F83" w:rsidRPr="004017EA" w:rsidRDefault="008E6F83" w:rsidP="008E6F83">
            <w:pPr>
              <w:jc w:val="both"/>
              <w:rPr>
                <w:rFonts w:cstheme="minorHAnsi"/>
                <w:sz w:val="16"/>
                <w:szCs w:val="16"/>
              </w:rPr>
            </w:pPr>
            <w:r w:rsidRPr="004017EA">
              <w:rPr>
                <w:rFonts w:cstheme="minorHAnsi"/>
                <w:sz w:val="16"/>
                <w:szCs w:val="16"/>
                <w:lang w:val="en-US"/>
              </w:rPr>
              <w:t xml:space="preserve">PMU </w:t>
            </w:r>
            <w:proofErr w:type="gramStart"/>
            <w:r w:rsidRPr="004017EA">
              <w:rPr>
                <w:rFonts w:cstheme="minorHAnsi"/>
                <w:sz w:val="16"/>
                <w:szCs w:val="16"/>
                <w:lang w:val="en-US"/>
              </w:rPr>
              <w:t>staff ,</w:t>
            </w:r>
            <w:proofErr w:type="gramEnd"/>
            <w:r w:rsidRPr="004017EA">
              <w:rPr>
                <w:rFonts w:cstheme="minorHAnsi"/>
                <w:sz w:val="16"/>
                <w:szCs w:val="16"/>
                <w:lang w:val="en-US"/>
              </w:rPr>
              <w:t xml:space="preserve"> Steering </w:t>
            </w:r>
            <w:proofErr w:type="spellStart"/>
            <w:r w:rsidRPr="004017EA">
              <w:rPr>
                <w:rFonts w:cstheme="minorHAnsi"/>
                <w:sz w:val="16"/>
                <w:szCs w:val="16"/>
                <w:lang w:val="en-US"/>
              </w:rPr>
              <w:t>Cttee</w:t>
            </w:r>
            <w:proofErr w:type="spellEnd"/>
            <w:r w:rsidRPr="004017EA">
              <w:rPr>
                <w:rFonts w:cstheme="minorHAnsi"/>
                <w:sz w:val="16"/>
                <w:szCs w:val="16"/>
                <w:lang w:val="en-US"/>
              </w:rPr>
              <w:t xml:space="preserve">, Ministry of  Finance.  </w:t>
            </w:r>
            <w:r w:rsidRPr="004017EA">
              <w:rPr>
                <w:rFonts w:cstheme="minorHAnsi"/>
                <w:sz w:val="16"/>
                <w:szCs w:val="16"/>
              </w:rPr>
              <w:t xml:space="preserve">Estimated </w:t>
            </w:r>
            <w:proofErr w:type="gramStart"/>
            <w:r w:rsidRPr="004017EA">
              <w:rPr>
                <w:rFonts w:cstheme="minorHAnsi"/>
                <w:sz w:val="16"/>
                <w:szCs w:val="16"/>
              </w:rPr>
              <w:t>118  Funding</w:t>
            </w:r>
            <w:proofErr w:type="gramEnd"/>
            <w:r w:rsidRPr="004017EA">
              <w:rPr>
                <w:rFonts w:cstheme="minorHAnsi"/>
                <w:sz w:val="16"/>
                <w:szCs w:val="16"/>
              </w:rPr>
              <w:t xml:space="preserve"> Agreements (Category 1, 2 &amp; Category 3)</w:t>
            </w:r>
            <w:r>
              <w:rPr>
                <w:rFonts w:cstheme="minorHAnsi"/>
                <w:sz w:val="16"/>
                <w:szCs w:val="16"/>
              </w:rPr>
              <w:t xml:space="preserve"> by year end.  Estimated over 200 applicants will apply for Category 1 alone.</w:t>
            </w:r>
          </w:p>
        </w:tc>
      </w:tr>
      <w:tr w:rsidR="008E6F83" w:rsidRPr="004017EA" w:rsidTr="006628F1">
        <w:tblPrEx>
          <w:tblLook w:val="01E0" w:firstRow="1" w:lastRow="1" w:firstColumn="1" w:lastColumn="1" w:noHBand="0" w:noVBand="0"/>
        </w:tblPrEx>
        <w:trPr>
          <w:trHeight w:val="45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7</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Technical advice for applicants &amp; on applications.</w:t>
            </w:r>
          </w:p>
        </w:tc>
        <w:tc>
          <w:tcPr>
            <w:tcW w:w="0" w:type="auto"/>
            <w:shd w:val="clear" w:color="auto" w:fill="C6D9F1" w:themeFill="text2" w:themeFillTint="33"/>
          </w:tcPr>
          <w:p w:rsidR="008E6F83" w:rsidRPr="004017EA" w:rsidRDefault="00543DF1" w:rsidP="008E6F83">
            <w:pPr>
              <w:rPr>
                <w:rFonts w:cstheme="minorHAnsi"/>
                <w:sz w:val="16"/>
                <w:szCs w:val="16"/>
              </w:rPr>
            </w:pPr>
            <w:r>
              <w:rPr>
                <w:rFonts w:cstheme="minorHAnsi"/>
                <w:noProof/>
                <w:sz w:val="16"/>
                <w:szCs w:val="16"/>
              </w:rPr>
              <mc:AlternateContent>
                <mc:Choice Requires="wps">
                  <w:drawing>
                    <wp:anchor distT="0" distB="0" distL="114300" distR="114300" simplePos="0" relativeHeight="251670016" behindDoc="0" locked="0" layoutInCell="1" allowOverlap="1" wp14:anchorId="467F80D3" wp14:editId="247DEC21">
                      <wp:simplePos x="0" y="0"/>
                      <wp:positionH relativeFrom="column">
                        <wp:posOffset>48895</wp:posOffset>
                      </wp:positionH>
                      <wp:positionV relativeFrom="paragraph">
                        <wp:posOffset>130175</wp:posOffset>
                      </wp:positionV>
                      <wp:extent cx="2496820" cy="207010"/>
                      <wp:effectExtent l="0" t="0" r="17780" b="2159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207010"/>
                              </a:xfrm>
                              <a:prstGeom prst="rect">
                                <a:avLst/>
                              </a:prstGeom>
                              <a:solidFill>
                                <a:srgbClr val="FFFFFF"/>
                              </a:solidFill>
                              <a:ln w="9525">
                                <a:solidFill>
                                  <a:srgbClr val="000000"/>
                                </a:solidFill>
                                <a:miter lim="800000"/>
                                <a:headEnd/>
                                <a:tailEnd/>
                              </a:ln>
                            </wps:spPr>
                            <wps:txbx>
                              <w:txbxContent>
                                <w:p w:rsidR="00671B67" w:rsidRPr="00135E6F" w:rsidRDefault="00671B67" w:rsidP="008E6F83">
                                  <w:pPr>
                                    <w:spacing w:before="100" w:beforeAutospacing="1" w:after="100" w:afterAutospacing="1"/>
                                    <w:rPr>
                                      <w:sz w:val="16"/>
                                      <w:szCs w:val="16"/>
                                    </w:rPr>
                                  </w:pPr>
                                  <w:r>
                                    <w:rPr>
                                      <w:sz w:val="16"/>
                                      <w:szCs w:val="16"/>
                                    </w:rPr>
                                    <w:t>Technical support to applicants as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3.85pt;margin-top:10.25pt;width:196.6pt;height:1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">
                      <v:textbox>
                        <w:txbxContent>
                          <w:p w:rsidR="00671B67" w:rsidRPr="00135E6F" w:rsidRDefault="00671B67" w:rsidP="008E6F83">
                            <w:pPr>
                              <w:spacing w:before="100" w:beforeAutospacing="1" w:after="100" w:afterAutospacing="1"/>
                              <w:rPr>
                                <w:sz w:val="16"/>
                                <w:szCs w:val="16"/>
                              </w:rPr>
                            </w:pPr>
                            <w:r>
                              <w:rPr>
                                <w:sz w:val="16"/>
                                <w:szCs w:val="16"/>
                              </w:rPr>
                              <w:t>Technical support to applicants as needed</w:t>
                            </w:r>
                          </w:p>
                        </w:txbxContent>
                      </v:textbox>
                    </v:shape>
                  </w:pict>
                </mc:Fallback>
              </mc:AlternateContent>
            </w:r>
          </w:p>
        </w:tc>
        <w:tc>
          <w:tcPr>
            <w:tcW w:w="0" w:type="auto"/>
            <w:shd w:val="clear" w:color="auto" w:fill="C6D9F1" w:themeFill="text2" w:themeFillTint="33"/>
          </w:tcPr>
          <w:p w:rsidR="008E6F83" w:rsidRPr="004017EA" w:rsidRDefault="00543DF1" w:rsidP="008E6F83">
            <w:pPr>
              <w:rPr>
                <w:rFonts w:cstheme="minorHAnsi"/>
                <w:sz w:val="16"/>
                <w:szCs w:val="16"/>
              </w:rPr>
            </w:pPr>
            <w:r>
              <w:rPr>
                <w:rFonts w:cstheme="minorHAnsi"/>
                <w:noProof/>
                <w:sz w:val="16"/>
                <w:szCs w:val="16"/>
              </w:rPr>
              <mc:AlternateContent>
                <mc:Choice Requires="wps">
                  <w:drawing>
                    <wp:anchor distT="4294967295" distB="4294967295" distL="114300" distR="114300" simplePos="0" relativeHeight="251668992" behindDoc="0" locked="0" layoutInCell="1" allowOverlap="1" wp14:anchorId="0DD880CA" wp14:editId="45D16DD8">
                      <wp:simplePos x="0" y="0"/>
                      <wp:positionH relativeFrom="column">
                        <wp:posOffset>215265</wp:posOffset>
                      </wp:positionH>
                      <wp:positionV relativeFrom="paragraph">
                        <wp:posOffset>130174</wp:posOffset>
                      </wp:positionV>
                      <wp:extent cx="116840" cy="0"/>
                      <wp:effectExtent l="38100" t="76200" r="16510" b="9525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16.95pt;margin-top:10.25pt;width:9.2pt;height:0;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PZOwIAAGg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">
                      <v:stroke endarrow="block"/>
                    </v:shape>
                  </w:pict>
                </mc:Fallback>
              </mc:AlternateContent>
            </w: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color w:val="7F7F7F"/>
                <w:sz w:val="16"/>
                <w:szCs w:val="16"/>
              </w:rPr>
            </w:pPr>
          </w:p>
        </w:tc>
        <w:tc>
          <w:tcPr>
            <w:tcW w:w="0" w:type="auto"/>
            <w:shd w:val="clear" w:color="auto" w:fill="C6D9F1" w:themeFill="text2" w:themeFillTint="33"/>
          </w:tcPr>
          <w:p w:rsidR="008E6F83" w:rsidRPr="004017EA" w:rsidRDefault="008E6F83" w:rsidP="008E6F83">
            <w:pPr>
              <w:rPr>
                <w:rFonts w:cstheme="minorHAnsi"/>
                <w:color w:val="7F7F7F"/>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tcPr>
          <w:p w:rsidR="008E6F83" w:rsidRPr="004017EA" w:rsidRDefault="008E6F83" w:rsidP="008E6F83">
            <w:pPr>
              <w:jc w:val="both"/>
              <w:rPr>
                <w:rFonts w:cstheme="minorHAnsi"/>
                <w:sz w:val="16"/>
                <w:szCs w:val="16"/>
                <w:lang w:val="en-US"/>
              </w:rPr>
            </w:pPr>
            <w:r w:rsidRPr="004017EA">
              <w:rPr>
                <w:rFonts w:cstheme="minorHAnsi"/>
                <w:sz w:val="16"/>
                <w:szCs w:val="16"/>
                <w:lang w:val="en-US"/>
              </w:rPr>
              <w:t>Technical advice prior to and after approval of applicants on as needed basis.</w:t>
            </w:r>
          </w:p>
        </w:tc>
      </w:tr>
      <w:tr w:rsidR="008E6F83" w:rsidRPr="004017EA" w:rsidTr="006628F1">
        <w:tblPrEx>
          <w:tblLook w:val="01E0" w:firstRow="1" w:lastRow="1" w:firstColumn="1" w:lastColumn="1" w:noHBand="0" w:noVBand="0"/>
        </w:tblPrEx>
        <w:trPr>
          <w:trHeight w:val="101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8</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 xml:space="preserve">Network with sectors to identify &amp; assist on promising projects for funding, CBOs, and NGOs.  </w:t>
            </w:r>
          </w:p>
        </w:tc>
        <w:tc>
          <w:tcPr>
            <w:tcW w:w="0" w:type="auto"/>
            <w:shd w:val="clear" w:color="auto" w:fill="C6D9F1" w:themeFill="text2" w:themeFillTint="33"/>
          </w:tcPr>
          <w:p w:rsidR="008E6F83" w:rsidRPr="004017EA" w:rsidRDefault="00543DF1" w:rsidP="008E6F83">
            <w:pPr>
              <w:rPr>
                <w:rFonts w:cstheme="minorHAnsi"/>
                <w:sz w:val="16"/>
                <w:szCs w:val="16"/>
              </w:rPr>
            </w:pPr>
            <w:r>
              <w:rPr>
                <w:rFonts w:cstheme="minorHAnsi"/>
                <w:noProof/>
                <w:sz w:val="24"/>
                <w:szCs w:val="24"/>
              </w:rPr>
              <mc:AlternateContent>
                <mc:Choice Requires="wps">
                  <w:drawing>
                    <wp:anchor distT="0" distB="0" distL="114300" distR="114300" simplePos="0" relativeHeight="251671040" behindDoc="0" locked="0" layoutInCell="1" allowOverlap="1" wp14:anchorId="0E6FD49C" wp14:editId="733C0FAE">
                      <wp:simplePos x="0" y="0"/>
                      <wp:positionH relativeFrom="column">
                        <wp:posOffset>48895</wp:posOffset>
                      </wp:positionH>
                      <wp:positionV relativeFrom="paragraph">
                        <wp:posOffset>272415</wp:posOffset>
                      </wp:positionV>
                      <wp:extent cx="2312670" cy="190500"/>
                      <wp:effectExtent l="0" t="0" r="11430" b="1905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190500"/>
                              </a:xfrm>
                              <a:prstGeom prst="rect">
                                <a:avLst/>
                              </a:prstGeom>
                              <a:solidFill>
                                <a:srgbClr val="FFFFFF"/>
                              </a:solidFill>
                              <a:ln w="9525">
                                <a:solidFill>
                                  <a:srgbClr val="000000"/>
                                </a:solidFill>
                                <a:miter lim="800000"/>
                                <a:headEnd/>
                                <a:tailEnd/>
                              </a:ln>
                            </wps:spPr>
                            <wps:txbx>
                              <w:txbxContent>
                                <w:p w:rsidR="00671B67" w:rsidRPr="00173544" w:rsidRDefault="00671B67" w:rsidP="008E6F83">
                                  <w:pPr>
                                    <w:rPr>
                                      <w:sz w:val="16"/>
                                      <w:szCs w:val="16"/>
                                      <w:lang w:val="en-US"/>
                                    </w:rPr>
                                  </w:pPr>
                                  <w:r w:rsidRPr="00173544">
                                    <w:rPr>
                                      <w:sz w:val="16"/>
                                      <w:szCs w:val="16"/>
                                      <w:lang w:val="en-US"/>
                                    </w:rPr>
                                    <w:t>CSSP, SUNGO, OTHER STAKEHODERS ON-GOING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85pt;margin-top:21.45pt;width:182.1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">
                      <v:textbox>
                        <w:txbxContent>
                          <w:p w:rsidR="00671B67" w:rsidRPr="00173544" w:rsidRDefault="00671B67" w:rsidP="008E6F83">
                            <w:pPr>
                              <w:rPr>
                                <w:sz w:val="16"/>
                                <w:szCs w:val="16"/>
                                <w:lang w:val="en-US"/>
                              </w:rPr>
                            </w:pPr>
                            <w:r w:rsidRPr="00173544">
                              <w:rPr>
                                <w:sz w:val="16"/>
                                <w:szCs w:val="16"/>
                                <w:lang w:val="en-US"/>
                              </w:rPr>
                              <w:t>CSSP, SUNGO, OTHER STAKEHODERS ON-GOING</w:t>
                            </w:r>
                          </w:p>
                        </w:txbxContent>
                      </v:textbox>
                    </v:shape>
                  </w:pict>
                </mc:Fallback>
              </mc:AlternateContent>
            </w: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tcPr>
          <w:p w:rsidR="008E6F83" w:rsidRPr="004017EA" w:rsidRDefault="008E6F83" w:rsidP="008E6F83">
            <w:pPr>
              <w:jc w:val="both"/>
              <w:rPr>
                <w:rFonts w:cstheme="minorHAnsi"/>
                <w:sz w:val="16"/>
                <w:szCs w:val="16"/>
                <w:lang w:val="en-US"/>
              </w:rPr>
            </w:pPr>
            <w:r w:rsidRPr="004017EA">
              <w:rPr>
                <w:rFonts w:cstheme="minorHAnsi"/>
                <w:sz w:val="16"/>
                <w:szCs w:val="16"/>
                <w:lang w:val="en-US"/>
              </w:rPr>
              <w:t xml:space="preserve">CSSP links with SUNGO, Sector partners, Development partners, Steering Committee members and other stakeholders. </w:t>
            </w:r>
          </w:p>
        </w:tc>
      </w:tr>
      <w:tr w:rsidR="008E6F83" w:rsidRPr="004017EA" w:rsidTr="006628F1">
        <w:tblPrEx>
          <w:tblLook w:val="01E0" w:firstRow="1" w:lastRow="1" w:firstColumn="1" w:lastColumn="1" w:noHBand="0" w:noVBand="0"/>
        </w:tblPrEx>
        <w:trPr>
          <w:trHeight w:val="45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9</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Project management  workshops (12 x four day workshops)</w:t>
            </w:r>
          </w:p>
        </w:tc>
        <w:tc>
          <w:tcPr>
            <w:tcW w:w="0" w:type="auto"/>
            <w:shd w:val="clear" w:color="auto" w:fill="auto"/>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6C400C" w:rsidP="008E6F83">
            <w:pPr>
              <w:rPr>
                <w:rFonts w:cstheme="minorHAnsi"/>
                <w:sz w:val="16"/>
                <w:szCs w:val="16"/>
              </w:rPr>
            </w:pPr>
            <w:proofErr w:type="spellStart"/>
            <w:r>
              <w:rPr>
                <w:rFonts w:cstheme="minorHAnsi"/>
                <w:sz w:val="16"/>
                <w:szCs w:val="16"/>
              </w:rPr>
              <w:t>x</w:t>
            </w:r>
            <w:r w:rsidR="008E6F83" w:rsidRPr="004017EA">
              <w:rPr>
                <w:rFonts w:cstheme="minorHAnsi"/>
                <w:sz w:val="16"/>
                <w:szCs w:val="16"/>
              </w:rPr>
              <w:t>x</w:t>
            </w:r>
            <w:r w:rsidR="008E6F83" w:rsidRPr="006C400C">
              <w:rPr>
                <w:rFonts w:cstheme="minorHAnsi"/>
                <w:sz w:val="16"/>
                <w:szCs w:val="16"/>
                <w:shd w:val="clear" w:color="auto" w:fill="C6D9F1" w:themeFill="text2" w:themeFillTint="33"/>
              </w:rPr>
              <w:t>x</w:t>
            </w:r>
            <w:r w:rsidR="008E6F83" w:rsidRPr="004017EA">
              <w:rPr>
                <w:rFonts w:cstheme="minorHAnsi"/>
                <w:sz w:val="16"/>
                <w:szCs w:val="16"/>
              </w:rPr>
              <w:t>xxx</w:t>
            </w:r>
            <w:proofErr w:type="spellEnd"/>
          </w:p>
        </w:tc>
        <w:tc>
          <w:tcPr>
            <w:tcW w:w="0" w:type="auto"/>
            <w:shd w:val="clear" w:color="auto" w:fill="auto"/>
          </w:tcPr>
          <w:p w:rsidR="008E6F83" w:rsidRPr="004017EA" w:rsidRDefault="008E6F83" w:rsidP="008E6F83">
            <w:pPr>
              <w:rPr>
                <w:rFonts w:cstheme="minorHAnsi"/>
                <w:sz w:val="16"/>
                <w:szCs w:val="16"/>
              </w:rPr>
            </w:pPr>
          </w:p>
        </w:tc>
        <w:tc>
          <w:tcPr>
            <w:tcW w:w="0" w:type="auto"/>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6C400C" w:rsidP="008E6F83">
            <w:pPr>
              <w:rPr>
                <w:rFonts w:cstheme="minorHAnsi"/>
                <w:sz w:val="16"/>
                <w:szCs w:val="16"/>
              </w:rPr>
            </w:pPr>
            <w:r>
              <w:rPr>
                <w:rFonts w:cstheme="minorHAnsi"/>
                <w:sz w:val="16"/>
                <w:szCs w:val="16"/>
              </w:rPr>
              <w:t>xx</w:t>
            </w:r>
          </w:p>
        </w:tc>
        <w:tc>
          <w:tcPr>
            <w:tcW w:w="0" w:type="auto"/>
            <w:shd w:val="clear" w:color="auto" w:fill="C6D9F1" w:themeFill="text2" w:themeFillTint="33"/>
          </w:tcPr>
          <w:p w:rsidR="008E6F83" w:rsidRPr="004017EA" w:rsidRDefault="006C400C" w:rsidP="008E6F83">
            <w:pPr>
              <w:rPr>
                <w:rFonts w:cstheme="minorHAnsi"/>
                <w:sz w:val="16"/>
                <w:szCs w:val="16"/>
              </w:rPr>
            </w:pPr>
            <w:r>
              <w:rPr>
                <w:rFonts w:cstheme="minorHAnsi"/>
                <w:sz w:val="16"/>
                <w:szCs w:val="16"/>
              </w:rPr>
              <w:t>xx</w:t>
            </w:r>
          </w:p>
        </w:tc>
        <w:tc>
          <w:tcPr>
            <w:tcW w:w="0" w:type="auto"/>
          </w:tcPr>
          <w:p w:rsidR="008E6F83" w:rsidRPr="004017EA" w:rsidRDefault="008E6F83" w:rsidP="008E6F83">
            <w:pPr>
              <w:jc w:val="both"/>
              <w:rPr>
                <w:rFonts w:cstheme="minorHAnsi"/>
                <w:sz w:val="16"/>
                <w:szCs w:val="16"/>
                <w:lang w:val="en-US"/>
              </w:rPr>
            </w:pPr>
            <w:r w:rsidRPr="004017EA">
              <w:rPr>
                <w:rFonts w:cstheme="minorHAnsi"/>
                <w:sz w:val="16"/>
                <w:szCs w:val="16"/>
                <w:lang w:val="en-US"/>
              </w:rPr>
              <w:t>Prior to every Call for Proposals</w:t>
            </w:r>
            <w:r w:rsidR="006C400C">
              <w:rPr>
                <w:rFonts w:cstheme="minorHAnsi"/>
                <w:sz w:val="16"/>
                <w:szCs w:val="16"/>
                <w:lang w:val="en-US"/>
              </w:rPr>
              <w:t xml:space="preserve"> deadline</w:t>
            </w:r>
            <w:r w:rsidRPr="004017EA">
              <w:rPr>
                <w:rFonts w:cstheme="minorHAnsi"/>
                <w:sz w:val="16"/>
                <w:szCs w:val="16"/>
                <w:lang w:val="en-US"/>
              </w:rPr>
              <w:t xml:space="preserve">.  Declined applicants from previous Calls for Proposals will be invited </w:t>
            </w:r>
            <w:proofErr w:type="gramStart"/>
            <w:r w:rsidRPr="004017EA">
              <w:rPr>
                <w:rFonts w:cstheme="minorHAnsi"/>
                <w:sz w:val="16"/>
                <w:szCs w:val="16"/>
                <w:lang w:val="en-US"/>
              </w:rPr>
              <w:t>to  the</w:t>
            </w:r>
            <w:proofErr w:type="gramEnd"/>
            <w:r w:rsidRPr="004017EA">
              <w:rPr>
                <w:rFonts w:cstheme="minorHAnsi"/>
                <w:sz w:val="16"/>
                <w:szCs w:val="16"/>
                <w:lang w:val="en-US"/>
              </w:rPr>
              <w:t xml:space="preserve"> PM workshops.</w:t>
            </w:r>
          </w:p>
        </w:tc>
      </w:tr>
      <w:tr w:rsidR="008E6F83" w:rsidRPr="004017EA" w:rsidTr="006628F1">
        <w:tblPrEx>
          <w:tblLook w:val="01E0" w:firstRow="1" w:lastRow="1" w:firstColumn="1" w:lastColumn="1" w:noHBand="0" w:noVBand="0"/>
        </w:tblPrEx>
        <w:trPr>
          <w:trHeight w:val="45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10</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Design, pilot test, implement 2  NGO workshops in EU applications and contracts</w:t>
            </w:r>
          </w:p>
        </w:tc>
        <w:tc>
          <w:tcPr>
            <w:tcW w:w="0" w:type="auto"/>
            <w:shd w:val="clear" w:color="auto" w:fill="FFFFFF"/>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r w:rsidRPr="004017EA">
              <w:rPr>
                <w:rFonts w:cstheme="minorHAnsi"/>
                <w:sz w:val="16"/>
                <w:szCs w:val="16"/>
              </w:rPr>
              <w:t>Xx</w:t>
            </w:r>
          </w:p>
        </w:tc>
        <w:tc>
          <w:tcPr>
            <w:tcW w:w="0" w:type="auto"/>
            <w:shd w:val="clear" w:color="auto" w:fill="FFFFFF"/>
          </w:tcPr>
          <w:p w:rsidR="008E6F83" w:rsidRPr="004017EA" w:rsidRDefault="008E6F83" w:rsidP="008E6F83">
            <w:pPr>
              <w:rPr>
                <w:rFonts w:cstheme="minorHAnsi"/>
                <w:sz w:val="16"/>
                <w:szCs w:val="16"/>
              </w:rPr>
            </w:pPr>
          </w:p>
        </w:tc>
        <w:tc>
          <w:tcPr>
            <w:tcW w:w="0" w:type="auto"/>
          </w:tcPr>
          <w:p w:rsidR="008E6F83" w:rsidRPr="004017EA" w:rsidRDefault="008E6F83" w:rsidP="008E6F83">
            <w:pPr>
              <w:rPr>
                <w:rFonts w:cstheme="minorHAnsi"/>
                <w:sz w:val="16"/>
                <w:szCs w:val="16"/>
              </w:rPr>
            </w:pPr>
          </w:p>
        </w:tc>
        <w:tc>
          <w:tcPr>
            <w:tcW w:w="0" w:type="auto"/>
          </w:tcPr>
          <w:p w:rsidR="008E6F83" w:rsidRPr="004017EA" w:rsidRDefault="008E6F83" w:rsidP="008E6F83">
            <w:pPr>
              <w:rPr>
                <w:rFonts w:cstheme="minorHAnsi"/>
                <w:sz w:val="16"/>
                <w:szCs w:val="16"/>
              </w:rPr>
            </w:pPr>
          </w:p>
        </w:tc>
        <w:tc>
          <w:tcPr>
            <w:tcW w:w="0" w:type="auto"/>
          </w:tcPr>
          <w:p w:rsidR="008E6F83" w:rsidRPr="004017EA" w:rsidRDefault="008E6F83" w:rsidP="008E6F83">
            <w:pPr>
              <w:rPr>
                <w:rFonts w:cstheme="minorHAnsi"/>
                <w:sz w:val="16"/>
                <w:szCs w:val="16"/>
              </w:rPr>
            </w:pPr>
          </w:p>
        </w:tc>
        <w:tc>
          <w:tcPr>
            <w:tcW w:w="0" w:type="auto"/>
          </w:tcPr>
          <w:p w:rsidR="008E6F83" w:rsidRPr="004017EA" w:rsidRDefault="008E6F83" w:rsidP="008E6F83">
            <w:pPr>
              <w:jc w:val="both"/>
              <w:rPr>
                <w:rFonts w:cstheme="minorHAnsi"/>
                <w:sz w:val="16"/>
                <w:szCs w:val="16"/>
                <w:lang w:val="en-US"/>
              </w:rPr>
            </w:pPr>
            <w:r w:rsidRPr="004017EA">
              <w:rPr>
                <w:rFonts w:cstheme="minorHAnsi"/>
                <w:sz w:val="16"/>
                <w:szCs w:val="16"/>
                <w:lang w:val="en-US"/>
              </w:rPr>
              <w:t>1</w:t>
            </w:r>
            <w:r w:rsidRPr="004017EA">
              <w:rPr>
                <w:rFonts w:cstheme="minorHAnsi"/>
                <w:sz w:val="16"/>
                <w:szCs w:val="16"/>
                <w:vertAlign w:val="superscript"/>
                <w:lang w:val="en-US"/>
              </w:rPr>
              <w:t>st</w:t>
            </w:r>
            <w:r w:rsidRPr="004017EA">
              <w:rPr>
                <w:rFonts w:cstheme="minorHAnsi"/>
                <w:sz w:val="16"/>
                <w:szCs w:val="16"/>
                <w:lang w:val="en-US"/>
              </w:rPr>
              <w:t xml:space="preserve"> workshop focuses on the EU </w:t>
            </w:r>
            <w:proofErr w:type="gramStart"/>
            <w:r w:rsidRPr="004017EA">
              <w:rPr>
                <w:rFonts w:cstheme="minorHAnsi"/>
                <w:sz w:val="16"/>
                <w:szCs w:val="16"/>
                <w:lang w:val="en-US"/>
              </w:rPr>
              <w:t>Application  process</w:t>
            </w:r>
            <w:proofErr w:type="gramEnd"/>
            <w:r w:rsidRPr="004017EA">
              <w:rPr>
                <w:rFonts w:cstheme="minorHAnsi"/>
                <w:sz w:val="16"/>
                <w:szCs w:val="16"/>
                <w:lang w:val="en-US"/>
              </w:rPr>
              <w:t xml:space="preserve"> and the 2</w:t>
            </w:r>
            <w:r w:rsidRPr="004017EA">
              <w:rPr>
                <w:rFonts w:cstheme="minorHAnsi"/>
                <w:sz w:val="16"/>
                <w:szCs w:val="16"/>
                <w:vertAlign w:val="superscript"/>
                <w:lang w:val="en-US"/>
              </w:rPr>
              <w:t>nd</w:t>
            </w:r>
            <w:r w:rsidRPr="004017EA">
              <w:rPr>
                <w:rFonts w:cstheme="minorHAnsi"/>
                <w:sz w:val="16"/>
                <w:szCs w:val="16"/>
                <w:lang w:val="en-US"/>
              </w:rPr>
              <w:t xml:space="preserve"> workshop on the  EU contracts process.  </w:t>
            </w:r>
          </w:p>
        </w:tc>
      </w:tr>
      <w:tr w:rsidR="008E6F83" w:rsidRPr="004017EA" w:rsidTr="006628F1">
        <w:tblPrEx>
          <w:tblLook w:val="01E0" w:firstRow="1" w:lastRow="1" w:firstColumn="1" w:lastColumn="1" w:noHBand="0" w:noVBand="0"/>
        </w:tblPrEx>
        <w:trPr>
          <w:trHeight w:val="45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11</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 xml:space="preserve"> Information &amp; Liaison and Public Forums targeting CSOs – SUNGO contract</w:t>
            </w:r>
          </w:p>
        </w:tc>
        <w:tc>
          <w:tcPr>
            <w:tcW w:w="0" w:type="auto"/>
          </w:tcPr>
          <w:p w:rsidR="008E6F83" w:rsidRPr="004017EA" w:rsidRDefault="00543DF1" w:rsidP="008E6F83">
            <w:pPr>
              <w:rPr>
                <w:rFonts w:cstheme="minorHAnsi"/>
                <w:sz w:val="16"/>
                <w:szCs w:val="16"/>
                <w:highlight w:val="yellow"/>
                <w:lang w:val="en-GB"/>
              </w:rPr>
            </w:pPr>
            <w:r>
              <w:rPr>
                <w:rFonts w:cstheme="minorHAnsi"/>
                <w:noProof/>
                <w:sz w:val="24"/>
                <w:szCs w:val="24"/>
              </w:rPr>
              <mc:AlternateContent>
                <mc:Choice Requires="wps">
                  <w:drawing>
                    <wp:anchor distT="0" distB="0" distL="114300" distR="114300" simplePos="0" relativeHeight="251672064" behindDoc="1" locked="0" layoutInCell="1" allowOverlap="1" wp14:anchorId="62326A17" wp14:editId="431CD324">
                      <wp:simplePos x="0" y="0"/>
                      <wp:positionH relativeFrom="column">
                        <wp:posOffset>48895</wp:posOffset>
                      </wp:positionH>
                      <wp:positionV relativeFrom="paragraph">
                        <wp:posOffset>44450</wp:posOffset>
                      </wp:positionV>
                      <wp:extent cx="2914650" cy="219075"/>
                      <wp:effectExtent l="0" t="0" r="19050" b="2857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19075"/>
                              </a:xfrm>
                              <a:prstGeom prst="rect">
                                <a:avLst/>
                              </a:prstGeom>
                              <a:solidFill>
                                <a:srgbClr val="FFFFFF"/>
                              </a:solidFill>
                              <a:ln w="9525">
                                <a:solidFill>
                                  <a:srgbClr val="000000"/>
                                </a:solidFill>
                                <a:miter lim="800000"/>
                                <a:headEnd/>
                                <a:tailEnd/>
                              </a:ln>
                            </wps:spPr>
                            <wps:txbx>
                              <w:txbxContent>
                                <w:p w:rsidR="00671B67" w:rsidRPr="00563C2B" w:rsidRDefault="00671B67" w:rsidP="008E6F83">
                                  <w:pPr>
                                    <w:jc w:val="center"/>
                                    <w:rPr>
                                      <w:sz w:val="16"/>
                                      <w:szCs w:val="16"/>
                                    </w:rPr>
                                  </w:pPr>
                                  <w:r>
                                    <w:rPr>
                                      <w:sz w:val="16"/>
                                      <w:szCs w:val="16"/>
                                    </w:rPr>
                                    <w:t xml:space="preserve"> SUNGO on going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85pt;margin-top:3.5pt;width:229.5pt;height:1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2pQLAIAAFg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">
                      <v:textbox>
                        <w:txbxContent>
                          <w:p w:rsidR="00671B67" w:rsidRPr="00563C2B" w:rsidRDefault="00671B67" w:rsidP="008E6F83">
                            <w:pPr>
                              <w:jc w:val="center"/>
                              <w:rPr>
                                <w:sz w:val="16"/>
                                <w:szCs w:val="16"/>
                              </w:rPr>
                            </w:pPr>
                            <w:r>
                              <w:rPr>
                                <w:sz w:val="16"/>
                                <w:szCs w:val="16"/>
                              </w:rPr>
                              <w:t xml:space="preserve"> SUNGO on going</w:t>
                            </w:r>
                          </w:p>
                        </w:txbxContent>
                      </v:textbox>
                    </v:shape>
                  </w:pict>
                </mc:Fallback>
              </mc:AlternateContent>
            </w:r>
          </w:p>
        </w:tc>
        <w:tc>
          <w:tcPr>
            <w:tcW w:w="0" w:type="auto"/>
          </w:tcPr>
          <w:p w:rsidR="008E6F83" w:rsidRPr="004017EA" w:rsidRDefault="008E6F83" w:rsidP="008E6F83">
            <w:pPr>
              <w:rPr>
                <w:rFonts w:cstheme="minorHAnsi"/>
                <w:sz w:val="16"/>
                <w:szCs w:val="16"/>
                <w:highlight w:val="yellow"/>
                <w:lang w:val="en-GB"/>
              </w:rPr>
            </w:pPr>
          </w:p>
        </w:tc>
        <w:tc>
          <w:tcPr>
            <w:tcW w:w="0" w:type="auto"/>
          </w:tcPr>
          <w:p w:rsidR="008E6F83" w:rsidRPr="004017EA" w:rsidRDefault="008E6F83" w:rsidP="008E6F83">
            <w:pPr>
              <w:rPr>
                <w:rFonts w:cstheme="minorHAnsi"/>
                <w:sz w:val="16"/>
                <w:szCs w:val="16"/>
                <w:highlight w:val="yellow"/>
                <w:lang w:val="en-GB"/>
              </w:rPr>
            </w:pPr>
          </w:p>
        </w:tc>
        <w:tc>
          <w:tcPr>
            <w:tcW w:w="0" w:type="auto"/>
          </w:tcPr>
          <w:p w:rsidR="008E6F83" w:rsidRPr="004017EA" w:rsidRDefault="008E6F83" w:rsidP="008E6F83">
            <w:pPr>
              <w:rPr>
                <w:rFonts w:cstheme="minorHAnsi"/>
                <w:sz w:val="16"/>
                <w:szCs w:val="16"/>
                <w:highlight w:val="yellow"/>
                <w:lang w:val="en-GB"/>
              </w:rPr>
            </w:pPr>
          </w:p>
        </w:tc>
        <w:tc>
          <w:tcPr>
            <w:tcW w:w="0" w:type="auto"/>
          </w:tcPr>
          <w:p w:rsidR="008E6F83" w:rsidRPr="004017EA" w:rsidRDefault="008E6F83" w:rsidP="008E6F83">
            <w:pPr>
              <w:rPr>
                <w:rFonts w:cstheme="minorHAnsi"/>
                <w:sz w:val="16"/>
                <w:szCs w:val="16"/>
                <w:highlight w:val="yellow"/>
                <w:lang w:val="en-GB"/>
              </w:rPr>
            </w:pPr>
          </w:p>
        </w:tc>
        <w:tc>
          <w:tcPr>
            <w:tcW w:w="0" w:type="auto"/>
          </w:tcPr>
          <w:p w:rsidR="008E6F83" w:rsidRPr="004017EA" w:rsidRDefault="008E6F83" w:rsidP="008E6F83">
            <w:pPr>
              <w:rPr>
                <w:rFonts w:cstheme="minorHAnsi"/>
                <w:sz w:val="16"/>
                <w:szCs w:val="16"/>
                <w:highlight w:val="yellow"/>
                <w:lang w:val="en-GB"/>
              </w:rPr>
            </w:pPr>
          </w:p>
        </w:tc>
        <w:tc>
          <w:tcPr>
            <w:tcW w:w="0" w:type="auto"/>
          </w:tcPr>
          <w:p w:rsidR="008E6F83" w:rsidRPr="004017EA" w:rsidRDefault="008E6F83" w:rsidP="008E6F83">
            <w:pPr>
              <w:jc w:val="both"/>
              <w:rPr>
                <w:rFonts w:cstheme="minorHAnsi"/>
                <w:sz w:val="16"/>
                <w:szCs w:val="16"/>
              </w:rPr>
            </w:pPr>
            <w:r w:rsidRPr="004017EA">
              <w:rPr>
                <w:rFonts w:cstheme="minorHAnsi"/>
                <w:sz w:val="16"/>
                <w:szCs w:val="16"/>
                <w:lang w:val="en-US"/>
              </w:rPr>
              <w:t xml:space="preserve">SUNGO implements objectives of their strategic plan, gathers data, compiles results and provides </w:t>
            </w:r>
            <w:r w:rsidRPr="004017EA">
              <w:rPr>
                <w:rFonts w:cstheme="minorHAnsi"/>
                <w:sz w:val="16"/>
                <w:szCs w:val="16"/>
              </w:rPr>
              <w:t>information and liaison services to CSOs.</w:t>
            </w:r>
          </w:p>
        </w:tc>
      </w:tr>
      <w:tr w:rsidR="008E6F83" w:rsidRPr="004017EA" w:rsidTr="006628F1">
        <w:tblPrEx>
          <w:tblLook w:val="01E0" w:firstRow="1" w:lastRow="1" w:firstColumn="1" w:lastColumn="1" w:noHBand="0" w:noVBand="0"/>
        </w:tblPrEx>
        <w:trPr>
          <w:trHeight w:val="593"/>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12</w:t>
            </w:r>
          </w:p>
        </w:tc>
        <w:tc>
          <w:tcPr>
            <w:tcW w:w="0" w:type="auto"/>
            <w:vAlign w:val="center"/>
          </w:tcPr>
          <w:p w:rsidR="008E6F83" w:rsidRPr="004017EA" w:rsidRDefault="008E6F83" w:rsidP="008E6F83">
            <w:pPr>
              <w:rPr>
                <w:rFonts w:cstheme="minorHAnsi"/>
                <w:sz w:val="16"/>
                <w:szCs w:val="16"/>
              </w:rPr>
            </w:pPr>
            <w:r w:rsidRPr="004017EA">
              <w:rPr>
                <w:rFonts w:cstheme="minorHAnsi"/>
                <w:sz w:val="16"/>
                <w:szCs w:val="16"/>
              </w:rPr>
              <w:t>Mentoring &amp; Support to NGOs –SUNGO contract</w:t>
            </w:r>
          </w:p>
        </w:tc>
        <w:tc>
          <w:tcPr>
            <w:tcW w:w="0" w:type="auto"/>
          </w:tcPr>
          <w:p w:rsidR="008E6F83" w:rsidRPr="004017EA" w:rsidRDefault="00543DF1" w:rsidP="008E6F83">
            <w:pPr>
              <w:rPr>
                <w:rFonts w:cstheme="minorHAnsi"/>
                <w:sz w:val="16"/>
                <w:szCs w:val="16"/>
                <w:highlight w:val="yellow"/>
              </w:rPr>
            </w:pPr>
            <w:r>
              <w:rPr>
                <w:rFonts w:cstheme="minorHAnsi"/>
                <w:noProof/>
                <w:sz w:val="24"/>
                <w:szCs w:val="24"/>
              </w:rPr>
              <mc:AlternateContent>
                <mc:Choice Requires="wps">
                  <w:drawing>
                    <wp:anchor distT="0" distB="0" distL="114300" distR="114300" simplePos="0" relativeHeight="251673088" behindDoc="1" locked="0" layoutInCell="1" allowOverlap="1" wp14:anchorId="43DCDD4D" wp14:editId="0B22A8EB">
                      <wp:simplePos x="0" y="0"/>
                      <wp:positionH relativeFrom="column">
                        <wp:posOffset>48895</wp:posOffset>
                      </wp:positionH>
                      <wp:positionV relativeFrom="paragraph">
                        <wp:posOffset>44450</wp:posOffset>
                      </wp:positionV>
                      <wp:extent cx="2914650" cy="219075"/>
                      <wp:effectExtent l="0" t="0" r="1905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19075"/>
                              </a:xfrm>
                              <a:prstGeom prst="rect">
                                <a:avLst/>
                              </a:prstGeom>
                              <a:solidFill>
                                <a:srgbClr val="FFFFFF"/>
                              </a:solidFill>
                              <a:ln w="9525">
                                <a:solidFill>
                                  <a:srgbClr val="000000"/>
                                </a:solidFill>
                                <a:miter lim="800000"/>
                                <a:headEnd/>
                                <a:tailEnd/>
                              </a:ln>
                            </wps:spPr>
                            <wps:txbx>
                              <w:txbxContent>
                                <w:p w:rsidR="00671B67" w:rsidRPr="00563C2B" w:rsidRDefault="00671B67" w:rsidP="008E6F83">
                                  <w:pPr>
                                    <w:jc w:val="center"/>
                                    <w:rPr>
                                      <w:sz w:val="16"/>
                                      <w:szCs w:val="16"/>
                                    </w:rPr>
                                  </w:pPr>
                                  <w:r>
                                    <w:rPr>
                                      <w:sz w:val="16"/>
                                      <w:szCs w:val="16"/>
                                    </w:rPr>
                                    <w:t xml:space="preserve"> SUNGO on going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85pt;margin-top:3.5pt;width:229.5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">
                      <v:textbox>
                        <w:txbxContent>
                          <w:p w:rsidR="00671B67" w:rsidRPr="00563C2B" w:rsidRDefault="00671B67" w:rsidP="008E6F83">
                            <w:pPr>
                              <w:jc w:val="center"/>
                              <w:rPr>
                                <w:sz w:val="16"/>
                                <w:szCs w:val="16"/>
                              </w:rPr>
                            </w:pPr>
                            <w:r>
                              <w:rPr>
                                <w:sz w:val="16"/>
                                <w:szCs w:val="16"/>
                              </w:rPr>
                              <w:t xml:space="preserve"> SUNGO on going</w:t>
                            </w:r>
                          </w:p>
                        </w:txbxContent>
                      </v:textbox>
                    </v:shape>
                  </w:pict>
                </mc:Fallback>
              </mc:AlternateContent>
            </w:r>
          </w:p>
        </w:tc>
        <w:tc>
          <w:tcPr>
            <w:tcW w:w="0" w:type="auto"/>
          </w:tcPr>
          <w:p w:rsidR="008E6F83" w:rsidRPr="004017EA" w:rsidRDefault="008E6F83" w:rsidP="008E6F83">
            <w:pPr>
              <w:rPr>
                <w:rFonts w:cstheme="minorHAnsi"/>
                <w:sz w:val="16"/>
                <w:szCs w:val="16"/>
                <w:highlight w:val="yellow"/>
              </w:rPr>
            </w:pPr>
          </w:p>
        </w:tc>
        <w:tc>
          <w:tcPr>
            <w:tcW w:w="0" w:type="auto"/>
          </w:tcPr>
          <w:p w:rsidR="008E6F83" w:rsidRPr="004017EA" w:rsidRDefault="008E6F83" w:rsidP="008E6F83">
            <w:pPr>
              <w:rPr>
                <w:rFonts w:cstheme="minorHAnsi"/>
                <w:sz w:val="16"/>
                <w:szCs w:val="16"/>
                <w:highlight w:val="yellow"/>
              </w:rPr>
            </w:pPr>
          </w:p>
        </w:tc>
        <w:tc>
          <w:tcPr>
            <w:tcW w:w="0" w:type="auto"/>
          </w:tcPr>
          <w:p w:rsidR="008E6F83" w:rsidRPr="004017EA" w:rsidRDefault="008E6F83" w:rsidP="008E6F83">
            <w:pPr>
              <w:rPr>
                <w:rFonts w:cstheme="minorHAnsi"/>
                <w:sz w:val="16"/>
                <w:szCs w:val="16"/>
                <w:highlight w:val="yellow"/>
              </w:rPr>
            </w:pPr>
          </w:p>
        </w:tc>
        <w:tc>
          <w:tcPr>
            <w:tcW w:w="0" w:type="auto"/>
          </w:tcPr>
          <w:p w:rsidR="008E6F83" w:rsidRPr="004017EA" w:rsidRDefault="008E6F83" w:rsidP="008E6F83">
            <w:pPr>
              <w:rPr>
                <w:rFonts w:cstheme="minorHAnsi"/>
                <w:sz w:val="16"/>
                <w:szCs w:val="16"/>
                <w:highlight w:val="yellow"/>
              </w:rPr>
            </w:pPr>
          </w:p>
        </w:tc>
        <w:tc>
          <w:tcPr>
            <w:tcW w:w="0" w:type="auto"/>
          </w:tcPr>
          <w:p w:rsidR="008E6F83" w:rsidRPr="004017EA" w:rsidRDefault="008E6F83" w:rsidP="008E6F83">
            <w:pPr>
              <w:rPr>
                <w:rFonts w:cstheme="minorHAnsi"/>
                <w:sz w:val="16"/>
                <w:szCs w:val="16"/>
                <w:highlight w:val="yellow"/>
              </w:rPr>
            </w:pPr>
          </w:p>
        </w:tc>
        <w:tc>
          <w:tcPr>
            <w:tcW w:w="0" w:type="auto"/>
          </w:tcPr>
          <w:p w:rsidR="008E6F83" w:rsidRPr="004017EA" w:rsidRDefault="008E6F83" w:rsidP="008E6F83">
            <w:pPr>
              <w:jc w:val="both"/>
              <w:rPr>
                <w:rFonts w:cstheme="minorHAnsi"/>
                <w:sz w:val="16"/>
                <w:szCs w:val="16"/>
                <w:lang w:val="en-US"/>
              </w:rPr>
            </w:pPr>
            <w:r w:rsidRPr="004017EA">
              <w:rPr>
                <w:rFonts w:cstheme="minorHAnsi"/>
                <w:sz w:val="16"/>
                <w:szCs w:val="16"/>
                <w:lang w:val="en-US"/>
              </w:rPr>
              <w:t xml:space="preserve">SUNGO NGO Coordinator </w:t>
            </w:r>
            <w:proofErr w:type="gramStart"/>
            <w:r w:rsidRPr="004017EA">
              <w:rPr>
                <w:rFonts w:cstheme="minorHAnsi"/>
                <w:sz w:val="16"/>
                <w:szCs w:val="16"/>
                <w:lang w:val="en-US"/>
              </w:rPr>
              <w:t>position coordinating with CSSP on advisory, training, mentoring to NGOs, implement</w:t>
            </w:r>
            <w:proofErr w:type="gramEnd"/>
            <w:r w:rsidRPr="004017EA">
              <w:rPr>
                <w:rFonts w:cstheme="minorHAnsi"/>
                <w:sz w:val="16"/>
                <w:szCs w:val="16"/>
                <w:lang w:val="en-US"/>
              </w:rPr>
              <w:t xml:space="preserve"> NGO Assessment.</w:t>
            </w:r>
          </w:p>
        </w:tc>
      </w:tr>
      <w:tr w:rsidR="008E6F83" w:rsidRPr="004017EA" w:rsidTr="006628F1">
        <w:trPr>
          <w:trHeight w:val="693"/>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13</w:t>
            </w:r>
          </w:p>
        </w:tc>
        <w:tc>
          <w:tcPr>
            <w:tcW w:w="0" w:type="auto"/>
            <w:vAlign w:val="center"/>
          </w:tcPr>
          <w:p w:rsidR="008E6F83" w:rsidRPr="004017EA" w:rsidRDefault="008E6F83" w:rsidP="008E6F83">
            <w:pPr>
              <w:rPr>
                <w:rFonts w:cstheme="minorHAnsi"/>
                <w:sz w:val="16"/>
                <w:szCs w:val="16"/>
                <w:lang w:val="en-US"/>
              </w:rPr>
            </w:pPr>
            <w:r w:rsidRPr="004017EA">
              <w:rPr>
                <w:rFonts w:cstheme="minorHAnsi"/>
                <w:sz w:val="16"/>
                <w:szCs w:val="16"/>
                <w:lang w:val="en-US"/>
              </w:rPr>
              <w:t xml:space="preserve"> Community Research, Advocacy &amp; related activities</w:t>
            </w:r>
          </w:p>
        </w:tc>
        <w:tc>
          <w:tcPr>
            <w:tcW w:w="0" w:type="auto"/>
          </w:tcPr>
          <w:p w:rsidR="008E6F83" w:rsidRPr="004017EA" w:rsidRDefault="008E6F83" w:rsidP="008E6F83">
            <w:pPr>
              <w:rPr>
                <w:rFonts w:cstheme="minorHAnsi"/>
                <w:sz w:val="16"/>
                <w:szCs w:val="16"/>
                <w:highlight w:val="yellow"/>
              </w:rPr>
            </w:pPr>
          </w:p>
        </w:tc>
        <w:tc>
          <w:tcPr>
            <w:tcW w:w="0" w:type="auto"/>
          </w:tcPr>
          <w:p w:rsidR="008E6F83" w:rsidRPr="004017EA" w:rsidRDefault="008E6F83" w:rsidP="008E6F83">
            <w:pPr>
              <w:rPr>
                <w:rFonts w:cstheme="minorHAnsi"/>
                <w:sz w:val="16"/>
                <w:szCs w:val="16"/>
                <w:highlight w:val="yellow"/>
              </w:rPr>
            </w:pPr>
          </w:p>
        </w:tc>
        <w:tc>
          <w:tcPr>
            <w:tcW w:w="0" w:type="auto"/>
            <w:shd w:val="clear" w:color="auto" w:fill="C6D9F1" w:themeFill="text2" w:themeFillTint="33"/>
          </w:tcPr>
          <w:p w:rsidR="008E6F83" w:rsidRPr="006C400C" w:rsidRDefault="008E6F83" w:rsidP="008E6F83">
            <w:pPr>
              <w:rPr>
                <w:rFonts w:cstheme="minorHAnsi"/>
                <w:sz w:val="16"/>
                <w:szCs w:val="16"/>
                <w:highlight w:val="yellow"/>
              </w:rPr>
            </w:pPr>
          </w:p>
        </w:tc>
        <w:tc>
          <w:tcPr>
            <w:tcW w:w="0" w:type="auto"/>
            <w:shd w:val="clear" w:color="auto" w:fill="C6D9F1" w:themeFill="text2" w:themeFillTint="33"/>
          </w:tcPr>
          <w:p w:rsidR="008E6F83" w:rsidRPr="004017EA" w:rsidRDefault="006C400C" w:rsidP="008E6F83">
            <w:pPr>
              <w:rPr>
                <w:rFonts w:cstheme="minorHAnsi"/>
                <w:sz w:val="16"/>
                <w:szCs w:val="16"/>
                <w:highlight w:val="yellow"/>
              </w:rPr>
            </w:pPr>
            <w:r w:rsidRPr="006C400C">
              <w:rPr>
                <w:rFonts w:cstheme="minorHAnsi"/>
                <w:sz w:val="16"/>
                <w:szCs w:val="16"/>
              </w:rPr>
              <w:t>X</w:t>
            </w:r>
          </w:p>
        </w:tc>
        <w:tc>
          <w:tcPr>
            <w:tcW w:w="0" w:type="auto"/>
            <w:shd w:val="clear" w:color="auto" w:fill="C6D9F1" w:themeFill="text2" w:themeFillTint="33"/>
          </w:tcPr>
          <w:p w:rsidR="008E6F83" w:rsidRPr="004017EA" w:rsidRDefault="008E6F83" w:rsidP="008E6F83">
            <w:pPr>
              <w:rPr>
                <w:rFonts w:cstheme="minorHAnsi"/>
                <w:sz w:val="16"/>
                <w:szCs w:val="16"/>
                <w:highlight w:val="yellow"/>
              </w:rPr>
            </w:pPr>
          </w:p>
        </w:tc>
        <w:tc>
          <w:tcPr>
            <w:tcW w:w="0" w:type="auto"/>
            <w:shd w:val="clear" w:color="auto" w:fill="C6D9F1" w:themeFill="text2" w:themeFillTint="33"/>
          </w:tcPr>
          <w:p w:rsidR="008E6F83" w:rsidRPr="004017EA" w:rsidRDefault="008E6F83" w:rsidP="008E6F83">
            <w:pPr>
              <w:rPr>
                <w:rFonts w:cstheme="minorHAnsi"/>
                <w:sz w:val="16"/>
                <w:szCs w:val="16"/>
                <w:highlight w:val="yellow"/>
              </w:rPr>
            </w:pPr>
          </w:p>
        </w:tc>
        <w:tc>
          <w:tcPr>
            <w:tcW w:w="0" w:type="auto"/>
          </w:tcPr>
          <w:p w:rsidR="008E6F83" w:rsidRPr="004017EA" w:rsidRDefault="008E6F83" w:rsidP="008E6F83">
            <w:pPr>
              <w:jc w:val="both"/>
              <w:rPr>
                <w:rFonts w:cstheme="minorHAnsi"/>
                <w:sz w:val="16"/>
                <w:szCs w:val="16"/>
                <w:lang w:val="en-US"/>
              </w:rPr>
            </w:pPr>
            <w:r w:rsidRPr="004017EA">
              <w:rPr>
                <w:rFonts w:cstheme="minorHAnsi"/>
                <w:sz w:val="16"/>
                <w:szCs w:val="16"/>
                <w:lang w:val="en-US"/>
              </w:rPr>
              <w:t>Tendered contracts to NGOs and other service providers.</w:t>
            </w:r>
          </w:p>
        </w:tc>
      </w:tr>
      <w:tr w:rsidR="008E6F83" w:rsidRPr="004017EA" w:rsidTr="006628F1">
        <w:trPr>
          <w:trHeight w:val="45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14</w:t>
            </w:r>
          </w:p>
        </w:tc>
        <w:tc>
          <w:tcPr>
            <w:tcW w:w="0" w:type="auto"/>
            <w:vAlign w:val="center"/>
          </w:tcPr>
          <w:p w:rsidR="007560A1" w:rsidRPr="004017EA" w:rsidRDefault="008E6F83" w:rsidP="008E6F83">
            <w:pPr>
              <w:rPr>
                <w:rFonts w:cstheme="minorHAnsi"/>
                <w:sz w:val="16"/>
                <w:szCs w:val="16"/>
              </w:rPr>
            </w:pPr>
            <w:r w:rsidRPr="004017EA">
              <w:rPr>
                <w:rFonts w:cstheme="minorHAnsi"/>
                <w:sz w:val="16"/>
                <w:szCs w:val="16"/>
              </w:rPr>
              <w:t>Programme Visibility</w:t>
            </w: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7560A1" w:rsidP="008E6F83">
            <w:pPr>
              <w:rPr>
                <w:rFonts w:cstheme="minorHAnsi"/>
                <w:sz w:val="16"/>
                <w:szCs w:val="16"/>
              </w:rPr>
            </w:pPr>
            <w:r>
              <w:rPr>
                <w:rFonts w:cstheme="minorHAnsi"/>
                <w:sz w:val="16"/>
                <w:szCs w:val="16"/>
              </w:rPr>
              <w:t>X</w:t>
            </w:r>
          </w:p>
        </w:tc>
        <w:tc>
          <w:tcPr>
            <w:tcW w:w="0" w:type="auto"/>
            <w:shd w:val="clear" w:color="auto" w:fill="C6D9F1" w:themeFill="text2" w:themeFillTint="33"/>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b/>
                <w:bCs/>
                <w:sz w:val="16"/>
                <w:szCs w:val="16"/>
              </w:rPr>
            </w:pPr>
          </w:p>
        </w:tc>
        <w:tc>
          <w:tcPr>
            <w:tcW w:w="0" w:type="auto"/>
            <w:shd w:val="clear" w:color="auto" w:fill="C6D9F1" w:themeFill="text2" w:themeFillTint="33"/>
          </w:tcPr>
          <w:p w:rsidR="008E6F83" w:rsidRPr="004017EA" w:rsidRDefault="008E6F83" w:rsidP="008E6F83">
            <w:pPr>
              <w:rPr>
                <w:rFonts w:cstheme="minorHAnsi"/>
                <w:color w:val="7F7F7F"/>
                <w:sz w:val="16"/>
                <w:szCs w:val="16"/>
              </w:rPr>
            </w:pPr>
          </w:p>
        </w:tc>
        <w:tc>
          <w:tcPr>
            <w:tcW w:w="0" w:type="auto"/>
          </w:tcPr>
          <w:p w:rsidR="008E6F83" w:rsidRPr="004017EA" w:rsidRDefault="008E6F83" w:rsidP="008E6F83">
            <w:pPr>
              <w:spacing w:after="0" w:line="240" w:lineRule="auto"/>
              <w:jc w:val="both"/>
              <w:rPr>
                <w:rFonts w:cstheme="minorHAnsi"/>
                <w:sz w:val="16"/>
                <w:szCs w:val="16"/>
                <w:lang w:val="en-GB"/>
              </w:rPr>
            </w:pPr>
            <w:r w:rsidRPr="004017EA">
              <w:rPr>
                <w:rFonts w:cstheme="minorHAnsi"/>
                <w:sz w:val="16"/>
                <w:szCs w:val="16"/>
                <w:lang w:val="en-GB"/>
              </w:rPr>
              <w:t>Production and installation of signage.  Production and distribution (or airing) of other media promotional mater</w:t>
            </w:r>
            <w:r w:rsidR="007560A1">
              <w:rPr>
                <w:rFonts w:cstheme="minorHAnsi"/>
                <w:sz w:val="16"/>
                <w:szCs w:val="16"/>
                <w:lang w:val="en-GB"/>
              </w:rPr>
              <w:t>ials.</w:t>
            </w:r>
            <w:r w:rsidR="006C400C">
              <w:rPr>
                <w:rFonts w:cstheme="minorHAnsi"/>
                <w:sz w:val="16"/>
                <w:szCs w:val="16"/>
                <w:lang w:val="en-GB"/>
              </w:rPr>
              <w:t xml:space="preserve"> Visibility strategy final</w:t>
            </w:r>
            <w:r w:rsidR="007560A1">
              <w:rPr>
                <w:rFonts w:cstheme="minorHAnsi"/>
                <w:sz w:val="16"/>
                <w:szCs w:val="16"/>
                <w:lang w:val="en-GB"/>
              </w:rPr>
              <w:t xml:space="preserve"> (X)</w:t>
            </w:r>
          </w:p>
        </w:tc>
      </w:tr>
      <w:tr w:rsidR="008E6F83" w:rsidRPr="004017EA" w:rsidTr="006628F1">
        <w:trPr>
          <w:trHeight w:val="45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14</w:t>
            </w:r>
          </w:p>
        </w:tc>
        <w:tc>
          <w:tcPr>
            <w:tcW w:w="0" w:type="auto"/>
            <w:vAlign w:val="center"/>
          </w:tcPr>
          <w:p w:rsidR="008E6F83" w:rsidRPr="004017EA" w:rsidRDefault="008E6F83" w:rsidP="008E6F83">
            <w:pPr>
              <w:rPr>
                <w:rFonts w:cstheme="minorHAnsi"/>
                <w:sz w:val="16"/>
                <w:szCs w:val="16"/>
              </w:rPr>
            </w:pPr>
            <w:r w:rsidRPr="004017EA">
              <w:rPr>
                <w:rFonts w:cstheme="minorHAnsi"/>
                <w:sz w:val="16"/>
                <w:szCs w:val="16"/>
              </w:rPr>
              <w:t>CSSP  Replenishment Requests (</w:t>
            </w:r>
            <w:proofErr w:type="spellStart"/>
            <w:r w:rsidRPr="004017EA">
              <w:rPr>
                <w:rFonts w:cstheme="minorHAnsi"/>
                <w:sz w:val="16"/>
                <w:szCs w:val="16"/>
              </w:rPr>
              <w:t>Rpl</w:t>
            </w:r>
            <w:proofErr w:type="spellEnd"/>
            <w:r w:rsidRPr="004017EA">
              <w:rPr>
                <w:rFonts w:cstheme="minorHAnsi"/>
                <w:sz w:val="16"/>
                <w:szCs w:val="16"/>
              </w:rPr>
              <w:t>)</w:t>
            </w:r>
          </w:p>
        </w:tc>
        <w:tc>
          <w:tcPr>
            <w:tcW w:w="0" w:type="auto"/>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proofErr w:type="spellStart"/>
            <w:r w:rsidRPr="004017EA">
              <w:rPr>
                <w:rFonts w:cstheme="minorHAnsi"/>
                <w:sz w:val="16"/>
                <w:szCs w:val="16"/>
              </w:rPr>
              <w:t>Rpl</w:t>
            </w:r>
            <w:proofErr w:type="spellEnd"/>
          </w:p>
        </w:tc>
        <w:tc>
          <w:tcPr>
            <w:tcW w:w="0" w:type="auto"/>
          </w:tcPr>
          <w:p w:rsidR="008E6F83" w:rsidRPr="004017EA" w:rsidRDefault="008E6F83" w:rsidP="008E6F83">
            <w:pPr>
              <w:rPr>
                <w:rFonts w:cstheme="minorHAnsi"/>
                <w:sz w:val="16"/>
                <w:szCs w:val="16"/>
              </w:rPr>
            </w:pPr>
          </w:p>
        </w:tc>
        <w:tc>
          <w:tcPr>
            <w:tcW w:w="0" w:type="auto"/>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bCs/>
                <w:sz w:val="16"/>
                <w:szCs w:val="16"/>
              </w:rPr>
            </w:pPr>
            <w:proofErr w:type="spellStart"/>
            <w:r w:rsidRPr="004017EA">
              <w:rPr>
                <w:rFonts w:cstheme="minorHAnsi"/>
                <w:bCs/>
                <w:sz w:val="16"/>
                <w:szCs w:val="16"/>
              </w:rPr>
              <w:t>Rpl</w:t>
            </w:r>
            <w:proofErr w:type="spellEnd"/>
          </w:p>
        </w:tc>
        <w:tc>
          <w:tcPr>
            <w:tcW w:w="0" w:type="auto"/>
          </w:tcPr>
          <w:p w:rsidR="008E6F83" w:rsidRPr="004017EA" w:rsidRDefault="008E6F83" w:rsidP="008E6F83">
            <w:pPr>
              <w:rPr>
                <w:rFonts w:cstheme="minorHAnsi"/>
                <w:b/>
                <w:color w:val="7F7F7F"/>
                <w:sz w:val="16"/>
                <w:szCs w:val="16"/>
              </w:rPr>
            </w:pPr>
          </w:p>
        </w:tc>
        <w:tc>
          <w:tcPr>
            <w:tcW w:w="0" w:type="auto"/>
          </w:tcPr>
          <w:p w:rsidR="008E6F83" w:rsidRPr="004017EA" w:rsidRDefault="008E6F83" w:rsidP="008E6F83">
            <w:pPr>
              <w:jc w:val="both"/>
              <w:rPr>
                <w:rFonts w:cstheme="minorHAnsi"/>
                <w:sz w:val="16"/>
                <w:szCs w:val="16"/>
                <w:lang w:val="en-US"/>
              </w:rPr>
            </w:pPr>
            <w:proofErr w:type="gramStart"/>
            <w:r w:rsidRPr="004017EA">
              <w:rPr>
                <w:rFonts w:cstheme="minorHAnsi"/>
                <w:sz w:val="16"/>
                <w:szCs w:val="16"/>
                <w:lang w:val="en-GB"/>
              </w:rPr>
              <w:t>Each replenishment</w:t>
            </w:r>
            <w:proofErr w:type="gramEnd"/>
            <w:r w:rsidRPr="004017EA">
              <w:rPr>
                <w:rFonts w:cstheme="minorHAnsi"/>
                <w:sz w:val="16"/>
                <w:szCs w:val="16"/>
                <w:lang w:val="en-GB"/>
              </w:rPr>
              <w:t xml:space="preserve"> requires an EU audit prior to approval of funds.</w:t>
            </w:r>
          </w:p>
        </w:tc>
      </w:tr>
      <w:tr w:rsidR="008E6F83" w:rsidRPr="004017EA" w:rsidTr="006628F1">
        <w:trPr>
          <w:trHeight w:val="454"/>
        </w:trPr>
        <w:tc>
          <w:tcPr>
            <w:tcW w:w="0" w:type="auto"/>
            <w:vAlign w:val="center"/>
          </w:tcPr>
          <w:p w:rsidR="008E6F83" w:rsidRPr="004017EA" w:rsidRDefault="008E6F83" w:rsidP="008E6F83">
            <w:pPr>
              <w:jc w:val="center"/>
              <w:rPr>
                <w:rFonts w:cstheme="minorHAnsi"/>
                <w:b/>
                <w:bCs/>
                <w:sz w:val="16"/>
                <w:szCs w:val="16"/>
              </w:rPr>
            </w:pPr>
            <w:r w:rsidRPr="004017EA">
              <w:rPr>
                <w:rFonts w:cstheme="minorHAnsi"/>
                <w:b/>
                <w:bCs/>
                <w:sz w:val="16"/>
                <w:szCs w:val="16"/>
              </w:rPr>
              <w:t>15</w:t>
            </w:r>
          </w:p>
        </w:tc>
        <w:tc>
          <w:tcPr>
            <w:tcW w:w="0" w:type="auto"/>
            <w:vAlign w:val="center"/>
          </w:tcPr>
          <w:p w:rsidR="008E6F83" w:rsidRPr="004017EA" w:rsidRDefault="008E6F83" w:rsidP="008E6F83">
            <w:pPr>
              <w:rPr>
                <w:rFonts w:cstheme="minorHAnsi"/>
                <w:sz w:val="16"/>
                <w:szCs w:val="16"/>
                <w:lang w:val="en-US"/>
              </w:rPr>
            </w:pPr>
            <w:proofErr w:type="spellStart"/>
            <w:r w:rsidRPr="004017EA">
              <w:rPr>
                <w:rFonts w:cstheme="minorHAnsi"/>
                <w:sz w:val="16"/>
                <w:szCs w:val="16"/>
                <w:lang w:val="en-US"/>
              </w:rPr>
              <w:t>Programme</w:t>
            </w:r>
            <w:proofErr w:type="spellEnd"/>
            <w:r w:rsidRPr="004017EA">
              <w:rPr>
                <w:rFonts w:cstheme="minorHAnsi"/>
                <w:sz w:val="16"/>
                <w:szCs w:val="16"/>
                <w:lang w:val="en-US"/>
              </w:rPr>
              <w:t xml:space="preserve"> Management Reporting (Special 6 monthly meeting)</w:t>
            </w:r>
          </w:p>
        </w:tc>
        <w:tc>
          <w:tcPr>
            <w:tcW w:w="0" w:type="auto"/>
            <w:shd w:val="clear" w:color="auto" w:fill="C6D9F1" w:themeFill="text2" w:themeFillTint="33"/>
          </w:tcPr>
          <w:p w:rsidR="008E6F83" w:rsidRPr="004017EA" w:rsidRDefault="006C400C" w:rsidP="008E6F83">
            <w:pPr>
              <w:rPr>
                <w:rFonts w:cstheme="minorHAnsi"/>
                <w:sz w:val="16"/>
                <w:szCs w:val="16"/>
              </w:rPr>
            </w:pPr>
            <w:r>
              <w:rPr>
                <w:rFonts w:cstheme="minorHAnsi"/>
                <w:sz w:val="16"/>
                <w:szCs w:val="16"/>
              </w:rPr>
              <w:t>Report</w:t>
            </w:r>
          </w:p>
        </w:tc>
        <w:tc>
          <w:tcPr>
            <w:tcW w:w="0" w:type="auto"/>
          </w:tcPr>
          <w:p w:rsidR="008E6F83" w:rsidRPr="004017EA" w:rsidRDefault="008E6F83" w:rsidP="008E6F83">
            <w:pPr>
              <w:rPr>
                <w:rFonts w:cstheme="minorHAnsi"/>
                <w:sz w:val="16"/>
                <w:szCs w:val="16"/>
              </w:rPr>
            </w:pPr>
          </w:p>
        </w:tc>
        <w:tc>
          <w:tcPr>
            <w:tcW w:w="0" w:type="auto"/>
          </w:tcPr>
          <w:p w:rsidR="008E6F83" w:rsidRPr="004017EA" w:rsidRDefault="008E6F83" w:rsidP="008E6F83">
            <w:pPr>
              <w:rPr>
                <w:rFonts w:cstheme="minorHAnsi"/>
                <w:sz w:val="16"/>
                <w:szCs w:val="16"/>
              </w:rPr>
            </w:pPr>
          </w:p>
        </w:tc>
        <w:tc>
          <w:tcPr>
            <w:tcW w:w="0" w:type="auto"/>
          </w:tcPr>
          <w:p w:rsidR="008E6F83" w:rsidRPr="004017EA" w:rsidRDefault="008E6F83" w:rsidP="008E6F83">
            <w:pPr>
              <w:rPr>
                <w:rFonts w:cstheme="minorHAnsi"/>
                <w:sz w:val="16"/>
                <w:szCs w:val="16"/>
              </w:rPr>
            </w:pPr>
          </w:p>
        </w:tc>
        <w:tc>
          <w:tcPr>
            <w:tcW w:w="0" w:type="auto"/>
            <w:shd w:val="clear" w:color="auto" w:fill="C6D9F1" w:themeFill="text2" w:themeFillTint="33"/>
          </w:tcPr>
          <w:p w:rsidR="008E6F83" w:rsidRPr="004017EA" w:rsidRDefault="008E6F83" w:rsidP="008E6F83">
            <w:pPr>
              <w:rPr>
                <w:rFonts w:cstheme="minorHAnsi"/>
                <w:sz w:val="16"/>
                <w:szCs w:val="16"/>
              </w:rPr>
            </w:pPr>
            <w:r w:rsidRPr="004017EA">
              <w:rPr>
                <w:rFonts w:cstheme="minorHAnsi"/>
                <w:sz w:val="16"/>
                <w:szCs w:val="16"/>
              </w:rPr>
              <w:t>Rep</w:t>
            </w:r>
            <w:r w:rsidR="006C400C">
              <w:rPr>
                <w:rFonts w:cstheme="minorHAnsi"/>
                <w:sz w:val="16"/>
                <w:szCs w:val="16"/>
              </w:rPr>
              <w:t>ort</w:t>
            </w:r>
          </w:p>
        </w:tc>
        <w:tc>
          <w:tcPr>
            <w:tcW w:w="0" w:type="auto"/>
          </w:tcPr>
          <w:p w:rsidR="008E6F83" w:rsidRPr="004017EA" w:rsidRDefault="008E6F83" w:rsidP="008E6F83">
            <w:pPr>
              <w:rPr>
                <w:rFonts w:cstheme="minorHAnsi"/>
                <w:sz w:val="16"/>
                <w:szCs w:val="16"/>
              </w:rPr>
            </w:pPr>
          </w:p>
        </w:tc>
        <w:tc>
          <w:tcPr>
            <w:tcW w:w="0" w:type="auto"/>
          </w:tcPr>
          <w:p w:rsidR="008E6F83" w:rsidRPr="004017EA" w:rsidRDefault="008E6F83" w:rsidP="008E6F83">
            <w:pPr>
              <w:jc w:val="both"/>
              <w:rPr>
                <w:rFonts w:cstheme="minorHAnsi"/>
                <w:sz w:val="16"/>
                <w:szCs w:val="16"/>
              </w:rPr>
            </w:pPr>
            <w:r w:rsidRPr="004017EA">
              <w:rPr>
                <w:rFonts w:cstheme="minorHAnsi"/>
                <w:sz w:val="16"/>
                <w:szCs w:val="16"/>
                <w:lang w:val="en-US"/>
              </w:rPr>
              <w:t xml:space="preserve">Agreed under the </w:t>
            </w:r>
            <w:proofErr w:type="spellStart"/>
            <w:r w:rsidRPr="004017EA">
              <w:rPr>
                <w:rFonts w:cstheme="minorHAnsi"/>
                <w:sz w:val="16"/>
                <w:szCs w:val="16"/>
                <w:lang w:val="en-US"/>
              </w:rPr>
              <w:t>AusAID</w:t>
            </w:r>
            <w:proofErr w:type="spellEnd"/>
            <w:r w:rsidRPr="004017EA">
              <w:rPr>
                <w:rFonts w:cstheme="minorHAnsi"/>
                <w:sz w:val="16"/>
                <w:szCs w:val="16"/>
                <w:lang w:val="en-US"/>
              </w:rPr>
              <w:t xml:space="preserve"> DFA2 and will engage both funding partners. </w:t>
            </w:r>
            <w:r w:rsidRPr="004017EA">
              <w:rPr>
                <w:rFonts w:cstheme="minorHAnsi"/>
                <w:sz w:val="16"/>
                <w:szCs w:val="16"/>
              </w:rPr>
              <w:t>.</w:t>
            </w:r>
            <w:r w:rsidRPr="004017EA">
              <w:rPr>
                <w:rFonts w:cstheme="minorHAnsi"/>
                <w:i/>
                <w:iCs/>
                <w:sz w:val="16"/>
                <w:szCs w:val="16"/>
              </w:rPr>
              <w:t>.</w:t>
            </w:r>
          </w:p>
        </w:tc>
      </w:tr>
    </w:tbl>
    <w:p w:rsidR="00125581" w:rsidRDefault="00125581" w:rsidP="00975338">
      <w:pPr>
        <w:spacing w:after="0"/>
        <w:rPr>
          <w:rFonts w:cstheme="minorHAnsi"/>
          <w:b/>
          <w:sz w:val="28"/>
        </w:rPr>
      </w:pPr>
    </w:p>
    <w:p w:rsidR="00975338" w:rsidRDefault="00975338" w:rsidP="00975338">
      <w:pPr>
        <w:spacing w:after="0"/>
        <w:rPr>
          <w:rFonts w:cstheme="minorHAnsi"/>
          <w:b/>
          <w:sz w:val="28"/>
        </w:rPr>
      </w:pPr>
    </w:p>
    <w:p w:rsidR="00F53C56" w:rsidRDefault="00F53C56" w:rsidP="00975338">
      <w:pPr>
        <w:spacing w:after="0"/>
        <w:rPr>
          <w:rFonts w:cstheme="minorHAnsi"/>
          <w:b/>
          <w:sz w:val="28"/>
        </w:rPr>
      </w:pPr>
    </w:p>
    <w:p w:rsidR="00F53C56" w:rsidRDefault="00F53C56" w:rsidP="00975338">
      <w:pPr>
        <w:spacing w:after="0"/>
        <w:rPr>
          <w:rFonts w:cstheme="minorHAnsi"/>
          <w:b/>
          <w:sz w:val="28"/>
        </w:rPr>
      </w:pPr>
    </w:p>
    <w:p w:rsidR="00F53C56" w:rsidRDefault="00F53C56" w:rsidP="00975338">
      <w:pPr>
        <w:spacing w:after="0"/>
        <w:rPr>
          <w:rFonts w:cstheme="minorHAnsi"/>
          <w:b/>
          <w:sz w:val="28"/>
        </w:rPr>
      </w:pPr>
    </w:p>
    <w:p w:rsidR="00F53C56" w:rsidRDefault="00F53C56" w:rsidP="00975338">
      <w:pPr>
        <w:spacing w:after="0"/>
        <w:rPr>
          <w:rFonts w:cstheme="minorHAnsi"/>
          <w:b/>
          <w:sz w:val="28"/>
        </w:rPr>
      </w:pPr>
    </w:p>
    <w:p w:rsidR="00F53C56" w:rsidRDefault="00F53C56" w:rsidP="00975338">
      <w:pPr>
        <w:spacing w:after="0"/>
        <w:rPr>
          <w:rFonts w:cstheme="minorHAnsi"/>
          <w:b/>
          <w:sz w:val="28"/>
        </w:rPr>
      </w:pPr>
    </w:p>
    <w:p w:rsidR="00F53C56" w:rsidRDefault="00F53C56" w:rsidP="00975338">
      <w:pPr>
        <w:spacing w:after="0"/>
        <w:rPr>
          <w:rFonts w:cstheme="minorHAnsi"/>
          <w:b/>
          <w:sz w:val="28"/>
        </w:rPr>
      </w:pPr>
    </w:p>
    <w:p w:rsidR="00F53C56" w:rsidRDefault="00F53C56" w:rsidP="00975338">
      <w:pPr>
        <w:spacing w:after="0"/>
        <w:rPr>
          <w:rFonts w:cstheme="minorHAnsi"/>
          <w:b/>
          <w:sz w:val="28"/>
        </w:rPr>
      </w:pPr>
    </w:p>
    <w:p w:rsidR="00F53C56" w:rsidRDefault="00F53C56" w:rsidP="00975338">
      <w:pPr>
        <w:spacing w:after="0"/>
        <w:rPr>
          <w:rFonts w:cstheme="minorHAnsi"/>
          <w:b/>
          <w:sz w:val="28"/>
        </w:rPr>
      </w:pPr>
    </w:p>
    <w:p w:rsidR="00975338" w:rsidRDefault="00975338" w:rsidP="00975338">
      <w:pPr>
        <w:spacing w:after="0"/>
        <w:rPr>
          <w:rFonts w:cstheme="minorHAnsi"/>
          <w:b/>
          <w:sz w:val="28"/>
        </w:rPr>
      </w:pPr>
    </w:p>
    <w:p w:rsidR="008C118E" w:rsidRPr="004017EA" w:rsidRDefault="008C118E" w:rsidP="00125581">
      <w:pPr>
        <w:spacing w:after="0" w:line="240" w:lineRule="auto"/>
        <w:jc w:val="center"/>
        <w:rPr>
          <w:rFonts w:cstheme="minorHAnsi"/>
          <w:b/>
          <w:sz w:val="28"/>
        </w:rPr>
      </w:pPr>
      <w:r w:rsidRPr="004017EA">
        <w:rPr>
          <w:rFonts w:cstheme="minorHAnsi"/>
          <w:b/>
          <w:sz w:val="28"/>
        </w:rPr>
        <w:t>Annexes</w:t>
      </w:r>
    </w:p>
    <w:p w:rsidR="008C118E" w:rsidRPr="008C118E" w:rsidRDefault="008C118E" w:rsidP="00A54F50">
      <w:pPr>
        <w:numPr>
          <w:ilvl w:val="0"/>
          <w:numId w:val="38"/>
        </w:numPr>
        <w:spacing w:before="120" w:after="120" w:line="240" w:lineRule="auto"/>
        <w:rPr>
          <w:rFonts w:cstheme="minorHAnsi"/>
        </w:rPr>
      </w:pPr>
      <w:r w:rsidRPr="008C118E">
        <w:rPr>
          <w:rFonts w:cstheme="minorHAnsi"/>
        </w:rPr>
        <w:t>Charts and Graphs</w:t>
      </w:r>
    </w:p>
    <w:p w:rsidR="008C118E" w:rsidRPr="008C118E" w:rsidRDefault="008C118E" w:rsidP="00524799">
      <w:pPr>
        <w:spacing w:before="120" w:after="120" w:line="240" w:lineRule="auto"/>
        <w:ind w:left="360"/>
        <w:rPr>
          <w:rFonts w:cstheme="minorHAnsi"/>
        </w:rPr>
      </w:pPr>
    </w:p>
    <w:p w:rsidR="008C118E" w:rsidRPr="008C118E" w:rsidRDefault="008C118E" w:rsidP="008C118E">
      <w:pPr>
        <w:spacing w:before="120" w:after="120" w:line="240" w:lineRule="auto"/>
        <w:rPr>
          <w:rFonts w:cstheme="minorHAnsi"/>
        </w:rPr>
      </w:pPr>
    </w:p>
    <w:p w:rsidR="008E6F83" w:rsidRDefault="008E6F83" w:rsidP="000B656B">
      <w:pPr>
        <w:jc w:val="both"/>
        <w:rPr>
          <w:rFonts w:cstheme="minorHAnsi"/>
          <w:b/>
        </w:rPr>
        <w:sectPr w:rsidR="008E6F83" w:rsidSect="00D823C9">
          <w:footerReference w:type="default" r:id="rId16"/>
          <w:footerReference w:type="first" r:id="rId17"/>
          <w:pgSz w:w="11906" w:h="16838"/>
          <w:pgMar w:top="720" w:right="720" w:bottom="720" w:left="720" w:header="709" w:footer="709" w:gutter="0"/>
          <w:cols w:space="708"/>
          <w:titlePg/>
          <w:docGrid w:linePitch="360"/>
        </w:sectPr>
      </w:pPr>
    </w:p>
    <w:p w:rsidR="008C118E" w:rsidRDefault="008C118E" w:rsidP="00A877DF">
      <w:pPr>
        <w:spacing w:before="120" w:after="120" w:line="240" w:lineRule="auto"/>
        <w:ind w:left="360"/>
        <w:jc w:val="center"/>
        <w:rPr>
          <w:rFonts w:cstheme="minorHAnsi"/>
        </w:rPr>
      </w:pPr>
    </w:p>
    <w:p w:rsidR="00BC4FC1" w:rsidRPr="004017EA" w:rsidRDefault="00DC5474" w:rsidP="006A57AC">
      <w:pPr>
        <w:spacing w:line="240" w:lineRule="auto"/>
        <w:jc w:val="center"/>
        <w:rPr>
          <w:rFonts w:cstheme="minorHAnsi"/>
          <w:lang w:val="en-GB"/>
        </w:rPr>
      </w:pPr>
      <w:r>
        <w:rPr>
          <w:rFonts w:cstheme="minorHAnsi"/>
          <w:lang w:val="en-GB"/>
        </w:rPr>
        <w:t>ANNEX I</w:t>
      </w:r>
    </w:p>
    <w:p w:rsidR="00BC4FC1" w:rsidRPr="004017EA" w:rsidRDefault="00BC4FC1" w:rsidP="00E47C69">
      <w:pPr>
        <w:spacing w:line="240" w:lineRule="auto"/>
        <w:ind w:left="720" w:hanging="720"/>
        <w:jc w:val="center"/>
        <w:rPr>
          <w:rFonts w:cstheme="minorHAnsi"/>
          <w:lang w:val="en-GB"/>
        </w:rPr>
      </w:pPr>
      <w:r w:rsidRPr="004017EA">
        <w:rPr>
          <w:rFonts w:cstheme="minorHAnsi"/>
          <w:lang w:val="en-GB"/>
        </w:rPr>
        <w:t xml:space="preserve">Charts and Graphs of Approved Projects </w:t>
      </w:r>
    </w:p>
    <w:tbl>
      <w:tblPr>
        <w:tblpPr w:leftFromText="180" w:rightFromText="180" w:vertAnchor="text" w:horzAnchor="margin" w:tblpXSpec="right" w:tblpY="504"/>
        <w:tblW w:w="6980" w:type="dxa"/>
        <w:tblLook w:val="04A0" w:firstRow="1" w:lastRow="0" w:firstColumn="1" w:lastColumn="0" w:noHBand="0" w:noVBand="1"/>
      </w:tblPr>
      <w:tblGrid>
        <w:gridCol w:w="1956"/>
        <w:gridCol w:w="2216"/>
        <w:gridCol w:w="1496"/>
        <w:gridCol w:w="1312"/>
      </w:tblGrid>
      <w:tr w:rsidR="009C2CE8" w:rsidRPr="004017EA" w:rsidTr="006A57AC">
        <w:trPr>
          <w:trHeight w:val="600"/>
        </w:trPr>
        <w:tc>
          <w:tcPr>
            <w:tcW w:w="1956" w:type="dxa"/>
            <w:tcBorders>
              <w:top w:val="nil"/>
              <w:left w:val="nil"/>
              <w:bottom w:val="single" w:sz="4" w:space="0" w:color="95B3D7"/>
              <w:right w:val="nil"/>
            </w:tcBorders>
            <w:shd w:val="clear" w:color="DBE5F1" w:fill="DBE5F1"/>
            <w:noWrap/>
            <w:hideMark/>
          </w:tcPr>
          <w:p w:rsidR="009C2CE8" w:rsidRPr="004017EA" w:rsidRDefault="009C2CE8"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Row Labels</w:t>
            </w:r>
          </w:p>
        </w:tc>
        <w:tc>
          <w:tcPr>
            <w:tcW w:w="2216" w:type="dxa"/>
            <w:tcBorders>
              <w:top w:val="nil"/>
              <w:left w:val="nil"/>
              <w:bottom w:val="single" w:sz="4" w:space="0" w:color="95B3D7"/>
              <w:right w:val="nil"/>
            </w:tcBorders>
            <w:shd w:val="clear" w:color="DBE5F1" w:fill="DBE5F1"/>
            <w:noWrap/>
            <w:hideMark/>
          </w:tcPr>
          <w:p w:rsidR="009C2CE8" w:rsidRPr="004017EA" w:rsidRDefault="009C2CE8" w:rsidP="006A57AC">
            <w:pPr>
              <w:spacing w:after="0" w:line="240" w:lineRule="auto"/>
              <w:rPr>
                <w:rFonts w:eastAsia="Times New Roman" w:cstheme="minorHAnsi"/>
                <w:b/>
                <w:bCs/>
                <w:color w:val="000000"/>
                <w:lang w:eastAsia="en-NZ"/>
              </w:rPr>
            </w:pPr>
            <w:r w:rsidRPr="004017EA">
              <w:rPr>
                <w:rFonts w:eastAsia="Times New Roman" w:cstheme="minorHAnsi"/>
                <w:b/>
                <w:bCs/>
                <w:color w:val="000000"/>
                <w:lang w:eastAsia="en-NZ"/>
              </w:rPr>
              <w:t>Count of Main Activity</w:t>
            </w:r>
          </w:p>
        </w:tc>
        <w:tc>
          <w:tcPr>
            <w:tcW w:w="1496" w:type="dxa"/>
            <w:tcBorders>
              <w:top w:val="nil"/>
              <w:left w:val="nil"/>
              <w:bottom w:val="single" w:sz="4" w:space="0" w:color="95B3D7"/>
              <w:right w:val="nil"/>
            </w:tcBorders>
            <w:shd w:val="clear" w:color="DBE5F1" w:fill="DBE5F1"/>
            <w:noWrap/>
            <w:hideMark/>
          </w:tcPr>
          <w:p w:rsidR="009C2CE8" w:rsidRPr="004017EA" w:rsidRDefault="009C2CE8" w:rsidP="006A57AC">
            <w:pPr>
              <w:spacing w:after="0" w:line="240" w:lineRule="auto"/>
              <w:rPr>
                <w:rFonts w:eastAsia="Times New Roman" w:cstheme="minorHAnsi"/>
                <w:b/>
                <w:bCs/>
                <w:color w:val="000000"/>
                <w:lang w:eastAsia="en-NZ"/>
              </w:rPr>
            </w:pPr>
            <w:r w:rsidRPr="004017EA">
              <w:rPr>
                <w:rFonts w:eastAsia="Times New Roman" w:cstheme="minorHAnsi"/>
                <w:b/>
                <w:bCs/>
                <w:color w:val="000000"/>
                <w:lang w:eastAsia="en-NZ"/>
              </w:rPr>
              <w:t>Sum of Budget</w:t>
            </w:r>
          </w:p>
        </w:tc>
        <w:tc>
          <w:tcPr>
            <w:tcW w:w="1312" w:type="dxa"/>
            <w:tcBorders>
              <w:top w:val="nil"/>
              <w:left w:val="nil"/>
              <w:bottom w:val="nil"/>
              <w:right w:val="nil"/>
            </w:tcBorders>
            <w:shd w:val="clear" w:color="000000" w:fill="C5D9F1"/>
            <w:hideMark/>
          </w:tcPr>
          <w:p w:rsidR="009C2CE8" w:rsidRPr="004017EA" w:rsidRDefault="009C2CE8" w:rsidP="006A57AC">
            <w:pPr>
              <w:spacing w:after="0" w:line="240" w:lineRule="auto"/>
              <w:rPr>
                <w:rFonts w:eastAsia="Times New Roman" w:cstheme="minorHAnsi"/>
                <w:b/>
                <w:bCs/>
                <w:color w:val="000000"/>
                <w:lang w:eastAsia="en-NZ"/>
              </w:rPr>
            </w:pPr>
            <w:r w:rsidRPr="004017EA">
              <w:rPr>
                <w:rFonts w:eastAsia="Times New Roman" w:cstheme="minorHAnsi"/>
                <w:b/>
                <w:bCs/>
                <w:color w:val="000000"/>
                <w:lang w:eastAsia="en-NZ"/>
              </w:rPr>
              <w:t>Average  $ per project</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 xml:space="preserve">Education </w:t>
            </w:r>
            <w:proofErr w:type="spellStart"/>
            <w:r w:rsidRPr="004017EA">
              <w:rPr>
                <w:rFonts w:eastAsia="Times New Roman" w:cstheme="minorHAnsi"/>
                <w:color w:val="000000"/>
                <w:lang w:eastAsia="en-NZ"/>
              </w:rPr>
              <w:t>Bldg</w:t>
            </w:r>
            <w:proofErr w:type="spellEnd"/>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17</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750,416</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44142</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Education Other</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35,000</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35000</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Farming</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10</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320,370</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32037</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Fishing</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4</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97,812</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24453</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Garden</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4</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48,366</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12091</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Health Services</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245,000</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81667</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NGO Org support</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2</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140,000</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70000</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Other</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6</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279,708</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46618</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Pre-school building</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7</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395,703</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56529</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Sanitation</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5</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99,432</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19886</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Security Fence</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10</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275,002</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27500</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Social Services</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5</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345,000</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69000</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 xml:space="preserve">Water source </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5</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90,141</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18028</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Water tanks</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53</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1,523,098</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28738</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proofErr w:type="spellStart"/>
            <w:r w:rsidRPr="004017EA">
              <w:rPr>
                <w:rFonts w:eastAsia="Times New Roman" w:cstheme="minorHAnsi"/>
                <w:color w:val="000000"/>
                <w:lang w:eastAsia="en-NZ"/>
              </w:rPr>
              <w:t>Wom</w:t>
            </w:r>
            <w:proofErr w:type="spellEnd"/>
            <w:r w:rsidRPr="004017EA">
              <w:rPr>
                <w:rFonts w:eastAsia="Times New Roman" w:cstheme="minorHAnsi"/>
                <w:color w:val="000000"/>
                <w:lang w:eastAsia="en-NZ"/>
              </w:rPr>
              <w:t xml:space="preserve"> </w:t>
            </w:r>
            <w:proofErr w:type="spellStart"/>
            <w:r w:rsidRPr="004017EA">
              <w:rPr>
                <w:rFonts w:eastAsia="Times New Roman" w:cstheme="minorHAnsi"/>
                <w:color w:val="000000"/>
                <w:lang w:eastAsia="en-NZ"/>
              </w:rPr>
              <w:t>Cttee</w:t>
            </w:r>
            <w:proofErr w:type="spellEnd"/>
            <w:r w:rsidRPr="004017EA">
              <w:rPr>
                <w:rFonts w:eastAsia="Times New Roman" w:cstheme="minorHAnsi"/>
                <w:color w:val="000000"/>
                <w:lang w:eastAsia="en-NZ"/>
              </w:rPr>
              <w:t xml:space="preserve"> house</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12</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417,739</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34812</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Women</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7</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68,517</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9788</w:t>
            </w:r>
          </w:p>
        </w:tc>
      </w:tr>
      <w:tr w:rsidR="009C2CE8" w:rsidRPr="004017EA" w:rsidTr="009C2CE8">
        <w:trPr>
          <w:trHeight w:val="300"/>
        </w:trPr>
        <w:tc>
          <w:tcPr>
            <w:tcW w:w="195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Youth</w:t>
            </w:r>
          </w:p>
        </w:tc>
        <w:tc>
          <w:tcPr>
            <w:tcW w:w="221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8</w:t>
            </w:r>
          </w:p>
        </w:tc>
        <w:tc>
          <w:tcPr>
            <w:tcW w:w="1496"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307,161</w:t>
            </w:r>
          </w:p>
        </w:tc>
        <w:tc>
          <w:tcPr>
            <w:tcW w:w="1312" w:type="dxa"/>
            <w:tcBorders>
              <w:top w:val="nil"/>
              <w:left w:val="nil"/>
              <w:bottom w:val="nil"/>
              <w:right w:val="nil"/>
            </w:tcBorders>
            <w:shd w:val="clear" w:color="auto" w:fill="auto"/>
            <w:noWrap/>
            <w:vAlign w:val="bottom"/>
            <w:hideMark/>
          </w:tcPr>
          <w:p w:rsidR="009C2CE8" w:rsidRPr="004017EA" w:rsidRDefault="009C2CE8" w:rsidP="00E47C6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38395</w:t>
            </w:r>
          </w:p>
        </w:tc>
      </w:tr>
      <w:tr w:rsidR="009C2CE8" w:rsidRPr="004017EA" w:rsidTr="009C2CE8">
        <w:trPr>
          <w:trHeight w:val="300"/>
        </w:trPr>
        <w:tc>
          <w:tcPr>
            <w:tcW w:w="1956" w:type="dxa"/>
            <w:tcBorders>
              <w:top w:val="single" w:sz="4" w:space="0" w:color="95B3D7"/>
              <w:left w:val="nil"/>
              <w:bottom w:val="nil"/>
              <w:right w:val="nil"/>
            </w:tcBorders>
            <w:shd w:val="clear" w:color="DBE5F1" w:fill="DBE5F1"/>
            <w:noWrap/>
            <w:vAlign w:val="bottom"/>
            <w:hideMark/>
          </w:tcPr>
          <w:p w:rsidR="009C2CE8" w:rsidRPr="004017EA" w:rsidRDefault="009C2CE8" w:rsidP="00E47C69">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Grand Total</w:t>
            </w:r>
          </w:p>
        </w:tc>
        <w:tc>
          <w:tcPr>
            <w:tcW w:w="2216" w:type="dxa"/>
            <w:tcBorders>
              <w:top w:val="single" w:sz="4" w:space="0" w:color="95B3D7"/>
              <w:left w:val="nil"/>
              <w:bottom w:val="nil"/>
              <w:right w:val="nil"/>
            </w:tcBorders>
            <w:shd w:val="clear" w:color="DBE5F1" w:fill="DBE5F1"/>
            <w:noWrap/>
            <w:vAlign w:val="bottom"/>
            <w:hideMark/>
          </w:tcPr>
          <w:p w:rsidR="009C2CE8" w:rsidRPr="004017EA" w:rsidRDefault="009C2CE8" w:rsidP="00E47C69">
            <w:pPr>
              <w:spacing w:after="0" w:line="240" w:lineRule="auto"/>
              <w:ind w:left="720" w:hanging="720"/>
              <w:jc w:val="right"/>
              <w:rPr>
                <w:rFonts w:eastAsia="Times New Roman" w:cstheme="minorHAnsi"/>
                <w:b/>
                <w:bCs/>
                <w:color w:val="000000"/>
                <w:lang w:eastAsia="en-NZ"/>
              </w:rPr>
            </w:pPr>
            <w:r w:rsidRPr="004017EA">
              <w:rPr>
                <w:rFonts w:eastAsia="Times New Roman" w:cstheme="minorHAnsi"/>
                <w:b/>
                <w:bCs/>
                <w:color w:val="000000"/>
                <w:lang w:eastAsia="en-NZ"/>
              </w:rPr>
              <w:t>159</w:t>
            </w:r>
          </w:p>
        </w:tc>
        <w:tc>
          <w:tcPr>
            <w:tcW w:w="1496" w:type="dxa"/>
            <w:tcBorders>
              <w:top w:val="single" w:sz="4" w:space="0" w:color="95B3D7"/>
              <w:left w:val="nil"/>
              <w:bottom w:val="nil"/>
              <w:right w:val="nil"/>
            </w:tcBorders>
            <w:shd w:val="clear" w:color="DBE5F1" w:fill="DBE5F1"/>
            <w:noWrap/>
            <w:vAlign w:val="bottom"/>
            <w:hideMark/>
          </w:tcPr>
          <w:p w:rsidR="009C2CE8" w:rsidRPr="004017EA" w:rsidRDefault="009C2CE8" w:rsidP="00E47C69">
            <w:pPr>
              <w:spacing w:after="0" w:line="240" w:lineRule="auto"/>
              <w:ind w:left="720" w:hanging="720"/>
              <w:jc w:val="right"/>
              <w:rPr>
                <w:rFonts w:eastAsia="Times New Roman" w:cstheme="minorHAnsi"/>
                <w:b/>
                <w:bCs/>
                <w:color w:val="000000"/>
                <w:lang w:eastAsia="en-NZ"/>
              </w:rPr>
            </w:pPr>
            <w:r w:rsidRPr="004017EA">
              <w:rPr>
                <w:rFonts w:eastAsia="Times New Roman" w:cstheme="minorHAnsi"/>
                <w:b/>
                <w:bCs/>
                <w:color w:val="000000"/>
                <w:lang w:eastAsia="en-NZ"/>
              </w:rPr>
              <w:t>5,438,465</w:t>
            </w:r>
          </w:p>
        </w:tc>
        <w:tc>
          <w:tcPr>
            <w:tcW w:w="1312" w:type="dxa"/>
            <w:tcBorders>
              <w:top w:val="nil"/>
              <w:left w:val="nil"/>
              <w:bottom w:val="nil"/>
              <w:right w:val="nil"/>
            </w:tcBorders>
            <w:shd w:val="clear" w:color="000000" w:fill="C5D9F1"/>
            <w:noWrap/>
            <w:vAlign w:val="bottom"/>
            <w:hideMark/>
          </w:tcPr>
          <w:p w:rsidR="009C2CE8" w:rsidRPr="004017EA" w:rsidRDefault="009C2CE8" w:rsidP="00E47C69">
            <w:pPr>
              <w:spacing w:after="0" w:line="240" w:lineRule="auto"/>
              <w:ind w:left="720" w:hanging="720"/>
              <w:jc w:val="right"/>
              <w:rPr>
                <w:rFonts w:eastAsia="Times New Roman" w:cstheme="minorHAnsi"/>
                <w:b/>
                <w:bCs/>
                <w:color w:val="000000"/>
                <w:lang w:eastAsia="en-NZ"/>
              </w:rPr>
            </w:pPr>
            <w:r w:rsidRPr="004017EA">
              <w:rPr>
                <w:rFonts w:eastAsia="Times New Roman" w:cstheme="minorHAnsi"/>
                <w:b/>
                <w:bCs/>
                <w:color w:val="000000"/>
                <w:lang w:eastAsia="en-NZ"/>
              </w:rPr>
              <w:t>34,204</w:t>
            </w:r>
          </w:p>
        </w:tc>
      </w:tr>
    </w:tbl>
    <w:p w:rsidR="00BC4FC1" w:rsidRPr="004017EA" w:rsidRDefault="00FD63EA" w:rsidP="006A57AC">
      <w:pPr>
        <w:spacing w:line="240" w:lineRule="auto"/>
        <w:ind w:left="720" w:hanging="1146"/>
        <w:rPr>
          <w:rFonts w:cstheme="minorHAnsi"/>
          <w:lang w:val="en-GB"/>
        </w:rPr>
      </w:pPr>
      <w:r w:rsidRPr="004017EA">
        <w:rPr>
          <w:rFonts w:cstheme="minorHAnsi"/>
          <w:lang w:val="en-GB"/>
        </w:rPr>
        <w:t xml:space="preserve">   </w:t>
      </w:r>
      <w:r w:rsidR="006A57AC" w:rsidRPr="004017EA">
        <w:rPr>
          <w:rFonts w:cstheme="minorHAnsi"/>
          <w:lang w:val="en-GB"/>
        </w:rPr>
        <w:t xml:space="preserve"> </w:t>
      </w:r>
      <w:r w:rsidR="00BC4FC1" w:rsidRPr="004017EA">
        <w:rPr>
          <w:rFonts w:cstheme="minorHAnsi"/>
          <w:lang w:val="en-GB"/>
        </w:rPr>
        <w:t>Chart No. 1:  Approved Projects by CSO Type</w:t>
      </w:r>
      <w:r w:rsidRPr="004017EA">
        <w:rPr>
          <w:rFonts w:cstheme="minorHAnsi"/>
          <w:lang w:val="en-GB"/>
        </w:rPr>
        <w:t xml:space="preserve">                                     </w:t>
      </w:r>
      <w:r w:rsidR="009C2CE8" w:rsidRPr="004017EA">
        <w:rPr>
          <w:rFonts w:cstheme="minorHAnsi"/>
          <w:lang w:val="en-GB"/>
        </w:rPr>
        <w:t xml:space="preserve">                               Chart No. 2:  Count of Main Activity, Activity Budget, </w:t>
      </w:r>
      <w:proofErr w:type="gramStart"/>
      <w:r w:rsidR="009C2CE8" w:rsidRPr="004017EA">
        <w:rPr>
          <w:rFonts w:cstheme="minorHAnsi"/>
          <w:lang w:val="en-GB"/>
        </w:rPr>
        <w:t>Activity</w:t>
      </w:r>
      <w:proofErr w:type="gramEnd"/>
      <w:r w:rsidR="009C2CE8" w:rsidRPr="004017EA">
        <w:rPr>
          <w:rFonts w:cstheme="minorHAnsi"/>
          <w:lang w:val="en-GB"/>
        </w:rPr>
        <w:t xml:space="preserve"> Average</w:t>
      </w:r>
      <w:r w:rsidRPr="004017EA">
        <w:rPr>
          <w:rFonts w:cstheme="minorHAnsi"/>
          <w:lang w:val="en-GB"/>
        </w:rPr>
        <w:t xml:space="preserve">                   </w:t>
      </w:r>
    </w:p>
    <w:p w:rsidR="009C2CE8" w:rsidRPr="004017EA" w:rsidRDefault="00FD63EA" w:rsidP="00E47C69">
      <w:pPr>
        <w:ind w:left="720" w:hanging="720"/>
        <w:rPr>
          <w:rFonts w:cstheme="minorHAnsi"/>
          <w:highlight w:val="yellow"/>
          <w:lang w:val="en-GB"/>
        </w:rPr>
      </w:pPr>
      <w:r w:rsidRPr="004017EA">
        <w:rPr>
          <w:rFonts w:cstheme="minorHAnsi"/>
          <w:highlight w:val="yellow"/>
          <w:lang w:val="en-GB"/>
        </w:rPr>
        <w:t xml:space="preserve"> </w:t>
      </w:r>
      <w:r w:rsidRPr="004017EA">
        <w:rPr>
          <w:rFonts w:cstheme="minorHAnsi"/>
          <w:noProof/>
        </w:rPr>
        <w:drawing>
          <wp:inline distT="0" distB="0" distL="0" distR="0" wp14:anchorId="2D877335" wp14:editId="405B89A0">
            <wp:extent cx="4505325" cy="2943225"/>
            <wp:effectExtent l="19050" t="0" r="9525"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4017EA">
        <w:rPr>
          <w:rFonts w:cstheme="minorHAnsi"/>
          <w:highlight w:val="yellow"/>
          <w:lang w:val="en-GB"/>
        </w:rPr>
        <w:t xml:space="preserve">          </w:t>
      </w:r>
      <w:r w:rsidR="00041A82" w:rsidRPr="004017EA">
        <w:rPr>
          <w:rFonts w:cstheme="minorHAnsi"/>
          <w:highlight w:val="yellow"/>
          <w:lang w:val="en-GB"/>
        </w:rPr>
        <w:t xml:space="preserve">    </w:t>
      </w:r>
      <w:r w:rsidRPr="004017EA">
        <w:rPr>
          <w:rFonts w:cstheme="minorHAnsi"/>
          <w:highlight w:val="yellow"/>
          <w:lang w:val="en-GB"/>
        </w:rPr>
        <w:t xml:space="preserve">          </w:t>
      </w:r>
    </w:p>
    <w:tbl>
      <w:tblPr>
        <w:tblpPr w:leftFromText="180" w:rightFromText="180" w:vertAnchor="text" w:horzAnchor="margin" w:tblpY="33"/>
        <w:tblW w:w="5562" w:type="dxa"/>
        <w:tblLook w:val="04A0" w:firstRow="1" w:lastRow="0" w:firstColumn="1" w:lastColumn="0" w:noHBand="0" w:noVBand="1"/>
      </w:tblPr>
      <w:tblGrid>
        <w:gridCol w:w="1814"/>
        <w:gridCol w:w="1804"/>
        <w:gridCol w:w="1944"/>
      </w:tblGrid>
      <w:tr w:rsidR="006A57AC" w:rsidRPr="004017EA" w:rsidTr="006A57AC">
        <w:trPr>
          <w:trHeight w:val="720"/>
        </w:trPr>
        <w:tc>
          <w:tcPr>
            <w:tcW w:w="1814" w:type="dxa"/>
            <w:tcBorders>
              <w:top w:val="nil"/>
              <w:left w:val="nil"/>
              <w:bottom w:val="single" w:sz="4" w:space="0" w:color="95B3D7"/>
              <w:right w:val="nil"/>
            </w:tcBorders>
            <w:shd w:val="clear" w:color="DBE5F1" w:fill="DBE5F1"/>
            <w:noWrap/>
            <w:vAlign w:val="bottom"/>
            <w:hideMark/>
          </w:tcPr>
          <w:p w:rsidR="006A57AC" w:rsidRPr="004017EA" w:rsidRDefault="006A57AC"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Row Labels</w:t>
            </w:r>
          </w:p>
        </w:tc>
        <w:tc>
          <w:tcPr>
            <w:tcW w:w="1804" w:type="dxa"/>
            <w:tcBorders>
              <w:top w:val="nil"/>
              <w:left w:val="nil"/>
              <w:bottom w:val="single" w:sz="4" w:space="0" w:color="95B3D7"/>
              <w:right w:val="nil"/>
            </w:tcBorders>
            <w:shd w:val="clear" w:color="DBE5F1" w:fill="DBE5F1"/>
            <w:vAlign w:val="bottom"/>
            <w:hideMark/>
          </w:tcPr>
          <w:p w:rsidR="006A57AC" w:rsidRPr="004017EA" w:rsidRDefault="006A57AC"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Count of CBO / NGO</w:t>
            </w:r>
          </w:p>
        </w:tc>
        <w:tc>
          <w:tcPr>
            <w:tcW w:w="1944" w:type="dxa"/>
            <w:tcBorders>
              <w:top w:val="nil"/>
              <w:left w:val="nil"/>
              <w:bottom w:val="single" w:sz="4" w:space="0" w:color="95B3D7"/>
              <w:right w:val="nil"/>
            </w:tcBorders>
            <w:shd w:val="clear" w:color="DBE5F1" w:fill="DBE5F1"/>
            <w:noWrap/>
            <w:vAlign w:val="bottom"/>
            <w:hideMark/>
          </w:tcPr>
          <w:p w:rsidR="006A57AC" w:rsidRPr="004017EA" w:rsidRDefault="006A57AC"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Sum of Budget</w:t>
            </w:r>
          </w:p>
        </w:tc>
      </w:tr>
      <w:tr w:rsidR="006A57AC" w:rsidRPr="004017EA" w:rsidTr="006A57AC">
        <w:trPr>
          <w:trHeight w:val="360"/>
        </w:trPr>
        <w:tc>
          <w:tcPr>
            <w:tcW w:w="1814"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CBO</w:t>
            </w:r>
          </w:p>
        </w:tc>
        <w:tc>
          <w:tcPr>
            <w:tcW w:w="1804"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145</w:t>
            </w:r>
          </w:p>
        </w:tc>
        <w:tc>
          <w:tcPr>
            <w:tcW w:w="1944"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4,475,747</w:t>
            </w:r>
          </w:p>
        </w:tc>
      </w:tr>
      <w:tr w:rsidR="006A57AC" w:rsidRPr="004017EA" w:rsidTr="006A57AC">
        <w:trPr>
          <w:trHeight w:val="360"/>
        </w:trPr>
        <w:tc>
          <w:tcPr>
            <w:tcW w:w="1814"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NGO</w:t>
            </w:r>
          </w:p>
        </w:tc>
        <w:tc>
          <w:tcPr>
            <w:tcW w:w="1804"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14</w:t>
            </w:r>
          </w:p>
        </w:tc>
        <w:tc>
          <w:tcPr>
            <w:tcW w:w="1944"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962,718</w:t>
            </w:r>
          </w:p>
        </w:tc>
      </w:tr>
      <w:tr w:rsidR="006A57AC" w:rsidRPr="004017EA" w:rsidTr="006A57AC">
        <w:trPr>
          <w:trHeight w:val="360"/>
        </w:trPr>
        <w:tc>
          <w:tcPr>
            <w:tcW w:w="1814" w:type="dxa"/>
            <w:tcBorders>
              <w:top w:val="single" w:sz="4" w:space="0" w:color="95B3D7"/>
              <w:left w:val="nil"/>
              <w:bottom w:val="nil"/>
              <w:right w:val="nil"/>
            </w:tcBorders>
            <w:shd w:val="clear" w:color="DBE5F1" w:fill="DBE5F1"/>
            <w:noWrap/>
            <w:vAlign w:val="bottom"/>
            <w:hideMark/>
          </w:tcPr>
          <w:p w:rsidR="006A57AC" w:rsidRPr="004017EA" w:rsidRDefault="006A57AC"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Grand Total</w:t>
            </w:r>
          </w:p>
        </w:tc>
        <w:tc>
          <w:tcPr>
            <w:tcW w:w="1804" w:type="dxa"/>
            <w:tcBorders>
              <w:top w:val="single" w:sz="4" w:space="0" w:color="95B3D7"/>
              <w:left w:val="nil"/>
              <w:bottom w:val="nil"/>
              <w:right w:val="nil"/>
            </w:tcBorders>
            <w:shd w:val="clear" w:color="DBE5F1" w:fill="DBE5F1"/>
            <w:noWrap/>
            <w:vAlign w:val="bottom"/>
            <w:hideMark/>
          </w:tcPr>
          <w:p w:rsidR="006A57AC" w:rsidRPr="004017EA" w:rsidRDefault="006A57AC" w:rsidP="006A57AC">
            <w:pPr>
              <w:spacing w:after="0" w:line="240" w:lineRule="auto"/>
              <w:ind w:left="720" w:hanging="720"/>
              <w:jc w:val="right"/>
              <w:rPr>
                <w:rFonts w:eastAsia="Times New Roman" w:cstheme="minorHAnsi"/>
                <w:b/>
                <w:bCs/>
                <w:color w:val="000000"/>
                <w:lang w:eastAsia="en-NZ"/>
              </w:rPr>
            </w:pPr>
            <w:r w:rsidRPr="004017EA">
              <w:rPr>
                <w:rFonts w:eastAsia="Times New Roman" w:cstheme="minorHAnsi"/>
                <w:b/>
                <w:bCs/>
                <w:color w:val="000000"/>
                <w:lang w:eastAsia="en-NZ"/>
              </w:rPr>
              <w:t>159</w:t>
            </w:r>
          </w:p>
        </w:tc>
        <w:tc>
          <w:tcPr>
            <w:tcW w:w="1944" w:type="dxa"/>
            <w:tcBorders>
              <w:top w:val="single" w:sz="4" w:space="0" w:color="95B3D7"/>
              <w:left w:val="nil"/>
              <w:bottom w:val="nil"/>
              <w:right w:val="nil"/>
            </w:tcBorders>
            <w:shd w:val="clear" w:color="DBE5F1" w:fill="DBE5F1"/>
            <w:noWrap/>
            <w:vAlign w:val="bottom"/>
            <w:hideMark/>
          </w:tcPr>
          <w:p w:rsidR="006A57AC" w:rsidRPr="004017EA" w:rsidRDefault="006A57AC" w:rsidP="006A57AC">
            <w:pPr>
              <w:spacing w:after="0" w:line="240" w:lineRule="auto"/>
              <w:ind w:left="720" w:hanging="720"/>
              <w:jc w:val="right"/>
              <w:rPr>
                <w:rFonts w:eastAsia="Times New Roman" w:cstheme="minorHAnsi"/>
                <w:b/>
                <w:bCs/>
                <w:color w:val="000000"/>
                <w:lang w:eastAsia="en-NZ"/>
              </w:rPr>
            </w:pPr>
            <w:r w:rsidRPr="004017EA">
              <w:rPr>
                <w:rFonts w:eastAsia="Times New Roman" w:cstheme="minorHAnsi"/>
                <w:b/>
                <w:bCs/>
                <w:color w:val="000000"/>
                <w:lang w:eastAsia="en-NZ"/>
              </w:rPr>
              <w:t>5,438,465</w:t>
            </w:r>
          </w:p>
        </w:tc>
      </w:tr>
    </w:tbl>
    <w:p w:rsidR="00BC4FC1" w:rsidRPr="004017EA" w:rsidRDefault="00BC4FC1" w:rsidP="00E47C69">
      <w:pPr>
        <w:ind w:left="720" w:hanging="720"/>
        <w:rPr>
          <w:rFonts w:cstheme="minorHAnsi"/>
          <w:highlight w:val="yellow"/>
          <w:lang w:val="en-GB"/>
        </w:rPr>
      </w:pPr>
    </w:p>
    <w:p w:rsidR="00BC4FC1" w:rsidRPr="004017EA" w:rsidRDefault="00BC4FC1" w:rsidP="00E47C69">
      <w:pPr>
        <w:spacing w:line="240" w:lineRule="auto"/>
        <w:ind w:left="720" w:hanging="720"/>
        <w:rPr>
          <w:rFonts w:cstheme="minorHAnsi"/>
          <w:lang w:val="en-GB"/>
        </w:rPr>
      </w:pPr>
    </w:p>
    <w:p w:rsidR="009C2CE8" w:rsidRPr="004017EA" w:rsidRDefault="00903F23" w:rsidP="00544F9B">
      <w:pPr>
        <w:rPr>
          <w:rFonts w:cstheme="minorHAnsi"/>
          <w:highlight w:val="yellow"/>
          <w:lang w:val="en-GB"/>
        </w:rPr>
      </w:pPr>
      <w:r w:rsidRPr="004017EA">
        <w:rPr>
          <w:rFonts w:cstheme="minorHAnsi"/>
          <w:highlight w:val="yellow"/>
          <w:lang w:val="en-GB"/>
        </w:rPr>
        <w:br w:type="page"/>
      </w:r>
    </w:p>
    <w:p w:rsidR="006A57AC" w:rsidRPr="004017EA" w:rsidRDefault="009C2CE8" w:rsidP="006A57AC">
      <w:pPr>
        <w:rPr>
          <w:rFonts w:cstheme="minorHAnsi"/>
          <w:lang w:val="en-GB"/>
        </w:rPr>
      </w:pPr>
      <w:r w:rsidRPr="004017EA">
        <w:rPr>
          <w:rFonts w:cstheme="minorHAnsi"/>
          <w:lang w:val="en-GB"/>
        </w:rPr>
        <w:lastRenderedPageBreak/>
        <w:t>Chart No. 3:  Number of Projects by Sector</w:t>
      </w:r>
      <w:r w:rsidR="006A57AC" w:rsidRPr="004017EA">
        <w:rPr>
          <w:rFonts w:cstheme="minorHAnsi"/>
          <w:lang w:val="en-GB"/>
        </w:rPr>
        <w:t xml:space="preserve">                                      </w:t>
      </w:r>
      <w:r w:rsidR="00151CAE" w:rsidRPr="004017EA">
        <w:rPr>
          <w:rFonts w:cstheme="minorHAnsi"/>
          <w:lang w:val="en-GB"/>
        </w:rPr>
        <w:t xml:space="preserve">           </w:t>
      </w:r>
      <w:r w:rsidR="006A57AC" w:rsidRPr="004017EA">
        <w:rPr>
          <w:rFonts w:cstheme="minorHAnsi"/>
          <w:lang w:val="en-GB"/>
        </w:rPr>
        <w:t>Chart No. 4:  Funding of Projects by Sector</w:t>
      </w:r>
    </w:p>
    <w:p w:rsidR="00A47C9A" w:rsidRPr="004017EA" w:rsidRDefault="006A57AC" w:rsidP="006A57AC">
      <w:pPr>
        <w:rPr>
          <w:rFonts w:cstheme="minorHAnsi"/>
          <w:lang w:val="en-GB"/>
        </w:rPr>
      </w:pPr>
      <w:r w:rsidRPr="004017EA">
        <w:rPr>
          <w:rFonts w:cstheme="minorHAnsi"/>
          <w:noProof/>
        </w:rPr>
        <w:drawing>
          <wp:inline distT="0" distB="0" distL="0" distR="0" wp14:anchorId="12BBA302" wp14:editId="43693C13">
            <wp:extent cx="3698935" cy="2656936"/>
            <wp:effectExtent l="19050" t="0" r="15815"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017EA">
        <w:rPr>
          <w:rFonts w:cstheme="minorHAnsi"/>
          <w:noProof/>
          <w:lang w:eastAsia="en-NZ"/>
        </w:rPr>
        <w:t xml:space="preserve"> </w:t>
      </w:r>
      <w:r w:rsidR="00151CAE" w:rsidRPr="004017EA">
        <w:rPr>
          <w:rFonts w:cstheme="minorHAnsi"/>
          <w:noProof/>
          <w:lang w:eastAsia="en-NZ"/>
        </w:rPr>
        <w:t xml:space="preserve">                     </w:t>
      </w:r>
      <w:r w:rsidRPr="004017EA">
        <w:rPr>
          <w:rFonts w:cstheme="minorHAnsi"/>
          <w:noProof/>
        </w:rPr>
        <w:drawing>
          <wp:inline distT="0" distB="0" distL="0" distR="0" wp14:anchorId="37326F28" wp14:editId="24DF2B99">
            <wp:extent cx="3459300" cy="2993366"/>
            <wp:effectExtent l="19050" t="0" r="268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4017EA">
        <w:rPr>
          <w:rFonts w:cstheme="minorHAnsi"/>
          <w:lang w:val="en-GB"/>
        </w:rPr>
        <w:tab/>
      </w:r>
    </w:p>
    <w:tbl>
      <w:tblPr>
        <w:tblpPr w:leftFromText="180" w:rightFromText="180" w:vertAnchor="text" w:horzAnchor="margin" w:tblpY="115"/>
        <w:tblW w:w="6107" w:type="dxa"/>
        <w:tblLook w:val="04A0" w:firstRow="1" w:lastRow="0" w:firstColumn="1" w:lastColumn="0" w:noHBand="0" w:noVBand="1"/>
      </w:tblPr>
      <w:tblGrid>
        <w:gridCol w:w="2888"/>
        <w:gridCol w:w="3219"/>
      </w:tblGrid>
      <w:tr w:rsidR="006A57AC" w:rsidRPr="004017EA" w:rsidTr="006A57AC">
        <w:trPr>
          <w:trHeight w:val="266"/>
        </w:trPr>
        <w:tc>
          <w:tcPr>
            <w:tcW w:w="2888" w:type="dxa"/>
            <w:tcBorders>
              <w:top w:val="nil"/>
              <w:left w:val="nil"/>
              <w:bottom w:val="single" w:sz="4" w:space="0" w:color="95B3D7"/>
              <w:right w:val="nil"/>
            </w:tcBorders>
            <w:shd w:val="clear" w:color="DBE5F1" w:fill="DBE5F1"/>
            <w:noWrap/>
            <w:vAlign w:val="bottom"/>
            <w:hideMark/>
          </w:tcPr>
          <w:p w:rsidR="006A57AC" w:rsidRPr="004017EA" w:rsidRDefault="006A57AC"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Row Labels</w:t>
            </w:r>
          </w:p>
        </w:tc>
        <w:tc>
          <w:tcPr>
            <w:tcW w:w="3219" w:type="dxa"/>
            <w:tcBorders>
              <w:top w:val="nil"/>
              <w:left w:val="nil"/>
              <w:bottom w:val="single" w:sz="4" w:space="0" w:color="95B3D7"/>
              <w:right w:val="nil"/>
            </w:tcBorders>
            <w:shd w:val="clear" w:color="DBE5F1" w:fill="DBE5F1"/>
            <w:noWrap/>
            <w:vAlign w:val="bottom"/>
            <w:hideMark/>
          </w:tcPr>
          <w:p w:rsidR="006A57AC" w:rsidRPr="004017EA" w:rsidRDefault="006A57AC"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Count of Sector</w:t>
            </w:r>
          </w:p>
        </w:tc>
      </w:tr>
      <w:tr w:rsidR="006A57AC" w:rsidRPr="004017EA" w:rsidTr="006A57AC">
        <w:trPr>
          <w:trHeight w:val="266"/>
        </w:trPr>
        <w:tc>
          <w:tcPr>
            <w:tcW w:w="2888"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AGR</w:t>
            </w:r>
          </w:p>
        </w:tc>
        <w:tc>
          <w:tcPr>
            <w:tcW w:w="3219"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18</w:t>
            </w:r>
          </w:p>
        </w:tc>
      </w:tr>
      <w:tr w:rsidR="006A57AC" w:rsidRPr="004017EA" w:rsidTr="006A57AC">
        <w:trPr>
          <w:trHeight w:val="266"/>
        </w:trPr>
        <w:tc>
          <w:tcPr>
            <w:tcW w:w="2888"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COM DEV</w:t>
            </w:r>
          </w:p>
        </w:tc>
        <w:tc>
          <w:tcPr>
            <w:tcW w:w="3219"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34</w:t>
            </w:r>
          </w:p>
        </w:tc>
      </w:tr>
      <w:tr w:rsidR="006A57AC" w:rsidRPr="004017EA" w:rsidTr="006A57AC">
        <w:trPr>
          <w:trHeight w:val="266"/>
        </w:trPr>
        <w:tc>
          <w:tcPr>
            <w:tcW w:w="2888"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EDU</w:t>
            </w:r>
          </w:p>
        </w:tc>
        <w:tc>
          <w:tcPr>
            <w:tcW w:w="3219"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39</w:t>
            </w:r>
          </w:p>
        </w:tc>
      </w:tr>
      <w:tr w:rsidR="006A57AC" w:rsidRPr="004017EA" w:rsidTr="006A57AC">
        <w:trPr>
          <w:trHeight w:val="266"/>
        </w:trPr>
        <w:tc>
          <w:tcPr>
            <w:tcW w:w="2888"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HLTH</w:t>
            </w:r>
          </w:p>
        </w:tc>
        <w:tc>
          <w:tcPr>
            <w:tcW w:w="3219"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12</w:t>
            </w:r>
          </w:p>
        </w:tc>
      </w:tr>
      <w:tr w:rsidR="006A57AC" w:rsidRPr="004017EA" w:rsidTr="006A57AC">
        <w:trPr>
          <w:trHeight w:val="266"/>
        </w:trPr>
        <w:tc>
          <w:tcPr>
            <w:tcW w:w="2888"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JUSTICE</w:t>
            </w:r>
          </w:p>
        </w:tc>
        <w:tc>
          <w:tcPr>
            <w:tcW w:w="3219"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w:t>
            </w:r>
          </w:p>
        </w:tc>
      </w:tr>
      <w:tr w:rsidR="006A57AC" w:rsidRPr="004017EA" w:rsidTr="006A57AC">
        <w:trPr>
          <w:trHeight w:val="266"/>
        </w:trPr>
        <w:tc>
          <w:tcPr>
            <w:tcW w:w="2888"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WATER</w:t>
            </w:r>
          </w:p>
        </w:tc>
        <w:tc>
          <w:tcPr>
            <w:tcW w:w="3219"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55</w:t>
            </w:r>
          </w:p>
        </w:tc>
      </w:tr>
      <w:tr w:rsidR="006A57AC" w:rsidRPr="004017EA" w:rsidTr="006A57AC">
        <w:trPr>
          <w:trHeight w:val="266"/>
        </w:trPr>
        <w:tc>
          <w:tcPr>
            <w:tcW w:w="2888" w:type="dxa"/>
            <w:tcBorders>
              <w:top w:val="single" w:sz="4" w:space="0" w:color="95B3D7"/>
              <w:left w:val="nil"/>
              <w:bottom w:val="nil"/>
              <w:right w:val="nil"/>
            </w:tcBorders>
            <w:shd w:val="clear" w:color="DBE5F1" w:fill="DBE5F1"/>
            <w:noWrap/>
            <w:vAlign w:val="bottom"/>
            <w:hideMark/>
          </w:tcPr>
          <w:p w:rsidR="006A57AC" w:rsidRPr="004017EA" w:rsidRDefault="006A57AC"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Grand Total</w:t>
            </w:r>
          </w:p>
        </w:tc>
        <w:tc>
          <w:tcPr>
            <w:tcW w:w="3219" w:type="dxa"/>
            <w:tcBorders>
              <w:top w:val="single" w:sz="4" w:space="0" w:color="95B3D7"/>
              <w:left w:val="nil"/>
              <w:bottom w:val="nil"/>
              <w:right w:val="nil"/>
            </w:tcBorders>
            <w:shd w:val="clear" w:color="DBE5F1" w:fill="DBE5F1"/>
            <w:noWrap/>
            <w:vAlign w:val="bottom"/>
            <w:hideMark/>
          </w:tcPr>
          <w:p w:rsidR="006A57AC" w:rsidRPr="004017EA" w:rsidRDefault="006A57AC" w:rsidP="006A57AC">
            <w:pPr>
              <w:spacing w:after="0" w:line="240" w:lineRule="auto"/>
              <w:ind w:left="720" w:hanging="720"/>
              <w:jc w:val="right"/>
              <w:rPr>
                <w:rFonts w:eastAsia="Times New Roman" w:cstheme="minorHAnsi"/>
                <w:b/>
                <w:bCs/>
                <w:color w:val="000000"/>
                <w:lang w:eastAsia="en-NZ"/>
              </w:rPr>
            </w:pPr>
            <w:r w:rsidRPr="004017EA">
              <w:rPr>
                <w:rFonts w:eastAsia="Times New Roman" w:cstheme="minorHAnsi"/>
                <w:b/>
                <w:bCs/>
                <w:color w:val="000000"/>
                <w:lang w:eastAsia="en-NZ"/>
              </w:rPr>
              <w:t>159</w:t>
            </w:r>
          </w:p>
        </w:tc>
      </w:tr>
    </w:tbl>
    <w:tbl>
      <w:tblPr>
        <w:tblpPr w:leftFromText="180" w:rightFromText="180" w:vertAnchor="text" w:horzAnchor="page" w:tblpX="8112" w:tblpY="75"/>
        <w:tblW w:w="6015" w:type="dxa"/>
        <w:tblLook w:val="04A0" w:firstRow="1" w:lastRow="0" w:firstColumn="1" w:lastColumn="0" w:noHBand="0" w:noVBand="1"/>
      </w:tblPr>
      <w:tblGrid>
        <w:gridCol w:w="2897"/>
        <w:gridCol w:w="3118"/>
      </w:tblGrid>
      <w:tr w:rsidR="00151CAE" w:rsidRPr="004017EA" w:rsidTr="00151CAE">
        <w:trPr>
          <w:trHeight w:val="327"/>
        </w:trPr>
        <w:tc>
          <w:tcPr>
            <w:tcW w:w="2897" w:type="dxa"/>
            <w:tcBorders>
              <w:top w:val="nil"/>
              <w:left w:val="nil"/>
              <w:bottom w:val="single" w:sz="4" w:space="0" w:color="95B3D7"/>
              <w:right w:val="nil"/>
            </w:tcBorders>
            <w:shd w:val="clear" w:color="DBE5F1" w:fill="DBE5F1"/>
            <w:noWrap/>
            <w:vAlign w:val="bottom"/>
            <w:hideMark/>
          </w:tcPr>
          <w:p w:rsidR="00151CAE" w:rsidRPr="004017EA" w:rsidRDefault="00151CAE" w:rsidP="00151CAE">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Row Labels</w:t>
            </w:r>
          </w:p>
        </w:tc>
        <w:tc>
          <w:tcPr>
            <w:tcW w:w="3118" w:type="dxa"/>
            <w:tcBorders>
              <w:top w:val="nil"/>
              <w:left w:val="nil"/>
              <w:bottom w:val="single" w:sz="4" w:space="0" w:color="95B3D7"/>
              <w:right w:val="nil"/>
            </w:tcBorders>
            <w:shd w:val="clear" w:color="DBE5F1" w:fill="DBE5F1"/>
            <w:noWrap/>
            <w:vAlign w:val="bottom"/>
            <w:hideMark/>
          </w:tcPr>
          <w:p w:rsidR="00151CAE" w:rsidRPr="004017EA" w:rsidRDefault="00151CAE" w:rsidP="00151CAE">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Sum of Budget</w:t>
            </w:r>
          </w:p>
        </w:tc>
      </w:tr>
      <w:tr w:rsidR="00151CAE" w:rsidRPr="004017EA" w:rsidTr="00151CAE">
        <w:trPr>
          <w:trHeight w:val="327"/>
        </w:trPr>
        <w:tc>
          <w:tcPr>
            <w:tcW w:w="2897"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AGR</w:t>
            </w:r>
          </w:p>
        </w:tc>
        <w:tc>
          <w:tcPr>
            <w:tcW w:w="3118"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463,134</w:t>
            </w:r>
          </w:p>
        </w:tc>
      </w:tr>
      <w:tr w:rsidR="00151CAE" w:rsidRPr="004017EA" w:rsidTr="00151CAE">
        <w:trPr>
          <w:trHeight w:val="327"/>
        </w:trPr>
        <w:tc>
          <w:tcPr>
            <w:tcW w:w="2897"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COM DEV</w:t>
            </w:r>
          </w:p>
        </w:tc>
        <w:tc>
          <w:tcPr>
            <w:tcW w:w="3118"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1,149,222</w:t>
            </w:r>
          </w:p>
        </w:tc>
      </w:tr>
      <w:tr w:rsidR="00151CAE" w:rsidRPr="004017EA" w:rsidTr="00151CAE">
        <w:trPr>
          <w:trHeight w:val="327"/>
        </w:trPr>
        <w:tc>
          <w:tcPr>
            <w:tcW w:w="2897"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EDU</w:t>
            </w:r>
          </w:p>
        </w:tc>
        <w:tc>
          <w:tcPr>
            <w:tcW w:w="3118"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1,687,438</w:t>
            </w:r>
          </w:p>
        </w:tc>
      </w:tr>
      <w:tr w:rsidR="00151CAE" w:rsidRPr="004017EA" w:rsidTr="00151CAE">
        <w:trPr>
          <w:trHeight w:val="327"/>
        </w:trPr>
        <w:tc>
          <w:tcPr>
            <w:tcW w:w="2897"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HLTH</w:t>
            </w:r>
          </w:p>
        </w:tc>
        <w:tc>
          <w:tcPr>
            <w:tcW w:w="3118"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565,382</w:t>
            </w:r>
          </w:p>
        </w:tc>
      </w:tr>
      <w:tr w:rsidR="00151CAE" w:rsidRPr="004017EA" w:rsidTr="00151CAE">
        <w:trPr>
          <w:trHeight w:val="327"/>
        </w:trPr>
        <w:tc>
          <w:tcPr>
            <w:tcW w:w="2897"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JUSTICE</w:t>
            </w:r>
          </w:p>
        </w:tc>
        <w:tc>
          <w:tcPr>
            <w:tcW w:w="3118"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50,000</w:t>
            </w:r>
          </w:p>
        </w:tc>
      </w:tr>
      <w:tr w:rsidR="00151CAE" w:rsidRPr="004017EA" w:rsidTr="00151CAE">
        <w:trPr>
          <w:trHeight w:val="327"/>
        </w:trPr>
        <w:tc>
          <w:tcPr>
            <w:tcW w:w="2897"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WATER</w:t>
            </w:r>
          </w:p>
        </w:tc>
        <w:tc>
          <w:tcPr>
            <w:tcW w:w="3118" w:type="dxa"/>
            <w:tcBorders>
              <w:top w:val="nil"/>
              <w:left w:val="nil"/>
              <w:bottom w:val="nil"/>
              <w:right w:val="nil"/>
            </w:tcBorders>
            <w:shd w:val="clear" w:color="auto" w:fill="auto"/>
            <w:noWrap/>
            <w:vAlign w:val="bottom"/>
            <w:hideMark/>
          </w:tcPr>
          <w:p w:rsidR="00151CAE" w:rsidRPr="004017EA" w:rsidRDefault="00151CAE" w:rsidP="00151CAE">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1,523,289</w:t>
            </w:r>
          </w:p>
        </w:tc>
      </w:tr>
      <w:tr w:rsidR="00151CAE" w:rsidRPr="004017EA" w:rsidTr="00151CAE">
        <w:trPr>
          <w:trHeight w:val="76"/>
        </w:trPr>
        <w:tc>
          <w:tcPr>
            <w:tcW w:w="2897" w:type="dxa"/>
            <w:tcBorders>
              <w:top w:val="single" w:sz="4" w:space="0" w:color="95B3D7"/>
              <w:left w:val="nil"/>
              <w:bottom w:val="nil"/>
              <w:right w:val="nil"/>
            </w:tcBorders>
            <w:shd w:val="clear" w:color="DBE5F1" w:fill="DBE5F1"/>
            <w:noWrap/>
            <w:vAlign w:val="bottom"/>
            <w:hideMark/>
          </w:tcPr>
          <w:p w:rsidR="00151CAE" w:rsidRPr="004017EA" w:rsidRDefault="00151CAE" w:rsidP="00151CAE">
            <w:pPr>
              <w:spacing w:after="0" w:line="240" w:lineRule="auto"/>
              <w:ind w:left="720" w:hanging="720"/>
              <w:rPr>
                <w:rFonts w:eastAsia="Times New Roman" w:cstheme="minorHAnsi"/>
                <w:b/>
                <w:bCs/>
                <w:color w:val="000000"/>
                <w:lang w:eastAsia="en-NZ"/>
              </w:rPr>
            </w:pPr>
            <w:proofErr w:type="spellStart"/>
            <w:r w:rsidRPr="004017EA">
              <w:rPr>
                <w:rFonts w:eastAsia="Times New Roman" w:cstheme="minorHAnsi"/>
                <w:b/>
                <w:bCs/>
                <w:color w:val="000000"/>
                <w:lang w:eastAsia="en-NZ"/>
              </w:rPr>
              <w:t>GrandTotal</w:t>
            </w:r>
            <w:proofErr w:type="spellEnd"/>
          </w:p>
        </w:tc>
        <w:tc>
          <w:tcPr>
            <w:tcW w:w="3118" w:type="dxa"/>
            <w:tcBorders>
              <w:top w:val="single" w:sz="4" w:space="0" w:color="95B3D7"/>
              <w:left w:val="nil"/>
              <w:bottom w:val="nil"/>
              <w:right w:val="nil"/>
            </w:tcBorders>
            <w:shd w:val="clear" w:color="DBE5F1" w:fill="DBE5F1"/>
            <w:noWrap/>
            <w:vAlign w:val="bottom"/>
            <w:hideMark/>
          </w:tcPr>
          <w:p w:rsidR="00151CAE" w:rsidRPr="004017EA" w:rsidRDefault="00151CAE" w:rsidP="00151CAE">
            <w:pPr>
              <w:spacing w:after="0" w:line="240" w:lineRule="auto"/>
              <w:ind w:left="720" w:hanging="720"/>
              <w:jc w:val="right"/>
              <w:rPr>
                <w:rFonts w:eastAsia="Times New Roman" w:cstheme="minorHAnsi"/>
                <w:b/>
                <w:bCs/>
                <w:color w:val="000000"/>
                <w:lang w:eastAsia="en-NZ"/>
              </w:rPr>
            </w:pPr>
            <w:r w:rsidRPr="004017EA">
              <w:rPr>
                <w:rFonts w:eastAsia="Times New Roman" w:cstheme="minorHAnsi"/>
                <w:b/>
                <w:bCs/>
                <w:color w:val="000000"/>
                <w:lang w:eastAsia="en-NZ"/>
              </w:rPr>
              <w:t>5,438,465</w:t>
            </w:r>
          </w:p>
        </w:tc>
      </w:tr>
    </w:tbl>
    <w:p w:rsidR="00151CAE" w:rsidRPr="004017EA" w:rsidRDefault="00151CAE" w:rsidP="00E47C69">
      <w:pPr>
        <w:ind w:left="720" w:hanging="720"/>
        <w:rPr>
          <w:rFonts w:cstheme="minorHAnsi"/>
          <w:highlight w:val="yellow"/>
          <w:lang w:val="en-GB"/>
        </w:rPr>
      </w:pPr>
      <w:r w:rsidRPr="004017EA">
        <w:rPr>
          <w:rFonts w:cstheme="minorHAnsi"/>
          <w:highlight w:val="yellow"/>
          <w:lang w:val="en-GB"/>
        </w:rPr>
        <w:t xml:space="preserve">       </w:t>
      </w:r>
    </w:p>
    <w:p w:rsidR="009C2CE8" w:rsidRPr="004017EA" w:rsidRDefault="009C2CE8" w:rsidP="00E47C69">
      <w:pPr>
        <w:ind w:left="720" w:hanging="720"/>
        <w:rPr>
          <w:rFonts w:cstheme="minorHAnsi"/>
          <w:highlight w:val="yellow"/>
          <w:lang w:val="en-GB"/>
        </w:rPr>
      </w:pPr>
      <w:r w:rsidRPr="004017EA">
        <w:rPr>
          <w:rFonts w:cstheme="minorHAnsi"/>
          <w:highlight w:val="yellow"/>
          <w:lang w:val="en-GB"/>
        </w:rPr>
        <w:t xml:space="preserve">              </w:t>
      </w:r>
    </w:p>
    <w:p w:rsidR="00A47C9A" w:rsidRPr="004017EA" w:rsidRDefault="00A47C9A" w:rsidP="00E47C69">
      <w:pPr>
        <w:ind w:left="720" w:hanging="720"/>
        <w:rPr>
          <w:rFonts w:cstheme="minorHAnsi"/>
          <w:highlight w:val="yellow"/>
          <w:lang w:val="en-GB"/>
        </w:rPr>
      </w:pPr>
    </w:p>
    <w:p w:rsidR="00A47C9A" w:rsidRPr="004017EA" w:rsidRDefault="00A47C9A" w:rsidP="00E47C69">
      <w:pPr>
        <w:ind w:left="720" w:hanging="720"/>
        <w:rPr>
          <w:rFonts w:cstheme="minorHAnsi"/>
          <w:highlight w:val="yellow"/>
          <w:lang w:val="en-GB"/>
        </w:rPr>
      </w:pPr>
    </w:p>
    <w:p w:rsidR="00A47C9A" w:rsidRPr="004017EA" w:rsidRDefault="00A47C9A" w:rsidP="00E47C69">
      <w:pPr>
        <w:ind w:left="720" w:hanging="720"/>
        <w:rPr>
          <w:rFonts w:cstheme="minorHAnsi"/>
          <w:highlight w:val="yellow"/>
          <w:lang w:val="en-GB"/>
        </w:rPr>
      </w:pPr>
    </w:p>
    <w:p w:rsidR="00A47C9A" w:rsidRPr="004017EA" w:rsidRDefault="00A47C9A" w:rsidP="00E47C69">
      <w:pPr>
        <w:ind w:left="720" w:hanging="720"/>
        <w:rPr>
          <w:rFonts w:cstheme="minorHAnsi"/>
          <w:highlight w:val="yellow"/>
          <w:lang w:val="en-GB"/>
        </w:rPr>
      </w:pPr>
    </w:p>
    <w:p w:rsidR="00A47C9A" w:rsidRPr="004017EA" w:rsidRDefault="00A47C9A" w:rsidP="00E47C69">
      <w:pPr>
        <w:ind w:left="720" w:hanging="720"/>
        <w:rPr>
          <w:rFonts w:cstheme="minorHAnsi"/>
          <w:highlight w:val="yellow"/>
          <w:lang w:val="en-GB"/>
        </w:rPr>
      </w:pPr>
    </w:p>
    <w:p w:rsidR="00A47C9A" w:rsidRPr="004017EA" w:rsidRDefault="00151CAE" w:rsidP="00E47C69">
      <w:pPr>
        <w:ind w:left="720" w:hanging="720"/>
        <w:rPr>
          <w:rFonts w:cstheme="minorHAnsi"/>
          <w:highlight w:val="yellow"/>
          <w:lang w:val="en-GB"/>
        </w:rPr>
      </w:pPr>
      <w:r w:rsidRPr="004017EA">
        <w:rPr>
          <w:rFonts w:cstheme="minorHAnsi"/>
          <w:highlight w:val="yellow"/>
          <w:lang w:val="en-GB"/>
        </w:rPr>
        <w:t xml:space="preserve">  </w:t>
      </w:r>
    </w:p>
    <w:p w:rsidR="00903F23" w:rsidRPr="004017EA" w:rsidRDefault="00903F23" w:rsidP="00E47C69">
      <w:pPr>
        <w:ind w:left="720" w:hanging="720"/>
        <w:rPr>
          <w:rFonts w:cstheme="minorHAnsi"/>
          <w:highlight w:val="yellow"/>
          <w:lang w:val="en-GB"/>
        </w:rPr>
      </w:pPr>
    </w:p>
    <w:p w:rsidR="006A57AC" w:rsidRPr="004017EA" w:rsidRDefault="006B67E5" w:rsidP="00E47C69">
      <w:pPr>
        <w:ind w:left="720" w:hanging="720"/>
        <w:rPr>
          <w:rFonts w:cstheme="minorHAnsi"/>
          <w:lang w:val="en-GB"/>
        </w:rPr>
      </w:pPr>
      <w:r w:rsidRPr="004017EA">
        <w:rPr>
          <w:rFonts w:cstheme="minorHAnsi"/>
          <w:lang w:val="en-GB"/>
        </w:rPr>
        <w:lastRenderedPageBreak/>
        <w:t xml:space="preserve">                        </w:t>
      </w:r>
    </w:p>
    <w:p w:rsidR="00903F23" w:rsidRPr="004017EA" w:rsidRDefault="006B67E5" w:rsidP="00E47C69">
      <w:pPr>
        <w:ind w:left="720" w:hanging="720"/>
        <w:rPr>
          <w:rFonts w:cstheme="minorHAnsi"/>
          <w:highlight w:val="yellow"/>
          <w:lang w:val="en-GB"/>
        </w:rPr>
      </w:pPr>
      <w:r w:rsidRPr="004017EA">
        <w:rPr>
          <w:rFonts w:cstheme="minorHAnsi"/>
          <w:lang w:val="en-GB"/>
        </w:rPr>
        <w:t xml:space="preserve"> Chart No. 3</w:t>
      </w:r>
      <w:r w:rsidR="00877BBE" w:rsidRPr="004017EA">
        <w:rPr>
          <w:rFonts w:cstheme="minorHAnsi"/>
          <w:lang w:val="en-GB"/>
        </w:rPr>
        <w:t xml:space="preserve">: </w:t>
      </w:r>
      <w:r w:rsidRPr="004017EA">
        <w:rPr>
          <w:rFonts w:cstheme="minorHAnsi"/>
          <w:lang w:val="en-GB"/>
        </w:rPr>
        <w:t xml:space="preserve">Number of </w:t>
      </w:r>
      <w:r w:rsidR="00877BBE" w:rsidRPr="004017EA">
        <w:rPr>
          <w:rFonts w:cstheme="minorHAnsi"/>
          <w:lang w:val="en-GB"/>
        </w:rPr>
        <w:t>Approved Projects by Region</w:t>
      </w:r>
      <w:r w:rsidRPr="004017EA">
        <w:rPr>
          <w:rFonts w:cstheme="minorHAnsi"/>
          <w:lang w:val="en-GB"/>
        </w:rPr>
        <w:t xml:space="preserve">                                       </w:t>
      </w:r>
      <w:r w:rsidR="00151CAE" w:rsidRPr="004017EA">
        <w:rPr>
          <w:rFonts w:cstheme="minorHAnsi"/>
          <w:lang w:val="en-GB"/>
        </w:rPr>
        <w:t xml:space="preserve">        </w:t>
      </w:r>
      <w:r w:rsidRPr="004017EA">
        <w:rPr>
          <w:rFonts w:cstheme="minorHAnsi"/>
          <w:lang w:val="en-GB"/>
        </w:rPr>
        <w:t xml:space="preserve">Chart No. 4:  Funding of Approved Projects by Region                            </w:t>
      </w:r>
    </w:p>
    <w:p w:rsidR="00877BBE" w:rsidRPr="004017EA" w:rsidRDefault="00877BBE" w:rsidP="00E47C69">
      <w:pPr>
        <w:ind w:left="720" w:hanging="720"/>
        <w:rPr>
          <w:rFonts w:cstheme="minorHAnsi"/>
          <w:highlight w:val="yellow"/>
          <w:lang w:val="en-GB"/>
        </w:rPr>
      </w:pPr>
      <w:r w:rsidRPr="004017EA">
        <w:rPr>
          <w:rFonts w:cstheme="minorHAnsi"/>
          <w:noProof/>
        </w:rPr>
        <w:drawing>
          <wp:inline distT="0" distB="0" distL="0" distR="0" wp14:anchorId="20984CCC" wp14:editId="0DC6FB24">
            <wp:extent cx="4505325" cy="3324225"/>
            <wp:effectExtent l="19050" t="0" r="9525"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6B67E5" w:rsidRPr="004017EA">
        <w:rPr>
          <w:rFonts w:cstheme="minorHAnsi"/>
          <w:noProof/>
          <w:lang w:eastAsia="en-NZ"/>
        </w:rPr>
        <w:t xml:space="preserve">               </w:t>
      </w:r>
      <w:r w:rsidR="006B67E5" w:rsidRPr="004017EA">
        <w:rPr>
          <w:rFonts w:cstheme="minorHAnsi"/>
          <w:noProof/>
        </w:rPr>
        <w:drawing>
          <wp:inline distT="0" distB="0" distL="0" distR="0" wp14:anchorId="259D3D11" wp14:editId="1C3C765E">
            <wp:extent cx="4619625" cy="3324225"/>
            <wp:effectExtent l="19050" t="0" r="9525"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pPr w:leftFromText="180" w:rightFromText="180" w:vertAnchor="text" w:horzAnchor="page" w:tblpX="9238" w:tblpY="34"/>
        <w:tblW w:w="4392" w:type="dxa"/>
        <w:tblLook w:val="04A0" w:firstRow="1" w:lastRow="0" w:firstColumn="1" w:lastColumn="0" w:noHBand="0" w:noVBand="1"/>
      </w:tblPr>
      <w:tblGrid>
        <w:gridCol w:w="2120"/>
        <w:gridCol w:w="2272"/>
      </w:tblGrid>
      <w:tr w:rsidR="00354109" w:rsidRPr="004017EA" w:rsidTr="006A57AC">
        <w:trPr>
          <w:trHeight w:val="295"/>
        </w:trPr>
        <w:tc>
          <w:tcPr>
            <w:tcW w:w="2120" w:type="dxa"/>
            <w:tcBorders>
              <w:top w:val="nil"/>
              <w:left w:val="nil"/>
              <w:bottom w:val="single" w:sz="4" w:space="0" w:color="95B3D7"/>
              <w:right w:val="nil"/>
            </w:tcBorders>
            <w:shd w:val="clear" w:color="DBE5F1" w:fill="DBE5F1"/>
            <w:noWrap/>
            <w:vAlign w:val="bottom"/>
            <w:hideMark/>
          </w:tcPr>
          <w:p w:rsidR="00354109" w:rsidRPr="004017EA" w:rsidRDefault="00354109" w:rsidP="00354109">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Row Labels</w:t>
            </w:r>
          </w:p>
        </w:tc>
        <w:tc>
          <w:tcPr>
            <w:tcW w:w="2272" w:type="dxa"/>
            <w:tcBorders>
              <w:top w:val="nil"/>
              <w:left w:val="nil"/>
              <w:bottom w:val="single" w:sz="4" w:space="0" w:color="95B3D7"/>
              <w:right w:val="nil"/>
            </w:tcBorders>
            <w:shd w:val="clear" w:color="DBE5F1" w:fill="DBE5F1"/>
            <w:noWrap/>
            <w:vAlign w:val="bottom"/>
            <w:hideMark/>
          </w:tcPr>
          <w:p w:rsidR="00354109" w:rsidRPr="004017EA" w:rsidRDefault="00354109" w:rsidP="00354109">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Sum of Budget</w:t>
            </w:r>
          </w:p>
        </w:tc>
      </w:tr>
      <w:tr w:rsidR="00354109" w:rsidRPr="004017EA" w:rsidTr="006A57AC">
        <w:trPr>
          <w:trHeight w:val="295"/>
        </w:trPr>
        <w:tc>
          <w:tcPr>
            <w:tcW w:w="2120" w:type="dxa"/>
            <w:tcBorders>
              <w:top w:val="nil"/>
              <w:left w:val="nil"/>
              <w:bottom w:val="nil"/>
              <w:right w:val="nil"/>
            </w:tcBorders>
            <w:shd w:val="clear" w:color="auto" w:fill="auto"/>
            <w:noWrap/>
            <w:vAlign w:val="bottom"/>
            <w:hideMark/>
          </w:tcPr>
          <w:p w:rsidR="00354109" w:rsidRPr="004017EA" w:rsidRDefault="00354109" w:rsidP="0035410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APIA</w:t>
            </w:r>
          </w:p>
        </w:tc>
        <w:tc>
          <w:tcPr>
            <w:tcW w:w="2272" w:type="dxa"/>
            <w:tcBorders>
              <w:top w:val="nil"/>
              <w:left w:val="nil"/>
              <w:bottom w:val="nil"/>
              <w:right w:val="nil"/>
            </w:tcBorders>
            <w:shd w:val="clear" w:color="auto" w:fill="auto"/>
            <w:noWrap/>
            <w:vAlign w:val="bottom"/>
            <w:hideMark/>
          </w:tcPr>
          <w:p w:rsidR="00354109" w:rsidRPr="004017EA" w:rsidRDefault="00354109" w:rsidP="0035410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1,085,136</w:t>
            </w:r>
          </w:p>
        </w:tc>
      </w:tr>
      <w:tr w:rsidR="00354109" w:rsidRPr="004017EA" w:rsidTr="006A57AC">
        <w:trPr>
          <w:trHeight w:val="295"/>
        </w:trPr>
        <w:tc>
          <w:tcPr>
            <w:tcW w:w="2120" w:type="dxa"/>
            <w:tcBorders>
              <w:top w:val="nil"/>
              <w:left w:val="nil"/>
              <w:bottom w:val="nil"/>
              <w:right w:val="nil"/>
            </w:tcBorders>
            <w:shd w:val="clear" w:color="auto" w:fill="auto"/>
            <w:noWrap/>
            <w:vAlign w:val="bottom"/>
            <w:hideMark/>
          </w:tcPr>
          <w:p w:rsidR="00354109" w:rsidRPr="004017EA" w:rsidRDefault="00354109" w:rsidP="0035410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NWU</w:t>
            </w:r>
          </w:p>
        </w:tc>
        <w:tc>
          <w:tcPr>
            <w:tcW w:w="2272" w:type="dxa"/>
            <w:tcBorders>
              <w:top w:val="nil"/>
              <w:left w:val="nil"/>
              <w:bottom w:val="nil"/>
              <w:right w:val="nil"/>
            </w:tcBorders>
            <w:shd w:val="clear" w:color="auto" w:fill="auto"/>
            <w:noWrap/>
            <w:vAlign w:val="bottom"/>
            <w:hideMark/>
          </w:tcPr>
          <w:p w:rsidR="00354109" w:rsidRPr="004017EA" w:rsidRDefault="00354109" w:rsidP="0035410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1,442,792</w:t>
            </w:r>
          </w:p>
        </w:tc>
      </w:tr>
      <w:tr w:rsidR="00354109" w:rsidRPr="004017EA" w:rsidTr="006A57AC">
        <w:trPr>
          <w:trHeight w:val="295"/>
        </w:trPr>
        <w:tc>
          <w:tcPr>
            <w:tcW w:w="2120" w:type="dxa"/>
            <w:tcBorders>
              <w:top w:val="nil"/>
              <w:left w:val="nil"/>
              <w:bottom w:val="nil"/>
              <w:right w:val="nil"/>
            </w:tcBorders>
            <w:shd w:val="clear" w:color="auto" w:fill="auto"/>
            <w:noWrap/>
            <w:vAlign w:val="bottom"/>
            <w:hideMark/>
          </w:tcPr>
          <w:p w:rsidR="00354109" w:rsidRPr="004017EA" w:rsidRDefault="00354109" w:rsidP="0035410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ROU</w:t>
            </w:r>
          </w:p>
        </w:tc>
        <w:tc>
          <w:tcPr>
            <w:tcW w:w="2272" w:type="dxa"/>
            <w:tcBorders>
              <w:top w:val="nil"/>
              <w:left w:val="nil"/>
              <w:bottom w:val="nil"/>
              <w:right w:val="nil"/>
            </w:tcBorders>
            <w:shd w:val="clear" w:color="auto" w:fill="auto"/>
            <w:noWrap/>
            <w:vAlign w:val="bottom"/>
            <w:hideMark/>
          </w:tcPr>
          <w:p w:rsidR="00354109" w:rsidRPr="004017EA" w:rsidRDefault="00354109" w:rsidP="0035410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1,184,516</w:t>
            </w:r>
          </w:p>
        </w:tc>
      </w:tr>
      <w:tr w:rsidR="00354109" w:rsidRPr="004017EA" w:rsidTr="006A57AC">
        <w:trPr>
          <w:trHeight w:val="295"/>
        </w:trPr>
        <w:tc>
          <w:tcPr>
            <w:tcW w:w="2120" w:type="dxa"/>
            <w:tcBorders>
              <w:top w:val="nil"/>
              <w:left w:val="nil"/>
              <w:bottom w:val="nil"/>
              <w:right w:val="nil"/>
            </w:tcBorders>
            <w:shd w:val="clear" w:color="auto" w:fill="auto"/>
            <w:noWrap/>
            <w:vAlign w:val="bottom"/>
            <w:hideMark/>
          </w:tcPr>
          <w:p w:rsidR="00354109" w:rsidRPr="004017EA" w:rsidRDefault="00354109" w:rsidP="0035410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SAMOA</w:t>
            </w:r>
          </w:p>
        </w:tc>
        <w:tc>
          <w:tcPr>
            <w:tcW w:w="2272" w:type="dxa"/>
            <w:tcBorders>
              <w:top w:val="nil"/>
              <w:left w:val="nil"/>
              <w:bottom w:val="nil"/>
              <w:right w:val="nil"/>
            </w:tcBorders>
            <w:shd w:val="clear" w:color="auto" w:fill="auto"/>
            <w:noWrap/>
            <w:vAlign w:val="bottom"/>
            <w:hideMark/>
          </w:tcPr>
          <w:p w:rsidR="00354109" w:rsidRPr="004017EA" w:rsidRDefault="00354109" w:rsidP="0035410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590,000</w:t>
            </w:r>
          </w:p>
        </w:tc>
      </w:tr>
      <w:tr w:rsidR="00354109" w:rsidRPr="004017EA" w:rsidTr="006A57AC">
        <w:trPr>
          <w:trHeight w:val="295"/>
        </w:trPr>
        <w:tc>
          <w:tcPr>
            <w:tcW w:w="2120" w:type="dxa"/>
            <w:tcBorders>
              <w:top w:val="nil"/>
              <w:left w:val="nil"/>
              <w:bottom w:val="nil"/>
              <w:right w:val="nil"/>
            </w:tcBorders>
            <w:shd w:val="clear" w:color="auto" w:fill="auto"/>
            <w:noWrap/>
            <w:vAlign w:val="bottom"/>
            <w:hideMark/>
          </w:tcPr>
          <w:p w:rsidR="00354109" w:rsidRPr="004017EA" w:rsidRDefault="00354109" w:rsidP="00354109">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SAVAI'I</w:t>
            </w:r>
          </w:p>
        </w:tc>
        <w:tc>
          <w:tcPr>
            <w:tcW w:w="2272" w:type="dxa"/>
            <w:tcBorders>
              <w:top w:val="nil"/>
              <w:left w:val="nil"/>
              <w:bottom w:val="nil"/>
              <w:right w:val="nil"/>
            </w:tcBorders>
            <w:shd w:val="clear" w:color="auto" w:fill="auto"/>
            <w:noWrap/>
            <w:vAlign w:val="bottom"/>
            <w:hideMark/>
          </w:tcPr>
          <w:p w:rsidR="00354109" w:rsidRPr="004017EA" w:rsidRDefault="00354109" w:rsidP="00354109">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1,261,121</w:t>
            </w:r>
          </w:p>
        </w:tc>
      </w:tr>
      <w:tr w:rsidR="00354109" w:rsidRPr="004017EA" w:rsidTr="006A57AC">
        <w:trPr>
          <w:trHeight w:val="295"/>
        </w:trPr>
        <w:tc>
          <w:tcPr>
            <w:tcW w:w="2120" w:type="dxa"/>
            <w:tcBorders>
              <w:top w:val="single" w:sz="4" w:space="0" w:color="95B3D7"/>
              <w:left w:val="nil"/>
              <w:bottom w:val="nil"/>
              <w:right w:val="nil"/>
            </w:tcBorders>
            <w:shd w:val="clear" w:color="DBE5F1" w:fill="DBE5F1"/>
            <w:noWrap/>
            <w:vAlign w:val="bottom"/>
            <w:hideMark/>
          </w:tcPr>
          <w:p w:rsidR="00354109" w:rsidRPr="004017EA" w:rsidRDefault="00354109" w:rsidP="00354109">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Grand Total</w:t>
            </w:r>
          </w:p>
        </w:tc>
        <w:tc>
          <w:tcPr>
            <w:tcW w:w="2272" w:type="dxa"/>
            <w:tcBorders>
              <w:top w:val="single" w:sz="4" w:space="0" w:color="95B3D7"/>
              <w:left w:val="nil"/>
              <w:bottom w:val="nil"/>
              <w:right w:val="nil"/>
            </w:tcBorders>
            <w:shd w:val="clear" w:color="DBE5F1" w:fill="DBE5F1"/>
            <w:noWrap/>
            <w:vAlign w:val="bottom"/>
            <w:hideMark/>
          </w:tcPr>
          <w:p w:rsidR="00354109" w:rsidRPr="004017EA" w:rsidRDefault="00354109" w:rsidP="00354109">
            <w:pPr>
              <w:spacing w:after="0" w:line="240" w:lineRule="auto"/>
              <w:ind w:left="720" w:hanging="720"/>
              <w:jc w:val="right"/>
              <w:rPr>
                <w:rFonts w:eastAsia="Times New Roman" w:cstheme="minorHAnsi"/>
                <w:b/>
                <w:bCs/>
                <w:color w:val="000000"/>
                <w:lang w:eastAsia="en-NZ"/>
              </w:rPr>
            </w:pPr>
            <w:r w:rsidRPr="004017EA">
              <w:rPr>
                <w:rFonts w:eastAsia="Times New Roman" w:cstheme="minorHAnsi"/>
                <w:b/>
                <w:bCs/>
                <w:color w:val="000000"/>
                <w:lang w:eastAsia="en-NZ"/>
              </w:rPr>
              <w:t>5,563,565</w:t>
            </w:r>
          </w:p>
        </w:tc>
      </w:tr>
    </w:tbl>
    <w:tbl>
      <w:tblPr>
        <w:tblpPr w:leftFromText="180" w:rightFromText="180" w:vertAnchor="text" w:horzAnchor="margin" w:tblpY="151"/>
        <w:tblW w:w="4723" w:type="dxa"/>
        <w:tblLook w:val="04A0" w:firstRow="1" w:lastRow="0" w:firstColumn="1" w:lastColumn="0" w:noHBand="0" w:noVBand="1"/>
      </w:tblPr>
      <w:tblGrid>
        <w:gridCol w:w="2146"/>
        <w:gridCol w:w="2577"/>
      </w:tblGrid>
      <w:tr w:rsidR="006A57AC" w:rsidRPr="004017EA" w:rsidTr="006A57AC">
        <w:trPr>
          <w:trHeight w:val="297"/>
        </w:trPr>
        <w:tc>
          <w:tcPr>
            <w:tcW w:w="2146" w:type="dxa"/>
            <w:tcBorders>
              <w:top w:val="nil"/>
              <w:left w:val="nil"/>
              <w:bottom w:val="single" w:sz="4" w:space="0" w:color="95B3D7"/>
              <w:right w:val="nil"/>
            </w:tcBorders>
            <w:shd w:val="clear" w:color="DBE5F1" w:fill="DBE5F1"/>
            <w:noWrap/>
            <w:vAlign w:val="bottom"/>
            <w:hideMark/>
          </w:tcPr>
          <w:p w:rsidR="006A57AC" w:rsidRPr="004017EA" w:rsidRDefault="006A57AC"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Row Labels</w:t>
            </w:r>
          </w:p>
        </w:tc>
        <w:tc>
          <w:tcPr>
            <w:tcW w:w="2577" w:type="dxa"/>
            <w:tcBorders>
              <w:top w:val="nil"/>
              <w:left w:val="nil"/>
              <w:bottom w:val="single" w:sz="4" w:space="0" w:color="95B3D7"/>
              <w:right w:val="nil"/>
            </w:tcBorders>
            <w:shd w:val="clear" w:color="DBE5F1" w:fill="DBE5F1"/>
            <w:noWrap/>
            <w:vAlign w:val="bottom"/>
            <w:hideMark/>
          </w:tcPr>
          <w:p w:rsidR="006A57AC" w:rsidRPr="004017EA" w:rsidRDefault="006A57AC"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 xml:space="preserve">Count of Region </w:t>
            </w:r>
          </w:p>
        </w:tc>
      </w:tr>
      <w:tr w:rsidR="006A57AC" w:rsidRPr="004017EA" w:rsidTr="006A57AC">
        <w:trPr>
          <w:trHeight w:val="297"/>
        </w:trPr>
        <w:tc>
          <w:tcPr>
            <w:tcW w:w="2146"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APIA</w:t>
            </w:r>
          </w:p>
        </w:tc>
        <w:tc>
          <w:tcPr>
            <w:tcW w:w="2577"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23</w:t>
            </w:r>
          </w:p>
        </w:tc>
      </w:tr>
      <w:tr w:rsidR="006A57AC" w:rsidRPr="004017EA" w:rsidTr="006A57AC">
        <w:trPr>
          <w:trHeight w:val="297"/>
        </w:trPr>
        <w:tc>
          <w:tcPr>
            <w:tcW w:w="2146"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NWU</w:t>
            </w:r>
          </w:p>
        </w:tc>
        <w:tc>
          <w:tcPr>
            <w:tcW w:w="2577"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51</w:t>
            </w:r>
          </w:p>
        </w:tc>
      </w:tr>
      <w:tr w:rsidR="006A57AC" w:rsidRPr="004017EA" w:rsidTr="006A57AC">
        <w:trPr>
          <w:trHeight w:val="297"/>
        </w:trPr>
        <w:tc>
          <w:tcPr>
            <w:tcW w:w="2146"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ROU</w:t>
            </w:r>
          </w:p>
        </w:tc>
        <w:tc>
          <w:tcPr>
            <w:tcW w:w="2577"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35</w:t>
            </w:r>
          </w:p>
        </w:tc>
      </w:tr>
      <w:tr w:rsidR="006A57AC" w:rsidRPr="004017EA" w:rsidTr="006A57AC">
        <w:trPr>
          <w:trHeight w:val="297"/>
        </w:trPr>
        <w:tc>
          <w:tcPr>
            <w:tcW w:w="2146"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SAMOA</w:t>
            </w:r>
          </w:p>
        </w:tc>
        <w:tc>
          <w:tcPr>
            <w:tcW w:w="2577"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9</w:t>
            </w:r>
          </w:p>
        </w:tc>
      </w:tr>
      <w:tr w:rsidR="006A57AC" w:rsidRPr="004017EA" w:rsidTr="006A57AC">
        <w:trPr>
          <w:trHeight w:val="297"/>
        </w:trPr>
        <w:tc>
          <w:tcPr>
            <w:tcW w:w="2146"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rPr>
                <w:rFonts w:eastAsia="Times New Roman" w:cstheme="minorHAnsi"/>
                <w:color w:val="000000"/>
                <w:lang w:eastAsia="en-NZ"/>
              </w:rPr>
            </w:pPr>
            <w:r w:rsidRPr="004017EA">
              <w:rPr>
                <w:rFonts w:eastAsia="Times New Roman" w:cstheme="minorHAnsi"/>
                <w:color w:val="000000"/>
                <w:lang w:eastAsia="en-NZ"/>
              </w:rPr>
              <w:t>SAVAI'I</w:t>
            </w:r>
          </w:p>
        </w:tc>
        <w:tc>
          <w:tcPr>
            <w:tcW w:w="2577" w:type="dxa"/>
            <w:tcBorders>
              <w:top w:val="nil"/>
              <w:left w:val="nil"/>
              <w:bottom w:val="nil"/>
              <w:right w:val="nil"/>
            </w:tcBorders>
            <w:shd w:val="clear" w:color="auto" w:fill="auto"/>
            <w:noWrap/>
            <w:vAlign w:val="bottom"/>
            <w:hideMark/>
          </w:tcPr>
          <w:p w:rsidR="006A57AC" w:rsidRPr="004017EA" w:rsidRDefault="006A57AC" w:rsidP="006A57AC">
            <w:pPr>
              <w:spacing w:after="0" w:line="240" w:lineRule="auto"/>
              <w:ind w:left="720" w:hanging="720"/>
              <w:jc w:val="right"/>
              <w:rPr>
                <w:rFonts w:eastAsia="Times New Roman" w:cstheme="minorHAnsi"/>
                <w:color w:val="000000"/>
                <w:lang w:eastAsia="en-NZ"/>
              </w:rPr>
            </w:pPr>
            <w:r w:rsidRPr="004017EA">
              <w:rPr>
                <w:rFonts w:eastAsia="Times New Roman" w:cstheme="minorHAnsi"/>
                <w:color w:val="000000"/>
                <w:lang w:eastAsia="en-NZ"/>
              </w:rPr>
              <w:t>41</w:t>
            </w:r>
          </w:p>
        </w:tc>
      </w:tr>
      <w:tr w:rsidR="006A57AC" w:rsidRPr="004017EA" w:rsidTr="006A57AC">
        <w:trPr>
          <w:trHeight w:val="297"/>
        </w:trPr>
        <w:tc>
          <w:tcPr>
            <w:tcW w:w="2146" w:type="dxa"/>
            <w:tcBorders>
              <w:top w:val="single" w:sz="4" w:space="0" w:color="95B3D7"/>
              <w:left w:val="nil"/>
              <w:bottom w:val="nil"/>
              <w:right w:val="nil"/>
            </w:tcBorders>
            <w:shd w:val="clear" w:color="DBE5F1" w:fill="DBE5F1"/>
            <w:noWrap/>
            <w:vAlign w:val="bottom"/>
            <w:hideMark/>
          </w:tcPr>
          <w:p w:rsidR="006A57AC" w:rsidRPr="004017EA" w:rsidRDefault="006A57AC" w:rsidP="006A57AC">
            <w:pPr>
              <w:spacing w:after="0" w:line="240" w:lineRule="auto"/>
              <w:ind w:left="720" w:hanging="720"/>
              <w:rPr>
                <w:rFonts w:eastAsia="Times New Roman" w:cstheme="minorHAnsi"/>
                <w:b/>
                <w:bCs/>
                <w:color w:val="000000"/>
                <w:lang w:eastAsia="en-NZ"/>
              </w:rPr>
            </w:pPr>
            <w:r w:rsidRPr="004017EA">
              <w:rPr>
                <w:rFonts w:eastAsia="Times New Roman" w:cstheme="minorHAnsi"/>
                <w:b/>
                <w:bCs/>
                <w:color w:val="000000"/>
                <w:lang w:eastAsia="en-NZ"/>
              </w:rPr>
              <w:t>Grand Total</w:t>
            </w:r>
          </w:p>
        </w:tc>
        <w:tc>
          <w:tcPr>
            <w:tcW w:w="2577" w:type="dxa"/>
            <w:tcBorders>
              <w:top w:val="single" w:sz="4" w:space="0" w:color="95B3D7"/>
              <w:left w:val="nil"/>
              <w:bottom w:val="nil"/>
              <w:right w:val="nil"/>
            </w:tcBorders>
            <w:shd w:val="clear" w:color="DBE5F1" w:fill="DBE5F1"/>
            <w:noWrap/>
            <w:vAlign w:val="bottom"/>
            <w:hideMark/>
          </w:tcPr>
          <w:p w:rsidR="006A57AC" w:rsidRPr="004017EA" w:rsidRDefault="006A57AC" w:rsidP="006A57AC">
            <w:pPr>
              <w:spacing w:after="0" w:line="240" w:lineRule="auto"/>
              <w:ind w:left="720" w:hanging="720"/>
              <w:jc w:val="right"/>
              <w:rPr>
                <w:rFonts w:eastAsia="Times New Roman" w:cstheme="minorHAnsi"/>
                <w:b/>
                <w:bCs/>
                <w:color w:val="000000"/>
                <w:lang w:eastAsia="en-NZ"/>
              </w:rPr>
            </w:pPr>
            <w:r w:rsidRPr="004017EA">
              <w:rPr>
                <w:rFonts w:eastAsia="Times New Roman" w:cstheme="minorHAnsi"/>
                <w:b/>
                <w:bCs/>
                <w:color w:val="000000"/>
                <w:lang w:eastAsia="en-NZ"/>
              </w:rPr>
              <w:t>159</w:t>
            </w:r>
          </w:p>
        </w:tc>
      </w:tr>
    </w:tbl>
    <w:p w:rsidR="00F20141" w:rsidRPr="004017EA" w:rsidRDefault="00F20141" w:rsidP="00C3295F">
      <w:pPr>
        <w:rPr>
          <w:rFonts w:cstheme="minorHAnsi"/>
          <w:highlight w:val="yellow"/>
          <w:lang w:val="en-GB"/>
        </w:rPr>
      </w:pPr>
    </w:p>
    <w:p w:rsidR="00E12008" w:rsidRPr="004017EA" w:rsidRDefault="00E12008" w:rsidP="00C41DE0">
      <w:pPr>
        <w:spacing w:after="0"/>
        <w:ind w:left="720" w:hanging="720"/>
        <w:rPr>
          <w:rFonts w:cstheme="minorHAnsi"/>
          <w:sz w:val="20"/>
        </w:rPr>
        <w:sectPr w:rsidR="00E12008" w:rsidRPr="004017EA" w:rsidSect="00D823C9">
          <w:pgSz w:w="16838" w:h="11906" w:orient="landscape"/>
          <w:pgMar w:top="720" w:right="720" w:bottom="720" w:left="720" w:header="709" w:footer="709" w:gutter="0"/>
          <w:cols w:space="708"/>
          <w:titlePg/>
          <w:docGrid w:linePitch="360"/>
        </w:sectPr>
      </w:pPr>
    </w:p>
    <w:p w:rsidR="00D823C9" w:rsidRDefault="00D823C9" w:rsidP="00C41DE0">
      <w:pPr>
        <w:spacing w:after="0"/>
        <w:rPr>
          <w:rFonts w:cstheme="minorHAnsi"/>
          <w:sz w:val="20"/>
        </w:rPr>
      </w:pPr>
    </w:p>
    <w:p w:rsidR="00862E8A" w:rsidRPr="00B75B34" w:rsidRDefault="00862E8A" w:rsidP="00B75B34">
      <w:pPr>
        <w:spacing w:after="0" w:line="240" w:lineRule="auto"/>
        <w:rPr>
          <w:rFonts w:eastAsia="Times New Roman" w:cstheme="minorHAnsi"/>
          <w:b/>
          <w:color w:val="000000"/>
          <w:sz w:val="32"/>
          <w:szCs w:val="20"/>
        </w:rPr>
      </w:pPr>
    </w:p>
    <w:sectPr w:rsidR="00862E8A" w:rsidRPr="00B75B34" w:rsidSect="00D823C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67" w:rsidRDefault="00671B67" w:rsidP="00C272A5">
      <w:pPr>
        <w:spacing w:after="0" w:line="240" w:lineRule="auto"/>
      </w:pPr>
      <w:r>
        <w:separator/>
      </w:r>
    </w:p>
  </w:endnote>
  <w:endnote w:type="continuationSeparator" w:id="0">
    <w:p w:rsidR="00671B67" w:rsidRDefault="00671B67" w:rsidP="00C2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67" w:rsidRDefault="00671B67">
    <w:pPr>
      <w:pStyle w:val="Footer"/>
    </w:pPr>
    <w:r>
      <w:t>Sixth Monthly Progress Report</w:t>
    </w:r>
    <w:r>
      <w:tab/>
    </w:r>
    <w:r>
      <w:tab/>
    </w:r>
    <w:r>
      <w:rPr>
        <w:rStyle w:val="PageNumber"/>
      </w:rPr>
      <w:fldChar w:fldCharType="begin"/>
    </w:r>
    <w:r>
      <w:rPr>
        <w:rStyle w:val="PageNumber"/>
      </w:rPr>
      <w:instrText xml:space="preserve"> PAGE </w:instrText>
    </w:r>
    <w:r>
      <w:rPr>
        <w:rStyle w:val="PageNumber"/>
      </w:rPr>
      <w:fldChar w:fldCharType="separate"/>
    </w:r>
    <w:r w:rsidR="00C41DE0">
      <w:rPr>
        <w:rStyle w:val="PageNumber"/>
        <w:noProof/>
      </w:rPr>
      <w:t>xiii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B67" w:rsidRDefault="00671B67" w:rsidP="001B54AE">
    <w:pPr>
      <w:pStyle w:val="Footer"/>
      <w:jc w:val="center"/>
    </w:pPr>
    <w:r>
      <w:rPr>
        <w:rStyle w:val="PageNumber"/>
      </w:rPr>
      <w:fldChar w:fldCharType="begin"/>
    </w:r>
    <w:r>
      <w:rPr>
        <w:rStyle w:val="PageNumber"/>
      </w:rPr>
      <w:instrText xml:space="preserve"> PAGE </w:instrText>
    </w:r>
    <w:r>
      <w:rPr>
        <w:rStyle w:val="PageNumber"/>
      </w:rPr>
      <w:fldChar w:fldCharType="separate"/>
    </w:r>
    <w:r w:rsidR="00065ACC">
      <w:rPr>
        <w:rStyle w:val="PageNumber"/>
        <w:noProof/>
      </w:rPr>
      <w:t>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621"/>
      <w:docPartObj>
        <w:docPartGallery w:val="Page Numbers (Bottom of Page)"/>
        <w:docPartUnique/>
      </w:docPartObj>
    </w:sdtPr>
    <w:sdtEndPr/>
    <w:sdtContent>
      <w:p w:rsidR="00671B67" w:rsidRDefault="00543DF1">
        <w:pPr>
          <w:pStyle w:val="Footer"/>
          <w:jc w:val="center"/>
        </w:pPr>
        <w:r>
          <w:fldChar w:fldCharType="begin"/>
        </w:r>
        <w:r>
          <w:instrText xml:space="preserve"> PAGE   \* MERGEFORMAT </w:instrText>
        </w:r>
        <w:r>
          <w:fldChar w:fldCharType="separate"/>
        </w:r>
        <w:r w:rsidR="00065ACC">
          <w:rPr>
            <w:noProof/>
          </w:rPr>
          <w:t>12</w:t>
        </w:r>
        <w:r>
          <w:rPr>
            <w:noProof/>
          </w:rPr>
          <w:fldChar w:fldCharType="end"/>
        </w:r>
      </w:p>
    </w:sdtContent>
  </w:sdt>
  <w:p w:rsidR="00671B67" w:rsidRDefault="00671B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9001"/>
      <w:docPartObj>
        <w:docPartGallery w:val="Page Numbers (Bottom of Page)"/>
        <w:docPartUnique/>
      </w:docPartObj>
    </w:sdtPr>
    <w:sdtEndPr/>
    <w:sdtContent>
      <w:p w:rsidR="00671B67" w:rsidRDefault="00543DF1">
        <w:pPr>
          <w:pStyle w:val="Footer"/>
          <w:jc w:val="center"/>
        </w:pPr>
        <w:r>
          <w:fldChar w:fldCharType="begin"/>
        </w:r>
        <w:r>
          <w:instrText xml:space="preserve"> PAGE   \* MERGEFORMAT </w:instrText>
        </w:r>
        <w:r>
          <w:fldChar w:fldCharType="separate"/>
        </w:r>
        <w:r w:rsidR="00065ACC">
          <w:rPr>
            <w:noProof/>
          </w:rPr>
          <w:t>13</w:t>
        </w:r>
        <w:r>
          <w:rPr>
            <w:noProof/>
          </w:rPr>
          <w:fldChar w:fldCharType="end"/>
        </w:r>
      </w:p>
    </w:sdtContent>
  </w:sdt>
  <w:p w:rsidR="00671B67" w:rsidRDefault="00671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67" w:rsidRDefault="00671B67" w:rsidP="00C272A5">
      <w:pPr>
        <w:spacing w:after="0" w:line="240" w:lineRule="auto"/>
      </w:pPr>
      <w:r>
        <w:separator/>
      </w:r>
    </w:p>
  </w:footnote>
  <w:footnote w:type="continuationSeparator" w:id="0">
    <w:p w:rsidR="00671B67" w:rsidRDefault="00671B67" w:rsidP="00C27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9FD"/>
    <w:multiLevelType w:val="hybridMultilevel"/>
    <w:tmpl w:val="E97241D8"/>
    <w:lvl w:ilvl="0" w:tplc="EA8CC2C8">
      <w:start w:val="1"/>
      <w:numFmt w:val="decimal"/>
      <w:lvlText w:val="%1."/>
      <w:lvlJc w:val="left"/>
      <w:pPr>
        <w:tabs>
          <w:tab w:val="num" w:pos="432"/>
        </w:tabs>
        <w:ind w:left="43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F80FDE"/>
    <w:multiLevelType w:val="hybridMultilevel"/>
    <w:tmpl w:val="DF489160"/>
    <w:lvl w:ilvl="0" w:tplc="F3C2106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1C52F2"/>
    <w:multiLevelType w:val="hybridMultilevel"/>
    <w:tmpl w:val="B6A6A08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107925D3"/>
    <w:multiLevelType w:val="hybridMultilevel"/>
    <w:tmpl w:val="9D30AA0E"/>
    <w:lvl w:ilvl="0" w:tplc="C30C1F76">
      <w:start w:val="1"/>
      <w:numFmt w:val="bullet"/>
      <w:lvlText w:val=""/>
      <w:lvlJc w:val="left"/>
      <w:pPr>
        <w:tabs>
          <w:tab w:val="num" w:pos="1440"/>
        </w:tabs>
        <w:ind w:left="1418" w:hanging="338"/>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7537465"/>
    <w:multiLevelType w:val="hybridMultilevel"/>
    <w:tmpl w:val="32E62966"/>
    <w:lvl w:ilvl="0" w:tplc="C30C1F76">
      <w:start w:val="1"/>
      <w:numFmt w:val="bullet"/>
      <w:lvlText w:val=""/>
      <w:lvlJc w:val="left"/>
      <w:pPr>
        <w:tabs>
          <w:tab w:val="num" w:pos="1440"/>
        </w:tabs>
        <w:ind w:left="1418" w:hanging="338"/>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496C72"/>
    <w:multiLevelType w:val="hybridMultilevel"/>
    <w:tmpl w:val="4F2015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84B3315"/>
    <w:multiLevelType w:val="hybridMultilevel"/>
    <w:tmpl w:val="847269B8"/>
    <w:lvl w:ilvl="0" w:tplc="3D2E8738">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AE5E9F"/>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B2E71C5"/>
    <w:multiLevelType w:val="hybridMultilevel"/>
    <w:tmpl w:val="26E43B4C"/>
    <w:lvl w:ilvl="0" w:tplc="F3C2106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4A4773"/>
    <w:multiLevelType w:val="hybridMultilevel"/>
    <w:tmpl w:val="49D01960"/>
    <w:lvl w:ilvl="0" w:tplc="AB242C0C">
      <w:start w:val="1"/>
      <w:numFmt w:val="decimal"/>
      <w:lvlText w:val="%1."/>
      <w:lvlJc w:val="left"/>
      <w:pPr>
        <w:tabs>
          <w:tab w:val="num" w:pos="432"/>
        </w:tabs>
        <w:ind w:left="43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2E68DE"/>
    <w:multiLevelType w:val="hybridMultilevel"/>
    <w:tmpl w:val="D046934C"/>
    <w:lvl w:ilvl="0" w:tplc="5742D8CA">
      <w:start w:val="1"/>
      <w:numFmt w:val="lowerRoman"/>
      <w:lvlText w:val="%1."/>
      <w:lvlJc w:val="right"/>
      <w:pPr>
        <w:ind w:left="654" w:hanging="360"/>
      </w:pPr>
      <w:rPr>
        <w:rFonts w:hint="default"/>
      </w:rPr>
    </w:lvl>
    <w:lvl w:ilvl="1" w:tplc="14090019" w:tentative="1">
      <w:start w:val="1"/>
      <w:numFmt w:val="lowerLetter"/>
      <w:lvlText w:val="%2."/>
      <w:lvlJc w:val="left"/>
      <w:pPr>
        <w:ind w:left="654" w:hanging="360"/>
      </w:pPr>
    </w:lvl>
    <w:lvl w:ilvl="2" w:tplc="1409001B" w:tentative="1">
      <w:start w:val="1"/>
      <w:numFmt w:val="lowerRoman"/>
      <w:lvlText w:val="%3."/>
      <w:lvlJc w:val="right"/>
      <w:pPr>
        <w:ind w:left="1374" w:hanging="180"/>
      </w:pPr>
    </w:lvl>
    <w:lvl w:ilvl="3" w:tplc="1409000F" w:tentative="1">
      <w:start w:val="1"/>
      <w:numFmt w:val="decimal"/>
      <w:lvlText w:val="%4."/>
      <w:lvlJc w:val="left"/>
      <w:pPr>
        <w:ind w:left="2094" w:hanging="360"/>
      </w:pPr>
    </w:lvl>
    <w:lvl w:ilvl="4" w:tplc="14090019" w:tentative="1">
      <w:start w:val="1"/>
      <w:numFmt w:val="lowerLetter"/>
      <w:lvlText w:val="%5."/>
      <w:lvlJc w:val="left"/>
      <w:pPr>
        <w:ind w:left="2814" w:hanging="360"/>
      </w:pPr>
    </w:lvl>
    <w:lvl w:ilvl="5" w:tplc="1409001B" w:tentative="1">
      <w:start w:val="1"/>
      <w:numFmt w:val="lowerRoman"/>
      <w:lvlText w:val="%6."/>
      <w:lvlJc w:val="right"/>
      <w:pPr>
        <w:ind w:left="3534" w:hanging="180"/>
      </w:pPr>
    </w:lvl>
    <w:lvl w:ilvl="6" w:tplc="1409000F" w:tentative="1">
      <w:start w:val="1"/>
      <w:numFmt w:val="decimal"/>
      <w:lvlText w:val="%7."/>
      <w:lvlJc w:val="left"/>
      <w:pPr>
        <w:ind w:left="4254" w:hanging="360"/>
      </w:pPr>
    </w:lvl>
    <w:lvl w:ilvl="7" w:tplc="14090019" w:tentative="1">
      <w:start w:val="1"/>
      <w:numFmt w:val="lowerLetter"/>
      <w:lvlText w:val="%8."/>
      <w:lvlJc w:val="left"/>
      <w:pPr>
        <w:ind w:left="4974" w:hanging="360"/>
      </w:pPr>
    </w:lvl>
    <w:lvl w:ilvl="8" w:tplc="1409001B" w:tentative="1">
      <w:start w:val="1"/>
      <w:numFmt w:val="lowerRoman"/>
      <w:lvlText w:val="%9."/>
      <w:lvlJc w:val="right"/>
      <w:pPr>
        <w:ind w:left="5694" w:hanging="180"/>
      </w:pPr>
    </w:lvl>
  </w:abstractNum>
  <w:abstractNum w:abstractNumId="11">
    <w:nsid w:val="29584BC6"/>
    <w:multiLevelType w:val="hybridMultilevel"/>
    <w:tmpl w:val="6DB0960A"/>
    <w:lvl w:ilvl="0" w:tplc="14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205043"/>
    <w:multiLevelType w:val="hybridMultilevel"/>
    <w:tmpl w:val="C45218F4"/>
    <w:lvl w:ilvl="0" w:tplc="9454E7A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FE513E5"/>
    <w:multiLevelType w:val="hybridMultilevel"/>
    <w:tmpl w:val="179E8A6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064214D"/>
    <w:multiLevelType w:val="hybridMultilevel"/>
    <w:tmpl w:val="7070F7F8"/>
    <w:lvl w:ilvl="0" w:tplc="7DFC886C">
      <w:start w:val="1"/>
      <w:numFmt w:val="decimal"/>
      <w:lvlText w:val="%1."/>
      <w:lvlJc w:val="left"/>
      <w:pPr>
        <w:ind w:left="1080" w:hanging="360"/>
      </w:pPr>
      <w:rPr>
        <w:b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nsid w:val="33C54F07"/>
    <w:multiLevelType w:val="hybridMultilevel"/>
    <w:tmpl w:val="7F08FA38"/>
    <w:lvl w:ilvl="0" w:tplc="F3C2106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C66787"/>
    <w:multiLevelType w:val="hybridMultilevel"/>
    <w:tmpl w:val="C09CC55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nsid w:val="3A15728E"/>
    <w:multiLevelType w:val="hybridMultilevel"/>
    <w:tmpl w:val="F03C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6D41FD"/>
    <w:multiLevelType w:val="hybridMultilevel"/>
    <w:tmpl w:val="B044AC78"/>
    <w:lvl w:ilvl="0" w:tplc="F3C2106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3227E6"/>
    <w:multiLevelType w:val="hybridMultilevel"/>
    <w:tmpl w:val="9C90C3C8"/>
    <w:lvl w:ilvl="0" w:tplc="8B1C378A">
      <w:start w:val="1"/>
      <w:numFmt w:val="decimal"/>
      <w:lvlText w:val="%1."/>
      <w:lvlJc w:val="left"/>
      <w:pPr>
        <w:tabs>
          <w:tab w:val="num" w:pos="720"/>
        </w:tabs>
        <w:ind w:left="720" w:hanging="360"/>
      </w:pPr>
      <w:rPr>
        <w:rFonts w:asciiTheme="majorHAnsi" w:hAnsiTheme="majorHAnsi" w:cs="Arial"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C965C80"/>
    <w:multiLevelType w:val="hybridMultilevel"/>
    <w:tmpl w:val="C5AC0E76"/>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4D4A6707"/>
    <w:multiLevelType w:val="hybridMultilevel"/>
    <w:tmpl w:val="728A86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nsid w:val="53790FB8"/>
    <w:multiLevelType w:val="hybridMultilevel"/>
    <w:tmpl w:val="C5388C78"/>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3">
    <w:nsid w:val="56333B4B"/>
    <w:multiLevelType w:val="hybridMultilevel"/>
    <w:tmpl w:val="93F2168E"/>
    <w:lvl w:ilvl="0" w:tplc="CDB4F6E2">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A655F9"/>
    <w:multiLevelType w:val="hybridMultilevel"/>
    <w:tmpl w:val="8788C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62210C"/>
    <w:multiLevelType w:val="hybridMultilevel"/>
    <w:tmpl w:val="6C489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BBC1420"/>
    <w:multiLevelType w:val="hybridMultilevel"/>
    <w:tmpl w:val="7696C812"/>
    <w:lvl w:ilvl="0" w:tplc="9454E7A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D30399F"/>
    <w:multiLevelType w:val="hybridMultilevel"/>
    <w:tmpl w:val="1AA0BAEC"/>
    <w:lvl w:ilvl="0" w:tplc="0C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F6A271C"/>
    <w:multiLevelType w:val="hybridMultilevel"/>
    <w:tmpl w:val="1F04233C"/>
    <w:lvl w:ilvl="0" w:tplc="9454E7A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1AD73A7"/>
    <w:multiLevelType w:val="hybridMultilevel"/>
    <w:tmpl w:val="49C20E44"/>
    <w:lvl w:ilvl="0" w:tplc="9454E7A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4AD1D71"/>
    <w:multiLevelType w:val="hybridMultilevel"/>
    <w:tmpl w:val="3ADEC9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667E402C"/>
    <w:multiLevelType w:val="hybridMultilevel"/>
    <w:tmpl w:val="C9A2DEAA"/>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2">
    <w:nsid w:val="67A607DE"/>
    <w:multiLevelType w:val="hybridMultilevel"/>
    <w:tmpl w:val="EB10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AD5A76"/>
    <w:multiLevelType w:val="hybridMultilevel"/>
    <w:tmpl w:val="2E6E8E7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4">
    <w:nsid w:val="710216B6"/>
    <w:multiLevelType w:val="hybridMultilevel"/>
    <w:tmpl w:val="0A966022"/>
    <w:lvl w:ilvl="0" w:tplc="9454E7AE">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31B12CD"/>
    <w:multiLevelType w:val="hybridMultilevel"/>
    <w:tmpl w:val="63B216EC"/>
    <w:lvl w:ilvl="0" w:tplc="14090001">
      <w:start w:val="1"/>
      <w:numFmt w:val="bullet"/>
      <w:lvlText w:val=""/>
      <w:lvlJc w:val="left"/>
      <w:pPr>
        <w:ind w:left="1470" w:hanging="360"/>
      </w:pPr>
      <w:rPr>
        <w:rFonts w:ascii="Symbol" w:hAnsi="Symbol" w:hint="default"/>
      </w:rPr>
    </w:lvl>
    <w:lvl w:ilvl="1" w:tplc="14090003" w:tentative="1">
      <w:start w:val="1"/>
      <w:numFmt w:val="bullet"/>
      <w:lvlText w:val="o"/>
      <w:lvlJc w:val="left"/>
      <w:pPr>
        <w:ind w:left="2190" w:hanging="360"/>
      </w:pPr>
      <w:rPr>
        <w:rFonts w:ascii="Courier New" w:hAnsi="Courier New" w:cs="Courier New" w:hint="default"/>
      </w:rPr>
    </w:lvl>
    <w:lvl w:ilvl="2" w:tplc="14090005" w:tentative="1">
      <w:start w:val="1"/>
      <w:numFmt w:val="bullet"/>
      <w:lvlText w:val=""/>
      <w:lvlJc w:val="left"/>
      <w:pPr>
        <w:ind w:left="2910" w:hanging="360"/>
      </w:pPr>
      <w:rPr>
        <w:rFonts w:ascii="Wingdings" w:hAnsi="Wingdings" w:hint="default"/>
      </w:rPr>
    </w:lvl>
    <w:lvl w:ilvl="3" w:tplc="14090001" w:tentative="1">
      <w:start w:val="1"/>
      <w:numFmt w:val="bullet"/>
      <w:lvlText w:val=""/>
      <w:lvlJc w:val="left"/>
      <w:pPr>
        <w:ind w:left="3630" w:hanging="360"/>
      </w:pPr>
      <w:rPr>
        <w:rFonts w:ascii="Symbol" w:hAnsi="Symbol" w:hint="default"/>
      </w:rPr>
    </w:lvl>
    <w:lvl w:ilvl="4" w:tplc="14090003" w:tentative="1">
      <w:start w:val="1"/>
      <w:numFmt w:val="bullet"/>
      <w:lvlText w:val="o"/>
      <w:lvlJc w:val="left"/>
      <w:pPr>
        <w:ind w:left="4350" w:hanging="360"/>
      </w:pPr>
      <w:rPr>
        <w:rFonts w:ascii="Courier New" w:hAnsi="Courier New" w:cs="Courier New" w:hint="default"/>
      </w:rPr>
    </w:lvl>
    <w:lvl w:ilvl="5" w:tplc="14090005" w:tentative="1">
      <w:start w:val="1"/>
      <w:numFmt w:val="bullet"/>
      <w:lvlText w:val=""/>
      <w:lvlJc w:val="left"/>
      <w:pPr>
        <w:ind w:left="5070" w:hanging="360"/>
      </w:pPr>
      <w:rPr>
        <w:rFonts w:ascii="Wingdings" w:hAnsi="Wingdings" w:hint="default"/>
      </w:rPr>
    </w:lvl>
    <w:lvl w:ilvl="6" w:tplc="14090001" w:tentative="1">
      <w:start w:val="1"/>
      <w:numFmt w:val="bullet"/>
      <w:lvlText w:val=""/>
      <w:lvlJc w:val="left"/>
      <w:pPr>
        <w:ind w:left="5790" w:hanging="360"/>
      </w:pPr>
      <w:rPr>
        <w:rFonts w:ascii="Symbol" w:hAnsi="Symbol" w:hint="default"/>
      </w:rPr>
    </w:lvl>
    <w:lvl w:ilvl="7" w:tplc="14090003" w:tentative="1">
      <w:start w:val="1"/>
      <w:numFmt w:val="bullet"/>
      <w:lvlText w:val="o"/>
      <w:lvlJc w:val="left"/>
      <w:pPr>
        <w:ind w:left="6510" w:hanging="360"/>
      </w:pPr>
      <w:rPr>
        <w:rFonts w:ascii="Courier New" w:hAnsi="Courier New" w:cs="Courier New" w:hint="default"/>
      </w:rPr>
    </w:lvl>
    <w:lvl w:ilvl="8" w:tplc="14090005" w:tentative="1">
      <w:start w:val="1"/>
      <w:numFmt w:val="bullet"/>
      <w:lvlText w:val=""/>
      <w:lvlJc w:val="left"/>
      <w:pPr>
        <w:ind w:left="7230" w:hanging="360"/>
      </w:pPr>
      <w:rPr>
        <w:rFonts w:ascii="Wingdings" w:hAnsi="Wingdings" w:hint="default"/>
      </w:rPr>
    </w:lvl>
  </w:abstractNum>
  <w:abstractNum w:abstractNumId="36">
    <w:nsid w:val="73821B35"/>
    <w:multiLevelType w:val="hybridMultilevel"/>
    <w:tmpl w:val="119E414C"/>
    <w:lvl w:ilvl="0" w:tplc="F3C2106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5FF78C5"/>
    <w:multiLevelType w:val="hybridMultilevel"/>
    <w:tmpl w:val="E996B3B4"/>
    <w:lvl w:ilvl="0" w:tplc="7B28252A">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7717151"/>
    <w:multiLevelType w:val="hybridMultilevel"/>
    <w:tmpl w:val="8E76E314"/>
    <w:lvl w:ilvl="0" w:tplc="0C09000F">
      <w:start w:val="1"/>
      <w:numFmt w:val="decimal"/>
      <w:lvlText w:val="%1."/>
      <w:lvlJc w:val="left"/>
      <w:pPr>
        <w:ind w:left="720" w:hanging="360"/>
      </w:pPr>
    </w:lvl>
    <w:lvl w:ilvl="1" w:tplc="0C090017">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nsid w:val="77E13FDD"/>
    <w:multiLevelType w:val="hybridMultilevel"/>
    <w:tmpl w:val="7EFA9918"/>
    <w:lvl w:ilvl="0" w:tplc="04090003">
      <w:start w:val="1"/>
      <w:numFmt w:val="bullet"/>
      <w:lvlText w:val="o"/>
      <w:lvlJc w:val="left"/>
      <w:pPr>
        <w:ind w:left="1440" w:hanging="360"/>
      </w:pPr>
      <w:rPr>
        <w:rFonts w:ascii="Courier New" w:hAnsi="Courier New" w:hint="default"/>
        <w:color w:val="auto"/>
        <w:sz w:val="18"/>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7"/>
  </w:num>
  <w:num w:numId="2">
    <w:abstractNumId w:val="24"/>
  </w:num>
  <w:num w:numId="3">
    <w:abstractNumId w:val="32"/>
  </w:num>
  <w:num w:numId="4">
    <w:abstractNumId w:val="30"/>
  </w:num>
  <w:num w:numId="5">
    <w:abstractNumId w:val="2"/>
  </w:num>
  <w:num w:numId="6">
    <w:abstractNumId w:val="5"/>
  </w:num>
  <w:num w:numId="7">
    <w:abstractNumId w:val="25"/>
  </w:num>
  <w:num w:numId="8">
    <w:abstractNumId w:val="17"/>
  </w:num>
  <w:num w:numId="9">
    <w:abstractNumId w:val="33"/>
  </w:num>
  <w:num w:numId="10">
    <w:abstractNumId w:val="10"/>
  </w:num>
  <w:num w:numId="11">
    <w:abstractNumId w:val="3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num>
  <w:num w:numId="33">
    <w:abstractNumId w:val="20"/>
  </w:num>
  <w:num w:numId="34">
    <w:abstractNumId w:val="16"/>
  </w:num>
  <w:num w:numId="35">
    <w:abstractNumId w:val="22"/>
  </w:num>
  <w:num w:numId="36">
    <w:abstractNumId w:val="39"/>
  </w:num>
  <w:num w:numId="37">
    <w:abstractNumId w:val="14"/>
  </w:num>
  <w:num w:numId="38">
    <w:abstractNumId w:val="11"/>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A5"/>
    <w:rsid w:val="00000411"/>
    <w:rsid w:val="000023CC"/>
    <w:rsid w:val="00005C5A"/>
    <w:rsid w:val="000064D5"/>
    <w:rsid w:val="000078A5"/>
    <w:rsid w:val="000131F7"/>
    <w:rsid w:val="0002021C"/>
    <w:rsid w:val="00020B6F"/>
    <w:rsid w:val="0002327C"/>
    <w:rsid w:val="00025581"/>
    <w:rsid w:val="00025F4B"/>
    <w:rsid w:val="00026D83"/>
    <w:rsid w:val="00030D70"/>
    <w:rsid w:val="00032211"/>
    <w:rsid w:val="000325E9"/>
    <w:rsid w:val="00033BE0"/>
    <w:rsid w:val="00034568"/>
    <w:rsid w:val="00035E3E"/>
    <w:rsid w:val="00041A82"/>
    <w:rsid w:val="00043422"/>
    <w:rsid w:val="000437B7"/>
    <w:rsid w:val="00043879"/>
    <w:rsid w:val="00044C33"/>
    <w:rsid w:val="00044FE1"/>
    <w:rsid w:val="0005172F"/>
    <w:rsid w:val="0005195E"/>
    <w:rsid w:val="000520C7"/>
    <w:rsid w:val="00052DAF"/>
    <w:rsid w:val="0005420B"/>
    <w:rsid w:val="00054299"/>
    <w:rsid w:val="00054759"/>
    <w:rsid w:val="000557B0"/>
    <w:rsid w:val="00056109"/>
    <w:rsid w:val="00063AF1"/>
    <w:rsid w:val="00064EE9"/>
    <w:rsid w:val="00065135"/>
    <w:rsid w:val="0006592D"/>
    <w:rsid w:val="00065ACC"/>
    <w:rsid w:val="00065EC2"/>
    <w:rsid w:val="000763A2"/>
    <w:rsid w:val="00077DE0"/>
    <w:rsid w:val="0008197E"/>
    <w:rsid w:val="000841EA"/>
    <w:rsid w:val="00084C43"/>
    <w:rsid w:val="000863CE"/>
    <w:rsid w:val="000936AB"/>
    <w:rsid w:val="00096460"/>
    <w:rsid w:val="000A2923"/>
    <w:rsid w:val="000A3D03"/>
    <w:rsid w:val="000A51E0"/>
    <w:rsid w:val="000A6C4A"/>
    <w:rsid w:val="000B141C"/>
    <w:rsid w:val="000B4C7B"/>
    <w:rsid w:val="000B656B"/>
    <w:rsid w:val="000C0833"/>
    <w:rsid w:val="000C09A2"/>
    <w:rsid w:val="000C1562"/>
    <w:rsid w:val="000C4353"/>
    <w:rsid w:val="000C5C04"/>
    <w:rsid w:val="000C5DFB"/>
    <w:rsid w:val="000C7AA1"/>
    <w:rsid w:val="000D0170"/>
    <w:rsid w:val="000D03DA"/>
    <w:rsid w:val="000D0543"/>
    <w:rsid w:val="000D2A0C"/>
    <w:rsid w:val="000D54A8"/>
    <w:rsid w:val="000D6AB7"/>
    <w:rsid w:val="000D6BC5"/>
    <w:rsid w:val="000D7C5B"/>
    <w:rsid w:val="000D7E23"/>
    <w:rsid w:val="000E1138"/>
    <w:rsid w:val="000E3A74"/>
    <w:rsid w:val="000E49A0"/>
    <w:rsid w:val="000E49F9"/>
    <w:rsid w:val="000E5BB4"/>
    <w:rsid w:val="000F023B"/>
    <w:rsid w:val="000F05D5"/>
    <w:rsid w:val="000F24E0"/>
    <w:rsid w:val="000F465C"/>
    <w:rsid w:val="000F4848"/>
    <w:rsid w:val="000F7EFC"/>
    <w:rsid w:val="001079C9"/>
    <w:rsid w:val="001105E9"/>
    <w:rsid w:val="00113B9A"/>
    <w:rsid w:val="00113BDD"/>
    <w:rsid w:val="00114285"/>
    <w:rsid w:val="001153CE"/>
    <w:rsid w:val="001179F5"/>
    <w:rsid w:val="00117A2B"/>
    <w:rsid w:val="001231E2"/>
    <w:rsid w:val="00123D12"/>
    <w:rsid w:val="00125581"/>
    <w:rsid w:val="0012599C"/>
    <w:rsid w:val="00125FF9"/>
    <w:rsid w:val="00126C0C"/>
    <w:rsid w:val="0012758F"/>
    <w:rsid w:val="00127FD8"/>
    <w:rsid w:val="00131899"/>
    <w:rsid w:val="001336E0"/>
    <w:rsid w:val="00135692"/>
    <w:rsid w:val="001360B1"/>
    <w:rsid w:val="001376D4"/>
    <w:rsid w:val="00142C7F"/>
    <w:rsid w:val="001463A7"/>
    <w:rsid w:val="00150532"/>
    <w:rsid w:val="00150643"/>
    <w:rsid w:val="00151CAE"/>
    <w:rsid w:val="00153B0E"/>
    <w:rsid w:val="001548F9"/>
    <w:rsid w:val="00155211"/>
    <w:rsid w:val="00156553"/>
    <w:rsid w:val="00156D69"/>
    <w:rsid w:val="00162809"/>
    <w:rsid w:val="001640C2"/>
    <w:rsid w:val="00165799"/>
    <w:rsid w:val="00167D38"/>
    <w:rsid w:val="0017084E"/>
    <w:rsid w:val="00170CE3"/>
    <w:rsid w:val="00173EDE"/>
    <w:rsid w:val="00174933"/>
    <w:rsid w:val="00177E96"/>
    <w:rsid w:val="00182D17"/>
    <w:rsid w:val="00186619"/>
    <w:rsid w:val="001866C2"/>
    <w:rsid w:val="00191737"/>
    <w:rsid w:val="001943AF"/>
    <w:rsid w:val="00194B11"/>
    <w:rsid w:val="0019744C"/>
    <w:rsid w:val="001A0289"/>
    <w:rsid w:val="001A15A9"/>
    <w:rsid w:val="001A1837"/>
    <w:rsid w:val="001A21CA"/>
    <w:rsid w:val="001A6D10"/>
    <w:rsid w:val="001A7052"/>
    <w:rsid w:val="001A73E4"/>
    <w:rsid w:val="001B0D4C"/>
    <w:rsid w:val="001B1581"/>
    <w:rsid w:val="001B26B2"/>
    <w:rsid w:val="001B394A"/>
    <w:rsid w:val="001B54AE"/>
    <w:rsid w:val="001B7D34"/>
    <w:rsid w:val="001C0E9B"/>
    <w:rsid w:val="001C0FEB"/>
    <w:rsid w:val="001C5275"/>
    <w:rsid w:val="001C7A30"/>
    <w:rsid w:val="001D001E"/>
    <w:rsid w:val="001D0323"/>
    <w:rsid w:val="001D465D"/>
    <w:rsid w:val="001D5791"/>
    <w:rsid w:val="001D6599"/>
    <w:rsid w:val="001E4A65"/>
    <w:rsid w:val="001E4FF2"/>
    <w:rsid w:val="001E52B1"/>
    <w:rsid w:val="001E67AB"/>
    <w:rsid w:val="001E7378"/>
    <w:rsid w:val="001F5C32"/>
    <w:rsid w:val="001F62ED"/>
    <w:rsid w:val="001F75C0"/>
    <w:rsid w:val="00200511"/>
    <w:rsid w:val="00200687"/>
    <w:rsid w:val="00216A04"/>
    <w:rsid w:val="00217FD9"/>
    <w:rsid w:val="00220610"/>
    <w:rsid w:val="00221C02"/>
    <w:rsid w:val="00233D29"/>
    <w:rsid w:val="00235427"/>
    <w:rsid w:val="00236E62"/>
    <w:rsid w:val="00240E68"/>
    <w:rsid w:val="00242642"/>
    <w:rsid w:val="00243241"/>
    <w:rsid w:val="002432F3"/>
    <w:rsid w:val="0024331A"/>
    <w:rsid w:val="00244361"/>
    <w:rsid w:val="00244DE2"/>
    <w:rsid w:val="00252557"/>
    <w:rsid w:val="00253E48"/>
    <w:rsid w:val="002541B9"/>
    <w:rsid w:val="00256B2A"/>
    <w:rsid w:val="00257B97"/>
    <w:rsid w:val="00260DE5"/>
    <w:rsid w:val="002630FB"/>
    <w:rsid w:val="002631B1"/>
    <w:rsid w:val="002632E6"/>
    <w:rsid w:val="00263943"/>
    <w:rsid w:val="00263E23"/>
    <w:rsid w:val="00264CDD"/>
    <w:rsid w:val="002653CB"/>
    <w:rsid w:val="0026570A"/>
    <w:rsid w:val="002676AB"/>
    <w:rsid w:val="00271877"/>
    <w:rsid w:val="00272506"/>
    <w:rsid w:val="00272EA6"/>
    <w:rsid w:val="002737E6"/>
    <w:rsid w:val="0027637A"/>
    <w:rsid w:val="00282272"/>
    <w:rsid w:val="00284337"/>
    <w:rsid w:val="00284A6F"/>
    <w:rsid w:val="00285CCC"/>
    <w:rsid w:val="0029205D"/>
    <w:rsid w:val="00292504"/>
    <w:rsid w:val="00292AAF"/>
    <w:rsid w:val="00293198"/>
    <w:rsid w:val="0029328A"/>
    <w:rsid w:val="002947CE"/>
    <w:rsid w:val="002949A9"/>
    <w:rsid w:val="00296D08"/>
    <w:rsid w:val="00297909"/>
    <w:rsid w:val="0029797F"/>
    <w:rsid w:val="002A2892"/>
    <w:rsid w:val="002A4418"/>
    <w:rsid w:val="002A467F"/>
    <w:rsid w:val="002B1A0C"/>
    <w:rsid w:val="002B454A"/>
    <w:rsid w:val="002B51E2"/>
    <w:rsid w:val="002B58F5"/>
    <w:rsid w:val="002B7690"/>
    <w:rsid w:val="002C212D"/>
    <w:rsid w:val="002C3F42"/>
    <w:rsid w:val="002D3549"/>
    <w:rsid w:val="002D3D02"/>
    <w:rsid w:val="002E0874"/>
    <w:rsid w:val="002E088D"/>
    <w:rsid w:val="002E7072"/>
    <w:rsid w:val="002F18DA"/>
    <w:rsid w:val="002F2F30"/>
    <w:rsid w:val="003002F0"/>
    <w:rsid w:val="00300D85"/>
    <w:rsid w:val="0030141D"/>
    <w:rsid w:val="00301D8B"/>
    <w:rsid w:val="00303F63"/>
    <w:rsid w:val="00304A02"/>
    <w:rsid w:val="00311ADF"/>
    <w:rsid w:val="00311EC0"/>
    <w:rsid w:val="003144AA"/>
    <w:rsid w:val="003168EB"/>
    <w:rsid w:val="00317863"/>
    <w:rsid w:val="003200EF"/>
    <w:rsid w:val="00320D48"/>
    <w:rsid w:val="003233A0"/>
    <w:rsid w:val="003245DB"/>
    <w:rsid w:val="00326480"/>
    <w:rsid w:val="0033198D"/>
    <w:rsid w:val="00331D3A"/>
    <w:rsid w:val="003344EA"/>
    <w:rsid w:val="003349AE"/>
    <w:rsid w:val="00336F9A"/>
    <w:rsid w:val="00337A7A"/>
    <w:rsid w:val="00340364"/>
    <w:rsid w:val="00340651"/>
    <w:rsid w:val="00341BC6"/>
    <w:rsid w:val="00345445"/>
    <w:rsid w:val="00354109"/>
    <w:rsid w:val="00356C05"/>
    <w:rsid w:val="00356DBC"/>
    <w:rsid w:val="00360703"/>
    <w:rsid w:val="003627B3"/>
    <w:rsid w:val="00363961"/>
    <w:rsid w:val="00383230"/>
    <w:rsid w:val="00384182"/>
    <w:rsid w:val="003872B1"/>
    <w:rsid w:val="003927FD"/>
    <w:rsid w:val="00392D6A"/>
    <w:rsid w:val="00394442"/>
    <w:rsid w:val="003A07B4"/>
    <w:rsid w:val="003A1ED6"/>
    <w:rsid w:val="003A2137"/>
    <w:rsid w:val="003A776E"/>
    <w:rsid w:val="003B0E88"/>
    <w:rsid w:val="003B2C9E"/>
    <w:rsid w:val="003B3F8E"/>
    <w:rsid w:val="003B5CFE"/>
    <w:rsid w:val="003C0399"/>
    <w:rsid w:val="003C0F3D"/>
    <w:rsid w:val="003C3530"/>
    <w:rsid w:val="003C3F28"/>
    <w:rsid w:val="003C556F"/>
    <w:rsid w:val="003C59FB"/>
    <w:rsid w:val="003D098D"/>
    <w:rsid w:val="003D117F"/>
    <w:rsid w:val="003D29AB"/>
    <w:rsid w:val="003D2FD1"/>
    <w:rsid w:val="003D3799"/>
    <w:rsid w:val="003D3C25"/>
    <w:rsid w:val="003D64D2"/>
    <w:rsid w:val="003D7250"/>
    <w:rsid w:val="003E170C"/>
    <w:rsid w:val="003E18B2"/>
    <w:rsid w:val="003E32A3"/>
    <w:rsid w:val="003E4CA2"/>
    <w:rsid w:val="003E596B"/>
    <w:rsid w:val="003E5C62"/>
    <w:rsid w:val="003E683D"/>
    <w:rsid w:val="003F2B0E"/>
    <w:rsid w:val="003F5893"/>
    <w:rsid w:val="003F5F0A"/>
    <w:rsid w:val="003F7B7E"/>
    <w:rsid w:val="004017EA"/>
    <w:rsid w:val="00401EC8"/>
    <w:rsid w:val="004034C3"/>
    <w:rsid w:val="004045FE"/>
    <w:rsid w:val="00405BD4"/>
    <w:rsid w:val="004065EF"/>
    <w:rsid w:val="0041378E"/>
    <w:rsid w:val="004213EE"/>
    <w:rsid w:val="00421C18"/>
    <w:rsid w:val="00425B3D"/>
    <w:rsid w:val="0042615E"/>
    <w:rsid w:val="00434988"/>
    <w:rsid w:val="00437115"/>
    <w:rsid w:val="004408A3"/>
    <w:rsid w:val="00443F3F"/>
    <w:rsid w:val="00445129"/>
    <w:rsid w:val="00446461"/>
    <w:rsid w:val="00447CD0"/>
    <w:rsid w:val="00454127"/>
    <w:rsid w:val="0045667B"/>
    <w:rsid w:val="0045692E"/>
    <w:rsid w:val="004602CA"/>
    <w:rsid w:val="00460BE0"/>
    <w:rsid w:val="00465BFD"/>
    <w:rsid w:val="00466758"/>
    <w:rsid w:val="00466CCB"/>
    <w:rsid w:val="00467A27"/>
    <w:rsid w:val="0047241B"/>
    <w:rsid w:val="00472D31"/>
    <w:rsid w:val="00472E5D"/>
    <w:rsid w:val="0047486A"/>
    <w:rsid w:val="004755E6"/>
    <w:rsid w:val="004755F0"/>
    <w:rsid w:val="00481F0D"/>
    <w:rsid w:val="00482B94"/>
    <w:rsid w:val="004834A2"/>
    <w:rsid w:val="004860E1"/>
    <w:rsid w:val="0049005C"/>
    <w:rsid w:val="00492203"/>
    <w:rsid w:val="004940E1"/>
    <w:rsid w:val="00494A1F"/>
    <w:rsid w:val="00494F40"/>
    <w:rsid w:val="00496156"/>
    <w:rsid w:val="00496EF1"/>
    <w:rsid w:val="00497430"/>
    <w:rsid w:val="004A1328"/>
    <w:rsid w:val="004A17D9"/>
    <w:rsid w:val="004A3323"/>
    <w:rsid w:val="004A63C7"/>
    <w:rsid w:val="004B0FCB"/>
    <w:rsid w:val="004B2017"/>
    <w:rsid w:val="004C46EE"/>
    <w:rsid w:val="004C644F"/>
    <w:rsid w:val="004D1074"/>
    <w:rsid w:val="004D3562"/>
    <w:rsid w:val="004D3A74"/>
    <w:rsid w:val="004D6B5C"/>
    <w:rsid w:val="004D7116"/>
    <w:rsid w:val="004D77D4"/>
    <w:rsid w:val="004E0594"/>
    <w:rsid w:val="004E502B"/>
    <w:rsid w:val="004E5CDA"/>
    <w:rsid w:val="004E7D5A"/>
    <w:rsid w:val="004F163F"/>
    <w:rsid w:val="004F79C6"/>
    <w:rsid w:val="005013C6"/>
    <w:rsid w:val="00501E1F"/>
    <w:rsid w:val="005024D4"/>
    <w:rsid w:val="005027BD"/>
    <w:rsid w:val="005034D0"/>
    <w:rsid w:val="005047EF"/>
    <w:rsid w:val="00505409"/>
    <w:rsid w:val="0051049D"/>
    <w:rsid w:val="005107BD"/>
    <w:rsid w:val="005128F6"/>
    <w:rsid w:val="00515540"/>
    <w:rsid w:val="00524799"/>
    <w:rsid w:val="005252F5"/>
    <w:rsid w:val="005256E5"/>
    <w:rsid w:val="00526D5A"/>
    <w:rsid w:val="005275F4"/>
    <w:rsid w:val="005333C3"/>
    <w:rsid w:val="00533643"/>
    <w:rsid w:val="00534563"/>
    <w:rsid w:val="00535E96"/>
    <w:rsid w:val="00536E83"/>
    <w:rsid w:val="00543DF1"/>
    <w:rsid w:val="00544580"/>
    <w:rsid w:val="00544F9B"/>
    <w:rsid w:val="00547AD0"/>
    <w:rsid w:val="005526D0"/>
    <w:rsid w:val="005536C9"/>
    <w:rsid w:val="005545D6"/>
    <w:rsid w:val="00554826"/>
    <w:rsid w:val="0055667C"/>
    <w:rsid w:val="0055785E"/>
    <w:rsid w:val="00565CFE"/>
    <w:rsid w:val="00565DC1"/>
    <w:rsid w:val="00577051"/>
    <w:rsid w:val="0057735B"/>
    <w:rsid w:val="005776E0"/>
    <w:rsid w:val="005806CC"/>
    <w:rsid w:val="005811C4"/>
    <w:rsid w:val="0058145A"/>
    <w:rsid w:val="00581C12"/>
    <w:rsid w:val="005829C5"/>
    <w:rsid w:val="0058336D"/>
    <w:rsid w:val="00583D25"/>
    <w:rsid w:val="00586605"/>
    <w:rsid w:val="005870F0"/>
    <w:rsid w:val="005908E0"/>
    <w:rsid w:val="005918A0"/>
    <w:rsid w:val="0059228D"/>
    <w:rsid w:val="005940CF"/>
    <w:rsid w:val="00594163"/>
    <w:rsid w:val="00595C42"/>
    <w:rsid w:val="00596B34"/>
    <w:rsid w:val="005A0A9E"/>
    <w:rsid w:val="005A1834"/>
    <w:rsid w:val="005A4109"/>
    <w:rsid w:val="005A4FCC"/>
    <w:rsid w:val="005A6CEF"/>
    <w:rsid w:val="005B6AD1"/>
    <w:rsid w:val="005B78D5"/>
    <w:rsid w:val="005C2BCB"/>
    <w:rsid w:val="005C3093"/>
    <w:rsid w:val="005C3F70"/>
    <w:rsid w:val="005C44F8"/>
    <w:rsid w:val="005C6AE1"/>
    <w:rsid w:val="005C6B51"/>
    <w:rsid w:val="005D6537"/>
    <w:rsid w:val="005D6912"/>
    <w:rsid w:val="005D6ECE"/>
    <w:rsid w:val="005E018E"/>
    <w:rsid w:val="005E0501"/>
    <w:rsid w:val="005E0D5F"/>
    <w:rsid w:val="005E1315"/>
    <w:rsid w:val="005E2BAA"/>
    <w:rsid w:val="005E49F6"/>
    <w:rsid w:val="005E4AF3"/>
    <w:rsid w:val="005F365C"/>
    <w:rsid w:val="005F3DDF"/>
    <w:rsid w:val="005F6907"/>
    <w:rsid w:val="005F6B4F"/>
    <w:rsid w:val="0060218D"/>
    <w:rsid w:val="0060241F"/>
    <w:rsid w:val="00604183"/>
    <w:rsid w:val="006103E9"/>
    <w:rsid w:val="006119CF"/>
    <w:rsid w:val="00616913"/>
    <w:rsid w:val="00617762"/>
    <w:rsid w:val="00622326"/>
    <w:rsid w:val="0062781A"/>
    <w:rsid w:val="00627EDE"/>
    <w:rsid w:val="006339E3"/>
    <w:rsid w:val="00634BBD"/>
    <w:rsid w:val="006361E1"/>
    <w:rsid w:val="006369F2"/>
    <w:rsid w:val="0064006D"/>
    <w:rsid w:val="00645AD9"/>
    <w:rsid w:val="00645D5D"/>
    <w:rsid w:val="00647537"/>
    <w:rsid w:val="00647920"/>
    <w:rsid w:val="00654BCD"/>
    <w:rsid w:val="00661B5D"/>
    <w:rsid w:val="0066229B"/>
    <w:rsid w:val="006628F1"/>
    <w:rsid w:val="0066354F"/>
    <w:rsid w:val="00665301"/>
    <w:rsid w:val="00671B67"/>
    <w:rsid w:val="00672FF1"/>
    <w:rsid w:val="00675C36"/>
    <w:rsid w:val="00681047"/>
    <w:rsid w:val="00682402"/>
    <w:rsid w:val="00684299"/>
    <w:rsid w:val="0068628A"/>
    <w:rsid w:val="00690739"/>
    <w:rsid w:val="00694EE7"/>
    <w:rsid w:val="00696690"/>
    <w:rsid w:val="006A57AC"/>
    <w:rsid w:val="006B4C56"/>
    <w:rsid w:val="006B67E5"/>
    <w:rsid w:val="006C400C"/>
    <w:rsid w:val="006C52F4"/>
    <w:rsid w:val="006C6024"/>
    <w:rsid w:val="006C6814"/>
    <w:rsid w:val="006C681D"/>
    <w:rsid w:val="006D7073"/>
    <w:rsid w:val="006D76B1"/>
    <w:rsid w:val="006E1625"/>
    <w:rsid w:val="006E43BF"/>
    <w:rsid w:val="006E44E1"/>
    <w:rsid w:val="006E4860"/>
    <w:rsid w:val="006E67B7"/>
    <w:rsid w:val="006E7D9B"/>
    <w:rsid w:val="006F31EF"/>
    <w:rsid w:val="006F569B"/>
    <w:rsid w:val="006F6295"/>
    <w:rsid w:val="00700E24"/>
    <w:rsid w:val="007025F9"/>
    <w:rsid w:val="0070448B"/>
    <w:rsid w:val="00706518"/>
    <w:rsid w:val="0070657F"/>
    <w:rsid w:val="007077DE"/>
    <w:rsid w:val="00711EF0"/>
    <w:rsid w:val="0071674A"/>
    <w:rsid w:val="0071687B"/>
    <w:rsid w:val="0071795C"/>
    <w:rsid w:val="007210AD"/>
    <w:rsid w:val="00721983"/>
    <w:rsid w:val="00722B46"/>
    <w:rsid w:val="007230EC"/>
    <w:rsid w:val="00724CE0"/>
    <w:rsid w:val="007250EE"/>
    <w:rsid w:val="00733EE3"/>
    <w:rsid w:val="00734B5A"/>
    <w:rsid w:val="00736350"/>
    <w:rsid w:val="00740F1B"/>
    <w:rsid w:val="007412CF"/>
    <w:rsid w:val="00741C14"/>
    <w:rsid w:val="0074374B"/>
    <w:rsid w:val="00744113"/>
    <w:rsid w:val="007461FB"/>
    <w:rsid w:val="00753999"/>
    <w:rsid w:val="007560A1"/>
    <w:rsid w:val="007572CF"/>
    <w:rsid w:val="00757717"/>
    <w:rsid w:val="00757D8E"/>
    <w:rsid w:val="00760B41"/>
    <w:rsid w:val="00761CCF"/>
    <w:rsid w:val="0076395C"/>
    <w:rsid w:val="00767530"/>
    <w:rsid w:val="0076772E"/>
    <w:rsid w:val="007704BE"/>
    <w:rsid w:val="00775118"/>
    <w:rsid w:val="007768D8"/>
    <w:rsid w:val="00780154"/>
    <w:rsid w:val="00781794"/>
    <w:rsid w:val="00782E8D"/>
    <w:rsid w:val="00784E84"/>
    <w:rsid w:val="0078686C"/>
    <w:rsid w:val="00786F6A"/>
    <w:rsid w:val="00793AD6"/>
    <w:rsid w:val="00795D10"/>
    <w:rsid w:val="007961F4"/>
    <w:rsid w:val="00797D50"/>
    <w:rsid w:val="007A006F"/>
    <w:rsid w:val="007A0880"/>
    <w:rsid w:val="007A2016"/>
    <w:rsid w:val="007A5715"/>
    <w:rsid w:val="007A735B"/>
    <w:rsid w:val="007A78BA"/>
    <w:rsid w:val="007B0D31"/>
    <w:rsid w:val="007B1576"/>
    <w:rsid w:val="007B3911"/>
    <w:rsid w:val="007B42E9"/>
    <w:rsid w:val="007B4D0C"/>
    <w:rsid w:val="007C4826"/>
    <w:rsid w:val="007C5957"/>
    <w:rsid w:val="007C72BC"/>
    <w:rsid w:val="007C7CB3"/>
    <w:rsid w:val="007D0EDB"/>
    <w:rsid w:val="007D312F"/>
    <w:rsid w:val="007D3CBC"/>
    <w:rsid w:val="007D4274"/>
    <w:rsid w:val="007D4B00"/>
    <w:rsid w:val="007E2ED7"/>
    <w:rsid w:val="007E36C0"/>
    <w:rsid w:val="007E6481"/>
    <w:rsid w:val="007E6496"/>
    <w:rsid w:val="007E72BC"/>
    <w:rsid w:val="007F0586"/>
    <w:rsid w:val="007F0767"/>
    <w:rsid w:val="007F10D7"/>
    <w:rsid w:val="007F3DA1"/>
    <w:rsid w:val="007F3F6B"/>
    <w:rsid w:val="007F4F29"/>
    <w:rsid w:val="007F5DB5"/>
    <w:rsid w:val="007F78DE"/>
    <w:rsid w:val="00800F76"/>
    <w:rsid w:val="00803428"/>
    <w:rsid w:val="00806843"/>
    <w:rsid w:val="0080782C"/>
    <w:rsid w:val="00811C92"/>
    <w:rsid w:val="00812440"/>
    <w:rsid w:val="0081437A"/>
    <w:rsid w:val="008159A4"/>
    <w:rsid w:val="00817761"/>
    <w:rsid w:val="008243A6"/>
    <w:rsid w:val="00831F75"/>
    <w:rsid w:val="0083283F"/>
    <w:rsid w:val="008357A9"/>
    <w:rsid w:val="00841996"/>
    <w:rsid w:val="00841C90"/>
    <w:rsid w:val="00842C52"/>
    <w:rsid w:val="00846A3E"/>
    <w:rsid w:val="00850EF1"/>
    <w:rsid w:val="00852D8E"/>
    <w:rsid w:val="00853164"/>
    <w:rsid w:val="00854710"/>
    <w:rsid w:val="00854C25"/>
    <w:rsid w:val="00857E3B"/>
    <w:rsid w:val="008627CB"/>
    <w:rsid w:val="00862E8A"/>
    <w:rsid w:val="00863DDE"/>
    <w:rsid w:val="0086627A"/>
    <w:rsid w:val="00873346"/>
    <w:rsid w:val="00873467"/>
    <w:rsid w:val="0087515A"/>
    <w:rsid w:val="00877BBE"/>
    <w:rsid w:val="00880F24"/>
    <w:rsid w:val="00881A41"/>
    <w:rsid w:val="00881DCE"/>
    <w:rsid w:val="00882EB5"/>
    <w:rsid w:val="00885EB6"/>
    <w:rsid w:val="00886DED"/>
    <w:rsid w:val="00895BF3"/>
    <w:rsid w:val="00896DC0"/>
    <w:rsid w:val="008A17AF"/>
    <w:rsid w:val="008A4C5F"/>
    <w:rsid w:val="008B6BB5"/>
    <w:rsid w:val="008B7C58"/>
    <w:rsid w:val="008C118E"/>
    <w:rsid w:val="008C13CE"/>
    <w:rsid w:val="008C2BE9"/>
    <w:rsid w:val="008D14C4"/>
    <w:rsid w:val="008D3E98"/>
    <w:rsid w:val="008D6D5F"/>
    <w:rsid w:val="008D78F0"/>
    <w:rsid w:val="008E30F8"/>
    <w:rsid w:val="008E69A6"/>
    <w:rsid w:val="008E6F83"/>
    <w:rsid w:val="008F18B5"/>
    <w:rsid w:val="008F29C2"/>
    <w:rsid w:val="008F5A5C"/>
    <w:rsid w:val="00903F23"/>
    <w:rsid w:val="009047E1"/>
    <w:rsid w:val="00905F1D"/>
    <w:rsid w:val="0091529D"/>
    <w:rsid w:val="00915B9E"/>
    <w:rsid w:val="0091622E"/>
    <w:rsid w:val="00916478"/>
    <w:rsid w:val="00917216"/>
    <w:rsid w:val="00917B7D"/>
    <w:rsid w:val="00920615"/>
    <w:rsid w:val="00922AF7"/>
    <w:rsid w:val="00923164"/>
    <w:rsid w:val="0092400A"/>
    <w:rsid w:val="00926EF7"/>
    <w:rsid w:val="009273E7"/>
    <w:rsid w:val="00930F73"/>
    <w:rsid w:val="00933D39"/>
    <w:rsid w:val="009349A5"/>
    <w:rsid w:val="0094009D"/>
    <w:rsid w:val="00943091"/>
    <w:rsid w:val="00945762"/>
    <w:rsid w:val="00947295"/>
    <w:rsid w:val="00947ACB"/>
    <w:rsid w:val="00955C1D"/>
    <w:rsid w:val="009568A3"/>
    <w:rsid w:val="00965D75"/>
    <w:rsid w:val="0096662A"/>
    <w:rsid w:val="0096767F"/>
    <w:rsid w:val="009702C8"/>
    <w:rsid w:val="0097339B"/>
    <w:rsid w:val="00975338"/>
    <w:rsid w:val="00975D33"/>
    <w:rsid w:val="00976047"/>
    <w:rsid w:val="0097633B"/>
    <w:rsid w:val="00976AE2"/>
    <w:rsid w:val="00976E35"/>
    <w:rsid w:val="00977C96"/>
    <w:rsid w:val="00981A35"/>
    <w:rsid w:val="00983288"/>
    <w:rsid w:val="00985525"/>
    <w:rsid w:val="00987057"/>
    <w:rsid w:val="009903F8"/>
    <w:rsid w:val="00993425"/>
    <w:rsid w:val="009975F6"/>
    <w:rsid w:val="009A1285"/>
    <w:rsid w:val="009A4174"/>
    <w:rsid w:val="009A5677"/>
    <w:rsid w:val="009B080B"/>
    <w:rsid w:val="009B1DC7"/>
    <w:rsid w:val="009B2BB4"/>
    <w:rsid w:val="009B4F0B"/>
    <w:rsid w:val="009C244B"/>
    <w:rsid w:val="009C298D"/>
    <w:rsid w:val="009C2CE8"/>
    <w:rsid w:val="009C54F4"/>
    <w:rsid w:val="009C64B1"/>
    <w:rsid w:val="009D0318"/>
    <w:rsid w:val="009D6E2F"/>
    <w:rsid w:val="009D76C3"/>
    <w:rsid w:val="009E1540"/>
    <w:rsid w:val="009E3747"/>
    <w:rsid w:val="009E4836"/>
    <w:rsid w:val="009E5568"/>
    <w:rsid w:val="009F32F6"/>
    <w:rsid w:val="00A051A6"/>
    <w:rsid w:val="00A054BA"/>
    <w:rsid w:val="00A05E25"/>
    <w:rsid w:val="00A06597"/>
    <w:rsid w:val="00A103E9"/>
    <w:rsid w:val="00A11058"/>
    <w:rsid w:val="00A12F87"/>
    <w:rsid w:val="00A140A9"/>
    <w:rsid w:val="00A14E5D"/>
    <w:rsid w:val="00A15544"/>
    <w:rsid w:val="00A15D02"/>
    <w:rsid w:val="00A21879"/>
    <w:rsid w:val="00A21DC1"/>
    <w:rsid w:val="00A252A3"/>
    <w:rsid w:val="00A41A07"/>
    <w:rsid w:val="00A4244F"/>
    <w:rsid w:val="00A43DEE"/>
    <w:rsid w:val="00A44618"/>
    <w:rsid w:val="00A46297"/>
    <w:rsid w:val="00A47C9A"/>
    <w:rsid w:val="00A502E5"/>
    <w:rsid w:val="00A53DB4"/>
    <w:rsid w:val="00A54F50"/>
    <w:rsid w:val="00A607CB"/>
    <w:rsid w:val="00A63484"/>
    <w:rsid w:val="00A669D8"/>
    <w:rsid w:val="00A70AF6"/>
    <w:rsid w:val="00A7294B"/>
    <w:rsid w:val="00A74986"/>
    <w:rsid w:val="00A76581"/>
    <w:rsid w:val="00A8192B"/>
    <w:rsid w:val="00A84F4A"/>
    <w:rsid w:val="00A877DF"/>
    <w:rsid w:val="00A902A1"/>
    <w:rsid w:val="00A908AC"/>
    <w:rsid w:val="00A92A49"/>
    <w:rsid w:val="00A94648"/>
    <w:rsid w:val="00A9548A"/>
    <w:rsid w:val="00AA0883"/>
    <w:rsid w:val="00AA0C9B"/>
    <w:rsid w:val="00AA19E2"/>
    <w:rsid w:val="00AA27AD"/>
    <w:rsid w:val="00AA312B"/>
    <w:rsid w:val="00AA786A"/>
    <w:rsid w:val="00AA78DC"/>
    <w:rsid w:val="00AB03CD"/>
    <w:rsid w:val="00AB2E39"/>
    <w:rsid w:val="00AB3A0E"/>
    <w:rsid w:val="00AB64B5"/>
    <w:rsid w:val="00AC0C07"/>
    <w:rsid w:val="00AC42C2"/>
    <w:rsid w:val="00AC50F8"/>
    <w:rsid w:val="00AC5286"/>
    <w:rsid w:val="00AD0416"/>
    <w:rsid w:val="00AD1BB6"/>
    <w:rsid w:val="00AD3B54"/>
    <w:rsid w:val="00AD6545"/>
    <w:rsid w:val="00AD65FC"/>
    <w:rsid w:val="00AD6929"/>
    <w:rsid w:val="00AD7D6F"/>
    <w:rsid w:val="00AE120E"/>
    <w:rsid w:val="00AE3127"/>
    <w:rsid w:val="00AE538D"/>
    <w:rsid w:val="00AE539A"/>
    <w:rsid w:val="00AE5A79"/>
    <w:rsid w:val="00AE64CD"/>
    <w:rsid w:val="00AE665F"/>
    <w:rsid w:val="00AE716A"/>
    <w:rsid w:val="00AF3461"/>
    <w:rsid w:val="00AF3A11"/>
    <w:rsid w:val="00AF7FE5"/>
    <w:rsid w:val="00B01518"/>
    <w:rsid w:val="00B02194"/>
    <w:rsid w:val="00B02BB8"/>
    <w:rsid w:val="00B04A14"/>
    <w:rsid w:val="00B072A2"/>
    <w:rsid w:val="00B07F54"/>
    <w:rsid w:val="00B11A39"/>
    <w:rsid w:val="00B148D3"/>
    <w:rsid w:val="00B20681"/>
    <w:rsid w:val="00B2289C"/>
    <w:rsid w:val="00B2494E"/>
    <w:rsid w:val="00B2745A"/>
    <w:rsid w:val="00B3009F"/>
    <w:rsid w:val="00B30261"/>
    <w:rsid w:val="00B305B6"/>
    <w:rsid w:val="00B31334"/>
    <w:rsid w:val="00B31653"/>
    <w:rsid w:val="00B46EE6"/>
    <w:rsid w:val="00B475AA"/>
    <w:rsid w:val="00B5027B"/>
    <w:rsid w:val="00B505FB"/>
    <w:rsid w:val="00B50834"/>
    <w:rsid w:val="00B5261E"/>
    <w:rsid w:val="00B52634"/>
    <w:rsid w:val="00B568C4"/>
    <w:rsid w:val="00B57997"/>
    <w:rsid w:val="00B604B9"/>
    <w:rsid w:val="00B622AD"/>
    <w:rsid w:val="00B65B34"/>
    <w:rsid w:val="00B66171"/>
    <w:rsid w:val="00B705FD"/>
    <w:rsid w:val="00B70643"/>
    <w:rsid w:val="00B75B34"/>
    <w:rsid w:val="00B91E02"/>
    <w:rsid w:val="00B96836"/>
    <w:rsid w:val="00B97267"/>
    <w:rsid w:val="00B97BE3"/>
    <w:rsid w:val="00BA25D2"/>
    <w:rsid w:val="00BA2979"/>
    <w:rsid w:val="00BA7F8F"/>
    <w:rsid w:val="00BB1E9C"/>
    <w:rsid w:val="00BB4770"/>
    <w:rsid w:val="00BB6FB5"/>
    <w:rsid w:val="00BB7863"/>
    <w:rsid w:val="00BC19F5"/>
    <w:rsid w:val="00BC28F0"/>
    <w:rsid w:val="00BC3273"/>
    <w:rsid w:val="00BC32DE"/>
    <w:rsid w:val="00BC4FC1"/>
    <w:rsid w:val="00BC563E"/>
    <w:rsid w:val="00BD02D3"/>
    <w:rsid w:val="00BD2F72"/>
    <w:rsid w:val="00BD36CC"/>
    <w:rsid w:val="00BD5C43"/>
    <w:rsid w:val="00BD7B53"/>
    <w:rsid w:val="00BE6CC5"/>
    <w:rsid w:val="00BE71AC"/>
    <w:rsid w:val="00BF1ACF"/>
    <w:rsid w:val="00BF50E2"/>
    <w:rsid w:val="00BF6377"/>
    <w:rsid w:val="00BF7B34"/>
    <w:rsid w:val="00C02549"/>
    <w:rsid w:val="00C04ED7"/>
    <w:rsid w:val="00C0578F"/>
    <w:rsid w:val="00C068D6"/>
    <w:rsid w:val="00C122DC"/>
    <w:rsid w:val="00C126F6"/>
    <w:rsid w:val="00C13768"/>
    <w:rsid w:val="00C16BE5"/>
    <w:rsid w:val="00C17865"/>
    <w:rsid w:val="00C17F09"/>
    <w:rsid w:val="00C21C95"/>
    <w:rsid w:val="00C27007"/>
    <w:rsid w:val="00C272A5"/>
    <w:rsid w:val="00C2748B"/>
    <w:rsid w:val="00C27AF5"/>
    <w:rsid w:val="00C3295F"/>
    <w:rsid w:val="00C41DE0"/>
    <w:rsid w:val="00C4221D"/>
    <w:rsid w:val="00C43BD1"/>
    <w:rsid w:val="00C4454F"/>
    <w:rsid w:val="00C44D3E"/>
    <w:rsid w:val="00C47719"/>
    <w:rsid w:val="00C50721"/>
    <w:rsid w:val="00C519B7"/>
    <w:rsid w:val="00C55B8F"/>
    <w:rsid w:val="00C60FDF"/>
    <w:rsid w:val="00C61C04"/>
    <w:rsid w:val="00C708C4"/>
    <w:rsid w:val="00C70FE2"/>
    <w:rsid w:val="00C71B6E"/>
    <w:rsid w:val="00C71FD2"/>
    <w:rsid w:val="00C73997"/>
    <w:rsid w:val="00C73EBA"/>
    <w:rsid w:val="00C77713"/>
    <w:rsid w:val="00C86676"/>
    <w:rsid w:val="00C868F2"/>
    <w:rsid w:val="00C87FF5"/>
    <w:rsid w:val="00C91315"/>
    <w:rsid w:val="00C915D3"/>
    <w:rsid w:val="00C91ADE"/>
    <w:rsid w:val="00C931EA"/>
    <w:rsid w:val="00C959CD"/>
    <w:rsid w:val="00CA39A6"/>
    <w:rsid w:val="00CA3D5B"/>
    <w:rsid w:val="00CA7FDB"/>
    <w:rsid w:val="00CB4A29"/>
    <w:rsid w:val="00CB7CAB"/>
    <w:rsid w:val="00CC2513"/>
    <w:rsid w:val="00CC5CC2"/>
    <w:rsid w:val="00CC70A4"/>
    <w:rsid w:val="00CD4DEC"/>
    <w:rsid w:val="00CD6623"/>
    <w:rsid w:val="00CD7773"/>
    <w:rsid w:val="00CE13C7"/>
    <w:rsid w:val="00CE24C9"/>
    <w:rsid w:val="00CE4840"/>
    <w:rsid w:val="00CF0141"/>
    <w:rsid w:val="00CF7458"/>
    <w:rsid w:val="00D0145D"/>
    <w:rsid w:val="00D02360"/>
    <w:rsid w:val="00D025B0"/>
    <w:rsid w:val="00D02BFB"/>
    <w:rsid w:val="00D06DFB"/>
    <w:rsid w:val="00D07DD9"/>
    <w:rsid w:val="00D109D6"/>
    <w:rsid w:val="00D12A72"/>
    <w:rsid w:val="00D16114"/>
    <w:rsid w:val="00D20532"/>
    <w:rsid w:val="00D22279"/>
    <w:rsid w:val="00D23ADE"/>
    <w:rsid w:val="00D317FA"/>
    <w:rsid w:val="00D32BDE"/>
    <w:rsid w:val="00D36B72"/>
    <w:rsid w:val="00D4090E"/>
    <w:rsid w:val="00D44623"/>
    <w:rsid w:val="00D44841"/>
    <w:rsid w:val="00D45655"/>
    <w:rsid w:val="00D463AD"/>
    <w:rsid w:val="00D470FC"/>
    <w:rsid w:val="00D47969"/>
    <w:rsid w:val="00D47977"/>
    <w:rsid w:val="00D5045D"/>
    <w:rsid w:val="00D52159"/>
    <w:rsid w:val="00D5442F"/>
    <w:rsid w:val="00D55A12"/>
    <w:rsid w:val="00D57209"/>
    <w:rsid w:val="00D57236"/>
    <w:rsid w:val="00D602B5"/>
    <w:rsid w:val="00D61ADA"/>
    <w:rsid w:val="00D625F3"/>
    <w:rsid w:val="00D62E6F"/>
    <w:rsid w:val="00D64E16"/>
    <w:rsid w:val="00D66F7A"/>
    <w:rsid w:val="00D70C10"/>
    <w:rsid w:val="00D70F9A"/>
    <w:rsid w:val="00D71053"/>
    <w:rsid w:val="00D73847"/>
    <w:rsid w:val="00D73C71"/>
    <w:rsid w:val="00D74725"/>
    <w:rsid w:val="00D753AF"/>
    <w:rsid w:val="00D7557B"/>
    <w:rsid w:val="00D762EB"/>
    <w:rsid w:val="00D818D6"/>
    <w:rsid w:val="00D81B41"/>
    <w:rsid w:val="00D8231C"/>
    <w:rsid w:val="00D823C9"/>
    <w:rsid w:val="00D836A3"/>
    <w:rsid w:val="00D854BA"/>
    <w:rsid w:val="00D86BC9"/>
    <w:rsid w:val="00D94A02"/>
    <w:rsid w:val="00D973E9"/>
    <w:rsid w:val="00D97425"/>
    <w:rsid w:val="00DA53ED"/>
    <w:rsid w:val="00DA6B4B"/>
    <w:rsid w:val="00DA6D05"/>
    <w:rsid w:val="00DA7B2E"/>
    <w:rsid w:val="00DB1509"/>
    <w:rsid w:val="00DB284D"/>
    <w:rsid w:val="00DB3EC5"/>
    <w:rsid w:val="00DB42D2"/>
    <w:rsid w:val="00DB510A"/>
    <w:rsid w:val="00DB7DA8"/>
    <w:rsid w:val="00DC1609"/>
    <w:rsid w:val="00DC32AF"/>
    <w:rsid w:val="00DC40B5"/>
    <w:rsid w:val="00DC4D3F"/>
    <w:rsid w:val="00DC4FA7"/>
    <w:rsid w:val="00DC5474"/>
    <w:rsid w:val="00DC5A61"/>
    <w:rsid w:val="00DD674E"/>
    <w:rsid w:val="00DD745A"/>
    <w:rsid w:val="00DE00A3"/>
    <w:rsid w:val="00DE1C3E"/>
    <w:rsid w:val="00DE568A"/>
    <w:rsid w:val="00DF31CE"/>
    <w:rsid w:val="00DF4BA3"/>
    <w:rsid w:val="00DF6851"/>
    <w:rsid w:val="00E0054D"/>
    <w:rsid w:val="00E010DD"/>
    <w:rsid w:val="00E01E25"/>
    <w:rsid w:val="00E03D0F"/>
    <w:rsid w:val="00E041A1"/>
    <w:rsid w:val="00E045CA"/>
    <w:rsid w:val="00E04768"/>
    <w:rsid w:val="00E04DBF"/>
    <w:rsid w:val="00E11A2C"/>
    <w:rsid w:val="00E12008"/>
    <w:rsid w:val="00E1542C"/>
    <w:rsid w:val="00E169C2"/>
    <w:rsid w:val="00E2210C"/>
    <w:rsid w:val="00E27737"/>
    <w:rsid w:val="00E32C6A"/>
    <w:rsid w:val="00E418A7"/>
    <w:rsid w:val="00E42AD2"/>
    <w:rsid w:val="00E43481"/>
    <w:rsid w:val="00E43518"/>
    <w:rsid w:val="00E445CC"/>
    <w:rsid w:val="00E45AD3"/>
    <w:rsid w:val="00E47C69"/>
    <w:rsid w:val="00E51371"/>
    <w:rsid w:val="00E516E1"/>
    <w:rsid w:val="00E560A5"/>
    <w:rsid w:val="00E61733"/>
    <w:rsid w:val="00E64585"/>
    <w:rsid w:val="00E645D2"/>
    <w:rsid w:val="00E648B7"/>
    <w:rsid w:val="00E64CDE"/>
    <w:rsid w:val="00E71E91"/>
    <w:rsid w:val="00E733B0"/>
    <w:rsid w:val="00E73A00"/>
    <w:rsid w:val="00E74D0D"/>
    <w:rsid w:val="00E80570"/>
    <w:rsid w:val="00E83402"/>
    <w:rsid w:val="00E86929"/>
    <w:rsid w:val="00E91BB1"/>
    <w:rsid w:val="00EA03E8"/>
    <w:rsid w:val="00EA04DC"/>
    <w:rsid w:val="00EA0E3E"/>
    <w:rsid w:val="00EA2434"/>
    <w:rsid w:val="00EA6DB3"/>
    <w:rsid w:val="00EA7065"/>
    <w:rsid w:val="00EA7F29"/>
    <w:rsid w:val="00EA7F54"/>
    <w:rsid w:val="00EB0A48"/>
    <w:rsid w:val="00EB23FB"/>
    <w:rsid w:val="00EB6DF6"/>
    <w:rsid w:val="00EC1CFB"/>
    <w:rsid w:val="00EC20B2"/>
    <w:rsid w:val="00EC6E7D"/>
    <w:rsid w:val="00ED0060"/>
    <w:rsid w:val="00ED1BE1"/>
    <w:rsid w:val="00ED1D7B"/>
    <w:rsid w:val="00ED2AD0"/>
    <w:rsid w:val="00ED4249"/>
    <w:rsid w:val="00ED42AE"/>
    <w:rsid w:val="00ED4399"/>
    <w:rsid w:val="00EE1A93"/>
    <w:rsid w:val="00EE6567"/>
    <w:rsid w:val="00EF1610"/>
    <w:rsid w:val="00EF2B20"/>
    <w:rsid w:val="00EF36A7"/>
    <w:rsid w:val="00EF390F"/>
    <w:rsid w:val="00EF4144"/>
    <w:rsid w:val="00EF47F4"/>
    <w:rsid w:val="00EF4CB9"/>
    <w:rsid w:val="00F03706"/>
    <w:rsid w:val="00F0411A"/>
    <w:rsid w:val="00F05D96"/>
    <w:rsid w:val="00F068C0"/>
    <w:rsid w:val="00F07911"/>
    <w:rsid w:val="00F1335A"/>
    <w:rsid w:val="00F153DB"/>
    <w:rsid w:val="00F177A8"/>
    <w:rsid w:val="00F20141"/>
    <w:rsid w:val="00F2286C"/>
    <w:rsid w:val="00F229D7"/>
    <w:rsid w:val="00F24B89"/>
    <w:rsid w:val="00F25497"/>
    <w:rsid w:val="00F2778A"/>
    <w:rsid w:val="00F30020"/>
    <w:rsid w:val="00F34B25"/>
    <w:rsid w:val="00F35C48"/>
    <w:rsid w:val="00F41387"/>
    <w:rsid w:val="00F41AC2"/>
    <w:rsid w:val="00F42C11"/>
    <w:rsid w:val="00F44621"/>
    <w:rsid w:val="00F44D17"/>
    <w:rsid w:val="00F51AB9"/>
    <w:rsid w:val="00F53C56"/>
    <w:rsid w:val="00F53C91"/>
    <w:rsid w:val="00F60DB1"/>
    <w:rsid w:val="00F6373B"/>
    <w:rsid w:val="00F6671D"/>
    <w:rsid w:val="00F67F5E"/>
    <w:rsid w:val="00F70DC2"/>
    <w:rsid w:val="00F73A6D"/>
    <w:rsid w:val="00F75653"/>
    <w:rsid w:val="00F77C50"/>
    <w:rsid w:val="00F82008"/>
    <w:rsid w:val="00F84DC3"/>
    <w:rsid w:val="00F86756"/>
    <w:rsid w:val="00F92C1B"/>
    <w:rsid w:val="00FA4092"/>
    <w:rsid w:val="00FA5907"/>
    <w:rsid w:val="00FB0965"/>
    <w:rsid w:val="00FB2B60"/>
    <w:rsid w:val="00FB311F"/>
    <w:rsid w:val="00FB4DA9"/>
    <w:rsid w:val="00FB4E64"/>
    <w:rsid w:val="00FC2848"/>
    <w:rsid w:val="00FC7EF3"/>
    <w:rsid w:val="00FD0766"/>
    <w:rsid w:val="00FD4BFB"/>
    <w:rsid w:val="00FD63EA"/>
    <w:rsid w:val="00FE1310"/>
    <w:rsid w:val="00FE3A50"/>
    <w:rsid w:val="00FE6415"/>
    <w:rsid w:val="00FE705B"/>
    <w:rsid w:val="00FF15EB"/>
    <w:rsid w:val="00FF37B5"/>
    <w:rsid w:val="00FF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2A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72A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2A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72A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72A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72A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72A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72A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272A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C272A5"/>
    <w:pPr>
      <w:tabs>
        <w:tab w:val="center" w:pos="4513"/>
        <w:tab w:val="right" w:pos="9026"/>
      </w:tabs>
      <w:spacing w:after="0" w:line="240" w:lineRule="auto"/>
    </w:pPr>
  </w:style>
  <w:style w:type="character" w:customStyle="1" w:styleId="HeaderChar">
    <w:name w:val="Header Char"/>
    <w:basedOn w:val="DefaultParagraphFont"/>
    <w:link w:val="Header"/>
    <w:semiHidden/>
    <w:rsid w:val="00C272A5"/>
  </w:style>
  <w:style w:type="paragraph" w:styleId="Footer">
    <w:name w:val="footer"/>
    <w:basedOn w:val="Normal"/>
    <w:link w:val="FooterChar"/>
    <w:uiPriority w:val="99"/>
    <w:unhideWhenUsed/>
    <w:rsid w:val="00C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2A5"/>
  </w:style>
  <w:style w:type="character" w:customStyle="1" w:styleId="Heading1Char">
    <w:name w:val="Heading 1 Char"/>
    <w:basedOn w:val="DefaultParagraphFont"/>
    <w:link w:val="Heading1"/>
    <w:uiPriority w:val="9"/>
    <w:rsid w:val="00C27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72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72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272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272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272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272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72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272A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33643"/>
    <w:pPr>
      <w:ind w:left="720"/>
      <w:contextualSpacing/>
    </w:pPr>
  </w:style>
  <w:style w:type="paragraph" w:styleId="BodyTextIndent">
    <w:name w:val="Body Text Indent"/>
    <w:basedOn w:val="Normal"/>
    <w:link w:val="BodyTextIndentChar"/>
    <w:uiPriority w:val="99"/>
    <w:rsid w:val="00E560A5"/>
    <w:pPr>
      <w:spacing w:after="0" w:line="240" w:lineRule="auto"/>
      <w:ind w:left="1440"/>
    </w:pPr>
    <w:rPr>
      <w:rFonts w:ascii="Times New Roman" w:eastAsia="Times New Roman" w:hAnsi="Times New Roman" w:cs="Times New Roman"/>
      <w:sz w:val="24"/>
      <w:szCs w:val="24"/>
      <w:lang w:val="fr-BE"/>
    </w:rPr>
  </w:style>
  <w:style w:type="character" w:customStyle="1" w:styleId="BodyTextIndentChar">
    <w:name w:val="Body Text Indent Char"/>
    <w:basedOn w:val="DefaultParagraphFont"/>
    <w:link w:val="BodyTextIndent"/>
    <w:uiPriority w:val="99"/>
    <w:rsid w:val="00E560A5"/>
    <w:rPr>
      <w:rFonts w:ascii="Times New Roman" w:eastAsia="Times New Roman" w:hAnsi="Times New Roman" w:cs="Times New Roman"/>
      <w:sz w:val="24"/>
      <w:szCs w:val="24"/>
      <w:lang w:val="fr-BE"/>
    </w:rPr>
  </w:style>
  <w:style w:type="paragraph" w:styleId="BodyTextIndent2">
    <w:name w:val="Body Text Indent 2"/>
    <w:basedOn w:val="Normal"/>
    <w:link w:val="BodyTextIndent2Char"/>
    <w:uiPriority w:val="99"/>
    <w:rsid w:val="00E560A5"/>
    <w:pPr>
      <w:spacing w:after="0" w:line="240" w:lineRule="auto"/>
      <w:ind w:left="2124" w:firstLine="9"/>
    </w:pPr>
    <w:rPr>
      <w:rFonts w:ascii="Times New Roman" w:eastAsia="Times New Roman" w:hAnsi="Times New Roman" w:cs="Times New Roman"/>
      <w:i/>
      <w:iCs/>
      <w:sz w:val="24"/>
      <w:szCs w:val="24"/>
      <w:lang w:val="fr-BE"/>
    </w:rPr>
  </w:style>
  <w:style w:type="character" w:customStyle="1" w:styleId="BodyTextIndent2Char">
    <w:name w:val="Body Text Indent 2 Char"/>
    <w:basedOn w:val="DefaultParagraphFont"/>
    <w:link w:val="BodyTextIndent2"/>
    <w:uiPriority w:val="99"/>
    <w:rsid w:val="00E560A5"/>
    <w:rPr>
      <w:rFonts w:ascii="Times New Roman" w:eastAsia="Times New Roman" w:hAnsi="Times New Roman" w:cs="Times New Roman"/>
      <w:i/>
      <w:iCs/>
      <w:sz w:val="24"/>
      <w:szCs w:val="24"/>
      <w:lang w:val="fr-BE"/>
    </w:rPr>
  </w:style>
  <w:style w:type="character" w:styleId="Hyperlink">
    <w:name w:val="Hyperlink"/>
    <w:basedOn w:val="DefaultParagraphFont"/>
    <w:uiPriority w:val="99"/>
    <w:semiHidden/>
    <w:unhideWhenUsed/>
    <w:rsid w:val="00C73EBA"/>
    <w:rPr>
      <w:color w:val="0000FF" w:themeColor="hyperlink"/>
      <w:u w:val="single"/>
    </w:rPr>
  </w:style>
  <w:style w:type="paragraph" w:styleId="BalloonText">
    <w:name w:val="Balloon Text"/>
    <w:basedOn w:val="Normal"/>
    <w:link w:val="BalloonTextChar"/>
    <w:uiPriority w:val="99"/>
    <w:semiHidden/>
    <w:unhideWhenUsed/>
    <w:rsid w:val="00C73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BA"/>
    <w:rPr>
      <w:rFonts w:ascii="Tahoma" w:hAnsi="Tahoma" w:cs="Tahoma"/>
      <w:sz w:val="16"/>
      <w:szCs w:val="16"/>
    </w:rPr>
  </w:style>
  <w:style w:type="paragraph" w:styleId="FootnoteText">
    <w:name w:val="footnote text"/>
    <w:basedOn w:val="Normal"/>
    <w:link w:val="FootnoteTextChar"/>
    <w:unhideWhenUsed/>
    <w:rsid w:val="004A17D9"/>
    <w:pPr>
      <w:spacing w:after="0" w:line="240" w:lineRule="auto"/>
    </w:pPr>
    <w:rPr>
      <w:sz w:val="20"/>
      <w:szCs w:val="20"/>
    </w:rPr>
  </w:style>
  <w:style w:type="character" w:customStyle="1" w:styleId="FootnoteTextChar">
    <w:name w:val="Footnote Text Char"/>
    <w:basedOn w:val="DefaultParagraphFont"/>
    <w:link w:val="FootnoteText"/>
    <w:rsid w:val="004A17D9"/>
    <w:rPr>
      <w:sz w:val="20"/>
      <w:szCs w:val="20"/>
    </w:rPr>
  </w:style>
  <w:style w:type="character" w:styleId="FootnoteReference">
    <w:name w:val="footnote reference"/>
    <w:basedOn w:val="DefaultParagraphFont"/>
    <w:uiPriority w:val="99"/>
    <w:semiHidden/>
    <w:unhideWhenUsed/>
    <w:rsid w:val="004A17D9"/>
    <w:rPr>
      <w:vertAlign w:val="superscript"/>
    </w:rPr>
  </w:style>
  <w:style w:type="paragraph" w:styleId="EndnoteText">
    <w:name w:val="endnote text"/>
    <w:basedOn w:val="Normal"/>
    <w:link w:val="EndnoteTextChar"/>
    <w:uiPriority w:val="99"/>
    <w:semiHidden/>
    <w:unhideWhenUsed/>
    <w:rsid w:val="00B91E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E02"/>
    <w:rPr>
      <w:sz w:val="20"/>
      <w:szCs w:val="20"/>
    </w:rPr>
  </w:style>
  <w:style w:type="character" w:styleId="EndnoteReference">
    <w:name w:val="endnote reference"/>
    <w:basedOn w:val="DefaultParagraphFont"/>
    <w:uiPriority w:val="99"/>
    <w:semiHidden/>
    <w:unhideWhenUsed/>
    <w:rsid w:val="00B91E02"/>
    <w:rPr>
      <w:vertAlign w:val="superscript"/>
    </w:rPr>
  </w:style>
  <w:style w:type="table" w:styleId="TableGrid">
    <w:name w:val="Table Grid"/>
    <w:basedOn w:val="TableNormal"/>
    <w:uiPriority w:val="59"/>
    <w:rsid w:val="003B3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rsid w:val="00A94648"/>
    <w:pPr>
      <w:spacing w:after="0" w:line="240" w:lineRule="auto"/>
    </w:pPr>
    <w:rPr>
      <w:rFonts w:ascii="Times New Roman" w:eastAsia="Times New Roman" w:hAnsi="Times New Roman" w:cs="Times New Roman"/>
      <w:sz w:val="20"/>
      <w:szCs w:val="20"/>
      <w:lang w:val="fr-BE"/>
    </w:rPr>
  </w:style>
  <w:style w:type="character" w:customStyle="1" w:styleId="CommentTextChar">
    <w:name w:val="Comment Text Char"/>
    <w:basedOn w:val="DefaultParagraphFont"/>
    <w:link w:val="CommentText"/>
    <w:rsid w:val="00A94648"/>
    <w:rPr>
      <w:rFonts w:ascii="Times New Roman" w:eastAsia="Times New Roman" w:hAnsi="Times New Roman" w:cs="Times New Roman"/>
      <w:sz w:val="20"/>
      <w:szCs w:val="20"/>
      <w:lang w:val="fr-BE"/>
    </w:rPr>
  </w:style>
  <w:style w:type="character" w:styleId="Emphasis">
    <w:name w:val="Emphasis"/>
    <w:basedOn w:val="DefaultParagraphFont"/>
    <w:uiPriority w:val="20"/>
    <w:qFormat/>
    <w:rsid w:val="00D70C10"/>
    <w:rPr>
      <w:i/>
      <w:iCs/>
    </w:rPr>
  </w:style>
  <w:style w:type="paragraph" w:styleId="BodyText">
    <w:name w:val="Body Text"/>
    <w:basedOn w:val="Normal"/>
    <w:link w:val="BodyTextChar"/>
    <w:uiPriority w:val="99"/>
    <w:unhideWhenUsed/>
    <w:rsid w:val="00EA6DB3"/>
    <w:pPr>
      <w:spacing w:after="120"/>
    </w:pPr>
  </w:style>
  <w:style w:type="character" w:customStyle="1" w:styleId="BodyTextChar">
    <w:name w:val="Body Text Char"/>
    <w:basedOn w:val="DefaultParagraphFont"/>
    <w:link w:val="BodyText"/>
    <w:uiPriority w:val="99"/>
    <w:rsid w:val="00EA6DB3"/>
  </w:style>
  <w:style w:type="character" w:styleId="PageNumber">
    <w:name w:val="page number"/>
    <w:rsid w:val="005918A0"/>
    <w:rPr>
      <w:rFonts w:ascii="Arial" w:hAnsi="Arial"/>
      <w:sz w:val="16"/>
    </w:rPr>
  </w:style>
  <w:style w:type="paragraph" w:styleId="Caption">
    <w:name w:val="caption"/>
    <w:basedOn w:val="Normal"/>
    <w:next w:val="Normal"/>
    <w:uiPriority w:val="35"/>
    <w:unhideWhenUsed/>
    <w:qFormat/>
    <w:rsid w:val="00CA7FDB"/>
    <w:pPr>
      <w:spacing w:line="240" w:lineRule="auto"/>
    </w:pPr>
    <w:rPr>
      <w:b/>
      <w:bCs/>
      <w:color w:val="4F81BD" w:themeColor="accent1"/>
      <w:sz w:val="18"/>
      <w:szCs w:val="18"/>
    </w:rPr>
  </w:style>
  <w:style w:type="table" w:styleId="LightShading-Accent1">
    <w:name w:val="Light Shading Accent 1"/>
    <w:basedOn w:val="TableNormal"/>
    <w:uiPriority w:val="60"/>
    <w:rsid w:val="00862E8A"/>
    <w:pPr>
      <w:spacing w:after="0" w:line="240" w:lineRule="auto"/>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ead-inEmphasis">
    <w:name w:val="Lead-in Emphasis"/>
    <w:rsid w:val="00DE568A"/>
    <w:rPr>
      <w:spacing w:val="-6"/>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72A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72A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72A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72A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72A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72A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72A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72A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272A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C272A5"/>
    <w:pPr>
      <w:tabs>
        <w:tab w:val="center" w:pos="4513"/>
        <w:tab w:val="right" w:pos="9026"/>
      </w:tabs>
      <w:spacing w:after="0" w:line="240" w:lineRule="auto"/>
    </w:pPr>
  </w:style>
  <w:style w:type="character" w:customStyle="1" w:styleId="HeaderChar">
    <w:name w:val="Header Char"/>
    <w:basedOn w:val="DefaultParagraphFont"/>
    <w:link w:val="Header"/>
    <w:semiHidden/>
    <w:rsid w:val="00C272A5"/>
  </w:style>
  <w:style w:type="paragraph" w:styleId="Footer">
    <w:name w:val="footer"/>
    <w:basedOn w:val="Normal"/>
    <w:link w:val="FooterChar"/>
    <w:uiPriority w:val="99"/>
    <w:unhideWhenUsed/>
    <w:rsid w:val="00C27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2A5"/>
  </w:style>
  <w:style w:type="character" w:customStyle="1" w:styleId="Heading1Char">
    <w:name w:val="Heading 1 Char"/>
    <w:basedOn w:val="DefaultParagraphFont"/>
    <w:link w:val="Heading1"/>
    <w:uiPriority w:val="9"/>
    <w:rsid w:val="00C272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72A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72A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272A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272A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272A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272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72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272A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533643"/>
    <w:pPr>
      <w:ind w:left="720"/>
      <w:contextualSpacing/>
    </w:pPr>
  </w:style>
  <w:style w:type="paragraph" w:styleId="BodyTextIndent">
    <w:name w:val="Body Text Indent"/>
    <w:basedOn w:val="Normal"/>
    <w:link w:val="BodyTextIndentChar"/>
    <w:uiPriority w:val="99"/>
    <w:rsid w:val="00E560A5"/>
    <w:pPr>
      <w:spacing w:after="0" w:line="240" w:lineRule="auto"/>
      <w:ind w:left="1440"/>
    </w:pPr>
    <w:rPr>
      <w:rFonts w:ascii="Times New Roman" w:eastAsia="Times New Roman" w:hAnsi="Times New Roman" w:cs="Times New Roman"/>
      <w:sz w:val="24"/>
      <w:szCs w:val="24"/>
      <w:lang w:val="fr-BE"/>
    </w:rPr>
  </w:style>
  <w:style w:type="character" w:customStyle="1" w:styleId="BodyTextIndentChar">
    <w:name w:val="Body Text Indent Char"/>
    <w:basedOn w:val="DefaultParagraphFont"/>
    <w:link w:val="BodyTextIndent"/>
    <w:uiPriority w:val="99"/>
    <w:rsid w:val="00E560A5"/>
    <w:rPr>
      <w:rFonts w:ascii="Times New Roman" w:eastAsia="Times New Roman" w:hAnsi="Times New Roman" w:cs="Times New Roman"/>
      <w:sz w:val="24"/>
      <w:szCs w:val="24"/>
      <w:lang w:val="fr-BE"/>
    </w:rPr>
  </w:style>
  <w:style w:type="paragraph" w:styleId="BodyTextIndent2">
    <w:name w:val="Body Text Indent 2"/>
    <w:basedOn w:val="Normal"/>
    <w:link w:val="BodyTextIndent2Char"/>
    <w:uiPriority w:val="99"/>
    <w:rsid w:val="00E560A5"/>
    <w:pPr>
      <w:spacing w:after="0" w:line="240" w:lineRule="auto"/>
      <w:ind w:left="2124" w:firstLine="9"/>
    </w:pPr>
    <w:rPr>
      <w:rFonts w:ascii="Times New Roman" w:eastAsia="Times New Roman" w:hAnsi="Times New Roman" w:cs="Times New Roman"/>
      <w:i/>
      <w:iCs/>
      <w:sz w:val="24"/>
      <w:szCs w:val="24"/>
      <w:lang w:val="fr-BE"/>
    </w:rPr>
  </w:style>
  <w:style w:type="character" w:customStyle="1" w:styleId="BodyTextIndent2Char">
    <w:name w:val="Body Text Indent 2 Char"/>
    <w:basedOn w:val="DefaultParagraphFont"/>
    <w:link w:val="BodyTextIndent2"/>
    <w:uiPriority w:val="99"/>
    <w:rsid w:val="00E560A5"/>
    <w:rPr>
      <w:rFonts w:ascii="Times New Roman" w:eastAsia="Times New Roman" w:hAnsi="Times New Roman" w:cs="Times New Roman"/>
      <w:i/>
      <w:iCs/>
      <w:sz w:val="24"/>
      <w:szCs w:val="24"/>
      <w:lang w:val="fr-BE"/>
    </w:rPr>
  </w:style>
  <w:style w:type="character" w:styleId="Hyperlink">
    <w:name w:val="Hyperlink"/>
    <w:basedOn w:val="DefaultParagraphFont"/>
    <w:uiPriority w:val="99"/>
    <w:semiHidden/>
    <w:unhideWhenUsed/>
    <w:rsid w:val="00C73EBA"/>
    <w:rPr>
      <w:color w:val="0000FF" w:themeColor="hyperlink"/>
      <w:u w:val="single"/>
    </w:rPr>
  </w:style>
  <w:style w:type="paragraph" w:styleId="BalloonText">
    <w:name w:val="Balloon Text"/>
    <w:basedOn w:val="Normal"/>
    <w:link w:val="BalloonTextChar"/>
    <w:uiPriority w:val="99"/>
    <w:semiHidden/>
    <w:unhideWhenUsed/>
    <w:rsid w:val="00C73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EBA"/>
    <w:rPr>
      <w:rFonts w:ascii="Tahoma" w:hAnsi="Tahoma" w:cs="Tahoma"/>
      <w:sz w:val="16"/>
      <w:szCs w:val="16"/>
    </w:rPr>
  </w:style>
  <w:style w:type="paragraph" w:styleId="FootnoteText">
    <w:name w:val="footnote text"/>
    <w:basedOn w:val="Normal"/>
    <w:link w:val="FootnoteTextChar"/>
    <w:unhideWhenUsed/>
    <w:rsid w:val="004A17D9"/>
    <w:pPr>
      <w:spacing w:after="0" w:line="240" w:lineRule="auto"/>
    </w:pPr>
    <w:rPr>
      <w:sz w:val="20"/>
      <w:szCs w:val="20"/>
    </w:rPr>
  </w:style>
  <w:style w:type="character" w:customStyle="1" w:styleId="FootnoteTextChar">
    <w:name w:val="Footnote Text Char"/>
    <w:basedOn w:val="DefaultParagraphFont"/>
    <w:link w:val="FootnoteText"/>
    <w:rsid w:val="004A17D9"/>
    <w:rPr>
      <w:sz w:val="20"/>
      <w:szCs w:val="20"/>
    </w:rPr>
  </w:style>
  <w:style w:type="character" w:styleId="FootnoteReference">
    <w:name w:val="footnote reference"/>
    <w:basedOn w:val="DefaultParagraphFont"/>
    <w:uiPriority w:val="99"/>
    <w:semiHidden/>
    <w:unhideWhenUsed/>
    <w:rsid w:val="004A17D9"/>
    <w:rPr>
      <w:vertAlign w:val="superscript"/>
    </w:rPr>
  </w:style>
  <w:style w:type="paragraph" w:styleId="EndnoteText">
    <w:name w:val="endnote text"/>
    <w:basedOn w:val="Normal"/>
    <w:link w:val="EndnoteTextChar"/>
    <w:uiPriority w:val="99"/>
    <w:semiHidden/>
    <w:unhideWhenUsed/>
    <w:rsid w:val="00B91E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E02"/>
    <w:rPr>
      <w:sz w:val="20"/>
      <w:szCs w:val="20"/>
    </w:rPr>
  </w:style>
  <w:style w:type="character" w:styleId="EndnoteReference">
    <w:name w:val="endnote reference"/>
    <w:basedOn w:val="DefaultParagraphFont"/>
    <w:uiPriority w:val="99"/>
    <w:semiHidden/>
    <w:unhideWhenUsed/>
    <w:rsid w:val="00B91E02"/>
    <w:rPr>
      <w:vertAlign w:val="superscript"/>
    </w:rPr>
  </w:style>
  <w:style w:type="table" w:styleId="TableGrid">
    <w:name w:val="Table Grid"/>
    <w:basedOn w:val="TableNormal"/>
    <w:uiPriority w:val="59"/>
    <w:rsid w:val="003B3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rsid w:val="00A94648"/>
    <w:pPr>
      <w:spacing w:after="0" w:line="240" w:lineRule="auto"/>
    </w:pPr>
    <w:rPr>
      <w:rFonts w:ascii="Times New Roman" w:eastAsia="Times New Roman" w:hAnsi="Times New Roman" w:cs="Times New Roman"/>
      <w:sz w:val="20"/>
      <w:szCs w:val="20"/>
      <w:lang w:val="fr-BE"/>
    </w:rPr>
  </w:style>
  <w:style w:type="character" w:customStyle="1" w:styleId="CommentTextChar">
    <w:name w:val="Comment Text Char"/>
    <w:basedOn w:val="DefaultParagraphFont"/>
    <w:link w:val="CommentText"/>
    <w:rsid w:val="00A94648"/>
    <w:rPr>
      <w:rFonts w:ascii="Times New Roman" w:eastAsia="Times New Roman" w:hAnsi="Times New Roman" w:cs="Times New Roman"/>
      <w:sz w:val="20"/>
      <w:szCs w:val="20"/>
      <w:lang w:val="fr-BE"/>
    </w:rPr>
  </w:style>
  <w:style w:type="character" w:styleId="Emphasis">
    <w:name w:val="Emphasis"/>
    <w:basedOn w:val="DefaultParagraphFont"/>
    <w:uiPriority w:val="20"/>
    <w:qFormat/>
    <w:rsid w:val="00D70C10"/>
    <w:rPr>
      <w:i/>
      <w:iCs/>
    </w:rPr>
  </w:style>
  <w:style w:type="paragraph" w:styleId="BodyText">
    <w:name w:val="Body Text"/>
    <w:basedOn w:val="Normal"/>
    <w:link w:val="BodyTextChar"/>
    <w:uiPriority w:val="99"/>
    <w:unhideWhenUsed/>
    <w:rsid w:val="00EA6DB3"/>
    <w:pPr>
      <w:spacing w:after="120"/>
    </w:pPr>
  </w:style>
  <w:style w:type="character" w:customStyle="1" w:styleId="BodyTextChar">
    <w:name w:val="Body Text Char"/>
    <w:basedOn w:val="DefaultParagraphFont"/>
    <w:link w:val="BodyText"/>
    <w:uiPriority w:val="99"/>
    <w:rsid w:val="00EA6DB3"/>
  </w:style>
  <w:style w:type="character" w:styleId="PageNumber">
    <w:name w:val="page number"/>
    <w:rsid w:val="005918A0"/>
    <w:rPr>
      <w:rFonts w:ascii="Arial" w:hAnsi="Arial"/>
      <w:sz w:val="16"/>
    </w:rPr>
  </w:style>
  <w:style w:type="paragraph" w:styleId="Caption">
    <w:name w:val="caption"/>
    <w:basedOn w:val="Normal"/>
    <w:next w:val="Normal"/>
    <w:uiPriority w:val="35"/>
    <w:unhideWhenUsed/>
    <w:qFormat/>
    <w:rsid w:val="00CA7FDB"/>
    <w:pPr>
      <w:spacing w:line="240" w:lineRule="auto"/>
    </w:pPr>
    <w:rPr>
      <w:b/>
      <w:bCs/>
      <w:color w:val="4F81BD" w:themeColor="accent1"/>
      <w:sz w:val="18"/>
      <w:szCs w:val="18"/>
    </w:rPr>
  </w:style>
  <w:style w:type="table" w:styleId="LightShading-Accent1">
    <w:name w:val="Light Shading Accent 1"/>
    <w:basedOn w:val="TableNormal"/>
    <w:uiPriority w:val="60"/>
    <w:rsid w:val="00862E8A"/>
    <w:pPr>
      <w:spacing w:after="0" w:line="240" w:lineRule="auto"/>
    </w:pPr>
    <w:rPr>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ead-inEmphasis">
    <w:name w:val="Lead-in Emphasis"/>
    <w:rsid w:val="00DE568A"/>
    <w:rPr>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503">
      <w:bodyDiv w:val="1"/>
      <w:marLeft w:val="0"/>
      <w:marRight w:val="0"/>
      <w:marTop w:val="0"/>
      <w:marBottom w:val="0"/>
      <w:divBdr>
        <w:top w:val="none" w:sz="0" w:space="0" w:color="auto"/>
        <w:left w:val="none" w:sz="0" w:space="0" w:color="auto"/>
        <w:bottom w:val="none" w:sz="0" w:space="0" w:color="auto"/>
        <w:right w:val="none" w:sz="0" w:space="0" w:color="auto"/>
      </w:divBdr>
    </w:div>
    <w:div w:id="26948662">
      <w:bodyDiv w:val="1"/>
      <w:marLeft w:val="0"/>
      <w:marRight w:val="0"/>
      <w:marTop w:val="0"/>
      <w:marBottom w:val="0"/>
      <w:divBdr>
        <w:top w:val="none" w:sz="0" w:space="0" w:color="auto"/>
        <w:left w:val="none" w:sz="0" w:space="0" w:color="auto"/>
        <w:bottom w:val="none" w:sz="0" w:space="0" w:color="auto"/>
        <w:right w:val="none" w:sz="0" w:space="0" w:color="auto"/>
      </w:divBdr>
    </w:div>
    <w:div w:id="38214243">
      <w:bodyDiv w:val="1"/>
      <w:marLeft w:val="0"/>
      <w:marRight w:val="0"/>
      <w:marTop w:val="0"/>
      <w:marBottom w:val="0"/>
      <w:divBdr>
        <w:top w:val="none" w:sz="0" w:space="0" w:color="auto"/>
        <w:left w:val="none" w:sz="0" w:space="0" w:color="auto"/>
        <w:bottom w:val="none" w:sz="0" w:space="0" w:color="auto"/>
        <w:right w:val="none" w:sz="0" w:space="0" w:color="auto"/>
      </w:divBdr>
    </w:div>
    <w:div w:id="81487181">
      <w:bodyDiv w:val="1"/>
      <w:marLeft w:val="0"/>
      <w:marRight w:val="0"/>
      <w:marTop w:val="0"/>
      <w:marBottom w:val="0"/>
      <w:divBdr>
        <w:top w:val="none" w:sz="0" w:space="0" w:color="auto"/>
        <w:left w:val="none" w:sz="0" w:space="0" w:color="auto"/>
        <w:bottom w:val="none" w:sz="0" w:space="0" w:color="auto"/>
        <w:right w:val="none" w:sz="0" w:space="0" w:color="auto"/>
      </w:divBdr>
    </w:div>
    <w:div w:id="113645979">
      <w:bodyDiv w:val="1"/>
      <w:marLeft w:val="0"/>
      <w:marRight w:val="0"/>
      <w:marTop w:val="0"/>
      <w:marBottom w:val="0"/>
      <w:divBdr>
        <w:top w:val="none" w:sz="0" w:space="0" w:color="auto"/>
        <w:left w:val="none" w:sz="0" w:space="0" w:color="auto"/>
        <w:bottom w:val="none" w:sz="0" w:space="0" w:color="auto"/>
        <w:right w:val="none" w:sz="0" w:space="0" w:color="auto"/>
      </w:divBdr>
    </w:div>
    <w:div w:id="128322317">
      <w:bodyDiv w:val="1"/>
      <w:marLeft w:val="0"/>
      <w:marRight w:val="0"/>
      <w:marTop w:val="0"/>
      <w:marBottom w:val="0"/>
      <w:divBdr>
        <w:top w:val="none" w:sz="0" w:space="0" w:color="auto"/>
        <w:left w:val="none" w:sz="0" w:space="0" w:color="auto"/>
        <w:bottom w:val="none" w:sz="0" w:space="0" w:color="auto"/>
        <w:right w:val="none" w:sz="0" w:space="0" w:color="auto"/>
      </w:divBdr>
    </w:div>
    <w:div w:id="174729470">
      <w:bodyDiv w:val="1"/>
      <w:marLeft w:val="0"/>
      <w:marRight w:val="0"/>
      <w:marTop w:val="0"/>
      <w:marBottom w:val="0"/>
      <w:divBdr>
        <w:top w:val="none" w:sz="0" w:space="0" w:color="auto"/>
        <w:left w:val="none" w:sz="0" w:space="0" w:color="auto"/>
        <w:bottom w:val="none" w:sz="0" w:space="0" w:color="auto"/>
        <w:right w:val="none" w:sz="0" w:space="0" w:color="auto"/>
      </w:divBdr>
    </w:div>
    <w:div w:id="338853706">
      <w:bodyDiv w:val="1"/>
      <w:marLeft w:val="0"/>
      <w:marRight w:val="0"/>
      <w:marTop w:val="0"/>
      <w:marBottom w:val="0"/>
      <w:divBdr>
        <w:top w:val="none" w:sz="0" w:space="0" w:color="auto"/>
        <w:left w:val="none" w:sz="0" w:space="0" w:color="auto"/>
        <w:bottom w:val="none" w:sz="0" w:space="0" w:color="auto"/>
        <w:right w:val="none" w:sz="0" w:space="0" w:color="auto"/>
      </w:divBdr>
    </w:div>
    <w:div w:id="367727537">
      <w:bodyDiv w:val="1"/>
      <w:marLeft w:val="0"/>
      <w:marRight w:val="0"/>
      <w:marTop w:val="0"/>
      <w:marBottom w:val="0"/>
      <w:divBdr>
        <w:top w:val="none" w:sz="0" w:space="0" w:color="auto"/>
        <w:left w:val="none" w:sz="0" w:space="0" w:color="auto"/>
        <w:bottom w:val="none" w:sz="0" w:space="0" w:color="auto"/>
        <w:right w:val="none" w:sz="0" w:space="0" w:color="auto"/>
      </w:divBdr>
    </w:div>
    <w:div w:id="484665565">
      <w:bodyDiv w:val="1"/>
      <w:marLeft w:val="0"/>
      <w:marRight w:val="0"/>
      <w:marTop w:val="0"/>
      <w:marBottom w:val="0"/>
      <w:divBdr>
        <w:top w:val="none" w:sz="0" w:space="0" w:color="auto"/>
        <w:left w:val="none" w:sz="0" w:space="0" w:color="auto"/>
        <w:bottom w:val="none" w:sz="0" w:space="0" w:color="auto"/>
        <w:right w:val="none" w:sz="0" w:space="0" w:color="auto"/>
      </w:divBdr>
    </w:div>
    <w:div w:id="724717561">
      <w:bodyDiv w:val="1"/>
      <w:marLeft w:val="0"/>
      <w:marRight w:val="0"/>
      <w:marTop w:val="0"/>
      <w:marBottom w:val="0"/>
      <w:divBdr>
        <w:top w:val="none" w:sz="0" w:space="0" w:color="auto"/>
        <w:left w:val="none" w:sz="0" w:space="0" w:color="auto"/>
        <w:bottom w:val="none" w:sz="0" w:space="0" w:color="auto"/>
        <w:right w:val="none" w:sz="0" w:space="0" w:color="auto"/>
      </w:divBdr>
    </w:div>
    <w:div w:id="744106078">
      <w:bodyDiv w:val="1"/>
      <w:marLeft w:val="0"/>
      <w:marRight w:val="0"/>
      <w:marTop w:val="0"/>
      <w:marBottom w:val="0"/>
      <w:divBdr>
        <w:top w:val="none" w:sz="0" w:space="0" w:color="auto"/>
        <w:left w:val="none" w:sz="0" w:space="0" w:color="auto"/>
        <w:bottom w:val="none" w:sz="0" w:space="0" w:color="auto"/>
        <w:right w:val="none" w:sz="0" w:space="0" w:color="auto"/>
      </w:divBdr>
    </w:div>
    <w:div w:id="763068249">
      <w:bodyDiv w:val="1"/>
      <w:marLeft w:val="0"/>
      <w:marRight w:val="0"/>
      <w:marTop w:val="0"/>
      <w:marBottom w:val="0"/>
      <w:divBdr>
        <w:top w:val="none" w:sz="0" w:space="0" w:color="auto"/>
        <w:left w:val="none" w:sz="0" w:space="0" w:color="auto"/>
        <w:bottom w:val="none" w:sz="0" w:space="0" w:color="auto"/>
        <w:right w:val="none" w:sz="0" w:space="0" w:color="auto"/>
      </w:divBdr>
    </w:div>
    <w:div w:id="778836343">
      <w:bodyDiv w:val="1"/>
      <w:marLeft w:val="0"/>
      <w:marRight w:val="0"/>
      <w:marTop w:val="0"/>
      <w:marBottom w:val="0"/>
      <w:divBdr>
        <w:top w:val="none" w:sz="0" w:space="0" w:color="auto"/>
        <w:left w:val="none" w:sz="0" w:space="0" w:color="auto"/>
        <w:bottom w:val="none" w:sz="0" w:space="0" w:color="auto"/>
        <w:right w:val="none" w:sz="0" w:space="0" w:color="auto"/>
      </w:divBdr>
    </w:div>
    <w:div w:id="799035813">
      <w:bodyDiv w:val="1"/>
      <w:marLeft w:val="0"/>
      <w:marRight w:val="0"/>
      <w:marTop w:val="0"/>
      <w:marBottom w:val="0"/>
      <w:divBdr>
        <w:top w:val="none" w:sz="0" w:space="0" w:color="auto"/>
        <w:left w:val="none" w:sz="0" w:space="0" w:color="auto"/>
        <w:bottom w:val="none" w:sz="0" w:space="0" w:color="auto"/>
        <w:right w:val="none" w:sz="0" w:space="0" w:color="auto"/>
      </w:divBdr>
    </w:div>
    <w:div w:id="823935537">
      <w:bodyDiv w:val="1"/>
      <w:marLeft w:val="0"/>
      <w:marRight w:val="0"/>
      <w:marTop w:val="0"/>
      <w:marBottom w:val="0"/>
      <w:divBdr>
        <w:top w:val="none" w:sz="0" w:space="0" w:color="auto"/>
        <w:left w:val="none" w:sz="0" w:space="0" w:color="auto"/>
        <w:bottom w:val="none" w:sz="0" w:space="0" w:color="auto"/>
        <w:right w:val="none" w:sz="0" w:space="0" w:color="auto"/>
      </w:divBdr>
    </w:div>
    <w:div w:id="832070070">
      <w:bodyDiv w:val="1"/>
      <w:marLeft w:val="0"/>
      <w:marRight w:val="0"/>
      <w:marTop w:val="0"/>
      <w:marBottom w:val="0"/>
      <w:divBdr>
        <w:top w:val="none" w:sz="0" w:space="0" w:color="auto"/>
        <w:left w:val="none" w:sz="0" w:space="0" w:color="auto"/>
        <w:bottom w:val="none" w:sz="0" w:space="0" w:color="auto"/>
        <w:right w:val="none" w:sz="0" w:space="0" w:color="auto"/>
      </w:divBdr>
    </w:div>
    <w:div w:id="859467452">
      <w:bodyDiv w:val="1"/>
      <w:marLeft w:val="0"/>
      <w:marRight w:val="0"/>
      <w:marTop w:val="0"/>
      <w:marBottom w:val="0"/>
      <w:divBdr>
        <w:top w:val="none" w:sz="0" w:space="0" w:color="auto"/>
        <w:left w:val="none" w:sz="0" w:space="0" w:color="auto"/>
        <w:bottom w:val="none" w:sz="0" w:space="0" w:color="auto"/>
        <w:right w:val="none" w:sz="0" w:space="0" w:color="auto"/>
      </w:divBdr>
    </w:div>
    <w:div w:id="880165722">
      <w:bodyDiv w:val="1"/>
      <w:marLeft w:val="0"/>
      <w:marRight w:val="0"/>
      <w:marTop w:val="0"/>
      <w:marBottom w:val="0"/>
      <w:divBdr>
        <w:top w:val="none" w:sz="0" w:space="0" w:color="auto"/>
        <w:left w:val="none" w:sz="0" w:space="0" w:color="auto"/>
        <w:bottom w:val="none" w:sz="0" w:space="0" w:color="auto"/>
        <w:right w:val="none" w:sz="0" w:space="0" w:color="auto"/>
      </w:divBdr>
    </w:div>
    <w:div w:id="882866011">
      <w:bodyDiv w:val="1"/>
      <w:marLeft w:val="0"/>
      <w:marRight w:val="0"/>
      <w:marTop w:val="0"/>
      <w:marBottom w:val="0"/>
      <w:divBdr>
        <w:top w:val="none" w:sz="0" w:space="0" w:color="auto"/>
        <w:left w:val="none" w:sz="0" w:space="0" w:color="auto"/>
        <w:bottom w:val="none" w:sz="0" w:space="0" w:color="auto"/>
        <w:right w:val="none" w:sz="0" w:space="0" w:color="auto"/>
      </w:divBdr>
    </w:div>
    <w:div w:id="886380518">
      <w:bodyDiv w:val="1"/>
      <w:marLeft w:val="0"/>
      <w:marRight w:val="0"/>
      <w:marTop w:val="0"/>
      <w:marBottom w:val="0"/>
      <w:divBdr>
        <w:top w:val="none" w:sz="0" w:space="0" w:color="auto"/>
        <w:left w:val="none" w:sz="0" w:space="0" w:color="auto"/>
        <w:bottom w:val="none" w:sz="0" w:space="0" w:color="auto"/>
        <w:right w:val="none" w:sz="0" w:space="0" w:color="auto"/>
      </w:divBdr>
    </w:div>
    <w:div w:id="895353957">
      <w:bodyDiv w:val="1"/>
      <w:marLeft w:val="0"/>
      <w:marRight w:val="0"/>
      <w:marTop w:val="0"/>
      <w:marBottom w:val="0"/>
      <w:divBdr>
        <w:top w:val="none" w:sz="0" w:space="0" w:color="auto"/>
        <w:left w:val="none" w:sz="0" w:space="0" w:color="auto"/>
        <w:bottom w:val="none" w:sz="0" w:space="0" w:color="auto"/>
        <w:right w:val="none" w:sz="0" w:space="0" w:color="auto"/>
      </w:divBdr>
    </w:div>
    <w:div w:id="906453146">
      <w:bodyDiv w:val="1"/>
      <w:marLeft w:val="0"/>
      <w:marRight w:val="0"/>
      <w:marTop w:val="0"/>
      <w:marBottom w:val="0"/>
      <w:divBdr>
        <w:top w:val="none" w:sz="0" w:space="0" w:color="auto"/>
        <w:left w:val="none" w:sz="0" w:space="0" w:color="auto"/>
        <w:bottom w:val="none" w:sz="0" w:space="0" w:color="auto"/>
        <w:right w:val="none" w:sz="0" w:space="0" w:color="auto"/>
      </w:divBdr>
    </w:div>
    <w:div w:id="930352851">
      <w:bodyDiv w:val="1"/>
      <w:marLeft w:val="0"/>
      <w:marRight w:val="0"/>
      <w:marTop w:val="0"/>
      <w:marBottom w:val="0"/>
      <w:divBdr>
        <w:top w:val="none" w:sz="0" w:space="0" w:color="auto"/>
        <w:left w:val="none" w:sz="0" w:space="0" w:color="auto"/>
        <w:bottom w:val="none" w:sz="0" w:space="0" w:color="auto"/>
        <w:right w:val="none" w:sz="0" w:space="0" w:color="auto"/>
      </w:divBdr>
    </w:div>
    <w:div w:id="939028098">
      <w:bodyDiv w:val="1"/>
      <w:marLeft w:val="0"/>
      <w:marRight w:val="0"/>
      <w:marTop w:val="0"/>
      <w:marBottom w:val="0"/>
      <w:divBdr>
        <w:top w:val="none" w:sz="0" w:space="0" w:color="auto"/>
        <w:left w:val="none" w:sz="0" w:space="0" w:color="auto"/>
        <w:bottom w:val="none" w:sz="0" w:space="0" w:color="auto"/>
        <w:right w:val="none" w:sz="0" w:space="0" w:color="auto"/>
      </w:divBdr>
    </w:div>
    <w:div w:id="1050421340">
      <w:bodyDiv w:val="1"/>
      <w:marLeft w:val="0"/>
      <w:marRight w:val="0"/>
      <w:marTop w:val="0"/>
      <w:marBottom w:val="0"/>
      <w:divBdr>
        <w:top w:val="none" w:sz="0" w:space="0" w:color="auto"/>
        <w:left w:val="none" w:sz="0" w:space="0" w:color="auto"/>
        <w:bottom w:val="none" w:sz="0" w:space="0" w:color="auto"/>
        <w:right w:val="none" w:sz="0" w:space="0" w:color="auto"/>
      </w:divBdr>
    </w:div>
    <w:div w:id="1096898460">
      <w:bodyDiv w:val="1"/>
      <w:marLeft w:val="0"/>
      <w:marRight w:val="0"/>
      <w:marTop w:val="0"/>
      <w:marBottom w:val="0"/>
      <w:divBdr>
        <w:top w:val="none" w:sz="0" w:space="0" w:color="auto"/>
        <w:left w:val="none" w:sz="0" w:space="0" w:color="auto"/>
        <w:bottom w:val="none" w:sz="0" w:space="0" w:color="auto"/>
        <w:right w:val="none" w:sz="0" w:space="0" w:color="auto"/>
      </w:divBdr>
    </w:div>
    <w:div w:id="1127049224">
      <w:bodyDiv w:val="1"/>
      <w:marLeft w:val="0"/>
      <w:marRight w:val="0"/>
      <w:marTop w:val="0"/>
      <w:marBottom w:val="0"/>
      <w:divBdr>
        <w:top w:val="none" w:sz="0" w:space="0" w:color="auto"/>
        <w:left w:val="none" w:sz="0" w:space="0" w:color="auto"/>
        <w:bottom w:val="none" w:sz="0" w:space="0" w:color="auto"/>
        <w:right w:val="none" w:sz="0" w:space="0" w:color="auto"/>
      </w:divBdr>
    </w:div>
    <w:div w:id="1157765485">
      <w:bodyDiv w:val="1"/>
      <w:marLeft w:val="0"/>
      <w:marRight w:val="0"/>
      <w:marTop w:val="0"/>
      <w:marBottom w:val="0"/>
      <w:divBdr>
        <w:top w:val="none" w:sz="0" w:space="0" w:color="auto"/>
        <w:left w:val="none" w:sz="0" w:space="0" w:color="auto"/>
        <w:bottom w:val="none" w:sz="0" w:space="0" w:color="auto"/>
        <w:right w:val="none" w:sz="0" w:space="0" w:color="auto"/>
      </w:divBdr>
    </w:div>
    <w:div w:id="1216742272">
      <w:bodyDiv w:val="1"/>
      <w:marLeft w:val="0"/>
      <w:marRight w:val="0"/>
      <w:marTop w:val="0"/>
      <w:marBottom w:val="0"/>
      <w:divBdr>
        <w:top w:val="none" w:sz="0" w:space="0" w:color="auto"/>
        <w:left w:val="none" w:sz="0" w:space="0" w:color="auto"/>
        <w:bottom w:val="none" w:sz="0" w:space="0" w:color="auto"/>
        <w:right w:val="none" w:sz="0" w:space="0" w:color="auto"/>
      </w:divBdr>
    </w:div>
    <w:div w:id="1236205840">
      <w:bodyDiv w:val="1"/>
      <w:marLeft w:val="0"/>
      <w:marRight w:val="0"/>
      <w:marTop w:val="0"/>
      <w:marBottom w:val="0"/>
      <w:divBdr>
        <w:top w:val="none" w:sz="0" w:space="0" w:color="auto"/>
        <w:left w:val="none" w:sz="0" w:space="0" w:color="auto"/>
        <w:bottom w:val="none" w:sz="0" w:space="0" w:color="auto"/>
        <w:right w:val="none" w:sz="0" w:space="0" w:color="auto"/>
      </w:divBdr>
    </w:div>
    <w:div w:id="1238974358">
      <w:bodyDiv w:val="1"/>
      <w:marLeft w:val="0"/>
      <w:marRight w:val="0"/>
      <w:marTop w:val="0"/>
      <w:marBottom w:val="0"/>
      <w:divBdr>
        <w:top w:val="none" w:sz="0" w:space="0" w:color="auto"/>
        <w:left w:val="none" w:sz="0" w:space="0" w:color="auto"/>
        <w:bottom w:val="none" w:sz="0" w:space="0" w:color="auto"/>
        <w:right w:val="none" w:sz="0" w:space="0" w:color="auto"/>
      </w:divBdr>
    </w:div>
    <w:div w:id="1266573432">
      <w:bodyDiv w:val="1"/>
      <w:marLeft w:val="0"/>
      <w:marRight w:val="0"/>
      <w:marTop w:val="0"/>
      <w:marBottom w:val="0"/>
      <w:divBdr>
        <w:top w:val="none" w:sz="0" w:space="0" w:color="auto"/>
        <w:left w:val="none" w:sz="0" w:space="0" w:color="auto"/>
        <w:bottom w:val="none" w:sz="0" w:space="0" w:color="auto"/>
        <w:right w:val="none" w:sz="0" w:space="0" w:color="auto"/>
      </w:divBdr>
    </w:div>
    <w:div w:id="1327510664">
      <w:bodyDiv w:val="1"/>
      <w:marLeft w:val="0"/>
      <w:marRight w:val="0"/>
      <w:marTop w:val="0"/>
      <w:marBottom w:val="0"/>
      <w:divBdr>
        <w:top w:val="none" w:sz="0" w:space="0" w:color="auto"/>
        <w:left w:val="none" w:sz="0" w:space="0" w:color="auto"/>
        <w:bottom w:val="none" w:sz="0" w:space="0" w:color="auto"/>
        <w:right w:val="none" w:sz="0" w:space="0" w:color="auto"/>
      </w:divBdr>
    </w:div>
    <w:div w:id="1529031156">
      <w:bodyDiv w:val="1"/>
      <w:marLeft w:val="0"/>
      <w:marRight w:val="0"/>
      <w:marTop w:val="0"/>
      <w:marBottom w:val="0"/>
      <w:divBdr>
        <w:top w:val="none" w:sz="0" w:space="0" w:color="auto"/>
        <w:left w:val="none" w:sz="0" w:space="0" w:color="auto"/>
        <w:bottom w:val="none" w:sz="0" w:space="0" w:color="auto"/>
        <w:right w:val="none" w:sz="0" w:space="0" w:color="auto"/>
      </w:divBdr>
    </w:div>
    <w:div w:id="1717003713">
      <w:bodyDiv w:val="1"/>
      <w:marLeft w:val="0"/>
      <w:marRight w:val="0"/>
      <w:marTop w:val="0"/>
      <w:marBottom w:val="0"/>
      <w:divBdr>
        <w:top w:val="none" w:sz="0" w:space="0" w:color="auto"/>
        <w:left w:val="none" w:sz="0" w:space="0" w:color="auto"/>
        <w:bottom w:val="none" w:sz="0" w:space="0" w:color="auto"/>
        <w:right w:val="none" w:sz="0" w:space="0" w:color="auto"/>
      </w:divBdr>
    </w:div>
    <w:div w:id="1764108438">
      <w:bodyDiv w:val="1"/>
      <w:marLeft w:val="0"/>
      <w:marRight w:val="0"/>
      <w:marTop w:val="0"/>
      <w:marBottom w:val="0"/>
      <w:divBdr>
        <w:top w:val="none" w:sz="0" w:space="0" w:color="auto"/>
        <w:left w:val="none" w:sz="0" w:space="0" w:color="auto"/>
        <w:bottom w:val="none" w:sz="0" w:space="0" w:color="auto"/>
        <w:right w:val="none" w:sz="0" w:space="0" w:color="auto"/>
      </w:divBdr>
    </w:div>
    <w:div w:id="1858499761">
      <w:bodyDiv w:val="1"/>
      <w:marLeft w:val="0"/>
      <w:marRight w:val="0"/>
      <w:marTop w:val="0"/>
      <w:marBottom w:val="0"/>
      <w:divBdr>
        <w:top w:val="none" w:sz="0" w:space="0" w:color="auto"/>
        <w:left w:val="none" w:sz="0" w:space="0" w:color="auto"/>
        <w:bottom w:val="none" w:sz="0" w:space="0" w:color="auto"/>
        <w:right w:val="none" w:sz="0" w:space="0" w:color="auto"/>
      </w:divBdr>
    </w:div>
    <w:div w:id="2007977444">
      <w:bodyDiv w:val="1"/>
      <w:marLeft w:val="0"/>
      <w:marRight w:val="0"/>
      <w:marTop w:val="0"/>
      <w:marBottom w:val="0"/>
      <w:divBdr>
        <w:top w:val="none" w:sz="0" w:space="0" w:color="auto"/>
        <w:left w:val="none" w:sz="0" w:space="0" w:color="auto"/>
        <w:bottom w:val="none" w:sz="0" w:space="0" w:color="auto"/>
        <w:right w:val="none" w:sz="0" w:space="0" w:color="auto"/>
      </w:divBdr>
    </w:div>
    <w:div w:id="2064284253">
      <w:bodyDiv w:val="1"/>
      <w:marLeft w:val="0"/>
      <w:marRight w:val="0"/>
      <w:marTop w:val="0"/>
      <w:marBottom w:val="0"/>
      <w:divBdr>
        <w:top w:val="none" w:sz="0" w:space="0" w:color="auto"/>
        <w:left w:val="none" w:sz="0" w:space="0" w:color="auto"/>
        <w:bottom w:val="none" w:sz="0" w:space="0" w:color="auto"/>
        <w:right w:val="none" w:sz="0" w:space="0" w:color="auto"/>
      </w:divBdr>
    </w:div>
    <w:div w:id="2074429615">
      <w:bodyDiv w:val="1"/>
      <w:marLeft w:val="0"/>
      <w:marRight w:val="0"/>
      <w:marTop w:val="0"/>
      <w:marBottom w:val="0"/>
      <w:divBdr>
        <w:top w:val="none" w:sz="0" w:space="0" w:color="auto"/>
        <w:left w:val="none" w:sz="0" w:space="0" w:color="auto"/>
        <w:bottom w:val="none" w:sz="0" w:space="0" w:color="auto"/>
        <w:right w:val="none" w:sz="0" w:space="0" w:color="auto"/>
      </w:divBdr>
    </w:div>
    <w:div w:id="2099784651">
      <w:bodyDiv w:val="1"/>
      <w:marLeft w:val="0"/>
      <w:marRight w:val="0"/>
      <w:marTop w:val="0"/>
      <w:marBottom w:val="0"/>
      <w:divBdr>
        <w:top w:val="none" w:sz="0" w:space="0" w:color="auto"/>
        <w:left w:val="none" w:sz="0" w:space="0" w:color="auto"/>
        <w:bottom w:val="none" w:sz="0" w:space="0" w:color="auto"/>
        <w:right w:val="none" w:sz="0" w:space="0" w:color="auto"/>
      </w:divBdr>
    </w:div>
    <w:div w:id="211767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hart" Target="charts/chart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hart" Target="charts/chart5.xml"/><Relationship Id="rId27"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file:///F:\CSSP%20Dbase\CSSP%20Dbase\CSSP%20Dbase%20(new)\CSSP%20Database%20as%20of%2010%20July%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CSSP%20Dbase\CSSP%20Dbase\CSSP%20Dbase%20(new)\CSSP%20Database%20as%20of%2010%20July%202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SSP%20Dbase\CSSP%20Dbase\CSSP%20Dbase%20(new)\CSSP%20Database%20as%20of%2010%20July%20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SSP%20Dbase\CSSP%20Dbase\CSSP%20Dbase%20(new)\CSSP%20Database%20as%20of%2010%20July%2020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CSSP%20Dbase\CSSP%20Dbase\CSSP%20Dbase%20(new)\CSSP%20Database%20as%20of%2010%20July%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[CSSP Database as of 10 July 2012.xlsx]By CSO Type!PivotTable7</c:name>
    <c:fmtId val="20"/>
  </c:pivotSource>
  <c:chart>
    <c:title>
      <c:tx>
        <c:rich>
          <a:bodyPr/>
          <a:lstStyle/>
          <a:p>
            <a:pPr>
              <a:defRPr lang="en-AU"/>
            </a:pPr>
            <a:r>
              <a:rPr lang="en-NZ" sz="1600" b="1" i="0" baseline="0">
                <a:effectLst/>
              </a:rPr>
              <a:t>CSSP Approved Projects, 30 June 2012:</a:t>
            </a:r>
            <a:endParaRPr lang="en-NZ" sz="1600">
              <a:effectLst/>
            </a:endParaRPr>
          </a:p>
          <a:p>
            <a:pPr>
              <a:defRPr lang="en-AU"/>
            </a:pPr>
            <a:r>
              <a:rPr lang="en-US" sz="1600" b="1" i="0" baseline="0">
                <a:effectLst/>
              </a:rPr>
              <a:t>By CSO Type</a:t>
            </a:r>
            <a:endParaRPr lang="en-NZ" sz="1600">
              <a:effectLst/>
            </a:endParaRPr>
          </a:p>
        </c:rich>
      </c:tx>
      <c:layout>
        <c:manualLayout>
          <c:xMode val="edge"/>
          <c:yMode val="edge"/>
          <c:x val="8.4312554680664925E-2"/>
          <c:y val="5.0925925925927124E-2"/>
        </c:manualLayout>
      </c:layout>
      <c:overlay val="0"/>
    </c:title>
    <c:autoTitleDeleted val="0"/>
    <c:pivotFmts>
      <c:pivotFmt>
        <c:idx val="0"/>
        <c:marker>
          <c:symbol val="none"/>
        </c:marker>
        <c:dLbl>
          <c:idx val="0"/>
          <c:spPr/>
          <c:txPr>
            <a:bodyPr/>
            <a:lstStyle/>
            <a:p>
              <a:pPr>
                <a:defRPr lang="en-AU"/>
              </a:pPr>
              <a:endParaRPr lang="en-US"/>
            </a:p>
          </c:txPr>
          <c:dLblPos val="outEnd"/>
          <c:showLegendKey val="0"/>
          <c:showVal val="1"/>
          <c:showCatName val="0"/>
          <c:showSerName val="0"/>
          <c:showPercent val="1"/>
          <c:showBubbleSize val="0"/>
        </c:dLbl>
      </c:pivotFmt>
      <c:pivotFmt>
        <c:idx val="1"/>
        <c:marker>
          <c:symbol val="none"/>
        </c:marker>
      </c:pivotFmt>
      <c:pivotFmt>
        <c:idx val="2"/>
      </c:pivotFmt>
      <c:pivotFmt>
        <c:idx val="3"/>
        <c:dLbl>
          <c:idx val="0"/>
          <c:layout>
            <c:manualLayout>
              <c:x val="-0.14166666666666664"/>
              <c:y val="-1.3888888888889513E-2"/>
            </c:manualLayout>
          </c:layout>
          <c:dLblPos val="bestFit"/>
          <c:showLegendKey val="0"/>
          <c:showVal val="1"/>
          <c:showCatName val="0"/>
          <c:showSerName val="0"/>
          <c:showPercent val="1"/>
          <c:showBubbleSize val="0"/>
        </c:dLbl>
      </c:pivotFmt>
      <c:pivotFmt>
        <c:idx val="4"/>
        <c:marker>
          <c:symbol val="none"/>
        </c:marker>
        <c:dLbl>
          <c:idx val="0"/>
          <c:spPr/>
          <c:txPr>
            <a:bodyPr/>
            <a:lstStyle/>
            <a:p>
              <a:pPr>
                <a:defRPr lang="en-AU"/>
              </a:pPr>
              <a:endParaRPr lang="en-US"/>
            </a:p>
          </c:txPr>
          <c:dLblPos val="outEnd"/>
          <c:showLegendKey val="0"/>
          <c:showVal val="1"/>
          <c:showCatName val="0"/>
          <c:showSerName val="0"/>
          <c:showPercent val="1"/>
          <c:showBubbleSize val="0"/>
        </c:dLbl>
      </c:pivotFmt>
      <c:pivotFmt>
        <c:idx val="5"/>
        <c:dLbl>
          <c:idx val="0"/>
          <c:layout>
            <c:manualLayout>
              <c:x val="-0.14166666666666664"/>
              <c:y val="-1.3888888888889513E-2"/>
            </c:manualLayout>
          </c:layout>
          <c:dLblPos val="bestFit"/>
          <c:showLegendKey val="0"/>
          <c:showVal val="1"/>
          <c:showCatName val="0"/>
          <c:showSerName val="0"/>
          <c:showPercent val="1"/>
          <c:showBubbleSize val="0"/>
        </c:dLbl>
      </c:pivotFmt>
      <c:pivotFmt>
        <c:idx val="6"/>
        <c:marker>
          <c:symbol val="none"/>
        </c:marker>
      </c:pivotFmt>
    </c:pivotFmts>
    <c:view3D>
      <c:rotX val="30"/>
      <c:rotY val="0"/>
      <c:rAngAx val="0"/>
      <c:perspective val="30"/>
    </c:view3D>
    <c:floor>
      <c:thickness val="0"/>
    </c:floor>
    <c:sideWall>
      <c:thickness val="0"/>
    </c:sideWall>
    <c:backWall>
      <c:thickness val="0"/>
    </c:backWall>
    <c:plotArea>
      <c:layout/>
      <c:pie3DChart>
        <c:varyColors val="1"/>
        <c:ser>
          <c:idx val="0"/>
          <c:order val="0"/>
          <c:tx>
            <c:strRef>
              <c:f>'By CSO Type'!$B$3</c:f>
              <c:strCache>
                <c:ptCount val="1"/>
                <c:pt idx="0">
                  <c:v>Count of CBO / NGO</c:v>
                </c:pt>
              </c:strCache>
            </c:strRef>
          </c:tx>
          <c:dLbls>
            <c:dLbl>
              <c:idx val="1"/>
              <c:layout>
                <c:manualLayout>
                  <c:x val="-0.14166666666666664"/>
                  <c:y val="-1.3888888888889513E-2"/>
                </c:manualLayout>
              </c:layout>
              <c:dLblPos val="bestFit"/>
              <c:showLegendKey val="0"/>
              <c:showVal val="1"/>
              <c:showCatName val="0"/>
              <c:showSerName val="0"/>
              <c:showPercent val="1"/>
              <c:showBubbleSize val="0"/>
            </c:dLbl>
            <c:txPr>
              <a:bodyPr/>
              <a:lstStyle/>
              <a:p>
                <a:pPr>
                  <a:defRPr lang="en-AU"/>
                </a:pPr>
                <a:endParaRPr lang="en-US"/>
              </a:p>
            </c:txPr>
            <c:dLblPos val="outEnd"/>
            <c:showLegendKey val="0"/>
            <c:showVal val="1"/>
            <c:showCatName val="0"/>
            <c:showSerName val="0"/>
            <c:showPercent val="1"/>
            <c:showBubbleSize val="0"/>
            <c:showLeaderLines val="0"/>
          </c:dLbls>
          <c:cat>
            <c:strRef>
              <c:f>'By CSO Type'!$A$4:$A$6</c:f>
              <c:strCache>
                <c:ptCount val="2"/>
                <c:pt idx="0">
                  <c:v>CBO</c:v>
                </c:pt>
                <c:pt idx="1">
                  <c:v>NGO</c:v>
                </c:pt>
              </c:strCache>
            </c:strRef>
          </c:cat>
          <c:val>
            <c:numRef>
              <c:f>'By CSO Type'!$B$4:$B$6</c:f>
              <c:numCache>
                <c:formatCode>General</c:formatCode>
                <c:ptCount val="2"/>
                <c:pt idx="0">
                  <c:v>145</c:v>
                </c:pt>
                <c:pt idx="1">
                  <c:v>14</c:v>
                </c:pt>
              </c:numCache>
            </c:numRef>
          </c:val>
        </c:ser>
        <c:ser>
          <c:idx val="1"/>
          <c:order val="1"/>
          <c:tx>
            <c:strRef>
              <c:f>'By CSO Type'!$C$3</c:f>
              <c:strCache>
                <c:ptCount val="1"/>
                <c:pt idx="0">
                  <c:v>Sum of Budget</c:v>
                </c:pt>
              </c:strCache>
            </c:strRef>
          </c:tx>
          <c:cat>
            <c:strRef>
              <c:f>'By CSO Type'!$A$4:$A$6</c:f>
              <c:strCache>
                <c:ptCount val="2"/>
                <c:pt idx="0">
                  <c:v>CBO</c:v>
                </c:pt>
                <c:pt idx="1">
                  <c:v>NGO</c:v>
                </c:pt>
              </c:strCache>
            </c:strRef>
          </c:cat>
          <c:val>
            <c:numRef>
              <c:f>'By CSO Type'!$C$4:$C$6</c:f>
              <c:numCache>
                <c:formatCode>#,##0</c:formatCode>
                <c:ptCount val="2"/>
                <c:pt idx="0">
                  <c:v>4475746.58</c:v>
                </c:pt>
                <c:pt idx="1">
                  <c:v>962718</c:v>
                </c:pt>
              </c:numCache>
            </c:numRef>
          </c:val>
        </c:ser>
        <c:dLbls>
          <c:showLegendKey val="0"/>
          <c:showVal val="0"/>
          <c:showCatName val="0"/>
          <c:showSerName val="0"/>
          <c:showPercent val="0"/>
          <c:showBubbleSize val="0"/>
          <c:showLeaderLines val="0"/>
        </c:dLbls>
      </c:pie3DChart>
    </c:plotArea>
    <c:legend>
      <c:legendPos val="r"/>
      <c:legendEntry>
        <c:idx val="0"/>
        <c:txPr>
          <a:bodyPr/>
          <a:lstStyle/>
          <a:p>
            <a:pPr>
              <a:defRPr sz="1200" baseline="0"/>
            </a:pPr>
            <a:endParaRPr lang="en-US"/>
          </a:p>
        </c:txPr>
      </c:legendEntry>
      <c:legendEntry>
        <c:idx val="1"/>
        <c:txPr>
          <a:bodyPr/>
          <a:lstStyle/>
          <a:p>
            <a:pPr>
              <a:defRPr sz="1200" baseline="0"/>
            </a:pPr>
            <a:endParaRPr lang="en-US"/>
          </a:p>
        </c:txPr>
      </c:legendEntry>
      <c:layout>
        <c:manualLayout>
          <c:xMode val="edge"/>
          <c:yMode val="edge"/>
          <c:x val="0.81564020122486935"/>
          <c:y val="0.37475503062116289"/>
          <c:w val="0.13158202099737534"/>
          <c:h val="0.23224919801692115"/>
        </c:manualLayout>
      </c:layout>
      <c:overlay val="0"/>
      <c:txPr>
        <a:bodyPr/>
        <a:lstStyle/>
        <a:p>
          <a:pPr>
            <a:defRPr lang="en-AU"/>
          </a:pPr>
          <a:endParaRPr lang="en-US"/>
        </a:p>
      </c:txPr>
    </c:legend>
    <c:plotVisOnly val="1"/>
    <c:dispBlanksAs val="zero"/>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[CSSP Database as of 10 July 2012.xlsx]# by Sector!PivotTable6</c:name>
    <c:fmtId val="-1"/>
  </c:pivotSource>
  <c:chart>
    <c:title>
      <c:tx>
        <c:rich>
          <a:bodyPr/>
          <a:lstStyle/>
          <a:p>
            <a:pPr algn="l">
              <a:defRPr lang="en-AU"/>
            </a:pPr>
            <a:r>
              <a:rPr lang="en-NZ" sz="1400" b="1" i="0" baseline="0">
                <a:effectLst/>
                <a:latin typeface="+mn-lt"/>
              </a:rPr>
              <a:t>CSSP Approved Projects as at 30 June 2012:       </a:t>
            </a:r>
            <a:r>
              <a:rPr lang="en-US" sz="1400" b="1" i="0" baseline="0">
                <a:effectLst/>
                <a:latin typeface="+mn-lt"/>
              </a:rPr>
              <a:t>Numbers by Sector</a:t>
            </a:r>
            <a:endParaRPr lang="en-NZ" sz="1400">
              <a:effectLst/>
              <a:latin typeface="+mn-lt"/>
            </a:endParaRPr>
          </a:p>
        </c:rich>
      </c:tx>
      <c:layout>
        <c:manualLayout>
          <c:xMode val="edge"/>
          <c:yMode val="edge"/>
          <c:x val="2.7709654686398872E-2"/>
          <c:y val="0"/>
        </c:manualLayout>
      </c:layout>
      <c:overlay val="0"/>
    </c:title>
    <c:autoTitleDeleted val="0"/>
    <c:pivotFmts>
      <c:pivotFmt>
        <c:idx val="0"/>
        <c:marker>
          <c:symbol val="none"/>
        </c:marker>
        <c:dLbl>
          <c:idx val="0"/>
          <c:spPr/>
          <c:txPr>
            <a:bodyPr/>
            <a:lstStyle/>
            <a:p>
              <a:pPr>
                <a:defRPr/>
              </a:pPr>
              <a:endParaRPr lang="en-US"/>
            </a:p>
          </c:txPr>
          <c:dLblPos val="outEnd"/>
          <c:showLegendKey val="0"/>
          <c:showVal val="1"/>
          <c:showCatName val="0"/>
          <c:showSerName val="0"/>
          <c:showPercent val="1"/>
          <c:showBubbleSize val="0"/>
        </c:dLbl>
      </c:pivotFmt>
      <c:pivotFmt>
        <c:idx val="1"/>
        <c:marker>
          <c:symbol val="none"/>
        </c:marker>
      </c:pivotFmt>
      <c:pivotFmt>
        <c:idx val="2"/>
      </c:pivotFmt>
      <c:pivotFmt>
        <c:idx val="3"/>
        <c:marker>
          <c:symbol val="none"/>
        </c:marker>
        <c:dLbl>
          <c:idx val="0"/>
          <c:spPr/>
          <c:txPr>
            <a:bodyPr/>
            <a:lstStyle/>
            <a:p>
              <a:pPr>
                <a:defRPr lang="en-AU"/>
              </a:pPr>
              <a:endParaRPr lang="en-US"/>
            </a:p>
          </c:txPr>
          <c:dLblPos val="outEnd"/>
          <c:showLegendKey val="0"/>
          <c:showVal val="1"/>
          <c:showCatName val="1"/>
          <c:showSerName val="0"/>
          <c:showPercent val="1"/>
          <c:showBubbleSize val="0"/>
        </c:dLbl>
      </c:pivotFmt>
      <c:pivotFmt>
        <c:idx val="4"/>
        <c:dLbl>
          <c:idx val="0"/>
          <c:layout>
            <c:manualLayout>
              <c:x val="0"/>
              <c:y val="-3.8507817036324617E-2"/>
            </c:manualLayout>
          </c:layout>
          <c:dLblPos val="bestFit"/>
          <c:showLegendKey val="0"/>
          <c:showVal val="1"/>
          <c:showCatName val="1"/>
          <c:showSerName val="0"/>
          <c:showPercent val="1"/>
          <c:showBubbleSize val="0"/>
        </c:dLbl>
      </c:pivotFmt>
      <c:pivotFmt>
        <c:idx val="5"/>
        <c:dLbl>
          <c:idx val="0"/>
          <c:layout>
            <c:manualLayout>
              <c:x val="2.1276595744680847E-2"/>
              <c:y val="0"/>
            </c:manualLayout>
          </c:layout>
          <c:dLblPos val="bestFit"/>
          <c:showLegendKey val="0"/>
          <c:showVal val="1"/>
          <c:showCatName val="1"/>
          <c:showSerName val="0"/>
          <c:showPercent val="1"/>
          <c:showBubbleSize val="0"/>
        </c:dLbl>
      </c:pivotFmt>
      <c:pivotFmt>
        <c:idx val="6"/>
        <c:dLbl>
          <c:idx val="0"/>
          <c:layout>
            <c:manualLayout>
              <c:x val="-9.4562647754137547E-3"/>
              <c:y val="-0.19253908518161594"/>
            </c:manualLayout>
          </c:layout>
          <c:dLblPos val="bestFit"/>
          <c:showLegendKey val="0"/>
          <c:showVal val="1"/>
          <c:showCatName val="1"/>
          <c:showSerName val="0"/>
          <c:showPercent val="1"/>
          <c:showBubbleSize val="0"/>
        </c:dLbl>
      </c:pivotFmt>
      <c:pivotFmt>
        <c:idx val="7"/>
        <c:dLbl>
          <c:idx val="0"/>
          <c:layout>
            <c:manualLayout>
              <c:x val="5.6737588652482303E-2"/>
              <c:y val="1.2835939012107727E-2"/>
            </c:manualLayout>
          </c:layout>
          <c:dLblPos val="bestFit"/>
          <c:showLegendKey val="0"/>
          <c:showVal val="1"/>
          <c:showCatName val="1"/>
          <c:showSerName val="0"/>
          <c:showPercent val="1"/>
          <c:showBubbleSize val="0"/>
        </c:dLbl>
      </c:pivotFmt>
      <c:pivotFmt>
        <c:idx val="8"/>
        <c:dLbl>
          <c:idx val="0"/>
          <c:layout>
            <c:manualLayout>
              <c:x val="-4.7281323877068564E-2"/>
              <c:y val="9.6269542590808766E-3"/>
            </c:manualLayout>
          </c:layout>
          <c:dLblPos val="bestFit"/>
          <c:showLegendKey val="0"/>
          <c:showVal val="1"/>
          <c:showCatName val="1"/>
          <c:showSerName val="0"/>
          <c:showPercent val="1"/>
          <c:showBubbleSize val="0"/>
        </c:dLbl>
      </c:pivotFmt>
      <c:pivotFmt>
        <c:idx val="9"/>
        <c:dLbl>
          <c:idx val="0"/>
          <c:layout>
            <c:manualLayout>
              <c:x val="9.4562647754137547E-3"/>
              <c:y val="6.7388679813567123E-2"/>
            </c:manualLayout>
          </c:layout>
          <c:dLblPos val="bestFit"/>
          <c:showLegendKey val="0"/>
          <c:showVal val="1"/>
          <c:showCatName val="1"/>
          <c:showSerName val="0"/>
          <c:showPercent val="1"/>
          <c:showBubbleSize val="0"/>
        </c:dLbl>
      </c:pivotFmt>
      <c:pivotFmt>
        <c:idx val="10"/>
        <c:marker>
          <c:symbol val="none"/>
        </c:marker>
        <c:dLbl>
          <c:idx val="0"/>
          <c:spPr/>
          <c:txPr>
            <a:bodyPr/>
            <a:lstStyle/>
            <a:p>
              <a:pPr>
                <a:defRPr lang="en-AU"/>
              </a:pPr>
              <a:endParaRPr lang="en-US"/>
            </a:p>
          </c:txPr>
          <c:dLblPos val="outEnd"/>
          <c:showLegendKey val="0"/>
          <c:showVal val="1"/>
          <c:showCatName val="1"/>
          <c:showSerName val="0"/>
          <c:showPercent val="1"/>
          <c:showBubbleSize val="0"/>
        </c:dLbl>
      </c:pivotFmt>
      <c:pivotFmt>
        <c:idx val="11"/>
        <c:dLbl>
          <c:idx val="0"/>
          <c:layout>
            <c:manualLayout>
              <c:x val="2.1276595744680847E-2"/>
              <c:y val="0"/>
            </c:manualLayout>
          </c:layout>
          <c:dLblPos val="bestFit"/>
          <c:showLegendKey val="0"/>
          <c:showVal val="1"/>
          <c:showCatName val="1"/>
          <c:showSerName val="0"/>
          <c:showPercent val="1"/>
          <c:showBubbleSize val="0"/>
        </c:dLbl>
      </c:pivotFmt>
      <c:pivotFmt>
        <c:idx val="12"/>
        <c:dLbl>
          <c:idx val="0"/>
          <c:layout>
            <c:manualLayout>
              <c:x val="-9.4562647754137547E-3"/>
              <c:y val="-0.19253908518161594"/>
            </c:manualLayout>
          </c:layout>
          <c:dLblPos val="bestFit"/>
          <c:showLegendKey val="0"/>
          <c:showVal val="1"/>
          <c:showCatName val="1"/>
          <c:showSerName val="0"/>
          <c:showPercent val="1"/>
          <c:showBubbleSize val="0"/>
        </c:dLbl>
      </c:pivotFmt>
      <c:pivotFmt>
        <c:idx val="13"/>
        <c:dLbl>
          <c:idx val="0"/>
          <c:layout>
            <c:manualLayout>
              <c:x val="5.6737588652482303E-2"/>
              <c:y val="1.2835939012107727E-2"/>
            </c:manualLayout>
          </c:layout>
          <c:dLblPos val="bestFit"/>
          <c:showLegendKey val="0"/>
          <c:showVal val="1"/>
          <c:showCatName val="1"/>
          <c:showSerName val="0"/>
          <c:showPercent val="1"/>
          <c:showBubbleSize val="0"/>
        </c:dLbl>
      </c:pivotFmt>
      <c:pivotFmt>
        <c:idx val="14"/>
        <c:dLbl>
          <c:idx val="0"/>
          <c:layout>
            <c:manualLayout>
              <c:x val="9.4562647754137547E-3"/>
              <c:y val="6.7388679813567123E-2"/>
            </c:manualLayout>
          </c:layout>
          <c:dLblPos val="bestFit"/>
          <c:showLegendKey val="0"/>
          <c:showVal val="1"/>
          <c:showCatName val="1"/>
          <c:showSerName val="0"/>
          <c:showPercent val="1"/>
          <c:showBubbleSize val="0"/>
        </c:dLbl>
      </c:pivotFmt>
      <c:pivotFmt>
        <c:idx val="15"/>
        <c:dLbl>
          <c:idx val="0"/>
          <c:layout>
            <c:manualLayout>
              <c:x val="-4.7281323877068564E-2"/>
              <c:y val="9.6269542590808766E-3"/>
            </c:manualLayout>
          </c:layout>
          <c:dLblPos val="bestFit"/>
          <c:showLegendKey val="0"/>
          <c:showVal val="1"/>
          <c:showCatName val="1"/>
          <c:showSerName val="0"/>
          <c:showPercent val="1"/>
          <c:showBubbleSize val="0"/>
        </c:dLbl>
      </c:pivotFmt>
      <c:pivotFmt>
        <c:idx val="16"/>
        <c:dLbl>
          <c:idx val="0"/>
          <c:layout>
            <c:manualLayout>
              <c:x val="0"/>
              <c:y val="-3.8507817036324617E-2"/>
            </c:manualLayout>
          </c:layout>
          <c:dLblPos val="bestFit"/>
          <c:showLegendKey val="0"/>
          <c:showVal val="1"/>
          <c:showCatName val="1"/>
          <c:showSerName val="0"/>
          <c:showPercent val="1"/>
          <c:showBubbleSize val="0"/>
        </c:dLbl>
      </c:pivotFmt>
    </c:pivotFmts>
    <c:plotArea>
      <c:layout/>
      <c:pieChart>
        <c:varyColors val="1"/>
        <c:ser>
          <c:idx val="0"/>
          <c:order val="0"/>
          <c:tx>
            <c:strRef>
              <c:f>'# by Sector'!$B$3</c:f>
              <c:strCache>
                <c:ptCount val="1"/>
                <c:pt idx="0">
                  <c:v>Total</c:v>
                </c:pt>
              </c:strCache>
            </c:strRef>
          </c:tx>
          <c:dLbls>
            <c:dLbl>
              <c:idx val="0"/>
              <c:layout>
                <c:manualLayout>
                  <c:x val="2.1276595744680847E-2"/>
                  <c:y val="0"/>
                </c:manualLayout>
              </c:layout>
              <c:dLblPos val="bestFit"/>
              <c:showLegendKey val="0"/>
              <c:showVal val="1"/>
              <c:showCatName val="1"/>
              <c:showSerName val="0"/>
              <c:showPercent val="1"/>
              <c:showBubbleSize val="0"/>
            </c:dLbl>
            <c:dLbl>
              <c:idx val="1"/>
              <c:layout>
                <c:manualLayout>
                  <c:x val="-9.4562647754137547E-3"/>
                  <c:y val="-0.19253908518161594"/>
                </c:manualLayout>
              </c:layout>
              <c:dLblPos val="bestFit"/>
              <c:showLegendKey val="0"/>
              <c:showVal val="1"/>
              <c:showCatName val="1"/>
              <c:showSerName val="0"/>
              <c:showPercent val="1"/>
              <c:showBubbleSize val="0"/>
            </c:dLbl>
            <c:dLbl>
              <c:idx val="2"/>
              <c:layout>
                <c:manualLayout>
                  <c:x val="5.6737588652482303E-2"/>
                  <c:y val="1.2835939012107727E-2"/>
                </c:manualLayout>
              </c:layout>
              <c:dLblPos val="bestFit"/>
              <c:showLegendKey val="0"/>
              <c:showVal val="1"/>
              <c:showCatName val="1"/>
              <c:showSerName val="0"/>
              <c:showPercent val="1"/>
              <c:showBubbleSize val="0"/>
            </c:dLbl>
            <c:dLbl>
              <c:idx val="3"/>
              <c:layout>
                <c:manualLayout>
                  <c:x val="9.4562647754137547E-3"/>
                  <c:y val="6.7388679813567123E-2"/>
                </c:manualLayout>
              </c:layout>
              <c:dLblPos val="bestFit"/>
              <c:showLegendKey val="0"/>
              <c:showVal val="1"/>
              <c:showCatName val="1"/>
              <c:showSerName val="0"/>
              <c:showPercent val="1"/>
              <c:showBubbleSize val="0"/>
            </c:dLbl>
            <c:dLbl>
              <c:idx val="4"/>
              <c:layout>
                <c:manualLayout>
                  <c:x val="-4.7281323877068564E-2"/>
                  <c:y val="9.6269542590808766E-3"/>
                </c:manualLayout>
              </c:layout>
              <c:dLblPos val="bestFit"/>
              <c:showLegendKey val="0"/>
              <c:showVal val="1"/>
              <c:showCatName val="1"/>
              <c:showSerName val="0"/>
              <c:showPercent val="1"/>
              <c:showBubbleSize val="0"/>
            </c:dLbl>
            <c:dLbl>
              <c:idx val="5"/>
              <c:layout>
                <c:manualLayout>
                  <c:x val="0"/>
                  <c:y val="-3.8507817036324617E-2"/>
                </c:manualLayout>
              </c:layout>
              <c:dLblPos val="bestFit"/>
              <c:showLegendKey val="0"/>
              <c:showVal val="1"/>
              <c:showCatName val="1"/>
              <c:showSerName val="0"/>
              <c:showPercent val="1"/>
              <c:showBubbleSize val="0"/>
            </c:dLbl>
            <c:txPr>
              <a:bodyPr/>
              <a:lstStyle/>
              <a:p>
                <a:pPr>
                  <a:defRPr lang="en-AU"/>
                </a:pPr>
                <a:endParaRPr lang="en-US"/>
              </a:p>
            </c:txPr>
            <c:dLblPos val="outEnd"/>
            <c:showLegendKey val="0"/>
            <c:showVal val="1"/>
            <c:showCatName val="1"/>
            <c:showSerName val="0"/>
            <c:showPercent val="1"/>
            <c:showBubbleSize val="0"/>
            <c:showLeaderLines val="1"/>
          </c:dLbls>
          <c:cat>
            <c:strRef>
              <c:f>'# by Sector'!$A$4:$A$10</c:f>
              <c:strCache>
                <c:ptCount val="6"/>
                <c:pt idx="0">
                  <c:v>AGR</c:v>
                </c:pt>
                <c:pt idx="1">
                  <c:v>COM DEV</c:v>
                </c:pt>
                <c:pt idx="2">
                  <c:v>EDU</c:v>
                </c:pt>
                <c:pt idx="3">
                  <c:v>HLTH</c:v>
                </c:pt>
                <c:pt idx="4">
                  <c:v>JUSTICE</c:v>
                </c:pt>
                <c:pt idx="5">
                  <c:v>WATER</c:v>
                </c:pt>
              </c:strCache>
            </c:strRef>
          </c:cat>
          <c:val>
            <c:numRef>
              <c:f>'# by Sector'!$B$4:$B$10</c:f>
              <c:numCache>
                <c:formatCode>General</c:formatCode>
                <c:ptCount val="6"/>
                <c:pt idx="0">
                  <c:v>18</c:v>
                </c:pt>
                <c:pt idx="1">
                  <c:v>34</c:v>
                </c:pt>
                <c:pt idx="2">
                  <c:v>39</c:v>
                </c:pt>
                <c:pt idx="3">
                  <c:v>12</c:v>
                </c:pt>
                <c:pt idx="4">
                  <c:v>1</c:v>
                </c:pt>
                <c:pt idx="5">
                  <c:v>55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82308724707283931"/>
          <c:y val="0.43345803734451438"/>
          <c:w val="0.13346233316580938"/>
          <c:h val="0.34816676007256298"/>
        </c:manualLayout>
      </c:layout>
      <c:overlay val="0"/>
      <c:txPr>
        <a:bodyPr/>
        <a:lstStyle/>
        <a:p>
          <a:pPr>
            <a:defRPr lang="en-AU"/>
          </a:pPr>
          <a:endParaRPr lang="en-US"/>
        </a:p>
      </c:txPr>
    </c:legend>
    <c:plotVisOnly val="1"/>
    <c:dispBlanksAs val="zero"/>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[CSSP Database as of 10 July 2012.xlsx]$ by Sector!PivotTable6</c:name>
    <c:fmtId val="-1"/>
  </c:pivotSource>
  <c:chart>
    <c:title>
      <c:tx>
        <c:rich>
          <a:bodyPr/>
          <a:lstStyle/>
          <a:p>
            <a:pPr>
              <a:defRPr lang="en-AU"/>
            </a:pPr>
            <a:r>
              <a:rPr lang="en-NZ" sz="1400" b="1" i="0" baseline="0">
                <a:effectLst/>
              </a:rPr>
              <a:t>CSSP Approved Projects as at 30 June 2012:</a:t>
            </a:r>
            <a:endParaRPr lang="en-NZ" sz="1400">
              <a:effectLst/>
            </a:endParaRPr>
          </a:p>
          <a:p>
            <a:pPr>
              <a:defRPr lang="en-AU"/>
            </a:pPr>
            <a:r>
              <a:rPr lang="en-US" sz="1400" b="1" i="0" baseline="0">
                <a:effectLst/>
              </a:rPr>
              <a:t>Funding by Sector</a:t>
            </a:r>
            <a:endParaRPr lang="en-NZ" sz="1400">
              <a:effectLst/>
            </a:endParaRPr>
          </a:p>
        </c:rich>
      </c:tx>
      <c:layout>
        <c:manualLayout>
          <c:xMode val="edge"/>
          <c:yMode val="edge"/>
          <c:x val="0.14836363636363636"/>
          <c:y val="3.5184091958725898E-2"/>
        </c:manualLayout>
      </c:layout>
      <c:overlay val="0"/>
    </c:title>
    <c:autoTitleDeleted val="0"/>
    <c:pivotFmts>
      <c:pivotFmt>
        <c:idx val="0"/>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s>
    <c:plotArea>
      <c:layout/>
      <c:barChart>
        <c:barDir val="col"/>
        <c:grouping val="clustered"/>
        <c:varyColors val="0"/>
        <c:ser>
          <c:idx val="0"/>
          <c:order val="0"/>
          <c:tx>
            <c:strRef>
              <c:f>'$ by Sector'!$B$3</c:f>
              <c:strCache>
                <c:ptCount val="1"/>
                <c:pt idx="0">
                  <c:v>Total</c:v>
                </c:pt>
              </c:strCache>
            </c:strRef>
          </c:tx>
          <c:invertIfNegative val="0"/>
          <c:cat>
            <c:strRef>
              <c:f>'$ by Sector'!$A$4:$A$10</c:f>
              <c:strCache>
                <c:ptCount val="6"/>
                <c:pt idx="0">
                  <c:v>AGR</c:v>
                </c:pt>
                <c:pt idx="1">
                  <c:v>COM DEV</c:v>
                </c:pt>
                <c:pt idx="2">
                  <c:v>EDU</c:v>
                </c:pt>
                <c:pt idx="3">
                  <c:v>HLTH</c:v>
                </c:pt>
                <c:pt idx="4">
                  <c:v>JUSTICE</c:v>
                </c:pt>
                <c:pt idx="5">
                  <c:v>WATER</c:v>
                </c:pt>
              </c:strCache>
            </c:strRef>
          </c:cat>
          <c:val>
            <c:numRef>
              <c:f>'$ by Sector'!$B$4:$B$10</c:f>
              <c:numCache>
                <c:formatCode>#,##0</c:formatCode>
                <c:ptCount val="6"/>
                <c:pt idx="0">
                  <c:v>463134.00999999995</c:v>
                </c:pt>
                <c:pt idx="1">
                  <c:v>1149221.5300000003</c:v>
                </c:pt>
                <c:pt idx="2">
                  <c:v>1687438.1600000001</c:v>
                </c:pt>
                <c:pt idx="3">
                  <c:v>565381.78999997035</c:v>
                </c:pt>
                <c:pt idx="4">
                  <c:v>50000</c:v>
                </c:pt>
                <c:pt idx="5">
                  <c:v>1523289.0900000003</c:v>
                </c:pt>
              </c:numCache>
            </c:numRef>
          </c:val>
        </c:ser>
        <c:dLbls>
          <c:showLegendKey val="0"/>
          <c:showVal val="0"/>
          <c:showCatName val="0"/>
          <c:showSerName val="0"/>
          <c:showPercent val="0"/>
          <c:showBubbleSize val="0"/>
        </c:dLbls>
        <c:gapWidth val="150"/>
        <c:axId val="39518592"/>
        <c:axId val="39891328"/>
      </c:barChart>
      <c:catAx>
        <c:axId val="39518592"/>
        <c:scaling>
          <c:orientation val="minMax"/>
        </c:scaling>
        <c:delete val="0"/>
        <c:axPos val="b"/>
        <c:majorTickMark val="out"/>
        <c:minorTickMark val="none"/>
        <c:tickLblPos val="nextTo"/>
        <c:txPr>
          <a:bodyPr/>
          <a:lstStyle/>
          <a:p>
            <a:pPr>
              <a:defRPr lang="en-AU"/>
            </a:pPr>
            <a:endParaRPr lang="en-US"/>
          </a:p>
        </c:txPr>
        <c:crossAx val="39891328"/>
        <c:crosses val="autoZero"/>
        <c:auto val="1"/>
        <c:lblAlgn val="ctr"/>
        <c:lblOffset val="100"/>
        <c:noMultiLvlLbl val="0"/>
      </c:catAx>
      <c:valAx>
        <c:axId val="39891328"/>
        <c:scaling>
          <c:orientation val="minMax"/>
        </c:scaling>
        <c:delete val="0"/>
        <c:axPos val="l"/>
        <c:majorGridlines/>
        <c:numFmt formatCode="#,##0" sourceLinked="1"/>
        <c:majorTickMark val="out"/>
        <c:minorTickMark val="none"/>
        <c:tickLblPos val="nextTo"/>
        <c:txPr>
          <a:bodyPr/>
          <a:lstStyle/>
          <a:p>
            <a:pPr>
              <a:defRPr lang="en-AU"/>
            </a:pPr>
            <a:endParaRPr lang="en-US"/>
          </a:p>
        </c:txPr>
        <c:crossAx val="39518592"/>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[CSSP Database as of 10 July 2012.xlsx] # By Region!PivotTable2</c:name>
    <c:fmtId val="18"/>
  </c:pivotSource>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AU" sz="1800" b="1" i="0" u="none" strike="noStrike" kern="1200" baseline="0">
                <a:solidFill>
                  <a:sysClr val="windowText" lastClr="000000"/>
                </a:solidFill>
                <a:latin typeface="+mn-lt"/>
                <a:ea typeface="+mn-ea"/>
                <a:cs typeface="+mn-cs"/>
              </a:defRPr>
            </a:pPr>
            <a:r>
              <a:rPr lang="en-NZ" sz="1400" b="1" i="0" baseline="0">
                <a:effectLst/>
              </a:rPr>
              <a:t>CSSP Approved Projects as at 30 June 2012:</a:t>
            </a:r>
            <a:endParaRPr lang="en-NZ" sz="1400">
              <a:effectLst/>
            </a:endParaRPr>
          </a:p>
          <a:p>
            <a:pPr marL="0" marR="0" indent="0" algn="ctr" defTabSz="914400" rtl="0" eaLnBrk="1" fontAlgn="auto" latinLnBrk="0" hangingPunct="1">
              <a:lnSpc>
                <a:spcPct val="100000"/>
              </a:lnSpc>
              <a:spcBef>
                <a:spcPts val="0"/>
              </a:spcBef>
              <a:spcAft>
                <a:spcPts val="0"/>
              </a:spcAft>
              <a:buClrTx/>
              <a:buSzTx/>
              <a:buFontTx/>
              <a:buNone/>
              <a:tabLst/>
              <a:defRPr lang="en-AU" sz="1800" b="1" i="0" u="none" strike="noStrike" kern="1200" baseline="0">
                <a:solidFill>
                  <a:sysClr val="windowText" lastClr="000000"/>
                </a:solidFill>
                <a:latin typeface="+mn-lt"/>
                <a:ea typeface="+mn-ea"/>
                <a:cs typeface="+mn-cs"/>
              </a:defRPr>
            </a:pPr>
            <a:r>
              <a:rPr lang="en-US" sz="1400" baseline="0"/>
              <a:t>Numbers by Region</a:t>
            </a:r>
            <a:endParaRPr lang="en-US" sz="1400"/>
          </a:p>
        </c:rich>
      </c:tx>
      <c:layout>
        <c:manualLayout>
          <c:xMode val="edge"/>
          <c:yMode val="edge"/>
          <c:x val="0.14527401676337848"/>
          <c:y val="4.4274153280282745E-2"/>
        </c:manualLayout>
      </c:layout>
      <c:overlay val="0"/>
    </c:title>
    <c:autoTitleDeleted val="0"/>
    <c:pivotFmts>
      <c:pivotFmt>
        <c:idx val="0"/>
        <c:marker>
          <c:symbol val="none"/>
        </c:marker>
        <c:dLbl>
          <c:idx val="0"/>
          <c:spPr/>
          <c:txPr>
            <a:bodyPr/>
            <a:lstStyle/>
            <a:p>
              <a:pPr>
                <a:defRPr lang="en-AU"/>
              </a:pPr>
              <a:endParaRPr lang="en-US"/>
            </a:p>
          </c:txPr>
          <c:dLblPos val="outEnd"/>
          <c:showLegendKey val="0"/>
          <c:showVal val="1"/>
          <c:showCatName val="0"/>
          <c:showSerName val="0"/>
          <c:showPercent val="1"/>
          <c:showBubbleSize val="0"/>
        </c:dLbl>
      </c:pivotFmt>
      <c:pivotFmt>
        <c:idx val="1"/>
        <c:dLbl>
          <c:idx val="0"/>
          <c:layout>
            <c:manualLayout>
              <c:x val="6.1111111111111123E-2"/>
              <c:y val="-6.0185185185185147E-2"/>
            </c:manualLayout>
          </c:layout>
          <c:dLblPos val="bestFit"/>
          <c:showLegendKey val="0"/>
          <c:showVal val="1"/>
          <c:showCatName val="0"/>
          <c:showSerName val="0"/>
          <c:showPercent val="1"/>
          <c:showBubbleSize val="0"/>
        </c:dLbl>
      </c:pivotFmt>
      <c:pivotFmt>
        <c:idx val="2"/>
        <c:dLbl>
          <c:idx val="0"/>
          <c:layout>
            <c:manualLayout>
              <c:x val="-1.3888888888889435E-2"/>
              <c:y val="0.18055555555555555"/>
            </c:manualLayout>
          </c:layout>
          <c:dLblPos val="bestFit"/>
          <c:showLegendKey val="0"/>
          <c:showVal val="1"/>
          <c:showCatName val="0"/>
          <c:showSerName val="0"/>
          <c:showPercent val="1"/>
          <c:showBubbleSize val="0"/>
        </c:dLbl>
      </c:pivotFmt>
      <c:pivotFmt>
        <c:idx val="3"/>
        <c:dLbl>
          <c:idx val="0"/>
          <c:layout>
            <c:manualLayout>
              <c:x val="0"/>
              <c:y val="-4.1666666666666664E-2"/>
            </c:manualLayout>
          </c:layout>
          <c:dLblPos val="bestFit"/>
          <c:showLegendKey val="0"/>
          <c:showVal val="1"/>
          <c:showCatName val="0"/>
          <c:showSerName val="0"/>
          <c:showPercent val="1"/>
          <c:showBubbleSize val="0"/>
        </c:dLbl>
      </c:pivotFmt>
      <c:pivotFmt>
        <c:idx val="4"/>
        <c:dLbl>
          <c:idx val="0"/>
          <c:layout>
            <c:manualLayout>
              <c:x val="-4.1666666666666664E-2"/>
              <c:y val="-5.5555555555555455E-2"/>
            </c:manualLayout>
          </c:layout>
          <c:dLblPos val="bestFit"/>
          <c:showLegendKey val="0"/>
          <c:showVal val="1"/>
          <c:showCatName val="0"/>
          <c:showSerName val="0"/>
          <c:showPercent val="1"/>
          <c:showBubbleSize val="0"/>
        </c:dLbl>
      </c:pivotFmt>
      <c:pivotFmt>
        <c:idx val="5"/>
        <c:dLbl>
          <c:idx val="0"/>
          <c:layout>
            <c:manualLayout>
              <c:x val="-4.1666666666666692E-2"/>
              <c:y val="4.6296296296297014E-3"/>
            </c:manualLayout>
          </c:layout>
          <c:dLblPos val="bestFit"/>
          <c:showLegendKey val="0"/>
          <c:showVal val="1"/>
          <c:showCatName val="0"/>
          <c:showSerName val="0"/>
          <c:showPercent val="1"/>
          <c:showBubbleSize val="0"/>
        </c:dLbl>
      </c:pivotFmt>
      <c:pivotFmt>
        <c:idx val="6"/>
        <c:dLbl>
          <c:idx val="0"/>
          <c:layout>
            <c:manualLayout>
              <c:x val="1.2731334408021617E-17"/>
              <c:y val="-6.0185185185185147E-2"/>
            </c:manualLayout>
          </c:layout>
          <c:dLblPos val="bestFit"/>
          <c:showLegendKey val="0"/>
          <c:showVal val="1"/>
          <c:showCatName val="0"/>
          <c:showSerName val="0"/>
          <c:showPercent val="1"/>
          <c:showBubbleSize val="0"/>
        </c:dLbl>
      </c:pivotFmt>
      <c:pivotFmt>
        <c:idx val="7"/>
        <c:marker>
          <c:symbol val="none"/>
        </c:marker>
      </c:pivotFmt>
      <c:pivotFmt>
        <c:idx val="8"/>
        <c:marker>
          <c:symbol val="none"/>
        </c:marker>
        <c:dLbl>
          <c:idx val="0"/>
          <c:spPr/>
          <c:txPr>
            <a:bodyPr/>
            <a:lstStyle/>
            <a:p>
              <a:pPr>
                <a:defRPr lang="en-AU"/>
              </a:pPr>
              <a:endParaRPr lang="en-US"/>
            </a:p>
          </c:txPr>
          <c:dLblPos val="outEnd"/>
          <c:showLegendKey val="0"/>
          <c:showVal val="1"/>
          <c:showCatName val="0"/>
          <c:showSerName val="0"/>
          <c:showPercent val="1"/>
          <c:showBubbleSize val="0"/>
        </c:dLbl>
      </c:pivotFmt>
      <c:pivotFmt>
        <c:idx val="9"/>
        <c:dLbl>
          <c:idx val="0"/>
          <c:layout>
            <c:manualLayout>
              <c:x val="6.1111111111111123E-2"/>
              <c:y val="-6.0185185185185147E-2"/>
            </c:manualLayout>
          </c:layout>
          <c:dLblPos val="bestFit"/>
          <c:showLegendKey val="0"/>
          <c:showVal val="1"/>
          <c:showCatName val="0"/>
          <c:showSerName val="0"/>
          <c:showPercent val="1"/>
          <c:showBubbleSize val="0"/>
        </c:dLbl>
      </c:pivotFmt>
      <c:pivotFmt>
        <c:idx val="10"/>
        <c:dLbl>
          <c:idx val="0"/>
          <c:layout>
            <c:manualLayout>
              <c:x val="-1.3888888888889435E-2"/>
              <c:y val="0.18055555555555555"/>
            </c:manualLayout>
          </c:layout>
          <c:dLblPos val="bestFit"/>
          <c:showLegendKey val="0"/>
          <c:showVal val="1"/>
          <c:showCatName val="0"/>
          <c:showSerName val="0"/>
          <c:showPercent val="1"/>
          <c:showBubbleSize val="0"/>
        </c:dLbl>
      </c:pivotFmt>
      <c:pivotFmt>
        <c:idx val="11"/>
        <c:dLbl>
          <c:idx val="0"/>
          <c:layout>
            <c:manualLayout>
              <c:x val="-4.1666666666666692E-2"/>
              <c:y val="4.6296296296297014E-3"/>
            </c:manualLayout>
          </c:layout>
          <c:dLblPos val="bestFit"/>
          <c:showLegendKey val="0"/>
          <c:showVal val="1"/>
          <c:showCatName val="0"/>
          <c:showSerName val="0"/>
          <c:showPercent val="1"/>
          <c:showBubbleSize val="0"/>
        </c:dLbl>
      </c:pivotFmt>
      <c:pivotFmt>
        <c:idx val="12"/>
        <c:dLbl>
          <c:idx val="0"/>
          <c:layout>
            <c:manualLayout>
              <c:x val="-4.1666666666666664E-2"/>
              <c:y val="-5.5555555555555455E-2"/>
            </c:manualLayout>
          </c:layout>
          <c:dLblPos val="bestFit"/>
          <c:showLegendKey val="0"/>
          <c:showVal val="1"/>
          <c:showCatName val="0"/>
          <c:showSerName val="0"/>
          <c:showPercent val="1"/>
          <c:showBubbleSize val="0"/>
        </c:dLbl>
      </c:pivotFmt>
      <c:pivotFmt>
        <c:idx val="13"/>
        <c:dLbl>
          <c:idx val="0"/>
          <c:layout>
            <c:manualLayout>
              <c:x val="1.2731334408021617E-17"/>
              <c:y val="-6.0185185185185147E-2"/>
            </c:manualLayout>
          </c:layout>
          <c:dLblPos val="bestFit"/>
          <c:showLegendKey val="0"/>
          <c:showVal val="1"/>
          <c:showCatName val="0"/>
          <c:showSerName val="0"/>
          <c:showPercent val="1"/>
          <c:showBubbleSize val="0"/>
        </c:dLbl>
      </c:pivotFmt>
    </c:pivotFmts>
    <c:view3D>
      <c:rotX val="30"/>
      <c:rotY val="0"/>
      <c:rAngAx val="0"/>
      <c:perspective val="30"/>
    </c:view3D>
    <c:floor>
      <c:thickness val="0"/>
    </c:floor>
    <c:sideWall>
      <c:thickness val="0"/>
    </c:sideWall>
    <c:backWall>
      <c:thickness val="0"/>
    </c:backWall>
    <c:plotArea>
      <c:layout>
        <c:manualLayout>
          <c:layoutTarget val="inner"/>
          <c:xMode val="edge"/>
          <c:yMode val="edge"/>
          <c:x val="8.0847112860892564E-2"/>
          <c:y val="0.31009806065909484"/>
          <c:w val="0.73186242344706909"/>
          <c:h val="0.64452610090405349"/>
        </c:manualLayout>
      </c:layout>
      <c:pie3DChart>
        <c:varyColors val="1"/>
        <c:ser>
          <c:idx val="0"/>
          <c:order val="0"/>
          <c:tx>
            <c:strRef>
              <c:f>' # By Region'!$B$3</c:f>
              <c:strCache>
                <c:ptCount val="1"/>
                <c:pt idx="0">
                  <c:v>Total</c:v>
                </c:pt>
              </c:strCache>
            </c:strRef>
          </c:tx>
          <c:dLbls>
            <c:dLbl>
              <c:idx val="0"/>
              <c:layout>
                <c:manualLayout>
                  <c:x val="6.1111111111111123E-2"/>
                  <c:y val="-6.0185185185185147E-2"/>
                </c:manualLayout>
              </c:layout>
              <c:dLblPos val="bestFit"/>
              <c:showLegendKey val="0"/>
              <c:showVal val="1"/>
              <c:showCatName val="0"/>
              <c:showSerName val="0"/>
              <c:showPercent val="1"/>
              <c:showBubbleSize val="0"/>
            </c:dLbl>
            <c:dLbl>
              <c:idx val="1"/>
              <c:layout>
                <c:manualLayout>
                  <c:x val="-1.3888888888889435E-2"/>
                  <c:y val="0.18055555555555555"/>
                </c:manualLayout>
              </c:layout>
              <c:dLblPos val="bestFit"/>
              <c:showLegendKey val="0"/>
              <c:showVal val="1"/>
              <c:showCatName val="0"/>
              <c:showSerName val="0"/>
              <c:showPercent val="1"/>
              <c:showBubbleSize val="0"/>
            </c:dLbl>
            <c:dLbl>
              <c:idx val="2"/>
              <c:layout>
                <c:manualLayout>
                  <c:x val="-4.1666666666666692E-2"/>
                  <c:y val="4.6296296296297014E-3"/>
                </c:manualLayout>
              </c:layout>
              <c:dLblPos val="bestFit"/>
              <c:showLegendKey val="0"/>
              <c:showVal val="1"/>
              <c:showCatName val="0"/>
              <c:showSerName val="0"/>
              <c:showPercent val="1"/>
              <c:showBubbleSize val="0"/>
            </c:dLbl>
            <c:dLbl>
              <c:idx val="3"/>
              <c:layout>
                <c:manualLayout>
                  <c:x val="-4.1666666666666664E-2"/>
                  <c:y val="-5.5555555555555455E-2"/>
                </c:manualLayout>
              </c:layout>
              <c:dLblPos val="bestFit"/>
              <c:showLegendKey val="0"/>
              <c:showVal val="1"/>
              <c:showCatName val="0"/>
              <c:showSerName val="0"/>
              <c:showPercent val="1"/>
              <c:showBubbleSize val="0"/>
            </c:dLbl>
            <c:dLbl>
              <c:idx val="4"/>
              <c:layout>
                <c:manualLayout>
                  <c:x val="1.2731334408021617E-17"/>
                  <c:y val="-6.0185185185185147E-2"/>
                </c:manualLayout>
              </c:layout>
              <c:dLblPos val="bestFit"/>
              <c:showLegendKey val="0"/>
              <c:showVal val="1"/>
              <c:showCatName val="0"/>
              <c:showSerName val="0"/>
              <c:showPercent val="1"/>
              <c:showBubbleSize val="0"/>
            </c:dLbl>
            <c:txPr>
              <a:bodyPr/>
              <a:lstStyle/>
              <a:p>
                <a:pPr>
                  <a:defRPr lang="en-AU"/>
                </a:pPr>
                <a:endParaRPr lang="en-US"/>
              </a:p>
            </c:txPr>
            <c:dLblPos val="outEnd"/>
            <c:showLegendKey val="0"/>
            <c:showVal val="1"/>
            <c:showCatName val="0"/>
            <c:showSerName val="0"/>
            <c:showPercent val="1"/>
            <c:showBubbleSize val="0"/>
            <c:showLeaderLines val="1"/>
          </c:dLbls>
          <c:cat>
            <c:strRef>
              <c:f>' # By Region'!$A$4:$A$9</c:f>
              <c:strCache>
                <c:ptCount val="5"/>
                <c:pt idx="0">
                  <c:v>APIA</c:v>
                </c:pt>
                <c:pt idx="1">
                  <c:v>NWU</c:v>
                </c:pt>
                <c:pt idx="2">
                  <c:v>ROU</c:v>
                </c:pt>
                <c:pt idx="3">
                  <c:v>SAMOA</c:v>
                </c:pt>
                <c:pt idx="4">
                  <c:v>SAVAI'I</c:v>
                </c:pt>
              </c:strCache>
            </c:strRef>
          </c:cat>
          <c:val>
            <c:numRef>
              <c:f>' # By Region'!$B$4:$B$9</c:f>
              <c:numCache>
                <c:formatCode>General</c:formatCode>
                <c:ptCount val="5"/>
                <c:pt idx="0">
                  <c:v>23</c:v>
                </c:pt>
                <c:pt idx="1">
                  <c:v>51</c:v>
                </c:pt>
                <c:pt idx="2">
                  <c:v>35</c:v>
                </c:pt>
                <c:pt idx="3">
                  <c:v>9</c:v>
                </c:pt>
                <c:pt idx="4">
                  <c:v>41</c:v>
                </c:pt>
              </c:numCache>
            </c:numRef>
          </c:val>
        </c:ser>
        <c:dLbls>
          <c:showLegendKey val="0"/>
          <c:showVal val="0"/>
          <c:showCatName val="0"/>
          <c:showSerName val="0"/>
          <c:showPercent val="0"/>
          <c:showBubbleSize val="0"/>
          <c:showLeaderLines val="1"/>
        </c:dLbls>
      </c:pie3DChart>
    </c:plotArea>
    <c:legend>
      <c:legendPos val="r"/>
      <c:layout/>
      <c:overlay val="0"/>
      <c:txPr>
        <a:bodyPr/>
        <a:lstStyle/>
        <a:p>
          <a:pPr>
            <a:defRPr lang="en-AU"/>
          </a:pPr>
          <a:endParaRPr lang="en-US"/>
        </a:p>
      </c:txPr>
    </c:legend>
    <c:plotVisOnly val="1"/>
    <c:dispBlanksAs val="zero"/>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[CSSP Database as of 10 July 2012.xlsx]$ by Region!PivotTable5</c:name>
    <c:fmtId val="8"/>
  </c:pivotSource>
  <c:chart>
    <c:title>
      <c:tx>
        <c:rich>
          <a:bodyPr/>
          <a:lstStyle/>
          <a:p>
            <a:pPr>
              <a:defRPr lang="en-AU"/>
            </a:pPr>
            <a:r>
              <a:rPr lang="en-NZ" sz="1200"/>
              <a:t>CSSP Approved Projects</a:t>
            </a:r>
            <a:r>
              <a:rPr lang="en-NZ" sz="1200" baseline="0"/>
              <a:t> as at 30 June 2012:</a:t>
            </a:r>
          </a:p>
          <a:p>
            <a:pPr>
              <a:defRPr lang="en-AU"/>
            </a:pPr>
            <a:r>
              <a:rPr lang="en-NZ" sz="1200" baseline="0"/>
              <a:t>BY:  Region and Funding</a:t>
            </a:r>
            <a:endParaRPr lang="en-NZ" sz="1200"/>
          </a:p>
        </c:rich>
      </c:tx>
      <c:layout>
        <c:manualLayout>
          <c:xMode val="edge"/>
          <c:yMode val="edge"/>
          <c:x val="0.23860182370820668"/>
          <c:y val="4.1757188151788596E-2"/>
        </c:manualLayout>
      </c:layout>
      <c:overlay val="0"/>
    </c:title>
    <c:autoTitleDeleted val="0"/>
    <c:pivotFmts>
      <c:pivotFmt>
        <c:idx val="0"/>
        <c:marker>
          <c:symbol val="none"/>
        </c:marker>
        <c:dLbl>
          <c:idx val="0"/>
          <c:spPr/>
          <c:txPr>
            <a:bodyPr/>
            <a:lstStyle/>
            <a:p>
              <a:pPr>
                <a:defRPr lang="en-AU"/>
              </a:pPr>
              <a:endParaRPr lang="en-US"/>
            </a:p>
          </c:txPr>
          <c:dLblPos val="outEnd"/>
          <c:showLegendKey val="0"/>
          <c:showVal val="0"/>
          <c:showCatName val="0"/>
          <c:showSerName val="0"/>
          <c:showPercent val="1"/>
          <c:showBubbleSize val="0"/>
        </c:dLbl>
      </c:pivotFmt>
      <c:pivotFmt>
        <c:idx val="1"/>
        <c:dLbl>
          <c:idx val="0"/>
          <c:layout>
            <c:manualLayout>
              <c:x val="-6.3888888888888884E-2"/>
              <c:y val="-1.3888888888889422E-2"/>
            </c:manualLayout>
          </c:layout>
          <c:dLblPos val="bestFit"/>
          <c:showLegendKey val="0"/>
          <c:showVal val="0"/>
          <c:showCatName val="0"/>
          <c:showSerName val="0"/>
          <c:showPercent val="1"/>
          <c:showBubbleSize val="0"/>
        </c:dLbl>
      </c:pivotFmt>
      <c:pivotFmt>
        <c:idx val="2"/>
        <c:dLbl>
          <c:idx val="0"/>
          <c:layout>
            <c:manualLayout>
              <c:x val="7.7777777777777779E-2"/>
              <c:y val="-2.7777777777779795E-2"/>
            </c:manualLayout>
          </c:layout>
          <c:dLblPos val="bestFit"/>
          <c:showLegendKey val="0"/>
          <c:showVal val="0"/>
          <c:showCatName val="0"/>
          <c:showSerName val="0"/>
          <c:showPercent val="1"/>
          <c:showBubbleSize val="0"/>
        </c:dLbl>
      </c:pivotFmt>
      <c:pivotFmt>
        <c:idx val="3"/>
        <c:dLbl>
          <c:idx val="0"/>
          <c:layout>
            <c:manualLayout>
              <c:x val="8.0555555555561195E-2"/>
              <c:y val="0"/>
            </c:manualLayout>
          </c:layout>
          <c:dLblPos val="bestFit"/>
          <c:showLegendKey val="0"/>
          <c:showVal val="0"/>
          <c:showCatName val="0"/>
          <c:showSerName val="0"/>
          <c:showPercent val="1"/>
          <c:showBubbleSize val="0"/>
        </c:dLbl>
      </c:pivotFmt>
      <c:pivotFmt>
        <c:idx val="4"/>
        <c:dLbl>
          <c:idx val="0"/>
          <c:layout>
            <c:manualLayout>
              <c:x val="-8.3333333333333343E-2"/>
              <c:y val="-4.6296296296297014E-3"/>
            </c:manualLayout>
          </c:layout>
          <c:dLblPos val="bestFit"/>
          <c:showLegendKey val="0"/>
          <c:showVal val="0"/>
          <c:showCatName val="0"/>
          <c:showSerName val="0"/>
          <c:showPercent val="1"/>
          <c:showBubbleSize val="0"/>
        </c:dLbl>
      </c:pivotFmt>
      <c:pivotFmt>
        <c:idx val="5"/>
        <c:dLbl>
          <c:idx val="0"/>
          <c:layout>
            <c:manualLayout>
              <c:x val="-8.8888888888888878E-2"/>
              <c:y val="-1.8518518518518583E-2"/>
            </c:manualLayout>
          </c:layout>
          <c:dLblPos val="bestFit"/>
          <c:showLegendKey val="0"/>
          <c:showVal val="0"/>
          <c:showCatName val="0"/>
          <c:showSerName val="0"/>
          <c:showPercent val="1"/>
          <c:showBubbleSize val="0"/>
        </c:dLbl>
      </c:pivotFmt>
      <c:pivotFmt>
        <c:idx val="6"/>
        <c:marker>
          <c:symbol val="none"/>
        </c:marker>
        <c:dLbl>
          <c:idx val="0"/>
          <c:spPr/>
          <c:txPr>
            <a:bodyPr/>
            <a:lstStyle/>
            <a:p>
              <a:pPr>
                <a:defRPr lang="en-AU"/>
              </a:pPr>
              <a:endParaRPr lang="en-US"/>
            </a:p>
          </c:txPr>
          <c:dLblPos val="outEnd"/>
          <c:showLegendKey val="0"/>
          <c:showVal val="0"/>
          <c:showCatName val="0"/>
          <c:showSerName val="0"/>
          <c:showPercent val="1"/>
          <c:showBubbleSize val="0"/>
        </c:dLbl>
      </c:pivotFmt>
      <c:pivotFmt>
        <c:idx val="7"/>
        <c:dLbl>
          <c:idx val="0"/>
          <c:layout>
            <c:manualLayout>
              <c:x val="7.7777777777777779E-2"/>
              <c:y val="-2.7777777777779795E-2"/>
            </c:manualLayout>
          </c:layout>
          <c:dLblPos val="bestFit"/>
          <c:showLegendKey val="0"/>
          <c:showVal val="0"/>
          <c:showCatName val="0"/>
          <c:showSerName val="0"/>
          <c:showPercent val="1"/>
          <c:showBubbleSize val="0"/>
        </c:dLbl>
      </c:pivotFmt>
      <c:pivotFmt>
        <c:idx val="8"/>
        <c:dLbl>
          <c:idx val="0"/>
          <c:layout>
            <c:manualLayout>
              <c:x val="8.0555555555561195E-2"/>
              <c:y val="0"/>
            </c:manualLayout>
          </c:layout>
          <c:dLblPos val="bestFit"/>
          <c:showLegendKey val="0"/>
          <c:showVal val="0"/>
          <c:showCatName val="0"/>
          <c:showSerName val="0"/>
          <c:showPercent val="1"/>
          <c:showBubbleSize val="0"/>
        </c:dLbl>
      </c:pivotFmt>
      <c:pivotFmt>
        <c:idx val="9"/>
        <c:dLbl>
          <c:idx val="0"/>
          <c:layout>
            <c:manualLayout>
              <c:x val="-8.3333333333333343E-2"/>
              <c:y val="-4.6296296296297014E-3"/>
            </c:manualLayout>
          </c:layout>
          <c:dLblPos val="bestFit"/>
          <c:showLegendKey val="0"/>
          <c:showVal val="0"/>
          <c:showCatName val="0"/>
          <c:showSerName val="0"/>
          <c:showPercent val="1"/>
          <c:showBubbleSize val="0"/>
        </c:dLbl>
      </c:pivotFmt>
      <c:pivotFmt>
        <c:idx val="10"/>
        <c:dLbl>
          <c:idx val="0"/>
          <c:layout>
            <c:manualLayout>
              <c:x val="-8.8888888888888878E-2"/>
              <c:y val="-1.8518518518518583E-2"/>
            </c:manualLayout>
          </c:layout>
          <c:dLblPos val="bestFit"/>
          <c:showLegendKey val="0"/>
          <c:showVal val="0"/>
          <c:showCatName val="0"/>
          <c:showSerName val="0"/>
          <c:showPercent val="1"/>
          <c:showBubbleSize val="0"/>
        </c:dLbl>
      </c:pivotFmt>
      <c:pivotFmt>
        <c:idx val="11"/>
        <c:dLbl>
          <c:idx val="0"/>
          <c:layout>
            <c:manualLayout>
              <c:x val="-6.3888888888888884E-2"/>
              <c:y val="-1.3888888888889422E-2"/>
            </c:manualLayout>
          </c:layout>
          <c:dLblPos val="bestFit"/>
          <c:showLegendKey val="0"/>
          <c:showVal val="0"/>
          <c:showCatName val="0"/>
          <c:showSerName val="0"/>
          <c:showPercent val="1"/>
          <c:showBubbleSize val="0"/>
        </c:dLbl>
      </c:pivotFmt>
    </c:pivotFmts>
    <c:plotArea>
      <c:layout/>
      <c:pieChart>
        <c:varyColors val="1"/>
        <c:ser>
          <c:idx val="0"/>
          <c:order val="0"/>
          <c:tx>
            <c:strRef>
              <c:f>'$ by Region'!$B$3</c:f>
              <c:strCache>
                <c:ptCount val="1"/>
                <c:pt idx="0">
                  <c:v>Total</c:v>
                </c:pt>
              </c:strCache>
            </c:strRef>
          </c:tx>
          <c:dLbls>
            <c:dLbl>
              <c:idx val="0"/>
              <c:layout>
                <c:manualLayout>
                  <c:x val="7.7777777777777779E-2"/>
                  <c:y val="-2.7777777777779795E-2"/>
                </c:manualLayout>
              </c:layout>
              <c:dLblPos val="bestFit"/>
              <c:showLegendKey val="0"/>
              <c:showVal val="0"/>
              <c:showCatName val="0"/>
              <c:showSerName val="0"/>
              <c:showPercent val="1"/>
              <c:showBubbleSize val="0"/>
            </c:dLbl>
            <c:dLbl>
              <c:idx val="1"/>
              <c:layout>
                <c:manualLayout>
                  <c:x val="8.0555555555561195E-2"/>
                  <c:y val="0"/>
                </c:manualLayout>
              </c:layout>
              <c:dLblPos val="bestFit"/>
              <c:showLegendKey val="0"/>
              <c:showVal val="0"/>
              <c:showCatName val="0"/>
              <c:showSerName val="0"/>
              <c:showPercent val="1"/>
              <c:showBubbleSize val="0"/>
            </c:dLbl>
            <c:dLbl>
              <c:idx val="2"/>
              <c:layout>
                <c:manualLayout>
                  <c:x val="-8.3333333333333343E-2"/>
                  <c:y val="-4.6296296296297014E-3"/>
                </c:manualLayout>
              </c:layout>
              <c:dLblPos val="bestFit"/>
              <c:showLegendKey val="0"/>
              <c:showVal val="0"/>
              <c:showCatName val="0"/>
              <c:showSerName val="0"/>
              <c:showPercent val="1"/>
              <c:showBubbleSize val="0"/>
            </c:dLbl>
            <c:dLbl>
              <c:idx val="3"/>
              <c:layout>
                <c:manualLayout>
                  <c:x val="-8.8888888888888878E-2"/>
                  <c:y val="-1.8518518518518583E-2"/>
                </c:manualLayout>
              </c:layout>
              <c:dLblPos val="bestFit"/>
              <c:showLegendKey val="0"/>
              <c:showVal val="0"/>
              <c:showCatName val="0"/>
              <c:showSerName val="0"/>
              <c:showPercent val="1"/>
              <c:showBubbleSize val="0"/>
            </c:dLbl>
            <c:dLbl>
              <c:idx val="4"/>
              <c:layout>
                <c:manualLayout>
                  <c:x val="-6.3888888888888884E-2"/>
                  <c:y val="-1.3888888888889422E-2"/>
                </c:manualLayout>
              </c:layout>
              <c:dLblPos val="bestFit"/>
              <c:showLegendKey val="0"/>
              <c:showVal val="0"/>
              <c:showCatName val="0"/>
              <c:showSerName val="0"/>
              <c:showPercent val="1"/>
              <c:showBubbleSize val="0"/>
            </c:dLbl>
            <c:txPr>
              <a:bodyPr/>
              <a:lstStyle/>
              <a:p>
                <a:pPr>
                  <a:defRPr lang="en-AU"/>
                </a:pPr>
                <a:endParaRPr lang="en-US"/>
              </a:p>
            </c:txPr>
            <c:dLblPos val="outEnd"/>
            <c:showLegendKey val="0"/>
            <c:showVal val="0"/>
            <c:showCatName val="0"/>
            <c:showSerName val="0"/>
            <c:showPercent val="1"/>
            <c:showBubbleSize val="0"/>
            <c:showLeaderLines val="1"/>
          </c:dLbls>
          <c:cat>
            <c:strRef>
              <c:f>'$ by Region'!$A$4:$A$9</c:f>
              <c:strCache>
                <c:ptCount val="5"/>
                <c:pt idx="0">
                  <c:v>APIA</c:v>
                </c:pt>
                <c:pt idx="1">
                  <c:v>NWU</c:v>
                </c:pt>
                <c:pt idx="2">
                  <c:v>ROU</c:v>
                </c:pt>
                <c:pt idx="3">
                  <c:v>SAMOA</c:v>
                </c:pt>
                <c:pt idx="4">
                  <c:v>SAVAI'I</c:v>
                </c:pt>
              </c:strCache>
            </c:strRef>
          </c:cat>
          <c:val>
            <c:numRef>
              <c:f>'$ by Region'!$B$4:$B$9</c:f>
              <c:numCache>
                <c:formatCode>#,##0</c:formatCode>
                <c:ptCount val="5"/>
                <c:pt idx="0">
                  <c:v>1085136.48</c:v>
                </c:pt>
                <c:pt idx="1">
                  <c:v>1442791.5900000003</c:v>
                </c:pt>
                <c:pt idx="2">
                  <c:v>1184515.8500000001</c:v>
                </c:pt>
                <c:pt idx="3">
                  <c:v>590000</c:v>
                </c:pt>
                <c:pt idx="4">
                  <c:v>1261120.6600000001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a:defRPr lang="en-AU"/>
          </a:pPr>
          <a:endParaRPr lang="en-US"/>
        </a:p>
      </c:txPr>
    </c:legend>
    <c:plotVisOnly val="1"/>
    <c:dispBlanksAs val="zero"/>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42860-1FBD-4F60-BB7C-931CC5CF4CC2}"/>
</file>

<file path=customXml/itemProps2.xml><?xml version="1.0" encoding="utf-8"?>
<ds:datastoreItem xmlns:ds="http://schemas.openxmlformats.org/officeDocument/2006/customXml" ds:itemID="{4AA57677-68D8-4C3D-A287-BD6323360FE8}"/>
</file>

<file path=customXml/itemProps3.xml><?xml version="1.0" encoding="utf-8"?>
<ds:datastoreItem xmlns:ds="http://schemas.openxmlformats.org/officeDocument/2006/customXml" ds:itemID="{2B8186EA-3BB3-48C0-BB3E-D002CC14A4EF}"/>
</file>

<file path=customXml/itemProps4.xml><?xml version="1.0" encoding="utf-8"?>
<ds:datastoreItem xmlns:ds="http://schemas.openxmlformats.org/officeDocument/2006/customXml" ds:itemID="{B5F003F3-5202-4236-9002-21AD5EF3B576}"/>
</file>

<file path=docProps/app.xml><?xml version="1.0" encoding="utf-8"?>
<Properties xmlns="http://schemas.openxmlformats.org/officeDocument/2006/extended-properties" xmlns:vt="http://schemas.openxmlformats.org/officeDocument/2006/docPropsVTypes">
  <Template>Normal.dotm</Template>
  <TotalTime>3</TotalTime>
  <Pages>13</Pages>
  <Words>3888</Words>
  <Characters>22163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Kevin Hadfield</cp:lastModifiedBy>
  <cp:revision>4</cp:revision>
  <cp:lastPrinted>2012-11-13T03:10:00Z</cp:lastPrinted>
  <dcterms:created xsi:type="dcterms:W3CDTF">2012-11-07T02:05:00Z</dcterms:created>
  <dcterms:modified xsi:type="dcterms:W3CDTF">2012-11-13T03:11:00Z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4000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